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48" w:rsidRP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u w:val="single"/>
        </w:rPr>
        <w:t>RESUMES</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Pr="00CE2F48" w:rsidRDefault="00CE2F48" w:rsidP="00CE2F48">
      <w:pPr>
        <w:pStyle w:val="paragraph"/>
        <w:spacing w:before="0" w:beforeAutospacing="0" w:after="0" w:afterAutospacing="0"/>
        <w:textAlignment w:val="baseline"/>
        <w:rPr>
          <w:sz w:val="22"/>
          <w:szCs w:val="22"/>
        </w:rPr>
      </w:pPr>
      <w:proofErr w:type="spellStart"/>
      <w:r w:rsidRPr="00CE2F48">
        <w:rPr>
          <w:rStyle w:val="normaltextrun"/>
          <w:sz w:val="22"/>
          <w:szCs w:val="22"/>
          <w:u w:val="single"/>
        </w:rPr>
        <w:t>Francais</w:t>
      </w:r>
      <w:proofErr w:type="spellEnd"/>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rPr>
        <w:t>Nécrose surrénalienne secondaire à une pancréatite aigüe : une complication rare</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t>La pancréatite aigüe est une pathologie rare dont l’incidence tend à augmenter dans les pays occidentaux, et dont la gravité est variable ; les formes sévères (10-20%) sont grevées d’une mortalité importante, comprise entre 13 et 35% selon les études.  En marge des complications habituelles de telles atteintes, des complications plus rares surtout liées à une atteinte d’organe adjacente ou à distance peuvent causer des symptômes inhabituels, et participer aux risques vitaux pour le patient. </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t>Cette présentation illustre une de ces complications peu communes, sous la forme de la nécrose d’une glande surrénale</w:t>
      </w:r>
      <w:r w:rsidRPr="00CE2F48">
        <w:rPr>
          <w:rStyle w:val="normaltextrun"/>
          <w:color w:val="D13438"/>
          <w:sz w:val="22"/>
          <w:szCs w:val="22"/>
          <w:u w:val="single"/>
        </w:rPr>
        <w:t xml:space="preserve"> </w:t>
      </w:r>
      <w:r w:rsidRPr="00CE2F48">
        <w:rPr>
          <w:rStyle w:val="normaltextrun"/>
          <w:sz w:val="22"/>
          <w:szCs w:val="22"/>
        </w:rPr>
        <w:t xml:space="preserve">secondaire à l'apparition d’une collection nécrotique aigüe </w:t>
      </w:r>
      <w:proofErr w:type="spellStart"/>
      <w:r w:rsidRPr="00CE2F48">
        <w:rPr>
          <w:rStyle w:val="normaltextrun"/>
          <w:sz w:val="22"/>
          <w:szCs w:val="22"/>
        </w:rPr>
        <w:t>rétropéritonéale</w:t>
      </w:r>
      <w:proofErr w:type="spellEnd"/>
      <w:r w:rsidRPr="00CE2F48">
        <w:rPr>
          <w:rStyle w:val="normaltextrun"/>
          <w:sz w:val="22"/>
          <w:szCs w:val="22"/>
        </w:rPr>
        <w:t xml:space="preserve"> sur nécrose encapsulée s’étendant directement à la loge surrénalienne dans le décours d’une pancréatite aigüe sévère, susceptible de mener à une insuffisance surrénalienne chronique.   </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u w:val="single"/>
        </w:rPr>
        <w:t>Mots clés</w:t>
      </w:r>
      <w:r w:rsidRPr="00CE2F48">
        <w:rPr>
          <w:rStyle w:val="eop"/>
          <w:sz w:val="22"/>
          <w:szCs w:val="22"/>
        </w:rPr>
        <w:t> </w:t>
      </w:r>
    </w:p>
    <w:p w:rsidR="00CE2F48" w:rsidRPr="00CE2F48" w:rsidRDefault="006F0BEB" w:rsidP="00CE2F48">
      <w:pPr>
        <w:pStyle w:val="paragraph"/>
        <w:spacing w:before="0" w:beforeAutospacing="0" w:after="0" w:afterAutospacing="0"/>
        <w:textAlignment w:val="baseline"/>
        <w:rPr>
          <w:sz w:val="22"/>
          <w:szCs w:val="22"/>
          <w:lang w:val="fr-FR"/>
        </w:rPr>
      </w:pPr>
      <w:r>
        <w:rPr>
          <w:rStyle w:val="normaltextrun"/>
          <w:color w:val="333333"/>
          <w:sz w:val="22"/>
          <w:szCs w:val="22"/>
        </w:rPr>
        <w:t xml:space="preserve">Pancréatite </w:t>
      </w:r>
      <w:proofErr w:type="gramStart"/>
      <w:r>
        <w:rPr>
          <w:rStyle w:val="normaltextrun"/>
          <w:color w:val="333333"/>
          <w:sz w:val="22"/>
          <w:szCs w:val="22"/>
        </w:rPr>
        <w:t>aigüe  -</w:t>
      </w:r>
      <w:proofErr w:type="gramEnd"/>
      <w:r>
        <w:rPr>
          <w:rStyle w:val="normaltextrun"/>
          <w:color w:val="333333"/>
          <w:sz w:val="22"/>
          <w:szCs w:val="22"/>
        </w:rPr>
        <w:t xml:space="preserve"> </w:t>
      </w:r>
      <w:r w:rsidR="00CE2F48" w:rsidRPr="00CE2F48">
        <w:rPr>
          <w:rStyle w:val="normaltextrun"/>
          <w:color w:val="333333"/>
          <w:sz w:val="22"/>
          <w:szCs w:val="22"/>
        </w:rPr>
        <w:t xml:space="preserve"> </w:t>
      </w:r>
      <w:r>
        <w:rPr>
          <w:rStyle w:val="normaltextrun"/>
          <w:color w:val="333333"/>
          <w:sz w:val="22"/>
          <w:szCs w:val="22"/>
        </w:rPr>
        <w:t>Glandes surrénales - Affections</w:t>
      </w:r>
      <w:r w:rsidR="00CE2F48" w:rsidRPr="00CE2F48">
        <w:rPr>
          <w:rStyle w:val="normaltextrun"/>
          <w:sz w:val="22"/>
          <w:szCs w:val="22"/>
        </w:rPr>
        <w:t xml:space="preserve"> surrénalienne</w:t>
      </w:r>
      <w:r>
        <w:rPr>
          <w:rStyle w:val="normaltextrun"/>
          <w:sz w:val="22"/>
          <w:szCs w:val="22"/>
        </w:rPr>
        <w:t>s -</w:t>
      </w:r>
      <w:r w:rsidR="00CE2F48" w:rsidRPr="00CE2F48">
        <w:rPr>
          <w:rStyle w:val="normaltextrun"/>
          <w:sz w:val="22"/>
          <w:szCs w:val="22"/>
        </w:rPr>
        <w:t xml:space="preserve"> Insuffisance surrénalienne</w:t>
      </w:r>
      <w:r w:rsidR="00CE2F48" w:rsidRPr="00CE2F48">
        <w:rPr>
          <w:rStyle w:val="eop"/>
          <w:sz w:val="22"/>
          <w:szCs w:val="22"/>
          <w:lang w:val="fr-FR"/>
        </w:rPr>
        <w:t> </w:t>
      </w:r>
      <w:r>
        <w:rPr>
          <w:rStyle w:val="eop"/>
          <w:sz w:val="22"/>
          <w:szCs w:val="22"/>
          <w:lang w:val="fr-FR"/>
        </w:rPr>
        <w:t>–</w:t>
      </w:r>
      <w:bookmarkStart w:id="0" w:name="_GoBack"/>
      <w:bookmarkEnd w:id="0"/>
      <w:r>
        <w:rPr>
          <w:rStyle w:val="eop"/>
          <w:sz w:val="22"/>
          <w:szCs w:val="22"/>
          <w:lang w:val="fr-FR"/>
        </w:rPr>
        <w:t xml:space="preserve"> Tomodensitométrie</w:t>
      </w:r>
      <w:r w:rsidR="00BC044B">
        <w:rPr>
          <w:rStyle w:val="eop"/>
          <w:sz w:val="22"/>
          <w:szCs w:val="22"/>
          <w:lang w:val="fr-FR"/>
        </w:rPr>
        <w:t xml:space="preserve"> (CT Scan)</w:t>
      </w:r>
    </w:p>
    <w:p w:rsidR="00CE2F48" w:rsidRPr="00CE2F48" w:rsidRDefault="00CE2F48" w:rsidP="00CE2F48">
      <w:pPr>
        <w:pStyle w:val="paragraph"/>
        <w:spacing w:before="0" w:beforeAutospacing="0" w:after="0" w:afterAutospacing="0"/>
        <w:textAlignment w:val="baseline"/>
        <w:rPr>
          <w:rStyle w:val="eop"/>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u w:val="single"/>
          <w:lang w:val="en-US"/>
        </w:rPr>
        <w:t>English</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lang w:val="en-US"/>
        </w:rPr>
        <w:t>Adrenal gland necrosis following acute pancreatitis: a rare complication</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color w:val="111111"/>
          <w:sz w:val="22"/>
          <w:szCs w:val="22"/>
          <w:lang w:val="en-US"/>
        </w:rPr>
        <w:t xml:space="preserve">Acute pancreatitis is a rare </w:t>
      </w:r>
      <w:proofErr w:type="gramStart"/>
      <w:r w:rsidRPr="00CE2F48">
        <w:rPr>
          <w:rStyle w:val="normaltextrun"/>
          <w:color w:val="111111"/>
          <w:sz w:val="22"/>
          <w:szCs w:val="22"/>
          <w:lang w:val="en-US"/>
        </w:rPr>
        <w:t>pathology</w:t>
      </w:r>
      <w:proofErr w:type="gramEnd"/>
      <w:r w:rsidRPr="00CE2F48">
        <w:rPr>
          <w:rStyle w:val="normaltextrun"/>
          <w:color w:val="111111"/>
          <w:sz w:val="22"/>
          <w:szCs w:val="22"/>
          <w:lang w:val="en-US"/>
        </w:rPr>
        <w:t xml:space="preserve"> whose incidence tends to increase in Western countries, and whose severity is variable; severe forms (10-20%) are associated with significant mortality, ranging from 13 to 35% depending on the studies. Alongside the usual complications of such afflictions, rarer complications, especially related to an adjacent or distant organ involvement, can cause unusual symptoms and contribute to life-threatening risks for the patient.</w:t>
      </w:r>
      <w:r w:rsidRPr="00CE2F48">
        <w:rPr>
          <w:rStyle w:val="eop"/>
          <w:color w:val="111111"/>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color w:val="111111"/>
          <w:sz w:val="22"/>
          <w:szCs w:val="22"/>
          <w:lang w:val="en-US"/>
        </w:rPr>
        <w:t>This case illustrates one of these uncommon complications, in the form of necrosis of an adrenal gland in the onset of severe necrotizing pancreatitis, which may lead to chronic adrenal insufficiency.</w:t>
      </w:r>
      <w:r w:rsidRPr="00CE2F48">
        <w:rPr>
          <w:rStyle w:val="eop"/>
          <w:color w:val="111111"/>
          <w:sz w:val="22"/>
          <w:szCs w:val="22"/>
          <w:lang w:val="fr-FR"/>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color w:val="D13438"/>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u w:val="single"/>
        </w:rPr>
        <w:t>Keywords</w:t>
      </w:r>
      <w:r w:rsidRPr="00CE2F48">
        <w:rPr>
          <w:rStyle w:val="eop"/>
          <w:sz w:val="22"/>
          <w:szCs w:val="22"/>
        </w:rPr>
        <w:t> </w:t>
      </w:r>
    </w:p>
    <w:p w:rsidR="00CE2F48" w:rsidRPr="00CE2F48" w:rsidRDefault="006F0BEB" w:rsidP="00CE2F48">
      <w:pPr>
        <w:pStyle w:val="paragraph"/>
        <w:spacing w:before="0" w:beforeAutospacing="0" w:after="0" w:afterAutospacing="0"/>
        <w:textAlignment w:val="baseline"/>
        <w:rPr>
          <w:sz w:val="22"/>
          <w:szCs w:val="22"/>
        </w:rPr>
      </w:pPr>
      <w:r>
        <w:rPr>
          <w:rStyle w:val="normaltextrun"/>
          <w:sz w:val="22"/>
          <w:szCs w:val="22"/>
          <w:lang w:val="en-US"/>
        </w:rPr>
        <w:t xml:space="preserve">Acute pancreatitis </w:t>
      </w:r>
      <w:proofErr w:type="gramStart"/>
      <w:r>
        <w:rPr>
          <w:rStyle w:val="normaltextrun"/>
          <w:sz w:val="22"/>
          <w:szCs w:val="22"/>
          <w:lang w:val="en-US"/>
        </w:rPr>
        <w:t xml:space="preserve">-  </w:t>
      </w:r>
      <w:r w:rsidR="00BC044B">
        <w:rPr>
          <w:rStyle w:val="normaltextrun"/>
          <w:sz w:val="22"/>
          <w:szCs w:val="22"/>
          <w:lang w:val="en-US"/>
        </w:rPr>
        <w:t>Adrenal</w:t>
      </w:r>
      <w:proofErr w:type="gramEnd"/>
      <w:r w:rsidR="00BC044B">
        <w:rPr>
          <w:rStyle w:val="normaltextrun"/>
          <w:sz w:val="22"/>
          <w:szCs w:val="22"/>
          <w:lang w:val="en-US"/>
        </w:rPr>
        <w:t xml:space="preserve"> glands </w:t>
      </w:r>
      <w:r>
        <w:rPr>
          <w:rStyle w:val="normaltextrun"/>
          <w:sz w:val="22"/>
          <w:szCs w:val="22"/>
          <w:lang w:val="en-US"/>
        </w:rPr>
        <w:t>-</w:t>
      </w:r>
      <w:r w:rsidR="00CE2F48" w:rsidRPr="00CE2F48">
        <w:rPr>
          <w:rStyle w:val="normaltextrun"/>
          <w:sz w:val="22"/>
          <w:szCs w:val="22"/>
          <w:lang w:val="en-US"/>
        </w:rPr>
        <w:t xml:space="preserve"> Adrenal </w:t>
      </w:r>
      <w:r>
        <w:rPr>
          <w:rStyle w:val="normaltextrun"/>
          <w:sz w:val="22"/>
          <w:szCs w:val="22"/>
          <w:lang w:val="en-US"/>
        </w:rPr>
        <w:t>gland diseases -</w:t>
      </w:r>
      <w:r w:rsidR="00CE2F48" w:rsidRPr="00CE2F48">
        <w:rPr>
          <w:rStyle w:val="normaltextrun"/>
          <w:sz w:val="22"/>
          <w:szCs w:val="22"/>
          <w:lang w:val="en-US"/>
        </w:rPr>
        <w:t xml:space="preserve"> Adrenal insufficiency</w:t>
      </w:r>
      <w:r w:rsidR="00CE2F48" w:rsidRPr="00CE2F48">
        <w:rPr>
          <w:rStyle w:val="eop"/>
          <w:sz w:val="22"/>
          <w:szCs w:val="22"/>
        </w:rPr>
        <w:t> </w:t>
      </w:r>
      <w:r>
        <w:rPr>
          <w:rStyle w:val="eop"/>
          <w:sz w:val="22"/>
          <w:szCs w:val="22"/>
        </w:rPr>
        <w:t xml:space="preserve">– </w:t>
      </w:r>
      <w:proofErr w:type="spellStart"/>
      <w:r w:rsidR="00BC044B">
        <w:rPr>
          <w:rStyle w:val="eop"/>
          <w:sz w:val="22"/>
          <w:szCs w:val="22"/>
        </w:rPr>
        <w:t>Computed</w:t>
      </w:r>
      <w:proofErr w:type="spellEnd"/>
      <w:r w:rsidR="00BC044B">
        <w:rPr>
          <w:rStyle w:val="eop"/>
          <w:sz w:val="22"/>
          <w:szCs w:val="22"/>
        </w:rPr>
        <w:t xml:space="preserve"> </w:t>
      </w:r>
      <w:proofErr w:type="spellStart"/>
      <w:r w:rsidR="00BC044B">
        <w:rPr>
          <w:rStyle w:val="eop"/>
          <w:sz w:val="22"/>
          <w:szCs w:val="22"/>
        </w:rPr>
        <w:t>tomography</w:t>
      </w:r>
      <w:proofErr w:type="spellEnd"/>
      <w:r w:rsidR="00BC044B">
        <w:rPr>
          <w:rStyle w:val="eop"/>
          <w:sz w:val="22"/>
          <w:szCs w:val="22"/>
        </w:rPr>
        <w:t xml:space="preserve"> (CT)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u w:val="single"/>
        </w:rPr>
        <w:t xml:space="preserve">TEXTE </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u w:val="single"/>
        </w:rPr>
        <w:t>INTRODUCTION</w:t>
      </w:r>
      <w:r w:rsidRPr="00CE2F48">
        <w:rPr>
          <w:rStyle w:val="eop"/>
          <w:sz w:val="22"/>
          <w:szCs w:val="22"/>
          <w:lang w:val="fr-FR"/>
        </w:rPr>
        <w:t> </w:t>
      </w: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Dans les pays occidentaux, la pancréatite aigüe (PA) est une pathologie relativement rare, représentant par exemple en France environ 30-50 nouveaux cas par 100000 habitants, mais dont l’incidence semble en augmentation (1). Les causes en sont multiples, bien que la migration lithiasique biliaire et l’éthylisme chronique soient responsables d’environ 70% des cas (1). </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rStyle w:val="normaltextrun"/>
          <w:sz w:val="22"/>
          <w:szCs w:val="22"/>
        </w:rPr>
      </w:pPr>
      <w:r w:rsidRPr="00CE2F48">
        <w:rPr>
          <w:rStyle w:val="normaltextrun"/>
          <w:sz w:val="22"/>
          <w:szCs w:val="22"/>
        </w:rPr>
        <w:t>Elle est caractérisée par l’activation d’enzymes pancréatiques au sein de la glande pancréatique, entrainant une importante inflammation de la glande pouvant aller jusqu’à la nécrose, et capable de s’étendre par contiguïté aux tissus et organes adjacents. De plus, le syndrome inflammatoire secondaire à la pancréatite aigüe induit une réponse systémique, qui peut mener dans certains cas et selon son intensité à des défaillances d’organe, notamment rénale ou cardio-vasculaire. </w:t>
      </w:r>
    </w:p>
    <w:p w:rsidR="00CE2F48" w:rsidRPr="00CE2F48" w:rsidRDefault="00CE2F48" w:rsidP="00CE2F48">
      <w:pPr>
        <w:pStyle w:val="paragraph"/>
        <w:spacing w:before="0" w:beforeAutospacing="0" w:after="0" w:afterAutospacing="0"/>
        <w:textAlignment w:val="baseline"/>
        <w:rPr>
          <w:sz w:val="22"/>
          <w:szCs w:val="22"/>
        </w:rPr>
      </w:pPr>
      <w:r w:rsidRPr="00CE2F48">
        <w:rPr>
          <w:rStyle w:val="eop"/>
          <w:sz w:val="22"/>
          <w:szCs w:val="22"/>
        </w:rPr>
        <w:t> </w:t>
      </w: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La sévérité de l’atteinte varie de l’inflammation localisée à une atteinte nécrosante intra- et extra-pancréatique ; les atteintes nécrosantes sévères concernent 10 à 20% des cas, ces dernières étant responsable de l’essentiel de la mortalité, pouvant atteindre 13 à 35% (1).</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Son diagnostic repose sur la classification d’Atlanta ; et nécessite 2 des 3 critères</w:t>
      </w:r>
      <w:r w:rsidRPr="00CE2F48">
        <w:rPr>
          <w:rStyle w:val="normaltextrun"/>
          <w:color w:val="D13438"/>
          <w:sz w:val="22"/>
          <w:szCs w:val="22"/>
          <w:u w:val="single"/>
        </w:rPr>
        <w:t xml:space="preserve"> </w:t>
      </w:r>
      <w:r w:rsidRPr="00CE2F48">
        <w:rPr>
          <w:rStyle w:val="normaltextrun"/>
          <w:sz w:val="22"/>
          <w:szCs w:val="22"/>
        </w:rPr>
        <w:t xml:space="preserve">suivants : critères cliniques (douleur épigastrique transfixiante évocatrice d’une pancréatite), biologiques (élévation de la </w:t>
      </w:r>
      <w:proofErr w:type="spellStart"/>
      <w:r w:rsidRPr="00CE2F48">
        <w:rPr>
          <w:rStyle w:val="normaltextrun"/>
          <w:sz w:val="22"/>
          <w:szCs w:val="22"/>
        </w:rPr>
        <w:t>lipasémie</w:t>
      </w:r>
      <w:proofErr w:type="spellEnd"/>
      <w:r w:rsidRPr="00CE2F48">
        <w:rPr>
          <w:rStyle w:val="normaltextrun"/>
          <w:sz w:val="22"/>
          <w:szCs w:val="22"/>
        </w:rPr>
        <w:t xml:space="preserve"> à plus de 3 fois 60 UI/L), et/ou radiologiques (signes tomodensitométriques ou </w:t>
      </w:r>
      <w:proofErr w:type="spellStart"/>
      <w:r w:rsidRPr="00CE2F48">
        <w:rPr>
          <w:rStyle w:val="normaltextrun"/>
          <w:sz w:val="22"/>
          <w:szCs w:val="22"/>
        </w:rPr>
        <w:t>remnographiques</w:t>
      </w:r>
      <w:proofErr w:type="spellEnd"/>
      <w:r w:rsidRPr="00CE2F48">
        <w:rPr>
          <w:rStyle w:val="normaltextrun"/>
          <w:sz w:val="22"/>
          <w:szCs w:val="22"/>
        </w:rPr>
        <w:t xml:space="preserve"> évocateurs d’inflammation ou de nécrose du pancréas) (2).</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t xml:space="preserve">Du point de vue iconographique, l’évaluation de la pancréatite aigüe se base principalement sur l’utilisation de la tomodensitométrie </w:t>
      </w:r>
      <w:proofErr w:type="spellStart"/>
      <w:r w:rsidRPr="00CE2F48">
        <w:rPr>
          <w:rStyle w:val="normaltextrun"/>
          <w:sz w:val="22"/>
          <w:szCs w:val="22"/>
        </w:rPr>
        <w:t>computérisée</w:t>
      </w:r>
      <w:proofErr w:type="spellEnd"/>
      <w:r w:rsidRPr="00CE2F48">
        <w:rPr>
          <w:rStyle w:val="normaltextrun"/>
          <w:sz w:val="22"/>
          <w:szCs w:val="22"/>
        </w:rPr>
        <w:t xml:space="preserve"> (CT) avec injection de produit de contraste iodé, avec une évaluation initiale recommandée à 72-96h du début des symptômes (3). En effet, il faut généralement plusieurs jours pour les signes de PA se manifestent, et une évaluation plus précoce que 3-4 jours fait courir le risque de minimisation de l’atteinte nécrosante et de sous-estimation la gravité de l’atteinte ainsi que du risque de complication (4). L’imagerie par résonance magnétique (IRM) bien que plus difficile d’accès pour cette indication, constitue une alternative non-irradiante permettant une évaluation de l’atteinte inflammatoire sans utilisation de produit de contraste iodé, ainsi qu’une évaluation des voies biliaires plus précise que par CT (5). L’échographie (US) est peu utile pour le diagnostic de PA, et a surtout pour but de mettre plus facilement que le CT en évidence un argument direct ou indirect orientant vers une migration lithiasique biliaire. Cette précision étiologique est utile pour la prise en charge en dehors de la phase aigüe, et dans certains cas pour orienter la prise en charge aigüe (notamment concernant un éventuel traitement endoscopique).</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u w:val="single"/>
        </w:rPr>
        <w:t>SITUATION CLINIQUE</w:t>
      </w:r>
      <w:r w:rsidRPr="00CE2F48">
        <w:rPr>
          <w:rStyle w:val="eop"/>
          <w:sz w:val="22"/>
          <w:szCs w:val="22"/>
          <w:lang w:val="fr-FR"/>
        </w:rPr>
        <w:t> </w:t>
      </w:r>
    </w:p>
    <w:p w:rsidR="00CE2F48" w:rsidRDefault="00CE2F48" w:rsidP="00CE2F48">
      <w:pPr>
        <w:pStyle w:val="paragraph"/>
        <w:spacing w:before="0" w:beforeAutospacing="0" w:after="0" w:afterAutospacing="0"/>
        <w:textAlignment w:val="baseline"/>
        <w:rPr>
          <w:rStyle w:val="normaltextrun"/>
          <w:sz w:val="22"/>
          <w:szCs w:val="22"/>
        </w:rPr>
      </w:pPr>
      <w:r w:rsidRPr="00CE2F48">
        <w:rPr>
          <w:rStyle w:val="normaltextrun"/>
          <w:sz w:val="22"/>
          <w:szCs w:val="22"/>
        </w:rPr>
        <w:t xml:space="preserve">Nous présentons ici le cas d’un patient de 61 ans s'étant présenté au service des urgences pour une douleur aigüe </w:t>
      </w:r>
      <w:proofErr w:type="spellStart"/>
      <w:r w:rsidRPr="00CE2F48">
        <w:rPr>
          <w:rStyle w:val="normaltextrun"/>
          <w:sz w:val="22"/>
          <w:szCs w:val="22"/>
        </w:rPr>
        <w:t>respiro</w:t>
      </w:r>
      <w:proofErr w:type="spellEnd"/>
      <w:r w:rsidRPr="00CE2F48">
        <w:rPr>
          <w:rStyle w:val="normaltextrun"/>
          <w:sz w:val="22"/>
          <w:szCs w:val="22"/>
        </w:rPr>
        <w:t>-dépendante localisée dans l’hypochondre droit, associée à des symptômes plus chroniques ; perte de poids, altération de l’état général et dysphagie mixte, évoluant depuis 2 mois</w:t>
      </w:r>
      <w:r>
        <w:rPr>
          <w:rStyle w:val="normaltextrun"/>
          <w:sz w:val="22"/>
          <w:szCs w:val="22"/>
        </w:rPr>
        <w:t>.</w:t>
      </w:r>
    </w:p>
    <w:p w:rsidR="00CE2F48" w:rsidRDefault="00CE2F48" w:rsidP="00CE2F48">
      <w:pPr>
        <w:pStyle w:val="paragraph"/>
        <w:spacing w:before="0" w:beforeAutospacing="0" w:after="0" w:afterAutospacing="0"/>
        <w:textAlignment w:val="baseline"/>
        <w:rPr>
          <w:rStyle w:val="normaltextrun"/>
          <w:sz w:val="22"/>
          <w:szCs w:val="22"/>
        </w:rPr>
      </w:pP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 xml:space="preserve">Une prise de sang récente réalisée en dehors de l’hôpital mettait en évidence un syndrome inflammatoire biologique, sans altération associée des tests hépatiques. La </w:t>
      </w:r>
      <w:proofErr w:type="spellStart"/>
      <w:r w:rsidRPr="00CE2F48">
        <w:rPr>
          <w:rStyle w:val="normaltextrun"/>
          <w:sz w:val="22"/>
          <w:szCs w:val="22"/>
        </w:rPr>
        <w:t>lipasémie</w:t>
      </w:r>
      <w:proofErr w:type="spellEnd"/>
      <w:r w:rsidRPr="00CE2F48">
        <w:rPr>
          <w:rStyle w:val="normaltextrun"/>
          <w:sz w:val="22"/>
          <w:szCs w:val="22"/>
        </w:rPr>
        <w:t xml:space="preserve"> n’avait alors pas été dosée.</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 xml:space="preserve">Le bilan radiologique initial par CT a mis en évidence un faible épaississement du pancréas associé à des calcifications amorphes, avec une infiltration de la graisse </w:t>
      </w:r>
      <w:proofErr w:type="spellStart"/>
      <w:r w:rsidRPr="00CE2F48">
        <w:rPr>
          <w:rStyle w:val="normaltextrun"/>
          <w:sz w:val="22"/>
          <w:szCs w:val="22"/>
        </w:rPr>
        <w:t>périvasculaire</w:t>
      </w:r>
      <w:proofErr w:type="spellEnd"/>
      <w:r w:rsidRPr="00CE2F48">
        <w:rPr>
          <w:rStyle w:val="normaltextrun"/>
          <w:sz w:val="22"/>
          <w:szCs w:val="22"/>
        </w:rPr>
        <w:t xml:space="preserve">, associé à </w:t>
      </w:r>
      <w:proofErr w:type="gramStart"/>
      <w:r w:rsidRPr="00CE2F48">
        <w:rPr>
          <w:rStyle w:val="normaltextrun"/>
          <w:sz w:val="22"/>
          <w:szCs w:val="22"/>
        </w:rPr>
        <w:t>une</w:t>
      </w:r>
      <w:r>
        <w:rPr>
          <w:rStyle w:val="normaltextrun"/>
          <w:sz w:val="22"/>
          <w:szCs w:val="22"/>
        </w:rPr>
        <w:t xml:space="preserve"> </w:t>
      </w:r>
      <w:r w:rsidRPr="00CE2F48">
        <w:rPr>
          <w:rStyle w:val="normaltextrun"/>
          <w:sz w:val="22"/>
          <w:szCs w:val="22"/>
        </w:rPr>
        <w:t>probable composant</w:t>
      </w:r>
      <w:r>
        <w:rPr>
          <w:rStyle w:val="normaltextrun"/>
          <w:sz w:val="22"/>
          <w:szCs w:val="22"/>
        </w:rPr>
        <w:t>e</w:t>
      </w:r>
      <w:proofErr w:type="gramEnd"/>
      <w:r w:rsidRPr="00CE2F48">
        <w:rPr>
          <w:rStyle w:val="normaltextrun"/>
          <w:sz w:val="22"/>
          <w:szCs w:val="22"/>
        </w:rPr>
        <w:t xml:space="preserve"> de nécrose encapsulée au niveau de la gouttière </w:t>
      </w:r>
      <w:proofErr w:type="spellStart"/>
      <w:r w:rsidRPr="00CE2F48">
        <w:rPr>
          <w:rStyle w:val="normaltextrun"/>
          <w:sz w:val="22"/>
          <w:szCs w:val="22"/>
        </w:rPr>
        <w:t>pariéto</w:t>
      </w:r>
      <w:proofErr w:type="spellEnd"/>
      <w:r w:rsidRPr="00CE2F48">
        <w:rPr>
          <w:rStyle w:val="normaltextrun"/>
          <w:sz w:val="22"/>
          <w:szCs w:val="22"/>
        </w:rPr>
        <w:t>-colique droite, et une embolie pulmonaire du lobe inférieur droit compliquée d’un infarctus pulmonaire. Le diagnostic différentiel fut posé entre une atteinte tumorale et une inflammation de la glande pancréatique.</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lastRenderedPageBreak/>
        <w:t>L'anamnèse ciblée a permis d’objectiver la survenue chez le patient de plusieurs épisodes douloureux précédents pouvant correspondre à des pancréatites aigües, et un contexte d’éthylisme chronique</w:t>
      </w:r>
      <w:r w:rsidRPr="00CE2F48">
        <w:rPr>
          <w:rStyle w:val="eop"/>
          <w:sz w:val="22"/>
          <w:szCs w:val="22"/>
        </w:rPr>
        <w:t> </w:t>
      </w:r>
    </w:p>
    <w:p w:rsid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rPr>
        <w:t>En combinant ces éléments anamnestiques et l’imagerie, le diagnostic retenu sera celui de pancréatite aigüe sur fond de pancréatite chronique calcifiante, avec une lésion kystique de l’</w:t>
      </w:r>
      <w:proofErr w:type="spellStart"/>
      <w:r w:rsidRPr="00CE2F48">
        <w:rPr>
          <w:rStyle w:val="normaltextrun"/>
          <w:sz w:val="22"/>
          <w:szCs w:val="22"/>
        </w:rPr>
        <w:t>uncus</w:t>
      </w:r>
      <w:proofErr w:type="spellEnd"/>
      <w:r w:rsidRPr="00CE2F48">
        <w:rPr>
          <w:rStyle w:val="normaltextrun"/>
          <w:sz w:val="22"/>
          <w:szCs w:val="22"/>
        </w:rPr>
        <w:t xml:space="preserve"> pancréatique évoquant un foyer de nécrose encapsulée. Dans l’atteinte vasculaire décrite, l’inflammation péri-pancréatique se prolonge au contact notamment de la veine cave inférieure, de la veine rénale gauche et de la veine surrénalienne gauche. Il n’y a pas d’argument radiologique formel en faveur d’une néoplasie pancréatique primitive, même si les remaniement sévères chroniques de la glande ne permettent pas d’exclure totalement cette hypothèse (Illustration 2).</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Le patient a dès lors été pris en charge au sein du service de gastro-entérologie avec une évolution clinique et biologique favorable.</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t>Il se représenta par la suite aux urgences à plusieurs reprises (5 au total sur une période de 6 mois) pour douleurs abdominales aigües, dont le bilan aboutit à chaque fois à des récidives de pancréatite aigüe nécrosante modérées à sévères.</w:t>
      </w:r>
      <w:r w:rsidRPr="00CE2F48">
        <w:rPr>
          <w:rStyle w:val="eop"/>
          <w:sz w:val="22"/>
          <w:szCs w:val="22"/>
        </w:rPr>
        <w:t> </w:t>
      </w: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Au cours de ces différents épisodes, il développa plusieurs complications induites par la nécrose péri-pancréatiques et la nécrose glandulaire :</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rPr>
        <w:t xml:space="preserve">- un pseudo-anévrisme de l’arcade </w:t>
      </w:r>
      <w:proofErr w:type="spellStart"/>
      <w:r w:rsidRPr="00CE2F48">
        <w:rPr>
          <w:rStyle w:val="normaltextrun"/>
          <w:sz w:val="22"/>
          <w:szCs w:val="22"/>
        </w:rPr>
        <w:t>pancréatico</w:t>
      </w:r>
      <w:proofErr w:type="spellEnd"/>
      <w:r w:rsidRPr="00CE2F48">
        <w:rPr>
          <w:rStyle w:val="normaltextrun"/>
          <w:sz w:val="22"/>
          <w:szCs w:val="22"/>
        </w:rPr>
        <w:t>-duodénal</w:t>
      </w:r>
      <w:r w:rsidR="00950D27">
        <w:rPr>
          <w:rStyle w:val="normaltextrun"/>
          <w:sz w:val="22"/>
          <w:szCs w:val="22"/>
        </w:rPr>
        <w:t>e</w:t>
      </w:r>
      <w:r w:rsidRPr="00CE2F48">
        <w:rPr>
          <w:rStyle w:val="normaltextrun"/>
          <w:sz w:val="22"/>
          <w:szCs w:val="22"/>
        </w:rPr>
        <w:t xml:space="preserve"> postérieur</w:t>
      </w:r>
      <w:r w:rsidR="00950D27">
        <w:rPr>
          <w:rStyle w:val="normaltextrun"/>
          <w:sz w:val="22"/>
          <w:szCs w:val="22"/>
        </w:rPr>
        <w:t>e</w:t>
      </w:r>
      <w:r w:rsidRPr="00CE2F48">
        <w:rPr>
          <w:rStyle w:val="normaltextrun"/>
          <w:sz w:val="22"/>
          <w:szCs w:val="22"/>
        </w:rPr>
        <w:t xml:space="preserve"> au contact d’une zone de nécrose du processus unciné aux dépens d’une branche de l’artère mésentérique supérieure, qui sera prise en charge en radiologie interventionnelle par embolisation sélective par </w:t>
      </w:r>
      <w:proofErr w:type="spellStart"/>
      <w:r w:rsidRPr="00CE2F48">
        <w:rPr>
          <w:rStyle w:val="normaltextrun"/>
          <w:sz w:val="22"/>
          <w:szCs w:val="22"/>
        </w:rPr>
        <w:t>coiling</w:t>
      </w:r>
      <w:proofErr w:type="spellEnd"/>
      <w:r w:rsidRPr="00CE2F48">
        <w:rPr>
          <w:rStyle w:val="normaltextrun"/>
          <w:sz w:val="22"/>
          <w:szCs w:val="22"/>
        </w:rPr>
        <w:t xml:space="preserve"> (Illustration 3).</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t>- un épisode de saignement digestif à point de départ gastrique, sur ulcères perforants.</w:t>
      </w:r>
      <w:r w:rsidRPr="00CE2F48">
        <w:rPr>
          <w:rStyle w:val="eop"/>
          <w:sz w:val="22"/>
          <w:szCs w:val="22"/>
        </w:rPr>
        <w:t> </w:t>
      </w: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 xml:space="preserve">De plus, les épisodes inflammatoires successifs conduisirent progressivement à l'apparition d’un trajet fistuleux </w:t>
      </w:r>
      <w:proofErr w:type="spellStart"/>
      <w:r w:rsidRPr="00CE2F48">
        <w:rPr>
          <w:rStyle w:val="normaltextrun"/>
          <w:sz w:val="22"/>
          <w:szCs w:val="22"/>
        </w:rPr>
        <w:t>rétropéritonéal</w:t>
      </w:r>
      <w:proofErr w:type="spellEnd"/>
      <w:r w:rsidRPr="00CE2F48">
        <w:rPr>
          <w:rStyle w:val="normaltextrun"/>
          <w:sz w:val="22"/>
          <w:szCs w:val="22"/>
        </w:rPr>
        <w:t xml:space="preserve"> suivant le trajet de la veine surrénalienne gauche,</w:t>
      </w:r>
      <w:r>
        <w:rPr>
          <w:rStyle w:val="normaltextrun"/>
          <w:sz w:val="22"/>
          <w:szCs w:val="22"/>
        </w:rPr>
        <w:t xml:space="preserve"> </w:t>
      </w:r>
      <w:r w:rsidRPr="00CE2F48">
        <w:rPr>
          <w:rStyle w:val="normaltextrun"/>
          <w:sz w:val="22"/>
          <w:szCs w:val="22"/>
        </w:rPr>
        <w:t>aboutissant à la formation d'une fistule consacrée entre le processus unciné du pancréas et la glande surrénale gauche, avec nécrose hémorragique de cette dernière</w:t>
      </w:r>
      <w:r>
        <w:rPr>
          <w:rStyle w:val="normaltextrun"/>
          <w:sz w:val="22"/>
          <w:szCs w:val="22"/>
        </w:rPr>
        <w:t xml:space="preserve"> (sans saignement artériel </w:t>
      </w:r>
      <w:r w:rsidRPr="00CE2F48">
        <w:rPr>
          <w:rStyle w:val="normaltextrun"/>
          <w:sz w:val="22"/>
          <w:szCs w:val="22"/>
        </w:rPr>
        <w:t>confirmé par artériographie) (Illustration 4).</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Default="00CE2F48" w:rsidP="00CE2F48">
      <w:pPr>
        <w:pStyle w:val="paragraph"/>
        <w:spacing w:before="0" w:beforeAutospacing="0" w:after="0" w:afterAutospacing="0"/>
        <w:textAlignment w:val="baseline"/>
        <w:rPr>
          <w:rStyle w:val="eop"/>
          <w:sz w:val="22"/>
          <w:szCs w:val="22"/>
        </w:rPr>
      </w:pPr>
      <w:r w:rsidRPr="00CE2F48">
        <w:rPr>
          <w:rStyle w:val="normaltextrun"/>
          <w:sz w:val="22"/>
          <w:szCs w:val="22"/>
        </w:rPr>
        <w:t xml:space="preserve">Le patient s'est par la suite plaint de douleurs intolérables principalement </w:t>
      </w:r>
      <w:proofErr w:type="spellStart"/>
      <w:r w:rsidRPr="00CE2F48">
        <w:rPr>
          <w:rStyle w:val="normaltextrun"/>
          <w:sz w:val="22"/>
          <w:szCs w:val="22"/>
        </w:rPr>
        <w:t>post-prandiales</w:t>
      </w:r>
      <w:proofErr w:type="spellEnd"/>
      <w:r w:rsidRPr="00CE2F48">
        <w:rPr>
          <w:rStyle w:val="normaltextrun"/>
          <w:sz w:val="22"/>
          <w:szCs w:val="22"/>
        </w:rPr>
        <w:t xml:space="preserve">, responsables d’une difficulté d’alimentation et d’une perte de poids majeure, de l’ordre de 30 kg en 6 mois. Dans ces conditions, ainsi que face à l’impossibilité d’obtenir une preuve radiologique formelle d’absence de lésion tumorale sous-jacente, une </w:t>
      </w:r>
      <w:proofErr w:type="spellStart"/>
      <w:r w:rsidRPr="00CE2F48">
        <w:rPr>
          <w:rStyle w:val="normaltextrun"/>
          <w:sz w:val="22"/>
          <w:szCs w:val="22"/>
        </w:rPr>
        <w:t>duodéno</w:t>
      </w:r>
      <w:proofErr w:type="spellEnd"/>
      <w:r w:rsidRPr="00CE2F48">
        <w:rPr>
          <w:rStyle w:val="normaltextrun"/>
          <w:sz w:val="22"/>
          <w:szCs w:val="22"/>
        </w:rPr>
        <w:t>-pancréatectomie céphalique fut proposée au patient, après discussion collégiale en concertation multidisciplinaire.</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rPr>
      </w:pPr>
    </w:p>
    <w:p w:rsidR="00CE2F48" w:rsidRPr="00CE2F48" w:rsidRDefault="00CE2F48" w:rsidP="00CE2F48">
      <w:pPr>
        <w:pStyle w:val="paragraph"/>
        <w:spacing w:before="0" w:beforeAutospacing="0" w:after="0" w:afterAutospacing="0"/>
        <w:textAlignment w:val="baseline"/>
        <w:rPr>
          <w:sz w:val="22"/>
          <w:szCs w:val="22"/>
        </w:rPr>
      </w:pPr>
      <w:r w:rsidRPr="00CE2F48">
        <w:rPr>
          <w:rStyle w:val="normaltextrun"/>
          <w:sz w:val="22"/>
          <w:szCs w:val="22"/>
        </w:rPr>
        <w:t xml:space="preserve">L’analyse anatomo-pathologique de la pièce opératoire ne retrouvera pas de lésion tumorale </w:t>
      </w:r>
      <w:proofErr w:type="spellStart"/>
      <w:r w:rsidRPr="00CE2F48">
        <w:rPr>
          <w:rStyle w:val="normaltextrun"/>
          <w:sz w:val="22"/>
          <w:szCs w:val="22"/>
        </w:rPr>
        <w:t>bilio</w:t>
      </w:r>
      <w:proofErr w:type="spellEnd"/>
      <w:r w:rsidRPr="00CE2F48">
        <w:rPr>
          <w:rStyle w:val="normaltextrun"/>
          <w:sz w:val="22"/>
          <w:szCs w:val="22"/>
        </w:rPr>
        <w:t xml:space="preserve">-pancréatique. Aux derniers suivis, les symptômes douloureux étaient diminués, sans insuffisance pancréatique endocrine ou exocrine, et le patient recommençait à s’alimenter de façon adéquate. </w:t>
      </w:r>
      <w:r w:rsidRPr="00CE2F48">
        <w:rPr>
          <w:rStyle w:val="eop"/>
          <w:sz w:val="22"/>
          <w:szCs w:val="22"/>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u w:val="single"/>
        </w:rPr>
        <w:t>DISCUSSION</w:t>
      </w:r>
      <w:r w:rsidRPr="00CE2F48">
        <w:rPr>
          <w:rStyle w:val="eop"/>
          <w:sz w:val="22"/>
          <w:szCs w:val="22"/>
          <w:lang w:val="fr-FR"/>
        </w:rPr>
        <w:t> </w:t>
      </w:r>
    </w:p>
    <w:p w:rsid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rPr>
        <w:t xml:space="preserve">La pancréatite aigüe nécrosante peut présenter plusieurs types de complications, liées principalement au caractère inflammatoire et érosif des coulées de sécrétions pancréatiques au sein des tissus ; parmi ces atteintes, l’atteinte sévère d’un organe adjacent est rare ; mais l’atteinte directe d’une glande surrénale est exceptionnelle. </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rPr>
        <w:t xml:space="preserve">Une perte de fonction surrénalienne est fréquemment observée dans les cas de pancréatite sévère, et présente une corrélation directe avec la mortalité de la maladie (6).  Bien que cette atteinte de la fonction puisse s’observer même en dehors d'une lésion surrénalienne objectivable, une nécrose ou une hémorragie surrénalienne concomitante à l’épisode de pancréatite entraine un risque de dysfonction aigüe sévère. </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rPr>
        <w:t xml:space="preserve">Ce genre d’atteinte exceptionnelle est plus souvent rencontré dans les cas de lésion vasculaire artérielle ou veineuse surrénalienne, entrainant une lésion surrénalienne ischémique ou congestive </w:t>
      </w:r>
      <w:r w:rsidRPr="00CE2F48">
        <w:rPr>
          <w:rStyle w:val="normaltextrun"/>
          <w:sz w:val="22"/>
          <w:szCs w:val="22"/>
        </w:rPr>
        <w:lastRenderedPageBreak/>
        <w:t xml:space="preserve">secondairement hémorragique (7). Ce n’est pas le cas de ce patient, qui présente plutôt une extension directe de la nécrose à la graisse </w:t>
      </w:r>
      <w:proofErr w:type="spellStart"/>
      <w:r w:rsidRPr="00CE2F48">
        <w:rPr>
          <w:rStyle w:val="normaltextrun"/>
          <w:sz w:val="22"/>
          <w:szCs w:val="22"/>
        </w:rPr>
        <w:t>rétropéritonéale</w:t>
      </w:r>
      <w:proofErr w:type="spellEnd"/>
      <w:r w:rsidRPr="00CE2F48">
        <w:rPr>
          <w:rStyle w:val="normaltextrun"/>
          <w:sz w:val="22"/>
          <w:szCs w:val="22"/>
        </w:rPr>
        <w:t xml:space="preserve"> induisant une lésion directe de la glande surrénale ; à notre connaissance il s’agit du seul cas décrit présentant une atteinte directe.</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rPr>
        <w:t xml:space="preserve">Etant donné qu’une insuffisance surrénalienne aigüe se manifeste lorsque plus de 90% de la </w:t>
      </w:r>
      <w:proofErr w:type="spellStart"/>
      <w:r w:rsidRPr="00CE2F48">
        <w:rPr>
          <w:rStyle w:val="normaltextrun"/>
          <w:sz w:val="22"/>
          <w:szCs w:val="22"/>
        </w:rPr>
        <w:t>cortico-surrénale</w:t>
      </w:r>
      <w:proofErr w:type="spellEnd"/>
      <w:r w:rsidRPr="00CE2F48">
        <w:rPr>
          <w:rStyle w:val="normaltextrun"/>
          <w:sz w:val="22"/>
          <w:szCs w:val="22"/>
        </w:rPr>
        <w:t xml:space="preserve"> est détruite, il existe une période de latence ou l’imagerie - CT et IRM - permet de voir une lésion surrénalienne même extensive avec conservation de la fonction surrénalienne (7). Il s’agit donc d’une complication rare devant être recherchée sur les évaluations de sévérité afin de ne pas sous-estimer la gravité de la maladie, et d’anticiper au mieux l’évolution des symptômes.</w:t>
      </w: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eop"/>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r w:rsidRPr="00CE2F48">
        <w:rPr>
          <w:rStyle w:val="normaltextrun"/>
          <w:sz w:val="22"/>
          <w:szCs w:val="22"/>
          <w:u w:val="single"/>
        </w:rPr>
        <w:t>CONCLUSION</w:t>
      </w:r>
      <w:r w:rsidRPr="00CE2F48">
        <w:rPr>
          <w:rStyle w:val="eop"/>
          <w:sz w:val="22"/>
          <w:szCs w:val="22"/>
          <w:lang w:val="fr-FR"/>
        </w:rPr>
        <w:t> </w:t>
      </w:r>
    </w:p>
    <w:p w:rsidR="00CE2F48" w:rsidRDefault="00CE2F48" w:rsidP="00CE2F48">
      <w:pPr>
        <w:pStyle w:val="paragraph"/>
        <w:spacing w:before="0" w:beforeAutospacing="0" w:after="0" w:afterAutospacing="0"/>
        <w:textAlignment w:val="baseline"/>
        <w:rPr>
          <w:rStyle w:val="eop"/>
          <w:sz w:val="22"/>
          <w:szCs w:val="22"/>
          <w:lang w:val="fr-FR"/>
        </w:rPr>
      </w:pPr>
      <w:r w:rsidRPr="00CE2F48">
        <w:rPr>
          <w:rStyle w:val="normaltextrun"/>
          <w:sz w:val="22"/>
          <w:szCs w:val="22"/>
        </w:rPr>
        <w:t xml:space="preserve">La nécrose surrénalienne est une complication rarissime de la pancréatite, et peut survenir par atteinte vasculaire ou par contiguïté avec une atteinte nécrotique. La lésion surrénalienne devant être importante pour entraîner une insuffisance surrénalienne aigüe, il existe une période durant laquelle elle peut être visible en imagerie avec peu de répercussion clinique; dès lors et compte-tenu du surcroit de mortalité qu'elle implique, une attention particulière doit être accordée à son évaluation lors des bilans radiologiques recommandés. </w:t>
      </w:r>
      <w:r w:rsidRPr="00CE2F48">
        <w:rPr>
          <w:rStyle w:val="eop"/>
          <w:sz w:val="22"/>
          <w:szCs w:val="22"/>
          <w:lang w:val="fr-FR"/>
        </w:rPr>
        <w:t> </w:t>
      </w:r>
    </w:p>
    <w:p w:rsidR="00CE2F48" w:rsidRDefault="00CE2F48" w:rsidP="00CE2F48">
      <w:pPr>
        <w:pStyle w:val="paragraph"/>
        <w:spacing w:before="0" w:beforeAutospacing="0" w:after="0" w:afterAutospacing="0"/>
        <w:textAlignment w:val="baseline"/>
        <w:rPr>
          <w:rStyle w:val="eop"/>
          <w:sz w:val="22"/>
          <w:szCs w:val="22"/>
          <w:lang w:val="fr-FR"/>
        </w:rPr>
      </w:pPr>
    </w:p>
    <w:p w:rsidR="00CE2F48" w:rsidRDefault="00CE2F48" w:rsidP="00CE2F48">
      <w:pPr>
        <w:pStyle w:val="paragraph"/>
        <w:spacing w:before="0" w:beforeAutospacing="0" w:after="0" w:afterAutospacing="0"/>
        <w:textAlignment w:val="baseline"/>
        <w:rPr>
          <w:rStyle w:val="eop"/>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ANNEXES</w:t>
      </w:r>
      <w:r>
        <w:rPr>
          <w:rStyle w:val="eop"/>
          <w:rFonts w:ascii="Calibri" w:hAnsi="Calibri" w:cs="Calibri"/>
          <w:sz w:val="22"/>
          <w:szCs w:val="22"/>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Illustration 1</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 xml:space="preserve">Bilan IRM complémentaire : Séquence T1 DIXON après injection de produit de contraste </w:t>
      </w:r>
      <w:proofErr w:type="spellStart"/>
      <w:r>
        <w:rPr>
          <w:rStyle w:val="normaltextrun"/>
          <w:rFonts w:ascii="Calibri" w:hAnsi="Calibri" w:cs="Calibri"/>
          <w:sz w:val="22"/>
          <w:szCs w:val="22"/>
        </w:rPr>
        <w:t>gadoliné</w:t>
      </w:r>
      <w:proofErr w:type="spellEnd"/>
      <w:r>
        <w:rPr>
          <w:rStyle w:val="normaltextrun"/>
          <w:rFonts w:ascii="Calibri" w:hAnsi="Calibri" w:cs="Calibri"/>
          <w:sz w:val="22"/>
          <w:szCs w:val="22"/>
        </w:rPr>
        <w:t xml:space="preserve"> au temps artériel, coupe coronale oblique centrée sur un trajet fistuleux partant d’un foyer de nécrose du processus unciné du pancréas (astérisque verte), étendu (flèche verte) à une coulée de </w:t>
      </w:r>
      <w:proofErr w:type="spellStart"/>
      <w:r>
        <w:rPr>
          <w:rStyle w:val="normaltextrun"/>
          <w:rFonts w:ascii="Calibri" w:hAnsi="Calibri" w:cs="Calibri"/>
          <w:sz w:val="22"/>
          <w:szCs w:val="22"/>
        </w:rPr>
        <w:t>stéato</w:t>
      </w:r>
      <w:proofErr w:type="spellEnd"/>
      <w:r>
        <w:rPr>
          <w:rStyle w:val="normaltextrun"/>
          <w:rFonts w:ascii="Calibri" w:hAnsi="Calibri" w:cs="Calibri"/>
          <w:sz w:val="22"/>
          <w:szCs w:val="22"/>
        </w:rPr>
        <w:t xml:space="preserve">-nécrose </w:t>
      </w:r>
      <w:proofErr w:type="spellStart"/>
      <w:r>
        <w:rPr>
          <w:rStyle w:val="normaltextrun"/>
          <w:rFonts w:ascii="Calibri" w:hAnsi="Calibri" w:cs="Calibri"/>
          <w:sz w:val="22"/>
          <w:szCs w:val="22"/>
        </w:rPr>
        <w:t>rétropéritonéale</w:t>
      </w:r>
      <w:proofErr w:type="spellEnd"/>
      <w:r>
        <w:rPr>
          <w:rStyle w:val="normaltextrun"/>
          <w:rFonts w:ascii="Calibri" w:hAnsi="Calibri" w:cs="Calibri"/>
          <w:sz w:val="22"/>
          <w:szCs w:val="22"/>
        </w:rPr>
        <w:t xml:space="preserve"> (flèches bleues) jusqu’à une fistule directe (flèche orange) avec la glande surrénale gauche, celle-ci présentant des remaniements </w:t>
      </w:r>
      <w:proofErr w:type="spellStart"/>
      <w:r>
        <w:rPr>
          <w:rStyle w:val="normaltextrun"/>
          <w:rFonts w:ascii="Calibri" w:hAnsi="Calibri" w:cs="Calibri"/>
          <w:sz w:val="22"/>
          <w:szCs w:val="22"/>
        </w:rPr>
        <w:t>nécrotico</w:t>
      </w:r>
      <w:proofErr w:type="spellEnd"/>
      <w:r>
        <w:rPr>
          <w:rStyle w:val="normaltextrun"/>
          <w:rFonts w:ascii="Calibri" w:hAnsi="Calibri" w:cs="Calibri"/>
          <w:sz w:val="22"/>
          <w:szCs w:val="22"/>
        </w:rPr>
        <w:t xml:space="preserve">-hémorragiques (croix orange).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 xml:space="preserve">Illustration 2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 xml:space="preserve">Présentation initiale aux urgences: CT initial après injection de produit de contraste iodé au temps portal; A – coupe axiale montrant une coulée pancréatique probablement subaigüe </w:t>
      </w:r>
      <w:proofErr w:type="spellStart"/>
      <w:r>
        <w:rPr>
          <w:rStyle w:val="normaltextrun"/>
          <w:rFonts w:ascii="Calibri" w:hAnsi="Calibri" w:cs="Calibri"/>
          <w:sz w:val="22"/>
          <w:szCs w:val="22"/>
        </w:rPr>
        <w:t>rétropéritonéale</w:t>
      </w:r>
      <w:proofErr w:type="spellEnd"/>
      <w:r>
        <w:rPr>
          <w:rStyle w:val="normaltextrun"/>
          <w:rFonts w:ascii="Calibri" w:hAnsi="Calibri" w:cs="Calibri"/>
          <w:sz w:val="22"/>
          <w:szCs w:val="22"/>
        </w:rPr>
        <w:t>, interposée entre la veine rénale gauche et l’artère mésentérique supérieure (ellipse blanche continue) B – coupes axiales montrant une atteinte chronique calcifiante du pancréas avec une lésion hypo-</w:t>
      </w:r>
      <w:proofErr w:type="spellStart"/>
      <w:r>
        <w:rPr>
          <w:rStyle w:val="normaltextrun"/>
          <w:rFonts w:ascii="Calibri" w:hAnsi="Calibri" w:cs="Calibri"/>
          <w:sz w:val="22"/>
          <w:szCs w:val="22"/>
        </w:rPr>
        <w:t>rehaussante</w:t>
      </w:r>
      <w:proofErr w:type="spellEnd"/>
      <w:r>
        <w:rPr>
          <w:rStyle w:val="normaltextrun"/>
          <w:rFonts w:ascii="Calibri" w:hAnsi="Calibri" w:cs="Calibri"/>
          <w:sz w:val="22"/>
          <w:szCs w:val="22"/>
        </w:rPr>
        <w:t xml:space="preserve"> semblant partiellement kystique du processus unciné ( ellipse noire discontinue) et la dilatation canalaire en amont (flèches noires) - C coupe axiale montrant une coulée de nécrose encapsulée le long du péritoine pariétal postérieur (ellipse blanche discontinue).</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 xml:space="preserve">Illustration 3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 xml:space="preserve">Complication vasculaire: Bilan lors d’une consultation du service d’urgence 4 mois plus tard pour une nouvelle poussée de pancréatite aigüe, bilan par CT avec D – acquisition sans contraste en coupe axiale et E - après injection de produit de contraste iodé au temps artériel en coupe axiale montrant un pseudo-anévrisme artériel au contact d’une zone de nécrose pancréatique du processus unciné (flèche blanche continue), à point de départ de de l’arcade </w:t>
      </w:r>
      <w:proofErr w:type="spellStart"/>
      <w:r>
        <w:rPr>
          <w:rStyle w:val="normaltextrun"/>
          <w:rFonts w:ascii="Calibri" w:hAnsi="Calibri" w:cs="Calibri"/>
          <w:sz w:val="22"/>
          <w:szCs w:val="22"/>
        </w:rPr>
        <w:t>duodéno</w:t>
      </w:r>
      <w:proofErr w:type="spellEnd"/>
      <w:r>
        <w:rPr>
          <w:rStyle w:val="normaltextrun"/>
          <w:rFonts w:ascii="Calibri" w:hAnsi="Calibri" w:cs="Calibri"/>
          <w:sz w:val="22"/>
          <w:szCs w:val="22"/>
        </w:rPr>
        <w:t xml:space="preserve">-pancréatique antérieure (flèche blanche discontinue). F - Contrôle 2 jours après par CT après injection de produit de contraste iodé en coupe axiale, montrant le </w:t>
      </w:r>
      <w:proofErr w:type="spellStart"/>
      <w:r>
        <w:rPr>
          <w:rStyle w:val="normaltextrun"/>
          <w:rFonts w:ascii="Calibri" w:hAnsi="Calibri" w:cs="Calibri"/>
          <w:sz w:val="22"/>
          <w:szCs w:val="22"/>
        </w:rPr>
        <w:t>coiling</w:t>
      </w:r>
      <w:proofErr w:type="spellEnd"/>
      <w:r>
        <w:rPr>
          <w:rStyle w:val="normaltextrun"/>
          <w:rFonts w:ascii="Calibri" w:hAnsi="Calibri" w:cs="Calibri"/>
          <w:sz w:val="22"/>
          <w:szCs w:val="22"/>
        </w:rPr>
        <w:t xml:space="preserve"> du pseudo-anévrisme (flèche blanche continue) et de l’artère afférente (flèche blanche discontinue).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Illustration 4</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rPr>
        <w:t xml:space="preserve">Fistule </w:t>
      </w:r>
      <w:proofErr w:type="spellStart"/>
      <w:r>
        <w:rPr>
          <w:rStyle w:val="normaltextrun"/>
          <w:rFonts w:ascii="Calibri" w:hAnsi="Calibri" w:cs="Calibri"/>
          <w:sz w:val="22"/>
          <w:szCs w:val="22"/>
        </w:rPr>
        <w:t>rétropéritonéale</w:t>
      </w:r>
      <w:proofErr w:type="spellEnd"/>
      <w:r>
        <w:rPr>
          <w:rStyle w:val="normaltextrun"/>
          <w:rFonts w:ascii="Calibri" w:hAnsi="Calibri" w:cs="Calibri"/>
          <w:sz w:val="22"/>
          <w:szCs w:val="22"/>
        </w:rPr>
        <w:t xml:space="preserve"> progressive: Evaluations par CT après injection de produit de contraste iodé au temps portal avec reconstructions coronales obliques centrées sur l’axe de la fistule; à 1 mois – G, 4 mois – H, et 5 mois – I, montrant une progression progressive de la fistule (flèches blanches continues), d’abord sans contact avec la glande surrénalienne, puis avec un contact avéré jusqu’à une ouverture large en regard du corps de la glande surrénale gauche (flèches blanches discontinues) On note également en H une augmentation significative des signes inflammatoires de contiguïté (astérisque blanche), et en G l’atteinte </w:t>
      </w:r>
      <w:proofErr w:type="spellStart"/>
      <w:r>
        <w:rPr>
          <w:rStyle w:val="normaltextrun"/>
          <w:rFonts w:ascii="Calibri" w:hAnsi="Calibri" w:cs="Calibri"/>
          <w:sz w:val="22"/>
          <w:szCs w:val="22"/>
        </w:rPr>
        <w:t>nécrotico</w:t>
      </w:r>
      <w:proofErr w:type="spellEnd"/>
      <w:r>
        <w:rPr>
          <w:rStyle w:val="normaltextrun"/>
          <w:rFonts w:ascii="Calibri" w:hAnsi="Calibri" w:cs="Calibri"/>
          <w:sz w:val="22"/>
          <w:szCs w:val="22"/>
        </w:rPr>
        <w:t xml:space="preserve">-hémorragique de la glande surrénale (croix blanche).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rPr>
      </w:pPr>
    </w:p>
    <w:p w:rsidR="00CE2F48" w:rsidRDefault="00CE2F48" w:rsidP="00CE2F48">
      <w:pPr>
        <w:pStyle w:val="paragraph"/>
        <w:spacing w:before="0" w:beforeAutospacing="0" w:after="0" w:afterAutospacing="0"/>
        <w:textAlignment w:val="baseline"/>
        <w:rPr>
          <w:rFonts w:ascii="Segoe UI" w:hAnsi="Segoe UI" w:cs="Segoe UI"/>
          <w:sz w:val="18"/>
          <w:szCs w:val="18"/>
        </w:rPr>
      </w:pP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u w:val="single"/>
        </w:rPr>
        <w:t>REFERENCES</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shd w:val="clear" w:color="auto" w:fill="FFFFFF"/>
          <w:lang w:val="en-US"/>
        </w:rPr>
        <w:t xml:space="preserve">1. </w:t>
      </w:r>
      <w:proofErr w:type="spellStart"/>
      <w:r>
        <w:rPr>
          <w:rStyle w:val="normaltextrun"/>
          <w:rFonts w:ascii="Calibri" w:hAnsi="Calibri" w:cs="Calibri"/>
          <w:sz w:val="22"/>
          <w:szCs w:val="22"/>
          <w:shd w:val="clear" w:color="auto" w:fill="FFFFFF"/>
          <w:lang w:val="en-US"/>
        </w:rPr>
        <w:t>Aymeric</w:t>
      </w:r>
      <w:proofErr w:type="spellEnd"/>
      <w:r>
        <w:rPr>
          <w:rStyle w:val="normaltextrun"/>
          <w:rFonts w:ascii="Calibri" w:hAnsi="Calibri" w:cs="Calibri"/>
          <w:sz w:val="22"/>
          <w:szCs w:val="22"/>
          <w:shd w:val="clear" w:color="auto" w:fill="FFFFFF"/>
          <w:lang w:val="en-US"/>
        </w:rPr>
        <w:t xml:space="preserve"> </w:t>
      </w:r>
      <w:proofErr w:type="spellStart"/>
      <w:r>
        <w:rPr>
          <w:rStyle w:val="normaltextrun"/>
          <w:rFonts w:ascii="Calibri" w:hAnsi="Calibri" w:cs="Calibri"/>
          <w:sz w:val="22"/>
          <w:szCs w:val="22"/>
          <w:shd w:val="clear" w:color="auto" w:fill="FFFFFF"/>
          <w:lang w:val="en-US"/>
        </w:rPr>
        <w:t>Becq</w:t>
      </w:r>
      <w:proofErr w:type="spellEnd"/>
      <w:r>
        <w:rPr>
          <w:rStyle w:val="normaltextrun"/>
          <w:rFonts w:ascii="Calibri" w:hAnsi="Calibri" w:cs="Calibri"/>
          <w:sz w:val="22"/>
          <w:szCs w:val="22"/>
          <w:shd w:val="clear" w:color="auto" w:fill="FFFFFF"/>
          <w:lang w:val="en-US"/>
        </w:rPr>
        <w:t xml:space="preserve">, Marine Camus. </w:t>
      </w:r>
      <w:proofErr w:type="spellStart"/>
      <w:r>
        <w:rPr>
          <w:rStyle w:val="normaltextrun"/>
          <w:rFonts w:ascii="Calibri" w:hAnsi="Calibri" w:cs="Calibri"/>
          <w:sz w:val="22"/>
          <w:szCs w:val="22"/>
          <w:shd w:val="clear" w:color="auto" w:fill="FFFFFF"/>
          <w:lang w:val="en-US"/>
        </w:rPr>
        <w:t>Pancréatite</w:t>
      </w:r>
      <w:proofErr w:type="spellEnd"/>
      <w:r>
        <w:rPr>
          <w:rStyle w:val="normaltextrun"/>
          <w:rFonts w:ascii="Calibri" w:hAnsi="Calibri" w:cs="Calibri"/>
          <w:sz w:val="22"/>
          <w:szCs w:val="22"/>
          <w:shd w:val="clear" w:color="auto" w:fill="FFFFFF"/>
          <w:lang w:val="en-US"/>
        </w:rPr>
        <w:t xml:space="preserve"> </w:t>
      </w:r>
      <w:proofErr w:type="spellStart"/>
      <w:r>
        <w:rPr>
          <w:rStyle w:val="normaltextrun"/>
          <w:rFonts w:ascii="Calibri" w:hAnsi="Calibri" w:cs="Calibri"/>
          <w:sz w:val="22"/>
          <w:szCs w:val="22"/>
          <w:shd w:val="clear" w:color="auto" w:fill="FFFFFF"/>
          <w:lang w:val="en-US"/>
        </w:rPr>
        <w:t>aiguë</w:t>
      </w:r>
      <w:proofErr w:type="spellEnd"/>
      <w:r>
        <w:rPr>
          <w:rStyle w:val="normaltextrun"/>
          <w:rFonts w:ascii="Calibri" w:hAnsi="Calibri" w:cs="Calibri"/>
          <w:sz w:val="22"/>
          <w:szCs w:val="22"/>
          <w:shd w:val="clear" w:color="auto" w:fill="FFFFFF"/>
          <w:lang w:val="en-US"/>
        </w:rPr>
        <w:t> – </w:t>
      </w:r>
      <w:proofErr w:type="spellStart"/>
      <w:r>
        <w:rPr>
          <w:rStyle w:val="normaltextrun"/>
          <w:rFonts w:ascii="Calibri" w:hAnsi="Calibri" w:cs="Calibri"/>
          <w:sz w:val="22"/>
          <w:szCs w:val="22"/>
          <w:shd w:val="clear" w:color="auto" w:fill="FFFFFF"/>
          <w:lang w:val="en-US"/>
        </w:rPr>
        <w:t>définition</w:t>
      </w:r>
      <w:proofErr w:type="spellEnd"/>
      <w:r>
        <w:rPr>
          <w:rStyle w:val="normaltextrun"/>
          <w:rFonts w:ascii="Calibri" w:hAnsi="Calibri" w:cs="Calibri"/>
          <w:sz w:val="22"/>
          <w:szCs w:val="22"/>
          <w:shd w:val="clear" w:color="auto" w:fill="FFFFFF"/>
          <w:lang w:val="en-US"/>
        </w:rPr>
        <w:t xml:space="preserve">, </w:t>
      </w:r>
      <w:proofErr w:type="spellStart"/>
      <w:r>
        <w:rPr>
          <w:rStyle w:val="normaltextrun"/>
          <w:rFonts w:ascii="Calibri" w:hAnsi="Calibri" w:cs="Calibri"/>
          <w:sz w:val="22"/>
          <w:szCs w:val="22"/>
          <w:shd w:val="clear" w:color="auto" w:fill="FFFFFF"/>
          <w:lang w:val="en-US"/>
        </w:rPr>
        <w:t>épidémiologie</w:t>
      </w:r>
      <w:proofErr w:type="spellEnd"/>
      <w:r>
        <w:rPr>
          <w:rStyle w:val="normaltextrun"/>
          <w:rFonts w:ascii="Calibri" w:hAnsi="Calibri" w:cs="Calibri"/>
          <w:sz w:val="22"/>
          <w:szCs w:val="22"/>
          <w:shd w:val="clear" w:color="auto" w:fill="FFFFFF"/>
          <w:lang w:val="en-US"/>
        </w:rPr>
        <w:t xml:space="preserve"> </w:t>
      </w:r>
      <w:proofErr w:type="gramStart"/>
      <w:r>
        <w:rPr>
          <w:rStyle w:val="normaltextrun"/>
          <w:rFonts w:ascii="Calibri" w:hAnsi="Calibri" w:cs="Calibri"/>
          <w:sz w:val="22"/>
          <w:szCs w:val="22"/>
          <w:shd w:val="clear" w:color="auto" w:fill="FFFFFF"/>
          <w:lang w:val="en-US"/>
        </w:rPr>
        <w:t>et</w:t>
      </w:r>
      <w:proofErr w:type="gramEnd"/>
      <w:r>
        <w:rPr>
          <w:rStyle w:val="normaltextrun"/>
          <w:rFonts w:ascii="Calibri" w:hAnsi="Calibri" w:cs="Calibri"/>
          <w:sz w:val="22"/>
          <w:szCs w:val="22"/>
          <w:shd w:val="clear" w:color="auto" w:fill="FFFFFF"/>
          <w:lang w:val="en-US"/>
        </w:rPr>
        <w:t xml:space="preserve"> causes.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r>
        <w:rPr>
          <w:rStyle w:val="normaltextrun"/>
          <w:rFonts w:ascii="Calibri" w:hAnsi="Calibri" w:cs="Calibri"/>
          <w:sz w:val="22"/>
          <w:szCs w:val="22"/>
          <w:shd w:val="clear" w:color="auto" w:fill="FFFFFF"/>
          <w:lang w:val="fr-FR"/>
        </w:rPr>
        <w:t xml:space="preserve">La Presse Médicale Formation, Volume 4, Issue 5, 2023, Pages 424-429, ISSN 2666-4798. </w:t>
      </w:r>
      <w:proofErr w:type="spellStart"/>
      <w:proofErr w:type="gramStart"/>
      <w:r>
        <w:rPr>
          <w:rStyle w:val="normaltextrun"/>
          <w:rFonts w:ascii="Calibri" w:hAnsi="Calibri" w:cs="Calibri"/>
          <w:sz w:val="22"/>
          <w:szCs w:val="22"/>
          <w:shd w:val="clear" w:color="auto" w:fill="FFFFFF"/>
          <w:lang w:val="fr-FR"/>
        </w:rPr>
        <w:t>doi</w:t>
      </w:r>
      <w:proofErr w:type="spellEnd"/>
      <w:proofErr w:type="gramEnd"/>
      <w:r>
        <w:rPr>
          <w:rStyle w:val="normaltextrun"/>
          <w:rFonts w:ascii="Calibri" w:hAnsi="Calibri" w:cs="Calibri"/>
          <w:sz w:val="22"/>
          <w:szCs w:val="22"/>
          <w:shd w:val="clear" w:color="auto" w:fill="FFFFFF"/>
          <w:lang w:val="fr-FR"/>
        </w:rPr>
        <w:t>: 10.1016/j.lpmfor.2023.10.006</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r>
        <w:rPr>
          <w:rStyle w:val="normaltextrun"/>
          <w:rFonts w:ascii="Calibri" w:hAnsi="Calibri" w:cs="Calibri"/>
          <w:sz w:val="22"/>
          <w:szCs w:val="22"/>
          <w:shd w:val="clear" w:color="auto" w:fill="FFFFFF"/>
          <w:lang w:val="en-US"/>
        </w:rPr>
        <w:t xml:space="preserve">2. Banks PA, </w:t>
      </w:r>
      <w:proofErr w:type="spellStart"/>
      <w:r>
        <w:rPr>
          <w:rStyle w:val="normaltextrun"/>
          <w:rFonts w:ascii="Calibri" w:hAnsi="Calibri" w:cs="Calibri"/>
          <w:sz w:val="22"/>
          <w:szCs w:val="22"/>
          <w:shd w:val="clear" w:color="auto" w:fill="FFFFFF"/>
          <w:lang w:val="en-US"/>
        </w:rPr>
        <w:t>Bollen</w:t>
      </w:r>
      <w:proofErr w:type="spellEnd"/>
      <w:r>
        <w:rPr>
          <w:rStyle w:val="normaltextrun"/>
          <w:rFonts w:ascii="Calibri" w:hAnsi="Calibri" w:cs="Calibri"/>
          <w:sz w:val="22"/>
          <w:szCs w:val="22"/>
          <w:shd w:val="clear" w:color="auto" w:fill="FFFFFF"/>
          <w:lang w:val="en-US"/>
        </w:rPr>
        <w:t xml:space="preserve"> TL, </w:t>
      </w:r>
      <w:proofErr w:type="spellStart"/>
      <w:r>
        <w:rPr>
          <w:rStyle w:val="normaltextrun"/>
          <w:rFonts w:ascii="Calibri" w:hAnsi="Calibri" w:cs="Calibri"/>
          <w:sz w:val="22"/>
          <w:szCs w:val="22"/>
          <w:shd w:val="clear" w:color="auto" w:fill="FFFFFF"/>
          <w:lang w:val="en-US"/>
        </w:rPr>
        <w:t>Dervenis</w:t>
      </w:r>
      <w:proofErr w:type="spellEnd"/>
      <w:r>
        <w:rPr>
          <w:rStyle w:val="normaltextrun"/>
          <w:rFonts w:ascii="Calibri" w:hAnsi="Calibri" w:cs="Calibri"/>
          <w:sz w:val="22"/>
          <w:szCs w:val="22"/>
          <w:shd w:val="clear" w:color="auto" w:fill="FFFFFF"/>
          <w:lang w:val="en-US"/>
        </w:rPr>
        <w:t xml:space="preserve"> C, </w:t>
      </w:r>
      <w:proofErr w:type="spellStart"/>
      <w:r>
        <w:rPr>
          <w:rStyle w:val="normaltextrun"/>
          <w:rFonts w:ascii="Calibri" w:hAnsi="Calibri" w:cs="Calibri"/>
          <w:sz w:val="22"/>
          <w:szCs w:val="22"/>
          <w:shd w:val="clear" w:color="auto" w:fill="FFFFFF"/>
          <w:lang w:val="en-US"/>
        </w:rPr>
        <w:t>Gooszen</w:t>
      </w:r>
      <w:proofErr w:type="spellEnd"/>
      <w:r>
        <w:rPr>
          <w:rStyle w:val="normaltextrun"/>
          <w:rFonts w:ascii="Calibri" w:hAnsi="Calibri" w:cs="Calibri"/>
          <w:sz w:val="22"/>
          <w:szCs w:val="22"/>
          <w:shd w:val="clear" w:color="auto" w:fill="FFFFFF"/>
          <w:lang w:val="en-US"/>
        </w:rPr>
        <w:t xml:space="preserve"> HG, Johnson CD, </w:t>
      </w:r>
      <w:proofErr w:type="spellStart"/>
      <w:r>
        <w:rPr>
          <w:rStyle w:val="normaltextrun"/>
          <w:rFonts w:ascii="Calibri" w:hAnsi="Calibri" w:cs="Calibri"/>
          <w:sz w:val="22"/>
          <w:szCs w:val="22"/>
          <w:shd w:val="clear" w:color="auto" w:fill="FFFFFF"/>
          <w:lang w:val="en-US"/>
        </w:rPr>
        <w:t>Sarr</w:t>
      </w:r>
      <w:proofErr w:type="spellEnd"/>
      <w:r>
        <w:rPr>
          <w:rStyle w:val="normaltextrun"/>
          <w:rFonts w:ascii="Calibri" w:hAnsi="Calibri" w:cs="Calibri"/>
          <w:sz w:val="22"/>
          <w:szCs w:val="22"/>
          <w:shd w:val="clear" w:color="auto" w:fill="FFFFFF"/>
          <w:lang w:val="en-US"/>
        </w:rPr>
        <w:t xml:space="preserve"> MG, et al. Classification of acute pancreatitis--2012: revision of the Atlanta classification and definitions by international consensus. Gut. 2013 Jan</w:t>
      </w:r>
      <w:proofErr w:type="gramStart"/>
      <w:r>
        <w:rPr>
          <w:rStyle w:val="normaltextrun"/>
          <w:rFonts w:ascii="Calibri" w:hAnsi="Calibri" w:cs="Calibri"/>
          <w:sz w:val="22"/>
          <w:szCs w:val="22"/>
          <w:shd w:val="clear" w:color="auto" w:fill="FFFFFF"/>
          <w:lang w:val="en-US"/>
        </w:rPr>
        <w:t>;62</w:t>
      </w:r>
      <w:proofErr w:type="gramEnd"/>
      <w:r>
        <w:rPr>
          <w:rStyle w:val="normaltextrun"/>
          <w:rFonts w:ascii="Calibri" w:hAnsi="Calibri" w:cs="Calibri"/>
          <w:sz w:val="22"/>
          <w:szCs w:val="22"/>
          <w:shd w:val="clear" w:color="auto" w:fill="FFFFFF"/>
          <w:lang w:val="en-US"/>
        </w:rPr>
        <w:t xml:space="preserve">(1):102–11. </w:t>
      </w:r>
      <w:proofErr w:type="spellStart"/>
      <w:proofErr w:type="gramStart"/>
      <w:r>
        <w:rPr>
          <w:rStyle w:val="normaltextrun"/>
          <w:rFonts w:ascii="Calibri" w:hAnsi="Calibri" w:cs="Calibri"/>
          <w:sz w:val="22"/>
          <w:szCs w:val="22"/>
          <w:shd w:val="clear" w:color="auto" w:fill="FFFFFF"/>
          <w:lang w:val="en-US"/>
        </w:rPr>
        <w:t>doi</w:t>
      </w:r>
      <w:proofErr w:type="spellEnd"/>
      <w:proofErr w:type="gramEnd"/>
      <w:r>
        <w:rPr>
          <w:rStyle w:val="normaltextrun"/>
          <w:rFonts w:ascii="Calibri" w:hAnsi="Calibri" w:cs="Calibri"/>
          <w:sz w:val="22"/>
          <w:szCs w:val="22"/>
          <w:shd w:val="clear" w:color="auto" w:fill="FFFFFF"/>
          <w:lang w:val="en-US"/>
        </w:rPr>
        <w:t>: 10.1136/gutjnl-2012-302779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r>
        <w:rPr>
          <w:rStyle w:val="normaltextrun"/>
          <w:rFonts w:ascii="Calibri" w:hAnsi="Calibri" w:cs="Calibri"/>
          <w:sz w:val="22"/>
          <w:szCs w:val="22"/>
          <w:shd w:val="clear" w:color="auto" w:fill="FFFFFF"/>
          <w:lang w:val="en-US"/>
        </w:rPr>
        <w:t xml:space="preserve">3. </w:t>
      </w:r>
      <w:r>
        <w:rPr>
          <w:rStyle w:val="normaltextrun"/>
          <w:rFonts w:ascii="Calibri" w:hAnsi="Calibri" w:cs="Calibri"/>
          <w:sz w:val="22"/>
          <w:szCs w:val="22"/>
          <w:lang w:val="en-US"/>
        </w:rPr>
        <w:t xml:space="preserve">Jarrett SA, </w:t>
      </w:r>
      <w:proofErr w:type="spellStart"/>
      <w:r>
        <w:rPr>
          <w:rStyle w:val="normaltextrun"/>
          <w:rFonts w:ascii="Calibri" w:hAnsi="Calibri" w:cs="Calibri"/>
          <w:sz w:val="22"/>
          <w:szCs w:val="22"/>
          <w:lang w:val="en-US"/>
        </w:rPr>
        <w:t>Yadlapati</w:t>
      </w:r>
      <w:proofErr w:type="spellEnd"/>
      <w:r>
        <w:rPr>
          <w:rStyle w:val="normaltextrun"/>
          <w:rFonts w:ascii="Calibri" w:hAnsi="Calibri" w:cs="Calibri"/>
          <w:sz w:val="22"/>
          <w:szCs w:val="22"/>
          <w:lang w:val="en-US"/>
        </w:rPr>
        <w:t xml:space="preserve"> S, Lo KB, Chiang B, </w:t>
      </w:r>
      <w:proofErr w:type="spellStart"/>
      <w:r>
        <w:rPr>
          <w:rStyle w:val="normaltextrun"/>
          <w:rFonts w:ascii="Calibri" w:hAnsi="Calibri" w:cs="Calibri"/>
          <w:sz w:val="22"/>
          <w:szCs w:val="22"/>
          <w:lang w:val="en-US"/>
        </w:rPr>
        <w:t>Manzano</w:t>
      </w:r>
      <w:proofErr w:type="spellEnd"/>
      <w:r>
        <w:rPr>
          <w:rStyle w:val="normaltextrun"/>
          <w:rFonts w:ascii="Calibri" w:hAnsi="Calibri" w:cs="Calibri"/>
          <w:sz w:val="22"/>
          <w:szCs w:val="22"/>
          <w:lang w:val="en-US"/>
        </w:rPr>
        <w:t xml:space="preserve"> JMM, Raja A, Carty J, </w:t>
      </w:r>
      <w:proofErr w:type="spellStart"/>
      <w:r>
        <w:rPr>
          <w:rStyle w:val="normaltextrun"/>
          <w:rFonts w:ascii="Calibri" w:hAnsi="Calibri" w:cs="Calibri"/>
          <w:sz w:val="22"/>
          <w:szCs w:val="22"/>
          <w:lang w:val="en-US"/>
        </w:rPr>
        <w:t>Musoke</w:t>
      </w:r>
      <w:proofErr w:type="spellEnd"/>
      <w:r>
        <w:rPr>
          <w:rStyle w:val="normaltextrun"/>
          <w:rFonts w:ascii="Calibri" w:hAnsi="Calibri" w:cs="Calibri"/>
          <w:sz w:val="22"/>
          <w:szCs w:val="22"/>
          <w:lang w:val="en-US"/>
        </w:rPr>
        <w:t xml:space="preserve"> N, Salazar C, Barrett L, </w:t>
      </w:r>
      <w:proofErr w:type="spellStart"/>
      <w:r>
        <w:rPr>
          <w:rStyle w:val="normaltextrun"/>
          <w:rFonts w:ascii="Calibri" w:hAnsi="Calibri" w:cs="Calibri"/>
          <w:sz w:val="22"/>
          <w:szCs w:val="22"/>
          <w:lang w:val="en-US"/>
        </w:rPr>
        <w:t>Wattoo</w:t>
      </w:r>
      <w:proofErr w:type="spellEnd"/>
      <w:r>
        <w:rPr>
          <w:rStyle w:val="normaltextrun"/>
          <w:rFonts w:ascii="Calibri" w:hAnsi="Calibri" w:cs="Calibri"/>
          <w:sz w:val="22"/>
          <w:szCs w:val="22"/>
          <w:lang w:val="en-US"/>
        </w:rPr>
        <w:t xml:space="preserve"> A, </w:t>
      </w:r>
      <w:proofErr w:type="spellStart"/>
      <w:r>
        <w:rPr>
          <w:rStyle w:val="normaltextrun"/>
          <w:rFonts w:ascii="Calibri" w:hAnsi="Calibri" w:cs="Calibri"/>
          <w:sz w:val="22"/>
          <w:szCs w:val="22"/>
          <w:lang w:val="en-US"/>
        </w:rPr>
        <w:t>Azmaiparashvili</w:t>
      </w:r>
      <w:proofErr w:type="spellEnd"/>
      <w:r>
        <w:rPr>
          <w:rStyle w:val="normaltextrun"/>
          <w:rFonts w:ascii="Calibri" w:hAnsi="Calibri" w:cs="Calibri"/>
          <w:sz w:val="22"/>
          <w:szCs w:val="22"/>
          <w:lang w:val="en-US"/>
        </w:rPr>
        <w:t xml:space="preserve"> Z, </w:t>
      </w:r>
      <w:proofErr w:type="spellStart"/>
      <w:r>
        <w:rPr>
          <w:rStyle w:val="normaltextrun"/>
          <w:rFonts w:ascii="Calibri" w:hAnsi="Calibri" w:cs="Calibri"/>
          <w:sz w:val="22"/>
          <w:szCs w:val="22"/>
          <w:lang w:val="en-US"/>
        </w:rPr>
        <w:t>Baik</w:t>
      </w:r>
      <w:proofErr w:type="spellEnd"/>
      <w:r>
        <w:rPr>
          <w:rStyle w:val="normaltextrun"/>
          <w:rFonts w:ascii="Calibri" w:hAnsi="Calibri" w:cs="Calibri"/>
          <w:sz w:val="22"/>
          <w:szCs w:val="22"/>
          <w:lang w:val="en-US"/>
        </w:rPr>
        <w:t xml:space="preserve"> D. Radiologic imaging utilization in the diagnosis of acute pancreatitis. </w:t>
      </w:r>
      <w:proofErr w:type="spellStart"/>
      <w:r>
        <w:rPr>
          <w:rStyle w:val="normaltextrun"/>
          <w:rFonts w:ascii="Calibri" w:hAnsi="Calibri" w:cs="Calibri"/>
          <w:i/>
          <w:iCs/>
          <w:sz w:val="22"/>
          <w:szCs w:val="22"/>
          <w:lang w:val="en-US"/>
        </w:rPr>
        <w:t>Gastroenterol</w:t>
      </w:r>
      <w:proofErr w:type="spellEnd"/>
      <w:r>
        <w:rPr>
          <w:rStyle w:val="normaltextrun"/>
          <w:rFonts w:ascii="Calibri" w:hAnsi="Calibri" w:cs="Calibri"/>
          <w:i/>
          <w:iCs/>
          <w:sz w:val="22"/>
          <w:szCs w:val="22"/>
          <w:lang w:val="en-US"/>
        </w:rPr>
        <w:t xml:space="preserve"> </w:t>
      </w:r>
      <w:proofErr w:type="spellStart"/>
      <w:r>
        <w:rPr>
          <w:rStyle w:val="normaltextrun"/>
          <w:rFonts w:ascii="Calibri" w:hAnsi="Calibri" w:cs="Calibri"/>
          <w:i/>
          <w:iCs/>
          <w:sz w:val="22"/>
          <w:szCs w:val="22"/>
          <w:lang w:val="en-US"/>
        </w:rPr>
        <w:t>Funct</w:t>
      </w:r>
      <w:proofErr w:type="spellEnd"/>
      <w:r>
        <w:rPr>
          <w:rStyle w:val="normaltextrun"/>
          <w:rFonts w:ascii="Calibri" w:hAnsi="Calibri" w:cs="Calibri"/>
          <w:i/>
          <w:iCs/>
          <w:sz w:val="22"/>
          <w:szCs w:val="22"/>
          <w:lang w:val="en-US"/>
        </w:rPr>
        <w:t xml:space="preserve"> Med</w:t>
      </w:r>
      <w:r>
        <w:rPr>
          <w:rStyle w:val="normaltextrun"/>
          <w:rFonts w:ascii="Calibri" w:hAnsi="Calibri" w:cs="Calibri"/>
          <w:sz w:val="22"/>
          <w:szCs w:val="22"/>
          <w:lang w:val="en-US"/>
        </w:rPr>
        <w:t>. 2023</w:t>
      </w:r>
      <w:proofErr w:type="gramStart"/>
      <w:r>
        <w:rPr>
          <w:rStyle w:val="normaltextrun"/>
          <w:rFonts w:ascii="Calibri" w:hAnsi="Calibri" w:cs="Calibri"/>
          <w:sz w:val="22"/>
          <w:szCs w:val="22"/>
          <w:lang w:val="en-US"/>
        </w:rPr>
        <w:t>;1</w:t>
      </w:r>
      <w:proofErr w:type="gramEnd"/>
      <w:r>
        <w:rPr>
          <w:rStyle w:val="normaltextrun"/>
          <w:rFonts w:ascii="Calibri" w:hAnsi="Calibri" w:cs="Calibri"/>
          <w:sz w:val="22"/>
          <w:szCs w:val="22"/>
          <w:lang w:val="en-US"/>
        </w:rPr>
        <w:t>. doi:10.54844/gfm.2023.480</w:t>
      </w:r>
      <w:r>
        <w:rPr>
          <w:rStyle w:val="normaltextrun"/>
          <w:rFonts w:ascii="Calibri" w:hAnsi="Calibri" w:cs="Calibri"/>
          <w:sz w:val="22"/>
          <w:szCs w:val="22"/>
          <w:shd w:val="clear" w:color="auto" w:fill="FFFFFF"/>
          <w:lang w:val="en-US"/>
        </w:rPr>
        <w:t>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Style w:val="normaltextrun"/>
          <w:rFonts w:ascii="Calibri" w:hAnsi="Calibri" w:cs="Calibri"/>
          <w:sz w:val="22"/>
          <w:szCs w:val="22"/>
          <w:shd w:val="clear" w:color="auto" w:fill="FFFFFF"/>
          <w:lang w:val="en-US"/>
        </w:rPr>
      </w:pPr>
      <w:r>
        <w:rPr>
          <w:rStyle w:val="normaltextrun"/>
          <w:rFonts w:ascii="Calibri" w:hAnsi="Calibri" w:cs="Calibri"/>
          <w:sz w:val="22"/>
          <w:szCs w:val="22"/>
          <w:shd w:val="clear" w:color="auto" w:fill="FFFFFF"/>
          <w:lang w:val="en-US"/>
        </w:rPr>
        <w:t xml:space="preserve">4. </w:t>
      </w:r>
      <w:proofErr w:type="spellStart"/>
      <w:r>
        <w:rPr>
          <w:rStyle w:val="normaltextrun"/>
          <w:rFonts w:ascii="Calibri" w:hAnsi="Calibri" w:cs="Calibri"/>
          <w:sz w:val="22"/>
          <w:szCs w:val="22"/>
          <w:shd w:val="clear" w:color="auto" w:fill="FFFFFF"/>
          <w:lang w:val="en-US"/>
        </w:rPr>
        <w:t>Khurana</w:t>
      </w:r>
      <w:proofErr w:type="spellEnd"/>
      <w:r>
        <w:rPr>
          <w:rStyle w:val="normaltextrun"/>
          <w:rFonts w:ascii="Calibri" w:hAnsi="Calibri" w:cs="Calibri"/>
          <w:sz w:val="22"/>
          <w:szCs w:val="22"/>
          <w:shd w:val="clear" w:color="auto" w:fill="FFFFFF"/>
          <w:lang w:val="en-US"/>
        </w:rPr>
        <w:t xml:space="preserve"> A, Nelson L, Myers C et al. Reporting of Acute Pancreatitis by Radiologists-Time for a Systematic Change with Structured Reporting Template. </w:t>
      </w:r>
      <w:proofErr w:type="spellStart"/>
      <w:r>
        <w:rPr>
          <w:rStyle w:val="normaltextrun"/>
          <w:rFonts w:ascii="Calibri" w:hAnsi="Calibri" w:cs="Calibri"/>
          <w:sz w:val="22"/>
          <w:szCs w:val="22"/>
          <w:shd w:val="clear" w:color="auto" w:fill="FFFFFF"/>
          <w:lang w:val="en-US"/>
        </w:rPr>
        <w:t>Abdom</w:t>
      </w:r>
      <w:proofErr w:type="spellEnd"/>
      <w:r>
        <w:rPr>
          <w:rStyle w:val="normaltextrun"/>
          <w:rFonts w:ascii="Calibri" w:hAnsi="Calibri" w:cs="Calibri"/>
          <w:sz w:val="22"/>
          <w:szCs w:val="22"/>
          <w:shd w:val="clear" w:color="auto" w:fill="FFFFFF"/>
          <w:lang w:val="en-US"/>
        </w:rPr>
        <w:t xml:space="preserve"> </w:t>
      </w:r>
      <w:proofErr w:type="spellStart"/>
      <w:r>
        <w:rPr>
          <w:rStyle w:val="normaltextrun"/>
          <w:rFonts w:ascii="Calibri" w:hAnsi="Calibri" w:cs="Calibri"/>
          <w:sz w:val="22"/>
          <w:szCs w:val="22"/>
          <w:shd w:val="clear" w:color="auto" w:fill="FFFFFF"/>
          <w:lang w:val="en-US"/>
        </w:rPr>
        <w:t>Radiol</w:t>
      </w:r>
      <w:proofErr w:type="spellEnd"/>
      <w:r>
        <w:rPr>
          <w:rStyle w:val="normaltextrun"/>
          <w:rFonts w:ascii="Calibri" w:hAnsi="Calibri" w:cs="Calibri"/>
          <w:sz w:val="22"/>
          <w:szCs w:val="22"/>
          <w:shd w:val="clear" w:color="auto" w:fill="FFFFFF"/>
          <w:lang w:val="en-US"/>
        </w:rPr>
        <w:t xml:space="preserve"> (NY). 2020</w:t>
      </w:r>
      <w:proofErr w:type="gramStart"/>
      <w:r>
        <w:rPr>
          <w:rStyle w:val="normaltextrun"/>
          <w:rFonts w:ascii="Calibri" w:hAnsi="Calibri" w:cs="Calibri"/>
          <w:sz w:val="22"/>
          <w:szCs w:val="22"/>
          <w:shd w:val="clear" w:color="auto" w:fill="FFFFFF"/>
          <w:lang w:val="en-US"/>
        </w:rPr>
        <w:t>;45</w:t>
      </w:r>
      <w:proofErr w:type="gramEnd"/>
      <w:r>
        <w:rPr>
          <w:rStyle w:val="normaltextrun"/>
          <w:rFonts w:ascii="Calibri" w:hAnsi="Calibri" w:cs="Calibri"/>
          <w:sz w:val="22"/>
          <w:szCs w:val="22"/>
          <w:shd w:val="clear" w:color="auto" w:fill="FFFFFF"/>
          <w:lang w:val="en-US"/>
        </w:rPr>
        <w:t>(5):1277-89. </w:t>
      </w:r>
      <w:proofErr w:type="spellStart"/>
      <w:r>
        <w:rPr>
          <w:rStyle w:val="normaltextrun"/>
          <w:rFonts w:ascii="Calibri" w:hAnsi="Calibri" w:cs="Calibri"/>
          <w:sz w:val="22"/>
          <w:szCs w:val="22"/>
          <w:shd w:val="clear" w:color="auto" w:fill="FFFFFF"/>
          <w:lang w:val="en-US"/>
        </w:rPr>
        <w:t>doi</w:t>
      </w:r>
      <w:proofErr w:type="spellEnd"/>
      <w:r>
        <w:rPr>
          <w:rStyle w:val="normaltextrun"/>
          <w:rFonts w:ascii="Calibri" w:hAnsi="Calibri" w:cs="Calibri"/>
          <w:sz w:val="22"/>
          <w:szCs w:val="22"/>
          <w:shd w:val="clear" w:color="auto" w:fill="FFFFFF"/>
          <w:lang w:val="en-US"/>
        </w:rPr>
        <w:t>: 10.1007/s00261-020-02468-9</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Style w:val="eop"/>
          <w:rFonts w:ascii="Calibri" w:hAnsi="Calibri" w:cs="Calibri"/>
          <w:sz w:val="22"/>
          <w:szCs w:val="22"/>
          <w:lang w:val="fr-FR"/>
        </w:rPr>
      </w:pPr>
      <w:r>
        <w:rPr>
          <w:rStyle w:val="normaltextrun"/>
          <w:rFonts w:ascii="Calibri" w:hAnsi="Calibri" w:cs="Calibri"/>
          <w:sz w:val="22"/>
          <w:szCs w:val="22"/>
          <w:shd w:val="clear" w:color="auto" w:fill="FFFFFF"/>
          <w:lang w:val="en-US"/>
        </w:rPr>
        <w:t xml:space="preserve">5. </w:t>
      </w:r>
      <w:proofErr w:type="spellStart"/>
      <w:r>
        <w:rPr>
          <w:rStyle w:val="normaltextrun"/>
          <w:rFonts w:ascii="Calibri" w:hAnsi="Calibri" w:cs="Calibri"/>
          <w:sz w:val="22"/>
          <w:szCs w:val="22"/>
          <w:shd w:val="clear" w:color="auto" w:fill="FFFFFF"/>
          <w:lang w:val="en-US"/>
        </w:rPr>
        <w:t>Nikpanah</w:t>
      </w:r>
      <w:proofErr w:type="spellEnd"/>
      <w:r>
        <w:rPr>
          <w:rStyle w:val="normaltextrun"/>
          <w:rFonts w:ascii="Calibri" w:hAnsi="Calibri" w:cs="Calibri"/>
          <w:sz w:val="22"/>
          <w:szCs w:val="22"/>
          <w:shd w:val="clear" w:color="auto" w:fill="FFFFFF"/>
          <w:lang w:val="en-US"/>
        </w:rPr>
        <w:t xml:space="preserve">, </w:t>
      </w:r>
      <w:proofErr w:type="spellStart"/>
      <w:r>
        <w:rPr>
          <w:rStyle w:val="normaltextrun"/>
          <w:rFonts w:ascii="Calibri" w:hAnsi="Calibri" w:cs="Calibri"/>
          <w:sz w:val="22"/>
          <w:szCs w:val="22"/>
          <w:shd w:val="clear" w:color="auto" w:fill="FFFFFF"/>
          <w:lang w:val="en-US"/>
        </w:rPr>
        <w:t>Moozhan</w:t>
      </w:r>
      <w:proofErr w:type="spellEnd"/>
      <w:r>
        <w:rPr>
          <w:rStyle w:val="normaltextrun"/>
          <w:rFonts w:ascii="Calibri" w:hAnsi="Calibri" w:cs="Calibri"/>
          <w:sz w:val="22"/>
          <w:szCs w:val="22"/>
          <w:shd w:val="clear" w:color="auto" w:fill="FFFFFF"/>
          <w:lang w:val="en-US"/>
        </w:rPr>
        <w:t xml:space="preserve"> et al. Magnetic resonance imaging in the evaluation and management of acute pancreatitis: a review of current practices and future directions. Clinical Imaging, Volume 107, 110086. </w:t>
      </w:r>
      <w:proofErr w:type="spellStart"/>
      <w:proofErr w:type="gramStart"/>
      <w:r>
        <w:rPr>
          <w:rStyle w:val="normaltextrun"/>
          <w:rFonts w:ascii="Calibri" w:hAnsi="Calibri" w:cs="Calibri"/>
          <w:sz w:val="22"/>
          <w:szCs w:val="22"/>
          <w:shd w:val="clear" w:color="auto" w:fill="FFFFFF"/>
          <w:lang w:val="en-US"/>
        </w:rPr>
        <w:t>doi</w:t>
      </w:r>
      <w:proofErr w:type="spellEnd"/>
      <w:proofErr w:type="gramEnd"/>
      <w:r>
        <w:rPr>
          <w:rStyle w:val="normaltextrun"/>
          <w:rFonts w:ascii="Calibri" w:hAnsi="Calibri" w:cs="Calibri"/>
          <w:sz w:val="22"/>
          <w:szCs w:val="22"/>
          <w:shd w:val="clear" w:color="auto" w:fill="FFFFFF"/>
          <w:lang w:val="en-US"/>
        </w:rPr>
        <w:t>: 10.1016/j.clinimag.2024.110086 </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Style w:val="normaltextrun"/>
          <w:rFonts w:ascii="Calibri" w:hAnsi="Calibri" w:cs="Calibri"/>
          <w:color w:val="212121"/>
          <w:sz w:val="22"/>
          <w:szCs w:val="22"/>
          <w:lang w:val="en-US"/>
        </w:rPr>
      </w:pPr>
      <w:r>
        <w:rPr>
          <w:rStyle w:val="normaltextrun"/>
          <w:rFonts w:ascii="Calibri" w:hAnsi="Calibri" w:cs="Calibri"/>
          <w:color w:val="212121"/>
          <w:sz w:val="22"/>
          <w:szCs w:val="22"/>
          <w:lang w:val="en-US"/>
        </w:rPr>
        <w:t xml:space="preserve">6. De </w:t>
      </w:r>
      <w:proofErr w:type="spellStart"/>
      <w:r>
        <w:rPr>
          <w:rStyle w:val="normaltextrun"/>
          <w:rFonts w:ascii="Calibri" w:hAnsi="Calibri" w:cs="Calibri"/>
          <w:color w:val="212121"/>
          <w:sz w:val="22"/>
          <w:szCs w:val="22"/>
          <w:lang w:val="en-US"/>
        </w:rPr>
        <w:t>Waele</w:t>
      </w:r>
      <w:proofErr w:type="spellEnd"/>
      <w:r>
        <w:rPr>
          <w:rStyle w:val="normaltextrun"/>
          <w:rFonts w:ascii="Calibri" w:hAnsi="Calibri" w:cs="Calibri"/>
          <w:color w:val="212121"/>
          <w:sz w:val="22"/>
          <w:szCs w:val="22"/>
          <w:lang w:val="en-US"/>
        </w:rPr>
        <w:t xml:space="preserve"> JJ, </w:t>
      </w:r>
      <w:proofErr w:type="spellStart"/>
      <w:r>
        <w:rPr>
          <w:rStyle w:val="normaltextrun"/>
          <w:rFonts w:ascii="Calibri" w:hAnsi="Calibri" w:cs="Calibri"/>
          <w:color w:val="212121"/>
          <w:sz w:val="22"/>
          <w:szCs w:val="22"/>
          <w:lang w:val="en-US"/>
        </w:rPr>
        <w:t>Hoste</w:t>
      </w:r>
      <w:proofErr w:type="spellEnd"/>
      <w:r>
        <w:rPr>
          <w:rStyle w:val="normaltextrun"/>
          <w:rFonts w:ascii="Calibri" w:hAnsi="Calibri" w:cs="Calibri"/>
          <w:color w:val="212121"/>
          <w:sz w:val="22"/>
          <w:szCs w:val="22"/>
          <w:lang w:val="en-US"/>
        </w:rPr>
        <w:t xml:space="preserve"> EA, </w:t>
      </w:r>
      <w:proofErr w:type="spellStart"/>
      <w:r>
        <w:rPr>
          <w:rStyle w:val="normaltextrun"/>
          <w:rFonts w:ascii="Calibri" w:hAnsi="Calibri" w:cs="Calibri"/>
          <w:color w:val="212121"/>
          <w:sz w:val="22"/>
          <w:szCs w:val="22"/>
          <w:lang w:val="en-US"/>
        </w:rPr>
        <w:t>Baert</w:t>
      </w:r>
      <w:proofErr w:type="spellEnd"/>
      <w:r>
        <w:rPr>
          <w:rStyle w:val="normaltextrun"/>
          <w:rFonts w:ascii="Calibri" w:hAnsi="Calibri" w:cs="Calibri"/>
          <w:color w:val="212121"/>
          <w:sz w:val="22"/>
          <w:szCs w:val="22"/>
          <w:lang w:val="en-US"/>
        </w:rPr>
        <w:t xml:space="preserve"> D, </w:t>
      </w:r>
      <w:proofErr w:type="spellStart"/>
      <w:r>
        <w:rPr>
          <w:rStyle w:val="normaltextrun"/>
          <w:rFonts w:ascii="Calibri" w:hAnsi="Calibri" w:cs="Calibri"/>
          <w:color w:val="212121"/>
          <w:sz w:val="22"/>
          <w:szCs w:val="22"/>
          <w:lang w:val="en-US"/>
        </w:rPr>
        <w:t>Hendrickx</w:t>
      </w:r>
      <w:proofErr w:type="spellEnd"/>
      <w:r>
        <w:rPr>
          <w:rStyle w:val="normaltextrun"/>
          <w:rFonts w:ascii="Calibri" w:hAnsi="Calibri" w:cs="Calibri"/>
          <w:color w:val="212121"/>
          <w:sz w:val="22"/>
          <w:szCs w:val="22"/>
          <w:lang w:val="en-US"/>
        </w:rPr>
        <w:t xml:space="preserve"> K, </w:t>
      </w:r>
      <w:proofErr w:type="spellStart"/>
      <w:r>
        <w:rPr>
          <w:rStyle w:val="normaltextrun"/>
          <w:rFonts w:ascii="Calibri" w:hAnsi="Calibri" w:cs="Calibri"/>
          <w:color w:val="212121"/>
          <w:sz w:val="22"/>
          <w:szCs w:val="22"/>
          <w:lang w:val="en-US"/>
        </w:rPr>
        <w:t>Rijckaert</w:t>
      </w:r>
      <w:proofErr w:type="spellEnd"/>
      <w:r>
        <w:rPr>
          <w:rStyle w:val="normaltextrun"/>
          <w:rFonts w:ascii="Calibri" w:hAnsi="Calibri" w:cs="Calibri"/>
          <w:color w:val="212121"/>
          <w:sz w:val="22"/>
          <w:szCs w:val="22"/>
          <w:lang w:val="en-US"/>
        </w:rPr>
        <w:t xml:space="preserve"> D, </w:t>
      </w:r>
      <w:proofErr w:type="spellStart"/>
      <w:r>
        <w:rPr>
          <w:rStyle w:val="normaltextrun"/>
          <w:rFonts w:ascii="Calibri" w:hAnsi="Calibri" w:cs="Calibri"/>
          <w:color w:val="212121"/>
          <w:sz w:val="22"/>
          <w:szCs w:val="22"/>
          <w:lang w:val="en-US"/>
        </w:rPr>
        <w:t>Thibo</w:t>
      </w:r>
      <w:proofErr w:type="spellEnd"/>
      <w:r>
        <w:rPr>
          <w:rStyle w:val="normaltextrun"/>
          <w:rFonts w:ascii="Calibri" w:hAnsi="Calibri" w:cs="Calibri"/>
          <w:color w:val="212121"/>
          <w:sz w:val="22"/>
          <w:szCs w:val="22"/>
          <w:lang w:val="en-US"/>
        </w:rPr>
        <w:t xml:space="preserve"> P, Van </w:t>
      </w:r>
      <w:proofErr w:type="spellStart"/>
      <w:r>
        <w:rPr>
          <w:rStyle w:val="normaltextrun"/>
          <w:rFonts w:ascii="Calibri" w:hAnsi="Calibri" w:cs="Calibri"/>
          <w:color w:val="212121"/>
          <w:sz w:val="22"/>
          <w:szCs w:val="22"/>
          <w:lang w:val="en-US"/>
        </w:rPr>
        <w:t>Biervliet</w:t>
      </w:r>
      <w:proofErr w:type="spellEnd"/>
      <w:r>
        <w:rPr>
          <w:rStyle w:val="normaltextrun"/>
          <w:rFonts w:ascii="Calibri" w:hAnsi="Calibri" w:cs="Calibri"/>
          <w:color w:val="212121"/>
          <w:sz w:val="22"/>
          <w:szCs w:val="22"/>
          <w:lang w:val="en-US"/>
        </w:rPr>
        <w:t xml:space="preserve"> P, Blot SI, </w:t>
      </w:r>
      <w:proofErr w:type="spellStart"/>
      <w:r>
        <w:rPr>
          <w:rStyle w:val="normaltextrun"/>
          <w:rFonts w:ascii="Calibri" w:hAnsi="Calibri" w:cs="Calibri"/>
          <w:color w:val="212121"/>
          <w:sz w:val="22"/>
          <w:szCs w:val="22"/>
          <w:lang w:val="en-US"/>
        </w:rPr>
        <w:t>Colardyn</w:t>
      </w:r>
      <w:proofErr w:type="spellEnd"/>
      <w:r>
        <w:rPr>
          <w:rStyle w:val="normaltextrun"/>
          <w:rFonts w:ascii="Calibri" w:hAnsi="Calibri" w:cs="Calibri"/>
          <w:color w:val="212121"/>
          <w:sz w:val="22"/>
          <w:szCs w:val="22"/>
          <w:lang w:val="en-US"/>
        </w:rPr>
        <w:t xml:space="preserve"> F. Relative adrenal insufficiency in patients with severe acute pancreatitis. Intensive Care Med. 2007 Oct</w:t>
      </w:r>
      <w:proofErr w:type="gramStart"/>
      <w:r>
        <w:rPr>
          <w:rStyle w:val="normaltextrun"/>
          <w:rFonts w:ascii="Calibri" w:hAnsi="Calibri" w:cs="Calibri"/>
          <w:color w:val="212121"/>
          <w:sz w:val="22"/>
          <w:szCs w:val="22"/>
          <w:lang w:val="en-US"/>
        </w:rPr>
        <w:t>;33</w:t>
      </w:r>
      <w:proofErr w:type="gramEnd"/>
      <w:r>
        <w:rPr>
          <w:rStyle w:val="normaltextrun"/>
          <w:rFonts w:ascii="Calibri" w:hAnsi="Calibri" w:cs="Calibri"/>
          <w:color w:val="212121"/>
          <w:sz w:val="22"/>
          <w:szCs w:val="22"/>
          <w:lang w:val="en-US"/>
        </w:rPr>
        <w:t xml:space="preserve">(10):1754-60. </w:t>
      </w:r>
      <w:proofErr w:type="spellStart"/>
      <w:proofErr w:type="gramStart"/>
      <w:r>
        <w:rPr>
          <w:rStyle w:val="normaltextrun"/>
          <w:rFonts w:ascii="Calibri" w:hAnsi="Calibri" w:cs="Calibri"/>
          <w:color w:val="212121"/>
          <w:sz w:val="22"/>
          <w:szCs w:val="22"/>
          <w:lang w:val="en-US"/>
        </w:rPr>
        <w:t>doi</w:t>
      </w:r>
      <w:proofErr w:type="spellEnd"/>
      <w:proofErr w:type="gramEnd"/>
      <w:r>
        <w:rPr>
          <w:rStyle w:val="normaltextrun"/>
          <w:rFonts w:ascii="Calibri" w:hAnsi="Calibri" w:cs="Calibri"/>
          <w:color w:val="212121"/>
          <w:sz w:val="22"/>
          <w:szCs w:val="22"/>
          <w:lang w:val="en-US"/>
        </w:rPr>
        <w:t>: 10.1007/s00134-007-0747-3</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shd w:val="clear" w:color="auto" w:fill="FFFFFF"/>
          <w:lang w:val="en-US"/>
        </w:rPr>
        <w:t xml:space="preserve">7. </w:t>
      </w:r>
      <w:proofErr w:type="spellStart"/>
      <w:r>
        <w:rPr>
          <w:rStyle w:val="normaltextrun"/>
          <w:rFonts w:ascii="Calibri" w:hAnsi="Calibri" w:cs="Calibri"/>
          <w:sz w:val="22"/>
          <w:szCs w:val="22"/>
          <w:shd w:val="clear" w:color="auto" w:fill="FFFFFF"/>
          <w:lang w:val="en-US"/>
        </w:rPr>
        <w:t>Sabitha</w:t>
      </w:r>
      <w:proofErr w:type="spellEnd"/>
      <w:r>
        <w:rPr>
          <w:rStyle w:val="normaltextrun"/>
          <w:rFonts w:ascii="Calibri" w:hAnsi="Calibri" w:cs="Calibri"/>
          <w:sz w:val="22"/>
          <w:szCs w:val="22"/>
          <w:shd w:val="clear" w:color="auto" w:fill="FFFFFF"/>
          <w:lang w:val="en-US"/>
        </w:rPr>
        <w:t xml:space="preserve"> </w:t>
      </w:r>
      <w:proofErr w:type="spellStart"/>
      <w:r>
        <w:rPr>
          <w:rStyle w:val="normaltextrun"/>
          <w:rFonts w:ascii="Calibri" w:hAnsi="Calibri" w:cs="Calibri"/>
          <w:sz w:val="22"/>
          <w:szCs w:val="22"/>
          <w:shd w:val="clear" w:color="auto" w:fill="FFFFFF"/>
          <w:lang w:val="en-US"/>
        </w:rPr>
        <w:t>Sasidharan</w:t>
      </w:r>
      <w:proofErr w:type="spellEnd"/>
      <w:r>
        <w:rPr>
          <w:rStyle w:val="normaltextrun"/>
          <w:rFonts w:ascii="Calibri" w:hAnsi="Calibri" w:cs="Calibri"/>
          <w:sz w:val="22"/>
          <w:szCs w:val="22"/>
          <w:shd w:val="clear" w:color="auto" w:fill="FFFFFF"/>
          <w:lang w:val="en-US"/>
        </w:rPr>
        <w:t xml:space="preserve"> Pillai, Renee </w:t>
      </w:r>
      <w:proofErr w:type="spellStart"/>
      <w:r>
        <w:rPr>
          <w:rStyle w:val="normaltextrun"/>
          <w:rFonts w:ascii="Calibri" w:hAnsi="Calibri" w:cs="Calibri"/>
          <w:sz w:val="22"/>
          <w:szCs w:val="22"/>
          <w:shd w:val="clear" w:color="auto" w:fill="FFFFFF"/>
          <w:lang w:val="en-US"/>
        </w:rPr>
        <w:t>Robilliard</w:t>
      </w:r>
      <w:proofErr w:type="spellEnd"/>
      <w:r>
        <w:rPr>
          <w:rStyle w:val="normaltextrun"/>
          <w:rFonts w:ascii="Calibri" w:hAnsi="Calibri" w:cs="Calibri"/>
          <w:sz w:val="22"/>
          <w:szCs w:val="22"/>
          <w:shd w:val="clear" w:color="auto" w:fill="FFFFFF"/>
          <w:lang w:val="en-US"/>
        </w:rPr>
        <w:t xml:space="preserve">, Meghan E </w:t>
      </w:r>
      <w:proofErr w:type="spellStart"/>
      <w:r>
        <w:rPr>
          <w:rStyle w:val="normaltextrun"/>
          <w:rFonts w:ascii="Calibri" w:hAnsi="Calibri" w:cs="Calibri"/>
          <w:sz w:val="22"/>
          <w:szCs w:val="22"/>
          <w:shd w:val="clear" w:color="auto" w:fill="FFFFFF"/>
          <w:lang w:val="en-US"/>
        </w:rPr>
        <w:t>Fredette</w:t>
      </w:r>
      <w:proofErr w:type="spellEnd"/>
      <w:r>
        <w:rPr>
          <w:rStyle w:val="normaltextrun"/>
          <w:rFonts w:ascii="Calibri" w:hAnsi="Calibri" w:cs="Calibri"/>
          <w:sz w:val="22"/>
          <w:szCs w:val="22"/>
          <w:shd w:val="clear" w:color="auto" w:fill="FFFFFF"/>
          <w:lang w:val="en-US"/>
        </w:rPr>
        <w:t xml:space="preserve">, Lisa Swartz </w:t>
      </w:r>
      <w:proofErr w:type="spellStart"/>
      <w:r>
        <w:rPr>
          <w:rStyle w:val="normaltextrun"/>
          <w:rFonts w:ascii="Calibri" w:hAnsi="Calibri" w:cs="Calibri"/>
          <w:sz w:val="22"/>
          <w:szCs w:val="22"/>
          <w:shd w:val="clear" w:color="auto" w:fill="FFFFFF"/>
          <w:lang w:val="en-US"/>
        </w:rPr>
        <w:t>Topor</w:t>
      </w:r>
      <w:proofErr w:type="spellEnd"/>
      <w:r>
        <w:rPr>
          <w:rStyle w:val="normaltextrun"/>
          <w:rFonts w:ascii="Calibri" w:hAnsi="Calibri" w:cs="Calibri"/>
          <w:sz w:val="22"/>
          <w:szCs w:val="22"/>
          <w:shd w:val="clear" w:color="auto" w:fill="FFFFFF"/>
          <w:lang w:val="en-US"/>
        </w:rPr>
        <w:t xml:space="preserve">, Lynn Della </w:t>
      </w:r>
      <w:proofErr w:type="spellStart"/>
      <w:r>
        <w:rPr>
          <w:rStyle w:val="normaltextrun"/>
          <w:rFonts w:ascii="Calibri" w:hAnsi="Calibri" w:cs="Calibri"/>
          <w:sz w:val="22"/>
          <w:szCs w:val="22"/>
          <w:shd w:val="clear" w:color="auto" w:fill="FFFFFF"/>
          <w:lang w:val="en-US"/>
        </w:rPr>
        <w:t>Grotta</w:t>
      </w:r>
      <w:proofErr w:type="spellEnd"/>
      <w:r>
        <w:rPr>
          <w:rStyle w:val="normaltextrun"/>
          <w:rFonts w:ascii="Calibri" w:hAnsi="Calibri" w:cs="Calibri"/>
          <w:sz w:val="22"/>
          <w:szCs w:val="22"/>
          <w:shd w:val="clear" w:color="auto" w:fill="FFFFFF"/>
          <w:lang w:val="en-US"/>
        </w:rPr>
        <w:t xml:space="preserve">, Monica Serrano-Gonzalez. Adrenal Insufficiency Due to Adrenal Insult Following Acute Pancreatitis in a Child. JCEM Case Reports, Volume 3, Issue 3, March 2025, luaf025. </w:t>
      </w:r>
      <w:proofErr w:type="spellStart"/>
      <w:proofErr w:type="gramStart"/>
      <w:r>
        <w:rPr>
          <w:rStyle w:val="normaltextrun"/>
          <w:rFonts w:ascii="Calibri" w:hAnsi="Calibri" w:cs="Calibri"/>
          <w:sz w:val="22"/>
          <w:szCs w:val="22"/>
          <w:shd w:val="clear" w:color="auto" w:fill="FFFFFF"/>
          <w:lang w:val="en-US"/>
        </w:rPr>
        <w:t>doi</w:t>
      </w:r>
      <w:proofErr w:type="spellEnd"/>
      <w:proofErr w:type="gramEnd"/>
      <w:r>
        <w:rPr>
          <w:rStyle w:val="normaltextrun"/>
          <w:rFonts w:ascii="Calibri" w:hAnsi="Calibri" w:cs="Calibri"/>
          <w:sz w:val="22"/>
          <w:szCs w:val="22"/>
          <w:shd w:val="clear" w:color="auto" w:fill="FFFFFF"/>
          <w:lang w:val="en-US"/>
        </w:rPr>
        <w:t>: 10.1210/</w:t>
      </w:r>
      <w:proofErr w:type="spellStart"/>
      <w:r>
        <w:rPr>
          <w:rStyle w:val="normaltextrun"/>
          <w:rFonts w:ascii="Calibri" w:hAnsi="Calibri" w:cs="Calibri"/>
          <w:sz w:val="22"/>
          <w:szCs w:val="22"/>
          <w:shd w:val="clear" w:color="auto" w:fill="FFFFFF"/>
          <w:lang w:val="en-US"/>
        </w:rPr>
        <w:t>jcemcr</w:t>
      </w:r>
      <w:proofErr w:type="spellEnd"/>
      <w:r>
        <w:rPr>
          <w:rStyle w:val="normaltextrun"/>
          <w:rFonts w:ascii="Calibri" w:hAnsi="Calibri" w:cs="Calibri"/>
          <w:sz w:val="22"/>
          <w:szCs w:val="22"/>
          <w:shd w:val="clear" w:color="auto" w:fill="FFFFFF"/>
          <w:lang w:val="en-US"/>
        </w:rPr>
        <w:t>/luaf025</w:t>
      </w:r>
      <w:r>
        <w:rPr>
          <w:rStyle w:val="eop"/>
          <w:rFonts w:ascii="Calibri" w:hAnsi="Calibri" w:cs="Calibri"/>
          <w:sz w:val="22"/>
          <w:szCs w:val="22"/>
          <w:lang w:val="fr-FR"/>
        </w:rPr>
        <w:t> </w:t>
      </w:r>
    </w:p>
    <w:p w:rsidR="00CE2F48" w:rsidRDefault="00CE2F48" w:rsidP="00CE2F48">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color w:val="D13438"/>
          <w:sz w:val="22"/>
          <w:szCs w:val="22"/>
          <w:lang w:val="fr-FR"/>
        </w:rPr>
        <w:t> </w:t>
      </w:r>
    </w:p>
    <w:p w:rsidR="00CE2F48" w:rsidRPr="00CE2F48" w:rsidRDefault="00CE2F48" w:rsidP="00CE2F48">
      <w:pPr>
        <w:pStyle w:val="paragraph"/>
        <w:spacing w:before="0" w:beforeAutospacing="0" w:after="0" w:afterAutospacing="0"/>
        <w:textAlignment w:val="baseline"/>
        <w:rPr>
          <w:sz w:val="22"/>
          <w:szCs w:val="22"/>
          <w:lang w:val="fr-FR"/>
        </w:rPr>
      </w:pPr>
    </w:p>
    <w:sectPr w:rsidR="00CE2F48" w:rsidRPr="00CE2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48"/>
    <w:rsid w:val="000A5FD5"/>
    <w:rsid w:val="00244FF5"/>
    <w:rsid w:val="005807EB"/>
    <w:rsid w:val="006F0BEB"/>
    <w:rsid w:val="00950D27"/>
    <w:rsid w:val="00BC044B"/>
    <w:rsid w:val="00CE2F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1684B"/>
  <w15:chartTrackingRefBased/>
  <w15:docId w15:val="{62075DF5-5A23-4659-9C16-F478648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CE2F4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CE2F48"/>
  </w:style>
  <w:style w:type="character" w:customStyle="1" w:styleId="eop">
    <w:name w:val="eop"/>
    <w:basedOn w:val="Policepardfaut"/>
    <w:rsid w:val="00C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335701">
      <w:bodyDiv w:val="1"/>
      <w:marLeft w:val="0"/>
      <w:marRight w:val="0"/>
      <w:marTop w:val="0"/>
      <w:marBottom w:val="0"/>
      <w:divBdr>
        <w:top w:val="none" w:sz="0" w:space="0" w:color="auto"/>
        <w:left w:val="none" w:sz="0" w:space="0" w:color="auto"/>
        <w:bottom w:val="none" w:sz="0" w:space="0" w:color="auto"/>
        <w:right w:val="none" w:sz="0" w:space="0" w:color="auto"/>
      </w:divBdr>
      <w:divsChild>
        <w:div w:id="1085372722">
          <w:marLeft w:val="0"/>
          <w:marRight w:val="0"/>
          <w:marTop w:val="0"/>
          <w:marBottom w:val="0"/>
          <w:divBdr>
            <w:top w:val="none" w:sz="0" w:space="0" w:color="auto"/>
            <w:left w:val="none" w:sz="0" w:space="0" w:color="auto"/>
            <w:bottom w:val="none" w:sz="0" w:space="0" w:color="auto"/>
            <w:right w:val="none" w:sz="0" w:space="0" w:color="auto"/>
          </w:divBdr>
        </w:div>
        <w:div w:id="774982975">
          <w:marLeft w:val="0"/>
          <w:marRight w:val="0"/>
          <w:marTop w:val="0"/>
          <w:marBottom w:val="0"/>
          <w:divBdr>
            <w:top w:val="none" w:sz="0" w:space="0" w:color="auto"/>
            <w:left w:val="none" w:sz="0" w:space="0" w:color="auto"/>
            <w:bottom w:val="none" w:sz="0" w:space="0" w:color="auto"/>
            <w:right w:val="none" w:sz="0" w:space="0" w:color="auto"/>
          </w:divBdr>
        </w:div>
        <w:div w:id="2135519850">
          <w:marLeft w:val="0"/>
          <w:marRight w:val="0"/>
          <w:marTop w:val="0"/>
          <w:marBottom w:val="0"/>
          <w:divBdr>
            <w:top w:val="none" w:sz="0" w:space="0" w:color="auto"/>
            <w:left w:val="none" w:sz="0" w:space="0" w:color="auto"/>
            <w:bottom w:val="none" w:sz="0" w:space="0" w:color="auto"/>
            <w:right w:val="none" w:sz="0" w:space="0" w:color="auto"/>
          </w:divBdr>
        </w:div>
        <w:div w:id="40902737">
          <w:marLeft w:val="0"/>
          <w:marRight w:val="0"/>
          <w:marTop w:val="0"/>
          <w:marBottom w:val="0"/>
          <w:divBdr>
            <w:top w:val="none" w:sz="0" w:space="0" w:color="auto"/>
            <w:left w:val="none" w:sz="0" w:space="0" w:color="auto"/>
            <w:bottom w:val="none" w:sz="0" w:space="0" w:color="auto"/>
            <w:right w:val="none" w:sz="0" w:space="0" w:color="auto"/>
          </w:divBdr>
        </w:div>
        <w:div w:id="1696610934">
          <w:marLeft w:val="0"/>
          <w:marRight w:val="0"/>
          <w:marTop w:val="0"/>
          <w:marBottom w:val="0"/>
          <w:divBdr>
            <w:top w:val="none" w:sz="0" w:space="0" w:color="auto"/>
            <w:left w:val="none" w:sz="0" w:space="0" w:color="auto"/>
            <w:bottom w:val="none" w:sz="0" w:space="0" w:color="auto"/>
            <w:right w:val="none" w:sz="0" w:space="0" w:color="auto"/>
          </w:divBdr>
        </w:div>
        <w:div w:id="1457600061">
          <w:marLeft w:val="0"/>
          <w:marRight w:val="0"/>
          <w:marTop w:val="0"/>
          <w:marBottom w:val="0"/>
          <w:divBdr>
            <w:top w:val="none" w:sz="0" w:space="0" w:color="auto"/>
            <w:left w:val="none" w:sz="0" w:space="0" w:color="auto"/>
            <w:bottom w:val="none" w:sz="0" w:space="0" w:color="auto"/>
            <w:right w:val="none" w:sz="0" w:space="0" w:color="auto"/>
          </w:divBdr>
        </w:div>
        <w:div w:id="1378429757">
          <w:marLeft w:val="0"/>
          <w:marRight w:val="0"/>
          <w:marTop w:val="0"/>
          <w:marBottom w:val="0"/>
          <w:divBdr>
            <w:top w:val="none" w:sz="0" w:space="0" w:color="auto"/>
            <w:left w:val="none" w:sz="0" w:space="0" w:color="auto"/>
            <w:bottom w:val="none" w:sz="0" w:space="0" w:color="auto"/>
            <w:right w:val="none" w:sz="0" w:space="0" w:color="auto"/>
          </w:divBdr>
        </w:div>
        <w:div w:id="1552040400">
          <w:marLeft w:val="0"/>
          <w:marRight w:val="0"/>
          <w:marTop w:val="0"/>
          <w:marBottom w:val="0"/>
          <w:divBdr>
            <w:top w:val="none" w:sz="0" w:space="0" w:color="auto"/>
            <w:left w:val="none" w:sz="0" w:space="0" w:color="auto"/>
            <w:bottom w:val="none" w:sz="0" w:space="0" w:color="auto"/>
            <w:right w:val="none" w:sz="0" w:space="0" w:color="auto"/>
          </w:divBdr>
        </w:div>
        <w:div w:id="1695811841">
          <w:marLeft w:val="0"/>
          <w:marRight w:val="0"/>
          <w:marTop w:val="0"/>
          <w:marBottom w:val="0"/>
          <w:divBdr>
            <w:top w:val="none" w:sz="0" w:space="0" w:color="auto"/>
            <w:left w:val="none" w:sz="0" w:space="0" w:color="auto"/>
            <w:bottom w:val="none" w:sz="0" w:space="0" w:color="auto"/>
            <w:right w:val="none" w:sz="0" w:space="0" w:color="auto"/>
          </w:divBdr>
        </w:div>
        <w:div w:id="1668943809">
          <w:marLeft w:val="0"/>
          <w:marRight w:val="0"/>
          <w:marTop w:val="0"/>
          <w:marBottom w:val="0"/>
          <w:divBdr>
            <w:top w:val="none" w:sz="0" w:space="0" w:color="auto"/>
            <w:left w:val="none" w:sz="0" w:space="0" w:color="auto"/>
            <w:bottom w:val="none" w:sz="0" w:space="0" w:color="auto"/>
            <w:right w:val="none" w:sz="0" w:space="0" w:color="auto"/>
          </w:divBdr>
        </w:div>
        <w:div w:id="1897160379">
          <w:marLeft w:val="0"/>
          <w:marRight w:val="0"/>
          <w:marTop w:val="0"/>
          <w:marBottom w:val="0"/>
          <w:divBdr>
            <w:top w:val="none" w:sz="0" w:space="0" w:color="auto"/>
            <w:left w:val="none" w:sz="0" w:space="0" w:color="auto"/>
            <w:bottom w:val="none" w:sz="0" w:space="0" w:color="auto"/>
            <w:right w:val="none" w:sz="0" w:space="0" w:color="auto"/>
          </w:divBdr>
        </w:div>
        <w:div w:id="1052458891">
          <w:marLeft w:val="0"/>
          <w:marRight w:val="0"/>
          <w:marTop w:val="0"/>
          <w:marBottom w:val="0"/>
          <w:divBdr>
            <w:top w:val="none" w:sz="0" w:space="0" w:color="auto"/>
            <w:left w:val="none" w:sz="0" w:space="0" w:color="auto"/>
            <w:bottom w:val="none" w:sz="0" w:space="0" w:color="auto"/>
            <w:right w:val="none" w:sz="0" w:space="0" w:color="auto"/>
          </w:divBdr>
        </w:div>
        <w:div w:id="1408072108">
          <w:marLeft w:val="0"/>
          <w:marRight w:val="0"/>
          <w:marTop w:val="0"/>
          <w:marBottom w:val="0"/>
          <w:divBdr>
            <w:top w:val="none" w:sz="0" w:space="0" w:color="auto"/>
            <w:left w:val="none" w:sz="0" w:space="0" w:color="auto"/>
            <w:bottom w:val="none" w:sz="0" w:space="0" w:color="auto"/>
            <w:right w:val="none" w:sz="0" w:space="0" w:color="auto"/>
          </w:divBdr>
        </w:div>
        <w:div w:id="1624534027">
          <w:marLeft w:val="0"/>
          <w:marRight w:val="0"/>
          <w:marTop w:val="0"/>
          <w:marBottom w:val="0"/>
          <w:divBdr>
            <w:top w:val="none" w:sz="0" w:space="0" w:color="auto"/>
            <w:left w:val="none" w:sz="0" w:space="0" w:color="auto"/>
            <w:bottom w:val="none" w:sz="0" w:space="0" w:color="auto"/>
            <w:right w:val="none" w:sz="0" w:space="0" w:color="auto"/>
          </w:divBdr>
        </w:div>
        <w:div w:id="360325495">
          <w:marLeft w:val="0"/>
          <w:marRight w:val="0"/>
          <w:marTop w:val="0"/>
          <w:marBottom w:val="0"/>
          <w:divBdr>
            <w:top w:val="none" w:sz="0" w:space="0" w:color="auto"/>
            <w:left w:val="none" w:sz="0" w:space="0" w:color="auto"/>
            <w:bottom w:val="none" w:sz="0" w:space="0" w:color="auto"/>
            <w:right w:val="none" w:sz="0" w:space="0" w:color="auto"/>
          </w:divBdr>
        </w:div>
        <w:div w:id="1868638556">
          <w:marLeft w:val="0"/>
          <w:marRight w:val="0"/>
          <w:marTop w:val="0"/>
          <w:marBottom w:val="0"/>
          <w:divBdr>
            <w:top w:val="none" w:sz="0" w:space="0" w:color="auto"/>
            <w:left w:val="none" w:sz="0" w:space="0" w:color="auto"/>
            <w:bottom w:val="none" w:sz="0" w:space="0" w:color="auto"/>
            <w:right w:val="none" w:sz="0" w:space="0" w:color="auto"/>
          </w:divBdr>
        </w:div>
        <w:div w:id="1313487686">
          <w:marLeft w:val="0"/>
          <w:marRight w:val="0"/>
          <w:marTop w:val="0"/>
          <w:marBottom w:val="0"/>
          <w:divBdr>
            <w:top w:val="none" w:sz="0" w:space="0" w:color="auto"/>
            <w:left w:val="none" w:sz="0" w:space="0" w:color="auto"/>
            <w:bottom w:val="none" w:sz="0" w:space="0" w:color="auto"/>
            <w:right w:val="none" w:sz="0" w:space="0" w:color="auto"/>
          </w:divBdr>
        </w:div>
        <w:div w:id="383413282">
          <w:marLeft w:val="0"/>
          <w:marRight w:val="0"/>
          <w:marTop w:val="0"/>
          <w:marBottom w:val="0"/>
          <w:divBdr>
            <w:top w:val="none" w:sz="0" w:space="0" w:color="auto"/>
            <w:left w:val="none" w:sz="0" w:space="0" w:color="auto"/>
            <w:bottom w:val="none" w:sz="0" w:space="0" w:color="auto"/>
            <w:right w:val="none" w:sz="0" w:space="0" w:color="auto"/>
          </w:divBdr>
        </w:div>
        <w:div w:id="1886210320">
          <w:marLeft w:val="0"/>
          <w:marRight w:val="0"/>
          <w:marTop w:val="0"/>
          <w:marBottom w:val="0"/>
          <w:divBdr>
            <w:top w:val="none" w:sz="0" w:space="0" w:color="auto"/>
            <w:left w:val="none" w:sz="0" w:space="0" w:color="auto"/>
            <w:bottom w:val="none" w:sz="0" w:space="0" w:color="auto"/>
            <w:right w:val="none" w:sz="0" w:space="0" w:color="auto"/>
          </w:divBdr>
        </w:div>
        <w:div w:id="313343384">
          <w:marLeft w:val="0"/>
          <w:marRight w:val="0"/>
          <w:marTop w:val="0"/>
          <w:marBottom w:val="0"/>
          <w:divBdr>
            <w:top w:val="none" w:sz="0" w:space="0" w:color="auto"/>
            <w:left w:val="none" w:sz="0" w:space="0" w:color="auto"/>
            <w:bottom w:val="none" w:sz="0" w:space="0" w:color="auto"/>
            <w:right w:val="none" w:sz="0" w:space="0" w:color="auto"/>
          </w:divBdr>
        </w:div>
        <w:div w:id="274217161">
          <w:marLeft w:val="0"/>
          <w:marRight w:val="0"/>
          <w:marTop w:val="0"/>
          <w:marBottom w:val="0"/>
          <w:divBdr>
            <w:top w:val="none" w:sz="0" w:space="0" w:color="auto"/>
            <w:left w:val="none" w:sz="0" w:space="0" w:color="auto"/>
            <w:bottom w:val="none" w:sz="0" w:space="0" w:color="auto"/>
            <w:right w:val="none" w:sz="0" w:space="0" w:color="auto"/>
          </w:divBdr>
        </w:div>
        <w:div w:id="113864258">
          <w:marLeft w:val="0"/>
          <w:marRight w:val="0"/>
          <w:marTop w:val="0"/>
          <w:marBottom w:val="0"/>
          <w:divBdr>
            <w:top w:val="none" w:sz="0" w:space="0" w:color="auto"/>
            <w:left w:val="none" w:sz="0" w:space="0" w:color="auto"/>
            <w:bottom w:val="none" w:sz="0" w:space="0" w:color="auto"/>
            <w:right w:val="none" w:sz="0" w:space="0" w:color="auto"/>
          </w:divBdr>
        </w:div>
        <w:div w:id="1953632113">
          <w:marLeft w:val="0"/>
          <w:marRight w:val="0"/>
          <w:marTop w:val="0"/>
          <w:marBottom w:val="0"/>
          <w:divBdr>
            <w:top w:val="none" w:sz="0" w:space="0" w:color="auto"/>
            <w:left w:val="none" w:sz="0" w:space="0" w:color="auto"/>
            <w:bottom w:val="none" w:sz="0" w:space="0" w:color="auto"/>
            <w:right w:val="none" w:sz="0" w:space="0" w:color="auto"/>
          </w:divBdr>
        </w:div>
        <w:div w:id="1540899658">
          <w:marLeft w:val="0"/>
          <w:marRight w:val="0"/>
          <w:marTop w:val="0"/>
          <w:marBottom w:val="0"/>
          <w:divBdr>
            <w:top w:val="none" w:sz="0" w:space="0" w:color="auto"/>
            <w:left w:val="none" w:sz="0" w:space="0" w:color="auto"/>
            <w:bottom w:val="none" w:sz="0" w:space="0" w:color="auto"/>
            <w:right w:val="none" w:sz="0" w:space="0" w:color="auto"/>
          </w:divBdr>
        </w:div>
        <w:div w:id="209654151">
          <w:marLeft w:val="0"/>
          <w:marRight w:val="0"/>
          <w:marTop w:val="0"/>
          <w:marBottom w:val="0"/>
          <w:divBdr>
            <w:top w:val="none" w:sz="0" w:space="0" w:color="auto"/>
            <w:left w:val="none" w:sz="0" w:space="0" w:color="auto"/>
            <w:bottom w:val="none" w:sz="0" w:space="0" w:color="auto"/>
            <w:right w:val="none" w:sz="0" w:space="0" w:color="auto"/>
          </w:divBdr>
        </w:div>
        <w:div w:id="1832524731">
          <w:marLeft w:val="0"/>
          <w:marRight w:val="0"/>
          <w:marTop w:val="0"/>
          <w:marBottom w:val="0"/>
          <w:divBdr>
            <w:top w:val="none" w:sz="0" w:space="0" w:color="auto"/>
            <w:left w:val="none" w:sz="0" w:space="0" w:color="auto"/>
            <w:bottom w:val="none" w:sz="0" w:space="0" w:color="auto"/>
            <w:right w:val="none" w:sz="0" w:space="0" w:color="auto"/>
          </w:divBdr>
        </w:div>
        <w:div w:id="1735666098">
          <w:marLeft w:val="0"/>
          <w:marRight w:val="0"/>
          <w:marTop w:val="0"/>
          <w:marBottom w:val="0"/>
          <w:divBdr>
            <w:top w:val="none" w:sz="0" w:space="0" w:color="auto"/>
            <w:left w:val="none" w:sz="0" w:space="0" w:color="auto"/>
            <w:bottom w:val="none" w:sz="0" w:space="0" w:color="auto"/>
            <w:right w:val="none" w:sz="0" w:space="0" w:color="auto"/>
          </w:divBdr>
        </w:div>
      </w:divsChild>
    </w:div>
    <w:div w:id="1172331131">
      <w:bodyDiv w:val="1"/>
      <w:marLeft w:val="0"/>
      <w:marRight w:val="0"/>
      <w:marTop w:val="0"/>
      <w:marBottom w:val="0"/>
      <w:divBdr>
        <w:top w:val="none" w:sz="0" w:space="0" w:color="auto"/>
        <w:left w:val="none" w:sz="0" w:space="0" w:color="auto"/>
        <w:bottom w:val="none" w:sz="0" w:space="0" w:color="auto"/>
        <w:right w:val="none" w:sz="0" w:space="0" w:color="auto"/>
      </w:divBdr>
      <w:divsChild>
        <w:div w:id="1303920225">
          <w:marLeft w:val="0"/>
          <w:marRight w:val="0"/>
          <w:marTop w:val="0"/>
          <w:marBottom w:val="0"/>
          <w:divBdr>
            <w:top w:val="none" w:sz="0" w:space="0" w:color="auto"/>
            <w:left w:val="none" w:sz="0" w:space="0" w:color="auto"/>
            <w:bottom w:val="none" w:sz="0" w:space="0" w:color="auto"/>
            <w:right w:val="none" w:sz="0" w:space="0" w:color="auto"/>
          </w:divBdr>
        </w:div>
        <w:div w:id="398552568">
          <w:marLeft w:val="0"/>
          <w:marRight w:val="0"/>
          <w:marTop w:val="0"/>
          <w:marBottom w:val="0"/>
          <w:divBdr>
            <w:top w:val="none" w:sz="0" w:space="0" w:color="auto"/>
            <w:left w:val="none" w:sz="0" w:space="0" w:color="auto"/>
            <w:bottom w:val="none" w:sz="0" w:space="0" w:color="auto"/>
            <w:right w:val="none" w:sz="0" w:space="0" w:color="auto"/>
          </w:divBdr>
        </w:div>
        <w:div w:id="1534077058">
          <w:marLeft w:val="0"/>
          <w:marRight w:val="0"/>
          <w:marTop w:val="0"/>
          <w:marBottom w:val="0"/>
          <w:divBdr>
            <w:top w:val="none" w:sz="0" w:space="0" w:color="auto"/>
            <w:left w:val="none" w:sz="0" w:space="0" w:color="auto"/>
            <w:bottom w:val="none" w:sz="0" w:space="0" w:color="auto"/>
            <w:right w:val="none" w:sz="0" w:space="0" w:color="auto"/>
          </w:divBdr>
        </w:div>
        <w:div w:id="545795374">
          <w:marLeft w:val="0"/>
          <w:marRight w:val="0"/>
          <w:marTop w:val="0"/>
          <w:marBottom w:val="0"/>
          <w:divBdr>
            <w:top w:val="none" w:sz="0" w:space="0" w:color="auto"/>
            <w:left w:val="none" w:sz="0" w:space="0" w:color="auto"/>
            <w:bottom w:val="none" w:sz="0" w:space="0" w:color="auto"/>
            <w:right w:val="none" w:sz="0" w:space="0" w:color="auto"/>
          </w:divBdr>
        </w:div>
        <w:div w:id="1383747652">
          <w:marLeft w:val="0"/>
          <w:marRight w:val="0"/>
          <w:marTop w:val="0"/>
          <w:marBottom w:val="0"/>
          <w:divBdr>
            <w:top w:val="none" w:sz="0" w:space="0" w:color="auto"/>
            <w:left w:val="none" w:sz="0" w:space="0" w:color="auto"/>
            <w:bottom w:val="none" w:sz="0" w:space="0" w:color="auto"/>
            <w:right w:val="none" w:sz="0" w:space="0" w:color="auto"/>
          </w:divBdr>
        </w:div>
        <w:div w:id="1406998042">
          <w:marLeft w:val="0"/>
          <w:marRight w:val="0"/>
          <w:marTop w:val="0"/>
          <w:marBottom w:val="0"/>
          <w:divBdr>
            <w:top w:val="none" w:sz="0" w:space="0" w:color="auto"/>
            <w:left w:val="none" w:sz="0" w:space="0" w:color="auto"/>
            <w:bottom w:val="none" w:sz="0" w:space="0" w:color="auto"/>
            <w:right w:val="none" w:sz="0" w:space="0" w:color="auto"/>
          </w:divBdr>
        </w:div>
        <w:div w:id="25910011">
          <w:marLeft w:val="0"/>
          <w:marRight w:val="0"/>
          <w:marTop w:val="0"/>
          <w:marBottom w:val="0"/>
          <w:divBdr>
            <w:top w:val="none" w:sz="0" w:space="0" w:color="auto"/>
            <w:left w:val="none" w:sz="0" w:space="0" w:color="auto"/>
            <w:bottom w:val="none" w:sz="0" w:space="0" w:color="auto"/>
            <w:right w:val="none" w:sz="0" w:space="0" w:color="auto"/>
          </w:divBdr>
        </w:div>
        <w:div w:id="1661351662">
          <w:marLeft w:val="0"/>
          <w:marRight w:val="0"/>
          <w:marTop w:val="0"/>
          <w:marBottom w:val="0"/>
          <w:divBdr>
            <w:top w:val="none" w:sz="0" w:space="0" w:color="auto"/>
            <w:left w:val="none" w:sz="0" w:space="0" w:color="auto"/>
            <w:bottom w:val="none" w:sz="0" w:space="0" w:color="auto"/>
            <w:right w:val="none" w:sz="0" w:space="0" w:color="auto"/>
          </w:divBdr>
        </w:div>
        <w:div w:id="1604537577">
          <w:marLeft w:val="0"/>
          <w:marRight w:val="0"/>
          <w:marTop w:val="0"/>
          <w:marBottom w:val="0"/>
          <w:divBdr>
            <w:top w:val="none" w:sz="0" w:space="0" w:color="auto"/>
            <w:left w:val="none" w:sz="0" w:space="0" w:color="auto"/>
            <w:bottom w:val="none" w:sz="0" w:space="0" w:color="auto"/>
            <w:right w:val="none" w:sz="0" w:space="0" w:color="auto"/>
          </w:divBdr>
        </w:div>
        <w:div w:id="466708513">
          <w:marLeft w:val="0"/>
          <w:marRight w:val="0"/>
          <w:marTop w:val="0"/>
          <w:marBottom w:val="0"/>
          <w:divBdr>
            <w:top w:val="none" w:sz="0" w:space="0" w:color="auto"/>
            <w:left w:val="none" w:sz="0" w:space="0" w:color="auto"/>
            <w:bottom w:val="none" w:sz="0" w:space="0" w:color="auto"/>
            <w:right w:val="none" w:sz="0" w:space="0" w:color="auto"/>
          </w:divBdr>
        </w:div>
        <w:div w:id="1426266101">
          <w:marLeft w:val="0"/>
          <w:marRight w:val="0"/>
          <w:marTop w:val="0"/>
          <w:marBottom w:val="0"/>
          <w:divBdr>
            <w:top w:val="none" w:sz="0" w:space="0" w:color="auto"/>
            <w:left w:val="none" w:sz="0" w:space="0" w:color="auto"/>
            <w:bottom w:val="none" w:sz="0" w:space="0" w:color="auto"/>
            <w:right w:val="none" w:sz="0" w:space="0" w:color="auto"/>
          </w:divBdr>
        </w:div>
        <w:div w:id="343021505">
          <w:marLeft w:val="0"/>
          <w:marRight w:val="0"/>
          <w:marTop w:val="0"/>
          <w:marBottom w:val="0"/>
          <w:divBdr>
            <w:top w:val="none" w:sz="0" w:space="0" w:color="auto"/>
            <w:left w:val="none" w:sz="0" w:space="0" w:color="auto"/>
            <w:bottom w:val="none" w:sz="0" w:space="0" w:color="auto"/>
            <w:right w:val="none" w:sz="0" w:space="0" w:color="auto"/>
          </w:divBdr>
        </w:div>
        <w:div w:id="1676230783">
          <w:marLeft w:val="0"/>
          <w:marRight w:val="0"/>
          <w:marTop w:val="0"/>
          <w:marBottom w:val="0"/>
          <w:divBdr>
            <w:top w:val="none" w:sz="0" w:space="0" w:color="auto"/>
            <w:left w:val="none" w:sz="0" w:space="0" w:color="auto"/>
            <w:bottom w:val="none" w:sz="0" w:space="0" w:color="auto"/>
            <w:right w:val="none" w:sz="0" w:space="0" w:color="auto"/>
          </w:divBdr>
        </w:div>
        <w:div w:id="1691445704">
          <w:marLeft w:val="0"/>
          <w:marRight w:val="0"/>
          <w:marTop w:val="0"/>
          <w:marBottom w:val="0"/>
          <w:divBdr>
            <w:top w:val="none" w:sz="0" w:space="0" w:color="auto"/>
            <w:left w:val="none" w:sz="0" w:space="0" w:color="auto"/>
            <w:bottom w:val="none" w:sz="0" w:space="0" w:color="auto"/>
            <w:right w:val="none" w:sz="0" w:space="0" w:color="auto"/>
          </w:divBdr>
        </w:div>
        <w:div w:id="1457792446">
          <w:marLeft w:val="0"/>
          <w:marRight w:val="0"/>
          <w:marTop w:val="0"/>
          <w:marBottom w:val="0"/>
          <w:divBdr>
            <w:top w:val="none" w:sz="0" w:space="0" w:color="auto"/>
            <w:left w:val="none" w:sz="0" w:space="0" w:color="auto"/>
            <w:bottom w:val="none" w:sz="0" w:space="0" w:color="auto"/>
            <w:right w:val="none" w:sz="0" w:space="0" w:color="auto"/>
          </w:divBdr>
        </w:div>
        <w:div w:id="2118983760">
          <w:marLeft w:val="0"/>
          <w:marRight w:val="0"/>
          <w:marTop w:val="0"/>
          <w:marBottom w:val="0"/>
          <w:divBdr>
            <w:top w:val="none" w:sz="0" w:space="0" w:color="auto"/>
            <w:left w:val="none" w:sz="0" w:space="0" w:color="auto"/>
            <w:bottom w:val="none" w:sz="0" w:space="0" w:color="auto"/>
            <w:right w:val="none" w:sz="0" w:space="0" w:color="auto"/>
          </w:divBdr>
        </w:div>
        <w:div w:id="517502568">
          <w:marLeft w:val="0"/>
          <w:marRight w:val="0"/>
          <w:marTop w:val="0"/>
          <w:marBottom w:val="0"/>
          <w:divBdr>
            <w:top w:val="none" w:sz="0" w:space="0" w:color="auto"/>
            <w:left w:val="none" w:sz="0" w:space="0" w:color="auto"/>
            <w:bottom w:val="none" w:sz="0" w:space="0" w:color="auto"/>
            <w:right w:val="none" w:sz="0" w:space="0" w:color="auto"/>
          </w:divBdr>
        </w:div>
        <w:div w:id="278995112">
          <w:marLeft w:val="0"/>
          <w:marRight w:val="0"/>
          <w:marTop w:val="0"/>
          <w:marBottom w:val="0"/>
          <w:divBdr>
            <w:top w:val="none" w:sz="0" w:space="0" w:color="auto"/>
            <w:left w:val="none" w:sz="0" w:space="0" w:color="auto"/>
            <w:bottom w:val="none" w:sz="0" w:space="0" w:color="auto"/>
            <w:right w:val="none" w:sz="0" w:space="0" w:color="auto"/>
          </w:divBdr>
        </w:div>
        <w:div w:id="1395619394">
          <w:marLeft w:val="0"/>
          <w:marRight w:val="0"/>
          <w:marTop w:val="0"/>
          <w:marBottom w:val="0"/>
          <w:divBdr>
            <w:top w:val="none" w:sz="0" w:space="0" w:color="auto"/>
            <w:left w:val="none" w:sz="0" w:space="0" w:color="auto"/>
            <w:bottom w:val="none" w:sz="0" w:space="0" w:color="auto"/>
            <w:right w:val="none" w:sz="0" w:space="0" w:color="auto"/>
          </w:divBdr>
        </w:div>
        <w:div w:id="2018999315">
          <w:marLeft w:val="0"/>
          <w:marRight w:val="0"/>
          <w:marTop w:val="0"/>
          <w:marBottom w:val="0"/>
          <w:divBdr>
            <w:top w:val="none" w:sz="0" w:space="0" w:color="auto"/>
            <w:left w:val="none" w:sz="0" w:space="0" w:color="auto"/>
            <w:bottom w:val="none" w:sz="0" w:space="0" w:color="auto"/>
            <w:right w:val="none" w:sz="0" w:space="0" w:color="auto"/>
          </w:divBdr>
        </w:div>
        <w:div w:id="144662034">
          <w:marLeft w:val="0"/>
          <w:marRight w:val="0"/>
          <w:marTop w:val="0"/>
          <w:marBottom w:val="0"/>
          <w:divBdr>
            <w:top w:val="none" w:sz="0" w:space="0" w:color="auto"/>
            <w:left w:val="none" w:sz="0" w:space="0" w:color="auto"/>
            <w:bottom w:val="none" w:sz="0" w:space="0" w:color="auto"/>
            <w:right w:val="none" w:sz="0" w:space="0" w:color="auto"/>
          </w:divBdr>
        </w:div>
        <w:div w:id="2134208553">
          <w:marLeft w:val="0"/>
          <w:marRight w:val="0"/>
          <w:marTop w:val="0"/>
          <w:marBottom w:val="0"/>
          <w:divBdr>
            <w:top w:val="none" w:sz="0" w:space="0" w:color="auto"/>
            <w:left w:val="none" w:sz="0" w:space="0" w:color="auto"/>
            <w:bottom w:val="none" w:sz="0" w:space="0" w:color="auto"/>
            <w:right w:val="none" w:sz="0" w:space="0" w:color="auto"/>
          </w:divBdr>
        </w:div>
        <w:div w:id="187454979">
          <w:marLeft w:val="0"/>
          <w:marRight w:val="0"/>
          <w:marTop w:val="0"/>
          <w:marBottom w:val="0"/>
          <w:divBdr>
            <w:top w:val="none" w:sz="0" w:space="0" w:color="auto"/>
            <w:left w:val="none" w:sz="0" w:space="0" w:color="auto"/>
            <w:bottom w:val="none" w:sz="0" w:space="0" w:color="auto"/>
            <w:right w:val="none" w:sz="0" w:space="0" w:color="auto"/>
          </w:divBdr>
        </w:div>
        <w:div w:id="1635912762">
          <w:marLeft w:val="0"/>
          <w:marRight w:val="0"/>
          <w:marTop w:val="0"/>
          <w:marBottom w:val="0"/>
          <w:divBdr>
            <w:top w:val="none" w:sz="0" w:space="0" w:color="auto"/>
            <w:left w:val="none" w:sz="0" w:space="0" w:color="auto"/>
            <w:bottom w:val="none" w:sz="0" w:space="0" w:color="auto"/>
            <w:right w:val="none" w:sz="0" w:space="0" w:color="auto"/>
          </w:divBdr>
        </w:div>
        <w:div w:id="500198899">
          <w:marLeft w:val="0"/>
          <w:marRight w:val="0"/>
          <w:marTop w:val="0"/>
          <w:marBottom w:val="0"/>
          <w:divBdr>
            <w:top w:val="none" w:sz="0" w:space="0" w:color="auto"/>
            <w:left w:val="none" w:sz="0" w:space="0" w:color="auto"/>
            <w:bottom w:val="none" w:sz="0" w:space="0" w:color="auto"/>
            <w:right w:val="none" w:sz="0" w:space="0" w:color="auto"/>
          </w:divBdr>
        </w:div>
        <w:div w:id="1007291134">
          <w:marLeft w:val="0"/>
          <w:marRight w:val="0"/>
          <w:marTop w:val="0"/>
          <w:marBottom w:val="0"/>
          <w:divBdr>
            <w:top w:val="none" w:sz="0" w:space="0" w:color="auto"/>
            <w:left w:val="none" w:sz="0" w:space="0" w:color="auto"/>
            <w:bottom w:val="none" w:sz="0" w:space="0" w:color="auto"/>
            <w:right w:val="none" w:sz="0" w:space="0" w:color="auto"/>
          </w:divBdr>
        </w:div>
        <w:div w:id="932977581">
          <w:marLeft w:val="0"/>
          <w:marRight w:val="0"/>
          <w:marTop w:val="0"/>
          <w:marBottom w:val="0"/>
          <w:divBdr>
            <w:top w:val="none" w:sz="0" w:space="0" w:color="auto"/>
            <w:left w:val="none" w:sz="0" w:space="0" w:color="auto"/>
            <w:bottom w:val="none" w:sz="0" w:space="0" w:color="auto"/>
            <w:right w:val="none" w:sz="0" w:space="0" w:color="auto"/>
          </w:divBdr>
        </w:div>
        <w:div w:id="1382750717">
          <w:marLeft w:val="0"/>
          <w:marRight w:val="0"/>
          <w:marTop w:val="0"/>
          <w:marBottom w:val="0"/>
          <w:divBdr>
            <w:top w:val="none" w:sz="0" w:space="0" w:color="auto"/>
            <w:left w:val="none" w:sz="0" w:space="0" w:color="auto"/>
            <w:bottom w:val="none" w:sz="0" w:space="0" w:color="auto"/>
            <w:right w:val="none" w:sz="0" w:space="0" w:color="auto"/>
          </w:divBdr>
        </w:div>
        <w:div w:id="2082285067">
          <w:marLeft w:val="0"/>
          <w:marRight w:val="0"/>
          <w:marTop w:val="0"/>
          <w:marBottom w:val="0"/>
          <w:divBdr>
            <w:top w:val="none" w:sz="0" w:space="0" w:color="auto"/>
            <w:left w:val="none" w:sz="0" w:space="0" w:color="auto"/>
            <w:bottom w:val="none" w:sz="0" w:space="0" w:color="auto"/>
            <w:right w:val="none" w:sz="0" w:space="0" w:color="auto"/>
          </w:divBdr>
        </w:div>
        <w:div w:id="148131960">
          <w:marLeft w:val="0"/>
          <w:marRight w:val="0"/>
          <w:marTop w:val="0"/>
          <w:marBottom w:val="0"/>
          <w:divBdr>
            <w:top w:val="none" w:sz="0" w:space="0" w:color="auto"/>
            <w:left w:val="none" w:sz="0" w:space="0" w:color="auto"/>
            <w:bottom w:val="none" w:sz="0" w:space="0" w:color="auto"/>
            <w:right w:val="none" w:sz="0" w:space="0" w:color="auto"/>
          </w:divBdr>
        </w:div>
        <w:div w:id="821694845">
          <w:marLeft w:val="0"/>
          <w:marRight w:val="0"/>
          <w:marTop w:val="0"/>
          <w:marBottom w:val="0"/>
          <w:divBdr>
            <w:top w:val="none" w:sz="0" w:space="0" w:color="auto"/>
            <w:left w:val="none" w:sz="0" w:space="0" w:color="auto"/>
            <w:bottom w:val="none" w:sz="0" w:space="0" w:color="auto"/>
            <w:right w:val="none" w:sz="0" w:space="0" w:color="auto"/>
          </w:divBdr>
        </w:div>
        <w:div w:id="1981957013">
          <w:marLeft w:val="0"/>
          <w:marRight w:val="0"/>
          <w:marTop w:val="0"/>
          <w:marBottom w:val="0"/>
          <w:divBdr>
            <w:top w:val="none" w:sz="0" w:space="0" w:color="auto"/>
            <w:left w:val="none" w:sz="0" w:space="0" w:color="auto"/>
            <w:bottom w:val="none" w:sz="0" w:space="0" w:color="auto"/>
            <w:right w:val="none" w:sz="0" w:space="0" w:color="auto"/>
          </w:divBdr>
        </w:div>
        <w:div w:id="1306861304">
          <w:marLeft w:val="0"/>
          <w:marRight w:val="0"/>
          <w:marTop w:val="0"/>
          <w:marBottom w:val="0"/>
          <w:divBdr>
            <w:top w:val="none" w:sz="0" w:space="0" w:color="auto"/>
            <w:left w:val="none" w:sz="0" w:space="0" w:color="auto"/>
            <w:bottom w:val="none" w:sz="0" w:space="0" w:color="auto"/>
            <w:right w:val="none" w:sz="0" w:space="0" w:color="auto"/>
          </w:divBdr>
        </w:div>
        <w:div w:id="514654878">
          <w:marLeft w:val="0"/>
          <w:marRight w:val="0"/>
          <w:marTop w:val="0"/>
          <w:marBottom w:val="0"/>
          <w:divBdr>
            <w:top w:val="none" w:sz="0" w:space="0" w:color="auto"/>
            <w:left w:val="none" w:sz="0" w:space="0" w:color="auto"/>
            <w:bottom w:val="none" w:sz="0" w:space="0" w:color="auto"/>
            <w:right w:val="none" w:sz="0" w:space="0" w:color="auto"/>
          </w:divBdr>
        </w:div>
        <w:div w:id="1743093179">
          <w:marLeft w:val="0"/>
          <w:marRight w:val="0"/>
          <w:marTop w:val="0"/>
          <w:marBottom w:val="0"/>
          <w:divBdr>
            <w:top w:val="none" w:sz="0" w:space="0" w:color="auto"/>
            <w:left w:val="none" w:sz="0" w:space="0" w:color="auto"/>
            <w:bottom w:val="none" w:sz="0" w:space="0" w:color="auto"/>
            <w:right w:val="none" w:sz="0" w:space="0" w:color="auto"/>
          </w:divBdr>
        </w:div>
        <w:div w:id="294530204">
          <w:marLeft w:val="0"/>
          <w:marRight w:val="0"/>
          <w:marTop w:val="0"/>
          <w:marBottom w:val="0"/>
          <w:divBdr>
            <w:top w:val="none" w:sz="0" w:space="0" w:color="auto"/>
            <w:left w:val="none" w:sz="0" w:space="0" w:color="auto"/>
            <w:bottom w:val="none" w:sz="0" w:space="0" w:color="auto"/>
            <w:right w:val="none" w:sz="0" w:space="0" w:color="auto"/>
          </w:divBdr>
        </w:div>
        <w:div w:id="1819027801">
          <w:marLeft w:val="0"/>
          <w:marRight w:val="0"/>
          <w:marTop w:val="0"/>
          <w:marBottom w:val="0"/>
          <w:divBdr>
            <w:top w:val="none" w:sz="0" w:space="0" w:color="auto"/>
            <w:left w:val="none" w:sz="0" w:space="0" w:color="auto"/>
            <w:bottom w:val="none" w:sz="0" w:space="0" w:color="auto"/>
            <w:right w:val="none" w:sz="0" w:space="0" w:color="auto"/>
          </w:divBdr>
        </w:div>
        <w:div w:id="1104810830">
          <w:marLeft w:val="0"/>
          <w:marRight w:val="0"/>
          <w:marTop w:val="0"/>
          <w:marBottom w:val="0"/>
          <w:divBdr>
            <w:top w:val="none" w:sz="0" w:space="0" w:color="auto"/>
            <w:left w:val="none" w:sz="0" w:space="0" w:color="auto"/>
            <w:bottom w:val="none" w:sz="0" w:space="0" w:color="auto"/>
            <w:right w:val="none" w:sz="0" w:space="0" w:color="auto"/>
          </w:divBdr>
        </w:div>
        <w:div w:id="865947626">
          <w:marLeft w:val="0"/>
          <w:marRight w:val="0"/>
          <w:marTop w:val="0"/>
          <w:marBottom w:val="0"/>
          <w:divBdr>
            <w:top w:val="none" w:sz="0" w:space="0" w:color="auto"/>
            <w:left w:val="none" w:sz="0" w:space="0" w:color="auto"/>
            <w:bottom w:val="none" w:sz="0" w:space="0" w:color="auto"/>
            <w:right w:val="none" w:sz="0" w:space="0" w:color="auto"/>
          </w:divBdr>
        </w:div>
        <w:div w:id="1854344019">
          <w:marLeft w:val="0"/>
          <w:marRight w:val="0"/>
          <w:marTop w:val="0"/>
          <w:marBottom w:val="0"/>
          <w:divBdr>
            <w:top w:val="none" w:sz="0" w:space="0" w:color="auto"/>
            <w:left w:val="none" w:sz="0" w:space="0" w:color="auto"/>
            <w:bottom w:val="none" w:sz="0" w:space="0" w:color="auto"/>
            <w:right w:val="none" w:sz="0" w:space="0" w:color="auto"/>
          </w:divBdr>
        </w:div>
        <w:div w:id="220484303">
          <w:marLeft w:val="0"/>
          <w:marRight w:val="0"/>
          <w:marTop w:val="0"/>
          <w:marBottom w:val="0"/>
          <w:divBdr>
            <w:top w:val="none" w:sz="0" w:space="0" w:color="auto"/>
            <w:left w:val="none" w:sz="0" w:space="0" w:color="auto"/>
            <w:bottom w:val="none" w:sz="0" w:space="0" w:color="auto"/>
            <w:right w:val="none" w:sz="0" w:space="0" w:color="auto"/>
          </w:divBdr>
        </w:div>
        <w:div w:id="2110081418">
          <w:marLeft w:val="0"/>
          <w:marRight w:val="0"/>
          <w:marTop w:val="0"/>
          <w:marBottom w:val="0"/>
          <w:divBdr>
            <w:top w:val="none" w:sz="0" w:space="0" w:color="auto"/>
            <w:left w:val="none" w:sz="0" w:space="0" w:color="auto"/>
            <w:bottom w:val="none" w:sz="0" w:space="0" w:color="auto"/>
            <w:right w:val="none" w:sz="0" w:space="0" w:color="auto"/>
          </w:divBdr>
        </w:div>
        <w:div w:id="1111128438">
          <w:marLeft w:val="0"/>
          <w:marRight w:val="0"/>
          <w:marTop w:val="0"/>
          <w:marBottom w:val="0"/>
          <w:divBdr>
            <w:top w:val="none" w:sz="0" w:space="0" w:color="auto"/>
            <w:left w:val="none" w:sz="0" w:space="0" w:color="auto"/>
            <w:bottom w:val="none" w:sz="0" w:space="0" w:color="auto"/>
            <w:right w:val="none" w:sz="0" w:space="0" w:color="auto"/>
          </w:divBdr>
        </w:div>
        <w:div w:id="1103647081">
          <w:marLeft w:val="0"/>
          <w:marRight w:val="0"/>
          <w:marTop w:val="0"/>
          <w:marBottom w:val="0"/>
          <w:divBdr>
            <w:top w:val="none" w:sz="0" w:space="0" w:color="auto"/>
            <w:left w:val="none" w:sz="0" w:space="0" w:color="auto"/>
            <w:bottom w:val="none" w:sz="0" w:space="0" w:color="auto"/>
            <w:right w:val="none" w:sz="0" w:space="0" w:color="auto"/>
          </w:divBdr>
        </w:div>
        <w:div w:id="1296790685">
          <w:marLeft w:val="0"/>
          <w:marRight w:val="0"/>
          <w:marTop w:val="0"/>
          <w:marBottom w:val="0"/>
          <w:divBdr>
            <w:top w:val="none" w:sz="0" w:space="0" w:color="auto"/>
            <w:left w:val="none" w:sz="0" w:space="0" w:color="auto"/>
            <w:bottom w:val="none" w:sz="0" w:space="0" w:color="auto"/>
            <w:right w:val="none" w:sz="0" w:space="0" w:color="auto"/>
          </w:divBdr>
        </w:div>
        <w:div w:id="1533497427">
          <w:marLeft w:val="0"/>
          <w:marRight w:val="0"/>
          <w:marTop w:val="0"/>
          <w:marBottom w:val="0"/>
          <w:divBdr>
            <w:top w:val="none" w:sz="0" w:space="0" w:color="auto"/>
            <w:left w:val="none" w:sz="0" w:space="0" w:color="auto"/>
            <w:bottom w:val="none" w:sz="0" w:space="0" w:color="auto"/>
            <w:right w:val="none" w:sz="0" w:space="0" w:color="auto"/>
          </w:divBdr>
        </w:div>
        <w:div w:id="787160685">
          <w:marLeft w:val="0"/>
          <w:marRight w:val="0"/>
          <w:marTop w:val="0"/>
          <w:marBottom w:val="0"/>
          <w:divBdr>
            <w:top w:val="none" w:sz="0" w:space="0" w:color="auto"/>
            <w:left w:val="none" w:sz="0" w:space="0" w:color="auto"/>
            <w:bottom w:val="none" w:sz="0" w:space="0" w:color="auto"/>
            <w:right w:val="none" w:sz="0" w:space="0" w:color="auto"/>
          </w:divBdr>
        </w:div>
        <w:div w:id="1549880484">
          <w:marLeft w:val="0"/>
          <w:marRight w:val="0"/>
          <w:marTop w:val="0"/>
          <w:marBottom w:val="0"/>
          <w:divBdr>
            <w:top w:val="none" w:sz="0" w:space="0" w:color="auto"/>
            <w:left w:val="none" w:sz="0" w:space="0" w:color="auto"/>
            <w:bottom w:val="none" w:sz="0" w:space="0" w:color="auto"/>
            <w:right w:val="none" w:sz="0" w:space="0" w:color="auto"/>
          </w:divBdr>
        </w:div>
        <w:div w:id="1404835739">
          <w:marLeft w:val="0"/>
          <w:marRight w:val="0"/>
          <w:marTop w:val="0"/>
          <w:marBottom w:val="0"/>
          <w:divBdr>
            <w:top w:val="none" w:sz="0" w:space="0" w:color="auto"/>
            <w:left w:val="none" w:sz="0" w:space="0" w:color="auto"/>
            <w:bottom w:val="none" w:sz="0" w:space="0" w:color="auto"/>
            <w:right w:val="none" w:sz="0" w:space="0" w:color="auto"/>
          </w:divBdr>
        </w:div>
        <w:div w:id="545259801">
          <w:marLeft w:val="0"/>
          <w:marRight w:val="0"/>
          <w:marTop w:val="0"/>
          <w:marBottom w:val="0"/>
          <w:divBdr>
            <w:top w:val="none" w:sz="0" w:space="0" w:color="auto"/>
            <w:left w:val="none" w:sz="0" w:space="0" w:color="auto"/>
            <w:bottom w:val="none" w:sz="0" w:space="0" w:color="auto"/>
            <w:right w:val="none" w:sz="0" w:space="0" w:color="auto"/>
          </w:divBdr>
        </w:div>
        <w:div w:id="905267059">
          <w:marLeft w:val="0"/>
          <w:marRight w:val="0"/>
          <w:marTop w:val="0"/>
          <w:marBottom w:val="0"/>
          <w:divBdr>
            <w:top w:val="none" w:sz="0" w:space="0" w:color="auto"/>
            <w:left w:val="none" w:sz="0" w:space="0" w:color="auto"/>
            <w:bottom w:val="none" w:sz="0" w:space="0" w:color="auto"/>
            <w:right w:val="none" w:sz="0" w:space="0" w:color="auto"/>
          </w:divBdr>
        </w:div>
        <w:div w:id="828252672">
          <w:marLeft w:val="0"/>
          <w:marRight w:val="0"/>
          <w:marTop w:val="0"/>
          <w:marBottom w:val="0"/>
          <w:divBdr>
            <w:top w:val="none" w:sz="0" w:space="0" w:color="auto"/>
            <w:left w:val="none" w:sz="0" w:space="0" w:color="auto"/>
            <w:bottom w:val="none" w:sz="0" w:space="0" w:color="auto"/>
            <w:right w:val="none" w:sz="0" w:space="0" w:color="auto"/>
          </w:divBdr>
        </w:div>
        <w:div w:id="2119982382">
          <w:marLeft w:val="0"/>
          <w:marRight w:val="0"/>
          <w:marTop w:val="0"/>
          <w:marBottom w:val="0"/>
          <w:divBdr>
            <w:top w:val="none" w:sz="0" w:space="0" w:color="auto"/>
            <w:left w:val="none" w:sz="0" w:space="0" w:color="auto"/>
            <w:bottom w:val="none" w:sz="0" w:space="0" w:color="auto"/>
            <w:right w:val="none" w:sz="0" w:space="0" w:color="auto"/>
          </w:divBdr>
        </w:div>
        <w:div w:id="1403874395">
          <w:marLeft w:val="0"/>
          <w:marRight w:val="0"/>
          <w:marTop w:val="0"/>
          <w:marBottom w:val="0"/>
          <w:divBdr>
            <w:top w:val="none" w:sz="0" w:space="0" w:color="auto"/>
            <w:left w:val="none" w:sz="0" w:space="0" w:color="auto"/>
            <w:bottom w:val="none" w:sz="0" w:space="0" w:color="auto"/>
            <w:right w:val="none" w:sz="0" w:space="0" w:color="auto"/>
          </w:divBdr>
        </w:div>
        <w:div w:id="1995142490">
          <w:marLeft w:val="0"/>
          <w:marRight w:val="0"/>
          <w:marTop w:val="0"/>
          <w:marBottom w:val="0"/>
          <w:divBdr>
            <w:top w:val="none" w:sz="0" w:space="0" w:color="auto"/>
            <w:left w:val="none" w:sz="0" w:space="0" w:color="auto"/>
            <w:bottom w:val="none" w:sz="0" w:space="0" w:color="auto"/>
            <w:right w:val="none" w:sz="0" w:space="0" w:color="auto"/>
          </w:divBdr>
        </w:div>
        <w:div w:id="994378626">
          <w:marLeft w:val="0"/>
          <w:marRight w:val="0"/>
          <w:marTop w:val="0"/>
          <w:marBottom w:val="0"/>
          <w:divBdr>
            <w:top w:val="none" w:sz="0" w:space="0" w:color="auto"/>
            <w:left w:val="none" w:sz="0" w:space="0" w:color="auto"/>
            <w:bottom w:val="none" w:sz="0" w:space="0" w:color="auto"/>
            <w:right w:val="none" w:sz="0" w:space="0" w:color="auto"/>
          </w:divBdr>
        </w:div>
        <w:div w:id="73986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2180</Words>
  <Characters>13301</Characters>
  <Application>Microsoft Office Word</Application>
  <DocSecurity>0</DocSecurity>
  <Lines>300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 Teleradio</dc:creator>
  <cp:keywords/>
  <dc:description/>
  <cp:lastModifiedBy>Ris Teleradio</cp:lastModifiedBy>
  <cp:revision>2</cp:revision>
  <dcterms:created xsi:type="dcterms:W3CDTF">2025-09-23T17:16:00Z</dcterms:created>
  <dcterms:modified xsi:type="dcterms:W3CDTF">2025-09-23T17:53:00Z</dcterms:modified>
</cp:coreProperties>
</file>