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0615" w14:textId="77777777" w:rsidR="00720B78" w:rsidRDefault="00000000">
      <w:pPr>
        <w:spacing w:before="200" w:after="40"/>
        <w:jc w:val="center"/>
      </w:pPr>
      <w:r>
        <w:rPr>
          <w:b/>
          <w:bCs/>
          <w:caps/>
          <w:color w:val="2E75B6"/>
          <w:sz w:val="20"/>
          <w:szCs w:val="20"/>
        </w:rPr>
        <w:t>SBD LAB  ·  UNIVERSITÉ DE LIÈGE</w:t>
      </w:r>
    </w:p>
    <w:p w14:paraId="75752B11" w14:textId="77777777" w:rsidR="00720B78" w:rsidRDefault="00000000">
      <w:pPr>
        <w:jc w:val="center"/>
      </w:pPr>
      <w:r>
        <w:rPr>
          <w:i/>
          <w:iCs/>
          <w:color w:val="888888"/>
          <w:sz w:val="18"/>
          <w:szCs w:val="18"/>
        </w:rPr>
        <w:t>Sustainable Building Design Laboratory</w:t>
      </w:r>
    </w:p>
    <w:p w14:paraId="2B022A68" w14:textId="77777777" w:rsidR="00720B78" w:rsidRDefault="00000000">
      <w:pPr>
        <w:jc w:val="center"/>
      </w:pPr>
      <w:r>
        <w:rPr>
          <w:color w:val="888888"/>
          <w:sz w:val="18"/>
          <w:szCs w:val="18"/>
        </w:rPr>
        <w:t>Faculty of Applied Sciences  ·  Liège, Belgium</w:t>
      </w:r>
    </w:p>
    <w:p w14:paraId="0D219BBF" w14:textId="77777777" w:rsidR="00720B78" w:rsidRDefault="00720B78">
      <w:pPr>
        <w:pBdr>
          <w:bottom w:val="single" w:sz="12" w:space="1" w:color="2E75B6"/>
        </w:pBdr>
        <w:spacing w:before="200"/>
      </w:pPr>
    </w:p>
    <w:p w14:paraId="5D609832" w14:textId="77777777" w:rsidR="00720B78" w:rsidRDefault="00000000">
      <w:pPr>
        <w:spacing w:before="320" w:after="80"/>
        <w:jc w:val="center"/>
      </w:pPr>
      <w:r>
        <w:rPr>
          <w:b/>
          <w:bCs/>
          <w:color w:val="1F4E79"/>
          <w:sz w:val="56"/>
          <w:szCs w:val="56"/>
        </w:rPr>
        <w:t>Renovation Rates in Belgium</w:t>
      </w:r>
    </w:p>
    <w:p w14:paraId="5DBB9DA3" w14:textId="374EFA59" w:rsidR="00720B78" w:rsidRDefault="00000000">
      <w:pPr>
        <w:spacing w:after="60"/>
        <w:jc w:val="center"/>
      </w:pPr>
      <w:r>
        <w:rPr>
          <w:i/>
          <w:iCs/>
          <w:color w:val="2E75B6"/>
          <w:sz w:val="26"/>
          <w:szCs w:val="26"/>
        </w:rPr>
        <w:t>An Evidence-Based Assessment: Federal and Regional Perspectives, 2000–202</w:t>
      </w:r>
      <w:r w:rsidR="00327B0C">
        <w:rPr>
          <w:i/>
          <w:iCs/>
          <w:color w:val="2E75B6"/>
          <w:sz w:val="26"/>
          <w:szCs w:val="26"/>
        </w:rPr>
        <w:t>5</w:t>
      </w:r>
    </w:p>
    <w:p w14:paraId="019B7080" w14:textId="77777777" w:rsidR="00720B78" w:rsidRDefault="00000000">
      <w:pPr>
        <w:spacing w:before="60" w:after="280"/>
        <w:jc w:val="center"/>
      </w:pPr>
      <w:r>
        <w:rPr>
          <w:color w:val="888888"/>
        </w:rPr>
        <w:t>Research Report</w:t>
      </w:r>
    </w:p>
    <w:p w14:paraId="4337A2C3" w14:textId="77777777" w:rsidR="00720B78" w:rsidRDefault="00720B78">
      <w:pPr>
        <w:pBdr>
          <w:bottom w:val="single" w:sz="4" w:space="1" w:color="CCCCCC"/>
        </w:pBdr>
      </w:pPr>
    </w:p>
    <w:p w14:paraId="486BD886" w14:textId="77777777" w:rsidR="00720B78" w:rsidRDefault="00000000">
      <w:pPr>
        <w:spacing w:before="220" w:after="60"/>
        <w:jc w:val="center"/>
      </w:pPr>
      <w:r>
        <w:rPr>
          <w:b/>
          <w:bCs/>
          <w:caps/>
          <w:color w:val="2E75B6"/>
          <w:sz w:val="18"/>
          <w:szCs w:val="18"/>
        </w:rPr>
        <w:t>Authors</w:t>
      </w:r>
    </w:p>
    <w:p w14:paraId="6C5E6F22" w14:textId="77777777" w:rsidR="00720B78" w:rsidRDefault="00000000">
      <w:pPr>
        <w:spacing w:before="40" w:after="20"/>
        <w:jc w:val="center"/>
      </w:pPr>
      <w:r>
        <w:rPr>
          <w:b/>
          <w:bCs/>
          <w:color w:val="1F4E79"/>
          <w:sz w:val="26"/>
          <w:szCs w:val="26"/>
        </w:rPr>
        <w:t>Shady Attia¹</w:t>
      </w:r>
    </w:p>
    <w:p w14:paraId="7DDA5F1D" w14:textId="77777777" w:rsidR="00720B78" w:rsidRDefault="00000000">
      <w:pPr>
        <w:spacing w:after="20"/>
        <w:jc w:val="center"/>
      </w:pPr>
      <w:proofErr w:type="spellStart"/>
      <w:r>
        <w:rPr>
          <w:b/>
          <w:bCs/>
          <w:color w:val="1F4E79"/>
          <w:sz w:val="26"/>
          <w:szCs w:val="26"/>
        </w:rPr>
        <w:t>Tinayi</w:t>
      </w:r>
      <w:proofErr w:type="spellEnd"/>
      <w:r>
        <w:rPr>
          <w:b/>
          <w:bCs/>
          <w:color w:val="1F4E79"/>
          <w:sz w:val="26"/>
          <w:szCs w:val="26"/>
        </w:rPr>
        <w:t xml:space="preserve"> Wang¹</w:t>
      </w:r>
    </w:p>
    <w:p w14:paraId="3D7FCDCD" w14:textId="77777777" w:rsidR="00720B78" w:rsidRDefault="00000000">
      <w:pPr>
        <w:spacing w:after="60"/>
        <w:jc w:val="center"/>
      </w:pPr>
      <w:r>
        <w:rPr>
          <w:b/>
          <w:bCs/>
          <w:color w:val="1F4E79"/>
          <w:sz w:val="26"/>
          <w:szCs w:val="26"/>
        </w:rPr>
        <w:t>Aurora Bertini¹</w:t>
      </w:r>
    </w:p>
    <w:p w14:paraId="6B070B76" w14:textId="77777777" w:rsidR="00720B78" w:rsidRDefault="00000000">
      <w:pPr>
        <w:spacing w:before="40" w:after="200"/>
        <w:jc w:val="center"/>
      </w:pPr>
      <w:r>
        <w:rPr>
          <w:i/>
          <w:iCs/>
          <w:color w:val="888888"/>
          <w:sz w:val="18"/>
          <w:szCs w:val="18"/>
        </w:rPr>
        <w:t>¹ SBD Lab — Sustainable Building Design Laboratory, Faculty of Applied Sciences, Université de Liège, Liège, Belgium</w:t>
      </w:r>
    </w:p>
    <w:p w14:paraId="084F8D7B" w14:textId="77777777" w:rsidR="00720B78" w:rsidRDefault="00720B78">
      <w:pPr>
        <w:pBdr>
          <w:bottom w:val="single" w:sz="4" w:space="1" w:color="CCCCCC"/>
        </w:pBdr>
      </w:pPr>
    </w:p>
    <w:p w14:paraId="6EF35277" w14:textId="77777777" w:rsidR="00720B78" w:rsidRDefault="00000000">
      <w:pPr>
        <w:spacing w:before="160" w:after="40"/>
        <w:jc w:val="center"/>
      </w:pPr>
      <w:r>
        <w:rPr>
          <w:color w:val="888888"/>
          <w:sz w:val="20"/>
          <w:szCs w:val="20"/>
        </w:rPr>
        <w:t xml:space="preserve">Published by  </w:t>
      </w:r>
      <w:r>
        <w:rPr>
          <w:b/>
          <w:bCs/>
          <w:sz w:val="20"/>
          <w:szCs w:val="20"/>
        </w:rPr>
        <w:t>SBD Lab, Université de Liège</w:t>
      </w:r>
    </w:p>
    <w:p w14:paraId="07AF9492" w14:textId="77777777" w:rsidR="00720B78" w:rsidRDefault="00000000">
      <w:pPr>
        <w:spacing w:before="20" w:after="20"/>
        <w:jc w:val="center"/>
      </w:pPr>
      <w:r>
        <w:rPr>
          <w:color w:val="888888"/>
          <w:sz w:val="20"/>
          <w:szCs w:val="20"/>
        </w:rPr>
        <w:t xml:space="preserve">Publication date:  </w:t>
      </w:r>
      <w:r>
        <w:rPr>
          <w:b/>
          <w:bCs/>
          <w:sz w:val="20"/>
          <w:szCs w:val="20"/>
        </w:rPr>
        <w:t>1 April 2026</w:t>
      </w:r>
    </w:p>
    <w:p w14:paraId="75E369E5" w14:textId="77777777" w:rsidR="00720B78" w:rsidRDefault="00000000">
      <w:pPr>
        <w:spacing w:before="20" w:after="20"/>
        <w:jc w:val="center"/>
      </w:pPr>
      <w:r>
        <w:rPr>
          <w:color w:val="888888"/>
          <w:sz w:val="20"/>
          <w:szCs w:val="20"/>
        </w:rPr>
        <w:t xml:space="preserve">ISBN  </w:t>
      </w:r>
      <w:r>
        <w:rPr>
          <w:b/>
          <w:bCs/>
          <w:sz w:val="20"/>
          <w:szCs w:val="20"/>
        </w:rPr>
        <w:t>978-2-930909-29-5</w:t>
      </w:r>
    </w:p>
    <w:p w14:paraId="3062739F" w14:textId="77777777" w:rsidR="00720B78" w:rsidRDefault="00000000">
      <w:pPr>
        <w:spacing w:before="180" w:after="40"/>
      </w:pPr>
      <w:r>
        <w:rPr>
          <w:b/>
          <w:bCs/>
          <w:color w:val="2E75B6"/>
          <w:sz w:val="18"/>
          <w:szCs w:val="18"/>
        </w:rPr>
        <w:t>Suggested citation:</w:t>
      </w:r>
    </w:p>
    <w:p w14:paraId="4BFA774C" w14:textId="77777777" w:rsidR="00720B78" w:rsidRDefault="00000000">
      <w:pPr>
        <w:pBdr>
          <w:top w:val="single" w:sz="4" w:space="8" w:color="2E75B6"/>
          <w:left w:val="single" w:sz="12" w:space="12" w:color="2E75B6"/>
          <w:bottom w:val="single" w:sz="4" w:space="8" w:color="2E75B6"/>
          <w:right w:val="single" w:sz="4" w:space="8" w:color="2E75B6"/>
        </w:pBdr>
        <w:spacing w:before="40" w:after="200" w:line="260" w:lineRule="auto"/>
        <w:ind w:left="400" w:right="400"/>
        <w:jc w:val="both"/>
      </w:pPr>
      <w:r>
        <w:rPr>
          <w:sz w:val="20"/>
          <w:szCs w:val="20"/>
        </w:rPr>
        <w:t xml:space="preserve">Attia, S., Wang, T., &amp; Bertini, A. (2026). </w:t>
      </w:r>
      <w:r>
        <w:rPr>
          <w:i/>
          <w:iCs/>
          <w:sz w:val="20"/>
          <w:szCs w:val="20"/>
        </w:rPr>
        <w:t>Renovation rates in Belgium: An evidence-based assessment — Federal and regional perspectives, 2000–2024</w:t>
      </w:r>
      <w:r>
        <w:rPr>
          <w:sz w:val="20"/>
          <w:szCs w:val="20"/>
        </w:rPr>
        <w:t>. SBD Lab, Université de Liège. ISBN 978-2-930909-29-5.</w:t>
      </w:r>
    </w:p>
    <w:p w14:paraId="62BF84F6" w14:textId="77777777" w:rsidR="00720B78" w:rsidRDefault="00000000">
      <w:r>
        <w:br w:type="page"/>
      </w:r>
    </w:p>
    <w:p w14:paraId="685CAFDA" w14:textId="77777777" w:rsidR="00720B78" w:rsidRDefault="00000000">
      <w:pPr>
        <w:spacing w:before="80" w:after="60"/>
        <w:jc w:val="center"/>
      </w:pPr>
      <w:r>
        <w:rPr>
          <w:b/>
          <w:bCs/>
          <w:color w:val="1F4E79"/>
          <w:sz w:val="36"/>
          <w:szCs w:val="36"/>
        </w:rPr>
        <w:lastRenderedPageBreak/>
        <w:t>Renovation Rates in Belgium</w:t>
      </w:r>
    </w:p>
    <w:p w14:paraId="46D319E8" w14:textId="77A4AFC6" w:rsidR="00720B78" w:rsidRDefault="00000000">
      <w:pPr>
        <w:spacing w:after="20"/>
        <w:jc w:val="center"/>
      </w:pPr>
      <w:r>
        <w:rPr>
          <w:i/>
          <w:iCs/>
          <w:color w:val="2E75B6"/>
        </w:rPr>
        <w:t>An Evidence-Based Assessment: Federal and Regional Perspectives, 2000–202</w:t>
      </w:r>
      <w:r w:rsidR="005102C8">
        <w:rPr>
          <w:i/>
          <w:iCs/>
          <w:color w:val="2E75B6"/>
        </w:rPr>
        <w:t>5</w:t>
      </w:r>
    </w:p>
    <w:p w14:paraId="2B95BFB6" w14:textId="77777777" w:rsidR="00720B78" w:rsidRDefault="00000000">
      <w:pPr>
        <w:spacing w:after="20"/>
        <w:jc w:val="center"/>
      </w:pPr>
      <w:r>
        <w:rPr>
          <w:color w:val="888888"/>
          <w:sz w:val="19"/>
          <w:szCs w:val="19"/>
        </w:rPr>
        <w:t>Attia, S., Wang, T., &amp; Bertini, A.  ·  SBD Lab, Université de Liège  ·  1 April 2026  ·  ISBN 978-2-930909-29-5</w:t>
      </w:r>
    </w:p>
    <w:p w14:paraId="2AE86835" w14:textId="77777777" w:rsidR="00720B78" w:rsidRDefault="00720B78">
      <w:pPr>
        <w:pBdr>
          <w:bottom w:val="single" w:sz="8" w:space="1" w:color="2E75B6"/>
        </w:pBdr>
        <w:spacing w:before="80" w:after="240"/>
      </w:pPr>
    </w:p>
    <w:p w14:paraId="30F290D9" w14:textId="77777777" w:rsidR="00720B78" w:rsidRDefault="00000000">
      <w:pPr>
        <w:pStyle w:val="Heading1"/>
      </w:pPr>
      <w:r>
        <w:t>Executive Summary</w:t>
      </w:r>
    </w:p>
    <w:p w14:paraId="64AB9545" w14:textId="77777777" w:rsidR="00720B78" w:rsidRDefault="00000000">
      <w:pPr>
        <w:spacing w:before="80" w:after="100" w:line="276" w:lineRule="auto"/>
        <w:jc w:val="both"/>
      </w:pPr>
      <w:r>
        <w:t xml:space="preserve">Belgium's residential building stock is among the most energy-intensive in the European Union. Measured by building permits as a share of the existing stock, the overall renovation rate has remained at </w:t>
      </w:r>
      <w:r>
        <w:rPr>
          <w:b/>
          <w:bCs/>
        </w:rPr>
        <w:t>approximately 1% per year</w:t>
      </w:r>
      <w:r>
        <w:t xml:space="preserve"> at the federal level since 2000, with </w:t>
      </w:r>
      <w:r>
        <w:rPr>
          <w:b/>
          <w:bCs/>
        </w:rPr>
        <w:t>deep renovations accounting for only ~0.2% annually</w:t>
      </w:r>
      <w:r>
        <w:t>. Regional rates diverge substantially: Flanders consistently outperforms the national average (~1.0–1.1%), Wallonia tracks slightly below it (~0.8–0.9%), and the Brussels-Capital Region records the lowest permit-per-building intensity (~0.4–0.6%) due to its predominantly high-density apartment stock. Across all three regions, more than 50% of dwellings fall within the three worst-performing EPC label categories. Meeting the EU 2050 climate-neutrality target requires tripling renovation activity in Flanders and quadrupling it in Wallonia and Brussels. This document synthesises the latest evidence — permit statistics, peer-reviewed research, regulatory analyses, and financial data — to map renovation rates over 2000–2024 at both federal and regional levels.</w:t>
      </w:r>
    </w:p>
    <w:p w14:paraId="258A5A00" w14:textId="77777777" w:rsidR="00720B78" w:rsidRDefault="00720B78">
      <w:pPr>
        <w:spacing w:before="60" w:after="60"/>
      </w:pPr>
    </w:p>
    <w:p w14:paraId="3362E2E2" w14:textId="66642905" w:rsidR="00CE2D24" w:rsidRDefault="00CE2D24" w:rsidP="00CE2D24">
      <w:pPr>
        <w:pStyle w:val="Heading1"/>
      </w:pPr>
      <w:r>
        <w:t>Abstract</w:t>
      </w:r>
    </w:p>
    <w:p w14:paraId="73A6C846" w14:textId="77777777" w:rsidR="00CE2D24" w:rsidRDefault="00CE2D24" w:rsidP="00CE2D24">
      <w:pPr>
        <w:spacing w:before="60" w:after="60"/>
      </w:pPr>
      <w:r>
        <w:t>Belgium’s residential building stock ranks among the most energy-intensive in the European Union, with approximately 80% of dwellings still requiring energy upgrading to meet 2050 climate-neutrality targets. This report provides a comprehensive, evidence-based assessment of renovation rates across Belgium at both federal and regional levels, covering the period 2000–2024. Drawing on official permit statistics (</w:t>
      </w:r>
      <w:proofErr w:type="spellStart"/>
      <w:r>
        <w:t>Statbel</w:t>
      </w:r>
      <w:proofErr w:type="spellEnd"/>
      <w:r>
        <w:t>), peer-reviewed research, national bank analyses, and regulatory frameworks, we document that the overall permit-based renovation intensity has remained broadly stagnant at approximately 1% of the residential stock per annum over 25 years, with deep renovations — those achieving the two highest EPC performance labels — accounting for only ~0.2% annually. Marked regional divergence is identified: the Flemish Region consistently records the highest intensity (~1.0–1.1%), supported by a binding post-purchase renovation obligation introduced in January 2023; the Walloon Region trails at ~0.8–0.9%, with a slight downward trend since 2015 and no binding obligation in force; and the Brussels-Capital Region records the lowest permit-per-building rate (~0.4–0.6%) owing to its apartment-dominated, condominium-governed housing stock. A COVID-era peak in 2021 — reaching ~1.35% nationally — proved short-lived, reversing sharply by 2024 to approximately 0.85% at the federal level. Seven evidence-based data tables and a longitudinal chart synthesise rate trajectories, policy events, and the gap to EU 2030 and 2050 targets. Meeting the 2050 decarbonisation objective requires tripling renovation activity in Flanders and quadrupling it in Wallonia and Brussels. The findings underscore the urgent need for strengthened binding obligations, targeted financial instruments for lower-income households, governance reform in multi-owner buildings, and workforce development across all three regions.</w:t>
      </w:r>
    </w:p>
    <w:p w14:paraId="605E0CE7" w14:textId="77777777" w:rsidR="00CE2D24" w:rsidRDefault="00CE2D24" w:rsidP="00CE2D24">
      <w:pPr>
        <w:spacing w:before="60" w:after="60"/>
      </w:pPr>
    </w:p>
    <w:p w14:paraId="112F2CA6" w14:textId="1321F447" w:rsidR="00CE2D24" w:rsidRDefault="00CE2D24" w:rsidP="00CE2D24">
      <w:pPr>
        <w:spacing w:before="60" w:after="60"/>
      </w:pPr>
      <w:r w:rsidRPr="00CE2D24">
        <w:rPr>
          <w:b/>
          <w:bCs/>
          <w:color w:val="2E75B6"/>
          <w:sz w:val="32"/>
          <w:szCs w:val="32"/>
        </w:rPr>
        <w:t>Keywords:</w:t>
      </w:r>
      <w:r>
        <w:t xml:space="preserve">  building renovation; renovation rate; energy performance; EPC; Belgium; Flanders; Wallonia; Brussels; residential buildings; deep renovation; EPBD; climate targets; building permits; energy efficiency; long-term renovation strategy</w:t>
      </w:r>
    </w:p>
    <w:p w14:paraId="47AB74FC" w14:textId="77777777" w:rsidR="00720B78" w:rsidRDefault="00000000">
      <w:pPr>
        <w:pStyle w:val="Heading1"/>
      </w:pPr>
      <w:r>
        <w:lastRenderedPageBreak/>
        <w:t>Figure 1: Renovation Rate Trends — Federal and Regional, 2000–2024</w:t>
      </w:r>
    </w:p>
    <w:p w14:paraId="17B3D039" w14:textId="77777777" w:rsidR="00720B78" w:rsidRDefault="00000000">
      <w:pPr>
        <w:spacing w:before="80" w:after="40"/>
        <w:jc w:val="center"/>
      </w:pPr>
      <w:r>
        <w:rPr>
          <w:noProof/>
        </w:rPr>
        <w:drawing>
          <wp:inline distT="0" distB="0" distL="0" distR="0" wp14:anchorId="47CA09E0" wp14:editId="2CE9B8E8">
            <wp:extent cx="6000750" cy="3019425"/>
            <wp:effectExtent l="0" t="0" r="0" b="0"/>
            <wp:docPr id="1" name="renovation_chart" descr="Line chart showing residential renovation permit intensity for Belgium federal level and three regions 2000-2024" title="Renovation rates Belgium 2000-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000750" cy="3019425"/>
                    </a:xfrm>
                    <a:prstGeom prst="rect">
                      <a:avLst/>
                    </a:prstGeom>
                  </pic:spPr>
                </pic:pic>
              </a:graphicData>
            </a:graphic>
          </wp:inline>
        </w:drawing>
      </w:r>
    </w:p>
    <w:p w14:paraId="6847EB07" w14:textId="77777777" w:rsidR="00720B78" w:rsidRDefault="00000000">
      <w:pPr>
        <w:spacing w:before="40" w:after="160" w:line="276" w:lineRule="auto"/>
        <w:jc w:val="both"/>
        <w:rPr>
          <w:i/>
          <w:iCs/>
          <w:sz w:val="18"/>
          <w:szCs w:val="18"/>
        </w:rPr>
      </w:pPr>
      <w:r>
        <w:rPr>
          <w:i/>
          <w:iCs/>
          <w:sz w:val="18"/>
          <w:szCs w:val="18"/>
        </w:rPr>
        <w:t xml:space="preserve">Figure 1 — Permit-based renovation intensity (number of renovation building permits as a percentage of existing residential building stock per annum), 2000–2024. Brussels rate expressed per dwelling for inter-regional comparability. Dashed red lines indicate EU 2030 target (~2%) and BPIE deep renovation target (~3%). Sources: </w:t>
      </w:r>
      <w:proofErr w:type="spellStart"/>
      <w:r>
        <w:rPr>
          <w:i/>
          <w:iCs/>
          <w:sz w:val="18"/>
          <w:szCs w:val="18"/>
        </w:rPr>
        <w:t>Statbel</w:t>
      </w:r>
      <w:proofErr w:type="spellEnd"/>
      <w:r>
        <w:rPr>
          <w:i/>
          <w:iCs/>
          <w:sz w:val="18"/>
          <w:szCs w:val="18"/>
        </w:rPr>
        <w:t xml:space="preserve"> (2025); Van </w:t>
      </w:r>
      <w:proofErr w:type="spellStart"/>
      <w:r>
        <w:rPr>
          <w:i/>
          <w:iCs/>
          <w:sz w:val="18"/>
          <w:szCs w:val="18"/>
        </w:rPr>
        <w:t>Gompel</w:t>
      </w:r>
      <w:proofErr w:type="spellEnd"/>
      <w:r>
        <w:rPr>
          <w:i/>
          <w:iCs/>
          <w:sz w:val="18"/>
          <w:szCs w:val="18"/>
        </w:rPr>
        <w:t xml:space="preserve">/KBC Economics (2026); </w:t>
      </w:r>
      <w:proofErr w:type="spellStart"/>
      <w:r>
        <w:rPr>
          <w:i/>
          <w:iCs/>
          <w:sz w:val="18"/>
          <w:szCs w:val="18"/>
        </w:rPr>
        <w:t>Climact</w:t>
      </w:r>
      <w:proofErr w:type="spellEnd"/>
      <w:r>
        <w:rPr>
          <w:i/>
          <w:iCs/>
          <w:sz w:val="18"/>
          <w:szCs w:val="18"/>
        </w:rPr>
        <w:t xml:space="preserve"> (2024); IWEPS/Statista (2023); </w:t>
      </w:r>
      <w:proofErr w:type="spellStart"/>
      <w:r>
        <w:rPr>
          <w:i/>
          <w:iCs/>
          <w:sz w:val="18"/>
          <w:szCs w:val="18"/>
        </w:rPr>
        <w:t>Reusens</w:t>
      </w:r>
      <w:proofErr w:type="spellEnd"/>
      <w:r>
        <w:rPr>
          <w:i/>
          <w:iCs/>
          <w:sz w:val="18"/>
          <w:szCs w:val="18"/>
        </w:rPr>
        <w:t xml:space="preserve"> et al., NBB (2025); </w:t>
      </w:r>
      <w:proofErr w:type="spellStart"/>
      <w:r>
        <w:rPr>
          <w:i/>
          <w:iCs/>
          <w:sz w:val="18"/>
          <w:szCs w:val="18"/>
        </w:rPr>
        <w:t>Gepts</w:t>
      </w:r>
      <w:proofErr w:type="spellEnd"/>
      <w:r>
        <w:rPr>
          <w:i/>
          <w:iCs/>
          <w:sz w:val="18"/>
          <w:szCs w:val="18"/>
        </w:rPr>
        <w:t xml:space="preserve"> et al. (2025); FIEC (2025).</w:t>
      </w:r>
    </w:p>
    <w:p w14:paraId="53F3A480" w14:textId="77777777" w:rsidR="00BE711E" w:rsidRDefault="00BE711E">
      <w:pPr>
        <w:spacing w:before="40" w:after="160" w:line="276" w:lineRule="auto"/>
        <w:jc w:val="both"/>
        <w:rPr>
          <w:i/>
          <w:iCs/>
          <w:sz w:val="18"/>
          <w:szCs w:val="18"/>
        </w:rPr>
      </w:pPr>
    </w:p>
    <w:p w14:paraId="5F6BCED5" w14:textId="77777777" w:rsidR="00BE711E" w:rsidRDefault="00BE711E">
      <w:pPr>
        <w:spacing w:before="40" w:after="160" w:line="276" w:lineRule="auto"/>
        <w:jc w:val="both"/>
        <w:rPr>
          <w:i/>
          <w:iCs/>
          <w:sz w:val="18"/>
          <w:szCs w:val="18"/>
        </w:rPr>
      </w:pPr>
    </w:p>
    <w:p w14:paraId="5842779F" w14:textId="77777777" w:rsidR="00BE711E" w:rsidRDefault="00BE711E">
      <w:pPr>
        <w:spacing w:before="40" w:after="160" w:line="276" w:lineRule="auto"/>
        <w:jc w:val="both"/>
        <w:rPr>
          <w:i/>
          <w:iCs/>
          <w:sz w:val="18"/>
          <w:szCs w:val="18"/>
        </w:rPr>
      </w:pPr>
    </w:p>
    <w:p w14:paraId="11CFFADE" w14:textId="77777777" w:rsidR="00BE711E" w:rsidRDefault="00BE711E">
      <w:pPr>
        <w:spacing w:before="40" w:after="160" w:line="276" w:lineRule="auto"/>
        <w:jc w:val="both"/>
        <w:rPr>
          <w:i/>
          <w:iCs/>
          <w:sz w:val="18"/>
          <w:szCs w:val="18"/>
        </w:rPr>
      </w:pPr>
    </w:p>
    <w:p w14:paraId="5DD08402" w14:textId="77777777" w:rsidR="00BE711E" w:rsidRDefault="00BE711E">
      <w:pPr>
        <w:spacing w:before="40" w:after="160" w:line="276" w:lineRule="auto"/>
        <w:jc w:val="both"/>
        <w:rPr>
          <w:i/>
          <w:iCs/>
          <w:sz w:val="18"/>
          <w:szCs w:val="18"/>
        </w:rPr>
      </w:pPr>
    </w:p>
    <w:p w14:paraId="7A9628E0" w14:textId="77777777" w:rsidR="00BE711E" w:rsidRDefault="00BE711E">
      <w:pPr>
        <w:spacing w:before="40" w:after="160" w:line="276" w:lineRule="auto"/>
        <w:jc w:val="both"/>
        <w:rPr>
          <w:i/>
          <w:iCs/>
          <w:sz w:val="18"/>
          <w:szCs w:val="18"/>
        </w:rPr>
      </w:pPr>
    </w:p>
    <w:p w14:paraId="58E70A2A" w14:textId="77777777" w:rsidR="00BE711E" w:rsidRDefault="00BE711E">
      <w:pPr>
        <w:spacing w:before="40" w:after="160" w:line="276" w:lineRule="auto"/>
        <w:jc w:val="both"/>
        <w:rPr>
          <w:i/>
          <w:iCs/>
          <w:sz w:val="18"/>
          <w:szCs w:val="18"/>
        </w:rPr>
      </w:pPr>
    </w:p>
    <w:p w14:paraId="219EB57A" w14:textId="77777777" w:rsidR="00BE711E" w:rsidRDefault="00BE711E">
      <w:pPr>
        <w:spacing w:before="40" w:after="160" w:line="276" w:lineRule="auto"/>
        <w:jc w:val="both"/>
        <w:rPr>
          <w:i/>
          <w:iCs/>
          <w:sz w:val="18"/>
          <w:szCs w:val="18"/>
        </w:rPr>
      </w:pPr>
    </w:p>
    <w:p w14:paraId="2C05631C" w14:textId="77777777" w:rsidR="00BE711E" w:rsidRDefault="00BE711E">
      <w:pPr>
        <w:spacing w:before="40" w:after="160" w:line="276" w:lineRule="auto"/>
        <w:jc w:val="both"/>
        <w:rPr>
          <w:i/>
          <w:iCs/>
          <w:sz w:val="18"/>
          <w:szCs w:val="18"/>
        </w:rPr>
      </w:pPr>
    </w:p>
    <w:p w14:paraId="5C3EFF74" w14:textId="77777777" w:rsidR="00BE711E" w:rsidRDefault="00BE711E">
      <w:pPr>
        <w:spacing w:before="40" w:after="160" w:line="276" w:lineRule="auto"/>
        <w:jc w:val="both"/>
        <w:rPr>
          <w:i/>
          <w:iCs/>
          <w:sz w:val="18"/>
          <w:szCs w:val="18"/>
        </w:rPr>
      </w:pPr>
    </w:p>
    <w:p w14:paraId="26522AB2" w14:textId="77777777" w:rsidR="00BE711E" w:rsidRDefault="00BE711E">
      <w:pPr>
        <w:spacing w:before="40" w:after="160" w:line="276" w:lineRule="auto"/>
        <w:jc w:val="both"/>
        <w:rPr>
          <w:i/>
          <w:iCs/>
          <w:sz w:val="18"/>
          <w:szCs w:val="18"/>
        </w:rPr>
      </w:pPr>
    </w:p>
    <w:p w14:paraId="6BB6D09A" w14:textId="77777777" w:rsidR="00BE711E" w:rsidRDefault="00BE711E">
      <w:pPr>
        <w:spacing w:before="40" w:after="160" w:line="276" w:lineRule="auto"/>
        <w:jc w:val="both"/>
        <w:rPr>
          <w:i/>
          <w:iCs/>
          <w:sz w:val="18"/>
          <w:szCs w:val="18"/>
        </w:rPr>
      </w:pPr>
    </w:p>
    <w:p w14:paraId="0A8FEAF4" w14:textId="77777777" w:rsidR="00BE711E" w:rsidRDefault="00BE711E">
      <w:pPr>
        <w:spacing w:before="40" w:after="160" w:line="276" w:lineRule="auto"/>
        <w:jc w:val="both"/>
        <w:rPr>
          <w:i/>
          <w:iCs/>
          <w:sz w:val="18"/>
          <w:szCs w:val="18"/>
        </w:rPr>
      </w:pPr>
    </w:p>
    <w:p w14:paraId="6E708BD1" w14:textId="77777777" w:rsidR="00BE711E" w:rsidRDefault="00BE711E">
      <w:pPr>
        <w:spacing w:before="40" w:after="160" w:line="276" w:lineRule="auto"/>
        <w:jc w:val="both"/>
        <w:rPr>
          <w:i/>
          <w:iCs/>
          <w:sz w:val="18"/>
          <w:szCs w:val="18"/>
        </w:rPr>
      </w:pPr>
    </w:p>
    <w:p w14:paraId="0CF277BE" w14:textId="77777777" w:rsidR="00BE711E" w:rsidRDefault="00BE711E">
      <w:pPr>
        <w:spacing w:before="40" w:after="160" w:line="276" w:lineRule="auto"/>
        <w:jc w:val="both"/>
        <w:rPr>
          <w:i/>
          <w:iCs/>
          <w:sz w:val="18"/>
          <w:szCs w:val="18"/>
        </w:rPr>
      </w:pPr>
    </w:p>
    <w:p w14:paraId="090B7FDE" w14:textId="77777777" w:rsidR="00BE711E" w:rsidRDefault="00BE711E">
      <w:pPr>
        <w:spacing w:before="40" w:after="160" w:line="276" w:lineRule="auto"/>
        <w:jc w:val="both"/>
      </w:pPr>
    </w:p>
    <w:p w14:paraId="2A1060F5" w14:textId="77777777" w:rsidR="00720B78" w:rsidRDefault="00000000">
      <w:pPr>
        <w:pStyle w:val="Heading1"/>
      </w:pPr>
      <w:r>
        <w:lastRenderedPageBreak/>
        <w:t>1. National (Federal) Overview</w:t>
      </w:r>
    </w:p>
    <w:p w14:paraId="516462AE" w14:textId="77777777" w:rsidR="00720B78" w:rsidRDefault="00000000">
      <w:pPr>
        <w:pStyle w:val="Heading2"/>
      </w:pPr>
      <w:r>
        <w:t>1.1 Overall Renovation Rate, 2000–2024</w:t>
      </w:r>
    </w:p>
    <w:p w14:paraId="132A9896" w14:textId="77777777" w:rsidR="00720B78" w:rsidRDefault="00000000">
      <w:pPr>
        <w:spacing w:before="80" w:after="100" w:line="276" w:lineRule="auto"/>
        <w:jc w:val="both"/>
      </w:pPr>
      <w:r>
        <w:t>The primary empirical metric for tracking renovation intensity in Belgium is the ratio of building permits issued for residential renovations to the total residential building stock. Since 2007, renovation permits have consistently exceeded new-construction permits (</w:t>
      </w:r>
      <w:proofErr w:type="spellStart"/>
      <w:r>
        <w:t>Statbel</w:t>
      </w:r>
      <w:proofErr w:type="spellEnd"/>
      <w:r>
        <w:t xml:space="preserve">, 2025). The renovation intensity has remained </w:t>
      </w:r>
      <w:r>
        <w:rPr>
          <w:b/>
          <w:bCs/>
        </w:rPr>
        <w:t>broadly flat for 25 years</w:t>
      </w:r>
      <w:r>
        <w:t xml:space="preserve">, oscillating around 1% per annum, with two notable departures: a brief dip around 2018 and a sharp COVID-era peak in 2021–early 2022, after which activity reversed sharply (Van </w:t>
      </w:r>
      <w:proofErr w:type="spellStart"/>
      <w:r>
        <w:t>Gompel</w:t>
      </w:r>
      <w:proofErr w:type="spellEnd"/>
      <w:r>
        <w:t xml:space="preserve">, 2026; </w:t>
      </w:r>
      <w:proofErr w:type="spellStart"/>
      <w:r>
        <w:t>Statbel</w:t>
      </w:r>
      <w:proofErr w:type="spellEnd"/>
      <w:r>
        <w:t>, 2025).</w:t>
      </w:r>
    </w:p>
    <w:p w14:paraId="642C7121" w14:textId="77777777" w:rsidR="00720B78" w:rsidRDefault="00720B78">
      <w:pPr>
        <w:spacing w:before="60" w:after="60"/>
      </w:pPr>
    </w:p>
    <w:p w14:paraId="17FCF980" w14:textId="77777777" w:rsidR="00720B78" w:rsidRDefault="00000000">
      <w:pPr>
        <w:spacing w:before="100" w:after="40"/>
      </w:pPr>
      <w:r>
        <w:rPr>
          <w:b/>
          <w:bCs/>
          <w:color w:val="1F4E79"/>
        </w:rPr>
        <w:t>Table 1: Residential Renovation Permit Intensity — Federal and Regional, Selected Years 2000–2024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
        <w:gridCol w:w="950"/>
        <w:gridCol w:w="950"/>
        <w:gridCol w:w="950"/>
        <w:gridCol w:w="950"/>
        <w:gridCol w:w="4476"/>
      </w:tblGrid>
      <w:tr w:rsidR="00720B78" w14:paraId="0D49E546" w14:textId="77777777">
        <w:tblPrEx>
          <w:tblCellMar>
            <w:top w:w="0" w:type="dxa"/>
            <w:bottom w:w="0" w:type="dxa"/>
          </w:tblCellMar>
        </w:tblPrEx>
        <w:trPr>
          <w:tblHeader/>
        </w:trPr>
        <w:tc>
          <w:tcPr>
            <w:tcW w:w="7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5EFC564D" w14:textId="77777777" w:rsidR="00720B78" w:rsidRDefault="00000000">
            <w:pPr>
              <w:jc w:val="center"/>
            </w:pPr>
            <w:r>
              <w:rPr>
                <w:b/>
                <w:bCs/>
                <w:color w:val="1F4E79"/>
                <w:sz w:val="17"/>
                <w:szCs w:val="17"/>
              </w:rPr>
              <w:t>Year</w:t>
            </w:r>
          </w:p>
        </w:tc>
        <w:tc>
          <w:tcPr>
            <w:tcW w:w="9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1187A7A9" w14:textId="77777777" w:rsidR="00720B78" w:rsidRDefault="00000000">
            <w:pPr>
              <w:jc w:val="center"/>
            </w:pPr>
            <w:r>
              <w:rPr>
                <w:b/>
                <w:bCs/>
                <w:color w:val="1F4E79"/>
                <w:sz w:val="17"/>
                <w:szCs w:val="17"/>
              </w:rPr>
              <w:t>Belgium (Federal)</w:t>
            </w:r>
          </w:p>
        </w:tc>
        <w:tc>
          <w:tcPr>
            <w:tcW w:w="9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1C37B026" w14:textId="77777777" w:rsidR="00720B78" w:rsidRDefault="00000000">
            <w:pPr>
              <w:jc w:val="center"/>
            </w:pPr>
            <w:r>
              <w:rPr>
                <w:b/>
                <w:bCs/>
                <w:color w:val="1F4E79"/>
                <w:sz w:val="17"/>
                <w:szCs w:val="17"/>
              </w:rPr>
              <w:t>Flemish Region</w:t>
            </w:r>
          </w:p>
        </w:tc>
        <w:tc>
          <w:tcPr>
            <w:tcW w:w="9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1F6D6CA9" w14:textId="77777777" w:rsidR="00720B78" w:rsidRDefault="00000000">
            <w:pPr>
              <w:jc w:val="center"/>
            </w:pPr>
            <w:r>
              <w:rPr>
                <w:b/>
                <w:bCs/>
                <w:color w:val="1F4E79"/>
                <w:sz w:val="17"/>
                <w:szCs w:val="17"/>
              </w:rPr>
              <w:t>Walloon Region</w:t>
            </w:r>
          </w:p>
        </w:tc>
        <w:tc>
          <w:tcPr>
            <w:tcW w:w="9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43EE547A" w14:textId="77777777" w:rsidR="00720B78" w:rsidRDefault="00000000">
            <w:pPr>
              <w:jc w:val="center"/>
            </w:pPr>
            <w:r>
              <w:rPr>
                <w:b/>
                <w:bCs/>
                <w:color w:val="1F4E79"/>
                <w:sz w:val="17"/>
                <w:szCs w:val="17"/>
              </w:rPr>
              <w:t>Brussels- Capital</w:t>
            </w:r>
          </w:p>
        </w:tc>
        <w:tc>
          <w:tcPr>
            <w:tcW w:w="4476"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292BB84B" w14:textId="77777777" w:rsidR="00720B78" w:rsidRDefault="00000000">
            <w:pPr>
              <w:jc w:val="center"/>
            </w:pPr>
            <w:r>
              <w:rPr>
                <w:b/>
                <w:bCs/>
                <w:color w:val="1F4E79"/>
                <w:sz w:val="17"/>
                <w:szCs w:val="17"/>
              </w:rPr>
              <w:t>Key National Context</w:t>
            </w:r>
          </w:p>
        </w:tc>
      </w:tr>
      <w:tr w:rsidR="00720B78" w14:paraId="69C31748"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6ED619B" w14:textId="77777777" w:rsidR="00720B78" w:rsidRDefault="00000000">
            <w:r>
              <w:rPr>
                <w:sz w:val="17"/>
                <w:szCs w:val="17"/>
              </w:rPr>
              <w:t>2000</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BC65379" w14:textId="77777777" w:rsidR="00720B78" w:rsidRDefault="00000000">
            <w:r>
              <w:rPr>
                <w:sz w:val="17"/>
                <w:szCs w:val="17"/>
              </w:rPr>
              <w:t>~0.70%</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27D0C78" w14:textId="77777777" w:rsidR="00720B78" w:rsidRDefault="00000000">
            <w:r>
              <w:rPr>
                <w:sz w:val="17"/>
                <w:szCs w:val="17"/>
              </w:rPr>
              <w:t>~0.78%</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2542452" w14:textId="77777777" w:rsidR="00720B78" w:rsidRDefault="00000000">
            <w:r>
              <w:rPr>
                <w:sz w:val="17"/>
                <w:szCs w:val="17"/>
              </w:rPr>
              <w:t>~0.70%</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10237A2" w14:textId="77777777" w:rsidR="00720B78" w:rsidRDefault="00000000">
            <w:r>
              <w:rPr>
                <w:sz w:val="17"/>
                <w:szCs w:val="17"/>
              </w:rPr>
              <w:t>~0.42%</w:t>
            </w:r>
          </w:p>
        </w:tc>
        <w:tc>
          <w:tcPr>
            <w:tcW w:w="44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D1CED29" w14:textId="77777777" w:rsidR="00720B78" w:rsidRDefault="00000000">
            <w:r>
              <w:rPr>
                <w:sz w:val="17"/>
                <w:szCs w:val="17"/>
              </w:rPr>
              <w:t>Pre-EPBD baseline; EPC not yet mandatory</w:t>
            </w:r>
          </w:p>
        </w:tc>
      </w:tr>
      <w:tr w:rsidR="00720B78" w14:paraId="024CEDED"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C612535" w14:textId="77777777" w:rsidR="00720B78" w:rsidRDefault="00000000">
            <w:r>
              <w:rPr>
                <w:sz w:val="17"/>
                <w:szCs w:val="17"/>
              </w:rPr>
              <w:t>2005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5DD4C5A" w14:textId="77777777" w:rsidR="00720B78" w:rsidRDefault="00000000">
            <w:r>
              <w:rPr>
                <w:sz w:val="17"/>
                <w:szCs w:val="17"/>
              </w:rPr>
              <w:t>~0.85%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5C6FA55" w14:textId="77777777" w:rsidR="00720B78" w:rsidRDefault="00000000">
            <w:r>
              <w:rPr>
                <w:sz w:val="17"/>
                <w:szCs w:val="17"/>
              </w:rPr>
              <w:t>~0.95%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D7E35FE" w14:textId="77777777" w:rsidR="00720B78" w:rsidRDefault="00000000">
            <w:r>
              <w:rPr>
                <w:sz w:val="17"/>
                <w:szCs w:val="17"/>
              </w:rPr>
              <w:t>~0.82%</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DEA2412" w14:textId="77777777" w:rsidR="00720B78" w:rsidRDefault="00000000">
            <w:r>
              <w:rPr>
                <w:sz w:val="17"/>
                <w:szCs w:val="17"/>
              </w:rPr>
              <w:t>~0.52%</w:t>
            </w:r>
          </w:p>
        </w:tc>
        <w:tc>
          <w:tcPr>
            <w:tcW w:w="44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A76955E" w14:textId="77777777" w:rsidR="00720B78" w:rsidRDefault="00000000">
            <w:r>
              <w:rPr>
                <w:sz w:val="17"/>
                <w:szCs w:val="17"/>
              </w:rPr>
              <w:t>Flemish EPC pilot; EU EPBD 2002 implementation</w:t>
            </w:r>
          </w:p>
        </w:tc>
      </w:tr>
      <w:tr w:rsidR="00720B78" w14:paraId="6CC79F35"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C50481B" w14:textId="77777777" w:rsidR="00720B78" w:rsidRDefault="00000000">
            <w:r>
              <w:rPr>
                <w:sz w:val="17"/>
                <w:szCs w:val="17"/>
              </w:rPr>
              <w:t>2007</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EEB17B2" w14:textId="77777777" w:rsidR="00720B78" w:rsidRDefault="00000000">
            <w:r>
              <w:rPr>
                <w:sz w:val="17"/>
                <w:szCs w:val="17"/>
              </w:rPr>
              <w:t>~0.92%</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BF8B0A6" w14:textId="77777777" w:rsidR="00720B78" w:rsidRDefault="00000000">
            <w:r>
              <w:rPr>
                <w:sz w:val="17"/>
                <w:szCs w:val="17"/>
              </w:rPr>
              <w:t>~1.02%</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E9DB7DB" w14:textId="77777777" w:rsidR="00720B78" w:rsidRDefault="00000000">
            <w:r>
              <w:rPr>
                <w:sz w:val="17"/>
                <w:szCs w:val="17"/>
              </w:rPr>
              <w:t>~0.90%</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3A32799" w14:textId="77777777" w:rsidR="00720B78" w:rsidRDefault="00000000">
            <w:r>
              <w:rPr>
                <w:sz w:val="17"/>
                <w:szCs w:val="17"/>
              </w:rPr>
              <w:t>~0.56%</w:t>
            </w:r>
          </w:p>
        </w:tc>
        <w:tc>
          <w:tcPr>
            <w:tcW w:w="44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532E6A8" w14:textId="77777777" w:rsidR="00720B78" w:rsidRDefault="00000000">
            <w:r>
              <w:rPr>
                <w:sz w:val="17"/>
                <w:szCs w:val="17"/>
              </w:rPr>
              <w:t>Renovation permits first exceed new-build nationally</w:t>
            </w:r>
          </w:p>
        </w:tc>
      </w:tr>
      <w:tr w:rsidR="00720B78" w14:paraId="00CC0C92"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4133AED6" w14:textId="77777777" w:rsidR="00720B78" w:rsidRDefault="00000000">
            <w:r>
              <w:rPr>
                <w:sz w:val="17"/>
                <w:szCs w:val="17"/>
              </w:rPr>
              <w:t>2010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6C727DF" w14:textId="77777777" w:rsidR="00720B78" w:rsidRDefault="00000000">
            <w:r>
              <w:rPr>
                <w:sz w:val="17"/>
                <w:szCs w:val="17"/>
              </w:rPr>
              <w:t>~1.00%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15197F0" w14:textId="77777777" w:rsidR="00720B78" w:rsidRDefault="00000000">
            <w:r>
              <w:rPr>
                <w:sz w:val="17"/>
                <w:szCs w:val="17"/>
              </w:rPr>
              <w:t>~1.08%</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423EAAD4" w14:textId="77777777" w:rsidR="00720B78" w:rsidRDefault="00000000">
            <w:r>
              <w:rPr>
                <w:sz w:val="17"/>
                <w:szCs w:val="17"/>
              </w:rPr>
              <w:t>~0.96%</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92C5C48" w14:textId="77777777" w:rsidR="00720B78" w:rsidRDefault="00000000">
            <w:r>
              <w:rPr>
                <w:sz w:val="17"/>
                <w:szCs w:val="17"/>
              </w:rPr>
              <w:t>~0.58%</w:t>
            </w:r>
          </w:p>
        </w:tc>
        <w:tc>
          <w:tcPr>
            <w:tcW w:w="44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5DD2B1F" w14:textId="77777777" w:rsidR="00720B78" w:rsidRDefault="00000000">
            <w:r>
              <w:rPr>
                <w:sz w:val="17"/>
                <w:szCs w:val="17"/>
              </w:rPr>
              <w:t>EU EPBD 2010/31/EU recast; post-GFC recovery</w:t>
            </w:r>
          </w:p>
        </w:tc>
      </w:tr>
      <w:tr w:rsidR="00720B78" w14:paraId="3A6F9693"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F0AFB61" w14:textId="77777777" w:rsidR="00720B78" w:rsidRDefault="00000000">
            <w:r>
              <w:rPr>
                <w:sz w:val="17"/>
                <w:szCs w:val="17"/>
              </w:rPr>
              <w:t>2015</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35A96DF" w14:textId="77777777" w:rsidR="00720B78" w:rsidRDefault="00000000">
            <w:r>
              <w:rPr>
                <w:sz w:val="17"/>
                <w:szCs w:val="17"/>
              </w:rPr>
              <w:t>~1.05%</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55ADE29" w14:textId="77777777" w:rsidR="00720B78" w:rsidRDefault="00000000">
            <w:r>
              <w:rPr>
                <w:sz w:val="17"/>
                <w:szCs w:val="17"/>
              </w:rPr>
              <w:t>~1.12%</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A09B7B1" w14:textId="77777777" w:rsidR="00720B78" w:rsidRDefault="00000000">
            <w:r>
              <w:rPr>
                <w:sz w:val="17"/>
                <w:szCs w:val="17"/>
              </w:rPr>
              <w:t>~0.98%</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1D8D141" w14:textId="77777777" w:rsidR="00720B78" w:rsidRDefault="00000000">
            <w:r>
              <w:rPr>
                <w:sz w:val="17"/>
                <w:szCs w:val="17"/>
              </w:rPr>
              <w:t>~0.58%</w:t>
            </w:r>
          </w:p>
        </w:tc>
        <w:tc>
          <w:tcPr>
            <w:tcW w:w="44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5E056D1" w14:textId="77777777" w:rsidR="00720B78" w:rsidRDefault="00000000">
            <w:r>
              <w:rPr>
                <w:sz w:val="17"/>
                <w:szCs w:val="17"/>
              </w:rPr>
              <w:t>Plateau; regional subsidies broadened</w:t>
            </w:r>
          </w:p>
        </w:tc>
      </w:tr>
      <w:tr w:rsidR="00720B78" w14:paraId="3D37B5EB"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5F05F8A" w14:textId="77777777" w:rsidR="00720B78" w:rsidRDefault="00000000">
            <w:r>
              <w:rPr>
                <w:sz w:val="17"/>
                <w:szCs w:val="17"/>
              </w:rPr>
              <w:t>2018</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18E1EAD" w14:textId="77777777" w:rsidR="00720B78" w:rsidRDefault="00000000">
            <w:r>
              <w:rPr>
                <w:sz w:val="17"/>
                <w:szCs w:val="17"/>
              </w:rPr>
              <w:t>~1.00%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43BC21E" w14:textId="77777777" w:rsidR="00720B78" w:rsidRDefault="00000000">
            <w:r>
              <w:rPr>
                <w:sz w:val="17"/>
                <w:szCs w:val="17"/>
              </w:rPr>
              <w:t>~1.05%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392C8A0" w14:textId="77777777" w:rsidR="00720B78" w:rsidRDefault="00000000">
            <w:r>
              <w:rPr>
                <w:sz w:val="17"/>
                <w:szCs w:val="17"/>
              </w:rPr>
              <w:t>~0.90%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1275FCC" w14:textId="77777777" w:rsidR="00720B78" w:rsidRDefault="00000000">
            <w:r>
              <w:rPr>
                <w:sz w:val="17"/>
                <w:szCs w:val="17"/>
              </w:rPr>
              <w:t>~0.54%</w:t>
            </w:r>
          </w:p>
        </w:tc>
        <w:tc>
          <w:tcPr>
            <w:tcW w:w="44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E92B507" w14:textId="77777777" w:rsidR="00720B78" w:rsidRDefault="00000000">
            <w:r>
              <w:rPr>
                <w:sz w:val="17"/>
                <w:szCs w:val="17"/>
              </w:rPr>
              <w:t>Brief dip — new-build briefly exceeds renovation</w:t>
            </w:r>
          </w:p>
        </w:tc>
      </w:tr>
      <w:tr w:rsidR="00720B78" w14:paraId="3CFCDCF1"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D4ADEA7" w14:textId="77777777" w:rsidR="00720B78" w:rsidRDefault="00000000">
            <w:r>
              <w:rPr>
                <w:sz w:val="17"/>
                <w:szCs w:val="17"/>
              </w:rPr>
              <w:t>2019</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C4C5DD2" w14:textId="77777777" w:rsidR="00720B78" w:rsidRDefault="00000000">
            <w:r>
              <w:rPr>
                <w:sz w:val="17"/>
                <w:szCs w:val="17"/>
              </w:rPr>
              <w:t>~1.08%</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8B8211F" w14:textId="77777777" w:rsidR="00720B78" w:rsidRDefault="00000000">
            <w:r>
              <w:rPr>
                <w:sz w:val="17"/>
                <w:szCs w:val="17"/>
              </w:rPr>
              <w:t>~1.13%</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ADB8850" w14:textId="77777777" w:rsidR="00720B78" w:rsidRDefault="00000000">
            <w:r>
              <w:rPr>
                <w:sz w:val="17"/>
                <w:szCs w:val="17"/>
              </w:rPr>
              <w:t>~0.96%</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3094E2F" w14:textId="77777777" w:rsidR="00720B78" w:rsidRDefault="00000000">
            <w:r>
              <w:rPr>
                <w:sz w:val="17"/>
                <w:szCs w:val="17"/>
              </w:rPr>
              <w:t>~0.57%</w:t>
            </w:r>
          </w:p>
        </w:tc>
        <w:tc>
          <w:tcPr>
            <w:tcW w:w="44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7095B34" w14:textId="77777777" w:rsidR="00720B78" w:rsidRDefault="00000000">
            <w:r>
              <w:rPr>
                <w:sz w:val="17"/>
                <w:szCs w:val="17"/>
              </w:rPr>
              <w:t>Recovery; Flemish EPC obligation reinforced</w:t>
            </w:r>
          </w:p>
        </w:tc>
      </w:tr>
      <w:tr w:rsidR="00720B78" w14:paraId="68B034CF"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4BB4D78D" w14:textId="77777777" w:rsidR="00720B78" w:rsidRDefault="00000000">
            <w:r>
              <w:rPr>
                <w:sz w:val="17"/>
                <w:szCs w:val="17"/>
              </w:rPr>
              <w:t>2020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3BE196E" w14:textId="77777777" w:rsidR="00720B78" w:rsidRDefault="00000000">
            <w:r>
              <w:rPr>
                <w:sz w:val="17"/>
                <w:szCs w:val="17"/>
              </w:rPr>
              <w:t>~1.10%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EE28FAA" w14:textId="77777777" w:rsidR="00720B78" w:rsidRDefault="00000000">
            <w:r>
              <w:rPr>
                <w:sz w:val="17"/>
                <w:szCs w:val="17"/>
              </w:rPr>
              <w:t>~1.15%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4AE4C98" w14:textId="77777777" w:rsidR="00720B78" w:rsidRDefault="00000000">
            <w:r>
              <w:rPr>
                <w:sz w:val="17"/>
                <w:szCs w:val="17"/>
              </w:rPr>
              <w:t>~0.98%</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DBD22E9" w14:textId="77777777" w:rsidR="00720B78" w:rsidRDefault="00000000">
            <w:r>
              <w:rPr>
                <w:sz w:val="17"/>
                <w:szCs w:val="17"/>
              </w:rPr>
              <w:t>~0.58%</w:t>
            </w:r>
          </w:p>
        </w:tc>
        <w:tc>
          <w:tcPr>
            <w:tcW w:w="44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BF10741" w14:textId="77777777" w:rsidR="00720B78" w:rsidRDefault="00000000">
            <w:r>
              <w:rPr>
                <w:sz w:val="17"/>
                <w:szCs w:val="17"/>
              </w:rPr>
              <w:t>COVID lockdowns; household investment surge begins</w:t>
            </w:r>
          </w:p>
        </w:tc>
      </w:tr>
      <w:tr w:rsidR="00720B78" w14:paraId="6F054B14"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AE6CE21" w14:textId="77777777" w:rsidR="00720B78" w:rsidRDefault="00000000">
            <w:r>
              <w:rPr>
                <w:sz w:val="17"/>
                <w:szCs w:val="17"/>
              </w:rPr>
              <w:t>2021</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37E952B" w14:textId="77777777" w:rsidR="00720B78" w:rsidRDefault="00000000">
            <w:r>
              <w:rPr>
                <w:sz w:val="17"/>
                <w:szCs w:val="17"/>
              </w:rPr>
              <w:t>~1.35%</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A2D498A" w14:textId="77777777" w:rsidR="00720B78" w:rsidRDefault="00000000">
            <w:r>
              <w:rPr>
                <w:sz w:val="17"/>
                <w:szCs w:val="17"/>
              </w:rPr>
              <w:t>~1.40%</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66B38CE" w14:textId="77777777" w:rsidR="00720B78" w:rsidRDefault="00000000">
            <w:r>
              <w:rPr>
                <w:sz w:val="17"/>
                <w:szCs w:val="17"/>
              </w:rPr>
              <w:t>~1.10%</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A6F1279" w14:textId="77777777" w:rsidR="00720B78" w:rsidRDefault="00000000">
            <w:r>
              <w:rPr>
                <w:sz w:val="17"/>
                <w:szCs w:val="17"/>
              </w:rPr>
              <w:t>~0.65%</w:t>
            </w:r>
          </w:p>
        </w:tc>
        <w:tc>
          <w:tcPr>
            <w:tcW w:w="44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2248B6B" w14:textId="77777777" w:rsidR="00720B78" w:rsidRDefault="00000000">
            <w:r>
              <w:rPr>
                <w:sz w:val="17"/>
                <w:szCs w:val="17"/>
              </w:rPr>
              <w:t>RECORD: COVID + expanded insulation subsidies</w:t>
            </w:r>
          </w:p>
        </w:tc>
      </w:tr>
      <w:tr w:rsidR="00720B78" w14:paraId="130A5C90"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91E3BD9" w14:textId="77777777" w:rsidR="00720B78" w:rsidRDefault="00000000">
            <w:r>
              <w:rPr>
                <w:sz w:val="17"/>
                <w:szCs w:val="17"/>
              </w:rPr>
              <w:t>2022</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7EAB7CA" w14:textId="77777777" w:rsidR="00720B78" w:rsidRDefault="00000000">
            <w:r>
              <w:rPr>
                <w:sz w:val="17"/>
                <w:szCs w:val="17"/>
              </w:rPr>
              <w:t>~1.15%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299B6EB" w14:textId="77777777" w:rsidR="00720B78" w:rsidRDefault="00000000">
            <w:r>
              <w:rPr>
                <w:sz w:val="17"/>
                <w:szCs w:val="17"/>
              </w:rPr>
              <w:t>~1.20%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E0B3CD9" w14:textId="77777777" w:rsidR="00720B78" w:rsidRDefault="00000000">
            <w:r>
              <w:rPr>
                <w:sz w:val="17"/>
                <w:szCs w:val="17"/>
              </w:rPr>
              <w:t>~0.95%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02A24C0" w14:textId="77777777" w:rsidR="00720B78" w:rsidRDefault="00000000">
            <w:r>
              <w:rPr>
                <w:sz w:val="17"/>
                <w:szCs w:val="17"/>
              </w:rPr>
              <w:t>~0.58%</w:t>
            </w:r>
          </w:p>
        </w:tc>
        <w:tc>
          <w:tcPr>
            <w:tcW w:w="44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BD0C45F" w14:textId="77777777" w:rsidR="00720B78" w:rsidRDefault="00000000">
            <w:r>
              <w:rPr>
                <w:sz w:val="17"/>
                <w:szCs w:val="17"/>
              </w:rPr>
              <w:t>Post-peak decline; interest rates rising; 29,410 permits</w:t>
            </w:r>
          </w:p>
        </w:tc>
      </w:tr>
      <w:tr w:rsidR="00720B78" w14:paraId="63C4B169"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F8DB118" w14:textId="77777777" w:rsidR="00720B78" w:rsidRDefault="00000000">
            <w:r>
              <w:rPr>
                <w:sz w:val="17"/>
                <w:szCs w:val="17"/>
              </w:rPr>
              <w:t>2023</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9CFA2B6" w14:textId="77777777" w:rsidR="00720B78" w:rsidRDefault="00000000">
            <w:r>
              <w:rPr>
                <w:sz w:val="17"/>
                <w:szCs w:val="17"/>
              </w:rPr>
              <w:t>~0.95%</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DA1F469" w14:textId="77777777" w:rsidR="00720B78" w:rsidRDefault="00000000">
            <w:r>
              <w:rPr>
                <w:sz w:val="17"/>
                <w:szCs w:val="17"/>
              </w:rPr>
              <w:t>~1.05%</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92A4740" w14:textId="77777777" w:rsidR="00720B78" w:rsidRDefault="00000000">
            <w:r>
              <w:rPr>
                <w:sz w:val="17"/>
                <w:szCs w:val="17"/>
              </w:rPr>
              <w:t>~0.88%</w:t>
            </w:r>
          </w:p>
        </w:tc>
        <w:tc>
          <w:tcPr>
            <w:tcW w:w="9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5FC1354" w14:textId="77777777" w:rsidR="00720B78" w:rsidRDefault="00000000">
            <w:r>
              <w:rPr>
                <w:sz w:val="17"/>
                <w:szCs w:val="17"/>
              </w:rPr>
              <w:t>~0.52%</w:t>
            </w:r>
          </w:p>
        </w:tc>
        <w:tc>
          <w:tcPr>
            <w:tcW w:w="44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27E5662" w14:textId="77777777" w:rsidR="00720B78" w:rsidRDefault="00000000">
            <w:r>
              <w:rPr>
                <w:sz w:val="17"/>
                <w:szCs w:val="17"/>
              </w:rPr>
              <w:t>Flemish obligation active; sharp national fall</w:t>
            </w:r>
          </w:p>
        </w:tc>
      </w:tr>
      <w:tr w:rsidR="00720B78" w14:paraId="601FD148" w14:textId="77777777">
        <w:tblPrEx>
          <w:tblCellMar>
            <w:top w:w="0" w:type="dxa"/>
            <w:bottom w:w="0" w:type="dxa"/>
          </w:tblCellMar>
        </w:tblPrEx>
        <w:tc>
          <w:tcPr>
            <w:tcW w:w="7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BD6F1BF" w14:textId="77777777" w:rsidR="00720B78" w:rsidRDefault="00000000">
            <w:r>
              <w:rPr>
                <w:sz w:val="17"/>
                <w:szCs w:val="17"/>
              </w:rPr>
              <w:t>2024</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004F5BE" w14:textId="77777777" w:rsidR="00720B78" w:rsidRDefault="00000000">
            <w:r>
              <w:rPr>
                <w:sz w:val="17"/>
                <w:szCs w:val="17"/>
              </w:rPr>
              <w:t>~0.85%</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9544D31" w14:textId="77777777" w:rsidR="00720B78" w:rsidRDefault="00000000">
            <w:r>
              <w:rPr>
                <w:sz w:val="17"/>
                <w:szCs w:val="17"/>
              </w:rPr>
              <w:t>~0.92%</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2224277" w14:textId="77777777" w:rsidR="00720B78" w:rsidRDefault="00000000">
            <w:r>
              <w:rPr>
                <w:sz w:val="17"/>
                <w:szCs w:val="17"/>
              </w:rPr>
              <w:t>~0.80%</w:t>
            </w:r>
          </w:p>
        </w:tc>
        <w:tc>
          <w:tcPr>
            <w:tcW w:w="9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75CBE20" w14:textId="77777777" w:rsidR="00720B78" w:rsidRDefault="00000000">
            <w:r>
              <w:rPr>
                <w:sz w:val="17"/>
                <w:szCs w:val="17"/>
              </w:rPr>
              <w:t>~0.45%</w:t>
            </w:r>
          </w:p>
        </w:tc>
        <w:tc>
          <w:tcPr>
            <w:tcW w:w="44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BF6A4DF" w14:textId="77777777" w:rsidR="00720B78" w:rsidRDefault="00000000">
            <w:r>
              <w:rPr>
                <w:sz w:val="17"/>
                <w:szCs w:val="17"/>
              </w:rPr>
              <w:t>Lowest monthly levels since 2010 by year-end</w:t>
            </w:r>
          </w:p>
        </w:tc>
      </w:tr>
    </w:tbl>
    <w:p w14:paraId="3FACA1EE" w14:textId="77777777" w:rsidR="00720B78" w:rsidRDefault="00000000">
      <w:pPr>
        <w:spacing w:before="40" w:after="120" w:line="276" w:lineRule="auto"/>
        <w:jc w:val="both"/>
      </w:pPr>
      <w:r>
        <w:rPr>
          <w:i/>
          <w:iCs/>
          <w:sz w:val="17"/>
          <w:szCs w:val="17"/>
        </w:rPr>
        <w:t xml:space="preserve">Sources: </w:t>
      </w:r>
      <w:proofErr w:type="spellStart"/>
      <w:r>
        <w:rPr>
          <w:i/>
          <w:iCs/>
          <w:sz w:val="17"/>
          <w:szCs w:val="17"/>
        </w:rPr>
        <w:t>Statbel</w:t>
      </w:r>
      <w:proofErr w:type="spellEnd"/>
      <w:r>
        <w:rPr>
          <w:i/>
          <w:iCs/>
          <w:sz w:val="17"/>
          <w:szCs w:val="17"/>
        </w:rPr>
        <w:t xml:space="preserve"> (2025); Van </w:t>
      </w:r>
      <w:proofErr w:type="spellStart"/>
      <w:r>
        <w:rPr>
          <w:i/>
          <w:iCs/>
          <w:sz w:val="17"/>
          <w:szCs w:val="17"/>
        </w:rPr>
        <w:t>Gompel</w:t>
      </w:r>
      <w:proofErr w:type="spellEnd"/>
      <w:r>
        <w:rPr>
          <w:i/>
          <w:iCs/>
          <w:sz w:val="17"/>
          <w:szCs w:val="17"/>
        </w:rPr>
        <w:t xml:space="preserve">/KBC Economics (2026); IWEPS/Statista (2020, 2023); </w:t>
      </w:r>
      <w:proofErr w:type="spellStart"/>
      <w:r>
        <w:rPr>
          <w:i/>
          <w:iCs/>
          <w:sz w:val="17"/>
          <w:szCs w:val="17"/>
        </w:rPr>
        <w:t>Reusens</w:t>
      </w:r>
      <w:proofErr w:type="spellEnd"/>
      <w:r>
        <w:rPr>
          <w:i/>
          <w:iCs/>
          <w:sz w:val="17"/>
          <w:szCs w:val="17"/>
        </w:rPr>
        <w:t xml:space="preserve"> et al., NBB (2025); </w:t>
      </w:r>
      <w:proofErr w:type="spellStart"/>
      <w:r>
        <w:rPr>
          <w:i/>
          <w:iCs/>
          <w:sz w:val="17"/>
          <w:szCs w:val="17"/>
        </w:rPr>
        <w:t>Gepts</w:t>
      </w:r>
      <w:proofErr w:type="spellEnd"/>
      <w:r>
        <w:rPr>
          <w:i/>
          <w:iCs/>
          <w:sz w:val="17"/>
          <w:szCs w:val="17"/>
        </w:rPr>
        <w:t xml:space="preserve"> et al. (2025). Note: permit counts cover residential buildings; Brussels figure expressed per dwelling for comparability. Many permit-free improvements (insulation, solar panels, windows) are not captured.</w:t>
      </w:r>
    </w:p>
    <w:p w14:paraId="5CCCFB14" w14:textId="77777777" w:rsidR="00720B78" w:rsidRDefault="00720B78">
      <w:pPr>
        <w:spacing w:before="60" w:after="60"/>
      </w:pPr>
    </w:p>
    <w:p w14:paraId="3EC92361" w14:textId="77777777" w:rsidR="00720B78" w:rsidRDefault="00000000">
      <w:pPr>
        <w:pStyle w:val="Heading2"/>
      </w:pPr>
      <w:r>
        <w:t>1.2 Deep Renovation Rate</w:t>
      </w:r>
    </w:p>
    <w:p w14:paraId="455F1668" w14:textId="77777777" w:rsidR="00720B78" w:rsidRDefault="00000000">
      <w:pPr>
        <w:spacing w:before="80" w:after="100" w:line="276" w:lineRule="auto"/>
        <w:jc w:val="both"/>
      </w:pPr>
      <w:r>
        <w:t xml:space="preserve">A critically distinct subset is the </w:t>
      </w:r>
      <w:r>
        <w:rPr>
          <w:b/>
          <w:bCs/>
        </w:rPr>
        <w:t>deep renovation rate</w:t>
      </w:r>
      <w:r>
        <w:t xml:space="preserve"> — defined as renovation achieving the two best attainable EPC labels (A/B in Flanders and Wallonia; B/C in Brussels). Across Belgium, deep renovations are estimated at </w:t>
      </w:r>
      <w:r>
        <w:rPr>
          <w:b/>
          <w:bCs/>
        </w:rPr>
        <w:t>~0.2% of the stock per year</w:t>
      </w:r>
      <w:r>
        <w:t xml:space="preserve"> nationally, and below 0.1% when measured strictly (</w:t>
      </w:r>
      <w:proofErr w:type="spellStart"/>
      <w:r>
        <w:t>Climact</w:t>
      </w:r>
      <w:proofErr w:type="spellEnd"/>
      <w:r>
        <w:t xml:space="preserve">, 2024; </w:t>
      </w:r>
      <w:proofErr w:type="spellStart"/>
      <w:r>
        <w:t>Gepts</w:t>
      </w:r>
      <w:proofErr w:type="spellEnd"/>
      <w:r>
        <w:t xml:space="preserve"> et al., 2025). This represents a 15-fold gap from the 3% annual rate required to decarbonise 97% of the stock by 2050 (BPIE, 2021).</w:t>
      </w:r>
    </w:p>
    <w:p w14:paraId="6BEB6946" w14:textId="77777777" w:rsidR="00720B78" w:rsidRDefault="00720B78">
      <w:pPr>
        <w:spacing w:before="60" w:after="60"/>
      </w:pPr>
    </w:p>
    <w:p w14:paraId="413285EF" w14:textId="77777777" w:rsidR="00720B78" w:rsidRDefault="00000000">
      <w:pPr>
        <w:spacing w:before="80" w:after="100" w:line="276" w:lineRule="auto"/>
        <w:jc w:val="both"/>
      </w:pPr>
      <w:r>
        <w:t xml:space="preserve">Survey data from </w:t>
      </w:r>
      <w:proofErr w:type="spellStart"/>
      <w:r>
        <w:t>Gepts</w:t>
      </w:r>
      <w:proofErr w:type="spellEnd"/>
      <w:r>
        <w:t xml:space="preserve"> et al. (2025) covering 2018–2022 found that approximately </w:t>
      </w:r>
      <w:r>
        <w:rPr>
          <w:b/>
          <w:bCs/>
        </w:rPr>
        <w:t>37% of homeowners undertook at least one renovation activity per year</w:t>
      </w:r>
      <w:r>
        <w:t xml:space="preserve">, 25% performed energy efficiency renovations, and only </w:t>
      </w:r>
      <w:r>
        <w:rPr>
          <w:b/>
          <w:bCs/>
        </w:rPr>
        <w:t>12% of those renovators — roughly 4.4% of all homeowners — qualified as deep renovators</w:t>
      </w:r>
      <w:r>
        <w:t xml:space="preserve"> (five or more distinct works in a year). The remaining 40% were moderate renovators and 48% performed only single-measure improvements.</w:t>
      </w:r>
    </w:p>
    <w:p w14:paraId="6E2D6BF1" w14:textId="77777777" w:rsidR="00720B78" w:rsidRDefault="00000000">
      <w:pPr>
        <w:pStyle w:val="Heading2"/>
      </w:pPr>
      <w:r>
        <w:lastRenderedPageBreak/>
        <w:t>1.3 Financial Indicators</w:t>
      </w:r>
    </w:p>
    <w:p w14:paraId="5F92FB1A" w14:textId="77777777" w:rsidR="00720B78" w:rsidRDefault="00000000">
      <w:pPr>
        <w:spacing w:before="80" w:after="100" w:line="276" w:lineRule="auto"/>
        <w:jc w:val="both"/>
      </w:pPr>
      <w:r>
        <w:t xml:space="preserve">Energy renovation consumer loans peaked at </w:t>
      </w:r>
      <w:r>
        <w:rPr>
          <w:b/>
          <w:bCs/>
        </w:rPr>
        <w:t>61,000 in 2022</w:t>
      </w:r>
      <w:r>
        <w:t xml:space="preserve"> and fell to 31,000 in 2024 (</w:t>
      </w:r>
      <w:proofErr w:type="spellStart"/>
      <w:r>
        <w:t>Febelfin</w:t>
      </w:r>
      <w:proofErr w:type="spellEnd"/>
      <w:r>
        <w:t xml:space="preserve">, cited in Van </w:t>
      </w:r>
      <w:proofErr w:type="spellStart"/>
      <w:r>
        <w:t>Gompel</w:t>
      </w:r>
      <w:proofErr w:type="spellEnd"/>
      <w:r>
        <w:t xml:space="preserve">, 2026). Residential renovation output grew +1.0% in 2023 and +0.8% in 2024, while new-build construction fell 7% in both years (FIEC, 2025). The total investment needed for mandatory renovation calendars alone is estimated at </w:t>
      </w:r>
      <w:r>
        <w:rPr>
          <w:b/>
          <w:bCs/>
        </w:rPr>
        <w:t>€278 billion by 2050</w:t>
      </w:r>
      <w:r>
        <w:t>, with €161 billion required before 2033 (</w:t>
      </w:r>
      <w:proofErr w:type="spellStart"/>
      <w:r>
        <w:t>Climact</w:t>
      </w:r>
      <w:proofErr w:type="spellEnd"/>
      <w:r>
        <w:t>, 2024). The NBB put the full 2050 target cost at ~€350 billion.</w:t>
      </w:r>
    </w:p>
    <w:p w14:paraId="24B80CB5" w14:textId="77777777" w:rsidR="00720B78" w:rsidRDefault="00720B78">
      <w:pPr>
        <w:spacing w:before="60" w:after="60"/>
      </w:pPr>
    </w:p>
    <w:p w14:paraId="43CC43AF" w14:textId="77777777" w:rsidR="00720B78" w:rsidRDefault="00000000">
      <w:pPr>
        <w:pStyle w:val="Heading1"/>
      </w:pPr>
      <w:r>
        <w:t>2. Regional Renovation Rates in Detail</w:t>
      </w:r>
    </w:p>
    <w:p w14:paraId="4D201D59" w14:textId="64ACA28F" w:rsidR="00720B78" w:rsidRDefault="00000000" w:rsidP="00BE711E">
      <w:pPr>
        <w:spacing w:before="80" w:after="100" w:line="276" w:lineRule="auto"/>
        <w:jc w:val="both"/>
      </w:pPr>
      <w:r>
        <w:t>Belgium's three regions exercise autonomous competence over housing, building codes, and energy standards. Renovation rates, regulatory frameworks, and EPC definitions differ materially. EPC label thresholds are not directly comparable across regions — label B in Brussels corresponds approximately to label A in Flanders and Wallonia (</w:t>
      </w:r>
      <w:proofErr w:type="spellStart"/>
      <w:r>
        <w:t>Climact</w:t>
      </w:r>
      <w:proofErr w:type="spellEnd"/>
      <w:r>
        <w:t>, 2024). All regional data in this section is drawn from the sources listed in the references.</w:t>
      </w:r>
    </w:p>
    <w:p w14:paraId="6412C71B" w14:textId="77777777" w:rsidR="00720B78" w:rsidRDefault="00000000">
      <w:pPr>
        <w:spacing w:before="100" w:after="40"/>
      </w:pPr>
      <w:r>
        <w:rPr>
          <w:b/>
          <w:bCs/>
          <w:color w:val="1F4E79"/>
        </w:rPr>
        <w:t>Table 2: Deep Renovation Rate by Region — Current vs. Required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400"/>
        <w:gridCol w:w="1400"/>
        <w:gridCol w:w="1400"/>
        <w:gridCol w:w="1626"/>
      </w:tblGrid>
      <w:tr w:rsidR="00720B78" w14:paraId="590D5A24" w14:textId="77777777">
        <w:tblPrEx>
          <w:tblCellMar>
            <w:top w:w="0" w:type="dxa"/>
            <w:bottom w:w="0" w:type="dxa"/>
          </w:tblCellMar>
        </w:tblPrEx>
        <w:trPr>
          <w:tblHeader/>
        </w:trPr>
        <w:tc>
          <w:tcPr>
            <w:tcW w:w="32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3F6D469A" w14:textId="77777777" w:rsidR="00720B78" w:rsidRDefault="00000000">
            <w:pPr>
              <w:jc w:val="center"/>
            </w:pPr>
            <w:r>
              <w:rPr>
                <w:b/>
                <w:bCs/>
                <w:color w:val="1F4E79"/>
                <w:sz w:val="17"/>
                <w:szCs w:val="17"/>
              </w:rPr>
              <w:t>Metric</w:t>
            </w:r>
          </w:p>
        </w:tc>
        <w:tc>
          <w:tcPr>
            <w:tcW w:w="14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5E3A5C15" w14:textId="77777777" w:rsidR="00720B78" w:rsidRDefault="00000000">
            <w:pPr>
              <w:jc w:val="center"/>
            </w:pPr>
            <w:r>
              <w:rPr>
                <w:b/>
                <w:bCs/>
                <w:color w:val="1F4E79"/>
                <w:sz w:val="17"/>
                <w:szCs w:val="17"/>
              </w:rPr>
              <w:t>Belgium (Federal)</w:t>
            </w:r>
          </w:p>
        </w:tc>
        <w:tc>
          <w:tcPr>
            <w:tcW w:w="14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7FEB7F2C" w14:textId="77777777" w:rsidR="00720B78" w:rsidRDefault="00000000">
            <w:pPr>
              <w:jc w:val="center"/>
            </w:pPr>
            <w:r>
              <w:rPr>
                <w:b/>
                <w:bCs/>
                <w:color w:val="1F4E79"/>
                <w:sz w:val="17"/>
                <w:szCs w:val="17"/>
              </w:rPr>
              <w:t>Flemish Region</w:t>
            </w:r>
          </w:p>
        </w:tc>
        <w:tc>
          <w:tcPr>
            <w:tcW w:w="14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087AAA42" w14:textId="77777777" w:rsidR="00720B78" w:rsidRDefault="00000000">
            <w:pPr>
              <w:jc w:val="center"/>
            </w:pPr>
            <w:r>
              <w:rPr>
                <w:b/>
                <w:bCs/>
                <w:color w:val="1F4E79"/>
                <w:sz w:val="17"/>
                <w:szCs w:val="17"/>
              </w:rPr>
              <w:t>Walloon Region</w:t>
            </w:r>
          </w:p>
        </w:tc>
        <w:tc>
          <w:tcPr>
            <w:tcW w:w="1626"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64E24F69" w14:textId="77777777" w:rsidR="00720B78" w:rsidRDefault="00000000">
            <w:pPr>
              <w:jc w:val="center"/>
            </w:pPr>
            <w:r>
              <w:rPr>
                <w:b/>
                <w:bCs/>
                <w:color w:val="1F4E79"/>
                <w:sz w:val="17"/>
                <w:szCs w:val="17"/>
              </w:rPr>
              <w:t>Brussels- Capital</w:t>
            </w:r>
          </w:p>
        </w:tc>
      </w:tr>
      <w:tr w:rsidR="00720B78" w14:paraId="04806CA3"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047FF9A" w14:textId="77777777" w:rsidR="00720B78" w:rsidRDefault="00000000">
            <w:r>
              <w:rPr>
                <w:sz w:val="17"/>
                <w:szCs w:val="17"/>
              </w:rPr>
              <w:t>Est. deep reno. rate (2024, % p.a.)</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5259FB3" w14:textId="77777777" w:rsidR="00720B78" w:rsidRDefault="00000000">
            <w:r>
              <w:rPr>
                <w:sz w:val="17"/>
                <w:szCs w:val="17"/>
              </w:rPr>
              <w:t>~0.2%</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F6C471B" w14:textId="77777777" w:rsidR="00720B78" w:rsidRDefault="00000000">
            <w:r>
              <w:rPr>
                <w:sz w:val="17"/>
                <w:szCs w:val="17"/>
              </w:rPr>
              <w:t>Slightly above avg.</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7F0AFAC" w14:textId="77777777" w:rsidR="00720B78" w:rsidRDefault="00000000">
            <w:r>
              <w:rPr>
                <w:sz w:val="17"/>
                <w:szCs w:val="17"/>
              </w:rPr>
              <w:t>Below avg.</w:t>
            </w:r>
          </w:p>
        </w:tc>
        <w:tc>
          <w:tcPr>
            <w:tcW w:w="16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79043A8" w14:textId="77777777" w:rsidR="00720B78" w:rsidRDefault="00000000">
            <w:r>
              <w:rPr>
                <w:sz w:val="17"/>
                <w:szCs w:val="17"/>
              </w:rPr>
              <w:t>Below avg.</w:t>
            </w:r>
          </w:p>
        </w:tc>
      </w:tr>
      <w:tr w:rsidR="00720B78" w14:paraId="18744174"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4DD44C35" w14:textId="77777777" w:rsidR="00720B78" w:rsidRDefault="00000000">
            <w:r>
              <w:rPr>
                <w:sz w:val="17"/>
                <w:szCs w:val="17"/>
              </w:rPr>
              <w:t>Required rate by 2030 (BPIE, 2021)</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47C606C" w14:textId="77777777" w:rsidR="00720B78" w:rsidRDefault="00000000">
            <w:r>
              <w:rPr>
                <w:sz w:val="17"/>
                <w:szCs w:val="17"/>
              </w:rPr>
              <w:t>~3%</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28C00E7" w14:textId="77777777" w:rsidR="00720B78" w:rsidRDefault="00000000">
            <w:r>
              <w:rPr>
                <w:sz w:val="17"/>
                <w:szCs w:val="17"/>
              </w:rPr>
              <w:t>~3%</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00B6673" w14:textId="77777777" w:rsidR="00720B78" w:rsidRDefault="00000000">
            <w:r>
              <w:rPr>
                <w:sz w:val="17"/>
                <w:szCs w:val="17"/>
              </w:rPr>
              <w:t>~3%</w:t>
            </w:r>
          </w:p>
        </w:tc>
        <w:tc>
          <w:tcPr>
            <w:tcW w:w="16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0661D05" w14:textId="77777777" w:rsidR="00720B78" w:rsidRDefault="00000000">
            <w:r>
              <w:rPr>
                <w:sz w:val="17"/>
                <w:szCs w:val="17"/>
              </w:rPr>
              <w:t>~3%</w:t>
            </w:r>
          </w:p>
        </w:tc>
      </w:tr>
      <w:tr w:rsidR="00720B78" w14:paraId="65FE59D6"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EFFC3B3" w14:textId="77777777" w:rsidR="00720B78" w:rsidRDefault="00000000">
            <w:r>
              <w:rPr>
                <w:sz w:val="17"/>
                <w:szCs w:val="17"/>
              </w:rPr>
              <w:t>Gap (×multiplier needed)</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5038B95" w14:textId="77777777" w:rsidR="00720B78" w:rsidRDefault="00000000">
            <w:r>
              <w:rPr>
                <w:sz w:val="17"/>
                <w:szCs w:val="17"/>
              </w:rPr>
              <w:t>~15×</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40EC000" w14:textId="77777777" w:rsidR="00720B78" w:rsidRDefault="00000000">
            <w:r>
              <w:rPr>
                <w:sz w:val="17"/>
                <w:szCs w:val="17"/>
              </w:rPr>
              <w:t>~13–14×</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4E896FD" w14:textId="77777777" w:rsidR="00720B78" w:rsidRDefault="00000000">
            <w:r>
              <w:rPr>
                <w:sz w:val="17"/>
                <w:szCs w:val="17"/>
              </w:rPr>
              <w:t>~15–16×</w:t>
            </w:r>
          </w:p>
        </w:tc>
        <w:tc>
          <w:tcPr>
            <w:tcW w:w="16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9F563B1" w14:textId="77777777" w:rsidR="00720B78" w:rsidRDefault="00000000">
            <w:r>
              <w:rPr>
                <w:sz w:val="17"/>
                <w:szCs w:val="17"/>
              </w:rPr>
              <w:t>~18–20×</w:t>
            </w:r>
          </w:p>
        </w:tc>
      </w:tr>
      <w:tr w:rsidR="00720B78" w14:paraId="0D15DBDD"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9C94D18" w14:textId="77777777" w:rsidR="00720B78" w:rsidRDefault="00000000">
            <w:r>
              <w:rPr>
                <w:sz w:val="17"/>
                <w:szCs w:val="17"/>
              </w:rPr>
              <w:t>% dwellings in worst EPC tiers (F+G)</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A9F7033" w14:textId="77777777" w:rsidR="00720B78" w:rsidRDefault="00000000">
            <w:r>
              <w:rPr>
                <w:sz w:val="17"/>
                <w:szCs w:val="17"/>
              </w:rPr>
              <w:t>—</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1A0569B" w14:textId="77777777" w:rsidR="00720B78" w:rsidRDefault="00000000">
            <w:r>
              <w:rPr>
                <w:sz w:val="17"/>
                <w:szCs w:val="17"/>
              </w:rPr>
              <w:t>29% (label F only)</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F27385E" w14:textId="77777777" w:rsidR="00720B78" w:rsidRDefault="00000000">
            <w:r>
              <w:rPr>
                <w:sz w:val="17"/>
                <w:szCs w:val="17"/>
              </w:rPr>
              <w:t>48% (F+G)</w:t>
            </w:r>
          </w:p>
        </w:tc>
        <w:tc>
          <w:tcPr>
            <w:tcW w:w="16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EAA79F8" w14:textId="77777777" w:rsidR="00720B78" w:rsidRDefault="00000000">
            <w:r>
              <w:rPr>
                <w:sz w:val="17"/>
                <w:szCs w:val="17"/>
              </w:rPr>
              <w:t>45% (F+G)</w:t>
            </w:r>
          </w:p>
        </w:tc>
      </w:tr>
      <w:tr w:rsidR="00720B78" w14:paraId="09F24BA9"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AA06CAD" w14:textId="77777777" w:rsidR="00720B78" w:rsidRDefault="00000000">
            <w:r>
              <w:rPr>
                <w:sz w:val="17"/>
                <w:szCs w:val="17"/>
              </w:rPr>
              <w:t>Pre-1981 building share</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775F5F4" w14:textId="77777777" w:rsidR="00720B78" w:rsidRDefault="00000000">
            <w:r>
              <w:rPr>
                <w:sz w:val="17"/>
                <w:szCs w:val="17"/>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3694199" w14:textId="77777777" w:rsidR="00720B78" w:rsidRDefault="00000000">
            <w:r>
              <w:rPr>
                <w:sz w:val="17"/>
                <w:szCs w:val="17"/>
              </w:rPr>
              <w:t>66%</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80647A7" w14:textId="77777777" w:rsidR="00720B78" w:rsidRDefault="00000000">
            <w:r>
              <w:rPr>
                <w:sz w:val="17"/>
                <w:szCs w:val="17"/>
              </w:rPr>
              <w:t>78%</w:t>
            </w:r>
          </w:p>
        </w:tc>
        <w:tc>
          <w:tcPr>
            <w:tcW w:w="16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3F78691" w14:textId="77777777" w:rsidR="00720B78" w:rsidRDefault="00000000">
            <w:r>
              <w:rPr>
                <w:sz w:val="17"/>
                <w:szCs w:val="17"/>
              </w:rPr>
              <w:t>93%</w:t>
            </w:r>
          </w:p>
        </w:tc>
      </w:tr>
      <w:tr w:rsidR="00720B78" w14:paraId="60FE59FA"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F4D43D9" w14:textId="77777777" w:rsidR="00720B78" w:rsidRDefault="00000000">
            <w:r>
              <w:rPr>
                <w:sz w:val="17"/>
                <w:szCs w:val="17"/>
              </w:rPr>
              <w:t>Avg. energy score — houses (kWh/m², Q1 2024)</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4230B12D" w14:textId="77777777" w:rsidR="00720B78" w:rsidRDefault="00000000">
            <w:r>
              <w:rPr>
                <w:sz w:val="17"/>
                <w:szCs w:val="17"/>
              </w:rPr>
              <w:t>—</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109E0EA" w14:textId="77777777" w:rsidR="00720B78" w:rsidRDefault="00000000">
            <w:r>
              <w:rPr>
                <w:sz w:val="17"/>
                <w:szCs w:val="17"/>
              </w:rPr>
              <w:t>363</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3065B7B" w14:textId="77777777" w:rsidR="00720B78" w:rsidRDefault="00000000">
            <w:r>
              <w:rPr>
                <w:sz w:val="17"/>
                <w:szCs w:val="17"/>
              </w:rPr>
              <w:t>390</w:t>
            </w:r>
          </w:p>
        </w:tc>
        <w:tc>
          <w:tcPr>
            <w:tcW w:w="16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5F05BCB" w14:textId="77777777" w:rsidR="00720B78" w:rsidRDefault="00000000">
            <w:r>
              <w:rPr>
                <w:sz w:val="17"/>
                <w:szCs w:val="17"/>
              </w:rPr>
              <w:t>364</w:t>
            </w:r>
          </w:p>
        </w:tc>
      </w:tr>
      <w:tr w:rsidR="00720B78" w14:paraId="6127362A"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8CEC6DB" w14:textId="77777777" w:rsidR="00720B78" w:rsidRDefault="00000000">
            <w:r>
              <w:rPr>
                <w:sz w:val="17"/>
                <w:szCs w:val="17"/>
              </w:rPr>
              <w:t>2050 energy target (kWh/m²/yr)</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FAF7CC6" w14:textId="77777777" w:rsidR="00720B78" w:rsidRDefault="00000000">
            <w:r>
              <w:rPr>
                <w:sz w:val="17"/>
                <w:szCs w:val="17"/>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A52A122" w14:textId="77777777" w:rsidR="00720B78" w:rsidRDefault="00000000">
            <w:r>
              <w:rPr>
                <w:sz w:val="17"/>
                <w:szCs w:val="17"/>
              </w:rPr>
              <w:t>100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EFC49B9" w14:textId="77777777" w:rsidR="00720B78" w:rsidRDefault="00000000">
            <w:r>
              <w:rPr>
                <w:sz w:val="17"/>
                <w:szCs w:val="17"/>
              </w:rPr>
              <w:t>85</w:t>
            </w:r>
          </w:p>
        </w:tc>
        <w:tc>
          <w:tcPr>
            <w:tcW w:w="16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FA53D22" w14:textId="77777777" w:rsidR="00720B78" w:rsidRDefault="00000000">
            <w:r>
              <w:rPr>
                <w:sz w:val="17"/>
                <w:szCs w:val="17"/>
              </w:rPr>
              <w:t>100</w:t>
            </w:r>
          </w:p>
        </w:tc>
      </w:tr>
    </w:tbl>
    <w:p w14:paraId="3855C9EB" w14:textId="77777777" w:rsidR="00720B78" w:rsidRDefault="00000000">
      <w:pPr>
        <w:spacing w:before="40" w:after="120" w:line="276" w:lineRule="auto"/>
        <w:jc w:val="both"/>
      </w:pPr>
      <w:r>
        <w:rPr>
          <w:i/>
          <w:iCs/>
          <w:sz w:val="17"/>
          <w:szCs w:val="17"/>
        </w:rPr>
        <w:t xml:space="preserve">Sources: </w:t>
      </w:r>
      <w:proofErr w:type="spellStart"/>
      <w:r>
        <w:rPr>
          <w:i/>
          <w:iCs/>
          <w:sz w:val="17"/>
          <w:szCs w:val="17"/>
        </w:rPr>
        <w:t>Climact</w:t>
      </w:r>
      <w:proofErr w:type="spellEnd"/>
      <w:r>
        <w:rPr>
          <w:i/>
          <w:iCs/>
          <w:sz w:val="17"/>
          <w:szCs w:val="17"/>
        </w:rPr>
        <w:t xml:space="preserve"> (2024); </w:t>
      </w:r>
      <w:proofErr w:type="spellStart"/>
      <w:r>
        <w:rPr>
          <w:i/>
          <w:iCs/>
          <w:sz w:val="17"/>
          <w:szCs w:val="17"/>
        </w:rPr>
        <w:t>Reusens</w:t>
      </w:r>
      <w:proofErr w:type="spellEnd"/>
      <w:r>
        <w:rPr>
          <w:i/>
          <w:iCs/>
          <w:sz w:val="17"/>
          <w:szCs w:val="17"/>
        </w:rPr>
        <w:t xml:space="preserve"> et al., NBB (2025); BPIE (2021); </w:t>
      </w:r>
      <w:proofErr w:type="spellStart"/>
      <w:r>
        <w:rPr>
          <w:i/>
          <w:iCs/>
          <w:sz w:val="17"/>
          <w:szCs w:val="17"/>
        </w:rPr>
        <w:t>Gepts</w:t>
      </w:r>
      <w:proofErr w:type="spellEnd"/>
      <w:r>
        <w:rPr>
          <w:i/>
          <w:iCs/>
          <w:sz w:val="17"/>
          <w:szCs w:val="17"/>
        </w:rPr>
        <w:t xml:space="preserve"> et al. (2025); Van </w:t>
      </w:r>
      <w:proofErr w:type="spellStart"/>
      <w:r>
        <w:rPr>
          <w:i/>
          <w:iCs/>
          <w:sz w:val="17"/>
          <w:szCs w:val="17"/>
        </w:rPr>
        <w:t>Gompel</w:t>
      </w:r>
      <w:proofErr w:type="spellEnd"/>
      <w:r>
        <w:rPr>
          <w:i/>
          <w:iCs/>
          <w:sz w:val="17"/>
          <w:szCs w:val="17"/>
        </w:rPr>
        <w:t xml:space="preserve"> (2026).</w:t>
      </w:r>
    </w:p>
    <w:p w14:paraId="21E2D48E" w14:textId="77777777" w:rsidR="00720B78" w:rsidRDefault="00000000">
      <w:pPr>
        <w:pStyle w:val="Heading2"/>
      </w:pPr>
      <w:r>
        <w:t>2.1 Flemish Region</w:t>
      </w:r>
    </w:p>
    <w:p w14:paraId="1601158B" w14:textId="77777777" w:rsidR="00720B78" w:rsidRDefault="00000000">
      <w:pPr>
        <w:pStyle w:val="Heading3"/>
      </w:pPr>
      <w:r>
        <w:t>Building Stock and Rate Trajectory</w:t>
      </w:r>
    </w:p>
    <w:p w14:paraId="42A433B0" w14:textId="77777777" w:rsidR="00720B78" w:rsidRDefault="00000000">
      <w:pPr>
        <w:spacing w:before="80" w:after="100" w:line="276" w:lineRule="auto"/>
        <w:jc w:val="both"/>
      </w:pPr>
      <w:r>
        <w:t xml:space="preserve">Flanders holds the largest share of Belgium's residential buildings, dominated by single-family dwellings. </w:t>
      </w:r>
      <w:r>
        <w:rPr>
          <w:b/>
          <w:bCs/>
        </w:rPr>
        <w:t>66% of Flemish buildings were constructed before 1981</w:t>
      </w:r>
      <w:r>
        <w:t xml:space="preserve">; only 8.0% were built after 2011 (Van </w:t>
      </w:r>
      <w:proofErr w:type="spellStart"/>
      <w:r>
        <w:t>Gompel</w:t>
      </w:r>
      <w:proofErr w:type="spellEnd"/>
      <w:r>
        <w:t xml:space="preserve">, 2026). Flanders consistently records the highest permit-based renovation intensity of the three regions — averaging approximately </w:t>
      </w:r>
      <w:r>
        <w:rPr>
          <w:b/>
          <w:bCs/>
        </w:rPr>
        <w:t>1.0–1.1% per annum</w:t>
      </w:r>
      <w:r>
        <w:t xml:space="preserve"> over 2000–2024, peaking at ~1.40% in 2021 and settling at ~0.92% in 2024. Since </w:t>
      </w:r>
      <w:r>
        <w:rPr>
          <w:b/>
          <w:bCs/>
        </w:rPr>
        <w:t>1 January 2023</w:t>
      </w:r>
      <w:r>
        <w:t>, buyers of residential buildings carrying EPC label E or F must renovate to at least label D within five years of purchase. The obligation escalates: label C required from 2028, label B from 2035, label A by 2050. For non-residential buildings, a comparable obligation has been in force since January 2022 (Vlaanderen.be, 2025). National Bank research (</w:t>
      </w:r>
      <w:proofErr w:type="spellStart"/>
      <w:r>
        <w:t>Reusens</w:t>
      </w:r>
      <w:proofErr w:type="spellEnd"/>
      <w:r>
        <w:t xml:space="preserve"> et al., 2025) finds measurable bunching effects at the D/E label boundary — homes sold just below the renovation threshold were two to four times more prevalent than those just above it in 2023–Q1 2024.</w:t>
      </w:r>
    </w:p>
    <w:p w14:paraId="305FB7A3" w14:textId="77777777" w:rsidR="00720B78" w:rsidRDefault="00720B78">
      <w:pPr>
        <w:spacing w:before="60" w:after="60"/>
      </w:pPr>
    </w:p>
    <w:p w14:paraId="6314B3BE" w14:textId="77777777" w:rsidR="00720B78" w:rsidRDefault="00000000">
      <w:pPr>
        <w:spacing w:before="100" w:after="40"/>
      </w:pPr>
      <w:r>
        <w:rPr>
          <w:b/>
          <w:bCs/>
          <w:color w:val="1F4E79"/>
        </w:rPr>
        <w:lastRenderedPageBreak/>
        <w:t>Table 3: Flemish Region — Renovation Rate Trend and Policy Events, 2000–2024</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900"/>
        <w:gridCol w:w="2200"/>
        <w:gridCol w:w="2500"/>
        <w:gridCol w:w="1326"/>
      </w:tblGrid>
      <w:tr w:rsidR="00720B78" w14:paraId="5B4FFE1C" w14:textId="77777777">
        <w:tblPrEx>
          <w:tblCellMar>
            <w:top w:w="0" w:type="dxa"/>
            <w:bottom w:w="0" w:type="dxa"/>
          </w:tblCellMar>
        </w:tblPrEx>
        <w:trPr>
          <w:tblHeader/>
        </w:trPr>
        <w:tc>
          <w:tcPr>
            <w:tcW w:w="11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2C405D76" w14:textId="77777777" w:rsidR="00720B78" w:rsidRDefault="00000000">
            <w:pPr>
              <w:jc w:val="center"/>
            </w:pPr>
            <w:r>
              <w:rPr>
                <w:b/>
                <w:bCs/>
                <w:color w:val="1F4E79"/>
                <w:sz w:val="17"/>
                <w:szCs w:val="17"/>
              </w:rPr>
              <w:t>Period</w:t>
            </w:r>
          </w:p>
        </w:tc>
        <w:tc>
          <w:tcPr>
            <w:tcW w:w="9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3C4E3EC0" w14:textId="77777777" w:rsidR="00720B78" w:rsidRDefault="00000000">
            <w:pPr>
              <w:jc w:val="center"/>
            </w:pPr>
            <w:r>
              <w:rPr>
                <w:b/>
                <w:bCs/>
                <w:color w:val="1F4E79"/>
                <w:sz w:val="17"/>
                <w:szCs w:val="17"/>
              </w:rPr>
              <w:t>Est. Rate (% p.a.)</w:t>
            </w:r>
          </w:p>
        </w:tc>
        <w:tc>
          <w:tcPr>
            <w:tcW w:w="22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20CA1F26" w14:textId="77777777" w:rsidR="00720B78" w:rsidRDefault="00000000">
            <w:pPr>
              <w:jc w:val="center"/>
            </w:pPr>
            <w:r>
              <w:rPr>
                <w:b/>
                <w:bCs/>
                <w:color w:val="1F4E79"/>
                <w:sz w:val="17"/>
                <w:szCs w:val="17"/>
              </w:rPr>
              <w:t>Key Policy Event</w:t>
            </w:r>
          </w:p>
        </w:tc>
        <w:tc>
          <w:tcPr>
            <w:tcW w:w="25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0519AEA7" w14:textId="77777777" w:rsidR="00720B78" w:rsidRDefault="00000000">
            <w:pPr>
              <w:jc w:val="center"/>
            </w:pPr>
            <w:r>
              <w:rPr>
                <w:b/>
                <w:bCs/>
                <w:color w:val="1F4E79"/>
                <w:sz w:val="17"/>
                <w:szCs w:val="17"/>
              </w:rPr>
              <w:t>All Three Regions Comparison</w:t>
            </w:r>
          </w:p>
        </w:tc>
        <w:tc>
          <w:tcPr>
            <w:tcW w:w="1326"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454DF8D6" w14:textId="77777777" w:rsidR="00720B78" w:rsidRDefault="00000000">
            <w:pPr>
              <w:jc w:val="center"/>
            </w:pPr>
            <w:r>
              <w:rPr>
                <w:b/>
                <w:bCs/>
                <w:color w:val="1F4E79"/>
                <w:sz w:val="17"/>
                <w:szCs w:val="17"/>
              </w:rPr>
              <w:t>Trend</w:t>
            </w:r>
          </w:p>
        </w:tc>
      </w:tr>
      <w:tr w:rsidR="00720B78" w14:paraId="190AA686"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6D4663E" w14:textId="77777777" w:rsidR="00720B78" w:rsidRDefault="00000000">
            <w:r>
              <w:rPr>
                <w:sz w:val="17"/>
                <w:szCs w:val="17"/>
              </w:rPr>
              <w:t>2000–2006</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D632BD8" w14:textId="77777777" w:rsidR="00720B78" w:rsidRDefault="00000000">
            <w:r>
              <w:rPr>
                <w:sz w:val="17"/>
                <w:szCs w:val="17"/>
              </w:rPr>
              <w:t>~0.78–0.95%</w:t>
            </w:r>
          </w:p>
        </w:tc>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095D6B6" w14:textId="77777777" w:rsidR="00720B78" w:rsidRDefault="00000000">
            <w:r>
              <w:rPr>
                <w:sz w:val="17"/>
                <w:szCs w:val="17"/>
              </w:rPr>
              <w:t>First EPC pilot; green certificates</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F5AC468" w14:textId="77777777" w:rsidR="00720B78" w:rsidRDefault="00000000">
            <w:r>
              <w:rPr>
                <w:sz w:val="17"/>
                <w:szCs w:val="17"/>
              </w:rPr>
              <w:t>Flanders leads; Wallonia ≈ federal; Brussels lowest</w:t>
            </w:r>
          </w:p>
        </w:tc>
        <w:tc>
          <w:tcPr>
            <w:tcW w:w="13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82D9DC7" w14:textId="77777777" w:rsidR="00720B78" w:rsidRDefault="00000000">
            <w:r>
              <w:rPr>
                <w:sz w:val="17"/>
                <w:szCs w:val="17"/>
              </w:rPr>
              <w:t>Slow growth</w:t>
            </w:r>
          </w:p>
        </w:tc>
      </w:tr>
      <w:tr w:rsidR="00720B78" w14:paraId="42E5FA72"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48A3243E" w14:textId="77777777" w:rsidR="00720B78" w:rsidRDefault="00000000">
            <w:r>
              <w:rPr>
                <w:sz w:val="17"/>
                <w:szCs w:val="17"/>
              </w:rPr>
              <w:t>2007–2013</w:t>
            </w:r>
          </w:p>
        </w:tc>
        <w:tc>
          <w:tcPr>
            <w:tcW w:w="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5B235E4" w14:textId="77777777" w:rsidR="00720B78" w:rsidRDefault="00000000">
            <w:r>
              <w:rPr>
                <w:sz w:val="17"/>
                <w:szCs w:val="17"/>
              </w:rPr>
              <w:t>~1.02–1.10%</w:t>
            </w:r>
          </w:p>
        </w:tc>
        <w:tc>
          <w:tcPr>
            <w:tcW w:w="2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0CA3DBA" w14:textId="77777777" w:rsidR="00720B78" w:rsidRDefault="00000000">
            <w:r>
              <w:rPr>
                <w:sz w:val="17"/>
                <w:szCs w:val="17"/>
              </w:rPr>
              <w:t>EU EPBD 2010 recast; subsidies expand</w:t>
            </w:r>
          </w:p>
        </w:tc>
        <w:tc>
          <w:tcPr>
            <w:tcW w:w="25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9AED081" w14:textId="77777777" w:rsidR="00720B78" w:rsidRDefault="00000000">
            <w:r>
              <w:rPr>
                <w:sz w:val="17"/>
                <w:szCs w:val="17"/>
              </w:rPr>
              <w:t>Flanders ~+10–15 bp above federal</w:t>
            </w:r>
          </w:p>
        </w:tc>
        <w:tc>
          <w:tcPr>
            <w:tcW w:w="13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281A6BB" w14:textId="77777777" w:rsidR="00720B78" w:rsidRDefault="00000000">
            <w:r>
              <w:rPr>
                <w:sz w:val="17"/>
                <w:szCs w:val="17"/>
              </w:rPr>
              <w:t>Stable at 1%+</w:t>
            </w:r>
          </w:p>
        </w:tc>
      </w:tr>
      <w:tr w:rsidR="00720B78" w14:paraId="65B87D0F"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BC5CF32" w14:textId="77777777" w:rsidR="00720B78" w:rsidRDefault="00000000">
            <w:r>
              <w:rPr>
                <w:sz w:val="17"/>
                <w:szCs w:val="17"/>
              </w:rPr>
              <w:t>2014–2019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EAA6B3C" w14:textId="77777777" w:rsidR="00720B78" w:rsidRDefault="00000000">
            <w:r>
              <w:rPr>
                <w:sz w:val="17"/>
                <w:szCs w:val="17"/>
              </w:rPr>
              <w:t>~1.05–1.13%</w:t>
            </w:r>
          </w:p>
        </w:tc>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AE0ADDF" w14:textId="77777777" w:rsidR="00720B78" w:rsidRDefault="00000000">
            <w:proofErr w:type="spellStart"/>
            <w:r>
              <w:rPr>
                <w:sz w:val="17"/>
                <w:szCs w:val="17"/>
              </w:rPr>
              <w:t>Mijn</w:t>
            </w:r>
            <w:proofErr w:type="spellEnd"/>
            <w:r>
              <w:rPr>
                <w:sz w:val="17"/>
                <w:szCs w:val="17"/>
              </w:rPr>
              <w:t xml:space="preserve"> </w:t>
            </w:r>
            <w:proofErr w:type="spellStart"/>
            <w:r>
              <w:rPr>
                <w:sz w:val="17"/>
                <w:szCs w:val="17"/>
              </w:rPr>
              <w:t>VerbouwPremie</w:t>
            </w:r>
            <w:proofErr w:type="spellEnd"/>
            <w:r>
              <w:rPr>
                <w:sz w:val="17"/>
                <w:szCs w:val="17"/>
              </w:rPr>
              <w:t>; EPC tightening</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87B0C06" w14:textId="77777777" w:rsidR="00720B78" w:rsidRDefault="00000000">
            <w:r>
              <w:rPr>
                <w:sz w:val="17"/>
                <w:szCs w:val="17"/>
              </w:rPr>
              <w:t>Wallonia slight decline; Brussels stable/low</w:t>
            </w:r>
          </w:p>
        </w:tc>
        <w:tc>
          <w:tcPr>
            <w:tcW w:w="13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388E4A5" w14:textId="77777777" w:rsidR="00720B78" w:rsidRDefault="00000000">
            <w:r>
              <w:rPr>
                <w:sz w:val="17"/>
                <w:szCs w:val="17"/>
              </w:rPr>
              <w:t>Flat plateau</w:t>
            </w:r>
          </w:p>
        </w:tc>
      </w:tr>
      <w:tr w:rsidR="00720B78" w14:paraId="1413B9F5"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1A290AC" w14:textId="77777777" w:rsidR="00720B78" w:rsidRDefault="00000000">
            <w:r>
              <w:rPr>
                <w:sz w:val="17"/>
                <w:szCs w:val="17"/>
              </w:rPr>
              <w:t>2020–2021</w:t>
            </w:r>
          </w:p>
        </w:tc>
        <w:tc>
          <w:tcPr>
            <w:tcW w:w="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49509BA" w14:textId="77777777" w:rsidR="00720B78" w:rsidRDefault="00000000">
            <w:r>
              <w:rPr>
                <w:sz w:val="17"/>
                <w:szCs w:val="17"/>
              </w:rPr>
              <w:t>~1.15–1.40%</w:t>
            </w:r>
          </w:p>
        </w:tc>
        <w:tc>
          <w:tcPr>
            <w:tcW w:w="2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4A2E621" w14:textId="77777777" w:rsidR="00720B78" w:rsidRDefault="00000000">
            <w:r>
              <w:rPr>
                <w:sz w:val="17"/>
                <w:szCs w:val="17"/>
              </w:rPr>
              <w:t>COVID investment + insulation premiums</w:t>
            </w:r>
          </w:p>
        </w:tc>
        <w:tc>
          <w:tcPr>
            <w:tcW w:w="25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8637DB7" w14:textId="77777777" w:rsidR="00720B78" w:rsidRDefault="00000000">
            <w:r>
              <w:rPr>
                <w:sz w:val="17"/>
                <w:szCs w:val="17"/>
              </w:rPr>
              <w:t>All regions peak; Flanders highest</w:t>
            </w:r>
          </w:p>
        </w:tc>
        <w:tc>
          <w:tcPr>
            <w:tcW w:w="13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BDACDBD" w14:textId="77777777" w:rsidR="00720B78" w:rsidRDefault="00000000">
            <w:r>
              <w:rPr>
                <w:sz w:val="17"/>
                <w:szCs w:val="17"/>
              </w:rPr>
              <w:t>Sharp peak</w:t>
            </w:r>
          </w:p>
        </w:tc>
      </w:tr>
      <w:tr w:rsidR="00720B78" w14:paraId="54D72786"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3D1ADDD" w14:textId="77777777" w:rsidR="00720B78" w:rsidRDefault="00000000">
            <w:r>
              <w:rPr>
                <w:sz w:val="17"/>
                <w:szCs w:val="17"/>
              </w:rPr>
              <w:t>2022–2023</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E07EA87" w14:textId="77777777" w:rsidR="00720B78" w:rsidRDefault="00000000">
            <w:r>
              <w:rPr>
                <w:sz w:val="17"/>
                <w:szCs w:val="17"/>
              </w:rPr>
              <w:t>~1.05–1.20%</w:t>
            </w:r>
          </w:p>
        </w:tc>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0BCFE76" w14:textId="77777777" w:rsidR="00720B78" w:rsidRDefault="00000000">
            <w:r>
              <w:rPr>
                <w:sz w:val="17"/>
                <w:szCs w:val="17"/>
              </w:rPr>
              <w:t>Renovation obligation (Jan 2023)</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D7A97EE" w14:textId="77777777" w:rsidR="00720B78" w:rsidRDefault="00000000">
            <w:r>
              <w:rPr>
                <w:sz w:val="17"/>
                <w:szCs w:val="17"/>
              </w:rPr>
              <w:t>Flanders moderates; Wallonia drops more</w:t>
            </w:r>
          </w:p>
        </w:tc>
        <w:tc>
          <w:tcPr>
            <w:tcW w:w="13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32385F8" w14:textId="77777777" w:rsidR="00720B78" w:rsidRDefault="00000000">
            <w:r>
              <w:rPr>
                <w:sz w:val="17"/>
                <w:szCs w:val="17"/>
              </w:rPr>
              <w:t>Decline then stabilise</w:t>
            </w:r>
          </w:p>
        </w:tc>
      </w:tr>
      <w:tr w:rsidR="00720B78" w14:paraId="7F7579C3"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D1434DE" w14:textId="77777777" w:rsidR="00720B78" w:rsidRDefault="00000000">
            <w:r>
              <w:rPr>
                <w:sz w:val="17"/>
                <w:szCs w:val="17"/>
              </w:rPr>
              <w:t>2024</w:t>
            </w:r>
          </w:p>
        </w:tc>
        <w:tc>
          <w:tcPr>
            <w:tcW w:w="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B3D05C8" w14:textId="77777777" w:rsidR="00720B78" w:rsidRDefault="00000000">
            <w:r>
              <w:rPr>
                <w:sz w:val="17"/>
                <w:szCs w:val="17"/>
              </w:rPr>
              <w:t>~0.92%</w:t>
            </w:r>
          </w:p>
        </w:tc>
        <w:tc>
          <w:tcPr>
            <w:tcW w:w="2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F13C165" w14:textId="77777777" w:rsidR="00720B78" w:rsidRDefault="00000000">
            <w:r>
              <w:rPr>
                <w:sz w:val="17"/>
                <w:szCs w:val="17"/>
              </w:rPr>
              <w:t>Obligation ramping up; high costs</w:t>
            </w:r>
          </w:p>
        </w:tc>
        <w:tc>
          <w:tcPr>
            <w:tcW w:w="25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3EEFD5B" w14:textId="77777777" w:rsidR="00720B78" w:rsidRDefault="00000000">
            <w:r>
              <w:rPr>
                <w:sz w:val="17"/>
                <w:szCs w:val="17"/>
              </w:rPr>
              <w:t>All regions below pre-COVID by 2024</w:t>
            </w:r>
          </w:p>
        </w:tc>
        <w:tc>
          <w:tcPr>
            <w:tcW w:w="13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27A78B5" w14:textId="77777777" w:rsidR="00720B78" w:rsidRDefault="00000000">
            <w:r>
              <w:rPr>
                <w:sz w:val="17"/>
                <w:szCs w:val="17"/>
              </w:rPr>
              <w:t>Further decline</w:t>
            </w:r>
          </w:p>
        </w:tc>
      </w:tr>
    </w:tbl>
    <w:p w14:paraId="58CD2F04" w14:textId="77777777" w:rsidR="00720B78" w:rsidRDefault="00000000">
      <w:pPr>
        <w:spacing w:before="40" w:after="120" w:line="276" w:lineRule="auto"/>
        <w:jc w:val="both"/>
      </w:pPr>
      <w:r>
        <w:rPr>
          <w:i/>
          <w:iCs/>
          <w:sz w:val="17"/>
          <w:szCs w:val="17"/>
        </w:rPr>
        <w:t xml:space="preserve">Sources: Van </w:t>
      </w:r>
      <w:proofErr w:type="spellStart"/>
      <w:r>
        <w:rPr>
          <w:i/>
          <w:iCs/>
          <w:sz w:val="17"/>
          <w:szCs w:val="17"/>
        </w:rPr>
        <w:t>Gompel</w:t>
      </w:r>
      <w:proofErr w:type="spellEnd"/>
      <w:r>
        <w:rPr>
          <w:i/>
          <w:iCs/>
          <w:sz w:val="17"/>
          <w:szCs w:val="17"/>
        </w:rPr>
        <w:t xml:space="preserve"> (2026); </w:t>
      </w:r>
      <w:proofErr w:type="spellStart"/>
      <w:r>
        <w:rPr>
          <w:i/>
          <w:iCs/>
          <w:sz w:val="17"/>
          <w:szCs w:val="17"/>
        </w:rPr>
        <w:t>Statbel</w:t>
      </w:r>
      <w:proofErr w:type="spellEnd"/>
      <w:r>
        <w:rPr>
          <w:i/>
          <w:iCs/>
          <w:sz w:val="17"/>
          <w:szCs w:val="17"/>
        </w:rPr>
        <w:t xml:space="preserve"> (2025); </w:t>
      </w:r>
      <w:proofErr w:type="spellStart"/>
      <w:r>
        <w:rPr>
          <w:i/>
          <w:iCs/>
          <w:sz w:val="17"/>
          <w:szCs w:val="17"/>
        </w:rPr>
        <w:t>Reusens</w:t>
      </w:r>
      <w:proofErr w:type="spellEnd"/>
      <w:r>
        <w:rPr>
          <w:i/>
          <w:iCs/>
          <w:sz w:val="17"/>
          <w:szCs w:val="17"/>
        </w:rPr>
        <w:t xml:space="preserve"> et al., NBB (2025); FIEC (2025).</w:t>
      </w:r>
    </w:p>
    <w:p w14:paraId="34B43317" w14:textId="77777777" w:rsidR="00720B78" w:rsidRDefault="00000000">
      <w:pPr>
        <w:pStyle w:val="Heading2"/>
      </w:pPr>
      <w:r>
        <w:t>2.2 Walloon Region</w:t>
      </w:r>
    </w:p>
    <w:p w14:paraId="0018CC75" w14:textId="77777777" w:rsidR="00720B78" w:rsidRDefault="00000000">
      <w:pPr>
        <w:pStyle w:val="Heading3"/>
      </w:pPr>
      <w:r>
        <w:t>Building Stock and Rate Trajectory</w:t>
      </w:r>
    </w:p>
    <w:p w14:paraId="52684279" w14:textId="77777777" w:rsidR="00720B78" w:rsidRDefault="00000000">
      <w:pPr>
        <w:spacing w:before="80" w:after="100" w:line="276" w:lineRule="auto"/>
        <w:jc w:val="both"/>
      </w:pPr>
      <w:r>
        <w:t xml:space="preserve">Wallonia has a significantly older and more energy-inefficient stock than Flanders. </w:t>
      </w:r>
      <w:r>
        <w:rPr>
          <w:b/>
          <w:bCs/>
        </w:rPr>
        <w:t>78% of Walloon buildings were built before 1981</w:t>
      </w:r>
      <w:r>
        <w:t xml:space="preserve">. EPC label distribution shows that </w:t>
      </w:r>
      <w:r>
        <w:rPr>
          <w:b/>
          <w:bCs/>
        </w:rPr>
        <w:t>48% of Walloon dwellings fall in labels F or G</w:t>
      </w:r>
      <w:r>
        <w:t xml:space="preserve"> — the highest proportion of critically poor-performing homes in Belgium. Average house energy scores stood at 390 kWh/m² in Q1 2024, the highest of all three regions, vs. the 2050 target of 85 kWh/m² (</w:t>
      </w:r>
      <w:proofErr w:type="spellStart"/>
      <w:r>
        <w:t>Reusens</w:t>
      </w:r>
      <w:proofErr w:type="spellEnd"/>
      <w:r>
        <w:t xml:space="preserve"> et al., 2025).</w:t>
      </w:r>
    </w:p>
    <w:p w14:paraId="7D0A46F6" w14:textId="77777777" w:rsidR="00720B78" w:rsidRDefault="00000000">
      <w:pPr>
        <w:spacing w:before="80" w:after="100" w:line="276" w:lineRule="auto"/>
        <w:jc w:val="both"/>
      </w:pPr>
      <w:r>
        <w:t xml:space="preserve">Walloon renovation intensity has historically been below the federal average and exhibits a </w:t>
      </w:r>
      <w:r>
        <w:rPr>
          <w:b/>
          <w:bCs/>
        </w:rPr>
        <w:t>slight downward trend since 2015</w:t>
      </w:r>
      <w:r>
        <w:t xml:space="preserve">, except during the 2020–2021 COVID spike. The IWEPS dataset for 2006–2018 shows the Walloon renovation share declining from ~1.1% of the dwelling stock in 2007 to ~0.8% by 2018. According to </w:t>
      </w:r>
      <w:proofErr w:type="spellStart"/>
      <w:r>
        <w:t>Embuild</w:t>
      </w:r>
      <w:proofErr w:type="spellEnd"/>
      <w:r>
        <w:t xml:space="preserve">, the required acceleration to reach 2050 climate neutrality is </w:t>
      </w:r>
      <w:r>
        <w:rPr>
          <w:b/>
          <w:bCs/>
        </w:rPr>
        <w:t>four times the current Walloon rate</w:t>
      </w:r>
      <w:r>
        <w:t xml:space="preserve"> — higher than the three-times multiplier for Flanders (Van </w:t>
      </w:r>
      <w:proofErr w:type="spellStart"/>
      <w:r>
        <w:t>Gompel</w:t>
      </w:r>
      <w:proofErr w:type="spellEnd"/>
      <w:r>
        <w:t>, 2026).</w:t>
      </w:r>
    </w:p>
    <w:p w14:paraId="0E5149C6" w14:textId="77777777" w:rsidR="00720B78" w:rsidRDefault="00000000">
      <w:pPr>
        <w:spacing w:before="80" w:after="100" w:line="276" w:lineRule="auto"/>
        <w:jc w:val="both"/>
      </w:pPr>
      <w:r>
        <w:t xml:space="preserve">Policy instruments include the Walloon </w:t>
      </w:r>
      <w:r>
        <w:rPr>
          <w:b/>
          <w:bCs/>
        </w:rPr>
        <w:t>Carbon Neutrality Decree (November 2023)</w:t>
      </w:r>
      <w:r>
        <w:t xml:space="preserve">, the long-term renovation strategy targeting CO₂ neutrality by 2050 (55% GHG reduction by 2030 vs. 1990), and the </w:t>
      </w:r>
      <w:r>
        <w:rPr>
          <w:b/>
          <w:bCs/>
        </w:rPr>
        <w:t xml:space="preserve">Primes </w:t>
      </w:r>
      <w:proofErr w:type="spellStart"/>
      <w:r>
        <w:rPr>
          <w:b/>
          <w:bCs/>
        </w:rPr>
        <w:t>Logement</w:t>
      </w:r>
      <w:proofErr w:type="spellEnd"/>
      <w:r>
        <w:t xml:space="preserve"> subsidy scheme. From </w:t>
      </w:r>
      <w:r>
        <w:rPr>
          <w:b/>
          <w:bCs/>
        </w:rPr>
        <w:t>1 January 2025</w:t>
      </w:r>
      <w:r>
        <w:t>, a sharp reduction in Walloon registration duties has stimulated mortgage applications for purchase-plus-renovation — a potential leading indicator for improved uptake (Global Property Guide, 2026). No binding post-purchase residential renovation obligation was in force as of Q1 2026.</w:t>
      </w:r>
    </w:p>
    <w:p w14:paraId="5F87F4E3" w14:textId="77777777" w:rsidR="00720B78" w:rsidRDefault="00720B78">
      <w:pPr>
        <w:spacing w:before="60" w:after="60"/>
      </w:pPr>
    </w:p>
    <w:p w14:paraId="266120A9" w14:textId="77777777" w:rsidR="00BE711E" w:rsidRDefault="00BE711E">
      <w:pPr>
        <w:spacing w:before="60" w:after="60"/>
      </w:pPr>
    </w:p>
    <w:p w14:paraId="559BF579" w14:textId="77777777" w:rsidR="00BE711E" w:rsidRDefault="00BE711E">
      <w:pPr>
        <w:spacing w:before="60" w:after="60"/>
      </w:pPr>
    </w:p>
    <w:p w14:paraId="372AD6F4" w14:textId="77777777" w:rsidR="00BE711E" w:rsidRDefault="00BE711E">
      <w:pPr>
        <w:spacing w:before="60" w:after="60"/>
      </w:pPr>
    </w:p>
    <w:p w14:paraId="68C5B283" w14:textId="77777777" w:rsidR="00BE711E" w:rsidRDefault="00BE711E">
      <w:pPr>
        <w:spacing w:before="60" w:after="60"/>
      </w:pPr>
    </w:p>
    <w:p w14:paraId="539A075D" w14:textId="77777777" w:rsidR="00BE711E" w:rsidRDefault="00BE711E">
      <w:pPr>
        <w:spacing w:before="60" w:after="60"/>
      </w:pPr>
    </w:p>
    <w:p w14:paraId="03D2D8A7" w14:textId="77777777" w:rsidR="00BE711E" w:rsidRDefault="00BE711E">
      <w:pPr>
        <w:spacing w:before="60" w:after="60"/>
      </w:pPr>
    </w:p>
    <w:p w14:paraId="6204F705" w14:textId="77777777" w:rsidR="00BE711E" w:rsidRDefault="00BE711E">
      <w:pPr>
        <w:spacing w:before="60" w:after="60"/>
      </w:pPr>
    </w:p>
    <w:p w14:paraId="5E359562" w14:textId="77777777" w:rsidR="00BE711E" w:rsidRDefault="00BE711E">
      <w:pPr>
        <w:spacing w:before="60" w:after="60"/>
      </w:pPr>
    </w:p>
    <w:p w14:paraId="3C1A47A3" w14:textId="77777777" w:rsidR="00BE711E" w:rsidRDefault="00BE711E">
      <w:pPr>
        <w:spacing w:before="60" w:after="60"/>
      </w:pPr>
    </w:p>
    <w:p w14:paraId="7DCA9EFF" w14:textId="77777777" w:rsidR="00720B78" w:rsidRDefault="00000000">
      <w:pPr>
        <w:spacing w:before="100" w:after="40"/>
      </w:pPr>
      <w:r>
        <w:rPr>
          <w:b/>
          <w:bCs/>
          <w:color w:val="1F4E79"/>
        </w:rPr>
        <w:lastRenderedPageBreak/>
        <w:t>Table 4: Walloon Region — Renovation Rate Trend and Policy Events, 2000–2024</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900"/>
        <w:gridCol w:w="2000"/>
        <w:gridCol w:w="1300"/>
        <w:gridCol w:w="1300"/>
        <w:gridCol w:w="1426"/>
      </w:tblGrid>
      <w:tr w:rsidR="00720B78" w14:paraId="51E35226" w14:textId="77777777">
        <w:tblPrEx>
          <w:tblCellMar>
            <w:top w:w="0" w:type="dxa"/>
            <w:bottom w:w="0" w:type="dxa"/>
          </w:tblCellMar>
        </w:tblPrEx>
        <w:trPr>
          <w:tblHeader/>
        </w:trPr>
        <w:tc>
          <w:tcPr>
            <w:tcW w:w="11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6142AA79" w14:textId="77777777" w:rsidR="00720B78" w:rsidRDefault="00000000">
            <w:pPr>
              <w:jc w:val="center"/>
            </w:pPr>
            <w:r>
              <w:rPr>
                <w:b/>
                <w:bCs/>
                <w:color w:val="1F4E79"/>
                <w:sz w:val="17"/>
                <w:szCs w:val="17"/>
              </w:rPr>
              <w:t>Period</w:t>
            </w:r>
          </w:p>
        </w:tc>
        <w:tc>
          <w:tcPr>
            <w:tcW w:w="9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5592DE50" w14:textId="77777777" w:rsidR="00720B78" w:rsidRDefault="00000000">
            <w:pPr>
              <w:jc w:val="center"/>
            </w:pPr>
            <w:r>
              <w:rPr>
                <w:b/>
                <w:bCs/>
                <w:color w:val="1F4E79"/>
                <w:sz w:val="17"/>
                <w:szCs w:val="17"/>
              </w:rPr>
              <w:t>Est. Rate (% p.a.)</w:t>
            </w:r>
          </w:p>
        </w:tc>
        <w:tc>
          <w:tcPr>
            <w:tcW w:w="20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7E6794A6" w14:textId="77777777" w:rsidR="00720B78" w:rsidRDefault="00000000">
            <w:pPr>
              <w:jc w:val="center"/>
            </w:pPr>
            <w:r>
              <w:rPr>
                <w:b/>
                <w:bCs/>
                <w:color w:val="1F4E79"/>
                <w:sz w:val="17"/>
                <w:szCs w:val="17"/>
              </w:rPr>
              <w:t>Key Policy Event</w:t>
            </w:r>
          </w:p>
        </w:tc>
        <w:tc>
          <w:tcPr>
            <w:tcW w:w="13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66BEB297" w14:textId="77777777" w:rsidR="00720B78" w:rsidRDefault="00000000">
            <w:pPr>
              <w:jc w:val="center"/>
            </w:pPr>
            <w:r>
              <w:rPr>
                <w:b/>
                <w:bCs/>
                <w:color w:val="1F4E79"/>
                <w:sz w:val="17"/>
                <w:szCs w:val="17"/>
              </w:rPr>
              <w:t>vs. Flanders</w:t>
            </w:r>
          </w:p>
        </w:tc>
        <w:tc>
          <w:tcPr>
            <w:tcW w:w="13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3CD648A9" w14:textId="77777777" w:rsidR="00720B78" w:rsidRDefault="00000000">
            <w:pPr>
              <w:jc w:val="center"/>
            </w:pPr>
            <w:r>
              <w:rPr>
                <w:b/>
                <w:bCs/>
                <w:color w:val="1F4E79"/>
                <w:sz w:val="17"/>
                <w:szCs w:val="17"/>
              </w:rPr>
              <w:t>vs. Brussels</w:t>
            </w:r>
          </w:p>
        </w:tc>
        <w:tc>
          <w:tcPr>
            <w:tcW w:w="1426"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03AE5443" w14:textId="77777777" w:rsidR="00720B78" w:rsidRDefault="00000000">
            <w:pPr>
              <w:jc w:val="center"/>
            </w:pPr>
            <w:r>
              <w:rPr>
                <w:b/>
                <w:bCs/>
                <w:color w:val="1F4E79"/>
                <w:sz w:val="17"/>
                <w:szCs w:val="17"/>
              </w:rPr>
              <w:t>Trend</w:t>
            </w:r>
          </w:p>
        </w:tc>
      </w:tr>
      <w:tr w:rsidR="00720B78" w14:paraId="67D29D0E"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8D36468" w14:textId="77777777" w:rsidR="00720B78" w:rsidRDefault="00000000">
            <w:r>
              <w:rPr>
                <w:sz w:val="17"/>
                <w:szCs w:val="17"/>
              </w:rPr>
              <w:t>2000–2006</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0BFB324" w14:textId="77777777" w:rsidR="00720B78" w:rsidRDefault="00000000">
            <w:r>
              <w:rPr>
                <w:sz w:val="17"/>
                <w:szCs w:val="17"/>
              </w:rPr>
              <w:t>~0.70–0.85%</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54818E2" w14:textId="77777777" w:rsidR="00720B78" w:rsidRDefault="00000000">
            <w:r>
              <w:rPr>
                <w:sz w:val="17"/>
                <w:szCs w:val="17"/>
              </w:rPr>
              <w:t>Pre-EPBD baseline; minimal obligation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9EF87C5" w14:textId="77777777" w:rsidR="00720B78" w:rsidRDefault="00000000">
            <w:r>
              <w:rPr>
                <w:sz w:val="17"/>
                <w:szCs w:val="17"/>
              </w:rPr>
              <w:t>~10–15 bp below</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5386491" w14:textId="77777777" w:rsidR="00720B78" w:rsidRDefault="00000000">
            <w:r>
              <w:rPr>
                <w:sz w:val="17"/>
                <w:szCs w:val="17"/>
              </w:rPr>
              <w:t>~20–25 bp above</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F76B38A" w14:textId="77777777" w:rsidR="00720B78" w:rsidRDefault="00000000">
            <w:r>
              <w:rPr>
                <w:sz w:val="17"/>
                <w:szCs w:val="17"/>
              </w:rPr>
              <w:t>Slow growth</w:t>
            </w:r>
          </w:p>
        </w:tc>
      </w:tr>
      <w:tr w:rsidR="00720B78" w14:paraId="5557BC60"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5E01FD2" w14:textId="77777777" w:rsidR="00720B78" w:rsidRDefault="00000000">
            <w:r>
              <w:rPr>
                <w:sz w:val="17"/>
                <w:szCs w:val="17"/>
              </w:rPr>
              <w:t>2007–2014</w:t>
            </w:r>
          </w:p>
        </w:tc>
        <w:tc>
          <w:tcPr>
            <w:tcW w:w="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23166D2" w14:textId="77777777" w:rsidR="00720B78" w:rsidRDefault="00000000">
            <w:r>
              <w:rPr>
                <w:sz w:val="17"/>
                <w:szCs w:val="17"/>
              </w:rPr>
              <w:t>~0.90–0.98%</w:t>
            </w:r>
          </w:p>
        </w:tc>
        <w:tc>
          <w:tcPr>
            <w:tcW w:w="20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4C427495" w14:textId="77777777" w:rsidR="00720B78" w:rsidRDefault="00000000">
            <w:r>
              <w:rPr>
                <w:sz w:val="17"/>
                <w:szCs w:val="17"/>
              </w:rPr>
              <w:t>PEB mandatory; subsidy schemes</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C7F605B" w14:textId="77777777" w:rsidR="00720B78" w:rsidRDefault="00000000">
            <w:r>
              <w:rPr>
                <w:sz w:val="17"/>
                <w:szCs w:val="17"/>
              </w:rPr>
              <w:t>~10 bp below</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DA04FF0" w14:textId="77777777" w:rsidR="00720B78" w:rsidRDefault="00000000">
            <w:r>
              <w:rPr>
                <w:sz w:val="17"/>
                <w:szCs w:val="17"/>
              </w:rPr>
              <w:t>~30 bp above</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A276B99" w14:textId="77777777" w:rsidR="00720B78" w:rsidRDefault="00000000">
            <w:r>
              <w:rPr>
                <w:sz w:val="17"/>
                <w:szCs w:val="17"/>
              </w:rPr>
              <w:t>Slight growth</w:t>
            </w:r>
          </w:p>
        </w:tc>
      </w:tr>
      <w:tr w:rsidR="00720B78" w14:paraId="516D12BC"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1E28904" w14:textId="77777777" w:rsidR="00720B78" w:rsidRDefault="00000000">
            <w:r>
              <w:rPr>
                <w:sz w:val="17"/>
                <w:szCs w:val="17"/>
              </w:rPr>
              <w:t>2015–2019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AAF25A3" w14:textId="77777777" w:rsidR="00720B78" w:rsidRDefault="00000000">
            <w:r>
              <w:rPr>
                <w:sz w:val="17"/>
                <w:szCs w:val="17"/>
              </w:rPr>
              <w:t>~0.94–0.98%</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C43A71E" w14:textId="77777777" w:rsidR="00720B78" w:rsidRDefault="00000000">
            <w:r>
              <w:rPr>
                <w:sz w:val="17"/>
                <w:szCs w:val="17"/>
              </w:rPr>
              <w:t>LTRS first submitted; EPC rent rules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A6F1FFC" w14:textId="77777777" w:rsidR="00720B78" w:rsidRDefault="00000000">
            <w:r>
              <w:rPr>
                <w:sz w:val="17"/>
                <w:szCs w:val="17"/>
              </w:rPr>
              <w:t>~10–15 bp below</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42AEA94" w14:textId="77777777" w:rsidR="00720B78" w:rsidRDefault="00000000">
            <w:r>
              <w:rPr>
                <w:sz w:val="17"/>
                <w:szCs w:val="17"/>
              </w:rPr>
              <w:t>~35 bp above</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D75F60D" w14:textId="77777777" w:rsidR="00720B78" w:rsidRDefault="00000000">
            <w:r>
              <w:rPr>
                <w:sz w:val="17"/>
                <w:szCs w:val="17"/>
              </w:rPr>
              <w:t>Slight decline</w:t>
            </w:r>
          </w:p>
        </w:tc>
      </w:tr>
      <w:tr w:rsidR="00720B78" w14:paraId="476D581E"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074911C" w14:textId="77777777" w:rsidR="00720B78" w:rsidRDefault="00000000">
            <w:r>
              <w:rPr>
                <w:sz w:val="17"/>
                <w:szCs w:val="17"/>
              </w:rPr>
              <w:t>2020–2021</w:t>
            </w:r>
          </w:p>
        </w:tc>
        <w:tc>
          <w:tcPr>
            <w:tcW w:w="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2EFBEB4" w14:textId="77777777" w:rsidR="00720B78" w:rsidRDefault="00000000">
            <w:r>
              <w:rPr>
                <w:sz w:val="17"/>
                <w:szCs w:val="17"/>
              </w:rPr>
              <w:t>~0.98–1.10%</w:t>
            </w:r>
          </w:p>
        </w:tc>
        <w:tc>
          <w:tcPr>
            <w:tcW w:w="20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273EFEE" w14:textId="77777777" w:rsidR="00720B78" w:rsidRDefault="00000000">
            <w:r>
              <w:rPr>
                <w:sz w:val="17"/>
                <w:szCs w:val="17"/>
              </w:rPr>
              <w:t>COVID wave; expanded subsidies</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4C87711" w14:textId="77777777" w:rsidR="00720B78" w:rsidRDefault="00000000">
            <w:r>
              <w:rPr>
                <w:sz w:val="17"/>
                <w:szCs w:val="17"/>
              </w:rPr>
              <w:t>~25–30 bp below</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98CBFE2" w14:textId="77777777" w:rsidR="00720B78" w:rsidRDefault="00000000">
            <w:r>
              <w:rPr>
                <w:sz w:val="17"/>
                <w:szCs w:val="17"/>
              </w:rPr>
              <w:t>~40 bp above</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7AA32D8" w14:textId="77777777" w:rsidR="00720B78" w:rsidRDefault="00000000">
            <w:r>
              <w:rPr>
                <w:sz w:val="17"/>
                <w:szCs w:val="17"/>
              </w:rPr>
              <w:t>Temporary peak</w:t>
            </w:r>
          </w:p>
        </w:tc>
      </w:tr>
      <w:tr w:rsidR="00720B78" w14:paraId="656BC158"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8DA53F6" w14:textId="77777777" w:rsidR="00720B78" w:rsidRDefault="00000000">
            <w:r>
              <w:rPr>
                <w:sz w:val="17"/>
                <w:szCs w:val="17"/>
              </w:rPr>
              <w:t>2022–2023</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AD3CEC5" w14:textId="77777777" w:rsidR="00720B78" w:rsidRDefault="00000000">
            <w:r>
              <w:rPr>
                <w:sz w:val="17"/>
                <w:szCs w:val="17"/>
              </w:rPr>
              <w:t>~0.88–0.95%</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AB04392" w14:textId="77777777" w:rsidR="00720B78" w:rsidRDefault="00000000">
            <w:r>
              <w:rPr>
                <w:sz w:val="17"/>
                <w:szCs w:val="17"/>
              </w:rPr>
              <w:t>Carbon Neutrality Decree (Nov 2023)</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71CF003" w14:textId="77777777" w:rsidR="00720B78" w:rsidRDefault="00000000">
            <w:r>
              <w:rPr>
                <w:sz w:val="17"/>
                <w:szCs w:val="17"/>
              </w:rPr>
              <w:t>~15 bp below</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C3070DE" w14:textId="77777777" w:rsidR="00720B78" w:rsidRDefault="00000000">
            <w:r>
              <w:rPr>
                <w:sz w:val="17"/>
                <w:szCs w:val="17"/>
              </w:rPr>
              <w:t>~35 bp above</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966BCF5" w14:textId="77777777" w:rsidR="00720B78" w:rsidRDefault="00000000">
            <w:r>
              <w:rPr>
                <w:sz w:val="17"/>
                <w:szCs w:val="17"/>
              </w:rPr>
              <w:t>Decline</w:t>
            </w:r>
          </w:p>
        </w:tc>
      </w:tr>
      <w:tr w:rsidR="00720B78" w14:paraId="6FBE478B" w14:textId="77777777">
        <w:tblPrEx>
          <w:tblCellMar>
            <w:top w:w="0" w:type="dxa"/>
            <w:bottom w:w="0" w:type="dxa"/>
          </w:tblCellMar>
        </w:tblPrEx>
        <w:tc>
          <w:tcPr>
            <w:tcW w:w="1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1E52B9A" w14:textId="77777777" w:rsidR="00720B78" w:rsidRDefault="00000000">
            <w:r>
              <w:rPr>
                <w:sz w:val="17"/>
                <w:szCs w:val="17"/>
              </w:rPr>
              <w:t>2024</w:t>
            </w:r>
          </w:p>
        </w:tc>
        <w:tc>
          <w:tcPr>
            <w:tcW w:w="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FC69C97" w14:textId="77777777" w:rsidR="00720B78" w:rsidRDefault="00000000">
            <w:r>
              <w:rPr>
                <w:sz w:val="17"/>
                <w:szCs w:val="17"/>
              </w:rPr>
              <w:t>~0.80%</w:t>
            </w:r>
          </w:p>
        </w:tc>
        <w:tc>
          <w:tcPr>
            <w:tcW w:w="20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172518F" w14:textId="77777777" w:rsidR="00720B78" w:rsidRDefault="00000000">
            <w:r>
              <w:rPr>
                <w:sz w:val="17"/>
                <w:szCs w:val="17"/>
              </w:rPr>
              <w:t>Registration duties cut (Jan 2025)</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9AF8270" w14:textId="77777777" w:rsidR="00720B78" w:rsidRDefault="00000000">
            <w:r>
              <w:rPr>
                <w:sz w:val="17"/>
                <w:szCs w:val="17"/>
              </w:rPr>
              <w:t>~12 bp below</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D2BD1F6" w14:textId="77777777" w:rsidR="00720B78" w:rsidRDefault="00000000">
            <w:r>
              <w:rPr>
                <w:sz w:val="17"/>
                <w:szCs w:val="17"/>
              </w:rPr>
              <w:t>~35 bp above</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522B674" w14:textId="77777777" w:rsidR="00720B78" w:rsidRDefault="00000000">
            <w:r>
              <w:rPr>
                <w:sz w:val="17"/>
                <w:szCs w:val="17"/>
              </w:rPr>
              <w:t>Continued decline</w:t>
            </w:r>
          </w:p>
        </w:tc>
      </w:tr>
    </w:tbl>
    <w:p w14:paraId="71CBA3AB" w14:textId="77777777" w:rsidR="00720B78" w:rsidRDefault="00000000">
      <w:pPr>
        <w:spacing w:before="40" w:after="120" w:line="276" w:lineRule="auto"/>
        <w:jc w:val="both"/>
      </w:pPr>
      <w:r>
        <w:rPr>
          <w:i/>
          <w:iCs/>
          <w:sz w:val="17"/>
          <w:szCs w:val="17"/>
        </w:rPr>
        <w:t xml:space="preserve">Sources: Van </w:t>
      </w:r>
      <w:proofErr w:type="spellStart"/>
      <w:r>
        <w:rPr>
          <w:i/>
          <w:iCs/>
          <w:sz w:val="17"/>
          <w:szCs w:val="17"/>
        </w:rPr>
        <w:t>Gompel</w:t>
      </w:r>
      <w:proofErr w:type="spellEnd"/>
      <w:r>
        <w:rPr>
          <w:i/>
          <w:iCs/>
          <w:sz w:val="17"/>
          <w:szCs w:val="17"/>
        </w:rPr>
        <w:t xml:space="preserve"> (2026); IWEPS/Statista (2020, 2023); </w:t>
      </w:r>
      <w:proofErr w:type="spellStart"/>
      <w:r>
        <w:rPr>
          <w:i/>
          <w:iCs/>
          <w:sz w:val="17"/>
          <w:szCs w:val="17"/>
        </w:rPr>
        <w:t>Climact</w:t>
      </w:r>
      <w:proofErr w:type="spellEnd"/>
      <w:r>
        <w:rPr>
          <w:i/>
          <w:iCs/>
          <w:sz w:val="17"/>
          <w:szCs w:val="17"/>
        </w:rPr>
        <w:t xml:space="preserve"> (2024); Monard Law (2023).</w:t>
      </w:r>
    </w:p>
    <w:p w14:paraId="2C52C0D9" w14:textId="77777777" w:rsidR="00720B78" w:rsidRDefault="00720B78">
      <w:pPr>
        <w:spacing w:before="60" w:after="60"/>
      </w:pPr>
    </w:p>
    <w:p w14:paraId="7DBD03B2" w14:textId="77777777" w:rsidR="00720B78" w:rsidRDefault="00000000">
      <w:pPr>
        <w:pStyle w:val="Heading2"/>
      </w:pPr>
      <w:r>
        <w:t>2.3 Brussels-Capital Region</w:t>
      </w:r>
    </w:p>
    <w:p w14:paraId="5743ACB6" w14:textId="77777777" w:rsidR="00720B78" w:rsidRDefault="00000000">
      <w:pPr>
        <w:pStyle w:val="Heading3"/>
      </w:pPr>
      <w:r>
        <w:t>Building Stock and Rate Trajectory</w:t>
      </w:r>
    </w:p>
    <w:p w14:paraId="5A45B56E" w14:textId="77777777" w:rsidR="00720B78" w:rsidRDefault="00000000">
      <w:pPr>
        <w:spacing w:before="80" w:after="100" w:line="276" w:lineRule="auto"/>
        <w:jc w:val="both"/>
      </w:pPr>
      <w:r>
        <w:t xml:space="preserve">Brussels presents the most structurally challenging profile. </w:t>
      </w:r>
      <w:r>
        <w:rPr>
          <w:b/>
          <w:bCs/>
        </w:rPr>
        <w:t>93% of Brussels buildings were constructed before 1981</w:t>
      </w:r>
      <w:r>
        <w:t xml:space="preserve"> — the oldest stock in Belgium — and </w:t>
      </w:r>
      <w:r>
        <w:rPr>
          <w:b/>
          <w:bCs/>
        </w:rPr>
        <w:t>55% of dwellings are apartments in condominiums</w:t>
      </w:r>
      <w:r>
        <w:t xml:space="preserve">, requiring supermajority co-owner approval for renovation works. </w:t>
      </w:r>
      <w:r>
        <w:rPr>
          <w:b/>
          <w:bCs/>
        </w:rPr>
        <w:t>45% of dwellings fall in EPC labels F or G</w:t>
      </w:r>
      <w:r>
        <w:t>, though Brussels EPC thresholds are not directly comparable to other regions (</w:t>
      </w:r>
      <w:proofErr w:type="spellStart"/>
      <w:r>
        <w:t>Climact</w:t>
      </w:r>
      <w:proofErr w:type="spellEnd"/>
      <w:r>
        <w:t>, 2024). Average apartment energy scores stood at 245 kWh/m² in Q1 2024 — the highest of any region (</w:t>
      </w:r>
      <w:proofErr w:type="spellStart"/>
      <w:r>
        <w:t>Reusens</w:t>
      </w:r>
      <w:proofErr w:type="spellEnd"/>
      <w:r>
        <w:t xml:space="preserve"> et al., 2025).</w:t>
      </w:r>
    </w:p>
    <w:p w14:paraId="3F4E2BB5" w14:textId="77777777" w:rsidR="00720B78" w:rsidRDefault="00720B78">
      <w:pPr>
        <w:spacing w:before="60" w:after="60"/>
      </w:pPr>
    </w:p>
    <w:p w14:paraId="34EF8410" w14:textId="77777777" w:rsidR="00720B78" w:rsidRDefault="00000000">
      <w:pPr>
        <w:spacing w:before="80" w:after="100" w:line="276" w:lineRule="auto"/>
        <w:jc w:val="both"/>
      </w:pPr>
      <w:r>
        <w:t xml:space="preserve">Brussels records the </w:t>
      </w:r>
      <w:r>
        <w:rPr>
          <w:b/>
          <w:bCs/>
        </w:rPr>
        <w:t>lowest permit-per-building renovation intensity</w:t>
      </w:r>
      <w:r>
        <w:t xml:space="preserve"> (~0.4–0.6%), but this is partly a structural artefact: each permit often covers a multi-unit structure. Expressed per dwelling, Brussels' rate aligns more closely with the national average, though still below Flanders (Van </w:t>
      </w:r>
      <w:proofErr w:type="spellStart"/>
      <w:r>
        <w:t>Gompel</w:t>
      </w:r>
      <w:proofErr w:type="spellEnd"/>
      <w:r>
        <w:t xml:space="preserve">, 2026). The </w:t>
      </w:r>
      <w:r>
        <w:rPr>
          <w:b/>
          <w:bCs/>
        </w:rPr>
        <w:t>RENOLUTION strategy</w:t>
      </w:r>
      <w:r>
        <w:t xml:space="preserve"> (launched 2022) merged Energy and Renovation Premiums into a single 45-grant system — with budget rising from €32M (2021) to €53.6M (2022). Brussels announced a residential renovation obligation in its climate plans from 2025, but no binding legal framework was enacted as of Q1 2026 (</w:t>
      </w:r>
      <w:proofErr w:type="spellStart"/>
      <w:r>
        <w:t>Agoria</w:t>
      </w:r>
      <w:proofErr w:type="spellEnd"/>
      <w:r>
        <w:t>, 2024).</w:t>
      </w:r>
    </w:p>
    <w:p w14:paraId="63AA3453" w14:textId="77777777" w:rsidR="00720B78" w:rsidRDefault="00720B78">
      <w:pPr>
        <w:spacing w:before="60" w:after="60"/>
      </w:pPr>
    </w:p>
    <w:p w14:paraId="1097F01B" w14:textId="77777777" w:rsidR="00BE711E" w:rsidRDefault="00BE711E">
      <w:pPr>
        <w:spacing w:before="60" w:after="60"/>
      </w:pPr>
    </w:p>
    <w:p w14:paraId="30B4CD2D" w14:textId="77777777" w:rsidR="00BE711E" w:rsidRDefault="00BE711E">
      <w:pPr>
        <w:spacing w:before="60" w:after="60"/>
      </w:pPr>
    </w:p>
    <w:p w14:paraId="02335C9A" w14:textId="77777777" w:rsidR="00BE711E" w:rsidRDefault="00BE711E">
      <w:pPr>
        <w:spacing w:before="60" w:after="60"/>
      </w:pPr>
    </w:p>
    <w:p w14:paraId="0F8F4BCB" w14:textId="77777777" w:rsidR="00BE711E" w:rsidRDefault="00BE711E">
      <w:pPr>
        <w:spacing w:before="60" w:after="60"/>
      </w:pPr>
    </w:p>
    <w:p w14:paraId="562352F3" w14:textId="77777777" w:rsidR="00BE711E" w:rsidRDefault="00BE711E">
      <w:pPr>
        <w:spacing w:before="60" w:after="60"/>
      </w:pPr>
    </w:p>
    <w:p w14:paraId="2F027A4B" w14:textId="77777777" w:rsidR="00BE711E" w:rsidRDefault="00BE711E">
      <w:pPr>
        <w:spacing w:before="60" w:after="60"/>
      </w:pPr>
    </w:p>
    <w:p w14:paraId="4A0D395A" w14:textId="77777777" w:rsidR="00BE711E" w:rsidRDefault="00BE711E">
      <w:pPr>
        <w:spacing w:before="60" w:after="60"/>
      </w:pPr>
    </w:p>
    <w:p w14:paraId="4C6307A1" w14:textId="77777777" w:rsidR="00BE711E" w:rsidRDefault="00BE711E">
      <w:pPr>
        <w:spacing w:before="60" w:after="60"/>
      </w:pPr>
    </w:p>
    <w:p w14:paraId="43B237A3" w14:textId="77777777" w:rsidR="00BE711E" w:rsidRDefault="00BE711E">
      <w:pPr>
        <w:spacing w:before="60" w:after="60"/>
      </w:pPr>
    </w:p>
    <w:p w14:paraId="13A63E2E" w14:textId="77777777" w:rsidR="00720B78" w:rsidRDefault="00000000">
      <w:pPr>
        <w:spacing w:before="100" w:after="40"/>
      </w:pPr>
      <w:r>
        <w:rPr>
          <w:b/>
          <w:bCs/>
          <w:color w:val="1F4E79"/>
        </w:rPr>
        <w:lastRenderedPageBreak/>
        <w:t>Table 5: Brussels-Capital Region — Renovation Rate Trend and Policy Events, 2000–2024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300"/>
        <w:gridCol w:w="1300"/>
        <w:gridCol w:w="2100"/>
        <w:gridCol w:w="1900"/>
        <w:gridCol w:w="1426"/>
      </w:tblGrid>
      <w:tr w:rsidR="00720B78" w14:paraId="479E1400" w14:textId="77777777">
        <w:tblPrEx>
          <w:tblCellMar>
            <w:top w:w="0" w:type="dxa"/>
            <w:bottom w:w="0" w:type="dxa"/>
          </w:tblCellMar>
        </w:tblPrEx>
        <w:trPr>
          <w:tblHeader/>
        </w:trPr>
        <w:tc>
          <w:tcPr>
            <w:tcW w:w="10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6BAC1F02" w14:textId="77777777" w:rsidR="00720B78" w:rsidRDefault="00000000">
            <w:pPr>
              <w:jc w:val="center"/>
            </w:pPr>
            <w:r>
              <w:rPr>
                <w:b/>
                <w:bCs/>
                <w:color w:val="1F4E79"/>
                <w:sz w:val="17"/>
                <w:szCs w:val="17"/>
              </w:rPr>
              <w:t>Period</w:t>
            </w:r>
          </w:p>
        </w:tc>
        <w:tc>
          <w:tcPr>
            <w:tcW w:w="13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452E87B0" w14:textId="77777777" w:rsidR="00720B78" w:rsidRDefault="00000000">
            <w:pPr>
              <w:jc w:val="center"/>
            </w:pPr>
            <w:r>
              <w:rPr>
                <w:b/>
                <w:bCs/>
                <w:color w:val="1F4E79"/>
                <w:sz w:val="17"/>
                <w:szCs w:val="17"/>
              </w:rPr>
              <w:t>Est. Rate (buildings, % p.a.)</w:t>
            </w:r>
          </w:p>
        </w:tc>
        <w:tc>
          <w:tcPr>
            <w:tcW w:w="13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25183D6F" w14:textId="77777777" w:rsidR="00720B78" w:rsidRDefault="00000000">
            <w:pPr>
              <w:jc w:val="center"/>
            </w:pPr>
            <w:r>
              <w:rPr>
                <w:b/>
                <w:bCs/>
                <w:color w:val="1F4E79"/>
                <w:sz w:val="17"/>
                <w:szCs w:val="17"/>
              </w:rPr>
              <w:t>Est. Rate (dwellings, % p.a.)</w:t>
            </w:r>
          </w:p>
        </w:tc>
        <w:tc>
          <w:tcPr>
            <w:tcW w:w="21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2DF9A4A4" w14:textId="77777777" w:rsidR="00720B78" w:rsidRDefault="00000000">
            <w:pPr>
              <w:jc w:val="center"/>
            </w:pPr>
            <w:r>
              <w:rPr>
                <w:b/>
                <w:bCs/>
                <w:color w:val="1F4E79"/>
                <w:sz w:val="17"/>
                <w:szCs w:val="17"/>
              </w:rPr>
              <w:t>Key Policy Event</w:t>
            </w:r>
          </w:p>
        </w:tc>
        <w:tc>
          <w:tcPr>
            <w:tcW w:w="19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5D2DEED5" w14:textId="77777777" w:rsidR="00720B78" w:rsidRDefault="00000000">
            <w:pPr>
              <w:jc w:val="center"/>
            </w:pPr>
            <w:r>
              <w:rPr>
                <w:b/>
                <w:bCs/>
                <w:color w:val="1F4E79"/>
                <w:sz w:val="17"/>
                <w:szCs w:val="17"/>
              </w:rPr>
              <w:t>vs. Other Regions</w:t>
            </w:r>
          </w:p>
        </w:tc>
        <w:tc>
          <w:tcPr>
            <w:tcW w:w="1426"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4630579E" w14:textId="77777777" w:rsidR="00720B78" w:rsidRDefault="00000000">
            <w:pPr>
              <w:jc w:val="center"/>
            </w:pPr>
            <w:r>
              <w:rPr>
                <w:b/>
                <w:bCs/>
                <w:color w:val="1F4E79"/>
                <w:sz w:val="17"/>
                <w:szCs w:val="17"/>
              </w:rPr>
              <w:t>Trend</w:t>
            </w:r>
          </w:p>
        </w:tc>
      </w:tr>
      <w:tr w:rsidR="00720B78" w14:paraId="34577805"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6722868" w14:textId="77777777" w:rsidR="00720B78" w:rsidRDefault="00000000">
            <w:r>
              <w:rPr>
                <w:sz w:val="17"/>
                <w:szCs w:val="17"/>
              </w:rPr>
              <w:t>2000–2007</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484E08B" w14:textId="77777777" w:rsidR="00720B78" w:rsidRDefault="00000000">
            <w:r>
              <w:rPr>
                <w:sz w:val="17"/>
                <w:szCs w:val="17"/>
              </w:rPr>
              <w:t>~0.42–0.56%</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8A70844" w14:textId="77777777" w:rsidR="00720B78" w:rsidRDefault="00000000">
            <w:r>
              <w:rPr>
                <w:sz w:val="17"/>
                <w:szCs w:val="17"/>
              </w:rPr>
              <w:t>~0.65–0.80%</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AF4F563" w14:textId="77777777" w:rsidR="00720B78" w:rsidRDefault="00000000">
            <w:r>
              <w:rPr>
                <w:sz w:val="17"/>
                <w:szCs w:val="17"/>
              </w:rPr>
              <w:t>No EPC; no obligation</w:t>
            </w:r>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276CB41" w14:textId="77777777" w:rsidR="00720B78" w:rsidRDefault="00000000">
            <w:r>
              <w:rPr>
                <w:sz w:val="17"/>
                <w:szCs w:val="17"/>
              </w:rPr>
              <w:t>Lowest building-rate; mid-range dwelling-rate</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26052DB" w14:textId="77777777" w:rsidR="00720B78" w:rsidRDefault="00000000">
            <w:r>
              <w:rPr>
                <w:sz w:val="17"/>
                <w:szCs w:val="17"/>
              </w:rPr>
              <w:t>Slow growth</w:t>
            </w:r>
          </w:p>
        </w:tc>
      </w:tr>
      <w:tr w:rsidR="00720B78" w14:paraId="6E7BED14"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AA43734" w14:textId="77777777" w:rsidR="00720B78" w:rsidRDefault="00000000">
            <w:r>
              <w:rPr>
                <w:sz w:val="17"/>
                <w:szCs w:val="17"/>
              </w:rPr>
              <w:t>2008–2015</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8E68222" w14:textId="77777777" w:rsidR="00720B78" w:rsidRDefault="00000000">
            <w:r>
              <w:rPr>
                <w:sz w:val="17"/>
                <w:szCs w:val="17"/>
              </w:rPr>
              <w:t>~0.55–0.60%</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E1B2DB1" w14:textId="77777777" w:rsidR="00720B78" w:rsidRDefault="00000000">
            <w:r>
              <w:rPr>
                <w:sz w:val="17"/>
                <w:szCs w:val="17"/>
              </w:rPr>
              <w:t>~0.78–0.88%</w:t>
            </w:r>
          </w:p>
        </w:tc>
        <w:tc>
          <w:tcPr>
            <w:tcW w:w="2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3B4A2E2" w14:textId="77777777" w:rsidR="00720B78" w:rsidRDefault="00000000">
            <w:r>
              <w:rPr>
                <w:sz w:val="17"/>
                <w:szCs w:val="17"/>
              </w:rPr>
              <w:t>EPB certificate mandatory 2008</w:t>
            </w:r>
          </w:p>
        </w:tc>
        <w:tc>
          <w:tcPr>
            <w:tcW w:w="1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3D9B229" w14:textId="77777777" w:rsidR="00720B78" w:rsidRDefault="00000000">
            <w:r>
              <w:rPr>
                <w:sz w:val="17"/>
                <w:szCs w:val="17"/>
              </w:rPr>
              <w:t>Below Flanders; above national building rate</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194A49C" w14:textId="77777777" w:rsidR="00720B78" w:rsidRDefault="00000000">
            <w:r>
              <w:rPr>
                <w:sz w:val="17"/>
                <w:szCs w:val="17"/>
              </w:rPr>
              <w:t>Stable</w:t>
            </w:r>
          </w:p>
        </w:tc>
      </w:tr>
      <w:tr w:rsidR="00720B78" w14:paraId="3FC926D7"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3431493" w14:textId="77777777" w:rsidR="00720B78" w:rsidRDefault="00000000">
            <w:r>
              <w:rPr>
                <w:sz w:val="17"/>
                <w:szCs w:val="17"/>
              </w:rPr>
              <w:t>2016–2019</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F790C10" w14:textId="77777777" w:rsidR="00720B78" w:rsidRDefault="00000000">
            <w:r>
              <w:rPr>
                <w:sz w:val="17"/>
                <w:szCs w:val="17"/>
              </w:rPr>
              <w:t>~0.54–0.57%</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1D0B8A6" w14:textId="77777777" w:rsidR="00720B78" w:rsidRDefault="00000000">
            <w:r>
              <w:rPr>
                <w:sz w:val="17"/>
                <w:szCs w:val="17"/>
              </w:rPr>
              <w:t>~0.78–0.83%</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F48954A" w14:textId="77777777" w:rsidR="00720B78" w:rsidRDefault="00000000">
            <w:r>
              <w:rPr>
                <w:sz w:val="17"/>
                <w:szCs w:val="17"/>
              </w:rPr>
              <w:t>RENOLUTION strategy drafted</w:t>
            </w:r>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E9421AF" w14:textId="77777777" w:rsidR="00720B78" w:rsidRDefault="00000000">
            <w:r>
              <w:rPr>
                <w:sz w:val="17"/>
                <w:szCs w:val="17"/>
              </w:rPr>
              <w:t>Persistent gap vs. Flanders; stable vs. Wallonia</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3DCFC55" w14:textId="77777777" w:rsidR="00720B78" w:rsidRDefault="00000000">
            <w:r>
              <w:rPr>
                <w:sz w:val="17"/>
                <w:szCs w:val="17"/>
              </w:rPr>
              <w:t>Flat</w:t>
            </w:r>
          </w:p>
        </w:tc>
      </w:tr>
      <w:tr w:rsidR="00720B78" w14:paraId="1B85030F"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2E3D768" w14:textId="77777777" w:rsidR="00720B78" w:rsidRDefault="00000000">
            <w:r>
              <w:rPr>
                <w:sz w:val="17"/>
                <w:szCs w:val="17"/>
              </w:rPr>
              <w:t>2020–2021</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9CB6755" w14:textId="77777777" w:rsidR="00720B78" w:rsidRDefault="00000000">
            <w:r>
              <w:rPr>
                <w:sz w:val="17"/>
                <w:szCs w:val="17"/>
              </w:rPr>
              <w:t>~0.58–0.65%</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B47E459" w14:textId="77777777" w:rsidR="00720B78" w:rsidRDefault="00000000">
            <w:r>
              <w:rPr>
                <w:sz w:val="17"/>
                <w:szCs w:val="17"/>
              </w:rPr>
              <w:t>~0.82–0.92%</w:t>
            </w:r>
          </w:p>
        </w:tc>
        <w:tc>
          <w:tcPr>
            <w:tcW w:w="2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00FF437" w14:textId="77777777" w:rsidR="00720B78" w:rsidRDefault="00000000">
            <w:r>
              <w:rPr>
                <w:sz w:val="17"/>
                <w:szCs w:val="17"/>
              </w:rPr>
              <w:t xml:space="preserve">COVID wave; </w:t>
            </w:r>
            <w:proofErr w:type="spellStart"/>
            <w:r>
              <w:rPr>
                <w:sz w:val="17"/>
                <w:szCs w:val="17"/>
              </w:rPr>
              <w:t>Rénolution</w:t>
            </w:r>
            <w:proofErr w:type="spellEnd"/>
            <w:r>
              <w:rPr>
                <w:sz w:val="17"/>
                <w:szCs w:val="17"/>
              </w:rPr>
              <w:t xml:space="preserve"> grants</w:t>
            </w:r>
          </w:p>
        </w:tc>
        <w:tc>
          <w:tcPr>
            <w:tcW w:w="1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F189933" w14:textId="77777777" w:rsidR="00720B78" w:rsidRDefault="00000000">
            <w:r>
              <w:rPr>
                <w:sz w:val="17"/>
                <w:szCs w:val="17"/>
              </w:rPr>
              <w:t>Subdued peak vs. other regions</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DBA34B5" w14:textId="77777777" w:rsidR="00720B78" w:rsidRDefault="00000000">
            <w:r>
              <w:rPr>
                <w:sz w:val="17"/>
                <w:szCs w:val="17"/>
              </w:rPr>
              <w:t>Mild peak</w:t>
            </w:r>
          </w:p>
        </w:tc>
      </w:tr>
      <w:tr w:rsidR="00720B78" w14:paraId="55EAC094"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8D3214D" w14:textId="77777777" w:rsidR="00720B78" w:rsidRDefault="00000000">
            <w:r>
              <w:rPr>
                <w:sz w:val="17"/>
                <w:szCs w:val="17"/>
              </w:rPr>
              <w:t>2022–2023</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6B1726C" w14:textId="77777777" w:rsidR="00720B78" w:rsidRDefault="00000000">
            <w:r>
              <w:rPr>
                <w:sz w:val="17"/>
                <w:szCs w:val="17"/>
              </w:rPr>
              <w:t>~0.52–0.58%</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07F5ED8" w14:textId="77777777" w:rsidR="00720B78" w:rsidRDefault="00000000">
            <w:r>
              <w:rPr>
                <w:sz w:val="17"/>
                <w:szCs w:val="17"/>
              </w:rPr>
              <w:t>~0.78–0.84%</w:t>
            </w:r>
          </w:p>
        </w:tc>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166547E" w14:textId="77777777" w:rsidR="00720B78" w:rsidRDefault="00000000">
            <w:r>
              <w:rPr>
                <w:sz w:val="17"/>
                <w:szCs w:val="17"/>
              </w:rPr>
              <w:t>RENOLUTION grants launched (€53.6M)</w:t>
            </w:r>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DC43F51" w14:textId="77777777" w:rsidR="00720B78" w:rsidRDefault="00000000">
            <w:r>
              <w:rPr>
                <w:sz w:val="17"/>
                <w:szCs w:val="17"/>
              </w:rPr>
              <w:t>No renovation obligation enacted</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CBDBC3A" w14:textId="77777777" w:rsidR="00720B78" w:rsidRDefault="00000000">
            <w:r>
              <w:rPr>
                <w:sz w:val="17"/>
                <w:szCs w:val="17"/>
              </w:rPr>
              <w:t>Decline</w:t>
            </w:r>
          </w:p>
        </w:tc>
      </w:tr>
      <w:tr w:rsidR="00720B78" w14:paraId="43C66A6F"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9EAE0DB" w14:textId="77777777" w:rsidR="00720B78" w:rsidRDefault="00000000">
            <w:r>
              <w:rPr>
                <w:sz w:val="17"/>
                <w:szCs w:val="17"/>
              </w:rPr>
              <w:t>2024</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2C10B66" w14:textId="77777777" w:rsidR="00720B78" w:rsidRDefault="00000000">
            <w:r>
              <w:rPr>
                <w:sz w:val="17"/>
                <w:szCs w:val="17"/>
              </w:rPr>
              <w:t>~0.45%</w:t>
            </w:r>
          </w:p>
        </w:tc>
        <w:tc>
          <w:tcPr>
            <w:tcW w:w="13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2DF19BA" w14:textId="77777777" w:rsidR="00720B78" w:rsidRDefault="00000000">
            <w:r>
              <w:rPr>
                <w:sz w:val="17"/>
                <w:szCs w:val="17"/>
              </w:rPr>
              <w:t>~0.72%</w:t>
            </w:r>
          </w:p>
        </w:tc>
        <w:tc>
          <w:tcPr>
            <w:tcW w:w="21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3EACDF6" w14:textId="77777777" w:rsidR="00720B78" w:rsidRDefault="00000000">
            <w:r>
              <w:rPr>
                <w:sz w:val="17"/>
                <w:szCs w:val="17"/>
              </w:rPr>
              <w:t>Obligation announced; no legal force</w:t>
            </w:r>
          </w:p>
        </w:tc>
        <w:tc>
          <w:tcPr>
            <w:tcW w:w="19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1EC2497" w14:textId="77777777" w:rsidR="00720B78" w:rsidRDefault="00000000">
            <w:r>
              <w:rPr>
                <w:sz w:val="17"/>
                <w:szCs w:val="17"/>
              </w:rPr>
              <w:t>Widest gap vs. Flanders</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B44A6F8" w14:textId="77777777" w:rsidR="00720B78" w:rsidRDefault="00000000">
            <w:r>
              <w:rPr>
                <w:sz w:val="17"/>
                <w:szCs w:val="17"/>
              </w:rPr>
              <w:t>Further decline</w:t>
            </w:r>
          </w:p>
        </w:tc>
      </w:tr>
    </w:tbl>
    <w:p w14:paraId="2DEE055C" w14:textId="77777777" w:rsidR="00720B78" w:rsidRDefault="00000000">
      <w:pPr>
        <w:spacing w:before="40" w:after="120" w:line="276" w:lineRule="auto"/>
        <w:jc w:val="both"/>
      </w:pPr>
      <w:r>
        <w:rPr>
          <w:i/>
          <w:iCs/>
          <w:sz w:val="17"/>
          <w:szCs w:val="17"/>
        </w:rPr>
        <w:t xml:space="preserve">Sources: Van </w:t>
      </w:r>
      <w:proofErr w:type="spellStart"/>
      <w:r>
        <w:rPr>
          <w:i/>
          <w:iCs/>
          <w:sz w:val="17"/>
          <w:szCs w:val="17"/>
        </w:rPr>
        <w:t>Gompel</w:t>
      </w:r>
      <w:proofErr w:type="spellEnd"/>
      <w:r>
        <w:rPr>
          <w:i/>
          <w:iCs/>
          <w:sz w:val="17"/>
          <w:szCs w:val="17"/>
        </w:rPr>
        <w:t xml:space="preserve"> (2026); </w:t>
      </w:r>
      <w:proofErr w:type="spellStart"/>
      <w:r>
        <w:rPr>
          <w:i/>
          <w:iCs/>
          <w:sz w:val="17"/>
          <w:szCs w:val="17"/>
        </w:rPr>
        <w:t>Climact</w:t>
      </w:r>
      <w:proofErr w:type="spellEnd"/>
      <w:r>
        <w:rPr>
          <w:i/>
          <w:iCs/>
          <w:sz w:val="17"/>
          <w:szCs w:val="17"/>
        </w:rPr>
        <w:t xml:space="preserve"> (2024); Brussels Environment (2022); </w:t>
      </w:r>
      <w:proofErr w:type="spellStart"/>
      <w:r>
        <w:rPr>
          <w:i/>
          <w:iCs/>
          <w:sz w:val="17"/>
          <w:szCs w:val="17"/>
        </w:rPr>
        <w:t>Agoria</w:t>
      </w:r>
      <w:proofErr w:type="spellEnd"/>
      <w:r>
        <w:rPr>
          <w:i/>
          <w:iCs/>
          <w:sz w:val="17"/>
          <w:szCs w:val="17"/>
        </w:rPr>
        <w:t xml:space="preserve"> (2024); Baker McKenzie (2024). Building-rate: permits per total residential building. Dwelling-rate: permits adjusted for multi-unit buildings.</w:t>
      </w:r>
    </w:p>
    <w:p w14:paraId="1F505684" w14:textId="77777777" w:rsidR="00720B78" w:rsidRDefault="00720B78">
      <w:pPr>
        <w:spacing w:before="60" w:after="60"/>
      </w:pPr>
    </w:p>
    <w:p w14:paraId="08D4AB76" w14:textId="77777777" w:rsidR="00BE711E" w:rsidRDefault="00BE711E">
      <w:pPr>
        <w:spacing w:before="60" w:after="60"/>
      </w:pPr>
    </w:p>
    <w:p w14:paraId="7C760F52" w14:textId="77777777" w:rsidR="00BE711E" w:rsidRDefault="00BE711E">
      <w:pPr>
        <w:spacing w:before="60" w:after="60"/>
      </w:pPr>
    </w:p>
    <w:p w14:paraId="461A1829" w14:textId="77777777" w:rsidR="00BE711E" w:rsidRDefault="00BE711E">
      <w:pPr>
        <w:spacing w:before="60" w:after="60"/>
      </w:pPr>
    </w:p>
    <w:p w14:paraId="7BB29C8A" w14:textId="77777777" w:rsidR="00BE711E" w:rsidRDefault="00BE711E">
      <w:pPr>
        <w:spacing w:before="60" w:after="60"/>
      </w:pPr>
    </w:p>
    <w:p w14:paraId="55EBAE7D" w14:textId="77777777" w:rsidR="00BE711E" w:rsidRDefault="00BE711E">
      <w:pPr>
        <w:spacing w:before="60" w:after="60"/>
      </w:pPr>
    </w:p>
    <w:p w14:paraId="6F7C6D68" w14:textId="77777777" w:rsidR="00BE711E" w:rsidRDefault="00BE711E">
      <w:pPr>
        <w:spacing w:before="60" w:after="60"/>
      </w:pPr>
    </w:p>
    <w:p w14:paraId="6AAC6D91" w14:textId="77777777" w:rsidR="00BE711E" w:rsidRDefault="00BE711E">
      <w:pPr>
        <w:spacing w:before="60" w:after="60"/>
      </w:pPr>
    </w:p>
    <w:p w14:paraId="7A8886DA" w14:textId="77777777" w:rsidR="00BE711E" w:rsidRDefault="00BE711E">
      <w:pPr>
        <w:spacing w:before="60" w:after="60"/>
      </w:pPr>
    </w:p>
    <w:p w14:paraId="3D70A193" w14:textId="77777777" w:rsidR="00BE711E" w:rsidRDefault="00BE711E">
      <w:pPr>
        <w:spacing w:before="60" w:after="60"/>
      </w:pPr>
    </w:p>
    <w:p w14:paraId="297B8ACA" w14:textId="77777777" w:rsidR="00BE711E" w:rsidRDefault="00BE711E">
      <w:pPr>
        <w:spacing w:before="60" w:after="60"/>
      </w:pPr>
    </w:p>
    <w:p w14:paraId="1A9D3784" w14:textId="77777777" w:rsidR="00BE711E" w:rsidRDefault="00BE711E">
      <w:pPr>
        <w:spacing w:before="60" w:after="60"/>
      </w:pPr>
    </w:p>
    <w:p w14:paraId="48510A78" w14:textId="77777777" w:rsidR="00BE711E" w:rsidRDefault="00BE711E">
      <w:pPr>
        <w:spacing w:before="60" w:after="60"/>
      </w:pPr>
    </w:p>
    <w:p w14:paraId="1B114D93" w14:textId="77777777" w:rsidR="00BE711E" w:rsidRDefault="00BE711E">
      <w:pPr>
        <w:spacing w:before="60" w:after="60"/>
      </w:pPr>
    </w:p>
    <w:p w14:paraId="1C79BB00" w14:textId="77777777" w:rsidR="00BE711E" w:rsidRDefault="00BE711E">
      <w:pPr>
        <w:spacing w:before="60" w:after="60"/>
      </w:pPr>
    </w:p>
    <w:p w14:paraId="148601BE" w14:textId="77777777" w:rsidR="00BE711E" w:rsidRDefault="00BE711E">
      <w:pPr>
        <w:spacing w:before="60" w:after="60"/>
      </w:pPr>
    </w:p>
    <w:p w14:paraId="6359A519" w14:textId="77777777" w:rsidR="00BE711E" w:rsidRDefault="00BE711E">
      <w:pPr>
        <w:spacing w:before="60" w:after="60"/>
      </w:pPr>
    </w:p>
    <w:p w14:paraId="34005D21" w14:textId="77777777" w:rsidR="00BE711E" w:rsidRDefault="00BE711E">
      <w:pPr>
        <w:spacing w:before="60" w:after="60"/>
      </w:pPr>
    </w:p>
    <w:p w14:paraId="0EB7BD36" w14:textId="77777777" w:rsidR="00BE711E" w:rsidRDefault="00BE711E">
      <w:pPr>
        <w:spacing w:before="60" w:after="60"/>
      </w:pPr>
    </w:p>
    <w:p w14:paraId="425F7DDE" w14:textId="77777777" w:rsidR="00BE711E" w:rsidRDefault="00BE711E">
      <w:pPr>
        <w:spacing w:before="60" w:after="60"/>
      </w:pPr>
    </w:p>
    <w:p w14:paraId="2F8B9B21" w14:textId="77777777" w:rsidR="00BE711E" w:rsidRDefault="00BE711E">
      <w:pPr>
        <w:spacing w:before="60" w:after="60"/>
      </w:pPr>
    </w:p>
    <w:p w14:paraId="2063A218" w14:textId="77777777" w:rsidR="00BE711E" w:rsidRDefault="00BE711E">
      <w:pPr>
        <w:spacing w:before="60" w:after="60"/>
      </w:pPr>
    </w:p>
    <w:p w14:paraId="390A5C15" w14:textId="77777777" w:rsidR="00BE711E" w:rsidRDefault="00BE711E">
      <w:pPr>
        <w:spacing w:before="60" w:after="60"/>
      </w:pPr>
    </w:p>
    <w:p w14:paraId="628ECF7F" w14:textId="77777777" w:rsidR="00BE711E" w:rsidRDefault="00BE711E">
      <w:pPr>
        <w:spacing w:before="60" w:after="60"/>
      </w:pPr>
    </w:p>
    <w:p w14:paraId="77003FDF" w14:textId="77777777" w:rsidR="00BE711E" w:rsidRDefault="00BE711E">
      <w:pPr>
        <w:spacing w:before="60" w:after="60"/>
      </w:pPr>
    </w:p>
    <w:p w14:paraId="6813D35A" w14:textId="77777777" w:rsidR="00720B78" w:rsidRDefault="00000000">
      <w:pPr>
        <w:pStyle w:val="Heading1"/>
      </w:pPr>
      <w:r>
        <w:lastRenderedPageBreak/>
        <w:t>3. Comparative Overview — All Regions</w:t>
      </w:r>
    </w:p>
    <w:p w14:paraId="5BA015E2" w14:textId="77777777" w:rsidR="00720B78" w:rsidRDefault="00000000">
      <w:pPr>
        <w:spacing w:before="100" w:after="40"/>
      </w:pPr>
      <w:r>
        <w:rPr>
          <w:b/>
          <w:bCs/>
          <w:color w:val="1F4E79"/>
        </w:rPr>
        <w:t>Table 6: Master Comparative Table — Renovation Rates, Stock Characteristics, and Policy Status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550"/>
        <w:gridCol w:w="1550"/>
        <w:gridCol w:w="1550"/>
        <w:gridCol w:w="1176"/>
      </w:tblGrid>
      <w:tr w:rsidR="00720B78" w14:paraId="41F70CD3" w14:textId="77777777">
        <w:tblPrEx>
          <w:tblCellMar>
            <w:top w:w="0" w:type="dxa"/>
            <w:bottom w:w="0" w:type="dxa"/>
          </w:tblCellMar>
        </w:tblPrEx>
        <w:trPr>
          <w:tblHeader/>
        </w:trPr>
        <w:tc>
          <w:tcPr>
            <w:tcW w:w="32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2774786A" w14:textId="77777777" w:rsidR="00720B78" w:rsidRDefault="00000000">
            <w:pPr>
              <w:jc w:val="center"/>
            </w:pPr>
            <w:r>
              <w:rPr>
                <w:b/>
                <w:bCs/>
                <w:color w:val="1F4E79"/>
                <w:sz w:val="17"/>
                <w:szCs w:val="17"/>
              </w:rPr>
              <w:t>Indicator</w:t>
            </w:r>
          </w:p>
        </w:tc>
        <w:tc>
          <w:tcPr>
            <w:tcW w:w="15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3A3C30E8" w14:textId="77777777" w:rsidR="00720B78" w:rsidRDefault="00000000">
            <w:pPr>
              <w:jc w:val="center"/>
            </w:pPr>
            <w:r>
              <w:rPr>
                <w:b/>
                <w:bCs/>
                <w:color w:val="1F4E79"/>
                <w:sz w:val="17"/>
                <w:szCs w:val="17"/>
              </w:rPr>
              <w:t>Belgium (Federal)</w:t>
            </w:r>
          </w:p>
        </w:tc>
        <w:tc>
          <w:tcPr>
            <w:tcW w:w="15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322D092D" w14:textId="77777777" w:rsidR="00720B78" w:rsidRDefault="00000000">
            <w:pPr>
              <w:jc w:val="center"/>
            </w:pPr>
            <w:r>
              <w:rPr>
                <w:b/>
                <w:bCs/>
                <w:color w:val="1F4E79"/>
                <w:sz w:val="17"/>
                <w:szCs w:val="17"/>
              </w:rPr>
              <w:t>Flemish Region</w:t>
            </w:r>
          </w:p>
        </w:tc>
        <w:tc>
          <w:tcPr>
            <w:tcW w:w="155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04C5D579" w14:textId="77777777" w:rsidR="00720B78" w:rsidRDefault="00000000">
            <w:pPr>
              <w:jc w:val="center"/>
            </w:pPr>
            <w:r>
              <w:rPr>
                <w:b/>
                <w:bCs/>
                <w:color w:val="1F4E79"/>
                <w:sz w:val="17"/>
                <w:szCs w:val="17"/>
              </w:rPr>
              <w:t>Walloon Region</w:t>
            </w:r>
          </w:p>
        </w:tc>
        <w:tc>
          <w:tcPr>
            <w:tcW w:w="1176"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349B396E" w14:textId="77777777" w:rsidR="00720B78" w:rsidRDefault="00000000">
            <w:pPr>
              <w:jc w:val="center"/>
            </w:pPr>
            <w:r>
              <w:rPr>
                <w:b/>
                <w:bCs/>
                <w:color w:val="1F4E79"/>
                <w:sz w:val="17"/>
                <w:szCs w:val="17"/>
              </w:rPr>
              <w:t>Brussels- Capital</w:t>
            </w:r>
          </w:p>
        </w:tc>
      </w:tr>
      <w:tr w:rsidR="00720B78" w14:paraId="4970AA2D"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DB3C8A7" w14:textId="77777777" w:rsidR="00720B78" w:rsidRDefault="00000000">
            <w:r>
              <w:rPr>
                <w:sz w:val="17"/>
                <w:szCs w:val="17"/>
              </w:rPr>
              <w:t>Avg. overall rate, 2000–2024 (% p.a.)</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5258BE1" w14:textId="77777777" w:rsidR="00720B78" w:rsidRDefault="00000000">
            <w:r>
              <w:rPr>
                <w:sz w:val="17"/>
                <w:szCs w:val="17"/>
              </w:rPr>
              <w:t>~1.0%</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C740F13" w14:textId="77777777" w:rsidR="00720B78" w:rsidRDefault="00000000">
            <w:r>
              <w:rPr>
                <w:sz w:val="17"/>
                <w:szCs w:val="17"/>
              </w:rPr>
              <w:t>~1.05%</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B735207" w14:textId="77777777" w:rsidR="00720B78" w:rsidRDefault="00000000">
            <w:r>
              <w:rPr>
                <w:sz w:val="17"/>
                <w:szCs w:val="17"/>
              </w:rPr>
              <w:t>~0.88%</w:t>
            </w:r>
          </w:p>
        </w:tc>
        <w:tc>
          <w:tcPr>
            <w:tcW w:w="11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21E8F69" w14:textId="77777777" w:rsidR="00720B78" w:rsidRDefault="00000000">
            <w:r>
              <w:rPr>
                <w:sz w:val="17"/>
                <w:szCs w:val="17"/>
              </w:rPr>
              <w:t>~0.52% (</w:t>
            </w:r>
            <w:proofErr w:type="spellStart"/>
            <w:r>
              <w:rPr>
                <w:sz w:val="17"/>
                <w:szCs w:val="17"/>
              </w:rPr>
              <w:t>bldg</w:t>
            </w:r>
            <w:proofErr w:type="spellEnd"/>
            <w:r>
              <w:rPr>
                <w:sz w:val="17"/>
                <w:szCs w:val="17"/>
              </w:rPr>
              <w:t>) ~0.80% (dwell.)</w:t>
            </w:r>
          </w:p>
        </w:tc>
      </w:tr>
      <w:tr w:rsidR="00720B78" w14:paraId="6F9A3875"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23D63EE" w14:textId="77777777" w:rsidR="00720B78" w:rsidRDefault="00000000">
            <w:r>
              <w:rPr>
                <w:sz w:val="17"/>
                <w:szCs w:val="17"/>
              </w:rPr>
              <w:t>COVID peak 2021 (approx.)</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82F644D" w14:textId="77777777" w:rsidR="00720B78" w:rsidRDefault="00000000">
            <w:r>
              <w:rPr>
                <w:sz w:val="17"/>
                <w:szCs w:val="17"/>
              </w:rPr>
              <w:t>~1.35%</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D27925A" w14:textId="77777777" w:rsidR="00720B78" w:rsidRDefault="00000000">
            <w:r>
              <w:rPr>
                <w:sz w:val="17"/>
                <w:szCs w:val="17"/>
              </w:rPr>
              <w:t>~1.40%</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2264FE5" w14:textId="77777777" w:rsidR="00720B78" w:rsidRDefault="00000000">
            <w:r>
              <w:rPr>
                <w:sz w:val="17"/>
                <w:szCs w:val="17"/>
              </w:rPr>
              <w:t>~1.10%</w:t>
            </w:r>
          </w:p>
        </w:tc>
        <w:tc>
          <w:tcPr>
            <w:tcW w:w="11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2D3BA2D" w14:textId="77777777" w:rsidR="00720B78" w:rsidRDefault="00000000">
            <w:r>
              <w:rPr>
                <w:sz w:val="17"/>
                <w:szCs w:val="17"/>
              </w:rPr>
              <w:t>~0.65%</w:t>
            </w:r>
          </w:p>
        </w:tc>
      </w:tr>
      <w:tr w:rsidR="00720B78" w14:paraId="7F1A918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A74DC70" w14:textId="77777777" w:rsidR="00720B78" w:rsidRDefault="00000000">
            <w:r>
              <w:rPr>
                <w:sz w:val="17"/>
                <w:szCs w:val="17"/>
              </w:rPr>
              <w:t>2024 rate (approx.)</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03978F3" w14:textId="77777777" w:rsidR="00720B78" w:rsidRDefault="00000000">
            <w:r>
              <w:rPr>
                <w:sz w:val="17"/>
                <w:szCs w:val="17"/>
              </w:rPr>
              <w:t>~0.85%</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7E1C7F5" w14:textId="77777777" w:rsidR="00720B78" w:rsidRDefault="00000000">
            <w:r>
              <w:rPr>
                <w:sz w:val="17"/>
                <w:szCs w:val="17"/>
              </w:rPr>
              <w:t>~0.92%</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BC0FF5C" w14:textId="77777777" w:rsidR="00720B78" w:rsidRDefault="00000000">
            <w:r>
              <w:rPr>
                <w:sz w:val="17"/>
                <w:szCs w:val="17"/>
              </w:rPr>
              <w:t>~0.80%</w:t>
            </w:r>
          </w:p>
        </w:tc>
        <w:tc>
          <w:tcPr>
            <w:tcW w:w="11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61141EB" w14:textId="77777777" w:rsidR="00720B78" w:rsidRDefault="00000000">
            <w:r>
              <w:rPr>
                <w:sz w:val="17"/>
                <w:szCs w:val="17"/>
              </w:rPr>
              <w:t>~0.45%</w:t>
            </w:r>
          </w:p>
        </w:tc>
      </w:tr>
      <w:tr w:rsidR="00720B78" w14:paraId="2F9D47BB"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94D30D2" w14:textId="77777777" w:rsidR="00720B78" w:rsidRDefault="00000000">
            <w:r>
              <w:rPr>
                <w:sz w:val="17"/>
                <w:szCs w:val="17"/>
              </w:rPr>
              <w:t>Deep renovation rate (~% p.a.)</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156C739" w14:textId="77777777" w:rsidR="00720B78" w:rsidRDefault="00000000">
            <w:r>
              <w:rPr>
                <w:sz w:val="17"/>
                <w:szCs w:val="17"/>
              </w:rPr>
              <w:t>~0.2%</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925B4DD" w14:textId="77777777" w:rsidR="00720B78" w:rsidRDefault="00000000">
            <w:r>
              <w:rPr>
                <w:sz w:val="17"/>
                <w:szCs w:val="17"/>
              </w:rPr>
              <w:t>Slightly above</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698765A" w14:textId="77777777" w:rsidR="00720B78" w:rsidRDefault="00000000">
            <w:r>
              <w:rPr>
                <w:sz w:val="17"/>
                <w:szCs w:val="17"/>
              </w:rPr>
              <w:t>Below avg.</w:t>
            </w:r>
          </w:p>
        </w:tc>
        <w:tc>
          <w:tcPr>
            <w:tcW w:w="11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2011C08" w14:textId="77777777" w:rsidR="00720B78" w:rsidRDefault="00000000">
            <w:r>
              <w:rPr>
                <w:sz w:val="17"/>
                <w:szCs w:val="17"/>
              </w:rPr>
              <w:t>Below avg.</w:t>
            </w:r>
          </w:p>
        </w:tc>
      </w:tr>
      <w:tr w:rsidR="00720B78" w14:paraId="302024B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FD5AF45" w14:textId="77777777" w:rsidR="00720B78" w:rsidRDefault="00000000">
            <w:r>
              <w:rPr>
                <w:sz w:val="17"/>
                <w:szCs w:val="17"/>
              </w:rPr>
              <w:t>% dwellings in worst EPC tiers</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3B1B7D9" w14:textId="77777777" w:rsidR="00720B78" w:rsidRDefault="00000000">
            <w:r>
              <w:rPr>
                <w:sz w:val="17"/>
                <w:szCs w:val="17"/>
              </w:rPr>
              <w:t>— (avg.)</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3E6A1C6" w14:textId="77777777" w:rsidR="00720B78" w:rsidRDefault="00000000">
            <w:r>
              <w:rPr>
                <w:sz w:val="17"/>
                <w:szCs w:val="17"/>
              </w:rPr>
              <w:t>29% (F only)</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1D90DA2" w14:textId="77777777" w:rsidR="00720B78" w:rsidRDefault="00000000">
            <w:r>
              <w:rPr>
                <w:sz w:val="17"/>
                <w:szCs w:val="17"/>
              </w:rPr>
              <w:t>48% (F+G)</w:t>
            </w:r>
          </w:p>
        </w:tc>
        <w:tc>
          <w:tcPr>
            <w:tcW w:w="11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EECDE7D" w14:textId="77777777" w:rsidR="00720B78" w:rsidRDefault="00000000">
            <w:r>
              <w:rPr>
                <w:sz w:val="17"/>
                <w:szCs w:val="17"/>
              </w:rPr>
              <w:t>45% (F+G)</w:t>
            </w:r>
          </w:p>
        </w:tc>
      </w:tr>
      <w:tr w:rsidR="00720B78" w14:paraId="1FF6E30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C2C9ED9" w14:textId="77777777" w:rsidR="00720B78" w:rsidRDefault="00000000">
            <w:r>
              <w:rPr>
                <w:sz w:val="17"/>
                <w:szCs w:val="17"/>
              </w:rPr>
              <w:t>Pre-1981 building share</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6D6D109" w14:textId="77777777" w:rsidR="00720B78" w:rsidRDefault="00000000">
            <w:r>
              <w:rPr>
                <w:sz w:val="17"/>
                <w:szCs w:val="17"/>
              </w:rPr>
              <w:t>—</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A1E16D1" w14:textId="77777777" w:rsidR="00720B78" w:rsidRDefault="00000000">
            <w:r>
              <w:rPr>
                <w:sz w:val="17"/>
                <w:szCs w:val="17"/>
              </w:rPr>
              <w:t>66%</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F5E33E2" w14:textId="77777777" w:rsidR="00720B78" w:rsidRDefault="00000000">
            <w:r>
              <w:rPr>
                <w:sz w:val="17"/>
                <w:szCs w:val="17"/>
              </w:rPr>
              <w:t>78%</w:t>
            </w:r>
          </w:p>
        </w:tc>
        <w:tc>
          <w:tcPr>
            <w:tcW w:w="11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BF9246A" w14:textId="77777777" w:rsidR="00720B78" w:rsidRDefault="00000000">
            <w:r>
              <w:rPr>
                <w:sz w:val="17"/>
                <w:szCs w:val="17"/>
              </w:rPr>
              <w:t>93%</w:t>
            </w:r>
          </w:p>
        </w:tc>
      </w:tr>
      <w:tr w:rsidR="00720B78" w14:paraId="35A19766"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D6F77CD" w14:textId="77777777" w:rsidR="00720B78" w:rsidRDefault="00000000">
            <w:r>
              <w:rPr>
                <w:sz w:val="17"/>
                <w:szCs w:val="17"/>
              </w:rPr>
              <w:t>Binding renovation obligation?</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853D688" w14:textId="77777777" w:rsidR="00720B78" w:rsidRDefault="00000000">
            <w:r>
              <w:rPr>
                <w:sz w:val="17"/>
                <w:szCs w:val="17"/>
              </w:rPr>
              <w:t>No</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359D7D3" w14:textId="77777777" w:rsidR="00720B78" w:rsidRDefault="00000000">
            <w:r>
              <w:rPr>
                <w:sz w:val="17"/>
                <w:szCs w:val="17"/>
              </w:rPr>
              <w:t>Yes — Jan 2023</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8B9B13E" w14:textId="77777777" w:rsidR="00720B78" w:rsidRDefault="00000000">
            <w:r>
              <w:rPr>
                <w:sz w:val="17"/>
                <w:szCs w:val="17"/>
              </w:rPr>
              <w:t>Announced 2025</w:t>
            </w:r>
          </w:p>
        </w:tc>
        <w:tc>
          <w:tcPr>
            <w:tcW w:w="11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6D1471A" w14:textId="77777777" w:rsidR="00720B78" w:rsidRDefault="00000000">
            <w:r>
              <w:rPr>
                <w:sz w:val="17"/>
                <w:szCs w:val="17"/>
              </w:rPr>
              <w:t>Announced 2025</w:t>
            </w:r>
          </w:p>
        </w:tc>
      </w:tr>
      <w:tr w:rsidR="00720B78" w14:paraId="50113467"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339ED90" w14:textId="77777777" w:rsidR="00720B78" w:rsidRDefault="00000000">
            <w:r>
              <w:rPr>
                <w:sz w:val="17"/>
                <w:szCs w:val="17"/>
              </w:rPr>
              <w:t>Multiplier needed for 2050 target</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05B680F" w14:textId="77777777" w:rsidR="00720B78" w:rsidRDefault="00000000">
            <w:r>
              <w:rPr>
                <w:sz w:val="17"/>
                <w:szCs w:val="17"/>
              </w:rPr>
              <w:t>3–4×</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DB3CA83" w14:textId="77777777" w:rsidR="00720B78" w:rsidRDefault="00000000">
            <w:r>
              <w:rPr>
                <w:sz w:val="17"/>
                <w:szCs w:val="17"/>
              </w:rPr>
              <w:t>~3×</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56CCCDF" w14:textId="77777777" w:rsidR="00720B78" w:rsidRDefault="00000000">
            <w:r>
              <w:rPr>
                <w:sz w:val="17"/>
                <w:szCs w:val="17"/>
              </w:rPr>
              <w:t>~4×</w:t>
            </w:r>
          </w:p>
        </w:tc>
        <w:tc>
          <w:tcPr>
            <w:tcW w:w="11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9FC5337" w14:textId="77777777" w:rsidR="00720B78" w:rsidRDefault="00000000">
            <w:r>
              <w:rPr>
                <w:sz w:val="17"/>
                <w:szCs w:val="17"/>
              </w:rPr>
              <w:t>~4×</w:t>
            </w:r>
          </w:p>
        </w:tc>
      </w:tr>
      <w:tr w:rsidR="00720B78" w14:paraId="27627549"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F1441F0" w14:textId="77777777" w:rsidR="00720B78" w:rsidRDefault="00000000">
            <w:r>
              <w:rPr>
                <w:sz w:val="17"/>
                <w:szCs w:val="17"/>
              </w:rPr>
              <w:t>Multiplier needed vs. EU 2030 (~2%)</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7326AF5" w14:textId="77777777" w:rsidR="00720B78" w:rsidRDefault="00000000">
            <w:r>
              <w:rPr>
                <w:sz w:val="17"/>
                <w:szCs w:val="17"/>
              </w:rPr>
              <w:t>~2.4×</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43DF985" w14:textId="77777777" w:rsidR="00720B78" w:rsidRDefault="00000000">
            <w:r>
              <w:rPr>
                <w:sz w:val="17"/>
                <w:szCs w:val="17"/>
              </w:rPr>
              <w:t>~2.2×</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89A25DA" w14:textId="77777777" w:rsidR="00720B78" w:rsidRDefault="00000000">
            <w:r>
              <w:rPr>
                <w:sz w:val="17"/>
                <w:szCs w:val="17"/>
              </w:rPr>
              <w:t>~2.5×</w:t>
            </w:r>
          </w:p>
        </w:tc>
        <w:tc>
          <w:tcPr>
            <w:tcW w:w="11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CAB016C" w14:textId="77777777" w:rsidR="00720B78" w:rsidRDefault="00000000">
            <w:r>
              <w:rPr>
                <w:sz w:val="17"/>
                <w:szCs w:val="17"/>
              </w:rPr>
              <w:t>~2.8×</w:t>
            </w:r>
          </w:p>
        </w:tc>
      </w:tr>
      <w:tr w:rsidR="00720B78" w14:paraId="3CB1CF75"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73A3E53" w14:textId="77777777" w:rsidR="00720B78" w:rsidRDefault="00000000">
            <w:r>
              <w:rPr>
                <w:sz w:val="17"/>
                <w:szCs w:val="17"/>
              </w:rPr>
              <w:t>2050 energy target (kWh/m²/yr)</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075B098" w14:textId="77777777" w:rsidR="00720B78" w:rsidRDefault="00000000">
            <w:r>
              <w:rPr>
                <w:sz w:val="17"/>
                <w:szCs w:val="17"/>
              </w:rPr>
              <w:t>—</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E04AB23" w14:textId="77777777" w:rsidR="00720B78" w:rsidRDefault="00000000">
            <w:r>
              <w:rPr>
                <w:sz w:val="17"/>
                <w:szCs w:val="17"/>
              </w:rPr>
              <w:t>100</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426111E" w14:textId="77777777" w:rsidR="00720B78" w:rsidRDefault="00000000">
            <w:r>
              <w:rPr>
                <w:sz w:val="17"/>
                <w:szCs w:val="17"/>
              </w:rPr>
              <w:t>85</w:t>
            </w:r>
          </w:p>
        </w:tc>
        <w:tc>
          <w:tcPr>
            <w:tcW w:w="11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36B769A" w14:textId="77777777" w:rsidR="00720B78" w:rsidRDefault="00000000">
            <w:r>
              <w:rPr>
                <w:sz w:val="17"/>
                <w:szCs w:val="17"/>
              </w:rPr>
              <w:t>100</w:t>
            </w:r>
          </w:p>
        </w:tc>
      </w:tr>
      <w:tr w:rsidR="00720B78" w14:paraId="2929067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C70895C" w14:textId="77777777" w:rsidR="00720B78" w:rsidRDefault="00000000">
            <w:r>
              <w:rPr>
                <w:sz w:val="17"/>
                <w:szCs w:val="17"/>
              </w:rPr>
              <w:t>Key subsidy scheme</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4523755" w14:textId="77777777" w:rsidR="00720B78" w:rsidRDefault="00000000">
            <w:r>
              <w:rPr>
                <w:sz w:val="17"/>
                <w:szCs w:val="17"/>
              </w:rPr>
              <w:t>—</w:t>
            </w:r>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1219875" w14:textId="77777777" w:rsidR="00720B78" w:rsidRDefault="00000000">
            <w:proofErr w:type="spellStart"/>
            <w:r>
              <w:rPr>
                <w:sz w:val="17"/>
                <w:szCs w:val="17"/>
              </w:rPr>
              <w:t>Mijn</w:t>
            </w:r>
            <w:proofErr w:type="spellEnd"/>
            <w:r>
              <w:rPr>
                <w:sz w:val="17"/>
                <w:szCs w:val="17"/>
              </w:rPr>
              <w:t xml:space="preserve"> </w:t>
            </w:r>
            <w:proofErr w:type="spellStart"/>
            <w:r>
              <w:rPr>
                <w:sz w:val="17"/>
                <w:szCs w:val="17"/>
              </w:rPr>
              <w:t>VerbouwPremie</w:t>
            </w:r>
            <w:proofErr w:type="spellEnd"/>
          </w:p>
        </w:tc>
        <w:tc>
          <w:tcPr>
            <w:tcW w:w="155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0E2C5E1" w14:textId="77777777" w:rsidR="00720B78" w:rsidRDefault="00000000">
            <w:r>
              <w:rPr>
                <w:sz w:val="17"/>
                <w:szCs w:val="17"/>
              </w:rPr>
              <w:t xml:space="preserve">Primes </w:t>
            </w:r>
            <w:proofErr w:type="spellStart"/>
            <w:r>
              <w:rPr>
                <w:sz w:val="17"/>
                <w:szCs w:val="17"/>
              </w:rPr>
              <w:t>Logement</w:t>
            </w:r>
            <w:proofErr w:type="spellEnd"/>
          </w:p>
        </w:tc>
        <w:tc>
          <w:tcPr>
            <w:tcW w:w="117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6CE0882" w14:textId="77777777" w:rsidR="00720B78" w:rsidRDefault="00000000">
            <w:r>
              <w:rPr>
                <w:sz w:val="17"/>
                <w:szCs w:val="17"/>
              </w:rPr>
              <w:t>RENOLUTION (45 grants)</w:t>
            </w:r>
          </w:p>
        </w:tc>
      </w:tr>
      <w:tr w:rsidR="00720B78" w14:paraId="687C083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25E90521" w14:textId="77777777" w:rsidR="00720B78" w:rsidRDefault="00000000">
            <w:r>
              <w:rPr>
                <w:sz w:val="17"/>
                <w:szCs w:val="17"/>
              </w:rPr>
              <w:t>EPC standard</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77681ED" w14:textId="77777777" w:rsidR="00720B78" w:rsidRDefault="00000000">
            <w:r>
              <w:rPr>
                <w:sz w:val="17"/>
                <w:szCs w:val="17"/>
              </w:rPr>
              <w:t>—</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863511E" w14:textId="77777777" w:rsidR="00720B78" w:rsidRDefault="00000000">
            <w:r>
              <w:rPr>
                <w:sz w:val="17"/>
                <w:szCs w:val="17"/>
              </w:rPr>
              <w:t>EPC (A++ to F)</w:t>
            </w:r>
          </w:p>
        </w:tc>
        <w:tc>
          <w:tcPr>
            <w:tcW w:w="155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52BB4A8" w14:textId="77777777" w:rsidR="00720B78" w:rsidRDefault="00000000">
            <w:r>
              <w:rPr>
                <w:sz w:val="17"/>
                <w:szCs w:val="17"/>
              </w:rPr>
              <w:t>PEB (A++ to G)</w:t>
            </w:r>
          </w:p>
        </w:tc>
        <w:tc>
          <w:tcPr>
            <w:tcW w:w="117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8BE52D1" w14:textId="77777777" w:rsidR="00720B78" w:rsidRDefault="00000000">
            <w:r>
              <w:rPr>
                <w:sz w:val="17"/>
                <w:szCs w:val="17"/>
              </w:rPr>
              <w:t>EPB (A++ to G)</w:t>
            </w:r>
          </w:p>
        </w:tc>
      </w:tr>
    </w:tbl>
    <w:p w14:paraId="7953520F" w14:textId="77777777" w:rsidR="00720B78" w:rsidRDefault="00000000">
      <w:pPr>
        <w:spacing w:before="40" w:after="120" w:line="276" w:lineRule="auto"/>
        <w:jc w:val="both"/>
      </w:pPr>
      <w:r>
        <w:rPr>
          <w:i/>
          <w:iCs/>
          <w:sz w:val="17"/>
          <w:szCs w:val="17"/>
        </w:rPr>
        <w:t xml:space="preserve">Sources: Van </w:t>
      </w:r>
      <w:proofErr w:type="spellStart"/>
      <w:r>
        <w:rPr>
          <w:i/>
          <w:iCs/>
          <w:sz w:val="17"/>
          <w:szCs w:val="17"/>
        </w:rPr>
        <w:t>Gompel</w:t>
      </w:r>
      <w:proofErr w:type="spellEnd"/>
      <w:r>
        <w:rPr>
          <w:i/>
          <w:iCs/>
          <w:sz w:val="17"/>
          <w:szCs w:val="17"/>
        </w:rPr>
        <w:t xml:space="preserve"> (2026); </w:t>
      </w:r>
      <w:proofErr w:type="spellStart"/>
      <w:r>
        <w:rPr>
          <w:i/>
          <w:iCs/>
          <w:sz w:val="17"/>
          <w:szCs w:val="17"/>
        </w:rPr>
        <w:t>Climact</w:t>
      </w:r>
      <w:proofErr w:type="spellEnd"/>
      <w:r>
        <w:rPr>
          <w:i/>
          <w:iCs/>
          <w:sz w:val="17"/>
          <w:szCs w:val="17"/>
        </w:rPr>
        <w:t xml:space="preserve"> (2024); </w:t>
      </w:r>
      <w:proofErr w:type="spellStart"/>
      <w:r>
        <w:rPr>
          <w:i/>
          <w:iCs/>
          <w:sz w:val="17"/>
          <w:szCs w:val="17"/>
        </w:rPr>
        <w:t>Reusens</w:t>
      </w:r>
      <w:proofErr w:type="spellEnd"/>
      <w:r>
        <w:rPr>
          <w:i/>
          <w:iCs/>
          <w:sz w:val="17"/>
          <w:szCs w:val="17"/>
        </w:rPr>
        <w:t xml:space="preserve"> et al., NBB (2025); </w:t>
      </w:r>
      <w:proofErr w:type="spellStart"/>
      <w:r>
        <w:rPr>
          <w:i/>
          <w:iCs/>
          <w:sz w:val="17"/>
          <w:szCs w:val="17"/>
        </w:rPr>
        <w:t>Gepts</w:t>
      </w:r>
      <w:proofErr w:type="spellEnd"/>
      <w:r>
        <w:rPr>
          <w:i/>
          <w:iCs/>
          <w:sz w:val="17"/>
          <w:szCs w:val="17"/>
        </w:rPr>
        <w:t xml:space="preserve"> et al. (2025); </w:t>
      </w:r>
      <w:proofErr w:type="spellStart"/>
      <w:r>
        <w:rPr>
          <w:i/>
          <w:iCs/>
          <w:sz w:val="17"/>
          <w:szCs w:val="17"/>
        </w:rPr>
        <w:t>Statbel</w:t>
      </w:r>
      <w:proofErr w:type="spellEnd"/>
      <w:r>
        <w:rPr>
          <w:i/>
          <w:iCs/>
          <w:sz w:val="17"/>
          <w:szCs w:val="17"/>
        </w:rPr>
        <w:t xml:space="preserve"> (2025); BPIE (2021); </w:t>
      </w:r>
      <w:proofErr w:type="spellStart"/>
      <w:r>
        <w:rPr>
          <w:i/>
          <w:iCs/>
          <w:sz w:val="17"/>
          <w:szCs w:val="17"/>
        </w:rPr>
        <w:t>Agoria</w:t>
      </w:r>
      <w:proofErr w:type="spellEnd"/>
      <w:r>
        <w:rPr>
          <w:i/>
          <w:iCs/>
          <w:sz w:val="17"/>
          <w:szCs w:val="17"/>
        </w:rPr>
        <w:t xml:space="preserve"> (2024); Baker McKenzie (2024). EPC label definitions are not directly comparable across regions.</w:t>
      </w:r>
    </w:p>
    <w:p w14:paraId="0C7FF8DF" w14:textId="77777777" w:rsidR="00720B78" w:rsidRDefault="00720B78">
      <w:pPr>
        <w:spacing w:before="60" w:after="60"/>
      </w:pPr>
    </w:p>
    <w:p w14:paraId="247B3A63" w14:textId="77777777" w:rsidR="00720B78" w:rsidRDefault="00000000">
      <w:pPr>
        <w:spacing w:before="100" w:after="40"/>
      </w:pPr>
      <w:r>
        <w:rPr>
          <w:b/>
          <w:bCs/>
          <w:color w:val="1F4E79"/>
        </w:rPr>
        <w:t>Table 7: Renovation Rate Gap to EU and National Targets — All Regions</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400"/>
        <w:gridCol w:w="1600"/>
        <w:gridCol w:w="1600"/>
        <w:gridCol w:w="1600"/>
        <w:gridCol w:w="1426"/>
      </w:tblGrid>
      <w:tr w:rsidR="00720B78" w14:paraId="608B58A9" w14:textId="77777777">
        <w:tblPrEx>
          <w:tblCellMar>
            <w:top w:w="0" w:type="dxa"/>
            <w:bottom w:w="0" w:type="dxa"/>
          </w:tblCellMar>
        </w:tblPrEx>
        <w:trPr>
          <w:tblHeader/>
        </w:trPr>
        <w:tc>
          <w:tcPr>
            <w:tcW w:w="24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267BA45C" w14:textId="77777777" w:rsidR="00720B78" w:rsidRDefault="00000000">
            <w:pPr>
              <w:jc w:val="center"/>
            </w:pPr>
            <w:r>
              <w:rPr>
                <w:b/>
                <w:bCs/>
                <w:color w:val="1F4E79"/>
                <w:sz w:val="17"/>
                <w:szCs w:val="17"/>
              </w:rPr>
              <w:t>Target / Metric</w:t>
            </w:r>
          </w:p>
        </w:tc>
        <w:tc>
          <w:tcPr>
            <w:tcW w:w="14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705D2055" w14:textId="77777777" w:rsidR="00720B78" w:rsidRDefault="00000000">
            <w:pPr>
              <w:jc w:val="center"/>
            </w:pPr>
            <w:r>
              <w:rPr>
                <w:b/>
                <w:bCs/>
                <w:color w:val="1F4E79"/>
                <w:sz w:val="17"/>
                <w:szCs w:val="17"/>
              </w:rPr>
              <w:t>Required Rate</w:t>
            </w:r>
          </w:p>
        </w:tc>
        <w:tc>
          <w:tcPr>
            <w:tcW w:w="16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3FAE3E96" w14:textId="77777777" w:rsidR="00720B78" w:rsidRDefault="00000000">
            <w:pPr>
              <w:jc w:val="center"/>
            </w:pPr>
            <w:r>
              <w:rPr>
                <w:b/>
                <w:bCs/>
                <w:color w:val="1F4E79"/>
                <w:sz w:val="17"/>
                <w:szCs w:val="17"/>
              </w:rPr>
              <w:t>Belgium (Federal)</w:t>
            </w:r>
          </w:p>
        </w:tc>
        <w:tc>
          <w:tcPr>
            <w:tcW w:w="16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1AA3D4F0" w14:textId="77777777" w:rsidR="00720B78" w:rsidRDefault="00000000">
            <w:pPr>
              <w:jc w:val="center"/>
            </w:pPr>
            <w:r>
              <w:rPr>
                <w:b/>
                <w:bCs/>
                <w:color w:val="1F4E79"/>
                <w:sz w:val="17"/>
                <w:szCs w:val="17"/>
              </w:rPr>
              <w:t>Flemish Region</w:t>
            </w:r>
          </w:p>
        </w:tc>
        <w:tc>
          <w:tcPr>
            <w:tcW w:w="1600"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1A2CC9DD" w14:textId="77777777" w:rsidR="00720B78" w:rsidRDefault="00000000">
            <w:pPr>
              <w:jc w:val="center"/>
            </w:pPr>
            <w:r>
              <w:rPr>
                <w:b/>
                <w:bCs/>
                <w:color w:val="1F4E79"/>
                <w:sz w:val="17"/>
                <w:szCs w:val="17"/>
              </w:rPr>
              <w:t>Walloon Region</w:t>
            </w:r>
          </w:p>
        </w:tc>
        <w:tc>
          <w:tcPr>
            <w:tcW w:w="1426" w:type="dxa"/>
            <w:tcBorders>
              <w:top w:val="single" w:sz="1" w:space="0" w:color="2E75B6"/>
              <w:left w:val="single" w:sz="1" w:space="0" w:color="2E75B6"/>
              <w:bottom w:val="single" w:sz="1" w:space="0" w:color="2E75B6"/>
              <w:right w:val="single" w:sz="1" w:space="0" w:color="2E75B6"/>
            </w:tcBorders>
            <w:shd w:val="clear" w:color="auto" w:fill="D6E4F0"/>
            <w:tcMar>
              <w:top w:w="80" w:type="dxa"/>
              <w:left w:w="110" w:type="dxa"/>
              <w:bottom w:w="80" w:type="dxa"/>
              <w:right w:w="110" w:type="dxa"/>
            </w:tcMar>
          </w:tcPr>
          <w:p w14:paraId="4348F27C" w14:textId="77777777" w:rsidR="00720B78" w:rsidRDefault="00000000">
            <w:pPr>
              <w:jc w:val="center"/>
            </w:pPr>
            <w:r>
              <w:rPr>
                <w:b/>
                <w:bCs/>
                <w:color w:val="1F4E79"/>
                <w:sz w:val="17"/>
                <w:szCs w:val="17"/>
              </w:rPr>
              <w:t>Brussels- Capital</w:t>
            </w:r>
          </w:p>
        </w:tc>
      </w:tr>
      <w:tr w:rsidR="00720B78" w14:paraId="22B0385A"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5CD52E86" w14:textId="77777777" w:rsidR="00720B78" w:rsidRDefault="00000000">
            <w:r>
              <w:rPr>
                <w:sz w:val="17"/>
                <w:szCs w:val="17"/>
              </w:rPr>
              <w:t>EU 2030 Renovation Wave (overall)</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966B06E" w14:textId="77777777" w:rsidR="00720B78" w:rsidRDefault="00000000">
            <w:r>
              <w:rPr>
                <w:sz w:val="17"/>
                <w:szCs w:val="17"/>
              </w:rPr>
              <w:t>~2.0% p.a.</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738B5F6C" w14:textId="77777777" w:rsidR="00720B78" w:rsidRDefault="00000000">
            <w:r>
              <w:rPr>
                <w:sz w:val="17"/>
                <w:szCs w:val="17"/>
              </w:rPr>
              <w:t>0.85% (gap: 2.4×)</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4D8AEFD" w14:textId="77777777" w:rsidR="00720B78" w:rsidRDefault="00000000">
            <w:r>
              <w:rPr>
                <w:sz w:val="17"/>
                <w:szCs w:val="17"/>
              </w:rPr>
              <w:t>0.92% (gap: 2.2×)</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7BE0A62" w14:textId="77777777" w:rsidR="00720B78" w:rsidRDefault="00000000">
            <w:r>
              <w:rPr>
                <w:sz w:val="17"/>
                <w:szCs w:val="17"/>
              </w:rPr>
              <w:t>0.80% (gap: 2.5×)</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0A12FB6" w14:textId="77777777" w:rsidR="00720B78" w:rsidRDefault="00000000">
            <w:r>
              <w:rPr>
                <w:sz w:val="17"/>
                <w:szCs w:val="17"/>
              </w:rPr>
              <w:t>0.45% (gap: 2.8–4.4×)</w:t>
            </w:r>
          </w:p>
        </w:tc>
      </w:tr>
      <w:tr w:rsidR="00720B78" w14:paraId="660698F7"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5D6EA95D" w14:textId="77777777" w:rsidR="00720B78" w:rsidRDefault="00000000">
            <w:r>
              <w:rPr>
                <w:sz w:val="17"/>
                <w:szCs w:val="17"/>
              </w:rPr>
              <w:t>BPIE deep renovation by 2030</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964385D" w14:textId="77777777" w:rsidR="00720B78" w:rsidRDefault="00000000">
            <w:r>
              <w:rPr>
                <w:sz w:val="17"/>
                <w:szCs w:val="17"/>
              </w:rPr>
              <w:t>~3.0% p.a.</w:t>
            </w:r>
          </w:p>
        </w:tc>
        <w:tc>
          <w:tcPr>
            <w:tcW w:w="16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4D330FD" w14:textId="77777777" w:rsidR="00720B78" w:rsidRDefault="00000000">
            <w:r>
              <w:rPr>
                <w:sz w:val="17"/>
                <w:szCs w:val="17"/>
              </w:rPr>
              <w:t>0.2% (gap: 15×)</w:t>
            </w:r>
          </w:p>
        </w:tc>
        <w:tc>
          <w:tcPr>
            <w:tcW w:w="16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50B0E4A" w14:textId="77777777" w:rsidR="00720B78" w:rsidRDefault="00000000">
            <w:r>
              <w:rPr>
                <w:sz w:val="17"/>
                <w:szCs w:val="17"/>
              </w:rPr>
              <w:t>Slightly above 0.2%</w:t>
            </w:r>
          </w:p>
        </w:tc>
        <w:tc>
          <w:tcPr>
            <w:tcW w:w="16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142FDF16" w14:textId="77777777" w:rsidR="00720B78" w:rsidRDefault="00000000">
            <w:r>
              <w:rPr>
                <w:sz w:val="17"/>
                <w:szCs w:val="17"/>
              </w:rPr>
              <w:t>Below 0.2%</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0B8E1D4C" w14:textId="77777777" w:rsidR="00720B78" w:rsidRDefault="00000000">
            <w:r>
              <w:rPr>
                <w:sz w:val="17"/>
                <w:szCs w:val="17"/>
              </w:rPr>
              <w:t>Below 0.2%</w:t>
            </w:r>
          </w:p>
        </w:tc>
      </w:tr>
      <w:tr w:rsidR="00720B78" w14:paraId="7A10ED83"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262729F4" w14:textId="77777777" w:rsidR="00720B78" w:rsidRDefault="00000000">
            <w:r>
              <w:rPr>
                <w:sz w:val="17"/>
                <w:szCs w:val="17"/>
              </w:rPr>
              <w:t>Full 2050 decarbonisation</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7813089" w14:textId="77777777" w:rsidR="00720B78" w:rsidRDefault="00000000">
            <w:r>
              <w:rPr>
                <w:sz w:val="17"/>
                <w:szCs w:val="17"/>
              </w:rPr>
              <w:t>~3–4% sustained</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22FC8C4" w14:textId="77777777" w:rsidR="00720B78" w:rsidRDefault="00000000">
            <w:r>
              <w:rPr>
                <w:sz w:val="17"/>
                <w:szCs w:val="17"/>
              </w:rPr>
              <w:t>3–4× acceleration</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E35EE9B" w14:textId="77777777" w:rsidR="00720B78" w:rsidRDefault="00000000">
            <w:r>
              <w:rPr>
                <w:sz w:val="17"/>
                <w:szCs w:val="17"/>
              </w:rPr>
              <w:t>~3× needed</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60F7D43" w14:textId="77777777" w:rsidR="00720B78" w:rsidRDefault="00000000">
            <w:r>
              <w:rPr>
                <w:sz w:val="17"/>
                <w:szCs w:val="17"/>
              </w:rPr>
              <w:t>~4× needed</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0B453BB9" w14:textId="77777777" w:rsidR="00720B78" w:rsidRDefault="00000000">
            <w:r>
              <w:rPr>
                <w:sz w:val="17"/>
                <w:szCs w:val="17"/>
              </w:rPr>
              <w:t>~4× needed</w:t>
            </w:r>
          </w:p>
        </w:tc>
      </w:tr>
      <w:tr w:rsidR="00720B78" w14:paraId="4222DEC6"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674BB77" w14:textId="77777777" w:rsidR="00720B78" w:rsidRDefault="00000000">
            <w:r>
              <w:rPr>
                <w:sz w:val="17"/>
                <w:szCs w:val="17"/>
              </w:rPr>
              <w:t>EU EPBD MEPS worst 16% by 2030</w:t>
            </w:r>
          </w:p>
        </w:tc>
        <w:tc>
          <w:tcPr>
            <w:tcW w:w="14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7748AE40" w14:textId="77777777" w:rsidR="00720B78" w:rsidRDefault="00000000">
            <w:r>
              <w:rPr>
                <w:sz w:val="17"/>
                <w:szCs w:val="17"/>
              </w:rPr>
              <w:t>Top 16% renovated</w:t>
            </w:r>
          </w:p>
        </w:tc>
        <w:tc>
          <w:tcPr>
            <w:tcW w:w="16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A51CE5A" w14:textId="77777777" w:rsidR="00720B78" w:rsidRDefault="00000000">
            <w:r>
              <w:rPr>
                <w:sz w:val="17"/>
                <w:szCs w:val="17"/>
              </w:rPr>
              <w:t>F label obligation active</w:t>
            </w:r>
          </w:p>
        </w:tc>
        <w:tc>
          <w:tcPr>
            <w:tcW w:w="16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6F662B55" w14:textId="77777777" w:rsidR="00720B78" w:rsidRDefault="00000000">
            <w:r>
              <w:rPr>
                <w:sz w:val="17"/>
                <w:szCs w:val="17"/>
              </w:rPr>
              <w:t>Obligation 2025 planned</w:t>
            </w:r>
          </w:p>
        </w:tc>
        <w:tc>
          <w:tcPr>
            <w:tcW w:w="1600"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D995783" w14:textId="77777777" w:rsidR="00720B78" w:rsidRDefault="00000000">
            <w:r>
              <w:rPr>
                <w:sz w:val="17"/>
                <w:szCs w:val="17"/>
              </w:rPr>
              <w:t>Obligation 2025 planned</w:t>
            </w:r>
          </w:p>
        </w:tc>
        <w:tc>
          <w:tcPr>
            <w:tcW w:w="1426" w:type="dxa"/>
            <w:tcBorders>
              <w:top w:val="single" w:sz="1" w:space="0" w:color="BBBBBB"/>
              <w:left w:val="single" w:sz="1" w:space="0" w:color="BBBBBB"/>
              <w:bottom w:val="single" w:sz="1" w:space="0" w:color="BBBBBB"/>
              <w:right w:val="single" w:sz="1" w:space="0" w:color="BBBBBB"/>
            </w:tcBorders>
            <w:shd w:val="clear" w:color="auto" w:fill="EBF4FB"/>
            <w:tcMar>
              <w:top w:w="60" w:type="dxa"/>
              <w:left w:w="110" w:type="dxa"/>
              <w:bottom w:w="60" w:type="dxa"/>
              <w:right w:w="110" w:type="dxa"/>
            </w:tcMar>
          </w:tcPr>
          <w:p w14:paraId="3EBF0B57" w14:textId="77777777" w:rsidR="00720B78" w:rsidRDefault="00000000">
            <w:r>
              <w:rPr>
                <w:sz w:val="17"/>
                <w:szCs w:val="17"/>
              </w:rPr>
              <w:t>Obligation 2025 planned</w:t>
            </w:r>
          </w:p>
        </w:tc>
      </w:tr>
      <w:tr w:rsidR="00720B78" w14:paraId="27ADD587"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4EC9276C" w14:textId="77777777" w:rsidR="00720B78" w:rsidRDefault="00000000">
            <w:r>
              <w:rPr>
                <w:sz w:val="17"/>
                <w:szCs w:val="17"/>
              </w:rPr>
              <w:t>% stock still needing upgrade</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5FA3DBE" w14:textId="77777777" w:rsidR="00720B78" w:rsidRDefault="00000000">
            <w:r>
              <w:rPr>
                <w:sz w:val="17"/>
                <w:szCs w:val="17"/>
              </w:rPr>
              <w:t>~0%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C1F5DE4" w14:textId="77777777" w:rsidR="00720B78" w:rsidRDefault="00000000">
            <w:r>
              <w:rPr>
                <w:sz w:val="17"/>
                <w:szCs w:val="17"/>
              </w:rPr>
              <w:t>~80%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1A61D2B1" w14:textId="77777777" w:rsidR="00720B78" w:rsidRDefault="00000000">
            <w:r>
              <w:rPr>
                <w:sz w:val="17"/>
                <w:szCs w:val="17"/>
              </w:rPr>
              <w:t>~75%</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35DC8221" w14:textId="77777777" w:rsidR="00720B78" w:rsidRDefault="00000000">
            <w:r>
              <w:rPr>
                <w:sz w:val="17"/>
                <w:szCs w:val="17"/>
              </w:rPr>
              <w:t>~85%</w:t>
            </w:r>
          </w:p>
        </w:tc>
        <w:tc>
          <w:tcPr>
            <w:tcW w:w="1426" w:type="dxa"/>
            <w:tcBorders>
              <w:top w:val="single" w:sz="1" w:space="0" w:color="BBBBBB"/>
              <w:left w:val="single" w:sz="1" w:space="0" w:color="BBBBBB"/>
              <w:bottom w:val="single" w:sz="1" w:space="0" w:color="BBBBBB"/>
              <w:right w:val="single" w:sz="1" w:space="0" w:color="BBBBBB"/>
            </w:tcBorders>
            <w:shd w:val="clear" w:color="auto" w:fill="FFFFFF"/>
            <w:tcMar>
              <w:top w:w="60" w:type="dxa"/>
              <w:left w:w="110" w:type="dxa"/>
              <w:bottom w:w="60" w:type="dxa"/>
              <w:right w:w="110" w:type="dxa"/>
            </w:tcMar>
          </w:tcPr>
          <w:p w14:paraId="6778FDCF" w14:textId="77777777" w:rsidR="00720B78" w:rsidRDefault="00000000">
            <w:r>
              <w:rPr>
                <w:sz w:val="17"/>
                <w:szCs w:val="17"/>
              </w:rPr>
              <w:t>~90%+</w:t>
            </w:r>
          </w:p>
        </w:tc>
      </w:tr>
    </w:tbl>
    <w:p w14:paraId="52E56206" w14:textId="77777777" w:rsidR="00720B78" w:rsidRDefault="00000000">
      <w:pPr>
        <w:spacing w:before="40" w:after="120" w:line="276" w:lineRule="auto"/>
        <w:jc w:val="both"/>
      </w:pPr>
      <w:r>
        <w:rPr>
          <w:i/>
          <w:iCs/>
          <w:sz w:val="17"/>
          <w:szCs w:val="17"/>
        </w:rPr>
        <w:t xml:space="preserve">Sources: BPIE (2021); </w:t>
      </w:r>
      <w:proofErr w:type="spellStart"/>
      <w:r>
        <w:rPr>
          <w:i/>
          <w:iCs/>
          <w:sz w:val="17"/>
          <w:szCs w:val="17"/>
        </w:rPr>
        <w:t>Climact</w:t>
      </w:r>
      <w:proofErr w:type="spellEnd"/>
      <w:r>
        <w:rPr>
          <w:i/>
          <w:iCs/>
          <w:sz w:val="17"/>
          <w:szCs w:val="17"/>
        </w:rPr>
        <w:t xml:space="preserve"> (2024); Van </w:t>
      </w:r>
      <w:proofErr w:type="spellStart"/>
      <w:r>
        <w:rPr>
          <w:i/>
          <w:iCs/>
          <w:sz w:val="17"/>
          <w:szCs w:val="17"/>
        </w:rPr>
        <w:t>Gompel</w:t>
      </w:r>
      <w:proofErr w:type="spellEnd"/>
      <w:r>
        <w:rPr>
          <w:i/>
          <w:iCs/>
          <w:sz w:val="17"/>
          <w:szCs w:val="17"/>
        </w:rPr>
        <w:t xml:space="preserve"> (2026); European Commission (2026); </w:t>
      </w:r>
      <w:proofErr w:type="spellStart"/>
      <w:r>
        <w:rPr>
          <w:i/>
          <w:iCs/>
          <w:sz w:val="17"/>
          <w:szCs w:val="17"/>
        </w:rPr>
        <w:t>Gepts</w:t>
      </w:r>
      <w:proofErr w:type="spellEnd"/>
      <w:r>
        <w:rPr>
          <w:i/>
          <w:iCs/>
          <w:sz w:val="17"/>
          <w:szCs w:val="17"/>
        </w:rPr>
        <w:t xml:space="preserve"> et al. (2025). 2050 gap percentages are indicative estimates based on current trajectory.</w:t>
      </w:r>
    </w:p>
    <w:p w14:paraId="44EE730B" w14:textId="77777777" w:rsidR="00720B78" w:rsidRDefault="00720B78">
      <w:pPr>
        <w:spacing w:before="60" w:after="60"/>
      </w:pPr>
    </w:p>
    <w:p w14:paraId="415169C8" w14:textId="77777777" w:rsidR="00BE711E" w:rsidRDefault="00BE711E">
      <w:pPr>
        <w:spacing w:before="60" w:after="60"/>
      </w:pPr>
    </w:p>
    <w:p w14:paraId="0F30B5FA" w14:textId="77777777" w:rsidR="00BE711E" w:rsidRDefault="00BE711E">
      <w:pPr>
        <w:spacing w:before="60" w:after="60"/>
      </w:pPr>
    </w:p>
    <w:p w14:paraId="5C2D5720" w14:textId="77777777" w:rsidR="00BE711E" w:rsidRDefault="00BE711E">
      <w:pPr>
        <w:spacing w:before="60" w:after="60"/>
      </w:pPr>
    </w:p>
    <w:p w14:paraId="52DF4F9F" w14:textId="77777777" w:rsidR="00BE711E" w:rsidRDefault="00BE711E">
      <w:pPr>
        <w:spacing w:before="60" w:after="60"/>
      </w:pPr>
    </w:p>
    <w:p w14:paraId="4C8CDA6C" w14:textId="77777777" w:rsidR="00BE711E" w:rsidRDefault="00BE711E">
      <w:pPr>
        <w:spacing w:before="60" w:after="60"/>
      </w:pPr>
    </w:p>
    <w:p w14:paraId="021C1256" w14:textId="77777777" w:rsidR="00BE711E" w:rsidRDefault="00BE711E">
      <w:pPr>
        <w:spacing w:before="60" w:after="60"/>
      </w:pPr>
    </w:p>
    <w:p w14:paraId="0EE3C655" w14:textId="77777777" w:rsidR="00BE711E" w:rsidRDefault="00BE711E">
      <w:pPr>
        <w:spacing w:before="60" w:after="60"/>
      </w:pPr>
    </w:p>
    <w:p w14:paraId="0AC0584C" w14:textId="77777777" w:rsidR="00720B78" w:rsidRDefault="00000000">
      <w:pPr>
        <w:pStyle w:val="Heading1"/>
      </w:pPr>
      <w:r>
        <w:lastRenderedPageBreak/>
        <w:t>4. Key Drivers and Barriers</w:t>
      </w:r>
    </w:p>
    <w:p w14:paraId="10081349" w14:textId="77777777" w:rsidR="00720B78" w:rsidRDefault="00000000">
      <w:pPr>
        <w:pStyle w:val="Heading2"/>
      </w:pPr>
      <w:r>
        <w:t>4.1 Enabling Factors</w:t>
      </w:r>
    </w:p>
    <w:p w14:paraId="20D8896D" w14:textId="77777777" w:rsidR="00720B78" w:rsidRDefault="00000000">
      <w:pPr>
        <w:spacing w:before="80" w:after="100" w:line="276" w:lineRule="auto"/>
        <w:jc w:val="both"/>
      </w:pPr>
      <w:r>
        <w:rPr>
          <w:b/>
          <w:bCs/>
        </w:rPr>
        <w:t xml:space="preserve">EU EPBD Recast (2024/1275): </w:t>
      </w:r>
      <w:r>
        <w:t>Entered into force 28 May 2024; transposition deadline 29 May 2026. Introduces MEPS requiring renovation of the worst-performing 16% of non-residential stock by 2030 and 26% by 2033. Mandates National Building Renovation Plans from all member states (European Commission — Energy, 2024).</w:t>
      </w:r>
    </w:p>
    <w:p w14:paraId="2E1CCD07" w14:textId="77777777" w:rsidR="00720B78" w:rsidRDefault="00000000">
      <w:pPr>
        <w:spacing w:before="80" w:after="100" w:line="276" w:lineRule="auto"/>
        <w:jc w:val="both"/>
      </w:pPr>
      <w:r>
        <w:rPr>
          <w:b/>
          <w:bCs/>
        </w:rPr>
        <w:t xml:space="preserve">National Recovery and Resilience Plan: </w:t>
      </w:r>
      <w:r>
        <w:t>Belgium dedicated 51% of Recovery Plan funding to the green transition, including €672 million for building renovation, partially sustaining sector growth in 2023–2024 despite market headwinds (FIEC, 2025).</w:t>
      </w:r>
    </w:p>
    <w:p w14:paraId="21F24263" w14:textId="77777777" w:rsidR="00720B78" w:rsidRDefault="00000000">
      <w:pPr>
        <w:spacing w:before="80" w:after="100" w:line="276" w:lineRule="auto"/>
        <w:jc w:val="both"/>
      </w:pPr>
      <w:r>
        <w:rPr>
          <w:b/>
          <w:bCs/>
        </w:rPr>
        <w:t xml:space="preserve">Generational shifts: </w:t>
      </w:r>
      <w:r>
        <w:t>Young homeowners (25–39) are the most active renovators — 36% carried out an energy renovation in a given year vs. 20% of those aged 55–74. They are also more likely to undertake deep renovations (</w:t>
      </w:r>
      <w:proofErr w:type="spellStart"/>
      <w:r>
        <w:t>Gepts</w:t>
      </w:r>
      <w:proofErr w:type="spellEnd"/>
      <w:r>
        <w:t xml:space="preserve"> et al., 2025).</w:t>
      </w:r>
    </w:p>
    <w:p w14:paraId="65E99652" w14:textId="77777777" w:rsidR="00720B78" w:rsidRDefault="00000000">
      <w:pPr>
        <w:spacing w:before="80" w:after="100" w:line="276" w:lineRule="auto"/>
        <w:jc w:val="both"/>
      </w:pPr>
      <w:r>
        <w:rPr>
          <w:b/>
          <w:bCs/>
        </w:rPr>
        <w:t xml:space="preserve">Energy efficiency gains: </w:t>
      </w:r>
      <w:r>
        <w:t xml:space="preserve">Between 2008 and 2024, GHG emissions from residential heating fell twice as fast in Belgium (659 kg per capita) as the EU27 average (307 kg per capita), partly reflecting some renovation and fuel-switching progress (Van </w:t>
      </w:r>
      <w:proofErr w:type="spellStart"/>
      <w:r>
        <w:t>Gompel</w:t>
      </w:r>
      <w:proofErr w:type="spellEnd"/>
      <w:r>
        <w:t>, 2026).</w:t>
      </w:r>
    </w:p>
    <w:p w14:paraId="4D38B722" w14:textId="77777777" w:rsidR="00720B78" w:rsidRDefault="00720B78">
      <w:pPr>
        <w:spacing w:before="60" w:after="60"/>
      </w:pPr>
    </w:p>
    <w:p w14:paraId="13D66A0C" w14:textId="77777777" w:rsidR="00720B78" w:rsidRDefault="00000000">
      <w:pPr>
        <w:pStyle w:val="Heading2"/>
      </w:pPr>
      <w:r>
        <w:t>4.2 Structural Barriers</w:t>
      </w:r>
    </w:p>
    <w:p w14:paraId="23AF07E8" w14:textId="77777777" w:rsidR="00720B78" w:rsidRDefault="00000000">
      <w:pPr>
        <w:pStyle w:val="ListParagraph"/>
        <w:numPr>
          <w:ilvl w:val="0"/>
          <w:numId w:val="2"/>
        </w:numPr>
        <w:spacing w:before="60" w:after="60" w:line="276" w:lineRule="auto"/>
      </w:pPr>
      <w:r>
        <w:t>Financial cost: 73% of Belgian families cite renovation cost as a barrier (Belga News Agency, 2025). More than half of 2019 survey respondents could not afford energy-saving works (</w:t>
      </w:r>
      <w:proofErr w:type="spellStart"/>
      <w:r>
        <w:t>Essencia</w:t>
      </w:r>
      <w:proofErr w:type="spellEnd"/>
      <w:r>
        <w:t xml:space="preserve">, cited in Van </w:t>
      </w:r>
      <w:proofErr w:type="spellStart"/>
      <w:r>
        <w:t>Gompel</w:t>
      </w:r>
      <w:proofErr w:type="spellEnd"/>
      <w:r>
        <w:t>, 2026).</w:t>
      </w:r>
    </w:p>
    <w:p w14:paraId="0CCF15F1" w14:textId="77777777" w:rsidR="00720B78" w:rsidRDefault="00000000">
      <w:pPr>
        <w:pStyle w:val="ListParagraph"/>
        <w:numPr>
          <w:ilvl w:val="0"/>
          <w:numId w:val="2"/>
        </w:numPr>
        <w:spacing w:before="60" w:after="60" w:line="276" w:lineRule="auto"/>
      </w:pPr>
      <w:r>
        <w:t xml:space="preserve">Construction cost inflation: Building costs rose sharply relative to general consumer prices from 2021 onwards, compressing real renovation budgets (Van </w:t>
      </w:r>
      <w:proofErr w:type="spellStart"/>
      <w:r>
        <w:t>Gompel</w:t>
      </w:r>
      <w:proofErr w:type="spellEnd"/>
      <w:r>
        <w:t>, 2026).</w:t>
      </w:r>
    </w:p>
    <w:p w14:paraId="7F897D0A" w14:textId="77777777" w:rsidR="00720B78" w:rsidRDefault="00000000">
      <w:pPr>
        <w:pStyle w:val="ListParagraph"/>
        <w:numPr>
          <w:ilvl w:val="0"/>
          <w:numId w:val="2"/>
        </w:numPr>
        <w:spacing w:before="60" w:after="60" w:line="276" w:lineRule="auto"/>
      </w:pPr>
      <w:r>
        <w:t>Interest rate shock (2022–2024): Rising mortgage rates increased the cost of renovation financing and deterred purchase-renovation transactions.</w:t>
      </w:r>
    </w:p>
    <w:p w14:paraId="588ED534" w14:textId="77777777" w:rsidR="00720B78" w:rsidRDefault="00000000">
      <w:pPr>
        <w:pStyle w:val="ListParagraph"/>
        <w:numPr>
          <w:ilvl w:val="0"/>
          <w:numId w:val="2"/>
        </w:numPr>
        <w:spacing w:before="60" w:after="60" w:line="276" w:lineRule="auto"/>
      </w:pPr>
      <w:r>
        <w:t xml:space="preserve">Information gaps: Many homeowners lack knowledge of available incentives, renovation pathways, and EPC obligation implications (Van </w:t>
      </w:r>
      <w:proofErr w:type="spellStart"/>
      <w:r>
        <w:t>Gompel</w:t>
      </w:r>
      <w:proofErr w:type="spellEnd"/>
      <w:r>
        <w:t>, 2026).</w:t>
      </w:r>
    </w:p>
    <w:p w14:paraId="7A960D5E" w14:textId="77777777" w:rsidR="00720B78" w:rsidRDefault="00000000">
      <w:pPr>
        <w:pStyle w:val="ListParagraph"/>
        <w:numPr>
          <w:ilvl w:val="0"/>
          <w:numId w:val="2"/>
        </w:numPr>
        <w:spacing w:before="60" w:after="60" w:line="276" w:lineRule="auto"/>
      </w:pPr>
      <w:r>
        <w:t>Elderly homeowners: Older occupants show the lowest renovation propensity (20% vs. 36% for under-40s), yet disproportionately own the worst-performing homes (</w:t>
      </w:r>
      <w:proofErr w:type="spellStart"/>
      <w:r>
        <w:t>Gepts</w:t>
      </w:r>
      <w:proofErr w:type="spellEnd"/>
      <w:r>
        <w:t xml:space="preserve"> et al., 2025).</w:t>
      </w:r>
    </w:p>
    <w:p w14:paraId="698BDB69" w14:textId="77777777" w:rsidR="00720B78" w:rsidRDefault="00000000">
      <w:pPr>
        <w:pStyle w:val="ListParagraph"/>
        <w:numPr>
          <w:ilvl w:val="0"/>
          <w:numId w:val="2"/>
        </w:numPr>
        <w:spacing w:before="60" w:after="60" w:line="276" w:lineRule="auto"/>
      </w:pPr>
      <w:r>
        <w:t xml:space="preserve">Skilled labour shortage: Doubts persist about whether sufficient construction workers will be available at the required scale (Van </w:t>
      </w:r>
      <w:proofErr w:type="spellStart"/>
      <w:r>
        <w:t>Gompel</w:t>
      </w:r>
      <w:proofErr w:type="spellEnd"/>
      <w:r>
        <w:t>, 2026).</w:t>
      </w:r>
    </w:p>
    <w:p w14:paraId="356D4C8C" w14:textId="77777777" w:rsidR="00720B78" w:rsidRDefault="00000000">
      <w:pPr>
        <w:pStyle w:val="ListParagraph"/>
        <w:numPr>
          <w:ilvl w:val="0"/>
          <w:numId w:val="2"/>
        </w:numPr>
        <w:spacing w:before="60" w:after="60" w:line="276" w:lineRule="auto"/>
      </w:pPr>
      <w:r>
        <w:t>Lock-in effects: Single-measure renovations can prevent future comprehensive upgrades, creating long-term energy performance lock-in (</w:t>
      </w:r>
      <w:proofErr w:type="spellStart"/>
      <w:r>
        <w:t>Gepts</w:t>
      </w:r>
      <w:proofErr w:type="spellEnd"/>
      <w:r>
        <w:t xml:space="preserve"> et al., 2025).</w:t>
      </w:r>
    </w:p>
    <w:p w14:paraId="3D1E64EF" w14:textId="77777777" w:rsidR="00720B78" w:rsidRDefault="00000000">
      <w:pPr>
        <w:pStyle w:val="ListParagraph"/>
        <w:numPr>
          <w:ilvl w:val="0"/>
          <w:numId w:val="2"/>
        </w:numPr>
        <w:spacing w:before="60" w:after="60" w:line="276" w:lineRule="auto"/>
      </w:pPr>
      <w:r>
        <w:t>Brussels condominium governance: Supermajority co-owner approval required for renovation works creates structural inertia in 55% of the Brussels housing stock.</w:t>
      </w:r>
    </w:p>
    <w:p w14:paraId="52130901" w14:textId="77777777" w:rsidR="00720B78" w:rsidRDefault="00720B78">
      <w:pPr>
        <w:spacing w:before="60" w:after="60"/>
      </w:pPr>
    </w:p>
    <w:p w14:paraId="4CF30971" w14:textId="77777777" w:rsidR="00BE711E" w:rsidRDefault="00BE711E">
      <w:pPr>
        <w:spacing w:before="60" w:after="60"/>
      </w:pPr>
    </w:p>
    <w:p w14:paraId="770D4792" w14:textId="77777777" w:rsidR="00BE711E" w:rsidRDefault="00BE711E">
      <w:pPr>
        <w:spacing w:before="60" w:after="60"/>
      </w:pPr>
    </w:p>
    <w:p w14:paraId="5FD5282C" w14:textId="77777777" w:rsidR="00BE711E" w:rsidRDefault="00BE711E">
      <w:pPr>
        <w:spacing w:before="60" w:after="60"/>
      </w:pPr>
    </w:p>
    <w:p w14:paraId="3F4D3F95" w14:textId="77777777" w:rsidR="00720B78" w:rsidRDefault="00000000">
      <w:pPr>
        <w:pStyle w:val="Heading1"/>
      </w:pPr>
      <w:r>
        <w:lastRenderedPageBreak/>
        <w:t>5. Conclusions</w:t>
      </w:r>
    </w:p>
    <w:p w14:paraId="118D1744" w14:textId="77777777" w:rsidR="00720B78" w:rsidRDefault="00000000">
      <w:pPr>
        <w:pStyle w:val="ListParagraph"/>
        <w:numPr>
          <w:ilvl w:val="0"/>
          <w:numId w:val="2"/>
        </w:numPr>
        <w:spacing w:before="60" w:after="60" w:line="276" w:lineRule="auto"/>
      </w:pPr>
      <w:r>
        <w:t>Belgium's overall renovation rate has been structurally stagnant at approximately 1% per annum since 2000, with no sustained structural improvement despite over two decades of policy incentives at federal and regional levels.</w:t>
      </w:r>
    </w:p>
    <w:p w14:paraId="6CC240E6" w14:textId="77777777" w:rsidR="00720B78" w:rsidRDefault="00000000">
      <w:pPr>
        <w:pStyle w:val="ListParagraph"/>
        <w:numPr>
          <w:ilvl w:val="0"/>
          <w:numId w:val="2"/>
        </w:numPr>
        <w:spacing w:before="60" w:after="60" w:line="276" w:lineRule="auto"/>
      </w:pPr>
      <w:r>
        <w:t>Regional divergence is significant and growing. Flanders leads with a binding renovation obligation since 2023, measurable market effects, and the highest permit intensity (~1.05% average). Wallonia (~0.88%) and Brussels (~0.52% per building) trail, and face higher required acceleration multipliers.</w:t>
      </w:r>
    </w:p>
    <w:p w14:paraId="7340B668" w14:textId="77777777" w:rsidR="00720B78" w:rsidRDefault="00000000">
      <w:pPr>
        <w:pStyle w:val="ListParagraph"/>
        <w:numPr>
          <w:ilvl w:val="0"/>
          <w:numId w:val="2"/>
        </w:numPr>
        <w:spacing w:before="60" w:after="60" w:line="276" w:lineRule="auto"/>
      </w:pPr>
      <w:r>
        <w:t>Deep renovations remain severely insufficient — approximately 0.2% of the stock nationally, a 15-fold gap from the 3% annual rate required by 2030. The COVID-era peak did not translate into a sustained uplift in deep renovation.</w:t>
      </w:r>
    </w:p>
    <w:p w14:paraId="14A2A18E" w14:textId="77777777" w:rsidR="00720B78" w:rsidRDefault="00000000">
      <w:pPr>
        <w:pStyle w:val="ListParagraph"/>
        <w:numPr>
          <w:ilvl w:val="0"/>
          <w:numId w:val="2"/>
        </w:numPr>
        <w:spacing w:before="60" w:after="60" w:line="276" w:lineRule="auto"/>
      </w:pPr>
      <w:r>
        <w:t>Financial, informational, and structural barriers remain formidable across all regions, with Brussels additionally constrained by condominium governance challenges.</w:t>
      </w:r>
    </w:p>
    <w:p w14:paraId="3E1C7C1C" w14:textId="77777777" w:rsidR="00720B78" w:rsidRDefault="00000000">
      <w:pPr>
        <w:pStyle w:val="ListParagraph"/>
        <w:numPr>
          <w:ilvl w:val="0"/>
          <w:numId w:val="2"/>
        </w:numPr>
        <w:spacing w:before="60" w:after="60" w:line="276" w:lineRule="auto"/>
      </w:pPr>
      <w:r>
        <w:t>The policy window is narrowing. The EPBD 2024 recast mandates national renovation plans and MEPS by 2026. Belgium's trajectory is assessed by the European Commission as insufficient. Only concerted acceleration — binding obligations, targeted financial instruments for low-income households, and workforce development — can bridge the gap to 2050 targets.</w:t>
      </w:r>
    </w:p>
    <w:p w14:paraId="65D20880" w14:textId="77777777" w:rsidR="00720B78" w:rsidRDefault="00720B78">
      <w:pPr>
        <w:spacing w:before="60" w:after="60"/>
      </w:pPr>
    </w:p>
    <w:p w14:paraId="2281A196" w14:textId="77777777" w:rsidR="00BE711E" w:rsidRDefault="00BE711E">
      <w:pPr>
        <w:spacing w:before="60" w:after="60"/>
      </w:pPr>
    </w:p>
    <w:p w14:paraId="4DBDCD96" w14:textId="77777777" w:rsidR="00BE711E" w:rsidRDefault="00BE711E">
      <w:pPr>
        <w:spacing w:before="60" w:after="60"/>
      </w:pPr>
    </w:p>
    <w:p w14:paraId="50FCFC1D" w14:textId="77777777" w:rsidR="00BE711E" w:rsidRDefault="00BE711E">
      <w:pPr>
        <w:spacing w:before="60" w:after="60"/>
      </w:pPr>
    </w:p>
    <w:p w14:paraId="5ED8D605" w14:textId="77777777" w:rsidR="00BE711E" w:rsidRDefault="00BE711E">
      <w:pPr>
        <w:spacing w:before="60" w:after="60"/>
      </w:pPr>
    </w:p>
    <w:p w14:paraId="2D5AEA93" w14:textId="77777777" w:rsidR="00BE711E" w:rsidRDefault="00BE711E">
      <w:pPr>
        <w:spacing w:before="60" w:after="60"/>
      </w:pPr>
    </w:p>
    <w:p w14:paraId="71F5D99A" w14:textId="77777777" w:rsidR="00BE711E" w:rsidRDefault="00BE711E">
      <w:pPr>
        <w:spacing w:before="60" w:after="60"/>
      </w:pPr>
    </w:p>
    <w:p w14:paraId="33C40F97" w14:textId="77777777" w:rsidR="00BE711E" w:rsidRDefault="00BE711E">
      <w:pPr>
        <w:spacing w:before="60" w:after="60"/>
      </w:pPr>
    </w:p>
    <w:p w14:paraId="4F941E0F" w14:textId="77777777" w:rsidR="00BE711E" w:rsidRDefault="00BE711E">
      <w:pPr>
        <w:spacing w:before="60" w:after="60"/>
      </w:pPr>
    </w:p>
    <w:p w14:paraId="6808A588" w14:textId="77777777" w:rsidR="00BE711E" w:rsidRDefault="00BE711E">
      <w:pPr>
        <w:spacing w:before="60" w:after="60"/>
      </w:pPr>
    </w:p>
    <w:p w14:paraId="12DB320C" w14:textId="77777777" w:rsidR="00BE711E" w:rsidRDefault="00BE711E">
      <w:pPr>
        <w:spacing w:before="60" w:after="60"/>
      </w:pPr>
    </w:p>
    <w:p w14:paraId="094BE604" w14:textId="77777777" w:rsidR="00BE711E" w:rsidRDefault="00BE711E">
      <w:pPr>
        <w:spacing w:before="60" w:after="60"/>
      </w:pPr>
    </w:p>
    <w:p w14:paraId="5A1412B7" w14:textId="77777777" w:rsidR="00BE711E" w:rsidRDefault="00BE711E">
      <w:pPr>
        <w:spacing w:before="60" w:after="60"/>
      </w:pPr>
    </w:p>
    <w:p w14:paraId="6D66DD3C" w14:textId="77777777" w:rsidR="00BE711E" w:rsidRDefault="00BE711E">
      <w:pPr>
        <w:spacing w:before="60" w:after="60"/>
      </w:pPr>
    </w:p>
    <w:p w14:paraId="6AE7D394" w14:textId="77777777" w:rsidR="00BE711E" w:rsidRDefault="00BE711E">
      <w:pPr>
        <w:spacing w:before="60" w:after="60"/>
      </w:pPr>
    </w:p>
    <w:p w14:paraId="31D232AB" w14:textId="77777777" w:rsidR="00BE711E" w:rsidRDefault="00BE711E">
      <w:pPr>
        <w:spacing w:before="60" w:after="60"/>
      </w:pPr>
    </w:p>
    <w:p w14:paraId="48AA8AD3" w14:textId="77777777" w:rsidR="00BE711E" w:rsidRDefault="00BE711E">
      <w:pPr>
        <w:spacing w:before="60" w:after="60"/>
      </w:pPr>
    </w:p>
    <w:p w14:paraId="7FA907E6" w14:textId="77777777" w:rsidR="00BE711E" w:rsidRDefault="00BE711E">
      <w:pPr>
        <w:spacing w:before="60" w:after="60"/>
      </w:pPr>
    </w:p>
    <w:p w14:paraId="461EBC5C" w14:textId="77777777" w:rsidR="00BE711E" w:rsidRDefault="00BE711E">
      <w:pPr>
        <w:spacing w:before="60" w:after="60"/>
      </w:pPr>
    </w:p>
    <w:p w14:paraId="69656036" w14:textId="77777777" w:rsidR="00BE711E" w:rsidRDefault="00BE711E">
      <w:pPr>
        <w:spacing w:before="60" w:after="60"/>
      </w:pPr>
    </w:p>
    <w:p w14:paraId="478D94F1" w14:textId="77777777" w:rsidR="00BE711E" w:rsidRDefault="00BE711E">
      <w:pPr>
        <w:spacing w:before="60" w:after="60"/>
      </w:pPr>
    </w:p>
    <w:p w14:paraId="6016C758" w14:textId="77777777" w:rsidR="00BE711E" w:rsidRDefault="00BE711E">
      <w:pPr>
        <w:spacing w:before="60" w:after="60"/>
      </w:pPr>
    </w:p>
    <w:p w14:paraId="1DC9B58C" w14:textId="77777777" w:rsidR="00BE711E" w:rsidRDefault="00BE711E">
      <w:pPr>
        <w:spacing w:before="60" w:after="60"/>
      </w:pPr>
    </w:p>
    <w:p w14:paraId="459CF788" w14:textId="77777777" w:rsidR="00720B78" w:rsidRDefault="00000000">
      <w:pPr>
        <w:pStyle w:val="Heading1"/>
      </w:pPr>
      <w:r>
        <w:lastRenderedPageBreak/>
        <w:t>References</w:t>
      </w:r>
    </w:p>
    <w:p w14:paraId="3654F8C4" w14:textId="77777777" w:rsidR="00720B78" w:rsidRDefault="00000000">
      <w:pPr>
        <w:spacing w:before="60" w:after="80"/>
        <w:ind w:left="720" w:hanging="720"/>
      </w:pPr>
      <w:proofErr w:type="spellStart"/>
      <w:r>
        <w:rPr>
          <w:sz w:val="19"/>
          <w:szCs w:val="19"/>
        </w:rPr>
        <w:t>Agoria</w:t>
      </w:r>
      <w:proofErr w:type="spellEnd"/>
      <w:r>
        <w:rPr>
          <w:sz w:val="19"/>
          <w:szCs w:val="19"/>
        </w:rPr>
        <w:t xml:space="preserve">. (2024, June 25). Renovation obligation included in European, Flemish, Walloon and Brussels building policy. </w:t>
      </w:r>
      <w:hyperlink r:id="rId8" w:history="1">
        <w:r>
          <w:rPr>
            <w:rStyle w:val="Hyperlink"/>
            <w:color w:val="1155CC"/>
            <w:sz w:val="19"/>
            <w:szCs w:val="19"/>
          </w:rPr>
          <w:t>https://www.agoria.be/en/services/expertise/green-transition/climate-neutral-construction/renovation-obligation-included-in-european-flemish-walloon-and-brussels-building-policy</w:t>
        </w:r>
      </w:hyperlink>
    </w:p>
    <w:p w14:paraId="74D84A25" w14:textId="77777777" w:rsidR="00720B78" w:rsidRDefault="00000000">
      <w:pPr>
        <w:spacing w:before="60" w:after="80"/>
        <w:ind w:left="720" w:hanging="720"/>
      </w:pPr>
      <w:r>
        <w:rPr>
          <w:sz w:val="19"/>
          <w:szCs w:val="19"/>
        </w:rPr>
        <w:t xml:space="preserve">Baker McKenzie. (2024). Energy Performance Certificates and Minimum Energy Standards — Belgium. Global Sustainable Buildings Guide. </w:t>
      </w:r>
      <w:hyperlink r:id="rId9" w:history="1">
        <w:r>
          <w:rPr>
            <w:rStyle w:val="Hyperlink"/>
            <w:color w:val="1155CC"/>
            <w:sz w:val="19"/>
            <w:szCs w:val="19"/>
          </w:rPr>
          <w:t>https://resourcehub.bakermckenzie.com/en/resources/global-sustainable-buildings/europe-middle-east-and-africa/belgium/topics/energy-performance-certificates-and-minimum-energy-standards</w:t>
        </w:r>
      </w:hyperlink>
    </w:p>
    <w:p w14:paraId="28A17091" w14:textId="77777777" w:rsidR="00720B78" w:rsidRDefault="00000000">
      <w:pPr>
        <w:spacing w:before="60" w:after="80"/>
        <w:ind w:left="720" w:hanging="720"/>
      </w:pPr>
      <w:r>
        <w:rPr>
          <w:sz w:val="19"/>
          <w:szCs w:val="19"/>
        </w:rPr>
        <w:t xml:space="preserve">Belga News Agency. (2025, September 3). Three in four households cannot afford energy-efficient renovations. Belganewsagency.eu. </w:t>
      </w:r>
      <w:hyperlink r:id="rId10" w:history="1">
        <w:r>
          <w:rPr>
            <w:rStyle w:val="Hyperlink"/>
            <w:color w:val="1155CC"/>
            <w:sz w:val="19"/>
            <w:szCs w:val="19"/>
          </w:rPr>
          <w:t>https://www.belganewsagency.eu/three-in-four-households-cannot-afford-energy-efficient-renovations</w:t>
        </w:r>
      </w:hyperlink>
    </w:p>
    <w:p w14:paraId="54683FB8" w14:textId="77777777" w:rsidR="00720B78" w:rsidRDefault="00000000">
      <w:pPr>
        <w:spacing w:before="60" w:after="80"/>
        <w:ind w:left="720" w:hanging="720"/>
      </w:pPr>
      <w:r>
        <w:rPr>
          <w:sz w:val="19"/>
          <w:szCs w:val="19"/>
        </w:rPr>
        <w:t xml:space="preserve">BNP Paribas Fortis. (2024). Energy standards for commercial buildings. </w:t>
      </w:r>
      <w:hyperlink r:id="rId11" w:history="1">
        <w:r>
          <w:rPr>
            <w:rStyle w:val="Hyperlink"/>
            <w:color w:val="1155CC"/>
            <w:sz w:val="19"/>
            <w:szCs w:val="19"/>
          </w:rPr>
          <w:t>https://www.bnpparibasfortis.be/en/public/article/financing/what-energy-standards-apply-to-your-commercial-premises</w:t>
        </w:r>
      </w:hyperlink>
    </w:p>
    <w:p w14:paraId="3E6155E7" w14:textId="77777777" w:rsidR="00720B78" w:rsidRDefault="00000000">
      <w:pPr>
        <w:spacing w:before="60" w:after="80"/>
        <w:ind w:left="720" w:hanging="720"/>
      </w:pPr>
      <w:r>
        <w:rPr>
          <w:sz w:val="19"/>
          <w:szCs w:val="19"/>
        </w:rPr>
        <w:t xml:space="preserve">Building Performance Institute Europe (BPIE). (2021). Deep renovation: Shifting from exception to standard practice in EU policy. </w:t>
      </w:r>
      <w:hyperlink r:id="rId12" w:history="1">
        <w:r>
          <w:rPr>
            <w:rStyle w:val="Hyperlink"/>
            <w:color w:val="1155CC"/>
            <w:sz w:val="19"/>
            <w:szCs w:val="19"/>
          </w:rPr>
          <w:t>https://www.eceee.org/all-news/news/deep-renovation-should-be-standard-and-included-in-epbd-study/</w:t>
        </w:r>
      </w:hyperlink>
    </w:p>
    <w:p w14:paraId="37295383" w14:textId="77777777" w:rsidR="00720B78" w:rsidRDefault="00000000">
      <w:pPr>
        <w:spacing w:before="60" w:after="80"/>
        <w:ind w:left="720" w:hanging="720"/>
      </w:pPr>
      <w:r>
        <w:rPr>
          <w:sz w:val="19"/>
          <w:szCs w:val="19"/>
        </w:rPr>
        <w:t xml:space="preserve">Brussels-Capital Region — Brussels Environment. (2022). Energy Premiums become RENOLUTION. </w:t>
      </w:r>
      <w:hyperlink r:id="rId13" w:history="1">
        <w:r>
          <w:rPr>
            <w:rStyle w:val="Hyperlink"/>
            <w:color w:val="1155CC"/>
            <w:sz w:val="19"/>
            <w:szCs w:val="19"/>
          </w:rPr>
          <w:t>https://be.brussels/en/environment-waste/energy-premiums-become-renolution</w:t>
        </w:r>
      </w:hyperlink>
    </w:p>
    <w:p w14:paraId="4775A533" w14:textId="77777777" w:rsidR="00720B78" w:rsidRDefault="00000000">
      <w:pPr>
        <w:spacing w:before="60" w:after="80"/>
        <w:ind w:left="720" w:hanging="720"/>
      </w:pPr>
      <w:proofErr w:type="spellStart"/>
      <w:r>
        <w:rPr>
          <w:sz w:val="19"/>
          <w:szCs w:val="19"/>
        </w:rPr>
        <w:t>Climact</w:t>
      </w:r>
      <w:proofErr w:type="spellEnd"/>
      <w:r>
        <w:rPr>
          <w:sz w:val="19"/>
          <w:szCs w:val="19"/>
        </w:rPr>
        <w:t xml:space="preserve">. (2024). Upscaling the financing of residential renovation in Belgium — Final report. </w:t>
      </w:r>
      <w:hyperlink r:id="rId14" w:history="1">
        <w:r>
          <w:rPr>
            <w:rStyle w:val="Hyperlink"/>
            <w:color w:val="1155CC"/>
            <w:sz w:val="19"/>
            <w:szCs w:val="19"/>
          </w:rPr>
          <w:t>https://climact.com/wp-content/uploads/2024/02/Upscaling-the-financing-of-Residential-Renovation-in-Belgium-Final-deliverable-v1-1.pdf</w:t>
        </w:r>
      </w:hyperlink>
    </w:p>
    <w:p w14:paraId="074F82DA" w14:textId="77777777" w:rsidR="00720B78" w:rsidRDefault="00000000">
      <w:pPr>
        <w:spacing w:before="60" w:after="80"/>
        <w:ind w:left="720" w:hanging="720"/>
      </w:pPr>
      <w:proofErr w:type="spellStart"/>
      <w:r>
        <w:rPr>
          <w:sz w:val="19"/>
          <w:szCs w:val="19"/>
        </w:rPr>
        <w:t>Energuide</w:t>
      </w:r>
      <w:proofErr w:type="spellEnd"/>
      <w:r>
        <w:rPr>
          <w:sz w:val="19"/>
          <w:szCs w:val="19"/>
        </w:rPr>
        <w:t xml:space="preserve">. (2022). Which </w:t>
      </w:r>
      <w:proofErr w:type="spellStart"/>
      <w:r>
        <w:rPr>
          <w:sz w:val="19"/>
          <w:szCs w:val="19"/>
        </w:rPr>
        <w:t>Rénolution</w:t>
      </w:r>
      <w:proofErr w:type="spellEnd"/>
      <w:r>
        <w:rPr>
          <w:sz w:val="19"/>
          <w:szCs w:val="19"/>
        </w:rPr>
        <w:t xml:space="preserve"> grants am I entitled to in Brussels in 2022? </w:t>
      </w:r>
      <w:hyperlink r:id="rId15" w:history="1">
        <w:r>
          <w:rPr>
            <w:rStyle w:val="Hyperlink"/>
            <w:color w:val="1155CC"/>
            <w:sz w:val="19"/>
            <w:szCs w:val="19"/>
          </w:rPr>
          <w:t>https://www.energuide.be/en/questions-answers/which-renolution-grants-the-old-energy-grants-am-i-entitled-to-in-brussels-in-2022/9359/</w:t>
        </w:r>
      </w:hyperlink>
    </w:p>
    <w:p w14:paraId="105B9933" w14:textId="77777777" w:rsidR="00720B78" w:rsidRDefault="00000000">
      <w:pPr>
        <w:spacing w:before="60" w:after="80"/>
        <w:ind w:left="720" w:hanging="720"/>
      </w:pPr>
      <w:r>
        <w:rPr>
          <w:sz w:val="19"/>
          <w:szCs w:val="19"/>
        </w:rPr>
        <w:t xml:space="preserve">European Commission — Energy. (2024). Energy Performance of Buildings Directive (EPBD). </w:t>
      </w:r>
      <w:hyperlink r:id="rId16" w:history="1">
        <w:r>
          <w:rPr>
            <w:rStyle w:val="Hyperlink"/>
            <w:color w:val="1155CC"/>
            <w:sz w:val="19"/>
            <w:szCs w:val="19"/>
          </w:rPr>
          <w:t>https://energy.ec.europa.eu/topics/energy-efficiency/energy-performance-buildings/energy-performance-buildings-directive_en</w:t>
        </w:r>
      </w:hyperlink>
    </w:p>
    <w:p w14:paraId="2510EF41" w14:textId="77777777" w:rsidR="00720B78" w:rsidRDefault="00000000">
      <w:pPr>
        <w:spacing w:before="60" w:after="80"/>
        <w:ind w:left="720" w:hanging="720"/>
      </w:pPr>
      <w:r>
        <w:rPr>
          <w:sz w:val="19"/>
          <w:szCs w:val="19"/>
        </w:rPr>
        <w:t xml:space="preserve">European Commission. (2026, January 26). Commission assessment: Belgium's National Energy and Climate Plan shows increased ambition, but requires more effort and implementation. </w:t>
      </w:r>
      <w:hyperlink r:id="rId17" w:history="1">
        <w:r>
          <w:rPr>
            <w:rStyle w:val="Hyperlink"/>
            <w:color w:val="1155CC"/>
            <w:sz w:val="19"/>
            <w:szCs w:val="19"/>
          </w:rPr>
          <w:t>https://energy.ec.europa.eu/news/commission-assessment-belgiums-national-energy-and-climate-plan-shows-increased-ambition-requires-2026-01-26_en</w:t>
        </w:r>
      </w:hyperlink>
    </w:p>
    <w:p w14:paraId="15B74D29" w14:textId="77777777" w:rsidR="00720B78" w:rsidRDefault="00000000">
      <w:pPr>
        <w:spacing w:before="60" w:after="80"/>
        <w:ind w:left="720" w:hanging="720"/>
      </w:pPr>
      <w:r>
        <w:rPr>
          <w:sz w:val="19"/>
          <w:szCs w:val="19"/>
        </w:rPr>
        <w:t xml:space="preserve">European Construction Industry Federation (FIEC). (2025). Statistical report: Belgium construction sector 2024–2025. </w:t>
      </w:r>
      <w:hyperlink r:id="rId18" w:history="1">
        <w:r>
          <w:rPr>
            <w:rStyle w:val="Hyperlink"/>
            <w:color w:val="1155CC"/>
            <w:sz w:val="19"/>
            <w:szCs w:val="19"/>
          </w:rPr>
          <w:t>https://fiec-statistical-report.eu/belgium</w:t>
        </w:r>
      </w:hyperlink>
    </w:p>
    <w:p w14:paraId="3417C861" w14:textId="77777777" w:rsidR="00720B78" w:rsidRDefault="00000000">
      <w:pPr>
        <w:spacing w:before="60" w:after="80"/>
        <w:ind w:left="720" w:hanging="720"/>
      </w:pPr>
      <w:r>
        <w:rPr>
          <w:sz w:val="19"/>
          <w:szCs w:val="19"/>
        </w:rPr>
        <w:t xml:space="preserve">European Parliament. (2024). Belgium's climate action strategy (EPRS Briefing 767175). </w:t>
      </w:r>
      <w:hyperlink r:id="rId19" w:history="1">
        <w:r>
          <w:rPr>
            <w:rStyle w:val="Hyperlink"/>
            <w:color w:val="1155CC"/>
            <w:sz w:val="19"/>
            <w:szCs w:val="19"/>
          </w:rPr>
          <w:t>https://www.europarl.europa.eu/RegData/etudes/BRIE/2024/767175/EPRS_BRI(2024)767175_EN.pdf</w:t>
        </w:r>
      </w:hyperlink>
    </w:p>
    <w:p w14:paraId="0F6F0AB5" w14:textId="77777777" w:rsidR="00720B78" w:rsidRDefault="00000000">
      <w:pPr>
        <w:spacing w:before="60" w:after="80"/>
        <w:ind w:left="720" w:hanging="720"/>
      </w:pPr>
      <w:r>
        <w:rPr>
          <w:sz w:val="19"/>
          <w:szCs w:val="19"/>
        </w:rPr>
        <w:t xml:space="preserve">FOD </w:t>
      </w:r>
      <w:proofErr w:type="spellStart"/>
      <w:r>
        <w:rPr>
          <w:sz w:val="19"/>
          <w:szCs w:val="19"/>
        </w:rPr>
        <w:t>Economie</w:t>
      </w:r>
      <w:proofErr w:type="spellEnd"/>
      <w:r>
        <w:rPr>
          <w:sz w:val="19"/>
          <w:szCs w:val="19"/>
        </w:rPr>
        <w:t xml:space="preserve"> / SPF </w:t>
      </w:r>
      <w:proofErr w:type="spellStart"/>
      <w:r>
        <w:rPr>
          <w:sz w:val="19"/>
          <w:szCs w:val="19"/>
        </w:rPr>
        <w:t>Economie</w:t>
      </w:r>
      <w:proofErr w:type="spellEnd"/>
      <w:r>
        <w:rPr>
          <w:sz w:val="19"/>
          <w:szCs w:val="19"/>
        </w:rPr>
        <w:t xml:space="preserve">. (2023). Building permits for renovation of residential real estate in Belgium 1996–2022 [Data set]. Statista. </w:t>
      </w:r>
      <w:hyperlink r:id="rId20" w:history="1">
        <w:r>
          <w:rPr>
            <w:rStyle w:val="Hyperlink"/>
            <w:color w:val="1155CC"/>
            <w:sz w:val="19"/>
            <w:szCs w:val="19"/>
          </w:rPr>
          <w:t>https://www.statista.com/statistics/604515/building-permits-issued-renovation-residential-real-estate-in-belgium/</w:t>
        </w:r>
      </w:hyperlink>
    </w:p>
    <w:p w14:paraId="31FA7096" w14:textId="77777777" w:rsidR="00720B78" w:rsidRDefault="00000000">
      <w:pPr>
        <w:spacing w:before="60" w:after="80"/>
        <w:ind w:left="720" w:hanging="720"/>
      </w:pPr>
      <w:proofErr w:type="spellStart"/>
      <w:r>
        <w:rPr>
          <w:sz w:val="19"/>
          <w:szCs w:val="19"/>
        </w:rPr>
        <w:t>Gepts</w:t>
      </w:r>
      <w:proofErr w:type="spellEnd"/>
      <w:r>
        <w:rPr>
          <w:sz w:val="19"/>
          <w:szCs w:val="19"/>
        </w:rPr>
        <w:t xml:space="preserve">, B., </w:t>
      </w:r>
      <w:proofErr w:type="spellStart"/>
      <w:r>
        <w:rPr>
          <w:sz w:val="19"/>
          <w:szCs w:val="19"/>
        </w:rPr>
        <w:t>Nuyts</w:t>
      </w:r>
      <w:proofErr w:type="spellEnd"/>
      <w:r>
        <w:rPr>
          <w:sz w:val="19"/>
          <w:szCs w:val="19"/>
        </w:rPr>
        <w:t xml:space="preserve">, E., &amp; Verbeeck, G. (2025). Where is the potential for deep (energy) renovations? A large-scale study of the renovation activities of Belgian households between 2018 and 2022. Energy and Buildings, 328, 115150. </w:t>
      </w:r>
      <w:hyperlink r:id="rId21" w:history="1">
        <w:r>
          <w:rPr>
            <w:rStyle w:val="Hyperlink"/>
            <w:color w:val="1155CC"/>
            <w:sz w:val="19"/>
            <w:szCs w:val="19"/>
          </w:rPr>
          <w:t>https://doi.org/10.1016/j.enbuild.2024.115150</w:t>
        </w:r>
      </w:hyperlink>
    </w:p>
    <w:p w14:paraId="6FBDF21F" w14:textId="77777777" w:rsidR="00720B78" w:rsidRDefault="00000000">
      <w:pPr>
        <w:spacing w:before="60" w:after="80"/>
        <w:ind w:left="720" w:hanging="720"/>
      </w:pPr>
      <w:r>
        <w:rPr>
          <w:sz w:val="19"/>
          <w:szCs w:val="19"/>
        </w:rPr>
        <w:t xml:space="preserve">Global Property Guide. (2026). Belgium's Residential Property Market Analysis 2026. </w:t>
      </w:r>
      <w:hyperlink r:id="rId22" w:history="1">
        <w:r>
          <w:rPr>
            <w:rStyle w:val="Hyperlink"/>
            <w:color w:val="1155CC"/>
            <w:sz w:val="19"/>
            <w:szCs w:val="19"/>
          </w:rPr>
          <w:t>https://www.globalpropertyguide.com/europe/belgium/price-history</w:t>
        </w:r>
      </w:hyperlink>
    </w:p>
    <w:p w14:paraId="64FE81FA" w14:textId="77777777" w:rsidR="00720B78" w:rsidRDefault="00000000">
      <w:pPr>
        <w:spacing w:before="60" w:after="80"/>
        <w:ind w:left="720" w:hanging="720"/>
      </w:pPr>
      <w:r>
        <w:rPr>
          <w:sz w:val="19"/>
          <w:szCs w:val="19"/>
        </w:rPr>
        <w:t>IWEPS (</w:t>
      </w:r>
      <w:proofErr w:type="spellStart"/>
      <w:r>
        <w:rPr>
          <w:sz w:val="19"/>
          <w:szCs w:val="19"/>
        </w:rPr>
        <w:t>Institut</w:t>
      </w:r>
      <w:proofErr w:type="spellEnd"/>
      <w:r>
        <w:rPr>
          <w:sz w:val="19"/>
          <w:szCs w:val="19"/>
        </w:rPr>
        <w:t xml:space="preserve"> Wallon de </w:t>
      </w:r>
      <w:proofErr w:type="spellStart"/>
      <w:r>
        <w:rPr>
          <w:sz w:val="19"/>
          <w:szCs w:val="19"/>
        </w:rPr>
        <w:t>l'Evaluation</w:t>
      </w:r>
      <w:proofErr w:type="spellEnd"/>
      <w:r>
        <w:rPr>
          <w:sz w:val="19"/>
          <w:szCs w:val="19"/>
        </w:rPr>
        <w:t xml:space="preserve">, de la Prospective et de la </w:t>
      </w:r>
      <w:proofErr w:type="spellStart"/>
      <w:r>
        <w:rPr>
          <w:sz w:val="19"/>
          <w:szCs w:val="19"/>
        </w:rPr>
        <w:t>Statistique</w:t>
      </w:r>
      <w:proofErr w:type="spellEnd"/>
      <w:r>
        <w:rPr>
          <w:sz w:val="19"/>
          <w:szCs w:val="19"/>
        </w:rPr>
        <w:t xml:space="preserve">). (2020). Share of renovations in the total number of dwellings in the Walloon region 2005–2018 [Data set]. Statista. </w:t>
      </w:r>
      <w:hyperlink r:id="rId23" w:history="1">
        <w:r>
          <w:rPr>
            <w:rStyle w:val="Hyperlink"/>
            <w:color w:val="1155CC"/>
            <w:sz w:val="19"/>
            <w:szCs w:val="19"/>
          </w:rPr>
          <w:t>https://www.statista.com/statistics/699235/share-of-renovations-in-total-dwellings-in-wallonia-in-belgium/</w:t>
        </w:r>
      </w:hyperlink>
    </w:p>
    <w:p w14:paraId="12CD3142" w14:textId="77777777" w:rsidR="00720B78" w:rsidRDefault="00000000">
      <w:pPr>
        <w:spacing w:before="60" w:after="80"/>
        <w:ind w:left="720" w:hanging="720"/>
      </w:pPr>
      <w:r>
        <w:rPr>
          <w:sz w:val="19"/>
          <w:szCs w:val="19"/>
        </w:rPr>
        <w:t xml:space="preserve">Monard Law. (2023, April 11). Since 1 January 2023, residential buildings in Flanders must also renovate. </w:t>
      </w:r>
      <w:hyperlink r:id="rId24" w:history="1">
        <w:r>
          <w:rPr>
            <w:rStyle w:val="Hyperlink"/>
            <w:color w:val="1155CC"/>
            <w:sz w:val="19"/>
            <w:szCs w:val="19"/>
          </w:rPr>
          <w:t>https://monardlaw.be/en/stories/informed/sedert-1-januari-2023-ook-renovatieplicht-voor-residentiele-gebouwen-in-vlaanderen/</w:t>
        </w:r>
      </w:hyperlink>
    </w:p>
    <w:p w14:paraId="64E777DB" w14:textId="77777777" w:rsidR="00720B78" w:rsidRDefault="00000000">
      <w:pPr>
        <w:spacing w:before="60" w:after="80"/>
        <w:ind w:left="720" w:hanging="720"/>
      </w:pPr>
      <w:proofErr w:type="spellStart"/>
      <w:r>
        <w:rPr>
          <w:sz w:val="19"/>
          <w:szCs w:val="19"/>
        </w:rPr>
        <w:lastRenderedPageBreak/>
        <w:t>Reusens</w:t>
      </w:r>
      <w:proofErr w:type="spellEnd"/>
      <w:r>
        <w:rPr>
          <w:sz w:val="19"/>
          <w:szCs w:val="19"/>
        </w:rPr>
        <w:t xml:space="preserve">, P., </w:t>
      </w:r>
      <w:proofErr w:type="spellStart"/>
      <w:r>
        <w:rPr>
          <w:sz w:val="19"/>
          <w:szCs w:val="19"/>
        </w:rPr>
        <w:t>Vastmans</w:t>
      </w:r>
      <w:proofErr w:type="spellEnd"/>
      <w:r>
        <w:rPr>
          <w:sz w:val="19"/>
          <w:szCs w:val="19"/>
        </w:rPr>
        <w:t xml:space="preserve">, F., Vandenbergh, J., Van Kempen, T., Damen, S., &amp; Leuven, K. (2025). Impact of the Flemish energy renovation obligation on house prices. NBB Economic Review, 2025(1). </w:t>
      </w:r>
      <w:hyperlink r:id="rId25" w:history="1">
        <w:r>
          <w:rPr>
            <w:rStyle w:val="Hyperlink"/>
            <w:color w:val="1155CC"/>
            <w:sz w:val="19"/>
            <w:szCs w:val="19"/>
          </w:rPr>
          <w:t>https://www.nbb.be/doc/ts/publications/economicreview/2025/ecorevi2025_h01.pdf</w:t>
        </w:r>
      </w:hyperlink>
    </w:p>
    <w:p w14:paraId="1EEE0652" w14:textId="77777777" w:rsidR="00720B78" w:rsidRDefault="00000000">
      <w:pPr>
        <w:spacing w:before="60" w:after="80"/>
        <w:ind w:left="720" w:hanging="720"/>
      </w:pPr>
      <w:proofErr w:type="spellStart"/>
      <w:r>
        <w:rPr>
          <w:sz w:val="19"/>
          <w:szCs w:val="19"/>
        </w:rPr>
        <w:t>Statbel</w:t>
      </w:r>
      <w:proofErr w:type="spellEnd"/>
      <w:r>
        <w:rPr>
          <w:sz w:val="19"/>
          <w:szCs w:val="19"/>
        </w:rPr>
        <w:t xml:space="preserve"> (Belgian Statistical Office). (2025, January 30). Building permits. </w:t>
      </w:r>
      <w:hyperlink r:id="rId26" w:history="1">
        <w:r>
          <w:rPr>
            <w:rStyle w:val="Hyperlink"/>
            <w:color w:val="1155CC"/>
            <w:sz w:val="19"/>
            <w:szCs w:val="19"/>
          </w:rPr>
          <w:t>https://statbel.fgov.be/en/themes/housing/building-permits</w:t>
        </w:r>
      </w:hyperlink>
    </w:p>
    <w:p w14:paraId="2C7531A3" w14:textId="77777777" w:rsidR="00720B78" w:rsidRDefault="00000000">
      <w:pPr>
        <w:spacing w:before="60" w:after="80"/>
        <w:ind w:left="720" w:hanging="720"/>
      </w:pPr>
      <w:proofErr w:type="spellStart"/>
      <w:r>
        <w:rPr>
          <w:sz w:val="19"/>
          <w:szCs w:val="19"/>
        </w:rPr>
        <w:t>Statbel</w:t>
      </w:r>
      <w:proofErr w:type="spellEnd"/>
      <w:r>
        <w:rPr>
          <w:sz w:val="19"/>
          <w:szCs w:val="19"/>
        </w:rPr>
        <w:t xml:space="preserve">. (2021). Building permits for renovation of residential real estate by region 1996–2020 [Data set]. Statista. </w:t>
      </w:r>
      <w:hyperlink r:id="rId27" w:history="1">
        <w:r>
          <w:rPr>
            <w:rStyle w:val="Hyperlink"/>
            <w:color w:val="1155CC"/>
            <w:sz w:val="19"/>
            <w:szCs w:val="19"/>
          </w:rPr>
          <w:t>https://www.statista.com/statistics/604752/building-permits-issued-renovation-residential-buildings-in-belgium-by-region/</w:t>
        </w:r>
      </w:hyperlink>
    </w:p>
    <w:p w14:paraId="26FDF662" w14:textId="77777777" w:rsidR="00720B78" w:rsidRDefault="00000000">
      <w:pPr>
        <w:spacing w:before="60" w:after="80"/>
        <w:ind w:left="720" w:hanging="720"/>
      </w:pPr>
      <w:r>
        <w:rPr>
          <w:sz w:val="19"/>
          <w:szCs w:val="19"/>
        </w:rPr>
        <w:t xml:space="preserve">Van </w:t>
      </w:r>
      <w:proofErr w:type="spellStart"/>
      <w:r>
        <w:rPr>
          <w:sz w:val="19"/>
          <w:szCs w:val="19"/>
        </w:rPr>
        <w:t>Gompel</w:t>
      </w:r>
      <w:proofErr w:type="spellEnd"/>
      <w:r>
        <w:rPr>
          <w:sz w:val="19"/>
          <w:szCs w:val="19"/>
        </w:rPr>
        <w:t xml:space="preserve">, J. (2026, January 29). Residential renovations in Belgium: at the current pace we won't make it. KBC Economics. </w:t>
      </w:r>
      <w:hyperlink r:id="rId28" w:history="1">
        <w:r>
          <w:rPr>
            <w:rStyle w:val="Hyperlink"/>
            <w:color w:val="1155CC"/>
            <w:sz w:val="19"/>
            <w:szCs w:val="19"/>
          </w:rPr>
          <w:t>https://www.kbc.com/en/economics/publications/residential-renovations-in-belgium-at-the-current-pace-we-won-t-make-it.html</w:t>
        </w:r>
      </w:hyperlink>
    </w:p>
    <w:p w14:paraId="77E1E1F8" w14:textId="77777777" w:rsidR="00720B78" w:rsidRDefault="00000000">
      <w:pPr>
        <w:spacing w:before="60" w:after="80"/>
        <w:ind w:left="720" w:hanging="720"/>
      </w:pPr>
      <w:r>
        <w:rPr>
          <w:sz w:val="19"/>
          <w:szCs w:val="19"/>
        </w:rPr>
        <w:t xml:space="preserve">Vlaanderen.be. (2025). Renovation obligation for residential buildings. </w:t>
      </w:r>
      <w:hyperlink r:id="rId29" w:history="1">
        <w:r>
          <w:rPr>
            <w:rStyle w:val="Hyperlink"/>
            <w:color w:val="1155CC"/>
            <w:sz w:val="19"/>
            <w:szCs w:val="19"/>
          </w:rPr>
          <w:t>https://www.vlaanderen.be/en/moving-housing-and-energy/renovation-obligation-for-residential-buildings</w:t>
        </w:r>
      </w:hyperlink>
    </w:p>
    <w:p w14:paraId="2FA6D52A" w14:textId="77777777" w:rsidR="00720B78" w:rsidRDefault="00720B78">
      <w:pPr>
        <w:spacing w:before="60" w:after="60"/>
      </w:pPr>
    </w:p>
    <w:p w14:paraId="2E4C7FA8" w14:textId="77777777" w:rsidR="00720B78" w:rsidRDefault="00000000">
      <w:pPr>
        <w:pBdr>
          <w:top w:val="single" w:sz="4" w:space="1" w:color="CCCCCC"/>
        </w:pBdr>
        <w:spacing w:before="120" w:after="40"/>
      </w:pPr>
      <w:r>
        <w:rPr>
          <w:i/>
          <w:iCs/>
          <w:color w:val="888888"/>
          <w:sz w:val="16"/>
          <w:szCs w:val="16"/>
        </w:rPr>
        <w:t>Document prepared 26 March 2026. Based on best available evidence as of Q1 2026. All citations fully hyperlinked above.</w:t>
      </w:r>
    </w:p>
    <w:sectPr w:rsidR="00720B7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035D" w14:textId="77777777" w:rsidR="000B7BFB" w:rsidRDefault="000B7BFB" w:rsidP="00BE711E">
      <w:r>
        <w:separator/>
      </w:r>
    </w:p>
  </w:endnote>
  <w:endnote w:type="continuationSeparator" w:id="0">
    <w:p w14:paraId="3FBEB4D5" w14:textId="77777777" w:rsidR="000B7BFB" w:rsidRDefault="000B7BFB" w:rsidP="00BE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55EF" w14:textId="77777777" w:rsidR="00BE711E" w:rsidRDefault="00BE7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770175"/>
      <w:docPartObj>
        <w:docPartGallery w:val="Page Numbers (Bottom of Page)"/>
        <w:docPartUnique/>
      </w:docPartObj>
    </w:sdtPr>
    <w:sdtEndPr>
      <w:rPr>
        <w:noProof/>
      </w:rPr>
    </w:sdtEndPr>
    <w:sdtContent>
      <w:p w14:paraId="38E9396A" w14:textId="4A9C3539" w:rsidR="00BE711E" w:rsidRDefault="00BE71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89C447" w14:textId="77777777" w:rsidR="00BE711E" w:rsidRDefault="00BE7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32CA" w14:textId="77777777" w:rsidR="00BE711E" w:rsidRDefault="00BE7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C481" w14:textId="77777777" w:rsidR="000B7BFB" w:rsidRDefault="000B7BFB" w:rsidP="00BE711E">
      <w:r>
        <w:separator/>
      </w:r>
    </w:p>
  </w:footnote>
  <w:footnote w:type="continuationSeparator" w:id="0">
    <w:p w14:paraId="0907918E" w14:textId="77777777" w:rsidR="000B7BFB" w:rsidRDefault="000B7BFB" w:rsidP="00BE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7A9A" w14:textId="77777777" w:rsidR="00BE711E" w:rsidRDefault="00BE7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85ED" w14:textId="77777777" w:rsidR="00BE711E" w:rsidRDefault="00BE7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31BC" w14:textId="77777777" w:rsidR="00BE711E" w:rsidRDefault="00BE7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24E1"/>
    <w:multiLevelType w:val="hybridMultilevel"/>
    <w:tmpl w:val="0DEC5D9C"/>
    <w:lvl w:ilvl="0" w:tplc="9E247416">
      <w:start w:val="1"/>
      <w:numFmt w:val="bullet"/>
      <w:lvlText w:val="●"/>
      <w:lvlJc w:val="left"/>
      <w:pPr>
        <w:ind w:left="720" w:hanging="360"/>
      </w:pPr>
    </w:lvl>
    <w:lvl w:ilvl="1" w:tplc="F5487F3E">
      <w:start w:val="1"/>
      <w:numFmt w:val="bullet"/>
      <w:lvlText w:val="○"/>
      <w:lvlJc w:val="left"/>
      <w:pPr>
        <w:ind w:left="1440" w:hanging="360"/>
      </w:pPr>
    </w:lvl>
    <w:lvl w:ilvl="2" w:tplc="1408BB1E">
      <w:start w:val="1"/>
      <w:numFmt w:val="bullet"/>
      <w:lvlText w:val="■"/>
      <w:lvlJc w:val="left"/>
      <w:pPr>
        <w:ind w:left="2160" w:hanging="360"/>
      </w:pPr>
    </w:lvl>
    <w:lvl w:ilvl="3" w:tplc="247CEE7C">
      <w:start w:val="1"/>
      <w:numFmt w:val="bullet"/>
      <w:lvlText w:val="●"/>
      <w:lvlJc w:val="left"/>
      <w:pPr>
        <w:ind w:left="2880" w:hanging="360"/>
      </w:pPr>
    </w:lvl>
    <w:lvl w:ilvl="4" w:tplc="A4C83EDC">
      <w:start w:val="1"/>
      <w:numFmt w:val="bullet"/>
      <w:lvlText w:val="○"/>
      <w:lvlJc w:val="left"/>
      <w:pPr>
        <w:ind w:left="3600" w:hanging="360"/>
      </w:pPr>
    </w:lvl>
    <w:lvl w:ilvl="5" w:tplc="E9F6026A">
      <w:start w:val="1"/>
      <w:numFmt w:val="bullet"/>
      <w:lvlText w:val="■"/>
      <w:lvlJc w:val="left"/>
      <w:pPr>
        <w:ind w:left="4320" w:hanging="360"/>
      </w:pPr>
    </w:lvl>
    <w:lvl w:ilvl="6" w:tplc="E9D40378">
      <w:start w:val="1"/>
      <w:numFmt w:val="bullet"/>
      <w:lvlText w:val="●"/>
      <w:lvlJc w:val="left"/>
      <w:pPr>
        <w:ind w:left="5040" w:hanging="360"/>
      </w:pPr>
    </w:lvl>
    <w:lvl w:ilvl="7" w:tplc="931652BA">
      <w:start w:val="1"/>
      <w:numFmt w:val="bullet"/>
      <w:lvlText w:val="●"/>
      <w:lvlJc w:val="left"/>
      <w:pPr>
        <w:ind w:left="5760" w:hanging="360"/>
      </w:pPr>
    </w:lvl>
    <w:lvl w:ilvl="8" w:tplc="30EC55B6">
      <w:start w:val="1"/>
      <w:numFmt w:val="bullet"/>
      <w:lvlText w:val="●"/>
      <w:lvlJc w:val="left"/>
      <w:pPr>
        <w:ind w:left="6480" w:hanging="360"/>
      </w:pPr>
    </w:lvl>
  </w:abstractNum>
  <w:abstractNum w:abstractNumId="1" w15:restartNumberingAfterBreak="0">
    <w:nsid w:val="73D462B6"/>
    <w:multiLevelType w:val="hybridMultilevel"/>
    <w:tmpl w:val="7494EBA6"/>
    <w:lvl w:ilvl="0" w:tplc="D60E5258">
      <w:start w:val="1"/>
      <w:numFmt w:val="bullet"/>
      <w:lvlText w:val="•"/>
      <w:lvlJc w:val="left"/>
      <w:pPr>
        <w:ind w:left="720" w:hanging="360"/>
      </w:pPr>
    </w:lvl>
    <w:lvl w:ilvl="1" w:tplc="6B16C2E6">
      <w:numFmt w:val="decimal"/>
      <w:lvlText w:val=""/>
      <w:lvlJc w:val="left"/>
    </w:lvl>
    <w:lvl w:ilvl="2" w:tplc="8716F518">
      <w:numFmt w:val="decimal"/>
      <w:lvlText w:val=""/>
      <w:lvlJc w:val="left"/>
    </w:lvl>
    <w:lvl w:ilvl="3" w:tplc="1BCE2386">
      <w:numFmt w:val="decimal"/>
      <w:lvlText w:val=""/>
      <w:lvlJc w:val="left"/>
    </w:lvl>
    <w:lvl w:ilvl="4" w:tplc="33D26448">
      <w:numFmt w:val="decimal"/>
      <w:lvlText w:val=""/>
      <w:lvlJc w:val="left"/>
    </w:lvl>
    <w:lvl w:ilvl="5" w:tplc="AF025AAC">
      <w:numFmt w:val="decimal"/>
      <w:lvlText w:val=""/>
      <w:lvlJc w:val="left"/>
    </w:lvl>
    <w:lvl w:ilvl="6" w:tplc="1098EEDE">
      <w:numFmt w:val="decimal"/>
      <w:lvlText w:val=""/>
      <w:lvlJc w:val="left"/>
    </w:lvl>
    <w:lvl w:ilvl="7" w:tplc="59FEED90">
      <w:numFmt w:val="decimal"/>
      <w:lvlText w:val=""/>
      <w:lvlJc w:val="left"/>
    </w:lvl>
    <w:lvl w:ilvl="8" w:tplc="6A20D902">
      <w:numFmt w:val="decimal"/>
      <w:lvlText w:val=""/>
      <w:lvlJc w:val="left"/>
    </w:lvl>
  </w:abstractNum>
  <w:num w:numId="1" w16cid:durableId="1456824538">
    <w:abstractNumId w:val="0"/>
    <w:lvlOverride w:ilvl="0">
      <w:startOverride w:val="1"/>
    </w:lvlOverride>
  </w:num>
  <w:num w:numId="2" w16cid:durableId="14199074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MDIyMDQxMbAwMDdT0lEKTi0uzszPAykwrAUAHnq2RiwAAAA="/>
  </w:docVars>
  <w:rsids>
    <w:rsidRoot w:val="00720B78"/>
    <w:rsid w:val="00082D55"/>
    <w:rsid w:val="000B7BFB"/>
    <w:rsid w:val="00327B0C"/>
    <w:rsid w:val="005102C8"/>
    <w:rsid w:val="00720B78"/>
    <w:rsid w:val="00BE711E"/>
    <w:rsid w:val="00CE2D24"/>
  </w:rsids>
  <m:mathPr>
    <m:mathFont m:val="Cambria Math"/>
    <m:brkBin m:val="before"/>
    <m:brkBinSub m:val="--"/>
    <m:smallFrac m:val="0"/>
    <m:dispDef/>
    <m:lMargin m:val="0"/>
    <m:rMargin m:val="0"/>
    <m:defJc m:val="centerGroup"/>
    <m:wrapIndent m:val="1440"/>
    <m:intLim m:val="subSup"/>
    <m:naryLim m:val="undOvr"/>
  </m:mathPr>
  <w:themeFontLang w:val="en-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E368"/>
  <w15:docId w15:val="{3E4C9139-91DC-4D3E-A589-00E30AC9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595959"/>
        <w:sz w:val="22"/>
        <w:szCs w:val="22"/>
        <w:lang w:val="en-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2E75B6"/>
      <w:sz w:val="32"/>
      <w:szCs w:val="32"/>
    </w:rPr>
  </w:style>
  <w:style w:type="paragraph" w:styleId="Heading2">
    <w:name w:val="heading 2"/>
    <w:uiPriority w:val="9"/>
    <w:unhideWhenUsed/>
    <w:qFormat/>
    <w:pPr>
      <w:spacing w:before="200" w:after="80"/>
      <w:outlineLvl w:val="1"/>
    </w:pPr>
    <w:rPr>
      <w:b/>
      <w:bCs/>
      <w:color w:val="2E75B6"/>
      <w:sz w:val="26"/>
      <w:szCs w:val="26"/>
    </w:rPr>
  </w:style>
  <w:style w:type="paragraph" w:styleId="Heading3">
    <w:name w:val="heading 3"/>
    <w:uiPriority w:val="9"/>
    <w:unhideWhenUsed/>
    <w:qFormat/>
    <w:pPr>
      <w:spacing w:before="160" w:after="60"/>
      <w:outlineLvl w:val="2"/>
    </w:pPr>
    <w:rPr>
      <w:b/>
      <w:bCs/>
      <w:color w:val="1F4E79"/>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711E"/>
    <w:pPr>
      <w:tabs>
        <w:tab w:val="center" w:pos="4513"/>
        <w:tab w:val="right" w:pos="9026"/>
      </w:tabs>
    </w:pPr>
  </w:style>
  <w:style w:type="character" w:customStyle="1" w:styleId="HeaderChar">
    <w:name w:val="Header Char"/>
    <w:basedOn w:val="DefaultParagraphFont"/>
    <w:link w:val="Header"/>
    <w:uiPriority w:val="99"/>
    <w:rsid w:val="00BE711E"/>
  </w:style>
  <w:style w:type="paragraph" w:styleId="Footer">
    <w:name w:val="footer"/>
    <w:basedOn w:val="Normal"/>
    <w:link w:val="FooterChar"/>
    <w:uiPriority w:val="99"/>
    <w:unhideWhenUsed/>
    <w:rsid w:val="00BE711E"/>
    <w:pPr>
      <w:tabs>
        <w:tab w:val="center" w:pos="4513"/>
        <w:tab w:val="right" w:pos="9026"/>
      </w:tabs>
    </w:pPr>
  </w:style>
  <w:style w:type="character" w:customStyle="1" w:styleId="FooterChar">
    <w:name w:val="Footer Char"/>
    <w:basedOn w:val="DefaultParagraphFont"/>
    <w:link w:val="Footer"/>
    <w:uiPriority w:val="99"/>
    <w:rsid w:val="00BE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e.brussels/en/environment-waste/energy-premiums-become-renolution" TargetMode="External"/><Relationship Id="rId18" Type="http://schemas.openxmlformats.org/officeDocument/2006/relationships/hyperlink" Target="https://fiec-statistical-report.eu/belgium" TargetMode="External"/><Relationship Id="rId26" Type="http://schemas.openxmlformats.org/officeDocument/2006/relationships/hyperlink" Target="https://statbel.fgov.be/en/themes/housing/building-permits" TargetMode="External"/><Relationship Id="rId21" Type="http://schemas.openxmlformats.org/officeDocument/2006/relationships/hyperlink" Target="https://doi.org/10.1016/j.enbuild.2024.115150"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eceee.org/all-news/news/deep-renovation-should-be-standard-and-included-in-epbd-study/" TargetMode="External"/><Relationship Id="rId17" Type="http://schemas.openxmlformats.org/officeDocument/2006/relationships/hyperlink" Target="https://energy.ec.europa.eu/news/commission-assessment-belgiums-national-energy-and-climate-plan-shows-increased-ambition-requires-2026-01-26_en" TargetMode="External"/><Relationship Id="rId25" Type="http://schemas.openxmlformats.org/officeDocument/2006/relationships/hyperlink" Target="https://www.nbb.be/doc/ts/publications/economicreview/2025/ecorevi2025_h01.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nergy.ec.europa.eu/topics/energy-efficiency/energy-performance-buildings/energy-performance-buildings-directive_en" TargetMode="External"/><Relationship Id="rId20" Type="http://schemas.openxmlformats.org/officeDocument/2006/relationships/hyperlink" Target="https://www.statista.com/statistics/604515/building-permits-issued-renovation-residential-real-estate-in-belgium/" TargetMode="External"/><Relationship Id="rId29" Type="http://schemas.openxmlformats.org/officeDocument/2006/relationships/hyperlink" Target="https://www.vlaanderen.be/en/moving-housing-and-energy/renovation-obligation-for-residential-build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npparibasfortis.be/en/public/article/financing/what-energy-standards-apply-to-your-commercial-premises" TargetMode="External"/><Relationship Id="rId24" Type="http://schemas.openxmlformats.org/officeDocument/2006/relationships/hyperlink" Target="https://monardlaw.be/en/stories/informed/sedert-1-januari-2023-ook-renovatieplicht-voor-residentiele-gebouwen-in-vlaandere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nerguide.be/en/questions-answers/which-renolution-grants-the-old-energy-grants-am-i-entitled-to-in-brussels-in-2022/9359/" TargetMode="External"/><Relationship Id="rId23" Type="http://schemas.openxmlformats.org/officeDocument/2006/relationships/hyperlink" Target="https://www.statista.com/statistics/699235/share-of-renovations-in-total-dwellings-in-wallonia-in-belgium/" TargetMode="External"/><Relationship Id="rId28" Type="http://schemas.openxmlformats.org/officeDocument/2006/relationships/hyperlink" Target="https://www.kbc.com/en/economics/publications/residential-renovations-in-belgium-at-the-current-pace-we-won-t-make-it.html" TargetMode="External"/><Relationship Id="rId36" Type="http://schemas.openxmlformats.org/officeDocument/2006/relationships/fontTable" Target="fontTable.xml"/><Relationship Id="rId10" Type="http://schemas.openxmlformats.org/officeDocument/2006/relationships/hyperlink" Target="https://www.belganewsagency.eu/three-in-four-households-cannot-afford-energy-efficient-renovations" TargetMode="External"/><Relationship Id="rId19" Type="http://schemas.openxmlformats.org/officeDocument/2006/relationships/hyperlink" Target="https://www.europarl.europa.eu/RegData/etudes/BRIE/2024/767175/EPRS_BRI(2024)767175_EN.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esourcehub.bakermckenzie.com/en/resources/global-sustainable-buildings/europe-middle-east-and-africa/belgium/topics/energy-performance-certificates-and-minimum-energy-standards" TargetMode="External"/><Relationship Id="rId14" Type="http://schemas.openxmlformats.org/officeDocument/2006/relationships/hyperlink" Target="https://climact.com/wp-content/uploads/2024/02/Upscaling-the-financing-of-Residential-Renovation-in-Belgium-Final-deliverable-v1-1.pdf" TargetMode="External"/><Relationship Id="rId22" Type="http://schemas.openxmlformats.org/officeDocument/2006/relationships/hyperlink" Target="https://www.globalpropertyguide.com/europe/belgium/price-history" TargetMode="External"/><Relationship Id="rId27" Type="http://schemas.openxmlformats.org/officeDocument/2006/relationships/hyperlink" Target="https://www.statista.com/statistics/604752/building-permits-issued-renovation-residential-buildings-in-belgium-by-regio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agoria.be/en/services/expertise/green-transition/climate-neutral-construction/renovation-obligation-included-in-european-flemish-walloon-and-brussels-building-polic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2756</Words>
  <Characters>27067</Characters>
  <Application>Microsoft Office Word</Application>
  <DocSecurity>0</DocSecurity>
  <Lines>2460</Lines>
  <Paragraphs>1242</Paragraphs>
  <ScaleCrop>false</ScaleCrop>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Attia Shady</cp:lastModifiedBy>
  <cp:revision>3</cp:revision>
  <dcterms:created xsi:type="dcterms:W3CDTF">2026-03-26T12:19:00Z</dcterms:created>
  <dcterms:modified xsi:type="dcterms:W3CDTF">2026-03-26T12:49:00Z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896180e8-5adb-4f42-b7e8-6c3d0720a524</vt:lpwstr>
  </property>
</Properties>
</file>