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57D" w14:textId="77777777" w:rsidR="00F10A66" w:rsidRDefault="00D77537">
      <w:pPr>
        <w:pStyle w:val="Titre1"/>
      </w:pPr>
      <w:r>
        <w:t xml:space="preserve">Pratiques situationnistes : </w:t>
      </w:r>
      <w:r>
        <w:rPr>
          <w:b/>
          <w:bCs/>
          <w:color w:val="C9211E"/>
        </w:rPr>
        <w:t>Montage</w:t>
      </w:r>
      <w:r>
        <w:t xml:space="preserve"> et </w:t>
      </w:r>
      <w:r>
        <w:rPr>
          <w:b/>
          <w:bCs/>
          <w:color w:val="C9211E"/>
        </w:rPr>
        <w:t>Détournement</w:t>
      </w:r>
    </w:p>
    <w:p w14:paraId="4B2A3BD5" w14:textId="77777777" w:rsidR="00F10A66" w:rsidRDefault="00F10A66"/>
    <w:p w14:paraId="2E4648E6" w14:textId="77777777" w:rsidR="00F10A66" w:rsidRDefault="00D77537">
      <w:pPr>
        <w:pStyle w:val="Titre2"/>
      </w:pPr>
      <w:r>
        <w:t xml:space="preserve">Cours de </w:t>
      </w:r>
      <w:r>
        <w:rPr>
          <w:i/>
          <w:iCs/>
        </w:rPr>
        <w:t>Questions de rhétorique et de sémiologie</w:t>
      </w:r>
      <w:r>
        <w:t xml:space="preserve"> (6 et 13 mars 2026)</w:t>
      </w:r>
    </w:p>
    <w:p w14:paraId="59677652" w14:textId="77777777" w:rsidR="00F10A66" w:rsidRDefault="00F10A66"/>
    <w:p w14:paraId="71330EAA" w14:textId="77777777" w:rsidR="00F10A66" w:rsidRDefault="00D77537">
      <w:pPr>
        <w:pStyle w:val="Titre3"/>
      </w:pPr>
      <w:r>
        <w:t>Introduction</w:t>
      </w:r>
    </w:p>
    <w:p w14:paraId="4EC678A8" w14:textId="77777777" w:rsidR="00F10A66" w:rsidRDefault="00D77537">
      <w:r>
        <w:t xml:space="preserve">Je voulais aujourd’hui vous parler d’un type de pratiques qui appartiennent (mais pas en propre, évidemment) à ce qui s’est appelé « Internationale Situationniste », à savoir le montage et le détournement (les deux étant étroitement liés, si pas impossibles à distinguer, parfois – en tout cas l’un impliquant généralement l’autre, ou plutôt l’inverse). Je vous présenterai d’abord, lors de ce premier cours d’1 heure, ce mouvement (ses origines, ses figures, son contexte, ses visées, etc.).  Ensuite je vous parlerai de leurs pratiques (il faut souligner le pluriel, il y aura par ailleurs beaucoup d’exemples) du détournement et du montage, de ses fonctions et de ses effets (qui ne sont intelligibles qu’après avoir présenté un peu longuement le mouvement et pour dépasser la simple anecdote un peu érudite). Pour finir, j’évoquerai un peu plus longuement un exemple de « pur » montage, le livre de Guy Debord (l’espèce de « pape » du situationnisme, en tant que ce dernier terme est notoirement péjoratif, sans parler du précédent…) de 1958 intitulé </w:t>
      </w:r>
      <w:r>
        <w:rPr>
          <w:i/>
          <w:iCs/>
        </w:rPr>
        <w:t>Mémoires</w:t>
      </w:r>
      <w:r>
        <w:t>.</w:t>
      </w:r>
    </w:p>
    <w:p w14:paraId="2F0FAA43" w14:textId="77777777" w:rsidR="00F10A66" w:rsidRDefault="00D77537">
      <w:pPr>
        <w:pStyle w:val="Titre3"/>
      </w:pPr>
      <w:r>
        <w:t>L’Internationale Situationniste ou IS</w:t>
      </w:r>
    </w:p>
    <w:p w14:paraId="07038F08" w14:textId="77777777" w:rsidR="00F10A66" w:rsidRDefault="00D77537">
      <w:pPr>
        <w:pStyle w:val="Citationintense"/>
      </w:pPr>
      <w:r>
        <w:t xml:space="preserve">« Le but des situationnistes est la participation immédiate à une abondance passionnelle de la vie, à travers le changement de moments périssables délibérément aménagés. La réussite de ces moments ne </w:t>
      </w:r>
      <w:r>
        <w:lastRenderedPageBreak/>
        <w:t>peut être que leur effet passager » (</w:t>
      </w:r>
      <w:r>
        <w:rPr>
          <w:i/>
          <w:iCs w:val="0"/>
        </w:rPr>
        <w:t>Internationale Situationniste</w:t>
      </w:r>
      <w:r>
        <w:t xml:space="preserve"> n</w:t>
      </w:r>
      <w:r>
        <w:rPr>
          <w:vertAlign w:val="superscript"/>
        </w:rPr>
        <w:t>o</w:t>
      </w:r>
      <w:r>
        <w:t>1, 1958)</w:t>
      </w:r>
    </w:p>
    <w:p w14:paraId="2E92CC59" w14:textId="77777777" w:rsidR="00F10A66" w:rsidRDefault="00D77537">
      <w:r>
        <w:t xml:space="preserve">D’abord, je tiens à vous prévenir de ceci : mon intérêt particulier pour l’IS n’est pas sans lien avec le travail de recherche que j’effectue actuellement, en ce sens que, selon moi, les textes que j’étudie pour ma thèse (revue </w:t>
      </w:r>
      <w:r>
        <w:rPr>
          <w:i/>
          <w:iCs/>
        </w:rPr>
        <w:t>Tiqqun</w:t>
      </w:r>
      <w:r>
        <w:t xml:space="preserve"> et textes du Comité invisible) font, appel, peu ou prou, aux mêmes ressources affectives, à savoir le « vécu » ou le « sensible » (avec un « contenu » particulier à chaque fois, j’y reviendrai) contre des catégories conceptuelles jugées trop froides par ailleurs (idéologie, prolétariat, exploitation et extorsion de la plus-value, etc.) et surtout </w:t>
      </w:r>
      <w:r>
        <w:rPr>
          <w:i/>
          <w:iCs/>
        </w:rPr>
        <w:t>non remaniantes</w:t>
      </w:r>
      <w:r>
        <w:t xml:space="preserve">, et en tout cas tentent d’insuffler dans ces catégories une certaine </w:t>
      </w:r>
      <w:r>
        <w:rPr>
          <w:i/>
          <w:iCs/>
        </w:rPr>
        <w:t>profondeur affective </w:t>
      </w:r>
      <w:r>
        <w:rPr>
          <w:rStyle w:val="Ancredenotedebasdepage"/>
        </w:rPr>
        <w:footnoteReference w:id="1"/>
      </w:r>
      <w:r>
        <w:t xml:space="preserve">. Il y aurait cependant beaucoup de choses à dire sur le « style » IS (abréviation généralisée désormais), ainsi que de critiques à émettre, bien entendu, mais je tiens à souligner à mon avis la plus gênante : un ton parfois « à l’épate », plein d’esbroufe, poseur voire « frimeur », qui reste souvent à un niveau de « superficialité radicale » assez daté, et me semble-t-il inefficace. Alors que, pourtant, et je le dis tout de suite, l’IS puise aux sources les plus sensibles et « authentiques » de la production humaine </w:t>
      </w:r>
      <w:r>
        <w:rPr>
          <w:i/>
          <w:iCs/>
        </w:rPr>
        <w:t>contenues</w:t>
      </w:r>
      <w:r>
        <w:t xml:space="preserve"> (aux deux sens du terme) dans l’art.</w:t>
      </w:r>
    </w:p>
    <w:p w14:paraId="50B62CC7" w14:textId="77777777" w:rsidR="00F10A66" w:rsidRDefault="00D77537">
      <w:r>
        <w:t>L’IS, donc, à la fois une organisation et une revue, apparait à la fin des années cinquante (dans l’immédiat après-guerre, soulignons-le), à partir de son noyau français et en essaimant dans d’autres pays européens (sections italienne, hollandaise, danoise, anglaise, etc.). Elle n’a jamais rassemblé qu’assez peu de gens, cependant. La période est marquée, culturellement, par la fin (relative) de la succession des courants d’avant-garde, le retour du classicisme en poésie, l’amorce du déclin de l’existentialisme, la médiocrité des réalismes socialistes (</w:t>
      </w:r>
      <w:r>
        <w:rPr>
          <w:smallCaps/>
        </w:rPr>
        <w:t>Marcolini</w:t>
      </w:r>
      <w:r>
        <w:t xml:space="preserve"> 2012 : 17‒18) mais aussi l’impérialisme culturel américain (nombre de productions américaines déferlent en effet sur la France – qu’on pense seulement au cinéma et à la musique). Apparaissent alors une multitude de petits courants artistiques marginaux comme le Mouvement International pour un Bauhaus Imaginiste (MIBI) ou l’Internationale Lettriste (1952–1957, IL), dont les membres (et notamment Guy Debord) pratiquent une poésie « bruitiste » ou « phonétique » </w:t>
      </w:r>
      <w:r>
        <w:lastRenderedPageBreak/>
        <w:t>et prônent la négativité dadaïste </w:t>
      </w:r>
      <w:r>
        <w:rPr>
          <w:rStyle w:val="Ancredenotedebasdepage"/>
        </w:rPr>
        <w:footnoteReference w:id="2"/>
      </w:r>
      <w:r>
        <w:t xml:space="preserve"> envers le cinéma (du réemploi de matériaux préexistants jusqu’à la disparition de l’image et du son – nous aurons l’occasion d’en reparler) et le dépassement de l’Art. Apparaissent également, sur le plan politique, en opposition aux mouvements communistes d’obédience peu ou prou soviétique, de nombreux mouvements dits                           d’ « ultragauche », c’est-à-dire donc d’opposition au stalinisme et au léninisme (en tant que « communisme de conseils » généralement), comme </w:t>
      </w:r>
      <w:r>
        <w:rPr>
          <w:i/>
          <w:iCs/>
        </w:rPr>
        <w:t>Socialisme ou Barbarie</w:t>
      </w:r>
      <w:r>
        <w:t>, qui comptera dans ses rangs des gens comme Cornelius Castoriadis, Claude Lefort, Jean-François Lyotard ou … Gérard Genette. Ces deux courants, marxisme plus ou moins hétérodoxe (Georg Lukàcs, Karl Korsch, Anton Pannekoek mais aussi Wilhelm Reich) et critique avant-gardiste de l’art, vont alors en quelque sorte se rejoindre pour former l’IS et dessiner son projet : la construction de « situations </w:t>
      </w:r>
      <w:r>
        <w:rPr>
          <w:rStyle w:val="Ancredenotedebasdepage"/>
        </w:rPr>
        <w:footnoteReference w:id="3"/>
      </w:r>
      <w:r>
        <w:t xml:space="preserve"> », c’est- à-dire la création collective et consciente de moments passionnés dans lesquels les désirs sont centraux, les « situations n’étant que des champs d’activité temporaire favorables à ces désirs » (</w:t>
      </w:r>
      <w:r>
        <w:rPr>
          <w:smallCaps/>
        </w:rPr>
        <w:t>Marcolini</w:t>
      </w:r>
      <w:r>
        <w:t xml:space="preserve"> 2012 : 64), tout en orientant la « révolution prolétarienne » (les situationnistes se réclament encore du prolétariat) vers une autre voie que celles généralement promues par les différentes bureaucraties syndicales ou staliniennes, à savoir celle de l’autogestion généralisée (par des conseils nommément « ouvriers ») de la vie quotidienne, et par d’autres moyens (expropriations, occupations, grèves sauvages, …).</w:t>
      </w:r>
    </w:p>
    <w:p w14:paraId="77E09BD7" w14:textId="77777777" w:rsidR="00F10A66" w:rsidRDefault="00D77537">
      <w:r>
        <w:t xml:space="preserve">La généalogie du mouvement et de la revue éponyme passe aussi cependant par la Belgique, puisque dès les années cinquante des membres de l’Internationale Lettriste (Guy Debord et Gil J. Wolman) écriront dans la revue belge </w:t>
      </w:r>
      <w:r>
        <w:rPr>
          <w:i/>
          <w:iCs/>
        </w:rPr>
        <w:t>Les Lèvres Nues</w:t>
      </w:r>
      <w:r>
        <w:t xml:space="preserve"> (celle du groupe surréaliste bruxellois, comprenant entre autres Paul Nougé, Marcel Mariën, Louis Scutenaire – voir ci-dessous). L’influence de Nougé sur les idées situationnistes alors naissantes est assez claire par ailleurs </w:t>
      </w:r>
      <w:r>
        <w:rPr>
          <w:rStyle w:val="Ancredenotedebasdepage"/>
        </w:rPr>
        <w:footnoteReference w:id="4"/>
      </w:r>
      <w:r>
        <w:t xml:space="preserve">. Conjointement, les lettristes </w:t>
      </w:r>
      <w:r>
        <w:lastRenderedPageBreak/>
        <w:t xml:space="preserve">animeront la revue </w:t>
      </w:r>
      <w:r>
        <w:rPr>
          <w:i/>
          <w:iCs/>
        </w:rPr>
        <w:t>Potlatch</w:t>
      </w:r>
      <w:r>
        <w:t xml:space="preserve"> (de 1954 à 1957). L’Internationale Situationniste voit le jour officiellement en 1957 et verra la parution, dès 1958, de douze numéros de sa revue (assez confidentielle au demeurant, </w:t>
      </w:r>
      <w:r>
        <w:rPr>
          <w:shd w:val="clear" w:color="auto" w:fill="FFFF00"/>
        </w:rPr>
        <w:t>voir photo de celle-ci</w:t>
      </w:r>
      <w:r>
        <w:t xml:space="preserve"> – je surligne en jaune les photos illustratives présentes dans et sur mon fichier </w:t>
      </w:r>
      <w:r>
        <w:rPr>
          <w:i/>
          <w:iCs/>
        </w:rPr>
        <w:t>Powerpoint</w:t>
      </w:r>
      <w:r>
        <w:t xml:space="preserve">), jusqu’en 1969. Après le </w:t>
      </w:r>
      <w:r>
        <w:rPr>
          <w:i/>
          <w:iCs/>
        </w:rPr>
        <w:t>climax</w:t>
      </w:r>
      <w:r>
        <w:t xml:space="preserve"> de Mai 68 (dont elle est partie prenante, il faut tout de même le dire, mais elle n’y joue pas non plus le rôle central que certains ont pu lui prêter), et pour différentes raisons internes et externes, l’organisation est dissoute en 1972. Les suites de cette organisation sont, à mon avis, de quatre ordres. D’abord la récupération hédonisto-commerciale (jusqu’à Canal+ et les pubards cyniques), ensuite l’investissement discret et peu rentable dans la littérature populaire et les petits boulots éditoriaux (une sorte d’intégration marginale à la machinerie culturelle), enfin le creusement d’une voie critico-critique « écologiste » et anti-industrielle (très intéressante mais déprimée et </w:t>
      </w:r>
      <w:r>
        <w:rPr>
          <w:i/>
          <w:iCs/>
        </w:rPr>
        <w:t>impuissantisante</w:t>
      </w:r>
      <w:r>
        <w:t>) ou la récupération institutionnelle pure et simple du néo-classicisme final debordien (qui finira d’ailleurs chez Gallimard, avant que tous les fils ne se relient lors d’un dernier hommage sur Canal+ en 1995, juste après sa mort – il se suicide en novembre 1994).</w:t>
      </w:r>
    </w:p>
    <w:p w14:paraId="7EC7873B" w14:textId="77777777" w:rsidR="00F10A66" w:rsidRDefault="00D77537">
      <w:r>
        <w:t xml:space="preserve">J’aimerais exposer, par quelques propositions assez brèves (cela est bien sûr insuffisant à décrire la pensée du mouvement et ses sources nombreuses), les quelques caractéristiques qui me semblent les plus importantes concernant ce mouvement et ce qu’il faut bien appeler son </w:t>
      </w:r>
      <w:r>
        <w:rPr>
          <w:i/>
          <w:iCs/>
        </w:rPr>
        <w:t>idéologie</w:t>
      </w:r>
      <w:r>
        <w:t xml:space="preserve">. </w:t>
      </w:r>
    </w:p>
    <w:p w14:paraId="479BD3A6" w14:textId="77777777" w:rsidR="00F10A66" w:rsidRDefault="00D77537">
      <w:pPr>
        <w:pStyle w:val="Paragraphedeliste"/>
        <w:numPr>
          <w:ilvl w:val="0"/>
          <w:numId w:val="2"/>
        </w:numPr>
      </w:pPr>
      <w:r>
        <w:t xml:space="preserve">Opposition nette à l’esthétisme, vu comme la soumission à une idéologie de type religieux, et volonté clairement affichée de dépassement de l’Art :  le constat est celui de la fin effective de l’Art, en tant qu’il doit désormais, après avoir subi les </w:t>
      </w:r>
      <w:r>
        <w:rPr>
          <w:i/>
          <w:iCs/>
        </w:rPr>
        <w:t>derniers outrages</w:t>
      </w:r>
      <w:r>
        <w:t xml:space="preserve"> (dadaïstes notamment), devenir situation consciemment construite et vécue (« formes de vie poétiques, attachées à vivre immédiatement et intensément les situations que représentent à distance la poésie ou l’art [voire la philosophie] » (</w:t>
      </w:r>
      <w:r>
        <w:rPr>
          <w:smallCaps/>
        </w:rPr>
        <w:t>Marcolini</w:t>
      </w:r>
      <w:r>
        <w:t xml:space="preserve"> 2012 : 80) et ainsi être réalisé (Debord, toujours dans </w:t>
      </w:r>
      <w:r>
        <w:rPr>
          <w:i/>
          <w:iCs/>
        </w:rPr>
        <w:t>Panégyrique</w:t>
      </w:r>
      <w:r>
        <w:t xml:space="preserve"> : « J’ai donc connu surtout les rebelles et les pauvres. J’ai vu autour de moi, en grande quantité, des individus qui mouraient jeunes, et pas toujours par le suicide, d’ailleurs fréquent. Après tout, c’était la poésie moderne depuis cent ans qui nous avait menés là. Nous étions quelques-uns à penser qu’il fallait exécuter son programme dans la </w:t>
      </w:r>
      <w:r>
        <w:lastRenderedPageBreak/>
        <w:t xml:space="preserve">réalité, et en tout cas ne rien faire d’autre »). La littérature ayant épuisé ses prestiges formels et les digues entre l’art et la vie devant finalement céder… :  </w:t>
      </w:r>
      <w:r>
        <w:rPr>
          <w:shd w:val="clear" w:color="auto" w:fill="FFFF00"/>
        </w:rPr>
        <w:t>Plutôt la vie.</w:t>
      </w:r>
      <w:r>
        <w:t xml:space="preserve"> </w:t>
      </w:r>
    </w:p>
    <w:p w14:paraId="401372D4" w14:textId="77777777" w:rsidR="00F10A66" w:rsidRDefault="00D77537">
      <w:pPr>
        <w:pStyle w:val="Paragraphedeliste"/>
        <w:numPr>
          <w:ilvl w:val="0"/>
          <w:numId w:val="2"/>
        </w:numPr>
      </w:pPr>
      <w:r>
        <w:t>Opposition nette au travail, dans son sens le plus général ou même universel, en ce que les moyens de production permettent désormais, par l’automation de la plus grande majorité des tâches laborieuses, de supprimer purement et simplement cette « malédiction ».</w:t>
      </w:r>
    </w:p>
    <w:p w14:paraId="4528FB98" w14:textId="77777777" w:rsidR="00F10A66" w:rsidRDefault="00D77537">
      <w:pPr>
        <w:pStyle w:val="Paragraphedeliste"/>
        <w:numPr>
          <w:ilvl w:val="0"/>
          <w:numId w:val="2"/>
        </w:numPr>
      </w:pPr>
      <w:r>
        <w:t>Opposition nette, je l’ai déjà évoqué, aux différentes versions dites falsifiées du communisme et donc aussi à ses avatars (partis, syndicats, militantisme). Donc opposition à la version la plus falsifiée de toutes selon eux, celle de l’URSS (sans oublier le maoïsme ou le castrisme). Mais aussi opposition (plus ambigüe) au monde américanisé de la marchandise, celle-ci n’étant qu’insatisfaction, compensation illusoire d’un besoin réel et aliénation (l’homme privé de communication – les marchandises parlent à sa place).</w:t>
      </w:r>
    </w:p>
    <w:p w14:paraId="5048C21F" w14:textId="77777777" w:rsidR="00F10A66" w:rsidRDefault="00D77537">
      <w:pPr>
        <w:pStyle w:val="Citationintense"/>
      </w:pPr>
      <w:r>
        <w:t xml:space="preserve">Je me satisfaisais d’une image, au lieu d’exiger ta présence. (Philip K. </w:t>
      </w:r>
      <w:r>
        <w:rPr>
          <w:smallCaps/>
        </w:rPr>
        <w:t>Dick</w:t>
      </w:r>
      <w:r>
        <w:t xml:space="preserve">, </w:t>
      </w:r>
      <w:r>
        <w:rPr>
          <w:i/>
        </w:rPr>
        <w:t>Le bal des schizos</w:t>
      </w:r>
      <w:r>
        <w:t>)</w:t>
      </w:r>
    </w:p>
    <w:p w14:paraId="124BF92E" w14:textId="77777777" w:rsidR="00F10A66" w:rsidRDefault="00D77537">
      <w:pPr>
        <w:pStyle w:val="Paragraphedeliste"/>
        <w:numPr>
          <w:ilvl w:val="0"/>
          <w:numId w:val="2"/>
        </w:numPr>
      </w:pPr>
      <w:r>
        <w:t xml:space="preserve">Volonté de mettre fin au </w:t>
      </w:r>
      <w:r>
        <w:rPr>
          <w:i/>
          <w:iCs/>
        </w:rPr>
        <w:t>spectacle</w:t>
      </w:r>
      <w:r>
        <w:t xml:space="preserve"> (que j’assimile peu ou prou au concept de </w:t>
      </w:r>
      <w:r>
        <w:rPr>
          <w:i/>
          <w:iCs/>
        </w:rPr>
        <w:t xml:space="preserve">séparation – </w:t>
      </w:r>
      <w:r>
        <w:t>et qui exprime dès lors en creux le projet situationniste : l’</w:t>
      </w:r>
      <w:r>
        <w:rPr>
          <w:i/>
          <w:iCs/>
        </w:rPr>
        <w:t>immédiation</w:t>
      </w:r>
      <w:r>
        <w:t>, aux sens les plus larges </w:t>
      </w:r>
      <w:r>
        <w:rPr>
          <w:rStyle w:val="Ancredenotedebasdepage"/>
        </w:rPr>
        <w:footnoteReference w:id="5"/>
      </w:r>
      <w:r>
        <w:t xml:space="preserve">), et à ne pas confondre avec sa seule existence partielle en tant que « production mass-médiatique télévisuelle », que nous allons définir </w:t>
      </w:r>
      <w:r>
        <w:rPr>
          <w:i/>
          <w:iCs/>
        </w:rPr>
        <w:t>périphrastiquement</w:t>
      </w:r>
      <w:r>
        <w:t> : défaillance de la faculté de rencontre ; privation de la communication affective ; absence du pouvoir réel de contrôle ; représentations aliénantes ; images du non-vécu </w:t>
      </w:r>
      <w:r>
        <w:rPr>
          <w:rStyle w:val="Ancredenotedebasdepage"/>
        </w:rPr>
        <w:footnoteReference w:id="6"/>
      </w:r>
      <w:r>
        <w:t xml:space="preserve"> ; images culturelles de la réalisation subjective ; passivité identificatoire et vie par procuration ; langage officiel de la séparation généralisée ; distance organisée entre chacun et tous ; l’économie se </w:t>
      </w:r>
      <w:r>
        <w:lastRenderedPageBreak/>
        <w:t>développant pour elle-même ; réunion du séparé en tant que séparé </w:t>
      </w:r>
      <w:r>
        <w:rPr>
          <w:rStyle w:val="Ancredenotedebasdepage"/>
        </w:rPr>
        <w:footnoteReference w:id="7"/>
      </w:r>
      <w:r>
        <w:t xml:space="preserve"> ; monde de la marchandise dominant tout ce qui est vécu ; monde sensible se trouvant remplacé par une sélection d’images qui existe au-dessus de lui et qui en même temps s’est fait reconnaître comme le sensible par excellence ; puissance d’homogénéisation de l’accumulation des marchandises produites en série pour l’espace abstrait du marché ; privation augmentée et fausse vie. </w:t>
      </w:r>
      <w:r>
        <w:rPr>
          <w:shd w:val="clear" w:color="auto" w:fill="FFFF00"/>
        </w:rPr>
        <w:t>Voir citation de Michel Bounan</w:t>
      </w:r>
      <w:r>
        <w:t xml:space="preserve"> (</w:t>
      </w:r>
      <w:r>
        <w:rPr>
          <w:i/>
          <w:iCs/>
        </w:rPr>
        <w:t>La vie innommable</w:t>
      </w:r>
      <w:r>
        <w:t>, Paris, Allia, 1993, p. 74). Nous ne verrons pas, par manque de temps,  l’illustration cinématographique de quelques-unes de ces « définitions », si l’on peut dire. Mais je vous renseignerai tout de même ces films.</w:t>
      </w:r>
    </w:p>
    <w:p w14:paraId="07A30BFE" w14:textId="77777777" w:rsidR="00F10A66" w:rsidRDefault="00D77537">
      <w:pPr>
        <w:pStyle w:val="Paragraphedeliste"/>
        <w:numPr>
          <w:ilvl w:val="0"/>
          <w:numId w:val="2"/>
        </w:numPr>
      </w:pPr>
      <w:r>
        <w:t>Caractérisation du monde de l’époque comme « spectaculaire-marchand », ayant vu donc la constitution d’une sphère des marchandises autonome(s) (l’anarchie de la circulation se surajoutant à l’anarchie de la production) qui culmine en spectacle (voir-ci-dessus). Ce monde est celui d’un redoublement-approfondissement de la réification : la marchandise ment carrément désormais sur ce qu’elle prétend fournir (elle parle de ce qu’elle ne vend pas et vend ce dont elle ne parle pas, à savoir la satisfaction spectaculaire de ce qu’elle prétend combler).</w:t>
      </w:r>
    </w:p>
    <w:p w14:paraId="150FBE2E" w14:textId="77777777" w:rsidR="00F10A66" w:rsidRDefault="00D77537">
      <w:pPr>
        <w:pStyle w:val="Paragraphedeliste"/>
        <w:numPr>
          <w:ilvl w:val="0"/>
          <w:numId w:val="2"/>
        </w:numPr>
      </w:pPr>
      <w:r>
        <w:t>Goût immodéré pour la boisson (Debord se suicidera d’ailleurs en 1994, accablé par les souffrances d’une polynévrite alcoolique, travail de toute une vie). Non séparable de leurs « conduites de vie » d’ailleurs : cafés, bars, refus du travail, dérives, marginalité, etc.</w:t>
      </w:r>
    </w:p>
    <w:p w14:paraId="17FFB950" w14:textId="77777777" w:rsidR="00F10A66" w:rsidRDefault="00D77537">
      <w:pPr>
        <w:pStyle w:val="Paragraphedeliste"/>
        <w:numPr>
          <w:ilvl w:val="0"/>
          <w:numId w:val="2"/>
        </w:numPr>
      </w:pPr>
      <w:r>
        <w:t xml:space="preserve">Mise au jour, au sein même des sociétés dites « d’abondance » ou « de consommation », au-delà de la </w:t>
      </w:r>
      <w:r>
        <w:rPr>
          <w:i/>
          <w:iCs/>
        </w:rPr>
        <w:t>pauvreté</w:t>
      </w:r>
      <w:r>
        <w:t xml:space="preserve"> toujours bien entendu présente (mais compensée par l’abondance relative de marchandises de toutes sortes), de l’ennui et de la misère (existentielle) qu’elles secrètent naturellement.</w:t>
      </w:r>
    </w:p>
    <w:p w14:paraId="4874FA4B" w14:textId="77777777" w:rsidR="00F10A66" w:rsidRDefault="00D77537">
      <w:pPr>
        <w:pStyle w:val="Titre3"/>
      </w:pPr>
      <w:r>
        <w:t>Montage et Détournements</w:t>
      </w:r>
    </w:p>
    <w:p w14:paraId="4AB2ECFB" w14:textId="77777777" w:rsidR="00F10A66" w:rsidRDefault="00D77537">
      <w:r>
        <w:t xml:space="preserve">« L’activité déconstructive [de l’ “ordre”] est une activité vraiment radicale parce qu’elle ne s’attaque pas aux signifiés des choses mais à leur organisation plastique, à leur organisation signifiante. Elle montre que le problème n’est pas tellement de savoir, devant un discours quelconque, ce </w:t>
      </w:r>
      <w:r>
        <w:lastRenderedPageBreak/>
        <w:t xml:space="preserve">que dit ce discours, mais plutôt la façon dont il est disposé. Elle montre qu’il est actif par sa disposition même, sa configuration, et qu’en déconstruisant sa disposition on va faire apparaître tout ce qu’il contient de mystificateur. » (Jean-François </w:t>
      </w:r>
      <w:r>
        <w:rPr>
          <w:smallCaps/>
        </w:rPr>
        <w:t>Lyotard</w:t>
      </w:r>
      <w:r>
        <w:t xml:space="preserve">, </w:t>
      </w:r>
      <w:r>
        <w:rPr>
          <w:i/>
          <w:iCs/>
        </w:rPr>
        <w:t>Dérive à partir de Marx et Freud</w:t>
      </w:r>
      <w:r>
        <w:t>, 1973, p. 223) </w:t>
      </w:r>
      <w:r>
        <w:rPr>
          <w:rStyle w:val="Ancredenotedebasdepage"/>
        </w:rPr>
        <w:footnoteReference w:id="8"/>
      </w:r>
      <w:r>
        <w:t>.</w:t>
      </w:r>
    </w:p>
    <w:p w14:paraId="4D3A3BF0" w14:textId="77777777" w:rsidR="00F10A66" w:rsidRDefault="00F10A66">
      <w:pPr>
        <w:ind w:firstLine="0"/>
      </w:pPr>
    </w:p>
    <w:p w14:paraId="4E1A4F76" w14:textId="77777777" w:rsidR="00F10A66" w:rsidRDefault="00D77537">
      <w:r>
        <w:t xml:space="preserve">L’on présente généralement les effets du montage (et donc du démontage) comme ceux de la dénaturalisation, de la « détransparence », de l’effet-choc, du dévoilement et, je viens de vous le lire, de la démystification. D’abord, il y a plusieurs usages possibles du montage (comme de tout dispositif, qu’il soit technique ou pas). Ensuite, il ne faudrait pas non plus oublier l’effet « positif » du montage : à la fois le </w:t>
      </w:r>
      <w:r>
        <w:rPr>
          <w:i/>
          <w:iCs/>
        </w:rPr>
        <w:t>montrage</w:t>
      </w:r>
      <w:r>
        <w:t>, la construction et l’apparition de quelque chose de nouveau, ou d’autre </w:t>
      </w:r>
      <w:r>
        <w:rPr>
          <w:rStyle w:val="Ancredenotedebasdepage"/>
        </w:rPr>
        <w:footnoteReference w:id="9"/>
      </w:r>
      <w:r>
        <w:t>. Non pas tant déconstruction, que transformations (transformations affectives). Les deux versants étant à mon avis liés dans les pratiques situationnistes que je vais vous présenter.</w:t>
      </w:r>
    </w:p>
    <w:p w14:paraId="62674392" w14:textId="77777777" w:rsidR="00F10A66" w:rsidRDefault="00D77537">
      <w:pPr>
        <w:pStyle w:val="Titre4"/>
      </w:pPr>
      <w:r>
        <w:t>Mode d’emploi du détournement</w:t>
      </w:r>
    </w:p>
    <w:p w14:paraId="2E9832D9" w14:textId="77777777" w:rsidR="00F10A66" w:rsidRDefault="00D77537">
      <w:r>
        <w:t>Il faut d’abord noter que le nom même de l’organisation (IS, donc) est une transformation-hommage-inscription dans la continuité des différentes « internationales communistes » depuis l’Association Internationale des Travailleurs </w:t>
      </w:r>
      <w:r>
        <w:rPr>
          <w:rStyle w:val="Ancredenotedebasdepage"/>
        </w:rPr>
        <w:footnoteReference w:id="10"/>
      </w:r>
      <w:r>
        <w:t xml:space="preserve"> (fondée à Londres en 1864, </w:t>
      </w:r>
      <w:r>
        <w:rPr>
          <w:shd w:val="clear" w:color="auto" w:fill="FFFF00"/>
        </w:rPr>
        <w:t>voir photo détournée de Marx</w:t>
      </w:r>
      <w:r>
        <w:t>).</w:t>
      </w:r>
    </w:p>
    <w:p w14:paraId="1FE37D82" w14:textId="77777777" w:rsidR="00F10A66" w:rsidRDefault="00D77537">
      <w:r>
        <w:t xml:space="preserve">Avant de vous montrer et de vous décrire les (quelques, plutôt) différents types de détournement, je veux d’abord vous présenter la théorie de celui-ci. En mai 1956 paraît, dans la revue belge </w:t>
      </w:r>
      <w:r>
        <w:rPr>
          <w:i/>
          <w:iCs/>
        </w:rPr>
        <w:t>Les Lèvres Nues</w:t>
      </w:r>
      <w:r>
        <w:t> </w:t>
      </w:r>
      <w:r>
        <w:rPr>
          <w:rStyle w:val="Ancredenotedebasdepage"/>
        </w:rPr>
        <w:footnoteReference w:id="11"/>
      </w:r>
      <w:r>
        <w:t>(n</w:t>
      </w:r>
      <w:r>
        <w:rPr>
          <w:vertAlign w:val="superscript"/>
        </w:rPr>
        <w:t>o</w:t>
      </w:r>
      <w:r>
        <w:t xml:space="preserve"> 8), dont j’ai déjà </w:t>
      </w:r>
      <w:r>
        <w:lastRenderedPageBreak/>
        <w:t>parlé, de la plume de Guy Debord et Gil J. Wolman (déguisés en Aragon et André Breton…), le « Mode d’emploi du détournement » </w:t>
      </w:r>
      <w:r>
        <w:rPr>
          <w:rStyle w:val="Ancredenotedebasdepage"/>
        </w:rPr>
        <w:footnoteReference w:id="12"/>
      </w:r>
      <w:r>
        <w:t xml:space="preserve">. Je m’attarderai d’abord sur la couverture de ce numéro, en ce qu’il exprime bien, déjà, un certain ton « politique-farceur » pour une pratique qu’il faut bien appeler « détournement ». Vous remarquerez pour le numéro 8 (voir </w:t>
      </w:r>
      <w:r>
        <w:rPr>
          <w:shd w:val="clear" w:color="auto" w:fill="FFFF00"/>
        </w:rPr>
        <w:t>photo de celui-ci</w:t>
      </w:r>
      <w:r>
        <w:t xml:space="preserve">) la reproduction facilement identifiable d’une carte de France, mais dont les principales villes ont été substituées à celles de l’Algérie (alors colonie française). Détournement </w:t>
      </w:r>
      <w:r>
        <w:rPr>
          <w:i/>
          <w:iCs/>
        </w:rPr>
        <w:t>choc</w:t>
      </w:r>
      <w:r>
        <w:t>, puisque c’est la France qui se trouve ainsi colonisée (</w:t>
      </w:r>
      <w:r>
        <w:rPr>
          <w:i/>
          <w:iCs/>
        </w:rPr>
        <w:t>remplacée</w:t>
      </w:r>
      <w:r>
        <w:t xml:space="preserve">) et que la colonisation se trouve ainsi mise en exergue de manière frappante (l’Algérie est littéralement </w:t>
      </w:r>
      <w:r>
        <w:rPr>
          <w:i/>
          <w:iCs/>
        </w:rPr>
        <w:t>en</w:t>
      </w:r>
      <w:r>
        <w:t xml:space="preserve"> France ; manière, aussi et ainsi, d’</w:t>
      </w:r>
      <w:r>
        <w:rPr>
          <w:i/>
          <w:iCs/>
        </w:rPr>
        <w:t>importer</w:t>
      </w:r>
      <w:r>
        <w:t xml:space="preserve"> le conflit). Le sommaire de ce numéro de la revue est lui aussi d’une drôlerie particulière, puisque ce sont tous les « auteurs à succès » de l’époque (en tant qu’ils sont chiqués et d’une nullité exemplaire </w:t>
      </w:r>
      <w:r>
        <w:rPr>
          <w:rStyle w:val="Ancredenotedebasdepage"/>
        </w:rPr>
        <w:footnoteReference w:id="13"/>
      </w:r>
      <w:r>
        <w:t xml:space="preserve">) qui s’y retrouvent. Les titres des articles sont cependant eux tout à fait « sérieux », mais il faut remarquer ici le parallèle à établir avec la carte détournée : la littérature (il faut y ajouter la chanson avec Gilbert Bécaud, et l’architecture avec Le Corbusier) aussi est </w:t>
      </w:r>
      <w:r>
        <w:rPr>
          <w:i/>
          <w:iCs/>
        </w:rPr>
        <w:t>occupée</w:t>
      </w:r>
      <w:r>
        <w:t xml:space="preserve"> par les colonisateurs. Méchanceté ultime : retrouver au milieu de cette liste d’ennemis minables et de fausses gloires Louis Aragon et André Breton. Je veux aussi, pour prolonger la parenthèse (mais elle n’est pas gratuite), vous montrer une affiche (voir </w:t>
      </w:r>
      <w:r>
        <w:rPr>
          <w:shd w:val="clear" w:color="auto" w:fill="FFFF00"/>
        </w:rPr>
        <w:t>photo de celle-ci</w:t>
      </w:r>
      <w:r>
        <w:t>) de la même revue, compilant plusieurs détournements publicitaires, soutenus par le texte suivant : « Un beau mensonge vaut mieux qu’un long discours / Garde ta muse dans ta musette / Pour un nouveau bourrage de crânes / Poète prends tes ciseaux ». Je dois signaler également un détournement de roman-photo dans un numéro de cette même revue (</w:t>
      </w:r>
      <w:r>
        <w:rPr>
          <w:shd w:val="clear" w:color="auto" w:fill="FFFF00"/>
        </w:rPr>
        <w:t xml:space="preserve">voir </w:t>
      </w:r>
      <w:r>
        <w:rPr>
          <w:shd w:val="clear" w:color="auto" w:fill="FFFF00"/>
        </w:rPr>
        <w:lastRenderedPageBreak/>
        <w:t>photo</w:t>
      </w:r>
      <w:r>
        <w:t xml:space="preserve"> – je le précise car un des textes à lire de Jan Baetens concerne le « ciné-roman-photo », et son détournement, et qu’il s’agit ici, à ma connaissance, du premier exemple de ce genre).</w:t>
      </w:r>
    </w:p>
    <w:p w14:paraId="7552B36C" w14:textId="77777777" w:rsidR="00F10A66" w:rsidRDefault="00D77537">
      <w:r>
        <w:t xml:space="preserve">Je vais maintenant exposer les principales propositions de ce « MED » (dont vous verrez qu’il est aussi un « mode d’emploi du montage », j’en ai d’ailleurs </w:t>
      </w:r>
      <w:r>
        <w:rPr>
          <w:shd w:val="clear" w:color="auto" w:fill="00FFFF"/>
        </w:rPr>
        <w:t>surligné</w:t>
      </w:r>
      <w:r>
        <w:t xml:space="preserve"> les propositions les plus claires à ce sujet). Vous ferez à ce propos des liens assez facilement avec ce que j’ai exposé précédemment sur l’ « idéologie » de l’IS. Il est en tout cas assez clair en tout cas, et pour résumer, que le détournement est dès ce moment conçu (revendiqué aussi : il s’agit d’une stratégie consciente) comme la pratique de base pour le dépassement de l’art (et de la politique : le détournement est un outil de politisation, dont les fonctions rhétoriques seront exposées ci-après), une pratique générale </w:t>
      </w:r>
      <w:r>
        <w:rPr>
          <w:i/>
          <w:iCs/>
        </w:rPr>
        <w:t>à généraliser totalement</w:t>
      </w:r>
      <w:r>
        <w:t>. Avant la pratique cependant, un peu de théorie (j’ai mis en gras les éléments les plus saillants, ou qui appellent la discussion).</w:t>
      </w:r>
    </w:p>
    <w:p w14:paraId="00BA3637" w14:textId="77777777" w:rsidR="00F10A66" w:rsidRDefault="00D77537">
      <w:r>
        <w:t xml:space="preserve">« Tous les esprits un peu avertis de notre temps s'accordent sur cette évidence qu'il est devenu impossible à l'art de se soutenir comme </w:t>
      </w:r>
      <w:r>
        <w:rPr>
          <w:b/>
          <w:bCs/>
        </w:rPr>
        <w:t>activité supérieure</w:t>
      </w:r>
      <w:r>
        <w:t xml:space="preserve">, ou même comme activité de </w:t>
      </w:r>
      <w:r>
        <w:rPr>
          <w:b/>
          <w:bCs/>
        </w:rPr>
        <w:t>compensation</w:t>
      </w:r>
      <w:r>
        <w:t xml:space="preserve"> à laquelle on puisse honorablement s'adonner. La cause de ce dépérissement est visiblement l'apparition de </w:t>
      </w:r>
      <w:r>
        <w:rPr>
          <w:b/>
          <w:bCs/>
        </w:rPr>
        <w:t>forces productives</w:t>
      </w:r>
      <w:r>
        <w:t xml:space="preserve"> qui nécessitent </w:t>
      </w:r>
      <w:r>
        <w:rPr>
          <w:b/>
          <w:bCs/>
        </w:rPr>
        <w:t>d'autres rapports de production et une nouvelle pratique de la vie</w:t>
      </w:r>
      <w:r>
        <w:t xml:space="preserve"> » ; « tous les moyens d'expression connus vont confluer dans un mouvement général de </w:t>
      </w:r>
      <w:r>
        <w:rPr>
          <w:b/>
          <w:bCs/>
        </w:rPr>
        <w:t>propagande</w:t>
      </w:r>
      <w:r>
        <w:t xml:space="preserve"> » ; « Dans son ensemble, l'héritage littéraire et artistique de l'humanité doit être utilisé à des fins de </w:t>
      </w:r>
      <w:r>
        <w:rPr>
          <w:b/>
          <w:bCs/>
        </w:rPr>
        <w:t>propagande partisane</w:t>
      </w:r>
      <w:r>
        <w:t xml:space="preserve"> » ; « A vrai dire, il faut en finir avec toute notion de </w:t>
      </w:r>
      <w:r>
        <w:rPr>
          <w:b/>
          <w:bCs/>
        </w:rPr>
        <w:t>propriété personnelle</w:t>
      </w:r>
      <w:r>
        <w:t xml:space="preserve"> en cette matière [culturelle] </w:t>
      </w:r>
      <w:r>
        <w:rPr>
          <w:rStyle w:val="Ancredenotedebasdepage"/>
        </w:rPr>
        <w:footnoteReference w:id="14"/>
      </w:r>
      <w:r>
        <w:t xml:space="preserve">. Le surgissement d'autres nécessités rend caduques les réalisations “géniales” précédentes. Elles deviennent des obstacles, de redoutables habitudes. La question n'est pas de savoir si nous sommes ou non portés à les aimer. Nous devons passer outre. » ; </w:t>
      </w:r>
      <w:r>
        <w:rPr>
          <w:shd w:val="clear" w:color="auto" w:fill="00FFFF"/>
        </w:rPr>
        <w:t xml:space="preserve">« Tous les éléments, pris n'importe où, peuvent faire l'objet de </w:t>
      </w:r>
      <w:r>
        <w:rPr>
          <w:b/>
          <w:bCs/>
          <w:shd w:val="clear" w:color="auto" w:fill="00FFFF"/>
        </w:rPr>
        <w:t>rapprochements nouveaux</w:t>
      </w:r>
      <w:r>
        <w:rPr>
          <w:shd w:val="clear" w:color="auto" w:fill="00FFFF"/>
        </w:rPr>
        <w:t>. »</w:t>
      </w:r>
      <w:r>
        <w:t xml:space="preserve"> ; </w:t>
      </w:r>
      <w:r>
        <w:rPr>
          <w:shd w:val="clear" w:color="auto" w:fill="00FFFF"/>
        </w:rPr>
        <w:t>« Tout peut servir »</w:t>
      </w:r>
      <w:r>
        <w:t xml:space="preserve"> ; </w:t>
      </w:r>
      <w:r>
        <w:rPr>
          <w:shd w:val="clear" w:color="auto" w:fill="00FFFF"/>
        </w:rPr>
        <w:t xml:space="preserve">« Il va de soi que l'on peut non seulement corriger une œuvre ou intégrer divers fragments d'œuvres périmées dans une nouvelle, mais encore </w:t>
      </w:r>
      <w:r>
        <w:rPr>
          <w:b/>
          <w:bCs/>
          <w:shd w:val="clear" w:color="auto" w:fill="00FFFF"/>
        </w:rPr>
        <w:t>changer le sens</w:t>
      </w:r>
      <w:r>
        <w:rPr>
          <w:shd w:val="clear" w:color="auto" w:fill="00FFFF"/>
        </w:rPr>
        <w:t xml:space="preserve"> de ces fragments et </w:t>
      </w:r>
      <w:r>
        <w:rPr>
          <w:b/>
          <w:bCs/>
          <w:shd w:val="clear" w:color="auto" w:fill="00FFFF"/>
        </w:rPr>
        <w:t>truquer de toutes les manières que l'on jugera bonnes</w:t>
      </w:r>
      <w:r>
        <w:rPr>
          <w:shd w:val="clear" w:color="auto" w:fill="00FFFF"/>
        </w:rPr>
        <w:t xml:space="preserve"> ce que les imbéciles s'obstinent à nommer des citations. »</w:t>
      </w:r>
      <w:r>
        <w:t xml:space="preserve"> ; « Il faut donc concevoir un stade </w:t>
      </w:r>
      <w:r>
        <w:rPr>
          <w:b/>
          <w:bCs/>
        </w:rPr>
        <w:t>parodique-sérieux</w:t>
      </w:r>
      <w:r>
        <w:t xml:space="preserve"> où </w:t>
      </w:r>
      <w:r>
        <w:lastRenderedPageBreak/>
        <w:t xml:space="preserve">l'accumulation d'éléments détournés, loin de vouloir susciter l'indignation ou le rire en se référant à la notion d'une œuvre originale, mais marquant au contraire notre </w:t>
      </w:r>
      <w:r>
        <w:rPr>
          <w:b/>
          <w:bCs/>
        </w:rPr>
        <w:t>indifférence pour un original</w:t>
      </w:r>
      <w:r>
        <w:t xml:space="preserve"> vidé de sens et oublié, s'emploierait à rendre </w:t>
      </w:r>
      <w:r>
        <w:rPr>
          <w:b/>
          <w:bCs/>
        </w:rPr>
        <w:t>un certain sublime</w:t>
      </w:r>
      <w:r>
        <w:t xml:space="preserve">. » ; </w:t>
      </w:r>
      <w:r>
        <w:rPr>
          <w:b/>
          <w:bCs/>
          <w:shd w:val="clear" w:color="auto" w:fill="00FFFF"/>
        </w:rPr>
        <w:t>Lautréamont </w:t>
      </w:r>
      <w:r>
        <w:rPr>
          <w:shd w:val="clear" w:color="auto" w:fill="00FFFF"/>
        </w:rPr>
        <w:t xml:space="preserve"> et « le Plagiat est nécessaire, le progrès l'implique » et la poésie « qui doit être faite par tous »</w:t>
      </w:r>
      <w:r>
        <w:t xml:space="preserve"> ; « Le détournement est d'autant moins opérant qu'il s'approche d'une </w:t>
      </w:r>
      <w:r>
        <w:rPr>
          <w:b/>
          <w:bCs/>
        </w:rPr>
        <w:t>réplique rationnelle</w:t>
      </w:r>
      <w:r>
        <w:t xml:space="preserve">. » ; </w:t>
      </w:r>
      <w:r>
        <w:rPr>
          <w:shd w:val="clear" w:color="auto" w:fill="00FFFF"/>
        </w:rPr>
        <w:t>« Les premières conséquences apparentes d'une génération du détournement, outre les pouvoirs intrinsèques de propagande qu'il détient, seront la réappropriation d'une foule de mauvais livres; la participation massive d'écrivains ignorés; la différenciation toujours plus poussée des phrases ou des œuvres plastiques qui se trouveront être à la mode; et surtout une facilité de la production dépassant de très loin, par la quantité, la variété et la qualité, l'écriture automatique d'ennuyeuse mémoire. »</w:t>
      </w:r>
      <w:r>
        <w:t xml:space="preserve"> ; « Non seulement le détournement conduit à la découverte de nouveaux aspects du talent, mais encore, se heurtant de front à toutes les </w:t>
      </w:r>
      <w:r>
        <w:rPr>
          <w:b/>
          <w:bCs/>
        </w:rPr>
        <w:t>conventions mondaines et juridiques</w:t>
      </w:r>
      <w:r>
        <w:t xml:space="preserve">, il ne peut manquer d'apparaître un puissant instrument culturel au service d'une </w:t>
      </w:r>
      <w:r>
        <w:rPr>
          <w:b/>
          <w:bCs/>
        </w:rPr>
        <w:t>lutte de classes bien comprise</w:t>
      </w:r>
      <w:r>
        <w:t>. Le bon marché de ses produits est la grosse artillerie avec laquelle on bat en brèche toutes les murailles de Chine de l'intelligence</w:t>
      </w:r>
      <w:r>
        <w:rPr>
          <w:vertAlign w:val="superscript"/>
        </w:rPr>
        <w:t> </w:t>
      </w:r>
      <w:r>
        <w:rPr>
          <w:rStyle w:val="Ancredenotedebasdepage"/>
        </w:rPr>
        <w:footnoteReference w:id="15"/>
      </w:r>
      <w:r>
        <w:t xml:space="preserve">. Voici un réel moyen d'enseignement artistique </w:t>
      </w:r>
      <w:r>
        <w:rPr>
          <w:b/>
          <w:bCs/>
        </w:rPr>
        <w:t>prolétarien</w:t>
      </w:r>
      <w:r>
        <w:t xml:space="preserve">, la première ébauche d'un </w:t>
      </w:r>
      <w:r>
        <w:rPr>
          <w:b/>
          <w:bCs/>
        </w:rPr>
        <w:t>communisme littéraire</w:t>
      </w:r>
      <w:r>
        <w:t xml:space="preserve">. » ; </w:t>
      </w:r>
      <w:r>
        <w:rPr>
          <w:shd w:val="clear" w:color="auto" w:fill="00FFFF"/>
        </w:rPr>
        <w:t>« C'est évidemment dans le cadre cinématographique que le détournement peut atteindre à sa plus grande efficacité, et sans doute, pour ceux que la chose préoccupe, à sa plus grande beauté. »</w:t>
      </w:r>
      <w:r>
        <w:t xml:space="preserve"> ; </w:t>
      </w:r>
      <w:r>
        <w:rPr>
          <w:shd w:val="clear" w:color="auto" w:fill="00FFFF"/>
        </w:rPr>
        <w:t>« la plupart des films ne méritent que d'être démembrés pour composer d'autres œuvres »</w:t>
      </w:r>
      <w:r>
        <w:t>.</w:t>
      </w:r>
    </w:p>
    <w:p w14:paraId="02BE98C0" w14:textId="77777777" w:rsidR="00F10A66" w:rsidRDefault="00D77537">
      <w:pPr>
        <w:pStyle w:val="Titre4"/>
      </w:pPr>
      <w:r>
        <w:t>Quelques exemples (Debord et Vaneigem)</w:t>
      </w:r>
    </w:p>
    <w:p w14:paraId="64F6BD23" w14:textId="77777777" w:rsidR="00F10A66" w:rsidRDefault="00D77537">
      <w:r>
        <w:t>Je voudrais d’abord commencer par vous montrer quelques exemples de détournement opéré par Guy Debord (impossible d’être exhaustif, vous le verrez très rapidement </w:t>
      </w:r>
      <w:r>
        <w:rPr>
          <w:rStyle w:val="Ancredenotedebasdepage"/>
        </w:rPr>
        <w:footnoteReference w:id="16"/>
      </w:r>
      <w:r>
        <w:t xml:space="preserve">), ces éléments étant principalement textuels, mais tout en relevant toujours génériquement du même procédé : la reconstruction </w:t>
      </w:r>
      <w:r>
        <w:lastRenderedPageBreak/>
        <w:t xml:space="preserve">d’une nouvelle entité et la cohérence d’un nouvel ensemble, qui adjoignent des ressources diverses (texte, image, musique, film). Pour commencer, je veux parler de son livre </w:t>
      </w:r>
      <w:r>
        <w:rPr>
          <w:i/>
          <w:iCs/>
        </w:rPr>
        <w:t>La Société du Spectacle</w:t>
      </w:r>
      <w:r>
        <w:t xml:space="preserve"> (1967 – j’utilise l’édition de 1992). On y observe plusieurs types de « citations » (restons donc typologiquement larges et imbéciles pour commencer), mais surtout de détournements (la notion de détournement englobe et écrase celle de « citation »). D’abord la citation pure et simple. Debord en use très classiquement à l’entame de chaque chapitre, avec une citation en épigraphe (respectivement : Feuerbach, Lukàcs, </w:t>
      </w:r>
      <w:r>
        <w:rPr>
          <w:i/>
          <w:iCs/>
        </w:rPr>
        <w:t>Le Drapeau rouge</w:t>
      </w:r>
      <w:r>
        <w:t xml:space="preserve"> de Pékin, Shakespeare, Baltasar Graciàn, Machiavel, une </w:t>
      </w:r>
      <w:r>
        <w:rPr>
          <w:i/>
          <w:iCs/>
        </w:rPr>
        <w:t>Lettre à Marx</w:t>
      </w:r>
      <w:r>
        <w:t xml:space="preserve"> de Ruge, Hegel). Manière claire de revendiquer une filiation et de s’identifier aux auteurs nommés et aux éléments cités. Nous verrons que cette pratique est caractéristique chez un autre situationniste, belge celui-là, Raoul Vaneigem. </w:t>
      </w:r>
    </w:p>
    <w:p w14:paraId="68C2E6AD" w14:textId="77777777" w:rsidR="00F10A66" w:rsidRDefault="00D77537">
      <w:r>
        <w:t>Autre type de citation chez Debord, les « détournements mineurs et abusifs », c’est-à-dire la transformation contextuelle (reprise telle quelle d’une citation, mais changement de contexte) et/ou la mise à jour ou la transformation d’une « citation » originale. Le détournement mineur concerne des œuvres dites de qualité médiocre, tandis que l’abusif concerne des œuvres plus qualitatives (ou soi-disant) et honorables</w:t>
      </w:r>
      <w:r>
        <w:rPr>
          <w:rStyle w:val="Ancredenotedebasdepage"/>
        </w:rPr>
        <w:footnoteReference w:id="17"/>
      </w:r>
      <w:r>
        <w:t>. Cette honorabilité ne laisse d’ailleurs pas d’être paradoxale voire ambiguë (dans le sens d’une sorte de néo-classicisme) chez Debord, puisqu’il aime aussi à puiser chez les prosateurs les plus classiques qui soient, comme Pascal, Vauvenargues, le Cardinal de Retz ou Bossuet, tout en les admirant véritablement par ailleurs. Il me semble qu’une meilleure typologie (une typologie supplémentaire) peut donc justement être celle de « détournement contextuel » (ou « cotextuel », d’ailleurs </w:t>
      </w:r>
      <w:r>
        <w:rPr>
          <w:rStyle w:val="Ancredenotedebasdepage"/>
        </w:rPr>
        <w:footnoteReference w:id="18"/>
      </w:r>
      <w:r>
        <w:t xml:space="preserve">) et celle de « détournement transformateur » (lorsque c’est l’énoncé qui est transformé, ou amélioré, ou actualisé). Ces deux types pouvant d’ailleurs coexister. Exemple typique de détournement, la première </w:t>
      </w:r>
      <w:r>
        <w:lastRenderedPageBreak/>
        <w:t>thèse </w:t>
      </w:r>
      <w:r>
        <w:rPr>
          <w:rStyle w:val="Ancredenotedebasdepage"/>
        </w:rPr>
        <w:footnoteReference w:id="19"/>
      </w:r>
      <w:r>
        <w:t xml:space="preserve"> du livre (mais le texte entier est contaminé, c’est-à-dire construit à partir d’</w:t>
      </w:r>
      <w:r>
        <w:rPr>
          <w:i/>
          <w:iCs/>
        </w:rPr>
        <w:t>autres</w:t>
      </w:r>
      <w:r>
        <w:t xml:space="preserve"> fragments – on retrouve ici le montage) : « Toute la vie des sociétés dans lesquelles règnent les conditions modernes de production s’annonce comme une immense accumulation de spectacles. Tout ce qui était directement vécu s’est éloigné dans une représentation. » Marx débutait le premier chapitre du livre premier du </w:t>
      </w:r>
      <w:r>
        <w:rPr>
          <w:i/>
          <w:iCs/>
        </w:rPr>
        <w:t>Capital</w:t>
      </w:r>
      <w:r>
        <w:t xml:space="preserve"> par : « La richesse des sociétés dans lesquelles règne le mode de production capitaliste s'annonce comme une “immense accumulation de marchandises” » (ce qui était déjà une citation de sa propre </w:t>
      </w:r>
      <w:r>
        <w:rPr>
          <w:i/>
          <w:iCs/>
        </w:rPr>
        <w:t>Contribution à la critique de l’économie politique</w:t>
      </w:r>
      <w:r>
        <w:t xml:space="preserve"> de 1859). Autre exemple assez connu : « Le spectacle n’est pas un ensemble d’images, mais un rapport social entre des personnes, médiatisés par des images » (</w:t>
      </w:r>
      <w:r>
        <w:rPr>
          <w:smallCaps/>
        </w:rPr>
        <w:t>Debord</w:t>
      </w:r>
      <w:r>
        <w:t xml:space="preserve"> 1992 : 10), qui correspond à la mise à jour de Lukàcs (dans </w:t>
      </w:r>
      <w:r>
        <w:rPr>
          <w:i/>
          <w:iCs/>
        </w:rPr>
        <w:t xml:space="preserve">Histoire et conscience de classe, </w:t>
      </w:r>
      <w:r>
        <w:t>livre de 1923) : « Le capital n’est pas, pour Marx, une chose, mais un rapport social entre des personnes, médiatisé par des choses. » Son livre est ainsi farci de détournements-reprises qui travaillent à actualiser aux conditions présentes la théorie révolutionnaire </w:t>
      </w:r>
      <w:r>
        <w:rPr>
          <w:rStyle w:val="Ancredenotedebasdepage"/>
        </w:rPr>
        <w:footnoteReference w:id="20"/>
      </w:r>
      <w:r>
        <w:t xml:space="preserve">. Mais </w:t>
      </w:r>
      <w:r>
        <w:rPr>
          <w:i/>
          <w:iCs/>
        </w:rPr>
        <w:t>La Société du Spectacle</w:t>
      </w:r>
      <w:r>
        <w:t xml:space="preserve"> est aussi un livre « où affleurent plus souvent qu’on ne le croit des allusions intimes » (</w:t>
      </w:r>
      <w:r>
        <w:rPr>
          <w:smallCaps/>
        </w:rPr>
        <w:t>Donné</w:t>
      </w:r>
      <w:r>
        <w:t xml:space="preserve"> 2004 : 144).</w:t>
      </w:r>
    </w:p>
    <w:p w14:paraId="18186F37" w14:textId="77777777" w:rsidR="00F10A66" w:rsidRDefault="00D77537">
      <w:r>
        <w:t xml:space="preserve">Le livre (mais son film le fait aussi – car Debord a réalisé un film intitulé </w:t>
      </w:r>
      <w:r>
        <w:rPr>
          <w:i/>
          <w:iCs/>
        </w:rPr>
        <w:t>La Société du Spectacle</w:t>
      </w:r>
      <w:r>
        <w:t xml:space="preserve">) cite </w:t>
      </w:r>
      <w:r>
        <w:rPr>
          <w:i/>
          <w:iCs/>
        </w:rPr>
        <w:t>texto</w:t>
      </w:r>
      <w:r>
        <w:t xml:space="preserve"> Lautréamont </w:t>
      </w:r>
      <w:r>
        <w:rPr>
          <w:rStyle w:val="Ancredenotedebasdepage"/>
        </w:rPr>
        <w:footnoteReference w:id="21"/>
      </w:r>
      <w:r>
        <w:t xml:space="preserve"> (thèse 207) : « Les idées s’améliorent. Le sens des mots y participe. Le plagiat est nécessaire. Le progrès l’implique. Il serre de près la phrase d’un auteur, se sert de ses expressions, efface une idée fausse, la remplace par l’idée juste. » Ses thèses suivantes explicitent par ailleurs très clairement ce qu’est et doit être un détournement. Je pourrais également parler chez Debord (mais elle est étendue à tous les membres de l’IS, jusqu’à devenir caricaturale d’ailleurs, notamment chez Vaneigem) d’une autre pratique typique, le renversement de génitif ou antimétabole, qui consiste à </w:t>
      </w:r>
      <w:r>
        <w:rPr>
          <w:i/>
          <w:iCs/>
        </w:rPr>
        <w:t>retourner</w:t>
      </w:r>
      <w:r>
        <w:t xml:space="preserve"> (plus qu’à véritablement </w:t>
      </w:r>
      <w:r>
        <w:rPr>
          <w:i/>
          <w:iCs/>
        </w:rPr>
        <w:lastRenderedPageBreak/>
        <w:t>détourner</w:t>
      </w:r>
      <w:r>
        <w:t>) un énoncé : « Le renversement du génitif est cette expression des révolutions historiques, consignée dans la forme de la pensée, qui a été considérée comme le style épigrammatique de Hegel. Le jeune Marx préconisant, d’après l’usage systématique de Feuerbach, le remplacement du sujet par le prédicat, a atteint l’emploi le plus conséquent de ce style insurrectionnel qui, de la philosophie de la misère, tire la misère de la philosophie » (Thèse 206).</w:t>
      </w:r>
    </w:p>
    <w:p w14:paraId="7C6F47D3" w14:textId="77777777" w:rsidR="00F10A66" w:rsidRDefault="00D77537">
      <w:r>
        <w:t xml:space="preserve">Concernant les films de Debord maintenant et vraiment beaucoup trop rapidement, et donc sans là non plus espérer vous exposer le tout de ce type de pratique, et tout en sachant que je ne vais guère avoir le temps de vous en passer des extraits, je voudrais encore vous présenter quelques procédés typiques, qui ne collent d’ailleurs pas toujours à la définition stricte ni au mode d’emploi du détournement (le sens « strict » de Debord et Wolman). D’abord je dois vous rappeler la volonté affichée, dès l’IL, de négation du cinéma (écran noir, silence – voir </w:t>
      </w:r>
      <w:r>
        <w:rPr>
          <w:shd w:val="clear" w:color="auto" w:fill="FFFF00"/>
        </w:rPr>
        <w:t xml:space="preserve">le photogramme tiré du film </w:t>
      </w:r>
      <w:r>
        <w:rPr>
          <w:i/>
          <w:iCs/>
          <w:shd w:val="clear" w:color="auto" w:fill="FFFF00"/>
        </w:rPr>
        <w:t>La Société du Spectacle</w:t>
      </w:r>
      <w:r>
        <w:t xml:space="preserve"> sur « Que faire du cinéma ? « ). Debord est cependant l’auteur d’un certain nombre de films </w:t>
      </w:r>
      <w:r>
        <w:rPr>
          <w:rStyle w:val="Ancredenotedebasdepage"/>
        </w:rPr>
        <w:footnoteReference w:id="22"/>
      </w:r>
      <w:r>
        <w:t xml:space="preserve"> (de durées variables), qui sont faits d’un assemblage-montage de matériaux différents : extraits de films, images originales, photos personnelles, images d’actualité, photos « publiques », images publicitaires, néant (écran noir ou écran blanc) mais aussi texte original (le plus souvent lu par Debord lui-même), citations (auto-citations aussi) et musique (jamais originale).</w:t>
      </w:r>
    </w:p>
    <w:p w14:paraId="5423685B" w14:textId="77777777" w:rsidR="00F10A66" w:rsidRDefault="00D77537">
      <w:r>
        <w:t>Pour Raoul Vaneigem, les choses sont quelque peu différentes : d’abord un ton peut-être un peu moins sérieux que chez Debord (nombre d’insultes, ce que ne se permet pas Debord), une utilisation conséquente d’extraits de livres « sans intérêt » (</w:t>
      </w:r>
      <w:r>
        <w:rPr>
          <w:i/>
          <w:iCs/>
        </w:rPr>
        <w:t>détournement mineur</w:t>
      </w:r>
      <w:r>
        <w:t xml:space="preserve">), ce que ne se permet guère Debord dans </w:t>
      </w:r>
      <w:r>
        <w:rPr>
          <w:i/>
          <w:iCs/>
        </w:rPr>
        <w:t>La Société du Spectacle</w:t>
      </w:r>
      <w:r>
        <w:t>, qu’il reconnaît d’ailleurs aisément, et puis surtout un irrespect total de la « propriété (privée) intellectuelle », qui se comprend bien sûr idéologiquement (vol, ou même pillage, plagiat, énonciation collective </w:t>
      </w:r>
      <w:r>
        <w:rPr>
          <w:rStyle w:val="Ancredenotedebasdepage"/>
        </w:rPr>
        <w:footnoteReference w:id="23"/>
      </w:r>
      <w:r>
        <w:t xml:space="preserve"> et détournement bien entendu) : « Dans le </w:t>
      </w:r>
      <w:r>
        <w:rPr>
          <w:i/>
          <w:iCs/>
        </w:rPr>
        <w:t>Traité</w:t>
      </w:r>
      <w:r>
        <w:t xml:space="preserve">, j’ai procédé à de nombreux détournements. Personne ne les a jamais repérés de manière exhaustive. J’aurais moi-même du mal à les retrouver… Je me souviens même avoir repris un bout de phrase tiré d’un roman sans grand intérêt, parce qu’elle décrivait l’état de survie des gens. Personne ne s’est </w:t>
      </w:r>
      <w:r>
        <w:lastRenderedPageBreak/>
        <w:t>jamais aperçu de quoi que ce soit » (</w:t>
      </w:r>
      <w:r>
        <w:rPr>
          <w:smallCaps/>
        </w:rPr>
        <w:t>Berréby</w:t>
      </w:r>
      <w:r>
        <w:t xml:space="preserve"> et </w:t>
      </w:r>
      <w:r>
        <w:rPr>
          <w:smallCaps/>
        </w:rPr>
        <w:t>Vaneigem</w:t>
      </w:r>
      <w:r>
        <w:t xml:space="preserve"> 2014 : 71). Cela dit, bien sûr, énormément de similitudes aussi : les citations ont le même rôle que chez Debord (elles confinent au </w:t>
      </w:r>
      <w:r>
        <w:rPr>
          <w:i/>
          <w:iCs/>
        </w:rPr>
        <w:t>name-dropping</w:t>
      </w:r>
      <w:r>
        <w:t xml:space="preserve"> chez Vaneigem), à savoir, pour être un peu réducteur, d’accumulations référentielles constructrices d’une image radicale-érudite. Je cite juste un seul exemple (mais je vous ai photographié les </w:t>
      </w:r>
      <w:r>
        <w:rPr>
          <w:shd w:val="clear" w:color="auto" w:fill="FFFF00"/>
        </w:rPr>
        <w:t>deux des trois pages</w:t>
      </w:r>
      <w:r>
        <w:t xml:space="preserve"> – écriture serrée – de mon relevé de cette intertextualité chez Vaneigem) : « La raison passionnelle de Sade, le sarcasme de Kierkegaard, l’ironie vacillante de Nietzsche, la violence de Maldoror, la froideur mallarméenne, l’Umour de Jarry, le négativisme de Dada, voilà les forces qui se sont déployées sans limites pour introduire dans la conscience des hommes un peu de la moisissure des valeurs pourrissantes. » (</w:t>
      </w:r>
      <w:r>
        <w:rPr>
          <w:smallCaps/>
        </w:rPr>
        <w:t>Vaneigem</w:t>
      </w:r>
      <w:r>
        <w:t xml:space="preserve"> 1992 : 228). Le détournement chez Vaneigem a lui cette fonction de dénoncer le travail littéraire (« il n’est plus temps d’écrire »), de montrer l’illusion du génie littéraire (fonction habituelle, voir déjà le « MED ») et de récapituler l’histoire avant (et en faveur de) la révolution (</w:t>
      </w:r>
      <w:r>
        <w:rPr>
          <w:i/>
          <w:iCs/>
        </w:rPr>
        <w:t>inventaire avant bouleversement</w:t>
      </w:r>
      <w:r>
        <w:t>). Vaneigem le décrivait lui-même ainsi : « Le détournement est le jeu à la fois le plus naturel et le plus radical, puisqu’il retourne contre l’ennemi ses marchandises qu’il croyait univoques » (</w:t>
      </w:r>
      <w:r>
        <w:rPr>
          <w:smallCaps/>
        </w:rPr>
        <w:t>Vaneigem</w:t>
      </w:r>
      <w:r>
        <w:t xml:space="preserve"> 1992 : 341). Je donne ici quelques exemples en vrac (entre parenthèses les pages qui renvoient à mon édition de référence du </w:t>
      </w:r>
      <w:r>
        <w:rPr>
          <w:i/>
          <w:iCs/>
        </w:rPr>
        <w:t>Traité</w:t>
      </w:r>
      <w:r>
        <w:t>) : « le désespoir est la maladie infantile des révolutionnaires de la vie quotidienne » (Lénine – 39) ; « Très tôt, les grandes idéologies lâchent la foi pour le nombre » (116) ; « Instant par instant, le temps fait son puits, tout se perd, rien ne se crée » (119) ; « On croit lutter pour le prolétariat, on meurt pour ses dirigeants » (Anatole France – 141) ; « Ce qui ne tue pas le pouvoir le rend plus fort » (Nietzsche – 213).</w:t>
      </w:r>
    </w:p>
    <w:p w14:paraId="6D674AE4" w14:textId="77777777" w:rsidR="00F10A66" w:rsidRDefault="00D77537">
      <w:pPr>
        <w:pStyle w:val="Titre4"/>
      </w:pPr>
      <w:r>
        <w:rPr>
          <w:iCs/>
        </w:rPr>
        <w:t>Mémoires</w:t>
      </w:r>
      <w:r>
        <w:t xml:space="preserve"> de Guy Debord</w:t>
      </w:r>
    </w:p>
    <w:p w14:paraId="2EB0F2E2" w14:textId="77777777" w:rsidR="00F10A66" w:rsidRDefault="00D77537">
      <w:pPr>
        <w:pStyle w:val="Citationintense"/>
      </w:pPr>
      <w:r>
        <w:t xml:space="preserve">Qu’on ne dise pas que je n’ai rien dit de nouveau : la disposition des matières est nouvelle. (Pascal, </w:t>
      </w:r>
      <w:r>
        <w:rPr>
          <w:i/>
          <w:iCs w:val="0"/>
        </w:rPr>
        <w:t>Pensées</w:t>
      </w:r>
      <w:r>
        <w:t>)</w:t>
      </w:r>
    </w:p>
    <w:p w14:paraId="55628ADD" w14:textId="77777777" w:rsidR="00F10A66" w:rsidRDefault="00D77537">
      <w:r>
        <w:t xml:space="preserve">« J’ai publié des </w:t>
      </w:r>
      <w:r>
        <w:rPr>
          <w:i/>
          <w:iCs/>
        </w:rPr>
        <w:t xml:space="preserve">Mémoires </w:t>
      </w:r>
      <w:r>
        <w:t xml:space="preserve">qui n’étaient franchement composés que de citations très variées, sans compter une seule phrase, même brève, qui soit de moi. J’ai offert cet anti-livre à mes amis, sans plus. Personne d’autre n’a été avisé de son existence. “Je voulais parler la belle langue de mon siècle”. Je ne tenais pas tellement à être écouté. […] J’avais prouvé d’emblée ma sobre indifférence envers le jugement du public, puisque celui-ci n’était même plus admis à voir l’ouvrage. […] Leur [aux </w:t>
      </w:r>
      <w:r>
        <w:rPr>
          <w:i/>
          <w:iCs/>
        </w:rPr>
        <w:t>Mémoires</w:t>
      </w:r>
      <w:r>
        <w:t xml:space="preserve">] célébrité est venue de </w:t>
      </w:r>
      <w:r>
        <w:lastRenderedPageBreak/>
        <w:t xml:space="preserve">n’avoir été répandue que sur le mode du potlatch : c’est-à-dire du cadeau somptuaire, qui met l’autre au défi de donner en retour quelque chose de plus extrême. Ainsi mes </w:t>
      </w:r>
      <w:r>
        <w:rPr>
          <w:i/>
          <w:iCs/>
        </w:rPr>
        <w:t>Mémoires</w:t>
      </w:r>
      <w:r>
        <w:t xml:space="preserve">, depuis trente-cinq ans, n’ont jamais été mis en vente » (Guy </w:t>
      </w:r>
      <w:r>
        <w:rPr>
          <w:smallCaps/>
        </w:rPr>
        <w:t>Debord</w:t>
      </w:r>
      <w:r>
        <w:t xml:space="preserve"> – Préface à la réédition de </w:t>
      </w:r>
      <w:r>
        <w:rPr>
          <w:i/>
          <w:iCs/>
        </w:rPr>
        <w:t>Mémoires</w:t>
      </w:r>
      <w:r>
        <w:t xml:space="preserve"> en 1993). </w:t>
      </w:r>
    </w:p>
    <w:p w14:paraId="4076140E" w14:textId="77777777" w:rsidR="00F10A66" w:rsidRDefault="00D77537">
      <w:r>
        <w:t xml:space="preserve">Une manière, on le voit, de pratiquer ce que l’on a appelé (plus tard) l’uncreative writing (« écriture sans écriture » – soit l’invention d’une nouvelle forme d’écriture, si on veut, mais qui n’est pas, à mon avis non-créative, on le verra), puisqu’il s’agit pour Debord de recourir au copié-collé intégral et généralisé (des citations directes donc). Debord, né en 1931, a 27 ans lorsque ces </w:t>
      </w:r>
      <w:r>
        <w:rPr>
          <w:i/>
          <w:iCs/>
        </w:rPr>
        <w:t>Mémoires</w:t>
      </w:r>
      <w:r>
        <w:t xml:space="preserve"> sont publiés, qui ne sont destinés qu’à quelques amis choisis</w:t>
      </w:r>
      <w:r>
        <w:rPr>
          <w:rStyle w:val="Ancredenotedebasdepage"/>
        </w:rPr>
        <w:footnoteReference w:id="24"/>
      </w:r>
      <w:r>
        <w:t xml:space="preserve"> donc (et seuls à même de comprendre une part des allusions du livre). Le livre est divisé en trois parties inégales : Juin 1952, Décembre 1952 et Septembre 1953.</w:t>
      </w:r>
    </w:p>
    <w:p w14:paraId="0CEC39C7" w14:textId="77777777" w:rsidR="00F10A66" w:rsidRDefault="00D77537">
      <w:r>
        <w:t xml:space="preserve">Boris Donné en a donné un « essai d’élucidation » : il a retrouvé l’origine et identifié la quasi-totalité des éléments découpés et détournés dans ces </w:t>
      </w:r>
      <w:r>
        <w:rPr>
          <w:i/>
          <w:iCs/>
        </w:rPr>
        <w:t>Mémoires</w:t>
      </w:r>
      <w:r>
        <w:t xml:space="preserve">, et il montre à quel point ils sont chargés de sens en restituant leur contexte primitif (mais aussi, via leur logique d’assemblage, leur destination finale, puisqu’il tente de retrouver aussi le fil du récit que ces fragments tissent par allusion). Selon le même Donné, Debord aurait procédé ainsi : découpage pendant 3 mois, collage (et redécoupage, parfois), séquençage rythmique (suppression de la ponctuation finale et effacement des bordures et donc du découpage visible des fragments), établissement des titres et épigraphes des différentes parties, interventions d’Asger Jorn (couleurs, taches de formes diverses, projections, explosions, hachures, etc.). Ce travail important de récollection (ou d’assemblage) a été effectué selon un canevas préétabli et découpé en séquences (qui sont internes aux 3 parties dont j’ai parlé). Les interventions diverses de Jorn et de Debord font en sorte que </w:t>
      </w:r>
      <w:r>
        <w:rPr>
          <w:i/>
          <w:iCs/>
        </w:rPr>
        <w:t>Mémoires</w:t>
      </w:r>
      <w:r>
        <w:t xml:space="preserve"> n’est pas un centon, qui n’était que le « simple » montage par juxtaposition d’éléments découpés.</w:t>
      </w:r>
    </w:p>
    <w:p w14:paraId="5D712EDB" w14:textId="77777777" w:rsidR="00F10A66" w:rsidRDefault="00D77537">
      <w:r>
        <w:t xml:space="preserve">Voici de manière quelque peu sommaire les principales caractéristiques de ce livre, en ce qui concerne le montage : </w:t>
      </w:r>
    </w:p>
    <w:p w14:paraId="5A1F5DCD" w14:textId="77777777" w:rsidR="00F10A66" w:rsidRDefault="00D77537">
      <w:r>
        <w:t xml:space="preserve">- Les matériaux (les « éléments préfabriqués » revendiqués par Debord dès la page de titre) utilisés sont soit des citations revendiquées non-tronquées (au début de chacune des 3 parties du livre – </w:t>
      </w:r>
      <w:r>
        <w:rPr>
          <w:shd w:val="clear" w:color="auto" w:fill="FFFF00"/>
        </w:rPr>
        <w:t>exemple</w:t>
      </w:r>
      <w:r>
        <w:t xml:space="preserve">), soit des citations sans </w:t>
      </w:r>
      <w:r>
        <w:lastRenderedPageBreak/>
        <w:t>guillemets non-tronquées </w:t>
      </w:r>
      <w:r>
        <w:rPr>
          <w:rStyle w:val="Ancredenotedebasdepage"/>
        </w:rPr>
        <w:footnoteReference w:id="25"/>
      </w:r>
      <w:r>
        <w:t>, soit des citations sans guillemets tronquées (coupées, déchirées, froissées, pliées), soit des photos privées, soit des photos de toute autre origine, soit des plans (ou des schémas), soit des cartes géographiques.</w:t>
      </w:r>
    </w:p>
    <w:p w14:paraId="005E5DF0" w14:textId="77777777" w:rsidR="00F10A66" w:rsidRDefault="00D77537">
      <w:r>
        <w:t xml:space="preserve">- Les détournements sont de plusieurs types : par modification du contexte (détournement mineur ou abusif), par modification du matériau (détournement mineur ou abusif là encore) et/ou du contexte. Cette dernière modification peut être tout simplement une coupe dans un mot : « un usage révolutionnaire du </w:t>
      </w:r>
      <w:r>
        <w:rPr>
          <w:i/>
          <w:iCs/>
        </w:rPr>
        <w:t>cinémascope</w:t>
      </w:r>
      <w:r>
        <w:t xml:space="preserve"> » (cité d’un article de François Truffaut, à propos du film </w:t>
      </w:r>
      <w:r>
        <w:rPr>
          <w:i/>
          <w:iCs/>
        </w:rPr>
        <w:t>Lola Montès</w:t>
      </w:r>
      <w:r>
        <w:t xml:space="preserve"> de Max Ophüls) devient « un usage révolutionnaire du </w:t>
      </w:r>
      <w:r>
        <w:rPr>
          <w:i/>
          <w:iCs/>
        </w:rPr>
        <w:t>cinéma</w:t>
      </w:r>
      <w:r>
        <w:t> » (à propos de Debord et des lettristes).</w:t>
      </w:r>
    </w:p>
    <w:p w14:paraId="3F467935" w14:textId="77777777" w:rsidR="00F10A66" w:rsidRDefault="00D77537">
      <w:r>
        <w:t>- L’origine des matériaux est aussi très variée : « classiques » de la littérature (Bossuet, Pascal, Shakespeare, Baudelaire, Cardinal de Retz, Céline, Thomas de Quincey), manuels scolaires, presse, revues diverses, romans contemporains (Sagan), brochures publicitaires, cartes. « Tout peut servir », en effet.</w:t>
      </w:r>
    </w:p>
    <w:p w14:paraId="0DA4C8DD" w14:textId="77777777" w:rsidR="00F10A66" w:rsidRDefault="00D77537">
      <w:r>
        <w:t>- Le travail pictural d’Asger Jorn et l’application d’un plan précis </w:t>
      </w:r>
      <w:r>
        <w:rPr>
          <w:rStyle w:val="Ancredenotedebasdepage"/>
        </w:rPr>
        <w:footnoteReference w:id="26"/>
      </w:r>
      <w:r>
        <w:t xml:space="preserve"> (partition du récit en trois chapitres, qui sont comme des interventions encadrantes) font en sorte qu’il existe une fluidité et une continuité du récit (un continuum par-delà les ruptures, également dû au travail de séquençage rythmique), malgré qu’on ne puisse pourtant pas parler d’invisibilité du montage (au contraire, il est montré et revendiqué). Il me semble aussi que la distance (originelle) et les oppositions entre les éléments exogènes est ici relativement gommée (« suture », pour parler comme Jan Baetens). Très paradoxal finalement cet assemblage suturant qui pourtant exhibe encore « des mutilations et lacérations, froissements et froncements » (</w:t>
      </w:r>
      <w:r>
        <w:rPr>
          <w:smallCaps/>
        </w:rPr>
        <w:t>Donné</w:t>
      </w:r>
      <w:r>
        <w:t xml:space="preserve"> 2004 : 12) et dont la « mise en page éclatée joue sur le démembrement et l’écartèlement, la distorsion ou la dispersion des fragments d’une même origine » (</w:t>
      </w:r>
      <w:r>
        <w:rPr>
          <w:i/>
          <w:iCs/>
        </w:rPr>
        <w:t>Idem</w:t>
      </w:r>
      <w:r>
        <w:t xml:space="preserve">). On pourrait d’ailleurs dire la même chose du travail de Jorn : il s’agit en effet bien de structures portantes, orientant la lecture, mais qui renforcent paradoxalement le désordre (ou en tout cas donnent leur rythme </w:t>
      </w:r>
      <w:r>
        <w:lastRenderedPageBreak/>
        <w:t>brisé aux pages : mouvement, énergie, violence, illustration, établissement de relations ou de liaisons, etc.).</w:t>
      </w:r>
      <w:r>
        <w:rPr>
          <w:i/>
          <w:iCs/>
        </w:rPr>
        <w:t xml:space="preserve"> </w:t>
      </w:r>
    </w:p>
    <w:p w14:paraId="05BA89A6" w14:textId="77777777" w:rsidR="00F10A66" w:rsidRDefault="00D77537">
      <w:r>
        <w:t xml:space="preserve">Du point de vue de la rhétorique, et pour en reprendre les 3 perspectives canoniques (ou piliers) : </w:t>
      </w:r>
    </w:p>
    <w:p w14:paraId="603F6418" w14:textId="7A3B1CD3" w:rsidR="00F10A66" w:rsidRDefault="00D77537">
      <w:r>
        <w:rPr>
          <w:i/>
          <w:iCs/>
        </w:rPr>
        <w:t>- Logos</w:t>
      </w:r>
      <w:r>
        <w:t> : assez peu d’ouverture au public (pour dire le moins), structure agrumentative particulière (allusions cryptées, importance du travail d’Asger Jorn, plan très précis mai</w:t>
      </w:r>
      <w:r w:rsidR="00D23C80">
        <w:t>s</w:t>
      </w:r>
      <w:r>
        <w:t xml:space="preserve"> aussi goût du secret et du jeu de la conspiration) et agencement de l’ouvrage et des matériaux (pas de hasard et lisibilité tout de même).</w:t>
      </w:r>
    </w:p>
    <w:p w14:paraId="7AEFCECC" w14:textId="77777777" w:rsidR="00F10A66" w:rsidRDefault="00D77537">
      <w:r>
        <w:rPr>
          <w:i/>
          <w:iCs/>
        </w:rPr>
        <w:t>- Ethos</w:t>
      </w:r>
      <w:r>
        <w:t xml:space="preserve"> (image verbale de Debord) : immodestie aristocratique et élitiste (mais en même temps le livre n’était pas destiné à être largement diffusé </w:t>
      </w:r>
      <w:r>
        <w:rPr>
          <w:rStyle w:val="Ancredenotedebasdepage"/>
        </w:rPr>
        <w:footnoteReference w:id="27"/>
      </w:r>
      <w:r>
        <w:t>), mais aussi révolte et marginalité.</w:t>
      </w:r>
    </w:p>
    <w:p w14:paraId="5CDD5F65" w14:textId="169EEB54" w:rsidR="00F10A66" w:rsidRDefault="00D77537">
      <w:r>
        <w:rPr>
          <w:i/>
          <w:iCs/>
        </w:rPr>
        <w:t>- Pathos</w:t>
      </w:r>
      <w:r>
        <w:t xml:space="preserve"> : à mon avis lyrique-nostalgique principalement. Nostalgie très large, cependant, et dans un sens à la fois très privé et très « général » (« Passons, passons, puisque tout passe / Je me retournerai souvent »). Lyrisme : amitié et amour. Asger Jorn, dans </w:t>
      </w:r>
      <w:r>
        <w:rPr>
          <w:i/>
          <w:iCs/>
        </w:rPr>
        <w:t>Guy Debord et le problème du maudit</w:t>
      </w:r>
      <w:r>
        <w:t xml:space="preserve"> (19</w:t>
      </w:r>
      <w:r w:rsidR="00D23C80">
        <w:t>6</w:t>
      </w:r>
      <w:r>
        <w:t xml:space="preserve">4) avait résumé </w:t>
      </w:r>
      <w:r>
        <w:rPr>
          <w:i/>
          <w:iCs/>
        </w:rPr>
        <w:t>Mémoires</w:t>
      </w:r>
      <w:r>
        <w:t xml:space="preserve"> ainsi : « Un livre d’amour relié en papier de verre » (cité dans </w:t>
      </w:r>
      <w:r>
        <w:rPr>
          <w:smallCaps/>
        </w:rPr>
        <w:t>Donné</w:t>
      </w:r>
      <w:r>
        <w:t xml:space="preserve"> 2004 : 86). Boris Donné a justement souligné que les deux premières parties du livre « se distinguent par leur unité affective » (</w:t>
      </w:r>
      <w:r>
        <w:rPr>
          <w:smallCaps/>
        </w:rPr>
        <w:t>Donné</w:t>
      </w:r>
      <w:r>
        <w:t xml:space="preserve"> 2004 : 89) : amour unique et perdu sans retour (Barbara Rosenthal, première amoureuse parisienne), « tout un réseau de fréquentations amicales et amoureuses » (</w:t>
      </w:r>
      <w:r>
        <w:rPr>
          <w:i/>
          <w:iCs/>
        </w:rPr>
        <w:t>Idem</w:t>
      </w:r>
      <w:r>
        <w:t>).</w:t>
      </w:r>
    </w:p>
    <w:p w14:paraId="33A18620" w14:textId="77777777" w:rsidR="00F10A66" w:rsidRDefault="00D77537">
      <w:r>
        <w:t>L’on pouvait lire dans l’</w:t>
      </w:r>
      <w:r>
        <w:rPr>
          <w:i/>
          <w:iCs/>
        </w:rPr>
        <w:t>IS</w:t>
      </w:r>
      <w:r>
        <w:t xml:space="preserve"> n</w:t>
      </w:r>
      <w:r>
        <w:rPr>
          <w:vertAlign w:val="superscript"/>
        </w:rPr>
        <w:t>o</w:t>
      </w:r>
      <w:r>
        <w:t xml:space="preserve"> 3 de décembre 1959 : « Les deux lois fondamentales du détournement sont la perte d’importance – allant jusqu’à la déperdition de son sens premier – de chaque élément autonome détourné ; et en même temps, l’organisation d’un autre ensemble signifiant, qui confère à chaque élément sa nouvelle portée. » Ce montage au sens strict (qui est bien l’assemblage des éléments détournés), en tant qu’il est un agencement (et donc… la construction d’une situation, qui est elle-même la situation d’une construction </w:t>
      </w:r>
      <w:r>
        <w:rPr>
          <w:i/>
          <w:iCs/>
        </w:rPr>
        <w:t>émouvante</w:t>
      </w:r>
      <w:r>
        <w:t xml:space="preserve">) est le seul à même de produire des effets, que Debord et Wolman, dans le MED, catégorisaient en « parodique » et, à un stade plus développé, de « sublime » (« un certain sublime », plutôt). </w:t>
      </w:r>
      <w:r>
        <w:rPr>
          <w:i/>
          <w:iCs/>
        </w:rPr>
        <w:t>Mémoires</w:t>
      </w:r>
      <w:r>
        <w:t xml:space="preserve"> semble plutôt relever de cette dernière catégorie. Cependant que des effets plus inattendus ont été soulignés par Boris Donné et notamment celui de la vision brouillée de l’alcool (qui est l’ambiance de ce temps de </w:t>
      </w:r>
      <w:r>
        <w:lastRenderedPageBreak/>
        <w:t>1952–1953) et de l’ivresse </w:t>
      </w:r>
      <w:r>
        <w:rPr>
          <w:rStyle w:val="Ancredenotedebasdepage"/>
        </w:rPr>
        <w:footnoteReference w:id="28"/>
      </w:r>
      <w:r>
        <w:t> : « Dans son intention d’effet […], le livre vise à produire quelque chose des courts-circuits de la pensée propre à l’ivresse » (</w:t>
      </w:r>
      <w:r>
        <w:rPr>
          <w:smallCaps/>
        </w:rPr>
        <w:t>Donné</w:t>
      </w:r>
      <w:r>
        <w:t xml:space="preserve"> 2004 : 83).</w:t>
      </w:r>
    </w:p>
    <w:p w14:paraId="56A34AB2" w14:textId="74C5D0C5" w:rsidR="00F10A66" w:rsidRDefault="00D77537">
      <w:r>
        <w:t xml:space="preserve">Bernard Aspe, dans un court texte intitulé </w:t>
      </w:r>
      <w:r>
        <w:rPr>
          <w:i/>
          <w:iCs/>
        </w:rPr>
        <w:t>La méthode du montage</w:t>
      </w:r>
      <w:r>
        <w:t>, a décrit selon lui ce qu’étaient les trois gestes du montage (prélever, joindre et diviser, ces deux derniers gestes revenant à « agencer » </w:t>
      </w:r>
      <w:r>
        <w:rPr>
          <w:rStyle w:val="Ancredenotedebasdepage"/>
        </w:rPr>
        <w:footnoteReference w:id="29"/>
      </w:r>
      <w:r>
        <w:t>). Il exposait les visées eisensteiniennes concernant le montage, à savoir faire sortir l’individu hors de lui, qu’il soit alors plus que l’individu qu’il est et qu’ainsi le spectateur puisse « subjectiver sa position d’existence. » « Subjectivation » qu’Aspe (et Eisenstein avant lui) entendent au sens fort, puisque par là « il faut entendre qu’un être se fait porteur d’une pensée et d’une action dont il s’agit de trouver les voies d’inscription dans le monde ; une pensée et une action qui sont vouées à modifier de quelque manière l’état de ce monde. » Ces visées étaient également critiquées, via Jacques Rancière (</w:t>
      </w:r>
      <w:r>
        <w:rPr>
          <w:i/>
          <w:iCs/>
        </w:rPr>
        <w:t>Les temps modernes</w:t>
      </w:r>
      <w:r>
        <w:t xml:space="preserve">, p. 112), qui dénonçait « l’illusion de maîtrise propre à l’idéologie du montage : celle qui confond la production d’une performance et la production de son effet [la manière dont le sujet politique peut être fabriqué]. » Cependant, qu’à l’autre pôle, la revendication et l’affirmation de la « part inconstructible du sujet politique » (et donc de la seule valorisation de la performance, en tant qu’elle est une espèce de « pudeur formelle », culminant dans le refus à la fois de l’expression, de la monstration et de la représentation) ont pu être l’apanage des avant-gardes, également contemporaines. Aspe veut concilier singularité « augmentée » et communauté (sans restaurer de « Sujet de l’Histoire » pour autant) : « La méthode du montage fait signe au-delà des émergences singulières pour ajouter quelque chose qu’elles ne contiennent pas en tant que telles. Ajouter un supplément de </w:t>
      </w:r>
      <w:r>
        <w:rPr>
          <w:i/>
          <w:iCs/>
        </w:rPr>
        <w:t>communauté</w:t>
      </w:r>
      <w:r>
        <w:t xml:space="preserve">, un supplément de visibilité ou d’invisibilité à la </w:t>
      </w:r>
      <w:r>
        <w:rPr>
          <w:i/>
          <w:iCs/>
        </w:rPr>
        <w:t>communauté latente</w:t>
      </w:r>
      <w:r>
        <w:t xml:space="preserve"> afin de lui permettre une autre prise de forme [je souligne 2 fois]. » Se demandant par ailleurs quels seraient dès lors, dans cette méthode, les « opérateurs de la construction politique », il en pointe deux (à partir des gestes de base qu’il avait définis) qui me semblent assez bien correspondre avec les </w:t>
      </w:r>
      <w:r>
        <w:rPr>
          <w:i/>
          <w:iCs/>
        </w:rPr>
        <w:t xml:space="preserve">Mémoires </w:t>
      </w:r>
      <w:r>
        <w:t xml:space="preserve">de Debord : d’abord, dans le geste de </w:t>
      </w:r>
      <w:r>
        <w:lastRenderedPageBreak/>
        <w:t>joindre, il y a l’ajointement des temps éparpillés (le passé, bien sûr, mais aussi les temps singuliers fragmentés par le Capital) et ensuite, dans celui de diviser, il y a la … division des fausses continuités temporelles de la dynamique du Capital. Où l’on voit que l’opposition « continuité–disconstinuité » est ici une complémentarité. Où l’on voit surtout que la problématique est singulièrement déplacée, puisque qu’il ne s’agit pas d’une prise de conscience via une recette ni d’un déroutement formel toujours plus illisible, mais de ce que les opérations de montage permettent comme intelligibilité du cours des choses, à la fois comme effet sensible et effet de sens, dans une perspective de « pragmatique généralisée </w:t>
      </w:r>
      <w:r>
        <w:rPr>
          <w:rStyle w:val="Ancredenotedebasdepage"/>
        </w:rPr>
        <w:footnoteReference w:id="30"/>
      </w:r>
      <w:r>
        <w:t xml:space="preserve"> ». </w:t>
      </w:r>
      <w:r>
        <w:rPr>
          <w:i/>
          <w:iCs/>
        </w:rPr>
        <w:t>Mémoires</w:t>
      </w:r>
      <w:r>
        <w:t xml:space="preserve"> est ainsi à la fois un livre de refus et d’ouvertures (</w:t>
      </w:r>
      <w:r>
        <w:rPr>
          <w:i/>
        </w:rPr>
        <w:t>idem velle ac idem nolle</w:t>
      </w:r>
      <w:r>
        <w:t>) : de refus du public et d’ouverture à une certaine communauté restreinte et plus ou moins latente (« Une connivence que rien jamais ne pourrait défaire » (</w:t>
      </w:r>
      <w:r>
        <w:rPr>
          <w:smallCaps/>
        </w:rPr>
        <w:t>Donné</w:t>
      </w:r>
      <w:r>
        <w:t xml:space="preserve"> 2024 : 35) ; de refus critique et de </w:t>
      </w:r>
      <w:r>
        <w:rPr>
          <w:i/>
          <w:iCs/>
        </w:rPr>
        <w:t xml:space="preserve">construction </w:t>
      </w:r>
      <w:r>
        <w:t>(« structures », « éléments préfabriqués » traduisent cette prégnance de l’architecture et de l’agencement constructionnel), voire d’hommage ; de refus de l’ordre traditionnel du récit et d’une certaine continuité lisible ; de refus du temps capitaliste et d’ouverture au temps poétique vécu (un temps vécu comme un perpétuel présent, sans passé ni avenir, fait d’une succession d’expériences </w:t>
      </w:r>
      <w:r>
        <w:rPr>
          <w:rStyle w:val="Ancredenotedebasdepage"/>
        </w:rPr>
        <w:footnoteReference w:id="31"/>
      </w:r>
      <w:r>
        <w:t xml:space="preserve"> d’autant plus vives qu’elles sont immédiates (</w:t>
      </w:r>
      <w:r>
        <w:rPr>
          <w:smallCaps/>
        </w:rPr>
        <w:t>Donné</w:t>
      </w:r>
      <w:r>
        <w:t xml:space="preserve"> 2024 : 31) ; de refus du système marchand et d’ouverture </w:t>
      </w:r>
      <w:r>
        <w:rPr>
          <w:i/>
          <w:iCs/>
        </w:rPr>
        <w:t>potlatchique </w:t>
      </w:r>
      <w:r>
        <w:t xml:space="preserve">; du refus du spectaculaire et d’ouverture aux flux et rencontres amoureuses ; de refus du langage aliéné, ou plutôt de celui de la séparation, et d’ouverture à « la belle langue de son siècle », c’est-à-dire la vraie poésie de son temps et de sa vie, un langage </w:t>
      </w:r>
      <w:r>
        <w:rPr>
          <w:i/>
          <w:iCs/>
        </w:rPr>
        <w:t>immédiat</w:t>
      </w:r>
      <w:r>
        <w:t xml:space="preserve"> (ou le plus possible) ; de refus de l’Art et de l’œuvre et d’ouverture à l’art vital singulier et privé</w:t>
      </w:r>
      <w:r>
        <w:rPr>
          <w:rStyle w:val="Ancredenotedebasdepage"/>
        </w:rPr>
        <w:footnoteReference w:id="32"/>
      </w:r>
      <w:r>
        <w:t xml:space="preserve"> (expression restreinte et authentique des sentiments) ; </w:t>
      </w:r>
      <w:r w:rsidR="009B5E1A">
        <w:t xml:space="preserve">du refus de la fausse mémoire spectaculaire du non-mémorable et d’ouverture (paradoxale) au vécu individuel incommunicable ; </w:t>
      </w:r>
      <w:r>
        <w:t xml:space="preserve">du refus de la continuité et de la clarté et de l’ouverture à un certain ordre (certes secret) ; </w:t>
      </w:r>
      <w:r>
        <w:lastRenderedPageBreak/>
        <w:t>du refus du hasard existentiellement pauvre  et d’ouverture aux affinités électives (et aux électivités affectives), etc.</w:t>
      </w:r>
    </w:p>
    <w:p w14:paraId="51757D08" w14:textId="41A92C77" w:rsidR="00F10A66" w:rsidRDefault="00D77537">
      <w:r>
        <w:t xml:space="preserve">Et c’est en un sens cinématographique transposé à la « littérature » (et même : à la littérature de montage) qu’il faut lire </w:t>
      </w:r>
      <w:r>
        <w:rPr>
          <w:i/>
          <w:iCs/>
        </w:rPr>
        <w:t>Mémoires</w:t>
      </w:r>
      <w:r>
        <w:t>, application d’ « une certaine idée du cinéma » : « le dispositif cinéphilique comme production objective d’un temps commun et d’une perspective partagée et disputée ; le montage comme production subjective d’un autre monde ; la dynamique des images qui les constituent non comme monde des images séparées du monde mais images du monde inséparables du monde » (</w:t>
      </w:r>
      <w:r w:rsidR="00D917E8" w:rsidRPr="00D917E8">
        <w:t>Anonyme</w:t>
      </w:r>
      <w:r w:rsidR="00D917E8">
        <w:rPr>
          <w:smallCaps/>
        </w:rPr>
        <w:t xml:space="preserve"> [C.P.]</w:t>
      </w:r>
      <w:r>
        <w:t xml:space="preserve"> 2024).</w:t>
      </w:r>
    </w:p>
    <w:p w14:paraId="234A8B1A" w14:textId="77777777" w:rsidR="00F10A66" w:rsidRDefault="00D77537">
      <w:r>
        <w:t xml:space="preserve">Enfin, et bien qu’il faille, je l’ai dit, entendre « communauté » chez Debord dans un sens restreint (ou </w:t>
      </w:r>
      <w:r>
        <w:rPr>
          <w:i/>
          <w:iCs/>
        </w:rPr>
        <w:t>d’abord</w:t>
      </w:r>
      <w:r>
        <w:t xml:space="preserve"> restreint), l’on voit à quel point sa méthode était bel et bien anachroniquement </w:t>
      </w:r>
      <w:r>
        <w:rPr>
          <w:i/>
          <w:iCs/>
        </w:rPr>
        <w:t>aspienne</w:t>
      </w:r>
      <w:r>
        <w:t>, lui qui en appelle, à travers ses écrits et les différentes organisations ou mouvements qu’il traverse ou met sur pied, dans les années 1950, à la constitution d’</w:t>
      </w:r>
      <w:r>
        <w:rPr>
          <w:i/>
          <w:iCs/>
        </w:rPr>
        <w:t>entités collectives affectives</w:t>
      </w:r>
      <w:r>
        <w:t>. Cependant que cet appel et ce projet n’ont jamais pu être réalisés complètement : « Et quelques rencontres, seules, furent comme des signaux venus d’une vie plus intense, qui n’a pas été vraiment trouvée » (</w:t>
      </w:r>
      <w:r>
        <w:rPr>
          <w:i/>
          <w:iCs/>
        </w:rPr>
        <w:t>Critique de la séparation</w:t>
      </w:r>
      <w:r>
        <w:t>, 1961).</w:t>
      </w:r>
    </w:p>
    <w:p w14:paraId="7DC72D32" w14:textId="77777777" w:rsidR="00F10A66" w:rsidRDefault="00F10A66"/>
    <w:p w14:paraId="5D1DE5AD" w14:textId="77777777" w:rsidR="00F10A66" w:rsidRDefault="00D77537">
      <w:pPr>
        <w:pStyle w:val="Titre4"/>
      </w:pPr>
      <w:r>
        <w:t>Derniers petits exemples</w:t>
      </w:r>
    </w:p>
    <w:p w14:paraId="5F010A44" w14:textId="77777777" w:rsidR="00F10A66" w:rsidRDefault="00D77537">
      <w:r>
        <w:t>Pour finir cette question du détournement, et très rapidement encore, je veux vous montrer le détournement anonyme-collectif (ou presque) de films et de cases de bande dessinée : détournement avec modification, puisque si les images et dessins sont repris tels quels, le doublage ou le contenu des phylactères sont ajoutés ou modifiés dans un sens typiquement « situationniste ». Nous sommes ici dans le cas où, le matériau de base n’ayant pas une grande importance (littérature ou cinéma commercial et de série </w:t>
      </w:r>
      <w:r>
        <w:rPr>
          <w:rStyle w:val="Ancredenotedebasdepage"/>
        </w:rPr>
        <w:footnoteReference w:id="33"/>
      </w:r>
      <w:r>
        <w:t xml:space="preserve">), celui-ci sert de support à l’expression, plus ou moins drôle (« parodique »), des quelques « idées fixes » du mouvement. </w:t>
      </w:r>
      <w:r>
        <w:rPr>
          <w:shd w:val="clear" w:color="auto" w:fill="FFFF00"/>
        </w:rPr>
        <w:t>Détournement BD 1, 2 et 3</w:t>
      </w:r>
      <w:r>
        <w:t xml:space="preserve"> (</w:t>
      </w:r>
      <w:r>
        <w:rPr>
          <w:i/>
          <w:iCs/>
        </w:rPr>
        <w:t>IS</w:t>
      </w:r>
      <w:r>
        <w:t xml:space="preserve"> 1997 : 260). Autre exemple intéressant, une photo « correctement » légendée (pour faire dire la vérité à cette </w:t>
      </w:r>
      <w:r>
        <w:rPr>
          <w:shd w:val="clear" w:color="auto" w:fill="FFFF00"/>
        </w:rPr>
        <w:t>photo</w:t>
      </w:r>
      <w:r>
        <w:t>, contre le discours médiatique dominant : révélation-dévoilement ici (</w:t>
      </w:r>
      <w:r>
        <w:rPr>
          <w:i/>
          <w:iCs/>
        </w:rPr>
        <w:t>IS</w:t>
      </w:r>
      <w:r>
        <w:t xml:space="preserve"> 1997 : 417). Pour le plaisir j’y ai ajouté le détournement du photogramme d’un western </w:t>
      </w:r>
      <w:r>
        <w:lastRenderedPageBreak/>
        <w:t xml:space="preserve">(voir </w:t>
      </w:r>
      <w:r>
        <w:rPr>
          <w:shd w:val="clear" w:color="auto" w:fill="FFFF00"/>
        </w:rPr>
        <w:t>celui-ci</w:t>
      </w:r>
      <w:r>
        <w:t xml:space="preserve">) et le détournement d’une affiche publicitaire (cela passe ici par l’ajout d’une légende corrective </w:t>
      </w:r>
      <w:r>
        <w:rPr>
          <w:i/>
          <w:iCs/>
        </w:rPr>
        <w:t>déconditionnante</w:t>
      </w:r>
      <w:r>
        <w:t xml:space="preserve"> – voir </w:t>
      </w:r>
      <w:r>
        <w:rPr>
          <w:shd w:val="clear" w:color="auto" w:fill="FFFF00"/>
        </w:rPr>
        <w:t>celui-là</w:t>
      </w:r>
      <w:r>
        <w:t>).</w:t>
      </w:r>
    </w:p>
    <w:p w14:paraId="45F3CC89" w14:textId="77777777" w:rsidR="00F10A66" w:rsidRDefault="00D77537">
      <w:pPr>
        <w:pStyle w:val="Titre3"/>
      </w:pPr>
      <w:r>
        <w:t>Conclusions récapitulatives</w:t>
      </w:r>
    </w:p>
    <w:p w14:paraId="34FA8AF2" w14:textId="77777777" w:rsidR="00F10A66" w:rsidRDefault="00D77537">
      <w:r>
        <w:t xml:space="preserve">Pour récapituler un peu tout cela, je déterminerai chez les situationnistes quatre types principaux de détournement, sans vouloir bien entendu tomber dans le </w:t>
      </w:r>
      <w:r>
        <w:rPr>
          <w:i/>
          <w:iCs/>
        </w:rPr>
        <w:t>taxonomisme</w:t>
      </w:r>
      <w:r>
        <w:t xml:space="preserve"> (à mon avis un peu difficile : ce n’est pas pour rien que Mathieu Remy a pu parler à leur sujet d’ « intertextualité sauvage », voir </w:t>
      </w:r>
      <w:r>
        <w:rPr>
          <w:smallCaps/>
        </w:rPr>
        <w:t>Remy</w:t>
      </w:r>
      <w:r>
        <w:t xml:space="preserve"> 2005) : l’un est destructeur-critique et consiste, par changement complet de destination, à détruire le « vieux » en utilisant de manière détournée les westerns, la littérature populaire, la bd, etc. (anti-art et anti-élitisme revendiqués) ; l’autre est récapitulatif-constructeur (ce sont </w:t>
      </w:r>
      <w:r>
        <w:rPr>
          <w:i/>
          <w:iCs/>
        </w:rPr>
        <w:t>La Société du Spectacle</w:t>
      </w:r>
      <w:r>
        <w:t xml:space="preserve">, les films de Debord en général et le </w:t>
      </w:r>
      <w:r>
        <w:rPr>
          <w:i/>
          <w:iCs/>
        </w:rPr>
        <w:t>Traité</w:t>
      </w:r>
      <w:r>
        <w:t xml:space="preserve">) et consiste à l’actualisation de la théorie révolutionnaire, la volonté consciente de faire du neuf avec du vieux ou la promotion d’un réseau d’auteurs et d’artistes illustres, tout en confinant à l’anti-art également. Ce second type peut bien sûr être également critique, mais à partir de matériaux différents, c’est-à-dire le plus souvent honorables. Bien entendu, les deux types peuvent cohabiter plus ou moins (voir le film </w:t>
      </w:r>
      <w:r>
        <w:rPr>
          <w:i/>
          <w:iCs/>
        </w:rPr>
        <w:t>La Société du Spectacle</w:t>
      </w:r>
      <w:r>
        <w:t xml:space="preserve">). </w:t>
      </w:r>
    </w:p>
    <w:p w14:paraId="0AB14454" w14:textId="77777777" w:rsidR="00F10A66" w:rsidRDefault="00D77537">
      <w:r>
        <w:t>Les fonctions et les effets (les « effets conjoints du démontage et du remontage » (</w:t>
      </w:r>
      <w:r>
        <w:rPr>
          <w:smallCaps/>
        </w:rPr>
        <w:t>Baetens</w:t>
      </w:r>
      <w:r>
        <w:t xml:space="preserve"> 2025 : 111) plus ou moins voulus et attendus, plus ou moins performatifs aussi) de cette « stratégie révolutionnaire du texte » (et des images) en sont les suivants : rire (mais pas toujours </w:t>
      </w:r>
      <w:r>
        <w:rPr>
          <w:i/>
          <w:iCs/>
        </w:rPr>
        <w:t>pour rire</w:t>
      </w:r>
      <w:r>
        <w:t xml:space="preserve"> – il ne s’agit en tout cas jamais d’un jeu gratuit), tourner en dérision voire en ridicule (s’y ajoute aussi un régime satirique donc), </w:t>
      </w:r>
      <w:r>
        <w:rPr>
          <w:i/>
          <w:iCs/>
        </w:rPr>
        <w:t>irrespecter</w:t>
      </w:r>
      <w:r>
        <w:t>, profaner </w:t>
      </w:r>
      <w:r>
        <w:rPr>
          <w:rStyle w:val="Ancredenotedebasdepage"/>
        </w:rPr>
        <w:footnoteReference w:id="34"/>
      </w:r>
      <w:r>
        <w:t>, critiquer (la production culturelle et bien au-delà), récapituler, prôner une éthique révolutionnaire, démoraliser et dépasser l’art (fin du travail artistique, certes, mais aussi, par synecdoque particularisante, du travail tout court), « déconditionner » plus ou moins ludiquement, propager et préserver une « mémoire subversive des textes » (</w:t>
      </w:r>
      <w:r>
        <w:rPr>
          <w:smallCaps/>
        </w:rPr>
        <w:t>Remy</w:t>
      </w:r>
      <w:r>
        <w:t xml:space="preserve"> 2005), mettre à jour/rénover et bien entendu, rédimer, voler et partager (redistribuer), </w:t>
      </w:r>
      <w:r>
        <w:rPr>
          <w:i/>
          <w:iCs/>
        </w:rPr>
        <w:t>in fine</w:t>
      </w:r>
      <w:r>
        <w:t xml:space="preserve">, renverser le « vieux monde » (amener à la révolution). Il me faut insister sur l’effet selon moi le plus important, qui consiste en fait, mais vraiment concrètement pour le coup, à « sortir de l’art » (et donc du spectacle, de la passivité, de la consommation culturelle). Enfin les détournements produisent aussi des </w:t>
      </w:r>
      <w:r>
        <w:rPr>
          <w:i/>
          <w:iCs/>
        </w:rPr>
        <w:t>valeurs</w:t>
      </w:r>
      <w:r>
        <w:t xml:space="preserve"> (complémentarité de la dévalorisation et de la revalorisation). Nous avons vu quelles valeurs étaient ajoutées par ces différents détournements (liste non </w:t>
      </w:r>
      <w:r>
        <w:lastRenderedPageBreak/>
        <w:t>exhaustive) : hommage révérencieux, filiation revendiquée, auto/alter-légitimation, immodestie, dérision, reprise individuelle (« vol à l’étalage littéraire »), contestation, destruction, anarcho-communisme littéraire, etc.</w:t>
      </w:r>
    </w:p>
    <w:p w14:paraId="4D96F8E5" w14:textId="77777777" w:rsidR="00F10A66" w:rsidRDefault="00D77537">
      <w:r>
        <w:t xml:space="preserve">L’IS aura en tout cas mis en exergue l’enjeu « démocratique » (au sens fort) du détournement et du montage, dans la lutte contre la séparation (dont je parlais précédemment) : appropriation collective contre la transcendance du génie (le montage ce sont des opérations susceptibles d’être transposées et partagées) ; autonomie (plutôt qu’hétoronomie) grâce à la facilité du procédé ou du dispositif et opposition-suppression du rôle du « savant critique » ; communication entre les êtres comme fin particulière (langue authentique de la sensibilité). Ces deux pratiques, on le voit, sont également des pratiques </w:t>
      </w:r>
      <w:r>
        <w:rPr>
          <w:i/>
          <w:iCs/>
        </w:rPr>
        <w:t>éthiques</w:t>
      </w:r>
      <w:r>
        <w:t xml:space="preserve">, qui correspondent peu ou prou à la volonté de faire advenir, </w:t>
      </w:r>
      <w:r>
        <w:rPr>
          <w:i/>
          <w:iCs/>
        </w:rPr>
        <w:t>hic et nunc</w:t>
      </w:r>
      <w:r>
        <w:t xml:space="preserve">, quelque chose comme un « communisme en actes ». Étendues à la vie au sens le plus large, l’on voit aussi qu’à la fois la création de situations (qui est à proprement parler un </w:t>
      </w:r>
      <w:r>
        <w:rPr>
          <w:i/>
          <w:iCs/>
        </w:rPr>
        <w:t>montage</w:t>
      </w:r>
      <w:r>
        <w:t xml:space="preserve">, conçu comme la manière d’organiser les rencontres et de favoriser la faculté de rencontre, dont je rappelle que son manque ou son impossibilité sont justement les conditions de maintien de l’aliénation) et la psychogéographie (qui est elle d’abord un </w:t>
      </w:r>
      <w:r>
        <w:rPr>
          <w:i/>
          <w:iCs/>
        </w:rPr>
        <w:t xml:space="preserve">détournement, </w:t>
      </w:r>
      <w:r>
        <w:t>et qui nécessite de nombreuses infractions aux systèmes et grammaires sémiotiques), sont de nature éthique (dans un sens non-normatif et non-transcendant).</w:t>
      </w:r>
    </w:p>
    <w:p w14:paraId="33D753BE" w14:textId="77777777" w:rsidR="00F10A66" w:rsidRDefault="00D77537">
      <w:pPr>
        <w:pStyle w:val="Titre3"/>
      </w:pPr>
      <w:r>
        <w:t>Quelques propositions pour aller plus loin</w:t>
      </w:r>
    </w:p>
    <w:p w14:paraId="66B45EBD" w14:textId="77777777" w:rsidR="00F10A66" w:rsidRDefault="00D77537">
      <w:r>
        <w:t>D’abord, ce que le « MED » lui-même a appelé « ultra-détournement », celui de l’espace (notamment urbain), la psychogéographie, soit le « détournement à des fins poétiques des instruments de la géographie et de l’urbanisme » (</w:t>
      </w:r>
      <w:r>
        <w:rPr>
          <w:smallCaps/>
        </w:rPr>
        <w:t>Donné</w:t>
      </w:r>
      <w:r>
        <w:t xml:space="preserve"> 2004 : 59). Les situationnistes pratiquent en effet l’exploration « psychogéographique » (qu’on peut aussi appeler « dérive »), c’est-à-dire une approche sensible de l’espace, à la jointure du physique et du mental, et dont on aura pu lire une définition dans </w:t>
      </w:r>
      <w:r>
        <w:rPr>
          <w:i/>
          <w:iCs/>
        </w:rPr>
        <w:t>Les Lèvres Nues</w:t>
      </w:r>
      <w:r>
        <w:t xml:space="preserve"> n</w:t>
      </w:r>
      <w:r>
        <w:rPr>
          <w:vertAlign w:val="superscript"/>
        </w:rPr>
        <w:t>o</w:t>
      </w:r>
      <w:r>
        <w:t xml:space="preserve"> 9 : « Transformer l’errance [contre le hasard et la « simple errance » des surréalistes, donc] en exploration pour reconnaître des “continents” définis par leur unité d’ambiance, identifier les courants affectifs qui traversent l’espace urbain et apprendre à les dominer : cette ambition de connaissance et de maîtrise se traduit par la production de cartes qui démembrent les plans topographiques pour faire apparaître les articulations de la ville avec ses “plaques tournantes” et ses “pentes passionnelles” » (cité dans </w:t>
      </w:r>
      <w:r>
        <w:rPr>
          <w:smallCaps/>
        </w:rPr>
        <w:t>Donné</w:t>
      </w:r>
      <w:r>
        <w:t xml:space="preserve"> 2004 : 122–123). Cette exploration est évidemment à resituer dans le cadre des bouleversements urbanistiques de l’époque (venant concrétiser la domination marchande : espace séparé, fonctionnel, cloisonné, motorisé et domestiqué). </w:t>
      </w:r>
      <w:r>
        <w:lastRenderedPageBreak/>
        <w:t>Dans cette perspective, la pratique révolutionnaire, entreprise qui, selon les situationnistes, doit prendre pour toute première cible la vie quotidienne, a consisté, au moins pour commencer, à se réapproprier l’espace, à « retrouver » l’espace « perdu », activité dont les moyens ont été fournis principalement par la dérive et le détournement. La dérive situationniste est conçue comme une expérimentation rigoureuse dont la recension donne lieu à l’élaboration d’une « science » : « La part de l’aléatoire est ici moins déterminante qu’on ne croit : du point de vue de la dérive, il existe un relief psychogéographique des villes, avec des courants constants, des points fixes, et des tourbillons qui rendent l’accès ou la sortie de certaines zones fort malaisés. » (</w:t>
      </w:r>
      <w:r>
        <w:rPr>
          <w:smallCaps/>
        </w:rPr>
        <w:t>Debord</w:t>
      </w:r>
      <w:r>
        <w:t xml:space="preserve">, « Théorie de la dérive », </w:t>
      </w:r>
      <w:r>
        <w:rPr>
          <w:i/>
          <w:iCs/>
        </w:rPr>
        <w:t>Les Lèvres Nues</w:t>
      </w:r>
      <w:r>
        <w:t>, n</w:t>
      </w:r>
      <w:r>
        <w:rPr>
          <w:vertAlign w:val="superscript"/>
        </w:rPr>
        <w:t>o</w:t>
      </w:r>
      <w:r>
        <w:t xml:space="preserve"> 9). Le détournement de l’espace est ainsi la volonté de changement de destination de l’espace initial et « donné », une intervention à l’intérieur d’un contexte (tout à la fois scriptural, spatial, affectif) qui peut prendre certains aspects textuels (voir les comptes-rendus de dérive psychogéographique et l’élaboration de cartes psychogéographiques). Cette conception de la dérive, qui est aussi et surtout une pratique, rejoint partiellement celle de Jean-François Lyotard </w:t>
      </w:r>
      <w:r>
        <w:rPr>
          <w:rStyle w:val="Ancredenotedebasdepage"/>
        </w:rPr>
        <w:footnoteReference w:id="35"/>
      </w:r>
      <w:r>
        <w:t xml:space="preserve"> (encore une fois : les situationnistes y ajoutent, incluse dans leur pratique, celle de critique et ne sont évidemment pas étrangers, Marx et Hegel obligent, à la notion de « négativité » et à celle de « dépassement ») : « Toute critique bien loin de dépasser [le kapitalisme] le consolide. Ce qui le détruit, c’est la dérive du désir, c’est la perte d’investissement [libidinal] » (</w:t>
      </w:r>
      <w:r>
        <w:rPr>
          <w:smallCaps/>
        </w:rPr>
        <w:t>Lyotard</w:t>
      </w:r>
      <w:r>
        <w:t xml:space="preserve"> 1973 : 16). Il s’agit donc de favoriser ou pratiquer l’investissement dans d’autres régions (ou dispositifs) libidinales que celles de la valeur d’échange, en vue du décuplement, justement, de leur puissance libidinale. Selon Lyotard encore, « </w:t>
      </w:r>
      <w:r>
        <w:rPr>
          <w:i/>
          <w:iCs/>
        </w:rPr>
        <w:t>Derivatio</w:t>
      </w:r>
      <w:r>
        <w:t xml:space="preserve"> n’est pas du tout quitter une rive, mais détourner un </w:t>
      </w:r>
      <w:r>
        <w:rPr>
          <w:i/>
          <w:iCs/>
        </w:rPr>
        <w:t>rivus</w:t>
      </w:r>
      <w:r>
        <w:t xml:space="preserve">, un cours, une fluidité. » (p. 18). Détourner veut donc dire aller ailleurs ailleurs que là où on allait (et on reconnaît ici la pratique situationniste du détournement). La dérive est donc une forme particulière de détournement : un adieu à la rive « habituelle », et une critique en actes d’une certaine manière, mais justement </w:t>
      </w:r>
      <w:r>
        <w:rPr>
          <w:i/>
          <w:iCs/>
        </w:rPr>
        <w:t xml:space="preserve">par </w:t>
      </w:r>
      <w:r>
        <w:t>le détournement.</w:t>
      </w:r>
    </w:p>
    <w:p w14:paraId="30A353C6" w14:textId="77777777" w:rsidR="00F10A66" w:rsidRDefault="00D77537">
      <w:r>
        <w:t xml:space="preserve">Ensuite, la variété particulière de citation (donc aussi de </w:t>
      </w:r>
      <w:r>
        <w:rPr>
          <w:i/>
          <w:iCs/>
        </w:rPr>
        <w:t>détournement</w:t>
      </w:r>
      <w:r>
        <w:t xml:space="preserve">) qui consiste en la reprise malveillante appelée « récupération » (et qu’Antoine Compagnon, dans </w:t>
      </w:r>
      <w:r>
        <w:rPr>
          <w:i/>
          <w:iCs/>
        </w:rPr>
        <w:t>La seconde main ou le travail de la citation</w:t>
      </w:r>
      <w:r>
        <w:t xml:space="preserve">, ne relevait pas me semble-t-il). Forme spéciale de la citation « détournementeuse » pourrait-on dire, qui consiste à reprendre des idées ou des concepts tirés de telle ou </w:t>
      </w:r>
      <w:r>
        <w:lastRenderedPageBreak/>
        <w:t xml:space="preserve">telle théorie (ou pratique) révolutionnaire et de les acclimater, plus ou moins aisément, et avec plus ou moins de contorsions et de mauvaise foi, au monde dominant (celui de la marchandise). La récupération peut aussi consister en la neutralisation par muséification (ou toute autre institutionnalisation) qui « trahirait » ainsi l’esprit (et la lettre) révolutionnaire du mouvement. Un post-situationniste nommé Jaime Semprun a d’ailleurs écrit, en 1976 (éditions Champ Libre), un </w:t>
      </w:r>
      <w:r>
        <w:rPr>
          <w:i/>
          <w:iCs/>
        </w:rPr>
        <w:t>Précis de récupération illustré de nombreux exemples tirés de l’histoire récente</w:t>
      </w:r>
      <w:r>
        <w:t xml:space="preserve"> (avec un Index des récupérateurs et autres agents ou officines du spectacle).</w:t>
      </w:r>
    </w:p>
    <w:p w14:paraId="04D1A7FA" w14:textId="77777777" w:rsidR="00F10A66" w:rsidRDefault="00D77537">
      <w:r>
        <w:t xml:space="preserve">Enfin, je voudrais vous conseiller l’écoute d’une série de l’émission </w:t>
      </w:r>
      <w:r>
        <w:rPr>
          <w:i/>
          <w:iCs/>
        </w:rPr>
        <w:t>Nuits magnétiques</w:t>
      </w:r>
      <w:r>
        <w:t xml:space="preserve"> de France Culture, qui date de 1996, sur Guy Debord et les débuts de l’IS (de longs passages concernent cette période des années 1950 et des dérives alcoolisées, avec notamment les interventions et « témoignages » de Jean-Michel Mension ou Michèle Bernstein) : </w:t>
      </w:r>
    </w:p>
    <w:p w14:paraId="7A25DB83" w14:textId="08E6BB7D" w:rsidR="00F10A66" w:rsidRDefault="00FF4265">
      <w:hyperlink r:id="rId7" w:history="1">
        <w:r w:rsidRPr="002351F1">
          <w:rPr>
            <w:rStyle w:val="Lienhypertexte"/>
          </w:rPr>
          <w:t>www.youtube.com/watch?v=k1nVJDqEF4Q&amp;pp=ygUZZ3V5IGRlYm9yZCBmcmFuY2UgY3VsdHVyZQ%3D%3D</w:t>
        </w:r>
      </w:hyperlink>
      <w:r w:rsidR="00D77537">
        <w:t>.</w:t>
      </w:r>
    </w:p>
    <w:p w14:paraId="74B24DF0" w14:textId="77777777" w:rsidR="00FF4265" w:rsidRDefault="00FF4265"/>
    <w:p w14:paraId="2B612F19" w14:textId="15EFC36C" w:rsidR="00FF4265" w:rsidRDefault="00FF4265">
      <w:r>
        <w:t xml:space="preserve">Critique de la séparation (17’23) : </w:t>
      </w:r>
    </w:p>
    <w:p w14:paraId="6657DBFD" w14:textId="22D52727" w:rsidR="00FF4265" w:rsidRDefault="00FF4265">
      <w:hyperlink r:id="rId8" w:history="1">
        <w:r w:rsidRPr="002351F1">
          <w:rPr>
            <w:rStyle w:val="Lienhypertexte"/>
          </w:rPr>
          <w:t>https://www.youtube.com/watch?v=bDkLPyHp0Q0</w:t>
        </w:r>
      </w:hyperlink>
    </w:p>
    <w:p w14:paraId="7B2F2155" w14:textId="77777777" w:rsidR="00FF4265" w:rsidRDefault="00FF4265"/>
    <w:p w14:paraId="1FC896A8" w14:textId="6E8FC56E" w:rsidR="00FF4265" w:rsidRDefault="00FF4265">
      <w:r>
        <w:t xml:space="preserve">Sur le passage de quelques personnes à travers une assez courte unité de temps (18’48) : </w:t>
      </w:r>
      <w:hyperlink r:id="rId9" w:history="1">
        <w:r w:rsidRPr="002351F1">
          <w:rPr>
            <w:rStyle w:val="Lienhypertexte"/>
          </w:rPr>
          <w:t>https://www.youtube.com/watch?v=jkLN41JXmLw</w:t>
        </w:r>
      </w:hyperlink>
    </w:p>
    <w:p w14:paraId="662D704B" w14:textId="77777777" w:rsidR="00FF4265" w:rsidRDefault="00FF4265"/>
    <w:p w14:paraId="19632B8D" w14:textId="77777777" w:rsidR="00F10A66" w:rsidRDefault="00F10A66"/>
    <w:p w14:paraId="0C8A768D" w14:textId="77777777" w:rsidR="00F10A66" w:rsidRDefault="00F10A66"/>
    <w:p w14:paraId="36F2A6C9" w14:textId="77777777" w:rsidR="00F10A66" w:rsidRDefault="00F10A66"/>
    <w:p w14:paraId="15F54344" w14:textId="77777777" w:rsidR="00F10A66" w:rsidRDefault="00F10A66"/>
    <w:p w14:paraId="7D223DCC" w14:textId="77777777" w:rsidR="00F10A66" w:rsidRDefault="00F10A66"/>
    <w:p w14:paraId="25A9C0DC" w14:textId="77777777" w:rsidR="00F10A66" w:rsidRDefault="00F10A66"/>
    <w:p w14:paraId="7C58743C" w14:textId="77777777" w:rsidR="00F10A66" w:rsidRDefault="00F10A66"/>
    <w:p w14:paraId="68702A77" w14:textId="77777777" w:rsidR="00F10A66" w:rsidRDefault="00F10A66"/>
    <w:p w14:paraId="3219FD0F" w14:textId="77777777" w:rsidR="00F10A66" w:rsidRDefault="00F10A66"/>
    <w:p w14:paraId="2A0DFC85" w14:textId="77777777" w:rsidR="00F10A66" w:rsidRDefault="00F10A66"/>
    <w:p w14:paraId="759D4C83" w14:textId="77777777" w:rsidR="00F10A66" w:rsidRDefault="00F10A66"/>
    <w:p w14:paraId="2E8D2165" w14:textId="77777777" w:rsidR="00F10A66" w:rsidRDefault="00F10A66"/>
    <w:p w14:paraId="7746F76E" w14:textId="77777777" w:rsidR="00F10A66" w:rsidRDefault="00F10A66"/>
    <w:p w14:paraId="788F2BB2" w14:textId="77777777" w:rsidR="00F10A66" w:rsidRDefault="00F10A66"/>
    <w:p w14:paraId="278C4BDE" w14:textId="77777777" w:rsidR="00F10A66" w:rsidRDefault="00F10A66"/>
    <w:p w14:paraId="4C475565" w14:textId="77777777" w:rsidR="00F10A66" w:rsidRDefault="00F10A66"/>
    <w:p w14:paraId="67A3E40C" w14:textId="77777777" w:rsidR="00F10A66" w:rsidRDefault="00F10A66"/>
    <w:p w14:paraId="157090D4" w14:textId="77777777" w:rsidR="00F10A66" w:rsidRDefault="00F10A66"/>
    <w:p w14:paraId="1A70E125" w14:textId="77777777" w:rsidR="00F10A66" w:rsidRDefault="00F10A66"/>
    <w:p w14:paraId="3A8D37B5" w14:textId="77777777" w:rsidR="00F10A66" w:rsidRDefault="00D77537">
      <w:pPr>
        <w:pStyle w:val="Titre3"/>
      </w:pPr>
      <w:r>
        <w:t>Bibliographie</w:t>
      </w:r>
    </w:p>
    <w:p w14:paraId="5625F5C9" w14:textId="4F39DF3D" w:rsidR="00D917E8" w:rsidRDefault="00D917E8" w:rsidP="00D917E8">
      <w:pPr>
        <w:ind w:left="720" w:hanging="720"/>
      </w:pPr>
      <w:r w:rsidRPr="00D917E8">
        <w:t>Anonyme</w:t>
      </w:r>
      <w:r>
        <w:t xml:space="preserve"> [C. </w:t>
      </w:r>
      <w:r>
        <w:rPr>
          <w:smallCaps/>
        </w:rPr>
        <w:t>P.</w:t>
      </w:r>
      <w:r>
        <w:t xml:space="preserve">], « Un amour de clown : notre Joker. Gestes, trompettes, cirque et autres flamboiements », dans </w:t>
      </w:r>
      <w:r>
        <w:rPr>
          <w:i/>
          <w:iCs/>
        </w:rPr>
        <w:t>lundimatin</w:t>
      </w:r>
      <w:r>
        <w:t xml:space="preserve"> [En ligne], n</w:t>
      </w:r>
      <w:r>
        <w:rPr>
          <w:vertAlign w:val="superscript"/>
        </w:rPr>
        <w:t>o</w:t>
      </w:r>
      <w:r>
        <w:t xml:space="preserve"> 454, décembre 2024. URL : https://lundi.am/Un-amour-de-clown-notre-Joker</w:t>
      </w:r>
    </w:p>
    <w:p w14:paraId="569EE9A7" w14:textId="0AE389B1" w:rsidR="00F10A66" w:rsidRDefault="00D77537">
      <w:pPr>
        <w:ind w:left="720" w:hanging="720"/>
      </w:pPr>
      <w:r>
        <w:t xml:space="preserve">Bernard </w:t>
      </w:r>
      <w:r>
        <w:rPr>
          <w:smallCaps/>
        </w:rPr>
        <w:t>Aspe</w:t>
      </w:r>
      <w:r>
        <w:t xml:space="preserve">, « La méthode du montage », dans </w:t>
      </w:r>
      <w:r>
        <w:rPr>
          <w:i/>
          <w:iCs/>
        </w:rPr>
        <w:t>Colloque La Méthode du montage</w:t>
      </w:r>
      <w:r>
        <w:t xml:space="preserve"> [En ligne], Paris, février 2020. </w:t>
      </w:r>
    </w:p>
    <w:p w14:paraId="29768FC6" w14:textId="77777777" w:rsidR="00F10A66" w:rsidRDefault="00D77537">
      <w:pPr>
        <w:ind w:left="720" w:firstLine="0"/>
      </w:pPr>
      <w:r>
        <w:t>URL : https://ladivisionpolitique.toile-libre.org/bernard-aspe/</w:t>
      </w:r>
    </w:p>
    <w:p w14:paraId="44766C2E" w14:textId="77777777" w:rsidR="00F10A66" w:rsidRDefault="00D77537">
      <w:pPr>
        <w:ind w:left="720" w:hanging="720"/>
      </w:pPr>
      <w:r>
        <w:t xml:space="preserve">Jan </w:t>
      </w:r>
      <w:r>
        <w:rPr>
          <w:smallCaps/>
        </w:rPr>
        <w:t>Baetens</w:t>
      </w:r>
      <w:r>
        <w:t xml:space="preserve">, « Détournements de ciné-roman-photo », dans J. Jeusette, J. Piéron &amp; F. Provenzano (dir.) </w:t>
      </w:r>
      <w:r>
        <w:rPr>
          <w:i/>
          <w:iCs/>
        </w:rPr>
        <w:t>Littérature. Montage littéraire, de Cadiot à Quintane</w:t>
      </w:r>
      <w:r>
        <w:t>, n</w:t>
      </w:r>
      <w:r>
        <w:rPr>
          <w:vertAlign w:val="superscript"/>
        </w:rPr>
        <w:t>o</w:t>
      </w:r>
      <w:r>
        <w:t xml:space="preserve"> 220, Vol. 4, Paris, Armand Colin, 2025, p. 110–123.</w:t>
      </w:r>
    </w:p>
    <w:p w14:paraId="0E2104F8" w14:textId="77777777" w:rsidR="00F10A66" w:rsidRDefault="00D77537">
      <w:pPr>
        <w:ind w:left="720" w:hanging="720"/>
      </w:pPr>
      <w:r>
        <w:t xml:space="preserve">Gérard </w:t>
      </w:r>
      <w:r>
        <w:rPr>
          <w:smallCaps/>
        </w:rPr>
        <w:t>Berréby</w:t>
      </w:r>
      <w:r>
        <w:t xml:space="preserve"> &amp; Raoul </w:t>
      </w:r>
      <w:r>
        <w:rPr>
          <w:smallCaps/>
        </w:rPr>
        <w:t>Vaneigem</w:t>
      </w:r>
      <w:r>
        <w:t xml:space="preserve">, </w:t>
      </w:r>
      <w:r>
        <w:rPr>
          <w:i/>
          <w:iCs/>
        </w:rPr>
        <w:t>Rien n’est fini tout commence</w:t>
      </w:r>
      <w:r>
        <w:t>, Paris, Allia, 2014.</w:t>
      </w:r>
    </w:p>
    <w:p w14:paraId="23C852EC" w14:textId="77777777" w:rsidR="00F10A66" w:rsidRDefault="00D77537">
      <w:pPr>
        <w:ind w:left="720" w:hanging="720"/>
      </w:pPr>
      <w:r>
        <w:t xml:space="preserve">Guy </w:t>
      </w:r>
      <w:r>
        <w:rPr>
          <w:smallCaps/>
        </w:rPr>
        <w:t>Debord</w:t>
      </w:r>
      <w:r>
        <w:t xml:space="preserve"> &amp; Gil J. </w:t>
      </w:r>
      <w:r>
        <w:rPr>
          <w:smallCaps/>
        </w:rPr>
        <w:t>Wolman</w:t>
      </w:r>
      <w:r>
        <w:t>, « Mode d’emploi du détournement », dans</w:t>
      </w:r>
      <w:r>
        <w:rPr>
          <w:i/>
          <w:iCs/>
        </w:rPr>
        <w:t xml:space="preserve"> Les Lèvres Nues</w:t>
      </w:r>
      <w:r>
        <w:t>,</w:t>
      </w:r>
      <w:r>
        <w:rPr>
          <w:i/>
          <w:iCs/>
        </w:rPr>
        <w:t xml:space="preserve"> </w:t>
      </w:r>
      <w:r>
        <w:t>n</w:t>
      </w:r>
      <w:r>
        <w:rPr>
          <w:vertAlign w:val="superscript"/>
        </w:rPr>
        <w:t>o</w:t>
      </w:r>
      <w:r>
        <w:t xml:space="preserve"> 8, mai 1956, p. 2–9.</w:t>
      </w:r>
    </w:p>
    <w:p w14:paraId="5721DD62" w14:textId="77777777" w:rsidR="00F10A66" w:rsidRDefault="00D77537">
      <w:pPr>
        <w:ind w:left="720" w:hanging="720"/>
      </w:pPr>
      <w:r>
        <w:t xml:space="preserve">Guy </w:t>
      </w:r>
      <w:r>
        <w:rPr>
          <w:smallCaps/>
        </w:rPr>
        <w:t>Debord</w:t>
      </w:r>
      <w:r>
        <w:t xml:space="preserve">, </w:t>
      </w:r>
      <w:r>
        <w:rPr>
          <w:i/>
          <w:iCs/>
        </w:rPr>
        <w:t>Mémoires. Structures portantes d’Asger Jorn</w:t>
      </w:r>
      <w:r>
        <w:t xml:space="preserve">, suivi de </w:t>
      </w:r>
      <w:r>
        <w:rPr>
          <w:i/>
          <w:iCs/>
        </w:rPr>
        <w:t>Origine des détournements</w:t>
      </w:r>
      <w:r>
        <w:t>, Paris, Allia, 2004 [1958].</w:t>
      </w:r>
    </w:p>
    <w:p w14:paraId="4936D48A" w14:textId="77777777" w:rsidR="00F10A66" w:rsidRDefault="00D77537">
      <w:pPr>
        <w:ind w:left="720" w:hanging="720"/>
      </w:pPr>
      <w:r>
        <w:t xml:space="preserve">Guy </w:t>
      </w:r>
      <w:r>
        <w:rPr>
          <w:smallCaps/>
        </w:rPr>
        <w:t>Debord</w:t>
      </w:r>
      <w:r>
        <w:t xml:space="preserve">, </w:t>
      </w:r>
      <w:r>
        <w:rPr>
          <w:i/>
          <w:iCs/>
        </w:rPr>
        <w:t>La Société du Spectacle</w:t>
      </w:r>
      <w:r>
        <w:t>, Paris, Gallimard, « folio », 1992 [1967].</w:t>
      </w:r>
    </w:p>
    <w:p w14:paraId="5784871A" w14:textId="77777777" w:rsidR="00F10A66" w:rsidRDefault="00D77537">
      <w:pPr>
        <w:ind w:left="720" w:hanging="720"/>
      </w:pPr>
      <w:r>
        <w:t xml:space="preserve">Boris </w:t>
      </w:r>
      <w:r>
        <w:rPr>
          <w:smallCaps/>
        </w:rPr>
        <w:t>Donné</w:t>
      </w:r>
      <w:r>
        <w:t xml:space="preserve">, </w:t>
      </w:r>
      <w:r>
        <w:rPr>
          <w:i/>
          <w:iCs/>
        </w:rPr>
        <w:t>(Pour Mémoires). Un essai d’élucidation des Mémoires de Guy Debord</w:t>
      </w:r>
      <w:r>
        <w:t>, Paris, Allia, 2004.</w:t>
      </w:r>
    </w:p>
    <w:p w14:paraId="123FC98A" w14:textId="77777777" w:rsidR="00F10A66" w:rsidRDefault="00D77537">
      <w:pPr>
        <w:ind w:left="720" w:hanging="720"/>
      </w:pPr>
      <w:r>
        <w:t xml:space="preserve">Jules-François </w:t>
      </w:r>
      <w:r>
        <w:rPr>
          <w:smallCaps/>
        </w:rPr>
        <w:t>Dupuis</w:t>
      </w:r>
      <w:r>
        <w:t xml:space="preserve"> [Raoul </w:t>
      </w:r>
      <w:r>
        <w:rPr>
          <w:smallCaps/>
        </w:rPr>
        <w:t>Vaneigem</w:t>
      </w:r>
      <w:r>
        <w:t xml:space="preserve">], </w:t>
      </w:r>
      <w:r>
        <w:rPr>
          <w:i/>
          <w:iCs/>
        </w:rPr>
        <w:t>Histoire désinvolte du surréalisme</w:t>
      </w:r>
      <w:r>
        <w:t>, Nonville [</w:t>
      </w:r>
      <w:r>
        <w:rPr>
          <w:i/>
          <w:iCs/>
        </w:rPr>
        <w:t>sic</w:t>
      </w:r>
      <w:r>
        <w:t>], Éditions Paul Vermont, 1977.</w:t>
      </w:r>
    </w:p>
    <w:p w14:paraId="3423657C" w14:textId="77777777" w:rsidR="00F10A66" w:rsidRDefault="00D77537">
      <w:pPr>
        <w:ind w:left="720" w:hanging="720"/>
      </w:pPr>
      <w:r>
        <w:rPr>
          <w:i/>
          <w:iCs/>
        </w:rPr>
        <w:t>Internationale Situationniste</w:t>
      </w:r>
      <w:r>
        <w:t xml:space="preserve"> </w:t>
      </w:r>
      <w:r>
        <w:rPr>
          <w:i/>
          <w:iCs/>
        </w:rPr>
        <w:t>1958–1969</w:t>
      </w:r>
      <w:r>
        <w:t>, Paris, Librairie Arthème Fayard, 1997.</w:t>
      </w:r>
    </w:p>
    <w:p w14:paraId="4CF92248" w14:textId="77777777" w:rsidR="00F10A66" w:rsidRDefault="00D77537">
      <w:pPr>
        <w:ind w:left="720" w:hanging="720"/>
      </w:pPr>
      <w:r>
        <w:t xml:space="preserve">Jean-François </w:t>
      </w:r>
      <w:r>
        <w:rPr>
          <w:smallCaps/>
        </w:rPr>
        <w:t>Lyotard</w:t>
      </w:r>
      <w:r>
        <w:t xml:space="preserve">, </w:t>
      </w:r>
      <w:r>
        <w:rPr>
          <w:i/>
        </w:rPr>
        <w:t>Des dispositifs pulsionnels</w:t>
      </w:r>
      <w:r>
        <w:t>, Paris, U.G.E., « 10/18 », 1973.</w:t>
      </w:r>
    </w:p>
    <w:p w14:paraId="0CA51500" w14:textId="77777777" w:rsidR="00F10A66" w:rsidRDefault="00D77537">
      <w:pPr>
        <w:ind w:left="720" w:hanging="720"/>
      </w:pPr>
      <w:r>
        <w:t xml:space="preserve">Patrick </w:t>
      </w:r>
      <w:r>
        <w:rPr>
          <w:smallCaps/>
        </w:rPr>
        <w:t>Marcolini</w:t>
      </w:r>
      <w:r>
        <w:t xml:space="preserve">, </w:t>
      </w:r>
      <w:r>
        <w:rPr>
          <w:i/>
          <w:iCs/>
        </w:rPr>
        <w:t>Le Mouvement situationniste. Une histoire intellectuelle</w:t>
      </w:r>
      <w:r>
        <w:t>, Paris, L’Échappée, 2012.</w:t>
      </w:r>
    </w:p>
    <w:p w14:paraId="3423699B" w14:textId="77777777" w:rsidR="00F10A66" w:rsidRDefault="00D77537">
      <w:pPr>
        <w:ind w:left="720" w:hanging="720"/>
      </w:pPr>
      <w:r>
        <w:t xml:space="preserve">Lorenzo </w:t>
      </w:r>
      <w:r>
        <w:rPr>
          <w:smallCaps/>
        </w:rPr>
        <w:t>Menoud</w:t>
      </w:r>
      <w:r>
        <w:t xml:space="preserve">, « De l’écriture au dispositif : le détournement », dans </w:t>
      </w:r>
      <w:r>
        <w:rPr>
          <w:i/>
          <w:iCs/>
        </w:rPr>
        <w:t>L’Esprit Créateur</w:t>
      </w:r>
      <w:r>
        <w:t>, vol. 49, n</w:t>
      </w:r>
      <w:r>
        <w:rPr>
          <w:vertAlign w:val="superscript"/>
        </w:rPr>
        <w:t>o</w:t>
      </w:r>
      <w:r>
        <w:t xml:space="preserve"> 2, été 2009, p. 132–146.</w:t>
      </w:r>
    </w:p>
    <w:p w14:paraId="4D973986" w14:textId="77777777" w:rsidR="00F10A66" w:rsidRDefault="00D77537">
      <w:pPr>
        <w:ind w:left="720" w:hanging="720"/>
      </w:pPr>
      <w:r>
        <w:t xml:space="preserve">Geneviève </w:t>
      </w:r>
      <w:r>
        <w:rPr>
          <w:smallCaps/>
        </w:rPr>
        <w:t>Michel</w:t>
      </w:r>
      <w:r>
        <w:t xml:space="preserve">, « Le détournement : de Paul Nougé aux situationnistes », dans </w:t>
      </w:r>
      <w:r>
        <w:rPr>
          <w:i/>
          <w:iCs/>
        </w:rPr>
        <w:t>Les Chemins du texte</w:t>
      </w:r>
      <w:r>
        <w:t>, Santiago de Compostela, APFFUE, 1998, p. 330-341.</w:t>
      </w:r>
    </w:p>
    <w:p w14:paraId="3D8697D5" w14:textId="77777777" w:rsidR="00F10A66" w:rsidRDefault="00D77537">
      <w:pPr>
        <w:ind w:left="720" w:hanging="720"/>
      </w:pPr>
      <w:r>
        <w:t xml:space="preserve">Loïc </w:t>
      </w:r>
      <w:r>
        <w:rPr>
          <w:smallCaps/>
        </w:rPr>
        <w:t>Millot</w:t>
      </w:r>
      <w:r>
        <w:t xml:space="preserve">, « Le détournement cinématographique, du lettrisme au situationnisme », dans </w:t>
      </w:r>
      <w:r>
        <w:rPr>
          <w:i/>
          <w:iCs/>
        </w:rPr>
        <w:t>Décadrages</w:t>
      </w:r>
      <w:r>
        <w:t>, n</w:t>
      </w:r>
      <w:r>
        <w:rPr>
          <w:vertAlign w:val="superscript"/>
        </w:rPr>
        <w:t>os</w:t>
      </w:r>
      <w:r>
        <w:t xml:space="preserve"> 34–36, 2017, p. 40–55.</w:t>
      </w:r>
    </w:p>
    <w:p w14:paraId="71969A5A" w14:textId="77777777" w:rsidR="00F10A66" w:rsidRDefault="00D77537">
      <w:pPr>
        <w:ind w:left="720" w:hanging="720"/>
      </w:pPr>
      <w:r>
        <w:lastRenderedPageBreak/>
        <w:t xml:space="preserve">Mathieu </w:t>
      </w:r>
      <w:r>
        <w:rPr>
          <w:smallCaps/>
        </w:rPr>
        <w:t>Remy</w:t>
      </w:r>
      <w:r>
        <w:t xml:space="preserve">, « Modes d’emploi du détournement », [En ligne], dans </w:t>
      </w:r>
      <w:r>
        <w:rPr>
          <w:i/>
          <w:iCs/>
        </w:rPr>
        <w:t>La Voix du regard : Revue littéraire sur les arts de l’image</w:t>
      </w:r>
      <w:r>
        <w:t>, n</w:t>
      </w:r>
      <w:r>
        <w:rPr>
          <w:vertAlign w:val="superscript"/>
        </w:rPr>
        <w:t>o</w:t>
      </w:r>
      <w:r>
        <w:t xml:space="preserve"> 18, 2005.</w:t>
      </w:r>
    </w:p>
    <w:p w14:paraId="39AC75A4" w14:textId="77777777" w:rsidR="00F10A66" w:rsidRDefault="00D77537">
      <w:pPr>
        <w:ind w:left="720" w:hanging="720"/>
      </w:pPr>
      <w:r>
        <w:tab/>
        <w:t>URL : https://hal.science/hal04535389v1</w:t>
      </w:r>
    </w:p>
    <w:p w14:paraId="2829F3AA" w14:textId="77777777" w:rsidR="00F10A66" w:rsidRDefault="00D77537">
      <w:pPr>
        <w:ind w:left="720" w:hanging="720"/>
      </w:pPr>
      <w:r>
        <w:t xml:space="preserve">Raoul </w:t>
      </w:r>
      <w:r>
        <w:rPr>
          <w:smallCaps/>
        </w:rPr>
        <w:t>Vaneigem</w:t>
      </w:r>
      <w:r>
        <w:t xml:space="preserve">, </w:t>
      </w:r>
      <w:r>
        <w:rPr>
          <w:i/>
          <w:iCs/>
        </w:rPr>
        <w:t>Traité de savoir-vivre à l’usage des jeunes générations</w:t>
      </w:r>
      <w:r>
        <w:t>, Paris, Gallimard, « folio actuel », 1992 [1967].</w:t>
      </w:r>
    </w:p>
    <w:p w14:paraId="6C75877D" w14:textId="77777777" w:rsidR="00F10A66" w:rsidRDefault="00D77537">
      <w:pPr>
        <w:ind w:left="720" w:hanging="720"/>
      </w:pPr>
      <w:r>
        <w:t xml:space="preserve">Gil J. </w:t>
      </w:r>
      <w:r>
        <w:rPr>
          <w:smallCaps/>
        </w:rPr>
        <w:t>Wolman</w:t>
      </w:r>
      <w:r>
        <w:t xml:space="preserve">, « J’écris propre », dans </w:t>
      </w:r>
      <w:r>
        <w:rPr>
          <w:i/>
        </w:rPr>
        <w:t>Les Lèvres Nues</w:t>
      </w:r>
      <w:r>
        <w:t>, n</w:t>
      </w:r>
      <w:r>
        <w:rPr>
          <w:vertAlign w:val="superscript"/>
        </w:rPr>
        <w:t>o</w:t>
      </w:r>
      <w:r>
        <w:t xml:space="preserve"> 9, novembre 1956, p. 34–36.</w:t>
      </w:r>
    </w:p>
    <w:p w14:paraId="73DBB23B" w14:textId="77777777" w:rsidR="00F10A66" w:rsidRDefault="00F10A66">
      <w:pPr>
        <w:pStyle w:val="Paragraphedeliste"/>
        <w:ind w:firstLine="0"/>
      </w:pPr>
    </w:p>
    <w:p w14:paraId="4E5169F5" w14:textId="77777777" w:rsidR="00F10A66" w:rsidRDefault="00D77537">
      <w:pPr>
        <w:pStyle w:val="Titre3"/>
      </w:pPr>
      <w:r>
        <w:t>Filmographie</w:t>
      </w:r>
    </w:p>
    <w:p w14:paraId="245AC4D5" w14:textId="77777777" w:rsidR="00F10A66" w:rsidRDefault="00D77537">
      <w:pPr>
        <w:ind w:left="720" w:hanging="720"/>
      </w:pPr>
      <w:r>
        <w:t xml:space="preserve">Guy </w:t>
      </w:r>
      <w:r>
        <w:rPr>
          <w:smallCaps/>
        </w:rPr>
        <w:t>Debord</w:t>
      </w:r>
      <w:r>
        <w:t xml:space="preserve">, </w:t>
      </w:r>
      <w:r>
        <w:rPr>
          <w:i/>
          <w:iCs/>
        </w:rPr>
        <w:t>Sur le passage de quelques personnes à travers une assez courte unité de temps</w:t>
      </w:r>
      <w:r>
        <w:t>, France / Danemark, Dansk-Fransk Experimentalfilms Kompagni (Copenhague), 1959.</w:t>
      </w:r>
    </w:p>
    <w:p w14:paraId="493DD746" w14:textId="77777777" w:rsidR="00F10A66" w:rsidRDefault="00D77537">
      <w:pPr>
        <w:ind w:left="720" w:hanging="720"/>
      </w:pPr>
      <w:r>
        <w:t xml:space="preserve">Guy </w:t>
      </w:r>
      <w:r>
        <w:rPr>
          <w:smallCaps/>
        </w:rPr>
        <w:t>Debord</w:t>
      </w:r>
      <w:r>
        <w:t xml:space="preserve">, </w:t>
      </w:r>
      <w:r>
        <w:rPr>
          <w:i/>
          <w:iCs/>
        </w:rPr>
        <w:t>Critique de la séparation</w:t>
      </w:r>
      <w:r>
        <w:t>, France / Danemark, Dansk-Fransk Experimentalfilms Kompagni (Copenhague), 1961.</w:t>
      </w:r>
    </w:p>
    <w:p w14:paraId="64788599" w14:textId="77777777" w:rsidR="00F10A66" w:rsidRDefault="00D77537">
      <w:pPr>
        <w:ind w:left="720" w:hanging="720"/>
      </w:pPr>
      <w:r>
        <w:t xml:space="preserve">Guy </w:t>
      </w:r>
      <w:r>
        <w:rPr>
          <w:smallCaps/>
        </w:rPr>
        <w:t>Debord</w:t>
      </w:r>
      <w:r>
        <w:t xml:space="preserve">, </w:t>
      </w:r>
      <w:r>
        <w:rPr>
          <w:i/>
          <w:iCs/>
        </w:rPr>
        <w:t>La Société du Spectacle</w:t>
      </w:r>
      <w:r>
        <w:t>, France, Simar Films, 1973.</w:t>
      </w:r>
    </w:p>
    <w:p w14:paraId="7EAA315E" w14:textId="77777777" w:rsidR="00F10A66" w:rsidRDefault="00D77537">
      <w:pPr>
        <w:ind w:left="720" w:hanging="720"/>
      </w:pPr>
      <w:r>
        <w:t xml:space="preserve">Tu </w:t>
      </w:r>
      <w:r>
        <w:rPr>
          <w:smallCaps/>
        </w:rPr>
        <w:t>Kuang-Chi</w:t>
      </w:r>
      <w:r>
        <w:t xml:space="preserve"> / René </w:t>
      </w:r>
      <w:r>
        <w:rPr>
          <w:smallCaps/>
        </w:rPr>
        <w:t>Viénet</w:t>
      </w:r>
      <w:r>
        <w:t xml:space="preserve"> et Gérard </w:t>
      </w:r>
      <w:r>
        <w:rPr>
          <w:smallCaps/>
        </w:rPr>
        <w:t>Cohen</w:t>
      </w:r>
      <w:r>
        <w:t xml:space="preserve">, </w:t>
      </w:r>
      <w:r>
        <w:rPr>
          <w:i/>
          <w:iCs/>
        </w:rPr>
        <w:t>La dialectique peut-elle casser des briques ?</w:t>
      </w:r>
      <w:r>
        <w:t>, Hong-Kong / France, L’Oiseau de Minerve et Télémondial, 1973.</w:t>
      </w:r>
    </w:p>
    <w:sectPr w:rsidR="00F10A66">
      <w:headerReference w:type="even" r:id="rId10"/>
      <w:headerReference w:type="default" r:id="rId11"/>
      <w:footerReference w:type="even" r:id="rId12"/>
      <w:footerReference w:type="default" r:id="rId13"/>
      <w:headerReference w:type="first" r:id="rId14"/>
      <w:footerReference w:type="first" r:id="rId15"/>
      <w:pgSz w:w="11906" w:h="16838"/>
      <w:pgMar w:top="2835" w:right="2268" w:bottom="2835" w:left="2268" w:header="1984" w:footer="19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465E" w14:textId="77777777" w:rsidR="00AD29FB" w:rsidRDefault="00AD29FB">
      <w:r>
        <w:separator/>
      </w:r>
    </w:p>
  </w:endnote>
  <w:endnote w:type="continuationSeparator" w:id="0">
    <w:p w14:paraId="0B5EDAA1" w14:textId="77777777" w:rsidR="00AD29FB" w:rsidRDefault="00AD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F1A5" w14:textId="77777777" w:rsidR="00F10A66" w:rsidRDefault="00F10A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A76D" w14:textId="77777777" w:rsidR="00F10A66" w:rsidRDefault="00F10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B06B" w14:textId="77777777" w:rsidR="00F10A66" w:rsidRDefault="00F10A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3547" w14:textId="77777777" w:rsidR="00AD29FB" w:rsidRDefault="00AD29FB">
      <w:pPr>
        <w:rPr>
          <w:sz w:val="12"/>
        </w:rPr>
      </w:pPr>
      <w:r>
        <w:separator/>
      </w:r>
    </w:p>
  </w:footnote>
  <w:footnote w:type="continuationSeparator" w:id="0">
    <w:p w14:paraId="582607B4" w14:textId="77777777" w:rsidR="00AD29FB" w:rsidRDefault="00AD29FB">
      <w:pPr>
        <w:rPr>
          <w:sz w:val="12"/>
        </w:rPr>
      </w:pPr>
      <w:r>
        <w:continuationSeparator/>
      </w:r>
    </w:p>
  </w:footnote>
  <w:footnote w:id="1">
    <w:p w14:paraId="077BE9DA" w14:textId="1F348219" w:rsidR="00F10A66" w:rsidRDefault="00D77537">
      <w:pPr>
        <w:pStyle w:val="Notedebasdepage"/>
      </w:pPr>
      <w:r>
        <w:rPr>
          <w:rStyle w:val="Caractresdenotedebasdepage"/>
        </w:rPr>
        <w:footnoteRef/>
      </w:r>
      <w:r>
        <w:t>.</w:t>
      </w:r>
      <w:r w:rsidR="006172A9">
        <w:tab/>
      </w:r>
      <w:r>
        <w:t xml:space="preserve">Pouvant aller chez Guy Debord, son « pape » (comme Breton le fut du surréalisme), comme je l’ai déjà souligné, jusqu’à la plus mélancolique nostalgie. Citons par exemple Debord </w:t>
      </w:r>
      <w:r>
        <w:rPr>
          <w:i/>
          <w:iCs/>
        </w:rPr>
        <w:t>himself</w:t>
      </w:r>
      <w:r>
        <w:t xml:space="preserve"> dans </w:t>
      </w:r>
      <w:r>
        <w:rPr>
          <w:i/>
          <w:iCs/>
        </w:rPr>
        <w:t>Panégyrique</w:t>
      </w:r>
      <w:r>
        <w:t> : « Jamais plus nous ne boirons si jeunes / Nous ne ferons jamais rien de mieux. »</w:t>
      </w:r>
    </w:p>
  </w:footnote>
  <w:footnote w:id="2">
    <w:p w14:paraId="37C70C4A" w14:textId="5DC9D84E" w:rsidR="00F10A66" w:rsidRDefault="00D77537">
      <w:pPr>
        <w:pStyle w:val="Notedebasdepage"/>
      </w:pPr>
      <w:r>
        <w:rPr>
          <w:rStyle w:val="Caractresdenotedebasdepage"/>
        </w:rPr>
        <w:footnoteRef/>
      </w:r>
      <w:r>
        <w:t>.</w:t>
      </w:r>
      <w:r w:rsidR="006172A9">
        <w:tab/>
      </w:r>
      <w:r>
        <w:t xml:space="preserve">Concernant le dadaïsme et le montage, on sait que Tristan Tzara composa et enjoignit à composer des poèmes déjà selon cette méthode de montage aléatoire (nettement proche du </w:t>
      </w:r>
      <w:r>
        <w:rPr>
          <w:i/>
          <w:iCs/>
        </w:rPr>
        <w:t>cut-up</w:t>
      </w:r>
      <w:r>
        <w:t xml:space="preserve">), à savoir de découper des mots dans un journal, de les mélanger dans un sac et de les </w:t>
      </w:r>
      <w:r>
        <w:rPr>
          <w:i/>
          <w:iCs/>
        </w:rPr>
        <w:t>remonter au hasard</w:t>
      </w:r>
      <w:r>
        <w:t xml:space="preserve"> (voir </w:t>
      </w:r>
      <w:r>
        <w:rPr>
          <w:i/>
          <w:iCs/>
        </w:rPr>
        <w:t>Pour faire un poème dadaïste</w:t>
      </w:r>
      <w:r>
        <w:t>).</w:t>
      </w:r>
    </w:p>
  </w:footnote>
  <w:footnote w:id="3">
    <w:p w14:paraId="6A2F4048" w14:textId="237C210C" w:rsidR="00F10A66" w:rsidRDefault="00D77537">
      <w:pPr>
        <w:pStyle w:val="Notedebasdepage"/>
      </w:pPr>
      <w:r>
        <w:rPr>
          <w:rStyle w:val="Caractresdenotedebasdepage"/>
        </w:rPr>
        <w:footnoteRef/>
      </w:r>
      <w:r>
        <w:t xml:space="preserve">.   Guy Debord, entre autres, dans la revue belge </w:t>
      </w:r>
      <w:r>
        <w:rPr>
          <w:i/>
          <w:iCs/>
        </w:rPr>
        <w:t>La carte d’après-nature</w:t>
      </w:r>
      <w:r>
        <w:t>, en 1954, en réponse à la question « Quel sens donnez-vous au mot poésie ? » : « Cette grande civilisation qui vient construira des situations et des aventures. Une science de la vie est possible. L’aventurier est celui qui fait arriver les aventures, plus que celui à qui les aventures arrivent. La beauté nouvelle sera DE SITUATION, c'est-à-dire provisoire et vécue. »</w:t>
      </w:r>
    </w:p>
  </w:footnote>
  <w:footnote w:id="4">
    <w:p w14:paraId="31C1FC59" w14:textId="6C0C94BC" w:rsidR="00F10A66" w:rsidRDefault="00D77537">
      <w:pPr>
        <w:pStyle w:val="Notedebasdepage"/>
      </w:pPr>
      <w:r>
        <w:rPr>
          <w:rStyle w:val="Caractresdenotedebasdepage"/>
        </w:rPr>
        <w:footnoteRef/>
      </w:r>
      <w:r>
        <w:t>.  Citons au moins sa vision de l’écriture comme réécriture, actualisation de la mémoire, ou réactualisation de ce qui a été dit (</w:t>
      </w:r>
      <w:r>
        <w:rPr>
          <w:smallCaps/>
        </w:rPr>
        <w:t>Michel</w:t>
      </w:r>
      <w:r>
        <w:t xml:space="preserve"> 1998 : 332). Citons encore sa volonté d’ « user du langage comme d’une « matière à modifications, à expérience pour provoquer des idées, des états, des sentiments nouveaux et non pas, comme cela se fait généralement en poésie, pour traduire ou exprimer un état, un sentiment préexistant ou même défendre une vérité » (</w:t>
      </w:r>
      <w:r>
        <w:rPr>
          <w:i/>
          <w:iCs/>
        </w:rPr>
        <w:t>Idem</w:t>
      </w:r>
      <w:r>
        <w:t>).</w:t>
      </w:r>
    </w:p>
  </w:footnote>
  <w:footnote w:id="5">
    <w:p w14:paraId="79FAB546" w14:textId="23331C03" w:rsidR="00F10A66" w:rsidRDefault="00D77537">
      <w:pPr>
        <w:pStyle w:val="Notedebasdepage"/>
      </w:pPr>
      <w:r>
        <w:rPr>
          <w:rStyle w:val="Caractresdenotedebasdepage"/>
        </w:rPr>
        <w:footnoteRef/>
      </w:r>
      <w:r>
        <w:t>.</w:t>
      </w:r>
      <w:r w:rsidR="006172A9">
        <w:tab/>
      </w:r>
      <w:r>
        <w:rPr>
          <w:i/>
          <w:iCs/>
        </w:rPr>
        <w:t>Communication totale</w:t>
      </w:r>
      <w:r>
        <w:t>, autrement dit : autogestion et conseillisme (conseils ouvriers, sans représentation, mais délégation restreinte : prendre ses saffaires et donc sa vie en main, c’est parler beaucoup et ne pas se payer de mots – ceci dit en lien avec le contexte d’émergence de la rhétorique), mais aussi création (ou retour à…) un langage qui puisse permettre de communiquer la substance de la vie humaine (les affects, les intensités vécues).</w:t>
      </w:r>
    </w:p>
  </w:footnote>
  <w:footnote w:id="6">
    <w:p w14:paraId="2209418E" w14:textId="7AC65E7A" w:rsidR="00F10A66" w:rsidRDefault="00D77537">
      <w:pPr>
        <w:pStyle w:val="Notedebasdepage"/>
      </w:pPr>
      <w:r>
        <w:rPr>
          <w:rStyle w:val="Caractresdenotedebasdepage"/>
        </w:rPr>
        <w:footnoteRef/>
      </w:r>
      <w:r>
        <w:t>.  Ce qui rejoint la critique de l’art et donc de la culture : « Le vécu a moins d’importance que sa représentation, que son image : toute l’aliénation de la vie par la culture est là » (</w:t>
      </w:r>
      <w:r>
        <w:rPr>
          <w:smallCaps/>
        </w:rPr>
        <w:t>Dupuis-Vaneigem</w:t>
      </w:r>
      <w:r>
        <w:t xml:space="preserve"> 1977 : 113).</w:t>
      </w:r>
    </w:p>
  </w:footnote>
  <w:footnote w:id="7">
    <w:p w14:paraId="5824B9A1" w14:textId="3C0BA5D6" w:rsidR="00F10A66" w:rsidRDefault="00D77537">
      <w:pPr>
        <w:pStyle w:val="Notedebasdepage"/>
      </w:pPr>
      <w:r>
        <w:rPr>
          <w:rStyle w:val="Caractresdenotedebasdepage"/>
        </w:rPr>
        <w:footnoteRef/>
      </w:r>
      <w:r>
        <w:t>.</w:t>
      </w:r>
      <w:r w:rsidR="0015227A">
        <w:tab/>
      </w:r>
      <w:r>
        <w:t xml:space="preserve">Allusion à Hegel (et hommage, aussi, puisque c’est en plus une déclaration d’amour de Debord à Alice Becker-Ho), cité au début du film </w:t>
      </w:r>
      <w:r>
        <w:rPr>
          <w:i/>
          <w:iCs/>
        </w:rPr>
        <w:t>La Société du Spectacle</w:t>
      </w:r>
      <w:r>
        <w:t> : « Puisque chaque sentiment particulier, n’est que la vie partielle, et non la vie tout entière, la vie brûle de se répandre à travers la diversité des sentiments, et ainsi de se retrouver dans cette somme de la diversité. Dans l’amour, le séparé existe encore, mais non plus comme séparé : comme uni, et le vivant rencontre le vivant. »</w:t>
      </w:r>
    </w:p>
  </w:footnote>
  <w:footnote w:id="8">
    <w:p w14:paraId="13F2358D" w14:textId="7E886F15" w:rsidR="00F10A66" w:rsidRDefault="00D77537">
      <w:pPr>
        <w:pStyle w:val="Notedebasdepage"/>
      </w:pPr>
      <w:r>
        <w:rPr>
          <w:rStyle w:val="Caractresdenotedebasdepage"/>
        </w:rPr>
        <w:footnoteRef/>
      </w:r>
      <w:r>
        <w:t>.</w:t>
      </w:r>
      <w:r w:rsidR="0015227A">
        <w:tab/>
      </w:r>
      <w:r>
        <w:t xml:space="preserve">Toujours cette opposition contenu-forme, malheureusement, et le privilège accordé à cette dernière. Il me semble que, justement, selon l’IS, le montage (en tant qu’ensemble d’opérations concrètes) seul n’est pas assez révolutionnaire, il a besoin d’une </w:t>
      </w:r>
      <w:r>
        <w:rPr>
          <w:i/>
          <w:iCs/>
        </w:rPr>
        <w:t>méthode</w:t>
      </w:r>
      <w:r>
        <w:t xml:space="preserve"> (voir ci-dessous). </w:t>
      </w:r>
    </w:p>
  </w:footnote>
  <w:footnote w:id="9">
    <w:p w14:paraId="4DFD1074" w14:textId="381086EB" w:rsidR="00F10A66" w:rsidRDefault="00D77537">
      <w:pPr>
        <w:pStyle w:val="Notedebasdepage"/>
      </w:pPr>
      <w:r>
        <w:rPr>
          <w:rStyle w:val="Caractresdenotedebasdepage"/>
        </w:rPr>
        <w:footnoteRef/>
      </w:r>
      <w:r>
        <w:t>.</w:t>
      </w:r>
      <w:r w:rsidR="0015227A">
        <w:tab/>
      </w:r>
      <w:r>
        <w:t>« le montage comme production subjective d’un autre monde » (</w:t>
      </w:r>
      <w:r w:rsidRPr="00D917E8">
        <w:t>Anonyme</w:t>
      </w:r>
      <w:r>
        <w:t xml:space="preserve"> [C. P.] 2024). Voir ci-dessous.</w:t>
      </w:r>
    </w:p>
  </w:footnote>
  <w:footnote w:id="10">
    <w:p w14:paraId="006D0EC2" w14:textId="6D14C1D5" w:rsidR="00F10A66" w:rsidRDefault="00D77537">
      <w:pPr>
        <w:pStyle w:val="Notedebasdepage"/>
      </w:pPr>
      <w:r>
        <w:rPr>
          <w:rStyle w:val="Caractresdenotedebasdepage"/>
        </w:rPr>
        <w:footnoteRef/>
      </w:r>
      <w:r>
        <w:t xml:space="preserve">. La première à porter le nom « Internationale Communiste » est en fait la troisième, fondée en 1919 (autrement dite parfois « Komintern »). Le terme « situation » provient lui-même, plus ou moins intertextuellement (et de manière évidemment </w:t>
      </w:r>
      <w:r>
        <w:rPr>
          <w:i/>
          <w:iCs/>
        </w:rPr>
        <w:t>détournée</w:t>
      </w:r>
      <w:r>
        <w:t>)  de Sartre, semble-t-il.</w:t>
      </w:r>
    </w:p>
  </w:footnote>
  <w:footnote w:id="11">
    <w:p w14:paraId="72DBC911" w14:textId="17340686" w:rsidR="00F10A66" w:rsidRDefault="00D77537">
      <w:pPr>
        <w:pStyle w:val="Notedebasdepage"/>
      </w:pPr>
      <w:r>
        <w:rPr>
          <w:rStyle w:val="Caractresdenotedebasdepage"/>
        </w:rPr>
        <w:footnoteRef/>
      </w:r>
      <w:r>
        <w:t>.</w:t>
      </w:r>
      <w:r w:rsidR="0015227A">
        <w:tab/>
      </w:r>
      <w:r>
        <w:t xml:space="preserve">Revue surréaliste belge, comptant 12 numéros (pour la première série) et ayant paru (même remarque) de 1954 à 1958. « Cette revue, fondée par Marcel Mariën, se caractérisa autant par son exigence poétique que sa virulence politique (on lui doit l’invention des publicités détournées). Elle accueillit, outre les textes de Mariën lui-même, les écrits des francs-tireurs du surréalisme belge comme Paul Nougé ou Louis Scutenaire. » (Catalogue des éditions Allia). Le ton est à peu près celui-ci : « Plus que jamais soucieux d’imiter en toute chose nos singuliers contemporains, et très frappés par leur obstination à se glorifier mutuellement, les collaborateurs de la présente revue se sont constitués en jury afin de décerner mensuellement un nouveau prix : le Prix de la Bêtise Humaine. Ce prix sera attribué après coup à tout homme ou toute femme ayant témoigné par quelque mode d’expression ou quelque action que ce soit d’un effort assidu pour se maintenir à l’ombre de l’intelligence. Déjà, réuni en séance solennelle, le jury a décidé de décerner le premier Prix de la Bêtise Humaine, à titre ex æquo, à Monsieur André Malraux, pour l’ensemble de son œuvre esthétique, et à Monsieur le roi Baudoin, pour son voyage au Congo “belge”. » </w:t>
      </w:r>
    </w:p>
  </w:footnote>
  <w:footnote w:id="12">
    <w:p w14:paraId="74BD91E7" w14:textId="6F36FF96" w:rsidR="00F10A66" w:rsidRDefault="00D77537">
      <w:pPr>
        <w:pStyle w:val="Notedebasdepage"/>
      </w:pPr>
      <w:r>
        <w:rPr>
          <w:rStyle w:val="Caractresdenotedebasdepage"/>
        </w:rPr>
        <w:footnoteRef/>
      </w:r>
      <w:r>
        <w:t>.</w:t>
      </w:r>
      <w:r w:rsidR="0015227A">
        <w:tab/>
      </w:r>
      <w:r>
        <w:t>Désormais abrévié en « MED ». Wolman aura écrit aussi un des premiers textes entièrement détournés de l’histoire, application très pratique de ce MED, intitulé « J’écris propre », dans le numéro 9 de la même revue (novembre 1956).</w:t>
      </w:r>
    </w:p>
  </w:footnote>
  <w:footnote w:id="13">
    <w:p w14:paraId="2793328C" w14:textId="67BAB171" w:rsidR="00F10A66" w:rsidRDefault="00D77537">
      <w:pPr>
        <w:pStyle w:val="Notedebasdepage"/>
      </w:pPr>
      <w:r>
        <w:rPr>
          <w:rStyle w:val="Caractresdenotedebasdepage"/>
        </w:rPr>
        <w:footnoteRef/>
      </w:r>
      <w:r>
        <w:t>.</w:t>
      </w:r>
      <w:r w:rsidR="0015227A">
        <w:tab/>
      </w:r>
      <w:r>
        <w:t> Pour les moins connus : Minou Drouet, poétesse gnan-gnan de huit ans (Jean Cocteau : « Tous les enfants ont du génie, sauf Minou Drouet ») ; le Maréchal juin, ancien chef d’état-major des armées, écrivain-préfacier à ses heures ; Gaëtan Picon, directeur des Arts et des Lettres sous Malraux ; Albert Schweitzer, missionnaire humanitariste libéral-protestant ; Cecil Saint-Laurent (alias Jacques Laurent), ancien militant royaliste, vychisto-pétainiste, auteur d’une série sentimentale et historique à succès (</w:t>
      </w:r>
      <w:r>
        <w:rPr>
          <w:i/>
          <w:iCs/>
        </w:rPr>
        <w:t>Caroline chérie</w:t>
      </w:r>
      <w:r>
        <w:t>), qui finira à l’Académie française.</w:t>
      </w:r>
    </w:p>
  </w:footnote>
  <w:footnote w:id="14">
    <w:p w14:paraId="5506E06D" w14:textId="3987943F" w:rsidR="00F10A66" w:rsidRDefault="00D77537">
      <w:pPr>
        <w:pStyle w:val="Notedebasdepage"/>
      </w:pPr>
      <w:r>
        <w:rPr>
          <w:rStyle w:val="Caractresdenotedebasdepage"/>
        </w:rPr>
        <w:footnoteRef/>
      </w:r>
      <w:r>
        <w:t>.</w:t>
      </w:r>
      <w:r w:rsidR="0015227A">
        <w:tab/>
      </w:r>
      <w:r>
        <w:t xml:space="preserve">On lit dans l’ </w:t>
      </w:r>
      <w:r>
        <w:rPr>
          <w:i/>
          <w:iCs/>
        </w:rPr>
        <w:t>Internationale Situationniste</w:t>
      </w:r>
      <w:r>
        <w:t xml:space="preserve"> n</w:t>
      </w:r>
      <w:r>
        <w:rPr>
          <w:vertAlign w:val="superscript"/>
        </w:rPr>
        <w:t>o</w:t>
      </w:r>
      <w:r>
        <w:t xml:space="preserve"> 2 (décembre 1958) : « La règle dans ce bulletin est la rédaction collective. […] Tous les textes publiés dans “Internationale Situationniste” peuvent être librement reproduits, traduits ou adaptés, même sans indication d’origine. »</w:t>
      </w:r>
    </w:p>
  </w:footnote>
  <w:footnote w:id="15">
    <w:p w14:paraId="03DC9EF3" w14:textId="216E4716" w:rsidR="00F10A66" w:rsidRDefault="00D77537">
      <w:pPr>
        <w:pStyle w:val="Notedebasdepage"/>
      </w:pPr>
      <w:r>
        <w:rPr>
          <w:rStyle w:val="Caractresdenotedebasdepage"/>
        </w:rPr>
        <w:footnoteRef/>
      </w:r>
      <w:r>
        <w:t xml:space="preserve">. </w:t>
      </w:r>
      <w:r>
        <w:rPr>
          <w:i/>
          <w:iCs/>
        </w:rPr>
        <w:t>Manifeste du Parti Communiste</w:t>
      </w:r>
      <w:r>
        <w:t xml:space="preserve"> de Marx et Engels : « Par le rapide perfectionnement des instruments de production et l'amélioration infinie des moyens de communication, la bourgeoisie entraîne dans le courant de la civilisation jusqu'aux nations les plus barbares. </w:t>
      </w:r>
      <w:r>
        <w:rPr>
          <w:b/>
          <w:bCs/>
        </w:rPr>
        <w:t>Le bon marché de ses produits est la grosse artillerie qui bat en brèche toutes les murailles de Chine</w:t>
      </w:r>
      <w:r>
        <w:t xml:space="preserve"> et contraint à la capitulation les barbares les plus opiniâtrement hostiles aux étrangers. »</w:t>
      </w:r>
    </w:p>
  </w:footnote>
  <w:footnote w:id="16">
    <w:p w14:paraId="41CA9297" w14:textId="77B1E1D0" w:rsidR="00F10A66" w:rsidRDefault="00D77537">
      <w:pPr>
        <w:pStyle w:val="Notedebasdepage"/>
      </w:pPr>
      <w:r>
        <w:rPr>
          <w:rStyle w:val="Caractresdenotedebasdepage"/>
        </w:rPr>
        <w:footnoteRef/>
      </w:r>
      <w:r>
        <w:t xml:space="preserve">. Parce qu’il y en a partout et que je suis incapable de tous les reconnaître et l’identifier. C’est un effet du détournement textuel sans mention de l’énonciation citée : leur reconnaissance est réservée sans aucun doute à quelques </w:t>
      </w:r>
      <w:r>
        <w:rPr>
          <w:i/>
          <w:iCs/>
        </w:rPr>
        <w:t>happy-few</w:t>
      </w:r>
      <w:r>
        <w:t>, voire totalement sans importance.</w:t>
      </w:r>
    </w:p>
  </w:footnote>
  <w:footnote w:id="17">
    <w:p w14:paraId="13667B2F" w14:textId="7E3EE740" w:rsidR="00F10A66" w:rsidRDefault="00D77537">
      <w:pPr>
        <w:pStyle w:val="Notedebasdepage"/>
      </w:pPr>
      <w:r>
        <w:rPr>
          <w:rStyle w:val="Caractresdenotedebasdepage"/>
        </w:rPr>
        <w:footnoteRef/>
      </w:r>
      <w:r>
        <w:t>.</w:t>
      </w:r>
      <w:r w:rsidR="008D3ED7">
        <w:tab/>
      </w:r>
      <w:r>
        <w:t>« Le détournement abusif vise à briser la cohérence de l’ordre esthétique ancien par appropriation désinvolte des bribes et des scories d’une littérature classique dont les avant-gardes proclament la liquidation – ruines d’un passé qu’on refuse de contempler passivement. Le détournement mineur dénonce la vanité et la confusion d’un ordre médiocre, celui de la société moderne, en exhibant les rebuts et les résidus d’une production imprimée insignifiante – messages qui sont les instruments et le miroir complaisant du règne de la marchandise […] » (</w:t>
      </w:r>
      <w:r>
        <w:rPr>
          <w:smallCaps/>
        </w:rPr>
        <w:t>Donné</w:t>
      </w:r>
      <w:r>
        <w:t xml:space="preserve"> 2004 : 13).</w:t>
      </w:r>
    </w:p>
  </w:footnote>
  <w:footnote w:id="18">
    <w:p w14:paraId="5D9062C2" w14:textId="3324AB10" w:rsidR="00F10A66" w:rsidRDefault="00D77537">
      <w:pPr>
        <w:pStyle w:val="Notedebasdepage"/>
      </w:pPr>
      <w:r>
        <w:rPr>
          <w:rStyle w:val="Caractresdenotedebasdepage"/>
        </w:rPr>
        <w:footnoteRef/>
      </w:r>
      <w:r>
        <w:t>.</w:t>
      </w:r>
      <w:r w:rsidR="008D3ED7">
        <w:tab/>
      </w:r>
      <w:r>
        <w:t>C’est là ce que l’on appelle « centon », à savoir un « poème ou texte en prose composé de vers ou de fragements de vers ou de fragments de prose empruntés ça et là soit à un même auteur, soit à plusieurs et dont le rassemblement crée un sens nouveau » (</w:t>
      </w:r>
      <w:r>
        <w:rPr>
          <w:smallCaps/>
        </w:rPr>
        <w:t>Baetens</w:t>
      </w:r>
      <w:r>
        <w:t xml:space="preserve"> 2025 : 110, note 3). Contrairement donc au </w:t>
      </w:r>
      <w:r>
        <w:rPr>
          <w:i/>
          <w:iCs/>
        </w:rPr>
        <w:t>cut-up</w:t>
      </w:r>
      <w:r>
        <w:t>, où le hasard et l’aléatoire jouent le rôle primordial.</w:t>
      </w:r>
    </w:p>
  </w:footnote>
  <w:footnote w:id="19">
    <w:p w14:paraId="07299E85" w14:textId="7F52BE05" w:rsidR="00F10A66" w:rsidRDefault="00D77537">
      <w:pPr>
        <w:pStyle w:val="Notedebasdepage"/>
      </w:pPr>
      <w:r>
        <w:rPr>
          <w:rStyle w:val="Caractresdenotedebasdepage"/>
        </w:rPr>
        <w:footnoteRef/>
      </w:r>
      <w:r>
        <w:t>.</w:t>
      </w:r>
      <w:r w:rsidR="008D3ED7">
        <w:tab/>
      </w:r>
      <w:r>
        <w:t>  Reprise d’un procédé d’exposition des idées venu de Marx (</w:t>
      </w:r>
      <w:r>
        <w:rPr>
          <w:i/>
          <w:iCs/>
        </w:rPr>
        <w:t>Thèses sur Feuerbach</w:t>
      </w:r>
      <w:r>
        <w:t>) ou de Hegel (</w:t>
      </w:r>
      <w:r>
        <w:rPr>
          <w:i/>
          <w:iCs/>
        </w:rPr>
        <w:t>Thèses de 1801</w:t>
      </w:r>
      <w:r>
        <w:t>).</w:t>
      </w:r>
    </w:p>
  </w:footnote>
  <w:footnote w:id="20">
    <w:p w14:paraId="62B31953" w14:textId="2450D1C9" w:rsidR="00F10A66" w:rsidRDefault="00D77537">
      <w:pPr>
        <w:pStyle w:val="Notedebasdepage"/>
      </w:pPr>
      <w:r>
        <w:rPr>
          <w:rStyle w:val="Caractresdenotedebasdepage"/>
        </w:rPr>
        <w:footnoteRef/>
      </w:r>
      <w:r>
        <w:t>.  « Le détournement ramène à la subversion les conclusions critiques passées qui ont été figées en vérités respectables, c’est-à-dire transformées en mensonges. » (</w:t>
      </w:r>
      <w:r>
        <w:rPr>
          <w:smallCaps/>
        </w:rPr>
        <w:t>Debord</w:t>
      </w:r>
      <w:r>
        <w:t xml:space="preserve"> 1992 : 197). On lisait, comme définition du détournement, dans le n</w:t>
      </w:r>
      <w:r>
        <w:rPr>
          <w:vertAlign w:val="superscript"/>
        </w:rPr>
        <w:t xml:space="preserve">o </w:t>
      </w:r>
      <w:r>
        <w:t>1 de l’</w:t>
      </w:r>
      <w:r>
        <w:rPr>
          <w:i/>
          <w:iCs/>
        </w:rPr>
        <w:t>IS</w:t>
      </w:r>
      <w:r>
        <w:t xml:space="preserve"> (juin 1958) : « Détournement. S’emploie par abréviation de la formule : détournements d’éléments esthétiques préfabriqués. Intégration des productions actuelles ou passées des arts dans une construction supérieure du milieu. » </w:t>
      </w:r>
    </w:p>
  </w:footnote>
  <w:footnote w:id="21">
    <w:p w14:paraId="0BDF6A29" w14:textId="735BA8A2" w:rsidR="00F10A66" w:rsidRDefault="00D77537">
      <w:pPr>
        <w:pStyle w:val="Notedebasdepage"/>
      </w:pPr>
      <w:r>
        <w:rPr>
          <w:rStyle w:val="Caractresdenotedebasdepage"/>
        </w:rPr>
        <w:footnoteRef/>
      </w:r>
      <w:r>
        <w:t>.</w:t>
      </w:r>
      <w:r w:rsidR="008D3ED7">
        <w:tab/>
      </w:r>
      <w:r>
        <w:t xml:space="preserve">Lautréamont, dans </w:t>
      </w:r>
      <w:r>
        <w:rPr>
          <w:i/>
          <w:iCs/>
        </w:rPr>
        <w:t>Poésies</w:t>
      </w:r>
      <w:r>
        <w:t> : « La poésie doit être faire par tous. Non par un. Pauvre Hugo ! Pauvre Racine ! Pauvre Coppée ! Pauvre Corneille ! Pauvre Boileau ! Pauvre Scarron ! Tics, tics et tics ». On lit dans l’</w:t>
      </w:r>
      <w:r>
        <w:rPr>
          <w:i/>
          <w:iCs/>
        </w:rPr>
        <w:t>IS</w:t>
      </w:r>
      <w:r>
        <w:t> n</w:t>
      </w:r>
      <w:r>
        <w:rPr>
          <w:vertAlign w:val="superscript"/>
        </w:rPr>
        <w:t>o</w:t>
      </w:r>
      <w:r>
        <w:t xml:space="preserve"> 9 (1964) : « Cessez de nous parler d’intelligence sans emploi, vous nous ferez plaisir. Pauvre Heidegger ! Pauvre Lukàcs ! Pauvre Sartre ! Pauvre Barthes ! Pauvre Lefebvre ! Pauvre Cardan ! Tics, tics et tics. »</w:t>
      </w:r>
    </w:p>
  </w:footnote>
  <w:footnote w:id="22">
    <w:p w14:paraId="14F854AE" w14:textId="11B610CA" w:rsidR="00F10A66" w:rsidRDefault="00D77537">
      <w:pPr>
        <w:pStyle w:val="Notedebasdepage"/>
      </w:pPr>
      <w:r>
        <w:rPr>
          <w:rStyle w:val="Caractresdenotedebasdepage"/>
        </w:rPr>
        <w:footnoteRef/>
      </w:r>
      <w:r>
        <w:t>.</w:t>
      </w:r>
      <w:r w:rsidR="008D3ED7">
        <w:tab/>
      </w:r>
      <w:r>
        <w:t xml:space="preserve">Films qui peuvent facilement se trouver : </w:t>
      </w:r>
      <w:r>
        <w:rPr>
          <w:i/>
          <w:iCs/>
        </w:rPr>
        <w:t xml:space="preserve">Sur le passage de quelques personnes à travers une assez courte unité de temps </w:t>
      </w:r>
      <w:r>
        <w:t>(1959),</w:t>
      </w:r>
      <w:r>
        <w:rPr>
          <w:i/>
          <w:iCs/>
        </w:rPr>
        <w:t xml:space="preserve"> Critique de la séparation</w:t>
      </w:r>
      <w:r>
        <w:t xml:space="preserve"> (1961) et </w:t>
      </w:r>
      <w:r>
        <w:rPr>
          <w:i/>
          <w:iCs/>
        </w:rPr>
        <w:t>La Société du Spectacle</w:t>
      </w:r>
      <w:r>
        <w:t xml:space="preserve"> (1973). Les deux premiers sont les plus courts.</w:t>
      </w:r>
    </w:p>
  </w:footnote>
  <w:footnote w:id="23">
    <w:p w14:paraId="15D54A04" w14:textId="10AEDBD2" w:rsidR="00F10A66" w:rsidRDefault="00D77537">
      <w:pPr>
        <w:pStyle w:val="Notedebasdepage"/>
      </w:pPr>
      <w:r>
        <w:rPr>
          <w:rStyle w:val="Caractresdenotedebasdepage"/>
        </w:rPr>
        <w:footnoteRef/>
      </w:r>
      <w:r>
        <w:t>.  Il aurait bien sûr fallu aussi parler de la production de slogans par les membres de l’IS, généralement graffités sur les murs (parisiens notamment, à l’occasion surtout de Mai 68). Ici aussi montage…</w:t>
      </w:r>
    </w:p>
  </w:footnote>
  <w:footnote w:id="24">
    <w:p w14:paraId="328534C6" w14:textId="7E43134A" w:rsidR="00F10A66" w:rsidRDefault="00D77537">
      <w:pPr>
        <w:pStyle w:val="Notedebasdepage"/>
      </w:pPr>
      <w:r>
        <w:rPr>
          <w:rStyle w:val="Caractresdenotedebasdepage"/>
        </w:rPr>
        <w:footnoteRef/>
      </w:r>
      <w:r>
        <w:t>.</w:t>
      </w:r>
      <w:r w:rsidR="00CB1E5A">
        <w:tab/>
      </w:r>
      <w:r>
        <w:t>Cependant que le livre lui-même, matériellement, est également protégé par une couverture en papier de verre. Boris Donné relève que seul Debord était à même de tout comprendre et, de toute manière, « cette expression purement sensible ne pouvait que rester obscure à tout autre que lui » (</w:t>
      </w:r>
      <w:r>
        <w:rPr>
          <w:smallCaps/>
        </w:rPr>
        <w:t>Donné</w:t>
      </w:r>
      <w:r>
        <w:t xml:space="preserve"> 2004 : 40). Ce qui tend à être infirmé d’ailleurs par le travail même de Donné…</w:t>
      </w:r>
    </w:p>
  </w:footnote>
  <w:footnote w:id="25">
    <w:p w14:paraId="3B46680C" w14:textId="6C00F882" w:rsidR="00F10A66" w:rsidRDefault="00D77537">
      <w:pPr>
        <w:pStyle w:val="Notedebasdepage"/>
      </w:pPr>
      <w:r>
        <w:rPr>
          <w:rStyle w:val="Caractresdenotedebasdepage"/>
        </w:rPr>
        <w:footnoteRef/>
      </w:r>
      <w:r>
        <w:t>.</w:t>
      </w:r>
      <w:r w:rsidR="00CB1E5A">
        <w:tab/>
      </w:r>
      <w:r>
        <w:t>Il faut bien évidemment souligner que le changement de contexte a pour effet inévitable de tronquer le « sens » des citations. Par exemple, « je voulais parler la belle langue de mon siècle » est utilisé tel quel sans troncature mais dans le sens opposé à celui de Baudelaire (qui dénigrait la langue de son temps, « progressiste »).</w:t>
      </w:r>
    </w:p>
  </w:footnote>
  <w:footnote w:id="26">
    <w:p w14:paraId="17125F37" w14:textId="51D06E42" w:rsidR="00F10A66" w:rsidRDefault="00D77537">
      <w:pPr>
        <w:pStyle w:val="Notedebasdepage"/>
      </w:pPr>
      <w:r>
        <w:rPr>
          <w:rStyle w:val="Caractresdenotedebasdepage"/>
        </w:rPr>
        <w:footnoteRef/>
      </w:r>
      <w:r>
        <w:t>.</w:t>
      </w:r>
      <w:r w:rsidR="00CB1E5A">
        <w:tab/>
      </w:r>
      <w:r>
        <w:t xml:space="preserve">« […] il s’agit d’un livre profondément médité, – à la fois prémédité et postmédité : un labyrinthe de paroles choisies et concertées pour produire des émotions et un sens précisément définis, vers lequel Debord est sans cesse revenu dans son œuvre ultérieure dont ces </w:t>
      </w:r>
      <w:r>
        <w:rPr>
          <w:i/>
          <w:iCs/>
        </w:rPr>
        <w:t>Mémoires</w:t>
      </w:r>
      <w:r>
        <w:t xml:space="preserve"> sont comme la matrice » (</w:t>
      </w:r>
      <w:r>
        <w:rPr>
          <w:smallCaps/>
        </w:rPr>
        <w:t>Donné</w:t>
      </w:r>
      <w:r>
        <w:t xml:space="preserve"> 2004 : 149).</w:t>
      </w:r>
    </w:p>
  </w:footnote>
  <w:footnote w:id="27">
    <w:p w14:paraId="36DB8611" w14:textId="05500876" w:rsidR="00F10A66" w:rsidRDefault="00D77537">
      <w:pPr>
        <w:pStyle w:val="Notedebasdepage"/>
      </w:pPr>
      <w:r>
        <w:rPr>
          <w:rStyle w:val="Caractresdenotedebasdepage"/>
        </w:rPr>
        <w:footnoteRef/>
      </w:r>
      <w:r>
        <w:t>.</w:t>
      </w:r>
      <w:r w:rsidR="00CB1E5A">
        <w:tab/>
      </w:r>
      <w:r>
        <w:t xml:space="preserve">Sans contradiction ni ambiguïté : « Ses [à Debord] postulations révolutionnaires devaient en effet lui faire condamner l’espèce d’individualisme aristocratique qui fonde l’écriture du </w:t>
      </w:r>
      <w:r>
        <w:rPr>
          <w:i/>
          <w:iCs/>
        </w:rPr>
        <w:t>Je</w:t>
      </w:r>
      <w:r>
        <w:t> ; pareil subjectivisme se heurtait aussi aux efforts qu’il accomplissait pour constituer autour de lui des groupes, des entités collectices (IL, IS) [… » (</w:t>
      </w:r>
      <w:r>
        <w:rPr>
          <w:smallCaps/>
        </w:rPr>
        <w:t>Donné</w:t>
      </w:r>
      <w:r>
        <w:t xml:space="preserve"> 2024 : 47).</w:t>
      </w:r>
    </w:p>
  </w:footnote>
  <w:footnote w:id="28">
    <w:p w14:paraId="1EB2FFC9" w14:textId="2F4BBC37" w:rsidR="00F10A66" w:rsidRDefault="00D77537">
      <w:pPr>
        <w:pStyle w:val="Notedebasdepage"/>
      </w:pPr>
      <w:r>
        <w:rPr>
          <w:rStyle w:val="Caractresdenotedebasdepage"/>
        </w:rPr>
        <w:footnoteRef/>
      </w:r>
      <w:r>
        <w:t>.</w:t>
      </w:r>
      <w:r w:rsidR="00CB1E5A">
        <w:tab/>
      </w:r>
      <w:r>
        <w:t xml:space="preserve">Sachant que l’ivresse est « donnée comme l’accès au pur sentiment d’exister, au “vrai goût du passage du temps” » (Debord, </w:t>
      </w:r>
      <w:r>
        <w:rPr>
          <w:i/>
          <w:iCs/>
        </w:rPr>
        <w:t>Panégyrique</w:t>
      </w:r>
      <w:r>
        <w:t xml:space="preserve">, cité dans </w:t>
      </w:r>
      <w:r>
        <w:rPr>
          <w:smallCaps/>
        </w:rPr>
        <w:t>Donné</w:t>
      </w:r>
      <w:r>
        <w:t xml:space="preserve"> 2004 : 84).</w:t>
      </w:r>
    </w:p>
  </w:footnote>
  <w:footnote w:id="29">
    <w:p w14:paraId="540B920B" w14:textId="600CE8CB" w:rsidR="00F10A66" w:rsidRDefault="00D77537">
      <w:pPr>
        <w:pStyle w:val="Notedebasdepage"/>
      </w:pPr>
      <w:r>
        <w:rPr>
          <w:rStyle w:val="Caractresdenotedebasdepage"/>
        </w:rPr>
        <w:footnoteRef/>
      </w:r>
      <w:r>
        <w:t>.</w:t>
      </w:r>
      <w:r w:rsidR="00CB1E5A">
        <w:tab/>
      </w:r>
      <w:r>
        <w:t xml:space="preserve">Pas aussi simples (et « uncreative ») qu’ils n’y paraissent : </w:t>
      </w:r>
      <w:r>
        <w:rPr>
          <w:i/>
          <w:iCs/>
        </w:rPr>
        <w:t>prélever</w:t>
      </w:r>
      <w:r>
        <w:t xml:space="preserve"> suppose de savoir repérer, dans ce qui existe, ce qui vaut d’être sélectionné, et sur quoi prendre appui ; </w:t>
      </w:r>
      <w:r>
        <w:rPr>
          <w:i/>
          <w:iCs/>
        </w:rPr>
        <w:t>joindre</w:t>
      </w:r>
      <w:r>
        <w:t xml:space="preserve"> ne consiste pas seulement à faire se succéder les éléments prélevés, mais faire en sorte que cet ajointement produise quelque chose de nouveau ; diviser, enfin, c’est introduire une coupure en tant que telle (ellipse) là où un continuum était donné, ou bien c’est insérer un élément qui fera apparaître autrement les éléments disjoints – de l’importance, encore, du travail paradoxalement structurant-divisant de Jorn).</w:t>
      </w:r>
    </w:p>
  </w:footnote>
  <w:footnote w:id="30">
    <w:p w14:paraId="5AEE8989" w14:textId="6FF0C03F" w:rsidR="00F10A66" w:rsidRDefault="00D77537">
      <w:pPr>
        <w:pStyle w:val="Notedebasdepage"/>
      </w:pPr>
      <w:r>
        <w:rPr>
          <w:rStyle w:val="Caractresdenotedebasdepage"/>
        </w:rPr>
        <w:footnoteRef/>
      </w:r>
      <w:r>
        <w:t>.</w:t>
      </w:r>
      <w:r w:rsidR="00CB1E5A">
        <w:tab/>
      </w:r>
      <w:r>
        <w:t>J’emprunte ce terme à Gilles Deleuze et Félix Guattari. Il s’agit d’exprimer l’inséparation de fait entre « approche formelle » et « approche contextuelle », ou autrement dit, d’actes de parole toujours situés dans des agencements particuliers.</w:t>
      </w:r>
    </w:p>
  </w:footnote>
  <w:footnote w:id="31">
    <w:p w14:paraId="0C1F28EF" w14:textId="283A1750" w:rsidR="00F10A66" w:rsidRDefault="00D77537">
      <w:pPr>
        <w:pStyle w:val="Notedebasdepage"/>
      </w:pPr>
      <w:r>
        <w:rPr>
          <w:rStyle w:val="Caractresdenotedebasdepage"/>
        </w:rPr>
        <w:footnoteRef/>
      </w:r>
      <w:r>
        <w:t>.</w:t>
      </w:r>
      <w:r w:rsidR="00CB1E5A">
        <w:tab/>
      </w:r>
      <w:r>
        <w:t xml:space="preserve">« Sa lecture [à </w:t>
      </w:r>
      <w:r>
        <w:rPr>
          <w:i/>
          <w:iCs/>
        </w:rPr>
        <w:t>Mémoires</w:t>
      </w:r>
      <w:r>
        <w:t>] est programmée comme un parcours à travers une série de lieux, d’espaces architecturés visant à délivrer au destinataire de l’ouvrage non pas un enseignement abstrait, mais une expérience. » (</w:t>
      </w:r>
      <w:r>
        <w:rPr>
          <w:smallCaps/>
        </w:rPr>
        <w:t>Donné</w:t>
      </w:r>
      <w:r>
        <w:t xml:space="preserve"> 2004 : 55).</w:t>
      </w:r>
    </w:p>
  </w:footnote>
  <w:footnote w:id="32">
    <w:p w14:paraId="22721C56" w14:textId="40B0A036" w:rsidR="00F10A66" w:rsidRDefault="00D77537">
      <w:pPr>
        <w:pStyle w:val="Notedebasdepage"/>
      </w:pPr>
      <w:r>
        <w:rPr>
          <w:rStyle w:val="Caractresdenotedebasdepage"/>
        </w:rPr>
        <w:footnoteRef/>
      </w:r>
      <w:r>
        <w:t>.</w:t>
      </w:r>
      <w:r w:rsidR="00CB1E5A">
        <w:tab/>
      </w:r>
      <w:r>
        <w:t>Est-ce « encore de l’art » ? Est-ce la dernière étape vers le dépassement de l’art ? Est-ce déjà un au-delà de l’art ? Est-ce de l’art malgré tout ? En tout cas, « [l]e sens que [les secteurs d’une ville, et leur résonance affective] ont eu pour nous, personnellement, est intransmissible, comme toute cette clandestinité de la vie privée, sur laquelle on ne possède jamais que des documents dérisoires » (</w:t>
      </w:r>
      <w:r>
        <w:rPr>
          <w:i/>
          <w:iCs/>
        </w:rPr>
        <w:t>Critique de la séparation</w:t>
      </w:r>
      <w:r>
        <w:t>, 1961).</w:t>
      </w:r>
    </w:p>
  </w:footnote>
  <w:footnote w:id="33">
    <w:p w14:paraId="71C492EE" w14:textId="2EB798B4" w:rsidR="00F10A66" w:rsidRDefault="00D77537">
      <w:pPr>
        <w:pStyle w:val="Notedebasdepage"/>
      </w:pPr>
      <w:r>
        <w:rPr>
          <w:rStyle w:val="Caractresdenotedebasdepage"/>
        </w:rPr>
        <w:footnoteRef/>
      </w:r>
      <w:r>
        <w:t xml:space="preserve">. Un autre secteur a été investi par les « détourneurs » situationnistes, celui de la musique de variété : </w:t>
      </w:r>
      <w:hyperlink r:id="rId1" w:tgtFrame="Pour en finir avec le travail">
        <w:r>
          <w:rPr>
            <w:rStyle w:val="LienInternet"/>
            <w:i/>
            <w:iCs/>
            <w:color w:val="auto"/>
            <w:u w:val="none"/>
          </w:rPr>
          <w:t>Pour en finir avec le travail</w:t>
        </w:r>
      </w:hyperlink>
      <w:r>
        <w:rPr>
          <w:i/>
          <w:iCs/>
        </w:rPr>
        <w:t>, chansons du prolétariat révolutionnaire</w:t>
      </w:r>
      <w:r>
        <w:t>, disque 33 tours (1974). Debord a détourné les textes de deux chansons.</w:t>
      </w:r>
    </w:p>
  </w:footnote>
  <w:footnote w:id="34">
    <w:p w14:paraId="1D45AC80" w14:textId="03CA81C6" w:rsidR="00F10A66" w:rsidRDefault="00D77537">
      <w:pPr>
        <w:pStyle w:val="Notedebasdepage"/>
      </w:pPr>
      <w:r>
        <w:rPr>
          <w:rStyle w:val="Caractresdenotedebasdepage"/>
        </w:rPr>
        <w:footnoteRef/>
      </w:r>
      <w:r>
        <w:t>.</w:t>
      </w:r>
      <w:r w:rsidR="00CB1E5A">
        <w:tab/>
      </w:r>
      <w:r>
        <w:t xml:space="preserve">Au sens de Giorgio Agamben (voir </w:t>
      </w:r>
      <w:r>
        <w:rPr>
          <w:i/>
          <w:iCs/>
        </w:rPr>
        <w:t>Profanations</w:t>
      </w:r>
      <w:r>
        <w:t>, 2005) : « Profaner c’est restituer à l’usage commun ce qui a été séparé dans la sphère du sacré. »</w:t>
      </w:r>
    </w:p>
  </w:footnote>
  <w:footnote w:id="35">
    <w:p w14:paraId="14F75DAE" w14:textId="7C41E5AF" w:rsidR="00F10A66" w:rsidRDefault="00D77537">
      <w:pPr>
        <w:pStyle w:val="Notedebasdepage"/>
      </w:pPr>
      <w:r>
        <w:rPr>
          <w:rStyle w:val="Caractresdenotedebasdepage"/>
        </w:rPr>
        <w:footnoteRef/>
      </w:r>
      <w:r>
        <w:t>.</w:t>
      </w:r>
      <w:r w:rsidR="00CB1E5A">
        <w:tab/>
      </w:r>
      <w:r>
        <w:t>Lyotard en effet expose une série d’oppositions : « dérive et non critique ; événement et non négativité ; déplacement et non dépassement » (</w:t>
      </w:r>
      <w:r>
        <w:rPr>
          <w:smallCaps/>
        </w:rPr>
        <w:t>Lyotard</w:t>
      </w:r>
      <w:r>
        <w:t xml:space="preserve"> 1973 :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FFB" w14:textId="77777777" w:rsidR="00F10A66" w:rsidRDefault="00F10A66">
    <w:pPr>
      <w:pStyle w:val="En-tte"/>
      <w:jc w:val="center"/>
      <w:rPr>
        <w:smallCap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8EC9" w14:textId="77777777" w:rsidR="00F10A66" w:rsidRDefault="00F10A66">
    <w:pPr>
      <w:pStyle w:val="En-tte"/>
      <w:jc w:val="center"/>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81C1" w14:textId="77777777" w:rsidR="00F10A66" w:rsidRDefault="00F10A6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116A"/>
    <w:multiLevelType w:val="multilevel"/>
    <w:tmpl w:val="91CA70C6"/>
    <w:lvl w:ilvl="0">
      <w:start w:val="1"/>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 w15:restartNumberingAfterBreak="0">
    <w:nsid w:val="7A9578C5"/>
    <w:multiLevelType w:val="multilevel"/>
    <w:tmpl w:val="D2AA829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55871324">
    <w:abstractNumId w:val="1"/>
  </w:num>
  <w:num w:numId="2" w16cid:durableId="43779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HyphenateCaps/>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66"/>
    <w:rsid w:val="0015227A"/>
    <w:rsid w:val="00166548"/>
    <w:rsid w:val="00341A29"/>
    <w:rsid w:val="003521F7"/>
    <w:rsid w:val="00452DA5"/>
    <w:rsid w:val="0055035A"/>
    <w:rsid w:val="00553C58"/>
    <w:rsid w:val="006172A9"/>
    <w:rsid w:val="006D5A8D"/>
    <w:rsid w:val="008D3ED7"/>
    <w:rsid w:val="009B5E1A"/>
    <w:rsid w:val="00AD29FB"/>
    <w:rsid w:val="00B67C55"/>
    <w:rsid w:val="00CA04FB"/>
    <w:rsid w:val="00CB1E5A"/>
    <w:rsid w:val="00D23C80"/>
    <w:rsid w:val="00D70710"/>
    <w:rsid w:val="00D77537"/>
    <w:rsid w:val="00D917E8"/>
    <w:rsid w:val="00D95A92"/>
    <w:rsid w:val="00DF1DFA"/>
    <w:rsid w:val="00E2168A"/>
    <w:rsid w:val="00F10A66"/>
    <w:rsid w:val="00FC580B"/>
    <w:rsid w:val="00FC7B00"/>
    <w:rsid w:val="00FF42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20C0"/>
  <w15:docId w15:val="{1596B9BF-E084-4C82-9145-7DD37779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97"/>
      <w:contextualSpacing/>
      <w:jc w:val="both"/>
    </w:pPr>
    <w:rPr>
      <w:rFonts w:eastAsia="Calibri"/>
      <w:sz w:val="24"/>
      <w:szCs w:val="22"/>
      <w:lang w:eastAsia="en-US"/>
    </w:rPr>
  </w:style>
  <w:style w:type="paragraph" w:styleId="Titre1">
    <w:name w:val="heading 1"/>
    <w:basedOn w:val="Normal"/>
    <w:next w:val="Normal"/>
    <w:link w:val="Titre1Car"/>
    <w:uiPriority w:val="9"/>
    <w:qFormat/>
    <w:pPr>
      <w:keepNext/>
      <w:keepLines/>
      <w:spacing w:before="960" w:after="120"/>
      <w:jc w:val="center"/>
      <w:outlineLvl w:val="0"/>
    </w:pPr>
    <w:rPr>
      <w:rFonts w:eastAsia="Times New Roman"/>
      <w:sz w:val="36"/>
      <w:szCs w:val="32"/>
    </w:rPr>
  </w:style>
  <w:style w:type="paragraph" w:styleId="Titre2">
    <w:name w:val="heading 2"/>
    <w:basedOn w:val="Normal"/>
    <w:next w:val="Normal"/>
    <w:link w:val="Titre2Car"/>
    <w:uiPriority w:val="9"/>
    <w:unhideWhenUsed/>
    <w:qFormat/>
    <w:pPr>
      <w:keepNext/>
      <w:keepLines/>
      <w:spacing w:before="360" w:after="120"/>
      <w:ind w:firstLine="0"/>
      <w:jc w:val="left"/>
      <w:outlineLvl w:val="1"/>
    </w:pPr>
    <w:rPr>
      <w:rFonts w:eastAsia="Times New Roman"/>
      <w:b/>
      <w:szCs w:val="26"/>
    </w:rPr>
  </w:style>
  <w:style w:type="paragraph" w:styleId="Titre3">
    <w:name w:val="heading 3"/>
    <w:basedOn w:val="Normal"/>
    <w:next w:val="Normal"/>
    <w:link w:val="Titre3Car"/>
    <w:uiPriority w:val="9"/>
    <w:unhideWhenUsed/>
    <w:qFormat/>
    <w:pPr>
      <w:keepNext/>
      <w:keepLines/>
      <w:spacing w:before="240" w:after="120"/>
      <w:ind w:firstLine="0"/>
      <w:jc w:val="left"/>
      <w:outlineLvl w:val="2"/>
    </w:pPr>
    <w:rPr>
      <w:rFonts w:eastAsia="Times New Roman"/>
      <w:b/>
      <w:i/>
      <w:szCs w:val="24"/>
    </w:rPr>
  </w:style>
  <w:style w:type="paragraph" w:styleId="Titre4">
    <w:name w:val="heading 4"/>
    <w:basedOn w:val="Normal"/>
    <w:next w:val="Normal"/>
    <w:uiPriority w:val="9"/>
    <w:unhideWhenUsed/>
    <w:qFormat/>
    <w:pPr>
      <w:keepNext/>
      <w:spacing w:before="240" w:after="60"/>
      <w:ind w:firstLine="0"/>
      <w:outlineLvl w:val="3"/>
    </w:pPr>
    <w:rPr>
      <w:i/>
    </w:rPr>
  </w:style>
  <w:style w:type="paragraph" w:styleId="Titre5">
    <w:name w:val="heading 5"/>
    <w:basedOn w:val="Normal"/>
    <w:next w:val="Normal"/>
    <w:uiPriority w:val="9"/>
    <w:semiHidden/>
    <w:unhideWhenUsed/>
    <w:qFormat/>
    <w:pPr>
      <w:spacing w:before="240" w:after="60"/>
      <w:ind w:firstLine="0"/>
      <w:outlineLvl w:val="4"/>
    </w:pPr>
    <w:rPr>
      <w:rFonts w:ascii="Arial" w:hAnsi="Arial"/>
      <w:sz w:val="22"/>
    </w:rPr>
  </w:style>
  <w:style w:type="paragraph" w:styleId="Titre6">
    <w:name w:val="heading 6"/>
    <w:basedOn w:val="Normal"/>
    <w:next w:val="Normal"/>
    <w:uiPriority w:val="9"/>
    <w:semiHidden/>
    <w:unhideWhenUsed/>
    <w:qFormat/>
    <w:pPr>
      <w:spacing w:before="240" w:after="60"/>
      <w:ind w:firstLine="0"/>
      <w:outlineLvl w:val="5"/>
    </w:pPr>
    <w:rPr>
      <w:rFonts w:ascii="Arial" w:hAnsi="Arial"/>
      <w:i/>
      <w:sz w:val="22"/>
    </w:rPr>
  </w:style>
  <w:style w:type="paragraph" w:styleId="Titre7">
    <w:name w:val="heading 7"/>
    <w:basedOn w:val="Normal"/>
    <w:next w:val="Normal"/>
    <w:qFormat/>
    <w:pPr>
      <w:spacing w:before="240" w:after="60"/>
      <w:ind w:firstLine="0"/>
      <w:outlineLvl w:val="6"/>
    </w:pPr>
    <w:rPr>
      <w:rFonts w:ascii="Arial" w:hAnsi="Arial"/>
      <w:sz w:val="20"/>
    </w:rPr>
  </w:style>
  <w:style w:type="paragraph" w:styleId="Titre8">
    <w:name w:val="heading 8"/>
    <w:basedOn w:val="Normal"/>
    <w:next w:val="Normal"/>
    <w:qFormat/>
    <w:pPr>
      <w:spacing w:before="240" w:after="60"/>
      <w:ind w:firstLine="0"/>
      <w:outlineLvl w:val="7"/>
    </w:pPr>
    <w:rPr>
      <w:rFonts w:ascii="Arial" w:hAnsi="Arial"/>
      <w:i/>
      <w:sz w:val="20"/>
    </w:rPr>
  </w:style>
  <w:style w:type="paragraph" w:styleId="Titre9">
    <w:name w:val="heading 9"/>
    <w:basedOn w:val="Normal"/>
    <w:next w:val="Normal"/>
    <w:qFormat/>
    <w:pPr>
      <w:spacing w:before="240" w:after="60"/>
      <w:ind w:firstLine="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basdepage">
    <w:name w:val="Ancre de note de bas de page"/>
    <w:rPr>
      <w:rFonts w:ascii="Times New Roman" w:hAnsi="Times New Roman"/>
      <w:sz w:val="20"/>
      <w:vertAlign w:val="superscript"/>
    </w:rPr>
  </w:style>
  <w:style w:type="character" w:customStyle="1" w:styleId="FootnoteCharacters">
    <w:name w:val="Footnote Characters"/>
    <w:basedOn w:val="Policepardfaut"/>
    <w:qFormat/>
    <w:rPr>
      <w:rFonts w:ascii="Times New Roman" w:hAnsi="Times New Roman"/>
      <w:sz w:val="20"/>
      <w:vertAlign w:val="superscript"/>
    </w:rPr>
  </w:style>
  <w:style w:type="character" w:customStyle="1" w:styleId="CitationintenseCar">
    <w:name w:val="Citation intense Car"/>
    <w:basedOn w:val="Policepardfaut"/>
    <w:link w:val="Citationintense"/>
    <w:qFormat/>
    <w:rPr>
      <w:rFonts w:eastAsia="Calibri" w:cs="Times New Roman"/>
      <w:iCs/>
      <w:sz w:val="22"/>
      <w:szCs w:val="18"/>
    </w:rPr>
  </w:style>
  <w:style w:type="character" w:customStyle="1" w:styleId="CitationCar">
    <w:name w:val="Citation Car"/>
    <w:basedOn w:val="Policepardfaut"/>
    <w:link w:val="Citation"/>
    <w:qFormat/>
    <w:rPr>
      <w:rFonts w:eastAsia="Calibri" w:cs="Times New Roman"/>
      <w:iCs/>
      <w:sz w:val="22"/>
      <w:szCs w:val="22"/>
      <w:lang w:eastAsia="en-US"/>
    </w:rPr>
  </w:style>
  <w:style w:type="character" w:customStyle="1" w:styleId="NotedebasdepageCar">
    <w:name w:val="Note de bas de page Car"/>
    <w:basedOn w:val="Policepardfaut"/>
    <w:link w:val="Notedebasdepage"/>
    <w:qFormat/>
    <w:rPr>
      <w:rFonts w:cs="Times New Roman"/>
      <w:lang w:eastAsia="en-US"/>
    </w:rPr>
  </w:style>
  <w:style w:type="character" w:customStyle="1" w:styleId="Titre1Car">
    <w:name w:val="Titre 1 Car"/>
    <w:basedOn w:val="Policepardfaut"/>
    <w:link w:val="Titre1"/>
    <w:qFormat/>
    <w:rPr>
      <w:rFonts w:eastAsia="Times New Roman" w:cs="Times New Roman"/>
      <w:sz w:val="36"/>
      <w:szCs w:val="32"/>
      <w:lang w:eastAsia="en-US"/>
    </w:rPr>
  </w:style>
  <w:style w:type="character" w:customStyle="1" w:styleId="Titre2Car">
    <w:name w:val="Titre 2 Car"/>
    <w:link w:val="Titre2"/>
    <w:qFormat/>
    <w:rPr>
      <w:b/>
      <w:sz w:val="24"/>
      <w:szCs w:val="26"/>
      <w:lang w:eastAsia="en-US"/>
    </w:rPr>
  </w:style>
  <w:style w:type="character" w:customStyle="1" w:styleId="Titre3Car">
    <w:name w:val="Titre 3 Car"/>
    <w:basedOn w:val="Policepardfaut"/>
    <w:link w:val="Titre3"/>
    <w:qFormat/>
    <w:rPr>
      <w:rFonts w:eastAsia="Times New Roman" w:cs="Times New Roman"/>
      <w:b/>
      <w:i/>
      <w:sz w:val="24"/>
      <w:szCs w:val="24"/>
      <w:lang w:eastAsia="en-US"/>
    </w:rPr>
  </w:style>
  <w:style w:type="character" w:customStyle="1" w:styleId="PieddepageCar">
    <w:name w:val="Pied de page Car"/>
    <w:basedOn w:val="Policepardfaut"/>
    <w:link w:val="Pieddepage"/>
    <w:qFormat/>
    <w:rPr>
      <w:rFonts w:eastAsia="Calibri" w:cs="Times New Roman"/>
      <w:sz w:val="24"/>
      <w:szCs w:val="22"/>
      <w:lang w:eastAsia="en-US"/>
    </w:rPr>
  </w:style>
  <w:style w:type="character" w:customStyle="1" w:styleId="En-tteCar">
    <w:name w:val="En-tête Car"/>
    <w:basedOn w:val="Policepardfaut"/>
    <w:link w:val="En-tte"/>
    <w:qFormat/>
    <w:rPr>
      <w:rFonts w:eastAsia="Calibri" w:cs="Times New Roman"/>
      <w:sz w:val="24"/>
      <w:szCs w:val="22"/>
      <w:lang w:eastAsia="en-US"/>
    </w:rPr>
  </w:style>
  <w:style w:type="character" w:styleId="Accentuation">
    <w:name w:val="Emphasis"/>
    <w:basedOn w:val="Policepardfaut"/>
    <w:qFormat/>
    <w:rPr>
      <w:i/>
      <w:iCs/>
    </w:rPr>
  </w:style>
  <w:style w:type="character" w:customStyle="1" w:styleId="TitreCar">
    <w:name w:val="Titre Car"/>
    <w:basedOn w:val="Policepardfaut"/>
    <w:link w:val="Titre"/>
    <w:qFormat/>
    <w:rPr>
      <w:rFonts w:ascii="Calibri Light" w:eastAsia="Times New Roman" w:hAnsi="Calibri Light" w:cs="Times New Roman"/>
      <w:spacing w:val="-10"/>
      <w:kern w:val="2"/>
      <w:sz w:val="56"/>
      <w:szCs w:val="56"/>
      <w:lang w:eastAsia="en-US"/>
    </w:rPr>
  </w:style>
  <w:style w:type="character" w:customStyle="1" w:styleId="RetraitcorpsdetexteCar">
    <w:name w:val="Retrait corps de texte Car"/>
    <w:basedOn w:val="Policepardfaut"/>
    <w:qFormat/>
    <w:rPr>
      <w:rFonts w:eastAsia="Calibri" w:cs="Times New Roman"/>
      <w:sz w:val="24"/>
      <w:szCs w:val="22"/>
      <w:lang w:eastAsia="en-US"/>
    </w:rPr>
  </w:style>
  <w:style w:type="character" w:customStyle="1" w:styleId="CorpsdetexteCar">
    <w:name w:val="Corps de texte Car"/>
    <w:basedOn w:val="Policepardfaut"/>
    <w:link w:val="Corpsdetexte"/>
    <w:qFormat/>
    <w:rPr>
      <w:rFonts w:eastAsia="Calibri" w:cs="Times New Roman"/>
      <w:sz w:val="24"/>
      <w:szCs w:val="22"/>
      <w:lang w:eastAsia="en-US"/>
    </w:rPr>
  </w:style>
  <w:style w:type="character" w:customStyle="1" w:styleId="RetraitcorpsdetexteCar1">
    <w:name w:val="Retrait corps de texte Car1"/>
    <w:basedOn w:val="CorpsdetexteCar"/>
    <w:link w:val="Retraitcorpsdetexte"/>
    <w:qFormat/>
    <w:rPr>
      <w:rFonts w:eastAsia="Calibri" w:cs="Times New Roman"/>
      <w:sz w:val="24"/>
      <w:szCs w:val="22"/>
      <w:lang w:eastAsia="en-US"/>
    </w:rPr>
  </w:style>
  <w:style w:type="character" w:customStyle="1" w:styleId="LienInternet">
    <w:name w:val="Lien Internet"/>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Pr>
      <w:rFonts w:ascii="Calibri Light" w:eastAsia="Times New Roman" w:hAnsi="Calibri Light"/>
      <w:spacing w:val="-10"/>
      <w:kern w:val="2"/>
      <w:sz w:val="56"/>
      <w:szCs w:val="56"/>
    </w:rPr>
  </w:style>
  <w:style w:type="paragraph" w:styleId="Corpsdetexte">
    <w:name w:val="Body Text"/>
    <w:basedOn w:val="Normal"/>
    <w:link w:val="CorpsdetexteCar"/>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contextualSpacing w:val="0"/>
    </w:pPr>
    <w:rPr>
      <w:rFonts w:cs="Arial"/>
      <w:i/>
      <w:iCs/>
      <w:szCs w:val="24"/>
    </w:rPr>
  </w:style>
  <w:style w:type="paragraph" w:customStyle="1" w:styleId="Index">
    <w:name w:val="Index"/>
    <w:basedOn w:val="Normal"/>
    <w:qFormat/>
    <w:pPr>
      <w:suppressLineNumbers/>
    </w:pPr>
    <w:rPr>
      <w:rFonts w:cs="Arial"/>
    </w:rPr>
  </w:style>
  <w:style w:type="paragraph" w:customStyle="1" w:styleId="Normal1">
    <w:name w:val="Normal1"/>
    <w:basedOn w:val="Normal"/>
    <w:qFormat/>
  </w:style>
  <w:style w:type="paragraph" w:styleId="TM1">
    <w:name w:val="toc 1"/>
    <w:basedOn w:val="Normal"/>
    <w:next w:val="Normal"/>
    <w:pPr>
      <w:tabs>
        <w:tab w:val="right" w:pos="9072"/>
      </w:tabs>
      <w:spacing w:before="360" w:after="360"/>
      <w:ind w:firstLine="0"/>
      <w:jc w:val="left"/>
    </w:pPr>
    <w:rPr>
      <w:b/>
      <w:caps/>
      <w:sz w:val="22"/>
      <w:u w:val="single"/>
    </w:rPr>
  </w:style>
  <w:style w:type="paragraph" w:styleId="TM2">
    <w:name w:val="toc 2"/>
    <w:basedOn w:val="Normal"/>
    <w:next w:val="Normal"/>
    <w:pPr>
      <w:tabs>
        <w:tab w:val="right" w:pos="9072"/>
      </w:tabs>
      <w:ind w:left="240" w:firstLine="0"/>
      <w:jc w:val="left"/>
    </w:pPr>
    <w:rPr>
      <w:b/>
      <w:smallCaps/>
      <w:sz w:val="22"/>
    </w:rPr>
  </w:style>
  <w:style w:type="paragraph" w:styleId="TM3">
    <w:name w:val="toc 3"/>
    <w:basedOn w:val="Normal"/>
    <w:next w:val="Normal"/>
    <w:pPr>
      <w:tabs>
        <w:tab w:val="right" w:pos="9072"/>
      </w:tabs>
      <w:ind w:left="480" w:firstLine="0"/>
      <w:jc w:val="left"/>
    </w:pPr>
    <w:rPr>
      <w:smallCaps/>
      <w:sz w:val="22"/>
    </w:rPr>
  </w:style>
  <w:style w:type="paragraph" w:styleId="Retraitnormal">
    <w:name w:val="Normal Indent"/>
    <w:basedOn w:val="Normal"/>
    <w:qFormat/>
    <w:pPr>
      <w:ind w:left="708" w:firstLine="0"/>
      <w:jc w:val="left"/>
    </w:pPr>
  </w:style>
  <w:style w:type="paragraph" w:styleId="Notedebasdepage">
    <w:name w:val="footnote text"/>
    <w:basedOn w:val="Normal"/>
    <w:link w:val="NotedebasdepageCar"/>
    <w:autoRedefine/>
    <w:pPr>
      <w:keepNext/>
      <w:spacing w:after="40"/>
      <w:ind w:left="284" w:hanging="284"/>
      <w:contextualSpacing w:val="0"/>
    </w:pPr>
    <w:rPr>
      <w:rFonts w:eastAsia="Times New Roman"/>
      <w:sz w:val="20"/>
      <w:szCs w:val="20"/>
    </w:rPr>
  </w:style>
  <w:style w:type="paragraph" w:customStyle="1" w:styleId="En-tteetpieddepage">
    <w:name w:val="En-tête et pied de page"/>
    <w:basedOn w:val="Normal"/>
    <w:qFormat/>
  </w:style>
  <w:style w:type="paragraph" w:styleId="En-tte">
    <w:name w:val="header"/>
    <w:basedOn w:val="Normal"/>
    <w:link w:val="En-tteCar"/>
    <w:pPr>
      <w:tabs>
        <w:tab w:val="center" w:pos="4819"/>
        <w:tab w:val="right" w:pos="9071"/>
      </w:tabs>
      <w:ind w:firstLine="0"/>
      <w:jc w:val="left"/>
    </w:pPr>
  </w:style>
  <w:style w:type="paragraph" w:styleId="Citationintense">
    <w:name w:val="Intense Quote"/>
    <w:basedOn w:val="Normal"/>
    <w:next w:val="Normal"/>
    <w:link w:val="CitationintenseCar"/>
    <w:autoRedefine/>
    <w:qFormat/>
    <w:pPr>
      <w:keepNext/>
      <w:spacing w:before="360" w:after="360" w:line="276" w:lineRule="auto"/>
      <w:ind w:left="2268"/>
    </w:pPr>
    <w:rPr>
      <w:iCs/>
      <w:sz w:val="22"/>
      <w:szCs w:val="18"/>
      <w:lang w:eastAsia="fr-BE"/>
    </w:rPr>
  </w:style>
  <w:style w:type="paragraph" w:styleId="Citation">
    <w:name w:val="Quote"/>
    <w:basedOn w:val="Normal"/>
    <w:next w:val="Normal"/>
    <w:link w:val="CitationCar"/>
    <w:autoRedefine/>
    <w:qFormat/>
    <w:pPr>
      <w:spacing w:before="120" w:after="120" w:line="300" w:lineRule="auto"/>
      <w:ind w:left="397" w:right="397"/>
    </w:pPr>
    <w:rPr>
      <w:iCs/>
      <w:sz w:val="22"/>
    </w:rPr>
  </w:style>
  <w:style w:type="paragraph" w:customStyle="1" w:styleId="Nomdauteur">
    <w:name w:val="Nom d'auteur"/>
    <w:basedOn w:val="Normal"/>
    <w:qFormat/>
    <w:pPr>
      <w:tabs>
        <w:tab w:val="left" w:pos="280"/>
      </w:tabs>
      <w:spacing w:before="300" w:after="480"/>
      <w:jc w:val="center"/>
    </w:pPr>
    <w:rPr>
      <w:rFonts w:eastAsia="Times New Roman"/>
      <w:sz w:val="28"/>
      <w:szCs w:val="24"/>
      <w:lang w:val="en-GB"/>
    </w:rPr>
  </w:style>
  <w:style w:type="paragraph" w:styleId="Pieddepage">
    <w:name w:val="footer"/>
    <w:basedOn w:val="Normal"/>
    <w:link w:val="PieddepageCar"/>
    <w:pPr>
      <w:tabs>
        <w:tab w:val="center" w:pos="4536"/>
        <w:tab w:val="right" w:pos="9072"/>
      </w:tabs>
    </w:pPr>
  </w:style>
  <w:style w:type="paragraph" w:styleId="Retraitcorpsdetexte">
    <w:name w:val="Body Text Indent"/>
    <w:basedOn w:val="Corpsdetexte"/>
    <w:link w:val="RetraitcorpsdetexteCar1"/>
    <w:qFormat/>
    <w:pPr>
      <w:spacing w:after="0"/>
      <w:ind w:firstLine="360"/>
    </w:pPr>
  </w:style>
  <w:style w:type="paragraph" w:styleId="Paragraphedeliste">
    <w:name w:val="List Paragraph"/>
    <w:basedOn w:val="Normal"/>
    <w:qFormat/>
    <w:pPr>
      <w:ind w:left="720"/>
    </w:pPr>
  </w:style>
  <w:style w:type="paragraph" w:styleId="NormalWeb">
    <w:name w:val="Normal (Web)"/>
    <w:basedOn w:val="Normal"/>
    <w:qFormat/>
    <w:rPr>
      <w:szCs w:val="24"/>
    </w:rPr>
  </w:style>
  <w:style w:type="character" w:styleId="Lienhypertexte">
    <w:name w:val="Hyperlink"/>
    <w:basedOn w:val="Policepardfaut"/>
    <w:uiPriority w:val="99"/>
    <w:unhideWhenUsed/>
    <w:rsid w:val="00FF42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bDkLPyHp0Q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outube.com/watch?v=k1nVJDqEF4Q&amp;pp=ygUZZ3V5IGRlYm9yZCBmcmFuY2UgY3VsdHVyZQ%3D%3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jkLN41JXmL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Pour_en_finir_avec_le_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1631</TotalTime>
  <Pages>26</Pages>
  <Words>8831</Words>
  <Characters>47250</Characters>
  <Application>Microsoft Office Word</Application>
  <DocSecurity>0</DocSecurity>
  <Lines>828</Lines>
  <Paragraphs>107</Paragraphs>
  <ScaleCrop>false</ScaleCrop>
  <HeadingPairs>
    <vt:vector size="2" baseType="variant">
      <vt:variant>
        <vt:lpstr>Titre</vt:lpstr>
      </vt:variant>
      <vt:variant>
        <vt:i4>1</vt:i4>
      </vt:variant>
    </vt:vector>
  </HeadingPairs>
  <TitlesOfParts>
    <vt:vector size="1" baseType="lpstr">
      <vt:lpstr>INTRODUCTION	1</vt:lpstr>
    </vt:vector>
  </TitlesOfParts>
  <Company> </Company>
  <LinksUpToDate>false</LinksUpToDate>
  <CharactersWithSpaces>55974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1</dc:title>
  <dc:subject/>
  <dc:creator>Arnaud Massin</dc:creator>
  <dc:description/>
  <cp:lastModifiedBy>Massin Arnaud</cp:lastModifiedBy>
  <cp:revision>67</cp:revision>
  <cp:lastPrinted>1998-11-10T15:31:00Z</cp:lastPrinted>
  <dcterms:created xsi:type="dcterms:W3CDTF">2026-02-11T13:08:00Z</dcterms:created>
  <dcterms:modified xsi:type="dcterms:W3CDTF">2026-03-04T15:48:00Z</dcterms:modified>
  <dc:language>fr-BE</dc:language>
</cp:coreProperties>
</file>