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42DC" w:rsidRPr="00B742DC" w:rsidRDefault="00B742DC" w:rsidP="00C37351">
      <w:pPr>
        <w:spacing w:after="0" w:line="360" w:lineRule="auto"/>
        <w:outlineLvl w:val="0"/>
        <w:rPr>
          <w:rFonts w:ascii="Times New Roman" w:eastAsia="Times New Roman" w:hAnsi="Times New Roman" w:cs="Times New Roman"/>
          <w:b/>
          <w:bCs/>
          <w:kern w:val="36"/>
          <w:sz w:val="48"/>
          <w:szCs w:val="48"/>
          <w:lang w:val="en-US" w:eastAsia="fr-BE"/>
        </w:rPr>
      </w:pPr>
      <w:r w:rsidRPr="00B742DC">
        <w:rPr>
          <w:rFonts w:ascii="Times New Roman" w:eastAsia="Times New Roman" w:hAnsi="Times New Roman" w:cs="Times New Roman"/>
          <w:b/>
          <w:bCs/>
          <w:kern w:val="36"/>
          <w:sz w:val="48"/>
          <w:szCs w:val="48"/>
          <w:lang w:val="en-US" w:eastAsia="fr-BE"/>
        </w:rPr>
        <w:t>All the Strange Things People Take as Food</w:t>
      </w:r>
    </w:p>
    <w:p w:rsidR="00B742DC" w:rsidRPr="00B742DC" w:rsidRDefault="00B742DC" w:rsidP="00C37351">
      <w:pPr>
        <w:spacing w:after="0" w:line="360" w:lineRule="auto"/>
        <w:outlineLvl w:val="1"/>
        <w:rPr>
          <w:rFonts w:ascii="Times New Roman" w:eastAsia="Times New Roman" w:hAnsi="Times New Roman" w:cs="Times New Roman"/>
          <w:b/>
          <w:bCs/>
          <w:sz w:val="36"/>
          <w:szCs w:val="36"/>
          <w:lang w:val="en-US" w:eastAsia="fr-BE"/>
        </w:rPr>
      </w:pPr>
      <w:r w:rsidRPr="00B742DC">
        <w:rPr>
          <w:rFonts w:ascii="Times New Roman" w:eastAsia="Times New Roman" w:hAnsi="Times New Roman" w:cs="Times New Roman"/>
          <w:b/>
          <w:bCs/>
          <w:sz w:val="36"/>
          <w:szCs w:val="36"/>
          <w:lang w:val="en-US" w:eastAsia="fr-BE"/>
        </w:rPr>
        <w:t>Fish, Cancer, and Medical Consultations in Padua at the Dawn of the Early Modern Period</w:t>
      </w:r>
    </w:p>
    <w:p w:rsidR="00B742DC" w:rsidRPr="00B742DC" w:rsidRDefault="00B742DC" w:rsidP="00C37351">
      <w:pPr>
        <w:spacing w:after="0" w:line="360" w:lineRule="auto"/>
        <w:rPr>
          <w:rFonts w:ascii="Times New Roman" w:eastAsia="Times New Roman" w:hAnsi="Times New Roman" w:cs="Times New Roman"/>
          <w:sz w:val="24"/>
          <w:szCs w:val="24"/>
          <w:lang w:eastAsia="fr-BE"/>
        </w:rPr>
      </w:pPr>
      <w:r w:rsidRPr="00B742DC">
        <w:rPr>
          <w:rFonts w:ascii="Times New Roman" w:eastAsia="Times New Roman" w:hAnsi="Times New Roman" w:cs="Times New Roman"/>
          <w:b/>
          <w:bCs/>
          <w:sz w:val="24"/>
          <w:szCs w:val="24"/>
          <w:lang w:eastAsia="fr-BE"/>
        </w:rPr>
        <w:t>Daniel Droixhe</w:t>
      </w:r>
      <w:r w:rsidRPr="00B742DC">
        <w:rPr>
          <w:rFonts w:ascii="Times New Roman" w:eastAsia="Times New Roman" w:hAnsi="Times New Roman" w:cs="Times New Roman"/>
          <w:sz w:val="24"/>
          <w:szCs w:val="24"/>
          <w:lang w:eastAsia="fr-BE"/>
        </w:rPr>
        <w:br/>
        <w:t>Université Libre de Bruxelles – Université de Liège</w:t>
      </w:r>
    </w:p>
    <w:p w:rsidR="00B742DC" w:rsidRPr="00B742DC" w:rsidRDefault="00DE04E4" w:rsidP="00C37351">
      <w:p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pict>
          <v:rect id="_x0000_i1025" style="width:0;height:1.5pt" o:hralign="center" o:hrstd="t" o:hr="t" fillcolor="#a0a0a0" stroked="f"/>
        </w:pict>
      </w:r>
    </w:p>
    <w:p w:rsidR="00B742DC" w:rsidRPr="00A835F9" w:rsidRDefault="00B742DC" w:rsidP="00C37351">
      <w:pPr>
        <w:spacing w:after="0" w:line="360" w:lineRule="auto"/>
        <w:outlineLvl w:val="1"/>
        <w:rPr>
          <w:rFonts w:ascii="Times New Roman" w:eastAsia="Times New Roman" w:hAnsi="Times New Roman" w:cs="Times New Roman"/>
          <w:b/>
          <w:bCs/>
          <w:sz w:val="36"/>
          <w:szCs w:val="36"/>
          <w:lang w:val="en-US" w:eastAsia="fr-BE"/>
        </w:rPr>
      </w:pPr>
      <w:r w:rsidRPr="00A835F9">
        <w:rPr>
          <w:rFonts w:ascii="Times New Roman" w:eastAsia="Times New Roman" w:hAnsi="Times New Roman" w:cs="Times New Roman"/>
          <w:b/>
          <w:bCs/>
          <w:sz w:val="36"/>
          <w:szCs w:val="36"/>
          <w:lang w:val="en-US" w:eastAsia="fr-BE"/>
        </w:rPr>
        <w:t>Abstract</w:t>
      </w:r>
    </w:p>
    <w:p w:rsidR="00B742DC" w:rsidRPr="00B742DC" w:rsidRDefault="00B742DC" w:rsidP="00C37351">
      <w:pPr>
        <w:spacing w:after="0" w:line="360" w:lineRule="auto"/>
        <w:rPr>
          <w:rFonts w:ascii="Times New Roman" w:eastAsia="Times New Roman" w:hAnsi="Times New Roman" w:cs="Times New Roman"/>
          <w:sz w:val="24"/>
          <w:szCs w:val="24"/>
          <w:lang w:val="en-US" w:eastAsia="fr-BE"/>
        </w:rPr>
      </w:pPr>
      <w:r w:rsidRPr="00B742DC">
        <w:rPr>
          <w:rFonts w:ascii="Times New Roman" w:eastAsia="Times New Roman" w:hAnsi="Times New Roman" w:cs="Times New Roman"/>
          <w:sz w:val="24"/>
          <w:szCs w:val="24"/>
          <w:lang w:val="en-US" w:eastAsia="fr-BE"/>
        </w:rPr>
        <w:t xml:space="preserve">In the </w:t>
      </w:r>
      <w:r w:rsidRPr="00B742DC">
        <w:rPr>
          <w:rFonts w:ascii="Times New Roman" w:eastAsia="Times New Roman" w:hAnsi="Times New Roman" w:cs="Times New Roman"/>
          <w:i/>
          <w:iCs/>
          <w:sz w:val="24"/>
          <w:szCs w:val="24"/>
          <w:lang w:val="en-US" w:eastAsia="fr-BE"/>
        </w:rPr>
        <w:t>Therapeutic Method to Glaucon</w:t>
      </w:r>
      <w:r w:rsidRPr="00B742DC">
        <w:rPr>
          <w:rFonts w:ascii="Times New Roman" w:eastAsia="Times New Roman" w:hAnsi="Times New Roman" w:cs="Times New Roman"/>
          <w:sz w:val="24"/>
          <w:szCs w:val="24"/>
          <w:lang w:val="en-US" w:eastAsia="fr-BE"/>
        </w:rPr>
        <w:t xml:space="preserve">, Galen devotes a chapter to the “Causes and Treatment of Cancer and Elephantiasis.” With regard to diet, he recommends: “Among fish, prescribe those that live among rocks.” This article examines that prescription as it appears in medical consultations relating to “cancer” published in Padua at the beginning of the early modern period. The term </w:t>
      </w:r>
      <w:r w:rsidRPr="00B742DC">
        <w:rPr>
          <w:rFonts w:ascii="Times New Roman" w:eastAsia="Times New Roman" w:hAnsi="Times New Roman" w:cs="Times New Roman"/>
          <w:i/>
          <w:iCs/>
          <w:sz w:val="24"/>
          <w:szCs w:val="24"/>
          <w:lang w:val="en-US" w:eastAsia="fr-BE"/>
        </w:rPr>
        <w:t>cancer</w:t>
      </w:r>
      <w:r w:rsidRPr="00B742DC">
        <w:rPr>
          <w:rFonts w:ascii="Times New Roman" w:eastAsia="Times New Roman" w:hAnsi="Times New Roman" w:cs="Times New Roman"/>
          <w:sz w:val="24"/>
          <w:szCs w:val="24"/>
          <w:lang w:val="en-US" w:eastAsia="fr-BE"/>
        </w:rPr>
        <w:t xml:space="preserve"> and the localization of the affected organs (breast, uterus, liver, nostril, lip) are discussed in light of the pathophysiological knowledge of the time. Galen’s observation concerning “rock fish” is further clarified in his treatise </w:t>
      </w:r>
      <w:r w:rsidRPr="00B742DC">
        <w:rPr>
          <w:rFonts w:ascii="Times New Roman" w:eastAsia="Times New Roman" w:hAnsi="Times New Roman" w:cs="Times New Roman"/>
          <w:i/>
          <w:iCs/>
          <w:sz w:val="24"/>
          <w:szCs w:val="24"/>
          <w:lang w:val="en-US" w:eastAsia="fr-BE"/>
        </w:rPr>
        <w:t>On the Powers of Foods</w:t>
      </w:r>
      <w:r w:rsidRPr="00B742DC">
        <w:rPr>
          <w:rFonts w:ascii="Times New Roman" w:eastAsia="Times New Roman" w:hAnsi="Times New Roman" w:cs="Times New Roman"/>
          <w:sz w:val="24"/>
          <w:szCs w:val="24"/>
          <w:lang w:val="en-US" w:eastAsia="fr-BE"/>
        </w:rPr>
        <w:t>, while the exclusion of other types of fish is justified by their “viscous” nature.</w:t>
      </w:r>
    </w:p>
    <w:p w:rsidR="00B742DC" w:rsidRPr="00B742DC" w:rsidRDefault="00B742DC" w:rsidP="00C37351">
      <w:pPr>
        <w:spacing w:after="0" w:line="360" w:lineRule="auto"/>
        <w:rPr>
          <w:rFonts w:ascii="Times New Roman" w:eastAsia="Times New Roman" w:hAnsi="Times New Roman" w:cs="Times New Roman"/>
          <w:sz w:val="24"/>
          <w:szCs w:val="24"/>
          <w:lang w:val="en-US" w:eastAsia="fr-BE"/>
        </w:rPr>
      </w:pPr>
      <w:r w:rsidRPr="00B742DC">
        <w:rPr>
          <w:rFonts w:ascii="Times New Roman" w:eastAsia="Times New Roman" w:hAnsi="Times New Roman" w:cs="Times New Roman"/>
          <w:sz w:val="24"/>
          <w:szCs w:val="24"/>
          <w:lang w:val="en-US" w:eastAsia="fr-BE"/>
        </w:rPr>
        <w:t>The second part of the article addresses the following question: was the Paduan dietary regimen prescribed for cancer similar to that recommended for other diseases? Among these were arthritis, disorders affecting the reproductive organs, “stones in the kidneys or gallbladder,” “headaches accompanied by ringing in the ears,” and others. By contrast, pike, sea bream, and red mullet were considered wholesome foods.</w:t>
      </w:r>
    </w:p>
    <w:p w:rsidR="00B742DC" w:rsidRPr="00B742DC" w:rsidRDefault="00B742DC" w:rsidP="00C37351">
      <w:pPr>
        <w:spacing w:after="0" w:line="360" w:lineRule="auto"/>
        <w:rPr>
          <w:rFonts w:ascii="Times New Roman" w:eastAsia="Times New Roman" w:hAnsi="Times New Roman" w:cs="Times New Roman"/>
          <w:sz w:val="24"/>
          <w:szCs w:val="24"/>
          <w:lang w:val="en-US" w:eastAsia="fr-BE"/>
        </w:rPr>
      </w:pPr>
      <w:r w:rsidRPr="00B742DC">
        <w:rPr>
          <w:rFonts w:ascii="Times New Roman" w:eastAsia="Times New Roman" w:hAnsi="Times New Roman" w:cs="Times New Roman"/>
          <w:b/>
          <w:bCs/>
          <w:sz w:val="24"/>
          <w:szCs w:val="24"/>
          <w:lang w:val="en-US" w:eastAsia="fr-BE"/>
        </w:rPr>
        <w:t>Keywords:</w:t>
      </w:r>
      <w:r w:rsidRPr="00B742DC">
        <w:rPr>
          <w:rFonts w:ascii="Times New Roman" w:eastAsia="Times New Roman" w:hAnsi="Times New Roman" w:cs="Times New Roman"/>
          <w:sz w:val="24"/>
          <w:szCs w:val="24"/>
          <w:lang w:val="en-US" w:eastAsia="fr-BE"/>
        </w:rPr>
        <w:t xml:space="preserve"> cancer – dietetics – Galen – fish – Italy – Germany</w:t>
      </w:r>
    </w:p>
    <w:p w:rsidR="00B742DC" w:rsidRPr="00B742DC" w:rsidRDefault="00DE04E4" w:rsidP="00C37351">
      <w:p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pict>
          <v:rect id="_x0000_i1026" style="width:0;height:1.5pt" o:hralign="center" o:hrstd="t" o:hr="t" fillcolor="#a0a0a0" stroked="f"/>
        </w:pict>
      </w:r>
    </w:p>
    <w:p w:rsidR="00B742DC" w:rsidRPr="00B742DC" w:rsidRDefault="00B742DC" w:rsidP="00C37351">
      <w:pPr>
        <w:spacing w:after="0" w:line="360" w:lineRule="auto"/>
        <w:outlineLvl w:val="1"/>
        <w:rPr>
          <w:rFonts w:ascii="Times New Roman" w:eastAsia="Times New Roman" w:hAnsi="Times New Roman" w:cs="Times New Roman"/>
          <w:b/>
          <w:bCs/>
          <w:sz w:val="36"/>
          <w:szCs w:val="36"/>
          <w:lang w:val="en-US" w:eastAsia="fr-BE"/>
        </w:rPr>
      </w:pPr>
      <w:r w:rsidRPr="00B742DC">
        <w:rPr>
          <w:rFonts w:ascii="Times New Roman" w:eastAsia="Times New Roman" w:hAnsi="Times New Roman" w:cs="Times New Roman"/>
          <w:b/>
          <w:bCs/>
          <w:sz w:val="36"/>
          <w:szCs w:val="36"/>
          <w:lang w:val="en-US" w:eastAsia="fr-BE"/>
        </w:rPr>
        <w:t>Epigraph</w:t>
      </w:r>
    </w:p>
    <w:p w:rsidR="00B742DC" w:rsidRDefault="00B742DC" w:rsidP="00C37351">
      <w:pPr>
        <w:spacing w:after="0" w:line="360" w:lineRule="auto"/>
        <w:rPr>
          <w:rFonts w:ascii="Times New Roman" w:eastAsia="Times New Roman" w:hAnsi="Times New Roman" w:cs="Times New Roman"/>
          <w:sz w:val="24"/>
          <w:szCs w:val="24"/>
          <w:lang w:val="en-US" w:eastAsia="fr-BE"/>
        </w:rPr>
      </w:pPr>
      <w:r w:rsidRPr="00B742DC">
        <w:rPr>
          <w:rFonts w:ascii="Times New Roman" w:eastAsia="Times New Roman" w:hAnsi="Times New Roman" w:cs="Times New Roman"/>
          <w:sz w:val="24"/>
          <w:szCs w:val="24"/>
          <w:lang w:val="en-US" w:eastAsia="fr-BE"/>
        </w:rPr>
        <w:t>All the odd things people pick up for food:</w:t>
      </w:r>
      <w:r w:rsidRPr="00B742DC">
        <w:rPr>
          <w:rFonts w:ascii="Times New Roman" w:eastAsia="Times New Roman" w:hAnsi="Times New Roman" w:cs="Times New Roman"/>
          <w:sz w:val="24"/>
          <w:szCs w:val="24"/>
          <w:lang w:val="en-US" w:eastAsia="fr-BE"/>
        </w:rPr>
        <w:br/>
        <w:t>from shells, periwinkles with a pin;</w:t>
      </w:r>
      <w:r w:rsidRPr="00B742DC">
        <w:rPr>
          <w:rFonts w:ascii="Times New Roman" w:eastAsia="Times New Roman" w:hAnsi="Times New Roman" w:cs="Times New Roman"/>
          <w:sz w:val="24"/>
          <w:szCs w:val="24"/>
          <w:lang w:val="en-US" w:eastAsia="fr-BE"/>
        </w:rPr>
        <w:br/>
        <w:t>from trees, snails from the ground that the French eat;</w:t>
      </w:r>
      <w:r w:rsidRPr="00B742DC">
        <w:rPr>
          <w:rFonts w:ascii="Times New Roman" w:eastAsia="Times New Roman" w:hAnsi="Times New Roman" w:cs="Times New Roman"/>
          <w:sz w:val="24"/>
          <w:szCs w:val="24"/>
          <w:lang w:val="en-US" w:eastAsia="fr-BE"/>
        </w:rPr>
        <w:br/>
        <w:t>from the sea, with bait on a hook.</w:t>
      </w:r>
      <w:r w:rsidRPr="00B742DC">
        <w:rPr>
          <w:rFonts w:ascii="Times New Roman" w:eastAsia="Times New Roman" w:hAnsi="Times New Roman" w:cs="Times New Roman"/>
          <w:sz w:val="24"/>
          <w:szCs w:val="24"/>
          <w:lang w:val="en-US" w:eastAsia="fr-BE"/>
        </w:rPr>
        <w:br/>
        <w:t>Silly fish learn nothing in a thousand years.</w:t>
      </w:r>
      <w:r w:rsidRPr="00B742DC">
        <w:rPr>
          <w:rFonts w:ascii="Times New Roman" w:eastAsia="Times New Roman" w:hAnsi="Times New Roman" w:cs="Times New Roman"/>
          <w:sz w:val="24"/>
          <w:szCs w:val="24"/>
          <w:lang w:val="en-US" w:eastAsia="fr-BE"/>
        </w:rPr>
        <w:br/>
        <w:t>If you did not know the risk of putting anything into your mouth.</w:t>
      </w:r>
      <w:r w:rsidRPr="00B742DC">
        <w:rPr>
          <w:rFonts w:ascii="Times New Roman" w:eastAsia="Times New Roman" w:hAnsi="Times New Roman" w:cs="Times New Roman"/>
          <w:sz w:val="24"/>
          <w:szCs w:val="24"/>
          <w:lang w:val="en-US" w:eastAsia="fr-BE"/>
        </w:rPr>
        <w:br/>
        <w:t xml:space="preserve">— James Joyce, </w:t>
      </w:r>
      <w:r w:rsidRPr="00B742DC">
        <w:rPr>
          <w:rFonts w:ascii="Times New Roman" w:eastAsia="Times New Roman" w:hAnsi="Times New Roman" w:cs="Times New Roman"/>
          <w:i/>
          <w:iCs/>
          <w:sz w:val="24"/>
          <w:szCs w:val="24"/>
          <w:lang w:val="en-US" w:eastAsia="fr-BE"/>
        </w:rPr>
        <w:t>Ulysses</w:t>
      </w:r>
      <w:r w:rsidRPr="00B742DC">
        <w:rPr>
          <w:rFonts w:ascii="Times New Roman" w:eastAsia="Times New Roman" w:hAnsi="Times New Roman" w:cs="Times New Roman"/>
          <w:sz w:val="24"/>
          <w:szCs w:val="24"/>
          <w:lang w:val="en-US" w:eastAsia="fr-BE"/>
        </w:rPr>
        <w:t>, episode 8.</w:t>
      </w:r>
    </w:p>
    <w:p w:rsidR="00F554D9" w:rsidRPr="00F554D9" w:rsidRDefault="00F554D9" w:rsidP="00F554D9">
      <w:pPr>
        <w:pStyle w:val="Paragraphedeliste"/>
        <w:spacing w:after="0" w:line="360" w:lineRule="auto"/>
        <w:ind w:left="0"/>
        <w:rPr>
          <w:rFonts w:ascii="Times New Roman" w:eastAsia="Times New Roman" w:hAnsi="Times New Roman" w:cs="Times New Roman"/>
          <w:sz w:val="24"/>
          <w:szCs w:val="24"/>
          <w:lang w:val="en-US" w:eastAsia="fr-BE"/>
        </w:rPr>
      </w:pPr>
      <w:r w:rsidRPr="001F6168">
        <w:rPr>
          <w:rFonts w:ascii="Times New Roman" w:eastAsia="Times New Roman" w:hAnsi="Times New Roman" w:cs="Times New Roman"/>
          <w:sz w:val="24"/>
          <w:szCs w:val="24"/>
          <w:lang w:val="en-US" w:eastAsia="fr-BE"/>
        </w:rPr>
        <w:lastRenderedPageBreak/>
        <w:t xml:space="preserve">J. Joyce, </w:t>
      </w:r>
      <w:r w:rsidRPr="001F6168">
        <w:rPr>
          <w:rFonts w:ascii="Times New Roman" w:eastAsia="Times New Roman" w:hAnsi="Times New Roman" w:cs="Times New Roman"/>
          <w:i/>
          <w:iCs/>
          <w:sz w:val="24"/>
          <w:szCs w:val="24"/>
          <w:lang w:val="en-US" w:eastAsia="fr-BE"/>
        </w:rPr>
        <w:t>Ulysses</w:t>
      </w:r>
      <w:r w:rsidRPr="001F6168">
        <w:rPr>
          <w:rFonts w:ascii="Times New Roman" w:eastAsia="Times New Roman" w:hAnsi="Times New Roman" w:cs="Times New Roman"/>
          <w:sz w:val="24"/>
          <w:szCs w:val="24"/>
          <w:lang w:val="en-US" w:eastAsia="fr-BE"/>
        </w:rPr>
        <w:t xml:space="preserve">. </w:t>
      </w:r>
      <w:r w:rsidRPr="001F6168">
        <w:rPr>
          <w:rFonts w:ascii="Times New Roman" w:eastAsia="Times New Roman" w:hAnsi="Times New Roman" w:cs="Times New Roman"/>
          <w:i/>
          <w:iCs/>
          <w:sz w:val="24"/>
          <w:szCs w:val="24"/>
          <w:lang w:val="en-US" w:eastAsia="fr-BE"/>
        </w:rPr>
        <w:t>The Project Gutenberg eBook of Ulysses</w:t>
      </w:r>
      <w:r w:rsidRPr="001F6168">
        <w:rPr>
          <w:rFonts w:ascii="Times New Roman" w:eastAsia="Times New Roman" w:hAnsi="Times New Roman" w:cs="Times New Roman"/>
          <w:sz w:val="24"/>
          <w:szCs w:val="24"/>
          <w:lang w:val="en-US" w:eastAsia="fr-BE"/>
        </w:rPr>
        <w:t xml:space="preserve">, by James Joyce, ed. </w:t>
      </w:r>
      <w:r w:rsidRPr="00F554D9">
        <w:rPr>
          <w:rFonts w:ascii="Times New Roman" w:eastAsia="Times New Roman" w:hAnsi="Times New Roman" w:cs="Times New Roman"/>
          <w:sz w:val="24"/>
          <w:szCs w:val="24"/>
          <w:lang w:val="en-US" w:eastAsia="fr-BE"/>
        </w:rPr>
        <w:t>Col Choat and David Widger, 27 Dec. 2001, online.</w:t>
      </w:r>
    </w:p>
    <w:p w:rsidR="00F554D9" w:rsidRPr="00B742DC" w:rsidRDefault="00F554D9" w:rsidP="00F554D9">
      <w:pPr>
        <w:pStyle w:val="Paragraphedeliste"/>
        <w:spacing w:after="0" w:line="360" w:lineRule="auto"/>
        <w:ind w:left="0"/>
        <w:rPr>
          <w:rFonts w:ascii="Times New Roman" w:eastAsia="Times New Roman" w:hAnsi="Times New Roman" w:cs="Times New Roman"/>
          <w:sz w:val="24"/>
          <w:szCs w:val="24"/>
          <w:lang w:val="en-US" w:eastAsia="fr-BE"/>
        </w:rPr>
      </w:pPr>
      <w:r w:rsidRPr="001F6168">
        <w:rPr>
          <w:rFonts w:ascii="Times New Roman" w:eastAsia="Times New Roman" w:hAnsi="Times New Roman" w:cs="Times New Roman"/>
          <w:sz w:val="24"/>
          <w:szCs w:val="24"/>
          <w:lang w:val="en-US" w:eastAsia="fr-BE"/>
        </w:rPr>
        <w:t>“All these strange things people take as food. Out of shells, periwinkles with a pin; from trees, snails out of the ground that the French eat; out of the sea, with bait on a hook. The foolish fish learns nothing in a hundred years. If you do not understand the risk involved in putting anything into your mouth.”</w:t>
      </w:r>
    </w:p>
    <w:p w:rsidR="00B742DC" w:rsidRPr="00B742DC" w:rsidRDefault="00DE04E4" w:rsidP="00C37351">
      <w:p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pict>
          <v:rect id="_x0000_i1027" style="width:0;height:1.5pt" o:hralign="center" o:hrstd="t" o:hr="t" fillcolor="#a0a0a0" stroked="f"/>
        </w:pict>
      </w:r>
    </w:p>
    <w:p w:rsidR="00B742DC" w:rsidRPr="00B742DC" w:rsidRDefault="00B742DC" w:rsidP="00C37351">
      <w:pPr>
        <w:spacing w:after="0" w:line="360" w:lineRule="auto"/>
        <w:rPr>
          <w:rFonts w:ascii="Times New Roman" w:eastAsia="Times New Roman" w:hAnsi="Times New Roman" w:cs="Times New Roman"/>
          <w:sz w:val="24"/>
          <w:szCs w:val="24"/>
          <w:lang w:val="en-US" w:eastAsia="fr-BE"/>
        </w:rPr>
      </w:pPr>
      <w:r w:rsidRPr="00B742DC">
        <w:rPr>
          <w:rFonts w:ascii="Times New Roman" w:eastAsia="Times New Roman" w:hAnsi="Times New Roman" w:cs="Times New Roman"/>
          <w:b/>
          <w:bCs/>
          <w:sz w:val="24"/>
          <w:szCs w:val="24"/>
          <w:lang w:val="en-US" w:eastAsia="fr-BE"/>
        </w:rPr>
        <w:t>Dedication</w:t>
      </w:r>
      <w:r w:rsidRPr="00B742DC">
        <w:rPr>
          <w:rFonts w:ascii="Times New Roman" w:eastAsia="Times New Roman" w:hAnsi="Times New Roman" w:cs="Times New Roman"/>
          <w:sz w:val="24"/>
          <w:szCs w:val="24"/>
          <w:lang w:val="en-US" w:eastAsia="fr-BE"/>
        </w:rPr>
        <w:br/>
        <w:t>To my brother Yo (9 April 1952 – 31 March 2020)</w:t>
      </w:r>
    </w:p>
    <w:p w:rsidR="00B742DC" w:rsidRPr="00B742DC" w:rsidRDefault="00B742DC" w:rsidP="00C37351">
      <w:pPr>
        <w:pStyle w:val="Titre2"/>
        <w:spacing w:before="0" w:beforeAutospacing="0" w:after="0" w:afterAutospacing="0" w:line="360" w:lineRule="auto"/>
        <w:rPr>
          <w:lang w:val="en-US"/>
        </w:rPr>
      </w:pPr>
      <w:r w:rsidRPr="00B742DC">
        <w:rPr>
          <w:lang w:val="en-US"/>
        </w:rPr>
        <w:t>Introduction</w:t>
      </w:r>
    </w:p>
    <w:p w:rsidR="00B742DC" w:rsidRPr="00B742DC" w:rsidRDefault="00B742DC" w:rsidP="00C37351">
      <w:pPr>
        <w:pStyle w:val="NormalWeb"/>
        <w:spacing w:before="0" w:beforeAutospacing="0" w:after="0" w:afterAutospacing="0" w:line="360" w:lineRule="auto"/>
        <w:rPr>
          <w:lang w:val="en-US"/>
        </w:rPr>
      </w:pPr>
      <w:r w:rsidRPr="00B742DC">
        <w:rPr>
          <w:lang w:val="en-US"/>
        </w:rPr>
        <w:t xml:space="preserve">In </w:t>
      </w:r>
      <w:r w:rsidRPr="00B742DC">
        <w:rPr>
          <w:rStyle w:val="Accentuation"/>
          <w:lang w:val="en-US"/>
        </w:rPr>
        <w:t>The Anatomy of Melancholy</w:t>
      </w:r>
      <w:r w:rsidRPr="00B742DC">
        <w:rPr>
          <w:lang w:val="en-US"/>
        </w:rPr>
        <w:t>, Robert Burton writes:</w:t>
      </w:r>
    </w:p>
    <w:p w:rsidR="00B742DC" w:rsidRPr="00B742DC" w:rsidRDefault="00B742DC" w:rsidP="00C37351">
      <w:pPr>
        <w:pStyle w:val="NormalWeb"/>
        <w:spacing w:before="0" w:beforeAutospacing="0" w:after="0" w:afterAutospacing="0" w:line="360" w:lineRule="auto"/>
        <w:rPr>
          <w:lang w:val="en-US"/>
        </w:rPr>
      </w:pPr>
      <w:r w:rsidRPr="00B742DC">
        <w:rPr>
          <w:lang w:val="en-US"/>
        </w:rPr>
        <w:t>“Rhasis and Magninus discommend all fish, and say they breed viscosities, slimy nutriment, little and humorous nourishment.”¹</w:t>
      </w:r>
    </w:p>
    <w:p w:rsidR="00B742DC" w:rsidRPr="00B742DC" w:rsidRDefault="00B742DC" w:rsidP="00C37351">
      <w:pPr>
        <w:pStyle w:val="NormalWeb"/>
        <w:spacing w:before="0" w:beforeAutospacing="0" w:after="0" w:afterAutospacing="0" w:line="360" w:lineRule="auto"/>
        <w:rPr>
          <w:lang w:val="en-US"/>
        </w:rPr>
      </w:pPr>
      <w:r w:rsidRPr="00B742DC">
        <w:rPr>
          <w:lang w:val="en-US"/>
        </w:rPr>
        <w:t xml:space="preserve">Rhasis, or Muḥammad ibn Zakariyyā al-Rāzī (865–925), was a renowned physician whose authority remained pervasive in medieval and Renaissance medical writings.² Magninus, or Maino de Maineri (c. 1290–c. 1365/68), authored regimens for the preservation of health, a genre of medical treatise that enjoyed wide circulation throughout the Middle Ages.³ Burton further mentions “Savonarola,” who added to the defects of fish its cold, moist, and phlegmatic nature. In </w:t>
      </w:r>
      <w:r w:rsidRPr="00B742DC">
        <w:rPr>
          <w:rStyle w:val="Accentuation"/>
          <w:lang w:val="en-US"/>
        </w:rPr>
        <w:t>The Anatomy of Melancholy</w:t>
      </w:r>
      <w:r w:rsidRPr="00B742DC">
        <w:rPr>
          <w:lang w:val="en-US"/>
        </w:rPr>
        <w:t xml:space="preserve">, several references are made to a “Savonarola.” Only once (p. 66) does Burton specify that he means the physician Michele Savonarola, grandfather of the famous Girolamo; he cites, among other works, the </w:t>
      </w:r>
      <w:r w:rsidRPr="00B742DC">
        <w:rPr>
          <w:rStyle w:val="Accentuation"/>
          <w:lang w:val="en-US"/>
        </w:rPr>
        <w:t>Practica major</w:t>
      </w:r>
      <w:r w:rsidRPr="00B742DC">
        <w:rPr>
          <w:lang w:val="en-US"/>
        </w:rPr>
        <w:t xml:space="preserve"> of 1547. It remains to be determined whether certain references might instead point to the preacher of the Bonfire of the Vanities.</w:t>
      </w:r>
    </w:p>
    <w:p w:rsidR="00B742DC" w:rsidRPr="00B742DC" w:rsidRDefault="00B742DC" w:rsidP="00C37351">
      <w:pPr>
        <w:pStyle w:val="NormalWeb"/>
        <w:spacing w:before="0" w:beforeAutospacing="0" w:after="0" w:afterAutospacing="0" w:line="360" w:lineRule="auto"/>
        <w:rPr>
          <w:lang w:val="en-US"/>
        </w:rPr>
      </w:pPr>
      <w:r w:rsidRPr="00B742DC">
        <w:rPr>
          <w:lang w:val="en-US"/>
        </w:rPr>
        <w:t>As for phlegm, it constituted one element of what Véronique Boudon-Millot has defined as Galen’s system of fundamental qualities, rather than, strictly speaking—as is often claimed—a simple “humoral system.”⁴ This distinction will be examined in greater detail below.</w:t>
      </w:r>
    </w:p>
    <w:p w:rsidR="00B742DC" w:rsidRPr="00B742DC" w:rsidRDefault="00B742DC" w:rsidP="00C37351">
      <w:pPr>
        <w:pStyle w:val="NormalWeb"/>
        <w:spacing w:before="0" w:beforeAutospacing="0" w:after="0" w:afterAutospacing="0" w:line="360" w:lineRule="auto"/>
        <w:rPr>
          <w:lang w:val="en-US"/>
        </w:rPr>
      </w:pPr>
      <w:r w:rsidRPr="00B742DC">
        <w:rPr>
          <w:lang w:val="en-US"/>
        </w:rPr>
        <w:t xml:space="preserve">Burton adds that although some authorities recommended fish from running waters, they nevertheless rejected certain species: eels, tench, lampreys, crayfish, and other fish nourished in muddy, stagnant waters. As we shall see, Burton’s remarks correspond fairly closely to the way Renaissance physicians assessed fish within the dietary framework of their </w:t>
      </w:r>
      <w:r w:rsidRPr="00B742DC">
        <w:rPr>
          <w:rStyle w:val="Accentuation"/>
          <w:lang w:val="en-US"/>
        </w:rPr>
        <w:t>consilia</w:t>
      </w:r>
      <w:r w:rsidRPr="00B742DC">
        <w:rPr>
          <w:lang w:val="en-US"/>
        </w:rPr>
        <w:t xml:space="preserve">. The epistemic genre of the </w:t>
      </w:r>
      <w:r w:rsidRPr="00B742DC">
        <w:rPr>
          <w:rStyle w:val="Accentuation"/>
          <w:lang w:val="en-US"/>
        </w:rPr>
        <w:t>consilium</w:t>
      </w:r>
      <w:r w:rsidRPr="00B742DC">
        <w:rPr>
          <w:lang w:val="en-US"/>
        </w:rPr>
        <w:t xml:space="preserve"> has been extensively studied, notably by Nancy Siraisi and her students.⁵</w:t>
      </w:r>
    </w:p>
    <w:p w:rsidR="00B742DC" w:rsidRPr="00B742DC" w:rsidRDefault="00B742DC" w:rsidP="00C37351">
      <w:pPr>
        <w:pStyle w:val="NormalWeb"/>
        <w:spacing w:before="0" w:beforeAutospacing="0" w:after="0" w:afterAutospacing="0" w:line="360" w:lineRule="auto"/>
        <w:rPr>
          <w:lang w:val="en-US"/>
        </w:rPr>
      </w:pPr>
      <w:r w:rsidRPr="00B742DC">
        <w:rPr>
          <w:lang w:val="en-US"/>
        </w:rPr>
        <w:t xml:space="preserve">In his classic </w:t>
      </w:r>
      <w:r w:rsidRPr="00B742DC">
        <w:rPr>
          <w:rStyle w:val="Accentuation"/>
          <w:lang w:val="en-US"/>
        </w:rPr>
        <w:t>Eating Right in the Renaissance</w:t>
      </w:r>
      <w:r w:rsidRPr="00B742DC">
        <w:rPr>
          <w:lang w:val="en-US"/>
        </w:rPr>
        <w:t xml:space="preserve">, Ken Albala identifies a category of viscous, sticky, and fatty foods which, though rarely formalized as such in dietetic theory, were frequently mentioned—especially as harmful to health. The fact that fish clung to the fingers was regarded as an indication that it might adhere within the body and damage its internal organs. David Gentilcore confirms this assessment in his substantial study </w:t>
      </w:r>
      <w:r w:rsidRPr="00B742DC">
        <w:rPr>
          <w:rStyle w:val="Accentuation"/>
          <w:lang w:val="en-US"/>
        </w:rPr>
        <w:t>Food and Health in Early Modern Europe</w:t>
      </w:r>
      <w:r w:rsidRPr="00B742DC">
        <w:rPr>
          <w:lang w:val="en-US"/>
        </w:rPr>
        <w:t>:</w:t>
      </w:r>
    </w:p>
    <w:p w:rsidR="00B742DC" w:rsidRPr="00B742DC" w:rsidRDefault="00B742DC" w:rsidP="00C37351">
      <w:pPr>
        <w:pStyle w:val="NormalWeb"/>
        <w:spacing w:before="0" w:beforeAutospacing="0" w:after="0" w:afterAutospacing="0" w:line="360" w:lineRule="auto"/>
        <w:rPr>
          <w:lang w:val="en-US"/>
        </w:rPr>
      </w:pPr>
      <w:r w:rsidRPr="00B742DC">
        <w:rPr>
          <w:lang w:val="en-US"/>
        </w:rPr>
        <w:t>If meat was good, fish was problematic. Fish qualified as a nutritious form of flesh, but their cold and moist qualities, like the element in which they lived, and their excessively gluey texture meant that they could provoke an overabundance of phlegm. Worse still, fish might get stuck at some stage during the digestive process, forming a clog or blockage, considered one of the major causes of disease, from gout to fevers. To counteract these harmful effects, proper seasonings or condiments should always accompany fish: lemons, heating spices and sugar. These were seasonings that would cut through the gluey substance of the fish and balance its coldness, and were thought of as medicinal ingredients rather than mere flavour enhancers.⁶</w:t>
      </w:r>
    </w:p>
    <w:p w:rsidR="00B742DC" w:rsidRPr="00B742DC" w:rsidRDefault="00B742DC" w:rsidP="00C37351">
      <w:pPr>
        <w:pStyle w:val="NormalWeb"/>
        <w:spacing w:before="0" w:beforeAutospacing="0" w:after="0" w:afterAutospacing="0" w:line="360" w:lineRule="auto"/>
        <w:rPr>
          <w:lang w:val="en-US"/>
        </w:rPr>
      </w:pPr>
      <w:r w:rsidRPr="00B742DC">
        <w:rPr>
          <w:lang w:val="en-US"/>
        </w:rPr>
        <w:t xml:space="preserve">It may be useful at this stage to recall briefly, through Giovanni Manardi’s </w:t>
      </w:r>
      <w:r w:rsidRPr="00B742DC">
        <w:rPr>
          <w:rStyle w:val="Accentuation"/>
          <w:lang w:val="en-US"/>
        </w:rPr>
        <w:t>Traicté familier des noms grecz, latins et arabicques ou vulgaires</w:t>
      </w:r>
      <w:r w:rsidRPr="00B742DC">
        <w:rPr>
          <w:lang w:val="en-US"/>
        </w:rPr>
        <w:t xml:space="preserve"> (1532), the role attributed to phlegm in the formation of cancer.⁷ Food, through its primary qualities, was believed to determine the various forms of “tumors or swellings.” These were classified according to the hot or cold humors that affected them. Certain hot qualities “produced good blood” and generated </w:t>
      </w:r>
      <w:r w:rsidRPr="00B742DC">
        <w:rPr>
          <w:rStyle w:val="Accentuation"/>
          <w:lang w:val="en-US"/>
        </w:rPr>
        <w:t>phlegmon</w:t>
      </w:r>
      <w:r w:rsidRPr="00B742DC">
        <w:rPr>
          <w:lang w:val="en-US"/>
        </w:rPr>
        <w:t>—that is, inflammation. But the “boiling” humor known as bile “overheated the blood beyond measure” and caused erysipelas.</w:t>
      </w:r>
    </w:p>
    <w:p w:rsidR="00B742DC" w:rsidRPr="00B742DC" w:rsidRDefault="00B742DC" w:rsidP="00C37351">
      <w:pPr>
        <w:pStyle w:val="NormalWeb"/>
        <w:spacing w:before="0" w:beforeAutospacing="0" w:after="0" w:afterAutospacing="0" w:line="360" w:lineRule="auto"/>
        <w:rPr>
          <w:lang w:val="en-US"/>
        </w:rPr>
      </w:pPr>
      <w:r w:rsidRPr="00B742DC">
        <w:rPr>
          <w:lang w:val="en-US"/>
        </w:rPr>
        <w:t xml:space="preserve">Affections resulting from cold humors were likewise divided into two categories. “Subtle phlegm,” also known as </w:t>
      </w:r>
      <w:r w:rsidRPr="00B742DC">
        <w:rPr>
          <w:rStyle w:val="Accentuation"/>
          <w:lang w:val="en-US"/>
        </w:rPr>
        <w:t>pituite</w:t>
      </w:r>
      <w:r w:rsidRPr="00B742DC">
        <w:rPr>
          <w:lang w:val="en-US"/>
        </w:rPr>
        <w:t xml:space="preserve">, produced edema. “Melancholy”—that is, black bile—combined with thick, dense, and viscous phlegm produced </w:t>
      </w:r>
      <w:r w:rsidRPr="00B742DC">
        <w:rPr>
          <w:rStyle w:val="Accentuation"/>
          <w:lang w:val="en-US"/>
        </w:rPr>
        <w:t>squirrhus</w:t>
      </w:r>
      <w:r w:rsidRPr="00B742DC">
        <w:rPr>
          <w:lang w:val="en-US"/>
        </w:rPr>
        <w:t>, which Renaissance medicine, extending Galen’s reflections and their medieval development, regarded as the preliminary stage or “first phase” of what was termed “cancer.”⁸</w:t>
      </w:r>
    </w:p>
    <w:p w:rsidR="00B742DC" w:rsidRDefault="00B742DC" w:rsidP="00C37351">
      <w:pPr>
        <w:pStyle w:val="NormalWeb"/>
        <w:spacing w:before="0" w:beforeAutospacing="0" w:after="0" w:afterAutospacing="0" w:line="360" w:lineRule="auto"/>
        <w:rPr>
          <w:lang w:val="en-US"/>
        </w:rPr>
      </w:pPr>
      <w:r w:rsidRPr="00B742DC">
        <w:rPr>
          <w:lang w:val="en-US"/>
        </w:rPr>
        <w:t>The present article examines how Galen’s dietary recommendations concerning fish were interpreted by certain physicians in Padua at the beginning of the early modern period.</w:t>
      </w:r>
    </w:p>
    <w:p w:rsidR="00B742DC" w:rsidRPr="004602E1" w:rsidRDefault="00B742DC" w:rsidP="00C37351">
      <w:pPr>
        <w:pStyle w:val="Titre1"/>
        <w:spacing w:before="0" w:beforeAutospacing="0" w:after="0" w:afterAutospacing="0" w:line="360" w:lineRule="auto"/>
        <w:rPr>
          <w:sz w:val="36"/>
          <w:szCs w:val="36"/>
          <w:lang w:val="en-US"/>
        </w:rPr>
      </w:pPr>
      <w:bookmarkStart w:id="0" w:name="_GoBack"/>
      <w:r w:rsidRPr="004602E1">
        <w:rPr>
          <w:sz w:val="36"/>
          <w:szCs w:val="36"/>
          <w:lang w:val="en-US"/>
        </w:rPr>
        <w:t>1. DIETETICS AND GALEN’S WORKS IN FRENCH</w:t>
      </w:r>
    </w:p>
    <w:bookmarkEnd w:id="0"/>
    <w:p w:rsidR="00B742DC" w:rsidRPr="00B742DC" w:rsidRDefault="00B742DC" w:rsidP="00C37351">
      <w:pPr>
        <w:pStyle w:val="NormalWeb"/>
        <w:spacing w:before="0" w:beforeAutospacing="0" w:after="0" w:afterAutospacing="0" w:line="360" w:lineRule="auto"/>
        <w:rPr>
          <w:lang w:val="en-US"/>
        </w:rPr>
      </w:pPr>
      <w:r w:rsidRPr="00B742DC">
        <w:rPr>
          <w:lang w:val="en-US"/>
        </w:rPr>
        <w:t xml:space="preserve">According to Gentilcore, the works that most strongly influenced early modern dietetics were </w:t>
      </w:r>
      <w:r w:rsidRPr="00B742DC">
        <w:rPr>
          <w:rStyle w:val="Accentuation"/>
          <w:lang w:val="en-US"/>
        </w:rPr>
        <w:t>De sanitate tuenda</w:t>
      </w:r>
      <w:r w:rsidRPr="00B742DC">
        <w:rPr>
          <w:lang w:val="en-US"/>
        </w:rPr>
        <w:t xml:space="preserve">, commonly known as </w:t>
      </w:r>
      <w:r w:rsidRPr="00B742DC">
        <w:rPr>
          <w:rStyle w:val="Accentuation"/>
          <w:lang w:val="en-US"/>
        </w:rPr>
        <w:t>Hygiene</w:t>
      </w:r>
      <w:r w:rsidRPr="00B742DC">
        <w:rPr>
          <w:lang w:val="en-US"/>
        </w:rPr>
        <w:t xml:space="preserve">, and </w:t>
      </w:r>
      <w:r w:rsidRPr="00B742DC">
        <w:rPr>
          <w:rStyle w:val="Accentuation"/>
          <w:lang w:val="en-US"/>
        </w:rPr>
        <w:t>De alimentorum facultatibus</w:t>
      </w:r>
      <w:r w:rsidRPr="00B742DC">
        <w:rPr>
          <w:lang w:val="en-US"/>
        </w:rPr>
        <w:t xml:space="preserve">, translated into French as </w:t>
      </w:r>
      <w:r w:rsidRPr="00B742DC">
        <w:rPr>
          <w:rStyle w:val="Accentuation"/>
          <w:lang w:val="en-US"/>
        </w:rPr>
        <w:t>Sur les facultés des aliments</w:t>
      </w:r>
      <w:r w:rsidRPr="00B742DC">
        <w:rPr>
          <w:lang w:val="en-US"/>
        </w:rPr>
        <w:t xml:space="preserve">¹¹ and into English as </w:t>
      </w:r>
      <w:r w:rsidRPr="00B742DC">
        <w:rPr>
          <w:rStyle w:val="Accentuation"/>
          <w:lang w:val="en-US"/>
        </w:rPr>
        <w:t>On the Properties of Foodstuffs</w:t>
      </w:r>
      <w:r w:rsidRPr="00B742DC">
        <w:rPr>
          <w:lang w:val="en-US"/>
        </w:rPr>
        <w:t xml:space="preserve">.¹² In 1552, the first French translation of </w:t>
      </w:r>
      <w:r w:rsidRPr="00B742DC">
        <w:rPr>
          <w:rStyle w:val="Accentuation"/>
          <w:lang w:val="en-US"/>
        </w:rPr>
        <w:t>De alimentorum facultatibus</w:t>
      </w:r>
      <w:r w:rsidRPr="00B742DC">
        <w:rPr>
          <w:lang w:val="en-US"/>
        </w:rPr>
        <w:t xml:space="preserve"> appeared, produced by “Maistre Jehan Massé, physician, native of Champagne, resident of Saint-Florentin.”¹³</w:t>
      </w:r>
    </w:p>
    <w:p w:rsidR="00B742DC" w:rsidRPr="00B742DC" w:rsidRDefault="00B742DC" w:rsidP="00C37351">
      <w:pPr>
        <w:pStyle w:val="NormalWeb"/>
        <w:spacing w:before="0" w:beforeAutospacing="0" w:after="0" w:afterAutospacing="0" w:line="360" w:lineRule="auto"/>
        <w:rPr>
          <w:lang w:val="en-US"/>
        </w:rPr>
      </w:pPr>
      <w:r w:rsidRPr="00B742DC">
        <w:rPr>
          <w:lang w:val="en-US"/>
        </w:rPr>
        <w:t>Humanist medicine thus inherited a Galenic system intended to preserve the body’s health through the balance of qualities, or to restore it through appropriate diet, so as to prevent excesses of blood, phlegm, yellow bile, and black bile.¹⁴</w:t>
      </w:r>
    </w:p>
    <w:p w:rsidR="00B742DC" w:rsidRPr="00B742DC" w:rsidRDefault="00B742DC" w:rsidP="00C37351">
      <w:pPr>
        <w:pStyle w:val="NormalWeb"/>
        <w:spacing w:before="0" w:beforeAutospacing="0" w:after="0" w:afterAutospacing="0" w:line="360" w:lineRule="auto"/>
        <w:rPr>
          <w:lang w:val="en-US"/>
        </w:rPr>
      </w:pPr>
      <w:r w:rsidRPr="00B742DC">
        <w:rPr>
          <w:lang w:val="en-US"/>
        </w:rPr>
        <w:t xml:space="preserve">Another important treatise concerning diet is the </w:t>
      </w:r>
      <w:r w:rsidRPr="00B742DC">
        <w:rPr>
          <w:rStyle w:val="Accentuation"/>
          <w:lang w:val="en-US"/>
        </w:rPr>
        <w:t>Ad Glauconem de medendi methodo</w:t>
      </w:r>
      <w:r w:rsidRPr="00B742DC">
        <w:rPr>
          <w:lang w:val="en-US"/>
        </w:rPr>
        <w:t xml:space="preserve">, or </w:t>
      </w:r>
      <w:r w:rsidRPr="00B742DC">
        <w:rPr>
          <w:rStyle w:val="Accentuation"/>
          <w:lang w:val="en-US"/>
        </w:rPr>
        <w:t>De la méthode thérapeutique à Glaucon</w:t>
      </w:r>
      <w:r w:rsidRPr="00B742DC">
        <w:rPr>
          <w:lang w:val="en-US"/>
        </w:rPr>
        <w:t xml:space="preserve">. Chapter 12 of the second book addresses the “Causes and Treatment of Cancer and Elephantiasis.”¹⁵ The </w:t>
      </w:r>
      <w:r w:rsidRPr="00B742DC">
        <w:rPr>
          <w:rStyle w:val="Accentuation"/>
          <w:lang w:val="en-US"/>
        </w:rPr>
        <w:t>Method to Glaucon</w:t>
      </w:r>
      <w:r w:rsidRPr="00B742DC">
        <w:rPr>
          <w:lang w:val="en-US"/>
        </w:rPr>
        <w:t xml:space="preserve"> stands among the earliest of Galen’s treatises to be published in Greek¹⁶ and in Latin,¹⁷ and was also among the first to be translated into French.</w:t>
      </w:r>
    </w:p>
    <w:p w:rsidR="00B742DC" w:rsidRDefault="00B742DC" w:rsidP="00C37351">
      <w:pPr>
        <w:pStyle w:val="NormalWeb"/>
        <w:spacing w:before="0" w:beforeAutospacing="0" w:after="0" w:afterAutospacing="0" w:line="360" w:lineRule="auto"/>
        <w:rPr>
          <w:lang w:val="en-US"/>
        </w:rPr>
      </w:pPr>
      <w:r w:rsidRPr="00B742DC">
        <w:rPr>
          <w:lang w:val="en-US"/>
        </w:rPr>
        <w:t xml:space="preserve">In 1549 there appeared the </w:t>
      </w:r>
      <w:r w:rsidRPr="00B742DC">
        <w:rPr>
          <w:rStyle w:val="Accentuation"/>
          <w:lang w:val="en-US"/>
        </w:rPr>
        <w:t>Second livre de Claude Galien à Glaucon de l’art de curer</w:t>
      </w:r>
      <w:r w:rsidRPr="00B742DC">
        <w:rPr>
          <w:lang w:val="en-US"/>
        </w:rPr>
        <w:t xml:space="preserve">, translated into French by Maistre Guillaume Chrestian, physician and lecturer at Orléans, on the basis of the Latin editions produced by Martin Akakia (1497–1551), professor at the Collège royal de chirurgie and first physician to Francis I. Akakia had published the </w:t>
      </w:r>
      <w:r w:rsidRPr="00B742DC">
        <w:rPr>
          <w:rStyle w:val="Accentuation"/>
          <w:lang w:val="en-US"/>
        </w:rPr>
        <w:t>De ratione curandi ad Glauconem</w:t>
      </w:r>
      <w:r w:rsidRPr="00B742DC">
        <w:rPr>
          <w:lang w:val="en-US"/>
        </w:rPr>
        <w:t xml:space="preserve"> in 1538, reissued in 1547, 1551, and 1587.</w:t>
      </w:r>
    </w:p>
    <w:p w:rsidR="00066ECC" w:rsidRPr="00313A54" w:rsidRDefault="00066ECC" w:rsidP="00C37351">
      <w:pPr>
        <w:spacing w:after="0" w:line="360" w:lineRule="auto"/>
        <w:jc w:val="center"/>
        <w:rPr>
          <w:rFonts w:ascii="Times New Roman" w:hAnsi="Times New Roman" w:cs="Times New Roman"/>
          <w:sz w:val="24"/>
          <w:szCs w:val="24"/>
        </w:rPr>
      </w:pPr>
      <w:r w:rsidRPr="00313A54">
        <w:rPr>
          <w:rFonts w:ascii="Times New Roman" w:hAnsi="Times New Roman" w:cs="Times New Roman"/>
          <w:noProof/>
          <w:sz w:val="24"/>
          <w:szCs w:val="24"/>
          <w:lang w:eastAsia="fr-BE"/>
        </w:rPr>
        <w:drawing>
          <wp:inline distT="0" distB="0" distL="0" distR="0" wp14:anchorId="63701F47" wp14:editId="5F6CCBCB">
            <wp:extent cx="3185160" cy="5082540"/>
            <wp:effectExtent l="0" t="0" r="0" b="3810"/>
            <wp:docPr id="3" name="Image 3" descr="C:\Users\danie\Documents\Cancer auteurs\Galien\Galien Glaucon\Galien Glaucon français\Galien Glaucon 1549\Galien, Glaucon, 1549 p. 7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Documents\Cancer auteurs\Galien\Galien Glaucon\Galien Glaucon français\Galien Glaucon 1549\Galien, Glaucon, 1549 p. 7 .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5160" cy="5082540"/>
                    </a:xfrm>
                    <a:prstGeom prst="rect">
                      <a:avLst/>
                    </a:prstGeom>
                    <a:noFill/>
                    <a:ln>
                      <a:noFill/>
                    </a:ln>
                  </pic:spPr>
                </pic:pic>
              </a:graphicData>
            </a:graphic>
          </wp:inline>
        </w:drawing>
      </w:r>
    </w:p>
    <w:p w:rsidR="00B742DC" w:rsidRPr="00313A54" w:rsidRDefault="00B742DC" w:rsidP="00C37351">
      <w:pPr>
        <w:spacing w:after="0" w:line="360" w:lineRule="auto"/>
        <w:jc w:val="center"/>
        <w:rPr>
          <w:rFonts w:ascii="Times New Roman" w:eastAsia="Times New Roman" w:hAnsi="Times New Roman" w:cs="Times New Roman"/>
          <w:i/>
          <w:color w:val="4E4E51"/>
          <w:sz w:val="24"/>
          <w:szCs w:val="24"/>
          <w:lang w:eastAsia="fr-BE"/>
        </w:rPr>
      </w:pPr>
      <w:r w:rsidRPr="00313A54">
        <w:rPr>
          <w:rStyle w:val="Accentuation"/>
          <w:rFonts w:ascii="Times New Roman" w:hAnsi="Times New Roman" w:cs="Times New Roman"/>
          <w:sz w:val="24"/>
          <w:szCs w:val="24"/>
          <w:lang w:val="en-US"/>
        </w:rPr>
        <w:t>Le second livre de Claude Galien à Glaucon de l’Art de curer,</w:t>
      </w:r>
      <w:r w:rsidRPr="00313A54">
        <w:rPr>
          <w:rFonts w:ascii="Times New Roman" w:hAnsi="Times New Roman" w:cs="Times New Roman"/>
          <w:sz w:val="24"/>
          <w:szCs w:val="24"/>
          <w:lang w:val="en-US"/>
        </w:rPr>
        <w:br/>
        <w:t>translated and commented in Latin by Monsieur Maistre Martin Acakia,</w:t>
      </w:r>
      <w:r w:rsidRPr="00313A54">
        <w:rPr>
          <w:rFonts w:ascii="Times New Roman" w:hAnsi="Times New Roman" w:cs="Times New Roman"/>
          <w:sz w:val="24"/>
          <w:szCs w:val="24"/>
          <w:lang w:val="en-US"/>
        </w:rPr>
        <w:br/>
        <w:t>Doctor of Medicine, physician to the Most Christian King of France,</w:t>
      </w:r>
      <w:r w:rsidRPr="00313A54">
        <w:rPr>
          <w:rFonts w:ascii="Times New Roman" w:hAnsi="Times New Roman" w:cs="Times New Roman"/>
          <w:sz w:val="24"/>
          <w:szCs w:val="24"/>
          <w:lang w:val="en-US"/>
        </w:rPr>
        <w:br/>
        <w:t>and recently rendered into French by Maistre Guillaume Chrestian,</w:t>
      </w:r>
      <w:r w:rsidRPr="00313A54">
        <w:rPr>
          <w:rFonts w:ascii="Times New Roman" w:hAnsi="Times New Roman" w:cs="Times New Roman"/>
          <w:sz w:val="24"/>
          <w:szCs w:val="24"/>
          <w:lang w:val="en-US"/>
        </w:rPr>
        <w:br/>
        <w:t>physician and lecturer at Orléans.</w:t>
      </w:r>
      <w:r w:rsidRPr="00313A54">
        <w:rPr>
          <w:rFonts w:ascii="Times New Roman" w:hAnsi="Times New Roman" w:cs="Times New Roman"/>
          <w:sz w:val="24"/>
          <w:szCs w:val="24"/>
          <w:lang w:val="en-US"/>
        </w:rPr>
        <w:br/>
      </w:r>
      <w:r w:rsidRPr="00313A54">
        <w:rPr>
          <w:rFonts w:ascii="Times New Roman" w:hAnsi="Times New Roman" w:cs="Times New Roman"/>
          <w:sz w:val="24"/>
          <w:szCs w:val="24"/>
        </w:rPr>
        <w:t>Printed by Regnaud Chaudière and Claude his son, 1549, p. 7.</w:t>
      </w:r>
      <w:r w:rsidRPr="00313A54">
        <w:rPr>
          <w:rFonts w:ascii="Times New Roman" w:hAnsi="Times New Roman" w:cs="Times New Roman"/>
          <w:sz w:val="24"/>
          <w:szCs w:val="24"/>
        </w:rPr>
        <w:br/>
        <w:t>— Paris, Bibliothèque nationale de France, 8-TE17-12.</w:t>
      </w:r>
    </w:p>
    <w:p w:rsidR="00B742DC" w:rsidRDefault="00B742DC" w:rsidP="00C37351">
      <w:pPr>
        <w:pStyle w:val="NormalWeb"/>
        <w:spacing w:before="0" w:beforeAutospacing="0" w:after="0" w:afterAutospacing="0" w:line="360" w:lineRule="auto"/>
        <w:rPr>
          <w:lang w:val="en-US"/>
        </w:rPr>
      </w:pPr>
      <w:r>
        <w:t xml:space="preserve">In 1554 there appeared </w:t>
      </w:r>
      <w:r>
        <w:rPr>
          <w:rStyle w:val="Accentuation"/>
        </w:rPr>
        <w:t>Les six principaux livres de la Thérapeutique de Claude Galien</w:t>
      </w:r>
      <w:r>
        <w:t xml:space="preserve">, together with the second book </w:t>
      </w:r>
      <w:r>
        <w:rPr>
          <w:rStyle w:val="Accentuation"/>
        </w:rPr>
        <w:t>De l’art curatoire à Glaucon</w:t>
      </w:r>
      <w:r>
        <w:t xml:space="preserve">, reissued in 1558 and 1570. </w:t>
      </w:r>
      <w:r w:rsidRPr="00B742DC">
        <w:rPr>
          <w:lang w:val="en-US"/>
        </w:rPr>
        <w:t>The work presents itself not merely as a translation but as authored by Jean Canappe (or Canape), likewise attached to Francis I and a specialist in the French translation of Galen’s works.¹⁸</w:t>
      </w:r>
    </w:p>
    <w:p w:rsidR="00313A54" w:rsidRDefault="00313A54" w:rsidP="00C37351">
      <w:pPr>
        <w:pStyle w:val="NormalWeb"/>
        <w:spacing w:before="0" w:beforeAutospacing="0" w:after="0" w:afterAutospacing="0" w:line="360" w:lineRule="auto"/>
        <w:jc w:val="center"/>
        <w:rPr>
          <w:lang w:val="en-US"/>
        </w:rPr>
      </w:pPr>
      <w:r w:rsidRPr="006A74DB">
        <w:rPr>
          <w:noProof/>
        </w:rPr>
        <w:drawing>
          <wp:inline distT="0" distB="0" distL="0" distR="0" wp14:anchorId="5EE25381" wp14:editId="2BAA6C68">
            <wp:extent cx="3436620" cy="5349240"/>
            <wp:effectExtent l="0" t="0" r="0" b="3810"/>
            <wp:docPr id="1" name="Image 1" descr="C:\Users\danie\Documents\Cancer auteurs\Galien\Galien Glaucon\Galien Glaucon français\Galien Glaucon 1554\Galien Glaucon 1554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Documents\Cancer auteurs\Galien\Galien Glaucon\Galien Glaucon français\Galien Glaucon 1554\Galien Glaucon 1554 tit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6620" cy="5349240"/>
                    </a:xfrm>
                    <a:prstGeom prst="rect">
                      <a:avLst/>
                    </a:prstGeom>
                    <a:noFill/>
                    <a:ln>
                      <a:noFill/>
                    </a:ln>
                  </pic:spPr>
                </pic:pic>
              </a:graphicData>
            </a:graphic>
          </wp:inline>
        </w:drawing>
      </w:r>
    </w:p>
    <w:p w:rsidR="00B742DC" w:rsidRPr="00B742DC" w:rsidRDefault="00B742DC" w:rsidP="00C37351">
      <w:pPr>
        <w:pStyle w:val="NormalWeb"/>
        <w:spacing w:before="0" w:beforeAutospacing="0" w:after="0" w:afterAutospacing="0" w:line="360" w:lineRule="auto"/>
        <w:jc w:val="center"/>
        <w:rPr>
          <w:lang w:val="en-US"/>
        </w:rPr>
      </w:pPr>
      <w:r>
        <w:t>— Paris, Bibliothèque nationale de France, 8-TE17-3.</w:t>
      </w:r>
      <w:r>
        <w:br/>
      </w:r>
      <w:r w:rsidRPr="00B742DC">
        <w:rPr>
          <w:lang w:val="en-US"/>
        </w:rPr>
        <w:t>By courtesy of The Wellcome Trust, London, Early European Books, 2011.</w:t>
      </w:r>
    </w:p>
    <w:p w:rsidR="00B742DC" w:rsidRDefault="00B742DC" w:rsidP="00C37351">
      <w:pPr>
        <w:pStyle w:val="NormalWeb"/>
        <w:spacing w:before="0" w:beforeAutospacing="0" w:after="0" w:afterAutospacing="0" w:line="360" w:lineRule="auto"/>
        <w:rPr>
          <w:lang w:val="en-US"/>
        </w:rPr>
      </w:pPr>
      <w:r w:rsidRPr="00B742DC">
        <w:rPr>
          <w:lang w:val="en-US"/>
        </w:rPr>
        <w:t xml:space="preserve">Véronique Boudon-Millot has drawn attention to a copy—the only one currently known—of the </w:t>
      </w:r>
      <w:r w:rsidRPr="00B742DC">
        <w:rPr>
          <w:rStyle w:val="Accentuation"/>
          <w:lang w:val="en-US"/>
        </w:rPr>
        <w:t>Deuxiesme livre de Claude Galene intitulé l’art curatoire à Glaucon</w:t>
      </w:r>
      <w:r w:rsidRPr="00B742DC">
        <w:rPr>
          <w:lang w:val="en-US"/>
        </w:rPr>
        <w:t>, printed in Paris by Jérôme Denys around 1530. This copy was acquired by the Osler Library of the History of Medicine in Montreal, which kindly provided me with a digital version.¹⁹</w:t>
      </w:r>
    </w:p>
    <w:p w:rsidR="00313A54" w:rsidRDefault="00313A54" w:rsidP="00C37351">
      <w:pPr>
        <w:pStyle w:val="NormalWeb"/>
        <w:spacing w:before="0" w:beforeAutospacing="0" w:after="0" w:afterAutospacing="0" w:line="360" w:lineRule="auto"/>
        <w:jc w:val="center"/>
        <w:rPr>
          <w:lang w:val="en-US"/>
        </w:rPr>
      </w:pPr>
      <w:r w:rsidRPr="00BE6FB6">
        <w:rPr>
          <w:noProof/>
        </w:rPr>
        <w:drawing>
          <wp:inline distT="0" distB="0" distL="0" distR="0" wp14:anchorId="07EB029A" wp14:editId="5DCF871D">
            <wp:extent cx="3924300" cy="5692140"/>
            <wp:effectExtent l="0" t="0" r="0" b="3810"/>
            <wp:docPr id="4" name="Image 4" descr="C:\Users\danie\Documents\Cancer auteurs\Galien\Galien Glaucon\Galien Glaucon français\Galien Glaucon Osler\Galien, Glaucon, Osler L.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Documents\Cancer auteurs\Galien\Galien Glaucon\Galien Glaucon français\Galien Glaucon Osler\Galien, Glaucon, Osler L. titr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4300" cy="5692140"/>
                    </a:xfrm>
                    <a:prstGeom prst="rect">
                      <a:avLst/>
                    </a:prstGeom>
                    <a:noFill/>
                    <a:ln>
                      <a:noFill/>
                    </a:ln>
                  </pic:spPr>
                </pic:pic>
              </a:graphicData>
            </a:graphic>
          </wp:inline>
        </w:drawing>
      </w:r>
    </w:p>
    <w:p w:rsidR="00B742DC" w:rsidRPr="00B742DC" w:rsidRDefault="00B742DC" w:rsidP="00C37351">
      <w:pPr>
        <w:pStyle w:val="NormalWeb"/>
        <w:spacing w:before="0" w:beforeAutospacing="0" w:after="0" w:afterAutospacing="0" w:line="360" w:lineRule="auto"/>
        <w:jc w:val="center"/>
        <w:rPr>
          <w:lang w:val="en-US"/>
        </w:rPr>
      </w:pPr>
      <w:r w:rsidRPr="00B742DC">
        <w:rPr>
          <w:lang w:val="en-US"/>
        </w:rPr>
        <w:t>Montreal, Osler Library of the History of Medicine, McGill University. By courtesy.</w:t>
      </w:r>
    </w:p>
    <w:p w:rsidR="00B742DC" w:rsidRPr="00B742DC" w:rsidRDefault="00B742DC" w:rsidP="00C37351">
      <w:pPr>
        <w:pStyle w:val="NormalWeb"/>
        <w:spacing w:before="0" w:beforeAutospacing="0" w:after="0" w:afterAutospacing="0" w:line="360" w:lineRule="auto"/>
        <w:rPr>
          <w:lang w:val="en-US"/>
        </w:rPr>
      </w:pPr>
      <w:r w:rsidRPr="00B742DC">
        <w:rPr>
          <w:lang w:val="en-US"/>
        </w:rPr>
        <w:t>This development reflects the shift noted by É. Berriot-Salvadore in the Renaissance edition of Galen’s major works beginning in the 1530s, when “the first French translations of Galen or Hippocrates accompanied the general expansion of medical publications.”²⁰ Within a century, the vernacular conquered new ground—through the increasing number of editions and printing centers, through the diversification of texts, and through the widening of their intended readership.</w:t>
      </w:r>
    </w:p>
    <w:p w:rsidR="00B742DC" w:rsidRDefault="00B742DC" w:rsidP="00C37351">
      <w:pPr>
        <w:pStyle w:val="NormalWeb"/>
        <w:spacing w:before="0" w:beforeAutospacing="0" w:after="0" w:afterAutospacing="0" w:line="360" w:lineRule="auto"/>
        <w:rPr>
          <w:lang w:val="en-US"/>
        </w:rPr>
      </w:pPr>
      <w:r w:rsidRPr="00B742DC">
        <w:rPr>
          <w:lang w:val="en-US"/>
        </w:rPr>
        <w:t xml:space="preserve">These vernacular translations responded both to “a concern for public health” and to an “institutional need” to “defend the prestige of the Faculty and of the medical art against the errors of ignorant practitioners.” In short, a kind of “minimal library for barbers and short-robed surgeons” was rapidly assembled. Among the indispensable works were “Galen’s books essential to them, such as </w:t>
      </w:r>
      <w:r w:rsidRPr="00B742DC">
        <w:rPr>
          <w:rStyle w:val="Accentuation"/>
          <w:lang w:val="en-US"/>
        </w:rPr>
        <w:t>The Therapeutic Method</w:t>
      </w:r>
      <w:r w:rsidRPr="00B742DC">
        <w:rPr>
          <w:lang w:val="en-US"/>
        </w:rPr>
        <w:t xml:space="preserve">, </w:t>
      </w:r>
      <w:r w:rsidRPr="00B742DC">
        <w:rPr>
          <w:rStyle w:val="Accentuation"/>
          <w:lang w:val="en-US"/>
        </w:rPr>
        <w:t>On the Motion of the Muscles</w:t>
      </w:r>
      <w:r w:rsidRPr="00B742DC">
        <w:rPr>
          <w:lang w:val="en-US"/>
        </w:rPr>
        <w:t xml:space="preserve">, and </w:t>
      </w:r>
      <w:r w:rsidRPr="00B742DC">
        <w:rPr>
          <w:rStyle w:val="Accentuation"/>
          <w:lang w:val="en-US"/>
        </w:rPr>
        <w:t>On the Anatomy of the Bones</w:t>
      </w:r>
      <w:r w:rsidRPr="00B742DC">
        <w:rPr>
          <w:lang w:val="en-US"/>
        </w:rPr>
        <w:t>.”</w:t>
      </w:r>
    </w:p>
    <w:p w:rsidR="00B742DC" w:rsidRPr="00B742DC" w:rsidRDefault="00B742DC" w:rsidP="00C37351">
      <w:pPr>
        <w:pStyle w:val="Titre1"/>
        <w:spacing w:before="0" w:beforeAutospacing="0" w:after="0" w:afterAutospacing="0" w:line="360" w:lineRule="auto"/>
        <w:rPr>
          <w:lang w:val="en-US"/>
        </w:rPr>
      </w:pPr>
      <w:r w:rsidRPr="00B742DC">
        <w:rPr>
          <w:lang w:val="en-US"/>
        </w:rPr>
        <w:t>2. GALEN AND THE DIETETICS OF CANCER</w:t>
      </w:r>
    </w:p>
    <w:p w:rsidR="00B742DC" w:rsidRPr="00B742DC" w:rsidRDefault="00B742DC" w:rsidP="00C37351">
      <w:pPr>
        <w:pStyle w:val="NormalWeb"/>
        <w:spacing w:before="0" w:beforeAutospacing="0" w:after="0" w:afterAutospacing="0" w:line="360" w:lineRule="auto"/>
        <w:rPr>
          <w:lang w:val="en-US"/>
        </w:rPr>
      </w:pPr>
      <w:r w:rsidRPr="00B742DC">
        <w:rPr>
          <w:lang w:val="en-US"/>
        </w:rPr>
        <w:t xml:space="preserve">In the </w:t>
      </w:r>
      <w:r w:rsidRPr="00B742DC">
        <w:rPr>
          <w:rStyle w:val="Accentuation"/>
          <w:lang w:val="en-US"/>
        </w:rPr>
        <w:t>Method to Glaucon</w:t>
      </w:r>
      <w:r w:rsidRPr="00B742DC">
        <w:rPr>
          <w:lang w:val="en-US"/>
        </w:rPr>
        <w:t>, in the chapter on the causes and treatment of elephantiasis, Galen writes:</w:t>
      </w:r>
      <w:r w:rsidR="00CD7DDC">
        <w:rPr>
          <w:lang w:val="en-US"/>
        </w:rPr>
        <w:t xml:space="preserve"> </w:t>
      </w:r>
      <w:r w:rsidRPr="00B742DC">
        <w:rPr>
          <w:lang w:val="en-US"/>
        </w:rPr>
        <w:t>“As for regimen, prescribe generously barley ptisan, whey, and vegetables—mallow, orache, chard—and gourds in season. Among fish, give those from rocky habitats; give all birds except those of marshes.”²¹</w:t>
      </w:r>
    </w:p>
    <w:p w:rsidR="00B742DC" w:rsidRPr="00B742DC" w:rsidRDefault="00B742DC" w:rsidP="00C37351">
      <w:pPr>
        <w:pStyle w:val="NormalWeb"/>
        <w:spacing w:before="0" w:beforeAutospacing="0" w:after="0" w:afterAutospacing="0" w:line="360" w:lineRule="auto"/>
        <w:rPr>
          <w:lang w:val="en-US"/>
        </w:rPr>
      </w:pPr>
      <w:r w:rsidRPr="00B742DC">
        <w:rPr>
          <w:lang w:val="en-US"/>
        </w:rPr>
        <w:t xml:space="preserve">It is well known that </w:t>
      </w:r>
      <w:r w:rsidRPr="00B742DC">
        <w:rPr>
          <w:rStyle w:val="Accentuation"/>
          <w:lang w:val="en-US"/>
        </w:rPr>
        <w:t>ptisana</w:t>
      </w:r>
      <w:r w:rsidRPr="00B742DC">
        <w:rPr>
          <w:lang w:val="en-US"/>
        </w:rPr>
        <w:t xml:space="preserve">, from which the French word </w:t>
      </w:r>
      <w:r w:rsidRPr="00B742DC">
        <w:rPr>
          <w:rStyle w:val="Accentuation"/>
          <w:lang w:val="en-US"/>
        </w:rPr>
        <w:t>tisane</w:t>
      </w:r>
      <w:r w:rsidRPr="00B742DC">
        <w:rPr>
          <w:lang w:val="en-US"/>
        </w:rPr>
        <w:t xml:space="preserve"> derives, is a decoction of hulled barley, and that </w:t>
      </w:r>
      <w:r w:rsidRPr="00B742DC">
        <w:rPr>
          <w:rStyle w:val="Accentuation"/>
          <w:lang w:val="en-US"/>
        </w:rPr>
        <w:t>serum lactis</w:t>
      </w:r>
      <w:r w:rsidRPr="00B742DC">
        <w:rPr>
          <w:lang w:val="en-US"/>
        </w:rPr>
        <w:t xml:space="preserve"> signifies whey. The prescription of ptisan is revealing, since it possessed a marked “moistening virtue” when “one seeks to treat a disease that burns and desiccates the entire body.”²²</w:t>
      </w:r>
    </w:p>
    <w:p w:rsidR="00B742DC" w:rsidRPr="00B742DC" w:rsidRDefault="00B742DC" w:rsidP="00C37351">
      <w:pPr>
        <w:pStyle w:val="NormalWeb"/>
        <w:spacing w:before="0" w:beforeAutospacing="0" w:after="0" w:afterAutospacing="0" w:line="360" w:lineRule="auto"/>
        <w:rPr>
          <w:lang w:val="en-US"/>
        </w:rPr>
      </w:pPr>
      <w:r w:rsidRPr="00B742DC">
        <w:rPr>
          <w:lang w:val="en-US"/>
        </w:rPr>
        <w:t xml:space="preserve">Galen employs the expression </w:t>
      </w:r>
      <w:r w:rsidRPr="00B742DC">
        <w:rPr>
          <w:rStyle w:val="Accentuation"/>
          <w:lang w:val="en-US"/>
        </w:rPr>
        <w:t>piscibus saxatiles</w:t>
      </w:r>
      <w:r w:rsidRPr="00B742DC">
        <w:rPr>
          <w:lang w:val="en-US"/>
        </w:rPr>
        <w:t xml:space="preserve"> to designate the fish whose consumption he considers acceptable. In his French translation of </w:t>
      </w:r>
      <w:r w:rsidRPr="00B742DC">
        <w:rPr>
          <w:rStyle w:val="Accentuation"/>
          <w:lang w:val="en-US"/>
        </w:rPr>
        <w:t>De alimentorum facultatibus</w:t>
      </w:r>
      <w:r w:rsidRPr="00B742DC">
        <w:rPr>
          <w:lang w:val="en-US"/>
        </w:rPr>
        <w:t>, Jean Massé highlights the phrase in a preliminary set of brief annotations intended to facilitate understanding of Galen’s books on nutrition:</w:t>
      </w:r>
      <w:r w:rsidR="00CD7DDC">
        <w:rPr>
          <w:lang w:val="en-US"/>
        </w:rPr>
        <w:t xml:space="preserve"> </w:t>
      </w:r>
      <w:r w:rsidRPr="00B742DC">
        <w:rPr>
          <w:lang w:val="en-US"/>
        </w:rPr>
        <w:t>“In the third book of this work, Galen calls ‘saxatile’ those fish that live and frequent the rocks of the sea and promontories; they must therefore not be called gravel fish, as some have wished.”²³</w:t>
      </w:r>
      <w:r w:rsidR="00CD7DDC">
        <w:rPr>
          <w:lang w:val="en-US"/>
        </w:rPr>
        <w:t xml:space="preserve"> </w:t>
      </w:r>
      <w:r w:rsidRPr="00B742DC">
        <w:rPr>
          <w:lang w:val="en-US"/>
        </w:rPr>
        <w:t xml:space="preserve">Galen explains what he means by </w:t>
      </w:r>
      <w:r w:rsidRPr="00B742DC">
        <w:rPr>
          <w:rStyle w:val="Accentuation"/>
          <w:lang w:val="en-US"/>
        </w:rPr>
        <w:t>piscibus saxatiles</w:t>
      </w:r>
      <w:r w:rsidRPr="00B742DC">
        <w:rPr>
          <w:lang w:val="en-US"/>
        </w:rPr>
        <w:t xml:space="preserve"> in chapter 28 of the third book of </w:t>
      </w:r>
      <w:r w:rsidRPr="00B742DC">
        <w:rPr>
          <w:rStyle w:val="Accentuation"/>
          <w:lang w:val="en-US"/>
        </w:rPr>
        <w:t>De alimentorum facultatibus</w:t>
      </w:r>
      <w:r w:rsidRPr="00B742DC">
        <w:rPr>
          <w:lang w:val="en-US"/>
        </w:rPr>
        <w:t xml:space="preserve"> in Kühn’s edition.²⁴ In the French translation </w:t>
      </w:r>
      <w:r w:rsidRPr="00B742DC">
        <w:rPr>
          <w:rStyle w:val="Accentuation"/>
          <w:lang w:val="en-US"/>
        </w:rPr>
        <w:t>Sur les facultés des aliments</w:t>
      </w:r>
      <w:r w:rsidRPr="00B742DC">
        <w:rPr>
          <w:lang w:val="en-US"/>
        </w:rPr>
        <w:t>, one reads:</w:t>
      </w:r>
      <w:r w:rsidR="00CD7DDC">
        <w:rPr>
          <w:lang w:val="en-US"/>
        </w:rPr>
        <w:t xml:space="preserve"> </w:t>
      </w:r>
      <w:r w:rsidRPr="00B742DC">
        <w:rPr>
          <w:lang w:val="en-US"/>
        </w:rPr>
        <w:t>“They are called ‘rock fish’ according to the places where they have been observed to spend their lives. It is not on smooth, earthen, or sandy shores, but where rocks and escarpments are found that they hide and reproduce.”</w:t>
      </w:r>
    </w:p>
    <w:p w:rsidR="00B742DC" w:rsidRPr="00B742DC" w:rsidRDefault="00B742DC" w:rsidP="00C37351">
      <w:pPr>
        <w:pStyle w:val="NormalWeb"/>
        <w:spacing w:before="0" w:beforeAutospacing="0" w:after="0" w:afterAutospacing="0" w:line="360" w:lineRule="auto"/>
        <w:rPr>
          <w:lang w:val="en-US"/>
        </w:rPr>
      </w:pPr>
      <w:r w:rsidRPr="00B742DC">
        <w:rPr>
          <w:lang w:val="en-US"/>
        </w:rPr>
        <w:t>Galen had already concluded chapter 19, concerning the nourishment provided by birds, with the following observation:</w:t>
      </w:r>
      <w:r w:rsidR="00CD7DDC">
        <w:rPr>
          <w:lang w:val="en-US"/>
        </w:rPr>
        <w:t xml:space="preserve"> </w:t>
      </w:r>
      <w:r w:rsidRPr="00B742DC">
        <w:rPr>
          <w:lang w:val="en-US"/>
        </w:rPr>
        <w:t>“The difference is not slight between those that live in lakes, ponds, or marshy places and those that live in mountainous and dry environments. According to the nature of their habitat, the flesh of animals becomes either dry, without residue and easy to digest, or moist, full of residue and more difficult to digest.”²⁵</w:t>
      </w:r>
      <w:r w:rsidR="00CD7DDC">
        <w:rPr>
          <w:lang w:val="en-US"/>
        </w:rPr>
        <w:t xml:space="preserve"> </w:t>
      </w:r>
      <w:r w:rsidRPr="00B742DC">
        <w:rPr>
          <w:lang w:val="en-US"/>
        </w:rPr>
        <w:t>To some extent, the same reasoning applies to fish, if one substitutes for life in the open air, on mountain heights, or far from muddy impurities, an existence in the open sea or in the clear waters of rocky environments.</w:t>
      </w:r>
    </w:p>
    <w:p w:rsidR="00B742DC" w:rsidRPr="00B742DC" w:rsidRDefault="00B742DC" w:rsidP="00C37351">
      <w:pPr>
        <w:pStyle w:val="NormalWeb"/>
        <w:spacing w:before="0" w:beforeAutospacing="0" w:after="0" w:afterAutospacing="0" w:line="360" w:lineRule="auto"/>
        <w:rPr>
          <w:lang w:val="en-US"/>
        </w:rPr>
      </w:pPr>
      <w:r w:rsidRPr="00B742DC">
        <w:rPr>
          <w:lang w:val="en-US"/>
        </w:rPr>
        <w:t xml:space="preserve">Galen adds a physiological consideration in the chapter dealing with the </w:t>
      </w:r>
      <w:r>
        <w:t>κέφαλος</w:t>
      </w:r>
      <w:r w:rsidRPr="00B742DC">
        <w:rPr>
          <w:lang w:val="en-US"/>
        </w:rPr>
        <w:t xml:space="preserve">. Kühn translates the term into Latin as </w:t>
      </w:r>
      <w:r w:rsidRPr="00B742DC">
        <w:rPr>
          <w:rStyle w:val="Accentuation"/>
          <w:lang w:val="en-US"/>
        </w:rPr>
        <w:t>mūgil</w:t>
      </w:r>
      <w:r w:rsidRPr="00B742DC">
        <w:rPr>
          <w:lang w:val="en-US"/>
        </w:rPr>
        <w:t xml:space="preserve">, which in principle designates </w:t>
      </w:r>
      <w:r w:rsidRPr="00B742DC">
        <w:rPr>
          <w:rStyle w:val="Accentuation"/>
          <w:lang w:val="en-US"/>
        </w:rPr>
        <w:t>Mugil cephalus</w:t>
      </w:r>
      <w:r w:rsidRPr="00B742DC">
        <w:rPr>
          <w:lang w:val="en-US"/>
        </w:rPr>
        <w:t xml:space="preserve">, known in French as the mullet (mulet cabot, or large-headed mullet).²⁶ Owen’s English edition renders it as “grey mullet,” while Wilkins, in the French edition, retains the transliteration </w:t>
      </w:r>
      <w:r w:rsidRPr="00B742DC">
        <w:rPr>
          <w:rStyle w:val="Accentuation"/>
          <w:lang w:val="en-US"/>
        </w:rPr>
        <w:t>kephalos</w:t>
      </w:r>
      <w:r w:rsidRPr="00B742DC">
        <w:rPr>
          <w:lang w:val="en-US"/>
        </w:rPr>
        <w:t>.²⁷ This choice avoids a more precise identification that might prove hazardous, since the term refers broadly to a “family of scaled fish” and particularly to a species that “breeds not only in the sea but also in lakes and rivers.” In a similar spirit, Grant, in contrast to Owen, prefers the simple designation “mullet,” which avoids excessive specificity.²⁸</w:t>
      </w:r>
    </w:p>
    <w:p w:rsidR="00B742DC" w:rsidRPr="00B742DC" w:rsidRDefault="00B742DC" w:rsidP="00C37351">
      <w:pPr>
        <w:pStyle w:val="NormalWeb"/>
        <w:spacing w:before="0" w:beforeAutospacing="0" w:after="0" w:afterAutospacing="0" w:line="360" w:lineRule="auto"/>
        <w:rPr>
          <w:lang w:val="en-US"/>
        </w:rPr>
      </w:pPr>
      <w:r w:rsidRPr="00B742DC">
        <w:rPr>
          <w:lang w:val="en-US"/>
        </w:rPr>
        <w:t>Thus, in the French edition one reads:</w:t>
      </w:r>
      <w:r w:rsidR="00CD7DDC">
        <w:rPr>
          <w:lang w:val="en-US"/>
        </w:rPr>
        <w:t xml:space="preserve"> </w:t>
      </w:r>
      <w:r w:rsidRPr="00B742DC">
        <w:rPr>
          <w:lang w:val="en-US"/>
        </w:rPr>
        <w:t>“The kephaloi of each category differ greatly from one another; consequently, one might suppose that the kephalos of the open sea belongs to a different family from that of lakes or rivers, or even of the sewers that drain urban latrines. The flesh produces residues and is rather mucilaginous in fish that live in muddy and polluted waters, whereas the best flesh is found in those from the pure sea, especially when agitated by the winds.”</w:t>
      </w:r>
      <w:r w:rsidR="00CD7DDC">
        <w:rPr>
          <w:lang w:val="en-US"/>
        </w:rPr>
        <w:t xml:space="preserve"> </w:t>
      </w:r>
      <w:r w:rsidRPr="00B742DC">
        <w:rPr>
          <w:lang w:val="en-US"/>
        </w:rPr>
        <w:t>Mullets that live in sheltered waters and without waves engage in less exercise, and this produces inferior flesh. It is still worse in lagoons, and worse yet in lakes. For fish as for humans: activity improves quality.</w:t>
      </w:r>
    </w:p>
    <w:p w:rsidR="00B742DC" w:rsidRPr="00B742DC" w:rsidRDefault="00B742DC" w:rsidP="00C37351">
      <w:pPr>
        <w:pStyle w:val="NormalWeb"/>
        <w:spacing w:before="0" w:beforeAutospacing="0" w:after="0" w:afterAutospacing="0" w:line="360" w:lineRule="auto"/>
        <w:rPr>
          <w:lang w:val="en-US"/>
        </w:rPr>
      </w:pPr>
      <w:r w:rsidRPr="00B742DC">
        <w:rPr>
          <w:lang w:val="en-US"/>
        </w:rPr>
        <w:t xml:space="preserve">At this point, observations concerning the nomenclature and classification of fish in Galen may be limited. In Massé’s 1552 translation, the </w:t>
      </w:r>
      <w:r w:rsidRPr="00B742DC">
        <w:rPr>
          <w:rStyle w:val="Accentuation"/>
          <w:lang w:val="en-US"/>
        </w:rPr>
        <w:t>kephalos</w:t>
      </w:r>
      <w:r w:rsidRPr="00B742DC">
        <w:rPr>
          <w:lang w:val="en-US"/>
        </w:rPr>
        <w:t xml:space="preserve"> is the subject of a chapter entitled “Du moviou.”²⁹ In 1539, Jean Ruel (or de La Ruelle, or du Ruel) (c. 1474–1537), physician and botanist probably from Soissons and attached to Francis I, published in Latin </w:t>
      </w:r>
      <w:r w:rsidRPr="00B742DC">
        <w:rPr>
          <w:rStyle w:val="Accentuation"/>
          <w:lang w:val="en-US"/>
        </w:rPr>
        <w:t>Trois livres des racines de la nature</w:t>
      </w:r>
      <w:r w:rsidRPr="00B742DC">
        <w:rPr>
          <w:lang w:val="en-US"/>
        </w:rPr>
        <w:t xml:space="preserve">. From this work Léger Duchesne produced an </w:t>
      </w:r>
      <w:r w:rsidRPr="00B742DC">
        <w:rPr>
          <w:rStyle w:val="Accentuation"/>
          <w:lang w:val="en-US"/>
        </w:rPr>
        <w:t>Abrégé</w:t>
      </w:r>
      <w:r w:rsidRPr="00B742DC">
        <w:rPr>
          <w:lang w:val="en-US"/>
        </w:rPr>
        <w:t xml:space="preserve"> containing a rich documentation of Latin terms translated into Middle French or vernacular forms. The term </w:t>
      </w:r>
      <w:r w:rsidRPr="00B742DC">
        <w:rPr>
          <w:rStyle w:val="Accentuation"/>
          <w:lang w:val="en-US"/>
        </w:rPr>
        <w:t>mugil</w:t>
      </w:r>
      <w:r w:rsidRPr="00B742DC">
        <w:rPr>
          <w:lang w:val="en-US"/>
        </w:rPr>
        <w:t xml:space="preserve"> appears there with a corresponding vernacular form, </w:t>
      </w:r>
      <w:r w:rsidRPr="00B742DC">
        <w:rPr>
          <w:rStyle w:val="Accentuation"/>
          <w:lang w:val="en-US"/>
        </w:rPr>
        <w:t>mouiou</w:t>
      </w:r>
      <w:r w:rsidRPr="00B742DC">
        <w:rPr>
          <w:lang w:val="en-US"/>
        </w:rPr>
        <w:t>, a variant formed with the suffix –olus.³⁰ Forms with –yod– and the ending –ou– are widely attested in the far southern Occitan domain (</w:t>
      </w:r>
      <w:r w:rsidRPr="00B742DC">
        <w:rPr>
          <w:rStyle w:val="Accentuation"/>
          <w:lang w:val="en-US"/>
        </w:rPr>
        <w:t>myou</w:t>
      </w:r>
      <w:r w:rsidRPr="00B742DC">
        <w:rPr>
          <w:lang w:val="en-US"/>
        </w:rPr>
        <w:t xml:space="preserve"> in Haute-Loire, Lozère, Gard, Drôme, Vaucluse, Bouches-du-Rhône, Hérault).³¹</w:t>
      </w:r>
    </w:p>
    <w:p w:rsidR="00B742DC" w:rsidRPr="00B742DC" w:rsidRDefault="00B742DC" w:rsidP="00C37351">
      <w:pPr>
        <w:pStyle w:val="NormalWeb"/>
        <w:spacing w:before="0" w:beforeAutospacing="0" w:after="0" w:afterAutospacing="0" w:line="360" w:lineRule="auto"/>
        <w:rPr>
          <w:lang w:val="en-US"/>
        </w:rPr>
      </w:pPr>
      <w:r w:rsidRPr="00B742DC">
        <w:rPr>
          <w:lang w:val="en-US"/>
        </w:rPr>
        <w:t xml:space="preserve">Among the other species mentioned in the chapters following that devoted to the </w:t>
      </w:r>
      <w:r w:rsidRPr="00B742DC">
        <w:rPr>
          <w:rStyle w:val="Accentuation"/>
          <w:lang w:val="en-US"/>
        </w:rPr>
        <w:t>kephalos</w:t>
      </w:r>
      <w:r w:rsidRPr="00B742DC">
        <w:rPr>
          <w:lang w:val="en-US"/>
        </w:rPr>
        <w:t xml:space="preserve">, let us first note the </w:t>
      </w:r>
      <w:r w:rsidRPr="00B742DC">
        <w:rPr>
          <w:rStyle w:val="Accentuation"/>
          <w:lang w:val="en-US"/>
        </w:rPr>
        <w:t>lupus</w:t>
      </w:r>
      <w:r w:rsidRPr="00B742DC">
        <w:rPr>
          <w:lang w:val="en-US"/>
        </w:rPr>
        <w:t xml:space="preserve"> (sea bass). Galen writes that he has not observed it to breed in fresh or running waters, “but I have seen it ascending from the sea toward rivers or lakes,” so that “it is therefore rarely found to be bad, unlike the kephalos, which often is.”³²</w:t>
      </w:r>
    </w:p>
    <w:p w:rsidR="00B742DC" w:rsidRPr="00B742DC" w:rsidRDefault="00B742DC" w:rsidP="00C37351">
      <w:pPr>
        <w:pStyle w:val="NormalWeb"/>
        <w:spacing w:before="0" w:beforeAutospacing="0" w:after="0" w:afterAutospacing="0" w:line="360" w:lineRule="auto"/>
        <w:rPr>
          <w:lang w:val="en-US"/>
        </w:rPr>
      </w:pPr>
      <w:r w:rsidRPr="00B742DC">
        <w:rPr>
          <w:lang w:val="en-US"/>
        </w:rPr>
        <w:t xml:space="preserve">The term </w:t>
      </w:r>
      <w:r w:rsidRPr="00B742DC">
        <w:rPr>
          <w:rStyle w:val="Accentuation"/>
          <w:lang w:val="en-US"/>
        </w:rPr>
        <w:t>mulus</w:t>
      </w:r>
      <w:r w:rsidRPr="00B742DC">
        <w:rPr>
          <w:lang w:val="en-US"/>
        </w:rPr>
        <w:t xml:space="preserve"> literally designates the mullet, and </w:t>
      </w:r>
      <w:r w:rsidRPr="00B742DC">
        <w:rPr>
          <w:rStyle w:val="Accentuation"/>
          <w:lang w:val="en-US"/>
        </w:rPr>
        <w:t>barbatulus mulus</w:t>
      </w:r>
      <w:r w:rsidRPr="00B742DC">
        <w:rPr>
          <w:lang w:val="en-US"/>
        </w:rPr>
        <w:t xml:space="preserve"> refers to the barbel.³³ Owen translates the term as “red mullet,” as does Grant, whereas Wilkins renders it as </w:t>
      </w:r>
      <w:r w:rsidRPr="00B742DC">
        <w:rPr>
          <w:rStyle w:val="Accentuation"/>
          <w:lang w:val="en-US"/>
        </w:rPr>
        <w:t>rouget barbet</w:t>
      </w:r>
      <w:r w:rsidRPr="00B742DC">
        <w:rPr>
          <w:lang w:val="en-US"/>
        </w:rPr>
        <w:t>, a pelagic fish—one of the “open-sea” species—therefore “esteemed above others for its pleasant taste.”</w:t>
      </w:r>
    </w:p>
    <w:p w:rsidR="00B742DC" w:rsidRPr="00B742DC" w:rsidRDefault="00B742DC" w:rsidP="00C37351">
      <w:pPr>
        <w:pStyle w:val="NormalWeb"/>
        <w:spacing w:before="0" w:beforeAutospacing="0" w:after="0" w:afterAutospacing="0" w:line="360" w:lineRule="auto"/>
        <w:rPr>
          <w:lang w:val="en-US"/>
        </w:rPr>
      </w:pPr>
      <w:r w:rsidRPr="00B742DC">
        <w:rPr>
          <w:lang w:val="en-US"/>
        </w:rPr>
        <w:t xml:space="preserve">Greek and Latin denominations, as well as their French and English translations, become particularly complex when rock fish are concerned. Galen successively mentions: </w:t>
      </w:r>
      <w:r w:rsidRPr="00B742DC">
        <w:rPr>
          <w:rStyle w:val="Accentuation"/>
          <w:lang w:val="en-US"/>
        </w:rPr>
        <w:t>scarus</w:t>
      </w:r>
      <w:r w:rsidRPr="00B742DC">
        <w:rPr>
          <w:lang w:val="en-US"/>
        </w:rPr>
        <w:t xml:space="preserve">, </w:t>
      </w:r>
      <w:r w:rsidRPr="00B742DC">
        <w:rPr>
          <w:rStyle w:val="Accentuation"/>
          <w:lang w:val="en-US"/>
        </w:rPr>
        <w:t>merulae</w:t>
      </w:r>
      <w:r w:rsidRPr="00B742DC">
        <w:rPr>
          <w:lang w:val="en-US"/>
        </w:rPr>
        <w:t xml:space="preserve">, </w:t>
      </w:r>
      <w:r w:rsidRPr="00B742DC">
        <w:rPr>
          <w:rStyle w:val="Accentuation"/>
          <w:lang w:val="en-US"/>
        </w:rPr>
        <w:t>turdi</w:t>
      </w:r>
      <w:r w:rsidRPr="00B742DC">
        <w:rPr>
          <w:lang w:val="en-US"/>
        </w:rPr>
        <w:t xml:space="preserve">, </w:t>
      </w:r>
      <w:r w:rsidRPr="00B742DC">
        <w:rPr>
          <w:rStyle w:val="Accentuation"/>
          <w:lang w:val="en-US"/>
        </w:rPr>
        <w:t>iuliae</w:t>
      </w:r>
      <w:r w:rsidRPr="00B742DC">
        <w:rPr>
          <w:lang w:val="en-US"/>
        </w:rPr>
        <w:t xml:space="preserve">, </w:t>
      </w:r>
      <w:r w:rsidRPr="00B742DC">
        <w:rPr>
          <w:rStyle w:val="Accentuation"/>
          <w:lang w:val="en-US"/>
        </w:rPr>
        <w:t>fucae</w:t>
      </w:r>
      <w:r w:rsidRPr="00B742DC">
        <w:rPr>
          <w:lang w:val="en-US"/>
        </w:rPr>
        <w:t xml:space="preserve">, and </w:t>
      </w:r>
      <w:r w:rsidRPr="00B742DC">
        <w:rPr>
          <w:rStyle w:val="Accentuation"/>
          <w:lang w:val="en-US"/>
        </w:rPr>
        <w:t>percae</w:t>
      </w:r>
      <w:r w:rsidRPr="00B742DC">
        <w:rPr>
          <w:lang w:val="en-US"/>
        </w:rPr>
        <w:t xml:space="preserve">.³⁴ Owen and Grant translate </w:t>
      </w:r>
      <w:r w:rsidRPr="00B742DC">
        <w:rPr>
          <w:rStyle w:val="Accentuation"/>
          <w:lang w:val="en-US"/>
        </w:rPr>
        <w:t>scarus</w:t>
      </w:r>
      <w:r w:rsidRPr="00B742DC">
        <w:rPr>
          <w:lang w:val="en-US"/>
        </w:rPr>
        <w:t xml:space="preserve"> (literally “scare”) as “parrot wrasse,” and </w:t>
      </w:r>
      <w:r w:rsidRPr="00B742DC">
        <w:rPr>
          <w:rStyle w:val="Accentuation"/>
          <w:lang w:val="en-US"/>
        </w:rPr>
        <w:t>julia</w:t>
      </w:r>
      <w:r w:rsidRPr="00B742DC">
        <w:rPr>
          <w:lang w:val="en-US"/>
        </w:rPr>
        <w:t xml:space="preserve"> as “rainbow wrasse.” Owen translates the other varieties as </w:t>
      </w:r>
      <w:r w:rsidRPr="00B742DC">
        <w:rPr>
          <w:rStyle w:val="Accentuation"/>
          <w:lang w:val="en-US"/>
        </w:rPr>
        <w:t>kottyphos</w:t>
      </w:r>
      <w:r w:rsidRPr="00B742DC">
        <w:rPr>
          <w:lang w:val="en-US"/>
        </w:rPr>
        <w:t xml:space="preserve"> (</w:t>
      </w:r>
      <w:r w:rsidRPr="00B742DC">
        <w:rPr>
          <w:rStyle w:val="Accentuation"/>
          <w:lang w:val="en-US"/>
        </w:rPr>
        <w:t>merula</w:t>
      </w:r>
      <w:r w:rsidRPr="00B742DC">
        <w:rPr>
          <w:lang w:val="en-US"/>
        </w:rPr>
        <w:t xml:space="preserve">, “blackbird”), </w:t>
      </w:r>
      <w:r w:rsidRPr="00B742DC">
        <w:rPr>
          <w:rStyle w:val="Accentuation"/>
          <w:lang w:val="en-US"/>
        </w:rPr>
        <w:t>kichlê</w:t>
      </w:r>
      <w:r w:rsidRPr="00B742DC">
        <w:rPr>
          <w:lang w:val="en-US"/>
        </w:rPr>
        <w:t xml:space="preserve"> (</w:t>
      </w:r>
      <w:r w:rsidRPr="00B742DC">
        <w:rPr>
          <w:rStyle w:val="Accentuation"/>
          <w:lang w:val="en-US"/>
        </w:rPr>
        <w:t>turdus</w:t>
      </w:r>
      <w:r w:rsidRPr="00B742DC">
        <w:rPr>
          <w:lang w:val="en-US"/>
        </w:rPr>
        <w:t xml:space="preserve">, “thrush”), and </w:t>
      </w:r>
      <w:r w:rsidRPr="00B742DC">
        <w:rPr>
          <w:rStyle w:val="Accentuation"/>
          <w:lang w:val="en-US"/>
        </w:rPr>
        <w:t>phykês</w:t>
      </w:r>
      <w:r w:rsidRPr="00B742DC">
        <w:rPr>
          <w:lang w:val="en-US"/>
        </w:rPr>
        <w:t xml:space="preserve"> (</w:t>
      </w:r>
      <w:r w:rsidRPr="00B742DC">
        <w:rPr>
          <w:rStyle w:val="Accentuation"/>
          <w:lang w:val="en-US"/>
        </w:rPr>
        <w:t>fuca</w:t>
      </w:r>
      <w:r w:rsidRPr="00B742DC">
        <w:rPr>
          <w:lang w:val="en-US"/>
        </w:rPr>
        <w:t>).</w:t>
      </w:r>
    </w:p>
    <w:p w:rsidR="00B742DC" w:rsidRDefault="00B742DC" w:rsidP="00C37351">
      <w:pPr>
        <w:pStyle w:val="NormalWeb"/>
        <w:spacing w:before="0" w:beforeAutospacing="0" w:after="0" w:afterAutospacing="0" w:line="360" w:lineRule="auto"/>
        <w:rPr>
          <w:lang w:val="en-US"/>
        </w:rPr>
      </w:pPr>
      <w:r w:rsidRPr="00B742DC">
        <w:rPr>
          <w:lang w:val="en-US"/>
        </w:rPr>
        <w:t xml:space="preserve">Wilkins’s French edition partly follows Owen but generally reverts to Greek forms: </w:t>
      </w:r>
      <w:r w:rsidRPr="00B742DC">
        <w:rPr>
          <w:rStyle w:val="Accentuation"/>
          <w:lang w:val="en-US"/>
        </w:rPr>
        <w:t>skaros</w:t>
      </w:r>
      <w:r w:rsidRPr="00B742DC">
        <w:rPr>
          <w:lang w:val="en-US"/>
        </w:rPr>
        <w:t xml:space="preserve">, </w:t>
      </w:r>
      <w:r w:rsidRPr="00B742DC">
        <w:rPr>
          <w:rStyle w:val="Accentuation"/>
          <w:lang w:val="en-US"/>
        </w:rPr>
        <w:t>kottuphoi</w:t>
      </w:r>
      <w:r w:rsidRPr="00B742DC">
        <w:rPr>
          <w:lang w:val="en-US"/>
        </w:rPr>
        <w:t xml:space="preserve">, </w:t>
      </w:r>
      <w:r w:rsidRPr="00B742DC">
        <w:rPr>
          <w:rStyle w:val="Accentuation"/>
          <w:lang w:val="en-US"/>
        </w:rPr>
        <w:t>kichlai</w:t>
      </w:r>
      <w:r w:rsidRPr="00B742DC">
        <w:rPr>
          <w:lang w:val="en-US"/>
        </w:rPr>
        <w:t xml:space="preserve">, </w:t>
      </w:r>
      <w:r w:rsidRPr="00B742DC">
        <w:rPr>
          <w:rStyle w:val="Accentuation"/>
          <w:lang w:val="en-US"/>
        </w:rPr>
        <w:t>ioulides</w:t>
      </w:r>
      <w:r w:rsidRPr="00B742DC">
        <w:rPr>
          <w:lang w:val="en-US"/>
        </w:rPr>
        <w:t xml:space="preserve">, </w:t>
      </w:r>
      <w:r w:rsidRPr="00B742DC">
        <w:rPr>
          <w:rStyle w:val="Accentuation"/>
          <w:lang w:val="en-US"/>
        </w:rPr>
        <w:t>phukides</w:t>
      </w:r>
      <w:r w:rsidRPr="00B742DC">
        <w:rPr>
          <w:lang w:val="en-US"/>
        </w:rPr>
        <w:t xml:space="preserve">, with some variation from Owen’s references. Grant’s translations may appear more adventurous but are clearer for modern readers unfamiliar with Greek: </w:t>
      </w:r>
      <w:r w:rsidRPr="00B742DC">
        <w:rPr>
          <w:rStyle w:val="Accentuation"/>
          <w:lang w:val="en-US"/>
        </w:rPr>
        <w:t>parrot-wrasse</w:t>
      </w:r>
      <w:r w:rsidRPr="00B742DC">
        <w:rPr>
          <w:lang w:val="en-US"/>
        </w:rPr>
        <w:t xml:space="preserve">, </w:t>
      </w:r>
      <w:r w:rsidRPr="00B742DC">
        <w:rPr>
          <w:rStyle w:val="Accentuation"/>
          <w:lang w:val="en-US"/>
        </w:rPr>
        <w:t>blackbird-wrasse</w:t>
      </w:r>
      <w:r w:rsidRPr="00B742DC">
        <w:rPr>
          <w:lang w:val="en-US"/>
        </w:rPr>
        <w:t xml:space="preserve">, </w:t>
      </w:r>
      <w:r w:rsidRPr="00B742DC">
        <w:rPr>
          <w:rStyle w:val="Accentuation"/>
          <w:lang w:val="en-US"/>
        </w:rPr>
        <w:t>tordo-wrasse</w:t>
      </w:r>
      <w:r w:rsidRPr="00B742DC">
        <w:rPr>
          <w:lang w:val="en-US"/>
        </w:rPr>
        <w:t xml:space="preserve">, </w:t>
      </w:r>
      <w:r w:rsidRPr="00B742DC">
        <w:rPr>
          <w:rStyle w:val="Accentuation"/>
          <w:lang w:val="en-US"/>
        </w:rPr>
        <w:t>rainbow-wrasse</w:t>
      </w:r>
      <w:r w:rsidRPr="00B742DC">
        <w:rPr>
          <w:lang w:val="en-US"/>
        </w:rPr>
        <w:t xml:space="preserve">, </w:t>
      </w:r>
      <w:r w:rsidRPr="00B742DC">
        <w:rPr>
          <w:rStyle w:val="Accentuation"/>
          <w:lang w:val="en-US"/>
        </w:rPr>
        <w:t>cook-wrasse</w:t>
      </w:r>
      <w:r w:rsidRPr="00B742DC">
        <w:rPr>
          <w:lang w:val="en-US"/>
        </w:rPr>
        <w:t xml:space="preserve">. Massé, mindful of such readers, rendered them as </w:t>
      </w:r>
      <w:r w:rsidRPr="00B742DC">
        <w:rPr>
          <w:rStyle w:val="Accentuation"/>
          <w:lang w:val="en-US"/>
        </w:rPr>
        <w:t>daurée</w:t>
      </w:r>
      <w:r w:rsidRPr="00B742DC">
        <w:rPr>
          <w:lang w:val="en-US"/>
        </w:rPr>
        <w:t xml:space="preserve">, </w:t>
      </w:r>
      <w:r w:rsidRPr="00B742DC">
        <w:rPr>
          <w:rStyle w:val="Accentuation"/>
          <w:lang w:val="en-US"/>
        </w:rPr>
        <w:t>merlan</w:t>
      </w:r>
      <w:r w:rsidRPr="00B742DC">
        <w:rPr>
          <w:lang w:val="en-US"/>
        </w:rPr>
        <w:t xml:space="preserve">, </w:t>
      </w:r>
      <w:r w:rsidRPr="00B742DC">
        <w:rPr>
          <w:rStyle w:val="Accentuation"/>
          <w:lang w:val="en-US"/>
        </w:rPr>
        <w:t>troude</w:t>
      </w:r>
      <w:r w:rsidRPr="00B742DC">
        <w:rPr>
          <w:lang w:val="en-US"/>
        </w:rPr>
        <w:t xml:space="preserve">, </w:t>
      </w:r>
      <w:r w:rsidRPr="00B742DC">
        <w:rPr>
          <w:rStyle w:val="Accentuation"/>
          <w:lang w:val="en-US"/>
        </w:rPr>
        <w:t>iule</w:t>
      </w:r>
      <w:r w:rsidRPr="00B742DC">
        <w:rPr>
          <w:lang w:val="en-US"/>
        </w:rPr>
        <w:t xml:space="preserve">, </w:t>
      </w:r>
      <w:r w:rsidRPr="00B742DC">
        <w:rPr>
          <w:rStyle w:val="Accentuation"/>
          <w:lang w:val="en-US"/>
        </w:rPr>
        <w:t>fouque</w:t>
      </w:r>
      <w:r w:rsidRPr="00B742DC">
        <w:rPr>
          <w:lang w:val="en-US"/>
        </w:rPr>
        <w:t xml:space="preserve">, and </w:t>
      </w:r>
      <w:r w:rsidRPr="00B742DC">
        <w:rPr>
          <w:rStyle w:val="Accentuation"/>
          <w:lang w:val="en-US"/>
        </w:rPr>
        <w:t>perche</w:t>
      </w:r>
      <w:r w:rsidRPr="00B742DC">
        <w:rPr>
          <w:lang w:val="en-US"/>
        </w:rPr>
        <w:t>.</w:t>
      </w:r>
    </w:p>
    <w:p w:rsidR="00B742DC" w:rsidRPr="00B742DC" w:rsidRDefault="00B742DC" w:rsidP="00C37351">
      <w:pPr>
        <w:pStyle w:val="Titre1"/>
        <w:spacing w:before="0" w:beforeAutospacing="0" w:after="0" w:afterAutospacing="0" w:line="360" w:lineRule="auto"/>
        <w:rPr>
          <w:lang w:val="en-US"/>
        </w:rPr>
      </w:pPr>
      <w:r w:rsidRPr="00B742DC">
        <w:rPr>
          <w:lang w:val="en-US"/>
        </w:rPr>
        <w:t xml:space="preserve">3. THE PADUAN </w:t>
      </w:r>
      <w:r w:rsidRPr="00B742DC">
        <w:rPr>
          <w:rStyle w:val="Accentuation"/>
          <w:lang w:val="en-US"/>
        </w:rPr>
        <w:t>CONSILIA</w:t>
      </w:r>
      <w:r w:rsidRPr="00B742DC">
        <w:rPr>
          <w:lang w:val="en-US"/>
        </w:rPr>
        <w:t xml:space="preserve"> AND CANCER</w:t>
      </w:r>
    </w:p>
    <w:p w:rsidR="00B742DC" w:rsidRPr="00B742DC" w:rsidRDefault="00B742DC" w:rsidP="00C37351">
      <w:pPr>
        <w:pStyle w:val="NormalWeb"/>
        <w:spacing w:before="0" w:beforeAutospacing="0" w:after="0" w:afterAutospacing="0" w:line="360" w:lineRule="auto"/>
        <w:rPr>
          <w:lang w:val="en-US"/>
        </w:rPr>
      </w:pPr>
      <w:r w:rsidRPr="00B742DC">
        <w:rPr>
          <w:lang w:val="en-US"/>
        </w:rPr>
        <w:t xml:space="preserve">The genre of the </w:t>
      </w:r>
      <w:r w:rsidRPr="00B742DC">
        <w:rPr>
          <w:rStyle w:val="Accentuation"/>
          <w:lang w:val="en-US"/>
        </w:rPr>
        <w:t>consilium</w:t>
      </w:r>
      <w:r w:rsidRPr="00B742DC">
        <w:rPr>
          <w:lang w:val="en-US"/>
        </w:rPr>
        <w:t xml:space="preserve"> has already been mentioned. Marilyn Nicoud defines it as “a clearly identifiable, distinctive, and autonomous class of texts, even though it maintains close and sometimes ambiguous relations with other genres, particularly health regimens and recipe collections.”³⁵</w:t>
      </w:r>
    </w:p>
    <w:p w:rsidR="00B742DC" w:rsidRPr="00B742DC" w:rsidRDefault="00B742DC" w:rsidP="00C37351">
      <w:pPr>
        <w:pStyle w:val="NormalWeb"/>
        <w:spacing w:before="0" w:beforeAutospacing="0" w:after="0" w:afterAutospacing="0" w:line="360" w:lineRule="auto"/>
        <w:rPr>
          <w:lang w:val="en-US"/>
        </w:rPr>
      </w:pPr>
      <w:r w:rsidRPr="00B742DC">
        <w:rPr>
          <w:lang w:val="en-US"/>
        </w:rPr>
        <w:t xml:space="preserve">In general, </w:t>
      </w:r>
      <w:r w:rsidRPr="00B742DC">
        <w:rPr>
          <w:rStyle w:val="Accentuation"/>
          <w:lang w:val="en-US"/>
        </w:rPr>
        <w:t>consilia</w:t>
      </w:r>
      <w:r w:rsidRPr="00B742DC">
        <w:rPr>
          <w:lang w:val="en-US"/>
        </w:rPr>
        <w:t xml:space="preserve"> concern a particular patient and a specific disease. At the request of an interested party, a physician provides written therapeutic advice, typically organized into three distinct parts: a description of symptoms enabling diagnosis (</w:t>
      </w:r>
      <w:r w:rsidRPr="00B742DC">
        <w:rPr>
          <w:rStyle w:val="Accentuation"/>
          <w:lang w:val="en-US"/>
        </w:rPr>
        <w:t>casus</w:t>
      </w:r>
      <w:r w:rsidRPr="00B742DC">
        <w:rPr>
          <w:lang w:val="en-US"/>
        </w:rPr>
        <w:t>), followed by a regimen based on the six non-natural things (</w:t>
      </w:r>
      <w:r w:rsidRPr="00B742DC">
        <w:rPr>
          <w:rStyle w:val="Accentuation"/>
          <w:lang w:val="en-US"/>
        </w:rPr>
        <w:t>diaeta</w:t>
      </w:r>
      <w:r w:rsidRPr="00B742DC">
        <w:rPr>
          <w:lang w:val="en-US"/>
        </w:rPr>
        <w:t>), and finally a pharmacological therapy (</w:t>
      </w:r>
      <w:r w:rsidRPr="00B742DC">
        <w:rPr>
          <w:rStyle w:val="Accentuation"/>
          <w:lang w:val="en-US"/>
        </w:rPr>
        <w:t>potio</w:t>
      </w:r>
      <w:r w:rsidRPr="00B742DC">
        <w:rPr>
          <w:lang w:val="en-US"/>
        </w:rPr>
        <w:t>). These consultations possess a strongly prescriptive and conative dimension, since their purpose is to cure an ongoing pathology.</w:t>
      </w:r>
    </w:p>
    <w:p w:rsidR="00B742DC" w:rsidRPr="00B742DC" w:rsidRDefault="00B742DC" w:rsidP="00C37351">
      <w:pPr>
        <w:pStyle w:val="NormalWeb"/>
        <w:spacing w:before="0" w:beforeAutospacing="0" w:after="0" w:afterAutospacing="0" w:line="360" w:lineRule="auto"/>
        <w:rPr>
          <w:lang w:val="en-US"/>
        </w:rPr>
      </w:pPr>
      <w:r w:rsidRPr="00B742DC">
        <w:rPr>
          <w:lang w:val="en-US"/>
        </w:rPr>
        <w:t xml:space="preserve">Following Manardi, we have already outlined the position occupied by “cancer” within the classification of tumors. The term has given rise to a number of terminological clarifications.³⁶ In what follows, I adopt the approach of Luke Demaitre, who, in discussing the medieval use of the word </w:t>
      </w:r>
      <w:r w:rsidRPr="00B742DC">
        <w:rPr>
          <w:rStyle w:val="Accentuation"/>
          <w:lang w:val="en-US"/>
        </w:rPr>
        <w:t>cancer</w:t>
      </w:r>
      <w:r w:rsidRPr="00B742DC">
        <w:rPr>
          <w:lang w:val="en-US"/>
        </w:rPr>
        <w:t>, restricts himself to considering its meaning from the standpoint of contemporary knowledge—or rather, of its limits—without attempting to determine retrospectively which modern disease the term might actually have designated.³⁷</w:t>
      </w:r>
    </w:p>
    <w:p w:rsidR="00B742DC" w:rsidRPr="00B742DC" w:rsidRDefault="00B742DC" w:rsidP="00C37351">
      <w:pPr>
        <w:pStyle w:val="NormalWeb"/>
        <w:spacing w:before="0" w:beforeAutospacing="0" w:after="0" w:afterAutospacing="0" w:line="360" w:lineRule="auto"/>
        <w:rPr>
          <w:lang w:val="en-US"/>
        </w:rPr>
      </w:pPr>
      <w:r w:rsidRPr="00B742DC">
        <w:rPr>
          <w:lang w:val="en-US"/>
        </w:rPr>
        <w:t>Medical humanism flourished in much of Renaissance Italy, particularly in its major universities, as exemplified by figures such as Niccolò Leoniceno (1428–1524), who taught at Bologna, Ferrara, and Padua.³⁸ Yet Padua, as Vivian Nutton has written, housed “the most advanced medical faculty in Europe,” and Giovanni Battista Da Monte (1489–1551) was “its most forward-looking professor.”³⁹ Da Monte will serve as a central figure in the present inquiry.</w:t>
      </w:r>
    </w:p>
    <w:p w:rsidR="00B742DC" w:rsidRPr="00B742DC" w:rsidRDefault="00B742DC" w:rsidP="00C37351">
      <w:pPr>
        <w:pStyle w:val="NormalWeb"/>
        <w:spacing w:before="0" w:beforeAutospacing="0" w:after="0" w:afterAutospacing="0" w:line="360" w:lineRule="auto"/>
        <w:rPr>
          <w:lang w:val="en-US"/>
        </w:rPr>
      </w:pPr>
      <w:r w:rsidRPr="00B742DC">
        <w:rPr>
          <w:lang w:val="en-US"/>
        </w:rPr>
        <w:t xml:space="preserve">Deeply engaged in the rediscovery of Galen’s works, Da Monte sought to introduce a new therapeutic method in place of that practiced by medieval physicians. He used individual cases to deliver practical medical instruction to students at the bedside. Called to teach in Padua in 1539, he began publishing his </w:t>
      </w:r>
      <w:r w:rsidRPr="00B742DC">
        <w:rPr>
          <w:rStyle w:val="Accentuation"/>
          <w:lang w:val="en-US"/>
        </w:rPr>
        <w:t>Consultationes medicae</w:t>
      </w:r>
      <w:r w:rsidRPr="00B742DC">
        <w:rPr>
          <w:lang w:val="en-US"/>
        </w:rPr>
        <w:t xml:space="preserve"> from 1554 onward.</w:t>
      </w:r>
    </w:p>
    <w:p w:rsidR="00B742DC" w:rsidRPr="00B742DC" w:rsidRDefault="00B742DC" w:rsidP="00C37351">
      <w:pPr>
        <w:pStyle w:val="NormalWeb"/>
        <w:spacing w:before="0" w:beforeAutospacing="0" w:after="0" w:afterAutospacing="0" w:line="360" w:lineRule="auto"/>
        <w:rPr>
          <w:lang w:val="en-US"/>
        </w:rPr>
      </w:pPr>
      <w:r w:rsidRPr="00B742DC">
        <w:rPr>
          <w:lang w:val="en-US"/>
        </w:rPr>
        <w:t xml:space="preserve">Let us first consider consultation 61 of the </w:t>
      </w:r>
      <w:r w:rsidRPr="00B742DC">
        <w:rPr>
          <w:rStyle w:val="Accentuation"/>
          <w:lang w:val="en-US"/>
        </w:rPr>
        <w:t>Prima centuria</w:t>
      </w:r>
      <w:r w:rsidRPr="00B742DC">
        <w:rPr>
          <w:lang w:val="en-US"/>
        </w:rPr>
        <w:t xml:space="preserve"> (hereafter C1554/61), concerning a </w:t>
      </w:r>
      <w:r w:rsidRPr="00B742DC">
        <w:rPr>
          <w:rStyle w:val="Accentuation"/>
          <w:lang w:val="en-US"/>
        </w:rPr>
        <w:t>squirrhus</w:t>
      </w:r>
      <w:r w:rsidRPr="00B742DC">
        <w:rPr>
          <w:lang w:val="en-US"/>
        </w:rPr>
        <w:t xml:space="preserve"> of the liver “with danger of dropsy,” affecting a young scholar from Udine named Luvisinus. The patient is advised to avoid fish, which are “not good, except those that live among rocks.”⁴⁰</w:t>
      </w:r>
    </w:p>
    <w:p w:rsidR="00B742DC" w:rsidRPr="00B742DC" w:rsidRDefault="00B742DC" w:rsidP="00C37351">
      <w:pPr>
        <w:pStyle w:val="NormalWeb"/>
        <w:spacing w:before="0" w:beforeAutospacing="0" w:after="0" w:afterAutospacing="0" w:line="360" w:lineRule="auto"/>
        <w:rPr>
          <w:lang w:val="en-US"/>
        </w:rPr>
      </w:pPr>
      <w:r w:rsidRPr="00B742DC">
        <w:rPr>
          <w:lang w:val="en-US"/>
        </w:rPr>
        <w:t xml:space="preserve">Another consultation addresses a </w:t>
      </w:r>
      <w:r w:rsidRPr="00B742DC">
        <w:rPr>
          <w:rStyle w:val="Accentuation"/>
          <w:lang w:val="en-US"/>
        </w:rPr>
        <w:t>noli me tangere</w:t>
      </w:r>
      <w:r w:rsidRPr="00B742DC">
        <w:rPr>
          <w:lang w:val="en-US"/>
        </w:rPr>
        <w:t>—literally “touch me not”—generally denoting a cancerous lesion of the face. The patient suffers from “an ulcerated lip, burned by melancholic matter, with a disposition toward cancer,” and the prescription is written in Italian (C1583/116). Da Monte reiterates the warning: beware of “all fish, especially those caught in marshes.”⁴¹</w:t>
      </w:r>
    </w:p>
    <w:p w:rsidR="00B742DC" w:rsidRPr="00B742DC" w:rsidRDefault="00B742DC" w:rsidP="00C37351">
      <w:pPr>
        <w:pStyle w:val="NormalWeb"/>
        <w:spacing w:before="0" w:beforeAutospacing="0" w:after="0" w:afterAutospacing="0" w:line="360" w:lineRule="auto"/>
        <w:rPr>
          <w:lang w:val="en-US"/>
        </w:rPr>
      </w:pPr>
      <w:r w:rsidRPr="00B742DC">
        <w:rPr>
          <w:lang w:val="en-US"/>
        </w:rPr>
        <w:t xml:space="preserve">While the affection treated here appears as a predisposition to what was termed “cancer,” other cases of </w:t>
      </w:r>
      <w:r w:rsidRPr="00B742DC">
        <w:rPr>
          <w:rStyle w:val="Accentuation"/>
          <w:lang w:val="en-US"/>
        </w:rPr>
        <w:t>noli me tangere</w:t>
      </w:r>
      <w:r w:rsidRPr="00B742DC">
        <w:rPr>
          <w:lang w:val="en-US"/>
        </w:rPr>
        <w:t xml:space="preserve"> raise lexical problems. Da Monte also prohibits fish in a case of “cancerous abscesses in the nostrils of a German” (C1554/48) and in a similar case of “a nasal polyp tending toward a </w:t>
      </w:r>
      <w:r w:rsidRPr="00B742DC">
        <w:rPr>
          <w:rStyle w:val="Accentuation"/>
          <w:lang w:val="en-US"/>
        </w:rPr>
        <w:t>cancrum</w:t>
      </w:r>
      <w:r w:rsidRPr="00B742DC">
        <w:rPr>
          <w:lang w:val="en-US"/>
        </w:rPr>
        <w:t>” (C1554/49).⁴²</w:t>
      </w:r>
    </w:p>
    <w:p w:rsidR="00B742DC" w:rsidRPr="00B742DC" w:rsidRDefault="00B742DC" w:rsidP="00C37351">
      <w:pPr>
        <w:pStyle w:val="NormalWeb"/>
        <w:spacing w:before="0" w:beforeAutospacing="0" w:after="0" w:afterAutospacing="0" w:line="360" w:lineRule="auto"/>
        <w:rPr>
          <w:lang w:val="en-US"/>
        </w:rPr>
      </w:pPr>
      <w:r w:rsidRPr="00B742DC">
        <w:rPr>
          <w:lang w:val="en-US"/>
        </w:rPr>
        <w:t xml:space="preserve">Might the term </w:t>
      </w:r>
      <w:r w:rsidRPr="00B742DC">
        <w:rPr>
          <w:rStyle w:val="Accentuation"/>
          <w:lang w:val="en-US"/>
        </w:rPr>
        <w:t>cancer</w:t>
      </w:r>
      <w:r w:rsidRPr="00B742DC">
        <w:rPr>
          <w:lang w:val="en-US"/>
        </w:rPr>
        <w:t xml:space="preserve"> in these contexts signify “chancre” rather than “cancer”? And might the same ambiguity apply to </w:t>
      </w:r>
      <w:r w:rsidRPr="00B742DC">
        <w:rPr>
          <w:rStyle w:val="Accentuation"/>
          <w:lang w:val="en-US"/>
        </w:rPr>
        <w:t>cancrosus</w:t>
      </w:r>
      <w:r w:rsidRPr="00B742DC">
        <w:rPr>
          <w:lang w:val="en-US"/>
        </w:rPr>
        <w:t xml:space="preserve">? It may be more relevant to consider usages of </w:t>
      </w:r>
      <w:r w:rsidRPr="00B742DC">
        <w:rPr>
          <w:rStyle w:val="Accentuation"/>
          <w:lang w:val="en-US"/>
        </w:rPr>
        <w:t>cancerosus</w:t>
      </w:r>
      <w:r w:rsidRPr="00B742DC">
        <w:rPr>
          <w:lang w:val="en-US"/>
        </w:rPr>
        <w:t xml:space="preserve">. Thus Giulio Cesare Claudini (c. 1550–1618) employs this term to characterize a </w:t>
      </w:r>
      <w:r w:rsidRPr="00B742DC">
        <w:rPr>
          <w:rStyle w:val="Accentuation"/>
          <w:lang w:val="en-US"/>
        </w:rPr>
        <w:t>squirrhus</w:t>
      </w:r>
      <w:r w:rsidRPr="00B742DC">
        <w:rPr>
          <w:lang w:val="en-US"/>
        </w:rPr>
        <w:t xml:space="preserve"> presenting the features of an “unnatural tumor affecting the gum in the lower right jaw” (C1607/122).⁴³</w:t>
      </w:r>
    </w:p>
    <w:p w:rsidR="00B742DC" w:rsidRPr="00B742DC" w:rsidRDefault="00B742DC" w:rsidP="00C37351">
      <w:pPr>
        <w:pStyle w:val="NormalWeb"/>
        <w:spacing w:before="0" w:beforeAutospacing="0" w:after="0" w:afterAutospacing="0" w:line="360" w:lineRule="auto"/>
        <w:rPr>
          <w:lang w:val="en-US"/>
        </w:rPr>
      </w:pPr>
      <w:r w:rsidRPr="00B742DC">
        <w:rPr>
          <w:lang w:val="en-US"/>
        </w:rPr>
        <w:t xml:space="preserve">Can such lexical choices be linked to broader cultural or scientific developments? Claudini, who received his medical degree in Bologna in 1574 and taught practical medicine there from 1587 onward, worked in a context where the Bolognese </w:t>
      </w:r>
      <w:r w:rsidRPr="00B742DC">
        <w:rPr>
          <w:rStyle w:val="Accentuation"/>
          <w:lang w:val="en-US"/>
        </w:rPr>
        <w:t>Studium</w:t>
      </w:r>
      <w:r w:rsidRPr="00B742DC">
        <w:rPr>
          <w:lang w:val="en-US"/>
        </w:rPr>
        <w:t xml:space="preserve"> had become an advanced center of anatomical research. It had recruited the eminent Gaspare Tagliacozzi (1545–1599), pioneer of plastic surgery. As Paolo Savoia observes, it is striking that Claudini—contemporary, friend, and colleague of Tagliacozzi—wrote about numerous cases of syphilis without ever mentioning his colleague’s surgical procedures for correcting the facial mutilations the disease inevitably caused.⁴⁴</w:t>
      </w:r>
    </w:p>
    <w:p w:rsidR="00B742DC" w:rsidRPr="00B742DC" w:rsidRDefault="00B742DC" w:rsidP="00C37351">
      <w:pPr>
        <w:pStyle w:val="NormalWeb"/>
        <w:spacing w:before="0" w:beforeAutospacing="0" w:after="0" w:afterAutospacing="0" w:line="360" w:lineRule="auto"/>
        <w:rPr>
          <w:lang w:val="en-US"/>
        </w:rPr>
      </w:pPr>
      <w:r w:rsidRPr="00B742DC">
        <w:rPr>
          <w:lang w:val="en-US"/>
        </w:rPr>
        <w:t xml:space="preserve">Another physician who concluded his career in Bologna after having been one of the glories of the University of Padua, Girolamo Mercuriale (1530–1606), likewise used the term </w:t>
      </w:r>
      <w:r w:rsidRPr="00B742DC">
        <w:rPr>
          <w:rStyle w:val="Accentuation"/>
          <w:lang w:val="en-US"/>
        </w:rPr>
        <w:t>cancerosus</w:t>
      </w:r>
      <w:r w:rsidRPr="00B742DC">
        <w:rPr>
          <w:lang w:val="en-US"/>
        </w:rPr>
        <w:t xml:space="preserve"> to describe uterine ulcers afflicting a noblewoman from Reggio (C1620/II, 84).⁴⁵ Early in his career, Mercuriale had been closely associated with the celebrated Falloppio, his “favorite mentor” at Padua, whose lectures in surgery and anatomy he had attended.⁴⁶ Between 1587 and 1604 he published several volumes of medical responses and consultations.</w:t>
      </w:r>
    </w:p>
    <w:p w:rsidR="00B742DC" w:rsidRPr="00B742DC" w:rsidRDefault="00B742DC" w:rsidP="00C37351">
      <w:pPr>
        <w:pStyle w:val="NormalWeb"/>
        <w:spacing w:before="0" w:beforeAutospacing="0" w:after="0" w:afterAutospacing="0" w:line="360" w:lineRule="auto"/>
        <w:rPr>
          <w:lang w:val="en-US"/>
        </w:rPr>
      </w:pPr>
      <w:r w:rsidRPr="00B742DC">
        <w:rPr>
          <w:lang w:val="en-US"/>
        </w:rPr>
        <w:t>One of these concerns a case of breast cancer affecting a Spanish lady (C1620/59). The prescription advises her to consume “fish that are born between the seashore and the rocks, especially if prepared in a certain way, that is, cooked without salt and not fried in a pan; for nothing harms all kinds of cancers as much as salty, pungent, and sweet foods, since they are rapidly consumed in the ever-heated body and greatly increase the internal burning.”⁴⁷</w:t>
      </w:r>
    </w:p>
    <w:p w:rsidR="00B742DC" w:rsidRPr="00B742DC" w:rsidRDefault="00B742DC" w:rsidP="00C37351">
      <w:pPr>
        <w:pStyle w:val="NormalWeb"/>
        <w:spacing w:before="0" w:beforeAutospacing="0" w:after="0" w:afterAutospacing="0" w:line="360" w:lineRule="auto"/>
        <w:rPr>
          <w:lang w:val="en-US"/>
        </w:rPr>
      </w:pPr>
      <w:r w:rsidRPr="00B742DC">
        <w:rPr>
          <w:lang w:val="en-US"/>
        </w:rPr>
        <w:t xml:space="preserve">It is noteworthy, however, that Mercuriale does not prescribe any dietary regimen for other female patients complaining of a </w:t>
      </w:r>
      <w:r w:rsidRPr="00B742DC">
        <w:rPr>
          <w:rStyle w:val="Accentuation"/>
          <w:lang w:val="en-US"/>
        </w:rPr>
        <w:t>squirrhus</w:t>
      </w:r>
      <w:r w:rsidRPr="00B742DC">
        <w:rPr>
          <w:lang w:val="en-US"/>
        </w:rPr>
        <w:t xml:space="preserve"> of the breast or a uterine tumor (C1620/I, 50, 59). Belonging to a later generation than Da Monte, had he become skeptical about dietary prescriptions in the face of such grave diseases? Influenced by the anatomical revolution of Vesalius and by Falloppio, was he less inclined to focus on treatments for afflictions that would remain beyond contemporary understanding for a long time?</w:t>
      </w:r>
    </w:p>
    <w:p w:rsidR="00B742DC" w:rsidRPr="00B742DC" w:rsidRDefault="00B742DC" w:rsidP="00C37351">
      <w:pPr>
        <w:pStyle w:val="NormalWeb"/>
        <w:spacing w:before="0" w:beforeAutospacing="0" w:after="0" w:afterAutospacing="0" w:line="360" w:lineRule="auto"/>
        <w:rPr>
          <w:lang w:val="en-US"/>
        </w:rPr>
      </w:pPr>
      <w:r w:rsidRPr="00B742DC">
        <w:rPr>
          <w:lang w:val="en-US"/>
        </w:rPr>
        <w:t xml:space="preserve">Even when an author such as Johannes Crato von Krafftheim (1519–1585) discusses a doubtful affection, he writes in his </w:t>
      </w:r>
      <w:r w:rsidRPr="00B742DC">
        <w:rPr>
          <w:rStyle w:val="Accentuation"/>
          <w:lang w:val="en-US"/>
        </w:rPr>
        <w:t>Consilia and Medical Letters</w:t>
      </w:r>
      <w:r w:rsidRPr="00B742DC">
        <w:rPr>
          <w:lang w:val="en-US"/>
        </w:rPr>
        <w:t xml:space="preserve">: </w:t>
      </w:r>
      <w:r w:rsidRPr="00B742DC">
        <w:rPr>
          <w:rStyle w:val="Accentuation"/>
          <w:lang w:val="en-US"/>
        </w:rPr>
        <w:t>suspicor ne cancerosum quiddam contrahat</w:t>
      </w:r>
      <w:r w:rsidRPr="00B742DC">
        <w:rPr>
          <w:lang w:val="en-US"/>
        </w:rPr>
        <w:t>—“I suspect that the patient has contracted something cancerous.”⁴⁸</w:t>
      </w:r>
    </w:p>
    <w:p w:rsidR="00B742DC" w:rsidRDefault="00B742DC" w:rsidP="00C37351">
      <w:pPr>
        <w:pStyle w:val="NormalWeb"/>
        <w:spacing w:before="0" w:beforeAutospacing="0" w:after="0" w:afterAutospacing="0" w:line="360" w:lineRule="auto"/>
        <w:rPr>
          <w:lang w:val="en-US"/>
        </w:rPr>
      </w:pPr>
      <w:r w:rsidRPr="00B742DC">
        <w:rPr>
          <w:lang w:val="en-US"/>
        </w:rPr>
        <w:t xml:space="preserve">Another Paduan physician, who likely studied under Mercuriale, prescribed dietary regimens for patients suffering from tumors of the breast, uterus, and other organs. Cristoforo Guarinone (1540–1610), whose reputation brought him to the court of Emperor Rudolf II in Prague,⁴⁹ treated the wife of Dr. Todesch for breast cancer and ordered a </w:t>
      </w:r>
      <w:r w:rsidRPr="00B742DC">
        <w:rPr>
          <w:rStyle w:val="Accentuation"/>
          <w:lang w:val="en-US"/>
        </w:rPr>
        <w:t>victus ratio</w:t>
      </w:r>
      <w:r w:rsidRPr="00B742DC">
        <w:rPr>
          <w:lang w:val="en-US"/>
        </w:rPr>
        <w:t xml:space="preserve"> excluding all “aquatic flesh” (C1610/513).⁵⁰</w:t>
      </w:r>
    </w:p>
    <w:p w:rsidR="00066ECC" w:rsidRPr="00066ECC" w:rsidRDefault="00066ECC" w:rsidP="00C37351">
      <w:pPr>
        <w:pStyle w:val="Titre1"/>
        <w:spacing w:before="0" w:beforeAutospacing="0" w:after="0" w:afterAutospacing="0" w:line="360" w:lineRule="auto"/>
        <w:rPr>
          <w:lang w:val="en-US"/>
        </w:rPr>
      </w:pPr>
      <w:r w:rsidRPr="00066ECC">
        <w:rPr>
          <w:lang w:val="en-US"/>
        </w:rPr>
        <w:t>4. FISH IN THE DIETETICS OF THE PADUAN PHYSICIANS</w:t>
      </w:r>
    </w:p>
    <w:p w:rsidR="00066ECC" w:rsidRPr="00066ECC" w:rsidRDefault="00066ECC" w:rsidP="00C37351">
      <w:pPr>
        <w:pStyle w:val="NormalWeb"/>
        <w:spacing w:before="0" w:beforeAutospacing="0" w:after="0" w:afterAutospacing="0" w:line="360" w:lineRule="auto"/>
        <w:rPr>
          <w:lang w:val="en-US"/>
        </w:rPr>
      </w:pPr>
      <w:r w:rsidRPr="00066ECC">
        <w:rPr>
          <w:lang w:val="en-US"/>
        </w:rPr>
        <w:t>We must now ask whether anti-cancer regimens differed from those prescribed by Paduan physicians for other diseases.</w:t>
      </w:r>
    </w:p>
    <w:p w:rsidR="00066ECC" w:rsidRPr="00066ECC" w:rsidRDefault="00066ECC" w:rsidP="00C37351">
      <w:pPr>
        <w:pStyle w:val="NormalWeb"/>
        <w:spacing w:before="0" w:beforeAutospacing="0" w:after="0" w:afterAutospacing="0" w:line="360" w:lineRule="auto"/>
        <w:rPr>
          <w:lang w:val="en-US"/>
        </w:rPr>
      </w:pPr>
      <w:r w:rsidRPr="00066ECC">
        <w:rPr>
          <w:lang w:val="en-US"/>
        </w:rPr>
        <w:t>It is well known that diseases were traditionally classified according to the organ affected, proceeding “from head to foot” (</w:t>
      </w:r>
      <w:r w:rsidRPr="00066ECC">
        <w:rPr>
          <w:rStyle w:val="Accentuation"/>
          <w:lang w:val="en-US"/>
        </w:rPr>
        <w:t>a capite ad calcem</w:t>
      </w:r>
      <w:r w:rsidRPr="00066ECC">
        <w:rPr>
          <w:lang w:val="en-US"/>
        </w:rPr>
        <w:t>). Johannes Lange, for example, rapidly enumerates “diseases of the brain,” beginning with apoplexy and epilepsy, conditions frequently associated or compared in early modern medical discourse.⁵¹ Da Monte accordingly excludes fish in a case concerning Duke William IV of Bavaria, who was threatened with apoplexy (C1554/2). Another German patient suffering from epilepsy is instructed to avoid “all kinds of fish, but especially those from marshes, as well as eels and those commonly called tench” (C1554/3).⁵²</w:t>
      </w:r>
    </w:p>
    <w:p w:rsidR="00066ECC" w:rsidRPr="00066ECC" w:rsidRDefault="00066ECC" w:rsidP="00C37351">
      <w:pPr>
        <w:pStyle w:val="NormalWeb"/>
        <w:spacing w:before="0" w:beforeAutospacing="0" w:after="0" w:afterAutospacing="0" w:line="360" w:lineRule="auto"/>
        <w:rPr>
          <w:lang w:val="en-US"/>
        </w:rPr>
      </w:pPr>
      <w:r w:rsidRPr="00066ECC">
        <w:rPr>
          <w:lang w:val="en-US"/>
        </w:rPr>
        <w:t xml:space="preserve">According to Albala, the eel occupied a primary place among fish considered scarcely edible because of their “viscous, oily, and phlegm-producing” character.⁵³ He associates the eel with other species such as squid and lumpfish, whose skin resembles a gelatinous substance. The </w:t>
      </w:r>
      <w:r w:rsidRPr="00066ECC">
        <w:rPr>
          <w:rStyle w:val="Accentuation"/>
          <w:lang w:val="en-US"/>
        </w:rPr>
        <w:t>Traité des poissons</w:t>
      </w:r>
      <w:r w:rsidRPr="00066ECC">
        <w:rPr>
          <w:lang w:val="en-US"/>
        </w:rPr>
        <w:t xml:space="preserve">, one of the eight treatises composing the late fifteenth-century </w:t>
      </w:r>
      <w:r w:rsidRPr="00066ECC">
        <w:rPr>
          <w:rStyle w:val="Accentuation"/>
          <w:lang w:val="en-US"/>
        </w:rPr>
        <w:t>Jardin de santé</w:t>
      </w:r>
      <w:r w:rsidRPr="00066ECC">
        <w:rPr>
          <w:lang w:val="en-US"/>
        </w:rPr>
        <w:t>, recalls that Isidore of Seville regarded the eel as generated from mud and notes that it is so slippery that it escapes one’s fingers as soon as it is firmly grasped.⁵⁴</w:t>
      </w:r>
    </w:p>
    <w:p w:rsidR="00066ECC" w:rsidRPr="00066ECC" w:rsidRDefault="00066ECC" w:rsidP="00C37351">
      <w:pPr>
        <w:pStyle w:val="NormalWeb"/>
        <w:spacing w:before="0" w:beforeAutospacing="0" w:after="0" w:afterAutospacing="0" w:line="360" w:lineRule="auto"/>
        <w:rPr>
          <w:lang w:val="en-US"/>
        </w:rPr>
      </w:pPr>
      <w:r w:rsidRPr="00066ECC">
        <w:rPr>
          <w:lang w:val="en-US"/>
        </w:rPr>
        <w:t xml:space="preserve">As for the tench, the </w:t>
      </w:r>
      <w:r w:rsidRPr="00066ECC">
        <w:rPr>
          <w:rStyle w:val="Accentuation"/>
          <w:lang w:val="en-US"/>
        </w:rPr>
        <w:t>Jardin de santé</w:t>
      </w:r>
      <w:r w:rsidRPr="00066ECC">
        <w:rPr>
          <w:lang w:val="en-US"/>
        </w:rPr>
        <w:t xml:space="preserve"> likewise describes it as nourished in mud like the eel, from which it derives its muddy yellow color. Fish from marshes and muddy waters are also prohibited by Da Monte in cases of hemoptysis—that is, spitting of blood (C1554/52).</w:t>
      </w:r>
    </w:p>
    <w:p w:rsidR="00066ECC" w:rsidRPr="00066ECC" w:rsidRDefault="00066ECC" w:rsidP="00C37351">
      <w:pPr>
        <w:pStyle w:val="NormalWeb"/>
        <w:spacing w:before="0" w:beforeAutospacing="0" w:after="0" w:afterAutospacing="0" w:line="360" w:lineRule="auto"/>
        <w:rPr>
          <w:lang w:val="en-US"/>
        </w:rPr>
      </w:pPr>
      <w:r w:rsidRPr="00066ECC">
        <w:rPr>
          <w:lang w:val="en-US"/>
        </w:rPr>
        <w:t xml:space="preserve">Yet the physician may hesitate when confronted with an inflammation arising from </w:t>
      </w:r>
      <w:r w:rsidRPr="00066ECC">
        <w:rPr>
          <w:rStyle w:val="Accentuation"/>
          <w:lang w:val="en-US"/>
        </w:rPr>
        <w:t>pituite</w:t>
      </w:r>
      <w:r w:rsidRPr="00066ECC">
        <w:rPr>
          <w:lang w:val="en-US"/>
        </w:rPr>
        <w:t xml:space="preserve">, originating in the head (C1554/95). It is not without reason that we still speak today of a “head cold.” The patient, described as a “magnificent Venetian,” apparently suffers from arthritis affecting the knees. “I do not know,” writes Da Monte, “which fish would be suitable, since nearly all are caught near this magnificent city. I would favor the </w:t>
      </w:r>
      <w:r w:rsidRPr="00066ECC">
        <w:rPr>
          <w:rStyle w:val="Accentuation"/>
          <w:lang w:val="en-US"/>
        </w:rPr>
        <w:t>lucius</w:t>
      </w:r>
      <w:r w:rsidRPr="00066ECC">
        <w:rPr>
          <w:lang w:val="en-US"/>
        </w:rPr>
        <w:t xml:space="preserve">; I might even praise the Istrian sea bream and the </w:t>
      </w:r>
      <w:r w:rsidRPr="00066ECC">
        <w:rPr>
          <w:rStyle w:val="Accentuation"/>
          <w:lang w:val="en-US"/>
        </w:rPr>
        <w:t>mulli barbatae</w:t>
      </w:r>
      <w:r w:rsidRPr="00066ECC">
        <w:rPr>
          <w:lang w:val="en-US"/>
        </w:rPr>
        <w:t>, that is, the barbels.”⁵⁵</w:t>
      </w:r>
    </w:p>
    <w:p w:rsidR="00066ECC" w:rsidRPr="00066ECC" w:rsidRDefault="00066ECC" w:rsidP="00C37351">
      <w:pPr>
        <w:pStyle w:val="NormalWeb"/>
        <w:spacing w:before="0" w:beforeAutospacing="0" w:after="0" w:afterAutospacing="0" w:line="360" w:lineRule="auto"/>
        <w:rPr>
          <w:lang w:val="en-US"/>
        </w:rPr>
      </w:pPr>
      <w:r w:rsidRPr="00066ECC">
        <w:rPr>
          <w:lang w:val="en-US"/>
        </w:rPr>
        <w:t xml:space="preserve">Ruel’s </w:t>
      </w:r>
      <w:r w:rsidRPr="00066ECC">
        <w:rPr>
          <w:rStyle w:val="Accentuation"/>
          <w:lang w:val="en-US"/>
        </w:rPr>
        <w:t>Abrégé</w:t>
      </w:r>
      <w:r w:rsidRPr="00066ECC">
        <w:rPr>
          <w:lang w:val="en-US"/>
        </w:rPr>
        <w:t xml:space="preserve"> translates </w:t>
      </w:r>
      <w:r w:rsidRPr="00066ECC">
        <w:rPr>
          <w:rStyle w:val="Accentuation"/>
          <w:lang w:val="en-US"/>
        </w:rPr>
        <w:t>lucius</w:t>
      </w:r>
      <w:r w:rsidRPr="00066ECC">
        <w:rPr>
          <w:lang w:val="en-US"/>
        </w:rPr>
        <w:t xml:space="preserve"> as “pike,” and we have seen how Galen considered certain open-sea species superior in taste. The </w:t>
      </w:r>
      <w:r w:rsidRPr="00066ECC">
        <w:rPr>
          <w:rStyle w:val="Accentuation"/>
          <w:lang w:val="en-US"/>
        </w:rPr>
        <w:t>Jardin de santé</w:t>
      </w:r>
      <w:r w:rsidRPr="00066ECC">
        <w:rPr>
          <w:lang w:val="en-US"/>
        </w:rPr>
        <w:t xml:space="preserve"> notes that although the pike feeds on toxic animals such as toads, it is reputed to provide good nourishment for the sick.⁵⁶ Nevertheless, in another consultation concerning a tumor of the knees, Da Monte remains categorical: “In my judgment, avoid fish, especially those from Venice” (C1554/96).⁵⁷</w:t>
      </w:r>
    </w:p>
    <w:p w:rsidR="00066ECC" w:rsidRPr="00066ECC" w:rsidRDefault="00066ECC" w:rsidP="00C37351">
      <w:pPr>
        <w:pStyle w:val="NormalWeb"/>
        <w:spacing w:before="0" w:beforeAutospacing="0" w:after="0" w:afterAutospacing="0" w:line="360" w:lineRule="auto"/>
        <w:rPr>
          <w:lang w:val="en-US"/>
        </w:rPr>
      </w:pPr>
      <w:r w:rsidRPr="00066ECC">
        <w:rPr>
          <w:lang w:val="en-US"/>
        </w:rPr>
        <w:t>The same general recommendation appears in a case of headache accompanied by ringing in the ears (C1554/26). Alongside disorders of hearing, afflictions of the eyes particularly required a fish-free diet. In a case of cataract, Da Monte excludes “all fish caught in Venice, as particularly harmful” (C1583/100). Mercuriale offers similar advice for “a severe case of catarrh producing eye infections and distorted visual images” (C1620/I, 45).⁵⁸</w:t>
      </w:r>
    </w:p>
    <w:p w:rsidR="00066ECC" w:rsidRPr="00066ECC" w:rsidRDefault="00066ECC" w:rsidP="00C37351">
      <w:pPr>
        <w:pStyle w:val="NormalWeb"/>
        <w:spacing w:before="0" w:beforeAutospacing="0" w:after="0" w:afterAutospacing="0" w:line="360" w:lineRule="auto"/>
        <w:rPr>
          <w:lang w:val="en-US"/>
        </w:rPr>
      </w:pPr>
      <w:r w:rsidRPr="00066ECC">
        <w:rPr>
          <w:lang w:val="en-US"/>
        </w:rPr>
        <w:t xml:space="preserve">Mercuriale notes that the prohibition likely derives from Avicenna, according to whom fish from ponds and marshes cause blindness, whereas those living among rocks and in the open sea do not—just as birds of prey, endowed with an “eagle’s eye,” were believed to possess flesh beneficial for ocular ailments. The idea may have earlier origins, since Galen, in </w:t>
      </w:r>
      <w:r w:rsidRPr="00066ECC">
        <w:rPr>
          <w:rStyle w:val="Accentuation"/>
          <w:lang w:val="en-US"/>
        </w:rPr>
        <w:t>On the Causes of Diseases</w:t>
      </w:r>
      <w:r w:rsidRPr="00066ECC">
        <w:rPr>
          <w:lang w:val="en-US"/>
        </w:rPr>
        <w:t>, writes that certain organs are damaged by excessive oily moisture or viscous humors, or by dust and smoke. An excess of roughening agents thus produces ulceration or degradation of tissue, particularly of the cornea.</w:t>
      </w:r>
    </w:p>
    <w:p w:rsidR="00066ECC" w:rsidRPr="00066ECC" w:rsidRDefault="00066ECC" w:rsidP="00C37351">
      <w:pPr>
        <w:pStyle w:val="NormalWeb"/>
        <w:spacing w:before="0" w:beforeAutospacing="0" w:after="0" w:afterAutospacing="0" w:line="360" w:lineRule="auto"/>
        <w:rPr>
          <w:lang w:val="en-US"/>
        </w:rPr>
      </w:pPr>
      <w:r w:rsidRPr="00066ECC">
        <w:rPr>
          <w:lang w:val="en-US"/>
        </w:rPr>
        <w:t>Headaches, fevers, and hemoptysis afflict a patient of Vittore Trincavelli, who likewise prohibits fish (C1586/6).⁵⁹ Yet this noblewoman from Verona suffers from another disorder affecting the lower parts of the body: a significant “discharge of white menses.” Fish is similarly absent from the diet of a Veronese matron treated by Da Monte for “weakness of the stomach accompanied by a flux of white menses” (C1554/75).⁶⁰</w:t>
      </w:r>
    </w:p>
    <w:p w:rsidR="00066ECC" w:rsidRPr="00066ECC" w:rsidRDefault="00066ECC" w:rsidP="00C37351">
      <w:pPr>
        <w:pStyle w:val="NormalWeb"/>
        <w:spacing w:before="0" w:beforeAutospacing="0" w:after="0" w:afterAutospacing="0" w:line="360" w:lineRule="auto"/>
        <w:rPr>
          <w:lang w:val="en-US"/>
        </w:rPr>
      </w:pPr>
      <w:r w:rsidRPr="00066ECC">
        <w:rPr>
          <w:lang w:val="en-US"/>
        </w:rPr>
        <w:t>Such genital afflictions, however, were not confined to women. Da Monte prescribes the same dietary restrictions for a man who had endured for ten years a troublesome “discharge of white matter from the penis” (C1554/90).⁶¹</w:t>
      </w:r>
    </w:p>
    <w:p w:rsidR="00066ECC" w:rsidRPr="00066ECC" w:rsidRDefault="00066ECC" w:rsidP="00C37351">
      <w:pPr>
        <w:pStyle w:val="NormalWeb"/>
        <w:spacing w:before="0" w:beforeAutospacing="0" w:after="0" w:afterAutospacing="0" w:line="360" w:lineRule="auto"/>
        <w:rPr>
          <w:lang w:val="en-US"/>
        </w:rPr>
      </w:pPr>
      <w:r w:rsidRPr="00066ECC">
        <w:rPr>
          <w:lang w:val="en-US"/>
        </w:rPr>
        <w:t>It should be noted that this patient belonged to the illustrious Contarini family of Venice, which produced doges, cardinals, and other dignitaries. Social status did not prevent physicians from naming patients suffering from highly private disorders. When Da Monte treated the cardinal, writer, and humanist Pietro Bembo (1470–1547) for kidney and gallbladder stones, he did not hesitate to identify him explicitly (C1554/80). The eminent physician does not forego an opportunity to enhance his prestige in the competition for honor or on the medical marketplace. Yet the true physician likewise does not hesitate to deprive a patient of a much-appreciated delicacy. Mercuriale forbids oysters to all those suffering from kidney disorders (C1620/I, 105; II, 3, 15, 21, 31; III, 22, etc.).</w:t>
      </w:r>
    </w:p>
    <w:p w:rsidR="00066ECC" w:rsidRDefault="00066ECC" w:rsidP="00C37351">
      <w:pPr>
        <w:pStyle w:val="NormalWeb"/>
        <w:spacing w:before="0" w:beforeAutospacing="0" w:after="0" w:afterAutospacing="0" w:line="360" w:lineRule="auto"/>
        <w:rPr>
          <w:lang w:val="en-US"/>
        </w:rPr>
      </w:pPr>
      <w:r w:rsidRPr="00066ECC">
        <w:rPr>
          <w:lang w:val="en-US"/>
        </w:rPr>
        <w:t xml:space="preserve">Whoever wishes to live long in good health should banish from the table any fish that is not </w:t>
      </w:r>
      <w:r w:rsidRPr="00066ECC">
        <w:rPr>
          <w:rStyle w:val="Accentuation"/>
          <w:lang w:val="en-US"/>
        </w:rPr>
        <w:t>saxatile</w:t>
      </w:r>
      <w:r w:rsidRPr="00066ECC">
        <w:rPr>
          <w:lang w:val="en-US"/>
        </w:rPr>
        <w:t xml:space="preserve">. Tommaso Giannotti Rangoni (1493–1577) adhered to this advice. He was the author of a best-seller, </w:t>
      </w:r>
      <w:r w:rsidRPr="00066ECC">
        <w:rPr>
          <w:rStyle w:val="Accentuation"/>
          <w:lang w:val="en-US"/>
        </w:rPr>
        <w:t>De vita hominis ultra cxx annos protrahenda</w:t>
      </w:r>
      <w:r w:rsidRPr="00066ECC">
        <w:rPr>
          <w:lang w:val="en-US"/>
        </w:rPr>
        <w:t xml:space="preserve"> (“On Prolonging Human Life Beyond 120 Years”).⁶²</w:t>
      </w:r>
    </w:p>
    <w:p w:rsidR="00066ECC" w:rsidRPr="00066ECC" w:rsidRDefault="00066ECC" w:rsidP="00C37351">
      <w:pPr>
        <w:pStyle w:val="Titre1"/>
        <w:spacing w:before="0" w:beforeAutospacing="0" w:after="0" w:afterAutospacing="0" w:line="360" w:lineRule="auto"/>
        <w:rPr>
          <w:lang w:val="en-US"/>
        </w:rPr>
      </w:pPr>
      <w:r w:rsidRPr="00066ECC">
        <w:rPr>
          <w:lang w:val="en-US"/>
        </w:rPr>
        <w:t>5. CONCLUSION</w:t>
      </w:r>
    </w:p>
    <w:p w:rsidR="00066ECC" w:rsidRPr="00066ECC" w:rsidRDefault="00066ECC" w:rsidP="00C37351">
      <w:pPr>
        <w:pStyle w:val="NormalWeb"/>
        <w:spacing w:before="0" w:beforeAutospacing="0" w:after="0" w:afterAutospacing="0" w:line="360" w:lineRule="auto"/>
        <w:rPr>
          <w:lang w:val="en-US"/>
        </w:rPr>
      </w:pPr>
      <w:r w:rsidRPr="00066ECC">
        <w:rPr>
          <w:lang w:val="en-US"/>
        </w:rPr>
        <w:t>We have followed the virtually uninterrupted tradition which, beginning with Galen, developed the various aspects of the poor reputation of fish as a food associated with illness. We have seen in particular how this tradition was transmitted through medieval Arabic medicine, which reinforced the image of fish as a “viscous” food for students who, up to the Renaissance, relied heavily on the writings of Avicenna and Rhasis. It is significant, for example, that Mercuriale in the sixteenth century invokes Avicenna in the context of ocular diseases supposedly caused by such consumption.</w:t>
      </w:r>
    </w:p>
    <w:p w:rsidR="00066ECC" w:rsidRPr="00066ECC" w:rsidRDefault="00066ECC" w:rsidP="00C37351">
      <w:pPr>
        <w:pStyle w:val="NormalWeb"/>
        <w:spacing w:before="0" w:beforeAutospacing="0" w:after="0" w:afterAutospacing="0" w:line="360" w:lineRule="auto"/>
        <w:rPr>
          <w:lang w:val="en-US"/>
        </w:rPr>
      </w:pPr>
      <w:r w:rsidRPr="00066ECC">
        <w:rPr>
          <w:lang w:val="en-US"/>
        </w:rPr>
        <w:t>What was understood at the Renaissance by the term “cancer”—whose meaning was being reconsidered, especially from a lexical perspective—formed part of a broader dietetic framework in which fish was evaluated in relation to other foods and other diseases. This general dietetic system has been outlined here only briefly; it is examined in greater detail—although the question remains largely open—in a small volume published in 2021.</w:t>
      </w:r>
    </w:p>
    <w:p w:rsidR="00066ECC" w:rsidRPr="00066ECC" w:rsidRDefault="00066ECC" w:rsidP="00C37351">
      <w:pPr>
        <w:pStyle w:val="NormalWeb"/>
        <w:spacing w:before="0" w:beforeAutospacing="0" w:after="0" w:afterAutospacing="0" w:line="360" w:lineRule="auto"/>
        <w:rPr>
          <w:lang w:val="en-US"/>
        </w:rPr>
      </w:pPr>
      <w:r w:rsidRPr="00066ECC">
        <w:rPr>
          <w:lang w:val="en-US"/>
        </w:rPr>
        <w:t>The relationship between fish and meat fits within Galen’s broader conception of foods derived from animals inhabiting extreme environments, whether very high or very low. Hence the preference for fish of the open sea, in contrast to those from rivers or marshes, within a clearly ecological perspective; likewise the valorization of mountain birds as opposed to those living in marshes, ponds, or muddy environments, such as ducks and geese.</w:t>
      </w:r>
    </w:p>
    <w:p w:rsidR="00066ECC" w:rsidRPr="00066ECC" w:rsidRDefault="00066ECC" w:rsidP="00C37351">
      <w:pPr>
        <w:pStyle w:val="NormalWeb"/>
        <w:spacing w:before="0" w:beforeAutospacing="0" w:after="0" w:afterAutospacing="0" w:line="360" w:lineRule="auto"/>
        <w:rPr>
          <w:lang w:val="en-US"/>
        </w:rPr>
      </w:pPr>
      <w:r w:rsidRPr="00066ECC">
        <w:rPr>
          <w:lang w:val="en-US"/>
        </w:rPr>
        <w:t xml:space="preserve">The comparison between the dietetics of cancer and those prescribed for other diseases first highlights afflictions that still resonate today, such as apoplexy (in the case of Duke William IV of Bavaria), epilepsy (with the exclusion of eels and tench), and kidney or gallbladder stones (as in the celebrated case of Pietro Bembo). We have also considered disorders of health—especially of humoral balance—that occupied a central place in the general history of medicine. Disturbances and cessations of menstruation, for example, were regarded both as symptoms and as causes of disease and held a prominent place in academic treatises and medical consultations from the time of Hippocrates onward. The interruption of menstrual flow was frequently seen as a potential precursor to the development of cancer. Another patient advised to avoid fish suffered from a </w:t>
      </w:r>
      <w:r w:rsidRPr="00066ECC">
        <w:rPr>
          <w:rStyle w:val="Accentuation"/>
          <w:lang w:val="en-US"/>
        </w:rPr>
        <w:t>squirrhus</w:t>
      </w:r>
      <w:r w:rsidRPr="00066ECC">
        <w:rPr>
          <w:lang w:val="en-US"/>
        </w:rPr>
        <w:t xml:space="preserve"> of the liver presenting the danger of evolving into another dreaded early modern condition: dropsy.</w:t>
      </w:r>
    </w:p>
    <w:p w:rsidR="00066ECC" w:rsidRPr="00066ECC" w:rsidRDefault="00066ECC" w:rsidP="00C37351">
      <w:pPr>
        <w:pStyle w:val="NormalWeb"/>
        <w:spacing w:before="0" w:beforeAutospacing="0" w:after="0" w:afterAutospacing="0" w:line="360" w:lineRule="auto"/>
        <w:rPr>
          <w:lang w:val="en-US"/>
        </w:rPr>
      </w:pPr>
      <w:r w:rsidRPr="00066ECC">
        <w:rPr>
          <w:lang w:val="en-US"/>
        </w:rPr>
        <w:t xml:space="preserve">Extending the inquiry into general dietetics would also require a geographical and cultural perspective, examining the extent to which the exclusion of fish applied not only to the Mediterranean prescriptions considered here but also to those of northern Europe, in accordance with dominant dietary regimes. Thus, to take a British example, Peter Lowe (c. 1550–1610), founder of the Royal College of Physicians and Surgeons of Glasgow, in his </w:t>
      </w:r>
      <w:r w:rsidRPr="00066ECC">
        <w:rPr>
          <w:rStyle w:val="Accentuation"/>
          <w:lang w:val="en-US"/>
        </w:rPr>
        <w:t>Discourse of the Whole Art of Chirurgery</w:t>
      </w:r>
      <w:r w:rsidRPr="00066ECC">
        <w:rPr>
          <w:lang w:val="en-US"/>
        </w:rPr>
        <w:t xml:space="preserve"> (1612), likewise rejects fish in cases of edema—that is, a “tumor arising from a phlegmatic humor,” “light, painless, and white.” The list of “all things that nourish phlegmon” closely reproduces that commonly found in Italian consultations: fruits, broths or lentils, cheese, herbs, aquatic birds, sadness. Equally significant is the list of plants and vegetables that may accompany “cooling, drying, and pain-relieving medicines”: henbane, plantain, lettuce, endive, sorrel, and others.</w:t>
      </w:r>
    </w:p>
    <w:p w:rsidR="00066ECC" w:rsidRPr="00066ECC" w:rsidRDefault="00066ECC" w:rsidP="00C37351">
      <w:pPr>
        <w:pStyle w:val="NormalWeb"/>
        <w:spacing w:before="0" w:beforeAutospacing="0" w:after="0" w:afterAutospacing="0" w:line="360" w:lineRule="auto"/>
        <w:rPr>
          <w:lang w:val="en-US"/>
        </w:rPr>
      </w:pPr>
      <w:r w:rsidRPr="00066ECC">
        <w:rPr>
          <w:lang w:val="en-US"/>
        </w:rPr>
        <w:t xml:space="preserve">A similar pattern appears in the German sphere. Reiner Solenander (1524–1601), who had studied at Louvain, Bologna, Pisa, Rome, and Naples and later served as physician to the Duke of Jülich, treated a lady from Leiden suffering from elephantiasis. As we have seen, Galen associated this disease with cancer in the </w:t>
      </w:r>
      <w:r w:rsidRPr="00066ECC">
        <w:rPr>
          <w:rStyle w:val="Accentuation"/>
          <w:lang w:val="en-US"/>
        </w:rPr>
        <w:t>Method to Glaucon</w:t>
      </w:r>
      <w:r w:rsidRPr="00066ECC">
        <w:rPr>
          <w:lang w:val="en-US"/>
        </w:rPr>
        <w:t>, and the same dietary regimen applied to both. Solenander excludes “fish with a gluey flesh, living in lakes, and those caught in rivers near towns.” Here one recognizes Galen’s ecological critique of mullets from lakes, rivers, or urban drains “that carry away the contents of latrines.”</w:t>
      </w:r>
    </w:p>
    <w:p w:rsidR="00066ECC" w:rsidRPr="00066ECC" w:rsidRDefault="00066ECC" w:rsidP="00C37351">
      <w:pPr>
        <w:pStyle w:val="NormalWeb"/>
        <w:spacing w:before="0" w:beforeAutospacing="0" w:after="0" w:afterAutospacing="0" w:line="360" w:lineRule="auto"/>
        <w:rPr>
          <w:lang w:val="en-US"/>
        </w:rPr>
      </w:pPr>
      <w:r w:rsidRPr="00066ECC">
        <w:rPr>
          <w:lang w:val="en-US"/>
        </w:rPr>
        <w:t xml:space="preserve">“I shall write little,” Solenander remarks regarding the treatment of elephantiasis, “about the </w:t>
      </w:r>
      <w:r w:rsidRPr="00066ECC">
        <w:rPr>
          <w:rStyle w:val="Accentuation"/>
          <w:lang w:val="en-US"/>
        </w:rPr>
        <w:t>victus ratio</w:t>
      </w:r>
      <w:r w:rsidRPr="00066ECC">
        <w:rPr>
          <w:lang w:val="en-US"/>
        </w:rPr>
        <w:t>, which is well known even to laymen.” One should abstain from any food that produces a melancholic humor, that is, foods that are viscous, deceptive, acrid, or fatty. Among these are “the meats of large animals, especially those that are salted or preserved by smoking, such as beef and, to a lesser degree, pork, hare, and goat,” and so forth. This recommendation closely mirrors one of Da Monte’s prescriptions discussed above. There is no need to dwell on the condemnation of “all legumes, especially lentils and beans,” or of cabbage “among herbs, almost always.” The unfavorable reputation attached to arugula, horseradish, mushrooms, and garlic likewise circulates in numerous writings from Galen onward: the reputed “virtues” of arugula, known even to Voltaire as a powerful aphrodisiac, were counterbalanced in Roman menus by lettuce, valued for its cooling effects.</w:t>
      </w:r>
    </w:p>
    <w:p w:rsidR="00066ECC" w:rsidRPr="00066ECC" w:rsidRDefault="00066ECC" w:rsidP="00C37351">
      <w:pPr>
        <w:pStyle w:val="NormalWeb"/>
        <w:spacing w:before="0" w:beforeAutospacing="0" w:after="0" w:afterAutospacing="0" w:line="360" w:lineRule="auto"/>
        <w:rPr>
          <w:lang w:val="en-US"/>
        </w:rPr>
      </w:pPr>
      <w:r w:rsidRPr="00066ECC">
        <w:rPr>
          <w:lang w:val="en-US"/>
        </w:rPr>
        <w:t xml:space="preserve">The relationships between food and disease invite further investigation in economic, sociological, and art-historical directions. In a chapter of </w:t>
      </w:r>
      <w:r w:rsidRPr="00066ECC">
        <w:rPr>
          <w:rStyle w:val="Accentuation"/>
          <w:lang w:val="en-US"/>
        </w:rPr>
        <w:t>Food and Health in Early Modern Europe</w:t>
      </w:r>
      <w:r w:rsidRPr="00066ECC">
        <w:rPr>
          <w:lang w:val="en-US"/>
        </w:rPr>
        <w:t xml:space="preserve"> entitled “Rich Food, Poor Food,” David Gentilcore offers original insights into the choices made, in times of illness, among foods that were either most accessible or least expensive. These foods appear clearly in pictorial representations of peasant meals, such as those analyzed by Valérie Boudier in her study of culinary imagery in painting. In a symbolic register, still lifes by artists such as Juan Sánchez Cotán (1560–1627) quite literally stage vegetables that medical dietetics often viewed unfavorably. Another relationship to food may be discerned here, perhaps connected to monastic asceticism.</w:t>
      </w:r>
    </w:p>
    <w:p w:rsidR="00066ECC" w:rsidRDefault="00066ECC" w:rsidP="00C37351">
      <w:pPr>
        <w:pStyle w:val="NormalWeb"/>
        <w:spacing w:before="0" w:beforeAutospacing="0" w:after="0" w:afterAutospacing="0" w:line="360" w:lineRule="auto"/>
        <w:rPr>
          <w:lang w:val="en-US"/>
        </w:rPr>
      </w:pPr>
      <w:r w:rsidRPr="00066ECC">
        <w:rPr>
          <w:lang w:val="en-US"/>
        </w:rPr>
        <w:t>Austerity and the renunciation of flavorful foods sometimes imposed themselves under very different environmental conditions. Circumstances could compel restrictions that corresponded to a withdrawal from “sociability,” or more simply from social life itself. The practice of the desert tradition (</w:t>
      </w:r>
      <w:r w:rsidRPr="00066ECC">
        <w:rPr>
          <w:rStyle w:val="Accentuation"/>
          <w:lang w:val="en-US"/>
        </w:rPr>
        <w:t>thebaïde</w:t>
      </w:r>
      <w:r w:rsidRPr="00066ECC">
        <w:rPr>
          <w:lang w:val="en-US"/>
        </w:rPr>
        <w:t>) had its obligations but also its privileges, within which sanitary logic and the history of medicine likewise exerted their authority.</w:t>
      </w:r>
    </w:p>
    <w:p w:rsidR="00F554D9" w:rsidRDefault="00F554D9" w:rsidP="00C37351">
      <w:pPr>
        <w:pStyle w:val="Paragraphedeliste"/>
        <w:spacing w:after="0" w:line="360" w:lineRule="auto"/>
        <w:ind w:left="0"/>
        <w:rPr>
          <w:rFonts w:ascii="Times New Roman" w:eastAsia="Times New Roman" w:hAnsi="Times New Roman" w:cs="Times New Roman"/>
          <w:sz w:val="24"/>
          <w:szCs w:val="24"/>
          <w:lang w:val="en-US" w:eastAsia="fr-BE"/>
        </w:rPr>
      </w:pPr>
    </w:p>
    <w:p w:rsidR="001F6168" w:rsidRDefault="001F6168" w:rsidP="00C37351">
      <w:pPr>
        <w:pStyle w:val="Paragraphedeliste"/>
        <w:spacing w:after="0" w:line="360" w:lineRule="auto"/>
        <w:ind w:left="0"/>
        <w:rPr>
          <w:rFonts w:ascii="Times New Roman" w:eastAsia="Times New Roman" w:hAnsi="Times New Roman" w:cs="Times New Roman"/>
          <w:sz w:val="24"/>
          <w:szCs w:val="24"/>
          <w:lang w:val="en-US" w:eastAsia="fr-BE"/>
        </w:rPr>
      </w:pPr>
      <w:r w:rsidRPr="001F6168">
        <w:rPr>
          <w:rFonts w:ascii="Times New Roman" w:eastAsia="Times New Roman" w:hAnsi="Times New Roman" w:cs="Times New Roman"/>
          <w:sz w:val="24"/>
          <w:szCs w:val="24"/>
          <w:lang w:val="en-US" w:eastAsia="fr-BE"/>
        </w:rPr>
        <w:t>I wish to express my sincere gratitude to those who provided information, advice, and encouragement in the preparation of this article: M. Weiss Adamson, K. Albala, D. Bacalexi, V. Boudier, N. Cohen-Hanegbi, C. Deroux, L. Demaitre, A. K. Doig, S. Fortuna, V. Giacomotto-Charra, G. Faguet, B. Gauvin, L. Giannetti, L. Kiester, I. Lancashire, R. Laudan, D. Lippi, L. Loviconi, R. Mazzei, H. Newton, M. Nicoud, J. Rouëssé, S. Salatowsky, L. Szczygiel, and M. Yearle.</w:t>
      </w:r>
      <w:r>
        <w:rPr>
          <w:rFonts w:ascii="Times New Roman" w:eastAsia="Times New Roman" w:hAnsi="Times New Roman" w:cs="Times New Roman"/>
          <w:sz w:val="24"/>
          <w:szCs w:val="24"/>
          <w:lang w:val="en-US" w:eastAsia="fr-BE"/>
        </w:rPr>
        <w:t xml:space="preserve"> </w:t>
      </w:r>
      <w:r w:rsidRPr="001F6168">
        <w:rPr>
          <w:rFonts w:ascii="Times New Roman" w:eastAsia="Times New Roman" w:hAnsi="Times New Roman" w:cs="Times New Roman"/>
          <w:sz w:val="24"/>
          <w:szCs w:val="24"/>
          <w:lang w:val="en-US" w:eastAsia="fr-BE"/>
        </w:rPr>
        <w:t>My special thanks go to Muriel Collart, a reader of Joyce. My wife Alice, my children Gilles and Alice, and my granddaughter Nora have supported me in every possible way since I began my research in the history of medicine.</w:t>
      </w:r>
    </w:p>
    <w:p w:rsidR="00A835F9" w:rsidRDefault="001F6168" w:rsidP="00A835F9">
      <w:pPr>
        <w:pStyle w:val="Paragraphedeliste"/>
        <w:numPr>
          <w:ilvl w:val="0"/>
          <w:numId w:val="1"/>
        </w:numPr>
        <w:spacing w:after="0" w:line="360" w:lineRule="auto"/>
        <w:ind w:left="0"/>
        <w:rPr>
          <w:rFonts w:ascii="Times New Roman" w:eastAsia="Times New Roman" w:hAnsi="Times New Roman" w:cs="Times New Roman"/>
          <w:sz w:val="24"/>
          <w:szCs w:val="24"/>
          <w:lang w:val="en-US" w:eastAsia="fr-BE"/>
        </w:rPr>
      </w:pPr>
      <w:r w:rsidRPr="001F6168">
        <w:rPr>
          <w:rFonts w:ascii="Times New Roman" w:hAnsi="Times New Roman" w:cs="Times New Roman"/>
          <w:sz w:val="24"/>
          <w:szCs w:val="24"/>
          <w:lang w:val="en-US"/>
        </w:rPr>
        <w:t xml:space="preserve">Robert Burton, </w:t>
      </w:r>
      <w:r w:rsidRPr="001F6168">
        <w:rPr>
          <w:rStyle w:val="Accentuation"/>
          <w:rFonts w:ascii="Times New Roman" w:hAnsi="Times New Roman" w:cs="Times New Roman"/>
          <w:sz w:val="24"/>
          <w:szCs w:val="24"/>
          <w:lang w:val="en-US"/>
        </w:rPr>
        <w:t>The Anatomy of Melancholy</w:t>
      </w:r>
      <w:r w:rsidRPr="001F6168">
        <w:rPr>
          <w:rFonts w:ascii="Times New Roman" w:hAnsi="Times New Roman" w:cs="Times New Roman"/>
          <w:sz w:val="24"/>
          <w:szCs w:val="24"/>
          <w:lang w:val="en-US"/>
        </w:rPr>
        <w:t xml:space="preserve"> (Oxford, 1638), Part I, Sect. 1, Memb. 3, Subs. 1, p. 31</w:t>
      </w:r>
      <w:r>
        <w:rPr>
          <w:rFonts w:ascii="Times New Roman" w:hAnsi="Times New Roman" w:cs="Times New Roman"/>
          <w:sz w:val="24"/>
          <w:szCs w:val="24"/>
          <w:lang w:val="en-US"/>
        </w:rPr>
        <w:t xml:space="preserve">. </w:t>
      </w:r>
    </w:p>
    <w:p w:rsidR="001F6168" w:rsidRPr="00A835F9" w:rsidRDefault="001F6168" w:rsidP="00A835F9">
      <w:pPr>
        <w:pStyle w:val="Paragraphedeliste"/>
        <w:numPr>
          <w:ilvl w:val="0"/>
          <w:numId w:val="1"/>
        </w:numPr>
        <w:spacing w:after="0" w:line="360" w:lineRule="auto"/>
        <w:ind w:left="0"/>
        <w:rPr>
          <w:rFonts w:ascii="Times New Roman" w:eastAsia="Times New Roman" w:hAnsi="Times New Roman" w:cs="Times New Roman"/>
          <w:sz w:val="24"/>
          <w:szCs w:val="24"/>
          <w:lang w:val="en-US" w:eastAsia="fr-BE"/>
        </w:rPr>
      </w:pPr>
      <w:r w:rsidRPr="00A835F9">
        <w:rPr>
          <w:rFonts w:ascii="Times New Roman" w:hAnsi="Times New Roman" w:cs="Times New Roman"/>
          <w:sz w:val="24"/>
          <w:szCs w:val="24"/>
          <w:lang w:val="en-US"/>
        </w:rPr>
        <w:t xml:space="preserve">See M. Ullmann, </w:t>
      </w:r>
      <w:r w:rsidRPr="00A835F9">
        <w:rPr>
          <w:rStyle w:val="Accentuation"/>
          <w:rFonts w:ascii="Times New Roman" w:hAnsi="Times New Roman" w:cs="Times New Roman"/>
          <w:sz w:val="24"/>
          <w:szCs w:val="24"/>
          <w:lang w:val="en-US"/>
        </w:rPr>
        <w:t>Islamic Medicine</w:t>
      </w:r>
      <w:r w:rsidRPr="00A835F9">
        <w:rPr>
          <w:rFonts w:ascii="Times New Roman" w:hAnsi="Times New Roman" w:cs="Times New Roman"/>
          <w:sz w:val="24"/>
          <w:szCs w:val="24"/>
          <w:lang w:val="en-US"/>
        </w:rPr>
        <w:t xml:space="preserve"> (Edinburgh, 2008), 41–42 and passim; P. Bouras-Vallianatos, “Galen in Late Antique Medical Handbooks,” in </w:t>
      </w:r>
      <w:r w:rsidRPr="00A835F9">
        <w:rPr>
          <w:rStyle w:val="Accentuation"/>
          <w:rFonts w:ascii="Times New Roman" w:hAnsi="Times New Roman" w:cs="Times New Roman"/>
          <w:sz w:val="24"/>
          <w:szCs w:val="24"/>
          <w:lang w:val="en-US"/>
        </w:rPr>
        <w:t>Brill’s Companion to Classical Reception</w:t>
      </w:r>
      <w:r w:rsidRPr="00A835F9">
        <w:rPr>
          <w:rFonts w:ascii="Times New Roman" w:hAnsi="Times New Roman" w:cs="Times New Roman"/>
          <w:sz w:val="24"/>
          <w:szCs w:val="24"/>
          <w:lang w:val="en-US"/>
        </w:rPr>
        <w:t xml:space="preserve"> (Leiden/Boston, 2019), 38–61.</w:t>
      </w:r>
    </w:p>
    <w:p w:rsidR="001F6168" w:rsidRPr="001F6168" w:rsidRDefault="001F6168" w:rsidP="00C37351">
      <w:pPr>
        <w:pStyle w:val="Paragraphedeliste"/>
        <w:numPr>
          <w:ilvl w:val="0"/>
          <w:numId w:val="1"/>
        </w:numPr>
        <w:spacing w:after="0" w:line="360" w:lineRule="auto"/>
        <w:ind w:left="0"/>
        <w:rPr>
          <w:rFonts w:ascii="Times New Roman" w:eastAsia="Times New Roman" w:hAnsi="Times New Roman" w:cs="Times New Roman"/>
          <w:sz w:val="24"/>
          <w:szCs w:val="24"/>
          <w:lang w:eastAsia="fr-BE"/>
        </w:rPr>
      </w:pPr>
      <w:r w:rsidRPr="001F6168">
        <w:rPr>
          <w:rFonts w:ascii="Times New Roman" w:hAnsi="Times New Roman" w:cs="Times New Roman"/>
          <w:sz w:val="24"/>
          <w:szCs w:val="24"/>
        </w:rPr>
        <w:t xml:space="preserve">M. Nicoud, </w:t>
      </w:r>
      <w:r w:rsidRPr="001F6168">
        <w:rPr>
          <w:rStyle w:val="Accentuation"/>
          <w:rFonts w:ascii="Times New Roman" w:hAnsi="Times New Roman" w:cs="Times New Roman"/>
          <w:sz w:val="24"/>
          <w:szCs w:val="24"/>
        </w:rPr>
        <w:t>Les régimes de santé au Moyen Âge</w:t>
      </w:r>
      <w:r w:rsidRPr="001F6168">
        <w:rPr>
          <w:rFonts w:ascii="Times New Roman" w:hAnsi="Times New Roman" w:cs="Times New Roman"/>
          <w:sz w:val="24"/>
          <w:szCs w:val="24"/>
        </w:rPr>
        <w:t xml:space="preserve"> (Rome, 2007).</w:t>
      </w:r>
    </w:p>
    <w:p w:rsidR="00F61B99" w:rsidRDefault="00F61B99" w:rsidP="00C37351">
      <w:pPr>
        <w:pStyle w:val="NormalWeb"/>
        <w:numPr>
          <w:ilvl w:val="0"/>
          <w:numId w:val="1"/>
        </w:numPr>
        <w:spacing w:before="0" w:beforeAutospacing="0" w:after="0" w:afterAutospacing="0" w:line="360" w:lineRule="auto"/>
        <w:ind w:left="0"/>
      </w:pPr>
      <w:r w:rsidRPr="001F6168">
        <w:t xml:space="preserve">V. Boudon-Millot, “La notion de mélange dans la pensée médicale de Galien: mixis ou crasis?” </w:t>
      </w:r>
      <w:r w:rsidRPr="001F6168">
        <w:rPr>
          <w:rStyle w:val="Accentuation"/>
        </w:rPr>
        <w:t>Revue des études grecques</w:t>
      </w:r>
      <w:r w:rsidRPr="001F6168">
        <w:t xml:space="preserve"> 124 (2011): 261–279.</w:t>
      </w:r>
    </w:p>
    <w:p w:rsidR="00F61B99" w:rsidRDefault="00F61B99" w:rsidP="00C37351">
      <w:pPr>
        <w:pStyle w:val="NormalWeb"/>
        <w:numPr>
          <w:ilvl w:val="0"/>
          <w:numId w:val="1"/>
        </w:numPr>
        <w:spacing w:before="0" w:beforeAutospacing="0" w:after="0" w:afterAutospacing="0" w:line="360" w:lineRule="auto"/>
        <w:ind w:left="0"/>
        <w:rPr>
          <w:lang w:val="en-US"/>
        </w:rPr>
      </w:pPr>
      <w:r w:rsidRPr="001F6168">
        <w:rPr>
          <w:lang w:val="en-US"/>
        </w:rPr>
        <w:t xml:space="preserve">See the bibliography in </w:t>
      </w:r>
      <w:r w:rsidRPr="001F6168">
        <w:rPr>
          <w:rStyle w:val="Accentuation"/>
          <w:lang w:val="en-US"/>
        </w:rPr>
        <w:t>Professors, Physicians and Practices in the History of Medicine</w:t>
      </w:r>
      <w:r w:rsidRPr="001F6168">
        <w:rPr>
          <w:lang w:val="en-US"/>
        </w:rPr>
        <w:t xml:space="preserve">, ed. G. Manning and C. Klestinec (Cham, 2017), 299–307; G. Pomata and N. G. Siraisi, “Praxis historialis,” in </w:t>
      </w:r>
      <w:r w:rsidRPr="001F6168">
        <w:rPr>
          <w:rStyle w:val="Accentuation"/>
          <w:lang w:val="en-US"/>
        </w:rPr>
        <w:t>Historia: Empiricism and Erudition in Early Modern Europe</w:t>
      </w:r>
      <w:r w:rsidRPr="001F6168">
        <w:rPr>
          <w:lang w:val="en-US"/>
        </w:rPr>
        <w:t xml:space="preserve"> (Cambridge, 2005), 105–146; G. Pomata, “Sharing Cases,” </w:t>
      </w:r>
      <w:r w:rsidRPr="001F6168">
        <w:rPr>
          <w:rStyle w:val="Accentuation"/>
          <w:lang w:val="en-US"/>
        </w:rPr>
        <w:t>Early Science</w:t>
      </w:r>
      <w:r w:rsidRPr="00B742DC">
        <w:rPr>
          <w:rStyle w:val="Accentuation"/>
          <w:lang w:val="en-US"/>
        </w:rPr>
        <w:t xml:space="preserve"> and Medicine</w:t>
      </w:r>
      <w:r w:rsidRPr="00B742DC">
        <w:rPr>
          <w:lang w:val="en-US"/>
        </w:rPr>
        <w:t xml:space="preserve"> 15 (2010): 193–236.</w:t>
      </w:r>
    </w:p>
    <w:p w:rsidR="00F61B99" w:rsidRPr="00B742DC" w:rsidRDefault="00F61B99" w:rsidP="00C37351">
      <w:pPr>
        <w:pStyle w:val="NormalWeb"/>
        <w:numPr>
          <w:ilvl w:val="0"/>
          <w:numId w:val="1"/>
        </w:numPr>
        <w:spacing w:before="0" w:beforeAutospacing="0" w:after="0" w:afterAutospacing="0" w:line="360" w:lineRule="auto"/>
        <w:ind w:left="0"/>
        <w:rPr>
          <w:lang w:val="en-US"/>
        </w:rPr>
      </w:pPr>
      <w:r w:rsidRPr="00B742DC">
        <w:rPr>
          <w:lang w:val="en-US"/>
        </w:rPr>
        <w:t xml:space="preserve">D. Gentilcore, </w:t>
      </w:r>
      <w:r w:rsidRPr="00B742DC">
        <w:rPr>
          <w:rStyle w:val="Accentuation"/>
          <w:lang w:val="en-US"/>
        </w:rPr>
        <w:t>Food and Health in Early Modern Europe</w:t>
      </w:r>
      <w:r w:rsidRPr="00B742DC">
        <w:rPr>
          <w:lang w:val="en-US"/>
        </w:rPr>
        <w:t xml:space="preserve"> (London, 2016), 19.</w:t>
      </w:r>
    </w:p>
    <w:p w:rsidR="00F61B99" w:rsidRDefault="00F61B99" w:rsidP="00C37351">
      <w:pPr>
        <w:pStyle w:val="NormalWeb"/>
        <w:numPr>
          <w:ilvl w:val="0"/>
          <w:numId w:val="1"/>
        </w:numPr>
        <w:spacing w:before="0" w:beforeAutospacing="0" w:after="0" w:afterAutospacing="0" w:line="360" w:lineRule="auto"/>
        <w:ind w:left="0"/>
      </w:pPr>
      <w:r>
        <w:t xml:space="preserve">Giovanni Manardi, </w:t>
      </w:r>
      <w:r>
        <w:rPr>
          <w:rStyle w:val="Accentuation"/>
        </w:rPr>
        <w:t>Traicté familier des noms grecz, latins et arabicques ou vulgaires</w:t>
      </w:r>
      <w:r>
        <w:t xml:space="preserve"> (Paris, 1555), 20–21.</w:t>
      </w:r>
    </w:p>
    <w:p w:rsidR="00F61B99" w:rsidRPr="00F61B99" w:rsidRDefault="00F61B99" w:rsidP="00C37351">
      <w:pPr>
        <w:pStyle w:val="NormalWeb"/>
        <w:numPr>
          <w:ilvl w:val="0"/>
          <w:numId w:val="1"/>
        </w:numPr>
        <w:spacing w:before="0" w:beforeAutospacing="0" w:after="0" w:afterAutospacing="0" w:line="360" w:lineRule="auto"/>
        <w:ind w:left="0"/>
      </w:pPr>
      <w:r w:rsidRPr="00F61B99">
        <w:t xml:space="preserve">See J. Rouëssé, </w:t>
      </w:r>
      <w:r w:rsidRPr="00F61B99">
        <w:rPr>
          <w:rStyle w:val="Accentuation"/>
        </w:rPr>
        <w:t>Une histoire du cancer du sein en Occident</w:t>
      </w:r>
      <w:r w:rsidRPr="00F61B99">
        <w:t xml:space="preserve"> (Paris, 2011), 5; G. B. Faguet, “A Brief History of Cancer,” </w:t>
      </w:r>
      <w:r w:rsidRPr="00F61B99">
        <w:rPr>
          <w:rStyle w:val="Accentuation"/>
        </w:rPr>
        <w:t>International Journal of Cancer</w:t>
      </w:r>
      <w:r w:rsidRPr="00F61B99">
        <w:t xml:space="preserve"> 136 (2015): 2022–2036; M. Stolberg, </w:t>
      </w:r>
      <w:r w:rsidRPr="00F61B99">
        <w:rPr>
          <w:rStyle w:val="Accentuation"/>
        </w:rPr>
        <w:t>A History of Palliative Care, 1500–1970</w:t>
      </w:r>
      <w:r w:rsidRPr="00F61B99">
        <w:t xml:space="preserve"> (Cham, 2017), 160.</w:t>
      </w:r>
    </w:p>
    <w:p w:rsidR="001F6168" w:rsidRDefault="00F61B99" w:rsidP="00C37351">
      <w:pPr>
        <w:pStyle w:val="NormalWeb"/>
        <w:numPr>
          <w:ilvl w:val="0"/>
          <w:numId w:val="1"/>
        </w:numPr>
        <w:spacing w:before="0" w:beforeAutospacing="0" w:after="0" w:afterAutospacing="0" w:line="360" w:lineRule="auto"/>
        <w:ind w:left="0"/>
      </w:pPr>
      <w:r w:rsidRPr="00383133">
        <w:rPr>
          <w:smallCaps/>
        </w:rPr>
        <w:t>Gentilcore</w:t>
      </w:r>
      <w:r w:rsidRPr="00F80313">
        <w:t xml:space="preserve">, </w:t>
      </w:r>
      <w:r>
        <w:rPr>
          <w:i/>
          <w:iCs/>
        </w:rPr>
        <w:t xml:space="preserve">op. cit., </w:t>
      </w:r>
      <w:r>
        <w:rPr>
          <w:iCs/>
        </w:rPr>
        <w:t>p.</w:t>
      </w:r>
      <w:r w:rsidRPr="00F80313">
        <w:rPr>
          <w:i/>
          <w:iCs/>
        </w:rPr>
        <w:t xml:space="preserve"> </w:t>
      </w:r>
      <w:r w:rsidRPr="00F80313">
        <w:t>11-22.</w:t>
      </w:r>
    </w:p>
    <w:p w:rsidR="00F61B99" w:rsidRDefault="00F61B99" w:rsidP="00C37351">
      <w:pPr>
        <w:pStyle w:val="NormalWeb"/>
        <w:numPr>
          <w:ilvl w:val="0"/>
          <w:numId w:val="1"/>
        </w:numPr>
        <w:spacing w:before="0" w:beforeAutospacing="0" w:after="0" w:afterAutospacing="0" w:line="360" w:lineRule="auto"/>
        <w:ind w:left="0"/>
      </w:pPr>
      <w:r>
        <w:t xml:space="preserve">GALIEN, </w:t>
      </w:r>
      <w:r>
        <w:rPr>
          <w:rStyle w:val="Accentuation"/>
        </w:rPr>
        <w:t>Sur les facultés des aliments</w:t>
      </w:r>
      <w:r>
        <w:t>, texte établi et traduit par J. WILKINS, Paris, Les Belles Lettres, 2013.</w:t>
      </w:r>
    </w:p>
    <w:p w:rsidR="00F61B99" w:rsidRPr="00B742DC" w:rsidRDefault="00F61B99" w:rsidP="00C37351">
      <w:pPr>
        <w:pStyle w:val="NormalWeb"/>
        <w:numPr>
          <w:ilvl w:val="0"/>
          <w:numId w:val="1"/>
        </w:numPr>
        <w:spacing w:before="0" w:beforeAutospacing="0" w:after="0" w:afterAutospacing="0" w:line="360" w:lineRule="auto"/>
        <w:ind w:left="0"/>
        <w:rPr>
          <w:lang w:val="en-US"/>
        </w:rPr>
      </w:pPr>
      <w:r w:rsidRPr="00B742DC">
        <w:rPr>
          <w:lang w:val="en-US"/>
        </w:rPr>
        <w:t xml:space="preserve">GALEN, </w:t>
      </w:r>
      <w:r w:rsidRPr="00B742DC">
        <w:rPr>
          <w:rStyle w:val="Accentuation"/>
          <w:lang w:val="en-US"/>
        </w:rPr>
        <w:t>On the Properties of Foodstuffs</w:t>
      </w:r>
      <w:r w:rsidRPr="00B742DC">
        <w:rPr>
          <w:lang w:val="en-US"/>
        </w:rPr>
        <w:t>, edited and translated by O. POWELL, foreword by J. WILKINS, Cambridge, Cambridge University Press, 2009.</w:t>
      </w:r>
    </w:p>
    <w:p w:rsidR="00F61B99" w:rsidRDefault="00F61B99" w:rsidP="00C37351">
      <w:pPr>
        <w:pStyle w:val="NormalWeb"/>
        <w:numPr>
          <w:ilvl w:val="0"/>
          <w:numId w:val="1"/>
        </w:numPr>
        <w:spacing w:before="0" w:beforeAutospacing="0" w:after="0" w:afterAutospacing="0" w:line="360" w:lineRule="auto"/>
        <w:ind w:left="0"/>
      </w:pPr>
      <w:r>
        <w:t xml:space="preserve">[GALIEN], </w:t>
      </w:r>
      <w:r>
        <w:rPr>
          <w:rStyle w:val="Accentuation"/>
        </w:rPr>
        <w:t>L’œuvre de Claude Galien des choses nutritives</w:t>
      </w:r>
      <w:r>
        <w:t>, en trois livres, traduit en françois par maistre Jehan Massé…, Paris, Vivant Gaultherot, 1552</w:t>
      </w:r>
    </w:p>
    <w:p w:rsidR="00F61B99" w:rsidRDefault="00F61B99" w:rsidP="00C37351">
      <w:pPr>
        <w:pStyle w:val="NormalWeb"/>
        <w:numPr>
          <w:ilvl w:val="0"/>
          <w:numId w:val="1"/>
        </w:numPr>
        <w:spacing w:before="0" w:beforeAutospacing="0" w:after="0" w:afterAutospacing="0" w:line="360" w:lineRule="auto"/>
        <w:ind w:left="0"/>
        <w:rPr>
          <w:lang w:val="en-US"/>
        </w:rPr>
      </w:pPr>
      <w:r w:rsidRPr="00B742DC">
        <w:rPr>
          <w:lang w:val="en-US"/>
        </w:rPr>
        <w:t xml:space="preserve">M. MONTANARI, “Introduction. Food systems and models of civilization,” in </w:t>
      </w:r>
      <w:r w:rsidRPr="00B742DC">
        <w:rPr>
          <w:rStyle w:val="Accentuation"/>
          <w:lang w:val="en-US"/>
        </w:rPr>
        <w:t>Food. A Culinary History from Antiquity to the Present</w:t>
      </w:r>
      <w:r w:rsidRPr="00B742DC">
        <w:rPr>
          <w:lang w:val="en-US"/>
        </w:rPr>
        <w:t xml:space="preserve">, J.-L. FLANDRIN and M. MONTANARI (eds.), New York, Columbia University Press, 2013, p. 69–78; T. SCULLY, “A cook’s therapeutic use of garden herbs,” in </w:t>
      </w:r>
      <w:r w:rsidRPr="00B742DC">
        <w:rPr>
          <w:rStyle w:val="Accentuation"/>
          <w:lang w:val="en-US"/>
        </w:rPr>
        <w:t>Health and Healing from the Medieval Garden</w:t>
      </w:r>
      <w:r w:rsidRPr="00B742DC">
        <w:rPr>
          <w:lang w:val="en-US"/>
        </w:rPr>
        <w:t xml:space="preserve">, P. DENDLE and A. TOUWAIDE (eds.), Woodbridge, Boydell Press, 2015, p. 60–71; R. LAUDAN, “Birth of the modern diet,” </w:t>
      </w:r>
      <w:r w:rsidRPr="00B742DC">
        <w:rPr>
          <w:rStyle w:val="Accentuation"/>
          <w:lang w:val="en-US"/>
        </w:rPr>
        <w:t>Scientific American</w:t>
      </w:r>
      <w:r w:rsidRPr="00B742DC">
        <w:rPr>
          <w:lang w:val="en-US"/>
        </w:rPr>
        <w:t>, 238 (2000), p. 62–67, etc</w:t>
      </w:r>
      <w:r>
        <w:rPr>
          <w:lang w:val="en-US"/>
        </w:rPr>
        <w:t>.</w:t>
      </w:r>
    </w:p>
    <w:p w:rsidR="00F61B99" w:rsidRDefault="00F61B99" w:rsidP="00C37351">
      <w:pPr>
        <w:pStyle w:val="NormalWeb"/>
        <w:numPr>
          <w:ilvl w:val="0"/>
          <w:numId w:val="1"/>
        </w:numPr>
        <w:spacing w:before="0" w:beforeAutospacing="0" w:after="0" w:afterAutospacing="0" w:line="360" w:lineRule="auto"/>
        <w:ind w:left="0"/>
      </w:pPr>
      <w:r>
        <w:t xml:space="preserve">GALENUS, </w:t>
      </w:r>
      <w:r>
        <w:rPr>
          <w:rStyle w:val="Accentuation"/>
        </w:rPr>
        <w:t>Ad Glauconem de medendi methodo</w:t>
      </w:r>
      <w:r>
        <w:t xml:space="preserve">, in </w:t>
      </w:r>
      <w:r>
        <w:rPr>
          <w:rStyle w:val="Accentuation"/>
        </w:rPr>
        <w:t>Opera omnia</w:t>
      </w:r>
      <w:r>
        <w:t xml:space="preserve">, C. G. KÜHN (ed.), Leipzig, 1826, XI, ii, p. 139–144; GALIEN, </w:t>
      </w:r>
      <w:r>
        <w:rPr>
          <w:rStyle w:val="Accentuation"/>
        </w:rPr>
        <w:t>Œuvres anatomiques, physiologiques et médicales</w:t>
      </w:r>
      <w:r>
        <w:t>, trad. C. DAREMBERG, Paris, Baillière, 1856, t. II.</w:t>
      </w:r>
    </w:p>
    <w:p w:rsidR="00F61B99" w:rsidRPr="00B742DC" w:rsidRDefault="00F61B99" w:rsidP="00C37351">
      <w:pPr>
        <w:pStyle w:val="NormalWeb"/>
        <w:numPr>
          <w:ilvl w:val="0"/>
          <w:numId w:val="1"/>
        </w:numPr>
        <w:spacing w:before="0" w:beforeAutospacing="0" w:after="0" w:afterAutospacing="0" w:line="360" w:lineRule="auto"/>
        <w:ind w:left="0"/>
        <w:rPr>
          <w:lang w:val="en-US"/>
        </w:rPr>
      </w:pPr>
      <w:r w:rsidRPr="00B742DC">
        <w:rPr>
          <w:lang w:val="en-US"/>
        </w:rPr>
        <w:t xml:space="preserve">S. FORTUNA, “Editions and translations of Galen from 1490 to 1540,” in </w:t>
      </w:r>
      <w:r w:rsidRPr="00B742DC">
        <w:rPr>
          <w:rStyle w:val="Accentuation"/>
          <w:lang w:val="en-US"/>
        </w:rPr>
        <w:t>Brill’s Companion to the Reception of Galen</w:t>
      </w:r>
      <w:r w:rsidRPr="00B742DC">
        <w:rPr>
          <w:lang w:val="en-US"/>
        </w:rPr>
        <w:t>, P. BOURAS-VALLIANATOS and B. ZIPSER (eds.), Leiden/Boston, Brill, 2019, p. 437–452.</w:t>
      </w:r>
    </w:p>
    <w:p w:rsidR="00F61B99" w:rsidRDefault="00F61B99" w:rsidP="00C37351">
      <w:pPr>
        <w:pStyle w:val="NormalWeb"/>
        <w:numPr>
          <w:ilvl w:val="0"/>
          <w:numId w:val="1"/>
        </w:numPr>
        <w:spacing w:before="0" w:beforeAutospacing="0" w:after="0" w:afterAutospacing="0" w:line="360" w:lineRule="auto"/>
        <w:ind w:left="0"/>
      </w:pPr>
      <w:r>
        <w:t xml:space="preserve">C. DOMINGUES, “L’aménagement du continent galénique à la Renaissance…,” in </w:t>
      </w:r>
      <w:r>
        <w:rPr>
          <w:rStyle w:val="Accentuation"/>
        </w:rPr>
        <w:t>Lire les médecins grecs à la Renaissance</w:t>
      </w:r>
      <w:r>
        <w:t>, V. BOUDON-MILLOT and G. COBOLET (eds.), Paris, 2004, p. 163–185.</w:t>
      </w:r>
    </w:p>
    <w:p w:rsidR="00F61B99" w:rsidRDefault="00F61B99" w:rsidP="00C37351">
      <w:pPr>
        <w:pStyle w:val="NormalWeb"/>
        <w:numPr>
          <w:ilvl w:val="0"/>
          <w:numId w:val="1"/>
        </w:numPr>
        <w:spacing w:before="0" w:beforeAutospacing="0" w:after="0" w:afterAutospacing="0" w:line="360" w:lineRule="auto"/>
        <w:ind w:left="0"/>
      </w:pPr>
      <w:r>
        <w:t xml:space="preserve">H. YVRARD, “Un exemplaire rarissime des œuvres de Galien,” </w:t>
      </w:r>
      <w:r>
        <w:rPr>
          <w:rStyle w:val="Accentuation"/>
        </w:rPr>
        <w:t>Revue d’histoire de la pharmacie</w:t>
      </w:r>
      <w:r>
        <w:t xml:space="preserve">, 114 (1944), p. 7–8; M. BOUVET, “Un nouvel exemplaire rarissime…,” </w:t>
      </w:r>
      <w:r>
        <w:rPr>
          <w:rStyle w:val="Accentuation"/>
        </w:rPr>
        <w:t>Revue d’histoire de la pharmacie</w:t>
      </w:r>
      <w:r>
        <w:t>, 121 (1948), p. 341–344.</w:t>
      </w:r>
    </w:p>
    <w:p w:rsidR="00F61B99" w:rsidRDefault="00F61B99" w:rsidP="00C37351">
      <w:pPr>
        <w:pStyle w:val="NormalWeb"/>
        <w:numPr>
          <w:ilvl w:val="0"/>
          <w:numId w:val="1"/>
        </w:numPr>
        <w:spacing w:before="0" w:beforeAutospacing="0" w:after="0" w:afterAutospacing="0" w:line="360" w:lineRule="auto"/>
        <w:ind w:left="0"/>
      </w:pPr>
      <w:r>
        <w:t xml:space="preserve">V. BOUDON-MILLOT, “‘Puiser à la claire fontaine’: Hippocrate et Galien,” in </w:t>
      </w:r>
      <w:r>
        <w:rPr>
          <w:rStyle w:val="Accentuation"/>
        </w:rPr>
        <w:t>Vulgariser et divulguer. Ambroise Paré. Chirurgien et écrivain français</w:t>
      </w:r>
      <w:r>
        <w:t xml:space="preserve"> — online</w:t>
      </w:r>
    </w:p>
    <w:p w:rsidR="00F61B99" w:rsidRDefault="00F61B99" w:rsidP="00C37351">
      <w:pPr>
        <w:pStyle w:val="NormalWeb"/>
        <w:numPr>
          <w:ilvl w:val="0"/>
          <w:numId w:val="1"/>
        </w:numPr>
        <w:spacing w:before="0" w:beforeAutospacing="0" w:after="0" w:afterAutospacing="0" w:line="360" w:lineRule="auto"/>
        <w:ind w:left="0"/>
      </w:pPr>
      <w:r>
        <w:t>É. BERRIOT-SALVADORE, “La littérature médicale en français de 1500 à 1600,” Université de Paris — online.</w:t>
      </w:r>
    </w:p>
    <w:p w:rsidR="00F61B99" w:rsidRDefault="00F61B99" w:rsidP="00C37351">
      <w:pPr>
        <w:pStyle w:val="NormalWeb"/>
        <w:numPr>
          <w:ilvl w:val="0"/>
          <w:numId w:val="1"/>
        </w:numPr>
        <w:spacing w:before="0" w:beforeAutospacing="0" w:after="0" w:afterAutospacing="0" w:line="360" w:lineRule="auto"/>
        <w:ind w:left="0"/>
      </w:pPr>
      <w:r>
        <w:t xml:space="preserve">GALENUS, </w:t>
      </w:r>
      <w:r>
        <w:rPr>
          <w:rStyle w:val="Accentuation"/>
        </w:rPr>
        <w:t>Ad Glauconem de medendi methodo</w:t>
      </w:r>
      <w:r>
        <w:t>, op. cit., II, xii, 143.</w:t>
      </w:r>
    </w:p>
    <w:p w:rsidR="00F61B99" w:rsidRDefault="00F61B99" w:rsidP="00C37351">
      <w:pPr>
        <w:pStyle w:val="NormalWeb"/>
        <w:numPr>
          <w:ilvl w:val="0"/>
          <w:numId w:val="1"/>
        </w:numPr>
        <w:spacing w:before="0" w:beforeAutospacing="0" w:after="0" w:afterAutospacing="0" w:line="360" w:lineRule="auto"/>
        <w:ind w:left="0"/>
      </w:pPr>
      <w:r>
        <w:t xml:space="preserve">GALIEN, </w:t>
      </w:r>
      <w:r>
        <w:rPr>
          <w:rStyle w:val="Accentuation"/>
        </w:rPr>
        <w:t>Commentaire au régime des maladies aiguës d’Hippocrate</w:t>
      </w:r>
      <w:r>
        <w:t xml:space="preserve">, Livre I, éd. A. Pietrobelii, Paris, Les Belles Lettres, 2019, p. 43; PLINE L’ANCIEN, </w:t>
      </w:r>
      <w:r>
        <w:rPr>
          <w:rStyle w:val="Accentuation"/>
        </w:rPr>
        <w:t>Histoire naturelle</w:t>
      </w:r>
      <w:r>
        <w:t xml:space="preserve">, éd. </w:t>
      </w:r>
      <w:r w:rsidRPr="00B742DC">
        <w:rPr>
          <w:lang w:val="en-US"/>
        </w:rPr>
        <w:t xml:space="preserve">S. Schmitt, Paris, Gallimard, 2013, p. 848; PLINY THE ELDER, </w:t>
      </w:r>
      <w:r w:rsidRPr="00B742DC">
        <w:rPr>
          <w:rStyle w:val="Accentuation"/>
          <w:lang w:val="en-US"/>
        </w:rPr>
        <w:t>Natural History</w:t>
      </w:r>
      <w:r w:rsidRPr="00B742DC">
        <w:rPr>
          <w:lang w:val="en-US"/>
        </w:rPr>
        <w:t xml:space="preserve">, trans. </w:t>
      </w:r>
      <w:r>
        <w:t>H. Rackham, Harvard University Press / Heinemann, 1961, XVIII, xv, p. 237–239.</w:t>
      </w:r>
    </w:p>
    <w:p w:rsidR="00F61B99" w:rsidRDefault="00F61B99" w:rsidP="00C37351">
      <w:pPr>
        <w:pStyle w:val="NormalWeb"/>
        <w:numPr>
          <w:ilvl w:val="0"/>
          <w:numId w:val="1"/>
        </w:numPr>
        <w:spacing w:before="0" w:beforeAutospacing="0" w:after="0" w:afterAutospacing="0" w:line="360" w:lineRule="auto"/>
        <w:ind w:left="0"/>
      </w:pPr>
      <w:r>
        <w:t xml:space="preserve">[GALIEN], </w:t>
      </w:r>
      <w:r>
        <w:rPr>
          <w:rStyle w:val="Accentuation"/>
        </w:rPr>
        <w:t>L’œuvre de Claude Galien</w:t>
      </w:r>
      <w:r>
        <w:t>, n° 8.</w:t>
      </w:r>
    </w:p>
    <w:p w:rsidR="0080588F" w:rsidRDefault="0080588F" w:rsidP="00C37351">
      <w:pPr>
        <w:pStyle w:val="NormalWeb"/>
        <w:numPr>
          <w:ilvl w:val="0"/>
          <w:numId w:val="1"/>
        </w:numPr>
        <w:spacing w:before="0" w:beforeAutospacing="0" w:after="0" w:afterAutospacing="0" w:line="360" w:lineRule="auto"/>
        <w:ind w:left="0"/>
      </w:pPr>
      <w:r>
        <w:t xml:space="preserve">GALENUS, </w:t>
      </w:r>
      <w:r>
        <w:rPr>
          <w:rStyle w:val="Accentuation"/>
        </w:rPr>
        <w:t>De alimentorum facultatibus</w:t>
      </w:r>
      <w:r>
        <w:t xml:space="preserve">, in </w:t>
      </w:r>
      <w:r>
        <w:rPr>
          <w:rStyle w:val="Accentuation"/>
        </w:rPr>
        <w:t>Opera omnia</w:t>
      </w:r>
      <w:r>
        <w:t>, C. G. Kühn (ed.), Leipzig, 1825, VI, iii, chap. 28, p. 718.</w:t>
      </w:r>
    </w:p>
    <w:p w:rsidR="0080588F" w:rsidRDefault="0080588F" w:rsidP="00C37351">
      <w:pPr>
        <w:pStyle w:val="NormalWeb"/>
        <w:numPr>
          <w:ilvl w:val="0"/>
          <w:numId w:val="1"/>
        </w:numPr>
        <w:spacing w:before="0" w:beforeAutospacing="0" w:after="0" w:afterAutospacing="0" w:line="360" w:lineRule="auto"/>
        <w:ind w:left="0"/>
      </w:pPr>
      <w:r>
        <w:t xml:space="preserve">GALIEN, </w:t>
      </w:r>
      <w:r>
        <w:rPr>
          <w:rStyle w:val="Accentuation"/>
        </w:rPr>
        <w:t>Sur les facultés des aliments</w:t>
      </w:r>
      <w:r>
        <w:t>, op. cit., p. 216.</w:t>
      </w:r>
    </w:p>
    <w:p w:rsidR="00F61B99" w:rsidRDefault="0080588F" w:rsidP="00C37351">
      <w:pPr>
        <w:pStyle w:val="NormalWeb"/>
        <w:numPr>
          <w:ilvl w:val="0"/>
          <w:numId w:val="1"/>
        </w:numPr>
        <w:spacing w:before="0" w:beforeAutospacing="0" w:after="0" w:afterAutospacing="0" w:line="360" w:lineRule="auto"/>
        <w:ind w:left="0"/>
      </w:pPr>
      <w:r>
        <w:t xml:space="preserve">GALENUS, </w:t>
      </w:r>
      <w:r>
        <w:rPr>
          <w:rStyle w:val="Accentuation"/>
        </w:rPr>
        <w:t>De alimentorum facultatibus</w:t>
      </w:r>
      <w:r>
        <w:t xml:space="preserve">, op. cit., p. 708–713; GALIEN, </w:t>
      </w:r>
      <w:r>
        <w:rPr>
          <w:rStyle w:val="Accentuation"/>
        </w:rPr>
        <w:t>Sur les facultés des aliments</w:t>
      </w:r>
      <w:r>
        <w:t>, op. cit., p. 221–225.</w:t>
      </w:r>
    </w:p>
    <w:p w:rsidR="0080588F" w:rsidRPr="00B742DC" w:rsidRDefault="0080588F" w:rsidP="00C37351">
      <w:pPr>
        <w:pStyle w:val="NormalWeb"/>
        <w:numPr>
          <w:ilvl w:val="0"/>
          <w:numId w:val="1"/>
        </w:numPr>
        <w:spacing w:before="0" w:beforeAutospacing="0" w:after="0" w:afterAutospacing="0" w:line="360" w:lineRule="auto"/>
        <w:ind w:left="0"/>
        <w:rPr>
          <w:lang w:val="en-US"/>
        </w:rPr>
      </w:pPr>
      <w:r w:rsidRPr="00B742DC">
        <w:rPr>
          <w:lang w:val="en-US"/>
        </w:rPr>
        <w:t xml:space="preserve">GALEN, </w:t>
      </w:r>
      <w:r w:rsidRPr="00B742DC">
        <w:rPr>
          <w:rStyle w:val="Accentuation"/>
          <w:lang w:val="en-US"/>
        </w:rPr>
        <w:t>On the Properties of Foodstuffs</w:t>
      </w:r>
      <w:r w:rsidRPr="00B742DC">
        <w:rPr>
          <w:lang w:val="en-US"/>
        </w:rPr>
        <w:t>, op. cit., p. 139.</w:t>
      </w:r>
    </w:p>
    <w:p w:rsidR="0080588F" w:rsidRPr="00B742DC" w:rsidRDefault="0080588F" w:rsidP="00C37351">
      <w:pPr>
        <w:pStyle w:val="NormalWeb"/>
        <w:numPr>
          <w:ilvl w:val="0"/>
          <w:numId w:val="1"/>
        </w:numPr>
        <w:spacing w:before="0" w:beforeAutospacing="0" w:after="0" w:afterAutospacing="0" w:line="360" w:lineRule="auto"/>
        <w:ind w:left="0"/>
        <w:rPr>
          <w:lang w:val="en-US"/>
        </w:rPr>
      </w:pPr>
      <w:r w:rsidRPr="00B742DC">
        <w:rPr>
          <w:lang w:val="en-US"/>
        </w:rPr>
        <w:t xml:space="preserve">GALEN, </w:t>
      </w:r>
      <w:r w:rsidRPr="00B742DC">
        <w:rPr>
          <w:rStyle w:val="Accentuation"/>
          <w:lang w:val="en-US"/>
        </w:rPr>
        <w:t>On the Powers of Foods</w:t>
      </w:r>
      <w:r w:rsidRPr="00B742DC">
        <w:rPr>
          <w:lang w:val="en-US"/>
        </w:rPr>
        <w:t xml:space="preserve">, in M. Grant, </w:t>
      </w:r>
      <w:r w:rsidRPr="00B742DC">
        <w:rPr>
          <w:rStyle w:val="Accentuation"/>
          <w:lang w:val="en-US"/>
        </w:rPr>
        <w:t>Galen on Food and Diet</w:t>
      </w:r>
      <w:r w:rsidRPr="00B742DC">
        <w:rPr>
          <w:lang w:val="en-US"/>
        </w:rPr>
        <w:t>, London/New York, Routledge, 2000, p. 174–176.</w:t>
      </w:r>
    </w:p>
    <w:p w:rsidR="0080588F" w:rsidRDefault="0080588F" w:rsidP="00C37351">
      <w:pPr>
        <w:pStyle w:val="NormalWeb"/>
        <w:numPr>
          <w:ilvl w:val="0"/>
          <w:numId w:val="1"/>
        </w:numPr>
        <w:spacing w:before="0" w:beforeAutospacing="0" w:after="0" w:afterAutospacing="0" w:line="360" w:lineRule="auto"/>
        <w:ind w:left="0"/>
      </w:pPr>
      <w:r>
        <w:t xml:space="preserve">[GALIEN], </w:t>
      </w:r>
      <w:r>
        <w:rPr>
          <w:rStyle w:val="Accentuation"/>
        </w:rPr>
        <w:t>L’œuvre de Claude Galien</w:t>
      </w:r>
      <w:r>
        <w:t>, op. cit., p. 225 v°.</w:t>
      </w:r>
    </w:p>
    <w:p w:rsidR="0080588F" w:rsidRDefault="0080588F" w:rsidP="00C37351">
      <w:pPr>
        <w:pStyle w:val="NormalWeb"/>
        <w:numPr>
          <w:ilvl w:val="0"/>
          <w:numId w:val="1"/>
        </w:numPr>
        <w:spacing w:before="0" w:beforeAutospacing="0" w:after="0" w:afterAutospacing="0" w:line="360" w:lineRule="auto"/>
        <w:ind w:left="0"/>
      </w:pPr>
      <w:r>
        <w:t xml:space="preserve">L. Duchesne, </w:t>
      </w:r>
      <w:r>
        <w:rPr>
          <w:rStyle w:val="Accentuation"/>
        </w:rPr>
        <w:t>In Ruellium de stirpibus epitome</w:t>
      </w:r>
      <w:r>
        <w:t>, Paris, 1544, p. 68.</w:t>
      </w:r>
    </w:p>
    <w:p w:rsidR="0080588F" w:rsidRDefault="0080588F" w:rsidP="00C37351">
      <w:pPr>
        <w:pStyle w:val="NormalWeb"/>
        <w:numPr>
          <w:ilvl w:val="0"/>
          <w:numId w:val="1"/>
        </w:numPr>
        <w:spacing w:before="0" w:beforeAutospacing="0" w:after="0" w:afterAutospacing="0" w:line="360" w:lineRule="auto"/>
        <w:ind w:left="0"/>
      </w:pPr>
      <w:r>
        <w:t xml:space="preserve">J. Gilliéron and E. Edmont, </w:t>
      </w:r>
      <w:r>
        <w:rPr>
          <w:rStyle w:val="Accentuation"/>
        </w:rPr>
        <w:t>Atlas linguistique de la France</w:t>
      </w:r>
      <w:r>
        <w:t>, Paris, 1902–1910, carte 889, “Mulet.”</w:t>
      </w:r>
    </w:p>
    <w:p w:rsidR="0080588F" w:rsidRDefault="0080588F" w:rsidP="00C37351">
      <w:pPr>
        <w:pStyle w:val="NormalWeb"/>
        <w:numPr>
          <w:ilvl w:val="0"/>
          <w:numId w:val="1"/>
        </w:numPr>
        <w:spacing w:before="0" w:beforeAutospacing="0" w:after="0" w:afterAutospacing="0" w:line="360" w:lineRule="auto"/>
        <w:ind w:left="0"/>
      </w:pPr>
      <w:r>
        <w:t xml:space="preserve">GALIEN, </w:t>
      </w:r>
      <w:r>
        <w:rPr>
          <w:rStyle w:val="Accentuation"/>
        </w:rPr>
        <w:t>Sur les facultés des aliments</w:t>
      </w:r>
      <w:r>
        <w:t>, op. cit., p. 225–226.</w:t>
      </w:r>
    </w:p>
    <w:p w:rsidR="0080588F" w:rsidRDefault="0080588F" w:rsidP="00C37351">
      <w:pPr>
        <w:pStyle w:val="NormalWeb"/>
        <w:numPr>
          <w:ilvl w:val="0"/>
          <w:numId w:val="1"/>
        </w:numPr>
        <w:spacing w:before="0" w:beforeAutospacing="0" w:after="0" w:afterAutospacing="0" w:line="360" w:lineRule="auto"/>
        <w:ind w:left="0"/>
      </w:pPr>
      <w:r>
        <w:t xml:space="preserve">See GALEN, </w:t>
      </w:r>
      <w:r>
        <w:rPr>
          <w:rStyle w:val="Accentuation"/>
        </w:rPr>
        <w:t>On the Properties</w:t>
      </w:r>
      <w:r>
        <w:t xml:space="preserve">, and </w:t>
      </w:r>
      <w:r>
        <w:rPr>
          <w:rStyle w:val="Accentuation"/>
        </w:rPr>
        <w:t>On the Powers</w:t>
      </w:r>
      <w:r>
        <w:t xml:space="preserve">, op. cit.; GALIEN, </w:t>
      </w:r>
      <w:r>
        <w:rPr>
          <w:rStyle w:val="Accentuation"/>
        </w:rPr>
        <w:t>Sur les facultés des aliments</w:t>
      </w:r>
      <w:r>
        <w:t>, op. cit.</w:t>
      </w:r>
    </w:p>
    <w:p w:rsidR="0080588F" w:rsidRDefault="0080588F" w:rsidP="00C37351">
      <w:pPr>
        <w:pStyle w:val="NormalWeb"/>
        <w:numPr>
          <w:ilvl w:val="0"/>
          <w:numId w:val="1"/>
        </w:numPr>
        <w:spacing w:before="0" w:beforeAutospacing="0" w:after="0" w:afterAutospacing="0" w:line="360" w:lineRule="auto"/>
        <w:ind w:left="0"/>
      </w:pPr>
      <w:r>
        <w:t xml:space="preserve">GALENUS, </w:t>
      </w:r>
      <w:r>
        <w:rPr>
          <w:rStyle w:val="Accentuation"/>
        </w:rPr>
        <w:t>De alimentorum facultatibus</w:t>
      </w:r>
      <w:r>
        <w:t>, op. cit., p. 718.</w:t>
      </w:r>
    </w:p>
    <w:p w:rsidR="0080588F" w:rsidRDefault="0080588F" w:rsidP="00C37351">
      <w:pPr>
        <w:pStyle w:val="NormalWeb"/>
        <w:numPr>
          <w:ilvl w:val="0"/>
          <w:numId w:val="1"/>
        </w:numPr>
        <w:spacing w:before="0" w:beforeAutospacing="0" w:after="0" w:afterAutospacing="0" w:line="360" w:lineRule="auto"/>
        <w:ind w:left="0"/>
      </w:pPr>
      <w:r>
        <w:t xml:space="preserve">M. NICOUD, “Troubles dans le genre. Les voies multiples de la tradition manuscrite des consilia médicaux,” in </w:t>
      </w:r>
      <w:r>
        <w:rPr>
          <w:rStyle w:val="Accentuation"/>
        </w:rPr>
        <w:t>Écritures médicales. Discours et genres, de la tradition antique à l’époque moderne</w:t>
      </w:r>
      <w:r>
        <w:t>, L. MOULINIER-BROGI et M. NICOUD (éd.), Lyon/Avignon, CIHM-Éditions, 2019, p. 101–131.</w:t>
      </w:r>
    </w:p>
    <w:p w:rsidR="0080588F" w:rsidRPr="00B742DC" w:rsidRDefault="0080588F" w:rsidP="00C37351">
      <w:pPr>
        <w:pStyle w:val="NormalWeb"/>
        <w:numPr>
          <w:ilvl w:val="0"/>
          <w:numId w:val="1"/>
        </w:numPr>
        <w:spacing w:before="0" w:beforeAutospacing="0" w:after="0" w:afterAutospacing="0" w:line="360" w:lineRule="auto"/>
        <w:ind w:left="0"/>
        <w:rPr>
          <w:lang w:val="en-US"/>
        </w:rPr>
      </w:pPr>
      <w:r w:rsidRPr="00B742DC">
        <w:rPr>
          <w:lang w:val="en-US"/>
        </w:rPr>
        <w:t xml:space="preserve">R. JÜTTE, </w:t>
      </w:r>
      <w:r w:rsidRPr="00B742DC">
        <w:rPr>
          <w:rStyle w:val="Accentuation"/>
          <w:lang w:val="en-US"/>
        </w:rPr>
        <w:t>Krankheit und Gesundheit in der Frühen Neuzeit</w:t>
      </w:r>
      <w:r w:rsidRPr="00B742DC">
        <w:rPr>
          <w:lang w:val="en-US"/>
        </w:rPr>
        <w:t xml:space="preserve">, Stuttgart, 2013; A. SKUSE, </w:t>
      </w:r>
      <w:r w:rsidRPr="00B742DC">
        <w:rPr>
          <w:rStyle w:val="Accentuation"/>
          <w:lang w:val="en-US"/>
        </w:rPr>
        <w:t>Constructions of Cancer in Early Modern England</w:t>
      </w:r>
      <w:r w:rsidRPr="00B742DC">
        <w:rPr>
          <w:lang w:val="en-US"/>
        </w:rPr>
        <w:t xml:space="preserve">, 2015; D. BERTOLONI MELI, </w:t>
      </w:r>
      <w:r w:rsidRPr="00B742DC">
        <w:rPr>
          <w:rStyle w:val="Accentuation"/>
          <w:lang w:val="en-US"/>
        </w:rPr>
        <w:t>Visualizing Disease</w:t>
      </w:r>
      <w:r w:rsidRPr="00B742DC">
        <w:rPr>
          <w:lang w:val="en-US"/>
        </w:rPr>
        <w:t>, 2017; etc.</w:t>
      </w:r>
    </w:p>
    <w:p w:rsidR="0080588F" w:rsidRPr="00B742DC" w:rsidRDefault="0080588F" w:rsidP="00C37351">
      <w:pPr>
        <w:pStyle w:val="NormalWeb"/>
        <w:numPr>
          <w:ilvl w:val="0"/>
          <w:numId w:val="1"/>
        </w:numPr>
        <w:spacing w:before="0" w:beforeAutospacing="0" w:after="0" w:afterAutospacing="0" w:line="360" w:lineRule="auto"/>
        <w:ind w:left="0"/>
        <w:rPr>
          <w:lang w:val="en-US"/>
        </w:rPr>
      </w:pPr>
      <w:r w:rsidRPr="00B742DC">
        <w:rPr>
          <w:lang w:val="en-US"/>
        </w:rPr>
        <w:t xml:space="preserve">L. DEMAITRE, “Medieval notions of cancer,” </w:t>
      </w:r>
      <w:r w:rsidRPr="00B742DC">
        <w:rPr>
          <w:rStyle w:val="Accentuation"/>
          <w:lang w:val="en-US"/>
        </w:rPr>
        <w:t>Bulletin of the History of Medicine</w:t>
      </w:r>
      <w:r w:rsidRPr="00B742DC">
        <w:rPr>
          <w:lang w:val="en-US"/>
        </w:rPr>
        <w:t xml:space="preserve"> 72/4 (1998): 609–637; idem, </w:t>
      </w:r>
      <w:r w:rsidRPr="00B742DC">
        <w:rPr>
          <w:rStyle w:val="Accentuation"/>
          <w:lang w:val="en-US"/>
        </w:rPr>
        <w:t>Medieval Medicine</w:t>
      </w:r>
      <w:r w:rsidRPr="00B742DC">
        <w:rPr>
          <w:lang w:val="en-US"/>
        </w:rPr>
        <w:t>, 2013.</w:t>
      </w:r>
    </w:p>
    <w:p w:rsidR="0080588F" w:rsidRPr="00B742DC" w:rsidRDefault="0080588F" w:rsidP="00C37351">
      <w:pPr>
        <w:pStyle w:val="NormalWeb"/>
        <w:numPr>
          <w:ilvl w:val="0"/>
          <w:numId w:val="1"/>
        </w:numPr>
        <w:spacing w:before="0" w:beforeAutospacing="0" w:after="0" w:afterAutospacing="0" w:line="360" w:lineRule="auto"/>
        <w:ind w:left="0"/>
        <w:rPr>
          <w:lang w:val="en-US"/>
        </w:rPr>
      </w:pPr>
      <w:r w:rsidRPr="00B742DC">
        <w:rPr>
          <w:lang w:val="en-US"/>
        </w:rPr>
        <w:t xml:space="preserve">P. F. GRENDLER, </w:t>
      </w:r>
      <w:r w:rsidRPr="00B742DC">
        <w:rPr>
          <w:rStyle w:val="Accentuation"/>
          <w:lang w:val="en-US"/>
        </w:rPr>
        <w:t>The Universities of the Italian Renaissance</w:t>
      </w:r>
      <w:r w:rsidRPr="00B742DC">
        <w:rPr>
          <w:lang w:val="en-US"/>
        </w:rPr>
        <w:t>, 2004.</w:t>
      </w:r>
    </w:p>
    <w:p w:rsidR="0080588F" w:rsidRPr="0080588F" w:rsidRDefault="0080588F" w:rsidP="00C37351">
      <w:pPr>
        <w:pStyle w:val="NormalWeb"/>
        <w:numPr>
          <w:ilvl w:val="0"/>
          <w:numId w:val="1"/>
        </w:numPr>
        <w:spacing w:before="0" w:beforeAutospacing="0" w:after="0" w:afterAutospacing="0" w:line="360" w:lineRule="auto"/>
        <w:ind w:left="0"/>
        <w:rPr>
          <w:lang w:val="en-US"/>
        </w:rPr>
      </w:pPr>
      <w:r w:rsidRPr="0080588F">
        <w:rPr>
          <w:lang w:val="en-US"/>
        </w:rPr>
        <w:t xml:space="preserve">V. NUTTON, </w:t>
      </w:r>
      <w:r w:rsidRPr="0080588F">
        <w:rPr>
          <w:rStyle w:val="Accentuation"/>
          <w:lang w:val="en-US"/>
        </w:rPr>
        <w:t>From Democedes to Harvey</w:t>
      </w:r>
      <w:r w:rsidRPr="0080588F">
        <w:rPr>
          <w:lang w:val="en-US"/>
        </w:rPr>
        <w:t xml:space="preserve">, 1988; G. ONGARO, “L’insegnamento clinico di Giovan Battista da Monte,” </w:t>
      </w:r>
      <w:r w:rsidRPr="0080588F">
        <w:rPr>
          <w:rStyle w:val="Accentuation"/>
          <w:lang w:val="en-US"/>
        </w:rPr>
        <w:t>Physis</w:t>
      </w:r>
      <w:r w:rsidRPr="0080588F">
        <w:rPr>
          <w:lang w:val="en-US"/>
        </w:rPr>
        <w:t xml:space="preserve"> 31 (1994).</w:t>
      </w:r>
    </w:p>
    <w:p w:rsidR="0080588F" w:rsidRDefault="0080588F" w:rsidP="00C37351">
      <w:pPr>
        <w:pStyle w:val="NormalWeb"/>
        <w:numPr>
          <w:ilvl w:val="0"/>
          <w:numId w:val="1"/>
        </w:numPr>
        <w:spacing w:before="0" w:beforeAutospacing="0" w:after="0" w:afterAutospacing="0" w:line="360" w:lineRule="auto"/>
        <w:ind w:left="0"/>
      </w:pPr>
      <w:r>
        <w:t xml:space="preserve">G. B. DA MONTE, </w:t>
      </w:r>
      <w:r>
        <w:rPr>
          <w:rStyle w:val="Accentuation"/>
        </w:rPr>
        <w:t>Consultationum medicinalium centuria prima</w:t>
      </w:r>
      <w:r>
        <w:t>, Venice, 1554, p. 304–313.</w:t>
      </w:r>
    </w:p>
    <w:p w:rsidR="0080588F" w:rsidRDefault="0080588F" w:rsidP="00C37351">
      <w:pPr>
        <w:pStyle w:val="NormalWeb"/>
        <w:numPr>
          <w:ilvl w:val="0"/>
          <w:numId w:val="1"/>
        </w:numPr>
        <w:spacing w:before="0" w:beforeAutospacing="0" w:after="0" w:afterAutospacing="0" w:line="360" w:lineRule="auto"/>
        <w:ind w:left="0"/>
      </w:pPr>
      <w:r>
        <w:t xml:space="preserve">DA MONTE, </w:t>
      </w:r>
      <w:r>
        <w:rPr>
          <w:rStyle w:val="Accentuation"/>
        </w:rPr>
        <w:t>Consultationes medicae</w:t>
      </w:r>
      <w:r>
        <w:t xml:space="preserve"> (1583), col. 276–277.</w:t>
      </w:r>
    </w:p>
    <w:p w:rsidR="0080588F" w:rsidRPr="0080588F" w:rsidRDefault="0080588F" w:rsidP="00C37351">
      <w:pPr>
        <w:pStyle w:val="NormalWeb"/>
        <w:numPr>
          <w:ilvl w:val="0"/>
          <w:numId w:val="1"/>
        </w:numPr>
        <w:spacing w:before="0" w:beforeAutospacing="0" w:after="0" w:afterAutospacing="0" w:line="360" w:lineRule="auto"/>
        <w:ind w:left="0"/>
      </w:pPr>
      <w:r>
        <w:t xml:space="preserve">DA MONTE, </w:t>
      </w:r>
      <w:r>
        <w:rPr>
          <w:rStyle w:val="Accentuation"/>
        </w:rPr>
        <w:t>Consultationum medicinalium centuria prima</w:t>
      </w:r>
      <w:r>
        <w:t>, p. 254–259.</w:t>
      </w:r>
    </w:p>
    <w:p w:rsidR="001F6168" w:rsidRDefault="001F6168" w:rsidP="00C37351">
      <w:pPr>
        <w:pStyle w:val="NormalWeb"/>
        <w:numPr>
          <w:ilvl w:val="0"/>
          <w:numId w:val="1"/>
        </w:numPr>
        <w:spacing w:before="0" w:beforeAutospacing="0" w:after="0" w:afterAutospacing="0" w:line="360" w:lineRule="auto"/>
        <w:ind w:left="0"/>
      </w:pPr>
      <w:r>
        <w:t xml:space="preserve">G. C. CLAUDINI, </w:t>
      </w:r>
      <w:r>
        <w:rPr>
          <w:rStyle w:val="Accentuation"/>
        </w:rPr>
        <w:t>Responsionum et consultationum medicinalium</w:t>
      </w:r>
      <w:r>
        <w:t>, Venice, 1607, p. 291–293.</w:t>
      </w:r>
    </w:p>
    <w:p w:rsidR="001F6168" w:rsidRPr="00B742DC" w:rsidRDefault="001F6168" w:rsidP="00C37351">
      <w:pPr>
        <w:pStyle w:val="NormalWeb"/>
        <w:numPr>
          <w:ilvl w:val="0"/>
          <w:numId w:val="1"/>
        </w:numPr>
        <w:spacing w:before="0" w:beforeAutospacing="0" w:after="0" w:afterAutospacing="0" w:line="360" w:lineRule="auto"/>
        <w:ind w:left="0"/>
        <w:rPr>
          <w:lang w:val="en-US"/>
        </w:rPr>
      </w:pPr>
      <w:r w:rsidRPr="00B742DC">
        <w:rPr>
          <w:lang w:val="en-US"/>
        </w:rPr>
        <w:t xml:space="preserve">P. SAVOIA, </w:t>
      </w:r>
      <w:r w:rsidRPr="00B742DC">
        <w:rPr>
          <w:rStyle w:val="Accentuation"/>
          <w:lang w:val="en-US"/>
        </w:rPr>
        <w:t>Gaspare Tagliacozzi and Early Modern Surgery</w:t>
      </w:r>
      <w:r w:rsidRPr="00B742DC">
        <w:rPr>
          <w:lang w:val="en-US"/>
        </w:rPr>
        <w:t>, 2020, p. 31.</w:t>
      </w:r>
    </w:p>
    <w:p w:rsidR="001F6168" w:rsidRDefault="001F6168" w:rsidP="00C37351">
      <w:pPr>
        <w:pStyle w:val="NormalWeb"/>
        <w:numPr>
          <w:ilvl w:val="0"/>
          <w:numId w:val="1"/>
        </w:numPr>
        <w:spacing w:before="0" w:beforeAutospacing="0" w:after="0" w:afterAutospacing="0" w:line="360" w:lineRule="auto"/>
        <w:ind w:left="0"/>
      </w:pPr>
      <w:r>
        <w:t xml:space="preserve">G. MERCURIALE, </w:t>
      </w:r>
      <w:r>
        <w:rPr>
          <w:rStyle w:val="Accentuation"/>
        </w:rPr>
        <w:t>Consultationes et responsa medicinalia</w:t>
      </w:r>
      <w:r>
        <w:t>, Venice, 1620, II, p. 152–153.</w:t>
      </w:r>
    </w:p>
    <w:p w:rsidR="001F6168" w:rsidRPr="00B742DC" w:rsidRDefault="001F6168" w:rsidP="00C37351">
      <w:pPr>
        <w:pStyle w:val="NormalWeb"/>
        <w:numPr>
          <w:ilvl w:val="0"/>
          <w:numId w:val="1"/>
        </w:numPr>
        <w:spacing w:before="0" w:beforeAutospacing="0" w:after="0" w:afterAutospacing="0" w:line="360" w:lineRule="auto"/>
        <w:ind w:left="0"/>
        <w:rPr>
          <w:lang w:val="en-US"/>
        </w:rPr>
      </w:pPr>
      <w:r w:rsidRPr="00B742DC">
        <w:rPr>
          <w:lang w:val="en-US"/>
        </w:rPr>
        <w:t>See ONGARO and MARTELLOZZO FORIN; CALLEGARI; FORTUNA; etc.</w:t>
      </w:r>
    </w:p>
    <w:p w:rsidR="001F6168" w:rsidRDefault="001F6168" w:rsidP="00C37351">
      <w:pPr>
        <w:pStyle w:val="NormalWeb"/>
        <w:numPr>
          <w:ilvl w:val="0"/>
          <w:numId w:val="1"/>
        </w:numPr>
        <w:spacing w:before="0" w:beforeAutospacing="0" w:after="0" w:afterAutospacing="0" w:line="360" w:lineRule="auto"/>
        <w:ind w:left="0"/>
      </w:pPr>
      <w:r>
        <w:t xml:space="preserve">MERCURIALE, </w:t>
      </w:r>
      <w:r>
        <w:rPr>
          <w:rStyle w:val="Accentuation"/>
        </w:rPr>
        <w:t>Consultationes</w:t>
      </w:r>
      <w:r>
        <w:t>, p. 129–131.</w:t>
      </w:r>
    </w:p>
    <w:p w:rsidR="001F6168" w:rsidRPr="00B742DC" w:rsidRDefault="001F6168" w:rsidP="00C37351">
      <w:pPr>
        <w:pStyle w:val="NormalWeb"/>
        <w:numPr>
          <w:ilvl w:val="0"/>
          <w:numId w:val="1"/>
        </w:numPr>
        <w:spacing w:before="0" w:beforeAutospacing="0" w:after="0" w:afterAutospacing="0" w:line="360" w:lineRule="auto"/>
        <w:ind w:left="0"/>
        <w:rPr>
          <w:lang w:val="en-US"/>
        </w:rPr>
      </w:pPr>
      <w:r w:rsidRPr="00B742DC">
        <w:rPr>
          <w:lang w:val="en-US"/>
        </w:rPr>
        <w:t xml:space="preserve">J. CRATO VON KRAFFTHEIM, </w:t>
      </w:r>
      <w:r w:rsidRPr="00B742DC">
        <w:rPr>
          <w:rStyle w:val="Accentuation"/>
          <w:lang w:val="en-US"/>
        </w:rPr>
        <w:t>Consiliorum… liber secundus</w:t>
      </w:r>
      <w:r w:rsidRPr="00B742DC">
        <w:rPr>
          <w:lang w:val="en-US"/>
        </w:rPr>
        <w:t>, Frankfurt, 1671, p. 390.</w:t>
      </w:r>
    </w:p>
    <w:p w:rsidR="001F6168" w:rsidRDefault="001F6168" w:rsidP="00C37351">
      <w:pPr>
        <w:pStyle w:val="NormalWeb"/>
        <w:numPr>
          <w:ilvl w:val="0"/>
          <w:numId w:val="1"/>
        </w:numPr>
        <w:spacing w:before="0" w:beforeAutospacing="0" w:after="0" w:afterAutospacing="0" w:line="360" w:lineRule="auto"/>
        <w:ind w:left="0"/>
      </w:pPr>
      <w:r>
        <w:t>See MERCURIALE and CRATO correspondence; DIVIŠOVÁ-BURŠÍKOVÁ, etc.</w:t>
      </w:r>
    </w:p>
    <w:p w:rsidR="00D003FA" w:rsidRDefault="001F6168" w:rsidP="00C37351">
      <w:pPr>
        <w:pStyle w:val="NormalWeb"/>
        <w:numPr>
          <w:ilvl w:val="0"/>
          <w:numId w:val="1"/>
        </w:numPr>
        <w:spacing w:before="0" w:beforeAutospacing="0" w:after="0" w:afterAutospacing="0" w:line="360" w:lineRule="auto"/>
        <w:ind w:left="0"/>
        <w:rPr>
          <w:lang w:val="en-US"/>
        </w:rPr>
      </w:pPr>
      <w:r w:rsidRPr="00B742DC">
        <w:rPr>
          <w:lang w:val="en-US"/>
        </w:rPr>
        <w:t xml:space="preserve">C. GUARINONE, </w:t>
      </w:r>
      <w:r w:rsidRPr="00B742DC">
        <w:rPr>
          <w:rStyle w:val="Accentuation"/>
          <w:lang w:val="en-US"/>
        </w:rPr>
        <w:t>Consilia medicinalia</w:t>
      </w:r>
      <w:r w:rsidRPr="00B742DC">
        <w:rPr>
          <w:lang w:val="en-US"/>
        </w:rPr>
        <w:t>, Venice, 1610, p. 590–591</w:t>
      </w:r>
      <w:r>
        <w:rPr>
          <w:lang w:val="en-US"/>
        </w:rPr>
        <w:t>.</w:t>
      </w:r>
    </w:p>
    <w:p w:rsidR="00D003FA" w:rsidRDefault="00066ECC" w:rsidP="00C37351">
      <w:pPr>
        <w:pStyle w:val="NormalWeb"/>
        <w:numPr>
          <w:ilvl w:val="0"/>
          <w:numId w:val="1"/>
        </w:numPr>
        <w:spacing w:before="0" w:beforeAutospacing="0" w:after="0" w:afterAutospacing="0" w:line="360" w:lineRule="auto"/>
        <w:ind w:left="0"/>
        <w:rPr>
          <w:lang w:val="en-US"/>
        </w:rPr>
      </w:pPr>
      <w:r w:rsidRPr="00D003FA">
        <w:rPr>
          <w:lang w:val="en-US"/>
        </w:rPr>
        <w:t xml:space="preserve">J. LANGE, </w:t>
      </w:r>
      <w:r w:rsidRPr="00D003FA">
        <w:rPr>
          <w:rStyle w:val="Accentuation"/>
          <w:lang w:val="en-US"/>
        </w:rPr>
        <w:t>Epistolarum medicinalium volumen tripartitum</w:t>
      </w:r>
      <w:r w:rsidRPr="00D003FA">
        <w:rPr>
          <w:lang w:val="en-US"/>
        </w:rPr>
        <w:t>, Hanover, 1605, p. 86.</w:t>
      </w:r>
    </w:p>
    <w:p w:rsidR="00D003FA" w:rsidRPr="00D003FA" w:rsidRDefault="00066ECC" w:rsidP="00C37351">
      <w:pPr>
        <w:pStyle w:val="NormalWeb"/>
        <w:numPr>
          <w:ilvl w:val="0"/>
          <w:numId w:val="1"/>
        </w:numPr>
        <w:spacing w:before="0" w:beforeAutospacing="0" w:after="0" w:afterAutospacing="0" w:line="360" w:lineRule="auto"/>
        <w:ind w:left="0"/>
        <w:rPr>
          <w:lang w:val="en-US"/>
        </w:rPr>
      </w:pPr>
      <w:r>
        <w:t xml:space="preserve">DA MONTE, </w:t>
      </w:r>
      <w:r>
        <w:rPr>
          <w:rStyle w:val="Accentuation"/>
        </w:rPr>
        <w:t>Consultationum medicinalium centuria prima</w:t>
      </w:r>
      <w:r w:rsidR="00D003FA">
        <w:t>, op. cit., p. 14–21</w:t>
      </w:r>
    </w:p>
    <w:p w:rsidR="00D003FA" w:rsidRDefault="00066ECC" w:rsidP="00C37351">
      <w:pPr>
        <w:pStyle w:val="NormalWeb"/>
        <w:numPr>
          <w:ilvl w:val="0"/>
          <w:numId w:val="1"/>
        </w:numPr>
        <w:spacing w:before="0" w:beforeAutospacing="0" w:after="0" w:afterAutospacing="0" w:line="360" w:lineRule="auto"/>
        <w:ind w:left="0"/>
        <w:rPr>
          <w:lang w:val="en-US"/>
        </w:rPr>
      </w:pPr>
      <w:r w:rsidRPr="00D003FA">
        <w:rPr>
          <w:lang w:val="en-US"/>
        </w:rPr>
        <w:t xml:space="preserve">ALBALA, </w:t>
      </w:r>
      <w:r w:rsidRPr="00D003FA">
        <w:rPr>
          <w:rStyle w:val="Accentuation"/>
          <w:lang w:val="en-US"/>
        </w:rPr>
        <w:t>Eating Right in the Renaissance</w:t>
      </w:r>
      <w:r w:rsidRPr="00D003FA">
        <w:rPr>
          <w:lang w:val="en-US"/>
        </w:rPr>
        <w:t>, op. cit., p. 95–96.</w:t>
      </w:r>
    </w:p>
    <w:p w:rsidR="00D003FA" w:rsidRPr="00A835F9" w:rsidRDefault="00066ECC" w:rsidP="00C37351">
      <w:pPr>
        <w:pStyle w:val="NormalWeb"/>
        <w:numPr>
          <w:ilvl w:val="0"/>
          <w:numId w:val="1"/>
        </w:numPr>
        <w:spacing w:before="0" w:beforeAutospacing="0" w:after="0" w:afterAutospacing="0" w:line="360" w:lineRule="auto"/>
        <w:ind w:left="0"/>
      </w:pPr>
      <w:r>
        <w:t xml:space="preserve">C. JACQUEMARD et al. (éd.), </w:t>
      </w:r>
      <w:r>
        <w:rPr>
          <w:rStyle w:val="Accentuation"/>
        </w:rPr>
        <w:t>Hortus sanitatis: Livre IV, Les poissons</w:t>
      </w:r>
      <w:r>
        <w:t>, Caen, 2013, chap. 2, “Anguilla.”</w:t>
      </w:r>
    </w:p>
    <w:p w:rsidR="00D003FA" w:rsidRDefault="00066ECC" w:rsidP="00C37351">
      <w:pPr>
        <w:pStyle w:val="NormalWeb"/>
        <w:numPr>
          <w:ilvl w:val="0"/>
          <w:numId w:val="1"/>
        </w:numPr>
        <w:spacing w:before="0" w:beforeAutospacing="0" w:after="0" w:afterAutospacing="0" w:line="360" w:lineRule="auto"/>
        <w:ind w:left="0"/>
        <w:rPr>
          <w:lang w:val="en-US"/>
        </w:rPr>
      </w:pPr>
      <w:r>
        <w:t xml:space="preserve">DA MONTE, </w:t>
      </w:r>
      <w:r>
        <w:rPr>
          <w:rStyle w:val="Accentuation"/>
        </w:rPr>
        <w:t>Consultationum medicinalium centuria prima</w:t>
      </w:r>
      <w:r>
        <w:t>, op. cit., p. 569–574.</w:t>
      </w:r>
    </w:p>
    <w:p w:rsidR="00D003FA" w:rsidRDefault="00066ECC" w:rsidP="00C37351">
      <w:pPr>
        <w:pStyle w:val="NormalWeb"/>
        <w:numPr>
          <w:ilvl w:val="0"/>
          <w:numId w:val="1"/>
        </w:numPr>
        <w:spacing w:before="0" w:beforeAutospacing="0" w:after="0" w:afterAutospacing="0" w:line="360" w:lineRule="auto"/>
        <w:ind w:left="0"/>
      </w:pPr>
      <w:r>
        <w:t xml:space="preserve">JACQUEMARD et al., </w:t>
      </w:r>
      <w:r>
        <w:rPr>
          <w:rStyle w:val="Accentuation"/>
        </w:rPr>
        <w:t>Hortus sanitatis</w:t>
      </w:r>
      <w:r>
        <w:t>, chap. 53, “Lucius.”</w:t>
      </w:r>
    </w:p>
    <w:p w:rsidR="00D003FA" w:rsidRDefault="00066ECC" w:rsidP="00C37351">
      <w:pPr>
        <w:pStyle w:val="NormalWeb"/>
        <w:numPr>
          <w:ilvl w:val="0"/>
          <w:numId w:val="1"/>
        </w:numPr>
        <w:spacing w:before="0" w:beforeAutospacing="0" w:after="0" w:afterAutospacing="0" w:line="360" w:lineRule="auto"/>
        <w:ind w:left="0"/>
      </w:pPr>
      <w:r>
        <w:t xml:space="preserve">DA MONTE, </w:t>
      </w:r>
      <w:r>
        <w:rPr>
          <w:rStyle w:val="Accentuation"/>
        </w:rPr>
        <w:t>Consultationum medicinalium centuria prima</w:t>
      </w:r>
      <w:r>
        <w:t>, op. cit., p. 574–582.</w:t>
      </w:r>
    </w:p>
    <w:p w:rsidR="00D003FA" w:rsidRDefault="00066ECC" w:rsidP="00C37351">
      <w:pPr>
        <w:pStyle w:val="NormalWeb"/>
        <w:numPr>
          <w:ilvl w:val="0"/>
          <w:numId w:val="1"/>
        </w:numPr>
        <w:spacing w:before="0" w:beforeAutospacing="0" w:after="0" w:afterAutospacing="0" w:line="360" w:lineRule="auto"/>
        <w:ind w:left="0"/>
      </w:pPr>
      <w:r>
        <w:t xml:space="preserve">MERCURIALE, </w:t>
      </w:r>
      <w:r>
        <w:rPr>
          <w:rStyle w:val="Accentuation"/>
        </w:rPr>
        <w:t>Consultationes</w:t>
      </w:r>
      <w:r>
        <w:t>, op. cit., p. 54.</w:t>
      </w:r>
    </w:p>
    <w:p w:rsidR="00D003FA" w:rsidRDefault="00066ECC" w:rsidP="00C37351">
      <w:pPr>
        <w:pStyle w:val="NormalWeb"/>
        <w:numPr>
          <w:ilvl w:val="0"/>
          <w:numId w:val="1"/>
        </w:numPr>
        <w:spacing w:before="0" w:beforeAutospacing="0" w:after="0" w:afterAutospacing="0" w:line="360" w:lineRule="auto"/>
        <w:ind w:left="0"/>
      </w:pPr>
      <w:r>
        <w:t xml:space="preserve">V. TRINCAVELLI, </w:t>
      </w:r>
      <w:r>
        <w:rPr>
          <w:rStyle w:val="Accentuation"/>
        </w:rPr>
        <w:t>Consiliorum medicinalium libri III</w:t>
      </w:r>
      <w:r>
        <w:t>, Venice, 1586, p. 6–7.</w:t>
      </w:r>
    </w:p>
    <w:p w:rsidR="00D003FA" w:rsidRDefault="00066ECC" w:rsidP="00C37351">
      <w:pPr>
        <w:pStyle w:val="NormalWeb"/>
        <w:numPr>
          <w:ilvl w:val="0"/>
          <w:numId w:val="1"/>
        </w:numPr>
        <w:spacing w:before="0" w:beforeAutospacing="0" w:after="0" w:afterAutospacing="0" w:line="360" w:lineRule="auto"/>
        <w:ind w:left="0"/>
      </w:pPr>
      <w:r>
        <w:t xml:space="preserve">DA MONTE, </w:t>
      </w:r>
      <w:r>
        <w:rPr>
          <w:rStyle w:val="Accentuation"/>
        </w:rPr>
        <w:t>Consultationum medicinalium centuria prima</w:t>
      </w:r>
      <w:r>
        <w:t>, op. cit., p. 400–402.</w:t>
      </w:r>
    </w:p>
    <w:p w:rsidR="00D003FA" w:rsidRDefault="00066ECC" w:rsidP="00C37351">
      <w:pPr>
        <w:pStyle w:val="NormalWeb"/>
        <w:numPr>
          <w:ilvl w:val="0"/>
          <w:numId w:val="1"/>
        </w:numPr>
        <w:spacing w:before="0" w:beforeAutospacing="0" w:after="0" w:afterAutospacing="0" w:line="360" w:lineRule="auto"/>
        <w:ind w:left="0"/>
      </w:pPr>
      <w:r>
        <w:t xml:space="preserve">DA MONTE, </w:t>
      </w:r>
      <w:r>
        <w:rPr>
          <w:rStyle w:val="Accentuation"/>
        </w:rPr>
        <w:t>Consultationum medicinalium centuria prima</w:t>
      </w:r>
      <w:r>
        <w:t>, op. cit., p. 542–545.</w:t>
      </w:r>
    </w:p>
    <w:p w:rsidR="00066ECC" w:rsidRDefault="00066ECC" w:rsidP="00C37351">
      <w:pPr>
        <w:pStyle w:val="NormalWeb"/>
        <w:numPr>
          <w:ilvl w:val="0"/>
          <w:numId w:val="1"/>
        </w:numPr>
        <w:spacing w:before="0" w:beforeAutospacing="0" w:after="0" w:afterAutospacing="0" w:line="360" w:lineRule="auto"/>
        <w:ind w:left="0"/>
      </w:pPr>
      <w:r>
        <w:t xml:space="preserve">T. G. RANGONI, </w:t>
      </w:r>
      <w:r>
        <w:rPr>
          <w:rStyle w:val="Accentuation"/>
        </w:rPr>
        <w:t>De vita hominis ultra cxx annos protrahenda</w:t>
      </w:r>
      <w:r>
        <w:t>, Venice, 1553.</w:t>
      </w:r>
    </w:p>
    <w:p w:rsidR="00D003FA" w:rsidRPr="00D003FA" w:rsidRDefault="00D003FA" w:rsidP="00C37351">
      <w:pPr>
        <w:pStyle w:val="Paragraphedeliste"/>
        <w:numPr>
          <w:ilvl w:val="0"/>
          <w:numId w:val="1"/>
        </w:numPr>
        <w:spacing w:after="0" w:line="360" w:lineRule="auto"/>
        <w:ind w:left="0"/>
        <w:rPr>
          <w:rFonts w:ascii="Times New Roman" w:eastAsia="Times New Roman" w:hAnsi="Times New Roman" w:cs="Times New Roman"/>
          <w:sz w:val="24"/>
          <w:szCs w:val="24"/>
          <w:lang w:eastAsia="fr-BE"/>
        </w:rPr>
      </w:pPr>
      <w:r w:rsidRPr="00D003FA">
        <w:rPr>
          <w:rFonts w:ascii="Times New Roman" w:eastAsia="Times New Roman" w:hAnsi="Times New Roman" w:cs="Times New Roman"/>
          <w:sz w:val="24"/>
          <w:szCs w:val="24"/>
          <w:lang w:eastAsia="fr-BE"/>
        </w:rPr>
        <w:t xml:space="preserve">D. Droixhe, </w:t>
      </w:r>
      <w:r w:rsidRPr="00D003FA">
        <w:rPr>
          <w:rFonts w:ascii="Times New Roman" w:eastAsia="Times New Roman" w:hAnsi="Times New Roman" w:cs="Times New Roman"/>
          <w:i/>
          <w:iCs/>
          <w:sz w:val="24"/>
          <w:szCs w:val="24"/>
          <w:lang w:eastAsia="fr-BE"/>
        </w:rPr>
        <w:t>Alimentation et maladie. Consultations à Padoue à l’aube des temps modernes</w:t>
      </w:r>
      <w:r w:rsidRPr="00D003FA">
        <w:rPr>
          <w:rFonts w:ascii="Times New Roman" w:eastAsia="Times New Roman" w:hAnsi="Times New Roman" w:cs="Times New Roman"/>
          <w:sz w:val="24"/>
          <w:szCs w:val="24"/>
          <w:lang w:eastAsia="fr-BE"/>
        </w:rPr>
        <w:t>, Brussels, Académie royale de Belgique, 2021.</w:t>
      </w:r>
    </w:p>
    <w:p w:rsidR="00D003FA" w:rsidRPr="00D003FA" w:rsidRDefault="00D003FA" w:rsidP="00C37351">
      <w:pPr>
        <w:pStyle w:val="Paragraphedeliste"/>
        <w:numPr>
          <w:ilvl w:val="0"/>
          <w:numId w:val="1"/>
        </w:numPr>
        <w:spacing w:after="0" w:line="360" w:lineRule="auto"/>
        <w:ind w:left="0"/>
        <w:rPr>
          <w:rFonts w:ascii="Times New Roman" w:eastAsia="Times New Roman" w:hAnsi="Times New Roman" w:cs="Times New Roman"/>
          <w:sz w:val="24"/>
          <w:szCs w:val="24"/>
          <w:lang w:eastAsia="fr-BE"/>
        </w:rPr>
      </w:pPr>
      <w:r w:rsidRPr="00D003FA">
        <w:rPr>
          <w:rFonts w:ascii="Times New Roman" w:eastAsia="Times New Roman" w:hAnsi="Times New Roman" w:cs="Times New Roman"/>
          <w:sz w:val="24"/>
          <w:szCs w:val="24"/>
          <w:lang w:eastAsia="fr-BE"/>
        </w:rPr>
        <w:t xml:space="preserve">See D. Droixhe, “Hippocrate, l’utérus et le cancer. Une approche,” in </w:t>
      </w:r>
      <w:r w:rsidRPr="00D003FA">
        <w:rPr>
          <w:rFonts w:ascii="Times New Roman" w:eastAsia="Times New Roman" w:hAnsi="Times New Roman" w:cs="Times New Roman"/>
          <w:i/>
          <w:iCs/>
          <w:sz w:val="24"/>
          <w:szCs w:val="24"/>
          <w:lang w:eastAsia="fr-BE"/>
        </w:rPr>
        <w:t>Actes du colloque international Représenter le sexe féminin</w:t>
      </w:r>
      <w:r w:rsidRPr="00D003FA">
        <w:rPr>
          <w:rFonts w:ascii="Times New Roman" w:eastAsia="Times New Roman" w:hAnsi="Times New Roman" w:cs="Times New Roman"/>
          <w:sz w:val="24"/>
          <w:szCs w:val="24"/>
          <w:lang w:eastAsia="fr-BE"/>
        </w:rPr>
        <w:t>, ed. H. Cazes, Canada, University of Victoria, 12 May–1 June 2021, forthcoming.</w:t>
      </w:r>
    </w:p>
    <w:p w:rsidR="00D003FA" w:rsidRPr="00D003FA" w:rsidRDefault="00D003FA" w:rsidP="00C37351">
      <w:pPr>
        <w:pStyle w:val="Paragraphedeliste"/>
        <w:numPr>
          <w:ilvl w:val="0"/>
          <w:numId w:val="1"/>
        </w:numPr>
        <w:spacing w:after="0" w:line="360" w:lineRule="auto"/>
        <w:ind w:left="0"/>
        <w:rPr>
          <w:rFonts w:ascii="Times New Roman" w:eastAsia="Times New Roman" w:hAnsi="Times New Roman" w:cs="Times New Roman"/>
          <w:sz w:val="24"/>
          <w:szCs w:val="24"/>
          <w:lang w:eastAsia="fr-BE"/>
        </w:rPr>
      </w:pPr>
      <w:r w:rsidRPr="00D003FA">
        <w:rPr>
          <w:rFonts w:ascii="Times New Roman" w:eastAsia="Times New Roman" w:hAnsi="Times New Roman" w:cs="Times New Roman"/>
          <w:sz w:val="24"/>
          <w:szCs w:val="24"/>
          <w:lang w:eastAsia="fr-BE"/>
        </w:rPr>
        <w:t xml:space="preserve">Stolberg, </w:t>
      </w:r>
      <w:r w:rsidRPr="00D003FA">
        <w:rPr>
          <w:rFonts w:ascii="Times New Roman" w:eastAsia="Times New Roman" w:hAnsi="Times New Roman" w:cs="Times New Roman"/>
          <w:i/>
          <w:iCs/>
          <w:sz w:val="24"/>
          <w:szCs w:val="24"/>
          <w:lang w:eastAsia="fr-BE"/>
        </w:rPr>
        <w:t>op. cit.</w:t>
      </w:r>
      <w:r w:rsidRPr="00D003FA">
        <w:rPr>
          <w:rFonts w:ascii="Times New Roman" w:eastAsia="Times New Roman" w:hAnsi="Times New Roman" w:cs="Times New Roman"/>
          <w:sz w:val="24"/>
          <w:szCs w:val="24"/>
          <w:lang w:eastAsia="fr-BE"/>
        </w:rPr>
        <w:t>, p. 2.</w:t>
      </w:r>
    </w:p>
    <w:p w:rsidR="00D003FA" w:rsidRPr="00D003FA" w:rsidRDefault="00D003FA" w:rsidP="00C37351">
      <w:pPr>
        <w:pStyle w:val="Paragraphedeliste"/>
        <w:numPr>
          <w:ilvl w:val="0"/>
          <w:numId w:val="1"/>
        </w:numPr>
        <w:spacing w:after="0" w:line="360" w:lineRule="auto"/>
        <w:ind w:left="0"/>
        <w:rPr>
          <w:rFonts w:ascii="Times New Roman" w:eastAsia="Times New Roman" w:hAnsi="Times New Roman" w:cs="Times New Roman"/>
          <w:sz w:val="24"/>
          <w:szCs w:val="24"/>
          <w:lang w:eastAsia="fr-BE"/>
        </w:rPr>
      </w:pPr>
      <w:r w:rsidRPr="00D003FA">
        <w:rPr>
          <w:rFonts w:ascii="Times New Roman" w:eastAsia="Times New Roman" w:hAnsi="Times New Roman" w:cs="Times New Roman"/>
          <w:sz w:val="24"/>
          <w:szCs w:val="24"/>
          <w:lang w:val="en-US" w:eastAsia="fr-BE"/>
        </w:rPr>
        <w:t xml:space="preserve">P. Lowe, </w:t>
      </w:r>
      <w:r w:rsidRPr="00D003FA">
        <w:rPr>
          <w:rFonts w:ascii="Times New Roman" w:eastAsia="Times New Roman" w:hAnsi="Times New Roman" w:cs="Times New Roman"/>
          <w:i/>
          <w:iCs/>
          <w:sz w:val="24"/>
          <w:szCs w:val="24"/>
          <w:lang w:val="en-US" w:eastAsia="fr-BE"/>
        </w:rPr>
        <w:t>A Discourse of the Whole Art of Chyrurgerie</w:t>
      </w:r>
      <w:r w:rsidRPr="00D003FA">
        <w:rPr>
          <w:rFonts w:ascii="Times New Roman" w:eastAsia="Times New Roman" w:hAnsi="Times New Roman" w:cs="Times New Roman"/>
          <w:sz w:val="24"/>
          <w:szCs w:val="24"/>
          <w:lang w:val="en-US" w:eastAsia="fr-BE"/>
        </w:rPr>
        <w:t xml:space="preserve">, London, Printed by Thomas Purfoot, 1612, pp. 104–106: “Chap. XI. Of Tumours which proceed of the pituitous humour, and first of Oedema”; “Oedema is a soft tumour without dolour, white coloured.” Edema is treated in a chapter preceding that devoted to </w:t>
      </w:r>
      <w:r w:rsidRPr="00D003FA">
        <w:rPr>
          <w:rFonts w:ascii="Times New Roman" w:eastAsia="Times New Roman" w:hAnsi="Times New Roman" w:cs="Times New Roman"/>
          <w:i/>
          <w:iCs/>
          <w:sz w:val="24"/>
          <w:szCs w:val="24"/>
          <w:lang w:val="en-US" w:eastAsia="fr-BE"/>
        </w:rPr>
        <w:t>squirrhus</w:t>
      </w:r>
      <w:r w:rsidRPr="00D003FA">
        <w:rPr>
          <w:rFonts w:ascii="Times New Roman" w:eastAsia="Times New Roman" w:hAnsi="Times New Roman" w:cs="Times New Roman"/>
          <w:sz w:val="24"/>
          <w:szCs w:val="24"/>
          <w:lang w:val="en-US" w:eastAsia="fr-BE"/>
        </w:rPr>
        <w:t xml:space="preserve"> in Galen’s </w:t>
      </w:r>
      <w:r w:rsidRPr="00D003FA">
        <w:rPr>
          <w:rFonts w:ascii="Times New Roman" w:eastAsia="Times New Roman" w:hAnsi="Times New Roman" w:cs="Times New Roman"/>
          <w:i/>
          <w:iCs/>
          <w:sz w:val="24"/>
          <w:szCs w:val="24"/>
          <w:lang w:val="en-US" w:eastAsia="fr-BE"/>
        </w:rPr>
        <w:t>Therapeutic Method to Glaucon</w:t>
      </w:r>
      <w:r w:rsidRPr="00D003FA">
        <w:rPr>
          <w:rFonts w:ascii="Times New Roman" w:eastAsia="Times New Roman" w:hAnsi="Times New Roman" w:cs="Times New Roman"/>
          <w:sz w:val="24"/>
          <w:szCs w:val="24"/>
          <w:lang w:val="en-US" w:eastAsia="fr-BE"/>
        </w:rPr>
        <w:t xml:space="preserve">, in </w:t>
      </w:r>
      <w:r w:rsidRPr="00D003FA">
        <w:rPr>
          <w:rFonts w:ascii="Times New Roman" w:eastAsia="Times New Roman" w:hAnsi="Times New Roman" w:cs="Times New Roman"/>
          <w:i/>
          <w:iCs/>
          <w:sz w:val="24"/>
          <w:szCs w:val="24"/>
          <w:lang w:val="en-US" w:eastAsia="fr-BE"/>
        </w:rPr>
        <w:t>Œuvres médicales choisies</w:t>
      </w:r>
      <w:r w:rsidRPr="00D003FA">
        <w:rPr>
          <w:rFonts w:ascii="Times New Roman" w:eastAsia="Times New Roman" w:hAnsi="Times New Roman" w:cs="Times New Roman"/>
          <w:sz w:val="24"/>
          <w:szCs w:val="24"/>
          <w:lang w:val="en-US" w:eastAsia="fr-BE"/>
        </w:rPr>
        <w:t xml:space="preserve">, vol. </w:t>
      </w:r>
      <w:r w:rsidRPr="00D003FA">
        <w:rPr>
          <w:rFonts w:ascii="Times New Roman" w:eastAsia="Times New Roman" w:hAnsi="Times New Roman" w:cs="Times New Roman"/>
          <w:sz w:val="24"/>
          <w:szCs w:val="24"/>
          <w:lang w:eastAsia="fr-BE"/>
        </w:rPr>
        <w:t>II, ed. A. Pichot, Paris, Gallimard, 1994, chap. V, pp. 319–320.</w:t>
      </w:r>
    </w:p>
    <w:p w:rsidR="00D003FA" w:rsidRPr="00D003FA" w:rsidRDefault="00D003FA" w:rsidP="00C37351">
      <w:pPr>
        <w:pStyle w:val="Paragraphedeliste"/>
        <w:numPr>
          <w:ilvl w:val="0"/>
          <w:numId w:val="1"/>
        </w:numPr>
        <w:spacing w:after="0" w:line="360" w:lineRule="auto"/>
        <w:ind w:left="0"/>
        <w:rPr>
          <w:rFonts w:ascii="Times New Roman" w:eastAsia="Times New Roman" w:hAnsi="Times New Roman" w:cs="Times New Roman"/>
          <w:sz w:val="24"/>
          <w:szCs w:val="24"/>
          <w:lang w:val="en-US" w:eastAsia="fr-BE"/>
        </w:rPr>
      </w:pPr>
      <w:r w:rsidRPr="00D003FA">
        <w:rPr>
          <w:rFonts w:ascii="Times New Roman" w:eastAsia="Times New Roman" w:hAnsi="Times New Roman" w:cs="Times New Roman"/>
          <w:sz w:val="24"/>
          <w:szCs w:val="24"/>
          <w:lang w:val="en-US" w:eastAsia="fr-BE"/>
        </w:rPr>
        <w:t>Ibid.: “abstain from all things that breed phlegmon, like fruits, pottage, cheese, fish, herbs, waterfowl, sadness,” etc.</w:t>
      </w:r>
    </w:p>
    <w:p w:rsidR="00D003FA" w:rsidRPr="00D003FA" w:rsidRDefault="00D003FA" w:rsidP="00C37351">
      <w:pPr>
        <w:pStyle w:val="Paragraphedeliste"/>
        <w:numPr>
          <w:ilvl w:val="0"/>
          <w:numId w:val="1"/>
        </w:numPr>
        <w:spacing w:after="0" w:line="360" w:lineRule="auto"/>
        <w:ind w:left="0"/>
        <w:rPr>
          <w:rFonts w:ascii="Times New Roman" w:eastAsia="Times New Roman" w:hAnsi="Times New Roman" w:cs="Times New Roman"/>
          <w:sz w:val="24"/>
          <w:szCs w:val="24"/>
          <w:lang w:val="en-US" w:eastAsia="fr-BE"/>
        </w:rPr>
      </w:pPr>
      <w:r w:rsidRPr="00D003FA">
        <w:rPr>
          <w:rFonts w:ascii="Times New Roman" w:eastAsia="Times New Roman" w:hAnsi="Times New Roman" w:cs="Times New Roman"/>
          <w:i/>
          <w:iCs/>
          <w:sz w:val="24"/>
          <w:szCs w:val="24"/>
          <w:lang w:eastAsia="fr-BE"/>
        </w:rPr>
        <w:t>Op. cit.</w:t>
      </w:r>
      <w:r w:rsidRPr="00D003FA">
        <w:rPr>
          <w:rFonts w:ascii="Times New Roman" w:eastAsia="Times New Roman" w:hAnsi="Times New Roman" w:cs="Times New Roman"/>
          <w:sz w:val="24"/>
          <w:szCs w:val="24"/>
          <w:lang w:eastAsia="fr-BE"/>
        </w:rPr>
        <w:t xml:space="preserve">, pp. 115–118: “Chap. XVI. </w:t>
      </w:r>
      <w:r w:rsidRPr="00D003FA">
        <w:rPr>
          <w:rFonts w:ascii="Times New Roman" w:eastAsia="Times New Roman" w:hAnsi="Times New Roman" w:cs="Times New Roman"/>
          <w:sz w:val="24"/>
          <w:szCs w:val="24"/>
          <w:lang w:val="en-US" w:eastAsia="fr-BE"/>
        </w:rPr>
        <w:t xml:space="preserve">On Cancer, which the Greeks called </w:t>
      </w:r>
      <w:r w:rsidRPr="00D003FA">
        <w:rPr>
          <w:rFonts w:ascii="Times New Roman" w:eastAsia="Times New Roman" w:hAnsi="Times New Roman" w:cs="Times New Roman"/>
          <w:i/>
          <w:iCs/>
          <w:sz w:val="24"/>
          <w:szCs w:val="24"/>
          <w:lang w:val="en-US" w:eastAsia="fr-BE"/>
        </w:rPr>
        <w:t>Carsinoma</w:t>
      </w:r>
      <w:r w:rsidRPr="00D003FA">
        <w:rPr>
          <w:rFonts w:ascii="Times New Roman" w:eastAsia="Times New Roman" w:hAnsi="Times New Roman" w:cs="Times New Roman"/>
          <w:sz w:val="24"/>
          <w:szCs w:val="24"/>
          <w:lang w:val="en-US" w:eastAsia="fr-BE"/>
        </w:rPr>
        <w:t xml:space="preserve">”; “jusquiame, plantain, lettuce, endive, sorrel,” etc. See Droixhe, </w:t>
      </w:r>
      <w:r w:rsidRPr="00D003FA">
        <w:rPr>
          <w:rFonts w:ascii="Times New Roman" w:eastAsia="Times New Roman" w:hAnsi="Times New Roman" w:cs="Times New Roman"/>
          <w:i/>
          <w:iCs/>
          <w:sz w:val="24"/>
          <w:szCs w:val="24"/>
          <w:lang w:val="en-US" w:eastAsia="fr-BE"/>
        </w:rPr>
        <w:t>Alimentation et maladie</w:t>
      </w:r>
      <w:r w:rsidRPr="00D003FA">
        <w:rPr>
          <w:rFonts w:ascii="Times New Roman" w:eastAsia="Times New Roman" w:hAnsi="Times New Roman" w:cs="Times New Roman"/>
          <w:sz w:val="24"/>
          <w:szCs w:val="24"/>
          <w:lang w:val="en-US" w:eastAsia="fr-BE"/>
        </w:rPr>
        <w:t xml:space="preserve">, </w:t>
      </w:r>
      <w:r w:rsidRPr="00D003FA">
        <w:rPr>
          <w:rFonts w:ascii="Times New Roman" w:eastAsia="Times New Roman" w:hAnsi="Times New Roman" w:cs="Times New Roman"/>
          <w:i/>
          <w:iCs/>
          <w:sz w:val="24"/>
          <w:szCs w:val="24"/>
          <w:lang w:val="en-US" w:eastAsia="fr-BE"/>
        </w:rPr>
        <w:t>op. cit.</w:t>
      </w:r>
      <w:r w:rsidRPr="00D003FA">
        <w:rPr>
          <w:rFonts w:ascii="Times New Roman" w:eastAsia="Times New Roman" w:hAnsi="Times New Roman" w:cs="Times New Roman"/>
          <w:sz w:val="24"/>
          <w:szCs w:val="24"/>
          <w:lang w:val="en-US" w:eastAsia="fr-BE"/>
        </w:rPr>
        <w:t>, p. 67: “Chap. 6. Les céréales,” concerning a patient afflicted with hemoptysis and pulmonary disease.</w:t>
      </w:r>
    </w:p>
    <w:p w:rsidR="00D003FA" w:rsidRPr="00D003FA" w:rsidRDefault="00D003FA" w:rsidP="00C37351">
      <w:pPr>
        <w:pStyle w:val="Paragraphedeliste"/>
        <w:numPr>
          <w:ilvl w:val="0"/>
          <w:numId w:val="1"/>
        </w:numPr>
        <w:spacing w:after="0" w:line="360" w:lineRule="auto"/>
        <w:ind w:left="0"/>
        <w:rPr>
          <w:rFonts w:ascii="Times New Roman" w:eastAsia="Times New Roman" w:hAnsi="Times New Roman" w:cs="Times New Roman"/>
          <w:sz w:val="24"/>
          <w:szCs w:val="24"/>
          <w:lang w:val="en-US" w:eastAsia="fr-BE"/>
        </w:rPr>
      </w:pPr>
      <w:r w:rsidRPr="00D003FA">
        <w:rPr>
          <w:rFonts w:ascii="Times New Roman" w:eastAsia="Times New Roman" w:hAnsi="Times New Roman" w:cs="Times New Roman"/>
          <w:sz w:val="24"/>
          <w:szCs w:val="24"/>
          <w:lang w:val="en-US" w:eastAsia="fr-BE"/>
        </w:rPr>
        <w:t xml:space="preserve">R. Solenander, </w:t>
      </w:r>
      <w:r w:rsidRPr="00D003FA">
        <w:rPr>
          <w:rFonts w:ascii="Times New Roman" w:eastAsia="Times New Roman" w:hAnsi="Times New Roman" w:cs="Times New Roman"/>
          <w:i/>
          <w:iCs/>
          <w:sz w:val="24"/>
          <w:szCs w:val="24"/>
          <w:lang w:val="en-US" w:eastAsia="fr-BE"/>
        </w:rPr>
        <w:t>Consiliorum medicinalium. Editio secunda</w:t>
      </w:r>
      <w:r w:rsidRPr="00D003FA">
        <w:rPr>
          <w:rFonts w:ascii="Times New Roman" w:eastAsia="Times New Roman" w:hAnsi="Times New Roman" w:cs="Times New Roman"/>
          <w:sz w:val="24"/>
          <w:szCs w:val="24"/>
          <w:lang w:val="en-US" w:eastAsia="fr-BE"/>
        </w:rPr>
        <w:t xml:space="preserve">, Hanover, Typis Wechelianis apud Claudium Marnium et heredem Ioan. Aubrii, 1609, p. 105: “Consilium XXV. In cutis defoedatione et principio elephantiasis, et aliquos aliis affectibus, datum honesta mulieri Lugdunensi.” See M. Biesbrouck, T. Goddeeris and O. Steeno, “Reiner Solenander (1524–1601): an important sixteenth-century medical practitioner and his original report of Vesalius’ death in 1564,” </w:t>
      </w:r>
      <w:r w:rsidRPr="00D003FA">
        <w:rPr>
          <w:rFonts w:ascii="Times New Roman" w:eastAsia="Times New Roman" w:hAnsi="Times New Roman" w:cs="Times New Roman"/>
          <w:i/>
          <w:iCs/>
          <w:sz w:val="24"/>
          <w:szCs w:val="24"/>
          <w:lang w:val="en-US" w:eastAsia="fr-BE"/>
        </w:rPr>
        <w:t>Acta Medico-historica Adriatica</w:t>
      </w:r>
      <w:r w:rsidRPr="00D003FA">
        <w:rPr>
          <w:rFonts w:ascii="Times New Roman" w:eastAsia="Times New Roman" w:hAnsi="Times New Roman" w:cs="Times New Roman"/>
          <w:sz w:val="24"/>
          <w:szCs w:val="24"/>
          <w:lang w:val="en-US" w:eastAsia="fr-BE"/>
        </w:rPr>
        <w:t>, 13/2 (2015), pp. 265–286.</w:t>
      </w:r>
    </w:p>
    <w:p w:rsidR="00D003FA" w:rsidRPr="00D003FA" w:rsidRDefault="00D003FA" w:rsidP="00C37351">
      <w:pPr>
        <w:pStyle w:val="Paragraphedeliste"/>
        <w:numPr>
          <w:ilvl w:val="0"/>
          <w:numId w:val="1"/>
        </w:numPr>
        <w:spacing w:after="0" w:line="360" w:lineRule="auto"/>
        <w:ind w:left="0"/>
        <w:rPr>
          <w:rFonts w:ascii="Times New Roman" w:eastAsia="Times New Roman" w:hAnsi="Times New Roman" w:cs="Times New Roman"/>
          <w:sz w:val="24"/>
          <w:szCs w:val="24"/>
          <w:lang w:eastAsia="fr-BE"/>
        </w:rPr>
      </w:pPr>
      <w:r w:rsidRPr="00D003FA">
        <w:rPr>
          <w:rFonts w:ascii="Times New Roman" w:eastAsia="Times New Roman" w:hAnsi="Times New Roman" w:cs="Times New Roman"/>
          <w:sz w:val="24"/>
          <w:szCs w:val="24"/>
          <w:lang w:eastAsia="fr-BE"/>
        </w:rPr>
        <w:t xml:space="preserve">Solenander, </w:t>
      </w:r>
      <w:r w:rsidRPr="000F41C2">
        <w:rPr>
          <w:rFonts w:ascii="Times New Roman" w:eastAsia="Times New Roman" w:hAnsi="Times New Roman" w:cs="Times New Roman"/>
          <w:i/>
          <w:sz w:val="24"/>
          <w:szCs w:val="24"/>
          <w:lang w:eastAsia="fr-BE"/>
        </w:rPr>
        <w:t>ibid</w:t>
      </w:r>
      <w:r w:rsidRPr="00D003FA">
        <w:rPr>
          <w:rFonts w:ascii="Times New Roman" w:eastAsia="Times New Roman" w:hAnsi="Times New Roman" w:cs="Times New Roman"/>
          <w:sz w:val="24"/>
          <w:szCs w:val="24"/>
          <w:lang w:eastAsia="fr-BE"/>
        </w:rPr>
        <w:t>.: “</w:t>
      </w:r>
      <w:r w:rsidRPr="00D003FA">
        <w:rPr>
          <w:rFonts w:ascii="Times New Roman" w:eastAsia="Times New Roman" w:hAnsi="Times New Roman" w:cs="Times New Roman"/>
          <w:i/>
          <w:iCs/>
          <w:sz w:val="24"/>
          <w:szCs w:val="24"/>
          <w:lang w:eastAsia="fr-BE"/>
        </w:rPr>
        <w:t>Pisces carne glutinosa, lacustres, et in fluminibus circa urbes capti</w:t>
      </w:r>
      <w:r w:rsidRPr="00D003FA">
        <w:rPr>
          <w:rFonts w:ascii="Times New Roman" w:eastAsia="Times New Roman" w:hAnsi="Times New Roman" w:cs="Times New Roman"/>
          <w:sz w:val="24"/>
          <w:szCs w:val="24"/>
          <w:lang w:eastAsia="fr-BE"/>
        </w:rPr>
        <w:t>.”</w:t>
      </w:r>
    </w:p>
    <w:p w:rsidR="00D003FA" w:rsidRPr="00D003FA" w:rsidRDefault="00D003FA" w:rsidP="00C37351">
      <w:pPr>
        <w:pStyle w:val="Paragraphedeliste"/>
        <w:numPr>
          <w:ilvl w:val="0"/>
          <w:numId w:val="1"/>
        </w:numPr>
        <w:spacing w:after="0" w:line="360" w:lineRule="auto"/>
        <w:ind w:left="0"/>
        <w:rPr>
          <w:rFonts w:ascii="Times New Roman" w:eastAsia="Times New Roman" w:hAnsi="Times New Roman" w:cs="Times New Roman"/>
          <w:sz w:val="24"/>
          <w:szCs w:val="24"/>
          <w:lang w:eastAsia="fr-BE"/>
        </w:rPr>
      </w:pPr>
      <w:r w:rsidRPr="00D003FA">
        <w:rPr>
          <w:rFonts w:ascii="Times New Roman" w:eastAsia="Times New Roman" w:hAnsi="Times New Roman" w:cs="Times New Roman"/>
          <w:sz w:val="24"/>
          <w:szCs w:val="24"/>
          <w:lang w:eastAsia="fr-BE"/>
        </w:rPr>
        <w:t xml:space="preserve">Solenander, </w:t>
      </w:r>
      <w:r w:rsidRPr="000F41C2">
        <w:rPr>
          <w:rFonts w:ascii="Times New Roman" w:eastAsia="Times New Roman" w:hAnsi="Times New Roman" w:cs="Times New Roman"/>
          <w:i/>
          <w:sz w:val="24"/>
          <w:szCs w:val="24"/>
          <w:lang w:eastAsia="fr-BE"/>
        </w:rPr>
        <w:t>ibid</w:t>
      </w:r>
      <w:r w:rsidRPr="00D003FA">
        <w:rPr>
          <w:rFonts w:ascii="Times New Roman" w:eastAsia="Times New Roman" w:hAnsi="Times New Roman" w:cs="Times New Roman"/>
          <w:sz w:val="24"/>
          <w:szCs w:val="24"/>
          <w:lang w:eastAsia="fr-BE"/>
        </w:rPr>
        <w:t>.: “</w:t>
      </w:r>
      <w:r w:rsidRPr="00D003FA">
        <w:rPr>
          <w:rFonts w:ascii="Times New Roman" w:eastAsia="Times New Roman" w:hAnsi="Times New Roman" w:cs="Times New Roman"/>
          <w:i/>
          <w:iCs/>
          <w:sz w:val="24"/>
          <w:szCs w:val="24"/>
          <w:lang w:eastAsia="fr-BE"/>
        </w:rPr>
        <w:t>Abstinendum est ei igitur ab omni cibo humorem melancholicum generante, a viscido, falso, acuto, crassi quoque nutrimenti. In hoc numero sunt carnes magnorum animalium, maxime sale aut fumo asservatae, qualis bubula, et ea paulo minus porcina, leporina, caprina</w:t>
      </w:r>
      <w:r w:rsidRPr="00D003FA">
        <w:rPr>
          <w:rFonts w:ascii="Times New Roman" w:eastAsia="Times New Roman" w:hAnsi="Times New Roman" w:cs="Times New Roman"/>
          <w:sz w:val="24"/>
          <w:szCs w:val="24"/>
          <w:lang w:eastAsia="fr-BE"/>
        </w:rPr>
        <w:t>,” etc.</w:t>
      </w:r>
    </w:p>
    <w:p w:rsidR="00D003FA" w:rsidRPr="00D003FA" w:rsidRDefault="00D003FA" w:rsidP="00C37351">
      <w:pPr>
        <w:pStyle w:val="Paragraphedeliste"/>
        <w:numPr>
          <w:ilvl w:val="0"/>
          <w:numId w:val="1"/>
        </w:numPr>
        <w:spacing w:after="0" w:line="360" w:lineRule="auto"/>
        <w:ind w:left="0"/>
        <w:rPr>
          <w:rFonts w:ascii="Times New Roman" w:eastAsia="Times New Roman" w:hAnsi="Times New Roman" w:cs="Times New Roman"/>
          <w:sz w:val="24"/>
          <w:szCs w:val="24"/>
          <w:lang w:val="en-US" w:eastAsia="fr-BE"/>
        </w:rPr>
      </w:pPr>
      <w:r w:rsidRPr="00D003FA">
        <w:rPr>
          <w:rFonts w:ascii="Times New Roman" w:eastAsia="Times New Roman" w:hAnsi="Times New Roman" w:cs="Times New Roman"/>
          <w:sz w:val="24"/>
          <w:szCs w:val="24"/>
          <w:lang w:eastAsia="fr-BE"/>
        </w:rPr>
        <w:t xml:space="preserve">Solenander, </w:t>
      </w:r>
      <w:r w:rsidRPr="000F41C2">
        <w:rPr>
          <w:rFonts w:ascii="Times New Roman" w:eastAsia="Times New Roman" w:hAnsi="Times New Roman" w:cs="Times New Roman"/>
          <w:i/>
          <w:sz w:val="24"/>
          <w:szCs w:val="24"/>
          <w:lang w:eastAsia="fr-BE"/>
        </w:rPr>
        <w:t>ibid</w:t>
      </w:r>
      <w:r w:rsidRPr="00D003FA">
        <w:rPr>
          <w:rFonts w:ascii="Times New Roman" w:eastAsia="Times New Roman" w:hAnsi="Times New Roman" w:cs="Times New Roman"/>
          <w:sz w:val="24"/>
          <w:szCs w:val="24"/>
          <w:lang w:eastAsia="fr-BE"/>
        </w:rPr>
        <w:t>.: “</w:t>
      </w:r>
      <w:r w:rsidRPr="00D003FA">
        <w:rPr>
          <w:rFonts w:ascii="Times New Roman" w:eastAsia="Times New Roman" w:hAnsi="Times New Roman" w:cs="Times New Roman"/>
          <w:i/>
          <w:iCs/>
          <w:sz w:val="24"/>
          <w:szCs w:val="24"/>
          <w:lang w:eastAsia="fr-BE"/>
        </w:rPr>
        <w:t xml:space="preserve">Legumina omnia, maxime lens et faba. </w:t>
      </w:r>
      <w:r w:rsidRPr="00D003FA">
        <w:rPr>
          <w:rFonts w:ascii="Times New Roman" w:eastAsia="Times New Roman" w:hAnsi="Times New Roman" w:cs="Times New Roman"/>
          <w:i/>
          <w:iCs/>
          <w:sz w:val="24"/>
          <w:szCs w:val="24"/>
          <w:lang w:val="en-US" w:eastAsia="fr-BE"/>
        </w:rPr>
        <w:t xml:space="preserve">In herbis fere sola brassica. </w:t>
      </w:r>
      <w:r w:rsidRPr="00D003FA">
        <w:rPr>
          <w:rFonts w:ascii="Times New Roman" w:eastAsia="Times New Roman" w:hAnsi="Times New Roman" w:cs="Times New Roman"/>
          <w:i/>
          <w:iCs/>
          <w:sz w:val="24"/>
          <w:szCs w:val="24"/>
          <w:lang w:eastAsia="fr-BE"/>
        </w:rPr>
        <w:t>Tamen caloris ratione relinqui volo quasdam alias, ut erucam, raphanum, et quam dragonem vulgo vocant, caepas, allia, porrum</w:t>
      </w:r>
      <w:r w:rsidRPr="00D003FA">
        <w:rPr>
          <w:rFonts w:ascii="Times New Roman" w:eastAsia="Times New Roman" w:hAnsi="Times New Roman" w:cs="Times New Roman"/>
          <w:sz w:val="24"/>
          <w:szCs w:val="24"/>
          <w:lang w:eastAsia="fr-BE"/>
        </w:rPr>
        <w:t xml:space="preserve">.” </w:t>
      </w:r>
      <w:r w:rsidRPr="00D003FA">
        <w:rPr>
          <w:rFonts w:ascii="Times New Roman" w:eastAsia="Times New Roman" w:hAnsi="Times New Roman" w:cs="Times New Roman"/>
          <w:sz w:val="24"/>
          <w:szCs w:val="24"/>
          <w:lang w:val="en-US" w:eastAsia="fr-BE"/>
        </w:rPr>
        <w:t xml:space="preserve">On arugula, see D. Adams, M. Collart, D. Droixhe, “Vegetable love. Prospero Calano’s libidinal food gallery (1538–1549),” </w:t>
      </w:r>
      <w:r w:rsidRPr="00D003FA">
        <w:rPr>
          <w:rFonts w:ascii="Times New Roman" w:eastAsia="Times New Roman" w:hAnsi="Times New Roman" w:cs="Times New Roman"/>
          <w:i/>
          <w:iCs/>
          <w:sz w:val="24"/>
          <w:szCs w:val="24"/>
          <w:lang w:val="en-US" w:eastAsia="fr-BE"/>
        </w:rPr>
        <w:t>Advances in Nutrition and Food Science</w:t>
      </w:r>
      <w:r w:rsidRPr="00D003FA">
        <w:rPr>
          <w:rFonts w:ascii="Times New Roman" w:eastAsia="Times New Roman" w:hAnsi="Times New Roman" w:cs="Times New Roman"/>
          <w:sz w:val="24"/>
          <w:szCs w:val="24"/>
          <w:lang w:val="en-US" w:eastAsia="fr-BE"/>
        </w:rPr>
        <w:t>, 2020 — online.</w:t>
      </w:r>
    </w:p>
    <w:p w:rsidR="00D003FA" w:rsidRPr="00D003FA" w:rsidRDefault="00D003FA" w:rsidP="00C37351">
      <w:pPr>
        <w:pStyle w:val="Paragraphedeliste"/>
        <w:numPr>
          <w:ilvl w:val="0"/>
          <w:numId w:val="1"/>
        </w:numPr>
        <w:spacing w:after="0" w:line="360" w:lineRule="auto"/>
        <w:ind w:left="0"/>
        <w:rPr>
          <w:rFonts w:ascii="Times New Roman" w:eastAsia="Times New Roman" w:hAnsi="Times New Roman" w:cs="Times New Roman"/>
          <w:sz w:val="24"/>
          <w:szCs w:val="24"/>
          <w:lang w:eastAsia="fr-BE"/>
        </w:rPr>
      </w:pPr>
      <w:r w:rsidRPr="00D003FA">
        <w:rPr>
          <w:rFonts w:ascii="Times New Roman" w:eastAsia="Times New Roman" w:hAnsi="Times New Roman" w:cs="Times New Roman"/>
          <w:sz w:val="24"/>
          <w:szCs w:val="24"/>
          <w:lang w:eastAsia="fr-BE"/>
        </w:rPr>
        <w:t xml:space="preserve">V. Boudier, </w:t>
      </w:r>
      <w:r w:rsidRPr="00D003FA">
        <w:rPr>
          <w:rFonts w:ascii="Times New Roman" w:eastAsia="Times New Roman" w:hAnsi="Times New Roman" w:cs="Times New Roman"/>
          <w:i/>
          <w:iCs/>
          <w:sz w:val="24"/>
          <w:szCs w:val="24"/>
          <w:lang w:eastAsia="fr-BE"/>
        </w:rPr>
        <w:t>La cuisine du peintre. Scène de genre et nourriture au Cinquecento</w:t>
      </w:r>
      <w:r w:rsidRPr="00D003FA">
        <w:rPr>
          <w:rFonts w:ascii="Times New Roman" w:eastAsia="Times New Roman" w:hAnsi="Times New Roman" w:cs="Times New Roman"/>
          <w:sz w:val="24"/>
          <w:szCs w:val="24"/>
          <w:lang w:eastAsia="fr-BE"/>
        </w:rPr>
        <w:t>, Rennes/Tours, Presses de l’université François Rabelais and Presses universitaires de Rennes, 2010.</w:t>
      </w:r>
    </w:p>
    <w:p w:rsidR="00D003FA" w:rsidRPr="00D003FA" w:rsidRDefault="00D003FA" w:rsidP="00C37351">
      <w:pPr>
        <w:pStyle w:val="Paragraphedeliste"/>
        <w:numPr>
          <w:ilvl w:val="0"/>
          <w:numId w:val="1"/>
        </w:numPr>
        <w:spacing w:after="0" w:line="360" w:lineRule="auto"/>
        <w:ind w:left="0"/>
        <w:rPr>
          <w:rFonts w:ascii="Times New Roman" w:eastAsia="Times New Roman" w:hAnsi="Times New Roman" w:cs="Times New Roman"/>
          <w:sz w:val="24"/>
          <w:szCs w:val="24"/>
          <w:lang w:eastAsia="fr-BE"/>
        </w:rPr>
      </w:pPr>
      <w:r w:rsidRPr="00D003FA">
        <w:rPr>
          <w:rFonts w:ascii="Times New Roman" w:eastAsia="Times New Roman" w:hAnsi="Times New Roman" w:cs="Times New Roman"/>
          <w:sz w:val="24"/>
          <w:szCs w:val="24"/>
          <w:lang w:val="en-US" w:eastAsia="fr-BE"/>
        </w:rPr>
        <w:t xml:space="preserve">D. Adams, M. Collart and D. Droixhe, “Acceptable poultry. </w:t>
      </w:r>
      <w:r w:rsidRPr="00D003FA">
        <w:rPr>
          <w:rFonts w:ascii="Times New Roman" w:eastAsia="Times New Roman" w:hAnsi="Times New Roman" w:cs="Times New Roman"/>
          <w:sz w:val="24"/>
          <w:szCs w:val="24"/>
          <w:lang w:eastAsia="fr-BE"/>
        </w:rPr>
        <w:t xml:space="preserve">Diet and taste in La Framboisière’s </w:t>
      </w:r>
      <w:r w:rsidRPr="00D003FA">
        <w:rPr>
          <w:rFonts w:ascii="Times New Roman" w:eastAsia="Times New Roman" w:hAnsi="Times New Roman" w:cs="Times New Roman"/>
          <w:i/>
          <w:iCs/>
          <w:sz w:val="24"/>
          <w:szCs w:val="24"/>
          <w:lang w:eastAsia="fr-BE"/>
        </w:rPr>
        <w:t>Le Gouvernement nécessaire à chacun pour vivre longuement en santé</w:t>
      </w:r>
      <w:r w:rsidRPr="00D003FA">
        <w:rPr>
          <w:rFonts w:ascii="Times New Roman" w:eastAsia="Times New Roman" w:hAnsi="Times New Roman" w:cs="Times New Roman"/>
          <w:sz w:val="24"/>
          <w:szCs w:val="24"/>
          <w:lang w:eastAsia="fr-BE"/>
        </w:rPr>
        <w:t xml:space="preserve"> (1600),” </w:t>
      </w:r>
      <w:r w:rsidRPr="00D003FA">
        <w:rPr>
          <w:rFonts w:ascii="Times New Roman" w:eastAsia="Times New Roman" w:hAnsi="Times New Roman" w:cs="Times New Roman"/>
          <w:i/>
          <w:iCs/>
          <w:sz w:val="24"/>
          <w:szCs w:val="24"/>
          <w:lang w:eastAsia="fr-BE"/>
        </w:rPr>
        <w:t>Advances in Nutrition and Food Science</w:t>
      </w:r>
      <w:r w:rsidRPr="00D003FA">
        <w:rPr>
          <w:rFonts w:ascii="Times New Roman" w:eastAsia="Times New Roman" w:hAnsi="Times New Roman" w:cs="Times New Roman"/>
          <w:sz w:val="24"/>
          <w:szCs w:val="24"/>
          <w:lang w:eastAsia="fr-BE"/>
        </w:rPr>
        <w:t>, 2020 — online.</w:t>
      </w:r>
    </w:p>
    <w:p w:rsidR="00D003FA" w:rsidRPr="00D003FA" w:rsidRDefault="00D003FA" w:rsidP="00C37351">
      <w:pPr>
        <w:pStyle w:val="Paragraphedeliste"/>
        <w:numPr>
          <w:ilvl w:val="0"/>
          <w:numId w:val="1"/>
        </w:numPr>
        <w:pBdr>
          <w:bottom w:val="single" w:sz="6" w:space="1" w:color="auto"/>
        </w:pBdr>
        <w:spacing w:after="0" w:line="360" w:lineRule="auto"/>
        <w:ind w:left="0"/>
        <w:jc w:val="center"/>
        <w:rPr>
          <w:rFonts w:ascii="Arial" w:eastAsia="Times New Roman" w:hAnsi="Arial" w:cs="Arial"/>
          <w:vanish/>
          <w:sz w:val="16"/>
          <w:szCs w:val="16"/>
          <w:lang w:eastAsia="fr-BE"/>
        </w:rPr>
      </w:pPr>
      <w:r w:rsidRPr="00D003FA">
        <w:rPr>
          <w:rFonts w:ascii="Arial" w:eastAsia="Times New Roman" w:hAnsi="Arial" w:cs="Arial"/>
          <w:vanish/>
          <w:sz w:val="16"/>
          <w:szCs w:val="16"/>
          <w:lang w:eastAsia="fr-BE"/>
        </w:rPr>
        <w:t>Haut du formulaire</w:t>
      </w:r>
    </w:p>
    <w:p w:rsidR="00B644BA" w:rsidRPr="00B742DC" w:rsidRDefault="00B644BA" w:rsidP="00C37351">
      <w:pPr>
        <w:spacing w:after="0" w:line="360" w:lineRule="auto"/>
      </w:pPr>
    </w:p>
    <w:sectPr w:rsidR="00B644BA" w:rsidRPr="00B742DC">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04E4" w:rsidRDefault="00DE04E4" w:rsidP="00C37351">
      <w:pPr>
        <w:spacing w:after="0" w:line="240" w:lineRule="auto"/>
      </w:pPr>
      <w:r>
        <w:separator/>
      </w:r>
    </w:p>
  </w:endnote>
  <w:endnote w:type="continuationSeparator" w:id="0">
    <w:p w:rsidR="00DE04E4" w:rsidRDefault="00DE04E4" w:rsidP="00C37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351" w:rsidRDefault="00C37351">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351" w:rsidRDefault="00C37351">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351" w:rsidRDefault="00C37351">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04E4" w:rsidRDefault="00DE04E4" w:rsidP="00C37351">
      <w:pPr>
        <w:spacing w:after="0" w:line="240" w:lineRule="auto"/>
      </w:pPr>
      <w:r>
        <w:separator/>
      </w:r>
    </w:p>
  </w:footnote>
  <w:footnote w:type="continuationSeparator" w:id="0">
    <w:p w:rsidR="00DE04E4" w:rsidRDefault="00DE04E4" w:rsidP="00C373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351" w:rsidRDefault="00C37351">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2592933"/>
      <w:docPartObj>
        <w:docPartGallery w:val="Page Numbers (Top of Page)"/>
        <w:docPartUnique/>
      </w:docPartObj>
    </w:sdtPr>
    <w:sdtEndPr/>
    <w:sdtContent>
      <w:p w:rsidR="00C37351" w:rsidRDefault="00C37351">
        <w:pPr>
          <w:pStyle w:val="En-tte"/>
          <w:jc w:val="center"/>
        </w:pPr>
        <w:r>
          <w:fldChar w:fldCharType="begin"/>
        </w:r>
        <w:r>
          <w:instrText>PAGE   \* MERGEFORMAT</w:instrText>
        </w:r>
        <w:r>
          <w:fldChar w:fldCharType="separate"/>
        </w:r>
        <w:r w:rsidR="00DE04E4" w:rsidRPr="00DE04E4">
          <w:rPr>
            <w:noProof/>
            <w:lang w:val="fr-FR"/>
          </w:rPr>
          <w:t>1</w:t>
        </w:r>
        <w:r>
          <w:fldChar w:fldCharType="end"/>
        </w:r>
      </w:p>
    </w:sdtContent>
  </w:sdt>
  <w:p w:rsidR="00C37351" w:rsidRDefault="00C37351">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351" w:rsidRDefault="00C37351">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138A3"/>
    <w:multiLevelType w:val="multilevel"/>
    <w:tmpl w:val="074C4172"/>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FE75AA"/>
    <w:multiLevelType w:val="multilevel"/>
    <w:tmpl w:val="A044EB2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CE3228"/>
    <w:multiLevelType w:val="multilevel"/>
    <w:tmpl w:val="F6EC629A"/>
    <w:lvl w:ilvl="0">
      <w:start w:val="1"/>
      <w:numFmt w:val="decimal"/>
      <w:lvlText w:val="%1."/>
      <w:lvlJc w:val="left"/>
      <w:pPr>
        <w:tabs>
          <w:tab w:val="num" w:pos="786"/>
        </w:tabs>
        <w:ind w:left="786"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F65937"/>
    <w:multiLevelType w:val="multilevel"/>
    <w:tmpl w:val="9AE26D98"/>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C8A1C75"/>
    <w:multiLevelType w:val="multilevel"/>
    <w:tmpl w:val="CF94FBA6"/>
    <w:lvl w:ilvl="0">
      <w:start w:val="2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882"/>
    <w:rsid w:val="00066ECC"/>
    <w:rsid w:val="000F41C2"/>
    <w:rsid w:val="001F6168"/>
    <w:rsid w:val="00313A54"/>
    <w:rsid w:val="004602E1"/>
    <w:rsid w:val="0080588F"/>
    <w:rsid w:val="00A835F9"/>
    <w:rsid w:val="00B644BA"/>
    <w:rsid w:val="00B742DC"/>
    <w:rsid w:val="00C37351"/>
    <w:rsid w:val="00CA7882"/>
    <w:rsid w:val="00CD7DDC"/>
    <w:rsid w:val="00D003FA"/>
    <w:rsid w:val="00DE04E4"/>
    <w:rsid w:val="00EE2079"/>
    <w:rsid w:val="00F508F9"/>
    <w:rsid w:val="00F554D9"/>
    <w:rsid w:val="00F61B9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C6E1E"/>
  <w15:chartTrackingRefBased/>
  <w15:docId w15:val="{81C6A027-D0B2-4226-AA90-D8AF9E6D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B742D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paragraph" w:styleId="Titre2">
    <w:name w:val="heading 2"/>
    <w:basedOn w:val="Normal"/>
    <w:link w:val="Titre2Car"/>
    <w:uiPriority w:val="9"/>
    <w:qFormat/>
    <w:rsid w:val="00B742DC"/>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paragraph" w:styleId="Titre3">
    <w:name w:val="heading 3"/>
    <w:basedOn w:val="Normal"/>
    <w:next w:val="Normal"/>
    <w:link w:val="Titre3Car"/>
    <w:uiPriority w:val="9"/>
    <w:semiHidden/>
    <w:unhideWhenUsed/>
    <w:qFormat/>
    <w:rsid w:val="00B742D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742DC"/>
    <w:rPr>
      <w:rFonts w:ascii="Times New Roman" w:eastAsia="Times New Roman" w:hAnsi="Times New Roman" w:cs="Times New Roman"/>
      <w:b/>
      <w:bCs/>
      <w:kern w:val="36"/>
      <w:sz w:val="48"/>
      <w:szCs w:val="48"/>
      <w:lang w:eastAsia="fr-BE"/>
    </w:rPr>
  </w:style>
  <w:style w:type="character" w:customStyle="1" w:styleId="Titre2Car">
    <w:name w:val="Titre 2 Car"/>
    <w:basedOn w:val="Policepardfaut"/>
    <w:link w:val="Titre2"/>
    <w:uiPriority w:val="9"/>
    <w:rsid w:val="00B742DC"/>
    <w:rPr>
      <w:rFonts w:ascii="Times New Roman" w:eastAsia="Times New Roman" w:hAnsi="Times New Roman" w:cs="Times New Roman"/>
      <w:b/>
      <w:bCs/>
      <w:sz w:val="36"/>
      <w:szCs w:val="36"/>
      <w:lang w:eastAsia="fr-BE"/>
    </w:rPr>
  </w:style>
  <w:style w:type="paragraph" w:styleId="NormalWeb">
    <w:name w:val="Normal (Web)"/>
    <w:basedOn w:val="Normal"/>
    <w:uiPriority w:val="99"/>
    <w:unhideWhenUsed/>
    <w:rsid w:val="00B742DC"/>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B742DC"/>
    <w:rPr>
      <w:b/>
      <w:bCs/>
    </w:rPr>
  </w:style>
  <w:style w:type="character" w:styleId="Accentuation">
    <w:name w:val="Emphasis"/>
    <w:basedOn w:val="Policepardfaut"/>
    <w:uiPriority w:val="20"/>
    <w:qFormat/>
    <w:rsid w:val="00B742DC"/>
    <w:rPr>
      <w:i/>
      <w:iCs/>
    </w:rPr>
  </w:style>
  <w:style w:type="character" w:customStyle="1" w:styleId="Titre3Car">
    <w:name w:val="Titre 3 Car"/>
    <w:basedOn w:val="Policepardfaut"/>
    <w:link w:val="Titre3"/>
    <w:uiPriority w:val="9"/>
    <w:semiHidden/>
    <w:rsid w:val="00B742DC"/>
    <w:rPr>
      <w:rFonts w:asciiTheme="majorHAnsi" w:eastAsiaTheme="majorEastAsia" w:hAnsiTheme="majorHAnsi" w:cstheme="majorBidi"/>
      <w:color w:val="1F4D78" w:themeColor="accent1" w:themeShade="7F"/>
      <w:sz w:val="24"/>
      <w:szCs w:val="24"/>
    </w:rPr>
  </w:style>
  <w:style w:type="paragraph" w:styleId="z-Hautduformulaire">
    <w:name w:val="HTML Top of Form"/>
    <w:basedOn w:val="Normal"/>
    <w:next w:val="Normal"/>
    <w:link w:val="z-HautduformulaireCar"/>
    <w:hidden/>
    <w:uiPriority w:val="99"/>
    <w:semiHidden/>
    <w:unhideWhenUsed/>
    <w:rsid w:val="001F6168"/>
    <w:pPr>
      <w:pBdr>
        <w:bottom w:val="single" w:sz="6" w:space="1" w:color="auto"/>
      </w:pBdr>
      <w:spacing w:after="0" w:line="240" w:lineRule="auto"/>
      <w:jc w:val="center"/>
    </w:pPr>
    <w:rPr>
      <w:rFonts w:ascii="Arial" w:eastAsia="Times New Roman" w:hAnsi="Arial" w:cs="Arial"/>
      <w:vanish/>
      <w:sz w:val="16"/>
      <w:szCs w:val="16"/>
      <w:lang w:eastAsia="fr-BE"/>
    </w:rPr>
  </w:style>
  <w:style w:type="character" w:customStyle="1" w:styleId="z-HautduformulaireCar">
    <w:name w:val="z-Haut du formulaire Car"/>
    <w:basedOn w:val="Policepardfaut"/>
    <w:link w:val="z-Hautduformulaire"/>
    <w:uiPriority w:val="99"/>
    <w:semiHidden/>
    <w:rsid w:val="001F6168"/>
    <w:rPr>
      <w:rFonts w:ascii="Arial" w:eastAsia="Times New Roman" w:hAnsi="Arial" w:cs="Arial"/>
      <w:vanish/>
      <w:sz w:val="16"/>
      <w:szCs w:val="16"/>
      <w:lang w:eastAsia="fr-BE"/>
    </w:rPr>
  </w:style>
  <w:style w:type="paragraph" w:customStyle="1" w:styleId="placeholder">
    <w:name w:val="placeholder"/>
    <w:basedOn w:val="Normal"/>
    <w:rsid w:val="001F6168"/>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z-Basduformulaire">
    <w:name w:val="HTML Bottom of Form"/>
    <w:basedOn w:val="Normal"/>
    <w:next w:val="Normal"/>
    <w:link w:val="z-BasduformulaireCar"/>
    <w:hidden/>
    <w:uiPriority w:val="99"/>
    <w:semiHidden/>
    <w:unhideWhenUsed/>
    <w:rsid w:val="001F6168"/>
    <w:pPr>
      <w:pBdr>
        <w:top w:val="single" w:sz="6" w:space="1" w:color="auto"/>
      </w:pBdr>
      <w:spacing w:after="0" w:line="240" w:lineRule="auto"/>
      <w:jc w:val="center"/>
    </w:pPr>
    <w:rPr>
      <w:rFonts w:ascii="Arial" w:eastAsia="Times New Roman" w:hAnsi="Arial" w:cs="Arial"/>
      <w:vanish/>
      <w:sz w:val="16"/>
      <w:szCs w:val="16"/>
      <w:lang w:eastAsia="fr-BE"/>
    </w:rPr>
  </w:style>
  <w:style w:type="character" w:customStyle="1" w:styleId="z-BasduformulaireCar">
    <w:name w:val="z-Bas du formulaire Car"/>
    <w:basedOn w:val="Policepardfaut"/>
    <w:link w:val="z-Basduformulaire"/>
    <w:uiPriority w:val="99"/>
    <w:semiHidden/>
    <w:rsid w:val="001F6168"/>
    <w:rPr>
      <w:rFonts w:ascii="Arial" w:eastAsia="Times New Roman" w:hAnsi="Arial" w:cs="Arial"/>
      <w:vanish/>
      <w:sz w:val="16"/>
      <w:szCs w:val="16"/>
      <w:lang w:eastAsia="fr-BE"/>
    </w:rPr>
  </w:style>
  <w:style w:type="paragraph" w:styleId="Paragraphedeliste">
    <w:name w:val="List Paragraph"/>
    <w:basedOn w:val="Normal"/>
    <w:uiPriority w:val="34"/>
    <w:qFormat/>
    <w:rsid w:val="001F6168"/>
    <w:pPr>
      <w:ind w:left="720"/>
      <w:contextualSpacing/>
    </w:pPr>
  </w:style>
  <w:style w:type="paragraph" w:styleId="En-tte">
    <w:name w:val="header"/>
    <w:basedOn w:val="Normal"/>
    <w:link w:val="En-tteCar"/>
    <w:uiPriority w:val="99"/>
    <w:unhideWhenUsed/>
    <w:rsid w:val="00C37351"/>
    <w:pPr>
      <w:tabs>
        <w:tab w:val="center" w:pos="4536"/>
        <w:tab w:val="right" w:pos="9072"/>
      </w:tabs>
      <w:spacing w:after="0" w:line="240" w:lineRule="auto"/>
    </w:pPr>
  </w:style>
  <w:style w:type="character" w:customStyle="1" w:styleId="En-tteCar">
    <w:name w:val="En-tête Car"/>
    <w:basedOn w:val="Policepardfaut"/>
    <w:link w:val="En-tte"/>
    <w:uiPriority w:val="99"/>
    <w:rsid w:val="00C37351"/>
  </w:style>
  <w:style w:type="paragraph" w:styleId="Pieddepage">
    <w:name w:val="footer"/>
    <w:basedOn w:val="Normal"/>
    <w:link w:val="PieddepageCar"/>
    <w:uiPriority w:val="99"/>
    <w:unhideWhenUsed/>
    <w:rsid w:val="00C373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373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530067">
      <w:bodyDiv w:val="1"/>
      <w:marLeft w:val="0"/>
      <w:marRight w:val="0"/>
      <w:marTop w:val="0"/>
      <w:marBottom w:val="0"/>
      <w:divBdr>
        <w:top w:val="none" w:sz="0" w:space="0" w:color="auto"/>
        <w:left w:val="none" w:sz="0" w:space="0" w:color="auto"/>
        <w:bottom w:val="none" w:sz="0" w:space="0" w:color="auto"/>
        <w:right w:val="none" w:sz="0" w:space="0" w:color="auto"/>
      </w:divBdr>
      <w:divsChild>
        <w:div w:id="228154899">
          <w:blockQuote w:val="1"/>
          <w:marLeft w:val="720"/>
          <w:marRight w:val="720"/>
          <w:marTop w:val="100"/>
          <w:marBottom w:val="100"/>
          <w:divBdr>
            <w:top w:val="none" w:sz="0" w:space="0" w:color="auto"/>
            <w:left w:val="none" w:sz="0" w:space="0" w:color="auto"/>
            <w:bottom w:val="none" w:sz="0" w:space="0" w:color="auto"/>
            <w:right w:val="none" w:sz="0" w:space="0" w:color="auto"/>
          </w:divBdr>
        </w:div>
        <w:div w:id="4277743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428837">
      <w:bodyDiv w:val="1"/>
      <w:marLeft w:val="0"/>
      <w:marRight w:val="0"/>
      <w:marTop w:val="0"/>
      <w:marBottom w:val="0"/>
      <w:divBdr>
        <w:top w:val="none" w:sz="0" w:space="0" w:color="auto"/>
        <w:left w:val="none" w:sz="0" w:space="0" w:color="auto"/>
        <w:bottom w:val="none" w:sz="0" w:space="0" w:color="auto"/>
        <w:right w:val="none" w:sz="0" w:space="0" w:color="auto"/>
      </w:divBdr>
    </w:div>
    <w:div w:id="187110017">
      <w:bodyDiv w:val="1"/>
      <w:marLeft w:val="0"/>
      <w:marRight w:val="0"/>
      <w:marTop w:val="0"/>
      <w:marBottom w:val="0"/>
      <w:divBdr>
        <w:top w:val="none" w:sz="0" w:space="0" w:color="auto"/>
        <w:left w:val="none" w:sz="0" w:space="0" w:color="auto"/>
        <w:bottom w:val="none" w:sz="0" w:space="0" w:color="auto"/>
        <w:right w:val="none" w:sz="0" w:space="0" w:color="auto"/>
      </w:divBdr>
      <w:divsChild>
        <w:div w:id="1398211003">
          <w:marLeft w:val="0"/>
          <w:marRight w:val="0"/>
          <w:marTop w:val="0"/>
          <w:marBottom w:val="0"/>
          <w:divBdr>
            <w:top w:val="none" w:sz="0" w:space="0" w:color="auto"/>
            <w:left w:val="none" w:sz="0" w:space="0" w:color="auto"/>
            <w:bottom w:val="none" w:sz="0" w:space="0" w:color="auto"/>
            <w:right w:val="none" w:sz="0" w:space="0" w:color="auto"/>
          </w:divBdr>
          <w:divsChild>
            <w:div w:id="518542144">
              <w:marLeft w:val="0"/>
              <w:marRight w:val="0"/>
              <w:marTop w:val="0"/>
              <w:marBottom w:val="0"/>
              <w:divBdr>
                <w:top w:val="none" w:sz="0" w:space="0" w:color="auto"/>
                <w:left w:val="none" w:sz="0" w:space="0" w:color="auto"/>
                <w:bottom w:val="none" w:sz="0" w:space="0" w:color="auto"/>
                <w:right w:val="none" w:sz="0" w:space="0" w:color="auto"/>
              </w:divBdr>
              <w:divsChild>
                <w:div w:id="131411011">
                  <w:marLeft w:val="0"/>
                  <w:marRight w:val="0"/>
                  <w:marTop w:val="0"/>
                  <w:marBottom w:val="0"/>
                  <w:divBdr>
                    <w:top w:val="none" w:sz="0" w:space="0" w:color="auto"/>
                    <w:left w:val="none" w:sz="0" w:space="0" w:color="auto"/>
                    <w:bottom w:val="none" w:sz="0" w:space="0" w:color="auto"/>
                    <w:right w:val="none" w:sz="0" w:space="0" w:color="auto"/>
                  </w:divBdr>
                  <w:divsChild>
                    <w:div w:id="47993011">
                      <w:marLeft w:val="0"/>
                      <w:marRight w:val="0"/>
                      <w:marTop w:val="0"/>
                      <w:marBottom w:val="0"/>
                      <w:divBdr>
                        <w:top w:val="none" w:sz="0" w:space="0" w:color="auto"/>
                        <w:left w:val="none" w:sz="0" w:space="0" w:color="auto"/>
                        <w:bottom w:val="none" w:sz="0" w:space="0" w:color="auto"/>
                        <w:right w:val="none" w:sz="0" w:space="0" w:color="auto"/>
                      </w:divBdr>
                      <w:divsChild>
                        <w:div w:id="1024482277">
                          <w:marLeft w:val="0"/>
                          <w:marRight w:val="0"/>
                          <w:marTop w:val="0"/>
                          <w:marBottom w:val="0"/>
                          <w:divBdr>
                            <w:top w:val="none" w:sz="0" w:space="0" w:color="auto"/>
                            <w:left w:val="none" w:sz="0" w:space="0" w:color="auto"/>
                            <w:bottom w:val="none" w:sz="0" w:space="0" w:color="auto"/>
                            <w:right w:val="none" w:sz="0" w:space="0" w:color="auto"/>
                          </w:divBdr>
                          <w:divsChild>
                            <w:div w:id="1671643452">
                              <w:marLeft w:val="0"/>
                              <w:marRight w:val="0"/>
                              <w:marTop w:val="0"/>
                              <w:marBottom w:val="0"/>
                              <w:divBdr>
                                <w:top w:val="none" w:sz="0" w:space="0" w:color="auto"/>
                                <w:left w:val="none" w:sz="0" w:space="0" w:color="auto"/>
                                <w:bottom w:val="none" w:sz="0" w:space="0" w:color="auto"/>
                                <w:right w:val="none" w:sz="0" w:space="0" w:color="auto"/>
                              </w:divBdr>
                              <w:divsChild>
                                <w:div w:id="1851137352">
                                  <w:marLeft w:val="0"/>
                                  <w:marRight w:val="0"/>
                                  <w:marTop w:val="0"/>
                                  <w:marBottom w:val="0"/>
                                  <w:divBdr>
                                    <w:top w:val="none" w:sz="0" w:space="0" w:color="auto"/>
                                    <w:left w:val="none" w:sz="0" w:space="0" w:color="auto"/>
                                    <w:bottom w:val="none" w:sz="0" w:space="0" w:color="auto"/>
                                    <w:right w:val="none" w:sz="0" w:space="0" w:color="auto"/>
                                  </w:divBdr>
                                  <w:divsChild>
                                    <w:div w:id="3096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32445">
          <w:marLeft w:val="0"/>
          <w:marRight w:val="0"/>
          <w:marTop w:val="0"/>
          <w:marBottom w:val="0"/>
          <w:divBdr>
            <w:top w:val="none" w:sz="0" w:space="0" w:color="auto"/>
            <w:left w:val="none" w:sz="0" w:space="0" w:color="auto"/>
            <w:bottom w:val="none" w:sz="0" w:space="0" w:color="auto"/>
            <w:right w:val="none" w:sz="0" w:space="0" w:color="auto"/>
          </w:divBdr>
          <w:divsChild>
            <w:div w:id="1072700911">
              <w:marLeft w:val="0"/>
              <w:marRight w:val="0"/>
              <w:marTop w:val="0"/>
              <w:marBottom w:val="0"/>
              <w:divBdr>
                <w:top w:val="none" w:sz="0" w:space="0" w:color="auto"/>
                <w:left w:val="none" w:sz="0" w:space="0" w:color="auto"/>
                <w:bottom w:val="none" w:sz="0" w:space="0" w:color="auto"/>
                <w:right w:val="none" w:sz="0" w:space="0" w:color="auto"/>
              </w:divBdr>
              <w:divsChild>
                <w:div w:id="1905289702">
                  <w:marLeft w:val="0"/>
                  <w:marRight w:val="0"/>
                  <w:marTop w:val="0"/>
                  <w:marBottom w:val="0"/>
                  <w:divBdr>
                    <w:top w:val="none" w:sz="0" w:space="0" w:color="auto"/>
                    <w:left w:val="none" w:sz="0" w:space="0" w:color="auto"/>
                    <w:bottom w:val="none" w:sz="0" w:space="0" w:color="auto"/>
                    <w:right w:val="none" w:sz="0" w:space="0" w:color="auto"/>
                  </w:divBdr>
                  <w:divsChild>
                    <w:div w:id="375400540">
                      <w:marLeft w:val="0"/>
                      <w:marRight w:val="0"/>
                      <w:marTop w:val="0"/>
                      <w:marBottom w:val="0"/>
                      <w:divBdr>
                        <w:top w:val="none" w:sz="0" w:space="0" w:color="auto"/>
                        <w:left w:val="none" w:sz="0" w:space="0" w:color="auto"/>
                        <w:bottom w:val="none" w:sz="0" w:space="0" w:color="auto"/>
                        <w:right w:val="none" w:sz="0" w:space="0" w:color="auto"/>
                      </w:divBdr>
                      <w:divsChild>
                        <w:div w:id="396785189">
                          <w:marLeft w:val="0"/>
                          <w:marRight w:val="0"/>
                          <w:marTop w:val="0"/>
                          <w:marBottom w:val="0"/>
                          <w:divBdr>
                            <w:top w:val="none" w:sz="0" w:space="0" w:color="auto"/>
                            <w:left w:val="none" w:sz="0" w:space="0" w:color="auto"/>
                            <w:bottom w:val="none" w:sz="0" w:space="0" w:color="auto"/>
                            <w:right w:val="none" w:sz="0" w:space="0" w:color="auto"/>
                          </w:divBdr>
                          <w:divsChild>
                            <w:div w:id="58409128">
                              <w:marLeft w:val="0"/>
                              <w:marRight w:val="0"/>
                              <w:marTop w:val="0"/>
                              <w:marBottom w:val="0"/>
                              <w:divBdr>
                                <w:top w:val="none" w:sz="0" w:space="0" w:color="auto"/>
                                <w:left w:val="none" w:sz="0" w:space="0" w:color="auto"/>
                                <w:bottom w:val="none" w:sz="0" w:space="0" w:color="auto"/>
                                <w:right w:val="none" w:sz="0" w:space="0" w:color="auto"/>
                              </w:divBdr>
                              <w:divsChild>
                                <w:div w:id="211233845">
                                  <w:marLeft w:val="0"/>
                                  <w:marRight w:val="0"/>
                                  <w:marTop w:val="0"/>
                                  <w:marBottom w:val="0"/>
                                  <w:divBdr>
                                    <w:top w:val="none" w:sz="0" w:space="0" w:color="auto"/>
                                    <w:left w:val="none" w:sz="0" w:space="0" w:color="auto"/>
                                    <w:bottom w:val="none" w:sz="0" w:space="0" w:color="auto"/>
                                    <w:right w:val="none" w:sz="0" w:space="0" w:color="auto"/>
                                  </w:divBdr>
                                  <w:divsChild>
                                    <w:div w:id="627207039">
                                      <w:marLeft w:val="0"/>
                                      <w:marRight w:val="0"/>
                                      <w:marTop w:val="0"/>
                                      <w:marBottom w:val="0"/>
                                      <w:divBdr>
                                        <w:top w:val="none" w:sz="0" w:space="0" w:color="auto"/>
                                        <w:left w:val="none" w:sz="0" w:space="0" w:color="auto"/>
                                        <w:bottom w:val="none" w:sz="0" w:space="0" w:color="auto"/>
                                        <w:right w:val="none" w:sz="0" w:space="0" w:color="auto"/>
                                      </w:divBdr>
                                      <w:divsChild>
                                        <w:div w:id="92016148">
                                          <w:marLeft w:val="0"/>
                                          <w:marRight w:val="0"/>
                                          <w:marTop w:val="0"/>
                                          <w:marBottom w:val="0"/>
                                          <w:divBdr>
                                            <w:top w:val="none" w:sz="0" w:space="0" w:color="auto"/>
                                            <w:left w:val="none" w:sz="0" w:space="0" w:color="auto"/>
                                            <w:bottom w:val="none" w:sz="0" w:space="0" w:color="auto"/>
                                            <w:right w:val="none" w:sz="0" w:space="0" w:color="auto"/>
                                          </w:divBdr>
                                          <w:divsChild>
                                            <w:div w:id="206460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4115335">
      <w:bodyDiv w:val="1"/>
      <w:marLeft w:val="0"/>
      <w:marRight w:val="0"/>
      <w:marTop w:val="0"/>
      <w:marBottom w:val="0"/>
      <w:divBdr>
        <w:top w:val="none" w:sz="0" w:space="0" w:color="auto"/>
        <w:left w:val="none" w:sz="0" w:space="0" w:color="auto"/>
        <w:bottom w:val="none" w:sz="0" w:space="0" w:color="auto"/>
        <w:right w:val="none" w:sz="0" w:space="0" w:color="auto"/>
      </w:divBdr>
    </w:div>
    <w:div w:id="978456985">
      <w:bodyDiv w:val="1"/>
      <w:marLeft w:val="0"/>
      <w:marRight w:val="0"/>
      <w:marTop w:val="0"/>
      <w:marBottom w:val="0"/>
      <w:divBdr>
        <w:top w:val="none" w:sz="0" w:space="0" w:color="auto"/>
        <w:left w:val="none" w:sz="0" w:space="0" w:color="auto"/>
        <w:bottom w:val="none" w:sz="0" w:space="0" w:color="auto"/>
        <w:right w:val="none" w:sz="0" w:space="0" w:color="auto"/>
      </w:divBdr>
      <w:divsChild>
        <w:div w:id="1510096341">
          <w:marLeft w:val="0"/>
          <w:marRight w:val="0"/>
          <w:marTop w:val="0"/>
          <w:marBottom w:val="0"/>
          <w:divBdr>
            <w:top w:val="none" w:sz="0" w:space="0" w:color="auto"/>
            <w:left w:val="none" w:sz="0" w:space="0" w:color="auto"/>
            <w:bottom w:val="none" w:sz="0" w:space="0" w:color="auto"/>
            <w:right w:val="none" w:sz="0" w:space="0" w:color="auto"/>
          </w:divBdr>
          <w:divsChild>
            <w:div w:id="65154774">
              <w:marLeft w:val="0"/>
              <w:marRight w:val="0"/>
              <w:marTop w:val="0"/>
              <w:marBottom w:val="0"/>
              <w:divBdr>
                <w:top w:val="none" w:sz="0" w:space="0" w:color="auto"/>
                <w:left w:val="none" w:sz="0" w:space="0" w:color="auto"/>
                <w:bottom w:val="none" w:sz="0" w:space="0" w:color="auto"/>
                <w:right w:val="none" w:sz="0" w:space="0" w:color="auto"/>
              </w:divBdr>
              <w:divsChild>
                <w:div w:id="2101414032">
                  <w:marLeft w:val="0"/>
                  <w:marRight w:val="0"/>
                  <w:marTop w:val="0"/>
                  <w:marBottom w:val="0"/>
                  <w:divBdr>
                    <w:top w:val="none" w:sz="0" w:space="0" w:color="auto"/>
                    <w:left w:val="none" w:sz="0" w:space="0" w:color="auto"/>
                    <w:bottom w:val="none" w:sz="0" w:space="0" w:color="auto"/>
                    <w:right w:val="none" w:sz="0" w:space="0" w:color="auto"/>
                  </w:divBdr>
                  <w:divsChild>
                    <w:div w:id="2062048032">
                      <w:marLeft w:val="0"/>
                      <w:marRight w:val="0"/>
                      <w:marTop w:val="0"/>
                      <w:marBottom w:val="0"/>
                      <w:divBdr>
                        <w:top w:val="none" w:sz="0" w:space="0" w:color="auto"/>
                        <w:left w:val="none" w:sz="0" w:space="0" w:color="auto"/>
                        <w:bottom w:val="none" w:sz="0" w:space="0" w:color="auto"/>
                        <w:right w:val="none" w:sz="0" w:space="0" w:color="auto"/>
                      </w:divBdr>
                      <w:divsChild>
                        <w:div w:id="1400905630">
                          <w:marLeft w:val="0"/>
                          <w:marRight w:val="0"/>
                          <w:marTop w:val="0"/>
                          <w:marBottom w:val="0"/>
                          <w:divBdr>
                            <w:top w:val="none" w:sz="0" w:space="0" w:color="auto"/>
                            <w:left w:val="none" w:sz="0" w:space="0" w:color="auto"/>
                            <w:bottom w:val="none" w:sz="0" w:space="0" w:color="auto"/>
                            <w:right w:val="none" w:sz="0" w:space="0" w:color="auto"/>
                          </w:divBdr>
                          <w:divsChild>
                            <w:div w:id="495342159">
                              <w:marLeft w:val="0"/>
                              <w:marRight w:val="0"/>
                              <w:marTop w:val="0"/>
                              <w:marBottom w:val="0"/>
                              <w:divBdr>
                                <w:top w:val="none" w:sz="0" w:space="0" w:color="auto"/>
                                <w:left w:val="none" w:sz="0" w:space="0" w:color="auto"/>
                                <w:bottom w:val="none" w:sz="0" w:space="0" w:color="auto"/>
                                <w:right w:val="none" w:sz="0" w:space="0" w:color="auto"/>
                              </w:divBdr>
                              <w:divsChild>
                                <w:div w:id="1307474937">
                                  <w:marLeft w:val="0"/>
                                  <w:marRight w:val="0"/>
                                  <w:marTop w:val="0"/>
                                  <w:marBottom w:val="0"/>
                                  <w:divBdr>
                                    <w:top w:val="none" w:sz="0" w:space="0" w:color="auto"/>
                                    <w:left w:val="none" w:sz="0" w:space="0" w:color="auto"/>
                                    <w:bottom w:val="none" w:sz="0" w:space="0" w:color="auto"/>
                                    <w:right w:val="none" w:sz="0" w:space="0" w:color="auto"/>
                                  </w:divBdr>
                                  <w:divsChild>
                                    <w:div w:id="41721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13289">
          <w:marLeft w:val="0"/>
          <w:marRight w:val="0"/>
          <w:marTop w:val="0"/>
          <w:marBottom w:val="0"/>
          <w:divBdr>
            <w:top w:val="none" w:sz="0" w:space="0" w:color="auto"/>
            <w:left w:val="none" w:sz="0" w:space="0" w:color="auto"/>
            <w:bottom w:val="none" w:sz="0" w:space="0" w:color="auto"/>
            <w:right w:val="none" w:sz="0" w:space="0" w:color="auto"/>
          </w:divBdr>
          <w:divsChild>
            <w:div w:id="2116243548">
              <w:marLeft w:val="0"/>
              <w:marRight w:val="0"/>
              <w:marTop w:val="0"/>
              <w:marBottom w:val="0"/>
              <w:divBdr>
                <w:top w:val="none" w:sz="0" w:space="0" w:color="auto"/>
                <w:left w:val="none" w:sz="0" w:space="0" w:color="auto"/>
                <w:bottom w:val="none" w:sz="0" w:space="0" w:color="auto"/>
                <w:right w:val="none" w:sz="0" w:space="0" w:color="auto"/>
              </w:divBdr>
              <w:divsChild>
                <w:div w:id="1798378617">
                  <w:marLeft w:val="0"/>
                  <w:marRight w:val="0"/>
                  <w:marTop w:val="0"/>
                  <w:marBottom w:val="0"/>
                  <w:divBdr>
                    <w:top w:val="none" w:sz="0" w:space="0" w:color="auto"/>
                    <w:left w:val="none" w:sz="0" w:space="0" w:color="auto"/>
                    <w:bottom w:val="none" w:sz="0" w:space="0" w:color="auto"/>
                    <w:right w:val="none" w:sz="0" w:space="0" w:color="auto"/>
                  </w:divBdr>
                  <w:divsChild>
                    <w:div w:id="1491410779">
                      <w:marLeft w:val="0"/>
                      <w:marRight w:val="0"/>
                      <w:marTop w:val="0"/>
                      <w:marBottom w:val="0"/>
                      <w:divBdr>
                        <w:top w:val="none" w:sz="0" w:space="0" w:color="auto"/>
                        <w:left w:val="none" w:sz="0" w:space="0" w:color="auto"/>
                        <w:bottom w:val="none" w:sz="0" w:space="0" w:color="auto"/>
                        <w:right w:val="none" w:sz="0" w:space="0" w:color="auto"/>
                      </w:divBdr>
                      <w:divsChild>
                        <w:div w:id="882979896">
                          <w:marLeft w:val="0"/>
                          <w:marRight w:val="0"/>
                          <w:marTop w:val="0"/>
                          <w:marBottom w:val="0"/>
                          <w:divBdr>
                            <w:top w:val="none" w:sz="0" w:space="0" w:color="auto"/>
                            <w:left w:val="none" w:sz="0" w:space="0" w:color="auto"/>
                            <w:bottom w:val="none" w:sz="0" w:space="0" w:color="auto"/>
                            <w:right w:val="none" w:sz="0" w:space="0" w:color="auto"/>
                          </w:divBdr>
                          <w:divsChild>
                            <w:div w:id="1676685890">
                              <w:marLeft w:val="0"/>
                              <w:marRight w:val="0"/>
                              <w:marTop w:val="0"/>
                              <w:marBottom w:val="0"/>
                              <w:divBdr>
                                <w:top w:val="none" w:sz="0" w:space="0" w:color="auto"/>
                                <w:left w:val="none" w:sz="0" w:space="0" w:color="auto"/>
                                <w:bottom w:val="none" w:sz="0" w:space="0" w:color="auto"/>
                                <w:right w:val="none" w:sz="0" w:space="0" w:color="auto"/>
                              </w:divBdr>
                              <w:divsChild>
                                <w:div w:id="756176204">
                                  <w:marLeft w:val="0"/>
                                  <w:marRight w:val="0"/>
                                  <w:marTop w:val="0"/>
                                  <w:marBottom w:val="0"/>
                                  <w:divBdr>
                                    <w:top w:val="none" w:sz="0" w:space="0" w:color="auto"/>
                                    <w:left w:val="none" w:sz="0" w:space="0" w:color="auto"/>
                                    <w:bottom w:val="none" w:sz="0" w:space="0" w:color="auto"/>
                                    <w:right w:val="none" w:sz="0" w:space="0" w:color="auto"/>
                                  </w:divBdr>
                                  <w:divsChild>
                                    <w:div w:id="165753030">
                                      <w:marLeft w:val="0"/>
                                      <w:marRight w:val="0"/>
                                      <w:marTop w:val="0"/>
                                      <w:marBottom w:val="0"/>
                                      <w:divBdr>
                                        <w:top w:val="none" w:sz="0" w:space="0" w:color="auto"/>
                                        <w:left w:val="none" w:sz="0" w:space="0" w:color="auto"/>
                                        <w:bottom w:val="none" w:sz="0" w:space="0" w:color="auto"/>
                                        <w:right w:val="none" w:sz="0" w:space="0" w:color="auto"/>
                                      </w:divBdr>
                                      <w:divsChild>
                                        <w:div w:id="317926447">
                                          <w:marLeft w:val="0"/>
                                          <w:marRight w:val="0"/>
                                          <w:marTop w:val="0"/>
                                          <w:marBottom w:val="0"/>
                                          <w:divBdr>
                                            <w:top w:val="none" w:sz="0" w:space="0" w:color="auto"/>
                                            <w:left w:val="none" w:sz="0" w:space="0" w:color="auto"/>
                                            <w:bottom w:val="none" w:sz="0" w:space="0" w:color="auto"/>
                                            <w:right w:val="none" w:sz="0" w:space="0" w:color="auto"/>
                                          </w:divBdr>
                                          <w:divsChild>
                                            <w:div w:id="47665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9094176">
      <w:bodyDiv w:val="1"/>
      <w:marLeft w:val="0"/>
      <w:marRight w:val="0"/>
      <w:marTop w:val="0"/>
      <w:marBottom w:val="0"/>
      <w:divBdr>
        <w:top w:val="none" w:sz="0" w:space="0" w:color="auto"/>
        <w:left w:val="none" w:sz="0" w:space="0" w:color="auto"/>
        <w:bottom w:val="none" w:sz="0" w:space="0" w:color="auto"/>
        <w:right w:val="none" w:sz="0" w:space="0" w:color="auto"/>
      </w:divBdr>
      <w:divsChild>
        <w:div w:id="794062547">
          <w:blockQuote w:val="1"/>
          <w:marLeft w:val="720"/>
          <w:marRight w:val="720"/>
          <w:marTop w:val="100"/>
          <w:marBottom w:val="100"/>
          <w:divBdr>
            <w:top w:val="none" w:sz="0" w:space="0" w:color="auto"/>
            <w:left w:val="none" w:sz="0" w:space="0" w:color="auto"/>
            <w:bottom w:val="none" w:sz="0" w:space="0" w:color="auto"/>
            <w:right w:val="none" w:sz="0" w:space="0" w:color="auto"/>
          </w:divBdr>
        </w:div>
        <w:div w:id="882058791">
          <w:blockQuote w:val="1"/>
          <w:marLeft w:val="720"/>
          <w:marRight w:val="720"/>
          <w:marTop w:val="100"/>
          <w:marBottom w:val="100"/>
          <w:divBdr>
            <w:top w:val="none" w:sz="0" w:space="0" w:color="auto"/>
            <w:left w:val="none" w:sz="0" w:space="0" w:color="auto"/>
            <w:bottom w:val="none" w:sz="0" w:space="0" w:color="auto"/>
            <w:right w:val="none" w:sz="0" w:space="0" w:color="auto"/>
          </w:divBdr>
        </w:div>
        <w:div w:id="930428307">
          <w:blockQuote w:val="1"/>
          <w:marLeft w:val="720"/>
          <w:marRight w:val="720"/>
          <w:marTop w:val="100"/>
          <w:marBottom w:val="100"/>
          <w:divBdr>
            <w:top w:val="none" w:sz="0" w:space="0" w:color="auto"/>
            <w:left w:val="none" w:sz="0" w:space="0" w:color="auto"/>
            <w:bottom w:val="none" w:sz="0" w:space="0" w:color="auto"/>
            <w:right w:val="none" w:sz="0" w:space="0" w:color="auto"/>
          </w:divBdr>
        </w:div>
        <w:div w:id="1323893230">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90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3624132">
      <w:bodyDiv w:val="1"/>
      <w:marLeft w:val="0"/>
      <w:marRight w:val="0"/>
      <w:marTop w:val="0"/>
      <w:marBottom w:val="0"/>
      <w:divBdr>
        <w:top w:val="none" w:sz="0" w:space="0" w:color="auto"/>
        <w:left w:val="none" w:sz="0" w:space="0" w:color="auto"/>
        <w:bottom w:val="none" w:sz="0" w:space="0" w:color="auto"/>
        <w:right w:val="none" w:sz="0" w:space="0" w:color="auto"/>
      </w:divBdr>
      <w:divsChild>
        <w:div w:id="7701999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1778323">
      <w:bodyDiv w:val="1"/>
      <w:marLeft w:val="0"/>
      <w:marRight w:val="0"/>
      <w:marTop w:val="0"/>
      <w:marBottom w:val="0"/>
      <w:divBdr>
        <w:top w:val="none" w:sz="0" w:space="0" w:color="auto"/>
        <w:left w:val="none" w:sz="0" w:space="0" w:color="auto"/>
        <w:bottom w:val="none" w:sz="0" w:space="0" w:color="auto"/>
        <w:right w:val="none" w:sz="0" w:space="0" w:color="auto"/>
      </w:divBdr>
    </w:div>
    <w:div w:id="2048917737">
      <w:bodyDiv w:val="1"/>
      <w:marLeft w:val="0"/>
      <w:marRight w:val="0"/>
      <w:marTop w:val="0"/>
      <w:marBottom w:val="0"/>
      <w:divBdr>
        <w:top w:val="none" w:sz="0" w:space="0" w:color="auto"/>
        <w:left w:val="none" w:sz="0" w:space="0" w:color="auto"/>
        <w:bottom w:val="none" w:sz="0" w:space="0" w:color="auto"/>
        <w:right w:val="none" w:sz="0" w:space="0" w:color="auto"/>
      </w:divBdr>
      <w:divsChild>
        <w:div w:id="1412365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21</Pages>
  <Words>6947</Words>
  <Characters>38214</Characters>
  <Application>Microsoft Office Word</Application>
  <DocSecurity>0</DocSecurity>
  <Lines>318</Lines>
  <Paragraphs>90</Paragraphs>
  <ScaleCrop>false</ScaleCrop>
  <HeadingPairs>
    <vt:vector size="4" baseType="variant">
      <vt:variant>
        <vt:lpstr>Titre</vt:lpstr>
      </vt:variant>
      <vt:variant>
        <vt:i4>1</vt:i4>
      </vt:variant>
      <vt:variant>
        <vt:lpstr>Titres</vt:lpstr>
      </vt:variant>
      <vt:variant>
        <vt:i4>10</vt:i4>
      </vt:variant>
    </vt:vector>
  </HeadingPairs>
  <TitlesOfParts>
    <vt:vector size="11" baseType="lpstr">
      <vt:lpstr/>
      <vt:lpstr>All the Strange Things People Take as Food</vt:lpstr>
      <vt:lpstr>    Fish, Cancer, and Medical Consultations in Padua at the Dawn of the Early Modern</vt:lpstr>
      <vt:lpstr>    Abstract</vt:lpstr>
      <vt:lpstr>    Epigraph</vt:lpstr>
      <vt:lpstr>    Introduction</vt:lpstr>
      <vt:lpstr>1. DIETETICS AND GALEN’S WORKS IN FRENCH</vt:lpstr>
      <vt:lpstr>2. GALEN AND THE DIETETICS OF CANCER</vt:lpstr>
      <vt:lpstr>3. THE PADUAN CONSILIA AND CANCER</vt:lpstr>
      <vt:lpstr>4. FISH IN THE DIETETICS OF THE PADUAN PHYSICIANS</vt:lpstr>
      <vt:lpstr>5. CONCLUSION</vt:lpstr>
    </vt:vector>
  </TitlesOfParts>
  <Company>HP</Company>
  <LinksUpToDate>false</LinksUpToDate>
  <CharactersWithSpaces>45071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daniel.droixhe@swedhs.org</dc:creator>
  <cp:keywords/>
  <dc:description/>
  <cp:lastModifiedBy>daniel.droixhe@swedhs.org</cp:lastModifiedBy>
  <cp:revision>7</cp:revision>
  <dcterms:created xsi:type="dcterms:W3CDTF">2026-02-25T16:24:00Z</dcterms:created>
  <dcterms:modified xsi:type="dcterms:W3CDTF">2026-02-25T18:07:00Z</dcterms:modified>
</cp:coreProperties>
</file>