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2DE77" w14:textId="70098FB2" w:rsidR="0082543D" w:rsidRDefault="0082543D" w:rsidP="00D10039">
      <w:pPr>
        <w:tabs>
          <w:tab w:val="left" w:pos="1134"/>
          <w:tab w:val="left" w:pos="3969"/>
          <w:tab w:val="right" w:pos="8222"/>
        </w:tabs>
        <w:spacing w:after="0" w:line="276" w:lineRule="auto"/>
        <w:rPr>
          <w:rFonts w:ascii="Calibri" w:hAnsi="Calibri" w:cs="Calibri"/>
          <w:b/>
          <w:bCs/>
        </w:rPr>
      </w:pPr>
      <w:r>
        <w:rPr>
          <w:rFonts w:ascii="Calibri" w:hAnsi="Calibri" w:cs="Calibri"/>
          <w:b/>
          <w:bCs/>
        </w:rPr>
        <w:t>Cour de cassation</w:t>
      </w:r>
      <w:r w:rsidR="00D8066C">
        <w:rPr>
          <w:rFonts w:ascii="Calibri" w:hAnsi="Calibri" w:cs="Calibri"/>
          <w:b/>
          <w:bCs/>
        </w:rPr>
        <w:t xml:space="preserve"> (1</w:t>
      </w:r>
      <w:r w:rsidR="00D8066C" w:rsidRPr="00D8066C">
        <w:rPr>
          <w:rFonts w:ascii="Calibri" w:hAnsi="Calibri" w:cs="Calibri"/>
          <w:b/>
          <w:bCs/>
          <w:vertAlign w:val="superscript"/>
        </w:rPr>
        <w:t>ère</w:t>
      </w:r>
      <w:r w:rsidR="00D8066C">
        <w:rPr>
          <w:rFonts w:ascii="Calibri" w:hAnsi="Calibri" w:cs="Calibri"/>
          <w:b/>
          <w:bCs/>
        </w:rPr>
        <w:t xml:space="preserve"> ch.)</w:t>
      </w:r>
      <w:r>
        <w:rPr>
          <w:rFonts w:ascii="Calibri" w:hAnsi="Calibri" w:cs="Calibri"/>
          <w:b/>
          <w:bCs/>
        </w:rPr>
        <w:t xml:space="preserve">, </w:t>
      </w:r>
      <w:r w:rsidR="00F06A7F">
        <w:rPr>
          <w:rFonts w:ascii="Calibri" w:hAnsi="Calibri" w:cs="Calibri"/>
          <w:b/>
          <w:bCs/>
        </w:rPr>
        <w:t>1</w:t>
      </w:r>
      <w:r w:rsidR="00F06A7F" w:rsidRPr="00F06A7F">
        <w:rPr>
          <w:rFonts w:ascii="Calibri" w:hAnsi="Calibri" w:cs="Calibri"/>
          <w:b/>
          <w:bCs/>
          <w:vertAlign w:val="superscript"/>
        </w:rPr>
        <w:t>er</w:t>
      </w:r>
      <w:r w:rsidR="00F06A7F">
        <w:rPr>
          <w:rFonts w:ascii="Calibri" w:hAnsi="Calibri" w:cs="Calibri"/>
          <w:b/>
          <w:bCs/>
        </w:rPr>
        <w:t xml:space="preserve"> décembre 2023</w:t>
      </w:r>
      <w:r>
        <w:rPr>
          <w:rFonts w:ascii="Calibri" w:hAnsi="Calibri" w:cs="Calibri"/>
          <w:b/>
          <w:bCs/>
        </w:rPr>
        <w:t xml:space="preserve">, </w:t>
      </w:r>
      <w:r w:rsidR="00F06A7F" w:rsidRPr="00F06A7F">
        <w:rPr>
          <w:rFonts w:ascii="Calibri" w:hAnsi="Calibri" w:cs="Calibri"/>
          <w:b/>
          <w:bCs/>
        </w:rPr>
        <w:t>C.22.0432.F</w:t>
      </w:r>
    </w:p>
    <w:p w14:paraId="03BF8AF5" w14:textId="77777777" w:rsidR="0082543D" w:rsidRDefault="0082543D" w:rsidP="00580425">
      <w:pPr>
        <w:tabs>
          <w:tab w:val="left" w:pos="1134"/>
          <w:tab w:val="left" w:pos="3969"/>
          <w:tab w:val="right" w:pos="8222"/>
        </w:tabs>
        <w:spacing w:after="0" w:line="276" w:lineRule="auto"/>
        <w:rPr>
          <w:rFonts w:ascii="Calibri" w:hAnsi="Calibri" w:cs="Calibri"/>
        </w:rPr>
      </w:pPr>
    </w:p>
    <w:p w14:paraId="35D0D74C" w14:textId="5A8765A0" w:rsidR="00D8066C" w:rsidRDefault="00D8066C" w:rsidP="00D8066C">
      <w:pPr>
        <w:tabs>
          <w:tab w:val="left" w:pos="1134"/>
          <w:tab w:val="left" w:pos="3969"/>
          <w:tab w:val="right" w:pos="8222"/>
        </w:tabs>
        <w:spacing w:after="0" w:line="276" w:lineRule="auto"/>
        <w:rPr>
          <w:rFonts w:ascii="Calibri" w:hAnsi="Calibri" w:cs="Calibri"/>
        </w:rPr>
      </w:pPr>
      <w:r>
        <w:rPr>
          <w:rFonts w:ascii="Calibri" w:hAnsi="Calibri" w:cs="Calibri"/>
        </w:rPr>
        <w:t>D</w:t>
      </w:r>
      <w:r w:rsidRPr="00D8066C">
        <w:rPr>
          <w:rFonts w:ascii="Calibri" w:hAnsi="Calibri" w:cs="Calibri"/>
        </w:rPr>
        <w:t>ONATION</w:t>
      </w:r>
      <w:r w:rsidR="00F61A5E">
        <w:rPr>
          <w:rFonts w:ascii="Calibri" w:hAnsi="Calibri" w:cs="Calibri"/>
        </w:rPr>
        <w:t>S</w:t>
      </w:r>
      <w:r w:rsidRPr="00D8066C">
        <w:rPr>
          <w:rFonts w:ascii="Calibri" w:hAnsi="Calibri" w:cs="Calibri"/>
        </w:rPr>
        <w:t xml:space="preserve"> — DONATION ENTRE ÉPOUX PENDANT LE MARIAGE — DROIT</w:t>
      </w:r>
      <w:r>
        <w:rPr>
          <w:rFonts w:ascii="Calibri" w:hAnsi="Calibri" w:cs="Calibri"/>
        </w:rPr>
        <w:t xml:space="preserve"> </w:t>
      </w:r>
      <w:r w:rsidRPr="00D8066C">
        <w:rPr>
          <w:rFonts w:ascii="Calibri" w:hAnsi="Calibri" w:cs="Calibri"/>
        </w:rPr>
        <w:t>DE RÉVOCATION AD NUTUM — NATURE JURIDIQUE — DROIT D’ORDRE</w:t>
      </w:r>
      <w:r>
        <w:rPr>
          <w:rFonts w:ascii="Calibri" w:hAnsi="Calibri" w:cs="Calibri"/>
        </w:rPr>
        <w:t xml:space="preserve"> </w:t>
      </w:r>
      <w:r w:rsidRPr="00D8066C">
        <w:rPr>
          <w:rFonts w:ascii="Calibri" w:hAnsi="Calibri" w:cs="Calibri"/>
        </w:rPr>
        <w:t>PUBLIC : NON</w:t>
      </w:r>
    </w:p>
    <w:p w14:paraId="58E9C38A" w14:textId="77777777" w:rsidR="00D8066C" w:rsidRPr="00D8066C" w:rsidRDefault="00D8066C" w:rsidP="00D8066C">
      <w:pPr>
        <w:tabs>
          <w:tab w:val="left" w:pos="1134"/>
          <w:tab w:val="left" w:pos="3969"/>
          <w:tab w:val="right" w:pos="8222"/>
        </w:tabs>
        <w:spacing w:after="0" w:line="276" w:lineRule="auto"/>
        <w:rPr>
          <w:rFonts w:ascii="Calibri" w:hAnsi="Calibri" w:cs="Calibri"/>
        </w:rPr>
      </w:pPr>
    </w:p>
    <w:p w14:paraId="126F1452" w14:textId="4F10DBC4" w:rsidR="00D8066C" w:rsidRPr="00F61A5E" w:rsidRDefault="00D8066C" w:rsidP="00D8066C">
      <w:pPr>
        <w:tabs>
          <w:tab w:val="left" w:pos="1134"/>
          <w:tab w:val="left" w:pos="3969"/>
          <w:tab w:val="right" w:pos="8222"/>
        </w:tabs>
        <w:spacing w:after="0" w:line="276" w:lineRule="auto"/>
        <w:rPr>
          <w:rFonts w:ascii="Calibri" w:hAnsi="Calibri" w:cs="Calibri"/>
          <w:i/>
          <w:iCs/>
        </w:rPr>
      </w:pPr>
      <w:r w:rsidRPr="00F61A5E">
        <w:rPr>
          <w:rFonts w:ascii="Calibri" w:hAnsi="Calibri" w:cs="Calibri"/>
          <w:i/>
          <w:iCs/>
        </w:rPr>
        <w:t>N’est d’ordre public que la règle de droit qui touche aux intérêts essentiels de l’État ou de la collectivité, ou qui fixe dans le droit privé les bases juridiques sur lesquelles repose l’ordre économique ou moral de la société.</w:t>
      </w:r>
    </w:p>
    <w:p w14:paraId="3082FC03" w14:textId="7F6FC0AA" w:rsidR="00D8066C" w:rsidRPr="00F61A5E" w:rsidRDefault="00D8066C" w:rsidP="00D8066C">
      <w:pPr>
        <w:tabs>
          <w:tab w:val="left" w:pos="1134"/>
          <w:tab w:val="left" w:pos="3969"/>
          <w:tab w:val="right" w:pos="8222"/>
        </w:tabs>
        <w:spacing w:after="0" w:line="276" w:lineRule="auto"/>
        <w:rPr>
          <w:rFonts w:ascii="Calibri" w:hAnsi="Calibri" w:cs="Calibri"/>
          <w:i/>
          <w:iCs/>
        </w:rPr>
      </w:pPr>
      <w:r w:rsidRPr="00F61A5E">
        <w:rPr>
          <w:rFonts w:ascii="Calibri" w:hAnsi="Calibri" w:cs="Calibri"/>
          <w:i/>
          <w:iCs/>
        </w:rPr>
        <w:t>L’article 1096, alinéa 1</w:t>
      </w:r>
      <w:r w:rsidRPr="00F61A5E">
        <w:rPr>
          <w:rFonts w:ascii="Calibri" w:hAnsi="Calibri" w:cs="Calibri"/>
          <w:i/>
          <w:iCs/>
          <w:vertAlign w:val="superscript"/>
        </w:rPr>
        <w:t>er</w:t>
      </w:r>
      <w:r w:rsidRPr="00F61A5E">
        <w:rPr>
          <w:rFonts w:ascii="Calibri" w:hAnsi="Calibri" w:cs="Calibri"/>
          <w:i/>
          <w:iCs/>
        </w:rPr>
        <w:t>, de l’ancien Code civil, qui, en disposant que toutes donations faites entre époux pendant le mariage autrement que par contrat de mariage, quoique qualifiées entre vifs, seront toujours révocables, protège les intérêts privés de l’époux donateur, n’est pas d’ordre public</w:t>
      </w:r>
      <w:r w:rsidR="00C55D88">
        <w:rPr>
          <w:rFonts w:ascii="Calibri" w:hAnsi="Calibri" w:cs="Calibri"/>
          <w:i/>
          <w:iCs/>
        </w:rPr>
        <w:t>.</w:t>
      </w:r>
    </w:p>
    <w:p w14:paraId="38A3DAE0" w14:textId="77777777" w:rsidR="00D8066C" w:rsidRDefault="00D8066C" w:rsidP="00D8066C">
      <w:pPr>
        <w:tabs>
          <w:tab w:val="left" w:pos="1134"/>
          <w:tab w:val="left" w:pos="3969"/>
          <w:tab w:val="right" w:pos="8222"/>
        </w:tabs>
        <w:spacing w:after="0" w:line="276" w:lineRule="auto"/>
        <w:rPr>
          <w:rFonts w:ascii="Calibri" w:hAnsi="Calibri" w:cs="Calibri"/>
        </w:rPr>
      </w:pPr>
    </w:p>
    <w:p w14:paraId="499353C4" w14:textId="17528B43" w:rsidR="005B5279" w:rsidRDefault="005B5279" w:rsidP="00B62F87">
      <w:pPr>
        <w:rPr>
          <w:rFonts w:ascii="Calibri" w:hAnsi="Calibri" w:cs="Calibri"/>
        </w:rPr>
      </w:pPr>
    </w:p>
    <w:p w14:paraId="482D0C9F" w14:textId="3922059E" w:rsidR="00316BC2" w:rsidRPr="00316BC2" w:rsidRDefault="00316BC2" w:rsidP="00B62F87">
      <w:pPr>
        <w:rPr>
          <w:rFonts w:ascii="Calibri" w:hAnsi="Calibri" w:cs="Calibri"/>
          <w:b/>
          <w:bCs/>
        </w:rPr>
      </w:pPr>
      <w:r w:rsidRPr="00316BC2">
        <w:rPr>
          <w:rFonts w:ascii="Calibri" w:hAnsi="Calibri" w:cs="Calibri"/>
          <w:b/>
          <w:bCs/>
        </w:rPr>
        <w:t>Observations</w:t>
      </w:r>
    </w:p>
    <w:p w14:paraId="19025FDE" w14:textId="4D549742" w:rsidR="00316BC2" w:rsidRDefault="00316BC2" w:rsidP="00B62F87">
      <w:pPr>
        <w:rPr>
          <w:rFonts w:ascii="Calibri" w:hAnsi="Calibri" w:cs="Calibri"/>
        </w:rPr>
      </w:pPr>
      <w:r>
        <w:rPr>
          <w:rFonts w:ascii="Calibri" w:hAnsi="Calibri" w:cs="Calibri"/>
        </w:rPr>
        <w:t>En deux lignes, la Cour de cassation, dans son arrêt du 1</w:t>
      </w:r>
      <w:r w:rsidRPr="00316BC2">
        <w:rPr>
          <w:rFonts w:ascii="Calibri" w:hAnsi="Calibri" w:cs="Calibri"/>
          <w:vertAlign w:val="superscript"/>
        </w:rPr>
        <w:t>er</w:t>
      </w:r>
      <w:r>
        <w:rPr>
          <w:rFonts w:ascii="Calibri" w:hAnsi="Calibri" w:cs="Calibri"/>
        </w:rPr>
        <w:t xml:space="preserve"> décembre 2023 ici reproduit, dit que le droit de révocation </w:t>
      </w:r>
      <w:r>
        <w:rPr>
          <w:rFonts w:ascii="Calibri" w:hAnsi="Calibri" w:cs="Calibri"/>
          <w:i/>
          <w:iCs/>
        </w:rPr>
        <w:t>ad nutum</w:t>
      </w:r>
      <w:r>
        <w:rPr>
          <w:rFonts w:ascii="Calibri" w:hAnsi="Calibri" w:cs="Calibri"/>
        </w:rPr>
        <w:t xml:space="preserve"> des donations entre époux faites pendant le mariage, autrement que par une convention matrimoniale, ne ressort</w:t>
      </w:r>
      <w:r w:rsidR="00E81C7C">
        <w:rPr>
          <w:rFonts w:ascii="Calibri" w:hAnsi="Calibri" w:cs="Calibri"/>
        </w:rPr>
        <w:t>it</w:t>
      </w:r>
      <w:r>
        <w:rPr>
          <w:rFonts w:ascii="Calibri" w:hAnsi="Calibri" w:cs="Calibri"/>
        </w:rPr>
        <w:t xml:space="preserve"> pas de l’ordre public. Signe de l’évolution des temps et des mœurs, les justifications prêtées à l’article 1096 de l’ancien Code civil – devenu l’article 4.240 du Code civil – qui, selon la doctrine traditionnelle, participaient de l’ordre moral de la société du 19</w:t>
      </w:r>
      <w:r w:rsidRPr="00316BC2">
        <w:rPr>
          <w:rFonts w:ascii="Calibri" w:hAnsi="Calibri" w:cs="Calibri"/>
          <w:vertAlign w:val="superscript"/>
        </w:rPr>
        <w:t>e</w:t>
      </w:r>
      <w:r>
        <w:rPr>
          <w:rFonts w:ascii="Calibri" w:hAnsi="Calibri" w:cs="Calibri"/>
        </w:rPr>
        <w:t xml:space="preserve"> siècle</w:t>
      </w:r>
      <w:r w:rsidR="006013B1">
        <w:rPr>
          <w:rFonts w:ascii="Calibri" w:hAnsi="Calibri" w:cs="Calibri"/>
        </w:rPr>
        <w:t>,</w:t>
      </w:r>
      <w:r>
        <w:rPr>
          <w:rFonts w:ascii="Calibri" w:hAnsi="Calibri" w:cs="Calibri"/>
        </w:rPr>
        <w:t xml:space="preserve"> semblent donc </w:t>
      </w:r>
      <w:r w:rsidR="006013B1">
        <w:rPr>
          <w:rFonts w:ascii="Calibri" w:hAnsi="Calibri" w:cs="Calibri"/>
        </w:rPr>
        <w:t xml:space="preserve">lui être </w:t>
      </w:r>
      <w:r>
        <w:rPr>
          <w:rFonts w:ascii="Calibri" w:hAnsi="Calibri" w:cs="Calibri"/>
        </w:rPr>
        <w:t xml:space="preserve">devenues étrangères à </w:t>
      </w:r>
      <w:r w:rsidR="006013B1">
        <w:rPr>
          <w:rFonts w:ascii="Calibri" w:hAnsi="Calibri" w:cs="Calibri"/>
        </w:rPr>
        <w:t>l’</w:t>
      </w:r>
      <w:r>
        <w:rPr>
          <w:rFonts w:ascii="Calibri" w:hAnsi="Calibri" w:cs="Calibri"/>
        </w:rPr>
        <w:t>époque contemporaine. Par conséquent, ces justifications ne peuvent aujourd’hui servir qu’à protéger les intérêts privés de l’époux donateur.</w:t>
      </w:r>
    </w:p>
    <w:p w14:paraId="3B3D6644" w14:textId="3BBB5611" w:rsidR="003C12E7" w:rsidRDefault="00316BC2" w:rsidP="00B62F87">
      <w:pPr>
        <w:rPr>
          <w:rFonts w:ascii="Calibri" w:hAnsi="Calibri" w:cs="Calibri"/>
        </w:rPr>
      </w:pPr>
      <w:r>
        <w:rPr>
          <w:rFonts w:ascii="Calibri" w:hAnsi="Calibri" w:cs="Calibri"/>
        </w:rPr>
        <w:t xml:space="preserve">La disposition légale est dès lors impérative, avec cette </w:t>
      </w:r>
      <w:r w:rsidR="00E81C7C">
        <w:rPr>
          <w:rFonts w:ascii="Calibri" w:hAnsi="Calibri" w:cs="Calibri"/>
        </w:rPr>
        <w:t>conséquence</w:t>
      </w:r>
      <w:r>
        <w:rPr>
          <w:rFonts w:ascii="Calibri" w:hAnsi="Calibri" w:cs="Calibri"/>
        </w:rPr>
        <w:t xml:space="preserve"> qu’elle</w:t>
      </w:r>
      <w:r w:rsidR="00887B45">
        <w:rPr>
          <w:rFonts w:ascii="Calibri" w:hAnsi="Calibri" w:cs="Calibri"/>
        </w:rPr>
        <w:t xml:space="preserve"> donne lieu à une nullité relative et</w:t>
      </w:r>
      <w:r>
        <w:rPr>
          <w:rFonts w:ascii="Calibri" w:hAnsi="Calibri" w:cs="Calibri"/>
        </w:rPr>
        <w:t xml:space="preserve"> peut </w:t>
      </w:r>
      <w:r w:rsidR="00E81C7C">
        <w:rPr>
          <w:rFonts w:ascii="Calibri" w:hAnsi="Calibri" w:cs="Calibri"/>
        </w:rPr>
        <w:t xml:space="preserve">alors </w:t>
      </w:r>
      <w:r>
        <w:rPr>
          <w:rFonts w:ascii="Calibri" w:hAnsi="Calibri" w:cs="Calibri"/>
        </w:rPr>
        <w:t>faire l’objet d’une renonciation</w:t>
      </w:r>
      <w:r w:rsidR="00887B45">
        <w:rPr>
          <w:rFonts w:ascii="Calibri" w:hAnsi="Calibri" w:cs="Calibri"/>
        </w:rPr>
        <w:t xml:space="preserve"> ou confirmation</w:t>
      </w:r>
      <w:r>
        <w:rPr>
          <w:rFonts w:ascii="Calibri" w:hAnsi="Calibri" w:cs="Calibri"/>
        </w:rPr>
        <w:t xml:space="preserve"> par l’époux qu’elle est censée protég</w:t>
      </w:r>
      <w:r w:rsidR="006013B1">
        <w:rPr>
          <w:rFonts w:ascii="Calibri" w:hAnsi="Calibri" w:cs="Calibri"/>
        </w:rPr>
        <w:t>er</w:t>
      </w:r>
      <w:r>
        <w:rPr>
          <w:rFonts w:ascii="Calibri" w:hAnsi="Calibri" w:cs="Calibri"/>
        </w:rPr>
        <w:t>.</w:t>
      </w:r>
    </w:p>
    <w:p w14:paraId="44FE9DD2" w14:textId="754CDB1F" w:rsidR="00316BC2" w:rsidRDefault="00316BC2" w:rsidP="00B62F87">
      <w:pPr>
        <w:rPr>
          <w:rFonts w:ascii="Calibri" w:hAnsi="Calibri" w:cs="Calibri"/>
        </w:rPr>
      </w:pPr>
      <w:r>
        <w:rPr>
          <w:rFonts w:ascii="Calibri" w:hAnsi="Calibri" w:cs="Calibri"/>
        </w:rPr>
        <w:t xml:space="preserve">La renonciation </w:t>
      </w:r>
      <w:r w:rsidR="003C12E7">
        <w:rPr>
          <w:rFonts w:ascii="Calibri" w:hAnsi="Calibri" w:cs="Calibri"/>
        </w:rPr>
        <w:t xml:space="preserve">unilatérale </w:t>
      </w:r>
      <w:r>
        <w:rPr>
          <w:rFonts w:ascii="Calibri" w:hAnsi="Calibri" w:cs="Calibri"/>
        </w:rPr>
        <w:t xml:space="preserve">à un droit </w:t>
      </w:r>
      <w:r w:rsidR="003C12E7">
        <w:rPr>
          <w:rFonts w:ascii="Calibri" w:hAnsi="Calibri" w:cs="Calibri"/>
        </w:rPr>
        <w:t xml:space="preserve">ou une créance </w:t>
      </w:r>
      <w:r>
        <w:rPr>
          <w:rFonts w:ascii="Calibri" w:hAnsi="Calibri" w:cs="Calibri"/>
        </w:rPr>
        <w:t>doit, par principe, être certaine, mais elle peut être expresse ou tacite</w:t>
      </w:r>
      <w:r w:rsidR="00887B45">
        <w:rPr>
          <w:rStyle w:val="Appelnotedebasdep"/>
          <w:rFonts w:ascii="Calibri" w:hAnsi="Calibri" w:cs="Calibri"/>
        </w:rPr>
        <w:footnoteReference w:id="1"/>
      </w:r>
      <w:r w:rsidR="006013B1">
        <w:rPr>
          <w:rFonts w:ascii="Calibri" w:hAnsi="Calibri" w:cs="Calibri"/>
        </w:rPr>
        <w:t xml:space="preserve">. </w:t>
      </w:r>
      <w:r w:rsidR="003C12E7">
        <w:rPr>
          <w:rFonts w:ascii="Calibri" w:hAnsi="Calibri" w:cs="Calibri"/>
        </w:rPr>
        <w:t xml:space="preserve">Si elle est donc non formelle, elle ne se présume toutefois pas (art. </w:t>
      </w:r>
      <w:r w:rsidR="003F4C39">
        <w:rPr>
          <w:rFonts w:ascii="Calibri" w:hAnsi="Calibri" w:cs="Calibri"/>
        </w:rPr>
        <w:t>5.61, al. 1</w:t>
      </w:r>
      <w:r w:rsidR="003F4C39" w:rsidRPr="003F4C39">
        <w:rPr>
          <w:rFonts w:ascii="Calibri" w:hAnsi="Calibri" w:cs="Calibri"/>
          <w:vertAlign w:val="superscript"/>
        </w:rPr>
        <w:t>er</w:t>
      </w:r>
      <w:r w:rsidR="003F4C39">
        <w:rPr>
          <w:rFonts w:ascii="Calibri" w:hAnsi="Calibri" w:cs="Calibri"/>
        </w:rPr>
        <w:t xml:space="preserve">, et </w:t>
      </w:r>
      <w:r w:rsidR="003C12E7">
        <w:rPr>
          <w:rFonts w:ascii="Calibri" w:hAnsi="Calibri" w:cs="Calibri"/>
        </w:rPr>
        <w:t xml:space="preserve">5.253 C. civ.). </w:t>
      </w:r>
      <w:r w:rsidR="006013B1">
        <w:rPr>
          <w:rFonts w:ascii="Calibri" w:hAnsi="Calibri" w:cs="Calibri"/>
        </w:rPr>
        <w:t>C’est ce qu’illustrent les faits ayant donné lieu à l’arrêt de la cour d’appel de Liège du 24 juin 2022</w:t>
      </w:r>
      <w:r w:rsidR="006013B1">
        <w:rPr>
          <w:rStyle w:val="Appelnotedebasdep"/>
          <w:rFonts w:ascii="Calibri" w:hAnsi="Calibri" w:cs="Calibri"/>
        </w:rPr>
        <w:footnoteReference w:id="2"/>
      </w:r>
      <w:r w:rsidR="006013B1">
        <w:rPr>
          <w:rFonts w:ascii="Calibri" w:hAnsi="Calibri" w:cs="Calibri"/>
        </w:rPr>
        <w:t>, validé par la Cour de cassation, et que nous rappelons en deux mots. Une épouse avait fait donation à son mari d’une propriété immobilière</w:t>
      </w:r>
      <w:r w:rsidR="001B772C">
        <w:rPr>
          <w:rFonts w:ascii="Calibri" w:hAnsi="Calibri" w:cs="Calibri"/>
        </w:rPr>
        <w:t xml:space="preserve">. À </w:t>
      </w:r>
      <w:r w:rsidR="006013B1">
        <w:rPr>
          <w:rFonts w:ascii="Calibri" w:hAnsi="Calibri" w:cs="Calibri"/>
        </w:rPr>
        <w:t>l’occasion du divorce par consentement mutuel, leurs conventions préalables avaient procédé à un partage transactionnel et définitif de leurs patrimoines respectifs</w:t>
      </w:r>
      <w:r w:rsidR="001B772C">
        <w:rPr>
          <w:rFonts w:ascii="Calibri" w:hAnsi="Calibri" w:cs="Calibri"/>
        </w:rPr>
        <w:t>. Cet élément a</w:t>
      </w:r>
      <w:r w:rsidR="006013B1">
        <w:rPr>
          <w:rFonts w:ascii="Calibri" w:hAnsi="Calibri" w:cs="Calibri"/>
        </w:rPr>
        <w:t xml:space="preserve"> amené la cour d’appel à considérer que l’épouse avait renoncé, de manière tacite mais certaine, à son droit de révocation de ladite donation</w:t>
      </w:r>
      <w:r w:rsidR="001B772C">
        <w:rPr>
          <w:rFonts w:ascii="Calibri" w:hAnsi="Calibri" w:cs="Calibri"/>
        </w:rPr>
        <w:t xml:space="preserve"> puisqu’elle avait consenti à l’attribution définitive à son futur ex-mari des biens appartenant à ce dernier, en ce compris la propriété immobilière issue de la donation faite par </w:t>
      </w:r>
      <w:r w:rsidR="00E81C7C">
        <w:rPr>
          <w:rFonts w:ascii="Calibri" w:hAnsi="Calibri" w:cs="Calibri"/>
        </w:rPr>
        <w:t>elle pendant le mariage</w:t>
      </w:r>
      <w:r w:rsidR="001B772C">
        <w:rPr>
          <w:rFonts w:ascii="Calibri" w:hAnsi="Calibri" w:cs="Calibri"/>
        </w:rPr>
        <w:t>, et que les deux époux avaient déclaré à l’acte « que la situation patrimoniale issue de leur mariage est bien entièrement liquidée et partagée et qu’ils n’ont plus de ce chef aucune réclamation ni revendication à exercer l’un envers l’autre pour quelque cause que ce soit ».</w:t>
      </w:r>
    </w:p>
    <w:p w14:paraId="06010761" w14:textId="3C60A962" w:rsidR="00316BC2" w:rsidRDefault="00316BC2" w:rsidP="00B62F87">
      <w:pPr>
        <w:rPr>
          <w:rFonts w:ascii="Calibri" w:hAnsi="Calibri" w:cs="Calibri"/>
        </w:rPr>
      </w:pPr>
      <w:r>
        <w:rPr>
          <w:rFonts w:ascii="Calibri" w:hAnsi="Calibri" w:cs="Calibri"/>
        </w:rPr>
        <w:t>La renonciation à un droit impé</w:t>
      </w:r>
      <w:r w:rsidR="006013B1">
        <w:rPr>
          <w:rFonts w:ascii="Calibri" w:hAnsi="Calibri" w:cs="Calibri"/>
        </w:rPr>
        <w:t>r</w:t>
      </w:r>
      <w:r>
        <w:rPr>
          <w:rFonts w:ascii="Calibri" w:hAnsi="Calibri" w:cs="Calibri"/>
        </w:rPr>
        <w:t>atif</w:t>
      </w:r>
      <w:r w:rsidR="001B772C">
        <w:rPr>
          <w:rFonts w:ascii="Calibri" w:hAnsi="Calibri" w:cs="Calibri"/>
        </w:rPr>
        <w:t xml:space="preserve"> ne peut toutefois intervenir qu’une fois que la protection qu’il contient a pu sortir ses effets</w:t>
      </w:r>
      <w:r w:rsidR="003F4C39">
        <w:rPr>
          <w:rFonts w:ascii="Calibri" w:hAnsi="Calibri" w:cs="Calibri"/>
        </w:rPr>
        <w:t xml:space="preserve"> (art. 5.61, al. 2, C. civ.)</w:t>
      </w:r>
      <w:r w:rsidR="00887B45">
        <w:rPr>
          <w:rStyle w:val="Appelnotedebasdep"/>
          <w:rFonts w:ascii="Calibri" w:hAnsi="Calibri" w:cs="Calibri"/>
        </w:rPr>
        <w:footnoteReference w:id="3"/>
      </w:r>
      <w:r w:rsidR="001B772C">
        <w:rPr>
          <w:rFonts w:ascii="Calibri" w:hAnsi="Calibri" w:cs="Calibri"/>
        </w:rPr>
        <w:t xml:space="preserve">. En l’occurrence, quel est le moment à partir </w:t>
      </w:r>
      <w:r w:rsidR="001B772C">
        <w:rPr>
          <w:rFonts w:ascii="Calibri" w:hAnsi="Calibri" w:cs="Calibri"/>
        </w:rPr>
        <w:lastRenderedPageBreak/>
        <w:t xml:space="preserve">duquel </w:t>
      </w:r>
      <w:r w:rsidR="008F3BC5">
        <w:rPr>
          <w:rFonts w:ascii="Calibri" w:hAnsi="Calibri" w:cs="Calibri"/>
        </w:rPr>
        <w:t>on peut raisonnablement considérer que l’époux donateur</w:t>
      </w:r>
      <w:r w:rsidR="003D1F73">
        <w:rPr>
          <w:rFonts w:ascii="Calibri" w:hAnsi="Calibri" w:cs="Calibri"/>
        </w:rPr>
        <w:t xml:space="preserve"> prend conscience de la réalité de la donation faite et des raisons qui l’ont poussé à se dépouiller ? Tout est affaire de circonstances. Il pourrait atteindre cette conscience immédiatement après la donation, si cette dernière a été manifestée expressément, voire concomitamment à la donation si un écrit signé du donateur indique la renonciation par ce derni</w:t>
      </w:r>
      <w:r w:rsidR="00E81C7C">
        <w:rPr>
          <w:rFonts w:ascii="Calibri" w:hAnsi="Calibri" w:cs="Calibri"/>
        </w:rPr>
        <w:t>er</w:t>
      </w:r>
      <w:r w:rsidR="003D1F73">
        <w:rPr>
          <w:rFonts w:ascii="Calibri" w:hAnsi="Calibri" w:cs="Calibri"/>
        </w:rPr>
        <w:t xml:space="preserve"> à toute cause de révocation. Et assurément au moment de négocier son divorce</w:t>
      </w:r>
      <w:r w:rsidR="00E82DC9">
        <w:rPr>
          <w:rFonts w:ascii="Calibri" w:hAnsi="Calibri" w:cs="Calibri"/>
        </w:rPr>
        <w:t xml:space="preserve"> ou les effets de celui-ci, si la liquidation des patrimoines respectifs des époux s’accompagne, comme de coutume d’une clause en vertu de laquelle les (ex-)époux déclarent « n’avoir plus de ces chefs aucune revendication ni réclamation à </w:t>
      </w:r>
      <w:r w:rsidR="00E81C7C">
        <w:rPr>
          <w:rFonts w:ascii="Calibri" w:hAnsi="Calibri" w:cs="Calibri"/>
        </w:rPr>
        <w:t>émettre</w:t>
      </w:r>
      <w:r w:rsidR="00E82DC9">
        <w:rPr>
          <w:rFonts w:ascii="Calibri" w:hAnsi="Calibri" w:cs="Calibri"/>
        </w:rPr>
        <w:t xml:space="preserve"> l’un contre l’autre pour quelque cause que ce soit ». Entre ces deux </w:t>
      </w:r>
      <w:proofErr w:type="spellStart"/>
      <w:r w:rsidR="00E82DC9" w:rsidRPr="00E82DC9">
        <w:rPr>
          <w:rFonts w:ascii="Calibri" w:hAnsi="Calibri" w:cs="Calibri"/>
          <w:i/>
          <w:iCs/>
        </w:rPr>
        <w:t>momentum</w:t>
      </w:r>
      <w:proofErr w:type="spellEnd"/>
      <w:r w:rsidR="00E82DC9">
        <w:rPr>
          <w:rFonts w:ascii="Calibri" w:hAnsi="Calibri" w:cs="Calibri"/>
        </w:rPr>
        <w:t>, la renonciation pourrait intervenir à tous moments, de préférence de manière expresse afin de souligner son caractère certain.</w:t>
      </w:r>
    </w:p>
    <w:p w14:paraId="45263F68" w14:textId="3AC20C21" w:rsidR="00316BC2" w:rsidRDefault="006013B1" w:rsidP="00B62F87">
      <w:pPr>
        <w:rPr>
          <w:rFonts w:ascii="Calibri" w:hAnsi="Calibri" w:cs="Calibri"/>
        </w:rPr>
      </w:pPr>
      <w:r>
        <w:rPr>
          <w:rFonts w:ascii="Calibri" w:hAnsi="Calibri" w:cs="Calibri"/>
        </w:rPr>
        <w:t xml:space="preserve">Voyez également sur cette question les réflexions de Florence </w:t>
      </w:r>
      <w:proofErr w:type="spellStart"/>
      <w:r>
        <w:rPr>
          <w:rFonts w:ascii="Calibri" w:hAnsi="Calibri" w:cs="Calibri"/>
        </w:rPr>
        <w:t>Pieltain</w:t>
      </w:r>
      <w:proofErr w:type="spellEnd"/>
      <w:r>
        <w:rPr>
          <w:rFonts w:ascii="Calibri" w:hAnsi="Calibri" w:cs="Calibri"/>
        </w:rPr>
        <w:t xml:space="preserve">, </w:t>
      </w:r>
      <w:r>
        <w:rPr>
          <w:rFonts w:ascii="Calibri" w:hAnsi="Calibri" w:cs="Calibri"/>
          <w:i/>
          <w:iCs/>
        </w:rPr>
        <w:t>Cette Revue</w:t>
      </w:r>
      <w:r>
        <w:rPr>
          <w:rFonts w:ascii="Calibri" w:hAnsi="Calibri" w:cs="Calibri"/>
        </w:rPr>
        <w:t xml:space="preserve">, p. xxx, et de Fabienne </w:t>
      </w:r>
      <w:proofErr w:type="spellStart"/>
      <w:r>
        <w:rPr>
          <w:rFonts w:ascii="Calibri" w:hAnsi="Calibri" w:cs="Calibri"/>
        </w:rPr>
        <w:t>Tainmont</w:t>
      </w:r>
      <w:proofErr w:type="spellEnd"/>
      <w:r>
        <w:rPr>
          <w:rFonts w:ascii="Calibri" w:hAnsi="Calibri" w:cs="Calibri"/>
        </w:rPr>
        <w:t xml:space="preserve">, « La révocation des donations entre époux », </w:t>
      </w:r>
      <w:r>
        <w:rPr>
          <w:rFonts w:ascii="Calibri" w:hAnsi="Calibri" w:cs="Calibri"/>
          <w:i/>
          <w:iCs/>
        </w:rPr>
        <w:t>R.P.P.</w:t>
      </w:r>
      <w:r>
        <w:rPr>
          <w:rFonts w:ascii="Calibri" w:hAnsi="Calibri" w:cs="Calibri"/>
        </w:rPr>
        <w:t>, 2015/1, p. 94.</w:t>
      </w:r>
    </w:p>
    <w:p w14:paraId="78712E2B" w14:textId="60B2EA42" w:rsidR="006013B1" w:rsidRPr="006013B1" w:rsidRDefault="006013B1" w:rsidP="00B62F87">
      <w:pPr>
        <w:rPr>
          <w:rFonts w:ascii="Calibri" w:hAnsi="Calibri" w:cs="Calibri"/>
          <w:b/>
          <w:bCs/>
        </w:rPr>
      </w:pPr>
      <w:r w:rsidRPr="006013B1">
        <w:rPr>
          <w:rFonts w:ascii="Calibri" w:hAnsi="Calibri" w:cs="Calibri"/>
          <w:b/>
          <w:bCs/>
        </w:rPr>
        <w:t>Matthieu Van Molle</w:t>
      </w:r>
    </w:p>
    <w:sectPr w:rsidR="006013B1" w:rsidRPr="006013B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53253" w14:textId="77777777" w:rsidR="00B61EA1" w:rsidRDefault="00B61EA1" w:rsidP="00830C42">
      <w:pPr>
        <w:spacing w:after="0" w:line="240" w:lineRule="auto"/>
      </w:pPr>
      <w:r>
        <w:separator/>
      </w:r>
    </w:p>
  </w:endnote>
  <w:endnote w:type="continuationSeparator" w:id="0">
    <w:p w14:paraId="6ECE9203" w14:textId="77777777" w:rsidR="00B61EA1" w:rsidRDefault="00B61EA1" w:rsidP="00830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29A7B" w14:textId="77777777" w:rsidR="00B61EA1" w:rsidRDefault="00B61EA1" w:rsidP="00830C42">
      <w:pPr>
        <w:spacing w:after="0" w:line="240" w:lineRule="auto"/>
      </w:pPr>
      <w:r>
        <w:separator/>
      </w:r>
    </w:p>
  </w:footnote>
  <w:footnote w:type="continuationSeparator" w:id="0">
    <w:p w14:paraId="7F87B70E" w14:textId="77777777" w:rsidR="00B61EA1" w:rsidRDefault="00B61EA1" w:rsidP="00830C42">
      <w:pPr>
        <w:spacing w:after="0" w:line="240" w:lineRule="auto"/>
      </w:pPr>
      <w:r>
        <w:continuationSeparator/>
      </w:r>
    </w:p>
  </w:footnote>
  <w:footnote w:id="1">
    <w:p w14:paraId="39105461" w14:textId="3FE5F9EF" w:rsidR="00887B45" w:rsidRPr="00887B45" w:rsidRDefault="00887B45">
      <w:pPr>
        <w:pStyle w:val="Notedebasdepage"/>
      </w:pPr>
      <w:r>
        <w:rPr>
          <w:rStyle w:val="Appelnotedebasdep"/>
        </w:rPr>
        <w:footnoteRef/>
      </w:r>
      <w:r>
        <w:t xml:space="preserve"> </w:t>
      </w:r>
      <w:r w:rsidRPr="00887B45">
        <w:t xml:space="preserve">P. Wéry, </w:t>
      </w:r>
      <w:r w:rsidRPr="00887B45">
        <w:rPr>
          <w:i/>
          <w:iCs/>
        </w:rPr>
        <w:t>Droit des obligations</w:t>
      </w:r>
      <w:r>
        <w:t xml:space="preserve">, vol. 2, Bruxelles, Larcier, 2016, n° 28, a ; P. Van </w:t>
      </w:r>
      <w:proofErr w:type="spellStart"/>
      <w:r>
        <w:t>Ommeslaghe</w:t>
      </w:r>
      <w:proofErr w:type="spellEnd"/>
      <w:r>
        <w:t xml:space="preserve">, </w:t>
      </w:r>
      <w:r>
        <w:rPr>
          <w:i/>
          <w:iCs/>
        </w:rPr>
        <w:t>Les obligations</w:t>
      </w:r>
      <w:r>
        <w:t>, t. II, vol. 3, De Page, Trait</w:t>
      </w:r>
      <w:r w:rsidR="00EF20BD">
        <w:t>é</w:t>
      </w:r>
      <w:r>
        <w:t xml:space="preserve"> de droit civil belge, Bruxelles, Larcier, 2013, n° 1612.</w:t>
      </w:r>
    </w:p>
  </w:footnote>
  <w:footnote w:id="2">
    <w:p w14:paraId="142C7F38" w14:textId="097B9A0D" w:rsidR="006013B1" w:rsidRPr="00887B45" w:rsidRDefault="006013B1">
      <w:pPr>
        <w:pStyle w:val="Notedebasdepage"/>
      </w:pPr>
      <w:r>
        <w:rPr>
          <w:rStyle w:val="Appelnotedebasdep"/>
        </w:rPr>
        <w:footnoteRef/>
      </w:r>
      <w:r>
        <w:t xml:space="preserve"> </w:t>
      </w:r>
      <w:r w:rsidRPr="00887B45">
        <w:rPr>
          <w:i/>
          <w:iCs/>
        </w:rPr>
        <w:t>R.P.P.</w:t>
      </w:r>
      <w:r w:rsidRPr="00887B45">
        <w:t>, 2022</w:t>
      </w:r>
      <w:r w:rsidR="003D1F73" w:rsidRPr="00887B45">
        <w:t>/2</w:t>
      </w:r>
      <w:r w:rsidRPr="00887B45">
        <w:t>, p. 141.</w:t>
      </w:r>
    </w:p>
  </w:footnote>
  <w:footnote w:id="3">
    <w:p w14:paraId="504FA670" w14:textId="6FAF375A" w:rsidR="00887B45" w:rsidRPr="008B632A" w:rsidRDefault="00887B45">
      <w:pPr>
        <w:pStyle w:val="Notedebasdepage"/>
      </w:pPr>
      <w:r>
        <w:rPr>
          <w:rStyle w:val="Appelnotedebasdep"/>
        </w:rPr>
        <w:footnoteRef/>
      </w:r>
      <w:r>
        <w:t xml:space="preserve"> P. Van </w:t>
      </w:r>
      <w:proofErr w:type="spellStart"/>
      <w:r>
        <w:t>Ommeslaghe</w:t>
      </w:r>
      <w:proofErr w:type="spellEnd"/>
      <w:r>
        <w:t xml:space="preserve">, </w:t>
      </w:r>
      <w:r>
        <w:rPr>
          <w:i/>
          <w:iCs/>
        </w:rPr>
        <w:t>Les obligations</w:t>
      </w:r>
      <w:r>
        <w:t>, t. II, vol. 2, De Page, Trait</w:t>
      </w:r>
      <w:r w:rsidR="00EF20BD">
        <w:t>é</w:t>
      </w:r>
      <w:r>
        <w:t xml:space="preserve"> de droit civil belge, Bruxelles, Larcier, 2013, n° 637.</w:t>
      </w:r>
      <w:r w:rsidR="008B632A">
        <w:t xml:space="preserve"> Cass. (3</w:t>
      </w:r>
      <w:r w:rsidR="008B632A" w:rsidRPr="008B632A">
        <w:rPr>
          <w:vertAlign w:val="superscript"/>
        </w:rPr>
        <w:t>e</w:t>
      </w:r>
      <w:r w:rsidR="008B632A">
        <w:t xml:space="preserve"> ch.), 14 novembre 2022, RG C.22.0144.F, </w:t>
      </w:r>
      <w:hyperlink r:id="rId1" w:history="1">
        <w:r w:rsidR="008B632A" w:rsidRPr="00DF2DCC">
          <w:rPr>
            <w:rStyle w:val="Lienhypertexte"/>
          </w:rPr>
          <w:t>www.juportal.be</w:t>
        </w:r>
      </w:hyperlink>
      <w:r w:rsidR="008B632A">
        <w:t xml:space="preserve"> avec </w:t>
      </w:r>
      <w:proofErr w:type="spellStart"/>
      <w:r w:rsidR="008B632A">
        <w:t>concl</w:t>
      </w:r>
      <w:proofErr w:type="spellEnd"/>
      <w:r w:rsidR="008B632A">
        <w:t xml:space="preserve">. H. </w:t>
      </w:r>
      <w:proofErr w:type="spellStart"/>
      <w:r w:rsidR="008B632A">
        <w:t>Mormont</w:t>
      </w:r>
      <w:proofErr w:type="spellEnd"/>
      <w:r w:rsidR="008B632A">
        <w:t xml:space="preserve">, </w:t>
      </w:r>
      <w:r w:rsidR="008B632A">
        <w:rPr>
          <w:i/>
          <w:iCs/>
        </w:rPr>
        <w:t>J.T.</w:t>
      </w:r>
      <w:r w:rsidR="008B632A">
        <w:t>, 2023, p. 352.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42E97"/>
    <w:multiLevelType w:val="hybridMultilevel"/>
    <w:tmpl w:val="44003000"/>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3524718A"/>
    <w:multiLevelType w:val="multilevel"/>
    <w:tmpl w:val="FB2C5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BC0EAF"/>
    <w:multiLevelType w:val="hybridMultilevel"/>
    <w:tmpl w:val="FFFFFFFF"/>
    <w:lvl w:ilvl="0" w:tplc="336411C0">
      <w:numFmt w:val="bullet"/>
      <w:lvlText w:val="-"/>
      <w:lvlJc w:val="left"/>
      <w:pPr>
        <w:ind w:left="720" w:hanging="360"/>
      </w:pPr>
      <w:rPr>
        <w:rFonts w:ascii="Calibri" w:eastAsia="Times New Roman" w:hAnsi="Calibri" w:hint="default"/>
      </w:rPr>
    </w:lvl>
    <w:lvl w:ilvl="1" w:tplc="080C0003">
      <w:start w:val="1"/>
      <w:numFmt w:val="bullet"/>
      <w:lvlText w:val="o"/>
      <w:lvlJc w:val="left"/>
      <w:pPr>
        <w:ind w:left="1440" w:hanging="360"/>
      </w:pPr>
      <w:rPr>
        <w:rFonts w:ascii="Courier New" w:hAnsi="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hint="default"/>
      </w:rPr>
    </w:lvl>
    <w:lvl w:ilvl="8" w:tplc="080C0005">
      <w:start w:val="1"/>
      <w:numFmt w:val="bullet"/>
      <w:lvlText w:val=""/>
      <w:lvlJc w:val="left"/>
      <w:pPr>
        <w:ind w:left="6480" w:hanging="360"/>
      </w:pPr>
      <w:rPr>
        <w:rFonts w:ascii="Wingdings" w:hAnsi="Wingdings" w:hint="default"/>
      </w:rPr>
    </w:lvl>
  </w:abstractNum>
  <w:abstractNum w:abstractNumId="3" w15:restartNumberingAfterBreak="0">
    <w:nsid w:val="4C65146E"/>
    <w:multiLevelType w:val="hybridMultilevel"/>
    <w:tmpl w:val="61DE082E"/>
    <w:lvl w:ilvl="0" w:tplc="3B0A489E">
      <w:start w:val="1"/>
      <w:numFmt w:val="bullet"/>
      <w:lvlText w:val="-"/>
      <w:lvlJc w:val="left"/>
      <w:pPr>
        <w:ind w:left="720" w:hanging="360"/>
      </w:pPr>
      <w:rPr>
        <w:rFonts w:ascii="Calibri" w:eastAsia="MS Gothic"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4D67260A"/>
    <w:multiLevelType w:val="multilevel"/>
    <w:tmpl w:val="FFFFFFFF"/>
    <w:lvl w:ilvl="0">
      <w:start w:val="1"/>
      <w:numFmt w:val="decimal"/>
      <w:lvlText w:val="%1."/>
      <w:lvlJc w:val="left"/>
      <w:pPr>
        <w:ind w:left="1080" w:hanging="360"/>
      </w:pPr>
      <w:rPr>
        <w:rFonts w:cs="Times New Roman" w:hint="default"/>
        <w:b/>
        <w:bCs/>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149" w:hanging="1440"/>
      </w:pPr>
      <w:rPr>
        <w:rFonts w:cs="Times New Roman" w:hint="default"/>
      </w:rPr>
    </w:lvl>
  </w:abstractNum>
  <w:num w:numId="1" w16cid:durableId="1278758568">
    <w:abstractNumId w:val="4"/>
  </w:num>
  <w:num w:numId="2" w16cid:durableId="1419448307">
    <w:abstractNumId w:val="2"/>
  </w:num>
  <w:num w:numId="3" w16cid:durableId="2135171621">
    <w:abstractNumId w:val="0"/>
  </w:num>
  <w:num w:numId="4" w16cid:durableId="997222040">
    <w:abstractNumId w:val="3"/>
  </w:num>
  <w:num w:numId="5" w16cid:durableId="588587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0FC"/>
    <w:rsid w:val="00002F09"/>
    <w:rsid w:val="00021752"/>
    <w:rsid w:val="00056C0E"/>
    <w:rsid w:val="0006621B"/>
    <w:rsid w:val="00075DE4"/>
    <w:rsid w:val="0009503C"/>
    <w:rsid w:val="001905E1"/>
    <w:rsid w:val="00190E41"/>
    <w:rsid w:val="001B772C"/>
    <w:rsid w:val="001E22FB"/>
    <w:rsid w:val="00211836"/>
    <w:rsid w:val="00222805"/>
    <w:rsid w:val="00251040"/>
    <w:rsid w:val="0026175B"/>
    <w:rsid w:val="00272F74"/>
    <w:rsid w:val="00276023"/>
    <w:rsid w:val="00281D56"/>
    <w:rsid w:val="002A410A"/>
    <w:rsid w:val="002C6E51"/>
    <w:rsid w:val="002E2038"/>
    <w:rsid w:val="002F169B"/>
    <w:rsid w:val="00316BC2"/>
    <w:rsid w:val="00332A32"/>
    <w:rsid w:val="003403C4"/>
    <w:rsid w:val="00385D80"/>
    <w:rsid w:val="003970C2"/>
    <w:rsid w:val="00397FC0"/>
    <w:rsid w:val="003C12E7"/>
    <w:rsid w:val="003C4B7C"/>
    <w:rsid w:val="003D1F73"/>
    <w:rsid w:val="003F4C39"/>
    <w:rsid w:val="003F63E5"/>
    <w:rsid w:val="003F79D3"/>
    <w:rsid w:val="00446BF0"/>
    <w:rsid w:val="00462C50"/>
    <w:rsid w:val="00474296"/>
    <w:rsid w:val="004D7756"/>
    <w:rsid w:val="00520E20"/>
    <w:rsid w:val="00535E27"/>
    <w:rsid w:val="0054629C"/>
    <w:rsid w:val="00563E36"/>
    <w:rsid w:val="00580425"/>
    <w:rsid w:val="005877FB"/>
    <w:rsid w:val="005A5E59"/>
    <w:rsid w:val="005B5279"/>
    <w:rsid w:val="005F08AB"/>
    <w:rsid w:val="006013B1"/>
    <w:rsid w:val="00615C6F"/>
    <w:rsid w:val="00637F2E"/>
    <w:rsid w:val="006447BD"/>
    <w:rsid w:val="00647AFA"/>
    <w:rsid w:val="00671375"/>
    <w:rsid w:val="006C21D3"/>
    <w:rsid w:val="006C48B5"/>
    <w:rsid w:val="006E0061"/>
    <w:rsid w:val="00762069"/>
    <w:rsid w:val="007D1072"/>
    <w:rsid w:val="007D136F"/>
    <w:rsid w:val="007F289C"/>
    <w:rsid w:val="0081470E"/>
    <w:rsid w:val="00814E34"/>
    <w:rsid w:val="0082543D"/>
    <w:rsid w:val="00830C42"/>
    <w:rsid w:val="00837CF8"/>
    <w:rsid w:val="00852CA3"/>
    <w:rsid w:val="00872E27"/>
    <w:rsid w:val="00887B45"/>
    <w:rsid w:val="008B32C5"/>
    <w:rsid w:val="008B632A"/>
    <w:rsid w:val="008B68F8"/>
    <w:rsid w:val="008C6AD2"/>
    <w:rsid w:val="008E1607"/>
    <w:rsid w:val="008F3BC5"/>
    <w:rsid w:val="0091017E"/>
    <w:rsid w:val="00945AAA"/>
    <w:rsid w:val="00977A16"/>
    <w:rsid w:val="009801B5"/>
    <w:rsid w:val="00990123"/>
    <w:rsid w:val="00992B3D"/>
    <w:rsid w:val="009A0DBC"/>
    <w:rsid w:val="009A2DDA"/>
    <w:rsid w:val="009B2E0A"/>
    <w:rsid w:val="00A052EB"/>
    <w:rsid w:val="00A2496B"/>
    <w:rsid w:val="00A82B12"/>
    <w:rsid w:val="00AB702A"/>
    <w:rsid w:val="00AF21D2"/>
    <w:rsid w:val="00B368C2"/>
    <w:rsid w:val="00B41CB0"/>
    <w:rsid w:val="00B560FC"/>
    <w:rsid w:val="00B61EA1"/>
    <w:rsid w:val="00B62F87"/>
    <w:rsid w:val="00B65DE6"/>
    <w:rsid w:val="00C17B87"/>
    <w:rsid w:val="00C2456E"/>
    <w:rsid w:val="00C55D88"/>
    <w:rsid w:val="00C721AC"/>
    <w:rsid w:val="00C84281"/>
    <w:rsid w:val="00D10039"/>
    <w:rsid w:val="00D1151A"/>
    <w:rsid w:val="00D37000"/>
    <w:rsid w:val="00D64651"/>
    <w:rsid w:val="00D727ED"/>
    <w:rsid w:val="00D8066C"/>
    <w:rsid w:val="00DD32AE"/>
    <w:rsid w:val="00E461DD"/>
    <w:rsid w:val="00E6631F"/>
    <w:rsid w:val="00E7027C"/>
    <w:rsid w:val="00E81C7C"/>
    <w:rsid w:val="00E82DC9"/>
    <w:rsid w:val="00EC017E"/>
    <w:rsid w:val="00EE18B5"/>
    <w:rsid w:val="00EE382F"/>
    <w:rsid w:val="00EE6242"/>
    <w:rsid w:val="00EF20BD"/>
    <w:rsid w:val="00EF5E34"/>
    <w:rsid w:val="00F06A7F"/>
    <w:rsid w:val="00F40209"/>
    <w:rsid w:val="00F61A5E"/>
    <w:rsid w:val="00FC702F"/>
    <w:rsid w:val="00FD04AD"/>
    <w:rsid w:val="00FF24FF"/>
  </w:rsids>
  <m:mathPr>
    <m:mathFont m:val="Cambria Math"/>
    <m:brkBin m:val="before"/>
    <m:brkBinSub m:val="--"/>
    <m:smallFrac m:val="0"/>
    <m:dispDef/>
    <m:lMargin m:val="0"/>
    <m:rMargin m:val="0"/>
    <m:defJc m:val="centerGroup"/>
    <m:wrapIndent m:val="1440"/>
    <m:intLim m:val="subSup"/>
    <m:naryLim m:val="undOvr"/>
  </m:mathPr>
  <w:themeFontLang w:val="fr-B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467EC"/>
  <w15:chartTrackingRefBased/>
  <w15:docId w15:val="{CF9EF3E2-9AAD-445F-BB01-A71A2553C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560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560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560F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560F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560F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560F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560F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560F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560F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560F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560F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560F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560F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560F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560F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560F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560F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560FC"/>
    <w:rPr>
      <w:rFonts w:eastAsiaTheme="majorEastAsia" w:cstheme="majorBidi"/>
      <w:color w:val="272727" w:themeColor="text1" w:themeTint="D8"/>
    </w:rPr>
  </w:style>
  <w:style w:type="paragraph" w:styleId="Titre">
    <w:name w:val="Title"/>
    <w:basedOn w:val="Normal"/>
    <w:next w:val="Normal"/>
    <w:link w:val="TitreCar"/>
    <w:uiPriority w:val="10"/>
    <w:qFormat/>
    <w:rsid w:val="00B560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560F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560F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560F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560FC"/>
    <w:pPr>
      <w:spacing w:before="160"/>
      <w:jc w:val="center"/>
    </w:pPr>
    <w:rPr>
      <w:i/>
      <w:iCs/>
      <w:color w:val="404040" w:themeColor="text1" w:themeTint="BF"/>
    </w:rPr>
  </w:style>
  <w:style w:type="character" w:customStyle="1" w:styleId="CitationCar">
    <w:name w:val="Citation Car"/>
    <w:basedOn w:val="Policepardfaut"/>
    <w:link w:val="Citation"/>
    <w:uiPriority w:val="29"/>
    <w:rsid w:val="00B560FC"/>
    <w:rPr>
      <w:i/>
      <w:iCs/>
      <w:color w:val="404040" w:themeColor="text1" w:themeTint="BF"/>
    </w:rPr>
  </w:style>
  <w:style w:type="paragraph" w:styleId="Paragraphedeliste">
    <w:name w:val="List Paragraph"/>
    <w:basedOn w:val="Normal"/>
    <w:uiPriority w:val="34"/>
    <w:qFormat/>
    <w:rsid w:val="00B560FC"/>
    <w:pPr>
      <w:ind w:left="720"/>
      <w:contextualSpacing/>
    </w:pPr>
  </w:style>
  <w:style w:type="character" w:styleId="Accentuationintense">
    <w:name w:val="Intense Emphasis"/>
    <w:basedOn w:val="Policepardfaut"/>
    <w:uiPriority w:val="21"/>
    <w:qFormat/>
    <w:rsid w:val="00B560FC"/>
    <w:rPr>
      <w:i/>
      <w:iCs/>
      <w:color w:val="0F4761" w:themeColor="accent1" w:themeShade="BF"/>
    </w:rPr>
  </w:style>
  <w:style w:type="paragraph" w:styleId="Citationintense">
    <w:name w:val="Intense Quote"/>
    <w:basedOn w:val="Normal"/>
    <w:next w:val="Normal"/>
    <w:link w:val="CitationintenseCar"/>
    <w:uiPriority w:val="30"/>
    <w:qFormat/>
    <w:rsid w:val="00B560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560FC"/>
    <w:rPr>
      <w:i/>
      <w:iCs/>
      <w:color w:val="0F4761" w:themeColor="accent1" w:themeShade="BF"/>
    </w:rPr>
  </w:style>
  <w:style w:type="character" w:styleId="Rfrenceintense">
    <w:name w:val="Intense Reference"/>
    <w:basedOn w:val="Policepardfaut"/>
    <w:uiPriority w:val="32"/>
    <w:qFormat/>
    <w:rsid w:val="00B560FC"/>
    <w:rPr>
      <w:b/>
      <w:bCs/>
      <w:smallCaps/>
      <w:color w:val="0F4761" w:themeColor="accent1" w:themeShade="BF"/>
      <w:spacing w:val="5"/>
    </w:rPr>
  </w:style>
  <w:style w:type="paragraph" w:styleId="Notedebasdepage">
    <w:name w:val="footnote text"/>
    <w:aliases w:val="^FootnotetText"/>
    <w:basedOn w:val="Normal"/>
    <w:link w:val="NotedebasdepageCar"/>
    <w:uiPriority w:val="99"/>
    <w:rsid w:val="00830C42"/>
    <w:pPr>
      <w:spacing w:after="0" w:line="240" w:lineRule="auto"/>
    </w:pPr>
    <w:rPr>
      <w:rFonts w:ascii="Calibri" w:eastAsia="MS Gothic" w:hAnsi="Calibri" w:cs="Times New Roman"/>
      <w:color w:val="7F7F7F"/>
      <w:kern w:val="0"/>
      <w:sz w:val="18"/>
      <w:szCs w:val="20"/>
      <w:lang w:eastAsia="fr-BE"/>
      <w14:ligatures w14:val="none"/>
    </w:rPr>
  </w:style>
  <w:style w:type="character" w:customStyle="1" w:styleId="NotedebasdepageCar">
    <w:name w:val="Note de bas de page Car"/>
    <w:aliases w:val="^FootnotetText Car"/>
    <w:basedOn w:val="Policepardfaut"/>
    <w:link w:val="Notedebasdepage"/>
    <w:uiPriority w:val="99"/>
    <w:rsid w:val="00830C42"/>
    <w:rPr>
      <w:rFonts w:ascii="Calibri" w:eastAsia="MS Gothic" w:hAnsi="Calibri" w:cs="Times New Roman"/>
      <w:color w:val="7F7F7F"/>
      <w:kern w:val="0"/>
      <w:sz w:val="18"/>
      <w:szCs w:val="20"/>
      <w:lang w:eastAsia="fr-BE"/>
      <w14:ligatures w14:val="none"/>
    </w:rPr>
  </w:style>
  <w:style w:type="character" w:styleId="Appelnotedebasdep">
    <w:name w:val="footnote reference"/>
    <w:basedOn w:val="Policepardfaut"/>
    <w:uiPriority w:val="99"/>
    <w:rsid w:val="00830C42"/>
    <w:rPr>
      <w:color w:val="8E0033"/>
      <w:sz w:val="20"/>
      <w:vertAlign w:val="superscript"/>
    </w:rPr>
  </w:style>
  <w:style w:type="character" w:customStyle="1" w:styleId="fontstyle01">
    <w:name w:val="fontstyle01"/>
    <w:basedOn w:val="Policepardfaut"/>
    <w:rsid w:val="00830C42"/>
    <w:rPr>
      <w:rFonts w:ascii="Arial" w:hAnsi="Arial" w:cs="Arial" w:hint="default"/>
      <w:b w:val="0"/>
      <w:bCs w:val="0"/>
      <w:i w:val="0"/>
      <w:iCs w:val="0"/>
      <w:color w:val="000000"/>
      <w:sz w:val="22"/>
      <w:szCs w:val="22"/>
    </w:rPr>
  </w:style>
  <w:style w:type="character" w:customStyle="1" w:styleId="fontstyle21">
    <w:name w:val="fontstyle21"/>
    <w:basedOn w:val="Policepardfaut"/>
    <w:rsid w:val="00830C42"/>
    <w:rPr>
      <w:rFonts w:ascii="Arial" w:hAnsi="Arial" w:cs="Arial" w:hint="default"/>
      <w:b w:val="0"/>
      <w:bCs w:val="0"/>
      <w:i/>
      <w:iCs/>
      <w:color w:val="000000"/>
      <w:sz w:val="24"/>
      <w:szCs w:val="24"/>
    </w:rPr>
  </w:style>
  <w:style w:type="character" w:styleId="Marquedecommentaire">
    <w:name w:val="annotation reference"/>
    <w:basedOn w:val="Policepardfaut"/>
    <w:uiPriority w:val="99"/>
    <w:semiHidden/>
    <w:unhideWhenUsed/>
    <w:rsid w:val="00276023"/>
    <w:rPr>
      <w:sz w:val="16"/>
      <w:szCs w:val="16"/>
    </w:rPr>
  </w:style>
  <w:style w:type="paragraph" w:styleId="Commentaire">
    <w:name w:val="annotation text"/>
    <w:basedOn w:val="Normal"/>
    <w:link w:val="CommentaireCar"/>
    <w:uiPriority w:val="99"/>
    <w:unhideWhenUsed/>
    <w:rsid w:val="00276023"/>
    <w:pPr>
      <w:spacing w:line="240" w:lineRule="auto"/>
    </w:pPr>
    <w:rPr>
      <w:sz w:val="20"/>
      <w:szCs w:val="20"/>
    </w:rPr>
  </w:style>
  <w:style w:type="character" w:customStyle="1" w:styleId="CommentaireCar">
    <w:name w:val="Commentaire Car"/>
    <w:basedOn w:val="Policepardfaut"/>
    <w:link w:val="Commentaire"/>
    <w:uiPriority w:val="99"/>
    <w:rsid w:val="00276023"/>
    <w:rPr>
      <w:sz w:val="20"/>
      <w:szCs w:val="20"/>
    </w:rPr>
  </w:style>
  <w:style w:type="paragraph" w:styleId="Objetducommentaire">
    <w:name w:val="annotation subject"/>
    <w:basedOn w:val="Commentaire"/>
    <w:next w:val="Commentaire"/>
    <w:link w:val="ObjetducommentaireCar"/>
    <w:uiPriority w:val="99"/>
    <w:semiHidden/>
    <w:unhideWhenUsed/>
    <w:rsid w:val="00276023"/>
    <w:rPr>
      <w:b/>
      <w:bCs/>
    </w:rPr>
  </w:style>
  <w:style w:type="character" w:customStyle="1" w:styleId="ObjetducommentaireCar">
    <w:name w:val="Objet du commentaire Car"/>
    <w:basedOn w:val="CommentaireCar"/>
    <w:link w:val="Objetducommentaire"/>
    <w:uiPriority w:val="99"/>
    <w:semiHidden/>
    <w:rsid w:val="00276023"/>
    <w:rPr>
      <w:b/>
      <w:bCs/>
      <w:sz w:val="20"/>
      <w:szCs w:val="20"/>
    </w:rPr>
  </w:style>
  <w:style w:type="paragraph" w:styleId="Sansinterligne">
    <w:name w:val="No Spacing"/>
    <w:uiPriority w:val="1"/>
    <w:qFormat/>
    <w:rsid w:val="00B62F87"/>
    <w:pPr>
      <w:spacing w:after="0" w:line="240" w:lineRule="auto"/>
    </w:pPr>
  </w:style>
  <w:style w:type="character" w:styleId="Lienhypertexte">
    <w:name w:val="Hyperlink"/>
    <w:basedOn w:val="Policepardfaut"/>
    <w:uiPriority w:val="99"/>
    <w:unhideWhenUsed/>
    <w:rsid w:val="00520E20"/>
    <w:rPr>
      <w:color w:val="0000FF"/>
      <w:u w:val="single"/>
    </w:rPr>
  </w:style>
  <w:style w:type="paragraph" w:styleId="En-tte">
    <w:name w:val="header"/>
    <w:basedOn w:val="Normal"/>
    <w:link w:val="En-tteCar"/>
    <w:uiPriority w:val="99"/>
    <w:unhideWhenUsed/>
    <w:rsid w:val="005B5279"/>
    <w:pPr>
      <w:tabs>
        <w:tab w:val="center" w:pos="4536"/>
        <w:tab w:val="right" w:pos="9072"/>
      </w:tabs>
      <w:spacing w:after="0" w:line="240" w:lineRule="auto"/>
    </w:pPr>
  </w:style>
  <w:style w:type="character" w:customStyle="1" w:styleId="En-tteCar">
    <w:name w:val="En-tête Car"/>
    <w:basedOn w:val="Policepardfaut"/>
    <w:link w:val="En-tte"/>
    <w:uiPriority w:val="99"/>
    <w:rsid w:val="005B5279"/>
  </w:style>
  <w:style w:type="paragraph" w:styleId="Pieddepage">
    <w:name w:val="footer"/>
    <w:basedOn w:val="Normal"/>
    <w:link w:val="PieddepageCar"/>
    <w:uiPriority w:val="99"/>
    <w:unhideWhenUsed/>
    <w:rsid w:val="005B527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B5279"/>
  </w:style>
  <w:style w:type="character" w:styleId="Mentionnonrsolue">
    <w:name w:val="Unresolved Mention"/>
    <w:basedOn w:val="Policepardfaut"/>
    <w:uiPriority w:val="99"/>
    <w:semiHidden/>
    <w:unhideWhenUsed/>
    <w:rsid w:val="008B63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103723">
      <w:bodyDiv w:val="1"/>
      <w:marLeft w:val="0"/>
      <w:marRight w:val="0"/>
      <w:marTop w:val="0"/>
      <w:marBottom w:val="0"/>
      <w:divBdr>
        <w:top w:val="none" w:sz="0" w:space="0" w:color="auto"/>
        <w:left w:val="none" w:sz="0" w:space="0" w:color="auto"/>
        <w:bottom w:val="none" w:sz="0" w:space="0" w:color="auto"/>
        <w:right w:val="none" w:sz="0" w:space="0" w:color="auto"/>
      </w:divBdr>
      <w:divsChild>
        <w:div w:id="2128160769">
          <w:marLeft w:val="-225"/>
          <w:marRight w:val="-225"/>
          <w:marTop w:val="0"/>
          <w:marBottom w:val="0"/>
          <w:divBdr>
            <w:top w:val="none" w:sz="0" w:space="0" w:color="auto"/>
            <w:left w:val="none" w:sz="0" w:space="0" w:color="auto"/>
            <w:bottom w:val="none" w:sz="0" w:space="0" w:color="auto"/>
            <w:right w:val="none" w:sz="0" w:space="0" w:color="auto"/>
          </w:divBdr>
          <w:divsChild>
            <w:div w:id="1686902275">
              <w:marLeft w:val="0"/>
              <w:marRight w:val="0"/>
              <w:marTop w:val="0"/>
              <w:marBottom w:val="0"/>
              <w:divBdr>
                <w:top w:val="none" w:sz="0" w:space="0" w:color="auto"/>
                <w:left w:val="none" w:sz="0" w:space="0" w:color="auto"/>
                <w:bottom w:val="none" w:sz="0" w:space="0" w:color="auto"/>
                <w:right w:val="none" w:sz="0" w:space="0" w:color="auto"/>
              </w:divBdr>
              <w:divsChild>
                <w:div w:id="677654938">
                  <w:marLeft w:val="0"/>
                  <w:marRight w:val="0"/>
                  <w:marTop w:val="0"/>
                  <w:marBottom w:val="0"/>
                  <w:divBdr>
                    <w:top w:val="none" w:sz="0" w:space="0" w:color="auto"/>
                    <w:left w:val="none" w:sz="0" w:space="0" w:color="auto"/>
                    <w:bottom w:val="none" w:sz="0" w:space="0" w:color="auto"/>
                    <w:right w:val="none" w:sz="0" w:space="0" w:color="auto"/>
                  </w:divBdr>
                  <w:divsChild>
                    <w:div w:id="1427917270">
                      <w:marLeft w:val="-225"/>
                      <w:marRight w:val="-225"/>
                      <w:marTop w:val="0"/>
                      <w:marBottom w:val="0"/>
                      <w:divBdr>
                        <w:top w:val="none" w:sz="0" w:space="0" w:color="auto"/>
                        <w:left w:val="none" w:sz="0" w:space="0" w:color="auto"/>
                        <w:bottom w:val="none" w:sz="0" w:space="0" w:color="auto"/>
                        <w:right w:val="none" w:sz="0" w:space="0" w:color="auto"/>
                      </w:divBdr>
                      <w:divsChild>
                        <w:div w:id="184820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654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juportal.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57AB6-2C6E-42AB-B2BD-5474F0295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685</Words>
  <Characters>3627</Characters>
  <Application>Microsoft Office Word</Application>
  <DocSecurity>0</DocSecurity>
  <Lines>52</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stephaniecaronsrl@gmail.com</dc:creator>
  <cp:keywords/>
  <dc:description/>
  <cp:lastModifiedBy>Matthieu Van Molle</cp:lastModifiedBy>
  <cp:revision>7</cp:revision>
  <cp:lastPrinted>2026-01-29T16:14:00Z</cp:lastPrinted>
  <dcterms:created xsi:type="dcterms:W3CDTF">2024-05-06T15:48:00Z</dcterms:created>
  <dcterms:modified xsi:type="dcterms:W3CDTF">2026-01-29T16:14:00Z</dcterms:modified>
</cp:coreProperties>
</file>