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07"/>
      </w:tblGrid>
      <w:tr w:rsidR="00C55A83" w:rsidRPr="0033799A" w14:paraId="65FF6DCD" w14:textId="77777777" w:rsidTr="00BD599F">
        <w:tc>
          <w:tcPr>
            <w:tcW w:w="6521" w:type="dxa"/>
            <w:vAlign w:val="center"/>
          </w:tcPr>
          <w:p w14:paraId="126801F9" w14:textId="77777777" w:rsidR="00C55A83" w:rsidRPr="0033799A" w:rsidRDefault="00C55A83" w:rsidP="00BD599F">
            <w:pPr>
              <w:ind w:left="-142"/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  <w:noProof/>
              </w:rPr>
              <w:drawing>
                <wp:inline distT="0" distB="0" distL="0" distR="0" wp14:anchorId="4B0414AE" wp14:editId="769A37A4">
                  <wp:extent cx="4035287" cy="900000"/>
                  <wp:effectExtent l="0" t="0" r="3810" b="1905"/>
                  <wp:docPr id="2021909141" name="Immagine 1" descr="Immagine che contiene testo, biglietto da visita, schermata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09141" name="Immagine 1" descr="Immagine che contiene testo, biglietto da visita, schermata, Carattere&#10;&#10;Il contenuto generato dall'IA potrebbe non essere corretto.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5287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vAlign w:val="center"/>
          </w:tcPr>
          <w:p w14:paraId="3B206CEC" w14:textId="77777777" w:rsidR="00C55A83" w:rsidRPr="0033799A" w:rsidRDefault="00C55A83" w:rsidP="00BD599F">
            <w:pPr>
              <w:ind w:left="-142"/>
              <w:jc w:val="right"/>
              <w:rPr>
                <w:rFonts w:ascii="Nunito" w:hAnsi="Nunito"/>
              </w:rPr>
            </w:pPr>
            <w:r>
              <w:rPr>
                <w:rFonts w:ascii="Nunito" w:hAnsi="Nunito"/>
                <w:noProof/>
              </w:rPr>
              <w:drawing>
                <wp:inline distT="0" distB="0" distL="0" distR="0" wp14:anchorId="15558604" wp14:editId="0D030F9D">
                  <wp:extent cx="1602603" cy="612000"/>
                  <wp:effectExtent l="0" t="0" r="0" b="0"/>
                  <wp:docPr id="1952331701" name="Immagine 2" descr="Immagine che contiene Carattere, Elementi grafici, grafica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331701" name="Immagine 2" descr="Immagine che contiene Carattere, Elementi grafici, grafica, logo&#10;&#10;Il contenuto generato dall'IA potrebbe non essere corretto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603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A83" w:rsidRPr="0033799A" w14:paraId="7238F8B5" w14:textId="77777777" w:rsidTr="00BD599F">
        <w:tc>
          <w:tcPr>
            <w:tcW w:w="9628" w:type="dxa"/>
            <w:gridSpan w:val="2"/>
            <w:vAlign w:val="center"/>
          </w:tcPr>
          <w:p w14:paraId="13244A09" w14:textId="61E0EB73" w:rsidR="00C55A83" w:rsidRPr="009F7F6F" w:rsidRDefault="00C55A83" w:rsidP="009F7F6F">
            <w:pPr>
              <w:spacing w:before="120"/>
              <w:ind w:left="-142"/>
              <w:jc w:val="center"/>
              <w:rPr>
                <w:rFonts w:ascii="Montserrat" w:hAnsi="Montserrat"/>
                <w:sz w:val="28"/>
                <w:szCs w:val="28"/>
              </w:rPr>
            </w:pPr>
            <w:r w:rsidRPr="009F7F6F">
              <w:rPr>
                <w:rFonts w:ascii="Montserrat" w:hAnsi="Montserrat"/>
                <w:b/>
                <w:bCs/>
                <w:sz w:val="28"/>
                <w:szCs w:val="28"/>
              </w:rPr>
              <w:t>VII Convegno AISSA#</w:t>
            </w:r>
            <w:r w:rsidR="008033A7" w:rsidRPr="009F7F6F">
              <w:rPr>
                <w:rFonts w:ascii="Montserrat" w:hAnsi="Montserrat"/>
                <w:b/>
                <w:bCs/>
                <w:sz w:val="28"/>
                <w:szCs w:val="28"/>
              </w:rPr>
              <w:t>under</w:t>
            </w:r>
            <w:r w:rsidRPr="009F7F6F">
              <w:rPr>
                <w:rFonts w:ascii="Montserrat" w:hAnsi="Montserrat"/>
                <w:b/>
                <w:bCs/>
                <w:sz w:val="28"/>
                <w:szCs w:val="28"/>
              </w:rPr>
              <w:t>40</w:t>
            </w:r>
          </w:p>
        </w:tc>
      </w:tr>
      <w:tr w:rsidR="00C55A83" w:rsidRPr="0033799A" w14:paraId="32E1075F" w14:textId="77777777" w:rsidTr="00BD599F">
        <w:tc>
          <w:tcPr>
            <w:tcW w:w="9628" w:type="dxa"/>
            <w:gridSpan w:val="2"/>
            <w:vAlign w:val="center"/>
          </w:tcPr>
          <w:p w14:paraId="0EAA35DD" w14:textId="77777777" w:rsidR="00C55A83" w:rsidRPr="009F7F6F" w:rsidRDefault="00C55A83" w:rsidP="009F7F6F">
            <w:pPr>
              <w:spacing w:before="60"/>
              <w:ind w:left="-142"/>
              <w:jc w:val="center"/>
              <w:rPr>
                <w:rFonts w:ascii="Montserrat" w:hAnsi="Montserrat"/>
                <w:sz w:val="22"/>
                <w:szCs w:val="22"/>
              </w:rPr>
            </w:pPr>
            <w:r w:rsidRPr="009F7F6F">
              <w:rPr>
                <w:rFonts w:ascii="Montserrat" w:hAnsi="Montserrat"/>
                <w:sz w:val="22"/>
                <w:szCs w:val="22"/>
              </w:rPr>
              <w:t>Torino, 8-9 Luglio 2026</w:t>
            </w:r>
          </w:p>
        </w:tc>
      </w:tr>
      <w:tr w:rsidR="00C55A83" w:rsidRPr="0033799A" w14:paraId="50A452AA" w14:textId="77777777" w:rsidTr="00BD599F">
        <w:tc>
          <w:tcPr>
            <w:tcW w:w="9628" w:type="dxa"/>
            <w:gridSpan w:val="2"/>
          </w:tcPr>
          <w:p w14:paraId="7DE4A82A" w14:textId="77777777" w:rsidR="00C55A83" w:rsidRPr="009F7F6F" w:rsidRDefault="00C55A83" w:rsidP="009F7F6F">
            <w:pPr>
              <w:spacing w:before="120"/>
              <w:ind w:left="-142"/>
              <w:jc w:val="center"/>
              <w:rPr>
                <w:rFonts w:ascii="Montserrat" w:hAnsi="Montserrat"/>
                <w:i/>
                <w:iCs/>
                <w:sz w:val="22"/>
                <w:szCs w:val="22"/>
              </w:rPr>
            </w:pPr>
            <w:r w:rsidRPr="009F7F6F">
              <w:rPr>
                <w:rFonts w:ascii="Montserrat" w:hAnsi="Montserrat"/>
                <w:i/>
                <w:iCs/>
                <w:sz w:val="22"/>
                <w:szCs w:val="22"/>
              </w:rPr>
              <w:t xml:space="preserve">Presente e futuro delle scienze agrarie, forestali e alimentari: </w:t>
            </w:r>
          </w:p>
          <w:p w14:paraId="48145F99" w14:textId="77777777" w:rsidR="00C55A83" w:rsidRPr="0033799A" w:rsidRDefault="00C55A83" w:rsidP="00BD599F">
            <w:pPr>
              <w:ind w:left="-142"/>
              <w:jc w:val="center"/>
              <w:rPr>
                <w:rFonts w:ascii="Montserrat" w:hAnsi="Montserrat"/>
              </w:rPr>
            </w:pPr>
            <w:r w:rsidRPr="009F7F6F">
              <w:rPr>
                <w:rFonts w:ascii="Montserrat" w:hAnsi="Montserrat"/>
                <w:i/>
                <w:iCs/>
                <w:sz w:val="22"/>
                <w:szCs w:val="22"/>
              </w:rPr>
              <w:t>sfide e prospettive per le nuove generazioni</w:t>
            </w:r>
          </w:p>
        </w:tc>
      </w:tr>
    </w:tbl>
    <w:p w14:paraId="1D86D660" w14:textId="1338A22B" w:rsidR="00F40EA9" w:rsidRPr="00F15C30" w:rsidRDefault="009F7749" w:rsidP="00F15C30">
      <w:pPr>
        <w:spacing w:before="240" w:after="180" w:line="240" w:lineRule="auto"/>
        <w:jc w:val="center"/>
        <w:rPr>
          <w:rFonts w:ascii="Tahoma" w:hAnsi="Tahoma" w:cs="Tahoma"/>
          <w:b/>
          <w:bCs/>
          <w:sz w:val="28"/>
          <w:szCs w:val="28"/>
          <w:lang w:val="en-GB"/>
        </w:rPr>
      </w:pPr>
      <w:r w:rsidRPr="009F7749">
        <w:rPr>
          <w:rFonts w:ascii="Tahoma" w:hAnsi="Tahoma" w:cs="Tahoma"/>
          <w:b/>
          <w:bCs/>
          <w:sz w:val="28"/>
          <w:szCs w:val="28"/>
          <w:lang w:val="en-GB"/>
        </w:rPr>
        <w:t>Preliminary Screening of the Herbicidal and Fungicidal Potential of Essential Oils from Woody Pruning Biomass</w:t>
      </w:r>
    </w:p>
    <w:p w14:paraId="55C30012" w14:textId="553A6EFC" w:rsidR="0056586A" w:rsidRPr="0056586A" w:rsidRDefault="00E828A0" w:rsidP="009210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8A0">
        <w:rPr>
          <w:rFonts w:ascii="Times New Roman" w:hAnsi="Times New Roman" w:cs="Times New Roman"/>
        </w:rPr>
        <w:t>Valeria Palchetti</w:t>
      </w:r>
      <w:r w:rsidRPr="00E828A0">
        <w:rPr>
          <w:rFonts w:ascii="Times New Roman" w:hAnsi="Times New Roman" w:cs="Times New Roman"/>
          <w:vertAlign w:val="superscript"/>
        </w:rPr>
        <w:t>1,2</w:t>
      </w:r>
      <w:r w:rsidRPr="00E828A0">
        <w:rPr>
          <w:rFonts w:ascii="Times New Roman" w:hAnsi="Times New Roman" w:cs="Times New Roman"/>
        </w:rPr>
        <w:t>*,</w:t>
      </w:r>
      <w:r w:rsidR="0056668A" w:rsidRPr="0056668A">
        <w:t xml:space="preserve"> </w:t>
      </w:r>
      <w:r w:rsidR="0056668A" w:rsidRPr="0056668A">
        <w:rPr>
          <w:rFonts w:ascii="Times New Roman" w:hAnsi="Times New Roman" w:cs="Times New Roman"/>
        </w:rPr>
        <w:t xml:space="preserve">Pierre </w:t>
      </w:r>
      <w:proofErr w:type="spellStart"/>
      <w:r w:rsidR="0056668A" w:rsidRPr="0056668A">
        <w:rPr>
          <w:rFonts w:ascii="Times New Roman" w:hAnsi="Times New Roman" w:cs="Times New Roman"/>
        </w:rPr>
        <w:t>Leonel</w:t>
      </w:r>
      <w:proofErr w:type="spellEnd"/>
      <w:r w:rsidR="0056668A" w:rsidRPr="0056668A">
        <w:rPr>
          <w:rFonts w:ascii="Times New Roman" w:hAnsi="Times New Roman" w:cs="Times New Roman"/>
        </w:rPr>
        <w:t xml:space="preserve"> K </w:t>
      </w:r>
      <w:proofErr w:type="spellStart"/>
      <w:r w:rsidR="0056668A" w:rsidRPr="0056668A">
        <w:rPr>
          <w:rFonts w:ascii="Times New Roman" w:hAnsi="Times New Roman" w:cs="Times New Roman"/>
        </w:rPr>
        <w:t>Tafokeu</w:t>
      </w:r>
      <w:proofErr w:type="spellEnd"/>
      <w:r w:rsidR="0056668A" w:rsidRPr="0056668A">
        <w:rPr>
          <w:rFonts w:ascii="Times New Roman" w:hAnsi="Times New Roman" w:cs="Times New Roman"/>
        </w:rPr>
        <w:t xml:space="preserve"> Taguimjeu</w:t>
      </w:r>
      <w:r w:rsidR="0056668A" w:rsidRPr="0056668A">
        <w:rPr>
          <w:rFonts w:ascii="Times New Roman" w:hAnsi="Times New Roman" w:cs="Times New Roman"/>
          <w:vertAlign w:val="superscript"/>
        </w:rPr>
        <w:t>3</w:t>
      </w:r>
      <w:r w:rsidR="0056668A">
        <w:rPr>
          <w:rFonts w:ascii="Times New Roman" w:hAnsi="Times New Roman" w:cs="Times New Roman"/>
        </w:rPr>
        <w:t xml:space="preserve">, </w:t>
      </w:r>
      <w:r w:rsidR="00972698" w:rsidRPr="00E828A0">
        <w:rPr>
          <w:rFonts w:ascii="Times New Roman" w:hAnsi="Times New Roman" w:cs="Times New Roman"/>
        </w:rPr>
        <w:t xml:space="preserve">Andrea Carolina </w:t>
      </w:r>
      <w:proofErr w:type="spellStart"/>
      <w:r w:rsidR="00972698" w:rsidRPr="00E828A0">
        <w:rPr>
          <w:rFonts w:ascii="Times New Roman" w:hAnsi="Times New Roman" w:cs="Times New Roman"/>
        </w:rPr>
        <w:t>Baptista</w:t>
      </w:r>
      <w:proofErr w:type="spellEnd"/>
      <w:r w:rsidR="00972698" w:rsidRPr="00E828A0">
        <w:rPr>
          <w:rFonts w:ascii="Times New Roman" w:hAnsi="Times New Roman" w:cs="Times New Roman"/>
        </w:rPr>
        <w:t xml:space="preserve"> Ruiz</w:t>
      </w:r>
      <w:r w:rsidR="00972698" w:rsidRPr="00E828A0">
        <w:rPr>
          <w:rFonts w:ascii="Times New Roman" w:hAnsi="Times New Roman" w:cs="Times New Roman"/>
          <w:vertAlign w:val="superscript"/>
        </w:rPr>
        <w:t>2</w:t>
      </w:r>
      <w:r w:rsidR="00972698" w:rsidRPr="00972698">
        <w:rPr>
          <w:rFonts w:ascii="Times New Roman" w:hAnsi="Times New Roman" w:cs="Times New Roman"/>
        </w:rPr>
        <w:t>,</w:t>
      </w:r>
      <w:r w:rsidR="00972698">
        <w:rPr>
          <w:rFonts w:ascii="Times New Roman" w:hAnsi="Times New Roman" w:cs="Times New Roman"/>
        </w:rPr>
        <w:t xml:space="preserve"> </w:t>
      </w:r>
      <w:r w:rsidRPr="00E828A0">
        <w:rPr>
          <w:rFonts w:ascii="Times New Roman" w:hAnsi="Times New Roman" w:cs="Times New Roman"/>
        </w:rPr>
        <w:t>Cassandra Detti</w:t>
      </w:r>
      <w:r w:rsidRPr="00E828A0">
        <w:rPr>
          <w:rFonts w:ascii="Times New Roman" w:hAnsi="Times New Roman" w:cs="Times New Roman"/>
          <w:vertAlign w:val="superscript"/>
        </w:rPr>
        <w:t>1</w:t>
      </w:r>
      <w:r w:rsidRPr="00E828A0">
        <w:rPr>
          <w:rFonts w:ascii="Times New Roman" w:hAnsi="Times New Roman" w:cs="Times New Roman"/>
        </w:rPr>
        <w:t>,</w:t>
      </w:r>
      <w:r w:rsidR="007267EA">
        <w:rPr>
          <w:rFonts w:ascii="Times New Roman" w:hAnsi="Times New Roman" w:cs="Times New Roman"/>
        </w:rPr>
        <w:t xml:space="preserve"> Sara Beltrami</w:t>
      </w:r>
      <w:r w:rsidR="007267EA" w:rsidRPr="00722DF6">
        <w:rPr>
          <w:rFonts w:ascii="Times New Roman" w:hAnsi="Times New Roman" w:cs="Times New Roman"/>
          <w:vertAlign w:val="superscript"/>
        </w:rPr>
        <w:t>1</w:t>
      </w:r>
      <w:r w:rsidR="007267EA">
        <w:rPr>
          <w:rFonts w:ascii="Times New Roman" w:hAnsi="Times New Roman" w:cs="Times New Roman"/>
        </w:rPr>
        <w:t>, Francesca Alderotti</w:t>
      </w:r>
      <w:r w:rsidR="004A6162" w:rsidRPr="00E828A0">
        <w:rPr>
          <w:rFonts w:ascii="Times New Roman" w:hAnsi="Times New Roman" w:cs="Times New Roman"/>
          <w:vertAlign w:val="superscript"/>
        </w:rPr>
        <w:t>2</w:t>
      </w:r>
      <w:r w:rsidR="007267EA">
        <w:rPr>
          <w:rFonts w:ascii="Times New Roman" w:hAnsi="Times New Roman" w:cs="Times New Roman"/>
        </w:rPr>
        <w:t xml:space="preserve">, </w:t>
      </w:r>
      <w:r w:rsidR="00722DF6">
        <w:rPr>
          <w:rFonts w:ascii="Times New Roman" w:hAnsi="Times New Roman" w:cs="Times New Roman"/>
        </w:rPr>
        <w:t>Ermes Lo Piccolo</w:t>
      </w:r>
      <w:r w:rsidR="00722DF6" w:rsidRPr="00722DF6">
        <w:rPr>
          <w:rFonts w:ascii="Times New Roman" w:hAnsi="Times New Roman" w:cs="Times New Roman"/>
          <w:vertAlign w:val="superscript"/>
        </w:rPr>
        <w:t>1</w:t>
      </w:r>
      <w:r w:rsidR="00722DF6">
        <w:rPr>
          <w:rFonts w:ascii="Times New Roman" w:hAnsi="Times New Roman" w:cs="Times New Roman"/>
        </w:rPr>
        <w:t>,</w:t>
      </w:r>
      <w:r w:rsidRPr="00E828A0">
        <w:rPr>
          <w:rFonts w:ascii="Times New Roman" w:hAnsi="Times New Roman" w:cs="Times New Roman"/>
        </w:rPr>
        <w:t xml:space="preserve"> Mauro Centritto</w:t>
      </w:r>
      <w:r w:rsidRPr="00E828A0">
        <w:rPr>
          <w:rFonts w:ascii="Times New Roman" w:hAnsi="Times New Roman" w:cs="Times New Roman"/>
          <w:vertAlign w:val="superscript"/>
        </w:rPr>
        <w:t>2</w:t>
      </w:r>
      <w:r w:rsidRPr="00E828A0">
        <w:rPr>
          <w:rFonts w:ascii="Times New Roman" w:hAnsi="Times New Roman" w:cs="Times New Roman"/>
        </w:rPr>
        <w:t>, Francesco Ferrini</w:t>
      </w:r>
      <w:r w:rsidRPr="00E828A0">
        <w:rPr>
          <w:rFonts w:ascii="Times New Roman" w:hAnsi="Times New Roman" w:cs="Times New Roman"/>
          <w:vertAlign w:val="superscript"/>
        </w:rPr>
        <w:t>1,2</w:t>
      </w:r>
      <w:r w:rsidRPr="00E828A0">
        <w:rPr>
          <w:rFonts w:ascii="Times New Roman" w:hAnsi="Times New Roman" w:cs="Times New Roman"/>
        </w:rPr>
        <w:t>, Antonella Gori</w:t>
      </w:r>
      <w:r w:rsidRPr="00E828A0">
        <w:rPr>
          <w:rFonts w:ascii="Times New Roman" w:hAnsi="Times New Roman" w:cs="Times New Roman"/>
          <w:vertAlign w:val="superscript"/>
        </w:rPr>
        <w:t>1,2</w:t>
      </w:r>
      <w:r w:rsidRPr="00E828A0">
        <w:rPr>
          <w:rFonts w:ascii="Times New Roman" w:hAnsi="Times New Roman" w:cs="Times New Roman"/>
        </w:rPr>
        <w:t>, Cecilia Brunetti</w:t>
      </w:r>
      <w:r w:rsidRPr="00E828A0">
        <w:rPr>
          <w:rFonts w:ascii="Times New Roman" w:hAnsi="Times New Roman" w:cs="Times New Roman"/>
          <w:vertAlign w:val="superscript"/>
        </w:rPr>
        <w:t>1,2</w:t>
      </w:r>
      <w:r>
        <w:rPr>
          <w:rFonts w:ascii="Times New Roman" w:hAnsi="Times New Roman" w:cs="Times New Roman"/>
        </w:rPr>
        <w:t xml:space="preserve">, </w:t>
      </w:r>
      <w:r w:rsidR="0056586A" w:rsidRPr="0056586A">
        <w:rPr>
          <w:rFonts w:ascii="Times New Roman" w:hAnsi="Times New Roman" w:cs="Times New Roman"/>
        </w:rPr>
        <w:t>Marie Laure Fauconnier</w:t>
      </w:r>
      <w:r w:rsidR="0056586A" w:rsidRPr="0056586A">
        <w:rPr>
          <w:rFonts w:ascii="Times New Roman" w:hAnsi="Times New Roman" w:cs="Times New Roman"/>
          <w:vertAlign w:val="superscript"/>
        </w:rPr>
        <w:t>3</w:t>
      </w:r>
      <w:r w:rsidR="0056586A">
        <w:rPr>
          <w:rFonts w:ascii="Times New Roman" w:hAnsi="Times New Roman" w:cs="Times New Roman"/>
        </w:rPr>
        <w:t>.</w:t>
      </w:r>
    </w:p>
    <w:p w14:paraId="099C6CBB" w14:textId="4F158E78" w:rsidR="004276ED" w:rsidRDefault="00FA39D1" w:rsidP="00F15C30">
      <w:pPr>
        <w:spacing w:before="120"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FA39D1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1</w:t>
      </w:r>
      <w:r w:rsidRPr="00FA39D1">
        <w:rPr>
          <w:rFonts w:ascii="Times New Roman" w:hAnsi="Times New Roman" w:cs="Times New Roman"/>
          <w:sz w:val="22"/>
          <w:szCs w:val="22"/>
          <w:lang w:val="en-GB"/>
        </w:rPr>
        <w:t xml:space="preserve"> Department of Agriculture, Food, Environment and Forestry (DAGRI), University of Florence, Firenze, 50144, Italy.</w:t>
      </w:r>
    </w:p>
    <w:p w14:paraId="09077D1F" w14:textId="59AE25BF" w:rsidR="00FA39D1" w:rsidRDefault="00FA39D1" w:rsidP="00F15C30">
      <w:pPr>
        <w:spacing w:before="120"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FA39D1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2</w:t>
      </w:r>
      <w:r w:rsidRPr="00FA39D1">
        <w:rPr>
          <w:rFonts w:ascii="Times New Roman" w:hAnsi="Times New Roman" w:cs="Times New Roman"/>
          <w:sz w:val="22"/>
          <w:szCs w:val="22"/>
          <w:lang w:val="en-GB"/>
        </w:rPr>
        <w:t xml:space="preserve"> Institute for Sustainable Plant Protection (IPSP), National Research Council, Sesto </w:t>
      </w:r>
      <w:proofErr w:type="spellStart"/>
      <w:r w:rsidRPr="00FA39D1">
        <w:rPr>
          <w:rFonts w:ascii="Times New Roman" w:hAnsi="Times New Roman" w:cs="Times New Roman"/>
          <w:sz w:val="22"/>
          <w:szCs w:val="22"/>
          <w:lang w:val="en-GB"/>
        </w:rPr>
        <w:t>Fiorentino</w:t>
      </w:r>
      <w:proofErr w:type="spellEnd"/>
      <w:r w:rsidRPr="00FA39D1">
        <w:rPr>
          <w:rFonts w:ascii="Times New Roman" w:hAnsi="Times New Roman" w:cs="Times New Roman"/>
          <w:sz w:val="22"/>
          <w:szCs w:val="22"/>
          <w:lang w:val="en-GB"/>
        </w:rPr>
        <w:t>, 50019, Italy.</w:t>
      </w:r>
    </w:p>
    <w:p w14:paraId="08EAEDD3" w14:textId="04127494" w:rsidR="0056586A" w:rsidRPr="00F15C30" w:rsidRDefault="0056586A" w:rsidP="0056586A">
      <w:pPr>
        <w:spacing w:before="120"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6586A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6586A">
        <w:rPr>
          <w:rFonts w:ascii="Times New Roman" w:hAnsi="Times New Roman" w:cs="Times New Roman"/>
          <w:sz w:val="22"/>
          <w:szCs w:val="22"/>
          <w:lang w:val="en-GB"/>
        </w:rPr>
        <w:t xml:space="preserve">Laboratory of Chemistry of Natural Molecules, Gembloux </w:t>
      </w:r>
      <w:proofErr w:type="spellStart"/>
      <w:r w:rsidRPr="0056586A">
        <w:rPr>
          <w:rFonts w:ascii="Times New Roman" w:hAnsi="Times New Roman" w:cs="Times New Roman"/>
          <w:sz w:val="22"/>
          <w:szCs w:val="22"/>
          <w:lang w:val="en-GB"/>
        </w:rPr>
        <w:t>Agro</w:t>
      </w:r>
      <w:proofErr w:type="spellEnd"/>
      <w:r w:rsidRPr="0056586A">
        <w:rPr>
          <w:rFonts w:ascii="Times New Roman" w:hAnsi="Times New Roman" w:cs="Times New Roman"/>
          <w:sz w:val="22"/>
          <w:szCs w:val="22"/>
          <w:lang w:val="en-GB"/>
        </w:rPr>
        <w:t xml:space="preserve"> Bio Tech, University of Liège, Belgium.</w:t>
      </w:r>
    </w:p>
    <w:p w14:paraId="79A3D049" w14:textId="10576288" w:rsidR="004276ED" w:rsidRPr="00FA39D1" w:rsidRDefault="004276ED" w:rsidP="00921028">
      <w:pPr>
        <w:spacing w:before="6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39D1">
        <w:rPr>
          <w:rFonts w:ascii="Times New Roman" w:hAnsi="Times New Roman" w:cs="Times New Roman"/>
          <w:sz w:val="22"/>
          <w:szCs w:val="22"/>
        </w:rPr>
        <w:t xml:space="preserve">* </w:t>
      </w:r>
      <w:proofErr w:type="spellStart"/>
      <w:r w:rsidRPr="00FA39D1">
        <w:rPr>
          <w:rFonts w:ascii="Times New Roman" w:hAnsi="Times New Roman" w:cs="Times New Roman"/>
          <w:i/>
          <w:iCs/>
          <w:sz w:val="22"/>
          <w:szCs w:val="22"/>
        </w:rPr>
        <w:t>Corresponding</w:t>
      </w:r>
      <w:proofErr w:type="spellEnd"/>
      <w:r w:rsidRPr="00FA39D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FA39D1">
        <w:rPr>
          <w:rFonts w:ascii="Times New Roman" w:hAnsi="Times New Roman" w:cs="Times New Roman"/>
          <w:i/>
          <w:iCs/>
          <w:sz w:val="22"/>
          <w:szCs w:val="22"/>
        </w:rPr>
        <w:t>author</w:t>
      </w:r>
      <w:proofErr w:type="spellEnd"/>
      <w:r w:rsidRPr="00FA39D1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="00FA39D1" w:rsidRPr="00FA39D1">
        <w:rPr>
          <w:rFonts w:ascii="Times New Roman" w:hAnsi="Times New Roman" w:cs="Times New Roman"/>
          <w:i/>
          <w:iCs/>
          <w:sz w:val="22"/>
          <w:szCs w:val="22"/>
        </w:rPr>
        <w:t>Valeria Palchetti (v</w:t>
      </w:r>
      <w:r w:rsidR="00FA39D1">
        <w:rPr>
          <w:rFonts w:ascii="Times New Roman" w:hAnsi="Times New Roman" w:cs="Times New Roman"/>
          <w:i/>
          <w:iCs/>
          <w:sz w:val="22"/>
          <w:szCs w:val="22"/>
        </w:rPr>
        <w:t>aleria.palchetti@unifi.it)</w:t>
      </w:r>
    </w:p>
    <w:p w14:paraId="1B4DFB3C" w14:textId="2B5120FF" w:rsidR="00E828A0" w:rsidRDefault="008B4517" w:rsidP="00F15C30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lang w:val="en-GB"/>
        </w:rPr>
      </w:pPr>
      <w:r w:rsidRPr="00F15C30">
        <w:rPr>
          <w:rFonts w:ascii="Times New Roman" w:hAnsi="Times New Roman" w:cs="Times New Roman"/>
          <w:b/>
          <w:bCs/>
          <w:lang w:val="en-GB"/>
        </w:rPr>
        <w:t>Abstract.</w:t>
      </w:r>
      <w:r w:rsidRPr="00F15C30">
        <w:rPr>
          <w:rFonts w:ascii="Times New Roman" w:hAnsi="Times New Roman" w:cs="Times New Roman"/>
          <w:lang w:val="en-GB"/>
        </w:rPr>
        <w:t xml:space="preserve"> </w:t>
      </w:r>
    </w:p>
    <w:p w14:paraId="7C12ACF5" w14:textId="6A23CF8D" w:rsidR="00297B58" w:rsidRPr="00297B58" w:rsidRDefault="00297B58" w:rsidP="00F62F23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lang w:val="en-GB"/>
        </w:rPr>
      </w:pPr>
      <w:r w:rsidRPr="00297B58">
        <w:rPr>
          <w:rFonts w:ascii="Times New Roman" w:hAnsi="Times New Roman" w:cs="Times New Roman"/>
          <w:lang w:val="en-GB"/>
        </w:rPr>
        <w:t>Essential oils represent a promising natural alternative to synthetic plant protection products due to their high content of bioactive secondary metabolites</w:t>
      </w:r>
      <w:bookmarkStart w:id="0" w:name="_GoBack"/>
      <w:bookmarkEnd w:id="0"/>
      <w:r w:rsidRPr="00297B58">
        <w:rPr>
          <w:rFonts w:ascii="Times New Roman" w:hAnsi="Times New Roman" w:cs="Times New Roman"/>
          <w:lang w:val="en-GB"/>
        </w:rPr>
        <w:t xml:space="preserve">. In the context of circular‑economy strategies and the </w:t>
      </w:r>
      <w:proofErr w:type="spellStart"/>
      <w:r w:rsidRPr="00297B58">
        <w:rPr>
          <w:rFonts w:ascii="Times New Roman" w:hAnsi="Times New Roman" w:cs="Times New Roman"/>
          <w:lang w:val="en-GB"/>
        </w:rPr>
        <w:t>valorization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 of </w:t>
      </w:r>
      <w:proofErr w:type="spellStart"/>
      <w:r w:rsidRPr="00297B58">
        <w:rPr>
          <w:rFonts w:ascii="Times New Roman" w:hAnsi="Times New Roman" w:cs="Times New Roman"/>
          <w:lang w:val="en-GB"/>
        </w:rPr>
        <w:t>agro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‑nursery residues, this study investigated essential oils obtained from woody pruning biomass of five ornamental species commonly cultivated in nurseries: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Pistacia</w:t>
      </w:r>
      <w:proofErr w:type="spellEnd"/>
      <w:r w:rsidRPr="0091327B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lentiscus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, </w:t>
      </w:r>
      <w:r w:rsidRPr="0091327B">
        <w:rPr>
          <w:rFonts w:ascii="Times New Roman" w:hAnsi="Times New Roman" w:cs="Times New Roman"/>
          <w:i/>
          <w:lang w:val="en-GB"/>
        </w:rPr>
        <w:t xml:space="preserve">Laurus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nobilis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, </w:t>
      </w:r>
      <w:r w:rsidRPr="0091327B">
        <w:rPr>
          <w:rFonts w:ascii="Times New Roman" w:hAnsi="Times New Roman" w:cs="Times New Roman"/>
          <w:i/>
          <w:lang w:val="en-GB"/>
        </w:rPr>
        <w:t xml:space="preserve">Liquidambar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styraciflua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, </w:t>
      </w:r>
      <w:r w:rsidRPr="0091327B">
        <w:rPr>
          <w:rFonts w:ascii="Times New Roman" w:hAnsi="Times New Roman" w:cs="Times New Roman"/>
          <w:i/>
          <w:lang w:val="en-GB"/>
        </w:rPr>
        <w:t>×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Cupressocyparis</w:t>
      </w:r>
      <w:proofErr w:type="spellEnd"/>
      <w:r w:rsidRPr="0091327B">
        <w:rPr>
          <w:rFonts w:ascii="Times New Roman" w:hAnsi="Times New Roman" w:cs="Times New Roman"/>
          <w:i/>
          <w:lang w:val="en-GB"/>
        </w:rPr>
        <w:t xml:space="preserve"> leylandii</w:t>
      </w:r>
      <w:r w:rsidRPr="00297B58">
        <w:rPr>
          <w:rFonts w:ascii="Times New Roman" w:hAnsi="Times New Roman" w:cs="Times New Roman"/>
          <w:lang w:val="en-GB"/>
        </w:rPr>
        <w:t xml:space="preserve">, and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Cinnamomum</w:t>
      </w:r>
      <w:proofErr w:type="spellEnd"/>
      <w:r w:rsidRPr="0091327B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camphora</w:t>
      </w:r>
      <w:proofErr w:type="spellEnd"/>
      <w:r w:rsidRPr="00297B58">
        <w:rPr>
          <w:rFonts w:ascii="Times New Roman" w:hAnsi="Times New Roman" w:cs="Times New Roman"/>
          <w:lang w:val="en-GB"/>
        </w:rPr>
        <w:t>. Plant material was subjected to steam distillation, and the resulting essential oils were chemically characterized by GC–MS.</w:t>
      </w:r>
      <w:r w:rsidR="00F62F23">
        <w:rPr>
          <w:rFonts w:ascii="Times New Roman" w:hAnsi="Times New Roman" w:cs="Times New Roman"/>
          <w:lang w:val="en-GB"/>
        </w:rPr>
        <w:t xml:space="preserve"> </w:t>
      </w:r>
      <w:r w:rsidRPr="00297B58">
        <w:rPr>
          <w:rFonts w:ascii="Times New Roman" w:hAnsi="Times New Roman" w:cs="Times New Roman"/>
          <w:lang w:val="en-GB"/>
        </w:rPr>
        <w:t>To obtain preliminary insights into their potential for plant protection, two categories of biological assays were performed: herbicidal activity screening and fungicidal tests. The herbicidal screening was conducted through foliar applications at 3% on model plant species representative of dicotyledons and monocotyledons (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Trifolium</w:t>
      </w:r>
      <w:proofErr w:type="spellEnd"/>
      <w:r w:rsidRPr="0091327B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incarnatum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 and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Lolium</w:t>
      </w:r>
      <w:proofErr w:type="spellEnd"/>
      <w:r w:rsidRPr="0091327B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91327B">
        <w:rPr>
          <w:rFonts w:ascii="Times New Roman" w:hAnsi="Times New Roman" w:cs="Times New Roman"/>
          <w:i/>
          <w:lang w:val="en-GB"/>
        </w:rPr>
        <w:t>perenne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, respectively), evaluated at two phenological stages. These tests were intended to assess preliminary phytotoxicity rather than herbicidal efficacy on true weed targets. The most active oil was subsequently tested at 1.5% and 0.5% to examine dose‑dependent responses. Fungicidal activity was assessed through direct‑contact assays against </w:t>
      </w:r>
      <w:r w:rsidRPr="0091327B">
        <w:rPr>
          <w:rFonts w:ascii="Times New Roman" w:hAnsi="Times New Roman" w:cs="Times New Roman"/>
          <w:i/>
          <w:lang w:val="en-GB"/>
        </w:rPr>
        <w:t>Fusarium verticillioides</w:t>
      </w:r>
      <w:r w:rsidRPr="00297B58">
        <w:rPr>
          <w:rFonts w:ascii="Times New Roman" w:hAnsi="Times New Roman" w:cs="Times New Roman"/>
          <w:lang w:val="en-GB"/>
        </w:rPr>
        <w:t xml:space="preserve"> and </w:t>
      </w:r>
      <w:r w:rsidRPr="0091327B">
        <w:rPr>
          <w:rFonts w:ascii="Times New Roman" w:hAnsi="Times New Roman" w:cs="Times New Roman"/>
          <w:i/>
          <w:lang w:val="en-GB"/>
        </w:rPr>
        <w:t>Aspergillus flavus</w:t>
      </w:r>
      <w:r w:rsidRPr="00297B58">
        <w:rPr>
          <w:rFonts w:ascii="Times New Roman" w:hAnsi="Times New Roman" w:cs="Times New Roman"/>
          <w:lang w:val="en-GB"/>
        </w:rPr>
        <w:t>, initially using 100 µL of each oil, followed by assays at 50, 10, and 5 µL on the two most active oils. The same treatments were also evaluated under fumigation conditions.</w:t>
      </w:r>
    </w:p>
    <w:p w14:paraId="626BA529" w14:textId="35CFD7BA" w:rsidR="00D2336B" w:rsidRDefault="00297B58" w:rsidP="00F62F23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lang w:val="en-GB"/>
        </w:rPr>
      </w:pPr>
      <w:r w:rsidRPr="00297B58">
        <w:rPr>
          <w:rFonts w:ascii="Times New Roman" w:hAnsi="Times New Roman" w:cs="Times New Roman"/>
          <w:lang w:val="en-GB"/>
        </w:rPr>
        <w:t xml:space="preserve">Among the essential oils obtained, those from </w:t>
      </w:r>
      <w:r w:rsidRPr="00F0429F">
        <w:rPr>
          <w:rFonts w:ascii="Times New Roman" w:hAnsi="Times New Roman" w:cs="Times New Roman"/>
          <w:i/>
          <w:lang w:val="en-GB"/>
        </w:rPr>
        <w:t xml:space="preserve">L. </w:t>
      </w:r>
      <w:proofErr w:type="spellStart"/>
      <w:r w:rsidRPr="00F0429F">
        <w:rPr>
          <w:rFonts w:ascii="Times New Roman" w:hAnsi="Times New Roman" w:cs="Times New Roman"/>
          <w:i/>
          <w:lang w:val="en-GB"/>
        </w:rPr>
        <w:t>nobilis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 and </w:t>
      </w:r>
      <w:r w:rsidRPr="00F0429F">
        <w:rPr>
          <w:rFonts w:ascii="Times New Roman" w:hAnsi="Times New Roman" w:cs="Times New Roman"/>
          <w:i/>
          <w:lang w:val="en-GB"/>
        </w:rPr>
        <w:t xml:space="preserve">C. </w:t>
      </w:r>
      <w:proofErr w:type="spellStart"/>
      <w:r w:rsidRPr="00F0429F">
        <w:rPr>
          <w:rFonts w:ascii="Times New Roman" w:hAnsi="Times New Roman" w:cs="Times New Roman"/>
          <w:i/>
          <w:lang w:val="en-GB"/>
        </w:rPr>
        <w:t>camphora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 displayed the most promising biological activities. </w:t>
      </w:r>
      <w:r w:rsidRPr="00F0429F">
        <w:rPr>
          <w:rFonts w:ascii="Times New Roman" w:hAnsi="Times New Roman" w:cs="Times New Roman"/>
          <w:i/>
          <w:lang w:val="en-GB"/>
        </w:rPr>
        <w:t xml:space="preserve">L. </w:t>
      </w:r>
      <w:proofErr w:type="spellStart"/>
      <w:r w:rsidRPr="00F0429F">
        <w:rPr>
          <w:rFonts w:ascii="Times New Roman" w:hAnsi="Times New Roman" w:cs="Times New Roman"/>
          <w:i/>
          <w:lang w:val="en-GB"/>
        </w:rPr>
        <w:t>nobilis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 showed marked phytotoxic effects, significantly reducing the viability of </w:t>
      </w:r>
      <w:r w:rsidRPr="00F0429F">
        <w:rPr>
          <w:rFonts w:ascii="Times New Roman" w:hAnsi="Times New Roman" w:cs="Times New Roman"/>
          <w:i/>
          <w:lang w:val="en-GB"/>
        </w:rPr>
        <w:t xml:space="preserve">T. </w:t>
      </w:r>
      <w:proofErr w:type="spellStart"/>
      <w:r w:rsidRPr="00F0429F">
        <w:rPr>
          <w:rFonts w:ascii="Times New Roman" w:hAnsi="Times New Roman" w:cs="Times New Roman"/>
          <w:i/>
          <w:lang w:val="en-GB"/>
        </w:rPr>
        <w:t>incarnatum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 at 3% and 1.5%, and reducing </w:t>
      </w:r>
      <w:r w:rsidRPr="00F0429F">
        <w:rPr>
          <w:rFonts w:ascii="Times New Roman" w:hAnsi="Times New Roman" w:cs="Times New Roman"/>
          <w:i/>
          <w:lang w:val="en-GB"/>
        </w:rPr>
        <w:t xml:space="preserve">L. </w:t>
      </w:r>
      <w:proofErr w:type="spellStart"/>
      <w:r w:rsidRPr="00F0429F">
        <w:rPr>
          <w:rFonts w:ascii="Times New Roman" w:hAnsi="Times New Roman" w:cs="Times New Roman"/>
          <w:i/>
          <w:lang w:val="en-GB"/>
        </w:rPr>
        <w:t>perenne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 at 3%, although the monocot species was generally less sensitive. </w:t>
      </w:r>
      <w:r w:rsidRPr="00F0429F">
        <w:rPr>
          <w:rFonts w:ascii="Times New Roman" w:hAnsi="Times New Roman" w:cs="Times New Roman"/>
          <w:i/>
          <w:lang w:val="en-GB"/>
        </w:rPr>
        <w:t xml:space="preserve">C. </w:t>
      </w:r>
      <w:proofErr w:type="spellStart"/>
      <w:r w:rsidRPr="00F0429F">
        <w:rPr>
          <w:rFonts w:ascii="Times New Roman" w:hAnsi="Times New Roman" w:cs="Times New Roman"/>
          <w:i/>
          <w:lang w:val="en-GB"/>
        </w:rPr>
        <w:t>camphora</w:t>
      </w:r>
      <w:proofErr w:type="spellEnd"/>
      <w:r w:rsidRPr="00297B58">
        <w:rPr>
          <w:rFonts w:ascii="Times New Roman" w:hAnsi="Times New Roman" w:cs="Times New Roman"/>
          <w:lang w:val="en-GB"/>
        </w:rPr>
        <w:t xml:space="preserve"> exhibited moderate activity, primarily at the highest concentration. In fungicidal assays, both oils were highly effective at 100 µL (&gt;93% inhibition), with substantial activity maintained at 50 µL. No toxicity was observed under fumigation.</w:t>
      </w:r>
      <w:r w:rsidR="00F62F23">
        <w:rPr>
          <w:rFonts w:ascii="Times New Roman" w:hAnsi="Times New Roman" w:cs="Times New Roman"/>
          <w:lang w:val="en-GB"/>
        </w:rPr>
        <w:t xml:space="preserve"> </w:t>
      </w:r>
      <w:r w:rsidRPr="00297B58">
        <w:rPr>
          <w:rFonts w:ascii="Times New Roman" w:hAnsi="Times New Roman" w:cs="Times New Roman"/>
          <w:lang w:val="en-GB"/>
        </w:rPr>
        <w:t>Overall, these findings provide preliminary indications of the herbicidal and fungicidal potential of essential oils derived from woody pruning biomass, supporting further studies on target weed species and application strategies.</w:t>
      </w:r>
    </w:p>
    <w:p w14:paraId="400C1A13" w14:textId="77777777" w:rsidR="00D2336B" w:rsidRDefault="00D2336B" w:rsidP="004A5F4E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lang w:val="en-GB"/>
        </w:rPr>
      </w:pPr>
    </w:p>
    <w:p w14:paraId="22DCC003" w14:textId="4622CC80" w:rsidR="008B4517" w:rsidRPr="00F15C30" w:rsidRDefault="008B4517" w:rsidP="004A5F4E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lang w:val="en-GB"/>
        </w:rPr>
      </w:pPr>
      <w:r w:rsidRPr="00DA1C98">
        <w:rPr>
          <w:rFonts w:ascii="Times New Roman" w:hAnsi="Times New Roman" w:cs="Times New Roman"/>
          <w:lang w:val="en-GB"/>
        </w:rPr>
        <w:lastRenderedPageBreak/>
        <w:t>A maximum of 300 words</w:t>
      </w:r>
      <w:r w:rsidR="00F15C30" w:rsidRPr="00DA1C98">
        <w:rPr>
          <w:rFonts w:ascii="Times New Roman" w:hAnsi="Times New Roman" w:cs="Times New Roman"/>
          <w:lang w:val="en-GB"/>
        </w:rPr>
        <w:t xml:space="preserve"> in English</w:t>
      </w:r>
      <w:r w:rsidR="004F6877" w:rsidRPr="00DA1C98">
        <w:rPr>
          <w:rFonts w:ascii="Times New Roman" w:hAnsi="Times New Roman" w:cs="Times New Roman"/>
          <w:lang w:val="en-GB"/>
        </w:rPr>
        <w:t xml:space="preserve"> (no tables, figures and references allowed)</w:t>
      </w:r>
      <w:r w:rsidRPr="00DA1C98">
        <w:rPr>
          <w:rFonts w:ascii="Times New Roman" w:hAnsi="Times New Roman" w:cs="Times New Roman"/>
          <w:lang w:val="en-GB"/>
        </w:rPr>
        <w:t>.</w:t>
      </w:r>
      <w:r w:rsidR="00F15C30" w:rsidRPr="00DA1C98">
        <w:rPr>
          <w:rFonts w:ascii="Times New Roman" w:hAnsi="Times New Roman" w:cs="Times New Roman"/>
          <w:lang w:val="en-GB"/>
        </w:rPr>
        <w:t xml:space="preserve"> </w:t>
      </w:r>
      <w:r w:rsidR="00221FB7" w:rsidRPr="00F15C30">
        <w:rPr>
          <w:rFonts w:ascii="Times New Roman" w:hAnsi="Times New Roman" w:cs="Times New Roman"/>
          <w:lang w:val="en-GB"/>
        </w:rPr>
        <w:t>We are pleased to welcome you to the VII AISSA#</w:t>
      </w:r>
      <w:r w:rsidR="008033A7">
        <w:rPr>
          <w:rFonts w:ascii="Times New Roman" w:hAnsi="Times New Roman" w:cs="Times New Roman"/>
          <w:lang w:val="en-GB"/>
        </w:rPr>
        <w:t>under</w:t>
      </w:r>
      <w:r w:rsidR="00221FB7" w:rsidRPr="00F15C30">
        <w:rPr>
          <w:rFonts w:ascii="Times New Roman" w:hAnsi="Times New Roman" w:cs="Times New Roman"/>
          <w:lang w:val="en-GB"/>
        </w:rPr>
        <w:t>40 Conference, which will be held in Turin in July 2026.</w:t>
      </w:r>
      <w:r w:rsidR="00F15C30">
        <w:rPr>
          <w:rFonts w:ascii="Times New Roman" w:hAnsi="Times New Roman" w:cs="Times New Roman"/>
          <w:lang w:val="en-GB"/>
        </w:rPr>
        <w:t xml:space="preserve"> </w:t>
      </w:r>
      <w:r w:rsidR="00F15C30" w:rsidRPr="00F15C30">
        <w:rPr>
          <w:rFonts w:ascii="Times New Roman" w:hAnsi="Times New Roman" w:cs="Times New Roman"/>
          <w:lang w:val="en-GB"/>
        </w:rPr>
        <w:t>We are confident that your participation will contribute to a stimulating and enriching experience for all attendees</w:t>
      </w:r>
      <w:r w:rsidR="00F15C30">
        <w:rPr>
          <w:rFonts w:ascii="Times New Roman" w:hAnsi="Times New Roman" w:cs="Times New Roman"/>
          <w:lang w:val="en-GB"/>
        </w:rPr>
        <w:t>.</w:t>
      </w:r>
    </w:p>
    <w:p w14:paraId="3FC0B55A" w14:textId="3BA12213" w:rsidR="00E00714" w:rsidRPr="00F15C30" w:rsidRDefault="004276ED" w:rsidP="00F40040">
      <w:pPr>
        <w:spacing w:before="180" w:after="0" w:line="240" w:lineRule="auto"/>
        <w:jc w:val="both"/>
        <w:rPr>
          <w:rFonts w:ascii="Times New Roman" w:hAnsi="Times New Roman" w:cs="Times New Roman"/>
          <w:lang w:val="en-GB"/>
        </w:rPr>
      </w:pPr>
      <w:r w:rsidRPr="00F15C30">
        <w:rPr>
          <w:rFonts w:ascii="Times New Roman" w:hAnsi="Times New Roman" w:cs="Times New Roman"/>
          <w:b/>
          <w:bCs/>
          <w:lang w:val="en-GB"/>
        </w:rPr>
        <w:t>Keywords</w:t>
      </w:r>
      <w:r w:rsidR="00E00714" w:rsidRPr="00F15C30">
        <w:rPr>
          <w:rFonts w:ascii="Times New Roman" w:hAnsi="Times New Roman" w:cs="Times New Roman"/>
          <w:b/>
          <w:bCs/>
          <w:lang w:val="en-GB"/>
        </w:rPr>
        <w:t>:</w:t>
      </w:r>
      <w:r w:rsidRPr="00F15C30">
        <w:rPr>
          <w:rFonts w:ascii="Times New Roman" w:hAnsi="Times New Roman" w:cs="Times New Roman"/>
          <w:lang w:val="en-GB"/>
        </w:rPr>
        <w:t xml:space="preserve"> </w:t>
      </w:r>
      <w:r w:rsidR="00526BF4">
        <w:rPr>
          <w:rFonts w:ascii="Times New Roman" w:hAnsi="Times New Roman" w:cs="Times New Roman"/>
          <w:lang w:val="en-GB"/>
        </w:rPr>
        <w:t>Essential oils</w:t>
      </w:r>
      <w:r w:rsidR="006C20C6">
        <w:rPr>
          <w:rFonts w:ascii="Times New Roman" w:hAnsi="Times New Roman" w:cs="Times New Roman"/>
          <w:lang w:val="en-GB"/>
        </w:rPr>
        <w:t>;</w:t>
      </w:r>
      <w:r w:rsidR="00526BF4">
        <w:rPr>
          <w:rFonts w:ascii="Times New Roman" w:hAnsi="Times New Roman" w:cs="Times New Roman"/>
          <w:lang w:val="en-GB"/>
        </w:rPr>
        <w:t xml:space="preserve"> </w:t>
      </w:r>
      <w:r w:rsidR="006C20C6" w:rsidRPr="006C20C6">
        <w:rPr>
          <w:rFonts w:ascii="Times New Roman" w:hAnsi="Times New Roman" w:cs="Times New Roman"/>
          <w:lang w:val="en-GB"/>
        </w:rPr>
        <w:t>Pruning residues</w:t>
      </w:r>
      <w:r w:rsidR="006C20C6">
        <w:rPr>
          <w:rFonts w:ascii="Times New Roman" w:hAnsi="Times New Roman" w:cs="Times New Roman"/>
          <w:lang w:val="en-GB"/>
        </w:rPr>
        <w:t xml:space="preserve">; </w:t>
      </w:r>
      <w:r w:rsidR="00526BF4">
        <w:rPr>
          <w:rFonts w:ascii="Times New Roman" w:hAnsi="Times New Roman" w:cs="Times New Roman"/>
          <w:lang w:val="en-GB"/>
        </w:rPr>
        <w:t>GC-MS</w:t>
      </w:r>
      <w:r w:rsidR="006C20C6">
        <w:rPr>
          <w:rFonts w:ascii="Times New Roman" w:hAnsi="Times New Roman" w:cs="Times New Roman"/>
          <w:lang w:val="en-GB"/>
        </w:rPr>
        <w:t xml:space="preserve">; </w:t>
      </w:r>
      <w:r w:rsidR="006C20C6" w:rsidRPr="006C20C6">
        <w:rPr>
          <w:rFonts w:ascii="Times New Roman" w:hAnsi="Times New Roman" w:cs="Times New Roman"/>
          <w:lang w:val="en-GB"/>
        </w:rPr>
        <w:t>Herbicidal activity</w:t>
      </w:r>
      <w:r w:rsidR="006C20C6">
        <w:rPr>
          <w:rFonts w:ascii="Times New Roman" w:hAnsi="Times New Roman" w:cs="Times New Roman"/>
          <w:lang w:val="en-GB"/>
        </w:rPr>
        <w:t xml:space="preserve">; </w:t>
      </w:r>
      <w:r w:rsidR="006C20C6" w:rsidRPr="006C20C6">
        <w:rPr>
          <w:rFonts w:ascii="Times New Roman" w:hAnsi="Times New Roman" w:cs="Times New Roman"/>
          <w:lang w:val="en-GB"/>
        </w:rPr>
        <w:t>Fungicidal activity</w:t>
      </w:r>
      <w:r w:rsidR="006C20C6">
        <w:rPr>
          <w:rFonts w:ascii="Times New Roman" w:hAnsi="Times New Roman" w:cs="Times New Roman"/>
          <w:lang w:val="en-GB"/>
        </w:rPr>
        <w:t>.</w:t>
      </w:r>
    </w:p>
    <w:p w14:paraId="0DB824FF" w14:textId="77777777" w:rsidR="00DB6B8A" w:rsidRPr="00F15C30" w:rsidRDefault="00DB6B8A" w:rsidP="004276ED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48AE763" w14:textId="77777777" w:rsidR="00DB6B8A" w:rsidRPr="00F15C30" w:rsidRDefault="00DB6B8A">
      <w:pPr>
        <w:rPr>
          <w:lang w:val="en-GB"/>
        </w:rPr>
      </w:pPr>
      <w:r w:rsidRPr="00F15C30">
        <w:rPr>
          <w:rFonts w:ascii="Times New Roman" w:hAnsi="Times New Roman" w:cs="Times New Roman"/>
          <w:lang w:val="en-GB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5320045" w14:textId="55BB409D" w:rsidR="007B7011" w:rsidRPr="00617144" w:rsidRDefault="007B7011" w:rsidP="00617144">
      <w:pPr>
        <w:spacing w:after="120" w:line="240" w:lineRule="auto"/>
        <w:jc w:val="both"/>
        <w:rPr>
          <w:rFonts w:ascii="Tahoma" w:hAnsi="Tahoma" w:cs="Tahoma"/>
          <w:b/>
          <w:bCs/>
          <w:lang w:val="en-GB"/>
        </w:rPr>
      </w:pPr>
      <w:r w:rsidRPr="00617144">
        <w:rPr>
          <w:rFonts w:ascii="Tahoma" w:hAnsi="Tahoma" w:cs="Tahoma"/>
          <w:b/>
          <w:bCs/>
          <w:lang w:val="en-GB"/>
        </w:rPr>
        <w:t>Please note</w:t>
      </w:r>
    </w:p>
    <w:p w14:paraId="6A410E70" w14:textId="77777777" w:rsidR="007B7011" w:rsidRDefault="007B7011" w:rsidP="00617144">
      <w:pPr>
        <w:spacing w:after="6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file must be named </w:t>
      </w:r>
      <w:r w:rsidRPr="00617144">
        <w:rPr>
          <w:rFonts w:ascii="Times New Roman" w:hAnsi="Times New Roman" w:cs="Times New Roman"/>
          <w:b/>
          <w:bCs/>
          <w:lang w:val="en-GB"/>
        </w:rPr>
        <w:t>SURNAME_Name_01.docx</w:t>
      </w:r>
    </w:p>
    <w:p w14:paraId="5CD3C171" w14:textId="5A53890A" w:rsidR="007B7011" w:rsidRDefault="007B7011" w:rsidP="00617144">
      <w:pPr>
        <w:spacing w:after="6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If the author wishes to submit another abstract, the second one must be named SURNAME_Name_02.docx</w:t>
      </w:r>
    </w:p>
    <w:p w14:paraId="63CC7861" w14:textId="582A0735" w:rsidR="007B7011" w:rsidRPr="00617144" w:rsidRDefault="00617144" w:rsidP="009F7F6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</w:t>
      </w:r>
      <w:r w:rsidRPr="00617144">
        <w:rPr>
          <w:rFonts w:ascii="Times New Roman" w:hAnsi="Times New Roman" w:cs="Times New Roman"/>
          <w:lang w:val="en-GB"/>
        </w:rPr>
        <w:t>ile</w:t>
      </w:r>
      <w:r>
        <w:rPr>
          <w:rFonts w:ascii="Times New Roman" w:hAnsi="Times New Roman" w:cs="Times New Roman"/>
          <w:lang w:val="en-GB"/>
        </w:rPr>
        <w:t>(s)</w:t>
      </w:r>
      <w:r w:rsidRPr="00617144">
        <w:rPr>
          <w:rFonts w:ascii="Times New Roman" w:hAnsi="Times New Roman" w:cs="Times New Roman"/>
          <w:lang w:val="en-GB"/>
        </w:rPr>
        <w:t xml:space="preserve"> must be sent to </w:t>
      </w:r>
      <w:r w:rsidRPr="00617144">
        <w:rPr>
          <w:rFonts w:ascii="Times New Roman" w:hAnsi="Times New Roman" w:cs="Times New Roman"/>
          <w:b/>
          <w:bCs/>
          <w:lang w:val="en-GB"/>
        </w:rPr>
        <w:t>aissa40web2026@gmail.com</w:t>
      </w:r>
    </w:p>
    <w:p w14:paraId="735BC37D" w14:textId="77777777" w:rsidR="00617144" w:rsidRDefault="00617144" w:rsidP="009F7F6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7411EC9" w14:textId="77777777" w:rsidR="009F7F6F" w:rsidRDefault="009F7F6F" w:rsidP="009F7F6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F0D5C37" w14:textId="449D9F36" w:rsidR="007B7011" w:rsidRPr="007B7011" w:rsidRDefault="007B7011" w:rsidP="008033A7">
      <w:pPr>
        <w:spacing w:after="120" w:line="240" w:lineRule="auto"/>
        <w:jc w:val="both"/>
        <w:rPr>
          <w:rFonts w:ascii="Tahoma" w:hAnsi="Tahoma" w:cs="Tahoma"/>
          <w:b/>
          <w:bCs/>
          <w:lang w:val="en-GB"/>
        </w:rPr>
      </w:pPr>
      <w:r>
        <w:rPr>
          <w:rFonts w:ascii="Tahoma" w:hAnsi="Tahoma" w:cs="Tahoma"/>
          <w:b/>
          <w:bCs/>
          <w:lang w:val="en-GB"/>
        </w:rPr>
        <w:t>Key information</w:t>
      </w:r>
    </w:p>
    <w:p w14:paraId="2C56912C" w14:textId="3FE8080D" w:rsidR="00221FB7" w:rsidRPr="00F15C30" w:rsidRDefault="007B7011" w:rsidP="00F15C30">
      <w:pPr>
        <w:spacing w:after="60" w:line="240" w:lineRule="auto"/>
        <w:jc w:val="both"/>
        <w:rPr>
          <w:rFonts w:ascii="Times New Roman" w:hAnsi="Times New Roman" w:cs="Times New Roman"/>
          <w:lang w:val="en-GB"/>
        </w:rPr>
      </w:pPr>
      <w:r w:rsidRPr="007B7011">
        <w:rPr>
          <w:rFonts w:ascii="Times New Roman" w:hAnsi="Times New Roman" w:cs="Times New Roman"/>
          <w:b/>
          <w:bCs/>
          <w:lang w:val="en-GB"/>
        </w:rPr>
        <w:t>Preferred mode of presentation</w:t>
      </w:r>
      <w:r w:rsidR="00221FB7" w:rsidRPr="00F15C30">
        <w:rPr>
          <w:rFonts w:ascii="Times New Roman" w:hAnsi="Times New Roman" w:cs="Times New Roman"/>
          <w:b/>
          <w:bCs/>
          <w:lang w:val="en-GB"/>
        </w:rPr>
        <w:t>:</w:t>
      </w:r>
      <w:r w:rsidR="00221FB7" w:rsidRPr="00F15C30">
        <w:rPr>
          <w:rFonts w:ascii="Times New Roman" w:hAnsi="Times New Roman" w:cs="Times New Roman"/>
          <w:lang w:val="en-GB"/>
        </w:rPr>
        <w:t xml:space="preserve"> Oral</w:t>
      </w:r>
    </w:p>
    <w:p w14:paraId="100BFE62" w14:textId="4E137CBA" w:rsidR="00221FB7" w:rsidRPr="00F15C30" w:rsidRDefault="007B7011" w:rsidP="00F15C30">
      <w:pPr>
        <w:spacing w:after="60" w:line="240" w:lineRule="auto"/>
        <w:jc w:val="both"/>
        <w:rPr>
          <w:rFonts w:ascii="Times New Roman" w:hAnsi="Times New Roman" w:cs="Times New Roman"/>
          <w:lang w:val="en-GB"/>
        </w:rPr>
      </w:pPr>
      <w:r w:rsidRPr="007B7011">
        <w:rPr>
          <w:rFonts w:ascii="Times New Roman" w:hAnsi="Times New Roman" w:cs="Times New Roman"/>
          <w:b/>
          <w:bCs/>
          <w:lang w:val="en-GB"/>
        </w:rPr>
        <w:t>Academic qualification of the proposer</w:t>
      </w:r>
      <w:r w:rsidR="00221FB7" w:rsidRPr="00F15C30">
        <w:rPr>
          <w:rFonts w:ascii="Times New Roman" w:hAnsi="Times New Roman" w:cs="Times New Roman"/>
          <w:b/>
          <w:bCs/>
          <w:lang w:val="en-GB"/>
        </w:rPr>
        <w:t>:</w:t>
      </w:r>
      <w:r w:rsidR="00221FB7" w:rsidRPr="00F15C3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21FB7" w:rsidRPr="00F15C30">
        <w:rPr>
          <w:rFonts w:ascii="Times New Roman" w:hAnsi="Times New Roman" w:cs="Times New Roman"/>
          <w:lang w:val="en-GB"/>
        </w:rPr>
        <w:t>Dottorand</w:t>
      </w:r>
      <w:r w:rsidR="00E828A0">
        <w:rPr>
          <w:rFonts w:ascii="Times New Roman" w:hAnsi="Times New Roman" w:cs="Times New Roman"/>
          <w:lang w:val="en-GB"/>
        </w:rPr>
        <w:t>a</w:t>
      </w:r>
      <w:proofErr w:type="spellEnd"/>
    </w:p>
    <w:p w14:paraId="03D40E59" w14:textId="3DDD3A2B" w:rsidR="005A251F" w:rsidRPr="00E828A0" w:rsidRDefault="00221FB7" w:rsidP="004276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28A0">
        <w:rPr>
          <w:rFonts w:ascii="Times New Roman" w:hAnsi="Times New Roman" w:cs="Times New Roman"/>
          <w:b/>
          <w:bCs/>
        </w:rPr>
        <w:t>Settore scientifico disciplinare (SSD):</w:t>
      </w:r>
      <w:r w:rsidR="00FA068C">
        <w:rPr>
          <w:rFonts w:ascii="Times New Roman" w:hAnsi="Times New Roman" w:cs="Times New Roman"/>
          <w:b/>
          <w:bCs/>
        </w:rPr>
        <w:t xml:space="preserve"> </w:t>
      </w:r>
      <w:r w:rsidR="001C5903" w:rsidRPr="001C5903">
        <w:rPr>
          <w:rFonts w:ascii="Times New Roman" w:hAnsi="Times New Roman" w:cs="Times New Roman"/>
          <w:bCs/>
        </w:rPr>
        <w:t>AGRI-03/A</w:t>
      </w:r>
    </w:p>
    <w:sectPr w:rsidR="005A251F" w:rsidRPr="00E828A0" w:rsidSect="008033A7">
      <w:pgSz w:w="11906" w:h="16838"/>
      <w:pgMar w:top="70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Calibri"/>
    <w:charset w:val="4D"/>
    <w:family w:val="auto"/>
    <w:pitch w:val="variable"/>
    <w:sig w:usb0="A00002FF" w:usb1="5000204B" w:usb2="00000000" w:usb3="00000000" w:csb0="00000197" w:csb1="00000000"/>
  </w:font>
  <w:font w:name="Montserrat">
    <w:altName w:val="Calibri"/>
    <w:charset w:val="4D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1BA"/>
    <w:multiLevelType w:val="multilevel"/>
    <w:tmpl w:val="9F6A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82C2C"/>
    <w:multiLevelType w:val="hybridMultilevel"/>
    <w:tmpl w:val="A5C067CE"/>
    <w:lvl w:ilvl="0" w:tplc="DD22FB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CD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DA4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F6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7AC3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D29D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BEA5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2E3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545C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683755"/>
    <w:multiLevelType w:val="hybridMultilevel"/>
    <w:tmpl w:val="12B4FECC"/>
    <w:lvl w:ilvl="0" w:tplc="8048E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58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CF6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EA61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005E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784C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AAAA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E01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04A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E36A48"/>
    <w:multiLevelType w:val="hybridMultilevel"/>
    <w:tmpl w:val="568215AC"/>
    <w:lvl w:ilvl="0" w:tplc="C6C4E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AB6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E0F1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889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B22C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1A8A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2FB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34BE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64A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D63A90"/>
    <w:multiLevelType w:val="hybridMultilevel"/>
    <w:tmpl w:val="DFC63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A9"/>
    <w:rsid w:val="00046A4C"/>
    <w:rsid w:val="00090143"/>
    <w:rsid w:val="000C3283"/>
    <w:rsid w:val="000C678E"/>
    <w:rsid w:val="000E3F4E"/>
    <w:rsid w:val="000F11CA"/>
    <w:rsid w:val="00125006"/>
    <w:rsid w:val="00157595"/>
    <w:rsid w:val="00160E14"/>
    <w:rsid w:val="00181123"/>
    <w:rsid w:val="00181945"/>
    <w:rsid w:val="001B2716"/>
    <w:rsid w:val="001C5903"/>
    <w:rsid w:val="001E0059"/>
    <w:rsid w:val="001E2C96"/>
    <w:rsid w:val="001F5DCA"/>
    <w:rsid w:val="002179CE"/>
    <w:rsid w:val="00221FB7"/>
    <w:rsid w:val="002378D2"/>
    <w:rsid w:val="002755C3"/>
    <w:rsid w:val="00297B58"/>
    <w:rsid w:val="002C6146"/>
    <w:rsid w:val="0030245B"/>
    <w:rsid w:val="00310D6E"/>
    <w:rsid w:val="0033225F"/>
    <w:rsid w:val="003C7822"/>
    <w:rsid w:val="003E650F"/>
    <w:rsid w:val="004003F6"/>
    <w:rsid w:val="0040333F"/>
    <w:rsid w:val="004276ED"/>
    <w:rsid w:val="004556B9"/>
    <w:rsid w:val="0047531C"/>
    <w:rsid w:val="004A5F4E"/>
    <w:rsid w:val="004A6162"/>
    <w:rsid w:val="004D223D"/>
    <w:rsid w:val="004D499A"/>
    <w:rsid w:val="004D6EB1"/>
    <w:rsid w:val="004F6877"/>
    <w:rsid w:val="00526BF4"/>
    <w:rsid w:val="00560FA5"/>
    <w:rsid w:val="0056586A"/>
    <w:rsid w:val="0056668A"/>
    <w:rsid w:val="005A251F"/>
    <w:rsid w:val="005A34FF"/>
    <w:rsid w:val="005D3FC2"/>
    <w:rsid w:val="00617144"/>
    <w:rsid w:val="00620C6B"/>
    <w:rsid w:val="00625F7D"/>
    <w:rsid w:val="006312CA"/>
    <w:rsid w:val="00670952"/>
    <w:rsid w:val="006920C9"/>
    <w:rsid w:val="006A7EEB"/>
    <w:rsid w:val="006C20C6"/>
    <w:rsid w:val="00722DF6"/>
    <w:rsid w:val="007267EA"/>
    <w:rsid w:val="00735769"/>
    <w:rsid w:val="007700AB"/>
    <w:rsid w:val="007B7011"/>
    <w:rsid w:val="007D059E"/>
    <w:rsid w:val="007D5C47"/>
    <w:rsid w:val="008033A7"/>
    <w:rsid w:val="0081050C"/>
    <w:rsid w:val="00846DCE"/>
    <w:rsid w:val="008562CC"/>
    <w:rsid w:val="008626F1"/>
    <w:rsid w:val="00870F51"/>
    <w:rsid w:val="0087531F"/>
    <w:rsid w:val="008B4517"/>
    <w:rsid w:val="008C6975"/>
    <w:rsid w:val="008E01D5"/>
    <w:rsid w:val="008E01F0"/>
    <w:rsid w:val="008F46BA"/>
    <w:rsid w:val="008F48FC"/>
    <w:rsid w:val="008F4976"/>
    <w:rsid w:val="0091327B"/>
    <w:rsid w:val="00921028"/>
    <w:rsid w:val="0093022F"/>
    <w:rsid w:val="0094694A"/>
    <w:rsid w:val="00954ADA"/>
    <w:rsid w:val="00972698"/>
    <w:rsid w:val="009943BF"/>
    <w:rsid w:val="009A0A7F"/>
    <w:rsid w:val="009E24EE"/>
    <w:rsid w:val="009F28CA"/>
    <w:rsid w:val="009F7749"/>
    <w:rsid w:val="009F7F6F"/>
    <w:rsid w:val="00A06E9C"/>
    <w:rsid w:val="00A4206A"/>
    <w:rsid w:val="00A848F2"/>
    <w:rsid w:val="00A936AE"/>
    <w:rsid w:val="00AF5C69"/>
    <w:rsid w:val="00B47328"/>
    <w:rsid w:val="00B80257"/>
    <w:rsid w:val="00B96AC5"/>
    <w:rsid w:val="00BD1096"/>
    <w:rsid w:val="00BD5A6D"/>
    <w:rsid w:val="00BF401B"/>
    <w:rsid w:val="00BF6514"/>
    <w:rsid w:val="00C55A83"/>
    <w:rsid w:val="00CC158D"/>
    <w:rsid w:val="00CE7EE1"/>
    <w:rsid w:val="00D02D07"/>
    <w:rsid w:val="00D16678"/>
    <w:rsid w:val="00D2336B"/>
    <w:rsid w:val="00D26B4E"/>
    <w:rsid w:val="00D321CA"/>
    <w:rsid w:val="00D55ADD"/>
    <w:rsid w:val="00D57AB8"/>
    <w:rsid w:val="00D85A4C"/>
    <w:rsid w:val="00DA1C98"/>
    <w:rsid w:val="00DA224A"/>
    <w:rsid w:val="00DB02F5"/>
    <w:rsid w:val="00DB6B8A"/>
    <w:rsid w:val="00DD048D"/>
    <w:rsid w:val="00E00714"/>
    <w:rsid w:val="00E00CE4"/>
    <w:rsid w:val="00E04513"/>
    <w:rsid w:val="00E217E8"/>
    <w:rsid w:val="00E828A0"/>
    <w:rsid w:val="00EB4809"/>
    <w:rsid w:val="00EF6DD6"/>
    <w:rsid w:val="00F0429F"/>
    <w:rsid w:val="00F054CE"/>
    <w:rsid w:val="00F15C30"/>
    <w:rsid w:val="00F23828"/>
    <w:rsid w:val="00F26338"/>
    <w:rsid w:val="00F40040"/>
    <w:rsid w:val="00F40EA9"/>
    <w:rsid w:val="00F62F23"/>
    <w:rsid w:val="00F84DDB"/>
    <w:rsid w:val="00F93D2A"/>
    <w:rsid w:val="00FA068C"/>
    <w:rsid w:val="00FA39D1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67E0"/>
  <w15:chartTrackingRefBased/>
  <w15:docId w15:val="{1A5D8F0F-1776-394E-9BC9-6DFF375D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0EA9"/>
  </w:style>
  <w:style w:type="paragraph" w:styleId="Titolo1">
    <w:name w:val="heading 1"/>
    <w:basedOn w:val="Normale"/>
    <w:next w:val="Normale"/>
    <w:link w:val="Titolo1Carattere"/>
    <w:uiPriority w:val="9"/>
    <w:qFormat/>
    <w:rsid w:val="00F40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E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E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E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E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E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E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E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E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E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EA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F40EA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#1</dc:creator>
  <cp:keywords/>
  <dc:description/>
  <cp:lastModifiedBy>Valeria Palchetti</cp:lastModifiedBy>
  <cp:revision>97</cp:revision>
  <dcterms:created xsi:type="dcterms:W3CDTF">2025-09-27T13:39:00Z</dcterms:created>
  <dcterms:modified xsi:type="dcterms:W3CDTF">2026-02-05T09:25:00Z</dcterms:modified>
</cp:coreProperties>
</file>