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392" w:rsidRDefault="00832392" w:rsidP="004E6C7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E6C7F">
        <w:rPr>
          <w:rFonts w:ascii="Times New Roman" w:hAnsi="Times New Roman" w:cs="Times New Roman"/>
          <w:b/>
          <w:sz w:val="32"/>
          <w:szCs w:val="32"/>
          <w:lang w:val="en-US"/>
        </w:rPr>
        <w:t>Commentary for the Lancet Diabetes Endocrinology</w:t>
      </w:r>
    </w:p>
    <w:p w:rsidR="00832392" w:rsidRPr="00EE129E" w:rsidRDefault="00832392" w:rsidP="00EE1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</w:p>
    <w:p w:rsidR="00832392" w:rsidRPr="004E6C7F" w:rsidRDefault="00832392" w:rsidP="004E6C7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32392" w:rsidRDefault="00832392" w:rsidP="004E6C7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Ecnoglutide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a biased GLP-1 receptor agonist as potential new player for type 2 diabetes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management ?</w:t>
      </w:r>
      <w:proofErr w:type="gramEnd"/>
    </w:p>
    <w:p w:rsidR="00832392" w:rsidRDefault="00832392" w:rsidP="00016B2C">
      <w:pPr>
        <w:rPr>
          <w:rFonts w:ascii="Segoe UI" w:hAnsi="Segoe UI" w:cs="Segoe UI"/>
          <w:sz w:val="18"/>
          <w:szCs w:val="18"/>
          <w:lang w:val="en-US"/>
        </w:rPr>
      </w:pPr>
    </w:p>
    <w:p w:rsidR="00832392" w:rsidRPr="00D643AB" w:rsidRDefault="00832392" w:rsidP="00016B2C">
      <w:pPr>
        <w:pStyle w:val="Sous-titre"/>
        <w:rPr>
          <w:sz w:val="28"/>
          <w:szCs w:val="28"/>
        </w:rPr>
      </w:pPr>
      <w:r w:rsidRPr="00D643AB">
        <w:rPr>
          <w:sz w:val="28"/>
          <w:szCs w:val="28"/>
        </w:rPr>
        <w:t>André J. Scheen (1,2)</w:t>
      </w:r>
    </w:p>
    <w:p w:rsidR="00832392" w:rsidRPr="00442362" w:rsidRDefault="00832392" w:rsidP="001B049F">
      <w:pPr>
        <w:pStyle w:val="Sous-titre"/>
        <w:jc w:val="left"/>
      </w:pPr>
    </w:p>
    <w:p w:rsidR="00832392" w:rsidRDefault="00832392" w:rsidP="00016B2C">
      <w:pPr>
        <w:pStyle w:val="Paragraphedeliste"/>
        <w:numPr>
          <w:ilvl w:val="0"/>
          <w:numId w:val="2"/>
        </w:numPr>
        <w:tabs>
          <w:tab w:val="left" w:pos="-720"/>
          <w:tab w:val="left" w:pos="0"/>
        </w:tabs>
        <w:suppressAutoHyphens/>
        <w:spacing w:after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  <w:lang w:val="en-GB"/>
        </w:rPr>
      </w:pPr>
      <w:r w:rsidRPr="00442362">
        <w:rPr>
          <w:rFonts w:ascii="Times New Roman" w:hAnsi="Times New Roman" w:cs="Times New Roman"/>
          <w:spacing w:val="-3"/>
          <w:sz w:val="24"/>
          <w:szCs w:val="24"/>
          <w:lang w:val="en-GB"/>
        </w:rPr>
        <w:t>Division of Diabetes, Nutrition and Metabolic Disorders</w:t>
      </w:r>
      <w:r w:rsidRPr="0044236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42362">
        <w:rPr>
          <w:rFonts w:ascii="Times New Roman" w:hAnsi="Times New Roman" w:cs="Times New Roman"/>
          <w:spacing w:val="-3"/>
          <w:sz w:val="24"/>
          <w:szCs w:val="24"/>
          <w:lang w:val="en-GB"/>
        </w:rPr>
        <w:t>CHU Liège, Liège, Belgium</w:t>
      </w:r>
    </w:p>
    <w:p w:rsidR="00832392" w:rsidRPr="00442362" w:rsidRDefault="00832392" w:rsidP="00016B2C">
      <w:pPr>
        <w:pStyle w:val="Paragraphedeliste"/>
        <w:numPr>
          <w:ilvl w:val="0"/>
          <w:numId w:val="2"/>
        </w:numPr>
        <w:tabs>
          <w:tab w:val="left" w:pos="-720"/>
          <w:tab w:val="left" w:pos="0"/>
        </w:tabs>
        <w:suppressAutoHyphens/>
        <w:spacing w:after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  <w:lang w:val="en-GB"/>
        </w:rPr>
      </w:pPr>
      <w:r w:rsidRPr="00442362">
        <w:rPr>
          <w:rFonts w:ascii="Times New Roman" w:hAnsi="Times New Roman" w:cs="Times New Roman"/>
          <w:spacing w:val="-3"/>
          <w:sz w:val="24"/>
          <w:szCs w:val="24"/>
          <w:lang w:val="en-GB"/>
        </w:rPr>
        <w:t>Division of Clinical Pharmacology,</w:t>
      </w:r>
      <w:r w:rsidRPr="00442362">
        <w:rPr>
          <w:rFonts w:ascii="Times New Roman" w:hAnsi="Times New Roman" w:cs="Times New Roman"/>
          <w:sz w:val="24"/>
          <w:szCs w:val="24"/>
          <w:lang w:val="en-GB"/>
        </w:rPr>
        <w:t xml:space="preserve"> Centre for Interdisciplinary Research on Medicines (CIRM), Liège </w:t>
      </w:r>
      <w:r w:rsidRPr="00442362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University, Liège, Belgium </w:t>
      </w:r>
    </w:p>
    <w:p w:rsidR="00832392" w:rsidRPr="00016B2C" w:rsidRDefault="00832392" w:rsidP="004E6C7F">
      <w:pPr>
        <w:jc w:val="center"/>
        <w:rPr>
          <w:lang w:val="en-GB"/>
        </w:rPr>
      </w:pPr>
    </w:p>
    <w:p w:rsidR="00832392" w:rsidRPr="00055139" w:rsidRDefault="00832392" w:rsidP="007B7FB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32392" w:rsidRPr="00ED0449" w:rsidRDefault="00832392" w:rsidP="00ED0449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0E0344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 xml:space="preserve">Glucagon-like peptide-1 receptor </w:t>
      </w:r>
      <w:proofErr w:type="gramStart"/>
      <w:r w:rsidRPr="000E0344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>agonists</w:t>
      </w:r>
      <w:proofErr w:type="gramEnd"/>
      <w:r w:rsidRPr="000E0344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 xml:space="preserve"> (GLP-1RAs) have been used to treat type 2 diabetes mellitus (T2DM) since 2005 and gained approval for weight management in 2014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 xml:space="preserve"> </w:t>
      </w:r>
      <w:r w:rsidRPr="00B03BA2">
        <w:rPr>
          <w:rFonts w:ascii="Times New Roman" w:hAnsi="Times New Roman" w:cs="Times New Roman"/>
          <w:sz w:val="24"/>
          <w:szCs w:val="24"/>
          <w:lang w:val="en-US"/>
        </w:rPr>
        <w:t>[1].</w:t>
      </w:r>
      <w:r w:rsidRPr="000E0344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 xml:space="preserve"> However, 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 xml:space="preserve">a high between-individual heterogeneity should be acknowledged regarding the glucose-lowering potency and weight reduction efficacy. Furthermore, </w:t>
      </w:r>
      <w:r w:rsidRPr="000E0344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 xml:space="preserve">GLP-1RAs are associated with side-effects, especially gastrointestinal disturbances, leading some patients to 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 xml:space="preserve">prematurely </w:t>
      </w:r>
      <w:r w:rsidRPr="000E0344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 xml:space="preserve">abandon treatment. </w:t>
      </w:r>
      <w:r w:rsidRPr="000E0344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us, th</w:t>
      </w:r>
      <w:r w:rsidRPr="000E0344">
        <w:rPr>
          <w:rFonts w:ascii="Times New Roman" w:hAnsi="Times New Roman" w:cs="Times New Roman"/>
          <w:sz w:val="24"/>
          <w:szCs w:val="24"/>
          <w:lang w:val="en-US"/>
        </w:rPr>
        <w:t>ere is increasing interest to produce more effective and more tolerable GLP-1</w:t>
      </w:r>
      <w:r>
        <w:rPr>
          <w:rFonts w:ascii="Times New Roman" w:hAnsi="Times New Roman" w:cs="Times New Roman"/>
          <w:sz w:val="24"/>
          <w:szCs w:val="24"/>
          <w:lang w:val="en-US"/>
        </w:rPr>
        <w:t>RAs</w:t>
      </w:r>
      <w:r w:rsidRPr="000E0344">
        <w:rPr>
          <w:rFonts w:ascii="Times New Roman" w:hAnsi="Times New Roman" w:cs="Times New Roman"/>
          <w:sz w:val="24"/>
          <w:szCs w:val="24"/>
          <w:lang w:val="en-US"/>
        </w:rPr>
        <w:t xml:space="preserve"> through fine tuning engagement with downstream </w:t>
      </w:r>
      <w:proofErr w:type="spellStart"/>
      <w:r w:rsidRPr="000E0344">
        <w:rPr>
          <w:rFonts w:ascii="Times New Roman" w:hAnsi="Times New Roman" w:cs="Times New Roman"/>
          <w:sz w:val="24"/>
          <w:szCs w:val="24"/>
          <w:lang w:val="en-US"/>
        </w:rPr>
        <w:t>signalling</w:t>
      </w:r>
      <w:proofErr w:type="spellEnd"/>
      <w:r w:rsidRPr="000E0344">
        <w:rPr>
          <w:rFonts w:ascii="Times New Roman" w:hAnsi="Times New Roman" w:cs="Times New Roman"/>
          <w:sz w:val="24"/>
          <w:szCs w:val="24"/>
          <w:lang w:val="en-US"/>
        </w:rPr>
        <w:t xml:space="preserve"> networks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[2]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New </w:t>
      </w:r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 xml:space="preserve">GLP-1 analogues have been constructed to </w:t>
      </w:r>
      <w:proofErr w:type="spellStart"/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>favour</w:t>
      </w:r>
      <w:proofErr w:type="spellEnd"/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 xml:space="preserve"> G-protein activation over </w:t>
      </w:r>
      <w:r w:rsidRPr="00942EED">
        <w:rPr>
          <w:rFonts w:ascii="Times New Roman" w:eastAsia="Shaker2Lancet-Regular" w:hAnsi="Times New Roman" w:cs="Times New Roman"/>
          <w:sz w:val="24"/>
          <w:szCs w:val="24"/>
        </w:rPr>
        <w:t>β</w:t>
      </w:r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>-</w:t>
      </w:r>
      <w:proofErr w:type="spellStart"/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>arrestin</w:t>
      </w:r>
      <w:proofErr w:type="spellEnd"/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 xml:space="preserve"> recruitment, thus reducing receptor </w:t>
      </w:r>
      <w:proofErr w:type="spellStart"/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>desensitisation</w:t>
      </w:r>
      <w:proofErr w:type="spellEnd"/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>, enhancing</w:t>
      </w:r>
      <w:r w:rsidRPr="00EC3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E5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cyclic adenosine monophosphate</w:t>
      </w:r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haker2Lancet-Regular" w:hAnsi="Times New Roman" w:cs="Times New Roman"/>
          <w:sz w:val="24"/>
          <w:szCs w:val="24"/>
          <w:lang w:val="en-US"/>
        </w:rPr>
        <w:t>(</w:t>
      </w:r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>cAMP</w:t>
      </w:r>
      <w:r>
        <w:rPr>
          <w:rFonts w:ascii="Times New Roman" w:eastAsia="Shaker2Lancet-Regular" w:hAnsi="Times New Roman" w:cs="Times New Roman"/>
          <w:sz w:val="24"/>
          <w:szCs w:val="24"/>
          <w:lang w:val="en-US"/>
        </w:rPr>
        <w:t>)</w:t>
      </w:r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 xml:space="preserve"> production </w:t>
      </w:r>
      <w:proofErr w:type="gramStart"/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>and  ultimately</w:t>
      </w:r>
      <w:proofErr w:type="gramEnd"/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 xml:space="preserve"> optimizing  metabolic effects</w:t>
      </w:r>
      <w:r>
        <w:rPr>
          <w:rFonts w:ascii="Times New Roman" w:eastAsia="Shaker2Lancet-Regular" w:hAnsi="Times New Roman" w:cs="Times New Roman"/>
          <w:sz w:val="24"/>
          <w:szCs w:val="24"/>
          <w:lang w:val="en-US"/>
        </w:rPr>
        <w:t>.</w:t>
      </w:r>
      <w:r w:rsidRPr="00942EED">
        <w:rPr>
          <w:rFonts w:ascii="Times New Roman" w:eastAsia="Shaker2Lancet-Regular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Pr="000E0344">
        <w:rPr>
          <w:rFonts w:ascii="Times New Roman" w:hAnsi="Times New Roman" w:cs="Times New Roman"/>
          <w:sz w:val="24"/>
          <w:szCs w:val="24"/>
          <w:lang w:val="en-US"/>
        </w:rPr>
        <w:t xml:space="preserve">oncept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0E0344">
        <w:rPr>
          <w:rFonts w:ascii="Times New Roman" w:hAnsi="Times New Roman" w:cs="Times New Roman"/>
          <w:sz w:val="24"/>
          <w:szCs w:val="24"/>
          <w:lang w:val="en-US"/>
        </w:rPr>
        <w:t>commonly referred to as biased agonism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[3]</w:t>
      </w:r>
      <w:r w:rsidRPr="00AE5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 </w:t>
      </w:r>
      <w:proofErr w:type="spellStart"/>
      <w:r w:rsidRPr="00EC35BB">
        <w:rPr>
          <w:rFonts w:ascii="Times New Roman" w:eastAsia="HardingText-Regular" w:hAnsi="Times New Roman" w:cs="Times New Roman"/>
          <w:color w:val="000000"/>
          <w:sz w:val="24"/>
          <w:szCs w:val="24"/>
          <w:lang w:val="en-US"/>
        </w:rPr>
        <w:t>Ecnoglutide</w:t>
      </w:r>
      <w:proofErr w:type="spellEnd"/>
      <w:r w:rsidRPr="00EC35BB">
        <w:rPr>
          <w:rFonts w:ascii="Times New Roman" w:eastAsia="HardingText-Regular" w:hAnsi="Times New Roman" w:cs="Times New Roman"/>
          <w:color w:val="000000"/>
          <w:sz w:val="24"/>
          <w:szCs w:val="24"/>
          <w:lang w:val="en-US"/>
        </w:rPr>
        <w:t xml:space="preserve"> is a high-affinity, cAMP-biased, DPP-4-resistant acylated GLP-1RA, exhibiting reduced GLP-1</w:t>
      </w:r>
      <w:r>
        <w:rPr>
          <w:rFonts w:ascii="Times New Roman" w:eastAsia="HardingText-Regular" w:hAnsi="Times New Roman" w:cs="Times New Roman"/>
          <w:color w:val="000000"/>
          <w:sz w:val="24"/>
          <w:szCs w:val="24"/>
          <w:lang w:val="en-US"/>
        </w:rPr>
        <w:t xml:space="preserve"> receptor</w:t>
      </w:r>
      <w:r w:rsidRPr="00EC35BB">
        <w:rPr>
          <w:rFonts w:ascii="Times New Roman" w:eastAsia="HardingText-Regular" w:hAnsi="Times New Roman" w:cs="Times New Roman"/>
          <w:color w:val="000000"/>
          <w:sz w:val="24"/>
          <w:szCs w:val="24"/>
          <w:lang w:val="en-US"/>
        </w:rPr>
        <w:t xml:space="preserve"> internalization</w:t>
      </w:r>
      <w:r>
        <w:rPr>
          <w:rFonts w:ascii="Times New Roman" w:eastAsia="HardingText-Regular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[4]</w:t>
      </w:r>
      <w:r>
        <w:rPr>
          <w:rFonts w:ascii="Times New Roman" w:eastAsia="HardingText-Regular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[5]</w:t>
      </w:r>
      <w:r w:rsidRPr="00942EE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Shaker2Lancet-Regular" w:hAnsi="Times New Roman" w:cs="Times New Roman"/>
          <w:sz w:val="24"/>
          <w:szCs w:val="24"/>
          <w:lang w:val="en-US"/>
        </w:rPr>
        <w:t xml:space="preserve"> </w:t>
      </w:r>
      <w:r w:rsidRPr="00EC35BB">
        <w:rPr>
          <w:rFonts w:ascii="Times New Roman" w:eastAsia="HardingText-Regular" w:hAnsi="Times New Roman" w:cs="Times New Roman"/>
          <w:color w:val="000000"/>
          <w:sz w:val="24"/>
          <w:szCs w:val="24"/>
          <w:lang w:val="en-US"/>
        </w:rPr>
        <w:t>It has a half-live of 124–138 h, suitable for once-weekly administration</w:t>
      </w:r>
      <w:r>
        <w:rPr>
          <w:rFonts w:ascii="Times New Roman" w:eastAsia="HardingText-Regular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[4]</w:t>
      </w:r>
      <w:r w:rsidRPr="00EC35BB">
        <w:rPr>
          <w:rFonts w:ascii="Times New Roman" w:eastAsia="HardingText-Regular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832392" w:rsidRPr="00BE3F3C" w:rsidRDefault="00832392" w:rsidP="00EC35BB">
      <w:pPr>
        <w:autoSpaceDE w:val="0"/>
        <w:autoSpaceDN w:val="0"/>
        <w:adjustRightInd w:val="0"/>
        <w:spacing w:after="0" w:line="360" w:lineRule="auto"/>
        <w:ind w:firstLine="360"/>
        <w:rPr>
          <w:rFonts w:ascii="AdvOTdd63dae3" w:hAnsi="AdvOTdd63dae3" w:cs="AdvOTdd63dae3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effect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Chinese patients with obesity without diabetes was recently reported in the Lancet Diabetes </w:t>
      </w:r>
      <w:r w:rsidRPr="004F09CF">
        <w:rPr>
          <w:rFonts w:ascii="Times New Roman" w:hAnsi="Times New Roman" w:cs="Times New Roman"/>
          <w:sz w:val="24"/>
          <w:szCs w:val="24"/>
          <w:lang w:val="en-US"/>
        </w:rPr>
        <w:t xml:space="preserve">Endocrinology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[6]</w:t>
      </w:r>
      <w:r w:rsidRPr="004F09C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a phase 3 trial in</w:t>
      </w:r>
      <w:r w:rsidRPr="00CB77A4">
        <w:rPr>
          <w:rFonts w:ascii="Times New Roman" w:hAnsi="Times New Roman" w:cs="Times New Roman"/>
          <w:sz w:val="24"/>
          <w:szCs w:val="24"/>
          <w:lang w:val="en-US"/>
        </w:rPr>
        <w:t xml:space="preserve"> adults with obesity or overweight (defined as body mass index &gt;/=28 kg/</w:t>
      </w:r>
      <w:proofErr w:type="gramStart"/>
      <w:r w:rsidRPr="00CB77A4">
        <w:rPr>
          <w:rFonts w:ascii="Times New Roman" w:hAnsi="Times New Roman" w:cs="Times New Roman"/>
          <w:sz w:val="24"/>
          <w:szCs w:val="24"/>
          <w:lang w:val="en-US"/>
        </w:rPr>
        <w:t>m(</w:t>
      </w:r>
      <w:proofErr w:type="gramEnd"/>
      <w:r w:rsidRPr="00CB77A4">
        <w:rPr>
          <w:rFonts w:ascii="Times New Roman" w:hAnsi="Times New Roman" w:cs="Times New Roman"/>
          <w:sz w:val="24"/>
          <w:szCs w:val="24"/>
          <w:lang w:val="en-US"/>
        </w:rPr>
        <w:t xml:space="preserve">2) or &gt;/=24 kg/m(2) with at least one weight-related comorbidity including prediabetes), individuals administered </w:t>
      </w:r>
      <w:proofErr w:type="spellStart"/>
      <w:r w:rsidRPr="00CB77A4"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CB77A4">
        <w:rPr>
          <w:rFonts w:ascii="Times New Roman" w:hAnsi="Times New Roman" w:cs="Times New Roman"/>
          <w:sz w:val="24"/>
          <w:szCs w:val="24"/>
          <w:lang w:val="en-US"/>
        </w:rPr>
        <w:t xml:space="preserve"> (1.2, 1.8 and 2.4 mg once weekly)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48 weeks</w:t>
      </w:r>
      <w:r w:rsidRPr="00CB77A4">
        <w:rPr>
          <w:rFonts w:ascii="Times New Roman" w:hAnsi="Times New Roman" w:cs="Times New Roman"/>
          <w:sz w:val="24"/>
          <w:szCs w:val="24"/>
          <w:lang w:val="en-US"/>
        </w:rPr>
        <w:t xml:space="preserve"> had superior and sustained reduction in bodyweight versus placebo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Of note, </w:t>
      </w:r>
      <w:r>
        <w:rPr>
          <w:rFonts w:ascii="Times New Roman" w:eastAsia="ScalaLancetPro" w:hAnsi="Times New Roman" w:cs="Times New Roman"/>
          <w:sz w:val="24"/>
          <w:szCs w:val="24"/>
          <w:lang w:val="en-US"/>
        </w:rPr>
        <w:t xml:space="preserve">even </w:t>
      </w:r>
      <w:r>
        <w:rPr>
          <w:rFonts w:ascii="Times New Roman" w:eastAsia="ScalaLancetPro" w:hAnsi="Times New Roman" w:cs="Times New Roman"/>
          <w:sz w:val="24"/>
          <w:szCs w:val="24"/>
          <w:lang w:val="en-US"/>
        </w:rPr>
        <w:t>in absence of diabetes</w:t>
      </w:r>
      <w:r>
        <w:rPr>
          <w:rFonts w:ascii="Times New Roman" w:eastAsia="ScalaLancetPro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effect was associated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with </w:t>
      </w:r>
      <w:r w:rsidRPr="00CB77A4">
        <w:rPr>
          <w:rFonts w:ascii="Times New Roman" w:eastAsia="ScalaLancetPro" w:hAnsi="Times New Roman" w:cs="Times New Roman"/>
          <w:sz w:val="24"/>
          <w:szCs w:val="24"/>
          <w:lang w:val="en-US"/>
        </w:rPr>
        <w:t xml:space="preserve">significant </w:t>
      </w:r>
      <w:r>
        <w:rPr>
          <w:rFonts w:ascii="Times New Roman" w:eastAsia="ScalaLancetPro" w:hAnsi="Times New Roman" w:cs="Times New Roman"/>
          <w:sz w:val="24"/>
          <w:szCs w:val="24"/>
          <w:lang w:val="en-US"/>
        </w:rPr>
        <w:t xml:space="preserve">reductions in glycated </w:t>
      </w:r>
      <w:proofErr w:type="spellStart"/>
      <w:r>
        <w:rPr>
          <w:rFonts w:ascii="Times New Roman" w:eastAsia="ScalaLancetPro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eastAsia="ScalaLancetPro" w:hAnsi="Times New Roman" w:cs="Times New Roman"/>
          <w:sz w:val="24"/>
          <w:szCs w:val="24"/>
          <w:lang w:val="en-US"/>
        </w:rPr>
        <w:t xml:space="preserve"> (</w:t>
      </w:r>
      <w:r w:rsidRPr="00CB77A4">
        <w:rPr>
          <w:rFonts w:ascii="Times New Roman" w:eastAsia="ScalaLancetPro" w:hAnsi="Times New Roman" w:cs="Times New Roman"/>
          <w:sz w:val="24"/>
          <w:szCs w:val="24"/>
          <w:lang w:val="en-US"/>
        </w:rPr>
        <w:t>HbA1c</w:t>
      </w:r>
      <w:proofErr w:type="gramStart"/>
      <w:r>
        <w:rPr>
          <w:rFonts w:ascii="Times New Roman" w:eastAsia="ScalaLancetPro" w:hAnsi="Times New Roman" w:cs="Times New Roman"/>
          <w:sz w:val="24"/>
          <w:szCs w:val="24"/>
          <w:lang w:val="en-US"/>
        </w:rPr>
        <w:t>) :</w:t>
      </w:r>
      <w:proofErr w:type="gramEnd"/>
      <w:r>
        <w:rPr>
          <w:rFonts w:ascii="Times New Roman" w:eastAsia="ScalaLancetPro" w:hAnsi="Times New Roman" w:cs="Times New Roman"/>
          <w:sz w:val="24"/>
          <w:szCs w:val="24"/>
          <w:lang w:val="en-US"/>
        </w:rPr>
        <w:t xml:space="preserve"> change from </w:t>
      </w:r>
      <w:r w:rsidRPr="005B086C">
        <w:rPr>
          <w:rFonts w:ascii="Times New Roman" w:eastAsia="ScalaLancetPro" w:hAnsi="Times New Roman" w:cs="Times New Roman"/>
          <w:sz w:val="24"/>
          <w:szCs w:val="24"/>
          <w:lang w:val="en-US"/>
        </w:rPr>
        <w:t>baseline</w:t>
      </w:r>
      <w:r>
        <w:rPr>
          <w:rFonts w:ascii="Times New Roman" w:eastAsia="ScalaLancetPro" w:hAnsi="Times New Roman" w:cs="Times New Roman"/>
          <w:sz w:val="24"/>
          <w:szCs w:val="24"/>
          <w:lang w:val="en-US"/>
        </w:rPr>
        <w:t xml:space="preserve"> (mean level </w:t>
      </w:r>
      <w:r w:rsidRPr="005B086C">
        <w:rPr>
          <w:rFonts w:ascii="Times New Roman" w:eastAsia="ScalaLancetPro" w:hAnsi="Times New Roman" w:cs="Times New Roman"/>
          <w:sz w:val="24"/>
          <w:szCs w:val="24"/>
          <w:lang w:val="en-US"/>
        </w:rPr>
        <w:t>5.3 %</w:t>
      </w:r>
      <w:r>
        <w:rPr>
          <w:rFonts w:ascii="Times New Roman" w:eastAsia="ScalaLancetPro" w:hAnsi="Times New Roman" w:cs="Times New Roman"/>
          <w:sz w:val="24"/>
          <w:szCs w:val="24"/>
          <w:lang w:val="en-US"/>
        </w:rPr>
        <w:t>)</w:t>
      </w:r>
      <w:r w:rsidRPr="005B086C">
        <w:rPr>
          <w:rFonts w:ascii="Times New Roman" w:eastAsia="ScalaLancetPro" w:hAnsi="Times New Roman" w:cs="Times New Roman"/>
          <w:sz w:val="24"/>
          <w:szCs w:val="24"/>
          <w:lang w:val="en-US"/>
        </w:rPr>
        <w:t xml:space="preserve"> e</w:t>
      </w:r>
      <w:r w:rsidRPr="005B086C">
        <w:rPr>
          <w:rFonts w:ascii="Times New Roman" w:eastAsia="Shaker2Lancet-Regular" w:hAnsi="Times New Roman" w:cs="Times New Roman"/>
          <w:sz w:val="24"/>
          <w:szCs w:val="24"/>
          <w:lang w:val="en-US"/>
        </w:rPr>
        <w:t>stimated treatment difference</w:t>
      </w:r>
      <w:r w:rsidRPr="005B086C">
        <w:rPr>
          <w:rFonts w:ascii="Times New Roman" w:eastAsia="ScalaLancetPro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haker2Lancet-Regular" w:hAnsi="Times New Roman" w:cs="Times New Roman"/>
          <w:sz w:val="24"/>
          <w:szCs w:val="24"/>
          <w:lang w:val="en-US"/>
        </w:rPr>
        <w:t>-</w:t>
      </w:r>
      <w:r w:rsidRPr="005B086C">
        <w:rPr>
          <w:rFonts w:ascii="Times New Roman" w:eastAsia="Shaker2Lancet-Regular" w:hAnsi="Times New Roman" w:cs="Times New Roman"/>
          <w:sz w:val="24"/>
          <w:szCs w:val="24"/>
          <w:lang w:val="en-US"/>
        </w:rPr>
        <w:t>0</w:t>
      </w:r>
      <w:r w:rsidRPr="008F7DE2">
        <w:rPr>
          <w:rFonts w:ascii="Times New Roman" w:eastAsia="Shaker2Lancet-Regular" w:hAnsi="Times New Roman" w:cs="Times New Roman" w:hint="eastAsia"/>
          <w:sz w:val="24"/>
          <w:szCs w:val="24"/>
          <w:lang w:val="en-US"/>
        </w:rPr>
        <w:t>.</w:t>
      </w:r>
      <w:r w:rsidRPr="005B086C">
        <w:rPr>
          <w:rFonts w:ascii="Times New Roman" w:eastAsia="Shaker2Lancet-Regular" w:hAnsi="Times New Roman" w:cs="Times New Roman"/>
          <w:sz w:val="24"/>
          <w:szCs w:val="24"/>
          <w:lang w:val="en-US"/>
        </w:rPr>
        <w:t>36% between 1.8 or 2.4</w:t>
      </w:r>
      <w:r>
        <w:rPr>
          <w:rFonts w:ascii="Times New Roman" w:eastAsia="Shaker2Lancet-Regular" w:hAnsi="Times New Roman" w:cs="Times New Roman"/>
          <w:sz w:val="24"/>
          <w:szCs w:val="24"/>
          <w:lang w:val="en-US"/>
        </w:rPr>
        <w:t xml:space="preserve"> </w:t>
      </w:r>
      <w:r w:rsidRPr="005B086C">
        <w:rPr>
          <w:rFonts w:ascii="Times New Roman" w:eastAsia="Shaker2Lancet-Regular" w:hAnsi="Times New Roman" w:cs="Times New Roman"/>
          <w:sz w:val="24"/>
          <w:szCs w:val="24"/>
          <w:lang w:val="en-US"/>
        </w:rPr>
        <w:t xml:space="preserve">mg </w:t>
      </w:r>
      <w:proofErr w:type="spellStart"/>
      <w:r w:rsidRPr="005B086C">
        <w:rPr>
          <w:rFonts w:ascii="Times New Roman" w:eastAsia="Shaker2Lancet-Regular" w:hAnsi="Times New Roman" w:cs="Times New Roman"/>
          <w:sz w:val="24"/>
          <w:szCs w:val="24"/>
          <w:lang w:val="en-US"/>
        </w:rPr>
        <w:t>ecnoglutide</w:t>
      </w:r>
      <w:proofErr w:type="spellEnd"/>
      <w:r w:rsidRPr="005B086C">
        <w:rPr>
          <w:rFonts w:ascii="Times New Roman" w:eastAsia="Shaker2Lancet-Regular" w:hAnsi="Times New Roman" w:cs="Times New Roman"/>
          <w:sz w:val="24"/>
          <w:szCs w:val="24"/>
          <w:lang w:val="en-US"/>
        </w:rPr>
        <w:t xml:space="preserve"> versus placebo</w:t>
      </w:r>
      <w:r w:rsidRPr="005B086C">
        <w:rPr>
          <w:rFonts w:ascii="Times New Roman" w:eastAsia="ScalaLancetPro" w:hAnsi="Times New Roman" w:cs="Times New Roman"/>
          <w:sz w:val="24"/>
          <w:szCs w:val="24"/>
          <w:lang w:val="en-US"/>
        </w:rPr>
        <w:t xml:space="preserve"> P&lt;0.001)</w:t>
      </w:r>
      <w:r w:rsidRPr="00CB77A4">
        <w:rPr>
          <w:rFonts w:ascii="Times New Roman" w:eastAsia="ScalaLancetPro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Until now, only a phase 2 placebo-controlled trial compared both the efficacy and safety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adults with T2DM. </w:t>
      </w:r>
      <w:r w:rsidRPr="00BE3F3C">
        <w:rPr>
          <w:rFonts w:ascii="Times New Roman" w:hAnsi="Times New Roman" w:cs="Times New Roman"/>
          <w:sz w:val="24"/>
          <w:szCs w:val="24"/>
          <w:lang w:val="en-US"/>
        </w:rPr>
        <w:t xml:space="preserve">After 20 weeks, the 0.4, 0.8, and 1.2 mg </w:t>
      </w:r>
      <w:proofErr w:type="spellStart"/>
      <w:r w:rsidRPr="00BE3F3C"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BE3F3C">
        <w:rPr>
          <w:rFonts w:ascii="Times New Roman" w:hAnsi="Times New Roman" w:cs="Times New Roman"/>
          <w:sz w:val="24"/>
          <w:szCs w:val="24"/>
          <w:lang w:val="en-US"/>
        </w:rPr>
        <w:t xml:space="preserve"> groups had statistically significant HbA1c reductions from baseline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(≈ 8.6%) </w:t>
      </w:r>
      <w:r w:rsidRPr="00BE3F3C">
        <w:rPr>
          <w:rFonts w:ascii="Times New Roman" w:hAnsi="Times New Roman" w:cs="Times New Roman"/>
          <w:sz w:val="24"/>
          <w:szCs w:val="24"/>
          <w:lang w:val="en-US"/>
        </w:rPr>
        <w:t xml:space="preserve">of -1.81%, -1.90%, and -2.39%, respectively, compared to -0.55% for placebo. Body weight decreased dose-dependently from baseline to end of treatment in all </w:t>
      </w:r>
      <w:proofErr w:type="spellStart"/>
      <w:r w:rsidRPr="00BE3F3C"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BE3F3C">
        <w:rPr>
          <w:rFonts w:ascii="Times New Roman" w:hAnsi="Times New Roman" w:cs="Times New Roman"/>
          <w:sz w:val="24"/>
          <w:szCs w:val="24"/>
          <w:lang w:val="en-US"/>
        </w:rPr>
        <w:t xml:space="preserve"> dose groups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[7]</w:t>
      </w:r>
      <w:r w:rsidRPr="00BE3F3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both trials</w:t>
      </w:r>
      <w:r w:rsidRPr="004F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[6</w:t>
      </w:r>
      <w:r w:rsidR="007B7FBD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7]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77A4">
        <w:rPr>
          <w:rFonts w:ascii="Times New Roman" w:eastAsia="ScalaLancetPro" w:hAnsi="Times New Roman" w:cs="Times New Roman"/>
          <w:sz w:val="24"/>
          <w:szCs w:val="24"/>
          <w:lang w:val="en-US"/>
        </w:rPr>
        <w:t>ecnoglutide</w:t>
      </w:r>
      <w:proofErr w:type="spellEnd"/>
      <w:r w:rsidRPr="00CB77A4">
        <w:rPr>
          <w:rFonts w:ascii="Times New Roman" w:eastAsia="ScalaLancetPro" w:hAnsi="Times New Roman" w:cs="Times New Roman"/>
          <w:sz w:val="24"/>
          <w:szCs w:val="24"/>
          <w:lang w:val="en-US"/>
        </w:rPr>
        <w:t xml:space="preserve"> exhibited</w:t>
      </w:r>
      <w:r w:rsidRPr="00CB7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B77A4">
        <w:rPr>
          <w:rFonts w:ascii="Times New Roman" w:hAnsi="Times New Roman" w:cs="Times New Roman"/>
          <w:sz w:val="24"/>
          <w:szCs w:val="24"/>
          <w:lang w:val="en-US"/>
        </w:rPr>
        <w:t>favourable</w:t>
      </w:r>
      <w:proofErr w:type="spellEnd"/>
      <w:r w:rsidRPr="00CB77A4">
        <w:rPr>
          <w:rFonts w:ascii="Times New Roman" w:hAnsi="Times New Roman" w:cs="Times New Roman"/>
          <w:sz w:val="24"/>
          <w:szCs w:val="24"/>
          <w:lang w:val="en-US"/>
        </w:rPr>
        <w:t xml:space="preserve"> safety profile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yet gastrointestinal adverse events commonly observed with all GLP-1RA were also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reported .</w:t>
      </w:r>
      <w:proofErr w:type="gramEnd"/>
    </w:p>
    <w:p w:rsidR="00832392" w:rsidRPr="00531C32" w:rsidRDefault="00832392" w:rsidP="00531C32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531C32">
        <w:rPr>
          <w:rFonts w:ascii="Times New Roman" w:hAnsi="Times New Roman" w:cs="Times New Roman"/>
          <w:sz w:val="24"/>
          <w:szCs w:val="24"/>
          <w:lang w:val="en-US"/>
        </w:rPr>
        <w:t xml:space="preserve">In this issue of the Lancet Diabetes &amp; Endocrinology, Yang He and coauthors report on </w:t>
      </w:r>
      <w:r w:rsidRPr="00531C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52-week, </w:t>
      </w:r>
      <w:proofErr w:type="spellStart"/>
      <w:r w:rsidRPr="00531C32">
        <w:rPr>
          <w:rFonts w:ascii="Times New Roman" w:hAnsi="Times New Roman" w:cs="Times New Roman"/>
          <w:bCs/>
          <w:sz w:val="24"/>
          <w:szCs w:val="24"/>
          <w:lang w:val="en-US"/>
        </w:rPr>
        <w:t>multicentre</w:t>
      </w:r>
      <w:proofErr w:type="spellEnd"/>
      <w:r w:rsidRPr="00531C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531C32">
        <w:rPr>
          <w:rFonts w:ascii="Times New Roman" w:hAnsi="Times New Roman" w:cs="Times New Roman"/>
          <w:bCs/>
          <w:sz w:val="24"/>
          <w:szCs w:val="24"/>
          <w:lang w:val="en-US"/>
        </w:rPr>
        <w:t>randomised</w:t>
      </w:r>
      <w:proofErr w:type="spellEnd"/>
      <w:r w:rsidRPr="00531C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open-label, phase 3, noninferiority trial carried out in China that compared both efficacy and safety of </w:t>
      </w:r>
      <w:proofErr w:type="spellStart"/>
      <w:r w:rsidRPr="00531C32">
        <w:rPr>
          <w:rFonts w:ascii="Times New Roman" w:hAnsi="Times New Roman" w:cs="Times New Roman"/>
          <w:bCs/>
          <w:sz w:val="24"/>
          <w:szCs w:val="24"/>
          <w:lang w:val="en-US"/>
        </w:rPr>
        <w:t>ecnoglutide</w:t>
      </w:r>
      <w:proofErr w:type="spellEnd"/>
      <w:r w:rsidRPr="00531C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versus dulaglutide, a commercialized balanced GLP-1RA in patients with T2DM (EECOH-2)</w:t>
      </w:r>
      <w:r w:rsidRPr="00531C3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31C3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[8]</w:t>
      </w:r>
      <w:r w:rsidRPr="00531C3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531C32">
        <w:rPr>
          <w:rFonts w:ascii="Times New Roman" w:hAnsi="Times New Roman" w:cs="Times New Roman"/>
          <w:sz w:val="24"/>
          <w:szCs w:val="24"/>
          <w:lang w:val="en-US"/>
        </w:rPr>
        <w:t xml:space="preserve"> Adults with elevated glucose levels on metformin monotherapy were randomly assigned to receive subcutaneous </w:t>
      </w:r>
      <w:proofErr w:type="spellStart"/>
      <w:r w:rsidRPr="00531C32"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531C32">
        <w:rPr>
          <w:rFonts w:ascii="Times New Roman" w:hAnsi="Times New Roman" w:cs="Times New Roman"/>
          <w:sz w:val="24"/>
          <w:szCs w:val="24"/>
          <w:lang w:val="en-US"/>
        </w:rPr>
        <w:t xml:space="preserve"> (0.6 mg [n=206] or 1.2 mg [n=208]) or dulaglutide (1.5 mg [n=207]) once weekly. The primary endpoint was mean change from baseline HbA1c (mean level ≈ 8.40%) at Week 32 (non-inferiority for </w:t>
      </w:r>
      <w:proofErr w:type="spellStart"/>
      <w:r w:rsidRPr="00531C32"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531C32">
        <w:rPr>
          <w:rFonts w:ascii="Times New Roman" w:hAnsi="Times New Roman" w:cs="Times New Roman"/>
          <w:sz w:val="24"/>
          <w:szCs w:val="24"/>
          <w:lang w:val="en-US"/>
        </w:rPr>
        <w:t xml:space="preserve"> 0.6 and 1.2 mg, with a 0.4% non-inferiority margin; superiority for </w:t>
      </w:r>
      <w:proofErr w:type="spellStart"/>
      <w:r w:rsidRPr="00531C32"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531C32">
        <w:rPr>
          <w:rFonts w:ascii="Times New Roman" w:hAnsi="Times New Roman" w:cs="Times New Roman"/>
          <w:sz w:val="24"/>
          <w:szCs w:val="24"/>
          <w:lang w:val="en-US"/>
        </w:rPr>
        <w:t xml:space="preserve"> 1.2 mg versus dulaglutide). At Week 32, mean HbA1c reductions were 1.91% (standard error [SE], 0.05%) with </w:t>
      </w:r>
      <w:proofErr w:type="spellStart"/>
      <w:r w:rsidRPr="00531C32"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531C32">
        <w:rPr>
          <w:rFonts w:ascii="Times New Roman" w:hAnsi="Times New Roman" w:cs="Times New Roman"/>
          <w:sz w:val="24"/>
          <w:szCs w:val="24"/>
          <w:lang w:val="en-US"/>
        </w:rPr>
        <w:t xml:space="preserve"> 0.6 mg, 1.89% (SE, 0.05%) with </w:t>
      </w:r>
      <w:proofErr w:type="spellStart"/>
      <w:r w:rsidRPr="00531C32"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531C32">
        <w:rPr>
          <w:rFonts w:ascii="Times New Roman" w:hAnsi="Times New Roman" w:cs="Times New Roman"/>
          <w:sz w:val="24"/>
          <w:szCs w:val="24"/>
          <w:lang w:val="en-US"/>
        </w:rPr>
        <w:t xml:space="preserve"> 1·2 mg, and 1·65% (SE, 0·05%) with dulaglutide. Estimated treatment differences versus dulaglutide were -0.26% (95% CI: -0.39%, -0.13%) with </w:t>
      </w:r>
      <w:proofErr w:type="spellStart"/>
      <w:r w:rsidRPr="00531C32"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531C32">
        <w:rPr>
          <w:rFonts w:ascii="Times New Roman" w:hAnsi="Times New Roman" w:cs="Times New Roman"/>
          <w:sz w:val="24"/>
          <w:szCs w:val="24"/>
          <w:lang w:val="en-US"/>
        </w:rPr>
        <w:t xml:space="preserve"> 0.6 mg and -0.24% (95% CI: -0.38%, -0.11%; p=0.0002 for superiority) with </w:t>
      </w:r>
      <w:proofErr w:type="spellStart"/>
      <w:r w:rsidRPr="00531C32"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531C32">
        <w:rPr>
          <w:rFonts w:ascii="Times New Roman" w:hAnsi="Times New Roman" w:cs="Times New Roman"/>
          <w:sz w:val="24"/>
          <w:szCs w:val="24"/>
          <w:lang w:val="en-US"/>
        </w:rPr>
        <w:t xml:space="preserve"> 1.2 mg. These HbA1c reductions were sustained to Week 52. </w:t>
      </w:r>
      <w:r w:rsidRPr="00531C32">
        <w:rPr>
          <w:rFonts w:ascii="Times New Roman" w:hAnsi="Times New Roman" w:cs="Times New Roman"/>
          <w:sz w:val="24"/>
          <w:szCs w:val="24"/>
          <w:lang w:val="en-US"/>
        </w:rPr>
        <w:t>Statistically significantly greater reductions from baseline in body weight were observed with</w:t>
      </w:r>
    </w:p>
    <w:p w:rsidR="00832392" w:rsidRPr="00531C32" w:rsidRDefault="00832392" w:rsidP="00531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1C32"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531C32">
        <w:rPr>
          <w:rFonts w:ascii="Times New Roman" w:hAnsi="Times New Roman" w:cs="Times New Roman"/>
          <w:sz w:val="24"/>
          <w:szCs w:val="24"/>
          <w:lang w:val="en-US"/>
        </w:rPr>
        <w:t xml:space="preserve"> compared with dulaglutide at both Week 32 and Week 52 (P&lt;0·0001 for all)</w:t>
      </w:r>
      <w:r w:rsidRPr="00531C32">
        <w:rPr>
          <w:rFonts w:ascii="Times New Roman" w:hAnsi="Times New Roman" w:cs="Times New Roman"/>
          <w:sz w:val="24"/>
          <w:szCs w:val="24"/>
          <w:lang w:val="en-US"/>
        </w:rPr>
        <w:t xml:space="preserve"> During the 52 weeks, the respective rates of treatment discontinuation due to adverse events were low (3 to 4%) and similar in all three arms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confirming the safety profile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 w:rsidRPr="00531C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32392" w:rsidRDefault="00832392" w:rsidP="000E03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32392" w:rsidRPr="00530F37" w:rsidRDefault="00832392" w:rsidP="00530F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>M</w:t>
      </w:r>
      <w:r w:rsidRPr="000E0344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>ajor advances have been made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  <w:lang w:val="en-US"/>
        </w:rPr>
        <w:t xml:space="preserve"> regarding the GLP-1 family: </w:t>
      </w:r>
      <w:r w:rsidRPr="007B7FBD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>pure human GLP-1 analogues instead of exendin-4 derivatives, once-weekly long-acting formulations, engineering for oral delivery including the use of small molecules, use of multi-target approaches with dual or triple agonists [1] (</w:t>
      </w:r>
      <w:r w:rsidRPr="007B7FBD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highlight w:val="yellow"/>
          <w:shd w:val="clear" w:color="auto" w:fill="FFFFFF"/>
          <w:lang w:val="en-US"/>
        </w:rPr>
        <w:t>Table 1</w:t>
      </w:r>
      <w:r w:rsidRPr="007B7FBD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 xml:space="preserve">). Any prediction on how a new biased GLP-1RA such as </w:t>
      </w:r>
      <w:proofErr w:type="spellStart"/>
      <w:r w:rsidRPr="007B7FBD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>ecnoglutide</w:t>
      </w:r>
      <w:proofErr w:type="spellEnd"/>
      <w:r w:rsidRPr="007B7FBD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 xml:space="preserve"> could offer an added value for the management of T2DM is at present stage hazardous, a similar conclusion when considering its future place for weight </w:t>
      </w:r>
      <w:r w:rsidRPr="007B7FBD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management </w:t>
      </w:r>
      <w:r w:rsidRPr="007B7FB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[4]</w:t>
      </w:r>
      <w:r w:rsidRPr="007B7FBD">
        <w:rPr>
          <w:rFonts w:ascii="Times New Roman" w:eastAsia="HardingText-Regular" w:hAnsi="Times New Roman" w:cs="Times New Roman"/>
          <w:b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Cs/>
          <w:color w:val="1C1D1E"/>
          <w:kern w:val="36"/>
          <w:sz w:val="24"/>
          <w:szCs w:val="24"/>
          <w:lang w:val="en-US" w:eastAsia="fr-BE"/>
        </w:rPr>
        <w:t xml:space="preserve"> </w:t>
      </w:r>
      <w:r w:rsidRPr="004936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  <w:t>G protein‐biased GLP‐1 agonists appear to achieve enhanced anti‐</w:t>
      </w:r>
      <w:proofErr w:type="spellStart"/>
      <w:r w:rsidRPr="004936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  <w:t>hyperglycaemic</w:t>
      </w:r>
      <w:proofErr w:type="spellEnd"/>
      <w:r w:rsidRPr="004936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  <w:t xml:space="preserve"> efficacy by avoiding GLP‐1 receptor </w:t>
      </w:r>
      <w:proofErr w:type="spellStart"/>
      <w:r w:rsidRPr="004936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  <w:t>desensitisation</w:t>
      </w:r>
      <w:proofErr w:type="spellEnd"/>
      <w:r w:rsidRPr="004936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  <w:t xml:space="preserve"> and downregulation, partly via reduced </w:t>
      </w:r>
      <w:r w:rsidRPr="004936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β</w:t>
      </w:r>
      <w:r w:rsidRPr="004936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  <w:t>‐</w:t>
      </w:r>
      <w:proofErr w:type="spellStart"/>
      <w:r w:rsidRPr="004936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  <w:t>arrestin</w:t>
      </w:r>
      <w:proofErr w:type="spellEnd"/>
      <w:r w:rsidRPr="004936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  <w:t xml:space="preserve"> recruitment. This effect seemingly applies more to insulin release than to appetite regulation and nausea </w:t>
      </w:r>
      <w:r>
        <w:rPr>
          <w:rFonts w:ascii="Times New Roman" w:hAnsi="Times New Roman" w:cs="Times New Roman"/>
          <w:noProof/>
          <w:color w:val="1B1B1B"/>
          <w:sz w:val="24"/>
          <w:szCs w:val="24"/>
          <w:shd w:val="clear" w:color="auto" w:fill="FFFFFF"/>
          <w:lang w:val="en-US"/>
        </w:rPr>
        <w:t>[9]</w:t>
      </w:r>
      <w:r w:rsidRPr="004936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  <w:t xml:space="preserve"> However, indirect comparison of the two phase 3 trials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[6</w:t>
      </w:r>
      <w:r w:rsidR="007B7FB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8]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does not allow to conclude about a possible difference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US"/>
        </w:rPr>
        <w:t>.</w:t>
      </w:r>
    </w:p>
    <w:p w:rsidR="00832392" w:rsidRDefault="00832392" w:rsidP="00814E4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Most trials in the field of GLP-1-derived therapies used a placebo as comparator, including that recently reported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among people with overweight/obesity but without diabetes</w:t>
      </w:r>
      <w:r w:rsidRPr="004F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[6]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orforglipron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another biased GLP-1RA in a phase 3 trial in T2DM</w:t>
      </w:r>
      <w:r w:rsidRPr="00746E44">
        <w:rPr>
          <w:rFonts w:ascii="Segoe UI" w:hAnsi="Segoe UI" w:cs="Segoe UI"/>
          <w:sz w:val="18"/>
          <w:szCs w:val="18"/>
          <w:lang w:val="en-US"/>
        </w:rPr>
        <w:t xml:space="preserve"> </w:t>
      </w:r>
      <w:r w:rsidRPr="00746E44">
        <w:rPr>
          <w:rFonts w:ascii="Times New Roman" w:hAnsi="Times New Roman" w:cs="Times New Roman"/>
          <w:noProof/>
          <w:sz w:val="24"/>
          <w:szCs w:val="24"/>
          <w:lang w:val="en-US"/>
        </w:rPr>
        <w:t>[10]</w:t>
      </w:r>
      <w:r w:rsidRPr="00746E4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One may compliment </w:t>
      </w:r>
      <w:r w:rsidRPr="004C7240">
        <w:rPr>
          <w:rFonts w:ascii="Times New Roman" w:hAnsi="Times New Roman" w:cs="Times New Roman"/>
          <w:sz w:val="24"/>
          <w:szCs w:val="24"/>
          <w:lang w:val="en-US"/>
        </w:rPr>
        <w:t>Yang He and co</w:t>
      </w:r>
      <w:r>
        <w:rPr>
          <w:rFonts w:ascii="Times New Roman" w:hAnsi="Times New Roman" w:cs="Times New Roman"/>
          <w:sz w:val="24"/>
          <w:szCs w:val="24"/>
          <w:lang w:val="en-US"/>
        </w:rPr>
        <w:t>lleagues</w:t>
      </w:r>
      <w:r w:rsidRPr="004C7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having chosen an active compound as comparator, i.e. dulaglutide.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1.2 mg showed statistically significant superiority versus dulaglutide 1.5 mg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[8]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However, dulaglutide has been shown less potent than </w:t>
      </w:r>
      <w:proofErr w:type="spellStart"/>
      <w:r w:rsidRPr="00F2775B">
        <w:rPr>
          <w:rFonts w:ascii="Times New Roman" w:hAnsi="Times New Roman" w:cs="Times New Roman"/>
          <w:sz w:val="24"/>
          <w:szCs w:val="24"/>
          <w:lang w:val="en-US"/>
        </w:rPr>
        <w:t>semaglutide</w:t>
      </w:r>
      <w:proofErr w:type="spellEnd"/>
      <w:r w:rsidRPr="00F2775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pure GLP-1RAs that has been shown less potent than the dual GIP/GLP-1 agonist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tirzepatide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[</w:t>
      </w:r>
      <w:proofErr w:type="gramEnd"/>
      <w:r>
        <w:rPr>
          <w:rFonts w:ascii="Times New Roman" w:hAnsi="Times New Roman" w:cs="Times New Roman"/>
          <w:noProof/>
          <w:sz w:val="24"/>
          <w:szCs w:val="24"/>
          <w:lang w:val="en-US"/>
        </w:rPr>
        <w:t>1]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Thus, to better delineate the real add-on value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 direct comparison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semaglutide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a biased co-agonist like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tirzepatide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would be most interesting.</w:t>
      </w:r>
    </w:p>
    <w:p w:rsidR="00832392" w:rsidRDefault="00832392" w:rsidP="009E0EC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biased GLP-1RA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appears to be a promising drug for the management of T2DM. However, the road is still long in a highly competitive field and we have to wait for the further phase 3 clinical trials that would recruit patients with T2DM not only treated with metformin monotherapy and if possible compare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ecnoglutide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 other GLP-1-derived therapies in order to fully appreciate the potential add-on value of this innovative agent.</w:t>
      </w:r>
    </w:p>
    <w:p w:rsidR="007B7FBD" w:rsidRDefault="007B7FBD" w:rsidP="009E0EC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32392" w:rsidRDefault="007B7FBD" w:rsidP="006153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bookmarkStart w:id="0" w:name="_GoBack"/>
      <w:proofErr w:type="gramStart"/>
      <w:r w:rsidRPr="006153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Disclosure</w:t>
      </w:r>
      <w:bookmarkEnd w:id="0"/>
      <w:r w:rsidRPr="006153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:</w:t>
      </w:r>
      <w:proofErr w:type="gramEnd"/>
      <w:r w:rsidRPr="006153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No conflict of interest to declare.</w:t>
      </w:r>
    </w:p>
    <w:p w:rsidR="00615347" w:rsidRPr="00615347" w:rsidRDefault="00615347" w:rsidP="006153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832392" w:rsidRPr="00615347" w:rsidRDefault="00832392" w:rsidP="00615347">
      <w:pPr>
        <w:pStyle w:val="EndNoteBibliographyTitle"/>
        <w:spacing w:line="36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References</w:t>
      </w:r>
    </w:p>
    <w:p w:rsidR="00832392" w:rsidRPr="00615347" w:rsidRDefault="00832392" w:rsidP="00615347">
      <w:pPr>
        <w:pStyle w:val="EndNoteBibliographyTitl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392" w:rsidRPr="00615347" w:rsidRDefault="00832392" w:rsidP="0061534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</w:pPr>
      <w:r w:rsidRPr="0061534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[1] Drucker DJ. GLP-1-based therapies for diabetes, obesity and beyond. Nat Rev Drug Discov 2025.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5347" w:rsidRPr="006153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>Apr</w:t>
      </w:r>
      <w:proofErr w:type="spellEnd"/>
      <w:r w:rsidR="00615347" w:rsidRPr="006153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 25. </w:t>
      </w:r>
      <w:proofErr w:type="spellStart"/>
      <w:proofErr w:type="gramStart"/>
      <w:r w:rsidR="00615347" w:rsidRPr="006153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fr-BE"/>
        </w:rPr>
        <w:t>doi</w:t>
      </w:r>
      <w:proofErr w:type="spellEnd"/>
      <w:r w:rsidR="00615347" w:rsidRPr="006153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fr-BE"/>
        </w:rPr>
        <w:t>:</w:t>
      </w:r>
      <w:proofErr w:type="gramEnd"/>
      <w:r w:rsidR="00615347" w:rsidRPr="006153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fr-BE"/>
        </w:rPr>
        <w:t xml:space="preserve"> 10.1038/s41573-025-01183-8.</w:t>
      </w:r>
    </w:p>
    <w:p w:rsidR="00832392" w:rsidRPr="00615347" w:rsidRDefault="00832392" w:rsidP="00615347">
      <w:pPr>
        <w:pStyle w:val="EndNoteBibliography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[2] Douros JD, Mokrosinski J, Finan B. The GLP-1R as a model for understanding and exploiting biased</w:t>
      </w:r>
      <w:r w:rsidR="007B7FBD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agonism in next-generation medicines. J Endocrinol 2024;261(2).</w:t>
      </w:r>
    </w:p>
    <w:p w:rsidR="00832392" w:rsidRPr="00615347" w:rsidRDefault="00832392" w:rsidP="00615347">
      <w:pPr>
        <w:pStyle w:val="EndNoteBibliography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[3] El Eid L, Reynolds CA, Tomas A, et al. Biased agonism and polymorphic variation at the GLP-1 receptor: Implications for the development of personalised therapeutics. Pharmacol Res 2022;184:106411.</w:t>
      </w:r>
    </w:p>
    <w:p w:rsidR="00832392" w:rsidRPr="00615347" w:rsidRDefault="00832392" w:rsidP="00615347">
      <w:pPr>
        <w:pStyle w:val="EndNoteBibliography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[4] Guo W, Xu Z, Zou H, et al. Discovery of ecnoglutide - A novel, long-acting, cAMP-biased glucagon-like peptide-1 (GLP-1) analog. Mol Metab 2023;75:101762.</w:t>
      </w:r>
    </w:p>
    <w:p w:rsidR="00832392" w:rsidRPr="00615347" w:rsidRDefault="00832392" w:rsidP="00615347">
      <w:pPr>
        <w:pStyle w:val="EndNoteBibliography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[5] Tan TM. Is biased agonism helpful in the treatment of obesity with the GLP-1 receptor analogues? 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ancet Diabetes 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ndocrinol 2025.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Jun 20:S2213-8587(25)00157-3.</w:t>
      </w:r>
    </w:p>
    <w:p w:rsidR="00832392" w:rsidRPr="00615347" w:rsidRDefault="00832392" w:rsidP="00615347">
      <w:pPr>
        <w:pStyle w:val="EndNoteBibliography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[6] Ji L, Gao L, Xue H, et al. Efficacy and safety of a biased GLP-1 receptor agonist ecnoglutide in adults with overweight or obesity: a multicentre, randomised, double-blind, placebo-controlled, phase 3 trial. 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ancet Diabetes 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ndocrinol 2025.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Jun 20:S2213-8587(25)00141-X.</w:t>
      </w:r>
    </w:p>
    <w:p w:rsidR="00832392" w:rsidRPr="00615347" w:rsidRDefault="00832392" w:rsidP="00615347">
      <w:pPr>
        <w:pStyle w:val="EndNoteBibliography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[7] Zhu D, Wang W, Tong G, et al. Efficacy and safety of GLP-1 analog ecnoglutide in adults with type 2 diabetes: a randomized, double-blind, placebo-controlled phase 2 trial. Nat 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omm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2024;15(1):8408.</w:t>
      </w:r>
    </w:p>
    <w:p w:rsidR="00832392" w:rsidRPr="00615347" w:rsidRDefault="00832392" w:rsidP="00615347">
      <w:pPr>
        <w:pStyle w:val="EndNoteBibliography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[8] He Y, Mi M, Cheng Z, et al. Efficacy and safety of cAMP-biased GLP-1 analogue ecnoglutide versus dulaglutide in patients with type 2 diabetes and elevated glucose levels on metformin (EECOH-2): A 52-week, multicentre, randomised, open-label, phase 3, noninferiority trial. 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ancet Diabetes</w:t>
      </w:r>
      <w:r w:rsidR="00615347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ndocrinol 2025:In press.</w:t>
      </w:r>
    </w:p>
    <w:p w:rsidR="00832392" w:rsidRPr="00615347" w:rsidRDefault="00832392" w:rsidP="00615347">
      <w:pPr>
        <w:pStyle w:val="EndNoteBibliography"/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[9] Jones B. The therapeutic potential of GLP-1 receptor biased agonism. Br J Pharmacol 2022;179(4):492-510.</w:t>
      </w:r>
    </w:p>
    <w:p w:rsidR="00832392" w:rsidRPr="00615347" w:rsidRDefault="00832392" w:rsidP="0061534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</w:pPr>
      <w:r w:rsidRPr="0061534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[10] Rosenstock J, Hsia S, Nevarez Ruiz L, et al. Orforglipron, an </w:t>
      </w:r>
      <w:r w:rsidR="007B7FBD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1534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ral </w:t>
      </w:r>
      <w:r w:rsidR="007B7FBD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1534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mall-</w:t>
      </w:r>
      <w:r w:rsidR="007B7FBD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61534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olecule GLP-1 </w:t>
      </w:r>
      <w:r w:rsidR="007B7FBD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61534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eceptor </w:t>
      </w:r>
      <w:r w:rsidR="007B7FBD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1534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gonist, in </w:t>
      </w:r>
      <w:r w:rsidR="007B7FBD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1534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arly </w:t>
      </w:r>
      <w:r w:rsidR="007B7FBD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61534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ype 2 </w:t>
      </w:r>
      <w:r w:rsidR="007B7FBD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61534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iabetes. N Engl J Med 2025.</w:t>
      </w:r>
      <w:r w:rsidR="007B7FBD" w:rsidRPr="0061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7FBD" w:rsidRPr="006153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Jun 21. </w:t>
      </w:r>
      <w:proofErr w:type="spellStart"/>
      <w:proofErr w:type="gramStart"/>
      <w:r w:rsidR="007B7FBD" w:rsidRPr="006153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fr-BE"/>
        </w:rPr>
        <w:t>doi</w:t>
      </w:r>
      <w:proofErr w:type="spellEnd"/>
      <w:r w:rsidR="007B7FBD" w:rsidRPr="006153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fr-BE"/>
        </w:rPr>
        <w:t>:</w:t>
      </w:r>
      <w:proofErr w:type="gramEnd"/>
      <w:r w:rsidR="007B7FBD" w:rsidRPr="006153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fr-BE"/>
        </w:rPr>
        <w:t xml:space="preserve"> 10.1056/NEJMoa2505669. </w:t>
      </w:r>
    </w:p>
    <w:p w:rsidR="00832392" w:rsidRDefault="00832392" w:rsidP="00B1481C">
      <w:pPr>
        <w:rPr>
          <w:lang w:val="en-US"/>
        </w:rPr>
      </w:pPr>
    </w:p>
    <w:p w:rsidR="00832392" w:rsidRPr="004E4857" w:rsidRDefault="00832392" w:rsidP="00D7484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4857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proofErr w:type="gramStart"/>
      <w:r w:rsidRPr="004E4857">
        <w:rPr>
          <w:rFonts w:ascii="Times New Roman" w:hAnsi="Times New Roman" w:cs="Times New Roman"/>
          <w:sz w:val="24"/>
          <w:szCs w:val="24"/>
          <w:lang w:val="en-US"/>
        </w:rPr>
        <w:t>1 :</w:t>
      </w:r>
      <w:proofErr w:type="gramEnd"/>
      <w:r w:rsidRPr="004E4857">
        <w:rPr>
          <w:rFonts w:ascii="Times New Roman" w:hAnsi="Times New Roman" w:cs="Times New Roman"/>
          <w:sz w:val="24"/>
          <w:szCs w:val="24"/>
          <w:lang w:val="en-US"/>
        </w:rPr>
        <w:t xml:space="preserve"> Current GLP-1derived therapies (commercialized or in </w:t>
      </w:r>
      <w:r w:rsidR="007B7FBD">
        <w:rPr>
          <w:rFonts w:ascii="Times New Roman" w:hAnsi="Times New Roman" w:cs="Times New Roman"/>
          <w:sz w:val="24"/>
          <w:szCs w:val="24"/>
          <w:lang w:val="en-US"/>
        </w:rPr>
        <w:t xml:space="preserve">phase 2-3 </w:t>
      </w:r>
      <w:r w:rsidRPr="004E4857">
        <w:rPr>
          <w:rFonts w:ascii="Times New Roman" w:hAnsi="Times New Roman" w:cs="Times New Roman"/>
          <w:sz w:val="24"/>
          <w:szCs w:val="24"/>
          <w:lang w:val="en-US"/>
        </w:rPr>
        <w:t>development) for the management of T2DM.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3074"/>
        <w:gridCol w:w="2591"/>
      </w:tblGrid>
      <w:tr w:rsidR="00832392" w:rsidRPr="004E4857" w:rsidTr="008D41E9">
        <w:tc>
          <w:tcPr>
            <w:tcW w:w="3397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Characteristics</w:t>
            </w:r>
          </w:p>
        </w:tc>
        <w:tc>
          <w:tcPr>
            <w:tcW w:w="3074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Administration</w:t>
            </w:r>
          </w:p>
        </w:tc>
        <w:tc>
          <w:tcPr>
            <w:tcW w:w="2591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Molecules</w:t>
            </w:r>
          </w:p>
        </w:tc>
      </w:tr>
      <w:tr w:rsidR="00832392" w:rsidRPr="004E4857" w:rsidTr="008D41E9">
        <w:tc>
          <w:tcPr>
            <w:tcW w:w="3397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Exendin-4 derivatives</w:t>
            </w:r>
          </w:p>
        </w:tc>
        <w:tc>
          <w:tcPr>
            <w:tcW w:w="3074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Twice daily (once weekly)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</w:p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daily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</w:p>
        </w:tc>
        <w:tc>
          <w:tcPr>
            <w:tcW w:w="2591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Exenatide (LAR) </w:t>
            </w: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Lixisenatide</w:t>
            </w:r>
            <w:proofErr w:type="spellEnd"/>
          </w:p>
        </w:tc>
      </w:tr>
      <w:tr w:rsidR="00832392" w:rsidRPr="004E4857" w:rsidTr="008D41E9">
        <w:tc>
          <w:tcPr>
            <w:tcW w:w="3397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h</w:t>
            </w: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uman GLP-1 analogue</w:t>
            </w:r>
          </w:p>
        </w:tc>
        <w:tc>
          <w:tcPr>
            <w:tcW w:w="3074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Once-daily </w:t>
            </w: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</w:p>
        </w:tc>
        <w:tc>
          <w:tcPr>
            <w:tcW w:w="2591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Liraglutide</w:t>
            </w:r>
          </w:p>
        </w:tc>
      </w:tr>
      <w:tr w:rsidR="00832392" w:rsidRPr="004E4857" w:rsidTr="008D41E9">
        <w:tc>
          <w:tcPr>
            <w:tcW w:w="3397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Long-acting GLP-1 RA</w:t>
            </w:r>
          </w:p>
        </w:tc>
        <w:tc>
          <w:tcPr>
            <w:tcW w:w="3074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Once-weekly </w:t>
            </w: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</w:p>
        </w:tc>
        <w:tc>
          <w:tcPr>
            <w:tcW w:w="2591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Semaglutide</w:t>
            </w:r>
            <w:proofErr w:type="spellEnd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dulaglutide</w:t>
            </w:r>
          </w:p>
        </w:tc>
      </w:tr>
      <w:tr w:rsidR="00832392" w:rsidRPr="004E4857" w:rsidTr="008D41E9">
        <w:tc>
          <w:tcPr>
            <w:tcW w:w="3397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GLP-1 RA oral formulation </w:t>
            </w:r>
          </w:p>
        </w:tc>
        <w:tc>
          <w:tcPr>
            <w:tcW w:w="3074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daily oral</w:t>
            </w:r>
          </w:p>
        </w:tc>
        <w:tc>
          <w:tcPr>
            <w:tcW w:w="2591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Semaglutide</w:t>
            </w:r>
            <w:proofErr w:type="spellEnd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(oral)</w:t>
            </w:r>
          </w:p>
        </w:tc>
      </w:tr>
      <w:tr w:rsidR="00832392" w:rsidRPr="004E4857" w:rsidTr="008D41E9">
        <w:tc>
          <w:tcPr>
            <w:tcW w:w="3397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Dual biased GIP/GLP-1 RA </w:t>
            </w:r>
          </w:p>
        </w:tc>
        <w:tc>
          <w:tcPr>
            <w:tcW w:w="3074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Once weekly </w:t>
            </w: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</w:p>
        </w:tc>
        <w:tc>
          <w:tcPr>
            <w:tcW w:w="2591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Tirzepatide</w:t>
            </w:r>
            <w:proofErr w:type="spellEnd"/>
          </w:p>
        </w:tc>
      </w:tr>
      <w:tr w:rsidR="00832392" w:rsidRPr="004E4857" w:rsidTr="008D41E9">
        <w:tc>
          <w:tcPr>
            <w:tcW w:w="3397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Triple GIP/GLP-1/GCG RA </w:t>
            </w:r>
          </w:p>
        </w:tc>
        <w:tc>
          <w:tcPr>
            <w:tcW w:w="3074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Once weekly </w:t>
            </w: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</w:p>
        </w:tc>
        <w:tc>
          <w:tcPr>
            <w:tcW w:w="2591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Retatrutide</w:t>
            </w:r>
            <w:proofErr w:type="spellEnd"/>
          </w:p>
        </w:tc>
      </w:tr>
      <w:tr w:rsidR="00832392" w:rsidRPr="004E4857" w:rsidTr="008D41E9">
        <w:tc>
          <w:tcPr>
            <w:tcW w:w="3397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Combined GLP-1/amylin RA </w:t>
            </w:r>
          </w:p>
        </w:tc>
        <w:tc>
          <w:tcPr>
            <w:tcW w:w="3074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Once weekly </w:t>
            </w: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</w:p>
        </w:tc>
        <w:tc>
          <w:tcPr>
            <w:tcW w:w="2591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CagriSema</w:t>
            </w:r>
            <w:proofErr w:type="spellEnd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amycretin</w:t>
            </w:r>
            <w:proofErr w:type="spellEnd"/>
          </w:p>
        </w:tc>
      </w:tr>
      <w:tr w:rsidR="00832392" w:rsidRPr="004E4857" w:rsidTr="008D41E9">
        <w:tc>
          <w:tcPr>
            <w:tcW w:w="3397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Non-peptide </w:t>
            </w: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GLP-1 RA small molecules </w:t>
            </w:r>
          </w:p>
        </w:tc>
        <w:tc>
          <w:tcPr>
            <w:tcW w:w="3074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daily oral</w:t>
            </w:r>
          </w:p>
        </w:tc>
        <w:tc>
          <w:tcPr>
            <w:tcW w:w="2591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Orforglipron</w:t>
            </w:r>
            <w:proofErr w:type="spellEnd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danuglipron</w:t>
            </w:r>
            <w:proofErr w:type="spellEnd"/>
          </w:p>
        </w:tc>
      </w:tr>
      <w:tr w:rsidR="00832392" w:rsidRPr="004E4857" w:rsidTr="008D41E9">
        <w:tc>
          <w:tcPr>
            <w:tcW w:w="3397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c-AMP biased GLP-1 RA </w:t>
            </w:r>
          </w:p>
        </w:tc>
        <w:tc>
          <w:tcPr>
            <w:tcW w:w="3074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Once weekly </w:t>
            </w: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</w:p>
        </w:tc>
        <w:tc>
          <w:tcPr>
            <w:tcW w:w="2591" w:type="dxa"/>
          </w:tcPr>
          <w:p w:rsidR="00832392" w:rsidRPr="004E4857" w:rsidRDefault="00832392" w:rsidP="00D748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Ecnoglutide</w:t>
            </w:r>
            <w:proofErr w:type="spellEnd"/>
          </w:p>
        </w:tc>
      </w:tr>
    </w:tbl>
    <w:p w:rsidR="00832392" w:rsidRPr="004E4857" w:rsidRDefault="00832392" w:rsidP="00D7484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32392" w:rsidRPr="004E4857" w:rsidRDefault="00832392" w:rsidP="00D7484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4857">
        <w:rPr>
          <w:rFonts w:ascii="Times New Roman" w:hAnsi="Times New Roman" w:cs="Times New Roman"/>
          <w:sz w:val="24"/>
          <w:szCs w:val="24"/>
          <w:lang w:val="en-US"/>
        </w:rPr>
        <w:t>c-</w:t>
      </w:r>
      <w:proofErr w:type="gramStart"/>
      <w:r w:rsidRPr="004E4857">
        <w:rPr>
          <w:rFonts w:ascii="Times New Roman" w:hAnsi="Times New Roman" w:cs="Times New Roman"/>
          <w:sz w:val="24"/>
          <w:szCs w:val="24"/>
          <w:lang w:val="en-US"/>
        </w:rPr>
        <w:t>AMP :</w:t>
      </w:r>
      <w:proofErr w:type="gramEnd"/>
      <w:r w:rsidRPr="004E4857">
        <w:rPr>
          <w:rFonts w:ascii="Times New Roman" w:hAnsi="Times New Roman" w:cs="Times New Roman"/>
          <w:sz w:val="24"/>
          <w:szCs w:val="24"/>
          <w:lang w:val="en-US"/>
        </w:rPr>
        <w:t xml:space="preserve"> cyclic adenosine monophosphate. </w:t>
      </w:r>
      <w:proofErr w:type="gramStart"/>
      <w:r w:rsidRPr="004E4857">
        <w:rPr>
          <w:rFonts w:ascii="Times New Roman" w:hAnsi="Times New Roman" w:cs="Times New Roman"/>
          <w:sz w:val="24"/>
          <w:szCs w:val="24"/>
          <w:lang w:val="en-US"/>
        </w:rPr>
        <w:t>GCG :</w:t>
      </w:r>
      <w:proofErr w:type="gramEnd"/>
      <w:r w:rsidRPr="004E4857">
        <w:rPr>
          <w:rFonts w:ascii="Times New Roman" w:hAnsi="Times New Roman" w:cs="Times New Roman"/>
          <w:sz w:val="24"/>
          <w:szCs w:val="24"/>
          <w:lang w:val="en-US"/>
        </w:rPr>
        <w:t xml:space="preserve"> glucagon. GLP-</w:t>
      </w:r>
      <w:proofErr w:type="gramStart"/>
      <w:r w:rsidRPr="004E4857">
        <w:rPr>
          <w:rFonts w:ascii="Times New Roman" w:hAnsi="Times New Roman" w:cs="Times New Roman"/>
          <w:sz w:val="24"/>
          <w:szCs w:val="24"/>
          <w:lang w:val="en-US"/>
        </w:rPr>
        <w:t>1 :</w:t>
      </w:r>
      <w:proofErr w:type="gramEnd"/>
      <w:r w:rsidRPr="004E4857">
        <w:rPr>
          <w:rFonts w:ascii="Times New Roman" w:hAnsi="Times New Roman" w:cs="Times New Roman"/>
          <w:sz w:val="24"/>
          <w:szCs w:val="24"/>
          <w:lang w:val="en-US"/>
        </w:rPr>
        <w:t xml:space="preserve"> glucagon-like peptide-1. </w:t>
      </w:r>
      <w:proofErr w:type="gramStart"/>
      <w:r w:rsidRPr="004E4857">
        <w:rPr>
          <w:rFonts w:ascii="Times New Roman" w:hAnsi="Times New Roman" w:cs="Times New Roman"/>
          <w:sz w:val="24"/>
          <w:szCs w:val="24"/>
          <w:lang w:val="en-US"/>
        </w:rPr>
        <w:t>GIP :</w:t>
      </w:r>
      <w:proofErr w:type="gramEnd"/>
      <w:r w:rsidRPr="004E4857">
        <w:rPr>
          <w:rFonts w:ascii="Times New Roman" w:hAnsi="Times New Roman" w:cs="Times New Roman"/>
          <w:sz w:val="24"/>
          <w:szCs w:val="24"/>
          <w:lang w:val="en-US"/>
        </w:rPr>
        <w:t xml:space="preserve"> glucose-dependent insulinotropic polypeptide. </w:t>
      </w:r>
      <w:proofErr w:type="gramStart"/>
      <w:r w:rsidRPr="004E4857">
        <w:rPr>
          <w:rFonts w:ascii="Times New Roman" w:hAnsi="Times New Roman" w:cs="Times New Roman"/>
          <w:sz w:val="24"/>
          <w:szCs w:val="24"/>
          <w:lang w:val="en-US"/>
        </w:rPr>
        <w:t>LAR :</w:t>
      </w:r>
      <w:proofErr w:type="gramEnd"/>
      <w:r w:rsidRPr="004E4857">
        <w:rPr>
          <w:rFonts w:ascii="Times New Roman" w:hAnsi="Times New Roman" w:cs="Times New Roman"/>
          <w:sz w:val="24"/>
          <w:szCs w:val="24"/>
          <w:lang w:val="en-US"/>
        </w:rPr>
        <w:t xml:space="preserve"> long-acting release. </w:t>
      </w:r>
      <w:proofErr w:type="gramStart"/>
      <w:r w:rsidRPr="004E4857">
        <w:rPr>
          <w:rFonts w:ascii="Times New Roman" w:hAnsi="Times New Roman" w:cs="Times New Roman"/>
          <w:sz w:val="24"/>
          <w:szCs w:val="24"/>
          <w:lang w:val="en-US"/>
        </w:rPr>
        <w:t>RA :</w:t>
      </w:r>
      <w:proofErr w:type="gramEnd"/>
      <w:r w:rsidRPr="004E4857">
        <w:rPr>
          <w:rFonts w:ascii="Times New Roman" w:hAnsi="Times New Roman" w:cs="Times New Roman"/>
          <w:sz w:val="24"/>
          <w:szCs w:val="24"/>
          <w:lang w:val="en-US"/>
        </w:rPr>
        <w:t xml:space="preserve"> receptor agonist. </w:t>
      </w:r>
      <w:proofErr w:type="gramStart"/>
      <w:r w:rsidRPr="004E4857">
        <w:rPr>
          <w:rFonts w:ascii="Times New Roman" w:hAnsi="Times New Roman" w:cs="Times New Roman"/>
          <w:sz w:val="24"/>
          <w:szCs w:val="24"/>
          <w:lang w:val="en-US"/>
        </w:rPr>
        <w:t>Sc :</w:t>
      </w:r>
      <w:proofErr w:type="gramEnd"/>
      <w:r w:rsidRPr="004E4857">
        <w:rPr>
          <w:rFonts w:ascii="Times New Roman" w:hAnsi="Times New Roman" w:cs="Times New Roman"/>
          <w:sz w:val="24"/>
          <w:szCs w:val="24"/>
          <w:lang w:val="en-US"/>
        </w:rPr>
        <w:t xml:space="preserve"> subcutaneous.</w:t>
      </w:r>
    </w:p>
    <w:p w:rsidR="00CB574E" w:rsidRDefault="00CB574E"/>
    <w:sectPr w:rsidR="00CB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aker2Lancet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ardingText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dvOTdd63dae3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alaLancetPro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0DF0"/>
    <w:multiLevelType w:val="hybridMultilevel"/>
    <w:tmpl w:val="B3EAB8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94E99"/>
    <w:multiLevelType w:val="multilevel"/>
    <w:tmpl w:val="EF7C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74196C"/>
    <w:multiLevelType w:val="hybridMultilevel"/>
    <w:tmpl w:val="23980344"/>
    <w:lvl w:ilvl="0" w:tplc="DD76A5CC">
      <w:start w:val="1"/>
      <w:numFmt w:val="decimal"/>
      <w:lvlText w:val="(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32392"/>
    <w:rsid w:val="001B049F"/>
    <w:rsid w:val="003E5816"/>
    <w:rsid w:val="00615347"/>
    <w:rsid w:val="007B7FBD"/>
    <w:rsid w:val="00832392"/>
    <w:rsid w:val="00CB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00B9"/>
  <w15:chartTrackingRefBased/>
  <w15:docId w15:val="{89FE12FD-EC2C-4394-87DC-8EFB79BD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392"/>
  </w:style>
  <w:style w:type="paragraph" w:styleId="Titre1">
    <w:name w:val="heading 1"/>
    <w:basedOn w:val="Normal"/>
    <w:link w:val="Titre1Car"/>
    <w:uiPriority w:val="9"/>
    <w:qFormat/>
    <w:rsid w:val="00832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unhideWhenUsed/>
    <w:rsid w:val="0083239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832392"/>
  </w:style>
  <w:style w:type="character" w:customStyle="1" w:styleId="Titre1Car">
    <w:name w:val="Titre 1 Car"/>
    <w:basedOn w:val="Policepardfaut"/>
    <w:link w:val="Titre1"/>
    <w:uiPriority w:val="9"/>
    <w:rsid w:val="00832392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customStyle="1" w:styleId="EndNoteBibliographyTitle">
    <w:name w:val="EndNote Bibliography Title"/>
    <w:basedOn w:val="Normal"/>
    <w:link w:val="EndNoteBibliographyTitleCar"/>
    <w:rsid w:val="0083239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83239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832392"/>
    <w:pPr>
      <w:spacing w:line="240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832392"/>
    <w:rPr>
      <w:rFonts w:ascii="Calibri" w:hAnsi="Calibri" w:cs="Calibri"/>
      <w:noProof/>
      <w:lang w:val="en-US"/>
    </w:rPr>
  </w:style>
  <w:style w:type="character" w:styleId="lev">
    <w:name w:val="Strong"/>
    <w:basedOn w:val="Policepardfaut"/>
    <w:uiPriority w:val="22"/>
    <w:qFormat/>
    <w:rsid w:val="00832392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832392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832392"/>
  </w:style>
  <w:style w:type="paragraph" w:styleId="Sous-titre">
    <w:name w:val="Subtitle"/>
    <w:basedOn w:val="Normal"/>
    <w:link w:val="Sous-titreCar"/>
    <w:qFormat/>
    <w:rsid w:val="00832392"/>
    <w:pPr>
      <w:tabs>
        <w:tab w:val="center" w:pos="4819"/>
      </w:tabs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-3"/>
      <w:sz w:val="24"/>
      <w:szCs w:val="24"/>
      <w:lang w:val="en-GB" w:eastAsia="fr-FR"/>
    </w:rPr>
  </w:style>
  <w:style w:type="character" w:customStyle="1" w:styleId="Sous-titreCar">
    <w:name w:val="Sous-titre Car"/>
    <w:basedOn w:val="Policepardfaut"/>
    <w:link w:val="Sous-titre"/>
    <w:rsid w:val="00832392"/>
    <w:rPr>
      <w:rFonts w:ascii="Times New Roman" w:eastAsia="Times New Roman" w:hAnsi="Times New Roman" w:cs="Times New Roman"/>
      <w:b/>
      <w:spacing w:val="-3"/>
      <w:sz w:val="24"/>
      <w:szCs w:val="24"/>
      <w:lang w:val="en-GB" w:eastAsia="fr-FR"/>
    </w:rPr>
  </w:style>
  <w:style w:type="table" w:styleId="Grilledutableau">
    <w:name w:val="Table Grid"/>
    <w:basedOn w:val="TableauNormal"/>
    <w:uiPriority w:val="39"/>
    <w:rsid w:val="0083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32392"/>
    <w:rPr>
      <w:color w:val="0000FF"/>
      <w:u w:val="single"/>
    </w:rPr>
  </w:style>
  <w:style w:type="character" w:customStyle="1" w:styleId="cit">
    <w:name w:val="cit"/>
    <w:basedOn w:val="Policepardfaut"/>
    <w:rsid w:val="007B7FBD"/>
  </w:style>
  <w:style w:type="character" w:customStyle="1" w:styleId="citation-doi">
    <w:name w:val="citation-doi"/>
    <w:basedOn w:val="Policepardfaut"/>
    <w:rsid w:val="007B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1357</Words>
  <Characters>8239</Characters>
  <Application>Microsoft Office Word</Application>
  <DocSecurity>0</DocSecurity>
  <Lines>144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UDIMED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Scheen</dc:creator>
  <cp:keywords/>
  <dc:description/>
  <cp:lastModifiedBy>Andre Scheen</cp:lastModifiedBy>
  <cp:revision>4</cp:revision>
  <dcterms:created xsi:type="dcterms:W3CDTF">2025-07-07T05:23:00Z</dcterms:created>
  <dcterms:modified xsi:type="dcterms:W3CDTF">2025-07-07T09:17:00Z</dcterms:modified>
</cp:coreProperties>
</file>