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2EFD" w14:textId="77777777" w:rsidR="007E282B" w:rsidRPr="002D3559" w:rsidRDefault="007E282B" w:rsidP="00820A7F">
      <w:pPr>
        <w:jc w:val="center"/>
        <w:rPr>
          <w:rFonts w:ascii="Times New Roman" w:hAnsi="Times New Roman" w:cs="Times New Roman"/>
          <w:b/>
          <w:sz w:val="40"/>
          <w:szCs w:val="40"/>
          <w:lang w:val="fr-FR"/>
        </w:rPr>
      </w:pPr>
      <w:r w:rsidRPr="002D3559">
        <w:rPr>
          <w:rFonts w:ascii="Times New Roman" w:hAnsi="Times New Roman" w:cs="Times New Roman"/>
          <w:b/>
          <w:sz w:val="40"/>
          <w:szCs w:val="40"/>
          <w:lang w:val="fr-FR"/>
        </w:rPr>
        <w:t>L’IMAGE DU MOIS</w:t>
      </w:r>
    </w:p>
    <w:p w14:paraId="6FDF5F99" w14:textId="77777777" w:rsidR="007E282B" w:rsidRDefault="007E282B" w:rsidP="00820A7F">
      <w:pPr>
        <w:jc w:val="center"/>
        <w:rPr>
          <w:lang w:val="fr-FR"/>
        </w:rPr>
      </w:pPr>
    </w:p>
    <w:p w14:paraId="6763708F" w14:textId="77777777" w:rsidR="007E282B" w:rsidRDefault="007E282B" w:rsidP="00820A7F">
      <w:pPr>
        <w:jc w:val="center"/>
        <w:rPr>
          <w:rFonts w:ascii="Times New Roman" w:hAnsi="Times New Roman" w:cs="Times New Roman"/>
          <w:b/>
          <w:sz w:val="32"/>
          <w:szCs w:val="32"/>
          <w:lang w:val="fr-FR"/>
        </w:rPr>
      </w:pPr>
      <w:r>
        <w:rPr>
          <w:rFonts w:ascii="Times New Roman" w:hAnsi="Times New Roman" w:cs="Times New Roman"/>
          <w:b/>
          <w:sz w:val="32"/>
          <w:szCs w:val="32"/>
          <w:lang w:val="fr-FR"/>
        </w:rPr>
        <w:t>Evolution dans la p</w:t>
      </w:r>
      <w:r w:rsidRPr="002D3559">
        <w:rPr>
          <w:rFonts w:ascii="Times New Roman" w:hAnsi="Times New Roman" w:cs="Times New Roman"/>
          <w:b/>
          <w:sz w:val="32"/>
          <w:szCs w:val="32"/>
          <w:lang w:val="fr-FR"/>
        </w:rPr>
        <w:t>rise en charge du diabète de type 2</w:t>
      </w:r>
    </w:p>
    <w:p w14:paraId="6CE20114" w14:textId="77777777" w:rsidR="007E282B" w:rsidRDefault="007E282B" w:rsidP="00820A7F">
      <w:pPr>
        <w:tabs>
          <w:tab w:val="center" w:pos="4513"/>
        </w:tabs>
        <w:suppressAutoHyphens/>
        <w:spacing w:line="360" w:lineRule="auto"/>
        <w:jc w:val="center"/>
        <w:outlineLvl w:val="0"/>
        <w:rPr>
          <w:rFonts w:ascii="Times New Roman" w:hAnsi="Times New Roman" w:cs="Times New Roman"/>
          <w:b/>
          <w:bCs/>
          <w:spacing w:val="-3"/>
          <w:sz w:val="24"/>
          <w:szCs w:val="24"/>
        </w:rPr>
      </w:pPr>
    </w:p>
    <w:p w14:paraId="35504205" w14:textId="77777777" w:rsidR="007E282B" w:rsidRPr="00454BFE" w:rsidRDefault="007E282B" w:rsidP="00820A7F">
      <w:pPr>
        <w:tabs>
          <w:tab w:val="center" w:pos="4513"/>
        </w:tabs>
        <w:suppressAutoHyphens/>
        <w:spacing w:line="360" w:lineRule="auto"/>
        <w:jc w:val="center"/>
        <w:outlineLvl w:val="0"/>
        <w:rPr>
          <w:rFonts w:ascii="Times New Roman" w:hAnsi="Times New Roman" w:cs="Times New Roman"/>
          <w:spacing w:val="-3"/>
          <w:sz w:val="24"/>
          <w:szCs w:val="24"/>
        </w:rPr>
      </w:pPr>
      <w:r w:rsidRPr="00454BFE">
        <w:rPr>
          <w:rFonts w:ascii="Times New Roman" w:hAnsi="Times New Roman" w:cs="Times New Roman"/>
          <w:b/>
          <w:bCs/>
          <w:spacing w:val="-3"/>
          <w:sz w:val="24"/>
          <w:szCs w:val="24"/>
        </w:rPr>
        <w:t>André J. Scheen (1</w:t>
      </w:r>
      <w:r>
        <w:rPr>
          <w:rFonts w:ascii="Times New Roman" w:hAnsi="Times New Roman" w:cs="Times New Roman"/>
          <w:b/>
          <w:bCs/>
          <w:spacing w:val="-3"/>
          <w:sz w:val="24"/>
          <w:szCs w:val="24"/>
        </w:rPr>
        <w:t>,2</w:t>
      </w:r>
      <w:r w:rsidRPr="00454BFE">
        <w:rPr>
          <w:rFonts w:ascii="Times New Roman" w:hAnsi="Times New Roman" w:cs="Times New Roman"/>
          <w:b/>
          <w:bCs/>
          <w:spacing w:val="-3"/>
          <w:sz w:val="24"/>
          <w:szCs w:val="24"/>
        </w:rPr>
        <w:t>)</w:t>
      </w:r>
    </w:p>
    <w:p w14:paraId="63018711" w14:textId="77777777" w:rsidR="007E282B" w:rsidRPr="00454BFE" w:rsidRDefault="007E282B" w:rsidP="002D3559">
      <w:pPr>
        <w:tabs>
          <w:tab w:val="left" w:pos="-720"/>
          <w:tab w:val="left" w:pos="1843"/>
        </w:tabs>
        <w:suppressAutoHyphens/>
        <w:spacing w:line="360" w:lineRule="auto"/>
        <w:rPr>
          <w:rFonts w:ascii="Times New Roman" w:hAnsi="Times New Roman" w:cs="Times New Roman"/>
          <w:sz w:val="24"/>
          <w:szCs w:val="24"/>
        </w:rPr>
      </w:pPr>
    </w:p>
    <w:p w14:paraId="4CA77B6E" w14:textId="77777777" w:rsidR="007E282B" w:rsidRPr="00454BFE" w:rsidRDefault="007E282B" w:rsidP="002D3559">
      <w:pPr>
        <w:tabs>
          <w:tab w:val="left" w:pos="-720"/>
          <w:tab w:val="left" w:pos="1843"/>
        </w:tabs>
        <w:suppressAutoHyphens/>
        <w:spacing w:line="360" w:lineRule="auto"/>
        <w:rPr>
          <w:rFonts w:ascii="Times New Roman" w:hAnsi="Times New Roman" w:cs="Times New Roman"/>
          <w:sz w:val="24"/>
          <w:szCs w:val="24"/>
        </w:rPr>
      </w:pPr>
    </w:p>
    <w:p w14:paraId="50370626" w14:textId="77777777" w:rsidR="007E282B" w:rsidRDefault="007E282B" w:rsidP="002D3559">
      <w:pPr>
        <w:pStyle w:val="Paragraphedeliste"/>
        <w:numPr>
          <w:ilvl w:val="0"/>
          <w:numId w:val="1"/>
        </w:numPr>
        <w:tabs>
          <w:tab w:val="left" w:pos="-720"/>
          <w:tab w:val="left" w:pos="1843"/>
        </w:tabs>
        <w:suppressAutoHyphens/>
        <w:spacing w:line="360" w:lineRule="auto"/>
        <w:rPr>
          <w:rFonts w:ascii="Times New Roman" w:hAnsi="Times New Roman" w:cs="Times New Roman"/>
          <w:sz w:val="24"/>
          <w:szCs w:val="24"/>
        </w:rPr>
      </w:pPr>
      <w:r w:rsidRPr="00454BFE">
        <w:rPr>
          <w:rFonts w:ascii="Times New Roman" w:hAnsi="Times New Roman" w:cs="Times New Roman"/>
          <w:sz w:val="24"/>
          <w:szCs w:val="24"/>
        </w:rPr>
        <w:t>Service de Diabétologie, Nutrition et Maladies métaboliques</w:t>
      </w:r>
      <w:r>
        <w:rPr>
          <w:rFonts w:ascii="Times New Roman" w:hAnsi="Times New Roman" w:cs="Times New Roman"/>
          <w:sz w:val="24"/>
          <w:szCs w:val="24"/>
        </w:rPr>
        <w:t>, CHU Liège, Belgique</w:t>
      </w:r>
    </w:p>
    <w:p w14:paraId="69F3BBD0" w14:textId="77777777" w:rsidR="007E282B" w:rsidRPr="0044210F" w:rsidRDefault="007E282B" w:rsidP="002D3559">
      <w:pPr>
        <w:pStyle w:val="Paragraphedeliste"/>
        <w:numPr>
          <w:ilvl w:val="0"/>
          <w:numId w:val="1"/>
        </w:numPr>
        <w:tabs>
          <w:tab w:val="left" w:pos="-720"/>
          <w:tab w:val="left" w:pos="1843"/>
        </w:tabs>
        <w:suppressAutoHyphens/>
        <w:spacing w:line="360" w:lineRule="auto"/>
        <w:rPr>
          <w:rFonts w:ascii="Times New Roman" w:hAnsi="Times New Roman" w:cs="Times New Roman"/>
          <w:sz w:val="24"/>
          <w:szCs w:val="24"/>
        </w:rPr>
      </w:pPr>
      <w:r w:rsidRPr="00454BFE">
        <w:rPr>
          <w:rFonts w:ascii="Times New Roman" w:hAnsi="Times New Roman" w:cs="Times New Roman"/>
          <w:sz w:val="24"/>
          <w:szCs w:val="24"/>
        </w:rPr>
        <w:t>Unité de Pharmacologie clinique,</w:t>
      </w:r>
      <w:r>
        <w:rPr>
          <w:rFonts w:ascii="Times New Roman" w:hAnsi="Times New Roman" w:cs="Times New Roman"/>
          <w:sz w:val="24"/>
          <w:szCs w:val="24"/>
        </w:rPr>
        <w:t xml:space="preserve"> Centre Interdisciplinaire de Recherche sur le Médicament (CIRM)</w:t>
      </w:r>
      <w:r w:rsidRPr="0044210F">
        <w:rPr>
          <w:rFonts w:ascii="Times New Roman" w:hAnsi="Times New Roman" w:cs="Times New Roman"/>
          <w:sz w:val="24"/>
          <w:szCs w:val="24"/>
        </w:rPr>
        <w:t xml:space="preserve">, Liège </w:t>
      </w:r>
      <w:r w:rsidRPr="00454BFE">
        <w:rPr>
          <w:rFonts w:ascii="Times New Roman" w:hAnsi="Times New Roman" w:cs="Times New Roman"/>
          <w:sz w:val="24"/>
          <w:szCs w:val="24"/>
        </w:rPr>
        <w:t>Université</w:t>
      </w:r>
      <w:r>
        <w:rPr>
          <w:rFonts w:ascii="Times New Roman" w:hAnsi="Times New Roman" w:cs="Times New Roman"/>
          <w:sz w:val="24"/>
          <w:szCs w:val="24"/>
        </w:rPr>
        <w:t>, Belgique</w:t>
      </w:r>
    </w:p>
    <w:p w14:paraId="46791CDD" w14:textId="77777777" w:rsidR="007E282B" w:rsidRPr="00454BFE" w:rsidRDefault="007E282B" w:rsidP="002D3559">
      <w:pPr>
        <w:tabs>
          <w:tab w:val="left" w:pos="-720"/>
          <w:tab w:val="left" w:pos="0"/>
        </w:tabs>
        <w:suppressAutoHyphens/>
        <w:spacing w:line="360" w:lineRule="auto"/>
        <w:ind w:left="60"/>
        <w:jc w:val="both"/>
        <w:rPr>
          <w:rFonts w:ascii="Times New Roman" w:hAnsi="Times New Roman" w:cs="Times New Roman"/>
          <w:spacing w:val="-3"/>
          <w:sz w:val="24"/>
          <w:szCs w:val="24"/>
        </w:rPr>
      </w:pPr>
    </w:p>
    <w:p w14:paraId="2F551F41" w14:textId="77777777" w:rsidR="007E282B" w:rsidRPr="005671DA" w:rsidRDefault="007E282B" w:rsidP="002D3559">
      <w:pPr>
        <w:tabs>
          <w:tab w:val="left" w:pos="-720"/>
        </w:tabs>
        <w:suppressAutoHyphens/>
        <w:spacing w:line="360" w:lineRule="auto"/>
        <w:jc w:val="both"/>
        <w:rPr>
          <w:rFonts w:ascii="Times New Roman" w:hAnsi="Times New Roman" w:cs="Times New Roman"/>
          <w:spacing w:val="-3"/>
          <w:sz w:val="24"/>
          <w:szCs w:val="24"/>
        </w:rPr>
      </w:pPr>
      <w:r w:rsidRPr="005671DA">
        <w:rPr>
          <w:rFonts w:ascii="Times New Roman" w:hAnsi="Times New Roman" w:cs="Times New Roman"/>
          <w:spacing w:val="-3"/>
          <w:sz w:val="24"/>
          <w:szCs w:val="24"/>
        </w:rPr>
        <w:t xml:space="preserve">Adresse pour la correspondance : </w:t>
      </w:r>
    </w:p>
    <w:p w14:paraId="6F9CD9B3" w14:textId="77777777" w:rsidR="007E282B" w:rsidRPr="005671DA" w:rsidRDefault="007E282B" w:rsidP="002D3559">
      <w:pPr>
        <w:tabs>
          <w:tab w:val="left" w:pos="-720"/>
        </w:tabs>
        <w:suppressAutoHyphens/>
        <w:spacing w:line="360" w:lineRule="auto"/>
        <w:jc w:val="both"/>
        <w:rPr>
          <w:rFonts w:ascii="Times New Roman" w:hAnsi="Times New Roman" w:cs="Times New Roman"/>
          <w:spacing w:val="-3"/>
          <w:sz w:val="24"/>
          <w:szCs w:val="24"/>
        </w:rPr>
      </w:pPr>
      <w:r w:rsidRPr="005671DA">
        <w:rPr>
          <w:rFonts w:ascii="Times New Roman" w:hAnsi="Times New Roman" w:cs="Times New Roman"/>
          <w:spacing w:val="-3"/>
          <w:sz w:val="24"/>
          <w:szCs w:val="24"/>
        </w:rPr>
        <w:t xml:space="preserve">Pr A.J. Scheen </w:t>
      </w:r>
    </w:p>
    <w:p w14:paraId="6F58A71A" w14:textId="77777777" w:rsidR="007E282B" w:rsidRPr="005671DA" w:rsidRDefault="007E282B" w:rsidP="002D3559">
      <w:pPr>
        <w:tabs>
          <w:tab w:val="left" w:pos="-720"/>
        </w:tabs>
        <w:suppressAutoHyphens/>
        <w:spacing w:line="360" w:lineRule="auto"/>
        <w:jc w:val="both"/>
        <w:rPr>
          <w:rFonts w:ascii="Times New Roman" w:hAnsi="Times New Roman" w:cs="Times New Roman"/>
          <w:spacing w:val="-3"/>
          <w:sz w:val="24"/>
          <w:szCs w:val="24"/>
        </w:rPr>
      </w:pPr>
      <w:r w:rsidRPr="005671DA">
        <w:rPr>
          <w:rFonts w:ascii="Times New Roman" w:hAnsi="Times New Roman" w:cs="Times New Roman"/>
          <w:spacing w:val="-3"/>
          <w:sz w:val="24"/>
          <w:szCs w:val="24"/>
        </w:rPr>
        <w:t xml:space="preserve">Service de Diabétologie, Nutrition et Maladies métaboliques, </w:t>
      </w:r>
    </w:p>
    <w:p w14:paraId="370F930C" w14:textId="77777777" w:rsidR="007E282B" w:rsidRPr="005671DA" w:rsidRDefault="007E282B" w:rsidP="002D3559">
      <w:pPr>
        <w:tabs>
          <w:tab w:val="left" w:pos="-720"/>
        </w:tabs>
        <w:suppressAutoHyphens/>
        <w:spacing w:line="360" w:lineRule="auto"/>
        <w:jc w:val="both"/>
        <w:rPr>
          <w:rFonts w:ascii="Times New Roman" w:hAnsi="Times New Roman" w:cs="Times New Roman"/>
          <w:spacing w:val="-3"/>
          <w:sz w:val="24"/>
          <w:szCs w:val="24"/>
        </w:rPr>
      </w:pPr>
      <w:r w:rsidRPr="005671DA">
        <w:rPr>
          <w:rFonts w:ascii="Times New Roman" w:hAnsi="Times New Roman" w:cs="Times New Roman"/>
          <w:spacing w:val="-3"/>
          <w:sz w:val="24"/>
          <w:szCs w:val="24"/>
        </w:rPr>
        <w:t>CHU Sart Tilman, 4000 Liège, Belgique</w:t>
      </w:r>
    </w:p>
    <w:p w14:paraId="6B88FDE9" w14:textId="77777777" w:rsidR="007E282B" w:rsidRPr="005671DA" w:rsidRDefault="007E282B" w:rsidP="002D3559">
      <w:pPr>
        <w:tabs>
          <w:tab w:val="left" w:pos="-720"/>
        </w:tabs>
        <w:suppressAutoHyphens/>
        <w:spacing w:line="360" w:lineRule="auto"/>
        <w:jc w:val="both"/>
        <w:rPr>
          <w:rFonts w:ascii="Times New Roman" w:hAnsi="Times New Roman" w:cs="Times New Roman"/>
          <w:spacing w:val="-3"/>
          <w:sz w:val="24"/>
          <w:szCs w:val="24"/>
        </w:rPr>
      </w:pPr>
      <w:r w:rsidRPr="005671DA">
        <w:rPr>
          <w:rFonts w:ascii="Times New Roman" w:hAnsi="Times New Roman" w:cs="Times New Roman"/>
          <w:spacing w:val="-3"/>
          <w:sz w:val="24"/>
          <w:szCs w:val="24"/>
        </w:rPr>
        <w:t xml:space="preserve">Email : andre.scheen@chuliege.be </w:t>
      </w:r>
    </w:p>
    <w:p w14:paraId="0181C996" w14:textId="77777777" w:rsidR="007E282B" w:rsidRDefault="007E282B">
      <w:pPr>
        <w:rPr>
          <w:rFonts w:ascii="Times New Roman" w:hAnsi="Times New Roman" w:cs="Times New Roman"/>
          <w:b/>
          <w:sz w:val="32"/>
          <w:szCs w:val="32"/>
        </w:rPr>
      </w:pPr>
      <w:r>
        <w:rPr>
          <w:rFonts w:ascii="Times New Roman" w:hAnsi="Times New Roman" w:cs="Times New Roman"/>
          <w:b/>
          <w:sz w:val="32"/>
          <w:szCs w:val="32"/>
        </w:rPr>
        <w:t>Résumé</w:t>
      </w:r>
    </w:p>
    <w:p w14:paraId="6B1F2F5E" w14:textId="77777777" w:rsidR="007E282B" w:rsidRDefault="007E282B">
      <w:pPr>
        <w:rPr>
          <w:rFonts w:ascii="Times New Roman" w:hAnsi="Times New Roman" w:cs="Times New Roman"/>
          <w:b/>
          <w:sz w:val="32"/>
          <w:szCs w:val="32"/>
        </w:rPr>
      </w:pPr>
    </w:p>
    <w:p w14:paraId="26692BFA" w14:textId="77777777" w:rsidR="007E282B" w:rsidRDefault="007E282B" w:rsidP="00093DF3">
      <w:pPr>
        <w:spacing w:line="360" w:lineRule="auto"/>
        <w:rPr>
          <w:rFonts w:ascii="Times New Roman" w:hAnsi="Times New Roman" w:cs="Times New Roman"/>
          <w:sz w:val="24"/>
          <w:szCs w:val="24"/>
        </w:rPr>
      </w:pPr>
      <w:r w:rsidRPr="001A03C0">
        <w:rPr>
          <w:rFonts w:ascii="Times New Roman" w:hAnsi="Times New Roman" w:cs="Times New Roman"/>
          <w:sz w:val="24"/>
          <w:szCs w:val="24"/>
        </w:rPr>
        <w:t>La prise en charge du diabète de type 2 a considérablement évolué au cours des dernières décennies. Cet article résume trois étapes clé</w:t>
      </w:r>
      <w:r>
        <w:rPr>
          <w:rFonts w:ascii="Times New Roman" w:hAnsi="Times New Roman" w:cs="Times New Roman"/>
          <w:sz w:val="24"/>
          <w:szCs w:val="24"/>
        </w:rPr>
        <w:t xml:space="preserve"> successives </w:t>
      </w:r>
      <w:r w:rsidRPr="001A03C0">
        <w:rPr>
          <w:rFonts w:ascii="Times New Roman" w:hAnsi="Times New Roman" w:cs="Times New Roman"/>
          <w:sz w:val="24"/>
          <w:szCs w:val="24"/>
        </w:rPr>
        <w:t xml:space="preserve">: la cible </w:t>
      </w:r>
      <w:proofErr w:type="spellStart"/>
      <w:r w:rsidRPr="001A03C0">
        <w:rPr>
          <w:rFonts w:ascii="Times New Roman" w:hAnsi="Times New Roman" w:cs="Times New Roman"/>
          <w:sz w:val="24"/>
          <w:szCs w:val="24"/>
        </w:rPr>
        <w:t>glucocentrique</w:t>
      </w:r>
      <w:proofErr w:type="spellEnd"/>
      <w:r w:rsidRPr="001A03C0">
        <w:rPr>
          <w:rFonts w:ascii="Times New Roman" w:hAnsi="Times New Roman" w:cs="Times New Roman"/>
          <w:sz w:val="24"/>
          <w:szCs w:val="24"/>
        </w:rPr>
        <w:t>, l’approche</w:t>
      </w:r>
      <w:proofErr w:type="gramStart"/>
      <w:r w:rsidRPr="001A03C0">
        <w:rPr>
          <w:rFonts w:ascii="Times New Roman" w:hAnsi="Times New Roman" w:cs="Times New Roman"/>
          <w:sz w:val="24"/>
          <w:szCs w:val="24"/>
        </w:rPr>
        <w:t xml:space="preserve"> </w:t>
      </w:r>
      <w:r w:rsidR="001804E5">
        <w:rPr>
          <w:rFonts w:ascii="Times New Roman" w:hAnsi="Times New Roman" w:cs="Times New Roman"/>
          <w:sz w:val="24"/>
          <w:szCs w:val="24"/>
        </w:rPr>
        <w:t>«</w:t>
      </w:r>
      <w:proofErr w:type="spellStart"/>
      <w:r w:rsidRPr="001A03C0">
        <w:rPr>
          <w:rFonts w:ascii="Times New Roman" w:hAnsi="Times New Roman" w:cs="Times New Roman"/>
          <w:sz w:val="24"/>
          <w:szCs w:val="24"/>
        </w:rPr>
        <w:t>multi</w:t>
      </w:r>
      <w:proofErr w:type="gramEnd"/>
      <w:r w:rsidRPr="001A03C0">
        <w:rPr>
          <w:rFonts w:ascii="Times New Roman" w:hAnsi="Times New Roman" w:cs="Times New Roman"/>
          <w:sz w:val="24"/>
          <w:szCs w:val="24"/>
        </w:rPr>
        <w:t>-</w:t>
      </w:r>
      <w:proofErr w:type="gramStart"/>
      <w:r w:rsidRPr="001A03C0">
        <w:rPr>
          <w:rFonts w:ascii="Times New Roman" w:hAnsi="Times New Roman" w:cs="Times New Roman"/>
          <w:sz w:val="24"/>
          <w:szCs w:val="24"/>
        </w:rPr>
        <w:t>risques</w:t>
      </w:r>
      <w:proofErr w:type="spellEnd"/>
      <w:r w:rsidR="001804E5">
        <w:rPr>
          <w:rFonts w:ascii="Times New Roman" w:hAnsi="Times New Roman" w:cs="Times New Roman"/>
          <w:sz w:val="24"/>
          <w:szCs w:val="24"/>
        </w:rPr>
        <w:t>»</w:t>
      </w:r>
      <w:proofErr w:type="gramEnd"/>
      <w:r w:rsidRPr="001A03C0">
        <w:rPr>
          <w:rFonts w:ascii="Times New Roman" w:hAnsi="Times New Roman" w:cs="Times New Roman"/>
          <w:sz w:val="24"/>
          <w:szCs w:val="24"/>
        </w:rPr>
        <w:t xml:space="preserve"> et la stratégie protection d’organes. </w:t>
      </w:r>
    </w:p>
    <w:p w14:paraId="2BC8DA62" w14:textId="77777777" w:rsidR="007E282B" w:rsidRPr="00954CA3" w:rsidRDefault="007E282B" w:rsidP="00093DF3">
      <w:pPr>
        <w:spacing w:line="360" w:lineRule="auto"/>
        <w:rPr>
          <w:rFonts w:ascii="Times New Roman" w:hAnsi="Times New Roman" w:cs="Times New Roman"/>
          <w:sz w:val="24"/>
          <w:szCs w:val="24"/>
        </w:rPr>
      </w:pPr>
      <w:proofErr w:type="spellStart"/>
      <w:r w:rsidRPr="00954CA3">
        <w:rPr>
          <w:rFonts w:ascii="Times New Roman" w:hAnsi="Times New Roman" w:cs="Times New Roman"/>
          <w:sz w:val="24"/>
          <w:szCs w:val="24"/>
        </w:rPr>
        <w:t>Mots-clé</w:t>
      </w:r>
      <w:proofErr w:type="spellEnd"/>
      <w:r w:rsidRPr="00954CA3">
        <w:rPr>
          <w:rFonts w:ascii="Times New Roman" w:hAnsi="Times New Roman" w:cs="Times New Roman"/>
          <w:sz w:val="24"/>
          <w:szCs w:val="24"/>
        </w:rPr>
        <w:t xml:space="preserve"> : Diabète de t</w:t>
      </w:r>
      <w:r>
        <w:rPr>
          <w:rFonts w:ascii="Times New Roman" w:hAnsi="Times New Roman" w:cs="Times New Roman"/>
          <w:sz w:val="24"/>
          <w:szCs w:val="24"/>
        </w:rPr>
        <w:t>ype 2 – HbA1c – Facteurs de risque cardiovasculaire – Protection d’organes</w:t>
      </w:r>
    </w:p>
    <w:p w14:paraId="536E9CCB" w14:textId="77777777" w:rsidR="007E282B" w:rsidRPr="00093DF3" w:rsidRDefault="007E282B">
      <w:pPr>
        <w:rPr>
          <w:rFonts w:ascii="Times New Roman" w:hAnsi="Times New Roman" w:cs="Times New Roman"/>
          <w:sz w:val="24"/>
          <w:szCs w:val="24"/>
        </w:rPr>
      </w:pPr>
    </w:p>
    <w:p w14:paraId="5582049E" w14:textId="77777777" w:rsidR="007E282B" w:rsidRPr="00093DF3" w:rsidRDefault="007E282B">
      <w:pPr>
        <w:rPr>
          <w:rFonts w:ascii="Times New Roman" w:hAnsi="Times New Roman" w:cs="Times New Roman"/>
          <w:b/>
          <w:sz w:val="28"/>
          <w:szCs w:val="28"/>
          <w:lang w:val="en-US"/>
        </w:rPr>
      </w:pPr>
      <w:r w:rsidRPr="00093DF3">
        <w:rPr>
          <w:rFonts w:ascii="Times New Roman" w:hAnsi="Times New Roman" w:cs="Times New Roman"/>
          <w:b/>
          <w:sz w:val="28"/>
          <w:szCs w:val="28"/>
          <w:lang w:val="en-US"/>
        </w:rPr>
        <w:t>New paradigm in the management of type 2 diabetes</w:t>
      </w:r>
    </w:p>
    <w:p w14:paraId="77F7F850" w14:textId="77777777" w:rsidR="007E282B" w:rsidRPr="00093DF3" w:rsidRDefault="007E282B">
      <w:pPr>
        <w:rPr>
          <w:rFonts w:ascii="Times New Roman" w:hAnsi="Times New Roman" w:cs="Times New Roman"/>
          <w:b/>
          <w:sz w:val="28"/>
          <w:szCs w:val="28"/>
          <w:lang w:val="en-US"/>
        </w:rPr>
      </w:pPr>
      <w:r w:rsidRPr="00093DF3">
        <w:rPr>
          <w:rFonts w:ascii="Times New Roman" w:hAnsi="Times New Roman" w:cs="Times New Roman"/>
          <w:b/>
          <w:sz w:val="28"/>
          <w:szCs w:val="28"/>
          <w:lang w:val="en-US"/>
        </w:rPr>
        <w:t>Summary</w:t>
      </w:r>
    </w:p>
    <w:p w14:paraId="7EFE09DF" w14:textId="77777777" w:rsidR="007E282B" w:rsidRPr="00093DF3" w:rsidRDefault="007E282B" w:rsidP="00093DF3">
      <w:pPr>
        <w:pStyle w:val="PrformatHTML"/>
        <w:shd w:val="clear" w:color="auto" w:fill="F8F9FA"/>
        <w:spacing w:line="360" w:lineRule="auto"/>
        <w:rPr>
          <w:rFonts w:ascii="Times New Roman" w:hAnsi="Times New Roman" w:cs="Times New Roman"/>
          <w:color w:val="1F1F1F"/>
          <w:sz w:val="24"/>
          <w:szCs w:val="24"/>
          <w:lang w:val="en-US"/>
        </w:rPr>
      </w:pPr>
      <w:r w:rsidRPr="00093DF3">
        <w:rPr>
          <w:rFonts w:ascii="Times New Roman" w:hAnsi="Times New Roman" w:cs="Times New Roman"/>
          <w:sz w:val="24"/>
          <w:szCs w:val="24"/>
          <w:lang w:val="en-US"/>
        </w:rPr>
        <w:t xml:space="preserve">Type 2 diabetes management </w:t>
      </w:r>
      <w:r w:rsidRPr="00093DF3">
        <w:rPr>
          <w:rFonts w:ascii="Times New Roman" w:hAnsi="Times New Roman" w:cs="Times New Roman"/>
          <w:color w:val="1F1F1F"/>
          <w:sz w:val="24"/>
          <w:szCs w:val="24"/>
          <w:lang w:val="en"/>
        </w:rPr>
        <w:t>evolved considerably over the past few decades. The present article summari</w:t>
      </w:r>
      <w:r>
        <w:rPr>
          <w:rFonts w:ascii="Times New Roman" w:hAnsi="Times New Roman" w:cs="Times New Roman"/>
          <w:color w:val="1F1F1F"/>
          <w:sz w:val="24"/>
          <w:szCs w:val="24"/>
          <w:lang w:val="en"/>
        </w:rPr>
        <w:t>ze</w:t>
      </w:r>
      <w:r w:rsidRPr="00093DF3">
        <w:rPr>
          <w:rFonts w:ascii="Times New Roman" w:hAnsi="Times New Roman" w:cs="Times New Roman"/>
          <w:color w:val="1F1F1F"/>
          <w:sz w:val="24"/>
          <w:szCs w:val="24"/>
          <w:lang w:val="en"/>
        </w:rPr>
        <w:t>s three suc</w:t>
      </w:r>
      <w:r>
        <w:rPr>
          <w:rFonts w:ascii="Times New Roman" w:hAnsi="Times New Roman" w:cs="Times New Roman"/>
          <w:color w:val="1F1F1F"/>
          <w:sz w:val="24"/>
          <w:szCs w:val="24"/>
          <w:lang w:val="en"/>
        </w:rPr>
        <w:t>c</w:t>
      </w:r>
      <w:r w:rsidRPr="00093DF3">
        <w:rPr>
          <w:rFonts w:ascii="Times New Roman" w:hAnsi="Times New Roman" w:cs="Times New Roman"/>
          <w:color w:val="1F1F1F"/>
          <w:sz w:val="24"/>
          <w:szCs w:val="24"/>
          <w:lang w:val="en"/>
        </w:rPr>
        <w:t xml:space="preserve">essive key </w:t>
      </w:r>
      <w:proofErr w:type="gramStart"/>
      <w:r w:rsidRPr="00093DF3">
        <w:rPr>
          <w:rFonts w:ascii="Times New Roman" w:hAnsi="Times New Roman" w:cs="Times New Roman"/>
          <w:color w:val="1F1F1F"/>
          <w:sz w:val="24"/>
          <w:szCs w:val="24"/>
          <w:lang w:val="en"/>
        </w:rPr>
        <w:t>steps :</w:t>
      </w:r>
      <w:proofErr w:type="gramEnd"/>
      <w:r w:rsidRPr="00093DF3">
        <w:rPr>
          <w:rFonts w:ascii="Times New Roman" w:hAnsi="Times New Roman" w:cs="Times New Roman"/>
          <w:color w:val="1F1F1F"/>
          <w:sz w:val="24"/>
          <w:szCs w:val="24"/>
          <w:lang w:val="en"/>
        </w:rPr>
        <w:t xml:space="preserve"> the </w:t>
      </w:r>
      <w:proofErr w:type="spellStart"/>
      <w:r w:rsidRPr="00093DF3">
        <w:rPr>
          <w:rFonts w:ascii="Times New Roman" w:hAnsi="Times New Roman" w:cs="Times New Roman"/>
          <w:color w:val="1F1F1F"/>
          <w:sz w:val="24"/>
          <w:szCs w:val="24"/>
          <w:lang w:val="en"/>
        </w:rPr>
        <w:t>glucocentric</w:t>
      </w:r>
      <w:proofErr w:type="spellEnd"/>
      <w:r w:rsidRPr="00093DF3">
        <w:rPr>
          <w:rFonts w:ascii="Times New Roman" w:hAnsi="Times New Roman" w:cs="Times New Roman"/>
          <w:color w:val="1F1F1F"/>
          <w:sz w:val="24"/>
          <w:szCs w:val="24"/>
          <w:lang w:val="en"/>
        </w:rPr>
        <w:t xml:space="preserve"> target, the </w:t>
      </w:r>
      <w:proofErr w:type="spellStart"/>
      <w:r w:rsidRPr="00093DF3">
        <w:rPr>
          <w:rFonts w:ascii="Times New Roman" w:hAnsi="Times New Roman" w:cs="Times New Roman"/>
          <w:color w:val="1F1F1F"/>
          <w:sz w:val="24"/>
          <w:szCs w:val="24"/>
          <w:lang w:val="en"/>
        </w:rPr>
        <w:t>multirisk</w:t>
      </w:r>
      <w:proofErr w:type="spellEnd"/>
      <w:r w:rsidRPr="00093DF3">
        <w:rPr>
          <w:rFonts w:ascii="Times New Roman" w:hAnsi="Times New Roman" w:cs="Times New Roman"/>
          <w:color w:val="1F1F1F"/>
          <w:sz w:val="24"/>
          <w:szCs w:val="24"/>
          <w:lang w:val="en"/>
        </w:rPr>
        <w:t xml:space="preserve"> ap</w:t>
      </w:r>
      <w:r>
        <w:rPr>
          <w:rFonts w:ascii="Times New Roman" w:hAnsi="Times New Roman" w:cs="Times New Roman"/>
          <w:color w:val="1F1F1F"/>
          <w:sz w:val="24"/>
          <w:szCs w:val="24"/>
          <w:lang w:val="en"/>
        </w:rPr>
        <w:t>p</w:t>
      </w:r>
      <w:r w:rsidRPr="00093DF3">
        <w:rPr>
          <w:rFonts w:ascii="Times New Roman" w:hAnsi="Times New Roman" w:cs="Times New Roman"/>
          <w:color w:val="1F1F1F"/>
          <w:sz w:val="24"/>
          <w:szCs w:val="24"/>
          <w:lang w:val="en"/>
        </w:rPr>
        <w:t>roach and the organ protection strategy.</w:t>
      </w:r>
    </w:p>
    <w:p w14:paraId="72CDB71B" w14:textId="77777777" w:rsidR="007E282B" w:rsidRPr="001A03C0" w:rsidRDefault="007E282B" w:rsidP="00093DF3">
      <w:pPr>
        <w:spacing w:line="360" w:lineRule="auto"/>
        <w:rPr>
          <w:rFonts w:ascii="Times New Roman" w:hAnsi="Times New Roman" w:cs="Times New Roman"/>
          <w:sz w:val="24"/>
          <w:szCs w:val="24"/>
          <w:lang w:val="en-US"/>
        </w:rPr>
      </w:pPr>
    </w:p>
    <w:p w14:paraId="58F673D4" w14:textId="77777777" w:rsidR="007E282B" w:rsidRPr="00093DF3" w:rsidRDefault="007E282B" w:rsidP="00093DF3">
      <w:pPr>
        <w:spacing w:line="360" w:lineRule="auto"/>
        <w:rPr>
          <w:rFonts w:ascii="Times New Roman" w:hAnsi="Times New Roman" w:cs="Times New Roman"/>
          <w:sz w:val="24"/>
          <w:szCs w:val="24"/>
          <w:lang w:val="en-US"/>
        </w:rPr>
      </w:pPr>
      <w:r w:rsidRPr="00093DF3">
        <w:rPr>
          <w:rFonts w:ascii="Times New Roman" w:hAnsi="Times New Roman" w:cs="Times New Roman"/>
          <w:sz w:val="24"/>
          <w:szCs w:val="24"/>
          <w:lang w:val="en-US"/>
        </w:rPr>
        <w:t>Key-</w:t>
      </w:r>
      <w:proofErr w:type="gramStart"/>
      <w:r w:rsidRPr="00093DF3">
        <w:rPr>
          <w:rFonts w:ascii="Times New Roman" w:hAnsi="Times New Roman" w:cs="Times New Roman"/>
          <w:sz w:val="24"/>
          <w:szCs w:val="24"/>
          <w:lang w:val="en-US"/>
        </w:rPr>
        <w:t>words :</w:t>
      </w:r>
      <w:proofErr w:type="gramEnd"/>
      <w:r w:rsidRPr="00093DF3">
        <w:rPr>
          <w:rFonts w:ascii="Times New Roman" w:hAnsi="Times New Roman" w:cs="Times New Roman"/>
          <w:sz w:val="24"/>
          <w:szCs w:val="24"/>
          <w:lang w:val="en-US"/>
        </w:rPr>
        <w:t xml:space="preserve"> Cardiovascular risk factors </w:t>
      </w:r>
      <w:r>
        <w:rPr>
          <w:rFonts w:ascii="Times New Roman" w:hAnsi="Times New Roman" w:cs="Times New Roman"/>
          <w:sz w:val="24"/>
          <w:szCs w:val="24"/>
          <w:lang w:val="en-US"/>
        </w:rPr>
        <w:t xml:space="preserve">– </w:t>
      </w:r>
      <w:r w:rsidRPr="00093DF3">
        <w:rPr>
          <w:rFonts w:ascii="Times New Roman" w:hAnsi="Times New Roman" w:cs="Times New Roman"/>
          <w:sz w:val="24"/>
          <w:szCs w:val="24"/>
          <w:lang w:val="en-US"/>
        </w:rPr>
        <w:t>HbA</w:t>
      </w:r>
      <w:r w:rsidRPr="001804E5">
        <w:rPr>
          <w:rFonts w:ascii="Times New Roman" w:hAnsi="Times New Roman" w:cs="Times New Roman"/>
          <w:sz w:val="24"/>
          <w:szCs w:val="24"/>
          <w:vertAlign w:val="subscript"/>
          <w:lang w:val="en-US"/>
        </w:rPr>
        <w:t>1c</w:t>
      </w:r>
      <w:r w:rsidRPr="00093DF3">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Organ protection </w:t>
      </w:r>
      <w:r w:rsidRPr="00093DF3">
        <w:rPr>
          <w:rFonts w:ascii="Times New Roman" w:hAnsi="Times New Roman" w:cs="Times New Roman"/>
          <w:sz w:val="24"/>
          <w:szCs w:val="24"/>
          <w:lang w:val="en-US"/>
        </w:rPr>
        <w:t xml:space="preserve">– </w:t>
      </w:r>
      <w:r>
        <w:rPr>
          <w:rFonts w:ascii="Times New Roman" w:hAnsi="Times New Roman" w:cs="Times New Roman"/>
          <w:sz w:val="24"/>
          <w:szCs w:val="24"/>
          <w:lang w:val="en-US"/>
        </w:rPr>
        <w:t>Type 2 diabetes</w:t>
      </w:r>
    </w:p>
    <w:p w14:paraId="01C670F3" w14:textId="77777777" w:rsidR="007E282B" w:rsidRPr="00960152" w:rsidRDefault="007E282B" w:rsidP="00711791">
      <w:pPr>
        <w:ind w:firstLine="708"/>
        <w:rPr>
          <w:rFonts w:ascii="Times New Roman" w:hAnsi="Times New Roman" w:cs="Times New Roman"/>
          <w:sz w:val="24"/>
          <w:szCs w:val="24"/>
          <w:lang w:val="en-US"/>
        </w:rPr>
      </w:pPr>
    </w:p>
    <w:p w14:paraId="34E7C117" w14:textId="77777777" w:rsidR="007E282B" w:rsidRDefault="007E282B" w:rsidP="00711791">
      <w:pPr>
        <w:ind w:firstLine="708"/>
        <w:rPr>
          <w:rFonts w:ascii="Times New Roman" w:hAnsi="Times New Roman" w:cs="Times New Roman"/>
          <w:sz w:val="24"/>
          <w:szCs w:val="24"/>
        </w:rPr>
      </w:pPr>
      <w:r w:rsidRPr="002D3559">
        <w:rPr>
          <w:rFonts w:ascii="Times New Roman" w:hAnsi="Times New Roman" w:cs="Times New Roman"/>
          <w:sz w:val="24"/>
          <w:szCs w:val="24"/>
        </w:rPr>
        <w:t xml:space="preserve">Le diabète de type 2 (DT2) </w:t>
      </w:r>
      <w:r>
        <w:rPr>
          <w:rFonts w:ascii="Times New Roman" w:hAnsi="Times New Roman" w:cs="Times New Roman"/>
          <w:sz w:val="24"/>
          <w:szCs w:val="24"/>
        </w:rPr>
        <w:t>représente un problème majeur de santé publique au vu de sa prévalence, en constante augmentation, et des multiples complications qui lui sont associées, touchant quasi tous les organes, en particulier le système cardiovasculaire et les</w:t>
      </w:r>
      <w:r w:rsidR="001804E5">
        <w:rPr>
          <w:rFonts w:ascii="Times New Roman" w:hAnsi="Times New Roman" w:cs="Times New Roman"/>
          <w:sz w:val="24"/>
          <w:szCs w:val="24"/>
        </w:rPr>
        <w:t xml:space="preserve"> </w:t>
      </w:r>
      <w:r>
        <w:rPr>
          <w:rFonts w:ascii="Times New Roman" w:hAnsi="Times New Roman" w:cs="Times New Roman"/>
          <w:sz w:val="24"/>
          <w:szCs w:val="24"/>
        </w:rPr>
        <w:t xml:space="preserve">reins </w:t>
      </w:r>
      <w:r>
        <w:rPr>
          <w:rFonts w:ascii="Times New Roman" w:hAnsi="Times New Roman" w:cs="Times New Roman"/>
          <w:noProof/>
          <w:sz w:val="24"/>
          <w:szCs w:val="24"/>
        </w:rPr>
        <w:t>(1)</w:t>
      </w:r>
      <w:r>
        <w:rPr>
          <w:rFonts w:ascii="Times New Roman" w:hAnsi="Times New Roman" w:cs="Times New Roman"/>
          <w:sz w:val="24"/>
          <w:szCs w:val="24"/>
        </w:rPr>
        <w:t xml:space="preserve">. Au cours des dernières décennies, on a assisté à une révolution dans les principes de prise en charge du DT2 </w:t>
      </w:r>
      <w:r>
        <w:rPr>
          <w:rFonts w:ascii="Times New Roman" w:hAnsi="Times New Roman" w:cs="Times New Roman"/>
          <w:noProof/>
          <w:sz w:val="24"/>
          <w:szCs w:val="24"/>
        </w:rPr>
        <w:t>(2</w:t>
      </w:r>
      <w:r w:rsidR="001804E5">
        <w:rPr>
          <w:rFonts w:ascii="Times New Roman" w:hAnsi="Times New Roman" w:cs="Times New Roman"/>
          <w:noProof/>
          <w:sz w:val="24"/>
          <w:szCs w:val="24"/>
        </w:rPr>
        <w:t xml:space="preserve">, </w:t>
      </w:r>
      <w:r>
        <w:rPr>
          <w:rFonts w:ascii="Times New Roman" w:hAnsi="Times New Roman" w:cs="Times New Roman"/>
          <w:noProof/>
          <w:sz w:val="24"/>
          <w:szCs w:val="24"/>
        </w:rPr>
        <w:t>3)</w:t>
      </w:r>
      <w:r>
        <w:rPr>
          <w:rFonts w:ascii="Times New Roman" w:hAnsi="Times New Roman" w:cs="Times New Roman"/>
          <w:sz w:val="24"/>
          <w:szCs w:val="24"/>
        </w:rPr>
        <w:t>. La Revue Médicale de Liège a contribué à suivre et documenter cette évolution par de nombreux articles (voir la bibliographie). Cette évolution peut être schématisée en trois grandes étapes (</w:t>
      </w:r>
      <w:r w:rsidRPr="001804E5">
        <w:rPr>
          <w:rFonts w:ascii="Times New Roman" w:hAnsi="Times New Roman" w:cs="Times New Roman"/>
          <w:sz w:val="24"/>
          <w:szCs w:val="24"/>
          <w:highlight w:val="yellow"/>
        </w:rPr>
        <w:t>Figure 1</w:t>
      </w:r>
      <w:r>
        <w:rPr>
          <w:rFonts w:ascii="Times New Roman" w:hAnsi="Times New Roman" w:cs="Times New Roman"/>
          <w:sz w:val="24"/>
          <w:szCs w:val="24"/>
        </w:rPr>
        <w:t>).</w:t>
      </w:r>
    </w:p>
    <w:p w14:paraId="39E76CA5" w14:textId="77777777" w:rsidR="007E282B" w:rsidRDefault="007E282B" w:rsidP="002D3559">
      <w:pPr>
        <w:ind w:firstLine="708"/>
        <w:rPr>
          <w:rFonts w:ascii="Times New Roman" w:hAnsi="Times New Roman" w:cs="Times New Roman"/>
          <w:sz w:val="24"/>
          <w:szCs w:val="24"/>
        </w:rPr>
      </w:pPr>
      <w:r>
        <w:rPr>
          <w:rFonts w:ascii="Times New Roman" w:hAnsi="Times New Roman" w:cs="Times New Roman"/>
          <w:sz w:val="24"/>
          <w:szCs w:val="24"/>
        </w:rPr>
        <w:t xml:space="preserve">La </w:t>
      </w:r>
      <w:r w:rsidRPr="003F5727">
        <w:rPr>
          <w:rFonts w:ascii="Times New Roman" w:hAnsi="Times New Roman" w:cs="Times New Roman"/>
          <w:sz w:val="24"/>
          <w:szCs w:val="24"/>
          <w:u w:val="single"/>
        </w:rPr>
        <w:t>première étape</w:t>
      </w:r>
      <w:r>
        <w:rPr>
          <w:rFonts w:ascii="Times New Roman" w:hAnsi="Times New Roman" w:cs="Times New Roman"/>
          <w:sz w:val="24"/>
          <w:szCs w:val="24"/>
        </w:rPr>
        <w:t xml:space="preserve"> a consisté à contrôler au mieux l’hyperglycémie chronique après la démonstration que cette dernière contribuait à la survenue de complications dans la population vivant avec un DT2. La</w:t>
      </w:r>
      <w:proofErr w:type="gramStart"/>
      <w:r>
        <w:rPr>
          <w:rFonts w:ascii="Times New Roman" w:hAnsi="Times New Roman" w:cs="Times New Roman"/>
          <w:sz w:val="24"/>
          <w:szCs w:val="24"/>
        </w:rPr>
        <w:t xml:space="preserve"> «United</w:t>
      </w:r>
      <w:proofErr w:type="gramEnd"/>
      <w:r>
        <w:rPr>
          <w:rFonts w:ascii="Times New Roman" w:hAnsi="Times New Roman" w:cs="Times New Roman"/>
          <w:sz w:val="24"/>
          <w:szCs w:val="24"/>
        </w:rPr>
        <w:t xml:space="preserve"> Kingdom Prospective </w:t>
      </w:r>
      <w:proofErr w:type="spellStart"/>
      <w:r>
        <w:rPr>
          <w:rFonts w:ascii="Times New Roman" w:hAnsi="Times New Roman" w:cs="Times New Roman"/>
          <w:sz w:val="24"/>
          <w:szCs w:val="24"/>
        </w:rPr>
        <w:t>Diabetes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(UKPDS) avait bien montré, en 1998, qu’une réduction du taux d’hémoglobine glyquée (HbA</w:t>
      </w:r>
      <w:r w:rsidRPr="001804E5">
        <w:rPr>
          <w:rFonts w:ascii="Times New Roman" w:hAnsi="Times New Roman" w:cs="Times New Roman"/>
          <w:sz w:val="24"/>
          <w:szCs w:val="24"/>
          <w:vertAlign w:val="subscript"/>
        </w:rPr>
        <w:t>1c</w:t>
      </w:r>
      <w:r>
        <w:rPr>
          <w:rFonts w:ascii="Times New Roman" w:hAnsi="Times New Roman" w:cs="Times New Roman"/>
          <w:sz w:val="24"/>
          <w:szCs w:val="24"/>
        </w:rPr>
        <w:t>) de 8 % à 7 % permettait de réduire le risque complications de microangiopathie (rétinopathie et néphropathie) de l’ordre de 25 % chez des patients avec un DT2 nouvellement diagnostiqué, confirmant les données déjà rapportées dans le diabète de type 1 avec le</w:t>
      </w:r>
      <w:proofErr w:type="gramStart"/>
      <w:r>
        <w:rPr>
          <w:rFonts w:ascii="Times New Roman" w:hAnsi="Times New Roman" w:cs="Times New Roman"/>
          <w:sz w:val="24"/>
          <w:szCs w:val="24"/>
        </w:rPr>
        <w:t xml:space="preserve"> «Diabetes</w:t>
      </w:r>
      <w:proofErr w:type="gramEnd"/>
      <w:r>
        <w:rPr>
          <w:rFonts w:ascii="Times New Roman" w:hAnsi="Times New Roman" w:cs="Times New Roman"/>
          <w:sz w:val="24"/>
          <w:szCs w:val="24"/>
        </w:rPr>
        <w:t xml:space="preserve"> Control and </w:t>
      </w:r>
      <w:r w:rsidR="001804E5">
        <w:rPr>
          <w:rFonts w:ascii="Times New Roman" w:hAnsi="Times New Roman" w:cs="Times New Roman"/>
          <w:sz w:val="24"/>
          <w:szCs w:val="24"/>
        </w:rPr>
        <w:t>C</w:t>
      </w:r>
      <w:r>
        <w:rPr>
          <w:rFonts w:ascii="Times New Roman" w:hAnsi="Times New Roman" w:cs="Times New Roman"/>
          <w:sz w:val="24"/>
          <w:szCs w:val="24"/>
        </w:rPr>
        <w:t xml:space="preserve">omplications </w:t>
      </w:r>
      <w:proofErr w:type="gramStart"/>
      <w:r>
        <w:rPr>
          <w:rFonts w:ascii="Times New Roman" w:hAnsi="Times New Roman" w:cs="Times New Roman"/>
          <w:sz w:val="24"/>
          <w:szCs w:val="24"/>
        </w:rPr>
        <w:t>Trial»</w:t>
      </w:r>
      <w:proofErr w:type="gramEnd"/>
      <w:r>
        <w:rPr>
          <w:rFonts w:ascii="Times New Roman" w:hAnsi="Times New Roman" w:cs="Times New Roman"/>
          <w:sz w:val="24"/>
          <w:szCs w:val="24"/>
        </w:rPr>
        <w:t xml:space="preserve"> (DCCT) </w:t>
      </w:r>
      <w:r>
        <w:rPr>
          <w:rFonts w:ascii="Times New Roman" w:hAnsi="Times New Roman" w:cs="Times New Roman"/>
          <w:noProof/>
          <w:sz w:val="24"/>
          <w:szCs w:val="24"/>
        </w:rPr>
        <w:t>(4</w:t>
      </w:r>
      <w:r w:rsidR="001804E5">
        <w:rPr>
          <w:rFonts w:ascii="Times New Roman" w:hAnsi="Times New Roman" w:cs="Times New Roman"/>
          <w:noProof/>
          <w:sz w:val="24"/>
          <w:szCs w:val="24"/>
        </w:rPr>
        <w:t xml:space="preserve">, </w:t>
      </w:r>
      <w:r>
        <w:rPr>
          <w:rFonts w:ascii="Times New Roman" w:hAnsi="Times New Roman" w:cs="Times New Roman"/>
          <w:noProof/>
          <w:sz w:val="24"/>
          <w:szCs w:val="24"/>
        </w:rPr>
        <w:t>5)</w:t>
      </w:r>
      <w:r>
        <w:rPr>
          <w:rFonts w:ascii="Times New Roman" w:hAnsi="Times New Roman" w:cs="Times New Roman"/>
          <w:sz w:val="24"/>
          <w:szCs w:val="24"/>
        </w:rPr>
        <w:t xml:space="preserve">.  Cependant, les effets protecteurs sur la </w:t>
      </w:r>
      <w:proofErr w:type="spellStart"/>
      <w:r>
        <w:rPr>
          <w:rFonts w:ascii="Times New Roman" w:hAnsi="Times New Roman" w:cs="Times New Roman"/>
          <w:sz w:val="24"/>
          <w:szCs w:val="24"/>
        </w:rPr>
        <w:t>macroangiopathie</w:t>
      </w:r>
      <w:proofErr w:type="spellEnd"/>
      <w:r>
        <w:rPr>
          <w:rFonts w:ascii="Times New Roman" w:hAnsi="Times New Roman" w:cs="Times New Roman"/>
          <w:sz w:val="24"/>
          <w:szCs w:val="24"/>
        </w:rPr>
        <w:t xml:space="preserve"> s’étaient révélés relativement décevants. Ainsi, à titre d’exemple, la réduction des infarctus du myocarde n’atteignait pas la signification statistique à la fin des 15 années de l’étude et la différence entre le groupe intensif et le groupe contrôle ne devenait significative qu’après un délai supplémentaire de 10 années </w:t>
      </w:r>
      <w:r>
        <w:rPr>
          <w:rFonts w:ascii="Times New Roman" w:hAnsi="Times New Roman" w:cs="Times New Roman"/>
          <w:noProof/>
          <w:sz w:val="24"/>
          <w:szCs w:val="24"/>
        </w:rPr>
        <w:t>(6)</w:t>
      </w:r>
      <w:r>
        <w:rPr>
          <w:rFonts w:ascii="Times New Roman" w:hAnsi="Times New Roman" w:cs="Times New Roman"/>
          <w:sz w:val="24"/>
          <w:szCs w:val="24"/>
        </w:rPr>
        <w:t xml:space="preserve">.  Quoi qu’il en soit, à partir de ce moment, l’objectif en diabétologie a été de ramener et maintenir le taux d’HbA1c si possible en dessous de 7 % (53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/mol). Cette approche peut être qualifiée de </w:t>
      </w:r>
      <w:proofErr w:type="spellStart"/>
      <w:r>
        <w:rPr>
          <w:rFonts w:ascii="Times New Roman" w:hAnsi="Times New Roman" w:cs="Times New Roman"/>
          <w:sz w:val="24"/>
          <w:szCs w:val="24"/>
        </w:rPr>
        <w:t>glucocentrique</w:t>
      </w:r>
      <w:proofErr w:type="spellEnd"/>
      <w:r>
        <w:rPr>
          <w:rFonts w:ascii="Times New Roman" w:hAnsi="Times New Roman" w:cs="Times New Roman"/>
          <w:sz w:val="24"/>
          <w:szCs w:val="24"/>
        </w:rPr>
        <w:t>, une approche à l’évidence trop restrictive</w:t>
      </w:r>
      <w:r w:rsidR="001804E5">
        <w:rPr>
          <w:rFonts w:ascii="Times New Roman" w:hAnsi="Times New Roman" w:cs="Times New Roman"/>
          <w:sz w:val="24"/>
          <w:szCs w:val="24"/>
        </w:rPr>
        <w:t xml:space="preserve"> en ce qui concerne le DT2</w:t>
      </w:r>
      <w:r>
        <w:rPr>
          <w:rFonts w:ascii="Times New Roman" w:hAnsi="Times New Roman" w:cs="Times New Roman"/>
          <w:sz w:val="24"/>
          <w:szCs w:val="24"/>
        </w:rPr>
        <w:t>.</w:t>
      </w:r>
    </w:p>
    <w:p w14:paraId="7E3FC5E3" w14:textId="77777777" w:rsidR="007E282B" w:rsidRDefault="007E282B" w:rsidP="002D3559">
      <w:pPr>
        <w:ind w:firstLine="708"/>
        <w:rPr>
          <w:rFonts w:ascii="Times New Roman" w:hAnsi="Times New Roman" w:cs="Times New Roman"/>
          <w:sz w:val="24"/>
          <w:szCs w:val="24"/>
        </w:rPr>
      </w:pPr>
      <w:r>
        <w:rPr>
          <w:rFonts w:ascii="Times New Roman" w:hAnsi="Times New Roman" w:cs="Times New Roman"/>
          <w:sz w:val="24"/>
          <w:szCs w:val="24"/>
        </w:rPr>
        <w:t xml:space="preserve">La </w:t>
      </w:r>
      <w:r w:rsidRPr="00775850">
        <w:rPr>
          <w:rFonts w:ascii="Times New Roman" w:hAnsi="Times New Roman" w:cs="Times New Roman"/>
          <w:sz w:val="24"/>
          <w:szCs w:val="24"/>
          <w:u w:val="single"/>
        </w:rPr>
        <w:t>deuxième étape</w:t>
      </w:r>
      <w:r>
        <w:rPr>
          <w:rFonts w:ascii="Times New Roman" w:hAnsi="Times New Roman" w:cs="Times New Roman"/>
          <w:sz w:val="24"/>
          <w:szCs w:val="24"/>
        </w:rPr>
        <w:t xml:space="preserve"> a plébiscité une approche</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multi</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risques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dans le but de mieux contrôler les facteurs de risque cardiovasculaire très souvent rencontrés dans la population avec DT2 où prédomine ce qu’il était convenu d’appeler un syndrome métabolique </w:t>
      </w:r>
      <w:r>
        <w:rPr>
          <w:rFonts w:ascii="Times New Roman" w:hAnsi="Times New Roman" w:cs="Times New Roman"/>
          <w:noProof/>
          <w:sz w:val="24"/>
          <w:szCs w:val="24"/>
        </w:rPr>
        <w:t>(7)</w:t>
      </w:r>
      <w:r>
        <w:rPr>
          <w:rFonts w:ascii="Times New Roman" w:hAnsi="Times New Roman" w:cs="Times New Roman"/>
          <w:sz w:val="24"/>
          <w:szCs w:val="24"/>
        </w:rPr>
        <w:t>. L’UKPDS, à nouveau, avait montré en 1998 le rôle délétère majeur joué par l’hypertension artérielle et la dyslipidémie, en particulier l’hypercholestérolémie (cholestérol LDL)</w:t>
      </w:r>
      <w:r w:rsidR="001804E5">
        <w:rPr>
          <w:rFonts w:ascii="Times New Roman" w:hAnsi="Times New Roman" w:cs="Times New Roman"/>
          <w:sz w:val="24"/>
          <w:szCs w:val="24"/>
        </w:rPr>
        <w:t>,</w:t>
      </w:r>
      <w:r>
        <w:rPr>
          <w:rFonts w:ascii="Times New Roman" w:hAnsi="Times New Roman" w:cs="Times New Roman"/>
          <w:sz w:val="24"/>
          <w:szCs w:val="24"/>
        </w:rPr>
        <w:t xml:space="preserve"> dans les complications survenant dans le décours d’un DT2. Le DT2 ne doit pas se résumer à une hyperglycémie chronique</w:t>
      </w:r>
      <w:r w:rsidR="001804E5">
        <w:rPr>
          <w:rFonts w:ascii="Times New Roman" w:hAnsi="Times New Roman" w:cs="Times New Roman"/>
          <w:sz w:val="24"/>
          <w:szCs w:val="24"/>
        </w:rPr>
        <w:t>,</w:t>
      </w:r>
      <w:r>
        <w:rPr>
          <w:rFonts w:ascii="Times New Roman" w:hAnsi="Times New Roman" w:cs="Times New Roman"/>
          <w:sz w:val="24"/>
          <w:szCs w:val="24"/>
        </w:rPr>
        <w:t xml:space="preserve"> mais est une maladie bien plus complexe </w:t>
      </w:r>
      <w:r>
        <w:rPr>
          <w:rFonts w:ascii="Times New Roman" w:hAnsi="Times New Roman" w:cs="Times New Roman"/>
          <w:noProof/>
          <w:sz w:val="24"/>
          <w:szCs w:val="24"/>
        </w:rPr>
        <w:t>(8)</w:t>
      </w:r>
      <w:r>
        <w:rPr>
          <w:rFonts w:ascii="Times New Roman" w:hAnsi="Times New Roman" w:cs="Times New Roman"/>
          <w:sz w:val="24"/>
          <w:szCs w:val="24"/>
        </w:rPr>
        <w:t>. Une étude prospective danoise a confirmé qu’une approche</w:t>
      </w:r>
      <w:proofErr w:type="gramStart"/>
      <w:r>
        <w:rPr>
          <w:rFonts w:ascii="Times New Roman" w:hAnsi="Times New Roman" w:cs="Times New Roman"/>
          <w:sz w:val="24"/>
          <w:szCs w:val="24"/>
        </w:rPr>
        <w:t xml:space="preserve"> «multirisques</w:t>
      </w:r>
      <w:proofErr w:type="gramEnd"/>
      <w:r>
        <w:rPr>
          <w:rFonts w:ascii="Times New Roman" w:hAnsi="Times New Roman" w:cs="Times New Roman"/>
          <w:sz w:val="24"/>
          <w:szCs w:val="24"/>
        </w:rPr>
        <w:t>» chez le patient vivant avec un DT2 permettait de réduire les complications cardiovasculaires et, à terme, la mortalité. Depuis, cette stratégie</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multi</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risques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s’est imposée dans la prise en charge du DT2 </w:t>
      </w:r>
      <w:r>
        <w:rPr>
          <w:rFonts w:ascii="Times New Roman" w:hAnsi="Times New Roman" w:cs="Times New Roman"/>
          <w:noProof/>
          <w:sz w:val="24"/>
          <w:szCs w:val="24"/>
        </w:rPr>
        <w:t>(9</w:t>
      </w:r>
      <w:r w:rsidR="001804E5">
        <w:rPr>
          <w:rFonts w:ascii="Times New Roman" w:hAnsi="Times New Roman" w:cs="Times New Roman"/>
          <w:noProof/>
          <w:sz w:val="24"/>
          <w:szCs w:val="24"/>
        </w:rPr>
        <w:t xml:space="preserve">, </w:t>
      </w:r>
      <w:r>
        <w:rPr>
          <w:rFonts w:ascii="Times New Roman" w:hAnsi="Times New Roman" w:cs="Times New Roman"/>
          <w:noProof/>
          <w:sz w:val="24"/>
          <w:szCs w:val="24"/>
        </w:rPr>
        <w:t>10)</w:t>
      </w:r>
      <w:r>
        <w:rPr>
          <w:rFonts w:ascii="Times New Roman" w:hAnsi="Times New Roman" w:cs="Times New Roman"/>
          <w:sz w:val="24"/>
          <w:szCs w:val="24"/>
        </w:rPr>
        <w:t xml:space="preserve">. En plus du contrôle de la glycémie, le traitement de la dyslipidémie est devenu un objectif majeur dans la prise en charge du DT2 </w:t>
      </w:r>
      <w:r>
        <w:rPr>
          <w:rFonts w:ascii="Times New Roman" w:hAnsi="Times New Roman" w:cs="Times New Roman"/>
          <w:noProof/>
          <w:sz w:val="24"/>
          <w:szCs w:val="24"/>
        </w:rPr>
        <w:t>(11)</w:t>
      </w:r>
      <w:r>
        <w:rPr>
          <w:rFonts w:ascii="Times New Roman" w:hAnsi="Times New Roman" w:cs="Times New Roman"/>
          <w:sz w:val="24"/>
          <w:szCs w:val="24"/>
        </w:rPr>
        <w:t xml:space="preserve">. </w:t>
      </w:r>
      <w:r w:rsidR="001804E5">
        <w:rPr>
          <w:rFonts w:ascii="Times New Roman" w:hAnsi="Times New Roman" w:cs="Times New Roman"/>
          <w:sz w:val="24"/>
          <w:szCs w:val="24"/>
        </w:rPr>
        <w:t>L</w:t>
      </w:r>
      <w:r>
        <w:rPr>
          <w:rFonts w:ascii="Times New Roman" w:hAnsi="Times New Roman" w:cs="Times New Roman"/>
          <w:sz w:val="24"/>
          <w:szCs w:val="24"/>
        </w:rPr>
        <w:t xml:space="preserve">a plupart des patients vivant avec un DT2 sont traités par un inhibiteur du système rénine angiotensine, a fortiori s’ils ont une albuminurie positive </w:t>
      </w:r>
      <w:r>
        <w:rPr>
          <w:rFonts w:ascii="Times New Roman" w:hAnsi="Times New Roman" w:cs="Times New Roman"/>
          <w:noProof/>
          <w:sz w:val="24"/>
          <w:szCs w:val="24"/>
        </w:rPr>
        <w:t>(12)</w:t>
      </w:r>
      <w:r>
        <w:rPr>
          <w:rFonts w:ascii="Times New Roman" w:hAnsi="Times New Roman" w:cs="Times New Roman"/>
          <w:sz w:val="24"/>
          <w:szCs w:val="24"/>
        </w:rPr>
        <w:t>, et par une statine, même si le cholestérol LDL pour</w:t>
      </w:r>
      <w:r w:rsidR="001804E5">
        <w:rPr>
          <w:rFonts w:ascii="Times New Roman" w:hAnsi="Times New Roman" w:cs="Times New Roman"/>
          <w:sz w:val="24"/>
          <w:szCs w:val="24"/>
        </w:rPr>
        <w:t>r</w:t>
      </w:r>
      <w:r>
        <w:rPr>
          <w:rFonts w:ascii="Times New Roman" w:hAnsi="Times New Roman" w:cs="Times New Roman"/>
          <w:sz w:val="24"/>
          <w:szCs w:val="24"/>
        </w:rPr>
        <w:t>ait être considéré</w:t>
      </w:r>
      <w:r w:rsidR="001804E5">
        <w:rPr>
          <w:rFonts w:ascii="Times New Roman" w:hAnsi="Times New Roman" w:cs="Times New Roman"/>
          <w:sz w:val="24"/>
          <w:szCs w:val="24"/>
        </w:rPr>
        <w:t>, à première vue,</w:t>
      </w:r>
      <w:r>
        <w:rPr>
          <w:rFonts w:ascii="Times New Roman" w:hAnsi="Times New Roman" w:cs="Times New Roman"/>
          <w:sz w:val="24"/>
          <w:szCs w:val="24"/>
        </w:rPr>
        <w:t xml:space="preserve"> comme</w:t>
      </w:r>
      <w:proofErr w:type="gramStart"/>
      <w:r>
        <w:rPr>
          <w:rFonts w:ascii="Times New Roman" w:hAnsi="Times New Roman" w:cs="Times New Roman"/>
          <w:sz w:val="24"/>
          <w:szCs w:val="24"/>
        </w:rPr>
        <w:t xml:space="preserve"> «normal</w:t>
      </w:r>
      <w:proofErr w:type="gramEnd"/>
      <w:r>
        <w:rPr>
          <w:rFonts w:ascii="Times New Roman" w:hAnsi="Times New Roman" w:cs="Times New Roman"/>
          <w:sz w:val="24"/>
          <w:szCs w:val="24"/>
        </w:rPr>
        <w:t xml:space="preserve">», avec des seuils de bon contrôle revus à la baisse par rapport avec une population témoin sans DT2 </w:t>
      </w:r>
      <w:r>
        <w:rPr>
          <w:rFonts w:ascii="Times New Roman" w:hAnsi="Times New Roman" w:cs="Times New Roman"/>
          <w:noProof/>
          <w:sz w:val="24"/>
          <w:szCs w:val="24"/>
        </w:rPr>
        <w:t>(13</w:t>
      </w:r>
      <w:r w:rsidR="001804E5">
        <w:rPr>
          <w:rFonts w:ascii="Times New Roman" w:hAnsi="Times New Roman" w:cs="Times New Roman"/>
          <w:noProof/>
          <w:sz w:val="24"/>
          <w:szCs w:val="24"/>
        </w:rPr>
        <w:t xml:space="preserve">, </w:t>
      </w:r>
      <w:r>
        <w:rPr>
          <w:rFonts w:ascii="Times New Roman" w:hAnsi="Times New Roman" w:cs="Times New Roman"/>
          <w:noProof/>
          <w:sz w:val="24"/>
          <w:szCs w:val="24"/>
        </w:rPr>
        <w:t>14)</w:t>
      </w:r>
      <w:r>
        <w:rPr>
          <w:rFonts w:ascii="Times New Roman" w:hAnsi="Times New Roman" w:cs="Times New Roman"/>
          <w:sz w:val="24"/>
          <w:szCs w:val="24"/>
        </w:rPr>
        <w:t>.</w:t>
      </w:r>
    </w:p>
    <w:p w14:paraId="6F978E66" w14:textId="77777777" w:rsidR="007E282B" w:rsidRDefault="007E282B" w:rsidP="002D3559">
      <w:pPr>
        <w:ind w:firstLine="708"/>
        <w:rPr>
          <w:rFonts w:ascii="Times New Roman" w:hAnsi="Times New Roman" w:cs="Times New Roman"/>
          <w:sz w:val="24"/>
          <w:szCs w:val="24"/>
        </w:rPr>
      </w:pPr>
    </w:p>
    <w:p w14:paraId="243EBF7D" w14:textId="77777777" w:rsidR="007E282B" w:rsidRDefault="007E282B" w:rsidP="002D3559">
      <w:pPr>
        <w:ind w:firstLine="708"/>
        <w:rPr>
          <w:rFonts w:ascii="Times New Roman" w:hAnsi="Times New Roman" w:cs="Times New Roman"/>
          <w:sz w:val="24"/>
          <w:szCs w:val="24"/>
        </w:rPr>
      </w:pPr>
      <w:r>
        <w:rPr>
          <w:rFonts w:ascii="Times New Roman" w:hAnsi="Times New Roman" w:cs="Times New Roman"/>
          <w:sz w:val="24"/>
          <w:szCs w:val="24"/>
        </w:rPr>
        <w:t xml:space="preserve">La </w:t>
      </w:r>
      <w:r w:rsidRPr="00DC268A">
        <w:rPr>
          <w:rFonts w:ascii="Times New Roman" w:hAnsi="Times New Roman" w:cs="Times New Roman"/>
          <w:sz w:val="24"/>
          <w:szCs w:val="24"/>
          <w:u w:val="single"/>
        </w:rPr>
        <w:t>troisième étape</w:t>
      </w:r>
      <w:r>
        <w:rPr>
          <w:rFonts w:ascii="Times New Roman" w:hAnsi="Times New Roman" w:cs="Times New Roman"/>
          <w:sz w:val="24"/>
          <w:szCs w:val="24"/>
        </w:rPr>
        <w:t xml:space="preserve"> consiste à favoriser les classes pharmacologiques qui ont démontré une protection d’organes, que ce soit le cœur ou le rein, en sus du bon contrôle de la glycémie (première étape) et des facteurs de risque cardiovasculaire (deuxième étape). C’est le cas des inhibiteurs des cotransporteurs sodium-glucose de type 2 (SGLT2</w:t>
      </w:r>
      <w:r w:rsidR="001804E5">
        <w:rPr>
          <w:rFonts w:ascii="Times New Roman" w:hAnsi="Times New Roman" w:cs="Times New Roman"/>
          <w:sz w:val="24"/>
          <w:szCs w:val="24"/>
        </w:rPr>
        <w:t xml:space="preserve">, </w:t>
      </w:r>
      <w:proofErr w:type="spellStart"/>
      <w:r w:rsidR="001804E5">
        <w:rPr>
          <w:rFonts w:ascii="Times New Roman" w:hAnsi="Times New Roman" w:cs="Times New Roman"/>
          <w:sz w:val="24"/>
          <w:szCs w:val="24"/>
        </w:rPr>
        <w:t>gliflozines</w:t>
      </w:r>
      <w:proofErr w:type="spellEnd"/>
      <w:r>
        <w:rPr>
          <w:rFonts w:ascii="Times New Roman" w:hAnsi="Times New Roman" w:cs="Times New Roman"/>
          <w:sz w:val="24"/>
          <w:szCs w:val="24"/>
        </w:rPr>
        <w:t xml:space="preserve">) et des agonistes des récepteurs du glucagon-like peptide-1 (GLP-1) </w:t>
      </w:r>
      <w:r>
        <w:rPr>
          <w:rFonts w:ascii="Times New Roman" w:hAnsi="Times New Roman" w:cs="Times New Roman"/>
          <w:noProof/>
          <w:sz w:val="24"/>
          <w:szCs w:val="24"/>
        </w:rPr>
        <w:t>(15</w:t>
      </w:r>
      <w:r w:rsidR="001804E5">
        <w:rPr>
          <w:rFonts w:ascii="Times New Roman" w:hAnsi="Times New Roman" w:cs="Times New Roman"/>
          <w:noProof/>
          <w:sz w:val="24"/>
          <w:szCs w:val="24"/>
        </w:rPr>
        <w:t>-</w:t>
      </w:r>
      <w:r>
        <w:rPr>
          <w:rFonts w:ascii="Times New Roman" w:hAnsi="Times New Roman" w:cs="Times New Roman"/>
          <w:noProof/>
          <w:sz w:val="24"/>
          <w:szCs w:val="24"/>
        </w:rPr>
        <w:t>17)</w:t>
      </w:r>
      <w:r>
        <w:rPr>
          <w:rFonts w:ascii="Times New Roman" w:hAnsi="Times New Roman" w:cs="Times New Roman"/>
          <w:sz w:val="24"/>
          <w:szCs w:val="24"/>
        </w:rPr>
        <w:t xml:space="preserve">. Dorénavant, ces classes pharmacologiques doivent être privilégiées chez les patients vivant avec un DT2 et qui présentent déjà une maladie cardiovasculaire athéromateuse, une insuffisance cardiaque et/ou une maladie rénale chronique (attestée par une diminution du débit de filtration glomérulaire et/ou une albuminurie) </w:t>
      </w:r>
      <w:r>
        <w:rPr>
          <w:rFonts w:ascii="Times New Roman" w:hAnsi="Times New Roman" w:cs="Times New Roman"/>
          <w:noProof/>
          <w:sz w:val="24"/>
          <w:szCs w:val="24"/>
        </w:rPr>
        <w:t>(18</w:t>
      </w:r>
      <w:r w:rsidR="001804E5">
        <w:rPr>
          <w:rFonts w:ascii="Times New Roman" w:hAnsi="Times New Roman" w:cs="Times New Roman"/>
          <w:noProof/>
          <w:sz w:val="24"/>
          <w:szCs w:val="24"/>
        </w:rPr>
        <w:t xml:space="preserve">, </w:t>
      </w:r>
      <w:r>
        <w:rPr>
          <w:rFonts w:ascii="Times New Roman" w:hAnsi="Times New Roman" w:cs="Times New Roman"/>
          <w:noProof/>
          <w:sz w:val="24"/>
          <w:szCs w:val="24"/>
        </w:rPr>
        <w:t>19)</w:t>
      </w:r>
      <w:r>
        <w:rPr>
          <w:rFonts w:ascii="Times New Roman" w:hAnsi="Times New Roman" w:cs="Times New Roman"/>
          <w:sz w:val="24"/>
          <w:szCs w:val="24"/>
        </w:rPr>
        <w:t xml:space="preserve">. Le fait le plus remarquable, et qui constitue une véritable révolution conceptuelle, est que ces médicaments, initialement développés comme agents anti-hyperglycémiants, améliorent le pronostic cardiovasculaire et rénal, indépendamment du niveau initial de l’HbA1c et de sa baisse enregistrée sous traitement </w:t>
      </w:r>
      <w:r>
        <w:rPr>
          <w:rFonts w:ascii="Times New Roman" w:hAnsi="Times New Roman" w:cs="Times New Roman"/>
          <w:noProof/>
          <w:sz w:val="24"/>
          <w:szCs w:val="24"/>
        </w:rPr>
        <w:t>(20)</w:t>
      </w:r>
      <w:r>
        <w:rPr>
          <w:rFonts w:ascii="Times New Roman" w:hAnsi="Times New Roman" w:cs="Times New Roman"/>
          <w:sz w:val="24"/>
          <w:szCs w:val="24"/>
        </w:rPr>
        <w:t>.</w:t>
      </w:r>
    </w:p>
    <w:p w14:paraId="1644EF8F" w14:textId="77777777" w:rsidR="007E282B" w:rsidRDefault="007E282B">
      <w:pPr>
        <w:rPr>
          <w:rFonts w:ascii="Times New Roman" w:hAnsi="Times New Roman" w:cs="Times New Roman"/>
          <w:sz w:val="24"/>
          <w:szCs w:val="24"/>
        </w:rPr>
      </w:pPr>
      <w:r>
        <w:rPr>
          <w:rFonts w:ascii="Times New Roman" w:hAnsi="Times New Roman" w:cs="Times New Roman"/>
          <w:sz w:val="24"/>
          <w:szCs w:val="24"/>
        </w:rPr>
        <w:t xml:space="preserve"> </w:t>
      </w:r>
    </w:p>
    <w:p w14:paraId="6DA70FEC" w14:textId="77777777" w:rsidR="007E282B" w:rsidRDefault="007E282B" w:rsidP="00124F9B">
      <w:pPr>
        <w:ind w:firstLine="708"/>
        <w:rPr>
          <w:rFonts w:ascii="Times New Roman" w:hAnsi="Times New Roman" w:cs="Times New Roman"/>
          <w:sz w:val="24"/>
          <w:szCs w:val="24"/>
        </w:rPr>
      </w:pPr>
      <w:r>
        <w:rPr>
          <w:rFonts w:ascii="Times New Roman" w:hAnsi="Times New Roman" w:cs="Times New Roman"/>
          <w:sz w:val="24"/>
          <w:szCs w:val="24"/>
        </w:rPr>
        <w:t xml:space="preserve">En conclusion, les trois étapes, décrites succinctement ci-dessus et illustrées dans la figure 1, ne sont bien évidemment pas antinomiques, mais au contraire complémentaires. Il en résulte que la prise en charge d’un DT2 doit s’intégrer dans une approche holistique, personnalisée et centrée sur le patient </w:t>
      </w:r>
      <w:r>
        <w:rPr>
          <w:rFonts w:ascii="Times New Roman" w:hAnsi="Times New Roman" w:cs="Times New Roman"/>
          <w:noProof/>
          <w:sz w:val="24"/>
          <w:szCs w:val="24"/>
        </w:rPr>
        <w:t>(19)</w:t>
      </w:r>
      <w:r>
        <w:rPr>
          <w:rFonts w:ascii="Times New Roman" w:hAnsi="Times New Roman" w:cs="Times New Roman"/>
          <w:sz w:val="24"/>
          <w:szCs w:val="24"/>
        </w:rPr>
        <w:t>.</w:t>
      </w:r>
    </w:p>
    <w:p w14:paraId="3D1ABBCF" w14:textId="77777777" w:rsidR="007E282B" w:rsidRDefault="007E282B" w:rsidP="00124F9B">
      <w:pPr>
        <w:ind w:firstLine="708"/>
        <w:rPr>
          <w:rFonts w:ascii="Times New Roman" w:hAnsi="Times New Roman" w:cs="Times New Roman"/>
          <w:sz w:val="24"/>
          <w:szCs w:val="24"/>
        </w:rPr>
      </w:pPr>
    </w:p>
    <w:p w14:paraId="45A3BD67" w14:textId="77777777" w:rsidR="007E282B" w:rsidRDefault="007E282B" w:rsidP="00124F9B">
      <w:pPr>
        <w:ind w:firstLine="708"/>
        <w:rPr>
          <w:rFonts w:ascii="Times New Roman" w:hAnsi="Times New Roman" w:cs="Times New Roman"/>
          <w:sz w:val="24"/>
          <w:szCs w:val="24"/>
        </w:rPr>
      </w:pPr>
      <w:r>
        <w:rPr>
          <w:rFonts w:ascii="Times New Roman" w:hAnsi="Times New Roman" w:cs="Times New Roman"/>
          <w:sz w:val="24"/>
          <w:szCs w:val="24"/>
        </w:rPr>
        <w:t>Figure 1 : Illustration des trois étapes de prise en charge du diabète de type 2.</w:t>
      </w:r>
    </w:p>
    <w:p w14:paraId="35A60404" w14:textId="77777777" w:rsidR="007E282B" w:rsidRDefault="007E282B" w:rsidP="00124F9B">
      <w:pPr>
        <w:ind w:firstLine="708"/>
        <w:rPr>
          <w:rFonts w:ascii="Times New Roman" w:hAnsi="Times New Roman" w:cs="Times New Roman"/>
          <w:sz w:val="24"/>
          <w:szCs w:val="24"/>
        </w:rPr>
      </w:pPr>
      <w:r>
        <w:rPr>
          <w:rFonts w:ascii="Times New Roman" w:hAnsi="Times New Roman" w:cs="Times New Roman"/>
          <w:sz w:val="24"/>
          <w:szCs w:val="24"/>
        </w:rPr>
        <w:t>AVC : accident vasculaire cérébral. HbA</w:t>
      </w:r>
      <w:r w:rsidRPr="001804E5">
        <w:rPr>
          <w:rFonts w:ascii="Times New Roman" w:hAnsi="Times New Roman" w:cs="Times New Roman"/>
          <w:sz w:val="24"/>
          <w:szCs w:val="24"/>
          <w:vertAlign w:val="subscript"/>
        </w:rPr>
        <w:t>1</w:t>
      </w:r>
      <w:r w:rsidR="001804E5" w:rsidRPr="001804E5">
        <w:rPr>
          <w:rFonts w:ascii="Times New Roman" w:hAnsi="Times New Roman" w:cs="Times New Roman"/>
          <w:sz w:val="24"/>
          <w:szCs w:val="24"/>
          <w:vertAlign w:val="subscript"/>
        </w:rPr>
        <w:t>c</w:t>
      </w:r>
      <w:r>
        <w:rPr>
          <w:rFonts w:ascii="Times New Roman" w:hAnsi="Times New Roman" w:cs="Times New Roman"/>
          <w:sz w:val="24"/>
          <w:szCs w:val="24"/>
        </w:rPr>
        <w:t xml:space="preserve"> : hémoglobine glyquée. IC : insuffisance cardiaque. MRC : maladie rénale chronique. MCVA : maladie cardiovasculaire athéromateuse. </w:t>
      </w:r>
    </w:p>
    <w:p w14:paraId="3CF4E100" w14:textId="77777777" w:rsidR="007E282B" w:rsidRDefault="007E282B">
      <w:pPr>
        <w:rPr>
          <w:rFonts w:ascii="Times New Roman" w:hAnsi="Times New Roman" w:cs="Times New Roman"/>
          <w:sz w:val="24"/>
          <w:szCs w:val="24"/>
        </w:rPr>
      </w:pPr>
    </w:p>
    <w:p w14:paraId="196884C9" w14:textId="77777777" w:rsidR="007E282B" w:rsidRPr="00820A7F" w:rsidRDefault="007E282B" w:rsidP="00820A7F">
      <w:pPr>
        <w:pStyle w:val="EndNoteBibliographyTitle"/>
      </w:pPr>
      <w:r w:rsidRPr="00820A7F">
        <w:t>References</w:t>
      </w:r>
    </w:p>
    <w:p w14:paraId="59BAC6F2" w14:textId="77777777" w:rsidR="007E282B" w:rsidRPr="00820A7F" w:rsidRDefault="007E282B" w:rsidP="00820A7F">
      <w:pPr>
        <w:pStyle w:val="EndNoteBibliographyTitle"/>
      </w:pPr>
    </w:p>
    <w:p w14:paraId="6D6F0708" w14:textId="77777777" w:rsidR="007E282B" w:rsidRPr="00820A7F" w:rsidRDefault="007E282B" w:rsidP="00820A7F">
      <w:pPr>
        <w:pStyle w:val="EndNoteBibliography"/>
        <w:spacing w:after="0"/>
        <w:ind w:left="720" w:hanging="720"/>
      </w:pPr>
      <w:r w:rsidRPr="00820A7F">
        <w:t>1</w:t>
      </w:r>
      <w:r w:rsidR="001804E5">
        <w:t>.</w:t>
      </w:r>
      <w:r w:rsidRPr="00820A7F">
        <w:tab/>
        <w:t>GBD</w:t>
      </w:r>
      <w:r w:rsidR="00BB67F9">
        <w:t xml:space="preserve"> Diabetes </w:t>
      </w:r>
      <w:r w:rsidR="00BB67F9" w:rsidRPr="00820A7F">
        <w:t>Collaborators</w:t>
      </w:r>
      <w:r w:rsidRPr="00820A7F">
        <w:t xml:space="preserve">. Global, regional, and national burden of diabetes from 1990 to 2021, with projections of prevalence to 2050: a systematic analysis for the Global Burden of Disease Study 2021. </w:t>
      </w:r>
      <w:r w:rsidRPr="00820A7F">
        <w:rPr>
          <w:i/>
        </w:rPr>
        <w:t>Lancet</w:t>
      </w:r>
      <w:r w:rsidRPr="00820A7F">
        <w:t xml:space="preserve"> 2023; </w:t>
      </w:r>
      <w:r w:rsidRPr="00820A7F">
        <w:rPr>
          <w:b/>
        </w:rPr>
        <w:t>402</w:t>
      </w:r>
      <w:r w:rsidRPr="00820A7F">
        <w:t>: 203-34.</w:t>
      </w:r>
    </w:p>
    <w:p w14:paraId="576DA4EE" w14:textId="77777777" w:rsidR="007E282B" w:rsidRPr="00820A7F" w:rsidRDefault="007E282B" w:rsidP="00820A7F">
      <w:pPr>
        <w:pStyle w:val="EndNoteBibliography"/>
        <w:spacing w:after="0"/>
        <w:ind w:left="720" w:hanging="720"/>
      </w:pPr>
      <w:r w:rsidRPr="00820A7F">
        <w:t>2</w:t>
      </w:r>
      <w:r w:rsidR="00BB67F9">
        <w:t>.</w:t>
      </w:r>
      <w:r w:rsidRPr="00820A7F">
        <w:tab/>
        <w:t xml:space="preserve">Scheen AJ, Paquot N. Prise en charge de l'hyperglycémie du diabète de type 2 : changement de paradigme selon le consensus ADA-EASD 2018 </w:t>
      </w:r>
      <w:r w:rsidRPr="00820A7F">
        <w:rPr>
          <w:i/>
        </w:rPr>
        <w:t>Rev Med Liege</w:t>
      </w:r>
      <w:r w:rsidRPr="00820A7F">
        <w:t xml:space="preserve"> 2018; </w:t>
      </w:r>
      <w:r w:rsidRPr="00820A7F">
        <w:rPr>
          <w:b/>
        </w:rPr>
        <w:t>73</w:t>
      </w:r>
      <w:r w:rsidRPr="00820A7F">
        <w:t>: 629-33.</w:t>
      </w:r>
    </w:p>
    <w:p w14:paraId="245D3560" w14:textId="77777777" w:rsidR="007E282B" w:rsidRPr="00820A7F" w:rsidRDefault="007E282B" w:rsidP="00820A7F">
      <w:pPr>
        <w:pStyle w:val="EndNoteBibliography"/>
        <w:spacing w:after="0"/>
        <w:ind w:left="720" w:hanging="720"/>
      </w:pPr>
      <w:r w:rsidRPr="00820A7F">
        <w:t>3</w:t>
      </w:r>
      <w:r w:rsidR="00BB67F9">
        <w:t>.</w:t>
      </w:r>
      <w:r w:rsidRPr="00820A7F">
        <w:tab/>
        <w:t xml:space="preserve">Scheen AJ. Vers un nouveau paradigme dans le traitement du diabète de type 2. </w:t>
      </w:r>
      <w:r w:rsidRPr="00820A7F">
        <w:rPr>
          <w:i/>
        </w:rPr>
        <w:t>Rev Med Suisse</w:t>
      </w:r>
      <w:r w:rsidRPr="00820A7F">
        <w:t xml:space="preserve"> 2019; </w:t>
      </w:r>
      <w:r w:rsidRPr="00820A7F">
        <w:rPr>
          <w:b/>
        </w:rPr>
        <w:t>15</w:t>
      </w:r>
      <w:r w:rsidRPr="00820A7F">
        <w:t>: 1423-4.</w:t>
      </w:r>
    </w:p>
    <w:p w14:paraId="26D56178" w14:textId="77777777" w:rsidR="007E282B" w:rsidRPr="00820A7F" w:rsidRDefault="007E282B" w:rsidP="00820A7F">
      <w:pPr>
        <w:pStyle w:val="EndNoteBibliography"/>
        <w:spacing w:after="0"/>
        <w:ind w:left="720" w:hanging="720"/>
      </w:pPr>
      <w:r w:rsidRPr="00820A7F">
        <w:t>4</w:t>
      </w:r>
      <w:r w:rsidR="00BB67F9">
        <w:t>.</w:t>
      </w:r>
      <w:r w:rsidRPr="00820A7F">
        <w:tab/>
        <w:t xml:space="preserve">Paquot N, Scheen AJ, Lefebvre PJ. Le contrôle glycémique chez le patient diabétique. Recommandations après les études DCCT et UKPDS. </w:t>
      </w:r>
      <w:r w:rsidRPr="00820A7F">
        <w:rPr>
          <w:i/>
        </w:rPr>
        <w:t>Rev Med Liege</w:t>
      </w:r>
      <w:r w:rsidRPr="00820A7F">
        <w:t xml:space="preserve"> 2000; </w:t>
      </w:r>
      <w:r w:rsidRPr="00820A7F">
        <w:rPr>
          <w:b/>
        </w:rPr>
        <w:t>55</w:t>
      </w:r>
      <w:r w:rsidRPr="00820A7F">
        <w:t>: 372-5.</w:t>
      </w:r>
    </w:p>
    <w:p w14:paraId="6308F7E8" w14:textId="77777777" w:rsidR="007E282B" w:rsidRPr="00820A7F" w:rsidRDefault="007E282B" w:rsidP="00820A7F">
      <w:pPr>
        <w:pStyle w:val="EndNoteBibliography"/>
        <w:spacing w:after="0"/>
        <w:ind w:left="720" w:hanging="720"/>
      </w:pPr>
      <w:r w:rsidRPr="00820A7F">
        <w:t>5</w:t>
      </w:r>
      <w:r w:rsidR="00BB67F9">
        <w:t>.</w:t>
      </w:r>
      <w:r w:rsidRPr="00820A7F">
        <w:tab/>
        <w:t xml:space="preserve">Scheen AJ, Lefebvre PJ. Info-congres. Les lecons de la 'United Kingdom Prospective Diabetes Study'. </w:t>
      </w:r>
      <w:r w:rsidRPr="00820A7F">
        <w:rPr>
          <w:i/>
        </w:rPr>
        <w:t>Rev Med Liege</w:t>
      </w:r>
      <w:r w:rsidRPr="00820A7F">
        <w:t xml:space="preserve"> 1998; </w:t>
      </w:r>
      <w:r w:rsidRPr="00820A7F">
        <w:rPr>
          <w:b/>
        </w:rPr>
        <w:t>53</w:t>
      </w:r>
      <w:r w:rsidRPr="00820A7F">
        <w:t>: 576-8.</w:t>
      </w:r>
    </w:p>
    <w:p w14:paraId="6A1B6BC6" w14:textId="77777777" w:rsidR="007E282B" w:rsidRPr="00820A7F" w:rsidRDefault="007E282B" w:rsidP="00820A7F">
      <w:pPr>
        <w:pStyle w:val="EndNoteBibliography"/>
        <w:spacing w:after="0"/>
        <w:ind w:left="720" w:hanging="720"/>
      </w:pPr>
      <w:r w:rsidRPr="00820A7F">
        <w:t>6</w:t>
      </w:r>
      <w:r w:rsidR="00BB67F9">
        <w:t>.</w:t>
      </w:r>
      <w:r w:rsidRPr="00820A7F">
        <w:tab/>
        <w:t xml:space="preserve">Scheen AJ, Paquot N, Lefebvre PJ. L'étude clinique du mois. "United Kingdom Prospective Diabetes Study": 10 ans plus tard. </w:t>
      </w:r>
      <w:r w:rsidRPr="00820A7F">
        <w:rPr>
          <w:i/>
        </w:rPr>
        <w:t>Rev Med Liege</w:t>
      </w:r>
      <w:r w:rsidRPr="00820A7F">
        <w:t xml:space="preserve"> 2008; </w:t>
      </w:r>
      <w:r w:rsidRPr="00820A7F">
        <w:rPr>
          <w:b/>
        </w:rPr>
        <w:t>63</w:t>
      </w:r>
      <w:r w:rsidRPr="00820A7F">
        <w:t>: 624-9.</w:t>
      </w:r>
    </w:p>
    <w:p w14:paraId="39028BBB" w14:textId="77777777" w:rsidR="007E282B" w:rsidRPr="00820A7F" w:rsidRDefault="007E282B" w:rsidP="00820A7F">
      <w:pPr>
        <w:pStyle w:val="EndNoteBibliography"/>
        <w:spacing w:after="0"/>
        <w:ind w:left="720" w:hanging="720"/>
      </w:pPr>
      <w:r w:rsidRPr="00820A7F">
        <w:t>7</w:t>
      </w:r>
      <w:r w:rsidR="00BB67F9">
        <w:t>.</w:t>
      </w:r>
      <w:r w:rsidRPr="00820A7F">
        <w:tab/>
        <w:t xml:space="preserve">Scheen AJ, Van Gaal LF. Le diabète de type 2 au coeur du syndrome métabolique: plaidoyer pour une prise en charge globale. </w:t>
      </w:r>
      <w:r w:rsidRPr="00820A7F">
        <w:rPr>
          <w:i/>
        </w:rPr>
        <w:t>Rev Med Liege</w:t>
      </w:r>
      <w:r w:rsidRPr="00820A7F">
        <w:t xml:space="preserve"> 2005; </w:t>
      </w:r>
      <w:r w:rsidRPr="00820A7F">
        <w:rPr>
          <w:b/>
        </w:rPr>
        <w:t>60</w:t>
      </w:r>
      <w:r w:rsidRPr="00820A7F">
        <w:t>: 566-71.</w:t>
      </w:r>
    </w:p>
    <w:p w14:paraId="31B767FD" w14:textId="77777777" w:rsidR="007E282B" w:rsidRPr="00820A7F" w:rsidRDefault="007E282B" w:rsidP="00820A7F">
      <w:pPr>
        <w:pStyle w:val="EndNoteBibliography"/>
        <w:spacing w:after="0"/>
        <w:ind w:left="720" w:hanging="720"/>
      </w:pPr>
      <w:r w:rsidRPr="00820A7F">
        <w:t>8</w:t>
      </w:r>
      <w:r w:rsidR="00BB67F9">
        <w:t>.</w:t>
      </w:r>
      <w:r w:rsidRPr="00820A7F">
        <w:tab/>
        <w:t xml:space="preserve">Scheen AJ, Paquot N. Le diabète de type 2 : voyage au coeur d'une maladie complexe. </w:t>
      </w:r>
      <w:r w:rsidRPr="00820A7F">
        <w:rPr>
          <w:i/>
        </w:rPr>
        <w:t>Rev Med Liege</w:t>
      </w:r>
      <w:r w:rsidRPr="00820A7F">
        <w:t xml:space="preserve"> 2012; </w:t>
      </w:r>
      <w:r w:rsidRPr="00820A7F">
        <w:rPr>
          <w:b/>
        </w:rPr>
        <w:t>67</w:t>
      </w:r>
      <w:r w:rsidRPr="00820A7F">
        <w:t>: 326-31.</w:t>
      </w:r>
    </w:p>
    <w:p w14:paraId="641D33B1" w14:textId="77777777" w:rsidR="007E282B" w:rsidRPr="00820A7F" w:rsidRDefault="007E282B" w:rsidP="00820A7F">
      <w:pPr>
        <w:pStyle w:val="EndNoteBibliography"/>
        <w:spacing w:after="0"/>
        <w:ind w:left="720" w:hanging="720"/>
      </w:pPr>
      <w:r w:rsidRPr="00820A7F">
        <w:t>9</w:t>
      </w:r>
      <w:r w:rsidR="00BB67F9">
        <w:t>.</w:t>
      </w:r>
      <w:r w:rsidRPr="00820A7F">
        <w:tab/>
        <w:t xml:space="preserve">Paquot N, Scheen AJ. Prévention cardio-vasculaire chez le patient diabétique de type 2. </w:t>
      </w:r>
      <w:r w:rsidRPr="00820A7F">
        <w:rPr>
          <w:i/>
        </w:rPr>
        <w:t>Rev Med Liege</w:t>
      </w:r>
      <w:r w:rsidRPr="00820A7F">
        <w:t xml:space="preserve"> 2003; </w:t>
      </w:r>
      <w:r w:rsidRPr="00820A7F">
        <w:rPr>
          <w:b/>
        </w:rPr>
        <w:t>58</w:t>
      </w:r>
      <w:r w:rsidRPr="00820A7F">
        <w:t>: 271-4.</w:t>
      </w:r>
    </w:p>
    <w:p w14:paraId="4F5504E3" w14:textId="77777777" w:rsidR="007E282B" w:rsidRPr="00820A7F" w:rsidRDefault="007E282B" w:rsidP="00820A7F">
      <w:pPr>
        <w:pStyle w:val="EndNoteBibliography"/>
        <w:spacing w:after="0"/>
        <w:ind w:left="720" w:hanging="720"/>
      </w:pPr>
      <w:r w:rsidRPr="00820A7F">
        <w:t>10</w:t>
      </w:r>
      <w:r w:rsidR="00BB67F9">
        <w:t>.</w:t>
      </w:r>
      <w:r w:rsidRPr="00820A7F">
        <w:tab/>
        <w:t xml:space="preserve">Scheen AJ, Radermecker RP, Philips JC, et al. Recommandations européennes pour la prise en charge du diabète, du pré-diabète et des maladies cardio-vasculaires. 1ère partie : Gestion du diabète et des facteurs de risque cardio-vasculaire. </w:t>
      </w:r>
      <w:r w:rsidRPr="00820A7F">
        <w:rPr>
          <w:i/>
        </w:rPr>
        <w:t>Rev Med Liege</w:t>
      </w:r>
      <w:r w:rsidRPr="00820A7F">
        <w:t xml:space="preserve"> 2013; </w:t>
      </w:r>
      <w:r w:rsidRPr="00820A7F">
        <w:rPr>
          <w:b/>
        </w:rPr>
        <w:t>68</w:t>
      </w:r>
      <w:r w:rsidRPr="00820A7F">
        <w:t>: 585-92.</w:t>
      </w:r>
    </w:p>
    <w:p w14:paraId="0BA94E69" w14:textId="77777777" w:rsidR="007E282B" w:rsidRPr="00820A7F" w:rsidRDefault="007E282B" w:rsidP="00820A7F">
      <w:pPr>
        <w:pStyle w:val="EndNoteBibliography"/>
        <w:spacing w:after="0"/>
        <w:ind w:left="720" w:hanging="720"/>
      </w:pPr>
      <w:r w:rsidRPr="00820A7F">
        <w:t>11</w:t>
      </w:r>
      <w:r w:rsidR="00BB67F9">
        <w:t>.</w:t>
      </w:r>
      <w:r w:rsidRPr="00820A7F">
        <w:tab/>
        <w:t xml:space="preserve">Paquot N, Scheen AJ. Quelles cibles glycémiques et lipidiques viser chez un patient diabétique de type 2 ? </w:t>
      </w:r>
      <w:r w:rsidRPr="00820A7F">
        <w:rPr>
          <w:i/>
        </w:rPr>
        <w:t>Rev Med Liege</w:t>
      </w:r>
      <w:r w:rsidRPr="00820A7F">
        <w:t xml:space="preserve"> 2012; </w:t>
      </w:r>
      <w:r w:rsidRPr="00820A7F">
        <w:rPr>
          <w:b/>
        </w:rPr>
        <w:t>67</w:t>
      </w:r>
      <w:r w:rsidRPr="00820A7F">
        <w:t>: 98-103.</w:t>
      </w:r>
    </w:p>
    <w:p w14:paraId="7931D2BB" w14:textId="77777777" w:rsidR="007E282B" w:rsidRPr="00820A7F" w:rsidRDefault="007E282B" w:rsidP="00820A7F">
      <w:pPr>
        <w:pStyle w:val="EndNoteBibliography"/>
        <w:spacing w:after="0"/>
        <w:ind w:left="720" w:hanging="720"/>
      </w:pPr>
      <w:r w:rsidRPr="00820A7F">
        <w:t>12</w:t>
      </w:r>
      <w:r w:rsidR="00BB67F9">
        <w:t>.</w:t>
      </w:r>
      <w:r w:rsidRPr="00820A7F">
        <w:tab/>
        <w:t xml:space="preserve">Scheen AJ, Philips J-C, Krzesinski JM. Hypertension et diabète : à propos d'une association commune mais complexe. </w:t>
      </w:r>
      <w:r w:rsidRPr="00820A7F">
        <w:rPr>
          <w:i/>
        </w:rPr>
        <w:t>Rev Med Liege</w:t>
      </w:r>
      <w:r w:rsidRPr="00820A7F">
        <w:t xml:space="preserve"> 2012; </w:t>
      </w:r>
      <w:r w:rsidRPr="00820A7F">
        <w:rPr>
          <w:b/>
        </w:rPr>
        <w:t>67</w:t>
      </w:r>
      <w:r w:rsidRPr="00820A7F">
        <w:t>: 133-8.</w:t>
      </w:r>
    </w:p>
    <w:p w14:paraId="076E3FCE" w14:textId="77777777" w:rsidR="007E282B" w:rsidRPr="00820A7F" w:rsidRDefault="007E282B" w:rsidP="00820A7F">
      <w:pPr>
        <w:pStyle w:val="EndNoteBibliography"/>
        <w:spacing w:after="0"/>
        <w:ind w:left="720" w:hanging="720"/>
      </w:pPr>
      <w:r w:rsidRPr="00820A7F">
        <w:t>13</w:t>
      </w:r>
      <w:r w:rsidR="00BB67F9">
        <w:t>.</w:t>
      </w:r>
      <w:r w:rsidRPr="00820A7F">
        <w:tab/>
        <w:t xml:space="preserve">Krzesinski JM, Scheen AJ. Quelles cibles tensionnelles viser chez un patient diabétique de type 2 ? </w:t>
      </w:r>
      <w:r w:rsidRPr="00820A7F">
        <w:rPr>
          <w:i/>
        </w:rPr>
        <w:t>Rev Med Liege</w:t>
      </w:r>
      <w:r w:rsidRPr="00820A7F">
        <w:t xml:space="preserve"> 2012; </w:t>
      </w:r>
      <w:r w:rsidRPr="00820A7F">
        <w:rPr>
          <w:b/>
        </w:rPr>
        <w:t>67</w:t>
      </w:r>
      <w:r w:rsidRPr="00820A7F">
        <w:t>: 51-6.</w:t>
      </w:r>
    </w:p>
    <w:p w14:paraId="2B927CA8" w14:textId="77777777" w:rsidR="007E282B" w:rsidRPr="00820A7F" w:rsidRDefault="007E282B" w:rsidP="00820A7F">
      <w:pPr>
        <w:pStyle w:val="EndNoteBibliography"/>
        <w:spacing w:after="0"/>
        <w:ind w:left="720" w:hanging="720"/>
      </w:pPr>
      <w:r w:rsidRPr="00820A7F">
        <w:t>14</w:t>
      </w:r>
      <w:r w:rsidR="00BB67F9">
        <w:t>.</w:t>
      </w:r>
      <w:r w:rsidRPr="00820A7F">
        <w:tab/>
        <w:t xml:space="preserve">Wallemacq C, Scheen AJ. Actualisation des recommandations européennes pour la prise en charge de l’hypercholestérolémie. </w:t>
      </w:r>
      <w:r w:rsidRPr="00820A7F">
        <w:rPr>
          <w:i/>
        </w:rPr>
        <w:t>Rev Med Liege</w:t>
      </w:r>
      <w:r w:rsidRPr="00820A7F">
        <w:t xml:space="preserve"> 2025; </w:t>
      </w:r>
      <w:r w:rsidRPr="00820A7F">
        <w:rPr>
          <w:b/>
        </w:rPr>
        <w:t>80</w:t>
      </w:r>
      <w:r w:rsidRPr="00820A7F">
        <w:t>: 422-7.</w:t>
      </w:r>
    </w:p>
    <w:p w14:paraId="2DC50310" w14:textId="77777777" w:rsidR="007E282B" w:rsidRPr="00820A7F" w:rsidRDefault="007E282B" w:rsidP="00820A7F">
      <w:pPr>
        <w:pStyle w:val="EndNoteBibliography"/>
        <w:spacing w:after="0"/>
        <w:ind w:left="720" w:hanging="720"/>
      </w:pPr>
      <w:r w:rsidRPr="00820A7F">
        <w:t>15</w:t>
      </w:r>
      <w:r w:rsidR="00BB67F9">
        <w:t>.</w:t>
      </w:r>
      <w:r w:rsidRPr="00820A7F">
        <w:tab/>
        <w:t xml:space="preserve">Scheen AJ, Piérard L, Krzesinski J-M, et al. Protection cardiovasculaire et rénale du patient diabétique de type 2 : le point après EMPA-REG OUTCOME et LEADER. </w:t>
      </w:r>
      <w:r w:rsidRPr="00820A7F">
        <w:rPr>
          <w:i/>
        </w:rPr>
        <w:t>Rev Med Liege</w:t>
      </w:r>
      <w:r w:rsidRPr="00820A7F">
        <w:t xml:space="preserve"> 2016; </w:t>
      </w:r>
      <w:r w:rsidRPr="00820A7F">
        <w:rPr>
          <w:b/>
        </w:rPr>
        <w:t>71</w:t>
      </w:r>
      <w:r w:rsidRPr="00820A7F">
        <w:t>: 376-81.</w:t>
      </w:r>
    </w:p>
    <w:p w14:paraId="7A1341F8" w14:textId="77777777" w:rsidR="007E282B" w:rsidRPr="00820A7F" w:rsidRDefault="007E282B" w:rsidP="00820A7F">
      <w:pPr>
        <w:pStyle w:val="EndNoteBibliography"/>
        <w:spacing w:after="0"/>
        <w:ind w:left="720" w:hanging="720"/>
      </w:pPr>
      <w:r w:rsidRPr="00820A7F">
        <w:t>16</w:t>
      </w:r>
      <w:r w:rsidR="00BB67F9">
        <w:t>.</w:t>
      </w:r>
      <w:r w:rsidRPr="00820A7F">
        <w:tab/>
        <w:t xml:space="preserve">Scheen AJ, Paquot N. Extension des indications pour les antidiabétiques avec protection cardio-rénale dans les dernières recommandations internationales pour la prise en charge du patient diabétique de type 2 à risque. </w:t>
      </w:r>
      <w:r w:rsidRPr="00820A7F">
        <w:rPr>
          <w:i/>
        </w:rPr>
        <w:t>Rev Med Liege</w:t>
      </w:r>
      <w:r w:rsidRPr="00820A7F">
        <w:t xml:space="preserve"> 2020; </w:t>
      </w:r>
      <w:r w:rsidRPr="00820A7F">
        <w:rPr>
          <w:b/>
        </w:rPr>
        <w:t>75</w:t>
      </w:r>
      <w:r w:rsidRPr="00820A7F">
        <w:t>: 233-9.</w:t>
      </w:r>
    </w:p>
    <w:p w14:paraId="4FD6BA08" w14:textId="77777777" w:rsidR="007E282B" w:rsidRPr="00820A7F" w:rsidRDefault="007E282B" w:rsidP="00820A7F">
      <w:pPr>
        <w:pStyle w:val="EndNoteBibliography"/>
        <w:spacing w:after="0"/>
        <w:ind w:left="720" w:hanging="720"/>
      </w:pPr>
      <w:r w:rsidRPr="00820A7F">
        <w:t>17</w:t>
      </w:r>
      <w:r w:rsidR="00BB67F9">
        <w:t>.</w:t>
      </w:r>
      <w:r w:rsidRPr="00820A7F">
        <w:tab/>
        <w:t xml:space="preserve">Scheen AJ, Paquot N. Inhibiteur des SGLT2 ou agoniste des récepteurs du GLP-1 chez un patient diabétique de type 2 avec maladie cardiovasculaire ? </w:t>
      </w:r>
      <w:r w:rsidRPr="00820A7F">
        <w:rPr>
          <w:i/>
        </w:rPr>
        <w:t>Rev Med Liege</w:t>
      </w:r>
      <w:r w:rsidRPr="00820A7F">
        <w:t xml:space="preserve"> 2018; </w:t>
      </w:r>
      <w:r w:rsidRPr="00820A7F">
        <w:rPr>
          <w:b/>
        </w:rPr>
        <w:t>73</w:t>
      </w:r>
      <w:r w:rsidRPr="00820A7F">
        <w:t>: 43-50.</w:t>
      </w:r>
    </w:p>
    <w:p w14:paraId="7BABB752" w14:textId="77777777" w:rsidR="007E282B" w:rsidRPr="00820A7F" w:rsidRDefault="007E282B" w:rsidP="00820A7F">
      <w:pPr>
        <w:pStyle w:val="EndNoteBibliography"/>
        <w:spacing w:after="0"/>
        <w:ind w:left="720" w:hanging="720"/>
      </w:pPr>
      <w:r w:rsidRPr="00820A7F">
        <w:t>18</w:t>
      </w:r>
      <w:r w:rsidR="00BB67F9">
        <w:t>.</w:t>
      </w:r>
      <w:r w:rsidRPr="00820A7F">
        <w:tab/>
        <w:t xml:space="preserve">Scheen A, Delanaye P. Patient avec un diabète de type 2 et une maladie rénale chronique progressive. </w:t>
      </w:r>
      <w:r w:rsidRPr="00820A7F">
        <w:rPr>
          <w:i/>
        </w:rPr>
        <w:t>Rev Med Liege</w:t>
      </w:r>
      <w:r w:rsidRPr="00820A7F">
        <w:t xml:space="preserve"> 2025; </w:t>
      </w:r>
      <w:r w:rsidRPr="00820A7F">
        <w:rPr>
          <w:b/>
        </w:rPr>
        <w:t>80</w:t>
      </w:r>
      <w:r w:rsidRPr="00820A7F">
        <w:t>: 63-8.</w:t>
      </w:r>
    </w:p>
    <w:p w14:paraId="05A4ACA5" w14:textId="77777777" w:rsidR="007E282B" w:rsidRPr="00820A7F" w:rsidRDefault="007E282B" w:rsidP="00820A7F">
      <w:pPr>
        <w:pStyle w:val="EndNoteBibliography"/>
        <w:spacing w:after="0"/>
        <w:ind w:left="720" w:hanging="720"/>
      </w:pPr>
      <w:r w:rsidRPr="00820A7F">
        <w:t>19</w:t>
      </w:r>
      <w:r w:rsidR="00BB67F9">
        <w:t>.</w:t>
      </w:r>
      <w:r w:rsidRPr="00820A7F">
        <w:tab/>
        <w:t xml:space="preserve">Laraki I, Paquot N. Actualisation du traitement du diabète de type 2. </w:t>
      </w:r>
      <w:r w:rsidRPr="00820A7F">
        <w:rPr>
          <w:i/>
        </w:rPr>
        <w:t>Rev Med Liege</w:t>
      </w:r>
      <w:r w:rsidRPr="00820A7F">
        <w:t xml:space="preserve"> 2025; </w:t>
      </w:r>
      <w:r w:rsidRPr="00820A7F">
        <w:rPr>
          <w:b/>
        </w:rPr>
        <w:t>80</w:t>
      </w:r>
      <w:r w:rsidRPr="00820A7F">
        <w:t>: 416-21.</w:t>
      </w:r>
    </w:p>
    <w:p w14:paraId="197FE021" w14:textId="77777777" w:rsidR="007E282B" w:rsidRPr="00820A7F" w:rsidRDefault="007E282B" w:rsidP="00820A7F">
      <w:pPr>
        <w:pStyle w:val="EndNoteBibliography"/>
        <w:ind w:left="720" w:hanging="720"/>
      </w:pPr>
      <w:r w:rsidRPr="00820A7F">
        <w:t>20</w:t>
      </w:r>
      <w:r w:rsidR="00BB67F9">
        <w:t>.</w:t>
      </w:r>
      <w:r w:rsidRPr="00820A7F">
        <w:tab/>
        <w:t xml:space="preserve">Scheen AJ, Paquot N. Une révolution dans le traitement du diabète de type 2 : des antidiabétiques dotés d’une protection cardio-rénale indépendamment du contrôle glycémique ! </w:t>
      </w:r>
      <w:r w:rsidRPr="00820A7F">
        <w:rPr>
          <w:i/>
        </w:rPr>
        <w:t>Rev Med Liege</w:t>
      </w:r>
      <w:r w:rsidRPr="00820A7F">
        <w:t xml:space="preserve"> 2020; </w:t>
      </w:r>
      <w:r w:rsidRPr="00820A7F">
        <w:rPr>
          <w:b/>
        </w:rPr>
        <w:t>75</w:t>
      </w:r>
      <w:r w:rsidRPr="00820A7F">
        <w:t>: 392-8.</w:t>
      </w:r>
    </w:p>
    <w:p w14:paraId="59C60F94" w14:textId="77777777" w:rsidR="00C123F8" w:rsidRPr="00C123F8" w:rsidRDefault="00C123F8">
      <w:pPr>
        <w:rPr>
          <w:rFonts w:ascii="Times New Roman" w:hAnsi="Times New Roman" w:cs="Times New Roman"/>
          <w:color w:val="000000"/>
          <w:sz w:val="24"/>
          <w:szCs w:val="24"/>
        </w:rPr>
      </w:pPr>
      <w:r w:rsidRPr="00C123F8">
        <w:rPr>
          <w:rFonts w:ascii="Times New Roman" w:hAnsi="Times New Roman" w:cs="Times New Roman"/>
          <w:color w:val="000000"/>
          <w:sz w:val="24"/>
          <w:szCs w:val="24"/>
        </w:rPr>
        <w:t xml:space="preserve">Ce </w:t>
      </w:r>
      <w:r w:rsidR="00A02ECC">
        <w:rPr>
          <w:rFonts w:ascii="Times New Roman" w:hAnsi="Times New Roman" w:cs="Times New Roman"/>
          <w:color w:val="000000"/>
          <w:sz w:val="24"/>
          <w:szCs w:val="24"/>
        </w:rPr>
        <w:t xml:space="preserve">véritable </w:t>
      </w:r>
      <w:r w:rsidRPr="00C123F8">
        <w:rPr>
          <w:rFonts w:ascii="Times New Roman" w:hAnsi="Times New Roman" w:cs="Times New Roman"/>
          <w:color w:val="000000"/>
          <w:sz w:val="24"/>
          <w:szCs w:val="24"/>
        </w:rPr>
        <w:t>changement de paradigme d</w:t>
      </w:r>
      <w:r>
        <w:rPr>
          <w:rFonts w:ascii="Times New Roman" w:hAnsi="Times New Roman" w:cs="Times New Roman"/>
          <w:color w:val="000000"/>
          <w:sz w:val="24"/>
          <w:szCs w:val="24"/>
        </w:rPr>
        <w:t>ans la prise en char</w:t>
      </w:r>
      <w:r w:rsidR="00A02ECC">
        <w:rPr>
          <w:rFonts w:ascii="Times New Roman" w:hAnsi="Times New Roman" w:cs="Times New Roman"/>
          <w:color w:val="000000"/>
          <w:sz w:val="24"/>
          <w:szCs w:val="24"/>
        </w:rPr>
        <w:t>g</w:t>
      </w:r>
      <w:r>
        <w:rPr>
          <w:rFonts w:ascii="Times New Roman" w:hAnsi="Times New Roman" w:cs="Times New Roman"/>
          <w:color w:val="000000"/>
          <w:sz w:val="24"/>
          <w:szCs w:val="24"/>
        </w:rPr>
        <w:t>e du patient vivant avec un DT2</w:t>
      </w:r>
      <w:r w:rsidR="00A02ECC">
        <w:rPr>
          <w:rFonts w:ascii="Times New Roman" w:hAnsi="Times New Roman" w:cs="Times New Roman"/>
          <w:color w:val="000000"/>
          <w:sz w:val="24"/>
          <w:szCs w:val="24"/>
        </w:rPr>
        <w:t xml:space="preserve"> (21) a été entériné par les sociétés scientifiques européennes (22, 23) et américaines (24) et doit maintenant être implémenté systématiquement dans la pratique clinique.</w:t>
      </w:r>
    </w:p>
    <w:p w14:paraId="1E508672" w14:textId="77777777" w:rsidR="007E282B" w:rsidRDefault="00A02ECC">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21. </w:t>
      </w:r>
      <w:r w:rsidR="00C93EA1" w:rsidRPr="00C123F8">
        <w:rPr>
          <w:rFonts w:ascii="Times New Roman" w:hAnsi="Times New Roman" w:cs="Times New Roman"/>
          <w:color w:val="000000"/>
          <w:sz w:val="24"/>
          <w:szCs w:val="24"/>
          <w:lang w:val="en-US"/>
        </w:rPr>
        <w:t xml:space="preserve">Lee J-E, Won JC. </w:t>
      </w:r>
      <w:r w:rsidR="0000158B" w:rsidRPr="00C123F8">
        <w:rPr>
          <w:rFonts w:ascii="Times New Roman" w:hAnsi="Times New Roman" w:cs="Times New Roman"/>
          <w:color w:val="000000"/>
          <w:sz w:val="24"/>
          <w:szCs w:val="24"/>
          <w:lang w:val="en-US"/>
        </w:rPr>
        <w:t xml:space="preserve">Paradigm shift from </w:t>
      </w:r>
      <w:proofErr w:type="spellStart"/>
      <w:r w:rsidR="0000158B" w:rsidRPr="00C123F8">
        <w:rPr>
          <w:rFonts w:ascii="Times New Roman" w:hAnsi="Times New Roman" w:cs="Times New Roman"/>
          <w:color w:val="000000"/>
          <w:sz w:val="24"/>
          <w:szCs w:val="24"/>
          <w:lang w:val="en-US"/>
        </w:rPr>
        <w:t>glucocentric</w:t>
      </w:r>
      <w:proofErr w:type="spellEnd"/>
      <w:r w:rsidR="0000158B" w:rsidRPr="00C123F8">
        <w:rPr>
          <w:rFonts w:ascii="Times New Roman" w:hAnsi="Times New Roman" w:cs="Times New Roman"/>
          <w:color w:val="000000"/>
          <w:sz w:val="24"/>
          <w:szCs w:val="24"/>
          <w:lang w:val="en-US"/>
        </w:rPr>
        <w:t xml:space="preserve"> to organ protection for the management of hyperglycemia in patients with type 2 diabetes</w:t>
      </w:r>
      <w:r w:rsidR="00C93EA1" w:rsidRPr="00C123F8">
        <w:rPr>
          <w:rFonts w:ascii="Times New Roman" w:hAnsi="Times New Roman" w:cs="Times New Roman"/>
          <w:color w:val="000000"/>
          <w:sz w:val="24"/>
          <w:szCs w:val="24"/>
          <w:lang w:val="en-US"/>
        </w:rPr>
        <w:t xml:space="preserve">. Cardiovascular Prevention and Pharmacotherapy </w:t>
      </w:r>
      <w:proofErr w:type="gramStart"/>
      <w:r w:rsidR="00C93EA1" w:rsidRPr="00C123F8">
        <w:rPr>
          <w:rFonts w:ascii="Times New Roman" w:hAnsi="Times New Roman" w:cs="Times New Roman"/>
          <w:color w:val="000000"/>
          <w:sz w:val="24"/>
          <w:szCs w:val="24"/>
          <w:lang w:val="en-US"/>
        </w:rPr>
        <w:t>2024;6:116</w:t>
      </w:r>
      <w:proofErr w:type="gramEnd"/>
      <w:r w:rsidR="00C93EA1" w:rsidRPr="00C123F8">
        <w:rPr>
          <w:rFonts w:ascii="Times New Roman" w:hAnsi="Times New Roman" w:cs="Times New Roman"/>
          <w:color w:val="000000"/>
          <w:sz w:val="24"/>
          <w:szCs w:val="24"/>
          <w:lang w:val="en-US"/>
        </w:rPr>
        <w:t>-22. </w:t>
      </w:r>
    </w:p>
    <w:p w14:paraId="1242898D" w14:textId="77777777" w:rsidR="00A02ECC" w:rsidRPr="00A02ECC" w:rsidRDefault="00A02ECC">
      <w:pPr>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22. </w:t>
      </w:r>
      <w:r w:rsidRPr="00A02ECC">
        <w:rPr>
          <w:rFonts w:ascii="Times New Roman" w:hAnsi="Times New Roman" w:cs="Times New Roman"/>
          <w:color w:val="000000"/>
          <w:sz w:val="24"/>
          <w:szCs w:val="24"/>
        </w:rPr>
        <w:t xml:space="preserve">Davies MJ, </w:t>
      </w:r>
      <w:proofErr w:type="spellStart"/>
      <w:r w:rsidRPr="00A02ECC">
        <w:rPr>
          <w:rFonts w:ascii="Times New Roman" w:hAnsi="Times New Roman" w:cs="Times New Roman"/>
          <w:color w:val="000000"/>
          <w:sz w:val="24"/>
          <w:szCs w:val="24"/>
        </w:rPr>
        <w:t>Aroda</w:t>
      </w:r>
      <w:proofErr w:type="spellEnd"/>
      <w:r w:rsidRPr="00A02ECC">
        <w:rPr>
          <w:rFonts w:ascii="Times New Roman" w:hAnsi="Times New Roman" w:cs="Times New Roman"/>
          <w:color w:val="000000"/>
          <w:sz w:val="24"/>
          <w:szCs w:val="24"/>
        </w:rPr>
        <w:t xml:space="preserve"> VR, Collins BS, et al. </w:t>
      </w:r>
      <w:r w:rsidRPr="00A02ECC">
        <w:rPr>
          <w:rFonts w:ascii="Times New Roman" w:hAnsi="Times New Roman" w:cs="Times New Roman"/>
          <w:sz w:val="24"/>
          <w:szCs w:val="24"/>
          <w:lang w:val="en-US"/>
        </w:rPr>
        <w:t xml:space="preserve">Management of </w:t>
      </w:r>
      <w:proofErr w:type="spellStart"/>
      <w:r w:rsidRPr="00A02ECC">
        <w:rPr>
          <w:rFonts w:ascii="Times New Roman" w:hAnsi="Times New Roman" w:cs="Times New Roman"/>
          <w:sz w:val="24"/>
          <w:szCs w:val="24"/>
          <w:lang w:val="en-US"/>
        </w:rPr>
        <w:t>hyperglycaemia</w:t>
      </w:r>
      <w:proofErr w:type="spellEnd"/>
      <w:r w:rsidRPr="00A02ECC">
        <w:rPr>
          <w:rFonts w:ascii="Times New Roman" w:hAnsi="Times New Roman" w:cs="Times New Roman"/>
          <w:sz w:val="24"/>
          <w:szCs w:val="24"/>
          <w:lang w:val="en-US"/>
        </w:rPr>
        <w:t xml:space="preserve"> in type 2 diabetes, 2022. A consensus report by the American Diabetes Association (ADA) and the European Association for the Study of Diabetes (EASD). </w:t>
      </w:r>
      <w:proofErr w:type="spellStart"/>
      <w:r w:rsidRPr="00A02ECC">
        <w:rPr>
          <w:rFonts w:ascii="Times New Roman" w:hAnsi="Times New Roman" w:cs="Times New Roman"/>
          <w:sz w:val="24"/>
          <w:szCs w:val="24"/>
          <w:lang w:val="en-US"/>
        </w:rPr>
        <w:t>Diabetologia</w:t>
      </w:r>
      <w:proofErr w:type="spellEnd"/>
      <w:r w:rsidRPr="00A02ECC">
        <w:rPr>
          <w:rFonts w:ascii="Times New Roman" w:hAnsi="Times New Roman" w:cs="Times New Roman"/>
          <w:sz w:val="24"/>
          <w:szCs w:val="24"/>
          <w:lang w:val="en-US"/>
        </w:rPr>
        <w:t xml:space="preserve"> </w:t>
      </w:r>
      <w:proofErr w:type="gramStart"/>
      <w:r w:rsidRPr="00A02ECC">
        <w:rPr>
          <w:rFonts w:ascii="Times New Roman" w:hAnsi="Times New Roman" w:cs="Times New Roman"/>
          <w:sz w:val="24"/>
          <w:szCs w:val="24"/>
          <w:lang w:val="en-US"/>
        </w:rPr>
        <w:t>2022;65:1925</w:t>
      </w:r>
      <w:proofErr w:type="gramEnd"/>
      <w:r w:rsidRPr="00A02ECC">
        <w:rPr>
          <w:rFonts w:ascii="Times New Roman" w:hAnsi="Times New Roman" w:cs="Times New Roman"/>
          <w:sz w:val="24"/>
          <w:szCs w:val="24"/>
          <w:lang w:val="en-US"/>
        </w:rPr>
        <w:t>-66.</w:t>
      </w:r>
    </w:p>
    <w:p w14:paraId="1DA39A4D" w14:textId="77777777" w:rsidR="00C123F8" w:rsidRPr="00C123F8" w:rsidRDefault="00A02ECC" w:rsidP="00C123F8">
      <w:pPr>
        <w:shd w:val="clear" w:color="auto" w:fill="FFFFFF"/>
        <w:rPr>
          <w:rFonts w:ascii="Times New Roman" w:eastAsia="Times New Roman" w:hAnsi="Times New Roman" w:cs="Times New Roman"/>
          <w:color w:val="5B616B"/>
          <w:sz w:val="24"/>
          <w:szCs w:val="24"/>
          <w:lang w:val="en-US" w:eastAsia="fr-BE"/>
        </w:rPr>
      </w:pPr>
      <w:r>
        <w:rPr>
          <w:rFonts w:ascii="Times New Roman" w:eastAsia="Times New Roman" w:hAnsi="Times New Roman" w:cs="Times New Roman"/>
          <w:bCs/>
          <w:color w:val="212121"/>
          <w:kern w:val="36"/>
          <w:sz w:val="24"/>
          <w:szCs w:val="24"/>
          <w:lang w:val="en-US" w:eastAsia="fr-BE"/>
        </w:rPr>
        <w:t xml:space="preserve">23. </w:t>
      </w:r>
      <w:r w:rsidR="00C123F8" w:rsidRPr="00C123F8">
        <w:rPr>
          <w:rFonts w:ascii="Times New Roman" w:eastAsia="Times New Roman" w:hAnsi="Times New Roman" w:cs="Times New Roman"/>
          <w:bCs/>
          <w:color w:val="212121"/>
          <w:kern w:val="36"/>
          <w:sz w:val="24"/>
          <w:szCs w:val="24"/>
          <w:lang w:val="en-US" w:eastAsia="fr-BE"/>
        </w:rPr>
        <w:t xml:space="preserve">Marx N, Federici M, Schütt K, et al. 2023 ESC Guidelines for the management of cardiovascular disease in patients with diabetes. </w:t>
      </w:r>
      <w:r w:rsidR="00C123F8" w:rsidRPr="00C123F8">
        <w:rPr>
          <w:rFonts w:ascii="Times New Roman" w:eastAsia="Times New Roman" w:hAnsi="Times New Roman" w:cs="Times New Roman"/>
          <w:color w:val="5B616B"/>
          <w:sz w:val="24"/>
          <w:szCs w:val="24"/>
          <w:lang w:val="en-US" w:eastAsia="fr-BE"/>
        </w:rPr>
        <w:t xml:space="preserve">Eur Heart J </w:t>
      </w:r>
      <w:proofErr w:type="gramStart"/>
      <w:r w:rsidR="00C123F8" w:rsidRPr="00C123F8">
        <w:rPr>
          <w:rFonts w:ascii="Times New Roman" w:eastAsia="Times New Roman" w:hAnsi="Times New Roman" w:cs="Times New Roman"/>
          <w:color w:val="5B616B"/>
          <w:sz w:val="24"/>
          <w:szCs w:val="24"/>
          <w:shd w:val="clear" w:color="auto" w:fill="FFFFFF"/>
          <w:lang w:val="en-US" w:eastAsia="fr-BE"/>
        </w:rPr>
        <w:t>2023;44:4043</w:t>
      </w:r>
      <w:proofErr w:type="gramEnd"/>
      <w:r w:rsidR="00C123F8" w:rsidRPr="00C123F8">
        <w:rPr>
          <w:rFonts w:ascii="Times New Roman" w:eastAsia="Times New Roman" w:hAnsi="Times New Roman" w:cs="Times New Roman"/>
          <w:color w:val="5B616B"/>
          <w:sz w:val="24"/>
          <w:szCs w:val="24"/>
          <w:shd w:val="clear" w:color="auto" w:fill="FFFFFF"/>
          <w:lang w:val="en-US" w:eastAsia="fr-BE"/>
        </w:rPr>
        <w:t>-140.</w:t>
      </w:r>
    </w:p>
    <w:p w14:paraId="286338AB" w14:textId="77777777" w:rsidR="00C123F8" w:rsidRPr="00C123F8" w:rsidRDefault="00A02ECC">
      <w:pPr>
        <w:rPr>
          <w:rFonts w:ascii="Times New Roman" w:hAnsi="Times New Roman" w:cs="Times New Roman"/>
          <w:sz w:val="24"/>
          <w:szCs w:val="24"/>
          <w:lang w:val="en-US"/>
        </w:rPr>
      </w:pPr>
      <w:r>
        <w:rPr>
          <w:rFonts w:ascii="Times New Roman" w:hAnsi="Times New Roman" w:cs="Times New Roman"/>
          <w:sz w:val="24"/>
          <w:szCs w:val="24"/>
          <w:lang w:val="en-US"/>
        </w:rPr>
        <w:t xml:space="preserve">24. </w:t>
      </w:r>
      <w:r w:rsidR="00C123F8" w:rsidRPr="00C123F8">
        <w:rPr>
          <w:rFonts w:ascii="Times New Roman" w:hAnsi="Times New Roman" w:cs="Times New Roman"/>
          <w:sz w:val="24"/>
          <w:szCs w:val="24"/>
          <w:lang w:val="en-US"/>
        </w:rPr>
        <w:t>American Diabetes Association Professional Practice, Committee. 9. Pharmacologic approaches to glycemic treatment: standards of care in diabetes-2025. Diabetes Care 2025;48 (Suppl 1): S181-S206.</w:t>
      </w:r>
    </w:p>
    <w:p w14:paraId="0181B08C" w14:textId="77777777" w:rsidR="00A52CBA" w:rsidRPr="0000158B" w:rsidRDefault="00A52CBA">
      <w:pPr>
        <w:rPr>
          <w:lang w:val="en-US"/>
        </w:rPr>
      </w:pPr>
    </w:p>
    <w:sectPr w:rsidR="00A52CBA" w:rsidRPr="00001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19A9"/>
    <w:multiLevelType w:val="multilevel"/>
    <w:tmpl w:val="62CA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E5CCB"/>
    <w:multiLevelType w:val="hybridMultilevel"/>
    <w:tmpl w:val="D8408A38"/>
    <w:lvl w:ilvl="0" w:tplc="CD34E7D8">
      <w:start w:val="1"/>
      <w:numFmt w:val="decimal"/>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num w:numId="1" w16cid:durableId="793788020">
    <w:abstractNumId w:val="1"/>
  </w:num>
  <w:num w:numId="2" w16cid:durableId="83985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E282B"/>
    <w:rsid w:val="0000158B"/>
    <w:rsid w:val="001804E5"/>
    <w:rsid w:val="001F5929"/>
    <w:rsid w:val="007E282B"/>
    <w:rsid w:val="00803A6C"/>
    <w:rsid w:val="00A02ECC"/>
    <w:rsid w:val="00A52CBA"/>
    <w:rsid w:val="00B2249B"/>
    <w:rsid w:val="00BB67F9"/>
    <w:rsid w:val="00C123F8"/>
    <w:rsid w:val="00C93E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482C"/>
  <w15:chartTrackingRefBased/>
  <w15:docId w15:val="{8C387338-D0E8-41E0-8EDF-AD56BCF4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2B"/>
  </w:style>
  <w:style w:type="paragraph" w:styleId="Titre1">
    <w:name w:val="heading 1"/>
    <w:basedOn w:val="Normal"/>
    <w:link w:val="Titre1Car"/>
    <w:uiPriority w:val="9"/>
    <w:qFormat/>
    <w:rsid w:val="00C123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282B"/>
    <w:pPr>
      <w:ind w:left="720"/>
      <w:contextualSpacing/>
    </w:pPr>
  </w:style>
  <w:style w:type="paragraph" w:customStyle="1" w:styleId="EndNoteBibliographyTitle">
    <w:name w:val="EndNote Bibliography Title"/>
    <w:basedOn w:val="Normal"/>
    <w:link w:val="EndNoteBibliographyTitleCar"/>
    <w:rsid w:val="007E282B"/>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7E282B"/>
    <w:rPr>
      <w:rFonts w:ascii="Calibri" w:hAnsi="Calibri" w:cs="Calibri"/>
      <w:noProof/>
      <w:lang w:val="en-US"/>
    </w:rPr>
  </w:style>
  <w:style w:type="paragraph" w:customStyle="1" w:styleId="EndNoteBibliography">
    <w:name w:val="EndNote Bibliography"/>
    <w:basedOn w:val="Normal"/>
    <w:link w:val="EndNoteBibliographyCar"/>
    <w:rsid w:val="007E282B"/>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7E282B"/>
    <w:rPr>
      <w:rFonts w:ascii="Calibri" w:hAnsi="Calibri" w:cs="Calibri"/>
      <w:noProof/>
      <w:lang w:val="en-US"/>
    </w:rPr>
  </w:style>
  <w:style w:type="paragraph" w:styleId="PrformatHTML">
    <w:name w:val="HTML Preformatted"/>
    <w:basedOn w:val="Normal"/>
    <w:link w:val="PrformatHTMLCar"/>
    <w:uiPriority w:val="99"/>
    <w:semiHidden/>
    <w:unhideWhenUsed/>
    <w:rsid w:val="007E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7E282B"/>
    <w:rPr>
      <w:rFonts w:ascii="Courier New" w:eastAsia="Times New Roman" w:hAnsi="Courier New" w:cs="Courier New"/>
      <w:sz w:val="20"/>
      <w:szCs w:val="20"/>
      <w:lang w:eastAsia="fr-BE"/>
    </w:rPr>
  </w:style>
  <w:style w:type="character" w:customStyle="1" w:styleId="y2iqfc">
    <w:name w:val="y2iqfc"/>
    <w:basedOn w:val="Policepardfaut"/>
    <w:rsid w:val="007E282B"/>
  </w:style>
  <w:style w:type="character" w:customStyle="1" w:styleId="Titre1Car">
    <w:name w:val="Titre 1 Car"/>
    <w:basedOn w:val="Policepardfaut"/>
    <w:link w:val="Titre1"/>
    <w:uiPriority w:val="9"/>
    <w:rsid w:val="00C123F8"/>
    <w:rPr>
      <w:rFonts w:ascii="Times New Roman" w:eastAsia="Times New Roman" w:hAnsi="Times New Roman" w:cs="Times New Roman"/>
      <w:b/>
      <w:bCs/>
      <w:kern w:val="36"/>
      <w:sz w:val="48"/>
      <w:szCs w:val="48"/>
      <w:lang w:eastAsia="fr-BE"/>
    </w:rPr>
  </w:style>
  <w:style w:type="character" w:customStyle="1" w:styleId="period">
    <w:name w:val="period"/>
    <w:basedOn w:val="Policepardfaut"/>
    <w:rsid w:val="00C123F8"/>
  </w:style>
  <w:style w:type="character" w:customStyle="1" w:styleId="cit">
    <w:name w:val="cit"/>
    <w:basedOn w:val="Policepardfaut"/>
    <w:rsid w:val="00C12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385538">
      <w:bodyDiv w:val="1"/>
      <w:marLeft w:val="0"/>
      <w:marRight w:val="0"/>
      <w:marTop w:val="0"/>
      <w:marBottom w:val="0"/>
      <w:divBdr>
        <w:top w:val="none" w:sz="0" w:space="0" w:color="auto"/>
        <w:left w:val="none" w:sz="0" w:space="0" w:color="auto"/>
        <w:bottom w:val="none" w:sz="0" w:space="0" w:color="auto"/>
        <w:right w:val="none" w:sz="0" w:space="0" w:color="auto"/>
      </w:divBdr>
      <w:divsChild>
        <w:div w:id="1995059555">
          <w:marLeft w:val="0"/>
          <w:marRight w:val="0"/>
          <w:marTop w:val="0"/>
          <w:marBottom w:val="0"/>
          <w:divBdr>
            <w:top w:val="none" w:sz="0" w:space="0" w:color="auto"/>
            <w:left w:val="none" w:sz="0" w:space="0" w:color="auto"/>
            <w:bottom w:val="none" w:sz="0" w:space="0" w:color="auto"/>
            <w:right w:val="none" w:sz="0" w:space="0" w:color="auto"/>
          </w:divBdr>
          <w:divsChild>
            <w:div w:id="8246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1627</Words>
  <Characters>8950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Scheen</dc:creator>
  <cp:keywords/>
  <dc:description/>
  <cp:lastModifiedBy>Monique Marchand</cp:lastModifiedBy>
  <cp:revision>2</cp:revision>
  <dcterms:created xsi:type="dcterms:W3CDTF">2026-01-30T09:26:00Z</dcterms:created>
  <dcterms:modified xsi:type="dcterms:W3CDTF">2026-01-30T09:26:00Z</dcterms:modified>
</cp:coreProperties>
</file>