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0A1A7" w14:textId="48CAB375" w:rsidR="00881152" w:rsidRDefault="00FD3BEE" w:rsidP="00881152">
      <w:pPr>
        <w:jc w:val="center"/>
        <w:rPr>
          <w:b/>
          <w:bCs/>
          <w:sz w:val="32"/>
          <w:szCs w:val="32"/>
          <w:lang w:val="en-US"/>
        </w:rPr>
      </w:pPr>
      <w:bookmarkStart w:id="0" w:name="_Hlk177393657"/>
      <w:bookmarkEnd w:id="0"/>
      <w:r w:rsidRPr="00FD3BEE">
        <w:rPr>
          <w:b/>
          <w:bCs/>
          <w:sz w:val="32"/>
          <w:szCs w:val="32"/>
          <w:lang w:val="en-US"/>
        </w:rPr>
        <w:t>Optimized carbon supports for durable and high performance PEMFC electrodes</w:t>
      </w:r>
    </w:p>
    <w:p w14:paraId="6B655999" w14:textId="77777777" w:rsidR="00FD3BEE" w:rsidRPr="00FD3BEE" w:rsidRDefault="00FD3BEE" w:rsidP="00881152">
      <w:pPr>
        <w:jc w:val="center"/>
        <w:rPr>
          <w:bCs/>
          <w:szCs w:val="24"/>
          <w:lang w:val="en-US"/>
        </w:rPr>
      </w:pPr>
    </w:p>
    <w:p w14:paraId="419AF176" w14:textId="6DD21BD8" w:rsidR="008664E0" w:rsidRDefault="00FD3BEE" w:rsidP="008664E0">
      <w:pPr>
        <w:jc w:val="center"/>
        <w:rPr>
          <w:b/>
          <w:szCs w:val="24"/>
          <w:u w:val="single"/>
          <w:lang w:val="en-US"/>
        </w:rPr>
      </w:pPr>
      <w:r w:rsidRPr="00FD3BEE">
        <w:rPr>
          <w:b/>
          <w:szCs w:val="24"/>
          <w:u w:val="single"/>
          <w:lang w:val="en-US"/>
        </w:rPr>
        <w:t>Bryan Carré</w:t>
      </w:r>
      <w:r w:rsidRPr="00C01A30">
        <w:rPr>
          <w:b/>
          <w:szCs w:val="24"/>
          <w:lang w:val="en-US"/>
        </w:rPr>
        <w:t>, Berke Karaman, Nathalie Job</w:t>
      </w:r>
    </w:p>
    <w:p w14:paraId="6E34A52D" w14:textId="77777777" w:rsidR="00FD3BEE" w:rsidRPr="00FD3BEE" w:rsidRDefault="00FD3BEE" w:rsidP="008664E0">
      <w:pPr>
        <w:jc w:val="center"/>
        <w:rPr>
          <w:i/>
          <w:iCs/>
          <w:sz w:val="22"/>
          <w:lang w:val="en-US"/>
        </w:rPr>
      </w:pPr>
    </w:p>
    <w:p w14:paraId="3342CF95" w14:textId="358347E7" w:rsidR="00965F1A" w:rsidRPr="00FD3BEE" w:rsidRDefault="00FD3BEE" w:rsidP="00881152">
      <w:pPr>
        <w:jc w:val="center"/>
        <w:rPr>
          <w:i/>
          <w:iCs/>
          <w:sz w:val="20"/>
          <w:lang w:val="en-US"/>
        </w:rPr>
      </w:pPr>
      <w:r w:rsidRPr="00FD3BEE">
        <w:rPr>
          <w:i/>
          <w:lang w:val="en-US"/>
        </w:rPr>
        <w:t>Department of Chemical Engineering - NCE (Nanomaterials, Catalysis, Electrochemistry), University of Liège, 4000 Liège, Belgium</w:t>
      </w:r>
    </w:p>
    <w:p w14:paraId="30C6F499" w14:textId="77777777" w:rsidR="008664E0" w:rsidRPr="00FD3BEE" w:rsidRDefault="008664E0" w:rsidP="008664E0">
      <w:pPr>
        <w:rPr>
          <w:b/>
          <w:szCs w:val="28"/>
          <w:lang w:val="en-US"/>
        </w:rPr>
      </w:pPr>
    </w:p>
    <w:p w14:paraId="20D41B8D" w14:textId="77777777" w:rsidR="00FD3BEE" w:rsidRPr="00FD3BEE" w:rsidRDefault="00FD3BEE" w:rsidP="00FD3BEE">
      <w:pPr>
        <w:ind w:firstLine="680"/>
        <w:rPr>
          <w:szCs w:val="24"/>
          <w:lang w:val="en-US"/>
        </w:rPr>
      </w:pPr>
    </w:p>
    <w:p w14:paraId="0431C4D2" w14:textId="15D94948" w:rsidR="00FD3BEE" w:rsidRPr="00FD3BEE" w:rsidRDefault="00FD3BEE" w:rsidP="00FD3BEE">
      <w:pPr>
        <w:ind w:firstLine="680"/>
        <w:rPr>
          <w:szCs w:val="24"/>
        </w:rPr>
      </w:pPr>
      <w:r w:rsidRPr="00FD3BEE">
        <w:rPr>
          <w:szCs w:val="24"/>
        </w:rPr>
        <w:t>La pile à combustible à membrane échangeuse de proton (PEMFC) est un système électrochimique utilisant les réactions d’oxydation de H</w:t>
      </w:r>
      <w:r w:rsidRPr="00FD3BEE">
        <w:rPr>
          <w:szCs w:val="24"/>
          <w:vertAlign w:val="subscript"/>
        </w:rPr>
        <w:t>2</w:t>
      </w:r>
      <w:r w:rsidRPr="00FD3BEE">
        <w:rPr>
          <w:szCs w:val="24"/>
        </w:rPr>
        <w:t xml:space="preserve"> (HER) et de réduction de O</w:t>
      </w:r>
      <w:r w:rsidRPr="00FD3BEE">
        <w:rPr>
          <w:szCs w:val="24"/>
          <w:vertAlign w:val="subscript"/>
        </w:rPr>
        <w:t>2</w:t>
      </w:r>
      <w:r w:rsidRPr="00FD3BEE">
        <w:rPr>
          <w:szCs w:val="24"/>
        </w:rPr>
        <w:t xml:space="preserve"> (ORR) pour générer un courant électrique. Cependant, l’ORR est une réaction particulièrement lente cinétiquement rendant nécessaire la présence d’une couche catalytique. Cette dernière est constituée le plus souvent d’un catalyseur métallique (généralement</w:t>
      </w:r>
      <w:r w:rsidR="000526FF">
        <w:rPr>
          <w:szCs w:val="24"/>
        </w:rPr>
        <w:t xml:space="preserve"> du</w:t>
      </w:r>
      <w:r w:rsidRPr="00FD3BEE">
        <w:rPr>
          <w:szCs w:val="24"/>
        </w:rPr>
        <w:t xml:space="preserve"> </w:t>
      </w:r>
      <w:r w:rsidR="000526FF">
        <w:rPr>
          <w:szCs w:val="24"/>
        </w:rPr>
        <w:t>platine</w:t>
      </w:r>
      <w:r w:rsidRPr="00FD3BEE">
        <w:rPr>
          <w:szCs w:val="24"/>
        </w:rPr>
        <w:t xml:space="preserve">) sous forme de nanoparticules supportées sur un matériau conducteur (carbone) et d’un </w:t>
      </w:r>
      <w:proofErr w:type="spellStart"/>
      <w:r w:rsidRPr="00FD3BEE">
        <w:rPr>
          <w:szCs w:val="24"/>
        </w:rPr>
        <w:t>ionomère</w:t>
      </w:r>
      <w:proofErr w:type="spellEnd"/>
      <w:r w:rsidRPr="00FD3BEE">
        <w:rPr>
          <w:szCs w:val="24"/>
        </w:rPr>
        <w:t xml:space="preserve"> (</w:t>
      </w:r>
      <w:proofErr w:type="spellStart"/>
      <w:r w:rsidRPr="00FD3BEE">
        <w:rPr>
          <w:szCs w:val="24"/>
        </w:rPr>
        <w:t>Nafion</w:t>
      </w:r>
      <w:proofErr w:type="spellEnd"/>
      <w:r w:rsidRPr="00FD3BEE">
        <w:rPr>
          <w:szCs w:val="24"/>
          <w:vertAlign w:val="superscript"/>
        </w:rPr>
        <w:t>®</w:t>
      </w:r>
      <w:r w:rsidRPr="00FD3BEE">
        <w:rPr>
          <w:szCs w:val="24"/>
        </w:rPr>
        <w:t xml:space="preserve">). Ici, les </w:t>
      </w:r>
      <w:proofErr w:type="spellStart"/>
      <w:r w:rsidRPr="00FD3BEE">
        <w:rPr>
          <w:szCs w:val="24"/>
        </w:rPr>
        <w:t>xérogels</w:t>
      </w:r>
      <w:proofErr w:type="spellEnd"/>
      <w:r w:rsidRPr="00FD3BEE">
        <w:rPr>
          <w:szCs w:val="24"/>
        </w:rPr>
        <w:t xml:space="preserve"> de carbone sont étudiés comme substituts aux noirs de carbone classiquement utilisés comme support carboné dans l’industrie.</w:t>
      </w:r>
    </w:p>
    <w:p w14:paraId="0458628B" w14:textId="77777777" w:rsidR="00FD3BEE" w:rsidRPr="00FD3BEE" w:rsidRDefault="00FD3BEE" w:rsidP="00FD3BEE">
      <w:pPr>
        <w:ind w:firstLine="680"/>
        <w:rPr>
          <w:szCs w:val="24"/>
        </w:rPr>
      </w:pPr>
    </w:p>
    <w:p w14:paraId="4DC90F17" w14:textId="77777777" w:rsidR="00FD3BEE" w:rsidRPr="00FD3BEE" w:rsidRDefault="00FD3BEE" w:rsidP="00FD3BEE">
      <w:pPr>
        <w:ind w:firstLine="680"/>
        <w:rPr>
          <w:szCs w:val="24"/>
        </w:rPr>
      </w:pPr>
      <w:r w:rsidRPr="00FD3BEE">
        <w:rPr>
          <w:szCs w:val="24"/>
        </w:rPr>
        <w:t xml:space="preserve">Ces gels de carbone sont constitués de nodules sphériques dont la taille est contrôlable via les paramètres réactionnels, ce qui permet un ajustement de la texture poreuse qui n’est pas possible avec les noirs de carbone. Cependant, la surface amorphe des </w:t>
      </w:r>
      <w:proofErr w:type="spellStart"/>
      <w:r w:rsidRPr="00FD3BEE">
        <w:rPr>
          <w:szCs w:val="24"/>
        </w:rPr>
        <w:t>xérogels</w:t>
      </w:r>
      <w:proofErr w:type="spellEnd"/>
      <w:r w:rsidRPr="00FD3BEE">
        <w:rPr>
          <w:szCs w:val="24"/>
        </w:rPr>
        <w:t xml:space="preserve"> leur confère une faible résistance à la corrosion dans les conditions de fonctionnement de la pile. Il est cependant possible d’améliorer les performances de ce type de support. Pour ce faire, la surface des </w:t>
      </w:r>
      <w:proofErr w:type="spellStart"/>
      <w:r w:rsidRPr="00FD3BEE">
        <w:rPr>
          <w:szCs w:val="24"/>
        </w:rPr>
        <w:t>xérogels</w:t>
      </w:r>
      <w:proofErr w:type="spellEnd"/>
      <w:r w:rsidRPr="00FD3BEE">
        <w:rPr>
          <w:szCs w:val="24"/>
        </w:rPr>
        <w:t xml:space="preserve"> peut être couverte par une couche de carbone graphitique via un dépôt chimique en phase vapeur (CVD). La couche déposée devrait être plus résistante à la corrosion. Une seconde manière de rendre les catalyseurs plus résistants au vieillissement est d’ancrer les nanoparticules métalliques par interaction avec des groupements azotés. La couche sera donc dopée par des atomes d’azote qui auront pour but de promouvoir la dispersion du catalyseur platine et d’accroître la force de liaison support – catalyseur.</w:t>
      </w:r>
    </w:p>
    <w:p w14:paraId="3554BFB8" w14:textId="77777777" w:rsidR="00FD3BEE" w:rsidRPr="00FD3BEE" w:rsidRDefault="00FD3BEE" w:rsidP="00FD3BEE">
      <w:pPr>
        <w:ind w:firstLine="680"/>
        <w:rPr>
          <w:szCs w:val="24"/>
        </w:rPr>
      </w:pPr>
    </w:p>
    <w:p w14:paraId="5BA25C95" w14:textId="0F4BD1EF" w:rsidR="00B939BD" w:rsidRDefault="00FD3BEE" w:rsidP="00FD3BEE">
      <w:pPr>
        <w:ind w:firstLine="680"/>
        <w:rPr>
          <w:szCs w:val="24"/>
        </w:rPr>
      </w:pPr>
      <w:r w:rsidRPr="00FD3BEE">
        <w:rPr>
          <w:szCs w:val="24"/>
        </w:rPr>
        <w:t xml:space="preserve">Les performances catalytiques des catalyseurs sans et avec dépôt CVD ont été étudiées par </w:t>
      </w:r>
      <w:proofErr w:type="spellStart"/>
      <w:r w:rsidRPr="00FD3BEE">
        <w:rPr>
          <w:szCs w:val="24"/>
        </w:rPr>
        <w:t>voltampérométrie</w:t>
      </w:r>
      <w:proofErr w:type="spellEnd"/>
      <w:r w:rsidRPr="00FD3BEE">
        <w:rPr>
          <w:szCs w:val="24"/>
        </w:rPr>
        <w:t xml:space="preserve"> cyclique en présence de N</w:t>
      </w:r>
      <w:r w:rsidRPr="00EB1D44">
        <w:rPr>
          <w:szCs w:val="24"/>
          <w:vertAlign w:val="subscript"/>
        </w:rPr>
        <w:t>2</w:t>
      </w:r>
      <w:r w:rsidRPr="00FD3BEE">
        <w:rPr>
          <w:szCs w:val="24"/>
        </w:rPr>
        <w:t>, de O</w:t>
      </w:r>
      <w:r w:rsidRPr="00EB1D44">
        <w:rPr>
          <w:szCs w:val="24"/>
          <w:vertAlign w:val="subscript"/>
        </w:rPr>
        <w:t>2</w:t>
      </w:r>
      <w:r w:rsidRPr="00FD3BEE">
        <w:rPr>
          <w:szCs w:val="24"/>
        </w:rPr>
        <w:t xml:space="preserve"> et de CO [Figure 1]. L’activité catalytique massique et spécifique, ainsi que la surface de platine </w:t>
      </w:r>
      <w:proofErr w:type="spellStart"/>
      <w:r w:rsidRPr="00FD3BEE">
        <w:rPr>
          <w:szCs w:val="24"/>
        </w:rPr>
        <w:t>électrochimiquement</w:t>
      </w:r>
      <w:proofErr w:type="spellEnd"/>
      <w:r w:rsidRPr="00FD3BEE">
        <w:rPr>
          <w:szCs w:val="24"/>
        </w:rPr>
        <w:t xml:space="preserve"> active (ECSA) de la couche catalytique peuvent être déterminées par ces méthodes. Ainsi, l’ECSA passe de 125 m²/</w:t>
      </w:r>
      <w:proofErr w:type="spellStart"/>
      <w:r w:rsidRPr="00FD3BEE">
        <w:rPr>
          <w:szCs w:val="24"/>
        </w:rPr>
        <w:t>g</w:t>
      </w:r>
      <w:r w:rsidRPr="00EB1D44">
        <w:rPr>
          <w:szCs w:val="24"/>
          <w:vertAlign w:val="subscript"/>
        </w:rPr>
        <w:t>Pt</w:t>
      </w:r>
      <w:proofErr w:type="spellEnd"/>
      <w:r w:rsidRPr="00FD3BEE">
        <w:rPr>
          <w:szCs w:val="24"/>
        </w:rPr>
        <w:t xml:space="preserve"> pour un </w:t>
      </w:r>
      <w:proofErr w:type="spellStart"/>
      <w:r w:rsidRPr="00FD3BEE">
        <w:rPr>
          <w:szCs w:val="24"/>
        </w:rPr>
        <w:t>xérogel</w:t>
      </w:r>
      <w:proofErr w:type="spellEnd"/>
      <w:r w:rsidRPr="00FD3BEE">
        <w:rPr>
          <w:szCs w:val="24"/>
        </w:rPr>
        <w:t xml:space="preserve"> de carbone non traité à 98 m²/</w:t>
      </w:r>
      <w:proofErr w:type="spellStart"/>
      <w:r w:rsidRPr="00FD3BEE">
        <w:rPr>
          <w:szCs w:val="24"/>
        </w:rPr>
        <w:t>g</w:t>
      </w:r>
      <w:r w:rsidRPr="00EB1D44">
        <w:rPr>
          <w:szCs w:val="24"/>
          <w:vertAlign w:val="subscript"/>
        </w:rPr>
        <w:t>Pt</w:t>
      </w:r>
      <w:proofErr w:type="spellEnd"/>
      <w:r w:rsidRPr="00FD3BEE">
        <w:rPr>
          <w:szCs w:val="24"/>
        </w:rPr>
        <w:t xml:space="preserve"> pour un échantillon traité par CVD. Cependant, les activités spécifiques et massiques augmentent respectivement de 0,114 A/m²Pt à 0,165 A/m²</w:t>
      </w:r>
      <w:r w:rsidRPr="00EB1D44">
        <w:rPr>
          <w:szCs w:val="24"/>
          <w:vertAlign w:val="subscript"/>
        </w:rPr>
        <w:t>Pt</w:t>
      </w:r>
      <w:r w:rsidRPr="00FD3BEE">
        <w:rPr>
          <w:szCs w:val="24"/>
        </w:rPr>
        <w:t xml:space="preserve"> et de 13,6 A/</w:t>
      </w:r>
      <w:proofErr w:type="spellStart"/>
      <w:r w:rsidRPr="00FD3BEE">
        <w:rPr>
          <w:szCs w:val="24"/>
        </w:rPr>
        <w:t>g</w:t>
      </w:r>
      <w:r w:rsidRPr="00EB1D44">
        <w:rPr>
          <w:szCs w:val="24"/>
          <w:vertAlign w:val="subscript"/>
        </w:rPr>
        <w:t>Pt</w:t>
      </w:r>
      <w:proofErr w:type="spellEnd"/>
      <w:r w:rsidRPr="00FD3BEE">
        <w:rPr>
          <w:szCs w:val="24"/>
        </w:rPr>
        <w:t xml:space="preserve"> à 15,8 A/</w:t>
      </w:r>
      <w:proofErr w:type="spellStart"/>
      <w:r w:rsidRPr="00FD3BEE">
        <w:rPr>
          <w:szCs w:val="24"/>
        </w:rPr>
        <w:t>g</w:t>
      </w:r>
      <w:r w:rsidRPr="00EB1D44">
        <w:rPr>
          <w:szCs w:val="24"/>
          <w:vertAlign w:val="subscript"/>
        </w:rPr>
        <w:t>Pt</w:t>
      </w:r>
      <w:proofErr w:type="spellEnd"/>
      <w:r w:rsidRPr="00FD3BEE">
        <w:rPr>
          <w:szCs w:val="24"/>
        </w:rPr>
        <w:t xml:space="preserve">, indiquant ainsi que la nouvelle couche de carbone couvrant le </w:t>
      </w:r>
      <w:proofErr w:type="spellStart"/>
      <w:r w:rsidRPr="00FD3BEE">
        <w:rPr>
          <w:szCs w:val="24"/>
        </w:rPr>
        <w:t>xérogel</w:t>
      </w:r>
      <w:proofErr w:type="spellEnd"/>
      <w:r w:rsidRPr="00FD3BEE">
        <w:rPr>
          <w:szCs w:val="24"/>
        </w:rPr>
        <w:t xml:space="preserve"> ne dégrade pas les performances catalytiques du matériau. La résistance à la corrosion est à présent évaluée par des tests de vieillissement accélérés. Le dopage des matériaux par l’azote est également en cours.</w:t>
      </w:r>
    </w:p>
    <w:p w14:paraId="407C8CFE" w14:textId="77777777" w:rsidR="007B310E" w:rsidRDefault="007B310E" w:rsidP="00FD3BEE">
      <w:pPr>
        <w:ind w:firstLine="680"/>
        <w:rPr>
          <w:szCs w:val="24"/>
        </w:rPr>
      </w:pPr>
    </w:p>
    <w:p w14:paraId="0C07C9DF" w14:textId="00835B3F" w:rsidR="00FD3BEE" w:rsidRDefault="007B310E" w:rsidP="007B310E">
      <w:pPr>
        <w:ind w:firstLine="680"/>
        <w:jc w:val="left"/>
        <w:rPr>
          <w:szCs w:val="24"/>
        </w:rPr>
      </w:pPr>
      <w:r>
        <w:rPr>
          <w:noProof/>
          <w:szCs w:val="24"/>
        </w:rPr>
        <w:drawing>
          <wp:inline distT="0" distB="0" distL="0" distR="0" wp14:anchorId="4A502B92" wp14:editId="6B9FBCE8">
            <wp:extent cx="5324788" cy="2028825"/>
            <wp:effectExtent l="0" t="0" r="9525" b="0"/>
            <wp:docPr id="1577116464" name="Picture 1" descr="A graph of a graph of a substan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16464" name="Picture 1" descr="A graph of a graph of a substanc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9001" cy="2030430"/>
                    </a:xfrm>
                    <a:prstGeom prst="rect">
                      <a:avLst/>
                    </a:prstGeom>
                    <a:noFill/>
                  </pic:spPr>
                </pic:pic>
              </a:graphicData>
            </a:graphic>
          </wp:inline>
        </w:drawing>
      </w:r>
    </w:p>
    <w:p w14:paraId="59F9CBBC" w14:textId="77777777" w:rsidR="008E31EE" w:rsidRPr="00DB78A1" w:rsidRDefault="008E31EE" w:rsidP="005918AA">
      <w:pPr>
        <w:rPr>
          <w:b/>
          <w:color w:val="FF0000"/>
        </w:rPr>
      </w:pPr>
    </w:p>
    <w:sectPr w:rsidR="008E31EE" w:rsidRPr="00DB78A1" w:rsidSect="005918AA">
      <w:footerReference w:type="even" r:id="rId8"/>
      <w:type w:val="continuous"/>
      <w:pgSz w:w="11907" w:h="16840" w:code="9"/>
      <w:pgMar w:top="992" w:right="1134" w:bottom="992" w:left="1134"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C5B13" w14:textId="77777777" w:rsidR="00997503" w:rsidRDefault="00997503">
      <w:r>
        <w:separator/>
      </w:r>
    </w:p>
  </w:endnote>
  <w:endnote w:type="continuationSeparator" w:id="0">
    <w:p w14:paraId="7FE70848" w14:textId="77777777" w:rsidR="00997503" w:rsidRDefault="0099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3A3F" w14:textId="77777777" w:rsidR="00922496" w:rsidRDefault="00922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79B6">
      <w:rPr>
        <w:rStyle w:val="PageNumber"/>
        <w:noProof/>
      </w:rPr>
      <w:t>2</w:t>
    </w:r>
    <w:r>
      <w:rPr>
        <w:rStyle w:val="PageNumber"/>
      </w:rPr>
      <w:fldChar w:fldCharType="end"/>
    </w:r>
  </w:p>
  <w:p w14:paraId="3225638C" w14:textId="77777777" w:rsidR="00922496" w:rsidRDefault="00922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2CF40" w14:textId="77777777" w:rsidR="00997503" w:rsidRDefault="00997503">
      <w:r>
        <w:separator/>
      </w:r>
    </w:p>
  </w:footnote>
  <w:footnote w:type="continuationSeparator" w:id="0">
    <w:p w14:paraId="1A7CE04F" w14:textId="77777777" w:rsidR="00997503" w:rsidRDefault="0099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44465"/>
    <w:multiLevelType w:val="hybridMultilevel"/>
    <w:tmpl w:val="8B082C1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0E36748"/>
    <w:multiLevelType w:val="hybridMultilevel"/>
    <w:tmpl w:val="60B67DE0"/>
    <w:lvl w:ilvl="0" w:tplc="3196B1CC">
      <w:start w:val="2"/>
      <w:numFmt w:val="decimal"/>
      <w:lvlText w:val="%1-"/>
      <w:lvlJc w:val="left"/>
      <w:pPr>
        <w:tabs>
          <w:tab w:val="num" w:pos="720"/>
        </w:tabs>
        <w:ind w:left="720" w:hanging="360"/>
      </w:pPr>
      <w:rPr>
        <w:rFonts w:hint="default"/>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14E78B3"/>
    <w:multiLevelType w:val="singleLevel"/>
    <w:tmpl w:val="040C0013"/>
    <w:lvl w:ilvl="0">
      <w:start w:val="1"/>
      <w:numFmt w:val="upperRoman"/>
      <w:lvlText w:val="%1."/>
      <w:lvlJc w:val="left"/>
      <w:pPr>
        <w:tabs>
          <w:tab w:val="num" w:pos="720"/>
        </w:tabs>
        <w:ind w:left="720" w:hanging="720"/>
      </w:pPr>
      <w:rPr>
        <w:rFonts w:hint="default"/>
      </w:rPr>
    </w:lvl>
  </w:abstractNum>
  <w:abstractNum w:abstractNumId="3" w15:restartNumberingAfterBreak="0">
    <w:nsid w:val="44FB206B"/>
    <w:multiLevelType w:val="hybridMultilevel"/>
    <w:tmpl w:val="54581280"/>
    <w:lvl w:ilvl="0" w:tplc="07BAB244">
      <w:start w:val="1"/>
      <w:numFmt w:val="decimal"/>
      <w:lvlText w:val="%1-"/>
      <w:lvlJc w:val="left"/>
      <w:pPr>
        <w:tabs>
          <w:tab w:val="num" w:pos="855"/>
        </w:tabs>
        <w:ind w:left="855" w:hanging="495"/>
      </w:pPr>
      <w:rPr>
        <w:rFonts w:hint="default"/>
        <w:sz w:val="30"/>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78434492">
    <w:abstractNumId w:val="2"/>
  </w:num>
  <w:num w:numId="2" w16cid:durableId="282150722">
    <w:abstractNumId w:val="0"/>
  </w:num>
  <w:num w:numId="3" w16cid:durableId="8720394">
    <w:abstractNumId w:val="3"/>
  </w:num>
  <w:num w:numId="4" w16cid:durableId="252788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embedSystemFonts/>
  <w:mirrorMargins/>
  <w:activeWritingStyle w:appName="MSWord" w:lang="fr-FR"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91E"/>
    <w:rsid w:val="0002675A"/>
    <w:rsid w:val="0003386B"/>
    <w:rsid w:val="00034E38"/>
    <w:rsid w:val="0003549E"/>
    <w:rsid w:val="000526FF"/>
    <w:rsid w:val="000B0902"/>
    <w:rsid w:val="000B77C0"/>
    <w:rsid w:val="000E2ED2"/>
    <w:rsid w:val="00105DE4"/>
    <w:rsid w:val="001226AF"/>
    <w:rsid w:val="00145E52"/>
    <w:rsid w:val="001940FC"/>
    <w:rsid w:val="001B4B98"/>
    <w:rsid w:val="001C219E"/>
    <w:rsid w:val="001C4DB0"/>
    <w:rsid w:val="001D0FD0"/>
    <w:rsid w:val="001E0D4D"/>
    <w:rsid w:val="001E27FD"/>
    <w:rsid w:val="00244D7C"/>
    <w:rsid w:val="00263E5B"/>
    <w:rsid w:val="002C3D54"/>
    <w:rsid w:val="002E43D1"/>
    <w:rsid w:val="002F091E"/>
    <w:rsid w:val="002F3E69"/>
    <w:rsid w:val="00324AFC"/>
    <w:rsid w:val="00325230"/>
    <w:rsid w:val="00352830"/>
    <w:rsid w:val="00360560"/>
    <w:rsid w:val="00367A9A"/>
    <w:rsid w:val="00391EEF"/>
    <w:rsid w:val="00392F67"/>
    <w:rsid w:val="003A4EFF"/>
    <w:rsid w:val="003F4C1B"/>
    <w:rsid w:val="00413247"/>
    <w:rsid w:val="00425BBB"/>
    <w:rsid w:val="0045137C"/>
    <w:rsid w:val="0046242A"/>
    <w:rsid w:val="004A2926"/>
    <w:rsid w:val="004B7725"/>
    <w:rsid w:val="004C1A99"/>
    <w:rsid w:val="00504193"/>
    <w:rsid w:val="00521FAF"/>
    <w:rsid w:val="00524AFF"/>
    <w:rsid w:val="00543BD0"/>
    <w:rsid w:val="005918AA"/>
    <w:rsid w:val="005928C0"/>
    <w:rsid w:val="005A3E3E"/>
    <w:rsid w:val="005B31D9"/>
    <w:rsid w:val="005B5DCA"/>
    <w:rsid w:val="005D7B16"/>
    <w:rsid w:val="006B60E3"/>
    <w:rsid w:val="006C1D39"/>
    <w:rsid w:val="006C3C55"/>
    <w:rsid w:val="006D2D0B"/>
    <w:rsid w:val="007229F6"/>
    <w:rsid w:val="00724899"/>
    <w:rsid w:val="00726F6D"/>
    <w:rsid w:val="007431C0"/>
    <w:rsid w:val="007B310E"/>
    <w:rsid w:val="007C5E5E"/>
    <w:rsid w:val="007F4ED3"/>
    <w:rsid w:val="00804664"/>
    <w:rsid w:val="0081662E"/>
    <w:rsid w:val="00816EBB"/>
    <w:rsid w:val="00853DE4"/>
    <w:rsid w:val="008664E0"/>
    <w:rsid w:val="00881152"/>
    <w:rsid w:val="008958CD"/>
    <w:rsid w:val="008C77B6"/>
    <w:rsid w:val="008E31EE"/>
    <w:rsid w:val="008F3516"/>
    <w:rsid w:val="00922496"/>
    <w:rsid w:val="00950DE2"/>
    <w:rsid w:val="00952AAF"/>
    <w:rsid w:val="00965F1A"/>
    <w:rsid w:val="00975ED3"/>
    <w:rsid w:val="00995CD7"/>
    <w:rsid w:val="00997503"/>
    <w:rsid w:val="009C37AE"/>
    <w:rsid w:val="00A17964"/>
    <w:rsid w:val="00A17986"/>
    <w:rsid w:val="00A21C85"/>
    <w:rsid w:val="00A2217A"/>
    <w:rsid w:val="00A507FF"/>
    <w:rsid w:val="00A56B0B"/>
    <w:rsid w:val="00A62A74"/>
    <w:rsid w:val="00A940B0"/>
    <w:rsid w:val="00B14E14"/>
    <w:rsid w:val="00B86AFB"/>
    <w:rsid w:val="00B939BD"/>
    <w:rsid w:val="00BB2461"/>
    <w:rsid w:val="00BF22C9"/>
    <w:rsid w:val="00BF3734"/>
    <w:rsid w:val="00C01A30"/>
    <w:rsid w:val="00C13E6E"/>
    <w:rsid w:val="00C21021"/>
    <w:rsid w:val="00C73EF0"/>
    <w:rsid w:val="00C805D4"/>
    <w:rsid w:val="00C83D31"/>
    <w:rsid w:val="00CD246B"/>
    <w:rsid w:val="00D272FD"/>
    <w:rsid w:val="00D5151F"/>
    <w:rsid w:val="00D61610"/>
    <w:rsid w:val="00D638E3"/>
    <w:rsid w:val="00D770DE"/>
    <w:rsid w:val="00D80969"/>
    <w:rsid w:val="00D82BFF"/>
    <w:rsid w:val="00DB0DD4"/>
    <w:rsid w:val="00DB78A1"/>
    <w:rsid w:val="00DB79B6"/>
    <w:rsid w:val="00E0778C"/>
    <w:rsid w:val="00E13FB4"/>
    <w:rsid w:val="00E71E56"/>
    <w:rsid w:val="00E9762C"/>
    <w:rsid w:val="00EB1D44"/>
    <w:rsid w:val="00EE27AF"/>
    <w:rsid w:val="00EF4B3F"/>
    <w:rsid w:val="00F13196"/>
    <w:rsid w:val="00F62D2C"/>
    <w:rsid w:val="00F87613"/>
    <w:rsid w:val="00FC729C"/>
    <w:rsid w:val="00FD3B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yellow"/>
    </o:shapedefaults>
    <o:shapelayout v:ext="edit">
      <o:idmap v:ext="edit" data="1"/>
    </o:shapelayout>
  </w:shapeDefaults>
  <w:decimalSymbol w:val=","/>
  <w:listSeparator w:val=";"/>
  <w14:docId w14:val="58906720"/>
  <w15:chartTrackingRefBased/>
  <w15:docId w15:val="{89E72197-65B7-479E-AF08-CD8689FB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character" w:styleId="Hyperlink">
    <w:name w:val="Hyperlink"/>
    <w:rPr>
      <w:color w:val="0000FF"/>
      <w:u w:val="single"/>
    </w:rPr>
  </w:style>
  <w:style w:type="character" w:customStyle="1" w:styleId="Fort">
    <w:name w:val="Fort"/>
    <w:rPr>
      <w:b/>
    </w:rPr>
  </w:style>
  <w:style w:type="paragraph" w:styleId="Title">
    <w:name w:val="Title"/>
    <w:basedOn w:val="Normal"/>
    <w:qFormat/>
    <w:pPr>
      <w:jc w:val="center"/>
    </w:pPr>
    <w:rPr>
      <w:bCs/>
      <w:i/>
      <w:iCs/>
      <w:sz w:val="32"/>
    </w:rPr>
  </w:style>
  <w:style w:type="paragraph" w:styleId="Subtitle">
    <w:name w:val="Subtitle"/>
    <w:basedOn w:val="Normal"/>
    <w:qFormat/>
    <w:pPr>
      <w:jc w:val="center"/>
    </w:pPr>
    <w:rPr>
      <w:b/>
      <w:sz w:val="32"/>
      <w:u w:val="single"/>
    </w:rPr>
  </w:style>
  <w:style w:type="paragraph" w:styleId="Caption">
    <w:name w:val="caption"/>
    <w:basedOn w:val="Normal"/>
    <w:next w:val="Normal"/>
    <w:qFormat/>
    <w:rPr>
      <w:i/>
    </w:rPr>
  </w:style>
  <w:style w:type="character" w:styleId="FollowedHyperlink">
    <w:name w:val="FollowedHyperlink"/>
    <w:rsid w:val="007C5E5E"/>
    <w:rPr>
      <w:color w:val="800080"/>
      <w:u w:val="single"/>
    </w:rPr>
  </w:style>
  <w:style w:type="paragraph" w:styleId="BalloonText">
    <w:name w:val="Balloon Text"/>
    <w:basedOn w:val="Normal"/>
    <w:semiHidden/>
    <w:rsid w:val="00521FAF"/>
    <w:rPr>
      <w:rFonts w:ascii="Tahoma" w:hAnsi="Tahoma" w:cs="Tahoma"/>
      <w:sz w:val="16"/>
      <w:szCs w:val="16"/>
    </w:rPr>
  </w:style>
  <w:style w:type="character" w:styleId="Strong">
    <w:name w:val="Strong"/>
    <w:qFormat/>
    <w:rsid w:val="00B939BD"/>
    <w:rPr>
      <w:b/>
      <w:bCs/>
    </w:rPr>
  </w:style>
  <w:style w:type="character" w:customStyle="1" w:styleId="hit">
    <w:name w:val="hit"/>
    <w:basedOn w:val="DefaultParagraphFont"/>
    <w:rsid w:val="00B9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85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2378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résumé et abstract</vt:lpstr>
    </vt:vector>
  </TitlesOfParts>
  <Company>ICMCB-CNRS</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et abstract</dc:title>
  <dc:subject/>
  <dc:creator>O JOUBERT</dc:creator>
  <cp:keywords/>
  <cp:lastModifiedBy>Bryan Carré</cp:lastModifiedBy>
  <cp:revision>3</cp:revision>
  <cp:lastPrinted>2001-02-19T15:52:00Z</cp:lastPrinted>
  <dcterms:created xsi:type="dcterms:W3CDTF">2024-09-16T13:42:00Z</dcterms:created>
  <dcterms:modified xsi:type="dcterms:W3CDTF">2024-09-27T15:32:00Z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