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4C432" w14:textId="7E126427" w:rsidR="00DA43D5" w:rsidRDefault="00F77BCB" w:rsidP="00DA43D5">
      <w:pPr>
        <w:pStyle w:val="Titre1"/>
      </w:pPr>
      <w:r w:rsidRPr="00950D2D">
        <w:t>Supplementary materials</w:t>
      </w:r>
      <w:r w:rsidR="00DA43D5">
        <w:t xml:space="preserve"> of the manuscript “Lab-Scale insights into the environmental fate of emerging contaminants from airport runoff”</w:t>
      </w:r>
    </w:p>
    <w:p w14:paraId="7117858E" w14:textId="77777777" w:rsidR="00DA43D5" w:rsidRPr="00DA43D5" w:rsidRDefault="00DA43D5" w:rsidP="00DA43D5">
      <w:pPr>
        <w:pStyle w:val="Titre1"/>
        <w:rPr>
          <w:color w:val="auto"/>
          <w:sz w:val="22"/>
          <w:szCs w:val="22"/>
          <w:lang w:val="es-ES"/>
        </w:rPr>
      </w:pPr>
      <w:r w:rsidRPr="00DA43D5">
        <w:rPr>
          <w:color w:val="auto"/>
          <w:sz w:val="22"/>
          <w:szCs w:val="22"/>
          <w:lang w:val="es-ES"/>
        </w:rPr>
        <w:t>Robin Glaude</w:t>
      </w:r>
      <w:r w:rsidRPr="00C05C00">
        <w:rPr>
          <w:color w:val="auto"/>
          <w:sz w:val="22"/>
          <w:szCs w:val="22"/>
          <w:vertAlign w:val="superscript"/>
          <w:lang w:val="es-ES"/>
        </w:rPr>
        <w:t>1</w:t>
      </w:r>
      <w:r w:rsidRPr="00DA43D5">
        <w:rPr>
          <w:color w:val="auto"/>
          <w:sz w:val="22"/>
          <w:szCs w:val="22"/>
          <w:lang w:val="es-ES"/>
        </w:rPr>
        <w:t>, Serge Brouyère</w:t>
      </w:r>
      <w:r w:rsidRPr="00C05C00">
        <w:rPr>
          <w:color w:val="auto"/>
          <w:sz w:val="22"/>
          <w:szCs w:val="22"/>
          <w:vertAlign w:val="superscript"/>
          <w:lang w:val="es-ES"/>
        </w:rPr>
        <w:t>1</w:t>
      </w:r>
      <w:r w:rsidRPr="00DA43D5">
        <w:rPr>
          <w:color w:val="auto"/>
          <w:sz w:val="22"/>
          <w:szCs w:val="22"/>
          <w:lang w:val="es-ES"/>
        </w:rPr>
        <w:t>, Silvia Lacorte</w:t>
      </w:r>
      <w:r w:rsidRPr="00C05C00">
        <w:rPr>
          <w:color w:val="auto"/>
          <w:sz w:val="22"/>
          <w:szCs w:val="22"/>
          <w:vertAlign w:val="superscript"/>
          <w:lang w:val="es-ES"/>
        </w:rPr>
        <w:t>2</w:t>
      </w:r>
      <w:r w:rsidRPr="00DA43D5">
        <w:rPr>
          <w:color w:val="auto"/>
          <w:sz w:val="22"/>
          <w:szCs w:val="22"/>
          <w:lang w:val="es-ES"/>
        </w:rPr>
        <w:t>, Anna Jurado</w:t>
      </w:r>
      <w:r w:rsidRPr="00C05C00">
        <w:rPr>
          <w:color w:val="auto"/>
          <w:sz w:val="22"/>
          <w:szCs w:val="22"/>
          <w:vertAlign w:val="superscript"/>
          <w:lang w:val="es-ES"/>
        </w:rPr>
        <w:t>3</w:t>
      </w:r>
      <w:r w:rsidRPr="00DA43D5">
        <w:rPr>
          <w:color w:val="auto"/>
          <w:sz w:val="22"/>
          <w:szCs w:val="22"/>
          <w:lang w:val="es-ES"/>
        </w:rPr>
        <w:t>, Estanislao Pujades</w:t>
      </w:r>
      <w:r w:rsidRPr="00C05C00">
        <w:rPr>
          <w:color w:val="auto"/>
          <w:sz w:val="22"/>
          <w:szCs w:val="22"/>
          <w:vertAlign w:val="superscript"/>
          <w:lang w:val="es-ES"/>
        </w:rPr>
        <w:t>3</w:t>
      </w:r>
    </w:p>
    <w:p w14:paraId="2E6B9F29" w14:textId="00F7931E" w:rsidR="00DA43D5" w:rsidRPr="00DA43D5" w:rsidRDefault="00DA43D5" w:rsidP="00DA43D5">
      <w:pPr>
        <w:pStyle w:val="Titre1"/>
        <w:rPr>
          <w:color w:val="auto"/>
          <w:sz w:val="22"/>
          <w:szCs w:val="22"/>
        </w:rPr>
      </w:pPr>
      <w:r w:rsidRPr="00C05C00">
        <w:rPr>
          <w:color w:val="auto"/>
          <w:sz w:val="22"/>
          <w:szCs w:val="22"/>
          <w:vertAlign w:val="superscript"/>
        </w:rPr>
        <w:t>1</w:t>
      </w:r>
      <w:r w:rsidRPr="00DA43D5">
        <w:rPr>
          <w:color w:val="auto"/>
          <w:sz w:val="22"/>
          <w:szCs w:val="22"/>
        </w:rPr>
        <w:t xml:space="preserve"> Urban and Environmental Engineering, Hydrogeology and Environmental Geology, University of Liège, 4000 Sart-Tilman, Belgium </w:t>
      </w:r>
    </w:p>
    <w:p w14:paraId="71C5A40F" w14:textId="77777777" w:rsidR="00DA43D5" w:rsidRPr="00DA43D5" w:rsidRDefault="00DA43D5" w:rsidP="00DA43D5">
      <w:pPr>
        <w:pStyle w:val="Titre1"/>
        <w:rPr>
          <w:color w:val="auto"/>
          <w:sz w:val="22"/>
          <w:szCs w:val="22"/>
          <w:lang w:val="es-ES"/>
        </w:rPr>
      </w:pPr>
      <w:r w:rsidRPr="00C05C00">
        <w:rPr>
          <w:color w:val="auto"/>
          <w:sz w:val="22"/>
          <w:szCs w:val="22"/>
          <w:vertAlign w:val="superscript"/>
          <w:lang w:val="es-ES"/>
        </w:rPr>
        <w:t>2</w:t>
      </w:r>
      <w:r w:rsidRPr="00DA43D5">
        <w:rPr>
          <w:color w:val="auto"/>
          <w:sz w:val="22"/>
          <w:szCs w:val="22"/>
          <w:lang w:val="es-ES"/>
        </w:rPr>
        <w:t xml:space="preserve"> Chemometrics, IDAEA-CSIC, </w:t>
      </w:r>
      <w:proofErr w:type="spellStart"/>
      <w:r w:rsidRPr="00DA43D5">
        <w:rPr>
          <w:color w:val="auto"/>
          <w:sz w:val="22"/>
          <w:szCs w:val="22"/>
          <w:lang w:val="es-ES"/>
        </w:rPr>
        <w:t>Carrer</w:t>
      </w:r>
      <w:proofErr w:type="spellEnd"/>
      <w:r w:rsidRPr="00DA43D5">
        <w:rPr>
          <w:color w:val="auto"/>
          <w:sz w:val="22"/>
          <w:szCs w:val="22"/>
          <w:lang w:val="es-ES"/>
        </w:rPr>
        <w:t xml:space="preserve"> de Jordi Girona,18-26, 08034 Barcelona, </w:t>
      </w:r>
      <w:proofErr w:type="spellStart"/>
      <w:r w:rsidRPr="00DA43D5">
        <w:rPr>
          <w:color w:val="auto"/>
          <w:sz w:val="22"/>
          <w:szCs w:val="22"/>
          <w:lang w:val="es-ES"/>
        </w:rPr>
        <w:t>Spain</w:t>
      </w:r>
      <w:proofErr w:type="spellEnd"/>
    </w:p>
    <w:p w14:paraId="4633CE2F" w14:textId="77777777" w:rsidR="00DA43D5" w:rsidRPr="00DA43D5" w:rsidRDefault="00DA43D5" w:rsidP="00DA43D5">
      <w:pPr>
        <w:pStyle w:val="Titre1"/>
        <w:rPr>
          <w:color w:val="auto"/>
          <w:sz w:val="22"/>
          <w:szCs w:val="22"/>
        </w:rPr>
      </w:pPr>
      <w:r w:rsidRPr="00C05C00">
        <w:rPr>
          <w:color w:val="auto"/>
          <w:sz w:val="22"/>
          <w:szCs w:val="22"/>
          <w:vertAlign w:val="superscript"/>
        </w:rPr>
        <w:t>3</w:t>
      </w:r>
      <w:r w:rsidRPr="00DA43D5">
        <w:rPr>
          <w:color w:val="auto"/>
          <w:sz w:val="22"/>
          <w:szCs w:val="22"/>
        </w:rPr>
        <w:t xml:space="preserve"> Groundwater and hydrogeochemistry, IDAEA-CSIC, </w:t>
      </w:r>
      <w:proofErr w:type="spellStart"/>
      <w:r w:rsidRPr="00DA43D5">
        <w:rPr>
          <w:color w:val="auto"/>
          <w:sz w:val="22"/>
          <w:szCs w:val="22"/>
        </w:rPr>
        <w:t>Carrer</w:t>
      </w:r>
      <w:proofErr w:type="spellEnd"/>
      <w:r w:rsidRPr="00DA43D5">
        <w:rPr>
          <w:color w:val="auto"/>
          <w:sz w:val="22"/>
          <w:szCs w:val="22"/>
        </w:rPr>
        <w:t xml:space="preserve"> de Jordi Girona,18-26, 08034 Barcelona, Spain</w:t>
      </w:r>
    </w:p>
    <w:p w14:paraId="4C79A8EE" w14:textId="77777777" w:rsidR="00DA43D5" w:rsidRPr="00DA43D5" w:rsidRDefault="00DA43D5" w:rsidP="00DA43D5">
      <w:pPr>
        <w:pStyle w:val="Titre1"/>
        <w:rPr>
          <w:color w:val="auto"/>
          <w:sz w:val="22"/>
          <w:szCs w:val="22"/>
        </w:rPr>
      </w:pPr>
      <w:r w:rsidRPr="00DA43D5">
        <w:rPr>
          <w:color w:val="auto"/>
          <w:sz w:val="22"/>
          <w:szCs w:val="22"/>
        </w:rPr>
        <w:t>Corresponding author: Robin Glaude (robin.glaude@uliege.be)</w:t>
      </w:r>
    </w:p>
    <w:p w14:paraId="0E93B858" w14:textId="359F1EC5" w:rsidR="00051879" w:rsidRDefault="00051879" w:rsidP="00051879">
      <w:pPr>
        <w:pStyle w:val="Titre1"/>
      </w:pPr>
    </w:p>
    <w:p w14:paraId="346C4A20" w14:textId="3964904E" w:rsidR="00DA43D5" w:rsidRDefault="00DA43D5" w:rsidP="00DA43D5"/>
    <w:p w14:paraId="6200E2A4" w14:textId="57039368" w:rsidR="00DA43D5" w:rsidRDefault="00DA43D5" w:rsidP="00DA43D5"/>
    <w:p w14:paraId="3F3AD0DA" w14:textId="4E6B0D64" w:rsidR="00DA43D5" w:rsidRDefault="00DA43D5" w:rsidP="00DA43D5"/>
    <w:p w14:paraId="7BED9921" w14:textId="65188517" w:rsidR="00DA43D5" w:rsidRDefault="00DA43D5" w:rsidP="00DA43D5"/>
    <w:p w14:paraId="78B6B82A" w14:textId="14C42A48" w:rsidR="00DA43D5" w:rsidRDefault="00DA43D5" w:rsidP="00DA43D5"/>
    <w:p w14:paraId="4496CBEC" w14:textId="6819E650" w:rsidR="00DA43D5" w:rsidRDefault="00DA43D5" w:rsidP="00DA43D5"/>
    <w:p w14:paraId="44A57323" w14:textId="1A3EEB05" w:rsidR="00DA43D5" w:rsidRDefault="00DA43D5" w:rsidP="00DA43D5"/>
    <w:p w14:paraId="7ACAE878" w14:textId="554532A3" w:rsidR="00DA43D5" w:rsidRDefault="00DA43D5" w:rsidP="00DA43D5"/>
    <w:p w14:paraId="5AB4788C" w14:textId="58816AD3" w:rsidR="00DA43D5" w:rsidRDefault="00DA43D5" w:rsidP="00DA43D5"/>
    <w:p w14:paraId="77EC03EE" w14:textId="345FB527" w:rsidR="00DA43D5" w:rsidRDefault="00DA43D5" w:rsidP="00DA43D5"/>
    <w:p w14:paraId="56B55E07" w14:textId="06E5099D" w:rsidR="00DA43D5" w:rsidRDefault="00DA43D5" w:rsidP="00DA43D5"/>
    <w:p w14:paraId="1BAE8210" w14:textId="10C051DE" w:rsidR="00DA43D5" w:rsidRDefault="00DA43D5" w:rsidP="00DA43D5"/>
    <w:p w14:paraId="3D117203" w14:textId="614FB80D" w:rsidR="00DA43D5" w:rsidRDefault="00DA43D5" w:rsidP="00DA43D5"/>
    <w:p w14:paraId="4A54B831" w14:textId="2F2B181A" w:rsidR="00DA43D5" w:rsidRDefault="00DA43D5" w:rsidP="00DA43D5"/>
    <w:p w14:paraId="004102F1" w14:textId="6A02E1C6" w:rsidR="00DA43D5" w:rsidRDefault="00DA43D5" w:rsidP="00DA43D5"/>
    <w:p w14:paraId="0B9C695C" w14:textId="0A82AEA4" w:rsidR="00B67AB4" w:rsidRDefault="00B67AB4" w:rsidP="00DA43D5"/>
    <w:p w14:paraId="5272703E" w14:textId="0B48C9E0" w:rsidR="00B67AB4" w:rsidRDefault="00B67AB4" w:rsidP="00DA43D5"/>
    <w:p w14:paraId="02755791" w14:textId="77777777" w:rsidR="00B67AB4" w:rsidRPr="00DA43D5" w:rsidRDefault="00B67AB4" w:rsidP="00DA43D5"/>
    <w:p w14:paraId="1BA202BD" w14:textId="352FC5AD" w:rsidR="00892C56" w:rsidRDefault="0064047C" w:rsidP="0070352D">
      <w:pPr>
        <w:pStyle w:val="Titre2"/>
      </w:pPr>
      <w:r>
        <w:lastRenderedPageBreak/>
        <w:t>S1</w:t>
      </w:r>
      <w:r w:rsidR="0070352D">
        <w:t xml:space="preserve">. </w:t>
      </w:r>
      <w:r w:rsidR="00892C56">
        <w:t>Gra</w:t>
      </w:r>
      <w:r w:rsidR="00B67AB4">
        <w:t>nulometry analysis</w:t>
      </w:r>
    </w:p>
    <w:p w14:paraId="314FBB0B" w14:textId="6FF2160D" w:rsidR="00BB507D" w:rsidRDefault="006A2DA6" w:rsidP="000E164F">
      <w:pPr>
        <w:jc w:val="both"/>
      </w:pPr>
      <w:r w:rsidRPr="006A2DA6">
        <w:t xml:space="preserve">To characterize the soil used in </w:t>
      </w:r>
      <w:r w:rsidR="00B67AB4">
        <w:t>our experiments, a granulometry</w:t>
      </w:r>
      <w:r w:rsidRPr="006A2DA6">
        <w:t xml:space="preserve"> analysis was conducted</w:t>
      </w:r>
      <w:r w:rsidR="00E2285E">
        <w:t xml:space="preserve"> (See </w:t>
      </w:r>
      <w:r w:rsidR="00E2285E">
        <w:fldChar w:fldCharType="begin"/>
      </w:r>
      <w:r w:rsidR="00E2285E">
        <w:instrText xml:space="preserve"> REF _Ref203394786 \h </w:instrText>
      </w:r>
      <w:r w:rsidR="00E2285E">
        <w:fldChar w:fldCharType="separate"/>
      </w:r>
      <w:r w:rsidR="004708CF">
        <w:t>Figure S</w:t>
      </w:r>
      <w:r w:rsidR="004708CF">
        <w:rPr>
          <w:noProof/>
        </w:rPr>
        <w:t>1</w:t>
      </w:r>
      <w:r w:rsidR="00E2285E">
        <w:fldChar w:fldCharType="end"/>
      </w:r>
      <w:r w:rsidR="00E2285E">
        <w:t>)</w:t>
      </w:r>
      <w:r w:rsidRPr="006A2DA6">
        <w:t xml:space="preserve">. Given the presence of very fine particles, sieve analysis was performed for the coarser fraction of the sediments and sedimentometry for the smallest particles, to ensure a comprehensive particle size distribution analysis. These analyses were performed at the Building Materials Laboratory (LMC) within the Urban and Environmental Engineering (UEE) department at the University of Liège. </w:t>
      </w:r>
    </w:p>
    <w:p w14:paraId="5AC7592E" w14:textId="77777777" w:rsidR="000E164F" w:rsidRPr="00A00D2E" w:rsidRDefault="000E164F" w:rsidP="000E164F">
      <w:pPr>
        <w:jc w:val="both"/>
      </w:pPr>
      <w:r w:rsidRPr="000E164F">
        <w:t>The analysis revealed that the soil consists of 14.5% clay (&lt; 2 µm), 85% silt/loam (0.002 mm - 0.08 mm), and 0.5% sand (0.08 mm - 2 mm). Based on this particle size distribution, th</w:t>
      </w:r>
      <w:r>
        <w:t>e soil is classified as a "</w:t>
      </w:r>
      <w:r w:rsidRPr="000E164F">
        <w:t>loam."</w:t>
      </w:r>
    </w:p>
    <w:p w14:paraId="2CB51ECA" w14:textId="77777777" w:rsidR="000E164F" w:rsidRDefault="00BB507D" w:rsidP="000E164F">
      <w:pPr>
        <w:pStyle w:val="NormalWeb"/>
        <w:keepNext/>
        <w:jc w:val="center"/>
      </w:pPr>
      <w:r>
        <w:rPr>
          <w:noProof/>
        </w:rPr>
        <w:drawing>
          <wp:inline distT="0" distB="0" distL="0" distR="0" wp14:anchorId="17F7EAE1" wp14:editId="1CFA7622">
            <wp:extent cx="5610578" cy="3155950"/>
            <wp:effectExtent l="0" t="0" r="9525" b="6350"/>
            <wp:docPr id="1" name="Image 1" descr="C:\Users\glaud\Documents\Uliege\doctorat\paper\batch_experiments\suppl_mat\granulom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ud\Documents\Uliege\doctorat\paper\batch_experiments\suppl_mat\granulometr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8355" cy="3160325"/>
                    </a:xfrm>
                    <a:prstGeom prst="rect">
                      <a:avLst/>
                    </a:prstGeom>
                    <a:noFill/>
                    <a:ln>
                      <a:noFill/>
                    </a:ln>
                  </pic:spPr>
                </pic:pic>
              </a:graphicData>
            </a:graphic>
          </wp:inline>
        </w:drawing>
      </w:r>
    </w:p>
    <w:p w14:paraId="3B6B067F" w14:textId="1E29B7FD" w:rsidR="00BB507D" w:rsidRDefault="000E164F" w:rsidP="000E164F">
      <w:pPr>
        <w:pStyle w:val="Lgende"/>
        <w:jc w:val="center"/>
      </w:pPr>
      <w:bookmarkStart w:id="0" w:name="_Ref203394786"/>
      <w:r>
        <w:t xml:space="preserve">Figure </w:t>
      </w:r>
      <w:r w:rsidR="008B7398">
        <w:t>S</w:t>
      </w:r>
      <w:r w:rsidR="00210AEA">
        <w:fldChar w:fldCharType="begin"/>
      </w:r>
      <w:r w:rsidR="00210AEA">
        <w:instrText xml:space="preserve"> SEQ Figure \* ARABIC </w:instrText>
      </w:r>
      <w:r w:rsidR="00210AEA">
        <w:fldChar w:fldCharType="separate"/>
      </w:r>
      <w:r w:rsidR="004708CF">
        <w:rPr>
          <w:noProof/>
        </w:rPr>
        <w:t>1</w:t>
      </w:r>
      <w:r w:rsidR="00210AEA">
        <w:rPr>
          <w:noProof/>
        </w:rPr>
        <w:fldChar w:fldCharType="end"/>
      </w:r>
      <w:bookmarkEnd w:id="0"/>
      <w:r>
        <w:t xml:space="preserve">. </w:t>
      </w:r>
      <w:r w:rsidR="0064047C">
        <w:t>Granulometric</w:t>
      </w:r>
      <w:r>
        <w:t xml:space="preserve"> analysis for one loess sample.</w:t>
      </w:r>
    </w:p>
    <w:p w14:paraId="13E50B2F" w14:textId="7CB13F56" w:rsidR="00D930FD" w:rsidRPr="00D930FD" w:rsidRDefault="00E42BBB" w:rsidP="006C07B3">
      <w:pPr>
        <w:pStyle w:val="Titre2"/>
      </w:pPr>
      <w:r>
        <w:t>S2</w:t>
      </w:r>
      <w:r w:rsidR="006C07B3">
        <w:t>. Additional pictures of the experimental set-up</w:t>
      </w:r>
    </w:p>
    <w:p w14:paraId="54EAC3C5" w14:textId="580494D2" w:rsidR="00BB507D" w:rsidRPr="00BB507D" w:rsidRDefault="00BA4421" w:rsidP="00E2285E">
      <w:pPr>
        <w:jc w:val="both"/>
      </w:pPr>
      <w:r w:rsidRPr="00BA4421">
        <w:t>To support the section 2.2.1. of the main manuscript, additional pictures are displayed in this section to better visualize the who</w:t>
      </w:r>
      <w:r>
        <w:t xml:space="preserve">le experimental set-up. </w:t>
      </w:r>
      <w:r>
        <w:fldChar w:fldCharType="begin"/>
      </w:r>
      <w:r>
        <w:instrText xml:space="preserve"> REF _Ref198025778 \h </w:instrText>
      </w:r>
      <w:r w:rsidR="00E2285E">
        <w:instrText xml:space="preserve"> \* MERGEFORMAT </w:instrText>
      </w:r>
      <w:r>
        <w:fldChar w:fldCharType="separate"/>
      </w:r>
      <w:r w:rsidR="004708CF">
        <w:t>Figure S2</w:t>
      </w:r>
      <w:r>
        <w:fldChar w:fldCharType="end"/>
      </w:r>
      <w:r w:rsidRPr="00BA4421">
        <w:t xml:space="preserve"> shows the stock solutions used to prepare the batch reactors, the triplicates after the addition of humic acid and soil</w:t>
      </w:r>
      <w:r w:rsidR="00C92749">
        <w:t>,</w:t>
      </w:r>
      <w:r w:rsidRPr="00BA4421">
        <w:t xml:space="preserve"> and the placement of the reactors in the incubator.</w:t>
      </w:r>
    </w:p>
    <w:p w14:paraId="4D653129" w14:textId="77777777" w:rsidR="00384650" w:rsidRDefault="00384650" w:rsidP="00384650">
      <w:pPr>
        <w:pStyle w:val="NormalWeb"/>
        <w:keepNext/>
        <w:jc w:val="center"/>
      </w:pPr>
      <w:r>
        <w:rPr>
          <w:noProof/>
        </w:rPr>
        <w:lastRenderedPageBreak/>
        <w:drawing>
          <wp:inline distT="0" distB="0" distL="0" distR="0" wp14:anchorId="4F92B943" wp14:editId="4ADA210C">
            <wp:extent cx="6270820" cy="2686050"/>
            <wp:effectExtent l="0" t="0" r="0" b="0"/>
            <wp:docPr id="2" name="Image 2" descr="C:\Users\glaud\Documents\Uliege\doctorat\paper\batch_experiments\suppl_mat\Photos_Experimental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ud\Documents\Uliege\doctorat\paper\batch_experiments\suppl_mat\Photos_ExperimentalSetu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6130" cy="2688325"/>
                    </a:xfrm>
                    <a:prstGeom prst="rect">
                      <a:avLst/>
                    </a:prstGeom>
                    <a:noFill/>
                    <a:ln>
                      <a:noFill/>
                    </a:ln>
                  </pic:spPr>
                </pic:pic>
              </a:graphicData>
            </a:graphic>
          </wp:inline>
        </w:drawing>
      </w:r>
    </w:p>
    <w:p w14:paraId="3E1BCE82" w14:textId="4779574B" w:rsidR="00384650" w:rsidRDefault="00384650" w:rsidP="00384650">
      <w:pPr>
        <w:pStyle w:val="Lgende"/>
        <w:jc w:val="center"/>
      </w:pPr>
      <w:bookmarkStart w:id="1" w:name="_Ref198025778"/>
      <w:r>
        <w:t xml:space="preserve">Figure </w:t>
      </w:r>
      <w:r w:rsidR="008B7398">
        <w:t>S</w:t>
      </w:r>
      <w:r w:rsidR="00210AEA">
        <w:fldChar w:fldCharType="begin"/>
      </w:r>
      <w:r w:rsidR="00210AEA">
        <w:instrText xml:space="preserve"> SEQ Figure \* ARABIC </w:instrText>
      </w:r>
      <w:r w:rsidR="00210AEA">
        <w:fldChar w:fldCharType="separate"/>
      </w:r>
      <w:r w:rsidR="00B67AB4">
        <w:rPr>
          <w:noProof/>
        </w:rPr>
        <w:t>2</w:t>
      </w:r>
      <w:r w:rsidR="00210AEA">
        <w:rPr>
          <w:noProof/>
        </w:rPr>
        <w:fldChar w:fldCharType="end"/>
      </w:r>
      <w:bookmarkEnd w:id="1"/>
      <w:r>
        <w:t>. Additional pictures of the batch experimental set-up. a) Stock solutions for low and high BDOC (humic acid and peptone respectively)</w:t>
      </w:r>
      <w:r w:rsidR="00AD41C8">
        <w:t xml:space="preserve"> on the left</w:t>
      </w:r>
      <w:r>
        <w:t xml:space="preserve"> and major ions</w:t>
      </w:r>
      <w:r w:rsidR="00AD41C8">
        <w:t xml:space="preserve"> on the right</w:t>
      </w:r>
      <w:r>
        <w:t>. b) Batch reactors after the addition of humic acid. c) Batch reactors after the addition of the soil. d) Triplicates (below) and control reactors (above) in the incubator. In this case, there is also the biotic reactor but as mentioned in the manuscript, this control proves to be not functioning.</w:t>
      </w:r>
    </w:p>
    <w:p w14:paraId="784A5188" w14:textId="4279F9E6" w:rsidR="00AD41C8" w:rsidRDefault="00E42BBB" w:rsidP="00AD41C8">
      <w:pPr>
        <w:pStyle w:val="Titre2"/>
      </w:pPr>
      <w:r>
        <w:t>S3</w:t>
      </w:r>
      <w:r w:rsidR="00083A0A">
        <w:t>. Synthetic water</w:t>
      </w:r>
      <w:r w:rsidR="00AD41C8">
        <w:t xml:space="preserve">: </w:t>
      </w:r>
      <w:r w:rsidR="00083A0A">
        <w:t>resulting major ions</w:t>
      </w:r>
    </w:p>
    <w:p w14:paraId="5C989B73" w14:textId="70EBF080" w:rsidR="00083A0A" w:rsidRDefault="00083A0A" w:rsidP="00083A0A">
      <w:pPr>
        <w:jc w:val="both"/>
      </w:pPr>
      <w:r w:rsidRPr="00AE74D3">
        <w:t>To achieve the target composition of major ions</w:t>
      </w:r>
      <w:r>
        <w:t xml:space="preserve"> (</w:t>
      </w:r>
      <w:r w:rsidR="00E2285E">
        <w:fldChar w:fldCharType="begin"/>
      </w:r>
      <w:r w:rsidR="00E2285E">
        <w:instrText xml:space="preserve"> REF _Ref199923255 \h </w:instrText>
      </w:r>
      <w:r w:rsidR="00E2285E">
        <w:fldChar w:fldCharType="separate"/>
      </w:r>
      <w:r w:rsidR="004708CF">
        <w:t>Table S</w:t>
      </w:r>
      <w:r w:rsidR="004708CF">
        <w:rPr>
          <w:noProof/>
        </w:rPr>
        <w:t>1</w:t>
      </w:r>
      <w:r w:rsidR="00E2285E">
        <w:fldChar w:fldCharType="end"/>
      </w:r>
      <w:r>
        <w:t>), 6 different salts were dissolved in milliQ water: CaCl</w:t>
      </w:r>
      <w:r w:rsidRPr="002B1540">
        <w:rPr>
          <w:vertAlign w:val="subscript"/>
        </w:rPr>
        <w:t>2</w:t>
      </w:r>
      <w:r>
        <w:t>, MgSO</w:t>
      </w:r>
      <w:r w:rsidRPr="002B1540">
        <w:rPr>
          <w:vertAlign w:val="subscript"/>
        </w:rPr>
        <w:t>4</w:t>
      </w:r>
      <w:r>
        <w:t>.7H</w:t>
      </w:r>
      <w:r w:rsidRPr="002B1540">
        <w:rPr>
          <w:vertAlign w:val="subscript"/>
        </w:rPr>
        <w:t>2</w:t>
      </w:r>
      <w:r>
        <w:t>O, KCl, NaHCO</w:t>
      </w:r>
      <w:r w:rsidRPr="002B1540">
        <w:rPr>
          <w:vertAlign w:val="subscript"/>
        </w:rPr>
        <w:t>3</w:t>
      </w:r>
      <w:r>
        <w:t>, CaSO</w:t>
      </w:r>
      <w:r w:rsidRPr="002B1540">
        <w:rPr>
          <w:vertAlign w:val="subscript"/>
        </w:rPr>
        <w:t>4</w:t>
      </w:r>
      <w:r>
        <w:t>.2H</w:t>
      </w:r>
      <w:r w:rsidRPr="002B1540">
        <w:rPr>
          <w:vertAlign w:val="subscript"/>
        </w:rPr>
        <w:t>2</w:t>
      </w:r>
      <w:r>
        <w:t>O and NaNO</w:t>
      </w:r>
      <w:r w:rsidRPr="002B1540">
        <w:rPr>
          <w:vertAlign w:val="subscript"/>
        </w:rPr>
        <w:t>3</w:t>
      </w:r>
      <w:r w:rsidR="00E2285E">
        <w:t xml:space="preserve">. </w:t>
      </w:r>
      <w:r w:rsidR="00E2285E">
        <w:fldChar w:fldCharType="begin"/>
      </w:r>
      <w:r w:rsidR="00E2285E">
        <w:instrText xml:space="preserve"> REF _Ref199923255 \h </w:instrText>
      </w:r>
      <w:r w:rsidR="00E2285E">
        <w:fldChar w:fldCharType="separate"/>
      </w:r>
      <w:r w:rsidR="00E2285E">
        <w:t>Table S</w:t>
      </w:r>
      <w:r w:rsidR="00E2285E">
        <w:rPr>
          <w:noProof/>
        </w:rPr>
        <w:t>1</w:t>
      </w:r>
      <w:r w:rsidR="00E2285E">
        <w:fldChar w:fldCharType="end"/>
      </w:r>
      <w:r>
        <w:t xml:space="preserve"> </w:t>
      </w:r>
      <w:r w:rsidRPr="00AE74D3">
        <w:t>provides a comparison of the major ion concentrations in the original runoff water, the theoretical concentrations expected from salt dissolution, and the measured concentrations in the three bat</w:t>
      </w:r>
      <w:r>
        <w:t xml:space="preserve">ch reactors and the </w:t>
      </w:r>
      <w:r w:rsidR="004708CF">
        <w:t>abiotic control</w:t>
      </w:r>
      <w:r>
        <w:t xml:space="preserve"> at the beginning of the experiment.</w:t>
      </w:r>
    </w:p>
    <w:p w14:paraId="58B36449" w14:textId="06EAE3B0" w:rsidR="00083A0A" w:rsidRDefault="00083A0A" w:rsidP="00083A0A">
      <w:pPr>
        <w:jc w:val="both"/>
      </w:pPr>
      <w:r w:rsidRPr="008C39DE">
        <w:t>The overall concentrations in the batch reactor</w:t>
      </w:r>
      <w:r>
        <w:t>s</w:t>
      </w:r>
      <w:r w:rsidRPr="008C39DE">
        <w:t xml:space="preserve"> generally align</w:t>
      </w:r>
      <w:r w:rsidR="004708CF">
        <w:t>ed</w:t>
      </w:r>
      <w:r w:rsidRPr="008C39DE">
        <w:t xml:space="preserve"> with the expected values, except for potassium and sulfate, which </w:t>
      </w:r>
      <w:r w:rsidR="004708CF">
        <w:t>were</w:t>
      </w:r>
      <w:r>
        <w:t xml:space="preserve"> lower than anticipated. </w:t>
      </w:r>
      <w:r w:rsidRPr="008C39DE">
        <w:t>Calcium and bicarbonate concentrations were not quantified</w:t>
      </w:r>
      <w:r>
        <w:t xml:space="preserve">. </w:t>
      </w:r>
      <w:r w:rsidRPr="008C39DE">
        <w:t xml:space="preserve">Elevated concentrations of sodium and nitrate were detected in the abiotic control, likely due to the addition of sodium azide </w:t>
      </w:r>
      <w:r>
        <w:t>(NaN</w:t>
      </w:r>
      <w:r w:rsidRPr="00C00745">
        <w:rPr>
          <w:vertAlign w:val="subscript"/>
        </w:rPr>
        <w:t>3</w:t>
      </w:r>
      <w:r>
        <w:t>).</w:t>
      </w:r>
    </w:p>
    <w:p w14:paraId="159EA2EA" w14:textId="3E8DDE48" w:rsidR="00083A0A" w:rsidRDefault="00E2285E" w:rsidP="00083A0A">
      <w:pPr>
        <w:pStyle w:val="Lgende"/>
        <w:keepNext/>
        <w:jc w:val="center"/>
      </w:pPr>
      <w:bookmarkStart w:id="2" w:name="_Ref199923255"/>
      <w:r>
        <w:t xml:space="preserve">Table </w:t>
      </w:r>
      <w:r w:rsidR="00DA43D5">
        <w:t>S</w:t>
      </w:r>
      <w:r w:rsidR="00210AEA">
        <w:fldChar w:fldCharType="begin"/>
      </w:r>
      <w:r w:rsidR="00210AEA">
        <w:instrText xml:space="preserve"> SEQ Table \* ARABIC </w:instrText>
      </w:r>
      <w:r w:rsidR="00210AEA">
        <w:fldChar w:fldCharType="separate"/>
      </w:r>
      <w:r w:rsidR="007641B4">
        <w:rPr>
          <w:noProof/>
        </w:rPr>
        <w:t>1</w:t>
      </w:r>
      <w:r w:rsidR="00210AEA">
        <w:rPr>
          <w:noProof/>
        </w:rPr>
        <w:fldChar w:fldCharType="end"/>
      </w:r>
      <w:bookmarkEnd w:id="2"/>
      <w:r w:rsidR="00083A0A">
        <w:t xml:space="preserve">. </w:t>
      </w:r>
      <w:r w:rsidR="00D96C9D">
        <w:t>M</w:t>
      </w:r>
      <w:r w:rsidR="001333B5">
        <w:t>ajor ion composition i</w:t>
      </w:r>
      <w:r>
        <w:t>n mg</w:t>
      </w:r>
      <w:r>
        <w:rPr>
          <w:rFonts w:cstheme="minorHAnsi"/>
        </w:rPr>
        <w:t>∙</w:t>
      </w:r>
      <w:r w:rsidR="001333B5" w:rsidRPr="001333B5">
        <w:t>L</w:t>
      </w:r>
      <w:r w:rsidR="001333B5" w:rsidRPr="001333B5">
        <w:rPr>
          <w:vertAlign w:val="superscript"/>
        </w:rPr>
        <w:t>-1</w:t>
      </w:r>
      <w:r w:rsidR="001333B5" w:rsidRPr="001333B5">
        <w:t xml:space="preserve"> in t</w:t>
      </w:r>
      <w:r w:rsidR="001333B5">
        <w:t>he studied runoff water</w:t>
      </w:r>
      <w:r w:rsidR="00D96C9D">
        <w:t xml:space="preserve"> (observed)</w:t>
      </w:r>
      <w:r w:rsidR="001333B5">
        <w:t xml:space="preserve">, </w:t>
      </w:r>
      <w:r w:rsidR="001333B5" w:rsidRPr="001333B5">
        <w:t xml:space="preserve">in the </w:t>
      </w:r>
      <w:r w:rsidR="00D96C9D">
        <w:t>synthetic water after salt dissolution (theoretical)</w:t>
      </w:r>
      <w:r w:rsidR="001333B5" w:rsidRPr="001333B5">
        <w:t xml:space="preserve">, </w:t>
      </w:r>
      <w:r w:rsidR="001333B5">
        <w:t xml:space="preserve">and </w:t>
      </w:r>
      <w:r w:rsidR="00D96C9D">
        <w:t>in each</w:t>
      </w:r>
      <w:r w:rsidR="001333B5" w:rsidRPr="001333B5">
        <w:t xml:space="preserve"> reactor</w:t>
      </w:r>
      <w:r w:rsidR="00D96C9D">
        <w:t xml:space="preserve"> at the start of the experiment (measured in R1, R2, R3 and C1)</w:t>
      </w:r>
      <w:r w:rsidR="001333B5" w:rsidRPr="001333B5">
        <w:t>.</w:t>
      </w:r>
    </w:p>
    <w:tbl>
      <w:tblPr>
        <w:tblStyle w:val="TableauGrille1Clair"/>
        <w:tblW w:w="7978" w:type="dxa"/>
        <w:jc w:val="center"/>
        <w:tblLook w:val="04A0" w:firstRow="1" w:lastRow="0" w:firstColumn="1" w:lastColumn="0" w:noHBand="0" w:noVBand="1"/>
      </w:tblPr>
      <w:tblGrid>
        <w:gridCol w:w="1710"/>
        <w:gridCol w:w="1194"/>
        <w:gridCol w:w="1246"/>
        <w:gridCol w:w="951"/>
        <w:gridCol w:w="951"/>
        <w:gridCol w:w="951"/>
        <w:gridCol w:w="975"/>
      </w:tblGrid>
      <w:tr w:rsidR="00083A0A" w:rsidRPr="0068083B" w14:paraId="3B509B19" w14:textId="77777777" w:rsidTr="00083A0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151BD3DF" w14:textId="77777777" w:rsidR="00083A0A" w:rsidRPr="0068083B" w:rsidRDefault="00083A0A" w:rsidP="007F48F0">
            <w:pPr>
              <w:jc w:val="center"/>
              <w:rPr>
                <w:rFonts w:ascii="Calibri" w:eastAsia="Times New Roman" w:hAnsi="Calibri" w:cs="Calibri"/>
                <w:color w:val="000000"/>
                <w:lang w:eastAsia="en-GB"/>
              </w:rPr>
            </w:pPr>
          </w:p>
        </w:tc>
        <w:tc>
          <w:tcPr>
            <w:tcW w:w="1194" w:type="dxa"/>
            <w:hideMark/>
          </w:tcPr>
          <w:p w14:paraId="679BDB5D"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Observed</w:t>
            </w:r>
          </w:p>
        </w:tc>
        <w:tc>
          <w:tcPr>
            <w:tcW w:w="1246" w:type="dxa"/>
            <w:hideMark/>
          </w:tcPr>
          <w:p w14:paraId="613B7851"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Theoretical</w:t>
            </w:r>
          </w:p>
        </w:tc>
        <w:tc>
          <w:tcPr>
            <w:tcW w:w="951" w:type="dxa"/>
            <w:hideMark/>
          </w:tcPr>
          <w:p w14:paraId="4183AD18"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R1</w:t>
            </w:r>
          </w:p>
        </w:tc>
        <w:tc>
          <w:tcPr>
            <w:tcW w:w="951" w:type="dxa"/>
            <w:hideMark/>
          </w:tcPr>
          <w:p w14:paraId="73943A3F"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R2</w:t>
            </w:r>
          </w:p>
        </w:tc>
        <w:tc>
          <w:tcPr>
            <w:tcW w:w="951" w:type="dxa"/>
            <w:hideMark/>
          </w:tcPr>
          <w:p w14:paraId="188B7C80"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R3</w:t>
            </w:r>
          </w:p>
        </w:tc>
        <w:tc>
          <w:tcPr>
            <w:tcW w:w="975" w:type="dxa"/>
            <w:hideMark/>
          </w:tcPr>
          <w:p w14:paraId="3A33E67C" w14:textId="77777777" w:rsidR="00083A0A"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C1</w:t>
            </w:r>
          </w:p>
          <w:p w14:paraId="741DEE6C" w14:textId="77777777" w:rsidR="00083A0A" w:rsidRPr="0068083B" w:rsidRDefault="00083A0A" w:rsidP="007F48F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(abiotic)</w:t>
            </w:r>
          </w:p>
        </w:tc>
      </w:tr>
      <w:tr w:rsidR="00083A0A" w:rsidRPr="0068083B" w14:paraId="04451CB0" w14:textId="77777777" w:rsidTr="00083A0A">
        <w:trPr>
          <w:trHeight w:val="26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1E5ADD49"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Ca</w:t>
            </w:r>
            <w:r w:rsidRPr="0068083B">
              <w:rPr>
                <w:rFonts w:ascii="Calibri" w:eastAsia="Times New Roman" w:hAnsi="Calibri" w:cs="Calibri"/>
                <w:color w:val="000000"/>
                <w:vertAlign w:val="superscript"/>
                <w:lang w:eastAsia="en-GB"/>
              </w:rPr>
              <w:t>2+</w:t>
            </w:r>
          </w:p>
        </w:tc>
        <w:tc>
          <w:tcPr>
            <w:tcW w:w="1194" w:type="dxa"/>
            <w:hideMark/>
          </w:tcPr>
          <w:p w14:paraId="1EE7ECC6"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30</w:t>
            </w:r>
          </w:p>
        </w:tc>
        <w:tc>
          <w:tcPr>
            <w:tcW w:w="1246" w:type="dxa"/>
            <w:hideMark/>
          </w:tcPr>
          <w:p w14:paraId="427324B2"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30</w:t>
            </w:r>
          </w:p>
        </w:tc>
        <w:tc>
          <w:tcPr>
            <w:tcW w:w="951" w:type="dxa"/>
            <w:hideMark/>
          </w:tcPr>
          <w:p w14:paraId="5653A66A"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51" w:type="dxa"/>
            <w:hideMark/>
          </w:tcPr>
          <w:p w14:paraId="622423F8"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51" w:type="dxa"/>
            <w:hideMark/>
          </w:tcPr>
          <w:p w14:paraId="1F84DDC7"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75" w:type="dxa"/>
            <w:hideMark/>
          </w:tcPr>
          <w:p w14:paraId="473CD85C"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r>
      <w:tr w:rsidR="00083A0A" w:rsidRPr="0068083B" w14:paraId="52B17FCB" w14:textId="77777777" w:rsidTr="00083A0A">
        <w:trPr>
          <w:trHeight w:val="26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6A6A488D"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Mg</w:t>
            </w:r>
            <w:r w:rsidRPr="0068083B">
              <w:rPr>
                <w:rFonts w:ascii="Calibri" w:eastAsia="Times New Roman" w:hAnsi="Calibri" w:cs="Calibri"/>
                <w:color w:val="000000"/>
                <w:vertAlign w:val="superscript"/>
                <w:lang w:eastAsia="en-GB"/>
              </w:rPr>
              <w:t>2+</w:t>
            </w:r>
          </w:p>
        </w:tc>
        <w:tc>
          <w:tcPr>
            <w:tcW w:w="1194" w:type="dxa"/>
            <w:hideMark/>
          </w:tcPr>
          <w:p w14:paraId="0A6E4768"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w:t>
            </w:r>
          </w:p>
        </w:tc>
        <w:tc>
          <w:tcPr>
            <w:tcW w:w="1246" w:type="dxa"/>
            <w:hideMark/>
          </w:tcPr>
          <w:p w14:paraId="43B60FC3"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w:t>
            </w:r>
          </w:p>
        </w:tc>
        <w:tc>
          <w:tcPr>
            <w:tcW w:w="951" w:type="dxa"/>
            <w:hideMark/>
          </w:tcPr>
          <w:p w14:paraId="3A87816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1.56</w:t>
            </w:r>
          </w:p>
        </w:tc>
        <w:tc>
          <w:tcPr>
            <w:tcW w:w="951" w:type="dxa"/>
            <w:hideMark/>
          </w:tcPr>
          <w:p w14:paraId="7B7C5D40"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1.88</w:t>
            </w:r>
          </w:p>
        </w:tc>
        <w:tc>
          <w:tcPr>
            <w:tcW w:w="951" w:type="dxa"/>
            <w:hideMark/>
          </w:tcPr>
          <w:p w14:paraId="6D1264B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2.04</w:t>
            </w:r>
          </w:p>
        </w:tc>
        <w:tc>
          <w:tcPr>
            <w:tcW w:w="975" w:type="dxa"/>
            <w:hideMark/>
          </w:tcPr>
          <w:p w14:paraId="75AEEC70"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2.26</w:t>
            </w:r>
          </w:p>
        </w:tc>
      </w:tr>
      <w:tr w:rsidR="00083A0A" w:rsidRPr="0068083B" w14:paraId="6A42E04C" w14:textId="77777777" w:rsidTr="00083A0A">
        <w:trPr>
          <w:trHeight w:val="26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7E80795E"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Na</w:t>
            </w:r>
            <w:r w:rsidRPr="0068083B">
              <w:rPr>
                <w:rFonts w:ascii="Calibri" w:eastAsia="Times New Roman" w:hAnsi="Calibri" w:cs="Calibri"/>
                <w:color w:val="000000"/>
                <w:vertAlign w:val="superscript"/>
                <w:lang w:eastAsia="en-GB"/>
              </w:rPr>
              <w:t>+</w:t>
            </w:r>
          </w:p>
        </w:tc>
        <w:tc>
          <w:tcPr>
            <w:tcW w:w="1194" w:type="dxa"/>
            <w:hideMark/>
          </w:tcPr>
          <w:p w14:paraId="21BCF732"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15</w:t>
            </w:r>
          </w:p>
        </w:tc>
        <w:tc>
          <w:tcPr>
            <w:tcW w:w="1246" w:type="dxa"/>
            <w:hideMark/>
          </w:tcPr>
          <w:p w14:paraId="6964104E"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24</w:t>
            </w:r>
          </w:p>
        </w:tc>
        <w:tc>
          <w:tcPr>
            <w:tcW w:w="951" w:type="dxa"/>
            <w:hideMark/>
          </w:tcPr>
          <w:p w14:paraId="3ED263B1"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19.58</w:t>
            </w:r>
          </w:p>
        </w:tc>
        <w:tc>
          <w:tcPr>
            <w:tcW w:w="951" w:type="dxa"/>
            <w:hideMark/>
          </w:tcPr>
          <w:p w14:paraId="2847519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22.03</w:t>
            </w:r>
          </w:p>
        </w:tc>
        <w:tc>
          <w:tcPr>
            <w:tcW w:w="951" w:type="dxa"/>
            <w:hideMark/>
          </w:tcPr>
          <w:p w14:paraId="53121B52"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22.74</w:t>
            </w:r>
          </w:p>
        </w:tc>
        <w:tc>
          <w:tcPr>
            <w:tcW w:w="975" w:type="dxa"/>
            <w:hideMark/>
          </w:tcPr>
          <w:p w14:paraId="78AEF03A"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66.03</w:t>
            </w:r>
          </w:p>
        </w:tc>
      </w:tr>
      <w:tr w:rsidR="00083A0A" w:rsidRPr="0068083B" w14:paraId="5B8C0771" w14:textId="77777777" w:rsidTr="00083A0A">
        <w:trPr>
          <w:trHeight w:val="26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22A3ADEF"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K</w:t>
            </w:r>
            <w:r w:rsidRPr="0068083B">
              <w:rPr>
                <w:rFonts w:ascii="Calibri" w:eastAsia="Times New Roman" w:hAnsi="Calibri" w:cs="Calibri"/>
                <w:color w:val="000000"/>
                <w:vertAlign w:val="superscript"/>
                <w:lang w:eastAsia="en-GB"/>
              </w:rPr>
              <w:t>+</w:t>
            </w:r>
          </w:p>
        </w:tc>
        <w:tc>
          <w:tcPr>
            <w:tcW w:w="1194" w:type="dxa"/>
            <w:hideMark/>
          </w:tcPr>
          <w:p w14:paraId="7C5479FE"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10</w:t>
            </w:r>
          </w:p>
        </w:tc>
        <w:tc>
          <w:tcPr>
            <w:tcW w:w="1246" w:type="dxa"/>
            <w:hideMark/>
          </w:tcPr>
          <w:p w14:paraId="4FD9131D"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10</w:t>
            </w:r>
          </w:p>
        </w:tc>
        <w:tc>
          <w:tcPr>
            <w:tcW w:w="951" w:type="dxa"/>
            <w:hideMark/>
          </w:tcPr>
          <w:p w14:paraId="55BF1387"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3.13</w:t>
            </w:r>
          </w:p>
        </w:tc>
        <w:tc>
          <w:tcPr>
            <w:tcW w:w="951" w:type="dxa"/>
            <w:hideMark/>
          </w:tcPr>
          <w:p w14:paraId="1E5D13A3"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3.22</w:t>
            </w:r>
          </w:p>
        </w:tc>
        <w:tc>
          <w:tcPr>
            <w:tcW w:w="951" w:type="dxa"/>
            <w:hideMark/>
          </w:tcPr>
          <w:p w14:paraId="73C715C6"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3.41</w:t>
            </w:r>
          </w:p>
        </w:tc>
        <w:tc>
          <w:tcPr>
            <w:tcW w:w="975" w:type="dxa"/>
            <w:hideMark/>
          </w:tcPr>
          <w:p w14:paraId="379B4AA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4.13</w:t>
            </w:r>
          </w:p>
        </w:tc>
      </w:tr>
      <w:tr w:rsidR="00083A0A" w:rsidRPr="0068083B" w14:paraId="58199E2F" w14:textId="77777777" w:rsidTr="00083A0A">
        <w:trPr>
          <w:trHeight w:val="26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26064FEC"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Cl</w:t>
            </w:r>
            <w:r w:rsidRPr="0068083B">
              <w:rPr>
                <w:rFonts w:ascii="Calibri" w:eastAsia="Times New Roman" w:hAnsi="Calibri" w:cs="Calibri"/>
                <w:color w:val="000000"/>
                <w:vertAlign w:val="superscript"/>
                <w:lang w:eastAsia="en-GB"/>
              </w:rPr>
              <w:t>-</w:t>
            </w:r>
          </w:p>
        </w:tc>
        <w:tc>
          <w:tcPr>
            <w:tcW w:w="1194" w:type="dxa"/>
            <w:hideMark/>
          </w:tcPr>
          <w:p w14:paraId="5B34CA5A"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30</w:t>
            </w:r>
          </w:p>
        </w:tc>
        <w:tc>
          <w:tcPr>
            <w:tcW w:w="1246" w:type="dxa"/>
            <w:hideMark/>
          </w:tcPr>
          <w:p w14:paraId="1343D2B0"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40</w:t>
            </w:r>
          </w:p>
        </w:tc>
        <w:tc>
          <w:tcPr>
            <w:tcW w:w="951" w:type="dxa"/>
            <w:hideMark/>
          </w:tcPr>
          <w:p w14:paraId="2BF6644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37.05</w:t>
            </w:r>
          </w:p>
        </w:tc>
        <w:tc>
          <w:tcPr>
            <w:tcW w:w="951" w:type="dxa"/>
            <w:hideMark/>
          </w:tcPr>
          <w:p w14:paraId="2672F14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41.1</w:t>
            </w:r>
          </w:p>
        </w:tc>
        <w:tc>
          <w:tcPr>
            <w:tcW w:w="951" w:type="dxa"/>
            <w:hideMark/>
          </w:tcPr>
          <w:p w14:paraId="229F350B"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42.42</w:t>
            </w:r>
          </w:p>
        </w:tc>
        <w:tc>
          <w:tcPr>
            <w:tcW w:w="975" w:type="dxa"/>
            <w:hideMark/>
          </w:tcPr>
          <w:p w14:paraId="50C2B153"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51.97</w:t>
            </w:r>
          </w:p>
        </w:tc>
      </w:tr>
      <w:tr w:rsidR="00083A0A" w:rsidRPr="0068083B" w14:paraId="50B016A1" w14:textId="77777777" w:rsidTr="00083A0A">
        <w:trPr>
          <w:trHeight w:val="27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69D65387"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HCO</w:t>
            </w:r>
            <w:r w:rsidRPr="0068083B">
              <w:rPr>
                <w:rFonts w:ascii="Calibri" w:eastAsia="Times New Roman" w:hAnsi="Calibri" w:cs="Calibri"/>
                <w:color w:val="000000"/>
                <w:vertAlign w:val="subscript"/>
                <w:lang w:eastAsia="en-GB"/>
              </w:rPr>
              <w:t>3</w:t>
            </w:r>
            <w:r w:rsidRPr="0068083B">
              <w:rPr>
                <w:rFonts w:ascii="Calibri" w:eastAsia="Times New Roman" w:hAnsi="Calibri" w:cs="Calibri"/>
                <w:color w:val="000000"/>
                <w:vertAlign w:val="superscript"/>
                <w:lang w:eastAsia="en-GB"/>
              </w:rPr>
              <w:t>-</w:t>
            </w:r>
          </w:p>
        </w:tc>
        <w:tc>
          <w:tcPr>
            <w:tcW w:w="1194" w:type="dxa"/>
            <w:hideMark/>
          </w:tcPr>
          <w:p w14:paraId="5E4F55CE"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60</w:t>
            </w:r>
          </w:p>
        </w:tc>
        <w:tc>
          <w:tcPr>
            <w:tcW w:w="1246" w:type="dxa"/>
            <w:hideMark/>
          </w:tcPr>
          <w:p w14:paraId="249BB207"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60</w:t>
            </w:r>
          </w:p>
        </w:tc>
        <w:tc>
          <w:tcPr>
            <w:tcW w:w="951" w:type="dxa"/>
            <w:hideMark/>
          </w:tcPr>
          <w:p w14:paraId="0409897E"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51" w:type="dxa"/>
            <w:hideMark/>
          </w:tcPr>
          <w:p w14:paraId="7CEC5D2B"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51" w:type="dxa"/>
            <w:hideMark/>
          </w:tcPr>
          <w:p w14:paraId="12BF35E2"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c>
          <w:tcPr>
            <w:tcW w:w="975" w:type="dxa"/>
            <w:hideMark/>
          </w:tcPr>
          <w:p w14:paraId="4C82CAE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w:t>
            </w:r>
          </w:p>
        </w:tc>
      </w:tr>
      <w:tr w:rsidR="00083A0A" w:rsidRPr="0068083B" w14:paraId="5CCF8E73" w14:textId="77777777" w:rsidTr="00083A0A">
        <w:trPr>
          <w:trHeight w:val="27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0E60F63C"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SO</w:t>
            </w:r>
            <w:r w:rsidRPr="0068083B">
              <w:rPr>
                <w:rFonts w:ascii="Calibri" w:eastAsia="Times New Roman" w:hAnsi="Calibri" w:cs="Calibri"/>
                <w:color w:val="000000"/>
                <w:vertAlign w:val="subscript"/>
                <w:lang w:eastAsia="en-GB"/>
              </w:rPr>
              <w:t>4</w:t>
            </w:r>
            <w:r w:rsidRPr="0068083B">
              <w:rPr>
                <w:rFonts w:ascii="Calibri" w:eastAsia="Times New Roman" w:hAnsi="Calibri" w:cs="Calibri"/>
                <w:color w:val="000000"/>
                <w:vertAlign w:val="superscript"/>
                <w:lang w:eastAsia="en-GB"/>
              </w:rPr>
              <w:t>2-</w:t>
            </w:r>
          </w:p>
        </w:tc>
        <w:tc>
          <w:tcPr>
            <w:tcW w:w="1194" w:type="dxa"/>
            <w:hideMark/>
          </w:tcPr>
          <w:p w14:paraId="38D303C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30</w:t>
            </w:r>
          </w:p>
        </w:tc>
        <w:tc>
          <w:tcPr>
            <w:tcW w:w="1246" w:type="dxa"/>
            <w:hideMark/>
          </w:tcPr>
          <w:p w14:paraId="1245F5E4"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38</w:t>
            </w:r>
          </w:p>
        </w:tc>
        <w:tc>
          <w:tcPr>
            <w:tcW w:w="951" w:type="dxa"/>
            <w:hideMark/>
          </w:tcPr>
          <w:p w14:paraId="20F6EF91"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10.31</w:t>
            </w:r>
          </w:p>
        </w:tc>
        <w:tc>
          <w:tcPr>
            <w:tcW w:w="951" w:type="dxa"/>
            <w:hideMark/>
          </w:tcPr>
          <w:p w14:paraId="3C5148F2"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13.59</w:t>
            </w:r>
          </w:p>
        </w:tc>
        <w:tc>
          <w:tcPr>
            <w:tcW w:w="951" w:type="dxa"/>
            <w:hideMark/>
          </w:tcPr>
          <w:p w14:paraId="15683965"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14.89</w:t>
            </w:r>
          </w:p>
        </w:tc>
        <w:tc>
          <w:tcPr>
            <w:tcW w:w="975" w:type="dxa"/>
            <w:hideMark/>
          </w:tcPr>
          <w:p w14:paraId="5A6E841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17.7</w:t>
            </w:r>
          </w:p>
        </w:tc>
      </w:tr>
      <w:tr w:rsidR="00083A0A" w:rsidRPr="0068083B" w14:paraId="012F8FCA" w14:textId="77777777" w:rsidTr="00083A0A">
        <w:trPr>
          <w:trHeight w:val="276"/>
          <w:jc w:val="center"/>
        </w:trPr>
        <w:tc>
          <w:tcPr>
            <w:cnfStyle w:val="001000000000" w:firstRow="0" w:lastRow="0" w:firstColumn="1" w:lastColumn="0" w:oddVBand="0" w:evenVBand="0" w:oddHBand="0" w:evenHBand="0" w:firstRowFirstColumn="0" w:firstRowLastColumn="0" w:lastRowFirstColumn="0" w:lastRowLastColumn="0"/>
            <w:tcW w:w="1710" w:type="dxa"/>
            <w:hideMark/>
          </w:tcPr>
          <w:p w14:paraId="2198AEEA" w14:textId="77777777" w:rsidR="00083A0A" w:rsidRPr="0068083B" w:rsidRDefault="00083A0A" w:rsidP="007F48F0">
            <w:pPr>
              <w:jc w:val="center"/>
              <w:rPr>
                <w:rFonts w:ascii="Calibri" w:eastAsia="Times New Roman" w:hAnsi="Calibri" w:cs="Calibri"/>
                <w:color w:val="000000"/>
                <w:lang w:eastAsia="en-GB"/>
              </w:rPr>
            </w:pPr>
            <w:r w:rsidRPr="0068083B">
              <w:rPr>
                <w:rFonts w:ascii="Calibri" w:eastAsia="Times New Roman" w:hAnsi="Calibri" w:cs="Calibri"/>
                <w:color w:val="000000"/>
                <w:lang w:eastAsia="en-GB"/>
              </w:rPr>
              <w:t>NO</w:t>
            </w:r>
            <w:r w:rsidRPr="0068083B">
              <w:rPr>
                <w:rFonts w:ascii="Calibri" w:eastAsia="Times New Roman" w:hAnsi="Calibri" w:cs="Calibri"/>
                <w:color w:val="000000"/>
                <w:vertAlign w:val="subscript"/>
                <w:lang w:eastAsia="en-GB"/>
              </w:rPr>
              <w:t>3</w:t>
            </w:r>
            <w:r w:rsidRPr="0068083B">
              <w:rPr>
                <w:rFonts w:ascii="Calibri" w:eastAsia="Times New Roman" w:hAnsi="Calibri" w:cs="Calibri"/>
                <w:color w:val="000000"/>
                <w:vertAlign w:val="superscript"/>
                <w:lang w:eastAsia="en-GB"/>
              </w:rPr>
              <w:t>-</w:t>
            </w:r>
          </w:p>
        </w:tc>
        <w:tc>
          <w:tcPr>
            <w:tcW w:w="1194" w:type="dxa"/>
            <w:hideMark/>
          </w:tcPr>
          <w:p w14:paraId="797B1860"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5</w:t>
            </w:r>
          </w:p>
        </w:tc>
        <w:tc>
          <w:tcPr>
            <w:tcW w:w="1246" w:type="dxa"/>
            <w:hideMark/>
          </w:tcPr>
          <w:p w14:paraId="0263251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5</w:t>
            </w:r>
          </w:p>
        </w:tc>
        <w:tc>
          <w:tcPr>
            <w:tcW w:w="951" w:type="dxa"/>
            <w:hideMark/>
          </w:tcPr>
          <w:p w14:paraId="3093CEAF"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4.66</w:t>
            </w:r>
          </w:p>
        </w:tc>
        <w:tc>
          <w:tcPr>
            <w:tcW w:w="951" w:type="dxa"/>
            <w:hideMark/>
          </w:tcPr>
          <w:p w14:paraId="316CE0CD"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4.95</w:t>
            </w:r>
          </w:p>
        </w:tc>
        <w:tc>
          <w:tcPr>
            <w:tcW w:w="951" w:type="dxa"/>
            <w:hideMark/>
          </w:tcPr>
          <w:p w14:paraId="38F8DF0E"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5.09</w:t>
            </w:r>
          </w:p>
        </w:tc>
        <w:tc>
          <w:tcPr>
            <w:tcW w:w="975" w:type="dxa"/>
            <w:hideMark/>
          </w:tcPr>
          <w:p w14:paraId="3E91F9F9" w14:textId="77777777" w:rsidR="00083A0A" w:rsidRPr="0068083B" w:rsidRDefault="00083A0A" w:rsidP="007F48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8083B">
              <w:rPr>
                <w:rFonts w:ascii="Calibri" w:eastAsia="Times New Roman" w:hAnsi="Calibri" w:cs="Calibri"/>
                <w:color w:val="000000"/>
                <w:lang w:eastAsia="en-GB"/>
              </w:rPr>
              <w:t>59.92</w:t>
            </w:r>
          </w:p>
        </w:tc>
      </w:tr>
    </w:tbl>
    <w:p w14:paraId="4BCE182F" w14:textId="0B5738F1" w:rsidR="008B7398" w:rsidRDefault="008B7398" w:rsidP="008B7398"/>
    <w:p w14:paraId="2C301EB0" w14:textId="49D711BC" w:rsidR="00D618B3" w:rsidRDefault="00E42BBB" w:rsidP="00D618B3">
      <w:pPr>
        <w:pStyle w:val="Titre2"/>
      </w:pPr>
      <w:r>
        <w:t>S4</w:t>
      </w:r>
      <w:r w:rsidR="00D618B3">
        <w:t>. Flow injection analysis conditions</w:t>
      </w:r>
    </w:p>
    <w:p w14:paraId="32AA8150" w14:textId="753707FE" w:rsidR="001D7259" w:rsidRDefault="001D7259" w:rsidP="007F48F0">
      <w:pPr>
        <w:jc w:val="both"/>
      </w:pPr>
      <w:r w:rsidRPr="001D7259">
        <w:t xml:space="preserve">As described in the main manuscript, flow injection analysis (FIA) was employed to optimise the parameters for HPLC-MS/MS detection of various </w:t>
      </w:r>
      <w:r>
        <w:t>CECs</w:t>
      </w:r>
      <w:r w:rsidRPr="001D7259">
        <w:t xml:space="preserve"> used in batch experiments.</w:t>
      </w:r>
      <w:r>
        <w:t xml:space="preserve"> </w:t>
      </w:r>
      <w:r w:rsidRPr="001D7259">
        <w:t xml:space="preserve">For FIA, individual standard solutions of each compound were prepared at a concentration of 1 ppm. Each vial contained </w:t>
      </w:r>
      <w:r w:rsidRPr="001D7259">
        <w:lastRenderedPageBreak/>
        <w:t>a total volume of 1000 µL, composed of a 50:50 methanol:water mixture. The methanol portion consisted of 400 µL of methanol and 100 µL of a 1</w:t>
      </w:r>
      <w:r>
        <w:t>0</w:t>
      </w:r>
      <w:r w:rsidRPr="001D7259">
        <w:t xml:space="preserve"> ppm native stock solution of the target compound. The aqueous portion comprised 420 µL of ultrapure water and 80 µL of a 125 mM ammonium acetate buffer solution. A volume of 10 µL was injected for each FIA run.</w:t>
      </w:r>
    </w:p>
    <w:p w14:paraId="5B3A8EF6" w14:textId="39BA1E8B" w:rsidR="001D7259" w:rsidRDefault="001D7259" w:rsidP="007F48F0">
      <w:pPr>
        <w:jc w:val="both"/>
      </w:pPr>
      <w:r w:rsidRPr="001D7259">
        <w:t>The initial step in method development involved optimising the cone voltage. Cone energies ranging from 10 to 80 V were tested to identify the setting that produced the maximum signal intensity for each analyte. Both positive and negative electrospray ionisation (ESI) modes were evaluated. The optimised cone voltages and ionisation modes selected for each com</w:t>
      </w:r>
      <w:r w:rsidR="004037AE">
        <w:t>poun</w:t>
      </w:r>
      <w:r w:rsidR="00E2285E">
        <w:t xml:space="preserve">d are summarised in </w:t>
      </w:r>
      <w:r w:rsidR="00E2285E">
        <w:fldChar w:fldCharType="begin"/>
      </w:r>
      <w:r w:rsidR="00E2285E">
        <w:instrText xml:space="preserve"> REF _Ref199945201 \h </w:instrText>
      </w:r>
      <w:r w:rsidR="00E2285E">
        <w:fldChar w:fldCharType="separate"/>
      </w:r>
      <w:r w:rsidR="004708CF">
        <w:t>Table S</w:t>
      </w:r>
      <w:r w:rsidR="004708CF">
        <w:rPr>
          <w:noProof/>
        </w:rPr>
        <w:t>2</w:t>
      </w:r>
      <w:r w:rsidR="00E2285E">
        <w:fldChar w:fldCharType="end"/>
      </w:r>
      <w:r w:rsidRPr="001D7259">
        <w:t>.</w:t>
      </w:r>
    </w:p>
    <w:p w14:paraId="3D02A736" w14:textId="2FBED3C7" w:rsidR="004037AE" w:rsidRDefault="00E2285E" w:rsidP="004037AE">
      <w:pPr>
        <w:pStyle w:val="Lgende"/>
        <w:keepNext/>
        <w:jc w:val="center"/>
      </w:pPr>
      <w:bookmarkStart w:id="3" w:name="_Ref199945201"/>
      <w:r>
        <w:t xml:space="preserve">Table </w:t>
      </w:r>
      <w:r w:rsidR="00DA43D5">
        <w:t>S</w:t>
      </w:r>
      <w:r w:rsidR="00210AEA">
        <w:fldChar w:fldCharType="begin"/>
      </w:r>
      <w:r w:rsidR="00210AEA">
        <w:instrText xml:space="preserve"> SEQ Table \* ARABIC </w:instrText>
      </w:r>
      <w:r w:rsidR="00210AEA">
        <w:fldChar w:fldCharType="separate"/>
      </w:r>
      <w:r w:rsidR="007641B4">
        <w:rPr>
          <w:noProof/>
        </w:rPr>
        <w:t>2</w:t>
      </w:r>
      <w:r w:rsidR="00210AEA">
        <w:rPr>
          <w:noProof/>
        </w:rPr>
        <w:fldChar w:fldCharType="end"/>
      </w:r>
      <w:bookmarkEnd w:id="3"/>
      <w:r w:rsidR="004037AE">
        <w:t>. Cone voltage optimisation during FIA.</w:t>
      </w:r>
    </w:p>
    <w:tbl>
      <w:tblPr>
        <w:tblW w:w="8080" w:type="dxa"/>
        <w:jc w:val="center"/>
        <w:tblLook w:val="04A0" w:firstRow="1" w:lastRow="0" w:firstColumn="1" w:lastColumn="0" w:noHBand="0" w:noVBand="1"/>
      </w:tblPr>
      <w:tblGrid>
        <w:gridCol w:w="2700"/>
        <w:gridCol w:w="2535"/>
        <w:gridCol w:w="845"/>
        <w:gridCol w:w="1281"/>
        <w:gridCol w:w="719"/>
      </w:tblGrid>
      <w:tr w:rsidR="004037AE" w:rsidRPr="004037AE" w14:paraId="5FA32DB3" w14:textId="77777777" w:rsidTr="004037AE">
        <w:trPr>
          <w:trHeight w:val="660"/>
          <w:jc w:val="center"/>
        </w:trPr>
        <w:tc>
          <w:tcPr>
            <w:tcW w:w="2700" w:type="dxa"/>
            <w:tcBorders>
              <w:top w:val="single" w:sz="8" w:space="0" w:color="auto"/>
              <w:left w:val="single" w:sz="8" w:space="0" w:color="auto"/>
              <w:bottom w:val="single" w:sz="8" w:space="0" w:color="auto"/>
              <w:right w:val="single" w:sz="8" w:space="0" w:color="auto"/>
            </w:tcBorders>
            <w:shd w:val="clear" w:color="000000" w:fill="FFD966"/>
            <w:noWrap/>
            <w:vAlign w:val="center"/>
            <w:hideMark/>
          </w:tcPr>
          <w:p w14:paraId="2FC51419" w14:textId="77777777" w:rsidR="004037AE" w:rsidRPr="004037AE" w:rsidRDefault="004037AE" w:rsidP="004037AE">
            <w:pPr>
              <w:spacing w:after="0" w:line="240" w:lineRule="auto"/>
              <w:jc w:val="center"/>
              <w:rPr>
                <w:rFonts w:ascii="Calibri" w:eastAsia="Times New Roman" w:hAnsi="Calibri" w:cs="Calibri"/>
                <w:b/>
                <w:bCs/>
                <w:color w:val="000000"/>
                <w:lang w:eastAsia="en-GB"/>
              </w:rPr>
            </w:pPr>
            <w:r w:rsidRPr="004037AE">
              <w:rPr>
                <w:rFonts w:ascii="Calibri" w:eastAsia="Times New Roman" w:hAnsi="Calibri" w:cs="Calibri"/>
                <w:b/>
                <w:bCs/>
                <w:color w:val="000000"/>
                <w:lang w:eastAsia="en-GB"/>
              </w:rPr>
              <w:t>Compound name</w:t>
            </w:r>
          </w:p>
        </w:tc>
        <w:tc>
          <w:tcPr>
            <w:tcW w:w="2535" w:type="dxa"/>
            <w:tcBorders>
              <w:top w:val="single" w:sz="8" w:space="0" w:color="auto"/>
              <w:left w:val="nil"/>
              <w:bottom w:val="single" w:sz="8" w:space="0" w:color="auto"/>
              <w:right w:val="single" w:sz="8" w:space="0" w:color="auto"/>
            </w:tcBorders>
            <w:shd w:val="clear" w:color="000000" w:fill="FFD966"/>
            <w:noWrap/>
            <w:vAlign w:val="center"/>
            <w:hideMark/>
          </w:tcPr>
          <w:p w14:paraId="36A0DF05" w14:textId="77777777" w:rsidR="004037AE" w:rsidRPr="004037AE" w:rsidRDefault="004037AE" w:rsidP="004037AE">
            <w:pPr>
              <w:spacing w:after="0" w:line="240" w:lineRule="auto"/>
              <w:jc w:val="center"/>
              <w:rPr>
                <w:rFonts w:ascii="Calibri" w:eastAsia="Times New Roman" w:hAnsi="Calibri" w:cs="Calibri"/>
                <w:b/>
                <w:bCs/>
                <w:color w:val="000000"/>
                <w:lang w:eastAsia="en-GB"/>
              </w:rPr>
            </w:pPr>
            <w:r w:rsidRPr="004037AE">
              <w:rPr>
                <w:rFonts w:ascii="Calibri" w:eastAsia="Times New Roman" w:hAnsi="Calibri" w:cs="Calibri"/>
                <w:b/>
                <w:bCs/>
                <w:color w:val="000000"/>
                <w:lang w:eastAsia="en-GB"/>
              </w:rPr>
              <w:t>molecular mass (g mol</w:t>
            </w:r>
            <w:r w:rsidRPr="004037AE">
              <w:rPr>
                <w:rFonts w:ascii="Calibri" w:eastAsia="Times New Roman" w:hAnsi="Calibri" w:cs="Calibri"/>
                <w:b/>
                <w:bCs/>
                <w:color w:val="000000"/>
                <w:vertAlign w:val="superscript"/>
                <w:lang w:eastAsia="en-GB"/>
              </w:rPr>
              <w:t>-1</w:t>
            </w:r>
            <w:r w:rsidRPr="004037AE">
              <w:rPr>
                <w:rFonts w:ascii="Calibri" w:eastAsia="Times New Roman" w:hAnsi="Calibri" w:cs="Calibri"/>
                <w:b/>
                <w:bCs/>
                <w:color w:val="000000"/>
                <w:lang w:eastAsia="en-GB"/>
              </w:rPr>
              <w:t>)</w:t>
            </w:r>
          </w:p>
        </w:tc>
        <w:tc>
          <w:tcPr>
            <w:tcW w:w="845" w:type="dxa"/>
            <w:tcBorders>
              <w:top w:val="single" w:sz="8" w:space="0" w:color="auto"/>
              <w:left w:val="nil"/>
              <w:bottom w:val="single" w:sz="8" w:space="0" w:color="auto"/>
              <w:right w:val="single" w:sz="8" w:space="0" w:color="auto"/>
            </w:tcBorders>
            <w:shd w:val="clear" w:color="000000" w:fill="FFD966"/>
            <w:noWrap/>
            <w:vAlign w:val="center"/>
            <w:hideMark/>
          </w:tcPr>
          <w:p w14:paraId="549897C9" w14:textId="77777777" w:rsidR="004037AE" w:rsidRPr="004037AE" w:rsidRDefault="004037AE" w:rsidP="004037AE">
            <w:pPr>
              <w:spacing w:after="0" w:line="240" w:lineRule="auto"/>
              <w:jc w:val="center"/>
              <w:rPr>
                <w:rFonts w:ascii="Calibri" w:eastAsia="Times New Roman" w:hAnsi="Calibri" w:cs="Calibri"/>
                <w:b/>
                <w:bCs/>
                <w:color w:val="000000"/>
                <w:lang w:eastAsia="en-GB"/>
              </w:rPr>
            </w:pPr>
            <w:r w:rsidRPr="004037AE">
              <w:rPr>
                <w:rFonts w:ascii="Calibri" w:eastAsia="Times New Roman" w:hAnsi="Calibri" w:cs="Calibri"/>
                <w:b/>
                <w:bCs/>
                <w:color w:val="000000"/>
                <w:lang w:eastAsia="en-GB"/>
              </w:rPr>
              <w:t>ESI</w:t>
            </w:r>
          </w:p>
        </w:tc>
        <w:tc>
          <w:tcPr>
            <w:tcW w:w="1281" w:type="dxa"/>
            <w:tcBorders>
              <w:top w:val="single" w:sz="8" w:space="0" w:color="auto"/>
              <w:left w:val="nil"/>
              <w:bottom w:val="single" w:sz="8" w:space="0" w:color="auto"/>
              <w:right w:val="single" w:sz="8" w:space="0" w:color="auto"/>
            </w:tcBorders>
            <w:shd w:val="clear" w:color="000000" w:fill="FFD966"/>
            <w:vAlign w:val="center"/>
            <w:hideMark/>
          </w:tcPr>
          <w:p w14:paraId="7D03D31B" w14:textId="77777777" w:rsidR="004037AE" w:rsidRPr="004037AE" w:rsidRDefault="004037AE" w:rsidP="004037AE">
            <w:pPr>
              <w:spacing w:after="0" w:line="240" w:lineRule="auto"/>
              <w:jc w:val="center"/>
              <w:rPr>
                <w:rFonts w:ascii="Calibri" w:eastAsia="Times New Roman" w:hAnsi="Calibri" w:cs="Calibri"/>
                <w:b/>
                <w:bCs/>
                <w:color w:val="000000"/>
                <w:lang w:eastAsia="en-GB"/>
              </w:rPr>
            </w:pPr>
            <w:r w:rsidRPr="004037AE">
              <w:rPr>
                <w:rFonts w:ascii="Calibri" w:eastAsia="Times New Roman" w:hAnsi="Calibri" w:cs="Calibri"/>
                <w:b/>
                <w:bCs/>
                <w:color w:val="000000"/>
                <w:lang w:eastAsia="en-GB"/>
              </w:rPr>
              <w:t xml:space="preserve">Parent </w:t>
            </w:r>
            <w:r w:rsidRPr="004037AE">
              <w:rPr>
                <w:rFonts w:ascii="Calibri" w:eastAsia="Times New Roman" w:hAnsi="Calibri" w:cs="Calibri"/>
                <w:b/>
                <w:bCs/>
                <w:color w:val="000000"/>
                <w:lang w:eastAsia="en-GB"/>
              </w:rPr>
              <w:br/>
              <w:t>ion (m/z)</w:t>
            </w:r>
          </w:p>
        </w:tc>
        <w:tc>
          <w:tcPr>
            <w:tcW w:w="719" w:type="dxa"/>
            <w:tcBorders>
              <w:top w:val="single" w:sz="8" w:space="0" w:color="auto"/>
              <w:left w:val="nil"/>
              <w:bottom w:val="single" w:sz="8" w:space="0" w:color="auto"/>
              <w:right w:val="single" w:sz="8" w:space="0" w:color="auto"/>
            </w:tcBorders>
            <w:shd w:val="clear" w:color="000000" w:fill="FFD966"/>
            <w:noWrap/>
            <w:vAlign w:val="center"/>
            <w:hideMark/>
          </w:tcPr>
          <w:p w14:paraId="16C6B1E4" w14:textId="77777777" w:rsidR="004037AE" w:rsidRPr="004037AE" w:rsidRDefault="004037AE" w:rsidP="004037AE">
            <w:pPr>
              <w:spacing w:after="0" w:line="240" w:lineRule="auto"/>
              <w:jc w:val="center"/>
              <w:rPr>
                <w:rFonts w:ascii="Calibri" w:eastAsia="Times New Roman" w:hAnsi="Calibri" w:cs="Calibri"/>
                <w:b/>
                <w:bCs/>
                <w:color w:val="000000"/>
                <w:lang w:eastAsia="en-GB"/>
              </w:rPr>
            </w:pPr>
            <w:r w:rsidRPr="004037AE">
              <w:rPr>
                <w:rFonts w:ascii="Calibri" w:eastAsia="Times New Roman" w:hAnsi="Calibri" w:cs="Calibri"/>
                <w:b/>
                <w:bCs/>
                <w:color w:val="000000"/>
                <w:lang w:eastAsia="en-GB"/>
              </w:rPr>
              <w:t>Cone (V)</w:t>
            </w:r>
          </w:p>
        </w:tc>
      </w:tr>
      <w:tr w:rsidR="004037AE" w:rsidRPr="004037AE" w14:paraId="2382201B" w14:textId="77777777" w:rsidTr="004037AE">
        <w:trPr>
          <w:trHeight w:val="290"/>
          <w:jc w:val="center"/>
        </w:trPr>
        <w:tc>
          <w:tcPr>
            <w:tcW w:w="2700" w:type="dxa"/>
            <w:tcBorders>
              <w:top w:val="nil"/>
              <w:left w:val="single" w:sz="8" w:space="0" w:color="auto"/>
              <w:bottom w:val="nil"/>
              <w:right w:val="single" w:sz="8" w:space="0" w:color="auto"/>
            </w:tcBorders>
            <w:shd w:val="clear" w:color="000000" w:fill="FFF2CC"/>
            <w:noWrap/>
            <w:vAlign w:val="center"/>
            <w:hideMark/>
          </w:tcPr>
          <w:p w14:paraId="121D1CDF"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Benzotriazole</w:t>
            </w:r>
          </w:p>
        </w:tc>
        <w:tc>
          <w:tcPr>
            <w:tcW w:w="2535" w:type="dxa"/>
            <w:tcBorders>
              <w:top w:val="nil"/>
              <w:left w:val="nil"/>
              <w:bottom w:val="nil"/>
              <w:right w:val="single" w:sz="8" w:space="0" w:color="auto"/>
            </w:tcBorders>
            <w:shd w:val="clear" w:color="000000" w:fill="FFF2CC"/>
            <w:noWrap/>
            <w:vAlign w:val="center"/>
            <w:hideMark/>
          </w:tcPr>
          <w:p w14:paraId="01E95F9F"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119.12</w:t>
            </w:r>
          </w:p>
        </w:tc>
        <w:tc>
          <w:tcPr>
            <w:tcW w:w="845" w:type="dxa"/>
            <w:tcBorders>
              <w:top w:val="nil"/>
              <w:left w:val="nil"/>
              <w:bottom w:val="nil"/>
              <w:right w:val="single" w:sz="8" w:space="0" w:color="auto"/>
            </w:tcBorders>
            <w:shd w:val="clear" w:color="000000" w:fill="FFF2CC"/>
            <w:noWrap/>
            <w:vAlign w:val="center"/>
            <w:hideMark/>
          </w:tcPr>
          <w:p w14:paraId="71060A9C"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w:t>
            </w:r>
          </w:p>
        </w:tc>
        <w:tc>
          <w:tcPr>
            <w:tcW w:w="1281" w:type="dxa"/>
            <w:tcBorders>
              <w:top w:val="nil"/>
              <w:left w:val="nil"/>
              <w:bottom w:val="nil"/>
              <w:right w:val="single" w:sz="8" w:space="0" w:color="auto"/>
            </w:tcBorders>
            <w:shd w:val="clear" w:color="000000" w:fill="FFF2CC"/>
            <w:noWrap/>
            <w:vAlign w:val="center"/>
            <w:hideMark/>
          </w:tcPr>
          <w:p w14:paraId="0FD1F731"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120</w:t>
            </w:r>
          </w:p>
        </w:tc>
        <w:tc>
          <w:tcPr>
            <w:tcW w:w="719" w:type="dxa"/>
            <w:tcBorders>
              <w:top w:val="nil"/>
              <w:left w:val="nil"/>
              <w:bottom w:val="nil"/>
              <w:right w:val="single" w:sz="8" w:space="0" w:color="auto"/>
            </w:tcBorders>
            <w:shd w:val="clear" w:color="000000" w:fill="FFF2CC"/>
            <w:noWrap/>
            <w:vAlign w:val="center"/>
            <w:hideMark/>
          </w:tcPr>
          <w:p w14:paraId="0504C83B"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10</w:t>
            </w:r>
          </w:p>
        </w:tc>
      </w:tr>
      <w:tr w:rsidR="004037AE" w:rsidRPr="004037AE" w14:paraId="5E9BEA3B" w14:textId="77777777" w:rsidTr="004037AE">
        <w:trPr>
          <w:trHeight w:val="290"/>
          <w:jc w:val="center"/>
        </w:trPr>
        <w:tc>
          <w:tcPr>
            <w:tcW w:w="2700" w:type="dxa"/>
            <w:tcBorders>
              <w:top w:val="nil"/>
              <w:left w:val="single" w:sz="8" w:space="0" w:color="auto"/>
              <w:bottom w:val="nil"/>
              <w:right w:val="single" w:sz="8" w:space="0" w:color="auto"/>
            </w:tcBorders>
            <w:shd w:val="clear" w:color="000000" w:fill="FFF2CC"/>
            <w:noWrap/>
            <w:vAlign w:val="center"/>
            <w:hideMark/>
          </w:tcPr>
          <w:p w14:paraId="521666C7"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Tolyltriazole</w:t>
            </w:r>
          </w:p>
        </w:tc>
        <w:tc>
          <w:tcPr>
            <w:tcW w:w="2535" w:type="dxa"/>
            <w:tcBorders>
              <w:top w:val="nil"/>
              <w:left w:val="nil"/>
              <w:bottom w:val="nil"/>
              <w:right w:val="single" w:sz="8" w:space="0" w:color="auto"/>
            </w:tcBorders>
            <w:shd w:val="clear" w:color="000000" w:fill="FFF2CC"/>
            <w:noWrap/>
            <w:vAlign w:val="center"/>
            <w:hideMark/>
          </w:tcPr>
          <w:p w14:paraId="4071B842"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133.15</w:t>
            </w:r>
          </w:p>
        </w:tc>
        <w:tc>
          <w:tcPr>
            <w:tcW w:w="845" w:type="dxa"/>
            <w:tcBorders>
              <w:top w:val="nil"/>
              <w:left w:val="nil"/>
              <w:bottom w:val="nil"/>
              <w:right w:val="single" w:sz="8" w:space="0" w:color="auto"/>
            </w:tcBorders>
            <w:shd w:val="clear" w:color="000000" w:fill="FFF2CC"/>
            <w:noWrap/>
            <w:vAlign w:val="center"/>
            <w:hideMark/>
          </w:tcPr>
          <w:p w14:paraId="65B69F41"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w:t>
            </w:r>
          </w:p>
        </w:tc>
        <w:tc>
          <w:tcPr>
            <w:tcW w:w="1281" w:type="dxa"/>
            <w:tcBorders>
              <w:top w:val="nil"/>
              <w:left w:val="nil"/>
              <w:bottom w:val="nil"/>
              <w:right w:val="single" w:sz="8" w:space="0" w:color="auto"/>
            </w:tcBorders>
            <w:shd w:val="clear" w:color="000000" w:fill="FFF2CC"/>
            <w:noWrap/>
            <w:vAlign w:val="center"/>
            <w:hideMark/>
          </w:tcPr>
          <w:p w14:paraId="2A08744E"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134</w:t>
            </w:r>
          </w:p>
        </w:tc>
        <w:tc>
          <w:tcPr>
            <w:tcW w:w="719" w:type="dxa"/>
            <w:tcBorders>
              <w:top w:val="nil"/>
              <w:left w:val="nil"/>
              <w:bottom w:val="nil"/>
              <w:right w:val="single" w:sz="8" w:space="0" w:color="auto"/>
            </w:tcBorders>
            <w:shd w:val="clear" w:color="000000" w:fill="FFF2CC"/>
            <w:noWrap/>
            <w:vAlign w:val="center"/>
            <w:hideMark/>
          </w:tcPr>
          <w:p w14:paraId="21629932"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10</w:t>
            </w:r>
          </w:p>
        </w:tc>
      </w:tr>
      <w:tr w:rsidR="004037AE" w:rsidRPr="004037AE" w14:paraId="3D2337A1" w14:textId="77777777" w:rsidTr="004037AE">
        <w:trPr>
          <w:trHeight w:val="290"/>
          <w:jc w:val="center"/>
        </w:trPr>
        <w:tc>
          <w:tcPr>
            <w:tcW w:w="2700" w:type="dxa"/>
            <w:tcBorders>
              <w:top w:val="nil"/>
              <w:left w:val="single" w:sz="8" w:space="0" w:color="auto"/>
              <w:bottom w:val="nil"/>
              <w:right w:val="single" w:sz="8" w:space="0" w:color="auto"/>
            </w:tcBorders>
            <w:shd w:val="clear" w:color="000000" w:fill="FFF2CC"/>
            <w:noWrap/>
            <w:vAlign w:val="center"/>
            <w:hideMark/>
          </w:tcPr>
          <w:p w14:paraId="1E75B5D3"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nonylphenol diethoxylate</w:t>
            </w:r>
          </w:p>
        </w:tc>
        <w:tc>
          <w:tcPr>
            <w:tcW w:w="2535" w:type="dxa"/>
            <w:tcBorders>
              <w:top w:val="nil"/>
              <w:left w:val="nil"/>
              <w:bottom w:val="nil"/>
              <w:right w:val="single" w:sz="8" w:space="0" w:color="auto"/>
            </w:tcBorders>
            <w:shd w:val="clear" w:color="000000" w:fill="FFF2CC"/>
            <w:noWrap/>
            <w:vAlign w:val="center"/>
            <w:hideMark/>
          </w:tcPr>
          <w:p w14:paraId="24CD11B5"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308.5</w:t>
            </w:r>
          </w:p>
        </w:tc>
        <w:tc>
          <w:tcPr>
            <w:tcW w:w="845" w:type="dxa"/>
            <w:tcBorders>
              <w:top w:val="nil"/>
              <w:left w:val="nil"/>
              <w:bottom w:val="nil"/>
              <w:right w:val="single" w:sz="8" w:space="0" w:color="auto"/>
            </w:tcBorders>
            <w:shd w:val="clear" w:color="000000" w:fill="FFF2CC"/>
            <w:noWrap/>
            <w:vAlign w:val="center"/>
            <w:hideMark/>
          </w:tcPr>
          <w:p w14:paraId="6A2D0D1D"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w:t>
            </w:r>
          </w:p>
        </w:tc>
        <w:tc>
          <w:tcPr>
            <w:tcW w:w="1281" w:type="dxa"/>
            <w:tcBorders>
              <w:top w:val="nil"/>
              <w:left w:val="nil"/>
              <w:bottom w:val="nil"/>
              <w:right w:val="single" w:sz="8" w:space="0" w:color="auto"/>
            </w:tcBorders>
            <w:shd w:val="clear" w:color="000000" w:fill="FFF2CC"/>
            <w:noWrap/>
            <w:vAlign w:val="center"/>
            <w:hideMark/>
          </w:tcPr>
          <w:p w14:paraId="5D5D12DC"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326</w:t>
            </w:r>
          </w:p>
        </w:tc>
        <w:tc>
          <w:tcPr>
            <w:tcW w:w="719" w:type="dxa"/>
            <w:tcBorders>
              <w:top w:val="nil"/>
              <w:left w:val="nil"/>
              <w:bottom w:val="nil"/>
              <w:right w:val="single" w:sz="8" w:space="0" w:color="auto"/>
            </w:tcBorders>
            <w:shd w:val="clear" w:color="000000" w:fill="FFF2CC"/>
            <w:noWrap/>
            <w:vAlign w:val="center"/>
            <w:hideMark/>
          </w:tcPr>
          <w:p w14:paraId="56A96F64"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20</w:t>
            </w:r>
          </w:p>
        </w:tc>
      </w:tr>
      <w:tr w:rsidR="004037AE" w:rsidRPr="004037AE" w14:paraId="15FA2518" w14:textId="77777777" w:rsidTr="004037AE">
        <w:trPr>
          <w:trHeight w:val="290"/>
          <w:jc w:val="center"/>
        </w:trPr>
        <w:tc>
          <w:tcPr>
            <w:tcW w:w="2700" w:type="dxa"/>
            <w:tcBorders>
              <w:top w:val="nil"/>
              <w:left w:val="single" w:sz="8" w:space="0" w:color="auto"/>
              <w:bottom w:val="nil"/>
              <w:right w:val="single" w:sz="8" w:space="0" w:color="auto"/>
            </w:tcBorders>
            <w:shd w:val="clear" w:color="000000" w:fill="FFF2CC"/>
            <w:noWrap/>
            <w:vAlign w:val="center"/>
            <w:hideMark/>
          </w:tcPr>
          <w:p w14:paraId="0B19EF56"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6:2 FTS</w:t>
            </w:r>
          </w:p>
        </w:tc>
        <w:tc>
          <w:tcPr>
            <w:tcW w:w="2535" w:type="dxa"/>
            <w:tcBorders>
              <w:top w:val="nil"/>
              <w:left w:val="nil"/>
              <w:bottom w:val="nil"/>
              <w:right w:val="single" w:sz="8" w:space="0" w:color="auto"/>
            </w:tcBorders>
            <w:shd w:val="clear" w:color="000000" w:fill="FFF2CC"/>
            <w:noWrap/>
            <w:vAlign w:val="center"/>
            <w:hideMark/>
          </w:tcPr>
          <w:p w14:paraId="7CFF7388"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428.17</w:t>
            </w:r>
          </w:p>
        </w:tc>
        <w:tc>
          <w:tcPr>
            <w:tcW w:w="845" w:type="dxa"/>
            <w:tcBorders>
              <w:top w:val="nil"/>
              <w:left w:val="nil"/>
              <w:bottom w:val="nil"/>
              <w:right w:val="single" w:sz="8" w:space="0" w:color="auto"/>
            </w:tcBorders>
            <w:shd w:val="clear" w:color="000000" w:fill="FFF2CC"/>
            <w:noWrap/>
            <w:vAlign w:val="center"/>
            <w:hideMark/>
          </w:tcPr>
          <w:p w14:paraId="6F001892"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w:t>
            </w:r>
          </w:p>
        </w:tc>
        <w:tc>
          <w:tcPr>
            <w:tcW w:w="1281" w:type="dxa"/>
            <w:tcBorders>
              <w:top w:val="nil"/>
              <w:left w:val="nil"/>
              <w:bottom w:val="nil"/>
              <w:right w:val="single" w:sz="8" w:space="0" w:color="auto"/>
            </w:tcBorders>
            <w:shd w:val="clear" w:color="000000" w:fill="FFF2CC"/>
            <w:noWrap/>
            <w:vAlign w:val="center"/>
            <w:hideMark/>
          </w:tcPr>
          <w:p w14:paraId="71BB9617"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427/407</w:t>
            </w:r>
          </w:p>
        </w:tc>
        <w:tc>
          <w:tcPr>
            <w:tcW w:w="719" w:type="dxa"/>
            <w:tcBorders>
              <w:top w:val="nil"/>
              <w:left w:val="nil"/>
              <w:bottom w:val="nil"/>
              <w:right w:val="single" w:sz="8" w:space="0" w:color="auto"/>
            </w:tcBorders>
            <w:shd w:val="clear" w:color="000000" w:fill="FFF2CC"/>
            <w:noWrap/>
            <w:vAlign w:val="center"/>
            <w:hideMark/>
          </w:tcPr>
          <w:p w14:paraId="4479F6B4"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20</w:t>
            </w:r>
          </w:p>
        </w:tc>
      </w:tr>
      <w:tr w:rsidR="004037AE" w:rsidRPr="004037AE" w14:paraId="4DCA0DDB" w14:textId="77777777" w:rsidTr="004037AE">
        <w:trPr>
          <w:trHeight w:val="300"/>
          <w:jc w:val="center"/>
        </w:trPr>
        <w:tc>
          <w:tcPr>
            <w:tcW w:w="2700" w:type="dxa"/>
            <w:tcBorders>
              <w:top w:val="nil"/>
              <w:left w:val="single" w:sz="8" w:space="0" w:color="auto"/>
              <w:bottom w:val="single" w:sz="8" w:space="0" w:color="auto"/>
              <w:right w:val="single" w:sz="8" w:space="0" w:color="auto"/>
            </w:tcBorders>
            <w:shd w:val="clear" w:color="000000" w:fill="FFF2CC"/>
            <w:noWrap/>
            <w:vAlign w:val="center"/>
            <w:hideMark/>
          </w:tcPr>
          <w:p w14:paraId="386DCB0F"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PFECHS</w:t>
            </w:r>
          </w:p>
        </w:tc>
        <w:tc>
          <w:tcPr>
            <w:tcW w:w="2535" w:type="dxa"/>
            <w:tcBorders>
              <w:top w:val="nil"/>
              <w:left w:val="nil"/>
              <w:bottom w:val="single" w:sz="8" w:space="0" w:color="auto"/>
              <w:right w:val="single" w:sz="8" w:space="0" w:color="auto"/>
            </w:tcBorders>
            <w:shd w:val="clear" w:color="000000" w:fill="FFF2CC"/>
            <w:noWrap/>
            <w:vAlign w:val="center"/>
            <w:hideMark/>
          </w:tcPr>
          <w:p w14:paraId="6713C0E9"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462.13</w:t>
            </w:r>
          </w:p>
        </w:tc>
        <w:tc>
          <w:tcPr>
            <w:tcW w:w="845" w:type="dxa"/>
            <w:tcBorders>
              <w:top w:val="nil"/>
              <w:left w:val="nil"/>
              <w:bottom w:val="single" w:sz="8" w:space="0" w:color="auto"/>
              <w:right w:val="single" w:sz="8" w:space="0" w:color="auto"/>
            </w:tcBorders>
            <w:shd w:val="clear" w:color="000000" w:fill="FFF2CC"/>
            <w:noWrap/>
            <w:vAlign w:val="center"/>
            <w:hideMark/>
          </w:tcPr>
          <w:p w14:paraId="7BDC88E7"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w:t>
            </w:r>
          </w:p>
        </w:tc>
        <w:tc>
          <w:tcPr>
            <w:tcW w:w="1281" w:type="dxa"/>
            <w:tcBorders>
              <w:top w:val="nil"/>
              <w:left w:val="nil"/>
              <w:bottom w:val="single" w:sz="8" w:space="0" w:color="auto"/>
              <w:right w:val="single" w:sz="8" w:space="0" w:color="auto"/>
            </w:tcBorders>
            <w:shd w:val="clear" w:color="000000" w:fill="FFF2CC"/>
            <w:noWrap/>
            <w:vAlign w:val="center"/>
            <w:hideMark/>
          </w:tcPr>
          <w:p w14:paraId="567CF316"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461</w:t>
            </w:r>
          </w:p>
        </w:tc>
        <w:tc>
          <w:tcPr>
            <w:tcW w:w="719" w:type="dxa"/>
            <w:tcBorders>
              <w:top w:val="nil"/>
              <w:left w:val="nil"/>
              <w:bottom w:val="single" w:sz="8" w:space="0" w:color="auto"/>
              <w:right w:val="single" w:sz="8" w:space="0" w:color="auto"/>
            </w:tcBorders>
            <w:shd w:val="clear" w:color="000000" w:fill="FFF2CC"/>
            <w:noWrap/>
            <w:vAlign w:val="center"/>
            <w:hideMark/>
          </w:tcPr>
          <w:p w14:paraId="128685DC" w14:textId="77777777" w:rsidR="004037AE" w:rsidRPr="004037AE" w:rsidRDefault="004037AE" w:rsidP="004037AE">
            <w:pPr>
              <w:spacing w:after="0" w:line="240" w:lineRule="auto"/>
              <w:jc w:val="center"/>
              <w:rPr>
                <w:rFonts w:ascii="Calibri" w:eastAsia="Times New Roman" w:hAnsi="Calibri" w:cs="Calibri"/>
                <w:color w:val="000000"/>
                <w:lang w:eastAsia="en-GB"/>
              </w:rPr>
            </w:pPr>
            <w:r w:rsidRPr="004037AE">
              <w:rPr>
                <w:rFonts w:ascii="Calibri" w:eastAsia="Times New Roman" w:hAnsi="Calibri" w:cs="Calibri"/>
                <w:color w:val="000000"/>
                <w:lang w:eastAsia="en-GB"/>
              </w:rPr>
              <w:t>80</w:t>
            </w:r>
          </w:p>
        </w:tc>
      </w:tr>
    </w:tbl>
    <w:p w14:paraId="6FEC6012" w14:textId="255B797F" w:rsidR="00485E2C" w:rsidRDefault="00485E2C" w:rsidP="00485E2C">
      <w:pPr>
        <w:jc w:val="center"/>
      </w:pPr>
    </w:p>
    <w:p w14:paraId="7D7DF4E1" w14:textId="42B34D2E" w:rsidR="002B4AB1" w:rsidRDefault="0091476B" w:rsidP="0028637A">
      <w:pPr>
        <w:jc w:val="both"/>
      </w:pPr>
      <w:r w:rsidRPr="0091476B">
        <w:t>The second step involved optimisation of the collision energy for each compound, based on the previously determined optimal cone voltage. Collision energies were tested over a range of 10 to 50 eV to identify the value that yielded the highest intensity for the selected product ions. The final optimised collision energies and corresponding retention times for each target c</w:t>
      </w:r>
      <w:r>
        <w:t>ompound are reported in</w:t>
      </w:r>
      <w:r w:rsidR="00E2285E">
        <w:t xml:space="preserve"> </w:t>
      </w:r>
      <w:r w:rsidR="00E2285E">
        <w:fldChar w:fldCharType="begin"/>
      </w:r>
      <w:r w:rsidR="00E2285E">
        <w:instrText xml:space="preserve"> REF _Ref199947779 \h </w:instrText>
      </w:r>
      <w:r w:rsidR="00E2285E">
        <w:fldChar w:fldCharType="separate"/>
      </w:r>
      <w:r w:rsidR="004708CF">
        <w:t>Table S</w:t>
      </w:r>
      <w:r w:rsidR="004708CF">
        <w:rPr>
          <w:noProof/>
        </w:rPr>
        <w:t>3</w:t>
      </w:r>
      <w:r w:rsidR="00E2285E">
        <w:fldChar w:fldCharType="end"/>
      </w:r>
      <w:r w:rsidRPr="0091476B">
        <w:t>.</w:t>
      </w:r>
    </w:p>
    <w:p w14:paraId="65C07A26" w14:textId="5661ECD0" w:rsidR="0091476B" w:rsidRDefault="00E2285E" w:rsidP="0091476B">
      <w:pPr>
        <w:pStyle w:val="Lgende"/>
        <w:keepNext/>
        <w:jc w:val="center"/>
      </w:pPr>
      <w:bookmarkStart w:id="4" w:name="_Ref199947779"/>
      <w:r>
        <w:t xml:space="preserve">Table </w:t>
      </w:r>
      <w:r w:rsidR="00DA43D5">
        <w:t>S</w:t>
      </w:r>
      <w:r w:rsidR="00210AEA">
        <w:fldChar w:fldCharType="begin"/>
      </w:r>
      <w:r w:rsidR="00210AEA">
        <w:instrText xml:space="preserve"> SEQ Table \* ARABIC </w:instrText>
      </w:r>
      <w:r w:rsidR="00210AEA">
        <w:fldChar w:fldCharType="separate"/>
      </w:r>
      <w:r w:rsidR="007641B4">
        <w:rPr>
          <w:noProof/>
        </w:rPr>
        <w:t>3</w:t>
      </w:r>
      <w:r w:rsidR="00210AEA">
        <w:rPr>
          <w:noProof/>
        </w:rPr>
        <w:fldChar w:fldCharType="end"/>
      </w:r>
      <w:bookmarkEnd w:id="4"/>
      <w:r w:rsidR="0091476B">
        <w:t>. Collision energy optimisation during FIA.</w:t>
      </w:r>
    </w:p>
    <w:tbl>
      <w:tblPr>
        <w:tblW w:w="8783" w:type="dxa"/>
        <w:tblInd w:w="-10" w:type="dxa"/>
        <w:tblLook w:val="04A0" w:firstRow="1" w:lastRow="0" w:firstColumn="1" w:lastColumn="0" w:noHBand="0" w:noVBand="1"/>
      </w:tblPr>
      <w:tblGrid>
        <w:gridCol w:w="1877"/>
        <w:gridCol w:w="1644"/>
        <w:gridCol w:w="1337"/>
        <w:gridCol w:w="1619"/>
        <w:gridCol w:w="1435"/>
        <w:gridCol w:w="871"/>
      </w:tblGrid>
      <w:tr w:rsidR="0091476B" w:rsidRPr="00DA43D5" w14:paraId="3B00042E" w14:textId="77777777" w:rsidTr="0091476B">
        <w:trPr>
          <w:trHeight w:val="1094"/>
        </w:trPr>
        <w:tc>
          <w:tcPr>
            <w:tcW w:w="1877"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14:paraId="694504AF"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Compound name</w:t>
            </w:r>
          </w:p>
        </w:tc>
        <w:tc>
          <w:tcPr>
            <w:tcW w:w="1644" w:type="dxa"/>
            <w:tcBorders>
              <w:top w:val="single" w:sz="8" w:space="0" w:color="auto"/>
              <w:left w:val="nil"/>
              <w:bottom w:val="single" w:sz="8" w:space="0" w:color="auto"/>
              <w:right w:val="single" w:sz="8" w:space="0" w:color="auto"/>
            </w:tcBorders>
            <w:shd w:val="clear" w:color="000000" w:fill="F4B084"/>
            <w:noWrap/>
            <w:vAlign w:val="center"/>
            <w:hideMark/>
          </w:tcPr>
          <w:p w14:paraId="17D18B63"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Selected daughter 1</w:t>
            </w:r>
          </w:p>
        </w:tc>
        <w:tc>
          <w:tcPr>
            <w:tcW w:w="1337" w:type="dxa"/>
            <w:tcBorders>
              <w:top w:val="single" w:sz="8" w:space="0" w:color="auto"/>
              <w:left w:val="nil"/>
              <w:bottom w:val="single" w:sz="8" w:space="0" w:color="auto"/>
              <w:right w:val="single" w:sz="8" w:space="0" w:color="auto"/>
            </w:tcBorders>
            <w:shd w:val="clear" w:color="000000" w:fill="F4B084"/>
            <w:noWrap/>
            <w:vAlign w:val="center"/>
            <w:hideMark/>
          </w:tcPr>
          <w:p w14:paraId="5CDD1853"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Col. Energy (eV)</w:t>
            </w:r>
          </w:p>
        </w:tc>
        <w:tc>
          <w:tcPr>
            <w:tcW w:w="1619" w:type="dxa"/>
            <w:tcBorders>
              <w:top w:val="single" w:sz="8" w:space="0" w:color="auto"/>
              <w:left w:val="nil"/>
              <w:bottom w:val="single" w:sz="8" w:space="0" w:color="auto"/>
              <w:right w:val="single" w:sz="8" w:space="0" w:color="auto"/>
            </w:tcBorders>
            <w:shd w:val="clear" w:color="000000" w:fill="F4B084"/>
            <w:noWrap/>
            <w:vAlign w:val="center"/>
            <w:hideMark/>
          </w:tcPr>
          <w:p w14:paraId="28FB0D4F"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Selected daughter 2</w:t>
            </w:r>
          </w:p>
        </w:tc>
        <w:tc>
          <w:tcPr>
            <w:tcW w:w="1435" w:type="dxa"/>
            <w:tcBorders>
              <w:top w:val="single" w:sz="8" w:space="0" w:color="auto"/>
              <w:left w:val="nil"/>
              <w:bottom w:val="single" w:sz="8" w:space="0" w:color="auto"/>
              <w:right w:val="single" w:sz="8" w:space="0" w:color="auto"/>
            </w:tcBorders>
            <w:shd w:val="clear" w:color="000000" w:fill="F4B084"/>
            <w:noWrap/>
            <w:vAlign w:val="center"/>
            <w:hideMark/>
          </w:tcPr>
          <w:p w14:paraId="423A4B6B"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Col. Energy (eV)</w:t>
            </w:r>
          </w:p>
        </w:tc>
        <w:tc>
          <w:tcPr>
            <w:tcW w:w="871" w:type="dxa"/>
            <w:tcBorders>
              <w:top w:val="single" w:sz="8" w:space="0" w:color="auto"/>
              <w:left w:val="nil"/>
              <w:bottom w:val="single" w:sz="8" w:space="0" w:color="auto"/>
              <w:right w:val="single" w:sz="8" w:space="0" w:color="auto"/>
            </w:tcBorders>
            <w:shd w:val="clear" w:color="000000" w:fill="F4B084"/>
            <w:noWrap/>
            <w:vAlign w:val="center"/>
            <w:hideMark/>
          </w:tcPr>
          <w:p w14:paraId="516C18CB" w14:textId="77777777" w:rsidR="0091476B" w:rsidRPr="00984BB3" w:rsidRDefault="0091476B" w:rsidP="0091476B">
            <w:pPr>
              <w:spacing w:after="0" w:line="240" w:lineRule="auto"/>
              <w:jc w:val="center"/>
              <w:rPr>
                <w:rFonts w:ascii="Calibri" w:eastAsia="Times New Roman" w:hAnsi="Calibri" w:cs="Calibri"/>
                <w:b/>
                <w:bCs/>
                <w:color w:val="000000"/>
                <w:lang w:eastAsia="en-GB"/>
              </w:rPr>
            </w:pPr>
            <w:r w:rsidRPr="00984BB3">
              <w:rPr>
                <w:rFonts w:ascii="Calibri" w:eastAsia="Times New Roman" w:hAnsi="Calibri" w:cs="Calibri"/>
                <w:b/>
                <w:bCs/>
                <w:color w:val="000000"/>
                <w:lang w:eastAsia="en-GB"/>
              </w:rPr>
              <w:t>t</w:t>
            </w:r>
            <w:r w:rsidRPr="00984BB3">
              <w:rPr>
                <w:rFonts w:ascii="Calibri" w:eastAsia="Times New Roman" w:hAnsi="Calibri" w:cs="Calibri"/>
                <w:b/>
                <w:bCs/>
                <w:color w:val="000000"/>
                <w:vertAlign w:val="subscript"/>
                <w:lang w:eastAsia="en-GB"/>
              </w:rPr>
              <w:t>R</w:t>
            </w:r>
            <w:r w:rsidRPr="00984BB3">
              <w:rPr>
                <w:rFonts w:ascii="Calibri" w:eastAsia="Times New Roman" w:hAnsi="Calibri" w:cs="Calibri"/>
                <w:b/>
                <w:bCs/>
                <w:color w:val="000000"/>
                <w:lang w:eastAsia="en-GB"/>
              </w:rPr>
              <w:t xml:space="preserve"> (min)</w:t>
            </w:r>
          </w:p>
        </w:tc>
      </w:tr>
      <w:tr w:rsidR="0091476B" w:rsidRPr="00DA43D5" w14:paraId="4E94B5F1" w14:textId="77777777" w:rsidTr="0091476B">
        <w:trPr>
          <w:trHeight w:val="613"/>
        </w:trPr>
        <w:tc>
          <w:tcPr>
            <w:tcW w:w="1877" w:type="dxa"/>
            <w:tcBorders>
              <w:top w:val="nil"/>
              <w:left w:val="single" w:sz="8" w:space="0" w:color="auto"/>
              <w:bottom w:val="nil"/>
              <w:right w:val="single" w:sz="8" w:space="0" w:color="auto"/>
            </w:tcBorders>
            <w:shd w:val="clear" w:color="000000" w:fill="FCE4D6"/>
            <w:noWrap/>
            <w:vAlign w:val="center"/>
            <w:hideMark/>
          </w:tcPr>
          <w:p w14:paraId="0AAD29C9"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Benzotriazole</w:t>
            </w:r>
          </w:p>
        </w:tc>
        <w:tc>
          <w:tcPr>
            <w:tcW w:w="1644" w:type="dxa"/>
            <w:tcBorders>
              <w:top w:val="nil"/>
              <w:left w:val="nil"/>
              <w:bottom w:val="nil"/>
              <w:right w:val="single" w:sz="8" w:space="0" w:color="auto"/>
            </w:tcBorders>
            <w:shd w:val="clear" w:color="000000" w:fill="FCE4D6"/>
            <w:noWrap/>
            <w:vAlign w:val="center"/>
            <w:hideMark/>
          </w:tcPr>
          <w:p w14:paraId="3028CC07"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120 &gt; 65</w:t>
            </w:r>
          </w:p>
        </w:tc>
        <w:tc>
          <w:tcPr>
            <w:tcW w:w="1337" w:type="dxa"/>
            <w:tcBorders>
              <w:top w:val="nil"/>
              <w:left w:val="nil"/>
              <w:bottom w:val="nil"/>
              <w:right w:val="single" w:sz="8" w:space="0" w:color="auto"/>
            </w:tcBorders>
            <w:shd w:val="clear" w:color="000000" w:fill="FCE4D6"/>
            <w:noWrap/>
            <w:vAlign w:val="center"/>
            <w:hideMark/>
          </w:tcPr>
          <w:p w14:paraId="2827F160"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20</w:t>
            </w:r>
          </w:p>
        </w:tc>
        <w:tc>
          <w:tcPr>
            <w:tcW w:w="1619" w:type="dxa"/>
            <w:tcBorders>
              <w:top w:val="nil"/>
              <w:left w:val="nil"/>
              <w:bottom w:val="nil"/>
              <w:right w:val="single" w:sz="8" w:space="0" w:color="auto"/>
            </w:tcBorders>
            <w:shd w:val="clear" w:color="000000" w:fill="FCE4D6"/>
            <w:noWrap/>
            <w:vAlign w:val="center"/>
            <w:hideMark/>
          </w:tcPr>
          <w:p w14:paraId="1F63B8A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120 &gt; 92</w:t>
            </w:r>
          </w:p>
        </w:tc>
        <w:tc>
          <w:tcPr>
            <w:tcW w:w="1435" w:type="dxa"/>
            <w:tcBorders>
              <w:top w:val="nil"/>
              <w:left w:val="nil"/>
              <w:bottom w:val="nil"/>
              <w:right w:val="single" w:sz="8" w:space="0" w:color="auto"/>
            </w:tcBorders>
            <w:shd w:val="clear" w:color="000000" w:fill="FCE4D6"/>
            <w:noWrap/>
            <w:vAlign w:val="center"/>
            <w:hideMark/>
          </w:tcPr>
          <w:p w14:paraId="4FAEE0A3"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10</w:t>
            </w:r>
          </w:p>
        </w:tc>
        <w:tc>
          <w:tcPr>
            <w:tcW w:w="871" w:type="dxa"/>
            <w:tcBorders>
              <w:top w:val="nil"/>
              <w:left w:val="nil"/>
              <w:bottom w:val="nil"/>
              <w:right w:val="single" w:sz="8" w:space="0" w:color="auto"/>
            </w:tcBorders>
            <w:shd w:val="clear" w:color="000000" w:fill="FCE4D6"/>
            <w:noWrap/>
            <w:vAlign w:val="center"/>
            <w:hideMark/>
          </w:tcPr>
          <w:p w14:paraId="02ECB97E"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1.23</w:t>
            </w:r>
          </w:p>
        </w:tc>
      </w:tr>
      <w:tr w:rsidR="0091476B" w:rsidRPr="00DA43D5" w14:paraId="7398B2C5" w14:textId="77777777" w:rsidTr="0091476B">
        <w:trPr>
          <w:trHeight w:val="613"/>
        </w:trPr>
        <w:tc>
          <w:tcPr>
            <w:tcW w:w="1877" w:type="dxa"/>
            <w:tcBorders>
              <w:top w:val="nil"/>
              <w:left w:val="single" w:sz="8" w:space="0" w:color="auto"/>
              <w:bottom w:val="nil"/>
              <w:right w:val="single" w:sz="8" w:space="0" w:color="auto"/>
            </w:tcBorders>
            <w:shd w:val="clear" w:color="000000" w:fill="FCE4D6"/>
            <w:noWrap/>
            <w:vAlign w:val="center"/>
            <w:hideMark/>
          </w:tcPr>
          <w:p w14:paraId="3A14CDF9"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Tolyltriazole</w:t>
            </w:r>
          </w:p>
        </w:tc>
        <w:tc>
          <w:tcPr>
            <w:tcW w:w="1644" w:type="dxa"/>
            <w:tcBorders>
              <w:top w:val="nil"/>
              <w:left w:val="nil"/>
              <w:bottom w:val="nil"/>
              <w:right w:val="single" w:sz="8" w:space="0" w:color="auto"/>
            </w:tcBorders>
            <w:shd w:val="clear" w:color="000000" w:fill="FCE4D6"/>
            <w:noWrap/>
            <w:vAlign w:val="center"/>
            <w:hideMark/>
          </w:tcPr>
          <w:p w14:paraId="4B2E97C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134 &gt; 79</w:t>
            </w:r>
          </w:p>
        </w:tc>
        <w:tc>
          <w:tcPr>
            <w:tcW w:w="1337" w:type="dxa"/>
            <w:tcBorders>
              <w:top w:val="nil"/>
              <w:left w:val="nil"/>
              <w:bottom w:val="nil"/>
              <w:right w:val="single" w:sz="8" w:space="0" w:color="auto"/>
            </w:tcBorders>
            <w:shd w:val="clear" w:color="000000" w:fill="FCE4D6"/>
            <w:noWrap/>
            <w:vAlign w:val="center"/>
            <w:hideMark/>
          </w:tcPr>
          <w:p w14:paraId="5580C03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10</w:t>
            </w:r>
          </w:p>
        </w:tc>
        <w:tc>
          <w:tcPr>
            <w:tcW w:w="1619" w:type="dxa"/>
            <w:tcBorders>
              <w:top w:val="nil"/>
              <w:left w:val="nil"/>
              <w:bottom w:val="nil"/>
              <w:right w:val="single" w:sz="8" w:space="0" w:color="auto"/>
            </w:tcBorders>
            <w:shd w:val="clear" w:color="000000" w:fill="FCE4D6"/>
            <w:noWrap/>
            <w:vAlign w:val="center"/>
            <w:hideMark/>
          </w:tcPr>
          <w:p w14:paraId="475A2C6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134 &gt; 106</w:t>
            </w:r>
          </w:p>
        </w:tc>
        <w:tc>
          <w:tcPr>
            <w:tcW w:w="1435" w:type="dxa"/>
            <w:tcBorders>
              <w:top w:val="nil"/>
              <w:left w:val="nil"/>
              <w:bottom w:val="nil"/>
              <w:right w:val="single" w:sz="8" w:space="0" w:color="auto"/>
            </w:tcBorders>
            <w:shd w:val="clear" w:color="000000" w:fill="FCE4D6"/>
            <w:noWrap/>
            <w:vAlign w:val="center"/>
            <w:hideMark/>
          </w:tcPr>
          <w:p w14:paraId="69658CDB"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20</w:t>
            </w:r>
          </w:p>
        </w:tc>
        <w:tc>
          <w:tcPr>
            <w:tcW w:w="871" w:type="dxa"/>
            <w:tcBorders>
              <w:top w:val="nil"/>
              <w:left w:val="nil"/>
              <w:bottom w:val="nil"/>
              <w:right w:val="single" w:sz="8" w:space="0" w:color="auto"/>
            </w:tcBorders>
            <w:shd w:val="clear" w:color="000000" w:fill="FCE4D6"/>
            <w:noWrap/>
            <w:vAlign w:val="center"/>
            <w:hideMark/>
          </w:tcPr>
          <w:p w14:paraId="77D9A4EB"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1.62</w:t>
            </w:r>
          </w:p>
        </w:tc>
      </w:tr>
      <w:tr w:rsidR="0091476B" w:rsidRPr="00DA43D5" w14:paraId="0BECEAD4" w14:textId="77777777" w:rsidTr="0091476B">
        <w:trPr>
          <w:trHeight w:val="613"/>
        </w:trPr>
        <w:tc>
          <w:tcPr>
            <w:tcW w:w="1877" w:type="dxa"/>
            <w:tcBorders>
              <w:top w:val="nil"/>
              <w:left w:val="single" w:sz="8" w:space="0" w:color="auto"/>
              <w:bottom w:val="nil"/>
              <w:right w:val="single" w:sz="8" w:space="0" w:color="auto"/>
            </w:tcBorders>
            <w:shd w:val="clear" w:color="000000" w:fill="FCE4D6"/>
            <w:noWrap/>
            <w:vAlign w:val="center"/>
            <w:hideMark/>
          </w:tcPr>
          <w:p w14:paraId="440F22E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nonylphenol diethoxylate</w:t>
            </w:r>
          </w:p>
        </w:tc>
        <w:tc>
          <w:tcPr>
            <w:tcW w:w="1644" w:type="dxa"/>
            <w:tcBorders>
              <w:top w:val="nil"/>
              <w:left w:val="nil"/>
              <w:bottom w:val="nil"/>
              <w:right w:val="single" w:sz="8" w:space="0" w:color="auto"/>
            </w:tcBorders>
            <w:shd w:val="clear" w:color="000000" w:fill="FCE4D6"/>
            <w:noWrap/>
            <w:vAlign w:val="center"/>
            <w:hideMark/>
          </w:tcPr>
          <w:p w14:paraId="13BA008F"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326 &gt; 183</w:t>
            </w:r>
          </w:p>
        </w:tc>
        <w:tc>
          <w:tcPr>
            <w:tcW w:w="1337" w:type="dxa"/>
            <w:tcBorders>
              <w:top w:val="nil"/>
              <w:left w:val="nil"/>
              <w:bottom w:val="nil"/>
              <w:right w:val="single" w:sz="8" w:space="0" w:color="auto"/>
            </w:tcBorders>
            <w:shd w:val="clear" w:color="000000" w:fill="FCE4D6"/>
            <w:noWrap/>
            <w:vAlign w:val="center"/>
            <w:hideMark/>
          </w:tcPr>
          <w:p w14:paraId="61B43A39"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10</w:t>
            </w:r>
          </w:p>
        </w:tc>
        <w:tc>
          <w:tcPr>
            <w:tcW w:w="1619" w:type="dxa"/>
            <w:tcBorders>
              <w:top w:val="nil"/>
              <w:left w:val="nil"/>
              <w:bottom w:val="nil"/>
              <w:right w:val="single" w:sz="8" w:space="0" w:color="auto"/>
            </w:tcBorders>
            <w:shd w:val="clear" w:color="000000" w:fill="FCE4D6"/>
            <w:noWrap/>
            <w:vAlign w:val="center"/>
            <w:hideMark/>
          </w:tcPr>
          <w:p w14:paraId="5A2A9976"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326 &gt; 121</w:t>
            </w:r>
          </w:p>
        </w:tc>
        <w:tc>
          <w:tcPr>
            <w:tcW w:w="1435" w:type="dxa"/>
            <w:tcBorders>
              <w:top w:val="nil"/>
              <w:left w:val="nil"/>
              <w:bottom w:val="nil"/>
              <w:right w:val="single" w:sz="8" w:space="0" w:color="auto"/>
            </w:tcBorders>
            <w:shd w:val="clear" w:color="000000" w:fill="FCE4D6"/>
            <w:noWrap/>
            <w:vAlign w:val="center"/>
            <w:hideMark/>
          </w:tcPr>
          <w:p w14:paraId="2F4E2E44"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20</w:t>
            </w:r>
          </w:p>
        </w:tc>
        <w:tc>
          <w:tcPr>
            <w:tcW w:w="871" w:type="dxa"/>
            <w:tcBorders>
              <w:top w:val="nil"/>
              <w:left w:val="nil"/>
              <w:bottom w:val="nil"/>
              <w:right w:val="single" w:sz="8" w:space="0" w:color="auto"/>
            </w:tcBorders>
            <w:shd w:val="clear" w:color="000000" w:fill="FCE4D6"/>
            <w:noWrap/>
            <w:vAlign w:val="center"/>
            <w:hideMark/>
          </w:tcPr>
          <w:p w14:paraId="6551BDD8"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12.63</w:t>
            </w:r>
          </w:p>
        </w:tc>
      </w:tr>
      <w:tr w:rsidR="0091476B" w:rsidRPr="00DA43D5" w14:paraId="7C792365" w14:textId="77777777" w:rsidTr="0091476B">
        <w:trPr>
          <w:trHeight w:val="613"/>
        </w:trPr>
        <w:tc>
          <w:tcPr>
            <w:tcW w:w="1877" w:type="dxa"/>
            <w:tcBorders>
              <w:top w:val="nil"/>
              <w:left w:val="single" w:sz="8" w:space="0" w:color="auto"/>
              <w:bottom w:val="nil"/>
              <w:right w:val="single" w:sz="8" w:space="0" w:color="auto"/>
            </w:tcBorders>
            <w:shd w:val="clear" w:color="000000" w:fill="FCE4D6"/>
            <w:noWrap/>
            <w:vAlign w:val="center"/>
            <w:hideMark/>
          </w:tcPr>
          <w:p w14:paraId="1AF974F3"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6:2 FTS</w:t>
            </w:r>
          </w:p>
        </w:tc>
        <w:tc>
          <w:tcPr>
            <w:tcW w:w="1644" w:type="dxa"/>
            <w:tcBorders>
              <w:top w:val="nil"/>
              <w:left w:val="nil"/>
              <w:bottom w:val="nil"/>
              <w:right w:val="single" w:sz="8" w:space="0" w:color="auto"/>
            </w:tcBorders>
            <w:shd w:val="clear" w:color="000000" w:fill="FCE4D6"/>
            <w:noWrap/>
            <w:vAlign w:val="center"/>
            <w:hideMark/>
          </w:tcPr>
          <w:p w14:paraId="6F084F03"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w:t>
            </w:r>
          </w:p>
        </w:tc>
        <w:tc>
          <w:tcPr>
            <w:tcW w:w="1337" w:type="dxa"/>
            <w:tcBorders>
              <w:top w:val="nil"/>
              <w:left w:val="nil"/>
              <w:bottom w:val="nil"/>
              <w:right w:val="single" w:sz="8" w:space="0" w:color="auto"/>
            </w:tcBorders>
            <w:shd w:val="clear" w:color="000000" w:fill="FCE4D6"/>
            <w:noWrap/>
            <w:vAlign w:val="center"/>
            <w:hideMark/>
          </w:tcPr>
          <w:p w14:paraId="2CCC23E5"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w:t>
            </w:r>
          </w:p>
        </w:tc>
        <w:tc>
          <w:tcPr>
            <w:tcW w:w="1619" w:type="dxa"/>
            <w:tcBorders>
              <w:top w:val="nil"/>
              <w:left w:val="nil"/>
              <w:bottom w:val="nil"/>
              <w:right w:val="single" w:sz="8" w:space="0" w:color="auto"/>
            </w:tcBorders>
            <w:shd w:val="clear" w:color="000000" w:fill="FCE4D6"/>
            <w:noWrap/>
            <w:vAlign w:val="center"/>
            <w:hideMark/>
          </w:tcPr>
          <w:p w14:paraId="2E89E122"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w:t>
            </w:r>
          </w:p>
        </w:tc>
        <w:tc>
          <w:tcPr>
            <w:tcW w:w="1435" w:type="dxa"/>
            <w:tcBorders>
              <w:top w:val="nil"/>
              <w:left w:val="nil"/>
              <w:bottom w:val="nil"/>
              <w:right w:val="single" w:sz="8" w:space="0" w:color="auto"/>
            </w:tcBorders>
            <w:shd w:val="clear" w:color="000000" w:fill="FCE4D6"/>
            <w:noWrap/>
            <w:vAlign w:val="center"/>
            <w:hideMark/>
          </w:tcPr>
          <w:p w14:paraId="7A8EA020"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w:t>
            </w:r>
          </w:p>
        </w:tc>
        <w:tc>
          <w:tcPr>
            <w:tcW w:w="871" w:type="dxa"/>
            <w:tcBorders>
              <w:top w:val="nil"/>
              <w:left w:val="nil"/>
              <w:bottom w:val="nil"/>
              <w:right w:val="single" w:sz="8" w:space="0" w:color="auto"/>
            </w:tcBorders>
            <w:shd w:val="clear" w:color="000000" w:fill="FCE4D6"/>
            <w:noWrap/>
            <w:vAlign w:val="center"/>
            <w:hideMark/>
          </w:tcPr>
          <w:p w14:paraId="4CA1F677"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9.05</w:t>
            </w:r>
          </w:p>
        </w:tc>
      </w:tr>
      <w:tr w:rsidR="0091476B" w:rsidRPr="00DA43D5" w14:paraId="362618F8" w14:textId="77777777" w:rsidTr="0091476B">
        <w:trPr>
          <w:trHeight w:val="630"/>
        </w:trPr>
        <w:tc>
          <w:tcPr>
            <w:tcW w:w="1877" w:type="dxa"/>
            <w:tcBorders>
              <w:top w:val="nil"/>
              <w:left w:val="single" w:sz="8" w:space="0" w:color="auto"/>
              <w:bottom w:val="single" w:sz="8" w:space="0" w:color="auto"/>
              <w:right w:val="single" w:sz="8" w:space="0" w:color="auto"/>
            </w:tcBorders>
            <w:shd w:val="clear" w:color="000000" w:fill="FCE4D6"/>
            <w:noWrap/>
            <w:vAlign w:val="center"/>
            <w:hideMark/>
          </w:tcPr>
          <w:p w14:paraId="4E4FD6AC"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PFECHS</w:t>
            </w:r>
          </w:p>
        </w:tc>
        <w:tc>
          <w:tcPr>
            <w:tcW w:w="1644" w:type="dxa"/>
            <w:tcBorders>
              <w:top w:val="nil"/>
              <w:left w:val="nil"/>
              <w:bottom w:val="single" w:sz="8" w:space="0" w:color="auto"/>
              <w:right w:val="single" w:sz="8" w:space="0" w:color="auto"/>
            </w:tcBorders>
            <w:shd w:val="clear" w:color="000000" w:fill="FCE4D6"/>
            <w:noWrap/>
            <w:vAlign w:val="center"/>
            <w:hideMark/>
          </w:tcPr>
          <w:p w14:paraId="67EB5D6C"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461&gt; 381</w:t>
            </w:r>
          </w:p>
        </w:tc>
        <w:tc>
          <w:tcPr>
            <w:tcW w:w="1337" w:type="dxa"/>
            <w:tcBorders>
              <w:top w:val="nil"/>
              <w:left w:val="nil"/>
              <w:bottom w:val="single" w:sz="8" w:space="0" w:color="auto"/>
              <w:right w:val="single" w:sz="8" w:space="0" w:color="auto"/>
            </w:tcBorders>
            <w:shd w:val="clear" w:color="000000" w:fill="FCE4D6"/>
            <w:noWrap/>
            <w:vAlign w:val="center"/>
            <w:hideMark/>
          </w:tcPr>
          <w:p w14:paraId="4B6BE960"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20</w:t>
            </w:r>
          </w:p>
        </w:tc>
        <w:tc>
          <w:tcPr>
            <w:tcW w:w="1619" w:type="dxa"/>
            <w:tcBorders>
              <w:top w:val="nil"/>
              <w:left w:val="nil"/>
              <w:bottom w:val="single" w:sz="8" w:space="0" w:color="auto"/>
              <w:right w:val="single" w:sz="8" w:space="0" w:color="auto"/>
            </w:tcBorders>
            <w:shd w:val="clear" w:color="000000" w:fill="FCE4D6"/>
            <w:noWrap/>
            <w:vAlign w:val="center"/>
            <w:hideMark/>
          </w:tcPr>
          <w:p w14:paraId="05E4EC5C"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461 &gt; 99</w:t>
            </w:r>
          </w:p>
        </w:tc>
        <w:tc>
          <w:tcPr>
            <w:tcW w:w="1435" w:type="dxa"/>
            <w:tcBorders>
              <w:top w:val="nil"/>
              <w:left w:val="nil"/>
              <w:bottom w:val="single" w:sz="8" w:space="0" w:color="auto"/>
              <w:right w:val="single" w:sz="8" w:space="0" w:color="auto"/>
            </w:tcBorders>
            <w:shd w:val="clear" w:color="000000" w:fill="FCE4D6"/>
            <w:noWrap/>
            <w:vAlign w:val="center"/>
            <w:hideMark/>
          </w:tcPr>
          <w:p w14:paraId="3A4C28CA"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20</w:t>
            </w:r>
          </w:p>
        </w:tc>
        <w:tc>
          <w:tcPr>
            <w:tcW w:w="871" w:type="dxa"/>
            <w:tcBorders>
              <w:top w:val="nil"/>
              <w:left w:val="nil"/>
              <w:bottom w:val="single" w:sz="8" w:space="0" w:color="auto"/>
              <w:right w:val="single" w:sz="8" w:space="0" w:color="auto"/>
            </w:tcBorders>
            <w:shd w:val="clear" w:color="000000" w:fill="FCE4D6"/>
            <w:noWrap/>
            <w:vAlign w:val="center"/>
            <w:hideMark/>
          </w:tcPr>
          <w:p w14:paraId="16C59D09" w14:textId="77777777" w:rsidR="0091476B" w:rsidRPr="00984BB3" w:rsidRDefault="0091476B" w:rsidP="0091476B">
            <w:pPr>
              <w:spacing w:after="0" w:line="240" w:lineRule="auto"/>
              <w:jc w:val="center"/>
              <w:rPr>
                <w:rFonts w:ascii="Calibri" w:eastAsia="Times New Roman" w:hAnsi="Calibri" w:cs="Calibri"/>
                <w:color w:val="000000"/>
                <w:lang w:eastAsia="en-GB"/>
              </w:rPr>
            </w:pPr>
            <w:r w:rsidRPr="00984BB3">
              <w:rPr>
                <w:rFonts w:ascii="Calibri" w:eastAsia="Times New Roman" w:hAnsi="Calibri" w:cs="Calibri"/>
                <w:color w:val="000000"/>
                <w:lang w:eastAsia="en-GB"/>
              </w:rPr>
              <w:t>9.32</w:t>
            </w:r>
          </w:p>
        </w:tc>
      </w:tr>
    </w:tbl>
    <w:p w14:paraId="6535D041" w14:textId="5FE75104" w:rsidR="004037AE" w:rsidRPr="00DA43D5" w:rsidRDefault="004037AE" w:rsidP="00485E2C">
      <w:pPr>
        <w:jc w:val="center"/>
      </w:pPr>
    </w:p>
    <w:p w14:paraId="481BDF18" w14:textId="3CD81E1F" w:rsidR="0068195C" w:rsidRDefault="00E42BBB" w:rsidP="0068195C">
      <w:pPr>
        <w:pStyle w:val="Titre2"/>
      </w:pPr>
      <w:r>
        <w:t>S5</w:t>
      </w:r>
      <w:r w:rsidR="0068195C">
        <w:t xml:space="preserve">. Calibration </w:t>
      </w:r>
      <w:r w:rsidR="00C86375">
        <w:t xml:space="preserve">curves for HPLC-MS/MS </w:t>
      </w:r>
    </w:p>
    <w:p w14:paraId="78D185C0" w14:textId="7811743B" w:rsidR="00DF0593" w:rsidRDefault="00DF0593" w:rsidP="00A27BE4">
      <w:pPr>
        <w:jc w:val="both"/>
      </w:pPr>
      <w:r>
        <w:t xml:space="preserve">As indicated in the main manuscript, calibration samples were prepared to construct a calibration curve spanning a concentration range of 0.0005 to 0.1 ng/µL. Each calibration point was prepared at a </w:t>
      </w:r>
      <w:r>
        <w:lastRenderedPageBreak/>
        <w:t>total volume of 1000 µL, using a solvent system consisting of a 50:50 (v/v) mixture of methanol and water.</w:t>
      </w:r>
      <w:r w:rsidR="00FA15CD">
        <w:t xml:space="preserve"> </w:t>
      </w:r>
    </w:p>
    <w:p w14:paraId="525EBA4D" w14:textId="5C677827" w:rsidR="00DF0593" w:rsidRPr="00DF0593" w:rsidRDefault="00DF0593" w:rsidP="00FA15CD">
      <w:pPr>
        <w:jc w:val="both"/>
      </w:pPr>
      <w:r>
        <w:t xml:space="preserve">The organic phase (500 µL) consisted of 50 µL of an internal standard solution at 1 ppm and an appropriate volume of native compound stock solution at 0.5 ppm, adjusted to the required target concentration, with methanol added to </w:t>
      </w:r>
      <w:r w:rsidR="00A27BE4">
        <w:t>complete the total</w:t>
      </w:r>
      <w:r>
        <w:t xml:space="preserve"> 500 µL</w:t>
      </w:r>
      <w:r w:rsidR="00A27BE4">
        <w:t xml:space="preserve"> of the organic phase. </w:t>
      </w:r>
      <w:r>
        <w:t xml:space="preserve">The aqueous phase (500 µL) consisted of 80 µL of 125 mM ammonium acetate buffer solution </w:t>
      </w:r>
      <w:r w:rsidR="00A27BE4">
        <w:t xml:space="preserve">and 420 µL of HPLC-grade water. </w:t>
      </w:r>
      <w:r>
        <w:t>The detailed volumes used for each calibratio</w:t>
      </w:r>
      <w:r w:rsidR="00A27BE4">
        <w:t>n level are provided in</w:t>
      </w:r>
      <w:r w:rsidR="00E2285E">
        <w:t xml:space="preserve"> </w:t>
      </w:r>
      <w:r w:rsidR="00E2285E">
        <w:fldChar w:fldCharType="begin"/>
      </w:r>
      <w:r w:rsidR="00E2285E">
        <w:instrText xml:space="preserve"> REF _Ref200024458 \h </w:instrText>
      </w:r>
      <w:r w:rsidR="00E2285E">
        <w:fldChar w:fldCharType="separate"/>
      </w:r>
      <w:r w:rsidR="004708CF">
        <w:t>Table S</w:t>
      </w:r>
      <w:r w:rsidR="004708CF">
        <w:rPr>
          <w:noProof/>
        </w:rPr>
        <w:t>4</w:t>
      </w:r>
      <w:r w:rsidR="00E2285E">
        <w:fldChar w:fldCharType="end"/>
      </w:r>
      <w:r w:rsidR="00A27BE4">
        <w:t>.</w:t>
      </w:r>
      <w:r w:rsidR="00FA15CD">
        <w:t xml:space="preserve"> </w:t>
      </w:r>
    </w:p>
    <w:p w14:paraId="331601AC" w14:textId="162E6D51" w:rsidR="006A743F" w:rsidRDefault="00E2285E" w:rsidP="006A743F">
      <w:pPr>
        <w:pStyle w:val="Lgende"/>
        <w:keepNext/>
        <w:jc w:val="center"/>
      </w:pPr>
      <w:bookmarkStart w:id="5" w:name="_Ref200024458"/>
      <w:r>
        <w:t xml:space="preserve">Table </w:t>
      </w:r>
      <w:r w:rsidR="00DA43D5">
        <w:t>S</w:t>
      </w:r>
      <w:r w:rsidR="00210AEA">
        <w:fldChar w:fldCharType="begin"/>
      </w:r>
      <w:r w:rsidR="00210AEA">
        <w:instrText xml:space="preserve"> SEQ Table \* ARABIC </w:instrText>
      </w:r>
      <w:r w:rsidR="00210AEA">
        <w:fldChar w:fldCharType="separate"/>
      </w:r>
      <w:r w:rsidR="007641B4">
        <w:rPr>
          <w:noProof/>
        </w:rPr>
        <w:t>4</w:t>
      </w:r>
      <w:r w:rsidR="00210AEA">
        <w:rPr>
          <w:noProof/>
        </w:rPr>
        <w:fldChar w:fldCharType="end"/>
      </w:r>
      <w:bookmarkEnd w:id="5"/>
      <w:r w:rsidR="006A743F">
        <w:t>. Volumetric details for calibration samples preparation.</w:t>
      </w:r>
    </w:p>
    <w:p w14:paraId="2672B15E" w14:textId="5000CF0E" w:rsidR="0068195C" w:rsidRDefault="0068195C" w:rsidP="0068195C">
      <w:r w:rsidRPr="0068195C">
        <w:rPr>
          <w:noProof/>
          <w:lang w:eastAsia="en-GB"/>
        </w:rPr>
        <w:drawing>
          <wp:inline distT="0" distB="0" distL="0" distR="0" wp14:anchorId="1C260615" wp14:editId="2A556454">
            <wp:extent cx="5760720" cy="1557223"/>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57223"/>
                    </a:xfrm>
                    <a:prstGeom prst="rect">
                      <a:avLst/>
                    </a:prstGeom>
                    <a:noFill/>
                    <a:ln>
                      <a:noFill/>
                    </a:ln>
                  </pic:spPr>
                </pic:pic>
              </a:graphicData>
            </a:graphic>
          </wp:inline>
        </w:drawing>
      </w:r>
    </w:p>
    <w:p w14:paraId="4A1439EE" w14:textId="61A78C77" w:rsidR="00D17349" w:rsidRDefault="00D17349" w:rsidP="0068195C">
      <w:r w:rsidRPr="00D17349">
        <w:t>The calibration curves associated to each studied CECs</w:t>
      </w:r>
      <w:r>
        <w:t xml:space="preserve"> and their linearity</w:t>
      </w:r>
      <w:r w:rsidR="00E2285E">
        <w:t xml:space="preserve"> are depicted in </w:t>
      </w:r>
      <w:r w:rsidR="00E2285E">
        <w:fldChar w:fldCharType="begin"/>
      </w:r>
      <w:r w:rsidR="00E2285E">
        <w:instrText xml:space="preserve"> REF _Ref203395219 \h </w:instrText>
      </w:r>
      <w:r w:rsidR="00E2285E">
        <w:fldChar w:fldCharType="separate"/>
      </w:r>
      <w:r w:rsidR="004708CF">
        <w:t>Figure S</w:t>
      </w:r>
      <w:r w:rsidR="004708CF">
        <w:rPr>
          <w:noProof/>
        </w:rPr>
        <w:t>3</w:t>
      </w:r>
      <w:r w:rsidR="00E2285E">
        <w:fldChar w:fldCharType="end"/>
      </w:r>
      <w:r w:rsidRPr="00D17349">
        <w:t>.</w:t>
      </w:r>
    </w:p>
    <w:p w14:paraId="666824AC" w14:textId="77777777" w:rsidR="00D17349" w:rsidRDefault="00D17349" w:rsidP="00D17349">
      <w:pPr>
        <w:pStyle w:val="NormalWeb"/>
        <w:keepNext/>
        <w:jc w:val="center"/>
      </w:pPr>
      <w:r>
        <w:rPr>
          <w:noProof/>
        </w:rPr>
        <w:drawing>
          <wp:inline distT="0" distB="0" distL="0" distR="0" wp14:anchorId="4B4F16AD" wp14:editId="4D3B3B5B">
            <wp:extent cx="5760720" cy="345630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ibration_curv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33369F60" w14:textId="11A7557B" w:rsidR="00293608" w:rsidRPr="00EF1389" w:rsidRDefault="00D17349" w:rsidP="00EF1389">
      <w:pPr>
        <w:pStyle w:val="Lgende"/>
        <w:jc w:val="center"/>
        <w:rPr>
          <w:rFonts w:ascii="Times New Roman" w:eastAsia="Times New Roman" w:hAnsi="Times New Roman" w:cs="Times New Roman"/>
          <w:sz w:val="24"/>
          <w:szCs w:val="24"/>
          <w:lang w:eastAsia="en-GB"/>
        </w:rPr>
      </w:pPr>
      <w:bookmarkStart w:id="6" w:name="_Ref203395219"/>
      <w:r>
        <w:t>Figure S</w:t>
      </w:r>
      <w:r w:rsidR="00210AEA">
        <w:fldChar w:fldCharType="begin"/>
      </w:r>
      <w:r w:rsidR="00210AEA">
        <w:instrText xml:space="preserve"> SEQ Figure \* ARABIC </w:instrText>
      </w:r>
      <w:r w:rsidR="00210AEA">
        <w:fldChar w:fldCharType="separate"/>
      </w:r>
      <w:r w:rsidR="00B67AB4">
        <w:rPr>
          <w:noProof/>
        </w:rPr>
        <w:t>3</w:t>
      </w:r>
      <w:r w:rsidR="00210AEA">
        <w:rPr>
          <w:noProof/>
        </w:rPr>
        <w:fldChar w:fldCharType="end"/>
      </w:r>
      <w:bookmarkEnd w:id="6"/>
      <w:r>
        <w:t>. Calibration curves of the studied CECs.</w:t>
      </w:r>
    </w:p>
    <w:p w14:paraId="48854BAB" w14:textId="406D8103" w:rsidR="00617AF5" w:rsidRDefault="00617AF5" w:rsidP="00617AF5">
      <w:pPr>
        <w:pStyle w:val="Titre2"/>
      </w:pPr>
      <w:r>
        <w:t>S</w:t>
      </w:r>
      <w:r w:rsidR="00EF1389">
        <w:t>6</w:t>
      </w:r>
      <w:r>
        <w:t>. Modeled redox reaction and generic mass balance equations</w:t>
      </w:r>
    </w:p>
    <w:p w14:paraId="733F62DD" w14:textId="286B2605" w:rsidR="00DB1BBC" w:rsidRDefault="00617AF5" w:rsidP="00C92749">
      <w:pPr>
        <w:jc w:val="both"/>
      </w:pPr>
      <w:r w:rsidRPr="00617AF5">
        <w:t>This section presents the stoichiometric chemical reactions and the corresponding mass bal</w:t>
      </w:r>
      <w:r w:rsidR="00D871B9">
        <w:t xml:space="preserve">ance equations, </w:t>
      </w:r>
      <w:r w:rsidRPr="00617AF5">
        <w:t>expressed as o</w:t>
      </w:r>
      <w:r w:rsidR="00D871B9">
        <w:t xml:space="preserve">rdinary differential equations (ODEs), </w:t>
      </w:r>
      <w:r w:rsidRPr="00617AF5">
        <w:t>used to represent</w:t>
      </w:r>
      <w:r w:rsidR="00B91888">
        <w:t xml:space="preserve"> the degradation of the target compounds under</w:t>
      </w:r>
      <w:r w:rsidRPr="00617AF5">
        <w:t xml:space="preserve"> </w:t>
      </w:r>
      <w:r w:rsidR="00D871B9">
        <w:t xml:space="preserve">oxic and nitrate reducing conditions </w:t>
      </w:r>
      <w:r w:rsidRPr="00617AF5">
        <w:t>in the batch reactors.</w:t>
      </w:r>
      <w:r w:rsidR="00DB1BBC">
        <w:t xml:space="preserve"> </w:t>
      </w:r>
      <w:r w:rsidR="007641B4">
        <w:t>As mentioned in the section 3.3 of the paper</w:t>
      </w:r>
      <w:r w:rsidR="00DB1BBC">
        <w:t xml:space="preserve">, </w:t>
      </w:r>
      <w:r w:rsidR="007641B4">
        <w:t xml:space="preserve">among all sources of organic matter, </w:t>
      </w:r>
      <w:r w:rsidR="00DB1BBC">
        <w:t>only peptone (high BDOC) was assumed to be biodegradable</w:t>
      </w:r>
      <w:r w:rsidR="007641B4">
        <w:t xml:space="preserve"> </w:t>
      </w:r>
      <w:r w:rsidR="00DB1BBC">
        <w:t xml:space="preserve">and its average formula stoichiometric formula is </w:t>
      </w:r>
      <w:r w:rsidR="00DB1BBC" w:rsidRPr="00617AF5">
        <w:t>C₅H₁₀NO₂</w:t>
      </w:r>
      <w:r w:rsidR="00DB1BBC">
        <w:t xml:space="preserve"> (derived </w:t>
      </w:r>
      <w:r w:rsidR="00DB1BBC">
        <w:lastRenderedPageBreak/>
        <w:t>from its amino acid composition). In addition, analogous stoichiometric reactions were also defined for the target CECs and are presented in the table S7.</w:t>
      </w:r>
    </w:p>
    <w:p w14:paraId="109B72D2" w14:textId="228CAC9D" w:rsidR="007641B4" w:rsidRDefault="007641B4" w:rsidP="00C92749">
      <w:pPr>
        <w:pStyle w:val="Lgende"/>
        <w:keepNext/>
        <w:jc w:val="center"/>
      </w:pPr>
      <w:r>
        <w:t>Table S</w:t>
      </w:r>
      <w:r w:rsidR="00210AEA">
        <w:fldChar w:fldCharType="begin"/>
      </w:r>
      <w:r w:rsidR="00210AEA">
        <w:instrText xml:space="preserve"> SEQ Table \* ARABIC </w:instrText>
      </w:r>
      <w:r w:rsidR="00210AEA">
        <w:fldChar w:fldCharType="separate"/>
      </w:r>
      <w:r>
        <w:rPr>
          <w:noProof/>
        </w:rPr>
        <w:t>7</w:t>
      </w:r>
      <w:r w:rsidR="00210AEA">
        <w:rPr>
          <w:noProof/>
        </w:rPr>
        <w:fldChar w:fldCharType="end"/>
      </w:r>
      <w:r>
        <w:t xml:space="preserve">. </w:t>
      </w:r>
      <w:r w:rsidRPr="00A67991">
        <w:t>Stoichiometric reactio</w:t>
      </w:r>
      <w:r>
        <w:t>ns considered in the reactive batch modeling.</w:t>
      </w:r>
    </w:p>
    <w:tbl>
      <w:tblPr>
        <w:tblStyle w:val="Tableausimple1"/>
        <w:tblW w:w="0" w:type="auto"/>
        <w:tblLook w:val="04A0" w:firstRow="1" w:lastRow="0" w:firstColumn="1" w:lastColumn="0" w:noHBand="0" w:noVBand="1"/>
      </w:tblPr>
      <w:tblGrid>
        <w:gridCol w:w="2263"/>
        <w:gridCol w:w="3402"/>
        <w:gridCol w:w="3397"/>
      </w:tblGrid>
      <w:tr w:rsidR="00DB1BBC" w14:paraId="04985226" w14:textId="77777777" w:rsidTr="00C92749">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98F3572" w14:textId="19DDFCFC" w:rsidR="00DB1BBC" w:rsidRPr="007641B4" w:rsidRDefault="00DB1BBC" w:rsidP="00C92749">
            <w:pPr>
              <w:jc w:val="center"/>
            </w:pPr>
            <w:r w:rsidRPr="007641B4">
              <w:t>Compound</w:t>
            </w:r>
          </w:p>
        </w:tc>
        <w:tc>
          <w:tcPr>
            <w:tcW w:w="3402" w:type="dxa"/>
            <w:vAlign w:val="center"/>
          </w:tcPr>
          <w:p w14:paraId="160230C8" w14:textId="154A44A0" w:rsidR="00DB1BBC" w:rsidRPr="007641B4" w:rsidRDefault="00DB1BBC" w:rsidP="00C92749">
            <w:pPr>
              <w:jc w:val="center"/>
              <w:cnfStyle w:val="100000000000" w:firstRow="1" w:lastRow="0" w:firstColumn="0" w:lastColumn="0" w:oddVBand="0" w:evenVBand="0" w:oddHBand="0" w:evenHBand="0" w:firstRowFirstColumn="0" w:firstRowLastColumn="0" w:lastRowFirstColumn="0" w:lastRowLastColumn="0"/>
            </w:pPr>
            <w:r w:rsidRPr="007641B4">
              <w:t>Oxic conditions</w:t>
            </w:r>
          </w:p>
        </w:tc>
        <w:tc>
          <w:tcPr>
            <w:tcW w:w="3397" w:type="dxa"/>
            <w:vAlign w:val="center"/>
          </w:tcPr>
          <w:p w14:paraId="6D161E61" w14:textId="34AE96F3" w:rsidR="00DB1BBC" w:rsidRPr="007641B4" w:rsidRDefault="00DB1BBC" w:rsidP="00C92749">
            <w:pPr>
              <w:jc w:val="center"/>
              <w:cnfStyle w:val="100000000000" w:firstRow="1" w:lastRow="0" w:firstColumn="0" w:lastColumn="0" w:oddVBand="0" w:evenVBand="0" w:oddHBand="0" w:evenHBand="0" w:firstRowFirstColumn="0" w:firstRowLastColumn="0" w:lastRowFirstColumn="0" w:lastRowLastColumn="0"/>
            </w:pPr>
            <w:r w:rsidRPr="007641B4">
              <w:t>Nitrate reducing conditions</w:t>
            </w:r>
          </w:p>
        </w:tc>
      </w:tr>
      <w:tr w:rsidR="00DB1BBC" w14:paraId="5494CFAC" w14:textId="77777777" w:rsidTr="00C92749">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294264A" w14:textId="33E60854" w:rsidR="00DB1BBC" w:rsidRPr="007641B4" w:rsidRDefault="00DB1BBC" w:rsidP="00C92749">
            <w:pPr>
              <w:jc w:val="center"/>
            </w:pPr>
            <w:r w:rsidRPr="007641B4">
              <w:t>Bzt</w:t>
            </w:r>
          </w:p>
        </w:tc>
        <w:tc>
          <w:tcPr>
            <w:tcW w:w="3402" w:type="dxa"/>
            <w:vAlign w:val="center"/>
          </w:tcPr>
          <w:p w14:paraId="688DBE58" w14:textId="45DC452A"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4 C₆H₅N₃ + 35 O₂ → 24 CO₂ + 10 H₂O + 12 NO</w:t>
            </w:r>
          </w:p>
        </w:tc>
        <w:tc>
          <w:tcPr>
            <w:tcW w:w="3397" w:type="dxa"/>
            <w:vAlign w:val="center"/>
          </w:tcPr>
          <w:p w14:paraId="20CC3187" w14:textId="4E486423"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C₆H₅N₃ + 4 NO₃⁻ + 6 H₂O → 2 N₂ + 3 NH₃ + 2 H⁺ + 6 HCO₃⁻</w:t>
            </w:r>
          </w:p>
        </w:tc>
      </w:tr>
      <w:tr w:rsidR="00DB1BBC" w14:paraId="275BF75C" w14:textId="77777777" w:rsidTr="00C92749">
        <w:trPr>
          <w:trHeight w:val="703"/>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BEFEC32" w14:textId="5531E373" w:rsidR="00DB1BBC" w:rsidRPr="007641B4" w:rsidRDefault="00DB1BBC" w:rsidP="00C92749">
            <w:pPr>
              <w:jc w:val="center"/>
            </w:pPr>
            <w:r w:rsidRPr="007641B4">
              <w:t>Tlt</w:t>
            </w:r>
          </w:p>
        </w:tc>
        <w:tc>
          <w:tcPr>
            <w:tcW w:w="3402" w:type="dxa"/>
            <w:vAlign w:val="center"/>
          </w:tcPr>
          <w:p w14:paraId="6E453DE3" w14:textId="27B4927D"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4 C₇H₇N₃ + 41 O₂ → 28 CO₂ + 14 H₂O + 12 NO</w:t>
            </w:r>
          </w:p>
        </w:tc>
        <w:tc>
          <w:tcPr>
            <w:tcW w:w="3397" w:type="dxa"/>
            <w:vAlign w:val="center"/>
          </w:tcPr>
          <w:p w14:paraId="716413E4" w14:textId="487696F1"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5 C₇H₇N₃ + 26 NO₃⁻ + 27 H₂O → 13 N₂ + 15 NH₃ + 9 H⁺ + 35 HCO₃⁻</w:t>
            </w:r>
          </w:p>
        </w:tc>
      </w:tr>
      <w:tr w:rsidR="00DB1BBC" w14:paraId="1E611026" w14:textId="77777777" w:rsidTr="00C9274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E2D3CB2" w14:textId="458B2C4B" w:rsidR="00DB1BBC" w:rsidRPr="007641B4" w:rsidRDefault="00DB1BBC" w:rsidP="00C92749">
            <w:pPr>
              <w:jc w:val="center"/>
            </w:pPr>
            <w:r w:rsidRPr="007641B4">
              <w:t>NP2EO</w:t>
            </w:r>
          </w:p>
        </w:tc>
        <w:tc>
          <w:tcPr>
            <w:tcW w:w="3402" w:type="dxa"/>
            <w:vAlign w:val="center"/>
          </w:tcPr>
          <w:p w14:paraId="787E3BF2" w14:textId="5334AB3D"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2 C₁₉H₃₂O₃ + 51 O₂ → 38 CO₂ + 32 H₂O</w:t>
            </w:r>
          </w:p>
        </w:tc>
        <w:tc>
          <w:tcPr>
            <w:tcW w:w="3397" w:type="dxa"/>
            <w:vAlign w:val="center"/>
          </w:tcPr>
          <w:p w14:paraId="1DCEB777" w14:textId="35CECD97"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5 C₁₉H₃₂O₃ + 102 NO₃⁻ + 7 H⁺ → 51 N₂ + 36 H₂O + 95 HCO₃⁻</w:t>
            </w:r>
          </w:p>
        </w:tc>
      </w:tr>
      <w:tr w:rsidR="00DB1BBC" w14:paraId="0B71CFB9" w14:textId="77777777" w:rsidTr="00C92749">
        <w:trPr>
          <w:trHeight w:val="695"/>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B532F6" w14:textId="42CDBEE2" w:rsidR="00DB1BBC" w:rsidRPr="007641B4" w:rsidRDefault="00DB1BBC" w:rsidP="00C92749">
            <w:pPr>
              <w:jc w:val="center"/>
            </w:pPr>
            <w:r w:rsidRPr="007641B4">
              <w:t>PFOA</w:t>
            </w:r>
          </w:p>
        </w:tc>
        <w:tc>
          <w:tcPr>
            <w:tcW w:w="3402" w:type="dxa"/>
            <w:vAlign w:val="center"/>
          </w:tcPr>
          <w:p w14:paraId="1E70C0D7" w14:textId="549540A9"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2 C₈HF₁₅O₂ + 7 O₂ + 14 H₂O → 16 CO₂ + 30 HF</w:t>
            </w:r>
          </w:p>
        </w:tc>
        <w:tc>
          <w:tcPr>
            <w:tcW w:w="3397" w:type="dxa"/>
            <w:vAlign w:val="center"/>
          </w:tcPr>
          <w:p w14:paraId="66A2B7CB" w14:textId="513A462A"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5 C₈HF₁₅O₂ + 14 NO₃⁻ + 28 H₂O → 61 H⁺ + 40 CO₂ + 75 F⁻ + 7 N₂</w:t>
            </w:r>
          </w:p>
        </w:tc>
      </w:tr>
      <w:tr w:rsidR="00DB1BBC" w14:paraId="6558D3D8" w14:textId="77777777" w:rsidTr="00C92749">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83AB20B" w14:textId="3ABE4880" w:rsidR="00DB1BBC" w:rsidRPr="007641B4" w:rsidRDefault="00DB1BBC" w:rsidP="00C92749">
            <w:pPr>
              <w:jc w:val="center"/>
            </w:pPr>
            <w:r w:rsidRPr="007641B4">
              <w:t>PFHxA</w:t>
            </w:r>
          </w:p>
        </w:tc>
        <w:tc>
          <w:tcPr>
            <w:tcW w:w="3402" w:type="dxa"/>
            <w:vAlign w:val="center"/>
          </w:tcPr>
          <w:p w14:paraId="6ECD0E8F" w14:textId="44515D34"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2 C₆HF₁₁O₂ + 5 O₂ + 10 H₂O → 12 CO₂ + 22 HF</w:t>
            </w:r>
          </w:p>
        </w:tc>
        <w:tc>
          <w:tcPr>
            <w:tcW w:w="3397" w:type="dxa"/>
            <w:vAlign w:val="center"/>
          </w:tcPr>
          <w:p w14:paraId="4BB4777D" w14:textId="6A5A9865"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C₆HF₁₁O₂ + 2 NO₃⁻ + 4 H₂O → 9 H⁺ + 6 CO₂ + 11 F⁻ + N₂</w:t>
            </w:r>
          </w:p>
        </w:tc>
      </w:tr>
      <w:tr w:rsidR="00DB1BBC" w14:paraId="7FC874A8" w14:textId="77777777" w:rsidTr="00C92749">
        <w:tc>
          <w:tcPr>
            <w:cnfStyle w:val="001000000000" w:firstRow="0" w:lastRow="0" w:firstColumn="1" w:lastColumn="0" w:oddVBand="0" w:evenVBand="0" w:oddHBand="0" w:evenHBand="0" w:firstRowFirstColumn="0" w:firstRowLastColumn="0" w:lastRowFirstColumn="0" w:lastRowLastColumn="0"/>
            <w:tcW w:w="2263" w:type="dxa"/>
            <w:vAlign w:val="center"/>
          </w:tcPr>
          <w:p w14:paraId="1BC3F2B7" w14:textId="39F05ACB" w:rsidR="00DB1BBC" w:rsidRPr="007641B4" w:rsidRDefault="00DB1BBC" w:rsidP="00C92749">
            <w:pPr>
              <w:jc w:val="center"/>
            </w:pPr>
            <w:r w:rsidRPr="007641B4">
              <w:t>PFOS</w:t>
            </w:r>
          </w:p>
        </w:tc>
        <w:tc>
          <w:tcPr>
            <w:tcW w:w="3402" w:type="dxa"/>
            <w:vAlign w:val="center"/>
          </w:tcPr>
          <w:p w14:paraId="474329E0" w14:textId="1A297F4F"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2 C₈HF₁₇O₃S + 7 O₂ + 16 H₂O → 16 CO₂ + 34 HF + 2 SO₂</w:t>
            </w:r>
          </w:p>
        </w:tc>
        <w:tc>
          <w:tcPr>
            <w:tcW w:w="3397" w:type="dxa"/>
            <w:vAlign w:val="center"/>
          </w:tcPr>
          <w:p w14:paraId="76AA5694" w14:textId="6E760D11"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5 C₈HF₁₇O₃S + 14 NO₃⁻ + 33 H₂O → 71 H⁺ + 40 CO₂ + 85 F⁻ + 7 N₂ + 5 SO₂</w:t>
            </w:r>
          </w:p>
        </w:tc>
      </w:tr>
      <w:tr w:rsidR="00DB1BBC" w14:paraId="43D98D37" w14:textId="77777777" w:rsidTr="00C92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8304BD7" w14:textId="0C885B9E" w:rsidR="00DB1BBC" w:rsidRPr="007641B4" w:rsidRDefault="00DB1BBC" w:rsidP="00C92749">
            <w:pPr>
              <w:jc w:val="center"/>
            </w:pPr>
            <w:r w:rsidRPr="007641B4">
              <w:t>PFECHS</w:t>
            </w:r>
          </w:p>
        </w:tc>
        <w:tc>
          <w:tcPr>
            <w:tcW w:w="3402" w:type="dxa"/>
            <w:vAlign w:val="center"/>
          </w:tcPr>
          <w:p w14:paraId="7FDA45DA" w14:textId="72ACD997"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C₈HF₁₅O₃S + 4 O₂ + 7 H₂O → 8 CO₂ + 15 HF + SO₂</w:t>
            </w:r>
          </w:p>
        </w:tc>
        <w:tc>
          <w:tcPr>
            <w:tcW w:w="3397" w:type="dxa"/>
            <w:vAlign w:val="center"/>
          </w:tcPr>
          <w:p w14:paraId="73B6B8B9" w14:textId="24E34861"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5 C₈HF₁₅O₃S + 16 NO₃⁻ + 27 H₂O → 59 H⁺ + 40 CO₂ + 75 F⁻ + 8 N₂ + 5 SO₂</w:t>
            </w:r>
          </w:p>
        </w:tc>
      </w:tr>
      <w:tr w:rsidR="00DB1BBC" w14:paraId="583277F5" w14:textId="77777777" w:rsidTr="00C92749">
        <w:tc>
          <w:tcPr>
            <w:cnfStyle w:val="001000000000" w:firstRow="0" w:lastRow="0" w:firstColumn="1" w:lastColumn="0" w:oddVBand="0" w:evenVBand="0" w:oddHBand="0" w:evenHBand="0" w:firstRowFirstColumn="0" w:firstRowLastColumn="0" w:lastRowFirstColumn="0" w:lastRowLastColumn="0"/>
            <w:tcW w:w="2263" w:type="dxa"/>
            <w:vAlign w:val="center"/>
          </w:tcPr>
          <w:p w14:paraId="0C0B4223" w14:textId="1A4CAAC6" w:rsidR="00DB1BBC" w:rsidRPr="007641B4" w:rsidRDefault="00DB1BBC" w:rsidP="00C92749">
            <w:pPr>
              <w:jc w:val="center"/>
            </w:pPr>
            <w:r w:rsidRPr="007641B4">
              <w:t>6:2 FTS</w:t>
            </w:r>
          </w:p>
        </w:tc>
        <w:tc>
          <w:tcPr>
            <w:tcW w:w="3402" w:type="dxa"/>
            <w:vAlign w:val="center"/>
          </w:tcPr>
          <w:p w14:paraId="26F4F350" w14:textId="0A55EDB7" w:rsidR="00DB1BBC" w:rsidRDefault="00DB1BBC" w:rsidP="00C92749">
            <w:pPr>
              <w:tabs>
                <w:tab w:val="left" w:pos="960"/>
              </w:tabs>
              <w:jc w:val="center"/>
              <w:cnfStyle w:val="000000000000" w:firstRow="0" w:lastRow="0" w:firstColumn="0" w:lastColumn="0" w:oddVBand="0" w:evenVBand="0" w:oddHBand="0" w:evenHBand="0" w:firstRowFirstColumn="0" w:firstRowLastColumn="0" w:lastRowFirstColumn="0" w:lastRowLastColumn="0"/>
            </w:pPr>
            <w:r>
              <w:t>C₈H₅F₁₃O₃S + 11 O₂ + 8 H₂O → 16 CO₂ + 26 HF + 2 SO₂</w:t>
            </w:r>
          </w:p>
        </w:tc>
        <w:tc>
          <w:tcPr>
            <w:tcW w:w="3397" w:type="dxa"/>
            <w:vAlign w:val="center"/>
          </w:tcPr>
          <w:p w14:paraId="1E26F930" w14:textId="6CC5EF41" w:rsidR="00DB1BBC" w:rsidRDefault="00DB1BBC" w:rsidP="00C92749">
            <w:pPr>
              <w:jc w:val="center"/>
              <w:cnfStyle w:val="000000000000" w:firstRow="0" w:lastRow="0" w:firstColumn="0" w:lastColumn="0" w:oddVBand="0" w:evenVBand="0" w:oddHBand="0" w:evenHBand="0" w:firstRowFirstColumn="0" w:firstRowLastColumn="0" w:lastRowFirstColumn="0" w:lastRowLastColumn="0"/>
            </w:pPr>
            <w:r>
              <w:t>5 C₈H₅F₁₃O₃S + 22 NO₃⁻ + 9 H₂O → 43 H⁺ + 40 CO₂ + 65 F⁻ + 11 N₂ + 5 SO₂</w:t>
            </w:r>
          </w:p>
        </w:tc>
      </w:tr>
      <w:tr w:rsidR="00DB1BBC" w14:paraId="67CE37B4" w14:textId="77777777" w:rsidTr="00C92749">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30E3D2" w14:textId="4C89ECAA" w:rsidR="00DB1BBC" w:rsidRPr="007641B4" w:rsidRDefault="00DB1BBC" w:rsidP="00C92749">
            <w:pPr>
              <w:jc w:val="center"/>
            </w:pPr>
            <w:r w:rsidRPr="007641B4">
              <w:t>Peptone (C₅H₁₀NO₂)</w:t>
            </w:r>
          </w:p>
        </w:tc>
        <w:tc>
          <w:tcPr>
            <w:tcW w:w="3402" w:type="dxa"/>
            <w:vAlign w:val="center"/>
          </w:tcPr>
          <w:p w14:paraId="25A0C5C2" w14:textId="06EB3315"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4 C₅H₁₀NO₂ + 23 O₂ → 20 CO₂ + 14 H₂O + 4 NH₃</w:t>
            </w:r>
          </w:p>
        </w:tc>
        <w:tc>
          <w:tcPr>
            <w:tcW w:w="3397" w:type="dxa"/>
            <w:vAlign w:val="center"/>
          </w:tcPr>
          <w:p w14:paraId="23CF6E7B" w14:textId="79739841" w:rsidR="00DB1BBC" w:rsidRDefault="00DB1BBC" w:rsidP="00C92749">
            <w:pPr>
              <w:jc w:val="center"/>
              <w:cnfStyle w:val="000000100000" w:firstRow="0" w:lastRow="0" w:firstColumn="0" w:lastColumn="0" w:oddVBand="0" w:evenVBand="0" w:oddHBand="1" w:evenHBand="0" w:firstRowFirstColumn="0" w:firstRowLastColumn="0" w:lastRowFirstColumn="0" w:lastRowLastColumn="0"/>
            </w:pPr>
            <w:r>
              <w:t>10 C₅H₁₀NO₂ + 46 NO₃⁻ → 23 N₂ + 10 NH₃ + 8 H₂O + 50 HCO₃⁻ + 4 H⁺</w:t>
            </w:r>
          </w:p>
        </w:tc>
      </w:tr>
    </w:tbl>
    <w:p w14:paraId="34AC2B74" w14:textId="77777777" w:rsidR="00DB1BBC" w:rsidRDefault="00DB1BBC" w:rsidP="00C92749">
      <w:pPr>
        <w:jc w:val="both"/>
      </w:pPr>
    </w:p>
    <w:p w14:paraId="16EC98F2" w14:textId="2A4342F7" w:rsidR="00617AF5" w:rsidRDefault="00B91888" w:rsidP="00C92749">
      <w:pPr>
        <w:jc w:val="both"/>
      </w:pPr>
      <w:r>
        <w:t xml:space="preserve">In a closed batch system, the temporal change in the concentration of species </w:t>
      </w:r>
      <w:r w:rsidR="00DE432B">
        <w:rPr>
          <w:i/>
        </w:rPr>
        <w:t>A</w:t>
      </w:r>
      <w:r>
        <w:t xml:space="preserve"> </w:t>
      </w:r>
      <w:r w:rsidR="00DE432B">
        <w:t>is described by equation 1 hereafter.</w:t>
      </w:r>
    </w:p>
    <w:p w14:paraId="1DA6D8FF" w14:textId="2A02D5DA" w:rsidR="00DE432B" w:rsidRPr="00C92749" w:rsidRDefault="00210AEA" w:rsidP="00C92749">
      <w:pPr>
        <w:jc w:val="both"/>
        <w:rPr>
          <w:rFonts w:eastAsiaTheme="minorEastAsia"/>
        </w:rPr>
      </w:pPr>
      <m:oMathPara>
        <m:oMath>
          <m:eqArr>
            <m:eqArrPr>
              <m:maxDist m:val="1"/>
              <m:ctrlPr>
                <w:rPr>
                  <w:rFonts w:ascii="Cambria Math" w:hAnsi="Cambria Math"/>
                  <w:i/>
                </w:rPr>
              </m:ctrlPr>
            </m:eqArrPr>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A</m:t>
                      </m:r>
                    </m:sub>
                  </m:sSub>
                </m:num>
                <m:den>
                  <m:r>
                    <w:rPr>
                      <w:rFonts w:ascii="Cambria Math" w:hAnsi="Cambria Math"/>
                    </w:rPr>
                    <m:t>dt</m:t>
                  </m:r>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sub>
                <m:sup/>
                <m:e>
                  <m:sSub>
                    <m:sSubPr>
                      <m:ctrlPr>
                        <w:rPr>
                          <w:rFonts w:ascii="Cambria Math" w:hAnsi="Cambria Math"/>
                          <w:i/>
                        </w:rPr>
                      </m:ctrlPr>
                    </m:sSubPr>
                    <m:e>
                      <m:r>
                        <m:rPr>
                          <m:sty m:val="p"/>
                        </m:rPr>
                        <w:rPr>
                          <w:rFonts w:ascii="Cambria Math" w:hAnsi="Cambria Math"/>
                        </w:rPr>
                        <m:t>ν</m:t>
                      </m:r>
                    </m:e>
                    <m:sub>
                      <m:r>
                        <w:rPr>
                          <w:rFonts w:ascii="Cambria Math" w:hAnsi="Cambria Math"/>
                        </w:rPr>
                        <m:t>A,r</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r</m:t>
                      </m:r>
                    </m:sub>
                  </m:sSub>
                </m:e>
              </m:nary>
              <m:r>
                <w:rPr>
                  <w:rFonts w:ascii="Cambria Math" w:hAnsi="Cambria Math"/>
                </w:rPr>
                <m:t>#</m:t>
              </m:r>
              <m:d>
                <m:dPr>
                  <m:ctrlPr>
                    <w:rPr>
                      <w:rFonts w:ascii="Cambria Math" w:hAnsi="Cambria Math"/>
                      <w:i/>
                    </w:rPr>
                  </m:ctrlPr>
                </m:dPr>
                <m:e>
                  <m:r>
                    <w:rPr>
                      <w:rFonts w:ascii="Cambria Math" w:hAnsi="Cambria Math"/>
                    </w:rPr>
                    <m:t>1</m:t>
                  </m:r>
                </m:e>
              </m:d>
            </m:e>
          </m:eqArr>
        </m:oMath>
      </m:oMathPara>
    </w:p>
    <w:p w14:paraId="5163C52D" w14:textId="29158756" w:rsidR="00B91888" w:rsidRDefault="00B91888" w:rsidP="00C92749">
      <w:pPr>
        <w:jc w:val="both"/>
        <w:rPr>
          <w:rFonts w:eastAsiaTheme="minorEastAsia"/>
        </w:rPr>
      </w:pPr>
      <w:r>
        <w:rPr>
          <w:rFonts w:eastAsiaTheme="minorEastAsia"/>
        </w:rPr>
        <w:t>Where C</w:t>
      </w:r>
      <w:r w:rsidR="00DE432B" w:rsidRPr="00C92749">
        <w:rPr>
          <w:rFonts w:eastAsiaTheme="minorEastAsia"/>
          <w:vertAlign w:val="subscript"/>
        </w:rPr>
        <w:t>A</w:t>
      </w:r>
      <w:r>
        <w:rPr>
          <w:rFonts w:eastAsiaTheme="minorEastAsia"/>
        </w:rPr>
        <w:t xml:space="preserve"> is the concentration of species </w:t>
      </w:r>
      <w:r w:rsidRPr="00C92749">
        <w:rPr>
          <w:rFonts w:eastAsiaTheme="minorEastAsia"/>
          <w:i/>
        </w:rPr>
        <w:t>i</w:t>
      </w:r>
      <w:r>
        <w:rPr>
          <w:rFonts w:eastAsiaTheme="minorEastAsia"/>
        </w:rPr>
        <w:t xml:space="preserve"> (mol</w:t>
      </w:r>
      <w:r>
        <w:rPr>
          <w:rFonts w:eastAsiaTheme="minorEastAsia" w:cstheme="minorHAnsi"/>
        </w:rPr>
        <w:t>∙</w:t>
      </w:r>
      <w:r>
        <w:rPr>
          <w:rFonts w:eastAsiaTheme="minorEastAsia"/>
        </w:rPr>
        <w:t>L</w:t>
      </w:r>
      <w:r w:rsidRPr="00C92749">
        <w:rPr>
          <w:rFonts w:eastAsiaTheme="minorEastAsia"/>
          <w:vertAlign w:val="superscript"/>
        </w:rPr>
        <w:t>-1</w:t>
      </w:r>
      <w:r>
        <w:rPr>
          <w:rFonts w:eastAsiaTheme="minorEastAsia"/>
        </w:rPr>
        <w:t xml:space="preserve">), </w:t>
      </w:r>
      <m:oMath>
        <m:r>
          <m:rPr>
            <m:sty m:val="p"/>
          </m:rPr>
          <w:rPr>
            <w:rFonts w:ascii="Cambria Math" w:hAnsi="Cambria Math"/>
          </w:rPr>
          <m:t>ν</m:t>
        </m:r>
      </m:oMath>
      <w:r w:rsidR="00DE432B" w:rsidRPr="00C92749">
        <w:rPr>
          <w:rFonts w:eastAsiaTheme="minorEastAsia"/>
          <w:i/>
          <w:vertAlign w:val="subscript"/>
        </w:rPr>
        <w:t>A</w:t>
      </w:r>
      <w:r w:rsidRPr="00C92749">
        <w:rPr>
          <w:rFonts w:eastAsiaTheme="minorEastAsia"/>
          <w:i/>
          <w:vertAlign w:val="subscript"/>
        </w:rPr>
        <w:t>,r</w:t>
      </w:r>
      <w:r>
        <w:rPr>
          <w:rFonts w:eastAsiaTheme="minorEastAsia"/>
        </w:rPr>
        <w:t xml:space="preserve"> is the stoichiometric coefficient of species </w:t>
      </w:r>
      <w:r w:rsidR="00DE432B" w:rsidRPr="00C92749">
        <w:rPr>
          <w:rFonts w:eastAsiaTheme="minorEastAsia"/>
          <w:i/>
        </w:rPr>
        <w:t>A</w:t>
      </w:r>
      <w:r>
        <w:rPr>
          <w:rFonts w:eastAsiaTheme="minorEastAsia"/>
        </w:rPr>
        <w:t xml:space="preserve"> in reaction </w:t>
      </w:r>
      <w:r w:rsidRPr="00C92749">
        <w:rPr>
          <w:rFonts w:eastAsiaTheme="minorEastAsia"/>
          <w:i/>
        </w:rPr>
        <w:t>r</w:t>
      </w:r>
      <w:r w:rsidR="00DE432B">
        <w:rPr>
          <w:rFonts w:eastAsiaTheme="minorEastAsia"/>
          <w:i/>
        </w:rPr>
        <w:t xml:space="preserve"> </w:t>
      </w:r>
      <w:r w:rsidR="00DE432B">
        <w:rPr>
          <w:rFonts w:eastAsiaTheme="minorEastAsia"/>
        </w:rPr>
        <w:t xml:space="preserve">(positive for products, negative for reactants) and </w:t>
      </w:r>
      <w:r w:rsidR="00DE432B" w:rsidRPr="00C92749">
        <w:rPr>
          <w:rFonts w:eastAsiaTheme="minorEastAsia"/>
          <w:i/>
        </w:rPr>
        <w:t>R</w:t>
      </w:r>
      <w:r w:rsidR="00DE432B" w:rsidRPr="00C92749">
        <w:rPr>
          <w:rFonts w:eastAsiaTheme="minorEastAsia"/>
          <w:i/>
          <w:vertAlign w:val="subscript"/>
        </w:rPr>
        <w:t>r</w:t>
      </w:r>
      <w:r w:rsidR="00DE432B">
        <w:rPr>
          <w:rFonts w:eastAsiaTheme="minorEastAsia"/>
        </w:rPr>
        <w:t xml:space="preserve"> the rate of the reaction </w:t>
      </w:r>
      <w:r w:rsidR="00DE432B" w:rsidRPr="00C92749">
        <w:rPr>
          <w:rFonts w:eastAsiaTheme="minorEastAsia"/>
          <w:i/>
        </w:rPr>
        <w:t>r</w:t>
      </w:r>
      <w:r w:rsidR="00DE432B">
        <w:rPr>
          <w:rFonts w:eastAsiaTheme="minorEastAsia"/>
        </w:rPr>
        <w:t xml:space="preserve"> (</w:t>
      </w:r>
      <w:r w:rsidR="00DE432B">
        <w:t>mol·L⁻¹·time⁻¹</w:t>
      </w:r>
      <w:r w:rsidR="00DE432B">
        <w:rPr>
          <w:rFonts w:eastAsiaTheme="minorEastAsia"/>
        </w:rPr>
        <w:t xml:space="preserve">). Reaction rates </w:t>
      </w:r>
      <w:r w:rsidR="00DE432B" w:rsidRPr="00BB480E">
        <w:rPr>
          <w:rFonts w:eastAsiaTheme="minorEastAsia"/>
          <w:i/>
        </w:rPr>
        <w:t>R</w:t>
      </w:r>
      <w:r w:rsidR="00DE432B" w:rsidRPr="00BB480E">
        <w:rPr>
          <w:rFonts w:eastAsiaTheme="minorEastAsia"/>
          <w:i/>
          <w:vertAlign w:val="subscript"/>
        </w:rPr>
        <w:t>r</w:t>
      </w:r>
      <w:r w:rsidR="00DE432B">
        <w:rPr>
          <w:rFonts w:eastAsiaTheme="minorEastAsia"/>
          <w:i/>
          <w:vertAlign w:val="subscript"/>
        </w:rPr>
        <w:t xml:space="preserve"> </w:t>
      </w:r>
      <w:r w:rsidR="00DE432B">
        <w:rPr>
          <w:rFonts w:eastAsiaTheme="minorEastAsia"/>
        </w:rPr>
        <w:t>were expressed in Monod-type form (equations 2 and 3), limited by the availability of the electron acceptor.</w:t>
      </w:r>
    </w:p>
    <w:p w14:paraId="0EE51EEC" w14:textId="43E4CB45" w:rsidR="00DE432B" w:rsidRPr="00C92749" w:rsidRDefault="00210AEA" w:rsidP="00C92749">
      <w:pPr>
        <w:jc w:val="both"/>
        <w:rPr>
          <w:rFonts w:eastAsiaTheme="minorEastAsia"/>
        </w:rPr>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r</m:t>
                  </m:r>
                </m:e>
                <m:sub>
                  <m:r>
                    <w:rPr>
                      <w:rFonts w:ascii="Cambria Math" w:hAnsi="Cambria Math"/>
                    </w:rPr>
                    <m:t>A,  oxic</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A,oxic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r>
                <w:rPr>
                  <w:rFonts w:ascii="Cambria Math" w:hAnsi="Cambria Math"/>
                </w:rPr>
                <m:t>#</m:t>
              </m:r>
              <m:d>
                <m:dPr>
                  <m:ctrlPr>
                    <w:rPr>
                      <w:rFonts w:ascii="Cambria Math" w:hAnsi="Cambria Math"/>
                      <w:i/>
                    </w:rPr>
                  </m:ctrlPr>
                </m:dPr>
                <m:e>
                  <m:r>
                    <w:rPr>
                      <w:rFonts w:ascii="Cambria Math" w:hAnsi="Cambria Math"/>
                    </w:rPr>
                    <m:t>2</m:t>
                  </m:r>
                </m:e>
              </m:d>
            </m:e>
          </m:eqArr>
        </m:oMath>
      </m:oMathPara>
    </w:p>
    <w:p w14:paraId="0D13B729" w14:textId="0BEEACED" w:rsidR="00343B2D" w:rsidRPr="00DE432B" w:rsidRDefault="00210AEA" w:rsidP="00C92749">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A, NR</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 NR</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inh,</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inh, </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sSubSup>
                        <m:sSubSupPr>
                          <m:ctrlPr>
                            <w:rPr>
                              <w:rFonts w:ascii="Cambria Math" w:eastAsiaTheme="minorEastAsia" w:hAnsi="Cambria Math"/>
                              <w:i/>
                            </w:rPr>
                          </m:ctrlPr>
                        </m:sSubSupPr>
                        <m:e>
                          <m:r>
                            <w:rPr>
                              <w:rFonts w:ascii="Cambria Math" w:eastAsiaTheme="minorEastAsia" w:hAnsi="Cambria Math"/>
                            </w:rPr>
                            <m:t>NO</m:t>
                          </m:r>
                        </m:e>
                        <m:sub>
                          <m:r>
                            <w:rPr>
                              <w:rFonts w:ascii="Cambria Math" w:eastAsiaTheme="minorEastAsia" w:hAnsi="Cambria Math"/>
                            </w:rPr>
                            <m:t>3</m:t>
                          </m:r>
                        </m:sub>
                        <m:sup>
                          <m:r>
                            <w:rPr>
                              <w:rFonts w:ascii="Cambria Math" w:eastAsiaTheme="minorEastAsia" w:hAnsi="Cambria Math"/>
                            </w:rPr>
                            <m:t>-</m:t>
                          </m:r>
                        </m:sup>
                      </m:sSubSup>
                    </m:sub>
                  </m:sSub>
                </m:num>
                <m:den>
                  <m:sSub>
                    <m:sSubPr>
                      <m:ctrlPr>
                        <w:rPr>
                          <w:rFonts w:ascii="Cambria Math" w:eastAsiaTheme="minorEastAsia" w:hAnsi="Cambria Math"/>
                          <w:i/>
                        </w:rPr>
                      </m:ctrlPr>
                    </m:sSubPr>
                    <m:e>
                      <m:r>
                        <w:rPr>
                          <w:rFonts w:ascii="Cambria Math" w:eastAsiaTheme="minorEastAsia" w:hAnsi="Cambria Math"/>
                        </w:rPr>
                        <m:t>K</m:t>
                      </m:r>
                    </m:e>
                    <m:sub>
                      <m:sSubSup>
                        <m:sSubSupPr>
                          <m:ctrlPr>
                            <w:rPr>
                              <w:rFonts w:ascii="Cambria Math" w:eastAsiaTheme="minorEastAsia" w:hAnsi="Cambria Math"/>
                              <w:i/>
                            </w:rPr>
                          </m:ctrlPr>
                        </m:sSubSupPr>
                        <m:e>
                          <m:r>
                            <w:rPr>
                              <w:rFonts w:ascii="Cambria Math" w:eastAsiaTheme="minorEastAsia" w:hAnsi="Cambria Math"/>
                            </w:rPr>
                            <m:t>NO</m:t>
                          </m:r>
                        </m:e>
                        <m:sub>
                          <m:r>
                            <w:rPr>
                              <w:rFonts w:ascii="Cambria Math" w:eastAsiaTheme="minorEastAsia" w:hAnsi="Cambria Math"/>
                            </w:rPr>
                            <m:t>3</m:t>
                          </m:r>
                        </m:sub>
                        <m:sup>
                          <m:r>
                            <w:rPr>
                              <w:rFonts w:ascii="Cambria Math" w:eastAsiaTheme="minorEastAsia" w:hAnsi="Cambria Math"/>
                            </w:rPr>
                            <m:t>-</m:t>
                          </m:r>
                        </m:sup>
                      </m:sSubSup>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sSubSup>
                        <m:sSubSupPr>
                          <m:ctrlPr>
                            <w:rPr>
                              <w:rFonts w:ascii="Cambria Math" w:eastAsiaTheme="minorEastAsia" w:hAnsi="Cambria Math"/>
                              <w:i/>
                            </w:rPr>
                          </m:ctrlPr>
                        </m:sSubSupPr>
                        <m:e>
                          <m:r>
                            <w:rPr>
                              <w:rFonts w:ascii="Cambria Math" w:eastAsiaTheme="minorEastAsia" w:hAnsi="Cambria Math"/>
                            </w:rPr>
                            <m:t>NO</m:t>
                          </m:r>
                        </m:e>
                        <m:sub>
                          <m:r>
                            <w:rPr>
                              <w:rFonts w:ascii="Cambria Math" w:eastAsiaTheme="minorEastAsia" w:hAnsi="Cambria Math"/>
                            </w:rPr>
                            <m:t>3</m:t>
                          </m:r>
                        </m:sub>
                        <m:sup>
                          <m:r>
                            <w:rPr>
                              <w:rFonts w:ascii="Cambria Math" w:eastAsiaTheme="minorEastAsia" w:hAnsi="Cambria Math"/>
                            </w:rPr>
                            <m:t>-</m:t>
                          </m:r>
                        </m:sup>
                      </m:sSubSup>
                    </m:sub>
                  </m:sSub>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e>
              </m:d>
            </m:e>
          </m:eqArr>
        </m:oMath>
      </m:oMathPara>
    </w:p>
    <w:p w14:paraId="5E6CA449" w14:textId="5B870C60" w:rsidR="00DE432B" w:rsidRDefault="005223B4" w:rsidP="00C92749">
      <w:pPr>
        <w:jc w:val="both"/>
        <w:rPr>
          <w:rFonts w:eastAsiaTheme="minorEastAsia"/>
        </w:rPr>
      </w:pPr>
      <w:r>
        <w:rPr>
          <w:rFonts w:eastAsiaTheme="minorEastAsia"/>
        </w:rPr>
        <w:t>In PHREEQC,</w:t>
      </w:r>
      <w:r w:rsidR="00DE432B" w:rsidRPr="00DE432B">
        <w:rPr>
          <w:rFonts w:eastAsiaTheme="minorEastAsia"/>
        </w:rPr>
        <w:t xml:space="preserve"> the software internally integrates the ordinary differential equations derived from the defined stoichiometric reactions and kinetic rate laws. The explicit formulation provided here </w:t>
      </w:r>
      <w:r w:rsidR="00DE432B" w:rsidRPr="00DE432B">
        <w:rPr>
          <w:rFonts w:eastAsiaTheme="minorEastAsia"/>
        </w:rPr>
        <w:lastRenderedPageBreak/>
        <w:t>(equations 1–3) is intended to illustrate the ge</w:t>
      </w:r>
      <w:r>
        <w:rPr>
          <w:rFonts w:eastAsiaTheme="minorEastAsia"/>
        </w:rPr>
        <w:t>neral structure of the balances. I</w:t>
      </w:r>
      <w:r w:rsidR="00DE432B" w:rsidRPr="00DE432B">
        <w:rPr>
          <w:rFonts w:eastAsiaTheme="minorEastAsia"/>
        </w:rPr>
        <w:t>n practice, PHREEQC calculates the coupled system of ODEs implicitly during the simulation.</w:t>
      </w:r>
    </w:p>
    <w:p w14:paraId="04972D9F" w14:textId="7DFB2E68" w:rsidR="00EF1389" w:rsidRDefault="00EF1389" w:rsidP="00EF1389">
      <w:pPr>
        <w:pStyle w:val="Titre2"/>
      </w:pPr>
      <w:r>
        <w:t>S7. Calibrated parameters for the biodegradation and sorption chemical models</w:t>
      </w:r>
    </w:p>
    <w:p w14:paraId="36BDDC58" w14:textId="77777777" w:rsidR="00EF1389" w:rsidRDefault="00EF1389" w:rsidP="00EF1389">
      <w:pPr>
        <w:jc w:val="both"/>
      </w:pPr>
      <w:r w:rsidRPr="008B7398">
        <w:t>This section presents the full set of parameter values resulting from the calibration of the sorption and degradation models in PHREEQC, which were adjusted to reproduce batch experiments</w:t>
      </w:r>
      <w:r>
        <w:t xml:space="preserve"> and abiotic control results</w:t>
      </w:r>
      <w:r w:rsidRPr="008B7398">
        <w:t>.</w:t>
      </w:r>
      <w:r>
        <w:t xml:space="preserve"> </w:t>
      </w:r>
      <w:r>
        <w:fldChar w:fldCharType="begin"/>
      </w:r>
      <w:r>
        <w:instrText xml:space="preserve"> REF _Ref200654027 \h </w:instrText>
      </w:r>
      <w:r>
        <w:fldChar w:fldCharType="separate"/>
      </w:r>
      <w:r>
        <w:t>Table S</w:t>
      </w:r>
      <w:r>
        <w:rPr>
          <w:noProof/>
        </w:rPr>
        <w:t>5</w:t>
      </w:r>
      <w:r>
        <w:fldChar w:fldCharType="end"/>
      </w:r>
      <w:r>
        <w:t xml:space="preserve"> presents the sorption parameters used to reproduce CECs observation in the abiotic control. Similarly, </w:t>
      </w:r>
      <w:r>
        <w:fldChar w:fldCharType="begin"/>
      </w:r>
      <w:r>
        <w:instrText xml:space="preserve"> REF _Ref200654038 \h </w:instrText>
      </w:r>
      <w:r>
        <w:fldChar w:fldCharType="separate"/>
      </w:r>
      <w:r>
        <w:t>Table S</w:t>
      </w:r>
      <w:r>
        <w:rPr>
          <w:noProof/>
        </w:rPr>
        <w:t>6</w:t>
      </w:r>
      <w:r>
        <w:fldChar w:fldCharType="end"/>
      </w:r>
      <w:r>
        <w:t xml:space="preserve"> depicts the biodegradation parameters used to reproduce CECs evolution in the batch experiments.</w:t>
      </w:r>
    </w:p>
    <w:p w14:paraId="2CBADC8F" w14:textId="77777777" w:rsidR="00EF1389" w:rsidRDefault="00EF1389" w:rsidP="00EF1389">
      <w:pPr>
        <w:pStyle w:val="Lgende"/>
        <w:keepNext/>
        <w:jc w:val="center"/>
      </w:pPr>
      <w:bookmarkStart w:id="7" w:name="_Ref200654027"/>
      <w:r>
        <w:t>Table S</w:t>
      </w:r>
      <w:fldSimple w:instr=" SEQ Table \* ARABIC ">
        <w:r>
          <w:rPr>
            <w:noProof/>
          </w:rPr>
          <w:t>5</w:t>
        </w:r>
      </w:fldSimple>
      <w:bookmarkEnd w:id="7"/>
      <w:r>
        <w:t>. Calibrated parameters for the sorption models of each CEC.</w:t>
      </w:r>
    </w:p>
    <w:p w14:paraId="17AC2375" w14:textId="77777777" w:rsidR="00EF1389" w:rsidRDefault="00EF1389" w:rsidP="00EF1389">
      <w:pPr>
        <w:jc w:val="center"/>
      </w:pPr>
      <w:r w:rsidRPr="008A2B1F">
        <w:rPr>
          <w:noProof/>
          <w:lang w:eastAsia="en-GB"/>
        </w:rPr>
        <w:drawing>
          <wp:inline distT="0" distB="0" distL="0" distR="0" wp14:anchorId="2D81C258" wp14:editId="6609762B">
            <wp:extent cx="5936400" cy="399823"/>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6400" cy="399823"/>
                    </a:xfrm>
                    <a:prstGeom prst="rect">
                      <a:avLst/>
                    </a:prstGeom>
                    <a:noFill/>
                    <a:ln>
                      <a:noFill/>
                    </a:ln>
                  </pic:spPr>
                </pic:pic>
              </a:graphicData>
            </a:graphic>
          </wp:inline>
        </w:drawing>
      </w:r>
    </w:p>
    <w:p w14:paraId="41D8FA3F" w14:textId="77777777" w:rsidR="00EF1389" w:rsidRDefault="00EF1389" w:rsidP="00EF1389">
      <w:pPr>
        <w:pStyle w:val="Lgende"/>
        <w:keepNext/>
        <w:jc w:val="center"/>
      </w:pPr>
      <w:bookmarkStart w:id="8" w:name="_Ref200654038"/>
      <w:r>
        <w:t>Table S</w:t>
      </w:r>
      <w:fldSimple w:instr=" SEQ Table \* ARABIC ">
        <w:r>
          <w:rPr>
            <w:noProof/>
          </w:rPr>
          <w:t>6</w:t>
        </w:r>
      </w:fldSimple>
      <w:bookmarkEnd w:id="8"/>
      <w:r>
        <w:t>. Calibrated parameters for the biodegradation models of each CEC.</w:t>
      </w:r>
    </w:p>
    <w:p w14:paraId="3C052C50" w14:textId="77777777" w:rsidR="00EF1389" w:rsidRDefault="00EF1389" w:rsidP="00EF1389">
      <w:pPr>
        <w:jc w:val="center"/>
      </w:pPr>
      <w:r w:rsidRPr="008A2B1F">
        <w:rPr>
          <w:noProof/>
          <w:lang w:eastAsia="en-GB"/>
        </w:rPr>
        <w:drawing>
          <wp:inline distT="0" distB="0" distL="0" distR="0" wp14:anchorId="14074569" wp14:editId="75FE954C">
            <wp:extent cx="5940000" cy="687708"/>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000" cy="687708"/>
                    </a:xfrm>
                    <a:prstGeom prst="rect">
                      <a:avLst/>
                    </a:prstGeom>
                    <a:noFill/>
                    <a:ln>
                      <a:noFill/>
                    </a:ln>
                  </pic:spPr>
                </pic:pic>
              </a:graphicData>
            </a:graphic>
          </wp:inline>
        </w:drawing>
      </w:r>
    </w:p>
    <w:p w14:paraId="66F29DA8" w14:textId="77777777" w:rsidR="00EF1389" w:rsidRPr="00C92749" w:rsidRDefault="00EF1389" w:rsidP="00C92749">
      <w:pPr>
        <w:jc w:val="both"/>
        <w:rPr>
          <w:rFonts w:eastAsiaTheme="minorEastAsia"/>
        </w:rPr>
      </w:pPr>
    </w:p>
    <w:p w14:paraId="486653D2" w14:textId="1D2FAB76" w:rsidR="00343B2D" w:rsidRDefault="00293608" w:rsidP="00343B2D">
      <w:pPr>
        <w:pStyle w:val="Titre2"/>
      </w:pPr>
      <w:r>
        <w:t>S8</w:t>
      </w:r>
      <w:r w:rsidR="00343B2D">
        <w:t>. Abiotic control results of nonylphenol diethoxylate</w:t>
      </w:r>
    </w:p>
    <w:p w14:paraId="18AA7469" w14:textId="47660C15" w:rsidR="00343B2D" w:rsidRPr="00343B2D" w:rsidRDefault="00343B2D" w:rsidP="004708CF">
      <w:pPr>
        <w:jc w:val="both"/>
      </w:pPr>
      <w:r>
        <w:t>As mentioned in the main manuscript, nonylphenol diethoxylate did</w:t>
      </w:r>
      <w:r w:rsidR="00284CDA">
        <w:t xml:space="preserve"> </w:t>
      </w:r>
      <w:r>
        <w:t>n</w:t>
      </w:r>
      <w:r w:rsidR="00284CDA">
        <w:t>o</w:t>
      </w:r>
      <w:r>
        <w:t>t show any evidence of sorption onto lo</w:t>
      </w:r>
      <w:r w:rsidR="00A722D0">
        <w:t>amy</w:t>
      </w:r>
      <w:r>
        <w:t xml:space="preserve"> sediments, as depicted with its standardized concentration evolution in the abiotic control (</w:t>
      </w:r>
      <w:r w:rsidR="00984BB3">
        <w:fldChar w:fldCharType="begin"/>
      </w:r>
      <w:r w:rsidR="00984BB3">
        <w:instrText xml:space="preserve"> REF _Ref198544027 \h </w:instrText>
      </w:r>
      <w:r w:rsidR="004708CF">
        <w:instrText xml:space="preserve"> \* MERGEFORMAT </w:instrText>
      </w:r>
      <w:r w:rsidR="00984BB3">
        <w:fldChar w:fldCharType="separate"/>
      </w:r>
      <w:r w:rsidR="004708CF">
        <w:t>Figure S4</w:t>
      </w:r>
      <w:r w:rsidR="00984BB3">
        <w:fldChar w:fldCharType="end"/>
      </w:r>
      <w:r>
        <w:t>).</w:t>
      </w:r>
    </w:p>
    <w:p w14:paraId="5E40A0CE" w14:textId="21DCFA0C" w:rsidR="00343B2D" w:rsidRDefault="007344AD" w:rsidP="007344AD">
      <w:pPr>
        <w:pStyle w:val="NormalWeb"/>
        <w:jc w:val="center"/>
      </w:pPr>
      <w:r>
        <w:rPr>
          <w:noProof/>
        </w:rPr>
        <w:drawing>
          <wp:inline distT="0" distB="0" distL="0" distR="0" wp14:anchorId="2F26650D" wp14:editId="60FB950A">
            <wp:extent cx="4320000" cy="2880678"/>
            <wp:effectExtent l="0" t="0" r="4445" b="0"/>
            <wp:docPr id="3" name="Image 3" descr="C:\Users\glaud\Documents\Uliege\doctorat\WP2\batch_experiment\modeling_phreeqc\visualisation_sorption\sorption_np2eo_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aud\Documents\Uliege\doctorat\WP2\batch_experiment\modeling_phreeqc\visualisation_sorption\sorption_np2eo_post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0" cy="2880678"/>
                    </a:xfrm>
                    <a:prstGeom prst="rect">
                      <a:avLst/>
                    </a:prstGeom>
                    <a:noFill/>
                    <a:ln>
                      <a:noFill/>
                    </a:ln>
                  </pic:spPr>
                </pic:pic>
              </a:graphicData>
            </a:graphic>
          </wp:inline>
        </w:drawing>
      </w:r>
    </w:p>
    <w:p w14:paraId="7533CCA0" w14:textId="6D4823E8" w:rsidR="00474924" w:rsidRPr="00474924" w:rsidRDefault="00343B2D" w:rsidP="00D77EB7">
      <w:pPr>
        <w:pStyle w:val="Lgende"/>
        <w:jc w:val="center"/>
        <w:rPr>
          <w:noProof/>
        </w:rPr>
      </w:pPr>
      <w:bookmarkStart w:id="9" w:name="_Ref198544027"/>
      <w:r>
        <w:t>Figure S</w:t>
      </w:r>
      <w:r w:rsidR="00210AEA">
        <w:fldChar w:fldCharType="begin"/>
      </w:r>
      <w:r w:rsidR="00210AEA">
        <w:instrText xml:space="preserve"> SEQ Figure \* ARABIC </w:instrText>
      </w:r>
      <w:r w:rsidR="00210AEA">
        <w:fldChar w:fldCharType="separate"/>
      </w:r>
      <w:r w:rsidR="00B67AB4">
        <w:rPr>
          <w:noProof/>
        </w:rPr>
        <w:t>4</w:t>
      </w:r>
      <w:r w:rsidR="00210AEA">
        <w:rPr>
          <w:noProof/>
        </w:rPr>
        <w:fldChar w:fldCharType="end"/>
      </w:r>
      <w:bookmarkEnd w:id="9"/>
      <w:r>
        <w:t>.</w:t>
      </w:r>
      <w:r>
        <w:rPr>
          <w:noProof/>
        </w:rPr>
        <w:t xml:space="preserve"> Abiotic control results of nonylphenol diethoxylates.</w:t>
      </w:r>
    </w:p>
    <w:p w14:paraId="1B10E11E" w14:textId="2E021416" w:rsidR="00284CDA" w:rsidRDefault="00293608" w:rsidP="00D96C9D">
      <w:pPr>
        <w:pStyle w:val="Titre2"/>
        <w:rPr>
          <w:lang w:eastAsia="en-GB"/>
        </w:rPr>
      </w:pPr>
      <w:r>
        <w:rPr>
          <w:lang w:eastAsia="en-GB"/>
        </w:rPr>
        <w:t>S9</w:t>
      </w:r>
      <w:r w:rsidR="00474924">
        <w:rPr>
          <w:lang w:eastAsia="en-GB"/>
        </w:rPr>
        <w:t>. Total attenuation per contaminant</w:t>
      </w:r>
    </w:p>
    <w:p w14:paraId="11350D0B" w14:textId="6DE62FF8" w:rsidR="00D77EB7" w:rsidRPr="00D77EB7" w:rsidRDefault="00D77EB7" w:rsidP="00D77EB7">
      <w:pPr>
        <w:jc w:val="both"/>
      </w:pPr>
      <w:r w:rsidRPr="00D77EB7">
        <w:t>The following section relates to section 3.4.4. of the manuscript, describing the total attenuation of the contaminants studied at the en</w:t>
      </w:r>
      <w:r>
        <w:t xml:space="preserve">d of the batch experiments. Therefore, </w:t>
      </w:r>
      <w:r w:rsidR="00E2285E">
        <w:fldChar w:fldCharType="begin"/>
      </w:r>
      <w:r w:rsidR="00E2285E">
        <w:instrText xml:space="preserve"> REF _Ref200653690 \h </w:instrText>
      </w:r>
      <w:r w:rsidR="00E2285E">
        <w:fldChar w:fldCharType="separate"/>
      </w:r>
      <w:r w:rsidR="004708CF">
        <w:t>Table S</w:t>
      </w:r>
      <w:r w:rsidR="004708CF">
        <w:rPr>
          <w:noProof/>
        </w:rPr>
        <w:t>7</w:t>
      </w:r>
      <w:r w:rsidR="00E2285E">
        <w:fldChar w:fldCharType="end"/>
      </w:r>
      <w:r w:rsidR="00E2285E">
        <w:t xml:space="preserve"> </w:t>
      </w:r>
      <w:r w:rsidRPr="00D77EB7">
        <w:t xml:space="preserve">describes the </w:t>
      </w:r>
      <w:r w:rsidRPr="00D77EB7">
        <w:lastRenderedPageBreak/>
        <w:t>attenuation values for each of the contaminants described by the chemical model developed to reproduce the experimental results</w:t>
      </w:r>
      <w:r w:rsidR="00210AEA">
        <w:t>, as well as the</w:t>
      </w:r>
      <w:r>
        <w:t xml:space="preserve"> contribution</w:t>
      </w:r>
      <w:r w:rsidR="00210AEA">
        <w:t xml:space="preserve"> from sorption and biodegradation/biotransformation</w:t>
      </w:r>
      <w:bookmarkStart w:id="10" w:name="_GoBack"/>
      <w:bookmarkEnd w:id="10"/>
      <w:r>
        <w:t xml:space="preserve"> to total attenuation</w:t>
      </w:r>
      <w:r w:rsidRPr="00D77EB7">
        <w:t>.</w:t>
      </w:r>
    </w:p>
    <w:p w14:paraId="62965E14" w14:textId="6AA491E7" w:rsidR="00D77EB7" w:rsidRDefault="00E2285E" w:rsidP="00D77EB7">
      <w:pPr>
        <w:pStyle w:val="Lgende"/>
        <w:keepNext/>
        <w:jc w:val="center"/>
      </w:pPr>
      <w:bookmarkStart w:id="11" w:name="_Ref200653690"/>
      <w:r>
        <w:t xml:space="preserve">Table </w:t>
      </w:r>
      <w:r w:rsidR="00DA43D5">
        <w:t>S</w:t>
      </w:r>
      <w:r w:rsidR="00210AEA">
        <w:fldChar w:fldCharType="begin"/>
      </w:r>
      <w:r w:rsidR="00210AEA">
        <w:instrText xml:space="preserve"> SEQ Table \* ARABIC </w:instrText>
      </w:r>
      <w:r w:rsidR="00210AEA">
        <w:fldChar w:fldCharType="separate"/>
      </w:r>
      <w:r w:rsidR="007641B4">
        <w:rPr>
          <w:noProof/>
        </w:rPr>
        <w:t>8</w:t>
      </w:r>
      <w:r w:rsidR="00210AEA">
        <w:rPr>
          <w:noProof/>
        </w:rPr>
        <w:fldChar w:fldCharType="end"/>
      </w:r>
      <w:bookmarkEnd w:id="11"/>
      <w:r w:rsidR="00D77EB7">
        <w:t xml:space="preserve">. </w:t>
      </w:r>
      <w:r w:rsidR="00D77EB7" w:rsidRPr="00D77EB7">
        <w:t xml:space="preserve">Total attenuation per </w:t>
      </w:r>
      <w:r w:rsidR="00210AEA">
        <w:t>CEC,</w:t>
      </w:r>
      <w:r w:rsidR="00210AEA" w:rsidRPr="00210AEA">
        <w:t xml:space="preserve"> with contributions from sorption (linear isotherm + additional processes) and biodegradation/biotransformation</w:t>
      </w:r>
      <w:r w:rsidR="00D77EB7" w:rsidRPr="00D77EB7">
        <w:t>.</w:t>
      </w:r>
    </w:p>
    <w:tbl>
      <w:tblPr>
        <w:tblStyle w:val="TableauGrille1Clair"/>
        <w:tblW w:w="0" w:type="auto"/>
        <w:tblLook w:val="04A0" w:firstRow="1" w:lastRow="0" w:firstColumn="1" w:lastColumn="0" w:noHBand="0" w:noVBand="1"/>
      </w:tblPr>
      <w:tblGrid>
        <w:gridCol w:w="1742"/>
        <w:gridCol w:w="1985"/>
        <w:gridCol w:w="1789"/>
        <w:gridCol w:w="1640"/>
        <w:gridCol w:w="1896"/>
      </w:tblGrid>
      <w:tr w:rsidR="00210AEA" w14:paraId="5D0B82B5" w14:textId="73A54985" w:rsidTr="00210AE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745" w:type="dxa"/>
            <w:tcBorders>
              <w:top w:val="single" w:sz="8" w:space="0" w:color="auto"/>
              <w:left w:val="single" w:sz="8" w:space="0" w:color="auto"/>
              <w:right w:val="single" w:sz="8" w:space="0" w:color="auto"/>
            </w:tcBorders>
            <w:vAlign w:val="center"/>
          </w:tcPr>
          <w:p w14:paraId="4CC6C27C" w14:textId="56A1A56D" w:rsidR="00210AEA" w:rsidRDefault="00210AEA" w:rsidP="00D77EB7">
            <w:pPr>
              <w:jc w:val="center"/>
            </w:pPr>
            <w:r>
              <w:t>CEC</w:t>
            </w:r>
          </w:p>
        </w:tc>
        <w:tc>
          <w:tcPr>
            <w:tcW w:w="1987" w:type="dxa"/>
            <w:tcBorders>
              <w:top w:val="single" w:sz="8" w:space="0" w:color="auto"/>
              <w:left w:val="single" w:sz="8" w:space="0" w:color="auto"/>
              <w:right w:val="single" w:sz="8" w:space="0" w:color="auto"/>
            </w:tcBorders>
            <w:vAlign w:val="center"/>
          </w:tcPr>
          <w:p w14:paraId="001FF8ED" w14:textId="77777777" w:rsidR="00210AEA" w:rsidRDefault="00210AEA" w:rsidP="00D77EB7">
            <w:pPr>
              <w:jc w:val="center"/>
              <w:cnfStyle w:val="100000000000" w:firstRow="1" w:lastRow="0" w:firstColumn="0" w:lastColumn="0" w:oddVBand="0" w:evenVBand="0" w:oddHBand="0" w:evenHBand="0" w:firstRowFirstColumn="0" w:firstRowLastColumn="0" w:lastRowFirstColumn="0" w:lastRowLastColumn="0"/>
            </w:pPr>
            <w:r>
              <w:t>Total attenuation (%)</w:t>
            </w:r>
          </w:p>
        </w:tc>
        <w:tc>
          <w:tcPr>
            <w:tcW w:w="1792" w:type="dxa"/>
            <w:tcBorders>
              <w:top w:val="single" w:sz="8" w:space="0" w:color="000000"/>
              <w:left w:val="single" w:sz="8" w:space="0" w:color="auto"/>
            </w:tcBorders>
            <w:vAlign w:val="center"/>
          </w:tcPr>
          <w:p w14:paraId="659D4275" w14:textId="246C020C" w:rsidR="00210AEA" w:rsidRDefault="00210AEA" w:rsidP="00210AEA">
            <w:pPr>
              <w:jc w:val="center"/>
              <w:cnfStyle w:val="100000000000" w:firstRow="1" w:lastRow="0" w:firstColumn="0" w:lastColumn="0" w:oddVBand="0" w:evenVBand="0" w:oddHBand="0" w:evenHBand="0" w:firstRowFirstColumn="0" w:firstRowLastColumn="0" w:lastRowFirstColumn="0" w:lastRowLastColumn="0"/>
            </w:pPr>
            <w:r>
              <w:t>Sorption – Linear isotherm (%)</w:t>
            </w:r>
          </w:p>
        </w:tc>
        <w:tc>
          <w:tcPr>
            <w:tcW w:w="1642" w:type="dxa"/>
            <w:tcBorders>
              <w:top w:val="single" w:sz="8" w:space="0" w:color="000000"/>
            </w:tcBorders>
          </w:tcPr>
          <w:p w14:paraId="15337ECB" w14:textId="621A9B3C" w:rsidR="00210AEA" w:rsidRDefault="00210AEA" w:rsidP="00D77EB7">
            <w:pPr>
              <w:jc w:val="center"/>
              <w:cnfStyle w:val="100000000000" w:firstRow="1" w:lastRow="0" w:firstColumn="0" w:lastColumn="0" w:oddVBand="0" w:evenVBand="0" w:oddHBand="0" w:evenHBand="0" w:firstRowFirstColumn="0" w:firstRowLastColumn="0" w:lastRowFirstColumn="0" w:lastRowLastColumn="0"/>
            </w:pPr>
            <w:r>
              <w:t>Sorption – additional processes (%)</w:t>
            </w:r>
          </w:p>
        </w:tc>
        <w:tc>
          <w:tcPr>
            <w:tcW w:w="1896" w:type="dxa"/>
            <w:tcBorders>
              <w:top w:val="single" w:sz="8" w:space="0" w:color="000000"/>
              <w:right w:val="single" w:sz="8" w:space="0" w:color="000000"/>
            </w:tcBorders>
          </w:tcPr>
          <w:p w14:paraId="270257A6" w14:textId="64E7AC05" w:rsidR="00210AEA" w:rsidRDefault="00210AEA" w:rsidP="00D77EB7">
            <w:pPr>
              <w:jc w:val="center"/>
              <w:cnfStyle w:val="100000000000" w:firstRow="1" w:lastRow="0" w:firstColumn="0" w:lastColumn="0" w:oddVBand="0" w:evenVBand="0" w:oddHBand="0" w:evenHBand="0" w:firstRowFirstColumn="0" w:firstRowLastColumn="0" w:lastRowFirstColumn="0" w:lastRowLastColumn="0"/>
            </w:pPr>
            <w:r>
              <w:t>Biodegradation / biotransformation (%)</w:t>
            </w:r>
          </w:p>
        </w:tc>
      </w:tr>
      <w:tr w:rsidR="00210AEA" w14:paraId="5AACFE66" w14:textId="1FE9372D"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1DA239D0" w14:textId="77777777" w:rsidR="00210AEA" w:rsidRDefault="00210AEA" w:rsidP="00D77EB7">
            <w:pPr>
              <w:jc w:val="center"/>
            </w:pPr>
            <w:r>
              <w:t>BZT</w:t>
            </w:r>
          </w:p>
        </w:tc>
        <w:tc>
          <w:tcPr>
            <w:tcW w:w="1987" w:type="dxa"/>
            <w:tcBorders>
              <w:left w:val="single" w:sz="8" w:space="0" w:color="000000"/>
              <w:right w:val="single" w:sz="8" w:space="0" w:color="auto"/>
            </w:tcBorders>
            <w:vAlign w:val="center"/>
          </w:tcPr>
          <w:p w14:paraId="7390B527" w14:textId="40285C0E"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38</w:t>
            </w:r>
          </w:p>
        </w:tc>
        <w:tc>
          <w:tcPr>
            <w:tcW w:w="1792" w:type="dxa"/>
            <w:tcBorders>
              <w:left w:val="single" w:sz="8" w:space="0" w:color="auto"/>
            </w:tcBorders>
            <w:vAlign w:val="center"/>
          </w:tcPr>
          <w:p w14:paraId="11829C25" w14:textId="6F206024"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16</w:t>
            </w:r>
          </w:p>
        </w:tc>
        <w:tc>
          <w:tcPr>
            <w:tcW w:w="1642" w:type="dxa"/>
          </w:tcPr>
          <w:p w14:paraId="0AC23969" w14:textId="666ABD7C"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c>
          <w:tcPr>
            <w:tcW w:w="1896" w:type="dxa"/>
            <w:tcBorders>
              <w:right w:val="single" w:sz="8" w:space="0" w:color="000000"/>
            </w:tcBorders>
          </w:tcPr>
          <w:p w14:paraId="50F671D8" w14:textId="6F85F5B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22</w:t>
            </w:r>
          </w:p>
        </w:tc>
      </w:tr>
      <w:tr w:rsidR="00210AEA" w14:paraId="503F617E" w14:textId="197A43A9"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39A8696B" w14:textId="77777777" w:rsidR="00210AEA" w:rsidRDefault="00210AEA" w:rsidP="00D77EB7">
            <w:pPr>
              <w:jc w:val="center"/>
            </w:pPr>
            <w:r>
              <w:t>TLT</w:t>
            </w:r>
          </w:p>
        </w:tc>
        <w:tc>
          <w:tcPr>
            <w:tcW w:w="1987" w:type="dxa"/>
            <w:tcBorders>
              <w:left w:val="single" w:sz="8" w:space="0" w:color="000000"/>
              <w:right w:val="single" w:sz="8" w:space="0" w:color="auto"/>
            </w:tcBorders>
            <w:vAlign w:val="center"/>
          </w:tcPr>
          <w:p w14:paraId="0CE109F6" w14:textId="41A78E0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30</w:t>
            </w:r>
          </w:p>
        </w:tc>
        <w:tc>
          <w:tcPr>
            <w:tcW w:w="1792" w:type="dxa"/>
            <w:tcBorders>
              <w:left w:val="single" w:sz="8" w:space="0" w:color="auto"/>
            </w:tcBorders>
            <w:vAlign w:val="center"/>
          </w:tcPr>
          <w:p w14:paraId="3047DEE9" w14:textId="5D71B6DB"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19</w:t>
            </w:r>
          </w:p>
        </w:tc>
        <w:tc>
          <w:tcPr>
            <w:tcW w:w="1642" w:type="dxa"/>
          </w:tcPr>
          <w:p w14:paraId="0A69FABB" w14:textId="27F41EA2"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c>
          <w:tcPr>
            <w:tcW w:w="1896" w:type="dxa"/>
            <w:tcBorders>
              <w:right w:val="single" w:sz="8" w:space="0" w:color="000000"/>
            </w:tcBorders>
          </w:tcPr>
          <w:p w14:paraId="02827C38" w14:textId="36B3A95D"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11</w:t>
            </w:r>
          </w:p>
        </w:tc>
      </w:tr>
      <w:tr w:rsidR="00210AEA" w14:paraId="3A0D2DA7" w14:textId="62E4314E"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2A8BF83D" w14:textId="77777777" w:rsidR="00210AEA" w:rsidRDefault="00210AEA" w:rsidP="00D77EB7">
            <w:pPr>
              <w:jc w:val="center"/>
            </w:pPr>
            <w:r>
              <w:t>PFOA</w:t>
            </w:r>
          </w:p>
        </w:tc>
        <w:tc>
          <w:tcPr>
            <w:tcW w:w="1987" w:type="dxa"/>
            <w:tcBorders>
              <w:left w:val="single" w:sz="8" w:space="0" w:color="000000"/>
              <w:right w:val="single" w:sz="8" w:space="0" w:color="auto"/>
            </w:tcBorders>
            <w:vAlign w:val="center"/>
          </w:tcPr>
          <w:p w14:paraId="56BF115A"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21</w:t>
            </w:r>
          </w:p>
        </w:tc>
        <w:tc>
          <w:tcPr>
            <w:tcW w:w="1792" w:type="dxa"/>
            <w:tcBorders>
              <w:left w:val="single" w:sz="8" w:space="0" w:color="auto"/>
            </w:tcBorders>
            <w:vAlign w:val="center"/>
          </w:tcPr>
          <w:p w14:paraId="7B0997B0"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13</w:t>
            </w:r>
          </w:p>
        </w:tc>
        <w:tc>
          <w:tcPr>
            <w:tcW w:w="1642" w:type="dxa"/>
          </w:tcPr>
          <w:p w14:paraId="758108AD" w14:textId="257527A9"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8</w:t>
            </w:r>
          </w:p>
        </w:tc>
        <w:tc>
          <w:tcPr>
            <w:tcW w:w="1896" w:type="dxa"/>
            <w:tcBorders>
              <w:right w:val="single" w:sz="8" w:space="0" w:color="000000"/>
            </w:tcBorders>
          </w:tcPr>
          <w:p w14:paraId="674469AF" w14:textId="2C1CBD21"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r>
      <w:tr w:rsidR="00210AEA" w14:paraId="08A1F4F3" w14:textId="46974214"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269D3D1B" w14:textId="77777777" w:rsidR="00210AEA" w:rsidRDefault="00210AEA" w:rsidP="00D77EB7">
            <w:pPr>
              <w:jc w:val="center"/>
            </w:pPr>
            <w:r>
              <w:t>PFOS</w:t>
            </w:r>
          </w:p>
        </w:tc>
        <w:tc>
          <w:tcPr>
            <w:tcW w:w="1987" w:type="dxa"/>
            <w:tcBorders>
              <w:left w:val="single" w:sz="8" w:space="0" w:color="000000"/>
              <w:right w:val="single" w:sz="8" w:space="0" w:color="auto"/>
            </w:tcBorders>
            <w:vAlign w:val="center"/>
          </w:tcPr>
          <w:p w14:paraId="793DFBB0"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45</w:t>
            </w:r>
          </w:p>
        </w:tc>
        <w:tc>
          <w:tcPr>
            <w:tcW w:w="1792" w:type="dxa"/>
            <w:tcBorders>
              <w:left w:val="single" w:sz="8" w:space="0" w:color="auto"/>
            </w:tcBorders>
            <w:vAlign w:val="center"/>
          </w:tcPr>
          <w:p w14:paraId="59ED88B2"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36</w:t>
            </w:r>
          </w:p>
        </w:tc>
        <w:tc>
          <w:tcPr>
            <w:tcW w:w="1642" w:type="dxa"/>
          </w:tcPr>
          <w:p w14:paraId="3A030337" w14:textId="1A7F394A"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9</w:t>
            </w:r>
          </w:p>
        </w:tc>
        <w:tc>
          <w:tcPr>
            <w:tcW w:w="1896" w:type="dxa"/>
            <w:tcBorders>
              <w:right w:val="single" w:sz="8" w:space="0" w:color="000000"/>
            </w:tcBorders>
          </w:tcPr>
          <w:p w14:paraId="33CEDB7F" w14:textId="11134A79"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r>
      <w:tr w:rsidR="00210AEA" w14:paraId="362646C0" w14:textId="21C77600"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483ED16A" w14:textId="77777777" w:rsidR="00210AEA" w:rsidRDefault="00210AEA" w:rsidP="00D77EB7">
            <w:pPr>
              <w:jc w:val="center"/>
            </w:pPr>
            <w:r>
              <w:t>6:2 FTS</w:t>
            </w:r>
          </w:p>
        </w:tc>
        <w:tc>
          <w:tcPr>
            <w:tcW w:w="1987" w:type="dxa"/>
            <w:tcBorders>
              <w:left w:val="single" w:sz="8" w:space="0" w:color="000000"/>
              <w:right w:val="single" w:sz="8" w:space="0" w:color="auto"/>
            </w:tcBorders>
            <w:vAlign w:val="center"/>
          </w:tcPr>
          <w:p w14:paraId="2CF49FC2"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33</w:t>
            </w:r>
          </w:p>
        </w:tc>
        <w:tc>
          <w:tcPr>
            <w:tcW w:w="1792" w:type="dxa"/>
            <w:tcBorders>
              <w:left w:val="single" w:sz="8" w:space="0" w:color="auto"/>
            </w:tcBorders>
            <w:vAlign w:val="center"/>
          </w:tcPr>
          <w:p w14:paraId="3FA19D8F"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26</w:t>
            </w:r>
          </w:p>
        </w:tc>
        <w:tc>
          <w:tcPr>
            <w:tcW w:w="3538" w:type="dxa"/>
            <w:gridSpan w:val="2"/>
            <w:tcBorders>
              <w:right w:val="single" w:sz="8" w:space="0" w:color="000000"/>
            </w:tcBorders>
          </w:tcPr>
          <w:p w14:paraId="7C068FD3" w14:textId="1DC59CE2"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7</w:t>
            </w:r>
          </w:p>
        </w:tc>
      </w:tr>
      <w:tr w:rsidR="00210AEA" w14:paraId="362FAE0A" w14:textId="22C889D7"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7574F862" w14:textId="77777777" w:rsidR="00210AEA" w:rsidRDefault="00210AEA" w:rsidP="00D77EB7">
            <w:pPr>
              <w:jc w:val="center"/>
            </w:pPr>
            <w:r>
              <w:t>PFECHS</w:t>
            </w:r>
          </w:p>
        </w:tc>
        <w:tc>
          <w:tcPr>
            <w:tcW w:w="1987" w:type="dxa"/>
            <w:tcBorders>
              <w:left w:val="single" w:sz="8" w:space="0" w:color="000000"/>
              <w:right w:val="single" w:sz="8" w:space="0" w:color="auto"/>
            </w:tcBorders>
            <w:vAlign w:val="center"/>
          </w:tcPr>
          <w:p w14:paraId="2369B021"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14</w:t>
            </w:r>
          </w:p>
        </w:tc>
        <w:tc>
          <w:tcPr>
            <w:tcW w:w="1792" w:type="dxa"/>
            <w:tcBorders>
              <w:left w:val="single" w:sz="8" w:space="0" w:color="auto"/>
            </w:tcBorders>
            <w:vAlign w:val="center"/>
          </w:tcPr>
          <w:p w14:paraId="2896A474"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c>
          <w:tcPr>
            <w:tcW w:w="1642" w:type="dxa"/>
          </w:tcPr>
          <w:p w14:paraId="7877C921" w14:textId="0EEF7108"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14</w:t>
            </w:r>
          </w:p>
        </w:tc>
        <w:tc>
          <w:tcPr>
            <w:tcW w:w="1896" w:type="dxa"/>
            <w:tcBorders>
              <w:right w:val="single" w:sz="8" w:space="0" w:color="000000"/>
            </w:tcBorders>
          </w:tcPr>
          <w:p w14:paraId="025CBE13" w14:textId="481A7E61"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0</w:t>
            </w:r>
          </w:p>
        </w:tc>
      </w:tr>
      <w:tr w:rsidR="00210AEA" w14:paraId="644DFD75" w14:textId="3AF47E86"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right w:val="single" w:sz="8" w:space="0" w:color="000000"/>
            </w:tcBorders>
            <w:vAlign w:val="center"/>
          </w:tcPr>
          <w:p w14:paraId="5E347C70" w14:textId="77777777" w:rsidR="00210AEA" w:rsidRDefault="00210AEA" w:rsidP="00D77EB7">
            <w:pPr>
              <w:jc w:val="center"/>
            </w:pPr>
            <w:r>
              <w:t>PFHxA</w:t>
            </w:r>
          </w:p>
        </w:tc>
        <w:tc>
          <w:tcPr>
            <w:tcW w:w="1987" w:type="dxa"/>
            <w:tcBorders>
              <w:left w:val="single" w:sz="8" w:space="0" w:color="000000"/>
              <w:right w:val="single" w:sz="8" w:space="0" w:color="auto"/>
            </w:tcBorders>
            <w:vAlign w:val="center"/>
          </w:tcPr>
          <w:p w14:paraId="1E96C77B"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24</w:t>
            </w:r>
          </w:p>
        </w:tc>
        <w:tc>
          <w:tcPr>
            <w:tcW w:w="1792" w:type="dxa"/>
            <w:tcBorders>
              <w:left w:val="single" w:sz="8" w:space="0" w:color="auto"/>
            </w:tcBorders>
            <w:vAlign w:val="center"/>
          </w:tcPr>
          <w:p w14:paraId="196F77A7" w14:textId="77777777"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15</w:t>
            </w:r>
          </w:p>
        </w:tc>
        <w:tc>
          <w:tcPr>
            <w:tcW w:w="1642" w:type="dxa"/>
          </w:tcPr>
          <w:p w14:paraId="1314514C" w14:textId="54D92F3F"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9</w:t>
            </w:r>
          </w:p>
        </w:tc>
        <w:tc>
          <w:tcPr>
            <w:tcW w:w="1896" w:type="dxa"/>
            <w:tcBorders>
              <w:right w:val="single" w:sz="8" w:space="0" w:color="000000"/>
            </w:tcBorders>
          </w:tcPr>
          <w:p w14:paraId="50A6A72F" w14:textId="2AF65B54"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0</w:t>
            </w:r>
          </w:p>
        </w:tc>
      </w:tr>
      <w:tr w:rsidR="00210AEA" w14:paraId="7078B6DC" w14:textId="24689203" w:rsidTr="00210AEA">
        <w:tc>
          <w:tcPr>
            <w:cnfStyle w:val="001000000000" w:firstRow="0" w:lastRow="0" w:firstColumn="1" w:lastColumn="0" w:oddVBand="0" w:evenVBand="0" w:oddHBand="0" w:evenHBand="0" w:firstRowFirstColumn="0" w:firstRowLastColumn="0" w:lastRowFirstColumn="0" w:lastRowLastColumn="0"/>
            <w:tcW w:w="1745" w:type="dxa"/>
            <w:tcBorders>
              <w:left w:val="single" w:sz="8" w:space="0" w:color="auto"/>
              <w:bottom w:val="single" w:sz="8" w:space="0" w:color="000000"/>
              <w:right w:val="single" w:sz="8" w:space="0" w:color="000000"/>
            </w:tcBorders>
            <w:vAlign w:val="center"/>
          </w:tcPr>
          <w:p w14:paraId="1F016FC3" w14:textId="77777777" w:rsidR="00210AEA" w:rsidRDefault="00210AEA" w:rsidP="00D77EB7">
            <w:pPr>
              <w:jc w:val="center"/>
            </w:pPr>
            <w:r>
              <w:t>NP2EO</w:t>
            </w:r>
          </w:p>
        </w:tc>
        <w:tc>
          <w:tcPr>
            <w:tcW w:w="1987" w:type="dxa"/>
            <w:tcBorders>
              <w:left w:val="single" w:sz="8" w:space="0" w:color="000000"/>
              <w:bottom w:val="single" w:sz="8" w:space="0" w:color="000000"/>
              <w:right w:val="single" w:sz="8" w:space="0" w:color="auto"/>
            </w:tcBorders>
            <w:vAlign w:val="center"/>
          </w:tcPr>
          <w:p w14:paraId="152941CB" w14:textId="77777777" w:rsidR="00210AEA" w:rsidRDefault="00210AEA" w:rsidP="00D77EB7">
            <w:pPr>
              <w:jc w:val="center"/>
              <w:cnfStyle w:val="000000000000" w:firstRow="0" w:lastRow="0" w:firstColumn="0" w:lastColumn="0" w:oddVBand="0" w:evenVBand="0" w:oddHBand="0" w:evenHBand="0" w:firstRowFirstColumn="0" w:firstRowLastColumn="0" w:lastRowFirstColumn="0" w:lastRowLastColumn="0"/>
            </w:pPr>
            <w:r>
              <w:t>90</w:t>
            </w:r>
          </w:p>
        </w:tc>
        <w:tc>
          <w:tcPr>
            <w:tcW w:w="1792" w:type="dxa"/>
            <w:tcBorders>
              <w:left w:val="single" w:sz="8" w:space="0" w:color="auto"/>
              <w:bottom w:val="single" w:sz="8" w:space="0" w:color="000000"/>
            </w:tcBorders>
            <w:vAlign w:val="center"/>
          </w:tcPr>
          <w:p w14:paraId="6ACDB3D4" w14:textId="77777777"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0</w:t>
            </w:r>
          </w:p>
        </w:tc>
        <w:tc>
          <w:tcPr>
            <w:tcW w:w="1642" w:type="dxa"/>
            <w:tcBorders>
              <w:bottom w:val="single" w:sz="8" w:space="0" w:color="000000"/>
            </w:tcBorders>
          </w:tcPr>
          <w:p w14:paraId="71EC5B4A" w14:textId="5B47E57F"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0</w:t>
            </w:r>
          </w:p>
        </w:tc>
        <w:tc>
          <w:tcPr>
            <w:tcW w:w="1896" w:type="dxa"/>
            <w:tcBorders>
              <w:bottom w:val="single" w:sz="8" w:space="0" w:color="000000"/>
              <w:right w:val="single" w:sz="8" w:space="0" w:color="000000"/>
            </w:tcBorders>
          </w:tcPr>
          <w:p w14:paraId="5AB6520F" w14:textId="4D883D48" w:rsidR="00210AEA" w:rsidRDefault="00210AEA" w:rsidP="00D77EB7">
            <w:pPr>
              <w:keepNext/>
              <w:jc w:val="center"/>
              <w:cnfStyle w:val="000000000000" w:firstRow="0" w:lastRow="0" w:firstColumn="0" w:lastColumn="0" w:oddVBand="0" w:evenVBand="0" w:oddHBand="0" w:evenHBand="0" w:firstRowFirstColumn="0" w:firstRowLastColumn="0" w:lastRowFirstColumn="0" w:lastRowLastColumn="0"/>
            </w:pPr>
            <w:r>
              <w:t>90</w:t>
            </w:r>
          </w:p>
        </w:tc>
      </w:tr>
    </w:tbl>
    <w:p w14:paraId="04DC19D3" w14:textId="77777777" w:rsidR="00474924" w:rsidRPr="00474924" w:rsidRDefault="00474924" w:rsidP="00474924">
      <w:pPr>
        <w:rPr>
          <w:lang w:eastAsia="en-GB"/>
        </w:rPr>
      </w:pPr>
    </w:p>
    <w:p w14:paraId="0AD76290" w14:textId="77777777" w:rsidR="00343B2D" w:rsidRPr="00343B2D" w:rsidRDefault="00343B2D" w:rsidP="00343B2D"/>
    <w:p w14:paraId="03ECD68E" w14:textId="77777777" w:rsidR="008B7398" w:rsidRPr="008B7398" w:rsidRDefault="008B7398" w:rsidP="008B7398"/>
    <w:p w14:paraId="2FEFA774" w14:textId="77777777" w:rsidR="0070352D" w:rsidRPr="0070352D" w:rsidRDefault="0070352D" w:rsidP="0070352D"/>
    <w:sectPr w:rsidR="0070352D" w:rsidRPr="0070352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47594" w16cex:dateUtc="2025-05-30T16:21:00Z"/>
  <w16cex:commentExtensible w16cex:durableId="2BE475DC" w16cex:dateUtc="2025-05-30T16:22:00Z"/>
  <w16cex:commentExtensible w16cex:durableId="2BE47686" w16cex:dateUtc="2025-05-30T16:25:00Z"/>
  <w16cex:commentExtensible w16cex:durableId="2BE476E0" w16cex:dateUtc="2025-05-30T16:26:00Z"/>
  <w16cex:commentExtensible w16cex:durableId="2BE476F0" w16cex:dateUtc="2025-05-30T16:26:00Z"/>
  <w16cex:commentExtensible w16cex:durableId="2BE47715" w16cex:dateUtc="2025-05-30T16:27:00Z"/>
  <w16cex:commentExtensible w16cex:durableId="2BE4772E" w16cex:dateUtc="2025-05-30T16:27:00Z"/>
  <w16cex:commentExtensible w16cex:durableId="2BE4773D" w16cex:dateUtc="2025-05-30T16:28:00Z"/>
  <w16cex:commentExtensible w16cex:durableId="2BE47763" w16cex:dateUtc="2025-05-30T16:28:00Z"/>
  <w16cex:commentExtensible w16cex:durableId="2BE4778B" w16cex:dateUtc="2025-05-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B50A1" w16cid:durableId="2C1F70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D6C59"/>
    <w:multiLevelType w:val="hybridMultilevel"/>
    <w:tmpl w:val="32348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CB"/>
    <w:rsid w:val="000033F3"/>
    <w:rsid w:val="00051879"/>
    <w:rsid w:val="00057BCE"/>
    <w:rsid w:val="00071F1E"/>
    <w:rsid w:val="00083A0A"/>
    <w:rsid w:val="000B0898"/>
    <w:rsid w:val="000E164F"/>
    <w:rsid w:val="00114590"/>
    <w:rsid w:val="00115980"/>
    <w:rsid w:val="001267AD"/>
    <w:rsid w:val="001333B5"/>
    <w:rsid w:val="001462EC"/>
    <w:rsid w:val="00164053"/>
    <w:rsid w:val="0018018C"/>
    <w:rsid w:val="001A18EB"/>
    <w:rsid w:val="001D7259"/>
    <w:rsid w:val="00210AEA"/>
    <w:rsid w:val="00284CDA"/>
    <w:rsid w:val="0028637A"/>
    <w:rsid w:val="002901F8"/>
    <w:rsid w:val="00293608"/>
    <w:rsid w:val="002B4AB1"/>
    <w:rsid w:val="002C3682"/>
    <w:rsid w:val="002E28F6"/>
    <w:rsid w:val="003162FC"/>
    <w:rsid w:val="00330037"/>
    <w:rsid w:val="00343B2D"/>
    <w:rsid w:val="00384650"/>
    <w:rsid w:val="00387930"/>
    <w:rsid w:val="003B3571"/>
    <w:rsid w:val="003C143E"/>
    <w:rsid w:val="003C5896"/>
    <w:rsid w:val="004037AE"/>
    <w:rsid w:val="00442EDA"/>
    <w:rsid w:val="004708CF"/>
    <w:rsid w:val="00474924"/>
    <w:rsid w:val="00485E2C"/>
    <w:rsid w:val="004A426B"/>
    <w:rsid w:val="004B1F0C"/>
    <w:rsid w:val="005223B4"/>
    <w:rsid w:val="005367C0"/>
    <w:rsid w:val="00617AF5"/>
    <w:rsid w:val="0064047C"/>
    <w:rsid w:val="00670B20"/>
    <w:rsid w:val="006713B5"/>
    <w:rsid w:val="0068195C"/>
    <w:rsid w:val="00697F6B"/>
    <w:rsid w:val="006A2DA6"/>
    <w:rsid w:val="006A743F"/>
    <w:rsid w:val="006C07B3"/>
    <w:rsid w:val="006F43D2"/>
    <w:rsid w:val="0070352D"/>
    <w:rsid w:val="007344AD"/>
    <w:rsid w:val="007444D6"/>
    <w:rsid w:val="007641B4"/>
    <w:rsid w:val="007748E1"/>
    <w:rsid w:val="0078113E"/>
    <w:rsid w:val="007F48F0"/>
    <w:rsid w:val="0083040A"/>
    <w:rsid w:val="00892C56"/>
    <w:rsid w:val="008A2B1F"/>
    <w:rsid w:val="008B7398"/>
    <w:rsid w:val="0091476B"/>
    <w:rsid w:val="00933289"/>
    <w:rsid w:val="00950D2D"/>
    <w:rsid w:val="00984BB3"/>
    <w:rsid w:val="009E1602"/>
    <w:rsid w:val="009F25F4"/>
    <w:rsid w:val="00A00D2E"/>
    <w:rsid w:val="00A240CD"/>
    <w:rsid w:val="00A27BE4"/>
    <w:rsid w:val="00A42CE5"/>
    <w:rsid w:val="00A722D0"/>
    <w:rsid w:val="00A9197B"/>
    <w:rsid w:val="00AC6446"/>
    <w:rsid w:val="00AD41C8"/>
    <w:rsid w:val="00B67AB4"/>
    <w:rsid w:val="00B91888"/>
    <w:rsid w:val="00BA4421"/>
    <w:rsid w:val="00BB507D"/>
    <w:rsid w:val="00C009BC"/>
    <w:rsid w:val="00C05C00"/>
    <w:rsid w:val="00C51E78"/>
    <w:rsid w:val="00C67B2F"/>
    <w:rsid w:val="00C86375"/>
    <w:rsid w:val="00C92749"/>
    <w:rsid w:val="00CB6437"/>
    <w:rsid w:val="00D17349"/>
    <w:rsid w:val="00D618B3"/>
    <w:rsid w:val="00D77EB7"/>
    <w:rsid w:val="00D83AD9"/>
    <w:rsid w:val="00D871B9"/>
    <w:rsid w:val="00D930FD"/>
    <w:rsid w:val="00D96C9D"/>
    <w:rsid w:val="00DA43D5"/>
    <w:rsid w:val="00DB1BBC"/>
    <w:rsid w:val="00DE432B"/>
    <w:rsid w:val="00DF0593"/>
    <w:rsid w:val="00E075BD"/>
    <w:rsid w:val="00E2285E"/>
    <w:rsid w:val="00E42BBB"/>
    <w:rsid w:val="00EF1389"/>
    <w:rsid w:val="00F662FC"/>
    <w:rsid w:val="00F77BCB"/>
    <w:rsid w:val="00FA15CD"/>
    <w:rsid w:val="00F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AB20"/>
  <w15:chartTrackingRefBased/>
  <w15:docId w15:val="{C532818A-DE43-4F38-BCEB-EDD1C45E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51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51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61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7BCB"/>
    <w:pPr>
      <w:ind w:left="720"/>
      <w:contextualSpacing/>
    </w:pPr>
  </w:style>
  <w:style w:type="paragraph" w:styleId="Lgende">
    <w:name w:val="caption"/>
    <w:basedOn w:val="Normal"/>
    <w:next w:val="Normal"/>
    <w:uiPriority w:val="35"/>
    <w:unhideWhenUsed/>
    <w:qFormat/>
    <w:rsid w:val="00950D2D"/>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6F43D2"/>
    <w:rPr>
      <w:sz w:val="16"/>
      <w:szCs w:val="16"/>
    </w:rPr>
  </w:style>
  <w:style w:type="paragraph" w:styleId="Commentaire">
    <w:name w:val="annotation text"/>
    <w:basedOn w:val="Normal"/>
    <w:link w:val="CommentaireCar"/>
    <w:uiPriority w:val="99"/>
    <w:unhideWhenUsed/>
    <w:rsid w:val="006F43D2"/>
    <w:pPr>
      <w:spacing w:line="240" w:lineRule="auto"/>
    </w:pPr>
    <w:rPr>
      <w:sz w:val="20"/>
      <w:szCs w:val="20"/>
    </w:rPr>
  </w:style>
  <w:style w:type="character" w:customStyle="1" w:styleId="CommentaireCar">
    <w:name w:val="Commentaire Car"/>
    <w:basedOn w:val="Policepardfaut"/>
    <w:link w:val="Commentaire"/>
    <w:uiPriority w:val="99"/>
    <w:rsid w:val="006F43D2"/>
    <w:rPr>
      <w:sz w:val="20"/>
      <w:szCs w:val="20"/>
    </w:rPr>
  </w:style>
  <w:style w:type="paragraph" w:styleId="Textedebulles">
    <w:name w:val="Balloon Text"/>
    <w:basedOn w:val="Normal"/>
    <w:link w:val="TextedebullesCar"/>
    <w:uiPriority w:val="99"/>
    <w:semiHidden/>
    <w:unhideWhenUsed/>
    <w:rsid w:val="006F43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43D2"/>
    <w:rPr>
      <w:rFonts w:ascii="Segoe UI" w:hAnsi="Segoe UI" w:cs="Segoe UI"/>
      <w:sz w:val="18"/>
      <w:szCs w:val="18"/>
    </w:rPr>
  </w:style>
  <w:style w:type="paragraph" w:styleId="Bibliographie">
    <w:name w:val="Bibliography"/>
    <w:basedOn w:val="Normal"/>
    <w:next w:val="Normal"/>
    <w:uiPriority w:val="37"/>
    <w:semiHidden/>
    <w:unhideWhenUsed/>
    <w:rsid w:val="00D83AD9"/>
  </w:style>
  <w:style w:type="paragraph" w:styleId="NormalWeb">
    <w:name w:val="Normal (Web)"/>
    <w:basedOn w:val="Normal"/>
    <w:uiPriority w:val="99"/>
    <w:unhideWhenUsed/>
    <w:rsid w:val="001A18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re1Car">
    <w:name w:val="Titre 1 Car"/>
    <w:basedOn w:val="Policepardfaut"/>
    <w:link w:val="Titre1"/>
    <w:uiPriority w:val="9"/>
    <w:rsid w:val="0005187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51879"/>
    <w:rPr>
      <w:rFonts w:asciiTheme="majorHAnsi" w:eastAsiaTheme="majorEastAsia" w:hAnsiTheme="majorHAnsi" w:cstheme="majorBidi"/>
      <w:color w:val="2E74B5" w:themeColor="accent1" w:themeShade="BF"/>
      <w:sz w:val="26"/>
      <w:szCs w:val="26"/>
    </w:rPr>
  </w:style>
  <w:style w:type="table" w:styleId="TableauGrille1Clair">
    <w:name w:val="Grid Table 1 Light"/>
    <w:basedOn w:val="TableauNormal"/>
    <w:uiPriority w:val="46"/>
    <w:rsid w:val="004749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bjetducommentaire">
    <w:name w:val="annotation subject"/>
    <w:basedOn w:val="Commentaire"/>
    <w:next w:val="Commentaire"/>
    <w:link w:val="ObjetducommentaireCar"/>
    <w:uiPriority w:val="99"/>
    <w:semiHidden/>
    <w:unhideWhenUsed/>
    <w:rsid w:val="00284CDA"/>
    <w:rPr>
      <w:b/>
      <w:bCs/>
    </w:rPr>
  </w:style>
  <w:style w:type="character" w:customStyle="1" w:styleId="ObjetducommentaireCar">
    <w:name w:val="Objet du commentaire Car"/>
    <w:basedOn w:val="CommentaireCar"/>
    <w:link w:val="Objetducommentaire"/>
    <w:uiPriority w:val="99"/>
    <w:semiHidden/>
    <w:rsid w:val="00284CDA"/>
    <w:rPr>
      <w:b/>
      <w:bCs/>
      <w:sz w:val="20"/>
      <w:szCs w:val="20"/>
    </w:rPr>
  </w:style>
  <w:style w:type="character" w:customStyle="1" w:styleId="Titre3Car">
    <w:name w:val="Titre 3 Car"/>
    <w:basedOn w:val="Policepardfaut"/>
    <w:link w:val="Titre3"/>
    <w:uiPriority w:val="9"/>
    <w:rsid w:val="00D618B3"/>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DB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7641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edelespacerserv">
    <w:name w:val="Placeholder Text"/>
    <w:basedOn w:val="Policepardfaut"/>
    <w:uiPriority w:val="99"/>
    <w:semiHidden/>
    <w:rsid w:val="00B91888"/>
    <w:rPr>
      <w:color w:val="808080"/>
    </w:rPr>
  </w:style>
  <w:style w:type="character" w:customStyle="1" w:styleId="mord">
    <w:name w:val="mord"/>
    <w:basedOn w:val="Policepardfaut"/>
    <w:rsid w:val="00B91888"/>
  </w:style>
  <w:style w:type="character" w:customStyle="1" w:styleId="mpunct">
    <w:name w:val="mpunct"/>
    <w:basedOn w:val="Policepardfaut"/>
    <w:rsid w:val="00B91888"/>
  </w:style>
  <w:style w:type="character" w:customStyle="1" w:styleId="vlist-s">
    <w:name w:val="vlist-s"/>
    <w:basedOn w:val="Policepardfaut"/>
    <w:rsid w:val="00B9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6587">
      <w:bodyDiv w:val="1"/>
      <w:marLeft w:val="0"/>
      <w:marRight w:val="0"/>
      <w:marTop w:val="0"/>
      <w:marBottom w:val="0"/>
      <w:divBdr>
        <w:top w:val="none" w:sz="0" w:space="0" w:color="auto"/>
        <w:left w:val="none" w:sz="0" w:space="0" w:color="auto"/>
        <w:bottom w:val="none" w:sz="0" w:space="0" w:color="auto"/>
        <w:right w:val="none" w:sz="0" w:space="0" w:color="auto"/>
      </w:divBdr>
    </w:div>
    <w:div w:id="198511567">
      <w:bodyDiv w:val="1"/>
      <w:marLeft w:val="0"/>
      <w:marRight w:val="0"/>
      <w:marTop w:val="0"/>
      <w:marBottom w:val="0"/>
      <w:divBdr>
        <w:top w:val="none" w:sz="0" w:space="0" w:color="auto"/>
        <w:left w:val="none" w:sz="0" w:space="0" w:color="auto"/>
        <w:bottom w:val="none" w:sz="0" w:space="0" w:color="auto"/>
        <w:right w:val="none" w:sz="0" w:space="0" w:color="auto"/>
      </w:divBdr>
    </w:div>
    <w:div w:id="246768810">
      <w:bodyDiv w:val="1"/>
      <w:marLeft w:val="0"/>
      <w:marRight w:val="0"/>
      <w:marTop w:val="0"/>
      <w:marBottom w:val="0"/>
      <w:divBdr>
        <w:top w:val="none" w:sz="0" w:space="0" w:color="auto"/>
        <w:left w:val="none" w:sz="0" w:space="0" w:color="auto"/>
        <w:bottom w:val="none" w:sz="0" w:space="0" w:color="auto"/>
        <w:right w:val="none" w:sz="0" w:space="0" w:color="auto"/>
      </w:divBdr>
    </w:div>
    <w:div w:id="587081201">
      <w:bodyDiv w:val="1"/>
      <w:marLeft w:val="0"/>
      <w:marRight w:val="0"/>
      <w:marTop w:val="0"/>
      <w:marBottom w:val="0"/>
      <w:divBdr>
        <w:top w:val="none" w:sz="0" w:space="0" w:color="auto"/>
        <w:left w:val="none" w:sz="0" w:space="0" w:color="auto"/>
        <w:bottom w:val="none" w:sz="0" w:space="0" w:color="auto"/>
        <w:right w:val="none" w:sz="0" w:space="0" w:color="auto"/>
      </w:divBdr>
    </w:div>
    <w:div w:id="594049214">
      <w:bodyDiv w:val="1"/>
      <w:marLeft w:val="0"/>
      <w:marRight w:val="0"/>
      <w:marTop w:val="0"/>
      <w:marBottom w:val="0"/>
      <w:divBdr>
        <w:top w:val="none" w:sz="0" w:space="0" w:color="auto"/>
        <w:left w:val="none" w:sz="0" w:space="0" w:color="auto"/>
        <w:bottom w:val="none" w:sz="0" w:space="0" w:color="auto"/>
        <w:right w:val="none" w:sz="0" w:space="0" w:color="auto"/>
      </w:divBdr>
    </w:div>
    <w:div w:id="603420516">
      <w:bodyDiv w:val="1"/>
      <w:marLeft w:val="0"/>
      <w:marRight w:val="0"/>
      <w:marTop w:val="0"/>
      <w:marBottom w:val="0"/>
      <w:divBdr>
        <w:top w:val="none" w:sz="0" w:space="0" w:color="auto"/>
        <w:left w:val="none" w:sz="0" w:space="0" w:color="auto"/>
        <w:bottom w:val="none" w:sz="0" w:space="0" w:color="auto"/>
        <w:right w:val="none" w:sz="0" w:space="0" w:color="auto"/>
      </w:divBdr>
    </w:div>
    <w:div w:id="649480790">
      <w:bodyDiv w:val="1"/>
      <w:marLeft w:val="0"/>
      <w:marRight w:val="0"/>
      <w:marTop w:val="0"/>
      <w:marBottom w:val="0"/>
      <w:divBdr>
        <w:top w:val="none" w:sz="0" w:space="0" w:color="auto"/>
        <w:left w:val="none" w:sz="0" w:space="0" w:color="auto"/>
        <w:bottom w:val="none" w:sz="0" w:space="0" w:color="auto"/>
        <w:right w:val="none" w:sz="0" w:space="0" w:color="auto"/>
      </w:divBdr>
    </w:div>
    <w:div w:id="913012477">
      <w:bodyDiv w:val="1"/>
      <w:marLeft w:val="0"/>
      <w:marRight w:val="0"/>
      <w:marTop w:val="0"/>
      <w:marBottom w:val="0"/>
      <w:divBdr>
        <w:top w:val="none" w:sz="0" w:space="0" w:color="auto"/>
        <w:left w:val="none" w:sz="0" w:space="0" w:color="auto"/>
        <w:bottom w:val="none" w:sz="0" w:space="0" w:color="auto"/>
        <w:right w:val="none" w:sz="0" w:space="0" w:color="auto"/>
      </w:divBdr>
    </w:div>
    <w:div w:id="913248515">
      <w:bodyDiv w:val="1"/>
      <w:marLeft w:val="0"/>
      <w:marRight w:val="0"/>
      <w:marTop w:val="0"/>
      <w:marBottom w:val="0"/>
      <w:divBdr>
        <w:top w:val="none" w:sz="0" w:space="0" w:color="auto"/>
        <w:left w:val="none" w:sz="0" w:space="0" w:color="auto"/>
        <w:bottom w:val="none" w:sz="0" w:space="0" w:color="auto"/>
        <w:right w:val="none" w:sz="0" w:space="0" w:color="auto"/>
      </w:divBdr>
    </w:div>
    <w:div w:id="916087227">
      <w:bodyDiv w:val="1"/>
      <w:marLeft w:val="0"/>
      <w:marRight w:val="0"/>
      <w:marTop w:val="0"/>
      <w:marBottom w:val="0"/>
      <w:divBdr>
        <w:top w:val="none" w:sz="0" w:space="0" w:color="auto"/>
        <w:left w:val="none" w:sz="0" w:space="0" w:color="auto"/>
        <w:bottom w:val="none" w:sz="0" w:space="0" w:color="auto"/>
        <w:right w:val="none" w:sz="0" w:space="0" w:color="auto"/>
      </w:divBdr>
    </w:div>
    <w:div w:id="926042603">
      <w:bodyDiv w:val="1"/>
      <w:marLeft w:val="0"/>
      <w:marRight w:val="0"/>
      <w:marTop w:val="0"/>
      <w:marBottom w:val="0"/>
      <w:divBdr>
        <w:top w:val="none" w:sz="0" w:space="0" w:color="auto"/>
        <w:left w:val="none" w:sz="0" w:space="0" w:color="auto"/>
        <w:bottom w:val="none" w:sz="0" w:space="0" w:color="auto"/>
        <w:right w:val="none" w:sz="0" w:space="0" w:color="auto"/>
      </w:divBdr>
    </w:div>
    <w:div w:id="964313823">
      <w:bodyDiv w:val="1"/>
      <w:marLeft w:val="0"/>
      <w:marRight w:val="0"/>
      <w:marTop w:val="0"/>
      <w:marBottom w:val="0"/>
      <w:divBdr>
        <w:top w:val="none" w:sz="0" w:space="0" w:color="auto"/>
        <w:left w:val="none" w:sz="0" w:space="0" w:color="auto"/>
        <w:bottom w:val="none" w:sz="0" w:space="0" w:color="auto"/>
        <w:right w:val="none" w:sz="0" w:space="0" w:color="auto"/>
      </w:divBdr>
    </w:div>
    <w:div w:id="1183278338">
      <w:bodyDiv w:val="1"/>
      <w:marLeft w:val="0"/>
      <w:marRight w:val="0"/>
      <w:marTop w:val="0"/>
      <w:marBottom w:val="0"/>
      <w:divBdr>
        <w:top w:val="none" w:sz="0" w:space="0" w:color="auto"/>
        <w:left w:val="none" w:sz="0" w:space="0" w:color="auto"/>
        <w:bottom w:val="none" w:sz="0" w:space="0" w:color="auto"/>
        <w:right w:val="none" w:sz="0" w:space="0" w:color="auto"/>
      </w:divBdr>
    </w:div>
    <w:div w:id="1253050402">
      <w:bodyDiv w:val="1"/>
      <w:marLeft w:val="0"/>
      <w:marRight w:val="0"/>
      <w:marTop w:val="0"/>
      <w:marBottom w:val="0"/>
      <w:divBdr>
        <w:top w:val="none" w:sz="0" w:space="0" w:color="auto"/>
        <w:left w:val="none" w:sz="0" w:space="0" w:color="auto"/>
        <w:bottom w:val="none" w:sz="0" w:space="0" w:color="auto"/>
        <w:right w:val="none" w:sz="0" w:space="0" w:color="auto"/>
      </w:divBdr>
    </w:div>
    <w:div w:id="1417436885">
      <w:bodyDiv w:val="1"/>
      <w:marLeft w:val="0"/>
      <w:marRight w:val="0"/>
      <w:marTop w:val="0"/>
      <w:marBottom w:val="0"/>
      <w:divBdr>
        <w:top w:val="none" w:sz="0" w:space="0" w:color="auto"/>
        <w:left w:val="none" w:sz="0" w:space="0" w:color="auto"/>
        <w:bottom w:val="none" w:sz="0" w:space="0" w:color="auto"/>
        <w:right w:val="none" w:sz="0" w:space="0" w:color="auto"/>
      </w:divBdr>
    </w:div>
    <w:div w:id="1792823244">
      <w:bodyDiv w:val="1"/>
      <w:marLeft w:val="0"/>
      <w:marRight w:val="0"/>
      <w:marTop w:val="0"/>
      <w:marBottom w:val="0"/>
      <w:divBdr>
        <w:top w:val="none" w:sz="0" w:space="0" w:color="auto"/>
        <w:left w:val="none" w:sz="0" w:space="0" w:color="auto"/>
        <w:bottom w:val="none" w:sz="0" w:space="0" w:color="auto"/>
        <w:right w:val="none" w:sz="0" w:space="0" w:color="auto"/>
      </w:divBdr>
    </w:div>
    <w:div w:id="1930498988">
      <w:bodyDiv w:val="1"/>
      <w:marLeft w:val="0"/>
      <w:marRight w:val="0"/>
      <w:marTop w:val="0"/>
      <w:marBottom w:val="0"/>
      <w:divBdr>
        <w:top w:val="none" w:sz="0" w:space="0" w:color="auto"/>
        <w:left w:val="none" w:sz="0" w:space="0" w:color="auto"/>
        <w:bottom w:val="none" w:sz="0" w:space="0" w:color="auto"/>
        <w:right w:val="none" w:sz="0" w:space="0" w:color="auto"/>
      </w:divBdr>
    </w:div>
    <w:div w:id="2017340199">
      <w:bodyDiv w:val="1"/>
      <w:marLeft w:val="0"/>
      <w:marRight w:val="0"/>
      <w:marTop w:val="0"/>
      <w:marBottom w:val="0"/>
      <w:divBdr>
        <w:top w:val="none" w:sz="0" w:space="0" w:color="auto"/>
        <w:left w:val="none" w:sz="0" w:space="0" w:color="auto"/>
        <w:bottom w:val="none" w:sz="0" w:space="0" w:color="auto"/>
        <w:right w:val="none" w:sz="0" w:space="0" w:color="auto"/>
      </w:divBdr>
    </w:div>
    <w:div w:id="20423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0907-75AA-4D00-9AC4-30F04A2D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1839</Words>
  <Characters>10487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Glaude</dc:creator>
  <cp:keywords/>
  <dc:description/>
  <cp:lastModifiedBy>Robin Glaude</cp:lastModifiedBy>
  <cp:revision>4</cp:revision>
  <dcterms:created xsi:type="dcterms:W3CDTF">2025-10-10T09:16:00Z</dcterms:created>
  <dcterms:modified xsi:type="dcterms:W3CDTF">2025-11-19T13:30:00Z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id="wPE3XaKC"/&gt;&lt;style id="http://www.zotero.org/styles/harvard-cite-them-right" hasBibliography="1" bibliographyStyleHasBeenSet="0"/&gt;&lt;prefs&gt;&lt;pref name="fieldType" value="Field"/&gt;&lt;/prefs&gt;&lt;/data&gt;</vt:lpwstr>
  </property>
</Properties>
</file>