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FBEC9" w14:textId="483ECD60" w:rsidR="00FA505C" w:rsidRPr="00754CD4" w:rsidRDefault="00754CD4" w:rsidP="00865AB7">
      <w:pPr>
        <w:spacing w:after="0" w:line="276" w:lineRule="auto"/>
        <w:jc w:val="both"/>
        <w:rPr>
          <w:b/>
          <w:sz w:val="32"/>
        </w:rPr>
      </w:pPr>
      <w:bookmarkStart w:id="0" w:name="_Hlk203386759"/>
      <w:bookmarkStart w:id="1" w:name="_GoBack"/>
      <w:bookmarkEnd w:id="1"/>
      <w:r w:rsidRPr="00754CD4">
        <w:rPr>
          <w:b/>
          <w:sz w:val="32"/>
        </w:rPr>
        <w:t>Lab-Scale insights into the environmental f</w:t>
      </w:r>
      <w:r w:rsidR="001D5443" w:rsidRPr="00754CD4">
        <w:rPr>
          <w:b/>
          <w:sz w:val="32"/>
        </w:rPr>
        <w:t xml:space="preserve">ate of </w:t>
      </w:r>
      <w:r w:rsidRPr="00754CD4">
        <w:rPr>
          <w:b/>
          <w:sz w:val="32"/>
        </w:rPr>
        <w:t>emerging contaminants from airport r</w:t>
      </w:r>
      <w:r w:rsidR="001D5443" w:rsidRPr="00754CD4">
        <w:rPr>
          <w:b/>
          <w:sz w:val="32"/>
        </w:rPr>
        <w:t>unoff</w:t>
      </w:r>
    </w:p>
    <w:p w14:paraId="70DFEF27" w14:textId="2C59C6A6" w:rsidR="0013447D" w:rsidRPr="00FA505C" w:rsidRDefault="0013447D" w:rsidP="00865AB7">
      <w:pPr>
        <w:spacing w:after="0" w:line="276" w:lineRule="auto"/>
        <w:rPr>
          <w:b/>
        </w:rPr>
      </w:pPr>
    </w:p>
    <w:p w14:paraId="01E70143" w14:textId="001480DF" w:rsidR="00FA505C" w:rsidRPr="00FA505C" w:rsidRDefault="00FA505C" w:rsidP="00865AB7">
      <w:pPr>
        <w:spacing w:line="276" w:lineRule="auto"/>
        <w:rPr>
          <w:lang w:val="es-ES"/>
        </w:rPr>
      </w:pPr>
      <w:r w:rsidRPr="00FA505C">
        <w:rPr>
          <w:lang w:val="es-ES"/>
        </w:rPr>
        <w:t>Robin Glaude</w:t>
      </w:r>
      <w:r w:rsidRPr="00FA505C">
        <w:rPr>
          <w:vertAlign w:val="superscript"/>
          <w:lang w:val="es-ES"/>
        </w:rPr>
        <w:t>1</w:t>
      </w:r>
      <w:r w:rsidRPr="00FA505C">
        <w:rPr>
          <w:lang w:val="es-ES"/>
        </w:rPr>
        <w:t>, Serge Brouyère</w:t>
      </w:r>
      <w:r w:rsidRPr="00FA505C">
        <w:rPr>
          <w:vertAlign w:val="superscript"/>
          <w:lang w:val="es-ES"/>
        </w:rPr>
        <w:t>1</w:t>
      </w:r>
      <w:r w:rsidRPr="00FA505C">
        <w:rPr>
          <w:lang w:val="es-ES"/>
        </w:rPr>
        <w:t>, Silvia Lacorte</w:t>
      </w:r>
      <w:r w:rsidRPr="00FA505C">
        <w:rPr>
          <w:vertAlign w:val="superscript"/>
          <w:lang w:val="es-ES"/>
        </w:rPr>
        <w:t>2</w:t>
      </w:r>
      <w:r w:rsidRPr="00FA505C">
        <w:rPr>
          <w:lang w:val="es-ES"/>
        </w:rPr>
        <w:t>, Anna Jurado</w:t>
      </w:r>
      <w:r w:rsidRPr="00FA505C">
        <w:rPr>
          <w:vertAlign w:val="superscript"/>
          <w:lang w:val="es-ES"/>
        </w:rPr>
        <w:t>3</w:t>
      </w:r>
      <w:r w:rsidRPr="00FA505C">
        <w:rPr>
          <w:lang w:val="es-ES"/>
        </w:rPr>
        <w:t>, Estanislao Pujades</w:t>
      </w:r>
      <w:r w:rsidRPr="00FA505C">
        <w:rPr>
          <w:vertAlign w:val="superscript"/>
          <w:lang w:val="es-ES"/>
        </w:rPr>
        <w:t>3</w:t>
      </w:r>
    </w:p>
    <w:p w14:paraId="16280B75" w14:textId="320DBF4B" w:rsidR="00FA505C" w:rsidRPr="00EF610E" w:rsidRDefault="00FA505C" w:rsidP="00865AB7">
      <w:pPr>
        <w:spacing w:line="276" w:lineRule="auto"/>
      </w:pPr>
      <w:r w:rsidRPr="00EF610E">
        <w:rPr>
          <w:vertAlign w:val="superscript"/>
        </w:rPr>
        <w:t>1</w:t>
      </w:r>
      <w:r>
        <w:t xml:space="preserve"> </w:t>
      </w:r>
      <w:r w:rsidRPr="00EF610E">
        <w:t>Urban and Environmental Engineering, Hydrogeol</w:t>
      </w:r>
      <w:r>
        <w:t>ogy and Environmental Geology, University of Liège</w:t>
      </w:r>
      <w:r w:rsidRPr="00EF610E">
        <w:t xml:space="preserve">, 4000 Sart-Tilman, Belgium </w:t>
      </w:r>
    </w:p>
    <w:p w14:paraId="194C501D" w14:textId="60996C20" w:rsidR="00FA505C" w:rsidRPr="00FA505C" w:rsidRDefault="00FA505C" w:rsidP="00865AB7">
      <w:pPr>
        <w:spacing w:line="276" w:lineRule="auto"/>
        <w:rPr>
          <w:lang w:val="es-ES"/>
        </w:rPr>
      </w:pPr>
      <w:r w:rsidRPr="00FA505C">
        <w:rPr>
          <w:vertAlign w:val="superscript"/>
          <w:lang w:val="es-ES"/>
        </w:rPr>
        <w:t xml:space="preserve">2 </w:t>
      </w:r>
      <w:r w:rsidRPr="00FA505C">
        <w:rPr>
          <w:lang w:val="es-ES"/>
        </w:rPr>
        <w:t xml:space="preserve">Chemometrics, IDAEA-CSIC, </w:t>
      </w:r>
      <w:r>
        <w:rPr>
          <w:lang w:val="es-ES"/>
        </w:rPr>
        <w:t>Carrer de Jordi Girona,</w:t>
      </w:r>
      <w:r w:rsidRPr="00FA505C">
        <w:rPr>
          <w:lang w:val="es-ES"/>
        </w:rPr>
        <w:t>18-26, 08034 Barcelona,</w:t>
      </w:r>
      <w:r>
        <w:rPr>
          <w:lang w:val="es-ES"/>
        </w:rPr>
        <w:t xml:space="preserve"> Spain</w:t>
      </w:r>
    </w:p>
    <w:p w14:paraId="02AEB389" w14:textId="2911B84F" w:rsidR="00FA505C" w:rsidRDefault="00FA505C" w:rsidP="00865AB7">
      <w:pPr>
        <w:spacing w:line="276" w:lineRule="auto"/>
      </w:pPr>
      <w:r w:rsidRPr="00C4559B">
        <w:rPr>
          <w:vertAlign w:val="superscript"/>
        </w:rPr>
        <w:t>3</w:t>
      </w:r>
      <w:r>
        <w:t xml:space="preserve"> Groundwater and hydrogeochemistry, IDAEA-CSIC, </w:t>
      </w:r>
      <w:r w:rsidRPr="00FA505C">
        <w:t>Carrer de Jordi Girona,18-26, 08034 Barcelona, Spain</w:t>
      </w:r>
    </w:p>
    <w:p w14:paraId="4AA7C3E8" w14:textId="742A59C1" w:rsidR="00FA5583" w:rsidRPr="00EF610E" w:rsidRDefault="00FA505C" w:rsidP="00865AB7">
      <w:pPr>
        <w:spacing w:line="276" w:lineRule="auto"/>
      </w:pPr>
      <w:r>
        <w:t>Corresponding author: Robin Glaude (</w:t>
      </w:r>
      <w:hyperlink r:id="rId6" w:history="1">
        <w:r w:rsidR="00FA5583" w:rsidRPr="00AE5450">
          <w:rPr>
            <w:rStyle w:val="Lienhypertexte"/>
          </w:rPr>
          <w:t>robin.glaude@uliege.be</w:t>
        </w:r>
      </w:hyperlink>
      <w:r>
        <w:t>)</w:t>
      </w:r>
      <w:bookmarkEnd w:id="0"/>
    </w:p>
    <w:p w14:paraId="5718B868" w14:textId="24172E2E" w:rsidR="00FA505C" w:rsidRDefault="00FA505C" w:rsidP="00865AB7">
      <w:pPr>
        <w:pStyle w:val="Titre1"/>
        <w:spacing w:line="276" w:lineRule="auto"/>
      </w:pPr>
      <w:r>
        <w:t>Abstract</w:t>
      </w:r>
    </w:p>
    <w:p w14:paraId="7AFA992B" w14:textId="04AD68F8" w:rsidR="00FA505C" w:rsidRDefault="00D83434" w:rsidP="00865AB7">
      <w:pPr>
        <w:spacing w:line="276" w:lineRule="auto"/>
        <w:jc w:val="both"/>
      </w:pPr>
      <w:r w:rsidRPr="00D83434">
        <w:t xml:space="preserve">Contaminants of emerging concern </w:t>
      </w:r>
      <w:r w:rsidR="00A11166">
        <w:t xml:space="preserve">(CECs) </w:t>
      </w:r>
      <w:r w:rsidRPr="00D83434">
        <w:t>present in runoff pose risks to groundwater quality during their infiltration. Understanding the processes that control their attenuation is</w:t>
      </w:r>
      <w:r w:rsidR="00A11166">
        <w:t xml:space="preserve"> therefore</w:t>
      </w:r>
      <w:r w:rsidRPr="00D83434">
        <w:t xml:space="preserve"> essential for designing effective mitigation strategies. This research investiga</w:t>
      </w:r>
      <w:r w:rsidR="007526E7">
        <w:t xml:space="preserve">tes the attenuation capacity of </w:t>
      </w:r>
      <w:r w:rsidRPr="00D83434">
        <w:t xml:space="preserve">loess sediments overlaying a </w:t>
      </w:r>
      <w:r w:rsidR="00A11166">
        <w:t xml:space="preserve">major </w:t>
      </w:r>
      <w:r w:rsidRPr="00D83434">
        <w:t xml:space="preserve">Cretaceous chalky aquifer in Belgium, as part of a pre-feasibility study of </w:t>
      </w:r>
      <w:r w:rsidR="00321DC5">
        <w:t>s</w:t>
      </w:r>
      <w:r w:rsidR="00A32F4B">
        <w:t>oil</w:t>
      </w:r>
      <w:r w:rsidR="00A32F4B" w:rsidRPr="00D83434">
        <w:t xml:space="preserve"> </w:t>
      </w:r>
      <w:r w:rsidR="00321DC5">
        <w:t>a</w:t>
      </w:r>
      <w:r w:rsidRPr="00D83434">
        <w:t xml:space="preserve">quifer </w:t>
      </w:r>
      <w:r w:rsidR="00321DC5">
        <w:t>t</w:t>
      </w:r>
      <w:r w:rsidR="00A32F4B">
        <w:t xml:space="preserve">reatment </w:t>
      </w:r>
      <w:r w:rsidR="00A11166">
        <w:t>(</w:t>
      </w:r>
      <w:r w:rsidR="00A32F4B">
        <w:t>SAT</w:t>
      </w:r>
      <w:r w:rsidR="00A11166">
        <w:t>)</w:t>
      </w:r>
      <w:r w:rsidRPr="00D83434">
        <w:t xml:space="preserve"> system using airport runoff. In particular, </w:t>
      </w:r>
      <w:r w:rsidR="001E67FD" w:rsidRPr="00D83434">
        <w:t>th</w:t>
      </w:r>
      <w:r w:rsidR="001E67FD">
        <w:t>e</w:t>
      </w:r>
      <w:r w:rsidR="001E67FD" w:rsidRPr="00D83434">
        <w:t xml:space="preserve"> </w:t>
      </w:r>
      <w:r w:rsidRPr="00D83434">
        <w:t xml:space="preserve">study aims to assess the </w:t>
      </w:r>
      <w:r w:rsidR="006179E0">
        <w:t>natural ability</w:t>
      </w:r>
      <w:r w:rsidRPr="00D83434">
        <w:t xml:space="preserve"> of these s</w:t>
      </w:r>
      <w:r w:rsidR="007D26EF">
        <w:t>ediments</w:t>
      </w:r>
      <w:r w:rsidRPr="00D83434">
        <w:t xml:space="preserve"> to filter and biologically degrade </w:t>
      </w:r>
      <w:r w:rsidR="00DA24E5">
        <w:t>detected</w:t>
      </w:r>
      <w:r w:rsidRPr="00D83434">
        <w:t xml:space="preserve"> contaminants</w:t>
      </w:r>
      <w:r w:rsidR="00DA24E5">
        <w:t xml:space="preserve"> in airport runoff</w:t>
      </w:r>
      <w:r w:rsidR="006179E0">
        <w:t>, thereby reducing</w:t>
      </w:r>
      <w:r w:rsidRPr="00D83434">
        <w:t xml:space="preserve"> their concentrations to levels compliant with water quality standards. </w:t>
      </w:r>
      <w:r w:rsidR="00A11166">
        <w:t>C</w:t>
      </w:r>
      <w:r w:rsidRPr="00D83434">
        <w:t xml:space="preserve">ontrolled batch experiments were </w:t>
      </w:r>
      <w:r w:rsidR="00A11166">
        <w:t xml:space="preserve">thus </w:t>
      </w:r>
      <w:r w:rsidR="001E67FD">
        <w:t>conducted</w:t>
      </w:r>
      <w:r w:rsidRPr="00D83434">
        <w:t xml:space="preserve"> to analyze the sorption and biodegradability of key CEC</w:t>
      </w:r>
      <w:r w:rsidR="00947BF0">
        <w:t>s</w:t>
      </w:r>
      <w:r w:rsidRPr="00D83434">
        <w:t xml:space="preserve">, including </w:t>
      </w:r>
      <w:r w:rsidR="00A11166">
        <w:t>PFAS</w:t>
      </w:r>
      <w:r w:rsidRPr="00D83434">
        <w:t>, alkylphenols and benzotriazoles.</w:t>
      </w:r>
      <w:r w:rsidR="007534D3">
        <w:t xml:space="preserve"> </w:t>
      </w:r>
      <w:r w:rsidR="00C65B6E" w:rsidRPr="00C65B6E">
        <w:t>The experiments were performed in triplicate</w:t>
      </w:r>
      <w:r w:rsidR="007526E7">
        <w:t xml:space="preserve"> using</w:t>
      </w:r>
      <w:r w:rsidR="00C65B6E" w:rsidRPr="00C65B6E">
        <w:t xml:space="preserve"> </w:t>
      </w:r>
      <w:r w:rsidR="00A11166">
        <w:t xml:space="preserve">batch </w:t>
      </w:r>
      <w:r w:rsidR="00C65B6E" w:rsidRPr="00C65B6E">
        <w:t>reactors filled with sediments a</w:t>
      </w:r>
      <w:r w:rsidR="00C65B6E">
        <w:t>nd synthetic runoff</w:t>
      </w:r>
      <w:r w:rsidR="007526E7">
        <w:t>. An abiotic control was</w:t>
      </w:r>
      <w:r w:rsidR="00C65B6E" w:rsidRPr="00C65B6E">
        <w:t xml:space="preserve"> included </w:t>
      </w:r>
      <w:r w:rsidR="00B51DD8">
        <w:t xml:space="preserve">to </w:t>
      </w:r>
      <w:r w:rsidR="001E67FD">
        <w:t>distinguish between</w:t>
      </w:r>
      <w:r w:rsidR="00C65B6E" w:rsidRPr="00C65B6E">
        <w:t xml:space="preserve"> sorption </w:t>
      </w:r>
      <w:r w:rsidR="001E67FD">
        <w:t>and</w:t>
      </w:r>
      <w:r w:rsidR="00C65B6E" w:rsidRPr="00C65B6E">
        <w:t xml:space="preserve"> biodegradation.</w:t>
      </w:r>
      <w:r w:rsidR="00C65B6E">
        <w:t xml:space="preserve"> </w:t>
      </w:r>
      <w:r w:rsidR="007534D3" w:rsidRPr="007534D3">
        <w:t>Results reveal</w:t>
      </w:r>
      <w:r w:rsidR="0013447D">
        <w:t>ed</w:t>
      </w:r>
      <w:r w:rsidR="007534D3">
        <w:t xml:space="preserve"> distinct attenuation </w:t>
      </w:r>
      <w:r w:rsidR="0013447D">
        <w:t>behaviours</w:t>
      </w:r>
      <w:r w:rsidR="007534D3">
        <w:t>.</w:t>
      </w:r>
      <w:r w:rsidR="007534D3" w:rsidRPr="007534D3">
        <w:t xml:space="preserve"> </w:t>
      </w:r>
      <w:r w:rsidR="00754CD4">
        <w:t>Nonylphenol di</w:t>
      </w:r>
      <w:r w:rsidR="00A11166">
        <w:t xml:space="preserve">ethoxylate </w:t>
      </w:r>
      <w:r w:rsidR="007534D3" w:rsidRPr="007534D3">
        <w:t>showed the highest removal, dri</w:t>
      </w:r>
      <w:r w:rsidR="00754CD4">
        <w:t xml:space="preserve">ven entirely by biodegradation with no contribution from sorption. </w:t>
      </w:r>
      <w:r w:rsidR="00754CD4" w:rsidRPr="00754CD4">
        <w:t>Benzotriazole, tolyltriazole, PFOS, and 6:2 FTS showed moderate attenuation</w:t>
      </w:r>
      <w:r w:rsidR="00754CD4">
        <w:t xml:space="preserve">, primarily </w:t>
      </w:r>
      <w:r w:rsidR="007D26EF">
        <w:t xml:space="preserve">due to sorption for PFAS compounds. The remaining PFAS, </w:t>
      </w:r>
      <w:r w:rsidR="001E67FD">
        <w:rPr>
          <w:rFonts w:ascii="Segoe UI" w:hAnsi="Segoe UI" w:cs="Segoe UI"/>
          <w:color w:val="000000"/>
          <w:shd w:val="clear" w:color="auto" w:fill="FFFFFF"/>
        </w:rPr>
        <w:t>—</w:t>
      </w:r>
      <w:r w:rsidR="007D26EF">
        <w:t xml:space="preserve"> PFOA, PFHxA, and PFECHS</w:t>
      </w:r>
      <w:r w:rsidR="001E67FD" w:rsidRPr="001E67FD">
        <w:rPr>
          <w:rFonts w:ascii="Segoe UI" w:hAnsi="Segoe UI" w:cs="Segoe UI"/>
          <w:color w:val="000000"/>
          <w:shd w:val="clear" w:color="auto" w:fill="FFFFFF"/>
        </w:rPr>
        <w:t xml:space="preserve"> </w:t>
      </w:r>
      <w:r w:rsidR="001E67FD">
        <w:rPr>
          <w:rFonts w:ascii="Segoe UI" w:hAnsi="Segoe UI" w:cs="Segoe UI"/>
          <w:color w:val="000000"/>
          <w:shd w:val="clear" w:color="auto" w:fill="FFFFFF"/>
        </w:rPr>
        <w:t xml:space="preserve">— </w:t>
      </w:r>
      <w:r w:rsidR="001E67FD">
        <w:t xml:space="preserve">exhibited </w:t>
      </w:r>
      <w:r w:rsidR="007D26EF" w:rsidRPr="007D26EF">
        <w:t>low attenuation</w:t>
      </w:r>
      <w:r w:rsidR="001E67FD">
        <w:t>,</w:t>
      </w:r>
      <w:r w:rsidR="007D26EF" w:rsidRPr="007D26EF">
        <w:t xml:space="preserve"> limited </w:t>
      </w:r>
      <w:r w:rsidR="001E67FD">
        <w:t xml:space="preserve">by </w:t>
      </w:r>
      <w:r w:rsidR="007D26EF" w:rsidRPr="007D26EF">
        <w:t>sorption and no biodegradation.</w:t>
      </w:r>
      <w:r w:rsidR="007D26EF">
        <w:t xml:space="preserve"> </w:t>
      </w:r>
      <w:r w:rsidR="00DA24E5" w:rsidRPr="00DA24E5">
        <w:t xml:space="preserve">These findings confirm </w:t>
      </w:r>
      <w:r w:rsidR="001E67FD">
        <w:t>that</w:t>
      </w:r>
      <w:r w:rsidR="00DA24E5" w:rsidRPr="00DA24E5">
        <w:t xml:space="preserve"> loess sediments </w:t>
      </w:r>
      <w:r w:rsidR="001E67FD">
        <w:t>can reduce</w:t>
      </w:r>
      <w:r w:rsidR="00DA24E5" w:rsidRPr="00DA24E5">
        <w:t xml:space="preserve"> </w:t>
      </w:r>
      <w:r w:rsidR="001E67FD">
        <w:t>loads of certain CECs</w:t>
      </w:r>
      <w:r w:rsidR="00DA24E5" w:rsidRPr="00DA24E5">
        <w:t xml:space="preserve"> and </w:t>
      </w:r>
      <w:r w:rsidR="001E67FD">
        <w:t xml:space="preserve">also </w:t>
      </w:r>
      <w:r w:rsidR="00DA24E5" w:rsidRPr="00DA24E5">
        <w:t xml:space="preserve">highlight the persistence of PFAS </w:t>
      </w:r>
      <w:r w:rsidR="00321DC5">
        <w:t xml:space="preserve">in water </w:t>
      </w:r>
      <w:r w:rsidR="00DA24E5" w:rsidRPr="00DA24E5">
        <w:t>during infiltration. The results provide critical parameters for model</w:t>
      </w:r>
      <w:r w:rsidR="00A11166">
        <w:t>l</w:t>
      </w:r>
      <w:r w:rsidR="00DA24E5" w:rsidRPr="00DA24E5">
        <w:t>ing CEC</w:t>
      </w:r>
      <w:r w:rsidR="00DA24E5">
        <w:t>s</w:t>
      </w:r>
      <w:r w:rsidR="00DA24E5" w:rsidRPr="00DA24E5">
        <w:t xml:space="preserve"> transport </w:t>
      </w:r>
      <w:r w:rsidR="00A32F4B">
        <w:t>dur</w:t>
      </w:r>
      <w:r w:rsidR="00DA24E5" w:rsidRPr="00DA24E5">
        <w:t>in</w:t>
      </w:r>
      <w:r w:rsidR="00A32F4B">
        <w:t>g</w:t>
      </w:r>
      <w:r w:rsidR="00DA24E5" w:rsidRPr="00DA24E5">
        <w:t xml:space="preserve"> </w:t>
      </w:r>
      <w:r w:rsidR="00A32F4B">
        <w:t>SAT</w:t>
      </w:r>
      <w:r w:rsidR="00A32F4B" w:rsidRPr="00DA24E5">
        <w:t xml:space="preserve"> </w:t>
      </w:r>
      <w:r w:rsidR="00A32F4B">
        <w:t>operations</w:t>
      </w:r>
      <w:r w:rsidR="00A32F4B" w:rsidRPr="00DA24E5">
        <w:t xml:space="preserve"> </w:t>
      </w:r>
      <w:r w:rsidR="00DA24E5" w:rsidRPr="00DA24E5">
        <w:t xml:space="preserve">and support the safe </w:t>
      </w:r>
      <w:r w:rsidR="00A975CB">
        <w:t>management</w:t>
      </w:r>
      <w:r w:rsidR="00DA24E5" w:rsidRPr="00DA24E5">
        <w:t xml:space="preserve"> of airport runoff as a recharge source.</w:t>
      </w:r>
    </w:p>
    <w:p w14:paraId="03E36B39" w14:textId="0BA0A067" w:rsidR="00A11166" w:rsidRPr="00D83434" w:rsidRDefault="00FA5583" w:rsidP="00865AB7">
      <w:pPr>
        <w:spacing w:line="276" w:lineRule="auto"/>
        <w:jc w:val="both"/>
      </w:pPr>
      <w:r w:rsidRPr="00B51DD8">
        <w:rPr>
          <w:b/>
        </w:rPr>
        <w:t>Keywords:</w:t>
      </w:r>
      <w:r w:rsidR="000E73F9">
        <w:t xml:space="preserve"> PFASs, Emerging Contaminants, Runoff, </w:t>
      </w:r>
      <w:r w:rsidR="009B0B7E">
        <w:t>Soil Aquifer Treatment</w:t>
      </w:r>
      <w:r>
        <w:t xml:space="preserve">, </w:t>
      </w:r>
      <w:r w:rsidR="00860FAA">
        <w:t xml:space="preserve">attenuation processes, </w:t>
      </w:r>
      <w:r w:rsidR="000E73F9">
        <w:t>chemical</w:t>
      </w:r>
      <w:r>
        <w:t xml:space="preserve"> modelling</w:t>
      </w:r>
      <w:r w:rsidR="001E3E9F">
        <w:t>, batch experiments</w:t>
      </w:r>
    </w:p>
    <w:p w14:paraId="2C81E5C7" w14:textId="5F583C93" w:rsidR="004F62CA" w:rsidRPr="00D74BC8" w:rsidRDefault="004802E4" w:rsidP="00865AB7">
      <w:pPr>
        <w:pStyle w:val="Titre1"/>
        <w:numPr>
          <w:ilvl w:val="0"/>
          <w:numId w:val="1"/>
        </w:numPr>
        <w:spacing w:line="276" w:lineRule="auto"/>
        <w:rPr>
          <w:lang w:val="fr-BE"/>
        </w:rPr>
      </w:pPr>
      <w:r>
        <w:rPr>
          <w:lang w:val="fr-BE"/>
        </w:rPr>
        <w:t>Introduction</w:t>
      </w:r>
    </w:p>
    <w:p w14:paraId="6BBCA264" w14:textId="74419C4C" w:rsidR="008B3B70" w:rsidRDefault="008B3B70" w:rsidP="00865AB7">
      <w:pPr>
        <w:spacing w:line="276" w:lineRule="auto"/>
        <w:jc w:val="both"/>
      </w:pPr>
      <w:r w:rsidRPr="008B3B70">
        <w:t xml:space="preserve">Managed Aquifer Recharge (MAR) </w:t>
      </w:r>
      <w:r w:rsidR="006179E0">
        <w:t>is</w:t>
      </w:r>
      <w:r w:rsidRPr="008B3B70">
        <w:t xml:space="preserve"> </w:t>
      </w:r>
      <w:r w:rsidR="00B51DD8">
        <w:t xml:space="preserve">a </w:t>
      </w:r>
      <w:r w:rsidRPr="008B3B70">
        <w:t>promising strategy to address the increasing global water demand an</w:t>
      </w:r>
      <w:r w:rsidR="006F4167">
        <w:t xml:space="preserve">d groundwater </w:t>
      </w:r>
      <w:r w:rsidRPr="008B3B70">
        <w:t>depletion</w:t>
      </w:r>
      <w:r w:rsidR="00B51DD8">
        <w:t xml:space="preserve"> by</w:t>
      </w:r>
      <w:r w:rsidRPr="008B3B70">
        <w:t xml:space="preserve"> artificially </w:t>
      </w:r>
      <w:r w:rsidR="006179E0">
        <w:t xml:space="preserve">augmenting </w:t>
      </w:r>
      <w:r w:rsidR="00A32F4B">
        <w:t xml:space="preserve">groundwater </w:t>
      </w:r>
      <w:r w:rsidR="006179E0">
        <w:t>recharge, thereby enhancing storage capacity, groundwater quality and resource sustainability</w:t>
      </w:r>
      <w:r w:rsidR="006F4167">
        <w:t xml:space="preserve"> </w:t>
      </w:r>
      <w:r w:rsidR="006F4167">
        <w:fldChar w:fldCharType="begin"/>
      </w:r>
      <w:r w:rsidR="006F4167">
        <w:instrText xml:space="preserve"> ADDIN ZOTERO_ITEM CSL_CITATION {"citationID":"fMaklxkl","properties":{"formattedCitation":"(Sprenger {\\i{}et al.}, 2017; Dillon {\\i{}et al.}, 2020)","plainCitation":"(Sprenger et al., 2017; Dillon et al., 2020)","noteIndex":0},"citationItems":[{"id":5907,"uris":["http://zotero.org/users/9753339/items/NH45S3IP"],"itemData":{"id":5907,"type":"article-journal","container-title":"Hydrogeology Journal","DOI":"10.1007/s10040-017-1554-8","ISSN":"1431-2174, 1435-0157","issue":"6","journalAbbreviation":"Hydrogeol J","language":"en","page":"1909-1922","source":"DOI.org (Crossref)","title":"Inventory of managed aquifer recharge sites in Europe: historical development, current situation and perspectives","title-short":"Inventory of managed aquifer recharge sites in Europe","volume":"25","author":[{"family":"Sprenger","given":"C."},{"family":"Hartog","given":"N."},{"family":"Hernández","given":"M."},{"family":"Vilanova","given":"E."},{"family":"Grützmacher","given":"G."},{"family":"Scheibler","given":"F."},{"family":"Hannappel","given":"S."}],"issued":{"date-parts":[["2017",9]]}}},{"id":6821,"uris":["http://zotero.org/users/9753339/items/E8LEAAT9"],"itemData":{"id":6821,"type":"article-journal","abstract":"Managed aquifer recharge (MAR) is part of the palette of solutions to water shortage, water security, water quality decline, falling water tables, and endangered groundwater-dependent ecosystems. It can be the most economic, most benign, most resilient, and most socially acceptable solution, but frequently has not been implemented due to lack of awareness, inadequate knowledge of aquifers, immature perception of risk, and incomplete policies for integrated water management, including linking MAR with demand management. MAR can achieve much towards solving the myriad local water problems that have collectively been termed “the global water crisis”. This special issue strives to elucidate the eﬀectiveness, beneﬁts, constraints, limitations, and applicability of MAR, together with its scientiﬁc advances, to a wide variety of situations that have global relevance. This special issue was initiated by the International Association of Hydrogeologists Commission on Managing Aquifer Recharge to capture and extend from selected papers at the 10th International Symposium on Managed Aquifer Recharge (ISMAR10) held in Madrid, Spain, 20–24 May 2019.","container-title":"Water","DOI":"10.3390/w12071846","ISSN":"2073-4441","issue":"7","journalAbbreviation":"Water","language":"en","license":"https://creativecommons.org/licenses/by/4.0/","page":"1846","source":"DOI.org (Crossref)","title":"Managed Aquifer Recharge for Water Resilience","volume":"12","author":[{"family":"Dillon","given":"Peter"},{"family":"Fernández Escalante","given":"Enrique"},{"family":"Megdal","given":"Sharon B."},{"family":"Massmann","given":"Gudrun"}],"issued":{"date-parts":[["2020",6,28]]}}}],"schema":"https://github.com/citation-style-language/schema/raw/master/csl-citation.json"} </w:instrText>
      </w:r>
      <w:r w:rsidR="006F4167">
        <w:fldChar w:fldCharType="separate"/>
      </w:r>
      <w:r w:rsidR="006F4167" w:rsidRPr="006F4167">
        <w:rPr>
          <w:rFonts w:ascii="Calibri" w:hAnsi="Calibri" w:cs="Calibri"/>
          <w:szCs w:val="24"/>
        </w:rPr>
        <w:t xml:space="preserve">(Sprenger </w:t>
      </w:r>
      <w:r w:rsidR="006F4167" w:rsidRPr="006F4167">
        <w:rPr>
          <w:rFonts w:ascii="Calibri" w:hAnsi="Calibri" w:cs="Calibri"/>
          <w:i/>
          <w:iCs/>
          <w:szCs w:val="24"/>
        </w:rPr>
        <w:t>et al.</w:t>
      </w:r>
      <w:r w:rsidR="006F4167" w:rsidRPr="006F4167">
        <w:rPr>
          <w:rFonts w:ascii="Calibri" w:hAnsi="Calibri" w:cs="Calibri"/>
          <w:szCs w:val="24"/>
        </w:rPr>
        <w:t xml:space="preserve">, 2017; Dillon </w:t>
      </w:r>
      <w:r w:rsidR="006F4167" w:rsidRPr="006F4167">
        <w:rPr>
          <w:rFonts w:ascii="Calibri" w:hAnsi="Calibri" w:cs="Calibri"/>
          <w:i/>
          <w:iCs/>
          <w:szCs w:val="24"/>
        </w:rPr>
        <w:t>et al.</w:t>
      </w:r>
      <w:r w:rsidR="006F4167" w:rsidRPr="006F4167">
        <w:rPr>
          <w:rFonts w:ascii="Calibri" w:hAnsi="Calibri" w:cs="Calibri"/>
          <w:szCs w:val="24"/>
        </w:rPr>
        <w:t>, 2020)</w:t>
      </w:r>
      <w:r w:rsidR="006F4167">
        <w:fldChar w:fldCharType="end"/>
      </w:r>
      <w:r w:rsidRPr="008B3B70">
        <w:t xml:space="preserve">. </w:t>
      </w:r>
      <w:r w:rsidR="00065E6F" w:rsidRPr="00065E6F">
        <w:t>MAR also</w:t>
      </w:r>
      <w:r w:rsidR="006179E0">
        <w:t xml:space="preserve"> offers solutions to environmental challenges such as</w:t>
      </w:r>
      <w:r w:rsidR="00065E6F" w:rsidRPr="00065E6F">
        <w:t xml:space="preserve"> saltwater intrusion</w:t>
      </w:r>
      <w:r w:rsidR="007F32FE">
        <w:t xml:space="preserve"> </w:t>
      </w:r>
      <w:r w:rsidR="007F32FE">
        <w:fldChar w:fldCharType="begin"/>
      </w:r>
      <w:r w:rsidR="007F32FE">
        <w:instrText xml:space="preserve"> ADDIN ZOTERO_ITEM CSL_CITATION {"citationID":"tcUnelG0","properties":{"formattedCitation":"(Pyne, 2015)","plainCitation":"(Pyne, 2015)","noteIndex":0},"citationItems":[{"id":6988,"uris":["http://zotero.org/users/9753339/items/MJB66Q3U"],"itemData":{"id":6988,"type":"article-journal","abstract":"Achieving high recovery efﬁciency is a goal for almost all aquifer storage recovery (ASR) wells, whether storing fresh water in brackish aquifers or in fresh aquifers containing native water quality constituents that are not wanted in the recovered water. This goal can be achieved rapidly by initial formation and maintenance of a target storage volume (TSV) that includes the water volume required for recovery plus a buffer zone volume that separates the stored water from the surrounding native groundwater. The buffer zone volume is a one-time addition of water to the well. An ASR demonstration project was constructed and tested at Hilton Head Island, South Carolina, USA, storing drinking water in a brackish limestone, semi-conﬁned, artesian aquifer. Operating performance has conﬁrmed the viability of this TSV approach for development of ASR wells. The stored drinking water was recovered at a ﬂow rate of 8 Ml/D for 126 days, with an ending chloride concentration of 170 mg/l, rapidly achieving 100 % recovery efﬁciency. The storage aquifer had a chloride concentration of 685 mg/l. Results have since been replicated at two other ASR wells on Hilton Head Island, addressing the expected loss of all remaining fresh public water supply wells on the island due to saltwater intrusion. ASR well cycle testing in which the same volume is stored and recovered, with progressively larger storage volumes in each successive cycle, is appropriate for geochemical and microbial studies but is inappropriate for determination of recovery efﬁciency since any buffer zone is removed during each cycle.","container-title":"Environmental Earth Sciences","DOI":"10.1007/s12665-014-3985-z","ISSN":"1866-6280, 1866-6299","issue":"12","journalAbbreviation":"Environ Earth Sci","language":"en","page":"7851-7859","source":"DOI.org (Crossref)","title":"Aquifer storage recovery: an ASR solution to saltwater intrusion at Hilton Head Island, South Carolina, USA","title-short":"Aquifer storage recovery","volume":"73","author":[{"family":"Pyne","given":"R. David G."}],"issued":{"date-parts":[["2015",6]]}}}],"schema":"https://github.com/citation-style-language/schema/raw/master/csl-citation.json"} </w:instrText>
      </w:r>
      <w:r w:rsidR="007F32FE">
        <w:fldChar w:fldCharType="separate"/>
      </w:r>
      <w:r w:rsidR="007F32FE" w:rsidRPr="007F32FE">
        <w:rPr>
          <w:rFonts w:ascii="Calibri" w:hAnsi="Calibri" w:cs="Calibri"/>
        </w:rPr>
        <w:t>(Pyne, 2015)</w:t>
      </w:r>
      <w:r w:rsidR="007F32FE">
        <w:fldChar w:fldCharType="end"/>
      </w:r>
      <w:r w:rsidR="009B0B7E">
        <w:t xml:space="preserve"> or </w:t>
      </w:r>
      <w:r w:rsidR="00065E6F" w:rsidRPr="00065E6F">
        <w:t xml:space="preserve">land subsidence </w:t>
      </w:r>
      <w:r w:rsidR="00DC74AC">
        <w:fldChar w:fldCharType="begin"/>
      </w:r>
      <w:r w:rsidR="00DC74AC">
        <w:instrText xml:space="preserve"> QUOTE  "(Seidl et al. 2024)" </w:instrText>
      </w:r>
      <w:r w:rsidR="00DC74AC">
        <w:fldChar w:fldCharType="separate"/>
      </w:r>
      <w:r w:rsidR="00DC74AC">
        <w:t xml:space="preserve">(Seidl </w:t>
      </w:r>
      <w:r w:rsidR="00DC74AC" w:rsidRPr="00DB6DBE">
        <w:rPr>
          <w:i/>
        </w:rPr>
        <w:t>et al.</w:t>
      </w:r>
      <w:r w:rsidR="00DC74AC">
        <w:t>, 2024)</w:t>
      </w:r>
      <w:r w:rsidR="00DC74AC">
        <w:fldChar w:fldCharType="end"/>
      </w:r>
      <w:r w:rsidR="009B0B7E">
        <w:t>. In addition, MAR can improve the quality of recharge water through Soil Aquifer Treatment</w:t>
      </w:r>
      <w:r w:rsidR="007F32FE">
        <w:t xml:space="preserve"> </w:t>
      </w:r>
      <w:r w:rsidR="009B0B7E">
        <w:t>(SAT) systems</w:t>
      </w:r>
      <w:r w:rsidR="005922C4">
        <w:t xml:space="preserve"> that rely</w:t>
      </w:r>
      <w:r w:rsidR="009B0B7E">
        <w:t xml:space="preserve"> on</w:t>
      </w:r>
      <w:r w:rsidR="00DC74AC">
        <w:t xml:space="preserve"> natural physical, chemical and biological processes</w:t>
      </w:r>
      <w:r w:rsidR="009B0B7E">
        <w:t xml:space="preserve"> </w:t>
      </w:r>
      <w:r w:rsidR="00DC74AC">
        <w:t xml:space="preserve">in the </w:t>
      </w:r>
      <w:r w:rsidR="009B0B7E">
        <w:t xml:space="preserve">soil and subsurface </w:t>
      </w:r>
      <w:r w:rsidR="00065E6F">
        <w:fldChar w:fldCharType="begin"/>
      </w:r>
      <w:r w:rsidR="00065E6F">
        <w:instrText xml:space="preserve"> QUOTE  "(Ringleb et al., 2016)" </w:instrText>
      </w:r>
      <w:r w:rsidR="00065E6F">
        <w:fldChar w:fldCharType="separate"/>
      </w:r>
      <w:r w:rsidR="00065E6F">
        <w:t xml:space="preserve">(Ringleb </w:t>
      </w:r>
      <w:r w:rsidR="00065E6F" w:rsidRPr="009849F7">
        <w:rPr>
          <w:i/>
        </w:rPr>
        <w:t>et al.</w:t>
      </w:r>
      <w:r w:rsidR="00065E6F">
        <w:t>, 2016)</w:t>
      </w:r>
      <w:r w:rsidR="00065E6F">
        <w:fldChar w:fldCharType="end"/>
      </w:r>
      <w:r w:rsidR="00065E6F">
        <w:t xml:space="preserve">. </w:t>
      </w:r>
      <w:r w:rsidR="006179E0">
        <w:t>Suitable</w:t>
      </w:r>
      <w:r w:rsidR="006179E0" w:rsidRPr="00065E6F">
        <w:t xml:space="preserve"> </w:t>
      </w:r>
      <w:r w:rsidR="00065E6F" w:rsidRPr="00065E6F">
        <w:t>water sources</w:t>
      </w:r>
      <w:r w:rsidR="00065E6F">
        <w:t xml:space="preserve"> for </w:t>
      </w:r>
      <w:r w:rsidR="00321DC5">
        <w:lastRenderedPageBreak/>
        <w:t>MAR</w:t>
      </w:r>
      <w:r w:rsidR="00A32F4B">
        <w:t xml:space="preserve"> </w:t>
      </w:r>
      <w:r w:rsidR="00065E6F">
        <w:t xml:space="preserve">operations </w:t>
      </w:r>
      <w:r w:rsidR="00E82E9B">
        <w:t>include</w:t>
      </w:r>
      <w:r w:rsidR="00065E6F" w:rsidRPr="00065E6F">
        <w:t xml:space="preserve"> treated wastewater, </w:t>
      </w:r>
      <w:r w:rsidR="00065E6F">
        <w:t>surface water</w:t>
      </w:r>
      <w:r w:rsidR="00065E6F" w:rsidRPr="00065E6F">
        <w:t xml:space="preserve"> and runoff</w:t>
      </w:r>
      <w:r w:rsidR="00065E6F">
        <w:t xml:space="preserve"> water</w:t>
      </w:r>
      <w:r w:rsidR="005A29BF">
        <w:t xml:space="preserve"> </w:t>
      </w:r>
      <w:r w:rsidR="005A29BF">
        <w:fldChar w:fldCharType="begin"/>
      </w:r>
      <w:r w:rsidR="005A29BF">
        <w:instrText xml:space="preserve"> ADDIN ZOTERO_ITEM CSL_CITATION {"citationID":"ikbuLKDS","properties":{"formattedCitation":"(Dillon {\\i{}et al.}, 2019)","plainCitation":"(Dillon et al., 2019)","noteIndex":0},"citationItems":[{"id":6790,"uris":["http://zotero.org/users/9753339/items/AYGC5TSR"],"itemData":{"id":6790,"type":"article-journal","abstract":"The last 60 years has seen unprecedented groundwater extraction and overdraft as well as development of new technologies for water treatment that together drive the advance in intentional groundwater replenishment known as managed aquifer recharge (MAR). This paper is the first known attempt to quantify the volume of MAR at global scale, and to illustrate the advancement of all the major types of MAR and relate these to research and regulatory advancements. Faced with changing climate and rising intensity of climate extremes, MAR is an increasingly important water management strategy, alongside demand management, to maintain, enhance and secure stressed groundwater systems and to protect and improve water quality. During this time, scientific research—on hydraulic design of facilities, tracer studies, managing clogging, recovery efficiency and water quality changes in aquifers—has underpinned practical improvements in MAR and has had broader benefits in hydrogeology. Recharge wells have greatly accelerated recharge, particularly in urban areas and for mine water management. In recent years, research into governance, operating practices, reliability, economics, risk assessment and public acceptance of MAR has been undertaken. Since the 1960s, implementation of MAR has accelerated at a rate of 5%/year, but is not keeping pace with increasing groundwater extraction. Currently, MAR has reached an estimated 10 km3/year, ~2.4% of groundwater extraction in countries reporting MAR (or ~1.0% of global groundwater extraction). MAR is likely to exceed 10% of global extraction, based on experience where MAR is more advanced, to sustain quantity, reliability and quality of water supplies.","container-title":"Hydrogeology Journal","DOI":"10.1007/s10040-018-1841-z","ISSN":"1431-2174, 1435-0157","issue":"1","journalAbbreviation":"Hydrogeol J","language":"en","page":"1-30","source":"DOI.org (Crossref)","title":"Sixty years of global progress in managed aquifer recharge","volume":"27","author":[{"family":"Dillon","given":"P."},{"family":"Stuyfzand","given":"P."},{"family":"Grischek","given":"T."},{"family":"Lluria","given":"M."},{"family":"Pyne","given":"R. D. G."},{"family":"Jain","given":"R. C."},{"family":"Bear","given":"J."},{"family":"Schwarz","given":"J."},{"family":"Wang","given":"W."},{"family":"Fernandez","given":"E."},{"family":"Stefan","given":"C."},{"family":"Pettenati","given":"M."},{"family":"Van Der Gun","given":"J."},{"family":"Sprenger","given":"C."},{"family":"Massmann","given":"G."},{"family":"Scanlon","given":"B. R."},{"family":"Xanke","given":"J."},{"family":"Jokela","given":"P."},{"family":"Zheng","given":"Y."},{"family":"Rossetto","given":"R."},{"family":"Shamrukh","given":"M."},{"family":"Pavelic","given":"P."},{"family":"Murray","given":"E."},{"family":"Ross","given":"A."},{"family":"Bonilla Valverde","given":"J. P."},{"family":"Palma Nava","given":"A."},{"family":"Ansems","given":"N."},{"family":"Posavec","given":"K."},{"family":"Ha","given":"K."},{"family":"Martin","given":"R."},{"family":"Sapiano","given":"M."}],"issued":{"date-parts":[["2019",2]]}}}],"schema":"https://github.com/citation-style-language/schema/raw/master/csl-citation.json"} </w:instrText>
      </w:r>
      <w:r w:rsidR="005A29BF">
        <w:fldChar w:fldCharType="separate"/>
      </w:r>
      <w:r w:rsidR="005A29BF" w:rsidRPr="005A29BF">
        <w:rPr>
          <w:rFonts w:ascii="Calibri" w:hAnsi="Calibri" w:cs="Calibri"/>
          <w:szCs w:val="24"/>
        </w:rPr>
        <w:t xml:space="preserve">(Dillon </w:t>
      </w:r>
      <w:r w:rsidR="005A29BF" w:rsidRPr="005A29BF">
        <w:rPr>
          <w:rFonts w:ascii="Calibri" w:hAnsi="Calibri" w:cs="Calibri"/>
          <w:i/>
          <w:iCs/>
          <w:szCs w:val="24"/>
        </w:rPr>
        <w:t>et al.</w:t>
      </w:r>
      <w:r w:rsidR="005A29BF" w:rsidRPr="005A29BF">
        <w:rPr>
          <w:rFonts w:ascii="Calibri" w:hAnsi="Calibri" w:cs="Calibri"/>
          <w:szCs w:val="24"/>
        </w:rPr>
        <w:t>, 2019)</w:t>
      </w:r>
      <w:r w:rsidR="005A29BF">
        <w:fldChar w:fldCharType="end"/>
      </w:r>
      <w:r w:rsidR="00065E6F">
        <w:t xml:space="preserve">. In particular, </w:t>
      </w:r>
      <w:r w:rsidR="00D37326">
        <w:t>urban</w:t>
      </w:r>
      <w:r w:rsidRPr="008B3B70">
        <w:t xml:space="preserve"> </w:t>
      </w:r>
      <w:r w:rsidR="004C7499">
        <w:t xml:space="preserve">runoff </w:t>
      </w:r>
      <w:r w:rsidRPr="008B3B70">
        <w:t xml:space="preserve">water </w:t>
      </w:r>
      <w:r w:rsidR="006179E0">
        <w:t xml:space="preserve">is </w:t>
      </w:r>
      <w:r w:rsidR="005D5435">
        <w:t xml:space="preserve">notably </w:t>
      </w:r>
      <w:r w:rsidR="006179E0">
        <w:t>accessible</w:t>
      </w:r>
      <w:r w:rsidRPr="008B3B70">
        <w:t xml:space="preserve"> in urban and peri-urban areas</w:t>
      </w:r>
      <w:r w:rsidR="00F6275D">
        <w:t xml:space="preserve"> </w:t>
      </w:r>
      <w:r w:rsidR="00F6275D">
        <w:fldChar w:fldCharType="begin"/>
      </w:r>
      <w:r w:rsidR="00F6275D">
        <w:instrText xml:space="preserve"> ADDIN ZOTERO_ITEM CSL_CITATION {"citationID":"Eg9MDGRy","properties":{"formattedCitation":"(Han {\\i{}et al.}, 2022)","plainCitation":"(Han et al., 2022)","noteIndex":0},"citationItems":[{"id":6825,"uris":["http://zotero.org/users/9753339/items/ZIVU2T3I"],"itemData":{"id":6825,"type":"article-journal","abstract":"Urbanisation is a recognized driver of changes in catchment river flow. However, quantifying the urban influence remains a major challenge, due to the brevity of land cover records and the challenge of isolating this signal from other drivers. This study assesses the contribution of urbanisation to changes in river discharge across different seasons and quantiles (low, median, high, mean, and peak flows). Twelve catchments (21–1660 km2) are selected after screening all gauged UK catchments for minimal human influences other than significant changes in urban land cover. Generalized Additive Models for Location, Scale and Shape (GAMLSS) are developed using long (40–63 years) historical records of precipitation, temperature, urban land cover, and daily river discharge (m3/s). Model coefficients reveal that increased urban area is associated with a rise in discharge across all flow quantiles and seasons, on average, and the contribution of urbanisation to non-stationarity is stronger for low flows and average flows than it is for high flows. For every 1 % increase in urban land cover there is an associated increase in the median of 1.9 % ±2.8 % (1 s.d.) for low flow, 0.9 % ±2.3 % (1 s.d.) for median flow, 0.9 % ±1.9 % (1 s.d.) for mean flow, 1.1 % ±2.0 % (1 s.d.) for high flow, and 0.5 % ±2.2 % (1 s.d.) for seasonal maximum flow across seasons. The urbanisation-flow signal tends to be greatest in catchments with less initial urban extent and low bedrock permeability.","container-title":"Journal of Hydrology","DOI":"10.1016/j.jhydrol.2022.128417","ISSN":"00221694","journalAbbreviation":"Journal of Hydrology","language":"en","page":"128417","source":"DOI.org (Crossref)","title":"Contribution of urbanisation to non-stationary river flow in the UK","volume":"613","author":[{"family":"Han","given":"Shasha"},{"family":"Slater","given":"Louise"},{"family":"Wilby","given":"Robert L."},{"family":"Faulkner","given":"Duncan"}],"issued":{"date-parts":[["2022",10]]}}}],"schema":"https://github.com/citation-style-language/schema/raw/master/csl-citation.json"} </w:instrText>
      </w:r>
      <w:r w:rsidR="00F6275D">
        <w:fldChar w:fldCharType="separate"/>
      </w:r>
      <w:r w:rsidR="00F6275D" w:rsidRPr="00F6275D">
        <w:rPr>
          <w:rFonts w:ascii="Calibri" w:hAnsi="Calibri" w:cs="Calibri"/>
          <w:szCs w:val="24"/>
        </w:rPr>
        <w:t xml:space="preserve">(Han </w:t>
      </w:r>
      <w:r w:rsidR="00F6275D" w:rsidRPr="00F6275D">
        <w:rPr>
          <w:rFonts w:ascii="Calibri" w:hAnsi="Calibri" w:cs="Calibri"/>
          <w:i/>
          <w:iCs/>
          <w:szCs w:val="24"/>
        </w:rPr>
        <w:t>et al.</w:t>
      </w:r>
      <w:r w:rsidR="00F6275D" w:rsidRPr="00F6275D">
        <w:rPr>
          <w:rFonts w:ascii="Calibri" w:hAnsi="Calibri" w:cs="Calibri"/>
          <w:szCs w:val="24"/>
        </w:rPr>
        <w:t>, 2022)</w:t>
      </w:r>
      <w:r w:rsidR="00F6275D">
        <w:fldChar w:fldCharType="end"/>
      </w:r>
      <w:r w:rsidRPr="008B3B70">
        <w:t xml:space="preserve">. </w:t>
      </w:r>
      <w:r w:rsidR="001A2656">
        <w:t>Nevertheless</w:t>
      </w:r>
      <w:r w:rsidR="00E92964">
        <w:t>, t</w:t>
      </w:r>
      <w:r w:rsidR="00A347C1" w:rsidRPr="00A347C1">
        <w:t xml:space="preserve">he use of </w:t>
      </w:r>
      <w:r w:rsidR="004C7499">
        <w:t>runoff water</w:t>
      </w:r>
      <w:r w:rsidR="00D37326">
        <w:t xml:space="preserve"> </w:t>
      </w:r>
      <w:r w:rsidR="00A347C1" w:rsidRPr="00A347C1">
        <w:t xml:space="preserve">as a recharge source necessitates </w:t>
      </w:r>
      <w:r w:rsidR="001F323C">
        <w:t>rigorous quality</w:t>
      </w:r>
      <w:r w:rsidR="001F323C" w:rsidRPr="00A347C1">
        <w:t xml:space="preserve"> </w:t>
      </w:r>
      <w:r w:rsidR="00A347C1" w:rsidRPr="00A347C1">
        <w:t>assessment</w:t>
      </w:r>
      <w:r w:rsidR="001F323C">
        <w:t xml:space="preserve"> </w:t>
      </w:r>
      <w:r w:rsidR="001F323C" w:rsidRPr="001F323C">
        <w:t>to preve</w:t>
      </w:r>
      <w:r w:rsidR="00B51DD8">
        <w:t>nt pollution risks to groundwater systems</w:t>
      </w:r>
      <w:r w:rsidR="00A347C1" w:rsidRPr="00A347C1">
        <w:t>, as it frequently contains contaminants originating from anthropogenic activities</w:t>
      </w:r>
      <w:r w:rsidR="000E7E71">
        <w:t xml:space="preserve"> </w:t>
      </w:r>
      <w:r w:rsidR="009849F7">
        <w:fldChar w:fldCharType="begin"/>
      </w:r>
      <w:r w:rsidR="009849F7">
        <w:instrText xml:space="preserve"> ADDIN ZOTERO_ITEM CSL_CITATION {"citationID":"6NELfXJg","properties":{"formattedCitation":"(Masoner {\\i{}et al.}, 2019)","plainCitation":"(Masoner et al., 2019)","noteIndex":0},"citationItems":[{"id":66,"uris":["http://zotero.org/users/9753339/items/ASB4USKN"],"itemData":{"id":66,"type":"article-journal","abstract":"Increasing global reliance on stormwater control measures to reduce discharge to surface water, increase groundwater recharge, and minimize contaminant delivery to receiving waterbodies necessitates improved understanding of stormwater−contaminant proﬁles. A multiagency study of organic and inorganic chemicals in urban stormwater from 50 runoﬀ events at 21 sites across the United States demonstrated that stormwater transports substantial mixtures of polycyclic aromatic hydrocarbons, bioactive contaminants (pesticides and pharmaceuticals), and other organic chemicals known or suspected to pose environmental health concern. Numerous organic-chemical detections per site (median number of chemicals detected = 73), individual concentrations exceeding 10 000 ng/L, and cumulative concentrations up to 263 000 ng/L suggested concern for potential environmental eﬀects during runoﬀ events. Organic concentrations, loads, and yields were positively correlated with impervious surfaces and highly developed urban catchments. Episodic storm-event organic concentrations and loads were comparable to and often exceeded those of daily wastewater plant discharges. Inorganic chemical concentrations were generally dilute in concentration and did not exceed chronic aquatic life criteria. Methylmercury was measured in 90% of samples with concentrations that ranged from 0.05 to 1.0 ng/L.","container-title":"Environmental Science &amp; Technology","DOI":"10.1021/acs.est.9b02867","ISSN":"0013-936X, 1520-5851","issue":"17","journalAbbreviation":"Environ. Sci. Technol.","language":"en","page":"10070-10081","source":"DOI.org (Crossref)","title":"Urban Stormwater: An Overlooked Pathway of Extensive Mixed Contaminants to Surface and Groundwaters in the United States","title-short":"Urban Stormwater","volume":"53","author":[{"family":"Masoner","given":"Jason R."},{"family":"Kolpin","given":"Dana W."},{"family":"Cozzarelli","given":"Isabelle M."},{"family":"Barber","given":"Larry B."},{"family":"Burden","given":"David S."},{"family":"Foreman","given":"William T."},{"family":"Forshay","given":"Kenneth J."},{"family":"Furlong","given":"Edward T."},{"family":"Groves","given":"Justin F."},{"family":"Hladik","given":"Michelle L."},{"family":"Hopton","given":"Matthew E."},{"family":"Jaeschke","given":"Jeanne B."},{"family":"Keefe","given":"Steffanie H."},{"family":"Krabbenhoft","given":"David P."},{"family":"Lowrance","given":"Richard"},{"family":"Romanok","given":"Kristin M."},{"family":"Rus","given":"David L."},{"family":"Selbig","given":"William R."},{"family":"Williams","given":"Brianna H."},{"family":"Bradley","given":"Paul M."}],"issued":{"date-parts":[["2019",9,3]]}}}],"schema":"https://github.com/citation-style-language/schema/raw/master/csl-citation.json"} </w:instrText>
      </w:r>
      <w:r w:rsidR="009849F7">
        <w:fldChar w:fldCharType="separate"/>
      </w:r>
      <w:r w:rsidR="009849F7" w:rsidRPr="009849F7">
        <w:rPr>
          <w:rFonts w:ascii="Calibri" w:hAnsi="Calibri" w:cs="Calibri"/>
          <w:szCs w:val="24"/>
        </w:rPr>
        <w:t xml:space="preserve">(Masoner </w:t>
      </w:r>
      <w:r w:rsidR="009849F7" w:rsidRPr="009849F7">
        <w:rPr>
          <w:rFonts w:ascii="Calibri" w:hAnsi="Calibri" w:cs="Calibri"/>
          <w:i/>
          <w:iCs/>
          <w:szCs w:val="24"/>
        </w:rPr>
        <w:t>et al.</w:t>
      </w:r>
      <w:r w:rsidR="009849F7" w:rsidRPr="009849F7">
        <w:rPr>
          <w:rFonts w:ascii="Calibri" w:hAnsi="Calibri" w:cs="Calibri"/>
          <w:szCs w:val="24"/>
        </w:rPr>
        <w:t>, 2019)</w:t>
      </w:r>
      <w:r w:rsidR="009849F7">
        <w:fldChar w:fldCharType="end"/>
      </w:r>
      <w:r w:rsidRPr="008B3B70">
        <w:t>.</w:t>
      </w:r>
      <w:r w:rsidR="00644343">
        <w:t xml:space="preserve"> </w:t>
      </w:r>
      <w:r w:rsidR="008F43BC">
        <w:t>Thus, s</w:t>
      </w:r>
      <w:r w:rsidR="00E92964" w:rsidRPr="00E92964">
        <w:t xml:space="preserve">electing suitable water sources for recharge is critical for </w:t>
      </w:r>
      <w:r w:rsidR="009B0B7E">
        <w:t>SAT</w:t>
      </w:r>
      <w:r w:rsidR="009B0B7E" w:rsidRPr="00E92964">
        <w:t xml:space="preserve"> </w:t>
      </w:r>
      <w:r w:rsidR="00E92964" w:rsidRPr="00E92964">
        <w:t>efficiency and environmental safety.</w:t>
      </w:r>
    </w:p>
    <w:p w14:paraId="545F212D" w14:textId="76E81790" w:rsidR="00EC096A" w:rsidRDefault="004B7A9B" w:rsidP="00865AB7">
      <w:pPr>
        <w:spacing w:line="276" w:lineRule="auto"/>
        <w:jc w:val="both"/>
      </w:pPr>
      <w:r w:rsidRPr="008F10EF">
        <w:t xml:space="preserve">Urban runoff is a complex matrix containing conventional pollutants </w:t>
      </w:r>
      <w:r w:rsidR="008F10EF">
        <w:fldChar w:fldCharType="begin"/>
      </w:r>
      <w:r w:rsidR="008F10EF" w:rsidRPr="008F10EF">
        <w:instrText xml:space="preserve"> QUOTE  "(Zgheib et al., 2012; Gasperie et al., 2014; Launay et al., 2016; Spahr et al., 2020)" </w:instrText>
      </w:r>
      <w:r w:rsidR="008F10EF">
        <w:fldChar w:fldCharType="separate"/>
      </w:r>
      <w:r w:rsidR="008F10EF" w:rsidRPr="00DB6DBE">
        <w:rPr>
          <w:i/>
        </w:rPr>
        <w:t>(Zgheib et al., 2012; Gasperi et al.</w:t>
      </w:r>
      <w:r w:rsidR="008F10EF" w:rsidRPr="008F10EF">
        <w:t xml:space="preserve">, 2014; Launay </w:t>
      </w:r>
      <w:r w:rsidR="008F10EF" w:rsidRPr="00DB6DBE">
        <w:rPr>
          <w:i/>
        </w:rPr>
        <w:t>et al.</w:t>
      </w:r>
      <w:r w:rsidR="008F10EF" w:rsidRPr="008F10EF">
        <w:t xml:space="preserve">, 2016; Spahr </w:t>
      </w:r>
      <w:r w:rsidR="008F10EF" w:rsidRPr="00DB6DBE">
        <w:rPr>
          <w:i/>
        </w:rPr>
        <w:t>et al.</w:t>
      </w:r>
      <w:r w:rsidR="008F10EF" w:rsidRPr="008F10EF">
        <w:t>, 2020)</w:t>
      </w:r>
      <w:r w:rsidR="008F10EF">
        <w:fldChar w:fldCharType="end"/>
      </w:r>
      <w:r w:rsidRPr="008F10EF">
        <w:t xml:space="preserve"> </w:t>
      </w:r>
      <w:r w:rsidR="001F323C">
        <w:t>and</w:t>
      </w:r>
      <w:r>
        <w:t xml:space="preserve"> contaminants of emerging concern (CECs)</w:t>
      </w:r>
      <w:r w:rsidR="008E72BB">
        <w:t xml:space="preserve"> </w:t>
      </w:r>
      <w:r w:rsidR="008E72BB" w:rsidRPr="008E72BB">
        <w:t>such as pharmaceuticals, personal care products, and industrial chemicals</w:t>
      </w:r>
      <w:r>
        <w:t xml:space="preserve"> </w:t>
      </w:r>
      <w:r>
        <w:fldChar w:fldCharType="begin"/>
      </w:r>
      <w:r>
        <w:instrText xml:space="preserve"> ADDIN ZOTERO_ITEM CSL_CITATION {"citationID":"qZgyTjaC","properties":{"formattedCitation":"(Gasperi {\\i{}et al.}, 2014, 2022; Pinasseau {\\i{}et al.}, 2020)","plainCitation":"(Gasperi et al., 2014, 2022; Pinasseau et al., 2020)","noteIndex":0},"citationItems":[{"id":48,"uris":["http://zotero.org/users/9753339/items/8CD4DNQ9"],"itemData":{"id":48,"type":"article-journal","container-title":"Environmental Science and Pollution Research","DOI":"10.1007/s11356-013-2396-0","ISSN":"0944-1344, 1614-7499","issue":"8","journalAbbreviation":"Environ Sci Pollut Res","language":"en","page":"5267-5281","source":"DOI.org (Crossref)","title":"Micropollutants in urban stormwater: occurrence, concentrations, and atmospheric contributions for a wide range of contaminants in three French catchments","title-short":"Micropollutants in urban stormwater","volume":"21","author":[{"family":"Gasperi","given":"J."},{"family":"Sebastian","given":"C."},{"family":"Ruban","given":"V."},{"family":"Delamain","given":"M."},{"family":"Percot","given":"S."},{"family":"Wiest","given":"L."},{"family":"Mirande","given":"C."},{"family":"Caupos","given":"E."},{"family":"Demare","given":"D."},{"family":"Kessoo","given":"M. Diallo Kessoo"},{"family":"Saad","given":"M."},{"family":"Schwartz","given":"J. J."},{"family":"Dubois","given":"P."},{"family":"Fratta","given":"C."},{"family":"Wolff","given":"H."},{"family":"Moilleron","given":"R."},{"family":"Chebbo","given":"G."},{"family":"Cren","given":"C."},{"family":"Millet","given":"M."},{"family":"Barraud","given":"S."},{"family":"Gromaire","given":"M. C."}],"issued":{"date-parts":[["2014",4]]}}},{"id":2341,"uris":["http://zotero.org/users/9753339/items/BYY2HWEA"],"itemData":{"id":2341,"type":"article-journal","abstract":"Although runoff from trafﬁcked urban areas is recognized as a potentially signiﬁcant pathway of micropollutants, runoff pollution remains poorly documented, except for relatively few historical pollutants such as some metals and hydrocarbons. Therefore, in this work, road and parking lot runoff from four sites with contrasting trafﬁc levels were analyzed for a very broad spectrum of molecules and elements. A total of 128 pollutants and micropollutants were monitored, including inorganic (n = 41) and organic (n = 87) pollutants. Both the dissolved and particulate phases were considered. For a reduced number of samples, non-targeted screening by high-resolution mass spectrometry (HRMS) was carried out. For targeted screening, the contamination proﬁles were quite homogeneous, but the concentrations signiﬁcantly differed between the different sites. Sites with the highest trafﬁc density exhibited the highest concentrations for polycyclic aromatic hydrocarbons (PAHs), some trafﬁc-related metals, alkylphenols and phthalates. Overall, for most micropollutants, the parking lot runoff exhibited the lowest concentrations, and the speciﬁcity of this site was conﬁrmed by its HRMS ﬁngerprint. Non-target screening allowed the sites to be discriminated based on the occurrence of speciﬁc compounds. Unlike the results of targeted screening, the HRMS intra-site variability was lower than its inter-site variability. Unknown substances were tentatively identiﬁed, either characteristic of each site or ubiquitous of all samples.","container-title":"Water","DOI":"10.3390/w14030394","ISSN":"2073-4441","issue":"3","journalAbbreviation":"Water","language":"en","page":"394","source":"DOI.org (Crossref)","title":"Micropollutants in Urban Runoff from Traffic Areas: Target and Non-Target Screening on Four Contrasted Sites","title-short":"Micropollutants in Urban Runoff from Traffic Areas","volume":"14","author":[{"family":"Gasperi","given":"Johnny"},{"family":"Le Roux","given":"Julien"},{"family":"Deshayes","given":"Steven"},{"family":"Ayrault","given":"Sophie"},{"family":"Bordier","given":"Louise"},{"family":"Boudahmane","given":"Lila"},{"family":"Budzinski","given":"Hélène"},{"family":"Caupos","given":"Emilie"},{"family":"Caubrière","given":"Nadège"},{"family":"Flanagan","given":"Kelsey"},{"family":"Guillon","given":"Martin"},{"family":"Huynh","given":"Nina"},{"family":"Labadie","given":"Pierre"},{"family":"Meffray","given":"Laurent"},{"family":"Neveu","given":"Pascale"},{"family":"Partibane","given":"Chandirane"},{"family":"Paupardin","given":"Julien"},{"family":"Saad","given":"Mohamed"},{"family":"Varnede","given":"Lucie"},{"family":"Gromaire","given":"Marie-Christine"}],"issued":{"date-parts":[["2022",1,27]]}}},{"id":6837,"uris":["http://zotero.org/users/9753339/items/VJ4IY9HW"],"itemData":{"id":6837,"type":"article-journal","abstract":"The quality of groundwater (GW) resources is decreasing partly due to chemical contaminations from a wide range of activities, such as industrial and agricultural enterprises and changes in land-use. In urban areas, one potential major pathway of GW contamination is associated with urban water management practices based on stormwater runoff inﬁltration systems (SIS). Data on the performance of the upper layer of soil and the unsaturated zone of inﬁltration basins to limit the contamination of GW by hydrophilic compounds are lacking. With this aim, the impact of inﬁltration practices on GW contamination was assessed for 12 pesticides and 4 pharmaceuticals selected according to their ecotoxicological relevance and their likelihood of being present in urban stormwater and GW. For this purpose, 3 campaigns were conducted at 4 SIS during storm events. For each campaign, passive samplers based on the use of Empore™ disk were deployed in GW wells upstream and downstream of SIS, as well as in the stormwater runoff entering the inﬁltration basins. Upstream and downstream GW contaminations were compared to evaluate the potential effect of SIS on GW contamination and possible relationships with stormwater runoff composition were examined. Our results showed two interesting opposite trends: (i) carbendazim, diuron, ﬂuopyram, imidacloprid and lamotrigine had concentrations signiﬁcantly increasing in GW impacted by inﬁltration, indicating a contribution of SIS to GW contamination, (ii) atrazine, simazine and 2 transformation products exhibited concentrations signiﬁcantly decreasing with inﬁltration due to a probable dilution of historic GW contaminants with inﬁltrated stormwater runoff. The other 7 contaminants showed no general trend. This study demonstrates that passive samplers deployed in GW wells enabled the capture of emerging polar pollutants present at very low concentrations and allowed the assessment of inﬁltration practices on GW quality. New data on GW and urban stormwater are provided for poorly studied hazardous compounds.","container-title":"Environmental Pollution","DOI":"10.1016/j.envpol.2020.115387","ISSN":"02697491","journalAbbreviation":"Environmental Pollution","language":"en","page":"115387","source":"DOI.org (Crossref)","title":"Emerging polar pollutants in groundwater: Potential impact of urban stormwater infiltration practices","title-short":"Emerging polar pollutants in groundwater","volume":"266","author":[{"family":"Pinasseau","given":"Lucie"},{"family":"Wiest","given":"Laure"},{"family":"Volatier","given":"Laurence"},{"family":"Mermillod-Blondin","given":"Florian"},{"family":"Vulliet","given":"Emmanuelle"}],"issued":{"date-parts":[["2020",11]]}}}],"schema":"https://github.com/citation-style-language/schema/raw/master/csl-citation.json"} </w:instrText>
      </w:r>
      <w:r>
        <w:fldChar w:fldCharType="separate"/>
      </w:r>
      <w:r w:rsidRPr="004B7A9B">
        <w:rPr>
          <w:rFonts w:ascii="Calibri" w:hAnsi="Calibri" w:cs="Calibri"/>
          <w:szCs w:val="24"/>
        </w:rPr>
        <w:t xml:space="preserve">(Gasperi </w:t>
      </w:r>
      <w:r w:rsidRPr="004B7A9B">
        <w:rPr>
          <w:rFonts w:ascii="Calibri" w:hAnsi="Calibri" w:cs="Calibri"/>
          <w:i/>
          <w:iCs/>
          <w:szCs w:val="24"/>
        </w:rPr>
        <w:t>et al.</w:t>
      </w:r>
      <w:r w:rsidRPr="004B7A9B">
        <w:rPr>
          <w:rFonts w:ascii="Calibri" w:hAnsi="Calibri" w:cs="Calibri"/>
          <w:szCs w:val="24"/>
        </w:rPr>
        <w:t xml:space="preserve">, 2014, 2022; Pinasseau </w:t>
      </w:r>
      <w:r w:rsidRPr="004B7A9B">
        <w:rPr>
          <w:rFonts w:ascii="Calibri" w:hAnsi="Calibri" w:cs="Calibri"/>
          <w:i/>
          <w:iCs/>
          <w:szCs w:val="24"/>
        </w:rPr>
        <w:t>et al.</w:t>
      </w:r>
      <w:r w:rsidRPr="004B7A9B">
        <w:rPr>
          <w:rFonts w:ascii="Calibri" w:hAnsi="Calibri" w:cs="Calibri"/>
          <w:szCs w:val="24"/>
        </w:rPr>
        <w:t>, 2020)</w:t>
      </w:r>
      <w:r>
        <w:fldChar w:fldCharType="end"/>
      </w:r>
      <w:r w:rsidR="001F323C">
        <w:t>. Airport</w:t>
      </w:r>
      <w:r>
        <w:t xml:space="preserve"> runoff</w:t>
      </w:r>
      <w:r w:rsidR="001F323C">
        <w:t>,</w:t>
      </w:r>
      <w:r w:rsidR="008E5A70">
        <w:t xml:space="preserve"> </w:t>
      </w:r>
      <w:r>
        <w:t xml:space="preserve">which is generated </w:t>
      </w:r>
      <w:r w:rsidR="008E5A70">
        <w:t>by</w:t>
      </w:r>
      <w:r>
        <w:t xml:space="preserve"> the extensive </w:t>
      </w:r>
      <w:r w:rsidRPr="00EC096A">
        <w:t>impervious surfaces</w:t>
      </w:r>
      <w:r w:rsidR="008E5A70">
        <w:t xml:space="preserve">, </w:t>
      </w:r>
      <w:r w:rsidR="008E5A70" w:rsidRPr="008E5A70">
        <w:t> is of particular interest due to its high volume and potential for resource recovery</w:t>
      </w:r>
      <w:r>
        <w:t xml:space="preserve"> </w:t>
      </w:r>
      <w:r>
        <w:fldChar w:fldCharType="begin"/>
      </w:r>
      <w:r>
        <w:instrText xml:space="preserve"> ADDIN ZOTERO_ITEM CSL_CITATION {"citationID":"KyGTamBw","properties":{"formattedCitation":"(Jaiyeola, 2017)","plainCitation":"(Jaiyeola, 2017)","noteIndex":0},"citationItems":[{"id":6937,"uris":["http://zotero.org/users/9753339/items/64NQK352"],"itemData":{"id":6937,"type":"article-journal","abstract":"Water is a precious resource. Its demand is rising rapidly and has already exceeded the supply capacity of natural sources in many cities. Airports are spread over vast areas which are normally free from birds and pollution and thus offer immense opportunities for rainwater harvesting which could, to a large extent, meet their non-potable water requirements. This article reviews rainwater treatment procedures at various airports which not only provide a valuable resource for their own consumption but also prevent the entry of pollutants directly into the environment. It also discusses the models and approaches to assess the rainwater harvesting potential of airports on parameters of cost and reliability. It explains the stages involved in the rainwater harvesting systems and how some airports have implemented rainwater treatment systems. Finally, it identiﬁes the gaps at various stages and discusses possible improvements in the near future.","container-title":"International Journal of Environmental Science and Technology","DOI":"10.1007/s13762-016-1122-0","ISSN":"1735-1472, 1735-2630","issue":"2","journalAbbreviation":"Int. J. Environ. Sci. Technol.","language":"en","page":"421-434","source":"DOI.org (Crossref)","title":"The management and treatment of airport rainwater in a water-scarce environment","volume":"14","author":[{"family":"Jaiyeola","given":"A. T."}],"issued":{"date-parts":[["2017",2]]}}}],"schema":"https://github.com/citation-style-language/schema/raw/master/csl-citation.json"} </w:instrText>
      </w:r>
      <w:r>
        <w:fldChar w:fldCharType="separate"/>
      </w:r>
      <w:r w:rsidRPr="004B7A9B">
        <w:rPr>
          <w:rFonts w:ascii="Calibri" w:hAnsi="Calibri" w:cs="Calibri"/>
        </w:rPr>
        <w:t>(Jaiyeola, 2017)</w:t>
      </w:r>
      <w:r>
        <w:fldChar w:fldCharType="end"/>
      </w:r>
      <w:r>
        <w:t xml:space="preserve">. Capturing and recharging this water through </w:t>
      </w:r>
      <w:r w:rsidR="00A32F4B">
        <w:t xml:space="preserve">MAR </w:t>
      </w:r>
      <w:r>
        <w:t>could help mitigate flooding risks in airport areas while contrib</w:t>
      </w:r>
      <w:r w:rsidR="00EC096A">
        <w:t xml:space="preserve">uting to groundwater resources. </w:t>
      </w:r>
      <w:r w:rsidR="008E72BB">
        <w:t>However, t</w:t>
      </w:r>
      <w:r w:rsidR="008E72BB" w:rsidRPr="008E72BB">
        <w:t xml:space="preserve">he chemical quality  of airport runoff raises concerns regarding its suitability for direct infiltration into </w:t>
      </w:r>
      <w:r w:rsidR="008E72BB">
        <w:t>aquifers</w:t>
      </w:r>
      <w:r w:rsidR="008E72BB" w:rsidRPr="008E72BB">
        <w:t xml:space="preserve">. </w:t>
      </w:r>
      <w:r w:rsidR="008E72BB">
        <w:t>Airport</w:t>
      </w:r>
      <w:r w:rsidR="008E72BB" w:rsidRPr="00266645">
        <w:t xml:space="preserve"> </w:t>
      </w:r>
      <w:r w:rsidR="008E72BB">
        <w:t>areas</w:t>
      </w:r>
      <w:r w:rsidR="008E72BB" w:rsidRPr="00266645">
        <w:t xml:space="preserve"> are routinely exposed to de-icing agents, hydraulic fluids, fuel residues, and other pollutants associated with aviation activities </w:t>
      </w:r>
      <w:r w:rsidR="008F10EF">
        <w:fldChar w:fldCharType="begin"/>
      </w:r>
      <w:r w:rsidR="008F10EF">
        <w:instrText xml:space="preserve"> QUOTE  "(Sulej et al., 2011)" </w:instrText>
      </w:r>
      <w:r w:rsidR="008F10EF">
        <w:fldChar w:fldCharType="separate"/>
      </w:r>
      <w:r w:rsidR="008F10EF">
        <w:t xml:space="preserve">(Sulej </w:t>
      </w:r>
      <w:r w:rsidR="008F10EF" w:rsidRPr="00DB6DBE">
        <w:rPr>
          <w:i/>
        </w:rPr>
        <w:t>et al.</w:t>
      </w:r>
      <w:r w:rsidR="008F10EF">
        <w:t>, 2011)</w:t>
      </w:r>
      <w:r w:rsidR="008F10EF">
        <w:fldChar w:fldCharType="end"/>
      </w:r>
      <w:r w:rsidR="008E72BB">
        <w:t xml:space="preserve">. </w:t>
      </w:r>
      <w:r w:rsidR="008E72BB" w:rsidRPr="00266645">
        <w:t xml:space="preserve">This </w:t>
      </w:r>
      <w:r w:rsidR="008E72BB">
        <w:t>exposure results in a diverse range o</w:t>
      </w:r>
      <w:r w:rsidR="008E72BB" w:rsidRPr="00266645">
        <w:t xml:space="preserve">f contaminants </w:t>
      </w:r>
      <w:r w:rsidR="008E72BB">
        <w:t xml:space="preserve">on airport surfaces </w:t>
      </w:r>
      <w:r w:rsidR="008E72BB" w:rsidRPr="00266645">
        <w:t>such as heavy metals, glycols, benzotriazoles, detergents, polychlorinated biphenyls, polycyclic aromatic hydrocarbons, formaldehydes, phenols and PFAS</w:t>
      </w:r>
      <w:r w:rsidR="008E72BB">
        <w:t xml:space="preserve"> </w:t>
      </w:r>
      <w:r w:rsidR="008F10EF">
        <w:fldChar w:fldCharType="begin"/>
      </w:r>
      <w:r w:rsidR="008F10EF">
        <w:instrText xml:space="preserve"> QUOTE  "(Jia et al., 2018; Pressl et al., 2019; Sulej-Suchomska et al., 2021)" </w:instrText>
      </w:r>
      <w:r w:rsidR="008F10EF">
        <w:fldChar w:fldCharType="separate"/>
      </w:r>
      <w:r w:rsidR="008F10EF">
        <w:t xml:space="preserve">(Jia </w:t>
      </w:r>
      <w:r w:rsidR="008F10EF" w:rsidRPr="00DB6DBE">
        <w:rPr>
          <w:i/>
        </w:rPr>
        <w:t>et al.</w:t>
      </w:r>
      <w:r w:rsidR="008F10EF">
        <w:t xml:space="preserve">, 2018; Pressl </w:t>
      </w:r>
      <w:r w:rsidR="008F10EF" w:rsidRPr="00DB6DBE">
        <w:rPr>
          <w:i/>
        </w:rPr>
        <w:t>et al.</w:t>
      </w:r>
      <w:r w:rsidR="008F10EF">
        <w:t xml:space="preserve">, 2019; Sulej-Suchomska </w:t>
      </w:r>
      <w:r w:rsidR="008F10EF" w:rsidRPr="00DB6DBE">
        <w:rPr>
          <w:i/>
        </w:rPr>
        <w:t>et al.</w:t>
      </w:r>
      <w:r w:rsidR="008F10EF">
        <w:t>, 2021)</w:t>
      </w:r>
      <w:r w:rsidR="008F10EF">
        <w:fldChar w:fldCharType="end"/>
      </w:r>
      <w:r w:rsidR="008E72BB" w:rsidRPr="00DB6DBE">
        <w:t xml:space="preserve">. </w:t>
      </w:r>
      <w:r w:rsidR="008E72BB" w:rsidRPr="004B7A9B">
        <w:t xml:space="preserve">During rainfall events, these contaminants </w:t>
      </w:r>
      <w:r w:rsidR="005F445A">
        <w:t>are</w:t>
      </w:r>
      <w:r w:rsidR="008E72BB" w:rsidRPr="004B7A9B">
        <w:t xml:space="preserve"> washed away and transported </w:t>
      </w:r>
      <w:r w:rsidR="008E72BB">
        <w:t>via</w:t>
      </w:r>
      <w:r w:rsidR="008E72BB" w:rsidRPr="004B7A9B">
        <w:t xml:space="preserve"> runoff to stormwater basins.</w:t>
      </w:r>
      <w:r w:rsidR="008E72BB">
        <w:t xml:space="preserve"> </w:t>
      </w:r>
      <w:r w:rsidR="008E72BB" w:rsidRPr="00605E61">
        <w:t>Recent studies, such as the review by</w:t>
      </w:r>
      <w:r w:rsidR="008E72BB">
        <w:t xml:space="preserve"> </w:t>
      </w:r>
      <w:r w:rsidR="008E72BB">
        <w:fldChar w:fldCharType="begin"/>
      </w:r>
      <w:r w:rsidR="008E72BB">
        <w:instrText xml:space="preserve"> QUOTE  "Sulej-Suchomska et al. (2024)" </w:instrText>
      </w:r>
      <w:r w:rsidR="008E72BB">
        <w:fldChar w:fldCharType="separate"/>
      </w:r>
      <w:r w:rsidR="008E72BB">
        <w:t>Sulej-Suchomska et al. (2024)</w:t>
      </w:r>
      <w:r w:rsidR="008E72BB">
        <w:fldChar w:fldCharType="end"/>
      </w:r>
      <w:r w:rsidR="008E72BB" w:rsidRPr="00605E61">
        <w:t>, highlight</w:t>
      </w:r>
      <w:r w:rsidR="008E72BB">
        <w:t>s</w:t>
      </w:r>
      <w:r w:rsidR="008E72BB" w:rsidRPr="00605E61">
        <w:t xml:space="preserve"> the </w:t>
      </w:r>
      <w:r w:rsidR="008E72BB">
        <w:t>widespread occurrence</w:t>
      </w:r>
      <w:r w:rsidR="008E72BB" w:rsidRPr="00605E61">
        <w:t xml:space="preserve"> of these contaminants in airport runoff.</w:t>
      </w:r>
      <w:r w:rsidR="008E72BB">
        <w:t xml:space="preserve"> For instance,</w:t>
      </w:r>
      <w:r w:rsidR="008E72BB" w:rsidRPr="00605E61">
        <w:t xml:space="preserve"> benzotri</w:t>
      </w:r>
      <w:r w:rsidR="008E72BB">
        <w:t>azoles and its derivatives have been detected at concentrations ranging from 0.083 to 156 µg</w:t>
      </w:r>
      <w:r w:rsidR="008E72BB">
        <w:rPr>
          <w:rFonts w:cstheme="minorHAnsi"/>
        </w:rPr>
        <w:t>∙</w:t>
      </w:r>
      <w:r w:rsidR="008E72BB">
        <w:t>L</w:t>
      </w:r>
      <w:r w:rsidR="008E72BB" w:rsidRPr="0007056C">
        <w:rPr>
          <w:vertAlign w:val="superscript"/>
        </w:rPr>
        <w:t>-1</w:t>
      </w:r>
      <w:r w:rsidR="008E72BB" w:rsidRPr="00605E61">
        <w:t xml:space="preserve">. </w:t>
      </w:r>
      <w:r w:rsidR="008E72BB" w:rsidRPr="002F3A7E">
        <w:t>PFAS levels have also been found to be significant, with concentrations in runoff from Chinese airports ranging between</w:t>
      </w:r>
      <w:r w:rsidR="008E72BB">
        <w:t xml:space="preserve"> 19</w:t>
      </w:r>
      <w:r w:rsidR="008E72BB" w:rsidRPr="00605E61">
        <w:t xml:space="preserve"> to 342 ng</w:t>
      </w:r>
      <w:r w:rsidR="008E72BB">
        <w:rPr>
          <w:rFonts w:cstheme="minorHAnsi"/>
        </w:rPr>
        <w:t>∙</w:t>
      </w:r>
      <w:r w:rsidR="008E72BB">
        <w:t>L</w:t>
      </w:r>
      <w:r w:rsidR="008E72BB" w:rsidRPr="0007056C">
        <w:rPr>
          <w:vertAlign w:val="superscript"/>
        </w:rPr>
        <w:t>-1</w:t>
      </w:r>
      <w:r w:rsidR="008E72BB" w:rsidRPr="00605E61">
        <w:t xml:space="preserve">. </w:t>
      </w:r>
      <w:r w:rsidR="008E72BB">
        <w:t xml:space="preserve">Additionally, </w:t>
      </w:r>
      <w:r w:rsidR="008E72BB">
        <w:fldChar w:fldCharType="begin"/>
      </w:r>
      <w:r w:rsidR="008E72BB">
        <w:instrText xml:space="preserve"> QUOTE  "Ahrens et al. (2015)" </w:instrText>
      </w:r>
      <w:r w:rsidR="008E72BB">
        <w:fldChar w:fldCharType="separate"/>
      </w:r>
      <w:r w:rsidR="008E72BB">
        <w:t xml:space="preserve">Ahrens </w:t>
      </w:r>
      <w:r w:rsidR="008E72BB" w:rsidRPr="00D53423">
        <w:rPr>
          <w:i/>
        </w:rPr>
        <w:t>et al</w:t>
      </w:r>
      <w:r w:rsidR="008E72BB">
        <w:t>. (2015)</w:t>
      </w:r>
      <w:r w:rsidR="008E72BB">
        <w:fldChar w:fldCharType="end"/>
      </w:r>
      <w:r w:rsidR="008E72BB" w:rsidRPr="00605E61">
        <w:t xml:space="preserve"> </w:t>
      </w:r>
      <w:r w:rsidR="008E72BB">
        <w:t>reported elevated concentrations of PFAS in a lake near a Swedish airport, with the sum of PFOA, PFHxA, PFOS and PFHxS ranging between 150 and 350 ng</w:t>
      </w:r>
      <w:r w:rsidR="008E72BB">
        <w:rPr>
          <w:rFonts w:cstheme="minorHAnsi"/>
        </w:rPr>
        <w:t>∙</w:t>
      </w:r>
      <w:r w:rsidR="008E72BB">
        <w:t>L</w:t>
      </w:r>
      <w:r w:rsidR="008E72BB" w:rsidRPr="0007056C">
        <w:rPr>
          <w:vertAlign w:val="superscript"/>
        </w:rPr>
        <w:t>-1</w:t>
      </w:r>
      <w:r w:rsidR="008E72BB">
        <w:t xml:space="preserve"> during </w:t>
      </w:r>
      <w:r w:rsidR="008E72BB" w:rsidRPr="00A80779">
        <w:t>2009–2013.</w:t>
      </w:r>
    </w:p>
    <w:p w14:paraId="6C8BE8AB" w14:textId="51827670" w:rsidR="00474D1D" w:rsidRDefault="00EA4C69" w:rsidP="00865AB7">
      <w:pPr>
        <w:spacing w:line="276" w:lineRule="auto"/>
        <w:jc w:val="both"/>
      </w:pPr>
      <w:r w:rsidRPr="00EA4C69">
        <w:t xml:space="preserve">Understanding the factors that govern the fate and transport of </w:t>
      </w:r>
      <w:r w:rsidR="009E3A92">
        <w:t>CEC</w:t>
      </w:r>
      <w:r w:rsidR="006B24B4">
        <w:t>s</w:t>
      </w:r>
      <w:r w:rsidRPr="00EA4C69">
        <w:t xml:space="preserve"> in soil </w:t>
      </w:r>
      <w:r w:rsidR="00132F09">
        <w:t xml:space="preserve">during infiltration </w:t>
      </w:r>
      <w:r w:rsidRPr="00EA4C69">
        <w:t>is</w:t>
      </w:r>
      <w:r w:rsidR="00A56ECF">
        <w:t xml:space="preserve"> thus</w:t>
      </w:r>
      <w:r w:rsidRPr="00EA4C69">
        <w:t xml:space="preserve"> crucial for assessing their potential impacts on groundwater quality.</w:t>
      </w:r>
      <w:r>
        <w:t xml:space="preserve"> </w:t>
      </w:r>
      <w:r w:rsidRPr="00EA4C69">
        <w:t>During infiltration, soil can act as a natural filtration barrier, attenuating pollutant concentrations through processes s</w:t>
      </w:r>
      <w:r w:rsidR="00335417">
        <w:t>uch as sorption, biodegradation</w:t>
      </w:r>
      <w:r w:rsidRPr="00EA4C69">
        <w:t xml:space="preserve"> and </w:t>
      </w:r>
      <w:r w:rsidR="00335417">
        <w:t>physical retention</w:t>
      </w:r>
      <w:r w:rsidR="002E6926">
        <w:t xml:space="preserve"> </w:t>
      </w:r>
      <w:r w:rsidR="002E6926">
        <w:fldChar w:fldCharType="begin"/>
      </w:r>
      <w:r w:rsidR="002E6926">
        <w:instrText xml:space="preserve"> ADDIN ZOTERO_ITEM CSL_CITATION {"citationID":"AY0SzZ4r","properties":{"formattedCitation":"(Tedoldi {\\i{}et al.}, 2016)","plainCitation":"(Tedoldi et al., 2016)","noteIndex":0},"citationItems":[{"id":6839,"uris":["http://zotero.org/users/9753339/items/B7KZ49VN"],"itemData":{"id":6839,"type":"article-journal","container-title":"Science of The Total Environment","DOI":"10.1016/j.scitotenv.2016.04.215","ISSN":"00489697","journalAbbreviation":"Science of The Total Environment","language":"en","page":"904-926","source":"DOI.org (Crossref)","title":"Impact of runoff infiltration on contaminant accumulation and transport in the soil/filter media of Sustainable Urban Drainage Systems: A literature review","title-short":"Impact of runoff infiltration on contaminant accumulation and transport in the soil/filter media of Sustainable Urban Drainage Systems","volume":"569-570","author":[{"family":"Tedoldi","given":"Damien"},{"family":"Chebbo","given":"Ghassan"},{"family":"Pierlot","given":"Daniel"},{"family":"Kovacs","given":"Yves"},{"family":"Gromaire","given":"Marie-Christine"}],"issued":{"date-parts":[["2016",11]]}}}],"schema":"https://github.com/citation-style-language/schema/raw/master/csl-citation.json"} </w:instrText>
      </w:r>
      <w:r w:rsidR="002E6926">
        <w:fldChar w:fldCharType="separate"/>
      </w:r>
      <w:r w:rsidR="002E6926" w:rsidRPr="002E6926">
        <w:rPr>
          <w:rFonts w:ascii="Calibri" w:hAnsi="Calibri" w:cs="Calibri"/>
          <w:szCs w:val="24"/>
        </w:rPr>
        <w:t xml:space="preserve">(Tedoldi </w:t>
      </w:r>
      <w:r w:rsidR="002E6926" w:rsidRPr="002E6926">
        <w:rPr>
          <w:rFonts w:ascii="Calibri" w:hAnsi="Calibri" w:cs="Calibri"/>
          <w:i/>
          <w:iCs/>
          <w:szCs w:val="24"/>
        </w:rPr>
        <w:t>et al.</w:t>
      </w:r>
      <w:r w:rsidR="002E6926" w:rsidRPr="002E6926">
        <w:rPr>
          <w:rFonts w:ascii="Calibri" w:hAnsi="Calibri" w:cs="Calibri"/>
          <w:szCs w:val="24"/>
        </w:rPr>
        <w:t>, 2016)</w:t>
      </w:r>
      <w:r w:rsidR="002E6926">
        <w:fldChar w:fldCharType="end"/>
      </w:r>
      <w:r w:rsidRPr="00EA4C69">
        <w:t>.</w:t>
      </w:r>
      <w:r w:rsidR="00B21D89">
        <w:t xml:space="preserve"> These mechanisms are central to SAT systems</w:t>
      </w:r>
      <w:r w:rsidR="00A80779">
        <w:t>,</w:t>
      </w:r>
      <w:r w:rsidR="00B21D89">
        <w:t xml:space="preserve"> where natural subsurface processes mitigate contaminants loads during MAR operations with surface-based infiltration systems</w:t>
      </w:r>
      <w:r w:rsidR="002E6926">
        <w:t xml:space="preserve"> </w:t>
      </w:r>
      <w:r w:rsidR="002E6926">
        <w:fldChar w:fldCharType="begin"/>
      </w:r>
      <w:r w:rsidR="00FF37F7">
        <w:instrText xml:space="preserve"> ADDIN ZOTERO_ITEM CSL_CITATION {"citationID":"P6BczBCY","properties":{"formattedCitation":"(Sharma et Kennedy, 2017)","plainCitation":"(Sharma et Kennedy, 2017)","noteIndex":0},"citationItems":[{"id":5869,"uris":["http://zotero.org/users/9753339/items/XUXJFIRZ"],"itemData":{"id":5869,"type":"article-journal","abstract":"Soil aquifer treatment (SAT) is a managed aquifer recharge system in which the quality of the feed water (stormwater or wastewater treatment plant efﬂuent) is further improved during soil passage. This paper provides an overview of SAT systems for wastewater treatment and reuse, and summarises design, removal efﬁciencies and pre-and post-treatment options as well as cost aspects of SAT using inﬁltration basins. SAT is an environment-friendly and robust multi-contaminant removal system which is effective in removing pathogens, nitrogen, bulk organic matter and the majority of organic micropollutants. The contaminant removal efﬁciency of SAT system, however, depends on several factors including source water quality, local hydrogeological conditions and process conditions applied. The performance of SAT system can be further improved by proper site selection and appropriate design of its components including pre- and post-treatment. SAT serves as an environmental and psychological barrier for water reuse applications. It is equally attractive for developed as well as developing countries and ﬂexible enough to allow adaptation to local requirements by combining it with conventional (above the ground) natural or engineered water and wastewater treatment technologies.","container-title":"International Biodeterioration &amp; Biodegradation","DOI":"10.1016/j.ibiod.2016.09.013","ISSN":"09648305","journalAbbreviation":"International Biodeterioration &amp; Biodegradation","language":"en","page":"671-677","source":"DOI.org (Crossref)","title":"Soil aquifer treatment for wastewater treatment and reuse","volume":"119","author":[{"family":"Sharma","given":"Saroj K."},{"family":"Kennedy","given":"Maria D."}],"issued":{"date-parts":[["2017",4]]}}}],"schema":"https://github.com/citation-style-language/schema/raw/master/csl-citation.json"} </w:instrText>
      </w:r>
      <w:r w:rsidR="002E6926">
        <w:fldChar w:fldCharType="separate"/>
      </w:r>
      <w:r w:rsidR="00FF37F7" w:rsidRPr="00FF37F7">
        <w:rPr>
          <w:rFonts w:ascii="Calibri" w:hAnsi="Calibri" w:cs="Calibri"/>
        </w:rPr>
        <w:t>(Sharma et Kennedy, 2017)</w:t>
      </w:r>
      <w:r w:rsidR="002E6926">
        <w:fldChar w:fldCharType="end"/>
      </w:r>
      <w:r w:rsidR="00B21D89">
        <w:t xml:space="preserve">. </w:t>
      </w:r>
      <w:r w:rsidR="00B21D89" w:rsidRPr="00B21D89">
        <w:t xml:space="preserve">The efficiency of these processes </w:t>
      </w:r>
      <w:r w:rsidR="00B21D89">
        <w:t>varies significantly depending</w:t>
      </w:r>
      <w:r w:rsidR="00B21D89" w:rsidRPr="00B21D89">
        <w:t xml:space="preserve"> on the physic</w:t>
      </w:r>
      <w:r w:rsidR="009E3A92">
        <w:t>ochemical properties of CEC</w:t>
      </w:r>
      <w:r w:rsidR="0003497E">
        <w:t>s</w:t>
      </w:r>
      <w:r w:rsidR="00A80779" w:rsidRPr="00A80779">
        <w:rPr>
          <w:rFonts w:ascii="Segoe UI" w:hAnsi="Segoe UI" w:cs="Segoe UI"/>
          <w:color w:val="000000"/>
          <w:shd w:val="clear" w:color="auto" w:fill="FFFFFF"/>
        </w:rPr>
        <w:t xml:space="preserve"> </w:t>
      </w:r>
      <w:r w:rsidR="00A80779" w:rsidRPr="00A80779">
        <w:t>—such as solubility, polarity, and biodegra</w:t>
      </w:r>
      <w:r w:rsidR="004826BA">
        <w:t xml:space="preserve">dability </w:t>
      </w:r>
      <w:r w:rsidR="004826BA">
        <w:fldChar w:fldCharType="begin"/>
      </w:r>
      <w:r w:rsidR="004826BA">
        <w:instrText xml:space="preserve"> ADDIN ZOTERO_ITEM CSL_CITATION {"citationID":"fBTYLKX8","properties":{"formattedCitation":"(Lapworth {\\i{}et al.}, 2012)","plainCitation":"(Lapworth et al., 2012)","noteIndex":0},"citationItems":[{"id":6843,"uris":["http://zotero.org/users/9753339/items/GNT8YY7B"],"itemData":{"id":6843,"type":"article-journal","abstract":"Emerging organic contaminants (EOCs) detected in groundwater may have adverse effects on human health and aquatic ecosystems. This paper reviews the existing occurrence data in groundwater for a range of EOCs including pharmaceutical, personal care, ‘life-style’ and selected industrial compounds. The main sources and pathways for organic EOCs in groundwater are reviewed, with occurrence data for EOCs in groundwater included from both targeted studies and broad reconnaissance surveys. Nanogrammicrogram per litre concentrations are present in groundwater for a large range of EOCs as well as metabolites and transformation products and under certain conditions may pose a threat to freshwater bodies for decades due to relatively long groundwater residence times. In the coming decades, more of these EOCs are likely to have drinking water standards, environmental quality standards and/or groundwater threshold values deﬁned, and therefore a better understanding of the spatial and temporal variation remains a priority.","container-title":"Environmental Pollution","DOI":"10.1016/j.envpol.2011.12.034","ISSN":"02697491","journalAbbreviation":"Environmental Pollution","language":"en","license":"https://www.elsevier.com/tdm/userlicense/1.0/","page":"287-303","source":"DOI.org (Crossref)","title":"Emerging organic contaminants in groundwater: A review of sources, fate and occurrence","title-short":"Emerging organic contaminants in groundwater","volume":"163","author":[{"family":"Lapworth","given":"D.J."},{"family":"Baran","given":"N."},{"family":"Stuart","given":"M.E."},{"family":"Ward","given":"R.S."}],"issued":{"date-parts":[["2012",4]]}}}],"schema":"https://github.com/citation-style-language/schema/raw/master/csl-citation.json"} </w:instrText>
      </w:r>
      <w:r w:rsidR="004826BA">
        <w:fldChar w:fldCharType="separate"/>
      </w:r>
      <w:r w:rsidR="004826BA" w:rsidRPr="004826BA">
        <w:rPr>
          <w:rFonts w:ascii="Calibri" w:hAnsi="Calibri" w:cs="Calibri"/>
          <w:szCs w:val="24"/>
        </w:rPr>
        <w:t xml:space="preserve">(Lapworth </w:t>
      </w:r>
      <w:r w:rsidR="004826BA" w:rsidRPr="004826BA">
        <w:rPr>
          <w:rFonts w:ascii="Calibri" w:hAnsi="Calibri" w:cs="Calibri"/>
          <w:i/>
          <w:iCs/>
          <w:szCs w:val="24"/>
        </w:rPr>
        <w:t>et al.</w:t>
      </w:r>
      <w:r w:rsidR="004826BA" w:rsidRPr="004826BA">
        <w:rPr>
          <w:rFonts w:ascii="Calibri" w:hAnsi="Calibri" w:cs="Calibri"/>
          <w:szCs w:val="24"/>
        </w:rPr>
        <w:t>, 2012)</w:t>
      </w:r>
      <w:r w:rsidR="004826BA">
        <w:fldChar w:fldCharType="end"/>
      </w:r>
      <w:r w:rsidR="004826BA">
        <w:t xml:space="preserve"> </w:t>
      </w:r>
      <w:r w:rsidR="00A80779" w:rsidRPr="00A80779">
        <w:t>—as well as soil characteristics</w:t>
      </w:r>
      <w:r w:rsidR="00B21D89" w:rsidRPr="00B21D89">
        <w:t>, including porosity, organic matter content, mineral composition, and the presence of microbial communities</w:t>
      </w:r>
      <w:r w:rsidR="00A36EE9">
        <w:t xml:space="preserve"> </w:t>
      </w:r>
      <w:r w:rsidR="008F10EF">
        <w:fldChar w:fldCharType="begin"/>
      </w:r>
      <w:r w:rsidR="008F10EF">
        <w:instrText xml:space="preserve"> QUOTE  "(Boyd et al., 1988; Semple et al., 2007; Cheng et al., 2012)" </w:instrText>
      </w:r>
      <w:r w:rsidR="008F10EF">
        <w:fldChar w:fldCharType="separate"/>
      </w:r>
      <w:r w:rsidR="008F10EF">
        <w:t xml:space="preserve">(Boyd </w:t>
      </w:r>
      <w:r w:rsidR="008F10EF" w:rsidRPr="00DB6DBE">
        <w:rPr>
          <w:i/>
        </w:rPr>
        <w:t>et al.</w:t>
      </w:r>
      <w:r w:rsidR="008F10EF">
        <w:t xml:space="preserve">, 1988; Semple </w:t>
      </w:r>
      <w:r w:rsidR="008F10EF" w:rsidRPr="00DB6DBE">
        <w:rPr>
          <w:i/>
        </w:rPr>
        <w:t>et al.</w:t>
      </w:r>
      <w:r w:rsidR="008F10EF">
        <w:t xml:space="preserve">, 2007; Cheng </w:t>
      </w:r>
      <w:r w:rsidR="008F10EF" w:rsidRPr="00DB6DBE">
        <w:rPr>
          <w:i/>
        </w:rPr>
        <w:t>et al.</w:t>
      </w:r>
      <w:r w:rsidR="008F10EF">
        <w:t>, 2012)</w:t>
      </w:r>
      <w:r w:rsidR="008F10EF">
        <w:fldChar w:fldCharType="end"/>
      </w:r>
      <w:r w:rsidR="00B21D89" w:rsidRPr="00DB6DBE">
        <w:t>.</w:t>
      </w:r>
      <w:r w:rsidR="00A56ECF" w:rsidRPr="00DB6DBE">
        <w:t xml:space="preserve"> </w:t>
      </w:r>
      <w:r w:rsidRPr="00EA4C69">
        <w:t>For example, hydrophobic contaminants tend to bind strongly to soil particles, reducing their mobility, while hydrophilic and polar compounds, such as pharmaceuticals and pesticides, are more prone to leaching, posing a greater risk of groundwater contamination.</w:t>
      </w:r>
      <w:r w:rsidR="00D75EDE">
        <w:t xml:space="preserve"> </w:t>
      </w:r>
      <w:r w:rsidR="003435D8" w:rsidRPr="003435D8">
        <w:t xml:space="preserve">The persistence </w:t>
      </w:r>
      <w:r w:rsidR="00644343">
        <w:t xml:space="preserve">of PFAS </w:t>
      </w:r>
      <w:r w:rsidR="003435D8" w:rsidRPr="003435D8">
        <w:t>highlights the need for an in-depth evaluation of their behavio</w:t>
      </w:r>
      <w:r w:rsidR="00A54DB9">
        <w:t>u</w:t>
      </w:r>
      <w:r w:rsidR="003435D8" w:rsidRPr="003435D8">
        <w:t>r in SAT systems</w:t>
      </w:r>
      <w:r w:rsidR="006B24B4">
        <w:t xml:space="preserve"> </w:t>
      </w:r>
      <w:r w:rsidR="008F10EF">
        <w:fldChar w:fldCharType="begin"/>
      </w:r>
      <w:r w:rsidR="008F10EF">
        <w:instrText xml:space="preserve"> QUOTE  "(Mumberg et al., 2024)" </w:instrText>
      </w:r>
      <w:r w:rsidR="008F10EF">
        <w:fldChar w:fldCharType="separate"/>
      </w:r>
      <w:r w:rsidR="008F10EF">
        <w:t xml:space="preserve">(Mumberg </w:t>
      </w:r>
      <w:r w:rsidR="008F10EF" w:rsidRPr="00DB6DBE">
        <w:rPr>
          <w:i/>
        </w:rPr>
        <w:t>et al.</w:t>
      </w:r>
      <w:r w:rsidR="008F10EF">
        <w:t>, 2024)</w:t>
      </w:r>
      <w:r w:rsidR="008F10EF">
        <w:fldChar w:fldCharType="end"/>
      </w:r>
      <w:r w:rsidR="003435D8" w:rsidRPr="003435D8">
        <w:t xml:space="preserve">. </w:t>
      </w:r>
      <w:r w:rsidR="00A80779" w:rsidRPr="00A80779">
        <w:t xml:space="preserve">Gaining insight into these interactions can inform the design of </w:t>
      </w:r>
      <w:r w:rsidR="00A32F4B">
        <w:t>SAT</w:t>
      </w:r>
      <w:r w:rsidR="00A32F4B" w:rsidRPr="00A80779">
        <w:t xml:space="preserve"> </w:t>
      </w:r>
      <w:r w:rsidR="00A80779" w:rsidRPr="00A80779">
        <w:t>systems to enhance natural attenuation and prevent groundwater pollution.</w:t>
      </w:r>
      <w:r w:rsidR="00474D1D">
        <w:t xml:space="preserve"> </w:t>
      </w:r>
    </w:p>
    <w:p w14:paraId="3D70D32C" w14:textId="678F6395" w:rsidR="00F00CE9" w:rsidRDefault="00A515EE" w:rsidP="00865AB7">
      <w:pPr>
        <w:spacing w:line="276" w:lineRule="auto"/>
        <w:jc w:val="both"/>
      </w:pPr>
      <w:r>
        <w:t>Laboratory studies on CEC behavio</w:t>
      </w:r>
      <w:r w:rsidR="00BF6B38">
        <w:t>u</w:t>
      </w:r>
      <w:r>
        <w:t>r</w:t>
      </w:r>
      <w:r w:rsidR="00DF597D">
        <w:t xml:space="preserve"> </w:t>
      </w:r>
      <w:r w:rsidR="00CE4224">
        <w:t>are often based on kinetic sorption experiments</w:t>
      </w:r>
      <w:r>
        <w:t xml:space="preserve">, where contaminants are introduced </w:t>
      </w:r>
      <w:r w:rsidR="00974100">
        <w:t>in</w:t>
      </w:r>
      <w:r>
        <w:t>to soil in controlled environmen</w:t>
      </w:r>
      <w:r w:rsidR="00CE4224">
        <w:t xml:space="preserve">ts such as polypropylene bottles or </w:t>
      </w:r>
      <w:r w:rsidR="00CE4224">
        <w:lastRenderedPageBreak/>
        <w:t>falcon tubes</w:t>
      </w:r>
      <w:r w:rsidR="00AE2695">
        <w:t xml:space="preserve"> </w:t>
      </w:r>
      <w:r w:rsidR="00F00CE9">
        <w:fldChar w:fldCharType="begin"/>
      </w:r>
      <w:r w:rsidR="00F00CE9">
        <w:instrText xml:space="preserve"> QUOTE  "(Zhang et al., 2015, Askeland et al., 2020, Barth et al., 2021; Dai et al., 2023; Hubert et al., 2023)" </w:instrText>
      </w:r>
      <w:r w:rsidR="00F00CE9">
        <w:fldChar w:fldCharType="separate"/>
      </w:r>
      <w:r w:rsidR="00F00CE9">
        <w:t xml:space="preserve">(Zhang </w:t>
      </w:r>
      <w:r w:rsidR="00F00CE9" w:rsidRPr="00DB6DBE">
        <w:rPr>
          <w:i/>
        </w:rPr>
        <w:t>et al.</w:t>
      </w:r>
      <w:r w:rsidR="00F00CE9">
        <w:t xml:space="preserve">, 2015, Askeland </w:t>
      </w:r>
      <w:r w:rsidR="00F00CE9" w:rsidRPr="00DB6DBE">
        <w:rPr>
          <w:i/>
        </w:rPr>
        <w:t>et al.</w:t>
      </w:r>
      <w:r w:rsidR="00F00CE9">
        <w:t xml:space="preserve">, 2020, Barth </w:t>
      </w:r>
      <w:r w:rsidR="00F00CE9" w:rsidRPr="00DB6DBE">
        <w:rPr>
          <w:i/>
        </w:rPr>
        <w:t>et al.</w:t>
      </w:r>
      <w:r w:rsidR="00F00CE9">
        <w:t xml:space="preserve">, 2021; Dai </w:t>
      </w:r>
      <w:r w:rsidR="00F00CE9" w:rsidRPr="00DB6DBE">
        <w:rPr>
          <w:i/>
        </w:rPr>
        <w:t>et al.</w:t>
      </w:r>
      <w:r w:rsidR="00F00CE9">
        <w:t xml:space="preserve">, 2023; Hubert </w:t>
      </w:r>
      <w:r w:rsidR="00F00CE9" w:rsidRPr="00DB6DBE">
        <w:rPr>
          <w:i/>
        </w:rPr>
        <w:t>et al.</w:t>
      </w:r>
      <w:r w:rsidR="00F00CE9">
        <w:t>, 2023)</w:t>
      </w:r>
      <w:r w:rsidR="00F00CE9">
        <w:fldChar w:fldCharType="end"/>
      </w:r>
      <w:r w:rsidRPr="00DB6DBE">
        <w:t>.</w:t>
      </w:r>
      <w:r w:rsidR="00D74BC8" w:rsidRPr="00DB6DBE">
        <w:t xml:space="preserve"> </w:t>
      </w:r>
      <w:r w:rsidR="00D74BC8" w:rsidRPr="00D74BC8">
        <w:t xml:space="preserve">These </w:t>
      </w:r>
      <w:r w:rsidR="00974100">
        <w:t>experiments</w:t>
      </w:r>
      <w:r w:rsidR="00974100" w:rsidRPr="00D74BC8">
        <w:t xml:space="preserve"> </w:t>
      </w:r>
      <w:r w:rsidR="00D74BC8" w:rsidRPr="00D74BC8">
        <w:t>primarily aim to quantify sorption processes by measuring the equilibrium distribution of contaminants between the solid and liquid phases.</w:t>
      </w:r>
      <w:r w:rsidR="00D74BC8">
        <w:t xml:space="preserve"> </w:t>
      </w:r>
      <w:r w:rsidR="00D74BC8" w:rsidRPr="00D74BC8">
        <w:t>Sorption tests are valued for their simplicity, cost-effectiveness, and ability to provide detailed data on specific interactions between contaminants and soil particles, such as adsorption isotherms and partition coefficients</w:t>
      </w:r>
      <w:r w:rsidR="00CE4224">
        <w:t xml:space="preserve"> </w:t>
      </w:r>
      <w:r w:rsidR="00C92017">
        <w:fldChar w:fldCharType="begin"/>
      </w:r>
      <w:r w:rsidR="00C92017">
        <w:instrText xml:space="preserve"> QUOTE  "(Zhang et al., 2015)" </w:instrText>
      </w:r>
      <w:r w:rsidR="00C92017">
        <w:fldChar w:fldCharType="separate"/>
      </w:r>
      <w:r w:rsidR="00C92017">
        <w:t>(Zhang et al., 2015)</w:t>
      </w:r>
      <w:r w:rsidR="00C92017">
        <w:fldChar w:fldCharType="end"/>
      </w:r>
      <w:r w:rsidR="00D74BC8" w:rsidRPr="00D74BC8">
        <w:t xml:space="preserve">. These results are </w:t>
      </w:r>
      <w:r w:rsidR="00FB7B7D" w:rsidRPr="00D74BC8">
        <w:t>fundam</w:t>
      </w:r>
      <w:r w:rsidR="00FB7B7D">
        <w:t xml:space="preserve">ental </w:t>
      </w:r>
      <w:r w:rsidR="00D74BC8" w:rsidRPr="00D74BC8">
        <w:t>for understanding</w:t>
      </w:r>
      <w:r w:rsidR="00605E61">
        <w:t xml:space="preserve"> contaminant behavio</w:t>
      </w:r>
      <w:r w:rsidR="00A54DB9">
        <w:t>u</w:t>
      </w:r>
      <w:r w:rsidR="00605E61">
        <w:t>r and</w:t>
      </w:r>
      <w:r w:rsidR="00D74BC8" w:rsidRPr="00D74BC8">
        <w:t xml:space="preserve"> for informing predictive models of </w:t>
      </w:r>
      <w:r w:rsidR="00605E61">
        <w:t>their</w:t>
      </w:r>
      <w:r w:rsidR="00D74BC8" w:rsidRPr="00D74BC8">
        <w:t xml:space="preserve"> transport</w:t>
      </w:r>
      <w:r w:rsidR="00831B68">
        <w:t xml:space="preserve"> </w:t>
      </w:r>
      <w:r w:rsidR="00831B68">
        <w:fldChar w:fldCharType="begin"/>
      </w:r>
      <w:r w:rsidR="00831B68">
        <w:instrText xml:space="preserve"> ADDIN ZOTERO_ITEM CSL_CITATION {"citationID":"Seo05AiF","properties":{"formattedCitation":"(Kret {\\i{}et al.}, 2015)","plainCitation":"(Kret et al., 2015)","noteIndex":0},"citationItems":[{"id":6893,"uris":["http://zotero.org/users/9753339/items/UNDQ2K4E"],"itemData":{"id":6893,"type":"article-journal","abstract":"The main aim of this study was to determine the sorption and biodegradation parameters of trichloroethene (TCE) and tetrachloroethene (PCE) as input data required for their fate and transport modelling in a Quaternary sandy aquifer. Sorption was determined based on batch and column experiments, while biodegradation was investigated using the compound-specific isotope analysis (CSIA). The aquifer materials medium (soil 1) to fine (soil 2) sands and groundwater samples came from the representative profile of the contaminated site (south-east Poland). The sorption isotherms were approximately linear (TCE, soil 1, Kd=0.0016; PCE, soil 1, Kd=0.0051; PCE, soil 2, Kd=0.0069) except for one case in which the best fitting was for the Langmuir isotherm (TCE, soil 2, Kf=0.6493 and Smax=0.0145). The results indicate low retardation coefficients (R) of TCE and PCE; however, somewhat lower values were obtained in batch compared to column experiments. In the column experiments with the presence of both contaminants, TCE influenced sorption of PCE, so that the R values for both compounds were almost two times higher. Non-significant differences in isotope compositions of TCE and PCE measured in the observation points (δ13C values within the range of −23.6÷ −24.3‰ and −26.3÷−27.7‰, respectively) indicate that biodegradation apparently is not an important process contributing to the natural attenuation of these contaminants in the studied sandy aquifer.","container-title":"Environmental Science and Pollution Research","DOI":"10.1007/s11356-015-4156-9","ISSN":"0944-1344, 1614-7499","issue":"13","journalAbbreviation":"Environ Sci Pollut Res","language":"en","page":"9877-9888","source":"DOI.org (Crossref)","title":"Identification of TCE and PCE sorption and biodegradation parameters in a sandy aquifer for fate and transport modelling: batch and column studies","title-short":"Identification of TCE and PCE sorption and biodegradation parameters in a sandy aquifer for fate and transport modelling","volume":"22","author":[{"family":"Kret","given":"E."},{"family":"Kiecak","given":"A."},{"family":"Malina","given":"G."},{"family":"Nijenhuis","given":"I."},{"family":"Postawa","given":"A."}],"issued":{"date-parts":[["2015",7]]}}}],"schema":"https://github.com/citation-style-language/schema/raw/master/csl-citation.json"} </w:instrText>
      </w:r>
      <w:r w:rsidR="00831B68">
        <w:fldChar w:fldCharType="separate"/>
      </w:r>
      <w:r w:rsidR="00831B68" w:rsidRPr="00831B68">
        <w:rPr>
          <w:rFonts w:ascii="Calibri" w:hAnsi="Calibri" w:cs="Calibri"/>
          <w:szCs w:val="24"/>
        </w:rPr>
        <w:t xml:space="preserve">(Kret </w:t>
      </w:r>
      <w:r w:rsidR="00831B68" w:rsidRPr="00831B68">
        <w:rPr>
          <w:rFonts w:ascii="Calibri" w:hAnsi="Calibri" w:cs="Calibri"/>
          <w:i/>
          <w:iCs/>
          <w:szCs w:val="24"/>
        </w:rPr>
        <w:t>et al.</w:t>
      </w:r>
      <w:r w:rsidR="00831B68" w:rsidRPr="00831B68">
        <w:rPr>
          <w:rFonts w:ascii="Calibri" w:hAnsi="Calibri" w:cs="Calibri"/>
          <w:szCs w:val="24"/>
        </w:rPr>
        <w:t>, 2015)</w:t>
      </w:r>
      <w:r w:rsidR="00831B68">
        <w:fldChar w:fldCharType="end"/>
      </w:r>
      <w:r w:rsidR="00D74BC8" w:rsidRPr="00D74BC8">
        <w:t>.</w:t>
      </w:r>
      <w:r w:rsidR="00867ADE">
        <w:t xml:space="preserve"> </w:t>
      </w:r>
      <w:r w:rsidR="00867ADE" w:rsidRPr="00867ADE">
        <w:t xml:space="preserve">However, </w:t>
      </w:r>
      <w:r w:rsidR="00974100">
        <w:t>these</w:t>
      </w:r>
      <w:r w:rsidR="00867ADE" w:rsidRPr="00867ADE">
        <w:t xml:space="preserve"> simplified </w:t>
      </w:r>
      <w:r w:rsidR="00974100">
        <w:t xml:space="preserve">setups </w:t>
      </w:r>
      <w:r w:rsidR="00867ADE" w:rsidRPr="00867ADE">
        <w:t>do not fully r</w:t>
      </w:r>
      <w:r w:rsidR="00E53B77">
        <w:t xml:space="preserve">eplicate the complexity of </w:t>
      </w:r>
      <w:r w:rsidR="00974100">
        <w:t xml:space="preserve">natural </w:t>
      </w:r>
      <w:r w:rsidR="00E53B77">
        <w:t>environments</w:t>
      </w:r>
      <w:r w:rsidR="00974100">
        <w:t>,</w:t>
      </w:r>
      <w:r w:rsidR="00867ADE" w:rsidRPr="00867ADE">
        <w:t xml:space="preserve"> as</w:t>
      </w:r>
      <w:r w:rsidR="00974100">
        <w:t xml:space="preserve"> they often do not consider other attenuation mechanisms like</w:t>
      </w:r>
      <w:r w:rsidR="00867ADE" w:rsidRPr="00867ADE">
        <w:t xml:space="preserve"> biodegradat</w:t>
      </w:r>
      <w:r w:rsidR="00474D1D">
        <w:t xml:space="preserve">ion or chemical transformation, </w:t>
      </w:r>
      <w:r w:rsidR="00974100">
        <w:t xml:space="preserve">which </w:t>
      </w:r>
      <w:r w:rsidR="00867ADE" w:rsidRPr="00867ADE">
        <w:t>can significantly reduce contaminant concentrations over time.</w:t>
      </w:r>
      <w:r w:rsidR="00E53B77">
        <w:t xml:space="preserve"> </w:t>
      </w:r>
      <w:r w:rsidR="00974100">
        <w:t>Therefore</w:t>
      </w:r>
      <w:r>
        <w:t xml:space="preserve">, </w:t>
      </w:r>
      <w:r w:rsidR="00974100">
        <w:t xml:space="preserve">comprehensive </w:t>
      </w:r>
      <w:r>
        <w:t xml:space="preserve">batch experiments that </w:t>
      </w:r>
      <w:r w:rsidR="00974100">
        <w:t>incorporate multiple</w:t>
      </w:r>
      <w:r>
        <w:t xml:space="preserve"> attenuation processes simultaneously are essential for a more accurate prediction of CEC behavio</w:t>
      </w:r>
      <w:r w:rsidR="00644343">
        <w:t>u</w:t>
      </w:r>
      <w:r>
        <w:t xml:space="preserve">r in </w:t>
      </w:r>
      <w:r w:rsidR="00A32F4B">
        <w:t xml:space="preserve">SAT </w:t>
      </w:r>
      <w:r>
        <w:t>settings.</w:t>
      </w:r>
    </w:p>
    <w:p w14:paraId="2A9DF6AA" w14:textId="20913739" w:rsidR="005F445A" w:rsidRPr="0029295F" w:rsidRDefault="00DA567C" w:rsidP="00865AB7">
      <w:pPr>
        <w:spacing w:line="276" w:lineRule="auto"/>
        <w:jc w:val="both"/>
      </w:pPr>
      <w:r w:rsidRPr="00DA567C">
        <w:t xml:space="preserve">This study is motivated by MARWAL project, which aims to assess the technical, regulatory, and economic feasibility of utilizing alternative sources like airport runoff for </w:t>
      </w:r>
      <w:r w:rsidR="00632E57">
        <w:t>MAR</w:t>
      </w:r>
      <w:r w:rsidR="00632E57" w:rsidRPr="00DA567C">
        <w:t xml:space="preserve"> </w:t>
      </w:r>
      <w:r w:rsidRPr="00DA567C">
        <w:t xml:space="preserve">in </w:t>
      </w:r>
      <w:r w:rsidR="00071350">
        <w:t xml:space="preserve">the </w:t>
      </w:r>
      <w:r w:rsidRPr="00DA567C">
        <w:t>Hesbaye chalk aquifer, with the goal of enhancing regional groundw</w:t>
      </w:r>
      <w:r>
        <w:t xml:space="preserve">ater resilience </w:t>
      </w:r>
      <w:r>
        <w:fldChar w:fldCharType="begin"/>
      </w:r>
      <w:r>
        <w:instrText xml:space="preserve"> ADDIN ZOTERO_ITEM CSL_CITATION {"citationID":"ldNULmlp","properties":{"formattedCitation":"(Brouy\\uc0\\u232{}re, 2024)","plainCitation":"(Brouyère, 2024)","noteIndex":0},"citationItems":[{"id":7007,"uris":["http://zotero.org/users/9753339/items/BQB7X75E"],"itemData":{"id":7007,"type":"speech","event-place":"Davos, Suisse","event-title":"Groundwater World Congress IAH 2024","publisher-place":"Davos, Suisse","title":"Managed Aquifer Recharge in Wallonia (Belgium) The MARWAL Project","URL":"https://orbi.uliege.be/handle/2268/322816#authors","author":[{"family":"Brouyère","given":"Serge"}],"contributor":[{"family":"Durieux","given":"Simon"},{"family":"Orban","given":"Philippe"},{"family":"Compère","given":"Jean-Michel"},{"family":"Derouane","given":"Johan"}],"accessed":{"date-parts":[["2025",7,9]]},"issued":{"date-parts":[["2024",9,10]]}}}],"schema":"https://github.com/citation-style-language/schema/raw/master/csl-citation.json"} </w:instrText>
      </w:r>
      <w:r>
        <w:fldChar w:fldCharType="separate"/>
      </w:r>
      <w:r w:rsidRPr="00DA567C">
        <w:rPr>
          <w:rFonts w:ascii="Calibri" w:hAnsi="Calibri" w:cs="Calibri"/>
          <w:szCs w:val="24"/>
        </w:rPr>
        <w:t>(Brouyère, 2024)</w:t>
      </w:r>
      <w:r>
        <w:fldChar w:fldCharType="end"/>
      </w:r>
      <w:r w:rsidRPr="00DA567C">
        <w:t>.</w:t>
      </w:r>
      <w:r w:rsidR="005F445A" w:rsidRPr="005F445A">
        <w:t xml:space="preserve"> </w:t>
      </w:r>
      <w:r w:rsidR="00632E57">
        <w:t>MAR through SAT systems</w:t>
      </w:r>
      <w:r w:rsidR="005F445A" w:rsidRPr="005F445A">
        <w:t xml:space="preserve"> is particularly relevant in Hesbaye, where the aquifer</w:t>
      </w:r>
      <w:r w:rsidR="00071350">
        <w:t xml:space="preserve"> faced</w:t>
      </w:r>
      <w:r w:rsidR="00071350" w:rsidRPr="00071350">
        <w:t xml:space="preserve"> significant declines in groundwater levels and quality over the past decades</w:t>
      </w:r>
      <w:r w:rsidR="00071350">
        <w:t xml:space="preserve"> </w:t>
      </w:r>
      <w:r w:rsidR="00003C8A">
        <w:fldChar w:fldCharType="begin"/>
      </w:r>
      <w:r w:rsidR="00003C8A">
        <w:instrText xml:space="preserve"> ADDIN ZOTERO_ITEM CSL_CITATION {"citationID":"KFsPB5H8","properties":{"formattedCitation":"(Hakoun {\\i{}et al.}, 2017; Goderniaux {\\i{}et al.}, 2023)","plainCitation":"(Hakoun et al., 2017; Goderniaux et al., 2023)","noteIndex":0},"citationItems":[{"id":97,"uris":["http://zotero.org/users/9753339/items/8EZPIUYY"],"itemData":{"id":97,"type":"article-journal","abstract":"Factors governing spatial and temporal patterns of pesticide compounds (pesticides and metabolites) concentrations in chalk aquifers remain unclear due to complex ﬂow processes and multiple sources. To uncover which factors govern pesticide compound concentrations in a chalk aquifer, we develop a methodology based on time series analyses, uni- and multivariate statistics accounting for concentrations below detection limits. The methodology is applied to long records (1996e2013) of a restricted compound (bentazone), three banned compounds (atrazine, diuron and simazine) and two metabolites (deethylatrazine (DEA) and 2,6-dichlorobenzamide (BAM)) sampled in the Hesbaye chalk aquifer in Belgium. In the conﬁned area, all compounds had non-detects fractions &gt;80%. By contrast, maximum concentrations exceeded EU's drinking-water standard (100 ng LÀ1) in the unconﬁned area. This contrast conﬁrms that recent recharge and polluted water did not reach the conﬁned area, yet. Multivariate analyses based on variables representative of the hydrogeological setting revealed higher diuron and simazine concentrations in the southeast of the unconﬁned area, where urban activities dominate land use and where the aquifer lacks protection from a less permeable layer of hardened chalk. At individual sites, positive correlations (up to t ¼ 0:48 for bentazone) between pesticide compound concentrations and multi-annual groundwater level ﬂuctuations conﬁrm occurrences of remobilization. A downward temporal trend of atrazine concentrations likely reﬂects decreasing use of this compound over the last 28 years. However, the lack of a break in concentrations time series and maximum concentrations of atrazine, simazine, DEA and BAM exceeding EU's standard post-ban years provide evidence of persistence. Contrasting upward trends in bentazone concentrations show that a time lag is required for restriction measures to be efﬁcient. These results shed light on factors governing pesticide compound concentrations in chalk aquifers. The developed methodology is not restricted to chalk aquifers, it could be transposed to study other pollutants with concentrations below detection limits.","container-title":"Environmental Pollution","DOI":"10.1016/j.envpol.2017.01.012","ISSN":"02697491","journalAbbreviation":"Environmental Pollution","language":"en","page":"185-199","source":"DOI.org (Crossref)","title":"Factors controlling spatial and temporal patterns of multiple pesticide compounds in groundwater (Hesbaye chalk aquifer, Belgium)","volume":"223","author":[{"family":"Hakoun","given":"Vivien"},{"family":"Orban","given":"Philippe"},{"family":"Dassargues","given":"Alain"},{"family":"Brouyère","given":"Serge"}],"issued":{"date-parts":[["2017",4]]}}},{"id":6205,"uris":["http://zotero.org/users/9753339/items/GTKGUXJA"],"itemData":{"id":6205,"type":"article-journal","abstract":"Abstract\n            In southern Belgium, 23% of abstracted groundwater volumes are from chalk aquifers, representing strategic resources for the region. Due to their specific nature, these chalk aquifers often exhibit singular behaviour and require specific analysis. The quantitative evolution of these groundwater resources is analysed for the Mons Basin and Hesbaye chalk aquifers as a function of past evolution, in the short and long term. Groundwater level time series exhibit decreases when analysed over different periods. This is particularly visible for the Hesbaye chalk aquifer when comparing the 1960–90 and 1990–2020 periods. Such decreases are associated with observed temperature increases and precipitation decreases, inducing a decrease of aquifer recharge, and a probable increase of groundwater abstraction in the adjacent catchment. Past evolution is also discussed considering recent winter and summer drought events. The aquifers exhibit long delays in response to recharge events, particularly where the thickness of the partially saturated zone plays a crucial role in observed delays. Regarding future evolution, simulations of the impact of climate changes using medium–high emission scenarios indicate a probable decrease of the groundwater levels over the Hesbaye chalk aquifer.","container-title":"Geological Society, London, Special Publications","DOI":"10.1144/SP517-2020-212","ISSN":"0305-8719, 2041-4927","issue":"1","journalAbbreviation":"SP","language":"en","page":"203-211","source":"DOI.org (Crossref)","title":"Study of historical groundwater level changes in two Belgian chalk aquifers in the context of climate change impacts","volume":"517","author":[{"family":"Goderniaux","given":"Pascal"},{"family":"Orban","given":"Philippe"},{"family":"Rorive","given":"Alain"},{"family":"Brouyère","given":"Serge"},{"family":"Dassargues","given":"Alain"}],"issued":{"date-parts":[["2023",9,19]]}}}],"schema":"https://github.com/citation-style-language/schema/raw/master/csl-citation.json"} </w:instrText>
      </w:r>
      <w:r w:rsidR="00003C8A">
        <w:fldChar w:fldCharType="separate"/>
      </w:r>
      <w:r w:rsidR="00003C8A" w:rsidRPr="00003C8A">
        <w:rPr>
          <w:rFonts w:ascii="Calibri" w:hAnsi="Calibri" w:cs="Calibri"/>
          <w:szCs w:val="24"/>
        </w:rPr>
        <w:t xml:space="preserve">(Hakoun </w:t>
      </w:r>
      <w:r w:rsidR="00003C8A" w:rsidRPr="00003C8A">
        <w:rPr>
          <w:rFonts w:ascii="Calibri" w:hAnsi="Calibri" w:cs="Calibri"/>
          <w:i/>
          <w:iCs/>
          <w:szCs w:val="24"/>
        </w:rPr>
        <w:t>et al.</w:t>
      </w:r>
      <w:r w:rsidR="00003C8A" w:rsidRPr="00003C8A">
        <w:rPr>
          <w:rFonts w:ascii="Calibri" w:hAnsi="Calibri" w:cs="Calibri"/>
          <w:szCs w:val="24"/>
        </w:rPr>
        <w:t xml:space="preserve">, 2017; Goderniaux </w:t>
      </w:r>
      <w:r w:rsidR="00003C8A" w:rsidRPr="00003C8A">
        <w:rPr>
          <w:rFonts w:ascii="Calibri" w:hAnsi="Calibri" w:cs="Calibri"/>
          <w:i/>
          <w:iCs/>
          <w:szCs w:val="24"/>
        </w:rPr>
        <w:t>et al.</w:t>
      </w:r>
      <w:r w:rsidR="00003C8A" w:rsidRPr="00003C8A">
        <w:rPr>
          <w:rFonts w:ascii="Calibri" w:hAnsi="Calibri" w:cs="Calibri"/>
          <w:szCs w:val="24"/>
        </w:rPr>
        <w:t>, 2023)</w:t>
      </w:r>
      <w:r w:rsidR="00003C8A">
        <w:fldChar w:fldCharType="end"/>
      </w:r>
      <w:r w:rsidR="005F445A" w:rsidRPr="005F445A">
        <w:t>.</w:t>
      </w:r>
      <w:r w:rsidRPr="00DA567C">
        <w:t xml:space="preserve"> In this context, </w:t>
      </w:r>
      <w:r>
        <w:t>t</w:t>
      </w:r>
      <w:r w:rsidR="00270BE2" w:rsidRPr="00270BE2">
        <w:t>h</w:t>
      </w:r>
      <w:r w:rsidR="005F445A">
        <w:t xml:space="preserve">e </w:t>
      </w:r>
      <w:r w:rsidR="00270BE2" w:rsidRPr="00270BE2">
        <w:t xml:space="preserve">study involved designing comprehensive batch experiments to evaluate the attenuation capacity of loess sediments overlaying the Hesbaye chalk aquifer in Belgium when </w:t>
      </w:r>
      <w:r w:rsidR="00270BE2">
        <w:t>exposed to airport runoff water</w:t>
      </w:r>
      <w:r w:rsidR="004B7A9B" w:rsidRPr="004B7A9B">
        <w:t xml:space="preserve">. Sampling campaigns </w:t>
      </w:r>
      <w:r w:rsidR="00644343">
        <w:t>carried out as part of this study</w:t>
      </w:r>
      <w:r w:rsidR="004B7A9B" w:rsidRPr="004B7A9B">
        <w:t xml:space="preserve"> revealed the presence of PFAS, alkylphenols</w:t>
      </w:r>
      <w:r w:rsidR="00644343">
        <w:t>,</w:t>
      </w:r>
      <w:r w:rsidR="004B7A9B" w:rsidRPr="004B7A9B">
        <w:t xml:space="preserve"> and benzotriazoles </w:t>
      </w:r>
      <w:r w:rsidR="00644343">
        <w:t xml:space="preserve">in airport runoff, </w:t>
      </w:r>
      <w:r w:rsidR="004B7A9B" w:rsidRPr="004B7A9B">
        <w:t>originating from airport</w:t>
      </w:r>
      <w:r w:rsidR="00644343">
        <w:t>-related</w:t>
      </w:r>
      <w:r w:rsidR="004B7A9B" w:rsidRPr="004B7A9B">
        <w:t xml:space="preserve"> activities. The experiments were conducted </w:t>
      </w:r>
      <w:r w:rsidR="005F4B4E">
        <w:t>in a</w:t>
      </w:r>
      <w:r w:rsidR="004B7A9B" w:rsidRPr="004B7A9B">
        <w:t xml:space="preserve"> laboratory </w:t>
      </w:r>
      <w:r w:rsidR="005F4B4E">
        <w:t>setting</w:t>
      </w:r>
      <w:r w:rsidR="004B7A9B" w:rsidRPr="004B7A9B">
        <w:t xml:space="preserve"> to simulate the interactions between the sediments and the identified CECs in airport runoff water. The pr</w:t>
      </w:r>
      <w:r w:rsidR="00270BE2">
        <w:t xml:space="preserve">imary </w:t>
      </w:r>
      <w:r w:rsidR="005F445A">
        <w:t>goal</w:t>
      </w:r>
      <w:r w:rsidR="00270BE2">
        <w:t xml:space="preserve"> was</w:t>
      </w:r>
      <w:r w:rsidR="004B7A9B" w:rsidRPr="004B7A9B">
        <w:t xml:space="preserve"> to quant</w:t>
      </w:r>
      <w:r w:rsidR="005F4B4E">
        <w:t xml:space="preserve">ify the overall attenuation of each </w:t>
      </w:r>
      <w:r w:rsidR="004B7A9B" w:rsidRPr="004B7A9B">
        <w:t xml:space="preserve">contaminant </w:t>
      </w:r>
      <w:r w:rsidR="005F445A">
        <w:t>after the</w:t>
      </w:r>
      <w:r w:rsidR="004B7A9B" w:rsidRPr="004B7A9B">
        <w:t xml:space="preserve"> e</w:t>
      </w:r>
      <w:r w:rsidR="00270BE2">
        <w:t>xperiment. A second</w:t>
      </w:r>
      <w:r w:rsidR="005F445A">
        <w:t>ary</w:t>
      </w:r>
      <w:r w:rsidR="00270BE2">
        <w:t xml:space="preserve"> objective was</w:t>
      </w:r>
      <w:r w:rsidR="004B7A9B" w:rsidRPr="004B7A9B">
        <w:t xml:space="preserve"> to </w:t>
      </w:r>
      <w:r w:rsidR="005F445A">
        <w:t>identify</w:t>
      </w:r>
      <w:r w:rsidR="004B7A9B" w:rsidRPr="004B7A9B">
        <w:t xml:space="preserve"> which contaminants </w:t>
      </w:r>
      <w:r w:rsidR="005F4B4E">
        <w:t>were</w:t>
      </w:r>
      <w:r w:rsidR="004B7A9B" w:rsidRPr="004B7A9B">
        <w:t xml:space="preserve"> most sorbed or attenuated in contact with loess sediments. Finally, the influence of redox conditions on CEC</w:t>
      </w:r>
      <w:r w:rsidR="00270BE2">
        <w:t>s</w:t>
      </w:r>
      <w:r w:rsidR="004B7A9B" w:rsidRPr="004B7A9B">
        <w:t xml:space="preserve"> degradation </w:t>
      </w:r>
      <w:r w:rsidR="005F4B4E">
        <w:t>was</w:t>
      </w:r>
      <w:r w:rsidR="004B7A9B" w:rsidRPr="004B7A9B">
        <w:t xml:space="preserve"> analyzed. </w:t>
      </w:r>
      <w:r w:rsidR="005F4B4E" w:rsidRPr="005F4B4E">
        <w:t>By simulating these</w:t>
      </w:r>
      <w:r w:rsidR="005F4B4E">
        <w:t xml:space="preserve"> soil-contaminant</w:t>
      </w:r>
      <w:r w:rsidR="005F4B4E" w:rsidRPr="005F4B4E">
        <w:t xml:space="preserve"> in</w:t>
      </w:r>
      <w:r w:rsidR="005F4B4E">
        <w:t>teractions in the laboratory, the study</w:t>
      </w:r>
      <w:r w:rsidR="005F4B4E" w:rsidRPr="005F4B4E">
        <w:t xml:space="preserve"> aimed to</w:t>
      </w:r>
      <w:r w:rsidR="005F4B4E">
        <w:t xml:space="preserve"> deepen</w:t>
      </w:r>
      <w:r w:rsidR="005F4B4E" w:rsidRPr="005F4B4E">
        <w:t xml:space="preserve"> our understanding of the </w:t>
      </w:r>
      <w:r w:rsidR="005F4B4E">
        <w:t xml:space="preserve">natural attenuation potential of loess sediments. This is an essential consideration for evaluating the long-term safety and viability of </w:t>
      </w:r>
      <w:r w:rsidR="00632E57">
        <w:t xml:space="preserve">SAT </w:t>
      </w:r>
      <w:r w:rsidR="005F4B4E">
        <w:t>with airport runoff as a recharge source.</w:t>
      </w:r>
    </w:p>
    <w:p w14:paraId="5E54D9C0" w14:textId="77777777" w:rsidR="00935EDD" w:rsidRDefault="004802E4" w:rsidP="00865AB7">
      <w:pPr>
        <w:pStyle w:val="Titre1"/>
        <w:numPr>
          <w:ilvl w:val="0"/>
          <w:numId w:val="1"/>
        </w:numPr>
        <w:spacing w:line="276" w:lineRule="auto"/>
        <w:rPr>
          <w:lang w:val="fr-BE"/>
        </w:rPr>
      </w:pPr>
      <w:r>
        <w:rPr>
          <w:lang w:val="fr-BE"/>
        </w:rPr>
        <w:t>Materials and methods</w:t>
      </w:r>
    </w:p>
    <w:p w14:paraId="0CA82861" w14:textId="2A606125" w:rsidR="00C31A2F" w:rsidRDefault="006A3E1D" w:rsidP="00865AB7">
      <w:pPr>
        <w:pStyle w:val="Titre2"/>
        <w:numPr>
          <w:ilvl w:val="1"/>
          <w:numId w:val="1"/>
        </w:numPr>
        <w:spacing w:line="276" w:lineRule="auto"/>
      </w:pPr>
      <w:r>
        <w:t>Sampling</w:t>
      </w:r>
    </w:p>
    <w:p w14:paraId="4E7B850F" w14:textId="36F7AEA1" w:rsidR="006A3E1D" w:rsidRPr="009348F2" w:rsidRDefault="006A3E1D" w:rsidP="00865AB7">
      <w:pPr>
        <w:pStyle w:val="Titre4"/>
        <w:numPr>
          <w:ilvl w:val="2"/>
          <w:numId w:val="1"/>
        </w:numPr>
        <w:spacing w:line="276" w:lineRule="auto"/>
        <w:rPr>
          <w:i w:val="0"/>
        </w:rPr>
      </w:pPr>
      <w:r w:rsidRPr="009348F2">
        <w:rPr>
          <w:i w:val="0"/>
        </w:rPr>
        <w:t>Runoff water</w:t>
      </w:r>
    </w:p>
    <w:p w14:paraId="31884322" w14:textId="77777777" w:rsidR="00FE04E8" w:rsidRDefault="0013636B" w:rsidP="00865AB7">
      <w:pPr>
        <w:spacing w:line="276" w:lineRule="auto"/>
        <w:jc w:val="both"/>
      </w:pPr>
      <w:r w:rsidRPr="0013636B">
        <w:t xml:space="preserve">To assess the </w:t>
      </w:r>
      <w:r>
        <w:t xml:space="preserve">chemical </w:t>
      </w:r>
      <w:r w:rsidRPr="0013636B">
        <w:t>quality of runoff water in the study area, samples were collected from stormwater retention basins connected to roads and the Liège airport. These grab samples were collected following rainfall events in spring 2022 and winter 2023, ensuring that the water was representative of potential contaminants mobilized during stormwater runoff. The timing of sampling at different seasons was chosen to partially account for seasonal varia</w:t>
      </w:r>
      <w:r w:rsidR="00FE04E8">
        <w:t>bility.</w:t>
      </w:r>
    </w:p>
    <w:p w14:paraId="39226052" w14:textId="7E00538E" w:rsidR="00B4481E" w:rsidRDefault="00FE04E8" w:rsidP="00865AB7">
      <w:pPr>
        <w:spacing w:line="276" w:lineRule="auto"/>
        <w:jc w:val="both"/>
      </w:pPr>
      <w:r w:rsidRPr="00FE04E8">
        <w:t>The selection of the contaminants was based on a target screening approach using literature data, prioritizing compounds commonly found in urban runoff</w:t>
      </w:r>
      <w:r>
        <w:t xml:space="preserve"> </w:t>
      </w:r>
      <w:r w:rsidR="00003C8A">
        <w:fldChar w:fldCharType="begin"/>
      </w:r>
      <w:r w:rsidR="00003C8A">
        <w:instrText xml:space="preserve"> QUOTE  "(Zgheib et al., 2012; Burant et al., 2018; Spahr et al., 2020; Gasperi et al., 2022)" </w:instrText>
      </w:r>
      <w:r w:rsidR="00003C8A">
        <w:fldChar w:fldCharType="separate"/>
      </w:r>
      <w:r w:rsidR="00003C8A">
        <w:t xml:space="preserve">(Zgheib </w:t>
      </w:r>
      <w:r w:rsidR="00003C8A" w:rsidRPr="00DB6DBE">
        <w:rPr>
          <w:i/>
        </w:rPr>
        <w:t>et al.</w:t>
      </w:r>
      <w:r w:rsidR="00003C8A">
        <w:t xml:space="preserve">, 2012; Burant </w:t>
      </w:r>
      <w:r w:rsidR="00003C8A" w:rsidRPr="00DB6DBE">
        <w:rPr>
          <w:i/>
        </w:rPr>
        <w:t>et al.</w:t>
      </w:r>
      <w:r w:rsidR="00003C8A">
        <w:t xml:space="preserve">, 2018; Spahr </w:t>
      </w:r>
      <w:r w:rsidR="00003C8A" w:rsidRPr="00DB6DBE">
        <w:rPr>
          <w:i/>
        </w:rPr>
        <w:t>et al.</w:t>
      </w:r>
      <w:r w:rsidR="00003C8A">
        <w:t xml:space="preserve">, 2020; Gasperi </w:t>
      </w:r>
      <w:r w:rsidR="00003C8A" w:rsidRPr="00DB6DBE">
        <w:rPr>
          <w:i/>
        </w:rPr>
        <w:t>et al.</w:t>
      </w:r>
      <w:r w:rsidR="00003C8A">
        <w:t>, 2022)</w:t>
      </w:r>
      <w:r w:rsidR="00003C8A">
        <w:fldChar w:fldCharType="end"/>
      </w:r>
      <w:r w:rsidR="00B4481E" w:rsidRPr="00DB6DBE">
        <w:t xml:space="preserve">. </w:t>
      </w:r>
      <w:r w:rsidR="00B4481E" w:rsidRPr="00B4481E">
        <w:t>Special attention was given to persistent, mobile, and toxic (PMT) organic contaminants</w:t>
      </w:r>
      <w:r w:rsidR="0089573F">
        <w:t xml:space="preserve"> </w:t>
      </w:r>
      <w:r w:rsidR="0089573F">
        <w:fldChar w:fldCharType="begin"/>
      </w:r>
      <w:r w:rsidR="0089573F">
        <w:instrText xml:space="preserve"> ADDIN ZOTERO_ITEM CSL_CITATION {"citationID":"oqu5cKJO","properties":{"formattedCitation":"(Mutzner {\\i{}et al.}, 2023)","plainCitation":"(Mutzner et al., 2023)","noteIndex":0},"citationItems":[{"id":7004,"uris":["http://zotero.org/users/9753339/items/F62VFGLN"],"itemData":{"id":7004,"type":"article-journal","abstract":"Urban stormwater is a source of persistent, mobile and toxic substances, however the risk for water resources is unknown.\n          , \n            \n              Urban stormwater was traditionally managed for flood control and property protection. But this view is changing as urban stormwater is increasingly recognized as an underused water resource. As cities implement stormwater capture, treatment, and use practices, there is a growing need to address water quality criteria beyond traditional pollutants such as nutrients, total suspended solids, pathogens, and metals. Current use practice and regulations are lacking on the occurrence of persistent, mobile and toxic (PMT) and very persistent, very mobile (vPvM) organic substances. These substances are poorly removed in conventional stormwater treatment systems,\n              e.g.\n              , urban blue-green infrastructure, and, thus, may pose a risk when urban runoff is used to augment drinking water sources or discharged to surface waters. We reviewed 97 stormwater monitoring studies and identified 49 PMT/vPvM substances detected in urban stormwater. Although detection does not equate with risk, this highlights the potential importance of urban stormwater as a source of PMT/vPvM substances released to water resources. There is a lack of surveillance data on PMT/vPvM substances in urban stormwater and their fate in stormwater control measures, which hinders reliable risk assessments of stormwater capture. Unified guidelines are needed to (i) monitor PMT/vPvM substances in urban stormwater runoff, (ii) assess the human and environmental risks PMT/vPvM substances may pose for urban stormwater capture and use, and (iii) establish improved stormwater management and use criteria to ensure safe stormwater capture for water supply.","container-title":"Environmental Science: Water Research &amp; Technology","DOI":"10.1039/D3EW00160A","ISSN":"2053-1400, 2053-1419","issue":"12","journalAbbreviation":"Environ. Sci.: Water Res. Technol.","language":"en","page":"3094-3102","source":"DOI.org (Crossref)","title":"Urban stormwater capture for water supply: look out for persistent, mobile and toxic substances","title-short":"Urban stormwater capture for water supply","volume":"9","author":[{"family":"Mutzner","given":"Lena"},{"family":"Zhang","given":"Kefeng"},{"family":"Luthy","given":"Richard G."},{"family":"Arp","given":"Hans Peter H."},{"family":"Spahr","given":"Stephanie"}],"issued":{"date-parts":[["2023"]]}}}],"schema":"https://github.com/citation-style-language/schema/raw/master/csl-citation.json"} </w:instrText>
      </w:r>
      <w:r w:rsidR="0089573F">
        <w:fldChar w:fldCharType="separate"/>
      </w:r>
      <w:r w:rsidR="0089573F" w:rsidRPr="0089573F">
        <w:rPr>
          <w:rFonts w:ascii="Calibri" w:hAnsi="Calibri" w:cs="Calibri"/>
          <w:szCs w:val="24"/>
        </w:rPr>
        <w:t xml:space="preserve">(Mutzner </w:t>
      </w:r>
      <w:r w:rsidR="0089573F" w:rsidRPr="0089573F">
        <w:rPr>
          <w:rFonts w:ascii="Calibri" w:hAnsi="Calibri" w:cs="Calibri"/>
          <w:i/>
          <w:iCs/>
          <w:szCs w:val="24"/>
        </w:rPr>
        <w:t>et al.</w:t>
      </w:r>
      <w:r w:rsidR="0089573F" w:rsidRPr="0089573F">
        <w:rPr>
          <w:rFonts w:ascii="Calibri" w:hAnsi="Calibri" w:cs="Calibri"/>
          <w:szCs w:val="24"/>
        </w:rPr>
        <w:t>, 2023)</w:t>
      </w:r>
      <w:r w:rsidR="0089573F">
        <w:fldChar w:fldCharType="end"/>
      </w:r>
      <w:r w:rsidR="00B4481E" w:rsidRPr="00B4481E">
        <w:t xml:space="preserve">, which are of particular concern for groundwater </w:t>
      </w:r>
      <w:r w:rsidR="00B4481E" w:rsidRPr="00B4481E">
        <w:lastRenderedPageBreak/>
        <w:t>contamination.</w:t>
      </w:r>
      <w:r w:rsidR="00B4481E">
        <w:t xml:space="preserve"> </w:t>
      </w:r>
      <w:r w:rsidR="00B4481E" w:rsidRPr="00B4481E">
        <w:t>Alkylphenol analyses were conducted by ISSEP (Belgium) using LC-MS/MS. Benzotriazoles and PFAS were analyzed by Celabor (Belgium), also using LC-MS/MS.</w:t>
      </w:r>
    </w:p>
    <w:p w14:paraId="6D843DD7" w14:textId="2B94463E" w:rsidR="00B4481E" w:rsidRPr="00B4481E" w:rsidRDefault="00B4481E" w:rsidP="00865AB7">
      <w:pPr>
        <w:spacing w:line="276" w:lineRule="auto"/>
        <w:jc w:val="both"/>
      </w:pPr>
      <w:r w:rsidRPr="00B4481E">
        <w:t xml:space="preserve">In addition, samples were collected to determine major ion composition, electrical conductivity, and pH. </w:t>
      </w:r>
      <w:r w:rsidR="00FF443B">
        <w:t>Major ion analyses</w:t>
      </w:r>
      <w:r w:rsidRPr="00B4481E">
        <w:t xml:space="preserve"> were performed by the Hydrogeology and Environmental Geology Laboratory at the University of Liège</w:t>
      </w:r>
      <w:r w:rsidR="00FF443B">
        <w:t xml:space="preserve"> </w:t>
      </w:r>
      <w:r w:rsidR="00FF443B" w:rsidRPr="00FF443B">
        <w:t>using a Metrohm Professional 850 IC AnCat - MCS system</w:t>
      </w:r>
      <w:r w:rsidRPr="00B4481E">
        <w:t xml:space="preserve">. </w:t>
      </w:r>
      <w:r w:rsidR="00FA5583">
        <w:t>All this information</w:t>
      </w:r>
      <w:r w:rsidR="00FF443B">
        <w:t xml:space="preserve"> </w:t>
      </w:r>
      <w:r w:rsidR="00FA5583">
        <w:t>is</w:t>
      </w:r>
      <w:r w:rsidR="00FA5583" w:rsidRPr="00B4481E">
        <w:t xml:space="preserve"> </w:t>
      </w:r>
      <w:r>
        <w:t xml:space="preserve">essential </w:t>
      </w:r>
      <w:r w:rsidRPr="00B4481E">
        <w:t xml:space="preserve">for </w:t>
      </w:r>
      <w:r w:rsidR="00FA5583">
        <w:t>formulat</w:t>
      </w:r>
      <w:r w:rsidR="00FA5583" w:rsidRPr="00B4481E">
        <w:t xml:space="preserve">ing </w:t>
      </w:r>
      <w:r w:rsidRPr="00B4481E">
        <w:t>a synthetic water solution in the lab that mimics the composition of the sampled runoff water.</w:t>
      </w:r>
    </w:p>
    <w:p w14:paraId="2574710A" w14:textId="744E2E01" w:rsidR="00CA26E5" w:rsidRPr="009348F2" w:rsidRDefault="009E2632" w:rsidP="00865AB7">
      <w:pPr>
        <w:pStyle w:val="Titre4"/>
        <w:numPr>
          <w:ilvl w:val="2"/>
          <w:numId w:val="1"/>
        </w:numPr>
        <w:spacing w:line="276" w:lineRule="auto"/>
        <w:rPr>
          <w:i w:val="0"/>
        </w:rPr>
      </w:pPr>
      <w:r>
        <w:rPr>
          <w:i w:val="0"/>
        </w:rPr>
        <w:t>Loess</w:t>
      </w:r>
      <w:r w:rsidR="006A3E1D" w:rsidRPr="009348F2">
        <w:rPr>
          <w:i w:val="0"/>
        </w:rPr>
        <w:t xml:space="preserve"> sediments</w:t>
      </w:r>
    </w:p>
    <w:p w14:paraId="57FE4000" w14:textId="21EAAA3D" w:rsidR="00B4481E" w:rsidRDefault="00B4481E" w:rsidP="00865AB7">
      <w:pPr>
        <w:spacing w:line="276" w:lineRule="auto"/>
        <w:jc w:val="both"/>
      </w:pPr>
      <w:r w:rsidRPr="00B4481E">
        <w:t xml:space="preserve">To assess the interactions between runoff water and </w:t>
      </w:r>
      <w:r w:rsidR="004E164A">
        <w:t xml:space="preserve">the </w:t>
      </w:r>
      <w:r w:rsidRPr="00B4481E">
        <w:t xml:space="preserve">sediments, </w:t>
      </w:r>
      <w:r w:rsidR="004E164A">
        <w:t xml:space="preserve">loess </w:t>
      </w:r>
      <w:r w:rsidR="00A54DB9">
        <w:t>sediment</w:t>
      </w:r>
      <w:r w:rsidRPr="00B4481E">
        <w:t xml:space="preserve"> samples were collected at a depth of 50 cm from an infiltration basin in the Hesbaye region using a hand auger. Grain size distribution analyses were carried out in the Building Materials Laboratory (LMC) at the University of Liège to characterize the s</w:t>
      </w:r>
      <w:r w:rsidR="00A54DB9">
        <w:t>ediment</w:t>
      </w:r>
      <w:r w:rsidRPr="00B4481E">
        <w:t xml:space="preserve"> texture, with detaile</w:t>
      </w:r>
      <w:r w:rsidR="00353FCE">
        <w:t>d results provided in Section S1</w:t>
      </w:r>
      <w:r w:rsidRPr="00B4481E">
        <w:t xml:space="preserve"> of the </w:t>
      </w:r>
      <w:r w:rsidR="005A6601">
        <w:t>S</w:t>
      </w:r>
      <w:r w:rsidR="005A6601" w:rsidRPr="00B4481E">
        <w:t xml:space="preserve">upplementary </w:t>
      </w:r>
      <w:r w:rsidR="005A6601">
        <w:t>M</w:t>
      </w:r>
      <w:r w:rsidR="005A6601" w:rsidRPr="00B4481E">
        <w:t>aterial</w:t>
      </w:r>
      <w:r w:rsidRPr="00B4481E">
        <w:t>. The remaining sediments were then transported in cold conditions to IDAEA-CSIC laboratory (Barcelona), where they were frozen before the start of the batch experiments.</w:t>
      </w:r>
    </w:p>
    <w:p w14:paraId="2862FBF0" w14:textId="6F9AF6F5" w:rsidR="00935EDD" w:rsidRDefault="009E2632" w:rsidP="00865AB7">
      <w:pPr>
        <w:spacing w:line="276" w:lineRule="auto"/>
        <w:jc w:val="both"/>
      </w:pPr>
      <w:r>
        <w:t>Additional loess</w:t>
      </w:r>
      <w:r w:rsidR="00B4481E">
        <w:t xml:space="preserve"> sediment samples from the region were collected similarly and analyzed for their organic carbon content. These analyses were conducted by the BEAGx laboratory at the University of Liège using wet oxidation of humic substances.</w:t>
      </w:r>
    </w:p>
    <w:p w14:paraId="236EDE34" w14:textId="256808AC" w:rsidR="009348F2" w:rsidRDefault="009348F2" w:rsidP="00865AB7">
      <w:pPr>
        <w:pStyle w:val="Titre2"/>
        <w:numPr>
          <w:ilvl w:val="1"/>
          <w:numId w:val="1"/>
        </w:numPr>
        <w:spacing w:line="276" w:lineRule="auto"/>
      </w:pPr>
      <w:r>
        <w:t>Experimental set-up</w:t>
      </w:r>
    </w:p>
    <w:p w14:paraId="7867F289" w14:textId="4ACFB534" w:rsidR="00FF2559" w:rsidRDefault="00256C82" w:rsidP="00865AB7">
      <w:pPr>
        <w:pStyle w:val="Titre3"/>
        <w:numPr>
          <w:ilvl w:val="2"/>
          <w:numId w:val="1"/>
        </w:numPr>
        <w:spacing w:line="276" w:lineRule="auto"/>
      </w:pPr>
      <w:r>
        <w:t xml:space="preserve">Batch </w:t>
      </w:r>
      <w:r w:rsidR="00400FE5">
        <w:t xml:space="preserve">and control </w:t>
      </w:r>
      <w:r>
        <w:t>reactors</w:t>
      </w:r>
    </w:p>
    <w:p w14:paraId="0E0BD7EB" w14:textId="6D926439" w:rsidR="003B7844" w:rsidRDefault="00400FE5" w:rsidP="003B7844">
      <w:pPr>
        <w:spacing w:line="276" w:lineRule="auto"/>
        <w:jc w:val="both"/>
      </w:pPr>
      <w:r>
        <w:t xml:space="preserve">Batch experiments were conducted </w:t>
      </w:r>
      <w:r w:rsidR="0046734D">
        <w:t xml:space="preserve">in triplicate </w:t>
      </w:r>
      <w:r>
        <w:t>to assess the attenuat</w:t>
      </w:r>
      <w:r w:rsidR="005D3D4B">
        <w:t xml:space="preserve">ion of selected CECs </w:t>
      </w:r>
      <w:r w:rsidR="0046734D">
        <w:t xml:space="preserve">present </w:t>
      </w:r>
      <w:r>
        <w:t xml:space="preserve">in airport runoff water </w:t>
      </w:r>
      <w:r w:rsidR="009E2632">
        <w:t>when being in contact with loess</w:t>
      </w:r>
      <w:r w:rsidR="005B158F">
        <w:t xml:space="preserve"> sediments</w:t>
      </w:r>
      <w:r>
        <w:t>.</w:t>
      </w:r>
      <w:r w:rsidR="00D21319">
        <w:t xml:space="preserve"> The </w:t>
      </w:r>
      <w:r w:rsidR="00E82E9B">
        <w:t xml:space="preserve">target </w:t>
      </w:r>
      <w:r w:rsidR="00D21319">
        <w:t xml:space="preserve">compounds included benzotriazole, tolyltriazole, </w:t>
      </w:r>
      <w:r w:rsidR="00B120D2">
        <w:t>nonylphenol diethoxylate (NP2EO), PFOA, PFOS, PFHxA, PFECHS and 6:2 FTS.</w:t>
      </w:r>
      <w:r>
        <w:t xml:space="preserve"> The </w:t>
      </w:r>
      <w:r w:rsidR="00715F96">
        <w:t>experimental set-up consisted of</w:t>
      </w:r>
      <w:r>
        <w:t xml:space="preserve"> three </w:t>
      </w:r>
      <w:r w:rsidR="00715F96">
        <w:t>3.5 L reactors</w:t>
      </w:r>
      <w:r>
        <w:t xml:space="preserve">, </w:t>
      </w:r>
      <w:r w:rsidR="00715F96">
        <w:t xml:space="preserve">each </w:t>
      </w:r>
      <w:r>
        <w:t xml:space="preserve">operated </w:t>
      </w:r>
      <w:r w:rsidR="00715F96">
        <w:t>for four</w:t>
      </w:r>
      <w:r>
        <w:t xml:space="preserve"> weeks</w:t>
      </w:r>
      <w:r w:rsidR="009F5AEB">
        <w:t xml:space="preserve">, as </w:t>
      </w:r>
      <w:r w:rsidR="009F5AEB" w:rsidRPr="009F5AEB">
        <w:t xml:space="preserve">attenuation </w:t>
      </w:r>
      <w:r w:rsidR="009F5AEB">
        <w:t>processes in static batch systems are</w:t>
      </w:r>
      <w:r w:rsidR="009F5AEB" w:rsidRPr="009F5AEB">
        <w:t xml:space="preserve"> expected to occur </w:t>
      </w:r>
      <w:r w:rsidR="009F5AEB">
        <w:t xml:space="preserve">mainly during the initial phase of the experiment. </w:t>
      </w:r>
      <w:r w:rsidR="00600894">
        <w:t>Indeed, s</w:t>
      </w:r>
      <w:r w:rsidR="009F5AEB" w:rsidRPr="009F5AEB">
        <w:t xml:space="preserve">orption equilibrates rapidly, and biodegradation is </w:t>
      </w:r>
      <w:r w:rsidR="009F5AEB">
        <w:t xml:space="preserve">in principle </w:t>
      </w:r>
      <w:r w:rsidR="009F5AEB" w:rsidRPr="009F5AEB">
        <w:t xml:space="preserve">most active under oxic conditions before slowing </w:t>
      </w:r>
      <w:r w:rsidR="009F5AEB">
        <w:t>down significantl</w:t>
      </w:r>
      <w:r w:rsidR="009F5AEB" w:rsidRPr="009F5AEB">
        <w:t>y once oxygen is depleted.</w:t>
      </w:r>
      <w:r w:rsidR="0068443C">
        <w:t xml:space="preserve"> </w:t>
      </w:r>
      <w:r w:rsidR="005573E1" w:rsidRPr="005573E1">
        <w:t xml:space="preserve">A volumetric ratio of 85:15 between the aqueous and the solid phases was selected to </w:t>
      </w:r>
      <w:r w:rsidR="008C5436">
        <w:t>ensure</w:t>
      </w:r>
      <w:r w:rsidR="005573E1" w:rsidRPr="005573E1">
        <w:t xml:space="preserve"> sufficient water volume for repeated sampling during the experiment, while maintaining a stable solid–</w:t>
      </w:r>
      <w:r w:rsidR="005573E1">
        <w:t xml:space="preserve">liquid balance (see </w:t>
      </w:r>
      <w:r w:rsidR="005573E1">
        <w:fldChar w:fldCharType="begin"/>
      </w:r>
      <w:r w:rsidR="005573E1">
        <w:instrText xml:space="preserve"> REF _Ref198022568 \h </w:instrText>
      </w:r>
      <w:r w:rsidR="005573E1">
        <w:fldChar w:fldCharType="separate"/>
      </w:r>
      <w:r w:rsidR="00D1782E">
        <w:t xml:space="preserve">Figure </w:t>
      </w:r>
      <w:r w:rsidR="00D1782E">
        <w:rPr>
          <w:noProof/>
        </w:rPr>
        <w:t>1</w:t>
      </w:r>
      <w:r w:rsidR="005573E1">
        <w:fldChar w:fldCharType="end"/>
      </w:r>
      <w:r w:rsidR="005573E1" w:rsidRPr="005573E1">
        <w:t>a).</w:t>
      </w:r>
      <w:r w:rsidR="008C5436">
        <w:t xml:space="preserve"> The solid to liquid ratio was also chosen as a compromise for being not too large to prevent the development of redox zoning within the sediments, and not too small to prevent a minimization of the effective surface available for sorption processes. This choice was made similarly to the approach employed by </w:t>
      </w:r>
      <w:r w:rsidR="008C5436">
        <w:fldChar w:fldCharType="begin"/>
      </w:r>
      <w:r w:rsidR="008C5436">
        <w:instrText xml:space="preserve"> QUOTE  "Villa et al. (2025)" </w:instrText>
      </w:r>
      <w:r w:rsidR="008C5436">
        <w:fldChar w:fldCharType="separate"/>
      </w:r>
      <w:r w:rsidR="008C5436">
        <w:t xml:space="preserve">Villa </w:t>
      </w:r>
      <w:r w:rsidR="008C5436" w:rsidRPr="005B1539">
        <w:rPr>
          <w:i/>
        </w:rPr>
        <w:t>et al.</w:t>
      </w:r>
      <w:r w:rsidR="008C5436">
        <w:t xml:space="preserve"> (2025)</w:t>
      </w:r>
      <w:r w:rsidR="008C5436">
        <w:fldChar w:fldCharType="end"/>
      </w:r>
      <w:r w:rsidR="008C5436">
        <w:t xml:space="preserve"> and </w:t>
      </w:r>
      <w:r w:rsidR="008C5436">
        <w:fldChar w:fldCharType="begin"/>
      </w:r>
      <w:r w:rsidR="008C5436">
        <w:instrText xml:space="preserve"> QUOTE  "Pujades-Garnes et al. (2025)" </w:instrText>
      </w:r>
      <w:r w:rsidR="008C5436">
        <w:fldChar w:fldCharType="separate"/>
      </w:r>
      <w:r w:rsidR="008C5436">
        <w:t xml:space="preserve">Pujades-Garnes </w:t>
      </w:r>
      <w:r w:rsidR="008C5436" w:rsidRPr="005B1539">
        <w:rPr>
          <w:i/>
        </w:rPr>
        <w:t>et al.</w:t>
      </w:r>
      <w:r w:rsidR="008C5436">
        <w:t xml:space="preserve"> (2025)</w:t>
      </w:r>
      <w:r w:rsidR="008C5436">
        <w:fldChar w:fldCharType="end"/>
      </w:r>
      <w:r w:rsidR="008C5436">
        <w:t xml:space="preserve">, where batch experiments were set-up to evaluate the fate of pharmaceuticals and gadolinium in groundwater, respectively. </w:t>
      </w:r>
      <w:r w:rsidR="00A94524">
        <w:t>In practice, t</w:t>
      </w:r>
      <w:r w:rsidR="005573E1" w:rsidRPr="005573E1">
        <w:t xml:space="preserve">his ratio was </w:t>
      </w:r>
      <w:r w:rsidR="00A94524">
        <w:t>approximated</w:t>
      </w:r>
      <w:r w:rsidR="005573E1" w:rsidRPr="005573E1">
        <w:t xml:space="preserve"> based on sediment density (grain density = 2.7 g·cm⁻³; wet density = 1.80 g·cm⁻³) and corresponds to an approximate liquid-to-solid mass ratio of 4:1. The aqueous phase comprised synthetic runoff water, formulated to mimic the chemical composition of the runoff water. The solid phase consisted of unconsolidated loess sediments collected from the Hesbaye region.</w:t>
      </w:r>
    </w:p>
    <w:p w14:paraId="06550484" w14:textId="5355168A" w:rsidR="003B7844" w:rsidRPr="003B7844" w:rsidRDefault="003B7844" w:rsidP="003B7844">
      <w:pPr>
        <w:spacing w:line="276" w:lineRule="auto"/>
        <w:jc w:val="both"/>
      </w:pPr>
      <w:r w:rsidRPr="003B7844">
        <w:t xml:space="preserve">Each reactor bottle was equipped with a cap consisting of three </w:t>
      </w:r>
      <w:r w:rsidR="00A94524">
        <w:t>screw connectors with ports</w:t>
      </w:r>
      <w:r>
        <w:t xml:space="preserve"> (see </w:t>
      </w:r>
      <w:r>
        <w:fldChar w:fldCharType="begin"/>
      </w:r>
      <w:r>
        <w:instrText xml:space="preserve"> REF _Ref198022568 \h </w:instrText>
      </w:r>
      <w:r>
        <w:fldChar w:fldCharType="separate"/>
      </w:r>
      <w:r w:rsidR="00D1782E">
        <w:t xml:space="preserve">Figure </w:t>
      </w:r>
      <w:r w:rsidR="00D1782E">
        <w:rPr>
          <w:noProof/>
        </w:rPr>
        <w:t>1</w:t>
      </w:r>
      <w:r>
        <w:fldChar w:fldCharType="end"/>
      </w:r>
      <w:r>
        <w:t xml:space="preserve">a). The first </w:t>
      </w:r>
      <w:r w:rsidRPr="003B7844">
        <w:t xml:space="preserve">one </w:t>
      </w:r>
      <w:r>
        <w:t xml:space="preserve">was </w:t>
      </w:r>
      <w:r w:rsidRPr="003B7844">
        <w:t>connected to the sampling tube, which was sealed between samplings</w:t>
      </w:r>
      <w:r>
        <w:t xml:space="preserve"> events. The second</w:t>
      </w:r>
      <w:r w:rsidRPr="003B7844">
        <w:t xml:space="preserve"> one</w:t>
      </w:r>
      <w:r>
        <w:t xml:space="preserve"> was</w:t>
      </w:r>
      <w:r w:rsidRPr="003B7844">
        <w:t xml:space="preserve"> connected to the nitrogen inlet, whic</w:t>
      </w:r>
      <w:r>
        <w:t>h was also closed between the collection of samples.</w:t>
      </w:r>
      <w:r w:rsidRPr="003B7844">
        <w:t xml:space="preserve"> </w:t>
      </w:r>
      <w:r>
        <w:t xml:space="preserve">The last </w:t>
      </w:r>
      <w:r w:rsidRPr="003B7844">
        <w:t xml:space="preserve">one </w:t>
      </w:r>
      <w:r>
        <w:t xml:space="preserve">was </w:t>
      </w:r>
      <w:r w:rsidRPr="003B7844">
        <w:t xml:space="preserve">connected to a pressure valve, which allowed pressure </w:t>
      </w:r>
      <w:r>
        <w:t>balance</w:t>
      </w:r>
      <w:r w:rsidRPr="003B7844">
        <w:t xml:space="preserve"> with the ambient air inside the incubator.</w:t>
      </w:r>
    </w:p>
    <w:p w14:paraId="1E241719" w14:textId="578C18B5" w:rsidR="00400FE5" w:rsidRDefault="00715F96" w:rsidP="00865AB7">
      <w:pPr>
        <w:spacing w:line="276" w:lineRule="auto"/>
        <w:jc w:val="both"/>
      </w:pPr>
      <w:r>
        <w:lastRenderedPageBreak/>
        <w:t>An additional</w:t>
      </w:r>
      <w:r w:rsidR="00A37D24">
        <w:t xml:space="preserve"> </w:t>
      </w:r>
      <w:r>
        <w:t xml:space="preserve">2.5 L abiotic control reactor </w:t>
      </w:r>
      <w:r w:rsidR="00A37D24">
        <w:t>was</w:t>
      </w:r>
      <w:r w:rsidR="00400FE5">
        <w:t xml:space="preserve"> </w:t>
      </w:r>
      <w:r w:rsidR="005A6601">
        <w:t>operated</w:t>
      </w:r>
      <w:r w:rsidR="00400FE5">
        <w:t xml:space="preserve"> under </w:t>
      </w:r>
      <w:r w:rsidR="005A6601">
        <w:t xml:space="preserve">identical </w:t>
      </w:r>
      <w:r w:rsidR="00400FE5">
        <w:t xml:space="preserve">conditions and duration. The objective of </w:t>
      </w:r>
      <w:r w:rsidR="00E749C6">
        <w:t xml:space="preserve">the </w:t>
      </w:r>
      <w:r w:rsidR="00400FE5">
        <w:t xml:space="preserve">abiotic control </w:t>
      </w:r>
      <w:r w:rsidR="0046734D">
        <w:t xml:space="preserve">was </w:t>
      </w:r>
      <w:r w:rsidR="0086576F">
        <w:t>to evaluate</w:t>
      </w:r>
      <w:r w:rsidR="00400FE5">
        <w:t xml:space="preserve"> the sorption of CEC</w:t>
      </w:r>
      <w:r w:rsidR="00EA5457">
        <w:t>s</w:t>
      </w:r>
      <w:r w:rsidR="00400FE5">
        <w:t xml:space="preserve"> onto loess sediments</w:t>
      </w:r>
      <w:r w:rsidR="00E749C6">
        <w:t>,</w:t>
      </w:r>
      <w:r w:rsidR="00A37D24">
        <w:t xml:space="preserve"> since </w:t>
      </w:r>
      <w:r w:rsidR="00E749C6">
        <w:t>any</w:t>
      </w:r>
      <w:r w:rsidR="00A37D24">
        <w:t xml:space="preserve"> attenuation </w:t>
      </w:r>
      <w:r w:rsidR="00E749C6">
        <w:t>observed in the absence of microorganisms can only result from</w:t>
      </w:r>
      <w:r w:rsidR="00A37D24">
        <w:t xml:space="preserve"> sorption processes. </w:t>
      </w:r>
      <w:r w:rsidR="0049492F" w:rsidRPr="0049492F">
        <w:t xml:space="preserve">This </w:t>
      </w:r>
      <w:r w:rsidR="0049492F">
        <w:t xml:space="preserve">single abiotic control </w:t>
      </w:r>
      <w:r w:rsidR="0049492F" w:rsidRPr="0049492F">
        <w:t xml:space="preserve">design follows common practice in batch </w:t>
      </w:r>
      <w:r w:rsidR="0049492F">
        <w:t xml:space="preserve">and column </w:t>
      </w:r>
      <w:r w:rsidR="0049492F" w:rsidRPr="0049492F">
        <w:t xml:space="preserve">experiments, where one abiotic control is used </w:t>
      </w:r>
      <w:r w:rsidR="0049492F">
        <w:t xml:space="preserve">to </w:t>
      </w:r>
      <w:r w:rsidR="00600894">
        <w:t>evaluate</w:t>
      </w:r>
      <w:r w:rsidR="00600894" w:rsidRPr="0049492F">
        <w:t xml:space="preserve"> </w:t>
      </w:r>
      <w:r w:rsidR="0049492F" w:rsidRPr="0049492F">
        <w:t>abiotic losses (sorption) in comparison to biotic reactors</w:t>
      </w:r>
      <w:r w:rsidR="0049492F">
        <w:t xml:space="preserve"> </w:t>
      </w:r>
      <w:r w:rsidR="0049492F">
        <w:fldChar w:fldCharType="begin"/>
      </w:r>
      <w:r w:rsidR="00C878A3">
        <w:instrText xml:space="preserve"> ADDIN ZOTERO_ITEM CSL_CITATION {"citationID":"85e4GNlG","properties":{"formattedCitation":"(Gulde {\\i{}et al.}, 2014; De Wilt {\\i{}et al.}, 2018; Sch\\uc0\\u252{}bl {\\i{}et al.}, 2021; Pujades-Garnes {\\i{}et al.}, 2025; Villa {\\i{}et al.}, 2025)","plainCitation":"(Gulde et al., 2014; De Wilt et al., 2018; Schübl et al., 2021; Pujades-Garnes et al., 2025; Villa et al., 2025)","noteIndex":0},"citationItems":[{"id":7446,"uris":["http://zotero.org/users/9753339/items/XLURIIKD"],"itemData":{"id":7446,"type":"article-journal","abstract":"Removal of micropollutants (MPs) during activated sludge treatment can mainly be attributed to biotransformation and sorption to sludge ﬂocs, whereby the latter process is known to be of minor importance for polar organic micropollutants. In this work, we investigated the inﬂuence of pH on the biotransformation of MPs with cationic-neutral speciation in an activated sludge microbial community. We performed batch biotransformation, sorption control, and abiotic control experiments for 15 MPs with cationicneutral speciation, one control MP with neutral-anionic speciation, and two neutral MPs at pHs 6, 7, and 8. Biotransformation rate constants corrected for sorption and abiotic processes were estimated from measured concentration time series with Bayesian inference. We found that biotransformation is pH-dependent and correlates qualitatively with the neutral fraction of the ionizable MPs. However, a simple speciation model based on the assumption that only the neutral species is eﬃciently taken up and biotransformed by the cells tends to overpredict the eﬀect of speciation. Therefore, additional mechanisms such as uptake of the ionic species and other more complex attenutation mechanisms are discussed. Finally, we observed that the sorption coeﬃcients derived from our control experiments were small and showed no notable pH-dependence. From this we conclude that pH-dependent removal of polar, ionizable organic MPs in activated sludge systems is less likely an eﬀect of pH-dependent sorption but rather of pH-dependent biotransformation. The latter has the potential to cause marked diﬀerences in the removal of polar, ionizable MPs at diﬀerent operational pHs during activated sludge treatment.","container-title":"Environmental Science &amp; Technology","DOI":"10.1021/es5037139","ISSN":"0013-936X, 1520-5851","issue":"23","journalAbbreviation":"Environ. Sci. Technol.","language":"en","page":"13760-13768","source":"DOI.org (Crossref)","title":"pH-Dependent Biotransformation of Ionizable Organic Micropollutants in Activated Sludge","volume":"48","author":[{"family":"Gulde","given":"Rebekka"},{"family":"Helbling","given":"Damian E."},{"family":"Scheidegger","given":"Andreas"},{"family":"Fenner","given":"Kathrin"}],"issued":{"date-parts":[["2014",12,2]]}}},{"id":7424,"uris":["http://zotero.org/users/9753339/items/DZ3YB5X4"],"itemData":{"id":7424,"type":"article-journal","abstract":"This study explored the removal of six pharmaceutically active compounds (PhACs) in lab-scale experiments with sediments under four redox conditions, namely aerobic, nitrate reducing, sulfate reducing, and methanogenic conditions using batch and column set-ups. Redox conditions were found to inﬂuence PhAC removal by sorption and biodegradation. The most optimal PhAC removal was observed at the outer ranges of the redox spectrum, i.e. either aerobic or deep anaerobic (sulfate reducing and methanogenic conditions), whereas nitrate reducing conditions were found least effective for PhACs biodegradation and sorption. For instance, sorption coefﬁcient Kd values for metoprolol in column experiments were 90, 65, 42 and 11 L/kg for sulfate reducing, methanogenic, aerobic and nitrate reducing conditions, respectively. For the same conditions Kd values for propranolol were 101, 94, 55 and 55 L/kg, respectively. As expected, biodegradation efﬁciencies were highest under aerobic conditions, showing &gt;99% removal of caffeine and naproxen, but no removal for propranolol and carbamazepine. The adaptive capacity of sediment was demonstrated by pre-exposure to PhACs leading to improved PhAC biodegradation. The results of this study indicate the necessity to combine diverse redox conditions, including aerobic conditions, for maximizing PhAC removal by sorption and biodegradation. Furthermore, our ﬁndings stress the need for additional treatment measures as recalcitrant PhACs are not effectively removed under any redox condition.","container-title":"Chemosphere","DOI":"10.1016/j.chemosphere.2017.11.084","ISSN":"00456535","journalAbbreviation":"Chemosphere","language":"en","page":"811-819","source":"DOI.org (Crossref)","title":"Sorption and biodegradation of six pharmaceutically active compounds under four different redox conditions","volume":"193","author":[{"family":"De Wilt","given":"Arnoud"},{"family":"He","given":"Yujie"},{"family":"Sutton","given":"Nora"},{"family":"Langenhoff","given":"Alette"},{"family":"Rijnaarts","given":"Huub"}],"issued":{"date-parts":[["2018",2]]}}},{"id":7426,"uris":["http://zotero.org/users/9753339/items/58LI8T7Q"],"itemData":{"id":7426,"type":"article-journal","abstract":"Pharmaceutically active compounds have increasingly been detected in groundwater worldwide. Despite constituting a risk for human health and ecosystems, their fate in the environment has still not been exhaustively investigated. This study characterizes the transport behavior of five selected pharmaceutically active compounds (antipyrine, atenolol, caffeine, carbamazepine and sulfamethoxazole) in two sediments (coarse quartz sand and sandy loam) using column experiments with long-term injection of spiked groundwater. Transport parameters were estimated using an analytical reactive transport model. When five selected compounds were injected simultaneously, transport behavior of antipyrine, carbamazepine and the antibiotic sulfamethoxazole were similar to the conservative tracer in both sediments and under varying redox conditions. Atenolol and caffeine were retarded significantly stronger in the sandy loam sediment than in the coarse quartz sand. Biodegradation of caffeine was observed in both sediments after an adaption period and depended on dissolved oxygen. The identification of biodegradation processes was supported by monitoring of intracellular adenosine triphosphate (ATPitc) as a measure for microbial activity. ATPitc was present in varying concentrations in all sediments and was highest when biodegradation of pharmaceuticals, especially caffeine, was observed. When only caffeine and sulfamethoxazole were injected simultaneously, sulfamethoxazole was degraded while caffeine degradation was reduced. The latter seemed to be influenced by low concentrations in dissolved oxygen rather than the presence of the antibiotic sulfamethoxazole. Results of these experiments emphasize the impact on pharmaceutical sorption and (bio)degradation of sediment type and redox conditions, as well as available time for microbial adaption and the combination of pharmaceuticals that are released together into groundwater.","container-title":"Journal of Contaminant Hydrology","DOI":"10.1016/j.jconhyd.2020.103738","ISSN":"01697722","journalAbbreviation":"Journal of Contaminant Hydrology","language":"en","page":"103738","source":"DOI.org (Crossref)","title":"Sorption and biodegradation parameters of selected pharmaceuticals in laboratory column experiments","volume":"236","author":[{"family":"Schübl","given":"Marleen"},{"family":"Kiecak","given":"Aleksandra"},{"family":"Hug","given":"Katrin"},{"family":"Lintelmann","given":"Jutta"},{"family":"Zimmermann","given":"Ralf"},{"family":"Stumpp","given":"Christine"}],"issued":{"date-parts":[["2021",1]]}}},{"id":7444,"uris":["http://zotero.org/users/9753339/items/PW9BFPTS"],"itemData":{"id":7444,"type":"article-journal","abstract":"Urban aquifers are a potential alternative, with which to cover the rising demand for freshwater. However, they are commonly polluted by a wide range of anthropogenic substances, including rare earth elements (REEs). In this context, it is essential to investigate the presence and behaviour of these pollutants, in order to safely use urban groundwater. An example of these contaminants is Gadolinium, which can reach the environment after it has been used for medical purposes. Gadolinium anomalies were detected in hydraulically connected surface and subsurface water bodies in Barcelona, northeast Spain. A striking factor in this study, is that Gadolinium pollution in groundwater was less frequent and more attenuated than in surface water, suggesting that Gadolinium attenuation may be prevalent in the subsurface. Batch experiments were conducted and modelled to ascertain processes affecting Gadolinium in the sampled aquifers. Experimental results have (i) demonstrated that the concentration of dissolved Gadolinium decreased 90% in 24 days, and (ii) suggested that sorption plays a key role in Gadolinium attenuation. The modelling of the experiments provides essential parameters, with which to predict the behaviour of Gadolinium. Our results have significant implications for understanding the evolution of anthropogenic Gadolinium in aquifers in general, which is of paramount importance for determining where groundwater can be safely used after its natural or artificial infiltration.","container-title":"Environmental Processes","DOI":"10.1007/s40710-025-00784-0","ISSN":"2198-7491, 2198-7505","issue":"3","journalAbbreviation":"Environ. Process.","language":"en","page":"43","source":"DOI.org (Crossref)","title":"Behaviour and Fate of Anthropogenic Gadolinium in Groundwater: Insights from Batch Experiments and Measured Concentrations in the Besòs River Delta (NE Spain)","title-short":"Behaviour and Fate of Anthropogenic Gadolinium in Groundwater","volume":"12","author":[{"family":"Pujades-Garnes","given":"Estanislao"},{"family":"Ekiz","given":"Mert Çetin"},{"family":"Izquierdo","given":"Maria"},{"family":"Scheiber","given":"Laura"},{"family":"Salehi Siavashani","given":"Nafiseh"},{"family":"Jurado","given":"Anna"},{"family":"Vázquez-Suñé","given":"Enric"},{"family":"Foppen","given":"Jan Willem"}],"issued":{"date-parts":[["2025",9]]}}},{"id":7416,"uris":["http://zotero.org/users/9753339/items/8T33EPM5"],"itemData":{"id":7416,"type":"article-journal","abstract":"Pharmaceuticals are present in the environment from anthropogenic pollution sources, leading to groundwater contamination when reaching urban aquifers. Once in the subsurface, their fate depends on the hydrochemical processes and environmental conditions within the aquifer. In this context, this study investigates how different redox and temperature conditions affect the natural attenuation of pharmaceuticals in the subsurface. Batch experiments were conducted under oxic and suboxic (i.e., up to nitrate reduction) conditions and at two temperatures (25 ◦C and 35 ◦C). The controlled conditions achieved with parallel batch reactor systems allowed us a systematic investigation of the processes and factors involved in the fate of ten pharmaceuticals (atenolol, citalopram, climbazole, irbesartan, lamo­ trigine, sitagliptin, carbamazepine, metoprolol, trimethoprim, and venlafaxine), providing insights into the mechanisms governing their attenuation. The results showed that oxic conditions were highly effective in reducing pharmaceuticals concentrations, achieving up to 91 % attenuation for irbesartan, followed by citalopram (90 %), climbazole (77 %), sitagliptin (76 %) and metoprolol (75 %). Atenolol and climbazole were also attenuated regardless of redox conditions. High temperatures increased the total removal of citalopram, irbesartan, sitagliptin, and trimethoprim by 5–12 %, while slightly enhancing the sorption afﬁnity  of carbamazepine, irbesartan, and atenolol by 5 %. However, trimethoprim, carba­ mazepine, and lamotrigine were the most persistent compounds, with average removal rates of 6 %, 15 %, and 24 %, respectively. Overall, more than half of the targeted pharmaceuticals showed signiﬁcant  average removal (&gt;60 %), hi</w:instrText>
      </w:r>
      <w:r w:rsidR="00C878A3" w:rsidRPr="00C878A3">
        <w:rPr>
          <w:lang w:val="fr-BE"/>
        </w:rPr>
        <w:instrText>ghlighting the in</w:instrText>
      </w:r>
      <w:r w:rsidR="00C878A3">
        <w:instrText>ﬂ</w:instrText>
      </w:r>
      <w:r w:rsidR="00C878A3" w:rsidRPr="00C878A3">
        <w:rPr>
          <w:lang w:val="fr-BE"/>
        </w:rPr>
        <w:instrText xml:space="preserve">uence  of the processes involved in groundwater on the natural attenuation of these compounds. Sorption seemed to be the primary process contributing to the target pharmaceuticals attenuation in oxic conditions, while biodegradation played a secondary role, particularly for atenolol and metoprolol. These </w:instrText>
      </w:r>
      <w:r w:rsidR="00C878A3">
        <w:instrText>ﬁ</w:instrText>
      </w:r>
      <w:r w:rsidR="00C878A3" w:rsidRPr="00C878A3">
        <w:rPr>
          <w:lang w:val="fr-BE"/>
        </w:rPr>
        <w:instrText xml:space="preserve">ndings contribute to improve our understanding of the behaviour of pharmaceuticals in aquatic environment and thus to improve management practices for better water quality.","container-title":"Emerging Contaminants","DOI":"10.1016/j.emcon.2025.100537","ISSN":"24056650","issue":"3","journalAbbreviation":"Emerging Contaminants","language":"en","page":"100537","source":"DOI.org (Crossref)","title":"Exploring the influence of redox and temperature variations on the attenuation of pharmaceuticals in groundwater: Insights from parallel batch reactor experiments","title-short":"Exploring the influence of redox and temperature variations on the attenuation of pharmaceuticals in groundwater","volume":"11","author":[{"family":"Villa","given":"Alejandra"},{"family":"Salehi Siavashani","given":"Nafiseh"},{"family":"Pujades-Garnes","given":"Estanislao"},{"family":"Montemurro","given":"Nicola"},{"family":"Pérez","given":"Sandra"},{"family":"Foppen","given":"Jan Willem"},{"family":"Teixidó","given":"Marc"},{"family":"Jurado","given":"Anna"}],"issued":{"date-parts":[["2025",9]]}}}],"schema":"https://github.com/citation-style-language/schema/raw/master/csl-citation.json"} </w:instrText>
      </w:r>
      <w:r w:rsidR="0049492F">
        <w:fldChar w:fldCharType="separate"/>
      </w:r>
      <w:r w:rsidR="00C878A3" w:rsidRPr="00C878A3">
        <w:rPr>
          <w:rFonts w:ascii="Calibri" w:hAnsi="Calibri" w:cs="Calibri"/>
          <w:szCs w:val="24"/>
          <w:lang w:val="fr-BE"/>
        </w:rPr>
        <w:t xml:space="preserve">(Gulde </w:t>
      </w:r>
      <w:r w:rsidR="00C878A3" w:rsidRPr="00C878A3">
        <w:rPr>
          <w:rFonts w:ascii="Calibri" w:hAnsi="Calibri" w:cs="Calibri"/>
          <w:i/>
          <w:iCs/>
          <w:szCs w:val="24"/>
          <w:lang w:val="fr-BE"/>
        </w:rPr>
        <w:t>et al.</w:t>
      </w:r>
      <w:r w:rsidR="00C878A3" w:rsidRPr="00C878A3">
        <w:rPr>
          <w:rFonts w:ascii="Calibri" w:hAnsi="Calibri" w:cs="Calibri"/>
          <w:szCs w:val="24"/>
          <w:lang w:val="fr-BE"/>
        </w:rPr>
        <w:t xml:space="preserve">, 2014; De Wilt </w:t>
      </w:r>
      <w:r w:rsidR="00C878A3" w:rsidRPr="00C878A3">
        <w:rPr>
          <w:rFonts w:ascii="Calibri" w:hAnsi="Calibri" w:cs="Calibri"/>
          <w:i/>
          <w:iCs/>
          <w:szCs w:val="24"/>
          <w:lang w:val="fr-BE"/>
        </w:rPr>
        <w:t>et al.</w:t>
      </w:r>
      <w:r w:rsidR="00C878A3" w:rsidRPr="00C878A3">
        <w:rPr>
          <w:rFonts w:ascii="Calibri" w:hAnsi="Calibri" w:cs="Calibri"/>
          <w:szCs w:val="24"/>
          <w:lang w:val="fr-BE"/>
        </w:rPr>
        <w:t xml:space="preserve">, 2018; Schübl </w:t>
      </w:r>
      <w:r w:rsidR="00C878A3" w:rsidRPr="00C878A3">
        <w:rPr>
          <w:rFonts w:ascii="Calibri" w:hAnsi="Calibri" w:cs="Calibri"/>
          <w:i/>
          <w:iCs/>
          <w:szCs w:val="24"/>
          <w:lang w:val="fr-BE"/>
        </w:rPr>
        <w:t>et al.</w:t>
      </w:r>
      <w:r w:rsidR="00C878A3" w:rsidRPr="00C878A3">
        <w:rPr>
          <w:rFonts w:ascii="Calibri" w:hAnsi="Calibri" w:cs="Calibri"/>
          <w:szCs w:val="24"/>
          <w:lang w:val="fr-BE"/>
        </w:rPr>
        <w:t xml:space="preserve">, 2021; Pujades-Garnes </w:t>
      </w:r>
      <w:r w:rsidR="00C878A3" w:rsidRPr="00C878A3">
        <w:rPr>
          <w:rFonts w:ascii="Calibri" w:hAnsi="Calibri" w:cs="Calibri"/>
          <w:i/>
          <w:iCs/>
          <w:szCs w:val="24"/>
          <w:lang w:val="fr-BE"/>
        </w:rPr>
        <w:t>et al.</w:t>
      </w:r>
      <w:r w:rsidR="00C878A3" w:rsidRPr="00C878A3">
        <w:rPr>
          <w:rFonts w:ascii="Calibri" w:hAnsi="Calibri" w:cs="Calibri"/>
          <w:szCs w:val="24"/>
          <w:lang w:val="fr-BE"/>
        </w:rPr>
        <w:t xml:space="preserve">, 2025; Villa </w:t>
      </w:r>
      <w:r w:rsidR="00C878A3" w:rsidRPr="00C878A3">
        <w:rPr>
          <w:rFonts w:ascii="Calibri" w:hAnsi="Calibri" w:cs="Calibri"/>
          <w:i/>
          <w:iCs/>
          <w:szCs w:val="24"/>
          <w:lang w:val="fr-BE"/>
        </w:rPr>
        <w:t>et al.</w:t>
      </w:r>
      <w:r w:rsidR="00C878A3" w:rsidRPr="00C878A3">
        <w:rPr>
          <w:rFonts w:ascii="Calibri" w:hAnsi="Calibri" w:cs="Calibri"/>
          <w:szCs w:val="24"/>
          <w:lang w:val="fr-BE"/>
        </w:rPr>
        <w:t>, 2025)</w:t>
      </w:r>
      <w:r w:rsidR="0049492F">
        <w:fldChar w:fldCharType="end"/>
      </w:r>
      <w:r w:rsidR="0049492F" w:rsidRPr="005B1539">
        <w:rPr>
          <w:lang w:val="fr-BE"/>
        </w:rPr>
        <w:t xml:space="preserve">. </w:t>
      </w:r>
      <w:r w:rsidR="0049492F">
        <w:t>To set-up the abiotic control</w:t>
      </w:r>
      <w:r w:rsidR="005A6601">
        <w:t>, sediments were sterilized</w:t>
      </w:r>
      <w:r>
        <w:t xml:space="preserve"> </w:t>
      </w:r>
      <w:r w:rsidR="005A6601">
        <w:t>by</w:t>
      </w:r>
      <w:r w:rsidR="00400FE5">
        <w:t xml:space="preserve"> autoclaving at 120°C for 20 minutes to eliminate all microbial activity. After sterilization</w:t>
      </w:r>
      <w:r w:rsidR="00400FE5" w:rsidRPr="0068443C">
        <w:t>, synthetic water</w:t>
      </w:r>
      <w:r w:rsidR="00400FE5">
        <w:t xml:space="preserve"> was added to the reactor along with sodium azide (NaN</w:t>
      </w:r>
      <w:r w:rsidR="00400FE5" w:rsidRPr="005B158F">
        <w:rPr>
          <w:vertAlign w:val="subscript"/>
        </w:rPr>
        <w:t>3</w:t>
      </w:r>
      <w:r w:rsidR="00400FE5">
        <w:t xml:space="preserve">) at a concentration of 100 </w:t>
      </w:r>
      <w:r w:rsidR="00FF443B">
        <w:t>mg</w:t>
      </w:r>
      <w:r w:rsidR="00FF443B">
        <w:rPr>
          <w:rFonts w:cstheme="minorHAnsi"/>
        </w:rPr>
        <w:t>∙</w:t>
      </w:r>
      <w:r w:rsidR="0086576F">
        <w:t>L</w:t>
      </w:r>
      <w:r w:rsidR="00EF1EB8" w:rsidRPr="00EF1EB8">
        <w:rPr>
          <w:vertAlign w:val="superscript"/>
        </w:rPr>
        <w:t>-1</w:t>
      </w:r>
      <w:r w:rsidR="0086576F">
        <w:t xml:space="preserve"> </w:t>
      </w:r>
      <w:r w:rsidR="00400FE5">
        <w:t>to ensure the inhibition of any remaining microbial activity</w:t>
      </w:r>
      <w:r w:rsidR="00F61614">
        <w:t xml:space="preserve"> </w:t>
      </w:r>
      <w:r w:rsidR="00F61614">
        <w:fldChar w:fldCharType="begin"/>
      </w:r>
      <w:r w:rsidR="00F61614">
        <w:instrText xml:space="preserve"> QUOTE  "(Lichstein et Soule, 1944; Cabrol et al, 2017; Suresh et al, 2020)" </w:instrText>
      </w:r>
      <w:r w:rsidR="00F61614">
        <w:fldChar w:fldCharType="separate"/>
      </w:r>
      <w:r w:rsidR="00F61614">
        <w:t xml:space="preserve">(Lichstein et Soule, 1944; Cabrol </w:t>
      </w:r>
      <w:r w:rsidR="00F61614" w:rsidRPr="005B1539">
        <w:rPr>
          <w:i/>
        </w:rPr>
        <w:t>et al</w:t>
      </w:r>
      <w:r w:rsidR="00F61614">
        <w:t xml:space="preserve">, 2017; Suresh </w:t>
      </w:r>
      <w:r w:rsidR="00F61614" w:rsidRPr="005B1539">
        <w:rPr>
          <w:i/>
        </w:rPr>
        <w:t>et al</w:t>
      </w:r>
      <w:r w:rsidR="00F61614">
        <w:t>, 2020)</w:t>
      </w:r>
      <w:r w:rsidR="00F61614">
        <w:fldChar w:fldCharType="end"/>
      </w:r>
      <w:r w:rsidR="00400FE5" w:rsidRPr="00693CE0">
        <w:t xml:space="preserve">. </w:t>
      </w:r>
      <w:r w:rsidR="00F137DC">
        <w:t xml:space="preserve">Previous studies have reported that this sterilization method doesn’t </w:t>
      </w:r>
      <w:r w:rsidR="00F137DC" w:rsidRPr="00576400">
        <w:t xml:space="preserve">significantly interfere with sorption </w:t>
      </w:r>
      <w:r w:rsidR="00F137DC">
        <w:t xml:space="preserve">behaviour of organic chemicals on similar soils </w:t>
      </w:r>
      <w:r w:rsidR="00F137DC">
        <w:fldChar w:fldCharType="begin"/>
      </w:r>
      <w:r w:rsidR="00F137DC">
        <w:instrText xml:space="preserve"> QUOTE  "(Roberts et al., 2014; Süßmuth et al., 2024)" </w:instrText>
      </w:r>
      <w:r w:rsidR="00F137DC">
        <w:fldChar w:fldCharType="separate"/>
      </w:r>
      <w:r w:rsidR="00F137DC">
        <w:t>(Roberts et al., 2014; Süßmuth et al., 2024)</w:t>
      </w:r>
      <w:r w:rsidR="00F137DC">
        <w:fldChar w:fldCharType="end"/>
      </w:r>
      <w:r w:rsidR="00F137DC" w:rsidRPr="00576400">
        <w:t>.</w:t>
      </w:r>
      <w:r w:rsidR="00F137DC">
        <w:t xml:space="preserve"> </w:t>
      </w:r>
      <w:r w:rsidR="00400FE5">
        <w:t xml:space="preserve">This approach ensures that the abiotic control focuses exclusively on sorption mechanism. </w:t>
      </w:r>
    </w:p>
    <w:p w14:paraId="643A3888" w14:textId="1F9D1662" w:rsidR="00400FE5" w:rsidRDefault="00400FE5" w:rsidP="00865AB7">
      <w:pPr>
        <w:spacing w:line="276" w:lineRule="auto"/>
        <w:jc w:val="both"/>
      </w:pPr>
      <w:r>
        <w:t xml:space="preserve">The experiment </w:t>
      </w:r>
      <w:r w:rsidR="00B40C62">
        <w:t>was</w:t>
      </w:r>
      <w:r>
        <w:t xml:space="preserve"> co</w:t>
      </w:r>
      <w:r w:rsidR="00BD1281">
        <w:t>nducted within</w:t>
      </w:r>
      <w:r>
        <w:t xml:space="preserve"> a closed incubator </w:t>
      </w:r>
      <w:r w:rsidR="00BD1281">
        <w:t xml:space="preserve">maintained </w:t>
      </w:r>
      <w:r>
        <w:t xml:space="preserve">at 14°C </w:t>
      </w:r>
      <w:r w:rsidR="0086576F">
        <w:t xml:space="preserve">in the dark </w:t>
      </w:r>
      <w:r>
        <w:t xml:space="preserve">to </w:t>
      </w:r>
      <w:r w:rsidR="005A6601">
        <w:t xml:space="preserve">simulate </w:t>
      </w:r>
      <w:r>
        <w:t xml:space="preserve">typical surface water temperatures </w:t>
      </w:r>
      <w:r w:rsidR="00B40C62">
        <w:t>in Belgium</w:t>
      </w:r>
      <w:r w:rsidR="00BD1281">
        <w:t>,</w:t>
      </w:r>
      <w:r w:rsidR="00B40C62">
        <w:t xml:space="preserve"> </w:t>
      </w:r>
      <w:r>
        <w:t>and to prevent light from affecting ba</w:t>
      </w:r>
      <w:r w:rsidR="005D3D4B">
        <w:t>cteriological activity (</w:t>
      </w:r>
      <w:r w:rsidR="00F727A6">
        <w:t xml:space="preserve">see </w:t>
      </w:r>
      <w:r w:rsidR="005D3D4B">
        <w:fldChar w:fldCharType="begin"/>
      </w:r>
      <w:r w:rsidR="005D3D4B">
        <w:instrText xml:space="preserve"> REF _Ref198022568 \h </w:instrText>
      </w:r>
      <w:r w:rsidR="00476F5B">
        <w:instrText xml:space="preserve"> \* MERGEFORMAT </w:instrText>
      </w:r>
      <w:r w:rsidR="005D3D4B">
        <w:fldChar w:fldCharType="separate"/>
      </w:r>
      <w:r w:rsidR="00D1782E">
        <w:t xml:space="preserve">Figure </w:t>
      </w:r>
      <w:r w:rsidR="00D1782E">
        <w:rPr>
          <w:noProof/>
        </w:rPr>
        <w:t>1</w:t>
      </w:r>
      <w:r w:rsidR="005D3D4B">
        <w:fldChar w:fldCharType="end"/>
      </w:r>
      <w:r>
        <w:t xml:space="preserve">b). Samples were collected daily </w:t>
      </w:r>
      <w:r w:rsidR="0086576F">
        <w:t xml:space="preserve">during </w:t>
      </w:r>
      <w:r>
        <w:t xml:space="preserve">the first week and </w:t>
      </w:r>
      <w:r w:rsidR="00BD1281">
        <w:t>weekly</w:t>
      </w:r>
      <w:r>
        <w:t xml:space="preserve"> thereafter for </w:t>
      </w:r>
      <w:r w:rsidR="00F52F39">
        <w:t xml:space="preserve">a </w:t>
      </w:r>
      <w:r w:rsidR="00BD1281">
        <w:t xml:space="preserve">period of one </w:t>
      </w:r>
      <w:r w:rsidR="00F52F39">
        <w:t>month</w:t>
      </w:r>
      <w:r w:rsidR="005A6601">
        <w:t xml:space="preserve"> to monitor</w:t>
      </w:r>
      <w:r w:rsidR="00BD1281">
        <w:t xml:space="preserve"> the concentrations of</w:t>
      </w:r>
      <w:r w:rsidR="0086576F">
        <w:t xml:space="preserve"> </w:t>
      </w:r>
      <w:r>
        <w:t>DOC</w:t>
      </w:r>
      <w:r w:rsidR="005D5435">
        <w:t xml:space="preserve"> (dissolved organic carbon)</w:t>
      </w:r>
      <w:r>
        <w:t>, major ions and CECs. Dissolved oxygen</w:t>
      </w:r>
      <w:r w:rsidR="00160B1B">
        <w:t xml:space="preserve"> (DO)</w:t>
      </w:r>
      <w:r>
        <w:t xml:space="preserve"> </w:t>
      </w:r>
      <w:r w:rsidR="00BD1281">
        <w:t>was</w:t>
      </w:r>
      <w:r>
        <w:t xml:space="preserve"> also measured </w:t>
      </w:r>
      <w:r w:rsidR="00BD1281">
        <w:t xml:space="preserve">regularly </w:t>
      </w:r>
      <w:r>
        <w:t xml:space="preserve">throughout the experiment. </w:t>
      </w:r>
      <w:r w:rsidR="005A6601">
        <w:t>S</w:t>
      </w:r>
      <w:r>
        <w:t xml:space="preserve">ampling volumes were </w:t>
      </w:r>
      <w:r w:rsidR="005A6601">
        <w:t xml:space="preserve">carefully controlled </w:t>
      </w:r>
      <w:r>
        <w:t xml:space="preserve">to </w:t>
      </w:r>
      <w:r w:rsidR="005A6601">
        <w:t>maintain</w:t>
      </w:r>
      <w:r>
        <w:t xml:space="preserve"> the solid-liquid ratio </w:t>
      </w:r>
      <w:r w:rsidR="0068443C">
        <w:t>within a</w:t>
      </w:r>
      <w:r>
        <w:t xml:space="preserve"> 5% </w:t>
      </w:r>
      <w:r w:rsidR="00715F96">
        <w:t xml:space="preserve">margin </w:t>
      </w:r>
      <w:r>
        <w:t xml:space="preserve">by the end of the experiment. During </w:t>
      </w:r>
      <w:r w:rsidR="005A6601">
        <w:t>each sampling time</w:t>
      </w:r>
      <w:r>
        <w:t>, nitrogen</w:t>
      </w:r>
      <w:r w:rsidR="00BD1281">
        <w:t xml:space="preserve"> gas</w:t>
      </w:r>
      <w:r>
        <w:t xml:space="preserve"> was </w:t>
      </w:r>
      <w:r w:rsidR="005A6601">
        <w:t xml:space="preserve">purged </w:t>
      </w:r>
      <w:r>
        <w:t>through the system to compensate for the extracted volume and</w:t>
      </w:r>
      <w:r w:rsidR="0068443C">
        <w:t xml:space="preserve"> to</w:t>
      </w:r>
      <w:r>
        <w:t xml:space="preserve"> </w:t>
      </w:r>
      <w:r w:rsidR="005A6601">
        <w:t xml:space="preserve">preserve </w:t>
      </w:r>
      <w:r>
        <w:t xml:space="preserve">stable </w:t>
      </w:r>
      <w:r w:rsidR="00BD1281">
        <w:t xml:space="preserve">experimental </w:t>
      </w:r>
      <w:r>
        <w:t>conditions.</w:t>
      </w:r>
      <w:r w:rsidR="007A43CE">
        <w:t xml:space="preserve"> Additional </w:t>
      </w:r>
      <w:r w:rsidR="005A6601">
        <w:t>images of</w:t>
      </w:r>
      <w:r w:rsidR="007A43CE">
        <w:t xml:space="preserve"> the experimental set-up are </w:t>
      </w:r>
      <w:r w:rsidR="005A6601">
        <w:t xml:space="preserve">provided </w:t>
      </w:r>
      <w:r w:rsidR="007A43CE">
        <w:t xml:space="preserve">in </w:t>
      </w:r>
      <w:r w:rsidR="00726D15">
        <w:t xml:space="preserve">the </w:t>
      </w:r>
      <w:r w:rsidR="005A6601">
        <w:t xml:space="preserve">Section </w:t>
      </w:r>
      <w:r w:rsidR="00EA5457">
        <w:t>S2</w:t>
      </w:r>
      <w:r w:rsidR="005D3D4B">
        <w:t xml:space="preserve"> of the </w:t>
      </w:r>
      <w:r w:rsidR="005A6601">
        <w:t>Supplementary Material</w:t>
      </w:r>
      <w:r w:rsidR="005D3D4B">
        <w:t>.</w:t>
      </w:r>
    </w:p>
    <w:p w14:paraId="22A98149" w14:textId="59EEB5F9" w:rsidR="00400FE5" w:rsidRPr="00EC1293" w:rsidRDefault="00EC1293" w:rsidP="00865AB7">
      <w:pPr>
        <w:spacing w:before="100" w:beforeAutospacing="1" w:after="100" w:afterAutospacing="1" w:line="276" w:lineRule="auto"/>
        <w:jc w:val="center"/>
        <w:rPr>
          <w:rFonts w:ascii="Times New Roman" w:eastAsia="Times New Roman" w:hAnsi="Times New Roman" w:cs="Times New Roman"/>
          <w:sz w:val="24"/>
          <w:szCs w:val="24"/>
          <w:lang w:eastAsia="en-GB"/>
        </w:rPr>
      </w:pPr>
      <w:r w:rsidRPr="00EC1293">
        <w:rPr>
          <w:rFonts w:ascii="Times New Roman" w:eastAsia="Times New Roman" w:hAnsi="Times New Roman" w:cs="Times New Roman"/>
          <w:noProof/>
          <w:sz w:val="24"/>
          <w:szCs w:val="24"/>
          <w:lang w:eastAsia="en-GB"/>
        </w:rPr>
        <w:drawing>
          <wp:inline distT="0" distB="0" distL="0" distR="0" wp14:anchorId="75F5238F" wp14:editId="50C99025">
            <wp:extent cx="4892400" cy="2752209"/>
            <wp:effectExtent l="0" t="0" r="3810" b="0"/>
            <wp:docPr id="3" name="Image 3" descr="C:\Users\glaud\Documents\Uliege\doctorat\paper\batch_experiments\figures\all_figure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d\Documents\Uliege\doctorat\paper\batch_experiments\figures\all_figures\figur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2400" cy="2752209"/>
                    </a:xfrm>
                    <a:prstGeom prst="rect">
                      <a:avLst/>
                    </a:prstGeom>
                    <a:noFill/>
                    <a:ln>
                      <a:noFill/>
                    </a:ln>
                  </pic:spPr>
                </pic:pic>
              </a:graphicData>
            </a:graphic>
          </wp:inline>
        </w:drawing>
      </w:r>
    </w:p>
    <w:p w14:paraId="0A4F5622" w14:textId="473020EC" w:rsidR="007A43CE" w:rsidRPr="007A43CE" w:rsidRDefault="00400FE5" w:rsidP="00865AB7">
      <w:pPr>
        <w:pStyle w:val="Lgende"/>
        <w:spacing w:line="276" w:lineRule="auto"/>
        <w:jc w:val="center"/>
      </w:pPr>
      <w:bookmarkStart w:id="2" w:name="_Ref198022568"/>
      <w:r>
        <w:t xml:space="preserve">Figure </w:t>
      </w:r>
      <w:fldSimple w:instr=" SEQ Figure \* ARABIC ">
        <w:r w:rsidR="002E6038">
          <w:rPr>
            <w:noProof/>
          </w:rPr>
          <w:t>1</w:t>
        </w:r>
      </w:fldSimple>
      <w:bookmarkEnd w:id="2"/>
      <w:r>
        <w:t xml:space="preserve">. </w:t>
      </w:r>
      <w:r w:rsidRPr="00400FE5">
        <w:t>a) Individual batch reactor set-up</w:t>
      </w:r>
      <w:r w:rsidR="00EA5457">
        <w:t>,</w:t>
      </w:r>
      <w:r w:rsidRPr="00400FE5">
        <w:t xml:space="preserve"> and b) arrangement of the </w:t>
      </w:r>
      <w:r w:rsidR="0009035E">
        <w:t xml:space="preserve">batch </w:t>
      </w:r>
      <w:r w:rsidRPr="00400FE5">
        <w:t>reactors</w:t>
      </w:r>
      <w:r w:rsidR="0009035E">
        <w:t xml:space="preserve"> and the abiotic control</w:t>
      </w:r>
      <w:r w:rsidRPr="00400FE5">
        <w:t xml:space="preserve"> in the incubator maintained at 14°C. Note that the nitrogen pipes are not represented in the entire experimental set-up for sake of clarity.</w:t>
      </w:r>
    </w:p>
    <w:p w14:paraId="6463155C" w14:textId="7C0DCD57" w:rsidR="009E713E" w:rsidRDefault="009E713E" w:rsidP="00865AB7">
      <w:pPr>
        <w:pStyle w:val="Titre3"/>
        <w:numPr>
          <w:ilvl w:val="2"/>
          <w:numId w:val="1"/>
        </w:numPr>
        <w:spacing w:line="276" w:lineRule="auto"/>
      </w:pPr>
      <w:bookmarkStart w:id="3" w:name="_Ref187165283"/>
      <w:r>
        <w:t xml:space="preserve">Synthetic </w:t>
      </w:r>
      <w:r w:rsidR="00B54D18">
        <w:t xml:space="preserve">runoff </w:t>
      </w:r>
      <w:r>
        <w:t>water preparation</w:t>
      </w:r>
      <w:bookmarkEnd w:id="3"/>
    </w:p>
    <w:p w14:paraId="4967050D" w14:textId="3103F8E1" w:rsidR="00BC010F" w:rsidRDefault="00B40C62" w:rsidP="00865AB7">
      <w:pPr>
        <w:spacing w:line="276" w:lineRule="auto"/>
        <w:jc w:val="both"/>
      </w:pPr>
      <w:r>
        <w:t>S</w:t>
      </w:r>
      <w:r w:rsidR="00BC010F">
        <w:t>ynthetic water was prepared by dissolving six different salts (MgSO4·7H2O, KNO3, NaHCO3, CaCl2, Ca(NO3)2·4H2O, CaSO4·2H2O) in Milli-Q water to mimic the major ion composition of runoff water.</w:t>
      </w:r>
      <w:r w:rsidR="00185521" w:rsidRPr="00185521">
        <w:t xml:space="preserve"> </w:t>
      </w:r>
      <w:r w:rsidR="00B54D18">
        <w:lastRenderedPageBreak/>
        <w:t>T</w:t>
      </w:r>
      <w:r w:rsidR="00BC010F">
        <w:t xml:space="preserve">he resulting </w:t>
      </w:r>
      <w:r w:rsidR="00B54D18">
        <w:t>ionic</w:t>
      </w:r>
      <w:r w:rsidR="00BC010F">
        <w:t xml:space="preserve"> composition</w:t>
      </w:r>
      <w:r w:rsidR="00784541">
        <w:t xml:space="preserve"> </w:t>
      </w:r>
      <w:r w:rsidR="00B54D18">
        <w:t>is detailed</w:t>
      </w:r>
      <w:r w:rsidR="00BC010F">
        <w:t xml:space="preserve"> in the </w:t>
      </w:r>
      <w:r w:rsidR="00EA5457">
        <w:t>section S3</w:t>
      </w:r>
      <w:r w:rsidR="00893748">
        <w:t xml:space="preserve"> of S</w:t>
      </w:r>
      <w:r w:rsidR="00BC010F">
        <w:t>u</w:t>
      </w:r>
      <w:r w:rsidR="00893748">
        <w:t>pplementary M</w:t>
      </w:r>
      <w:r w:rsidR="00BD1281">
        <w:t xml:space="preserve">aterials. </w:t>
      </w:r>
      <w:r w:rsidR="00BC010F">
        <w:t>Furthermore, the synthetic water was designed to reflect DOC contributions from both l</w:t>
      </w:r>
      <w:r w:rsidR="009E2632">
        <w:t>oess</w:t>
      </w:r>
      <w:r w:rsidR="00F52F39">
        <w:t xml:space="preserve"> sediments</w:t>
      </w:r>
      <w:r w:rsidR="00BC010F">
        <w:t xml:space="preserve"> and runoff water, targeting a concentration of 8 mg·L⁻¹. DOC measurements</w:t>
      </w:r>
      <w:r w:rsidR="0086576F">
        <w:t xml:space="preserve"> were of </w:t>
      </w:r>
      <w:r w:rsidR="00BC010F">
        <w:t>3.2 mg·L⁻¹ from loess s</w:t>
      </w:r>
      <w:r w:rsidR="00BD1281">
        <w:t>ediments</w:t>
      </w:r>
      <w:r w:rsidR="00BC010F">
        <w:t xml:space="preserve"> and 4.8 mg·L⁻¹ from runoff. BDOC</w:t>
      </w:r>
      <w:r w:rsidR="005D5435">
        <w:t xml:space="preserve"> (biodegradable dissolved organic carbon)</w:t>
      </w:r>
      <w:r w:rsidR="00BC010F">
        <w:t xml:space="preserve"> was assumed to consist of 60% easily biodegradable carbon (high BDOC) and 40% recalcitrant organic carbon (low BDOC), a reasonable estimate given that soil DOC is largely </w:t>
      </w:r>
      <w:r w:rsidR="00603ACD">
        <w:t xml:space="preserve">stabilized as humic substances </w:t>
      </w:r>
      <w:r w:rsidR="00603ACD">
        <w:fldChar w:fldCharType="begin"/>
      </w:r>
      <w:r w:rsidR="00603ACD">
        <w:instrText xml:space="preserve"> ADDIN ZOTERO_ITEM CSL_CITATION {"citationID":"0oo8FVdT","properties":{"formattedCitation":"(Ukalska-Jaruga {\\i{}et al.}, 2021)","plainCitation":"(Ukalska-Jaruga et al., 2021)","noteIndex":0},"citationItems":[{"id":6915,"uris":["http://zotero.org/users/9753339/items/F2RBBEL3"],"itemData":{"id":6915,"type":"article-journal","abstract":"The objective of this paper was to investigate the molecular characterization of soil organic matter fractions (humic substances (HS): fulvic acids-FAs, humic acids-HAs, and humins-HNs), which are the most reactive soil components. A wide spectrum of spectroscopic (UV–VIS and VIS–nearIR), as well as electrochemical (zeta potential, particle size diameter, and polydispersity index), methods were applied to ﬁnd the relevant differences in the behavior, formation, composition, and sorption properties of HS fractions derived from various soils. Soil material (n = 30) used for the study were sampled from the surface layer (0–30 cm) of agricultural soils. FAs and HAs were isolated by sequential extraction in alkaline and acidic solutions, according to the International Humic Substances Society method, while HNs was determined in the soil residue (after FAs and HAs extraction) by mineral fraction digestion using a 0.1M HCL/0.3M HF mixture and DMSO. Our study showed that signiﬁcant differences in the molecular structures of FAs, Has, and HNs occurred. Optical analysis conﬁrmed the lower molecular weight of FAs with high amount of lignin-like compounds and the higher weighted aliphatic–aromatic structure of HAs. The HNs were characterized by a very pronounced and strong condensed structure associated with the highest molecular weight. HAs and HNs molecules exhibited an abundance of acidic, phenolic, and amine functional groups at the aromatic ring and aliphatic chains, while FAs mainly showed the presence of methyl, methylene, ethenyl, and carboxyl reactive groups. HS was characterized by high polydispersity related with their structure. FAs were characterized by ellipsoidal shape as being associated to the long aliphatic chains, while HAs and HNs revealed a smaller particle diameter and a more spherical shape caused by the higher intermolecular forcing between the particles. The observed trends directly indicate that individual HS fractions differ in behavior, formation, composition, and sorption properties, which reﬂects their binding potential to other molecules depending on soil properties resulting from their type. The determined properties of individual HS fractions are presented as averaged characteristics over the examined soils with different physico-chemical properties.","container-title":"Agronomy","DOI":"10.3390/agronomy11061067","ISSN":"2073-4395","issue":"6","language":"en","license":"https://creativecommons.org/licenses/by/4.0/","note":"publisher: MDPI AG","page":"1067","source":"Crossref","title":"Characterization of Soil Organic Matter Individual Fractions (Fulvic Acids, Humic Acids, and Humins) by Spectroscopic and Electrochemical Techniques in Agricultural Soils","volume":"11","author":[{"family":"Ukalska-Jaruga","given":"Aleksandra"},{"family":"Bejger","given":"Romualda"},{"family":"Debaene","given":"Guillaume"},{"family":"Smreczak","given":"Bożena"}],"issued":{"date-parts":[["2021",5,26]]}}}],"schema":"https://github.com/citation-style-language/schema/raw/master/csl-citation.json"} </w:instrText>
      </w:r>
      <w:r w:rsidR="00603ACD">
        <w:fldChar w:fldCharType="separate"/>
      </w:r>
      <w:r w:rsidR="00603ACD" w:rsidRPr="00603ACD">
        <w:rPr>
          <w:rFonts w:ascii="Calibri" w:hAnsi="Calibri" w:cs="Calibri"/>
          <w:szCs w:val="24"/>
        </w:rPr>
        <w:t xml:space="preserve">(Ukalska-Jaruga </w:t>
      </w:r>
      <w:r w:rsidR="00603ACD" w:rsidRPr="00603ACD">
        <w:rPr>
          <w:rFonts w:ascii="Calibri" w:hAnsi="Calibri" w:cs="Calibri"/>
          <w:i/>
          <w:iCs/>
          <w:szCs w:val="24"/>
        </w:rPr>
        <w:t>et al.</w:t>
      </w:r>
      <w:r w:rsidR="00603ACD" w:rsidRPr="00603ACD">
        <w:rPr>
          <w:rFonts w:ascii="Calibri" w:hAnsi="Calibri" w:cs="Calibri"/>
          <w:szCs w:val="24"/>
        </w:rPr>
        <w:t>, 2021)</w:t>
      </w:r>
      <w:r w:rsidR="00603ACD">
        <w:fldChar w:fldCharType="end"/>
      </w:r>
      <w:r w:rsidR="00BC010F">
        <w:t xml:space="preserve">. To replicate this composition, high BDOC (4.8 mg·L⁻¹) </w:t>
      </w:r>
      <w:r w:rsidR="00227CA6">
        <w:t>was introduced using peptone (</w:t>
      </w:r>
      <w:r w:rsidR="00BC010F">
        <w:t>mix of amino acids), while low BDOC (3.2 mg·L⁻¹) was represented by humic acid salt (C</w:t>
      </w:r>
      <w:r w:rsidR="00BC010F" w:rsidRPr="007A43CE">
        <w:rPr>
          <w:vertAlign w:val="subscript"/>
        </w:rPr>
        <w:t>9</w:t>
      </w:r>
      <w:r w:rsidR="00BC010F">
        <w:t>H</w:t>
      </w:r>
      <w:r w:rsidR="00BC010F" w:rsidRPr="007A43CE">
        <w:rPr>
          <w:vertAlign w:val="subscript"/>
        </w:rPr>
        <w:t>8</w:t>
      </w:r>
      <w:r w:rsidR="00BC010F">
        <w:t>Na</w:t>
      </w:r>
      <w:r w:rsidR="00BC010F" w:rsidRPr="007A43CE">
        <w:rPr>
          <w:vertAlign w:val="subscript"/>
        </w:rPr>
        <w:t>2</w:t>
      </w:r>
      <w:r w:rsidR="00BC010F">
        <w:t>O</w:t>
      </w:r>
      <w:r w:rsidR="00BC010F" w:rsidRPr="007A43CE">
        <w:rPr>
          <w:vertAlign w:val="subscript"/>
        </w:rPr>
        <w:t>4</w:t>
      </w:r>
      <w:r w:rsidR="00BC010F">
        <w:t>).</w:t>
      </w:r>
      <w:r w:rsidR="00227CA6">
        <w:t xml:space="preserve"> </w:t>
      </w:r>
      <w:r w:rsidR="00227CA6" w:rsidRPr="00227CA6">
        <w:t xml:space="preserve">To assess the evolution of total BDOC over time, samples </w:t>
      </w:r>
      <w:r w:rsidR="004A5D8E">
        <w:t>were</w:t>
      </w:r>
      <w:r w:rsidR="00227CA6">
        <w:t xml:space="preserve"> </w:t>
      </w:r>
      <w:r w:rsidR="00227CA6" w:rsidRPr="00227CA6">
        <w:t>collected, acidified and analyzed with a total organic carbon analyzer (Multi N/C 3100 Analytical Jena)</w:t>
      </w:r>
      <w:r w:rsidR="00BD1281">
        <w:t xml:space="preserve"> in the </w:t>
      </w:r>
      <w:r w:rsidR="005A6601" w:rsidRPr="005A6601">
        <w:t>CCiTUB</w:t>
      </w:r>
      <w:r w:rsidR="00BD1281">
        <w:t xml:space="preserve"> laboratory</w:t>
      </w:r>
      <w:r w:rsidR="005A6601">
        <w:t xml:space="preserve"> (Spain)</w:t>
      </w:r>
      <w:r w:rsidR="00227CA6" w:rsidRPr="00227CA6">
        <w:t xml:space="preserve">.  </w:t>
      </w:r>
    </w:p>
    <w:p w14:paraId="6E542825" w14:textId="12DBEE9C" w:rsidR="00B54D18" w:rsidRDefault="00B54D18" w:rsidP="00865AB7">
      <w:pPr>
        <w:pStyle w:val="Titre3"/>
        <w:numPr>
          <w:ilvl w:val="2"/>
          <w:numId w:val="1"/>
        </w:numPr>
        <w:spacing w:line="276" w:lineRule="auto"/>
      </w:pPr>
      <w:r>
        <w:t>Acclimation phase and CECs spiking</w:t>
      </w:r>
    </w:p>
    <w:p w14:paraId="2E18EC05" w14:textId="3766067B" w:rsidR="001373F0" w:rsidRDefault="001373F0" w:rsidP="00865AB7">
      <w:pPr>
        <w:spacing w:line="276" w:lineRule="auto"/>
        <w:jc w:val="both"/>
      </w:pPr>
      <w:r w:rsidRPr="001373F0">
        <w:t>Prior to the introduction of CECs, a 7-day acclimation phase was conducted to allow microbial communities to equilibrate and initiate the degradation of the DOC fraction. During this phase, reactors were bubbled with air twice daily to maintain oxic conditions. It was assumed that the high BDOC fraction (peptone) would be partially biodegraded, while the low BDOC (humic acid) remained largely stable.</w:t>
      </w:r>
      <w:r>
        <w:t xml:space="preserve"> </w:t>
      </w:r>
    </w:p>
    <w:p w14:paraId="601362AA" w14:textId="6890B4A3" w:rsidR="001373F0" w:rsidRDefault="001373F0" w:rsidP="00865AB7">
      <w:pPr>
        <w:spacing w:line="276" w:lineRule="auto"/>
        <w:jc w:val="both"/>
      </w:pPr>
      <w:r w:rsidRPr="001373F0">
        <w:t xml:space="preserve">At the end of the acclimation period, the same quantity of peptone was re-added to the </w:t>
      </w:r>
      <w:r>
        <w:t xml:space="preserve">reactors to restore the initial </w:t>
      </w:r>
      <w:r w:rsidRPr="001373F0">
        <w:t>DOC concentration. Subsequently, target CECs were introduced into the batch reactors</w:t>
      </w:r>
      <w:r>
        <w:t xml:space="preserve"> and the abiotic control </w:t>
      </w:r>
      <w:r w:rsidRPr="001373F0">
        <w:t>at a final concentration of 0.05 µg·mL⁻¹ for each compound. Due to limited availability, PFECHS and NP2EO were added at a lower concentration of 0.0015 µg·mL⁻¹.</w:t>
      </w:r>
      <w:r w:rsidR="002D76AF">
        <w:t xml:space="preserve"> </w:t>
      </w:r>
      <w:r w:rsidRPr="001373F0">
        <w:t xml:space="preserve">Sodium azide was </w:t>
      </w:r>
      <w:r>
        <w:t xml:space="preserve">also </w:t>
      </w:r>
      <w:r w:rsidRPr="001373F0">
        <w:t xml:space="preserve">added </w:t>
      </w:r>
      <w:r>
        <w:t>at the end of the acclimation period</w:t>
      </w:r>
      <w:r w:rsidRPr="001373F0">
        <w:t xml:space="preserve"> to the abiotic control at 100 mg·L⁻¹ to ensure continued inhibition of microbial activity.</w:t>
      </w:r>
    </w:p>
    <w:p w14:paraId="39480FBB" w14:textId="56DD267E" w:rsidR="001373F0" w:rsidRDefault="001373F0" w:rsidP="00865AB7">
      <w:pPr>
        <w:spacing w:line="276" w:lineRule="auto"/>
        <w:jc w:val="both"/>
      </w:pPr>
      <w:r w:rsidRPr="001373F0">
        <w:t>Since the results from the batch experiments reflect both sorption and biodegradation processes, their comparison with the abiotic control enables the estimation of the biodegradation contribution to the overall attenuation, assuming that sorption and biodegradation are the primary attenuation mechanisms. Although a biotic control was initially included to isolate the effects of biodegradation, it was excluded from the analysis after no change in DOC concentration was observed, suggesting insufficient microbial activity to support biodegradation.</w:t>
      </w:r>
    </w:p>
    <w:p w14:paraId="3506AFBD" w14:textId="40195B26" w:rsidR="00BB1079" w:rsidRDefault="009A19EB" w:rsidP="00865AB7">
      <w:pPr>
        <w:pStyle w:val="Titre2"/>
        <w:numPr>
          <w:ilvl w:val="1"/>
          <w:numId w:val="1"/>
        </w:numPr>
        <w:spacing w:line="276" w:lineRule="auto"/>
      </w:pPr>
      <w:r>
        <w:t>Extraction and analysis of CECs</w:t>
      </w:r>
    </w:p>
    <w:p w14:paraId="37F58456" w14:textId="58BFD15E" w:rsidR="00BB1079" w:rsidRDefault="00BB1079" w:rsidP="00865AB7">
      <w:pPr>
        <w:pStyle w:val="Titre3"/>
        <w:numPr>
          <w:ilvl w:val="2"/>
          <w:numId w:val="1"/>
        </w:numPr>
        <w:spacing w:line="276" w:lineRule="auto"/>
      </w:pPr>
      <w:r>
        <w:t>Products acquisition</w:t>
      </w:r>
      <w:r w:rsidR="00C632CC">
        <w:t xml:space="preserve"> </w:t>
      </w:r>
    </w:p>
    <w:p w14:paraId="400CF26B" w14:textId="4CD94CBE" w:rsidR="008155D2" w:rsidRPr="00176F24" w:rsidRDefault="00176F24" w:rsidP="00865AB7">
      <w:pPr>
        <w:spacing w:line="276" w:lineRule="auto"/>
        <w:jc w:val="both"/>
      </w:pPr>
      <w:r>
        <w:t>Standards of benzotriazole</w:t>
      </w:r>
      <w:r w:rsidR="00B016BE">
        <w:t xml:space="preserve"> and</w:t>
      </w:r>
      <w:r>
        <w:t xml:space="preserve"> tolyltriazole</w:t>
      </w:r>
      <w:r w:rsidR="009612E0">
        <w:t xml:space="preserve"> were purchased from A2S (France). The standard </w:t>
      </w:r>
      <w:r>
        <w:t>PFECHS</w:t>
      </w:r>
      <w:r w:rsidR="00B016BE">
        <w:t xml:space="preserve">, PFOA, PFOS, PFHxA, 6:2 FTS </w:t>
      </w:r>
      <w:r w:rsidR="009612E0">
        <w:t>and</w:t>
      </w:r>
      <w:r>
        <w:t xml:space="preserve"> the internal standards M-PFOA and M-PFOS were purchased from Wellington laboratory (Canada). </w:t>
      </w:r>
      <w:r w:rsidR="00B016BE">
        <w:t xml:space="preserve">Finally, </w:t>
      </w:r>
      <w:r w:rsidR="00B016BE" w:rsidRPr="00B016BE">
        <w:t>nonylphenol diethoxylate (NP2EO)</w:t>
      </w:r>
      <w:r w:rsidR="00B016BE">
        <w:t xml:space="preserve"> was purchased from Dr. Ehrenstorfer (Augsburg, Germany).</w:t>
      </w:r>
    </w:p>
    <w:p w14:paraId="0E35490E" w14:textId="2A367C7F" w:rsidR="00BB1079" w:rsidRDefault="00BB6498" w:rsidP="00865AB7">
      <w:pPr>
        <w:pStyle w:val="Titre3"/>
        <w:numPr>
          <w:ilvl w:val="2"/>
          <w:numId w:val="1"/>
        </w:numPr>
        <w:spacing w:line="276" w:lineRule="auto"/>
      </w:pPr>
      <w:r>
        <w:t xml:space="preserve">Sample preparation and </w:t>
      </w:r>
      <w:r w:rsidR="00FE7628">
        <w:t>HP</w:t>
      </w:r>
      <w:r w:rsidR="00BB1079">
        <w:t>LC</w:t>
      </w:r>
      <w:r>
        <w:t>-MS</w:t>
      </w:r>
      <w:r w:rsidR="00FE7628">
        <w:t>/MS</w:t>
      </w:r>
      <w:r>
        <w:t xml:space="preserve"> analysis </w:t>
      </w:r>
    </w:p>
    <w:p w14:paraId="0CA9F46A" w14:textId="2BFF166D" w:rsidR="0044156D" w:rsidRDefault="00AC3D50" w:rsidP="00865AB7">
      <w:pPr>
        <w:spacing w:line="276" w:lineRule="auto"/>
        <w:jc w:val="both"/>
      </w:pPr>
      <w:r w:rsidRPr="00AC3D50">
        <w:t xml:space="preserve">Aqueous samples (20 mL) collected during the batch experiment were transferred into 40 mL polypropylene </w:t>
      </w:r>
      <w:r w:rsidR="00D641DC">
        <w:t>Falcon tubes and</w:t>
      </w:r>
      <w:r w:rsidRPr="00AC3D50">
        <w:t xml:space="preserve"> centrifuged at 3500 rpm for 10 minutes to separate fine loess particles. After centrifugation, 1 mL of the supernatant was transferred into 1.5 mL glass vials and stored in the freezer until analysis.</w:t>
      </w:r>
    </w:p>
    <w:p w14:paraId="41D3167D" w14:textId="5D016B59" w:rsidR="00BB1079" w:rsidRDefault="008B6A86" w:rsidP="00865AB7">
      <w:pPr>
        <w:spacing w:line="276" w:lineRule="auto"/>
        <w:jc w:val="both"/>
      </w:pPr>
      <w:r>
        <w:lastRenderedPageBreak/>
        <w:t>S</w:t>
      </w:r>
      <w:r w:rsidR="007D3993" w:rsidRPr="007D3993">
        <w:t xml:space="preserve">amples were </w:t>
      </w:r>
      <w:r>
        <w:t xml:space="preserve">then </w:t>
      </w:r>
      <w:r w:rsidR="007D3993" w:rsidRPr="007D3993">
        <w:t xml:space="preserve">thawed, and 500 µL of supernatant was transferred into </w:t>
      </w:r>
      <w:r w:rsidR="00F14E95">
        <w:t xml:space="preserve">chromatographic </w:t>
      </w:r>
      <w:r w:rsidR="007D3993" w:rsidRPr="007D3993">
        <w:t xml:space="preserve">vials. To achieve a final volume of 1 mL with a 50:50 ratio of aqueous to organic solvent, 370 µL of methanol, 50 µL of isotopically labeled internal standard solution (m-PFOA and m-PFOS, 1 </w:t>
      </w:r>
      <w:r w:rsidR="00A659B9">
        <w:t>µg</w:t>
      </w:r>
      <w:r w:rsidR="00A659B9">
        <w:rPr>
          <w:rFonts w:cstheme="minorHAnsi"/>
        </w:rPr>
        <w:t>∙</w:t>
      </w:r>
      <w:r w:rsidR="00F14E95">
        <w:t>mL</w:t>
      </w:r>
      <w:r w:rsidR="00F14E95" w:rsidRPr="00CA26E5">
        <w:rPr>
          <w:vertAlign w:val="superscript"/>
        </w:rPr>
        <w:t>-1</w:t>
      </w:r>
      <w:r w:rsidR="007D3993" w:rsidRPr="007D3993">
        <w:t>), and 80 µL of ammonium acetate solution (125 mM) were added.</w:t>
      </w:r>
      <w:r w:rsidR="007D3993">
        <w:t xml:space="preserve"> The sample was then </w:t>
      </w:r>
      <w:r w:rsidR="002D76AF">
        <w:t xml:space="preserve">homogenised </w:t>
      </w:r>
      <w:r w:rsidR="007D3993">
        <w:t>using a vortex mixer.</w:t>
      </w:r>
    </w:p>
    <w:p w14:paraId="626B3C8A" w14:textId="5298E2AB" w:rsidR="008B6A86" w:rsidRDefault="008B6A86" w:rsidP="00865AB7">
      <w:pPr>
        <w:spacing w:line="276" w:lineRule="auto"/>
        <w:jc w:val="both"/>
      </w:pPr>
      <w:r>
        <w:t xml:space="preserve">Once all the samples are collected, </w:t>
      </w:r>
      <w:r w:rsidR="009A19EB">
        <w:t xml:space="preserve">high performance </w:t>
      </w:r>
      <w:r>
        <w:t>liquid chromatography coupled to a triple quadrupole mass analyser (</w:t>
      </w:r>
      <w:r w:rsidR="00704AFC">
        <w:t>HP</w:t>
      </w:r>
      <w:r>
        <w:t>LC-MS/MS) with an electrospray ion source (Waters, Milford, USA) was used to quantify CECs concentration. A BEH C18 analytical column (100 mm x 2.1 mm, particle size 1.7 µm) (Acquity, Waters, Milford</w:t>
      </w:r>
      <w:r w:rsidR="00704AFC">
        <w:t>, USA) was deplo</w:t>
      </w:r>
      <w:r w:rsidR="00A659B9">
        <w:t>yed, with a flow rate of 300 µL</w:t>
      </w:r>
      <w:r w:rsidR="00A659B9">
        <w:rPr>
          <w:rFonts w:cstheme="minorHAnsi"/>
        </w:rPr>
        <w:t>∙</w:t>
      </w:r>
      <w:r w:rsidR="00704AFC">
        <w:t>min</w:t>
      </w:r>
      <w:r w:rsidR="00704AFC" w:rsidRPr="00704AFC">
        <w:rPr>
          <w:vertAlign w:val="superscript"/>
        </w:rPr>
        <w:t>-1</w:t>
      </w:r>
      <w:r w:rsidR="00704AFC">
        <w:t xml:space="preserve"> and a sample injection volume of 25 µL. </w:t>
      </w:r>
      <w:r w:rsidR="002D3D39" w:rsidRPr="002D3D39">
        <w:t xml:space="preserve">The analysis </w:t>
      </w:r>
      <w:r w:rsidR="00704AFC">
        <w:t>method</w:t>
      </w:r>
      <w:r w:rsidR="002D3D39" w:rsidRPr="002D3D39">
        <w:t xml:space="preserve"> </w:t>
      </w:r>
      <w:r w:rsidR="00F14E95">
        <w:t>was adapted from the method reported</w:t>
      </w:r>
      <w:r w:rsidR="007E3DC4">
        <w:t xml:space="preserve"> for PFAS </w:t>
      </w:r>
      <w:r w:rsidR="007E3DC4">
        <w:fldChar w:fldCharType="begin"/>
      </w:r>
      <w:r w:rsidR="007E3DC4">
        <w:instrText xml:space="preserve"> ADDIN ZOTERO_ITEM CSL_CITATION {"citationID":"YzoDRaGc","properties":{"formattedCitation":"(Dulsat-Masvidal {\\i{}et al.}, 2022)","plainCitation":"(Dulsat-Masvidal et al., 2022)","noteIndex":0},"citationItems":[{"id":7000,"uris":["http://zotero.org/users/9753339/items/5ZTZ8J3X"],"itemData":{"id":7000,"type":"article-journal","abstract":"In this study we have established a monitoring scheme to determine the presence and distribution of widely used pharmaceuticals, pesticides, organophosphate esters (OPEs) and perfluoroalkyl substances (PFAS) in water bodies from Important Bird and Biodiversity Areas (IBAs) from Spain. The monitoring scheme included the georeferenced sampling of rocky mountain, Atlantic forest, riparian forest, Mediterranean forest, agricultural, inland aquatic and coastal aquatic IBAs, with the aim to evaluate the impact of widely used chemicals in those aquatic resources. Water samples were extracted using a generic solid-phase extraction protocol and analyzed by 3 analytical methods based on liquid chromatography coupled to tandem mass spectrometry (LC-MS/MS). Quality parameters such as compound recovery, intra and inter-day variation, linearity and limits of detection were calculated in order to validate the methods. In addition, the ionization conditions and the optimization of the most appropriate transitions permitted unequivocal identification. Once the sampling and analytical pro­ cedure was set-up, 59 target compounds were monitored in 63 samples. Pharmaceutical, followed by pesticides, OPEs and PFAS were widespread along all IBAs studied at concentrations from 0.5 to 41083 ng/L. Overall, this study highlights the need to monitor the presence of contaminants in areas of high ecological interest to contribute to pollution control and mitigation towards protection of biodiversity.","container-title":"Ecotoxicology and Environmental Safety","DOI":"10.1016/j.ecoenv.2022.113562","ISSN":"01476513","journalAbbreviation":"Ecotoxicology and Environmental Safety","language":"en","page":"113562","source":"DOI.org (Crossref)","title":"Pilot monitoring scheme of water pollutants in Important Bird and Biodiversity Areas","volume":"237","author":[{"family":"Dulsat-Masvidal","given":"Maria"},{"family":"Ciudad","given":"Carlos"},{"family":"Infante","given":"Octavio"},{"family":"Mateo","given":"Rafael"},{"family":"Lacorte","given":"Silvia"}],"issued":{"date-parts":[["2022",6]]}}}],"schema":"https://github.com/citation-style-language/schema/raw/master/csl-citation.json"} </w:instrText>
      </w:r>
      <w:r w:rsidR="007E3DC4">
        <w:fldChar w:fldCharType="separate"/>
      </w:r>
      <w:r w:rsidR="007E3DC4" w:rsidRPr="007E3DC4">
        <w:rPr>
          <w:rFonts w:ascii="Calibri" w:hAnsi="Calibri" w:cs="Calibri"/>
          <w:szCs w:val="24"/>
        </w:rPr>
        <w:t xml:space="preserve">(Dulsat-Masvidal </w:t>
      </w:r>
      <w:r w:rsidR="007E3DC4" w:rsidRPr="007E3DC4">
        <w:rPr>
          <w:rFonts w:ascii="Calibri" w:hAnsi="Calibri" w:cs="Calibri"/>
          <w:i/>
          <w:iCs/>
          <w:szCs w:val="24"/>
        </w:rPr>
        <w:t>et al.</w:t>
      </w:r>
      <w:r w:rsidR="007E3DC4" w:rsidRPr="007E3DC4">
        <w:rPr>
          <w:rFonts w:ascii="Calibri" w:hAnsi="Calibri" w:cs="Calibri"/>
          <w:szCs w:val="24"/>
        </w:rPr>
        <w:t>, 2022)</w:t>
      </w:r>
      <w:r w:rsidR="007E3DC4">
        <w:fldChar w:fldCharType="end"/>
      </w:r>
      <w:r w:rsidR="007E3DC4">
        <w:t xml:space="preserve"> </w:t>
      </w:r>
      <w:r w:rsidR="00CA26E5">
        <w:t>to include</w:t>
      </w:r>
      <w:r w:rsidR="002D3D39" w:rsidRPr="002D3D39">
        <w:t xml:space="preserve"> triazoles and alk</w:t>
      </w:r>
      <w:r w:rsidR="009E6C68">
        <w:t xml:space="preserve">ylphenols </w:t>
      </w:r>
      <w:r w:rsidR="00F14E95">
        <w:t>in a single analysis</w:t>
      </w:r>
      <w:r w:rsidR="00CA26E5">
        <w:t xml:space="preserve">. </w:t>
      </w:r>
    </w:p>
    <w:p w14:paraId="65C31F20" w14:textId="6ADD68D3" w:rsidR="007400B0" w:rsidRDefault="007400B0" w:rsidP="00865AB7">
      <w:pPr>
        <w:spacing w:line="276" w:lineRule="auto"/>
        <w:jc w:val="both"/>
      </w:pPr>
      <w:r w:rsidRPr="007400B0">
        <w:t>The mobile phase consisted of two mixtures: an organic mixture (A) containing methanol and acetonitrile in an 80:20 ratio with 10 mM ammonium acetate, and an aqueous mixture (B) containing water with 10 mM ammonium acetate. The g</w:t>
      </w:r>
      <w:r>
        <w:t>radient elution began with a 50:</w:t>
      </w:r>
      <w:r w:rsidRPr="007400B0">
        <w:t xml:space="preserve">50 ratio of </w:t>
      </w:r>
      <w:r>
        <w:t>A and B</w:t>
      </w:r>
      <w:r w:rsidRPr="007400B0">
        <w:t>, maintained for 3 minutes</w:t>
      </w:r>
      <w:r w:rsidR="009A19EB">
        <w:t xml:space="preserve">, and </w:t>
      </w:r>
      <w:r w:rsidRPr="007400B0">
        <w:t xml:space="preserve">gradually increased to 100% </w:t>
      </w:r>
      <w:r>
        <w:t>of A</w:t>
      </w:r>
      <w:r w:rsidRPr="007400B0">
        <w:t xml:space="preserve"> over 7 minutes, held this condition for 3 minutes, and fin</w:t>
      </w:r>
      <w:r>
        <w:t>ally returned to the initial 50:</w:t>
      </w:r>
      <w:r w:rsidRPr="007400B0">
        <w:t xml:space="preserve">50 ratio </w:t>
      </w:r>
      <w:r w:rsidR="009A19EB">
        <w:t>in</w:t>
      </w:r>
      <w:r w:rsidR="009A19EB" w:rsidRPr="007400B0">
        <w:t xml:space="preserve"> </w:t>
      </w:r>
      <w:r w:rsidRPr="007400B0">
        <w:t>5 minutes.</w:t>
      </w:r>
      <w:r>
        <w:t xml:space="preserve"> B</w:t>
      </w:r>
      <w:r w:rsidRPr="007400B0">
        <w:t>lank samples were regularly included to verify the absence of carry-over and contamination.</w:t>
      </w:r>
      <w:r w:rsidR="008B6A86">
        <w:t xml:space="preserve"> </w:t>
      </w:r>
      <w:r w:rsidR="008B6A86" w:rsidRPr="008B6A86">
        <w:t>To eliminate the contribution of background PFAS from the mobile phase and LC tubing, a reused XBridge C18 column (50 × 4.6 mm, particle size 3.5 μm) was used as a trap column.</w:t>
      </w:r>
    </w:p>
    <w:p w14:paraId="2F458DF2" w14:textId="793093C7" w:rsidR="00402D5C" w:rsidRDefault="00CA26E5" w:rsidP="00865AB7">
      <w:pPr>
        <w:spacing w:line="276" w:lineRule="auto"/>
        <w:jc w:val="both"/>
      </w:pPr>
      <w:r>
        <w:t>F</w:t>
      </w:r>
      <w:r w:rsidR="002D3D39" w:rsidRPr="002D3D39">
        <w:t>low injection analysis was conducted to optimize the HPLC-MS</w:t>
      </w:r>
      <w:r w:rsidR="00F14E95">
        <w:t>/MS</w:t>
      </w:r>
      <w:r w:rsidR="002D3D39" w:rsidRPr="002D3D39">
        <w:t xml:space="preserve"> parameters (cone collision energy, ionization mode, etc.) and ensure the detection of </w:t>
      </w:r>
      <w:r w:rsidR="00F14E95">
        <w:t xml:space="preserve">all </w:t>
      </w:r>
      <w:r w:rsidR="002D3D39" w:rsidRPr="002D3D39">
        <w:t>compounds. The various parameters and experimental conditions are detailed in</w:t>
      </w:r>
      <w:r w:rsidR="002D76AF">
        <w:t xml:space="preserve"> the section S4</w:t>
      </w:r>
      <w:r w:rsidR="005719A4">
        <w:t xml:space="preserve"> of</w:t>
      </w:r>
      <w:r w:rsidR="002D3D39" w:rsidRPr="002D3D39">
        <w:t xml:space="preserve"> the supplementary materials.</w:t>
      </w:r>
      <w:r w:rsidR="00C27348">
        <w:t xml:space="preserve"> </w:t>
      </w:r>
      <w:r w:rsidR="00C27348" w:rsidRPr="00C27348">
        <w:t xml:space="preserve">The target compounds were quantified using the </w:t>
      </w:r>
      <w:r w:rsidR="00D22FFE">
        <w:t>internal standard method, with M</w:t>
      </w:r>
      <w:r w:rsidR="00C27348" w:rsidRPr="00C27348">
        <w:t>-PFOA for all perfluorina</w:t>
      </w:r>
      <w:r w:rsidR="00D22FFE">
        <w:t>ted carboxylic acids (PFCAs), M</w:t>
      </w:r>
      <w:r w:rsidR="00C27348" w:rsidRPr="00C27348">
        <w:t>-PFOS for perfluorinated sulfonic acids (PFSAs)</w:t>
      </w:r>
      <w:r w:rsidR="00C27348">
        <w:t xml:space="preserve"> and both M-PFOA and M-PFOS for compounds other than PFAS.</w:t>
      </w:r>
      <w:r w:rsidR="00AE41AF">
        <w:t xml:space="preserve"> </w:t>
      </w:r>
      <w:r w:rsidR="00A91E27">
        <w:t xml:space="preserve">Mass Lynx v.4.1 software was used </w:t>
      </w:r>
      <w:r w:rsidR="002D3D39">
        <w:t xml:space="preserve">for </w:t>
      </w:r>
      <w:r w:rsidR="00A91E27">
        <w:t xml:space="preserve">instrument setup, data acquisition, and </w:t>
      </w:r>
      <w:r w:rsidR="002D3D39">
        <w:t xml:space="preserve">data </w:t>
      </w:r>
      <w:r w:rsidR="00A91E27">
        <w:t>processing.</w:t>
      </w:r>
    </w:p>
    <w:p w14:paraId="216F92A2" w14:textId="6C9633E6" w:rsidR="00BB1079" w:rsidRDefault="00BB1079" w:rsidP="00865AB7">
      <w:pPr>
        <w:pStyle w:val="Titre3"/>
        <w:numPr>
          <w:ilvl w:val="2"/>
          <w:numId w:val="1"/>
        </w:numPr>
        <w:spacing w:line="276" w:lineRule="auto"/>
      </w:pPr>
      <w:r>
        <w:t>Quality control</w:t>
      </w:r>
      <w:r w:rsidR="00402D5C">
        <w:t xml:space="preserve"> </w:t>
      </w:r>
    </w:p>
    <w:p w14:paraId="7263C978" w14:textId="3E227BEF" w:rsidR="00745A40" w:rsidRDefault="00F26408" w:rsidP="00865AB7">
      <w:pPr>
        <w:spacing w:line="276" w:lineRule="auto"/>
        <w:jc w:val="both"/>
      </w:pPr>
      <w:r>
        <w:t>To accurately quantify the CECs concentration from batch experiment samples, a</w:t>
      </w:r>
      <w:r w:rsidR="00745A40">
        <w:t xml:space="preserve"> calibration curve with seven points was built over a concentration range of 0.0005 to 0.1 ng.µL</w:t>
      </w:r>
      <w:r w:rsidR="00745A40" w:rsidRPr="00745A40">
        <w:rPr>
          <w:vertAlign w:val="superscript"/>
        </w:rPr>
        <w:t>-1</w:t>
      </w:r>
      <w:r w:rsidR="00745A40">
        <w:rPr>
          <w:vertAlign w:val="superscript"/>
        </w:rPr>
        <w:t xml:space="preserve"> </w:t>
      </w:r>
      <w:r w:rsidR="00745A40">
        <w:t>for each studied compound, with internal standards kept at a constant concentration of 0.05 ng.µL</w:t>
      </w:r>
      <w:r w:rsidR="00745A40" w:rsidRPr="00745A40">
        <w:rPr>
          <w:vertAlign w:val="superscript"/>
        </w:rPr>
        <w:t>-1</w:t>
      </w:r>
      <w:r w:rsidR="00745A40">
        <w:t xml:space="preserve">. </w:t>
      </w:r>
      <w:r w:rsidRPr="00F26408">
        <w:t>The selected concentration range was chosen to match the expected concentration levels of contaminants introduced into the batch reactors, ensuring analytical sensitivity and relevance to the experimental conditions.</w:t>
      </w:r>
      <w:r>
        <w:t xml:space="preserve"> </w:t>
      </w:r>
      <w:r w:rsidR="00745A40">
        <w:t>Calibration standards were prepared in methanol:water (50:50) and buffered with ammonium acetate.</w:t>
      </w:r>
      <w:r w:rsidR="00AE41AF">
        <w:t xml:space="preserve"> Details on samples preparations for the calibration curve</w:t>
      </w:r>
      <w:r w:rsidR="002D76AF">
        <w:t xml:space="preserve"> are available in the section S5</w:t>
      </w:r>
      <w:r w:rsidR="00AE41AF">
        <w:t xml:space="preserve"> of the Supplementary Materials.</w:t>
      </w:r>
    </w:p>
    <w:p w14:paraId="01245606" w14:textId="60A697AD" w:rsidR="00AE41AF" w:rsidRPr="00C91493" w:rsidRDefault="00AE41AF" w:rsidP="00865AB7">
      <w:pPr>
        <w:spacing w:line="276" w:lineRule="auto"/>
        <w:jc w:val="both"/>
      </w:pPr>
      <w:r w:rsidRPr="00C91493">
        <w:t>Linearity was evaluated by calculating the coefficient of determina</w:t>
      </w:r>
      <w:r w:rsidR="00C91493" w:rsidRPr="00C91493">
        <w:t>tion (R²), which was above 0.95</w:t>
      </w:r>
      <w:r w:rsidRPr="00C91493">
        <w:t xml:space="preserve"> for all target analytes, indicating a strong correlation between instrument response and analyte concentration. The relative response factor (RRF) was calculated using the ratio of the analyte peak area to that of its corresponding internal standard.</w:t>
      </w:r>
      <w:r w:rsidR="00852B7A">
        <w:t xml:space="preserve"> The different calibration curves for each CECs and their associated R² are </w:t>
      </w:r>
      <w:r w:rsidR="00C46F16">
        <w:t>also available in the section S5</w:t>
      </w:r>
      <w:r w:rsidR="00852B7A">
        <w:t xml:space="preserve"> of the Supplementary Materials.  </w:t>
      </w:r>
    </w:p>
    <w:p w14:paraId="1885CC06" w14:textId="349642B0" w:rsidR="00992CDD" w:rsidRDefault="00FB4546" w:rsidP="00865AB7">
      <w:pPr>
        <w:pStyle w:val="Titre2"/>
        <w:numPr>
          <w:ilvl w:val="1"/>
          <w:numId w:val="1"/>
        </w:numPr>
        <w:spacing w:line="276" w:lineRule="auto"/>
      </w:pPr>
      <w:r>
        <w:lastRenderedPageBreak/>
        <w:t>Numerical modelling of the hydrochemical processes</w:t>
      </w:r>
    </w:p>
    <w:p w14:paraId="0F856831" w14:textId="607ED0A2" w:rsidR="00B66C3F" w:rsidRDefault="00506CC9" w:rsidP="00865AB7">
      <w:pPr>
        <w:spacing w:line="276" w:lineRule="auto"/>
        <w:jc w:val="both"/>
      </w:pPr>
      <w:r w:rsidRPr="00506CC9">
        <w:t>Once the</w:t>
      </w:r>
      <w:r w:rsidR="002B7A1B">
        <w:t xml:space="preserve"> batch experiment</w:t>
      </w:r>
      <w:r w:rsidRPr="00506CC9">
        <w:t xml:space="preserve"> results were obtained, they were reproduced numerically to gain </w:t>
      </w:r>
      <w:r w:rsidR="00724EA2" w:rsidRPr="00724EA2">
        <w:t xml:space="preserve">deeper insights into the behaviour of the </w:t>
      </w:r>
      <w:r w:rsidR="00724EA2">
        <w:t>targe</w:t>
      </w:r>
      <w:r w:rsidR="00B655C9">
        <w:t>t</w:t>
      </w:r>
      <w:r w:rsidR="00724EA2" w:rsidRPr="00724EA2">
        <w:t xml:space="preserve"> CECs</w:t>
      </w:r>
      <w:r w:rsidRPr="00506CC9">
        <w:t xml:space="preserve">. In addition, the calibration of these models </w:t>
      </w:r>
      <w:r w:rsidR="002B7A1B">
        <w:t xml:space="preserve">facilitated the determination of key parameters governing CECs </w:t>
      </w:r>
      <w:r w:rsidRPr="00506CC9">
        <w:t>attenuation, such as their maximum degradation rate and their sorption coefficient.</w:t>
      </w:r>
      <w:r w:rsidR="002B7A1B">
        <w:t xml:space="preserve"> </w:t>
      </w:r>
      <w:r w:rsidR="00B66C3F" w:rsidRPr="00B66C3F">
        <w:t xml:space="preserve">The </w:t>
      </w:r>
      <w:r w:rsidR="00724EA2">
        <w:t>hydro</w:t>
      </w:r>
      <w:r w:rsidR="00B66C3F" w:rsidRPr="00B66C3F">
        <w:t>chemical processes occurring in the batch reactors were simulated using PHREEQC</w:t>
      </w:r>
      <w:r w:rsidR="00B66C3F">
        <w:t xml:space="preserve"> </w:t>
      </w:r>
      <w:r w:rsidR="006E4A36">
        <w:fldChar w:fldCharType="begin"/>
      </w:r>
      <w:r w:rsidR="00FF37F7">
        <w:instrText xml:space="preserve"> ADDIN ZOTERO_ITEM CSL_CITATION {"citationID":"GXCLBYHD","properties":{"formattedCitation":"(Parkhurst et Appelo, 2013)","plainCitation":"(Parkhurst et Appelo, 2013)","noteIndex":0},"citationItems":[{"id":6943,"uris":["http://zotero.org/users/9753339/items/CVVKUY7A"],"itemData":{"id":6943,"type":"book","number-of-pages":"497","publisher":"U.S. Geological Survey Techniques and Methods","title":"Description of input and examples for PHREEQC version 3—A computer program for speciation, batch-reaction, one-dimensional transport, and inverse geochemical calculations","volume":"book 6","author":[{"family":"Parkhurst","given":"D.L."},{"family":"Appelo","given":"C.A.J."}],"issued":{"date-parts":[["2013"]]}}}],"schema":"https://github.com/citation-style-language/schema/raw/master/csl-citation.json"} </w:instrText>
      </w:r>
      <w:r w:rsidR="006E4A36">
        <w:fldChar w:fldCharType="separate"/>
      </w:r>
      <w:r w:rsidR="00FF37F7" w:rsidRPr="00FF37F7">
        <w:rPr>
          <w:rFonts w:ascii="Calibri" w:hAnsi="Calibri" w:cs="Calibri"/>
        </w:rPr>
        <w:t>(Parkhurst et Appelo, 2013)</w:t>
      </w:r>
      <w:r w:rsidR="006E4A36">
        <w:fldChar w:fldCharType="end"/>
      </w:r>
      <w:r w:rsidR="00B66C3F" w:rsidRPr="00B66C3F">
        <w:t xml:space="preserve">, a geochemical modeling software </w:t>
      </w:r>
      <w:r w:rsidR="002B7A1B">
        <w:t>particular</w:t>
      </w:r>
      <w:r w:rsidR="00724EA2">
        <w:t>ly suited for simulating</w:t>
      </w:r>
      <w:r w:rsidR="002B7A1B">
        <w:t xml:space="preserve"> </w:t>
      </w:r>
      <w:r w:rsidR="00B66C3F">
        <w:t xml:space="preserve">sorption </w:t>
      </w:r>
      <w:r w:rsidR="00B66C3F" w:rsidRPr="00B66C3F">
        <w:t xml:space="preserve">and redox reactions. To refine the model and optimize parameter estimation, </w:t>
      </w:r>
      <w:r w:rsidR="00724EA2" w:rsidRPr="00724EA2">
        <w:t xml:space="preserve">automated calibration was conducted using the </w:t>
      </w:r>
      <w:r w:rsidR="00B66C3F" w:rsidRPr="00B66C3F">
        <w:t xml:space="preserve">PEST software </w:t>
      </w:r>
      <w:r w:rsidR="006E4A36">
        <w:fldChar w:fldCharType="begin"/>
      </w:r>
      <w:r w:rsidR="006E4A36">
        <w:instrText xml:space="preserve"> ADDIN ZOTERO_ITEM CSL_CITATION {"citationID":"Gl8QIx4W","properties":{"formattedCitation":"(Doherty, 2010)","plainCitation":"(Doherty, 2010)","noteIndex":0},"citationItems":[{"id":6942,"uris":["http://zotero.org/users/9753339/items/YPB658FI"],"itemData":{"id":6942,"type":"book","collection-number":"5th Edition, with Slight Additions","event-place":"Brisbane","publisher":"Watermark Numerical Computing","publisher-place":"Brisbane","title":"PEST, Model-Independent Parameter Estimation—User Manual","author":[{"family":"Doherty","given":"J"}],"issued":{"date-parts":[["2010"]]}}}],"schema":"https://github.com/citation-style-language/schema/raw/master/csl-citation.json"} </w:instrText>
      </w:r>
      <w:r w:rsidR="006E4A36">
        <w:fldChar w:fldCharType="separate"/>
      </w:r>
      <w:r w:rsidR="006E4A36" w:rsidRPr="006E4A36">
        <w:rPr>
          <w:rFonts w:ascii="Calibri" w:hAnsi="Calibri" w:cs="Calibri"/>
        </w:rPr>
        <w:t>(Doherty, 2010)</w:t>
      </w:r>
      <w:r w:rsidR="006E4A36">
        <w:fldChar w:fldCharType="end"/>
      </w:r>
      <w:r w:rsidR="00B66C3F" w:rsidRPr="00B66C3F">
        <w:t>.</w:t>
      </w:r>
    </w:p>
    <w:p w14:paraId="42F1E8C8" w14:textId="10D0CB20" w:rsidR="00A3658E" w:rsidRDefault="00A3658E" w:rsidP="00865AB7">
      <w:pPr>
        <w:pStyle w:val="Titre3"/>
        <w:numPr>
          <w:ilvl w:val="2"/>
          <w:numId w:val="1"/>
        </w:numPr>
        <w:spacing w:line="276" w:lineRule="auto"/>
      </w:pPr>
      <w:r>
        <w:t>Sorption modeling</w:t>
      </w:r>
    </w:p>
    <w:p w14:paraId="721C6B9C" w14:textId="396534F7" w:rsidR="00A3658E" w:rsidRDefault="00B016BE" w:rsidP="00865AB7">
      <w:pPr>
        <w:spacing w:line="276" w:lineRule="auto"/>
        <w:jc w:val="both"/>
      </w:pPr>
      <w:r>
        <w:t>The sorption behaviour was evaluated using</w:t>
      </w:r>
      <w:r w:rsidR="00A3658E">
        <w:t xml:space="preserve"> a linear reversible sorption model. The rate of adsorption/desorption for an aqueous species </w:t>
      </w:r>
      <w:r w:rsidR="00A3658E" w:rsidRPr="0094115B">
        <w:rPr>
          <w:i/>
        </w:rPr>
        <w:t>i</w:t>
      </w:r>
      <w:r w:rsidR="00A3658E">
        <w:t xml:space="preserve"> is described by </w:t>
      </w:r>
      <w:r w:rsidR="00A3658E">
        <w:fldChar w:fldCharType="begin"/>
      </w:r>
      <w:r w:rsidR="00A3658E">
        <w:instrText xml:space="preserve"> QUOTE  "Tebes-Steven et al. (1998)" </w:instrText>
      </w:r>
      <w:r w:rsidR="00A3658E">
        <w:fldChar w:fldCharType="separate"/>
      </w:r>
      <w:r w:rsidR="00A3658E">
        <w:t xml:space="preserve">Tebes-Steven et </w:t>
      </w:r>
      <w:r w:rsidR="00A3658E" w:rsidRPr="0094115B">
        <w:rPr>
          <w:i/>
        </w:rPr>
        <w:t>al</w:t>
      </w:r>
      <w:r w:rsidR="00A3658E">
        <w:t>. (1998)</w:t>
      </w:r>
      <w:r w:rsidR="00A3658E">
        <w:fldChar w:fldCharType="end"/>
      </w:r>
      <w:r w:rsidR="00A3658E">
        <w:t xml:space="preserve"> by the following equation:</w:t>
      </w:r>
    </w:p>
    <w:p w14:paraId="47E40E19" w14:textId="19011D3C" w:rsidR="00A3658E" w:rsidRPr="00640C49" w:rsidRDefault="00DB6DBE" w:rsidP="00865AB7">
      <w:pPr>
        <w:spacing w:line="276"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sorption</m:t>
                  </m:r>
                </m:sub>
              </m:sSub>
              <m:r>
                <w:rPr>
                  <w:rFonts w:ascii="Cambria Math" w:eastAsiaTheme="minorEastAsia" w:hAnsi="Cambria Math"/>
                </w:rPr>
                <m:t>=</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sSub>
                    <m:sSubPr>
                      <m:ctrlPr>
                        <w:rPr>
                          <w:rFonts w:ascii="Cambria Math" w:hAnsi="Cambria Math"/>
                          <w:i/>
                        </w:rPr>
                      </m:ctrlPr>
                    </m:sSubPr>
                    <m:e>
                      <m:r>
                        <w:rPr>
                          <w:rFonts w:ascii="Cambria Math" w:hAnsi="Cambria Math"/>
                        </w:rPr>
                        <m:t>K</m:t>
                      </m:r>
                    </m:e>
                    <m:sub>
                      <m:r>
                        <w:rPr>
                          <w:rFonts w:ascii="Cambria Math" w:hAnsi="Cambria Math"/>
                        </w:rPr>
                        <m:t>d</m:t>
                      </m:r>
                    </m:sub>
                  </m:sSub>
                </m:den>
              </m:f>
              <m:r>
                <w:rPr>
                  <w:rFonts w:ascii="Cambria Math" w:hAnsi="Cambria Math"/>
                </w:rPr>
                <m:t>)</m:t>
              </m:r>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e>
              </m:d>
            </m:e>
          </m:eqArr>
        </m:oMath>
      </m:oMathPara>
    </w:p>
    <w:p w14:paraId="4302D008" w14:textId="4398F292" w:rsidR="00A3658E" w:rsidRPr="00640C49" w:rsidRDefault="00A3658E" w:rsidP="00865AB7">
      <w:pPr>
        <w:spacing w:line="276" w:lineRule="auto"/>
        <w:jc w:val="both"/>
      </w:pPr>
      <w:r>
        <w:t xml:space="preserve">where </w:t>
      </w:r>
      <w:r w:rsidRPr="0094115B">
        <w:rPr>
          <w:i/>
        </w:rPr>
        <w:t>k</w:t>
      </w:r>
      <w:r w:rsidRPr="0094115B">
        <w:rPr>
          <w:i/>
          <w:vertAlign w:val="subscript"/>
        </w:rPr>
        <w:t>m</w:t>
      </w:r>
      <w:r>
        <w:t xml:space="preserve"> designates the mass transfer coefficient in h</w:t>
      </w:r>
      <w:r w:rsidRPr="0094115B">
        <w:rPr>
          <w:vertAlign w:val="superscript"/>
        </w:rPr>
        <w:t>-1</w:t>
      </w:r>
      <w:r>
        <w:t xml:space="preserve">, </w:t>
      </w:r>
      <w:r w:rsidRPr="0094115B">
        <w:rPr>
          <w:i/>
        </w:rPr>
        <w:t>C</w:t>
      </w:r>
      <w:r w:rsidRPr="0094115B">
        <w:rPr>
          <w:i/>
          <w:vertAlign w:val="subscript"/>
        </w:rPr>
        <w:t>i</w:t>
      </w:r>
      <w:r>
        <w:rPr>
          <w:vertAlign w:val="subscript"/>
        </w:rPr>
        <w:t xml:space="preserve"> </w:t>
      </w:r>
      <w:r>
        <w:t xml:space="preserve">the aqueous concentration of species </w:t>
      </w:r>
      <w:r>
        <w:rPr>
          <w:i/>
        </w:rPr>
        <w:t>i</w:t>
      </w:r>
      <w:r w:rsidR="002D76AF">
        <w:t xml:space="preserve"> in mol</w:t>
      </w:r>
      <w:r w:rsidR="002D76AF">
        <w:rPr>
          <w:rFonts w:cstheme="minorHAnsi"/>
        </w:rPr>
        <w:t>∙</w:t>
      </w:r>
      <w:r>
        <w:t>g</w:t>
      </w:r>
      <w:r w:rsidRPr="00640C49">
        <w:rPr>
          <w:vertAlign w:val="superscript"/>
        </w:rPr>
        <w:t>-1</w:t>
      </w:r>
      <w:r>
        <w:t xml:space="preserve">, </w:t>
      </w:r>
      <w:r w:rsidRPr="00640C49">
        <w:rPr>
          <w:i/>
        </w:rPr>
        <w:t>s</w:t>
      </w:r>
      <w:r w:rsidRPr="00640C49">
        <w:rPr>
          <w:i/>
          <w:vertAlign w:val="subscript"/>
        </w:rPr>
        <w:t>i</w:t>
      </w:r>
      <w:r>
        <w:t xml:space="preserve"> the adsorbed concentration of species </w:t>
      </w:r>
      <w:r w:rsidRPr="00640C49">
        <w:rPr>
          <w:i/>
        </w:rPr>
        <w:t>i</w:t>
      </w:r>
      <w:r w:rsidR="002D76AF">
        <w:t xml:space="preserve"> in mol</w:t>
      </w:r>
      <w:r w:rsidR="002D76AF">
        <w:rPr>
          <w:rFonts w:cstheme="minorHAnsi"/>
        </w:rPr>
        <w:t>∙</w:t>
      </w:r>
      <w:r>
        <w:t>g</w:t>
      </w:r>
      <w:r w:rsidRPr="00640C49">
        <w:rPr>
          <w:vertAlign w:val="superscript"/>
        </w:rPr>
        <w:t>-1</w:t>
      </w:r>
      <w:r>
        <w:t xml:space="preserve"> and </w:t>
      </w:r>
      <w:r w:rsidRPr="00640C49">
        <w:rPr>
          <w:i/>
        </w:rPr>
        <w:t>K</w:t>
      </w:r>
      <w:r w:rsidRPr="00640C49">
        <w:rPr>
          <w:i/>
          <w:vertAlign w:val="subscript"/>
        </w:rPr>
        <w:t>d</w:t>
      </w:r>
      <w:r>
        <w:t xml:space="preserve"> the linear distribution coefficient for linear equilibrium adsorption. </w:t>
      </w:r>
      <w:r w:rsidR="00115562">
        <w:t xml:space="preserve">This formulation (Eq. 1) accounts for both adsorption and desorption processes driven by concentration gradients between the solid and liquid phases, with molecular diffusion controlling the mass transfer coefficient </w:t>
      </w:r>
      <w:r w:rsidR="00115562">
        <w:fldChar w:fldCharType="begin"/>
      </w:r>
      <w:r w:rsidR="00115562">
        <w:instrText xml:space="preserve"> QUOTE  "(Weber et al., 1991)" </w:instrText>
      </w:r>
      <w:r w:rsidR="00115562">
        <w:fldChar w:fldCharType="separate"/>
      </w:r>
      <w:r w:rsidR="00115562">
        <w:t>(Weber et al., 1991)</w:t>
      </w:r>
      <w:r w:rsidR="00115562">
        <w:fldChar w:fldCharType="end"/>
      </w:r>
      <w:r w:rsidR="00F30D2D">
        <w:t xml:space="preserve"> in the absence of advection and dispersion</w:t>
      </w:r>
      <w:r w:rsidR="00115562">
        <w:t>.</w:t>
      </w:r>
      <w:r w:rsidR="00F30D2D">
        <w:t xml:space="preserve"> </w:t>
      </w:r>
      <w:r w:rsidR="00F30D2D" w:rsidRPr="00F30D2D">
        <w:t>Desorption was not directly quantified in this study due to the lack of solid-phase concentration measurements.</w:t>
      </w:r>
    </w:p>
    <w:p w14:paraId="01A59224" w14:textId="6F7EA43F" w:rsidR="00A3658E" w:rsidRPr="00640C49" w:rsidRDefault="00A3658E" w:rsidP="00865AB7">
      <w:pPr>
        <w:pStyle w:val="Titre3"/>
        <w:numPr>
          <w:ilvl w:val="2"/>
          <w:numId w:val="1"/>
        </w:numPr>
        <w:spacing w:line="276" w:lineRule="auto"/>
      </w:pPr>
      <w:bookmarkStart w:id="4" w:name="_Ref209552602"/>
      <w:r>
        <w:t>Reactive modeling</w:t>
      </w:r>
      <w:bookmarkEnd w:id="4"/>
    </w:p>
    <w:p w14:paraId="35F6A567" w14:textId="5F3E871E" w:rsidR="000A1B29" w:rsidRDefault="001D053E" w:rsidP="00865AB7">
      <w:pPr>
        <w:spacing w:line="276" w:lineRule="auto"/>
        <w:jc w:val="both"/>
      </w:pPr>
      <w:r w:rsidRPr="001D053E">
        <w:t xml:space="preserve">The degradation of high BDOC and CECs was modeled considering the evolving redox conditions in the batch </w:t>
      </w:r>
      <w:r w:rsidR="00080DDE">
        <w:t>reactors</w:t>
      </w:r>
      <w:r w:rsidRPr="001D053E">
        <w:t xml:space="preserve"> using first-order Monod-type kinetics, accounting for oxygen availability and inhibition effects under </w:t>
      </w:r>
      <w:r w:rsidR="00482B37">
        <w:t>nitrate reducing (NR)</w:t>
      </w:r>
      <w:r w:rsidRPr="001D053E">
        <w:t xml:space="preserve"> conditions</w:t>
      </w:r>
      <w:r>
        <w:t xml:space="preserve"> </w:t>
      </w:r>
      <w:r>
        <w:fldChar w:fldCharType="begin"/>
      </w:r>
      <w:r>
        <w:instrText xml:space="preserve"> ADDIN ZOTERO_ITEM CSL_CITATION {"citationID":"Y3TiU3aJ","properties":{"formattedCitation":"(Barkow {\\i{}et al.}, 2021)","plainCitation":"(Barkow et al., 2021)","noteIndex":0},"citationItems":[{"id":6929,"uris":["http://zotero.org/users/9753339/items/UBGCW3EX"],"itemData":{"id":6929,"type":"article-journal","abstract":"Bank filtration is considered to improve water quality through microbially mediated degradation of pollutants and is suitable for waterworks to increase their production. In particular, aquifer temperatures and oxygen supply have a great impact on many microbial processes. To investigate the temporal and spatial behavior of selected organic micropollutants during bank filtration in dependence of relevant biogeochemical conditions, we have set up a 2D reactive transport model using MODFLOW and PHT3D under the user interface ORTI3D. The considered 160-m-long transect ranges from the surface water to a groundwater extraction well of the adjacent waterworks. For this purpose, water levels, temperatures, and chemical parameters were regularly measured in the surface water and groundwater observation wells over one and a half years. To simulate the effect of seasonal temperature variations on microbial mediated degradation, we applied an empirical temperature factor, which yields a strong reduction of the degradation rate at groundwater temperatures below 11 °C. Except for acesulfame, the considered organic micropollutants are substantially degraded along their subsurface flow paths with maximum degradation rates in the range of 10−6 mol L−1 s−1. Preferential biodegradation of phenazone, diclofenac, and valsartan was found under oxic conditions, whereas carbamazepine and sulfamethoxazole were degraded under anoxic conditions. This study highlights the influence of seasonal variations in oxygen supply and temperature on the fate of organic micropollutants in surface water infiltrating into an aquifer.","container-title":"Environmental Science and Pollution Research","DOI":"10.1007/s11356-020-11002-9","ISSN":"0944-1344, 1614-7499","issue":"8","journalAbbreviation":"Environ Sci Pollut Res","language":"en","page":"9682-9700","source":"DOI.org (Crossref)","title":"Seasonal dynamics modifies fate of oxygen, nitrate, and organic micropollutants during bank filtration — temperature-dependent reactive transport modeling of field data","volume":"28","author":[{"family":"Barkow","given":"Isolde S."},{"family":"Oswald","given":"Sascha E."},{"family":"Lensing","given":"Hermann-Josef"},{"family":"Munz","given":"Matthias"}],"issued":{"date-parts":[["2021",2]]}}}],"schema":"https://github.com/citation-style-language/schema/raw/master/csl-citation.json"} </w:instrText>
      </w:r>
      <w:r>
        <w:fldChar w:fldCharType="separate"/>
      </w:r>
      <w:r w:rsidRPr="001D053E">
        <w:rPr>
          <w:rFonts w:ascii="Calibri" w:hAnsi="Calibri" w:cs="Calibri"/>
          <w:szCs w:val="24"/>
        </w:rPr>
        <w:t xml:space="preserve">(Barkow </w:t>
      </w:r>
      <w:r w:rsidRPr="001D053E">
        <w:rPr>
          <w:rFonts w:ascii="Calibri" w:hAnsi="Calibri" w:cs="Calibri"/>
          <w:i/>
          <w:iCs/>
          <w:szCs w:val="24"/>
        </w:rPr>
        <w:t>et al.</w:t>
      </w:r>
      <w:r w:rsidRPr="001D053E">
        <w:rPr>
          <w:rFonts w:ascii="Calibri" w:hAnsi="Calibri" w:cs="Calibri"/>
          <w:szCs w:val="24"/>
        </w:rPr>
        <w:t>, 2021)</w:t>
      </w:r>
      <w:r>
        <w:fldChar w:fldCharType="end"/>
      </w:r>
      <w:r>
        <w:t>:</w:t>
      </w:r>
    </w:p>
    <w:p w14:paraId="53225C75" w14:textId="79CA3139" w:rsidR="00374E1A" w:rsidRPr="00921D51" w:rsidRDefault="00DB6DBE" w:rsidP="00865AB7">
      <w:pPr>
        <w:spacing w:line="276" w:lineRule="auto"/>
        <w:jc w:val="both"/>
        <w:rPr>
          <w:rFonts w:eastAsiaTheme="minorEastAsia"/>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r</m:t>
                  </m:r>
                </m:e>
                <m:sub>
                  <m:r>
                    <w:rPr>
                      <w:rFonts w:ascii="Cambria Math" w:hAnsi="Cambria Math"/>
                    </w:rPr>
                    <m:t>A,  oxic</m:t>
                  </m:r>
                </m:sub>
              </m:sSub>
              <m:r>
                <w:rPr>
                  <w:rFonts w:ascii="Cambria Math" w:hAnsi="Cambria Math"/>
                </w:rPr>
                <m:t>=-</m:t>
              </m:r>
              <m:sSub>
                <m:sSubPr>
                  <m:ctrlPr>
                    <w:rPr>
                      <w:rFonts w:ascii="Cambria Math" w:hAnsi="Cambria Math"/>
                      <w:i/>
                    </w:rPr>
                  </m:ctrlPr>
                </m:sSubPr>
                <m:e>
                  <m:r>
                    <w:rPr>
                      <w:rFonts w:ascii="Cambria Math" w:hAnsi="Cambria Math"/>
                    </w:rPr>
                    <m:t>λ</m:t>
                  </m:r>
                </m:e>
                <m:sub>
                  <m:r>
                    <m:rPr>
                      <m:sty m:val="p"/>
                    </m:rPr>
                    <w:rPr>
                      <w:rFonts w:ascii="Cambria Math" w:hAnsi="Cambria Math"/>
                    </w:rPr>
                    <m:t>A,oxic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O</m:t>
                          </m:r>
                        </m:e>
                        <m:sub>
                          <m:r>
                            <w:rPr>
                              <w:rFonts w:ascii="Cambria Math" w:hAnsi="Cambria Math"/>
                            </w:rPr>
                            <m:t>2</m:t>
                          </m:r>
                        </m:sub>
                      </m:sSub>
                    </m:sub>
                  </m:sSub>
                </m:num>
                <m:den>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O</m:t>
                          </m:r>
                        </m:e>
                        <m:sub>
                          <m:r>
                            <w:rPr>
                              <w:rFonts w:ascii="Cambria Math" w:hAnsi="Cambria Math"/>
                            </w:rPr>
                            <m:t>2</m:t>
                          </m:r>
                        </m:sub>
                      </m:sSub>
                    </m:sub>
                  </m:sSub>
                  <m:r>
                    <w:rPr>
                      <w:rFonts w:ascii="Cambria Math" w:hAnsi="Cambria Math"/>
                    </w:rPr>
                    <m:t xml:space="preserve">+ </m:t>
                  </m:r>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O</m:t>
                          </m:r>
                        </m:e>
                        <m:sub>
                          <m:r>
                            <w:rPr>
                              <w:rFonts w:ascii="Cambria Math" w:hAnsi="Cambria Math"/>
                            </w:rPr>
                            <m:t>2</m:t>
                          </m:r>
                        </m:sub>
                      </m:sSub>
                    </m:sub>
                  </m:sSub>
                </m:den>
              </m:f>
              <m:r>
                <w:rPr>
                  <w:rFonts w:ascii="Cambria Math" w:hAnsi="Cambria Math"/>
                </w:rPr>
                <m:t xml:space="preserve"> #</m:t>
              </m:r>
              <m:d>
                <m:dPr>
                  <m:ctrlPr>
                    <w:rPr>
                      <w:rFonts w:ascii="Cambria Math" w:hAnsi="Cambria Math"/>
                      <w:i/>
                    </w:rPr>
                  </m:ctrlPr>
                </m:dPr>
                <m:e>
                  <m:r>
                    <w:rPr>
                      <w:rFonts w:ascii="Cambria Math" w:hAnsi="Cambria Math"/>
                    </w:rPr>
                    <m:t>2</m:t>
                  </m:r>
                </m:e>
              </m:d>
            </m:e>
          </m:eqArr>
        </m:oMath>
      </m:oMathPara>
    </w:p>
    <w:p w14:paraId="74715902" w14:textId="12624386" w:rsidR="00921D51" w:rsidRPr="003547E9" w:rsidRDefault="00DB6DBE" w:rsidP="00865AB7">
      <w:pPr>
        <w:spacing w:line="276" w:lineRule="auto"/>
        <w:jc w:val="both"/>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A, NR</m:t>
                  </m:r>
                </m:sub>
              </m:sSub>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A, NR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inh,</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 xml:space="preserve">inh, </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sSubSup>
                        <m:sSubSupPr>
                          <m:ctrlPr>
                            <w:rPr>
                              <w:rFonts w:ascii="Cambria Math" w:eastAsiaTheme="minorEastAsia" w:hAnsi="Cambria Math"/>
                              <w:i/>
                            </w:rPr>
                          </m:ctrlPr>
                        </m:sSubSupPr>
                        <m:e>
                          <m:r>
                            <w:rPr>
                              <w:rFonts w:ascii="Cambria Math" w:eastAsiaTheme="minorEastAsia" w:hAnsi="Cambria Math"/>
                            </w:rPr>
                            <m:t>NO</m:t>
                          </m:r>
                        </m:e>
                        <m:sub>
                          <m:r>
                            <w:rPr>
                              <w:rFonts w:ascii="Cambria Math" w:eastAsiaTheme="minorEastAsia" w:hAnsi="Cambria Math"/>
                            </w:rPr>
                            <m:t>3</m:t>
                          </m:r>
                        </m:sub>
                        <m:sup>
                          <m:r>
                            <w:rPr>
                              <w:rFonts w:ascii="Cambria Math" w:eastAsiaTheme="minorEastAsia" w:hAnsi="Cambria Math"/>
                            </w:rPr>
                            <m:t>-</m:t>
                          </m:r>
                        </m:sup>
                      </m:sSubSup>
                    </m:sub>
                  </m:sSub>
                </m:num>
                <m:den>
                  <m:sSub>
                    <m:sSubPr>
                      <m:ctrlPr>
                        <w:rPr>
                          <w:rFonts w:ascii="Cambria Math" w:eastAsiaTheme="minorEastAsia" w:hAnsi="Cambria Math"/>
                          <w:i/>
                        </w:rPr>
                      </m:ctrlPr>
                    </m:sSubPr>
                    <m:e>
                      <m:r>
                        <w:rPr>
                          <w:rFonts w:ascii="Cambria Math" w:eastAsiaTheme="minorEastAsia" w:hAnsi="Cambria Math"/>
                        </w:rPr>
                        <m:t>K</m:t>
                      </m:r>
                    </m:e>
                    <m:sub>
                      <m:sSubSup>
                        <m:sSubSupPr>
                          <m:ctrlPr>
                            <w:rPr>
                              <w:rFonts w:ascii="Cambria Math" w:eastAsiaTheme="minorEastAsia" w:hAnsi="Cambria Math"/>
                              <w:i/>
                            </w:rPr>
                          </m:ctrlPr>
                        </m:sSubSupPr>
                        <m:e>
                          <m:r>
                            <w:rPr>
                              <w:rFonts w:ascii="Cambria Math" w:eastAsiaTheme="minorEastAsia" w:hAnsi="Cambria Math"/>
                            </w:rPr>
                            <m:t>NO</m:t>
                          </m:r>
                        </m:e>
                        <m:sub>
                          <m:r>
                            <w:rPr>
                              <w:rFonts w:ascii="Cambria Math" w:eastAsiaTheme="minorEastAsia" w:hAnsi="Cambria Math"/>
                            </w:rPr>
                            <m:t>3</m:t>
                          </m:r>
                        </m:sub>
                        <m:sup>
                          <m:r>
                            <w:rPr>
                              <w:rFonts w:ascii="Cambria Math" w:eastAsiaTheme="minorEastAsia" w:hAnsi="Cambria Math"/>
                            </w:rPr>
                            <m:t>-</m:t>
                          </m:r>
                        </m:sup>
                      </m:sSub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sSubSup>
                        <m:sSubSupPr>
                          <m:ctrlPr>
                            <w:rPr>
                              <w:rFonts w:ascii="Cambria Math" w:eastAsiaTheme="minorEastAsia" w:hAnsi="Cambria Math"/>
                              <w:i/>
                            </w:rPr>
                          </m:ctrlPr>
                        </m:sSubSupPr>
                        <m:e>
                          <m:r>
                            <w:rPr>
                              <w:rFonts w:ascii="Cambria Math" w:eastAsiaTheme="minorEastAsia" w:hAnsi="Cambria Math"/>
                            </w:rPr>
                            <m:t>NO</m:t>
                          </m:r>
                        </m:e>
                        <m:sub>
                          <m:r>
                            <w:rPr>
                              <w:rFonts w:ascii="Cambria Math" w:eastAsiaTheme="minorEastAsia" w:hAnsi="Cambria Math"/>
                            </w:rPr>
                            <m:t>3</m:t>
                          </m:r>
                        </m:sub>
                        <m:sup>
                          <m:r>
                            <w:rPr>
                              <w:rFonts w:ascii="Cambria Math" w:eastAsiaTheme="minorEastAsia" w:hAnsi="Cambria Math"/>
                            </w:rPr>
                            <m:t>-</m:t>
                          </m:r>
                        </m:sup>
                      </m:sSubSup>
                    </m:sub>
                  </m:sSub>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m:t>
                  </m:r>
                </m:e>
              </m:d>
            </m:e>
          </m:eqArr>
        </m:oMath>
      </m:oMathPara>
    </w:p>
    <w:p w14:paraId="3FCF2EDC" w14:textId="11C79935" w:rsidR="003547E9" w:rsidRDefault="001D053E" w:rsidP="00865AB7">
      <w:pPr>
        <w:spacing w:line="276" w:lineRule="auto"/>
        <w:jc w:val="both"/>
        <w:rPr>
          <w:rFonts w:eastAsiaTheme="minorEastAsia"/>
        </w:rPr>
      </w:pPr>
      <w:r>
        <w:rPr>
          <w:rFonts w:eastAsiaTheme="minorEastAsia"/>
        </w:rPr>
        <w:t>where</w:t>
      </w:r>
      <w:r w:rsidR="006F6FD6">
        <w:rPr>
          <w:rFonts w:eastAsiaTheme="minorEastAsia"/>
        </w:rPr>
        <w:t xml:space="preserve"> A </w:t>
      </w:r>
      <w:r>
        <w:rPr>
          <w:rFonts w:eastAsiaTheme="minorEastAsia"/>
        </w:rPr>
        <w:t>represents either high BDOC or a CEC</w:t>
      </w:r>
      <w:r w:rsidR="006F6FD6">
        <w:rPr>
          <w:rFonts w:eastAsiaTheme="minorEastAsia"/>
        </w:rPr>
        <w:t>,</w:t>
      </w:r>
      <w:r w:rsidR="00C471FE">
        <w:rPr>
          <w:rFonts w:eastAsiaTheme="minorEastAsia"/>
        </w:rPr>
        <w:t xml:space="preserve"> </w:t>
      </w:r>
      <w:r w:rsidR="00C471FE" w:rsidRPr="00DC7A83">
        <w:rPr>
          <w:rFonts w:ascii="Times New Roman" w:eastAsiaTheme="minorEastAsia" w:hAnsi="Times New Roman" w:cs="Times New Roman"/>
          <w:i/>
        </w:rPr>
        <w:t>λ</w:t>
      </w:r>
      <w:r w:rsidR="003547E9">
        <w:rPr>
          <w:rFonts w:eastAsiaTheme="minorEastAsia"/>
        </w:rPr>
        <w:t xml:space="preserve"> the </w:t>
      </w:r>
      <w:r>
        <w:rPr>
          <w:rFonts w:eastAsiaTheme="minorEastAsia"/>
        </w:rPr>
        <w:t>maximum</w:t>
      </w:r>
      <w:r w:rsidR="00C471FE">
        <w:rPr>
          <w:rFonts w:eastAsiaTheme="minorEastAsia"/>
        </w:rPr>
        <w:t xml:space="preserve"> degradation rate</w:t>
      </w:r>
      <w:r w:rsidR="00DC7A83">
        <w:rPr>
          <w:rFonts w:eastAsiaTheme="minorEastAsia"/>
        </w:rPr>
        <w:t xml:space="preserve"> (</w:t>
      </w:r>
      <w:r w:rsidR="002D76AF">
        <w:rPr>
          <w:rFonts w:eastAsiaTheme="minorEastAsia"/>
        </w:rPr>
        <w:t>mol</w:t>
      </w:r>
      <w:r w:rsidR="002D76AF">
        <w:rPr>
          <w:rFonts w:eastAsiaTheme="minorEastAsia" w:cstheme="minorHAnsi"/>
        </w:rPr>
        <w:t>∙</w:t>
      </w:r>
      <w:r w:rsidR="00DC7A83" w:rsidRPr="00DC7A83">
        <w:rPr>
          <w:rFonts w:eastAsiaTheme="minorEastAsia"/>
        </w:rPr>
        <w:t>L</w:t>
      </w:r>
      <w:r w:rsidR="00DC7A83" w:rsidRPr="00DC7A83">
        <w:rPr>
          <w:rFonts w:eastAsiaTheme="minorEastAsia"/>
          <w:vertAlign w:val="superscript"/>
        </w:rPr>
        <w:t>-1</w:t>
      </w:r>
      <w:r w:rsidR="002D76AF">
        <w:rPr>
          <w:rFonts w:eastAsiaTheme="minorEastAsia" w:cstheme="minorHAnsi"/>
        </w:rPr>
        <w:t>∙</w:t>
      </w:r>
      <w:r w:rsidR="00DC7A83" w:rsidRPr="00DC7A83">
        <w:rPr>
          <w:rFonts w:eastAsiaTheme="minorEastAsia"/>
        </w:rPr>
        <w:t>s</w:t>
      </w:r>
      <w:r w:rsidR="00DC7A83" w:rsidRPr="00DC7A83">
        <w:rPr>
          <w:rFonts w:eastAsiaTheme="minorEastAsia"/>
          <w:vertAlign w:val="superscript"/>
        </w:rPr>
        <w:t>-1</w:t>
      </w:r>
      <w:r w:rsidR="00DC7A83">
        <w:rPr>
          <w:rFonts w:eastAsiaTheme="minorEastAsia"/>
        </w:rPr>
        <w:t>)</w:t>
      </w:r>
      <w:r w:rsidR="00C471FE">
        <w:rPr>
          <w:rFonts w:eastAsiaTheme="minorEastAsia"/>
        </w:rPr>
        <w:t xml:space="preserve">, </w:t>
      </w:r>
      <w:r w:rsidR="00C471FE" w:rsidRPr="00DC7A83">
        <w:rPr>
          <w:rFonts w:eastAsiaTheme="minorEastAsia"/>
          <w:i/>
        </w:rPr>
        <w:t>C</w:t>
      </w:r>
      <w:r w:rsidR="000C5B29">
        <w:rPr>
          <w:rFonts w:eastAsiaTheme="minorEastAsia"/>
          <w:i/>
          <w:vertAlign w:val="subscript"/>
        </w:rPr>
        <w:t xml:space="preserve">A </w:t>
      </w:r>
      <w:r w:rsidR="00C471FE">
        <w:rPr>
          <w:rFonts w:eastAsiaTheme="minorEastAsia"/>
        </w:rPr>
        <w:t xml:space="preserve">the concentration </w:t>
      </w:r>
      <w:r>
        <w:rPr>
          <w:rFonts w:eastAsiaTheme="minorEastAsia"/>
        </w:rPr>
        <w:t xml:space="preserve">of high BDOC or </w:t>
      </w:r>
      <w:r w:rsidR="00821E6A">
        <w:rPr>
          <w:rFonts w:eastAsiaTheme="minorEastAsia"/>
        </w:rPr>
        <w:t xml:space="preserve">a </w:t>
      </w:r>
      <w:r>
        <w:rPr>
          <w:rFonts w:eastAsiaTheme="minorEastAsia"/>
        </w:rPr>
        <w:t xml:space="preserve">CEC </w:t>
      </w:r>
      <w:r w:rsidR="00DC7A83">
        <w:rPr>
          <w:rFonts w:eastAsiaTheme="minorEastAsia"/>
        </w:rPr>
        <w:t>(</w:t>
      </w:r>
      <w:r w:rsidR="002D76AF">
        <w:rPr>
          <w:rFonts w:eastAsiaTheme="minorEastAsia"/>
        </w:rPr>
        <w:t>mol</w:t>
      </w:r>
      <w:r w:rsidR="002D76AF">
        <w:rPr>
          <w:rFonts w:eastAsiaTheme="minorEastAsia" w:cstheme="minorHAnsi"/>
        </w:rPr>
        <w:t>∙</w:t>
      </w:r>
      <w:r w:rsidR="00DC7A83" w:rsidRPr="00DC7A83">
        <w:rPr>
          <w:rFonts w:eastAsiaTheme="minorEastAsia"/>
        </w:rPr>
        <w:t>L</w:t>
      </w:r>
      <w:r w:rsidR="00DC7A83" w:rsidRPr="00DC7A83">
        <w:rPr>
          <w:rFonts w:eastAsiaTheme="minorEastAsia"/>
          <w:vertAlign w:val="superscript"/>
        </w:rPr>
        <w:t>-1</w:t>
      </w:r>
      <w:r w:rsidR="00DC7A83">
        <w:rPr>
          <w:rFonts w:eastAsiaTheme="minorEastAsia"/>
        </w:rPr>
        <w:t>)</w:t>
      </w:r>
      <w:r w:rsidR="00C471FE">
        <w:rPr>
          <w:rFonts w:eastAsiaTheme="minorEastAsia"/>
        </w:rPr>
        <w:t xml:space="preserve">, </w:t>
      </w:r>
      <w:r w:rsidR="00C471FE" w:rsidRPr="00DC7A83">
        <w:rPr>
          <w:rFonts w:eastAsiaTheme="minorEastAsia"/>
          <w:i/>
        </w:rPr>
        <w:t>C</w:t>
      </w:r>
      <w:r w:rsidR="00C471FE" w:rsidRPr="00DC7A83">
        <w:rPr>
          <w:rFonts w:eastAsiaTheme="minorEastAsia"/>
          <w:i/>
          <w:vertAlign w:val="subscript"/>
        </w:rPr>
        <w:t>O2</w:t>
      </w:r>
      <w:r w:rsidR="00C471FE">
        <w:rPr>
          <w:rFonts w:eastAsiaTheme="minorEastAsia"/>
        </w:rPr>
        <w:t xml:space="preserve"> the oxygen</w:t>
      </w:r>
      <w:r>
        <w:rPr>
          <w:rFonts w:eastAsiaTheme="minorEastAsia"/>
        </w:rPr>
        <w:t xml:space="preserve"> concentration (</w:t>
      </w:r>
      <w:r w:rsidR="002D76AF">
        <w:rPr>
          <w:rFonts w:eastAsiaTheme="minorEastAsia"/>
        </w:rPr>
        <w:t>mol</w:t>
      </w:r>
      <w:r w:rsidR="002D76AF">
        <w:rPr>
          <w:rFonts w:eastAsiaTheme="minorEastAsia" w:cstheme="minorHAnsi"/>
        </w:rPr>
        <w:t>∙</w:t>
      </w:r>
      <w:r w:rsidRPr="00DC7A83">
        <w:rPr>
          <w:rFonts w:eastAsiaTheme="minorEastAsia"/>
        </w:rPr>
        <w:t>L</w:t>
      </w:r>
      <w:r w:rsidRPr="00DC7A83">
        <w:rPr>
          <w:rFonts w:eastAsiaTheme="minorEastAsia"/>
          <w:vertAlign w:val="superscript"/>
        </w:rPr>
        <w:t>-1</w:t>
      </w:r>
      <w:r>
        <w:rPr>
          <w:rFonts w:eastAsiaTheme="minorEastAsia"/>
        </w:rPr>
        <w:t>)</w:t>
      </w:r>
      <w:r w:rsidR="00C471FE">
        <w:rPr>
          <w:rFonts w:eastAsiaTheme="minorEastAsia"/>
        </w:rPr>
        <w:t xml:space="preserve">, </w:t>
      </w:r>
      <w:r w:rsidR="00C471FE" w:rsidRPr="00DC7A83">
        <w:rPr>
          <w:rFonts w:eastAsiaTheme="minorEastAsia"/>
          <w:i/>
        </w:rPr>
        <w:t>C</w:t>
      </w:r>
      <w:r w:rsidR="00C471FE" w:rsidRPr="00DC7A83">
        <w:rPr>
          <w:rFonts w:eastAsiaTheme="minorEastAsia"/>
          <w:i/>
          <w:vertAlign w:val="subscript"/>
        </w:rPr>
        <w:t>NO3</w:t>
      </w:r>
      <w:r w:rsidR="00C471FE">
        <w:rPr>
          <w:rFonts w:eastAsiaTheme="minorEastAsia"/>
        </w:rPr>
        <w:t xml:space="preserve"> the</w:t>
      </w:r>
      <w:r>
        <w:rPr>
          <w:rFonts w:eastAsiaTheme="minorEastAsia"/>
        </w:rPr>
        <w:t xml:space="preserve"> nitrate</w:t>
      </w:r>
      <w:r w:rsidR="00C471FE">
        <w:rPr>
          <w:rFonts w:eastAsiaTheme="minorEastAsia"/>
        </w:rPr>
        <w:t xml:space="preserve"> concentration </w:t>
      </w:r>
      <w:r w:rsidR="002D76AF">
        <w:rPr>
          <w:rFonts w:eastAsiaTheme="minorEastAsia"/>
        </w:rPr>
        <w:t>(mol</w:t>
      </w:r>
      <w:r w:rsidR="002D76AF">
        <w:rPr>
          <w:rFonts w:eastAsiaTheme="minorEastAsia" w:cstheme="minorHAnsi"/>
        </w:rPr>
        <w:t>∙</w:t>
      </w:r>
      <w:r w:rsidR="00DC7A83">
        <w:rPr>
          <w:rFonts w:eastAsiaTheme="minorEastAsia"/>
        </w:rPr>
        <w:t>L</w:t>
      </w:r>
      <w:r w:rsidR="00DC7A83" w:rsidRPr="00DC7A83">
        <w:rPr>
          <w:rFonts w:eastAsiaTheme="minorEastAsia"/>
          <w:vertAlign w:val="superscript"/>
        </w:rPr>
        <w:t>-1</w:t>
      </w:r>
      <w:r w:rsidR="00DC7A83">
        <w:rPr>
          <w:rFonts w:eastAsiaTheme="minorEastAsia"/>
        </w:rPr>
        <w:t>)</w:t>
      </w:r>
      <w:r w:rsidR="00C471FE">
        <w:rPr>
          <w:rFonts w:eastAsiaTheme="minorEastAsia"/>
        </w:rPr>
        <w:t xml:space="preserve">, </w:t>
      </w:r>
      <w:r w:rsidR="00C471FE" w:rsidRPr="00DC7A83">
        <w:rPr>
          <w:rFonts w:eastAsiaTheme="minorEastAsia"/>
          <w:i/>
        </w:rPr>
        <w:t>K</w:t>
      </w:r>
      <w:r>
        <w:rPr>
          <w:rFonts w:eastAsiaTheme="minorEastAsia"/>
          <w:i/>
          <w:vertAlign w:val="subscript"/>
        </w:rPr>
        <w:t>O2</w:t>
      </w:r>
      <w:r>
        <w:rPr>
          <w:rFonts w:eastAsiaTheme="minorEastAsia"/>
          <w:i/>
        </w:rPr>
        <w:t xml:space="preserve"> and K</w:t>
      </w:r>
      <w:r w:rsidRPr="001D053E">
        <w:rPr>
          <w:rFonts w:eastAsiaTheme="minorEastAsia"/>
          <w:i/>
          <w:vertAlign w:val="subscript"/>
        </w:rPr>
        <w:t>NO3</w:t>
      </w:r>
      <w:r w:rsidR="00C471FE" w:rsidRPr="001D053E">
        <w:rPr>
          <w:rFonts w:eastAsiaTheme="minorEastAsia"/>
          <w:vertAlign w:val="subscript"/>
        </w:rPr>
        <w:t xml:space="preserve"> </w:t>
      </w:r>
      <w:r>
        <w:rPr>
          <w:rFonts w:eastAsiaTheme="minorEastAsia"/>
        </w:rPr>
        <w:t>the half-</w:t>
      </w:r>
      <w:r w:rsidR="00C471FE">
        <w:rPr>
          <w:rFonts w:eastAsiaTheme="minorEastAsia"/>
        </w:rPr>
        <w:t>saturation constant</w:t>
      </w:r>
      <w:r w:rsidR="00821E6A">
        <w:rPr>
          <w:rFonts w:eastAsiaTheme="minorEastAsia"/>
        </w:rPr>
        <w:t>s</w:t>
      </w:r>
      <w:r w:rsidR="002D76AF">
        <w:rPr>
          <w:rFonts w:eastAsiaTheme="minorEastAsia"/>
        </w:rPr>
        <w:t xml:space="preserve"> (mol</w:t>
      </w:r>
      <w:r w:rsidR="002D76AF">
        <w:rPr>
          <w:rFonts w:eastAsiaTheme="minorEastAsia" w:cstheme="minorHAnsi"/>
        </w:rPr>
        <w:t>∙</w:t>
      </w:r>
      <w:r w:rsidR="00DC7A83">
        <w:rPr>
          <w:rFonts w:eastAsiaTheme="minorEastAsia"/>
        </w:rPr>
        <w:t>L</w:t>
      </w:r>
      <w:r w:rsidR="00DC7A83" w:rsidRPr="00DC7A83">
        <w:rPr>
          <w:rFonts w:eastAsiaTheme="minorEastAsia"/>
          <w:vertAlign w:val="superscript"/>
        </w:rPr>
        <w:t>-1</w:t>
      </w:r>
      <w:r w:rsidR="00DC7A83">
        <w:rPr>
          <w:rFonts w:eastAsiaTheme="minorEastAsia"/>
        </w:rPr>
        <w:t>)</w:t>
      </w:r>
      <w:r w:rsidR="00C471FE">
        <w:rPr>
          <w:rFonts w:eastAsiaTheme="minorEastAsia"/>
        </w:rPr>
        <w:t xml:space="preserve"> and K</w:t>
      </w:r>
      <w:r w:rsidR="00C471FE" w:rsidRPr="00C471FE">
        <w:rPr>
          <w:rFonts w:eastAsiaTheme="minorEastAsia"/>
          <w:vertAlign w:val="subscript"/>
        </w:rPr>
        <w:t>inh</w:t>
      </w:r>
      <w:r w:rsidR="00821E6A">
        <w:rPr>
          <w:rFonts w:eastAsiaTheme="minorEastAsia"/>
          <w:vertAlign w:val="subscript"/>
        </w:rPr>
        <w:t>,O2</w:t>
      </w:r>
      <w:r w:rsidR="00C471FE">
        <w:rPr>
          <w:rFonts w:eastAsiaTheme="minorEastAsia"/>
        </w:rPr>
        <w:t xml:space="preserve"> the inhibition coefficient</w:t>
      </w:r>
      <w:r w:rsidR="00DC7A83">
        <w:rPr>
          <w:rFonts w:eastAsiaTheme="minorEastAsia"/>
        </w:rPr>
        <w:t xml:space="preserve"> </w:t>
      </w:r>
      <w:r w:rsidR="00821E6A">
        <w:rPr>
          <w:rFonts w:eastAsiaTheme="minorEastAsia"/>
        </w:rPr>
        <w:t>of oxygen</w:t>
      </w:r>
      <w:r w:rsidR="003F0958">
        <w:rPr>
          <w:rFonts w:eastAsiaTheme="minorEastAsia"/>
        </w:rPr>
        <w:t xml:space="preserve"> </w:t>
      </w:r>
      <w:r w:rsidR="002D76AF">
        <w:rPr>
          <w:rFonts w:eastAsiaTheme="minorEastAsia"/>
        </w:rPr>
        <w:t>(mol</w:t>
      </w:r>
      <w:r w:rsidR="002D76AF">
        <w:rPr>
          <w:rFonts w:eastAsiaTheme="minorEastAsia" w:cstheme="minorHAnsi"/>
        </w:rPr>
        <w:t>∙</w:t>
      </w:r>
      <w:r w:rsidR="00DC7A83">
        <w:rPr>
          <w:rFonts w:eastAsiaTheme="minorEastAsia"/>
        </w:rPr>
        <w:t>L</w:t>
      </w:r>
      <w:r w:rsidR="00DC7A83" w:rsidRPr="00DC7A83">
        <w:rPr>
          <w:rFonts w:eastAsiaTheme="minorEastAsia"/>
          <w:vertAlign w:val="superscript"/>
        </w:rPr>
        <w:t>-1</w:t>
      </w:r>
      <w:r w:rsidR="00DC7A83">
        <w:rPr>
          <w:rFonts w:eastAsiaTheme="minorEastAsia"/>
        </w:rPr>
        <w:t>)</w:t>
      </w:r>
      <w:r w:rsidR="00C471FE">
        <w:rPr>
          <w:rFonts w:eastAsiaTheme="minorEastAsia"/>
        </w:rPr>
        <w:t>.</w:t>
      </w:r>
      <w:r w:rsidR="006F6FD6">
        <w:rPr>
          <w:rFonts w:eastAsiaTheme="minorEastAsia"/>
        </w:rPr>
        <w:t xml:space="preserve"> </w:t>
      </w:r>
      <w:r w:rsidR="00F2184A" w:rsidRPr="00F2184A">
        <w:rPr>
          <w:rFonts w:eastAsiaTheme="minorEastAsia"/>
        </w:rPr>
        <w:t>Additional details on the complete set of stoichiometric reactions and the corresponding ordinary differential equations (</w:t>
      </w:r>
      <w:r w:rsidR="005004CC">
        <w:rPr>
          <w:rFonts w:eastAsiaTheme="minorEastAsia"/>
        </w:rPr>
        <w:t>ODEs) are provided in Section S6</w:t>
      </w:r>
      <w:r w:rsidR="00F2184A" w:rsidRPr="00F2184A">
        <w:rPr>
          <w:rFonts w:eastAsiaTheme="minorEastAsia"/>
        </w:rPr>
        <w:t xml:space="preserve"> of the Supplementary Materials.</w:t>
      </w:r>
    </w:p>
    <w:p w14:paraId="75A565CC" w14:textId="5589178C" w:rsidR="00080DDE" w:rsidRDefault="00080DDE" w:rsidP="00865AB7">
      <w:pPr>
        <w:pStyle w:val="Titre3"/>
        <w:numPr>
          <w:ilvl w:val="2"/>
          <w:numId w:val="1"/>
        </w:numPr>
        <w:spacing w:line="276" w:lineRule="auto"/>
        <w:rPr>
          <w:rFonts w:eastAsiaTheme="minorEastAsia"/>
        </w:rPr>
      </w:pPr>
      <w:r>
        <w:rPr>
          <w:rFonts w:eastAsiaTheme="minorEastAsia"/>
        </w:rPr>
        <w:t>Model calibration</w:t>
      </w:r>
    </w:p>
    <w:p w14:paraId="6ED7D9B2" w14:textId="0EE1142A" w:rsidR="009132E2" w:rsidRDefault="00080DDE" w:rsidP="00865AB7">
      <w:pPr>
        <w:spacing w:line="276" w:lineRule="auto"/>
        <w:jc w:val="both"/>
      </w:pPr>
      <w:r>
        <w:t xml:space="preserve">The calibration process was carried out to reproduce the redox evolution </w:t>
      </w:r>
      <w:r w:rsidR="009132E2">
        <w:t xml:space="preserve">observed </w:t>
      </w:r>
      <w:r>
        <w:t xml:space="preserve">in </w:t>
      </w:r>
      <w:r w:rsidR="009132E2">
        <w:t xml:space="preserve">the </w:t>
      </w:r>
      <w:r w:rsidR="0033547E">
        <w:t>triplicates</w:t>
      </w:r>
      <w:r>
        <w:t>.</w:t>
      </w:r>
      <w:r w:rsidR="009132E2">
        <w:t xml:space="preserve"> A linear oxygen source term (d[O</w:t>
      </w:r>
      <w:r w:rsidR="009132E2" w:rsidRPr="005B1539">
        <w:rPr>
          <w:vertAlign w:val="subscript"/>
        </w:rPr>
        <w:t>2</w:t>
      </w:r>
      <w:r w:rsidR="009132E2">
        <w:t xml:space="preserve">]/dt = </w:t>
      </w:r>
      <w:r w:rsidR="009132E2">
        <w:rPr>
          <w:rFonts w:ascii="Times New Roman" w:hAnsi="Times New Roman" w:cs="Times New Roman"/>
        </w:rPr>
        <w:t>λ∙</w:t>
      </w:r>
      <w:r w:rsidR="009132E2">
        <w:t xml:space="preserve">t) </w:t>
      </w:r>
      <w:r w:rsidR="009132E2" w:rsidRPr="009132E2">
        <w:t>was include</w:t>
      </w:r>
      <w:r w:rsidR="009132E2">
        <w:t xml:space="preserve">d to account for the gradual </w:t>
      </w:r>
      <w:r w:rsidR="009132E2" w:rsidRPr="009132E2">
        <w:t>increase of dissolved oxygen measured in the biotic reactors</w:t>
      </w:r>
      <w:r w:rsidR="009132E2">
        <w:t>.</w:t>
      </w:r>
      <w:r w:rsidR="009132E2" w:rsidRPr="009132E2">
        <w:t xml:space="preserve"> In addition, a conditional switch between oxic and nitrate-reducing </w:t>
      </w:r>
      <w:r w:rsidR="00B03AE6">
        <w:t xml:space="preserve">conditions </w:t>
      </w:r>
      <w:r w:rsidR="009132E2">
        <w:t>(see section</w:t>
      </w:r>
      <w:r w:rsidR="007D0036">
        <w:t xml:space="preserve"> </w:t>
      </w:r>
      <w:r w:rsidR="000132F6">
        <w:fldChar w:fldCharType="begin"/>
      </w:r>
      <w:r w:rsidR="000132F6">
        <w:instrText xml:space="preserve"> REF _Ref209552602 \r \h </w:instrText>
      </w:r>
      <w:r w:rsidR="000132F6">
        <w:fldChar w:fldCharType="separate"/>
      </w:r>
      <w:r w:rsidR="00D1782E">
        <w:t>2.4.2</w:t>
      </w:r>
      <w:r w:rsidR="000132F6">
        <w:fldChar w:fldCharType="end"/>
      </w:r>
      <w:r w:rsidR="009132E2">
        <w:t xml:space="preserve">) </w:t>
      </w:r>
      <w:r w:rsidR="009132E2" w:rsidRPr="009132E2">
        <w:t xml:space="preserve">was implemented: the </w:t>
      </w:r>
      <w:r w:rsidR="00B03AE6">
        <w:t>oxi</w:t>
      </w:r>
      <w:r w:rsidR="009132E2" w:rsidRPr="009132E2">
        <w:t xml:space="preserve">c rate </w:t>
      </w:r>
      <w:r w:rsidR="00B03AE6">
        <w:t>expression was applied when [O₂]</w:t>
      </w:r>
      <w:r w:rsidR="009132E2" w:rsidRPr="009132E2">
        <w:t xml:space="preserve"> </w:t>
      </w:r>
      <w:r w:rsidR="00B03AE6">
        <w:t xml:space="preserve">was superior to </w:t>
      </w:r>
      <w:r w:rsidR="009132E2" w:rsidRPr="009132E2">
        <w:t xml:space="preserve">4 mg·L⁻¹, whereas the nitrate-reducing rate expression was applied when </w:t>
      </w:r>
      <w:r w:rsidR="009132E2" w:rsidRPr="009132E2">
        <w:lastRenderedPageBreak/>
        <w:t>[O₂] dropped below this threshold.</w:t>
      </w:r>
      <w:r w:rsidR="000132F6">
        <w:t xml:space="preserve"> </w:t>
      </w:r>
      <w:r w:rsidR="000132F6" w:rsidRPr="000132F6">
        <w:t>This value was chosen based on experiment</w:t>
      </w:r>
      <w:r w:rsidR="000132F6">
        <w:t xml:space="preserve">al observations (see Section </w:t>
      </w:r>
      <w:r w:rsidR="000132F6">
        <w:fldChar w:fldCharType="begin"/>
      </w:r>
      <w:r w:rsidR="000132F6">
        <w:instrText xml:space="preserve"> REF _Ref213767136 \r \h </w:instrText>
      </w:r>
      <w:r w:rsidR="000132F6">
        <w:fldChar w:fldCharType="separate"/>
      </w:r>
      <w:r w:rsidR="00D1782E">
        <w:t>3.2</w:t>
      </w:r>
      <w:r w:rsidR="000132F6">
        <w:fldChar w:fldCharType="end"/>
      </w:r>
      <w:r w:rsidR="000132F6" w:rsidRPr="000132F6">
        <w:t>), where nitrate</w:t>
      </w:r>
      <w:r w:rsidR="00C55FE3">
        <w:t xml:space="preserve"> started to</w:t>
      </w:r>
      <w:r w:rsidR="000132F6" w:rsidRPr="000132F6">
        <w:t xml:space="preserve"> </w:t>
      </w:r>
      <w:r w:rsidR="000132F6">
        <w:t>decrease</w:t>
      </w:r>
      <w:r w:rsidR="000132F6" w:rsidRPr="000132F6">
        <w:t xml:space="preserve"> </w:t>
      </w:r>
      <w:r w:rsidR="00C55FE3">
        <w:t xml:space="preserve">right </w:t>
      </w:r>
      <w:r w:rsidR="000132F6">
        <w:t>after</w:t>
      </w:r>
      <w:r w:rsidR="000132F6" w:rsidRPr="000132F6">
        <w:t xml:space="preserve"> </w:t>
      </w:r>
      <w:r w:rsidR="008F2C1F">
        <w:t>[</w:t>
      </w:r>
      <w:r w:rsidR="000132F6" w:rsidRPr="000132F6">
        <w:t>O₂</w:t>
      </w:r>
      <w:r w:rsidR="008F2C1F">
        <w:t>]</w:t>
      </w:r>
      <w:r w:rsidR="000132F6" w:rsidRPr="000132F6">
        <w:t xml:space="preserve"> fell below 4 mg L⁻¹</w:t>
      </w:r>
      <w:r w:rsidR="00C55FE3">
        <w:t xml:space="preserve">. This </w:t>
      </w:r>
      <w:r w:rsidR="000132F6" w:rsidRPr="000132F6">
        <w:t>is consistent with the</w:t>
      </w:r>
      <w:r w:rsidR="00C55FE3">
        <w:t xml:space="preserve"> findings of </w:t>
      </w:r>
      <w:r w:rsidR="008F2C1F">
        <w:fldChar w:fldCharType="begin"/>
      </w:r>
      <w:r w:rsidR="008F2C1F">
        <w:instrText xml:space="preserve"> QUOTE  "Green et al. (2008)" </w:instrText>
      </w:r>
      <w:r w:rsidR="008F2C1F">
        <w:fldChar w:fldCharType="separate"/>
      </w:r>
      <w:r w:rsidR="008F2C1F">
        <w:t xml:space="preserve">Green </w:t>
      </w:r>
      <w:r w:rsidR="008F2C1F" w:rsidRPr="00DB6DBE">
        <w:rPr>
          <w:i/>
        </w:rPr>
        <w:t>et al.</w:t>
      </w:r>
      <w:r w:rsidR="008F2C1F">
        <w:t xml:space="preserve"> (2008)</w:t>
      </w:r>
      <w:r w:rsidR="008F2C1F">
        <w:fldChar w:fldCharType="end"/>
      </w:r>
      <w:r w:rsidR="000132F6" w:rsidRPr="000132F6">
        <w:t>, who reported that denitrification can occur even at dissolved-oxygen concentrations greater than 3 mg L⁻¹.</w:t>
      </w:r>
    </w:p>
    <w:p w14:paraId="62F4F2E1" w14:textId="2D3D41AD" w:rsidR="00B03AE6" w:rsidRDefault="00B03AE6" w:rsidP="00865AB7">
      <w:pPr>
        <w:spacing w:line="276" w:lineRule="auto"/>
        <w:jc w:val="both"/>
      </w:pPr>
      <w:r w:rsidRPr="00B03AE6">
        <w:t xml:space="preserve">Calibration was </w:t>
      </w:r>
      <w:r>
        <w:t xml:space="preserve">then </w:t>
      </w:r>
      <w:r w:rsidRPr="00B03AE6">
        <w:t>performed iteratively. First, oxygen consumption was adjusted by calibrating the maximum degradation rate and half-saturation constant for high BDOC under oxic conditions. Then, using these fixed parameters, nitrate depletion and nitrite production were reproduced by adjusting the corresponding parameters under nitrate-reducing conditions. At each stage, the oxygen source term (λ) was adjusted simultaneously to reproduce both O₂ and</w:t>
      </w:r>
      <w:r>
        <w:t xml:space="preserve"> </w:t>
      </w:r>
      <w:r w:rsidRPr="00B03AE6">
        <w:t xml:space="preserve">DOC dynamics. Finally, a global refinement of all parameters was carried out to ensure accurate reproduction of the overall redox evolution. Following this calibration of redox species, the second step focused on simulating the degradation of CECs under oxic and nitrate-reducing conditions. </w:t>
      </w:r>
      <w:r>
        <w:t>Similarly to high</w:t>
      </w:r>
      <w:r w:rsidRPr="00B03AE6">
        <w:t xml:space="preserve"> BDOC</w:t>
      </w:r>
      <w:r>
        <w:t xml:space="preserve"> reproduction</w:t>
      </w:r>
      <w:r w:rsidRPr="00B03AE6">
        <w:t>, the degradation rate constants, half-saturation constants, and inhibition coefficients of CECs were adjusted to reproduce their temporal evolution in the triplicates, while sorption parameters (K</w:t>
      </w:r>
      <w:r w:rsidRPr="00B03AE6">
        <w:rPr>
          <w:rFonts w:ascii="Cambria Math" w:hAnsi="Cambria Math" w:cs="Cambria Math"/>
        </w:rPr>
        <w:t>ₘ</w:t>
      </w:r>
      <w:r w:rsidRPr="00B03AE6">
        <w:t>, K</w:t>
      </w:r>
      <w:r w:rsidRPr="00DB6DBE">
        <w:rPr>
          <w:vertAlign w:val="subscript"/>
        </w:rPr>
        <w:t>d</w:t>
      </w:r>
      <w:r w:rsidRPr="00B03AE6">
        <w:t>) were calibrated to fit the data from the abiotic control.</w:t>
      </w:r>
    </w:p>
    <w:p w14:paraId="6CDC4DA6" w14:textId="1175BC2E" w:rsidR="004802E4" w:rsidRDefault="004802E4" w:rsidP="00865AB7">
      <w:pPr>
        <w:pStyle w:val="Titre1"/>
        <w:numPr>
          <w:ilvl w:val="0"/>
          <w:numId w:val="1"/>
        </w:numPr>
        <w:spacing w:line="276" w:lineRule="auto"/>
        <w:rPr>
          <w:lang w:val="fr-BE"/>
        </w:rPr>
      </w:pPr>
      <w:r>
        <w:rPr>
          <w:lang w:val="fr-BE"/>
        </w:rPr>
        <w:t>Results</w:t>
      </w:r>
      <w:r w:rsidR="006D26F3">
        <w:rPr>
          <w:lang w:val="fr-BE"/>
        </w:rPr>
        <w:t xml:space="preserve"> and discussion</w:t>
      </w:r>
    </w:p>
    <w:p w14:paraId="6CC0DB1E" w14:textId="5A59E583" w:rsidR="00DE2DDF" w:rsidRDefault="00DE2DDF" w:rsidP="00865AB7">
      <w:pPr>
        <w:pStyle w:val="Titre3"/>
        <w:numPr>
          <w:ilvl w:val="1"/>
          <w:numId w:val="1"/>
        </w:numPr>
        <w:spacing w:line="276" w:lineRule="auto"/>
      </w:pPr>
      <w:bookmarkStart w:id="5" w:name="_Ref214456307"/>
      <w:r w:rsidRPr="00DE2DDF">
        <w:t>Occurrence of CECs in runoff water</w:t>
      </w:r>
      <w:bookmarkEnd w:id="5"/>
    </w:p>
    <w:p w14:paraId="579B25F6" w14:textId="08F53B56" w:rsidR="002E6038" w:rsidRPr="00DB6DBE" w:rsidRDefault="00DE2DDF" w:rsidP="00865AB7">
      <w:pPr>
        <w:spacing w:line="276" w:lineRule="auto"/>
        <w:jc w:val="both"/>
      </w:pPr>
      <w:r w:rsidRPr="00DE2DDF">
        <w:t>Table 1 summarizes the detected CECs in the runoff water and their pote</w:t>
      </w:r>
      <w:r w:rsidR="00106CC4">
        <w:t xml:space="preserve">ntial source of contamination. </w:t>
      </w:r>
      <w:r w:rsidR="00106CC4" w:rsidRPr="00106CC4">
        <w:t>Benzotriazole concentrations ranging from 360 to 1400 ng∙L⁻¹ were detected in winte</w:t>
      </w:r>
      <w:r w:rsidR="00106CC4">
        <w:t>r, likely due to the seasonal use of deicing agents</w:t>
      </w:r>
      <w:r w:rsidR="0009514B">
        <w:t xml:space="preserve"> </w:t>
      </w:r>
      <w:r w:rsidR="00003C8A">
        <w:fldChar w:fldCharType="begin"/>
      </w:r>
      <w:r w:rsidR="00003C8A">
        <w:instrText xml:space="preserve"> QUOTE  "(Olds et al., 2021)" </w:instrText>
      </w:r>
      <w:r w:rsidR="00003C8A">
        <w:fldChar w:fldCharType="separate"/>
      </w:r>
      <w:r w:rsidR="00003C8A">
        <w:t>(Olds et al., 2021)</w:t>
      </w:r>
      <w:r w:rsidR="00003C8A">
        <w:fldChar w:fldCharType="end"/>
      </w:r>
      <w:r w:rsidRPr="00DE2DDF">
        <w:t>. Additionally, alkylphenols were detected in stormwater basins from both the traffic roads and the airport</w:t>
      </w:r>
      <w:r w:rsidR="008D313E" w:rsidRPr="008D313E">
        <w:t xml:space="preserve"> </w:t>
      </w:r>
      <w:r w:rsidR="008D313E">
        <w:t>at concentrations from 42 to 126</w:t>
      </w:r>
      <w:r w:rsidR="00A26617">
        <w:t xml:space="preserve"> ng</w:t>
      </w:r>
      <w:r w:rsidR="00A26617">
        <w:rPr>
          <w:rFonts w:cstheme="minorHAnsi"/>
        </w:rPr>
        <w:t>∙</w:t>
      </w:r>
      <w:r w:rsidR="008D313E" w:rsidRPr="00DE2DDF">
        <w:t>L</w:t>
      </w:r>
      <w:r w:rsidR="00A26617" w:rsidRPr="00A26617">
        <w:rPr>
          <w:vertAlign w:val="superscript"/>
        </w:rPr>
        <w:t>-1</w:t>
      </w:r>
      <w:r w:rsidRPr="00DE2DDF">
        <w:t>, attributed to their common use as surfactants in cleaning products</w:t>
      </w:r>
      <w:r w:rsidR="0009514B">
        <w:t xml:space="preserve"> </w:t>
      </w:r>
      <w:r w:rsidR="0009514B">
        <w:fldChar w:fldCharType="begin"/>
      </w:r>
      <w:r w:rsidR="0009514B">
        <w:instrText xml:space="preserve"> ADDIN ZOTERO_ITEM CSL_CITATION {"citationID":"veTRHgiV","properties":{"formattedCitation":"(Lamprea {\\i{}et al.}, 2018)","plainCitation":"(Lamprea et al., 2018)","noteIndex":0},"citationItems":[{"id":6907,"uris":["http://zotero.org/users/9753339/items/JM3FFFMQ"],"itemData":{"id":6907,"type":"article-journal","abstract":"Alkylphenol (AP) and bisphenol A (BPA) contamination of urban runoff has already been established. Potential sources of these contaminants in runoff are endogenous to the urban watershed and are mainly related to traffic and leaching from construction materials. This article summarizes the results of experimental work carried out on a selection of building materials, automotive materials, and consumables, which can be in contact with rain, to assess their potential emission of alkylphenols, alkylphenol ethoxylates, and bisphenol A into runoff. 36 samples of materials, new and used, across 7 major families of building materials (PVC, concrete, polycarbonate, SBS-modified bitumen, drainage materials) and automotive materials (body, tires) were subjected to leaching tests with methanol and then, for a selection of them, with water. Automotive fluids were also directly analyzed. The results demonstrate the ubiquitous presence of APs and BPA in urban materials and their extractable character with water. The compounds with the strongest emission rates were bisphenol A and nonylphenol. The most important BPA emissions into water (10 to 300 ng/g) were measured for polycarbonate, tires, some car bodies, and PVC. Nonylphenol was leached in large quantities (1 to 10 ng/g) from PVC, some concretes, SBS-modified bitumen, and body samples. The tires were the only materials having a strong emission in octylphenol (1 to 10 ng/g). The analysis of automotive fluids confirmed the presence of BPA (0.3 to 5.5 g/L) and nonylphenol (2.3 to 2.9 mg/L) in brake fluids, while APs and BPA were found at trace levels in coolants and windscreen washer.","container-title":"Environmental Science and Pollution Research","DOI":"10.1007/s11356-018-2272-z","ISSN":"0944-1344, 1614-7499","issue":"22","journalAbbreviation":"Environ Sci Pollut Res","language":"en","license":"http://www.springer.com/tdm","note":"publisher: Springer Science and Business Media LLC","page":"21887-21900","source":"Crossref","title":"Alkylphenol and bisphenol A contamination of urban runoff: an evaluation of the emission potentials of various construction materials and automotive supplies","title-short":"Alkylphenol and bisphenol A contamination of urban runoff","volume":"25","author":[{"family":"Lamprea","given":"Katerine"},{"family":"Bressy","given":"Adèle"},{"family":"Mirande-Bret","given":"Cécile"},{"family":"Caupos","given":"Emilie"},{"family":"Gromaire","given":"Marie-Christine"}],"issued":{"date-parts":[["2018",8]]}}}],"schema":"https://github.com/citation-style-language/schema/raw/master/csl-citation.json"} </w:instrText>
      </w:r>
      <w:r w:rsidR="0009514B">
        <w:fldChar w:fldCharType="separate"/>
      </w:r>
      <w:r w:rsidR="0009514B" w:rsidRPr="0009514B">
        <w:rPr>
          <w:rFonts w:ascii="Calibri" w:hAnsi="Calibri" w:cs="Calibri"/>
          <w:szCs w:val="24"/>
        </w:rPr>
        <w:t xml:space="preserve">(Lamprea </w:t>
      </w:r>
      <w:r w:rsidR="0009514B" w:rsidRPr="0009514B">
        <w:rPr>
          <w:rFonts w:ascii="Calibri" w:hAnsi="Calibri" w:cs="Calibri"/>
          <w:i/>
          <w:iCs/>
          <w:szCs w:val="24"/>
        </w:rPr>
        <w:t>et al.</w:t>
      </w:r>
      <w:r w:rsidR="0009514B" w:rsidRPr="0009514B">
        <w:rPr>
          <w:rFonts w:ascii="Calibri" w:hAnsi="Calibri" w:cs="Calibri"/>
          <w:szCs w:val="24"/>
        </w:rPr>
        <w:t>, 2018)</w:t>
      </w:r>
      <w:r w:rsidR="0009514B">
        <w:fldChar w:fldCharType="end"/>
      </w:r>
      <w:r w:rsidRPr="00DE2DDF">
        <w:t>. Finally, various per- and polyfluoroalkyl substances (PFAS) were identified</w:t>
      </w:r>
      <w:r w:rsidR="008D313E" w:rsidRPr="008D313E">
        <w:t xml:space="preserve"> </w:t>
      </w:r>
      <w:r w:rsidR="008D313E">
        <w:t>at concentrations</w:t>
      </w:r>
      <w:r w:rsidR="00A26617">
        <w:t xml:space="preserve"> between 13 and 590 ng</w:t>
      </w:r>
      <w:r w:rsidR="00A26617">
        <w:rPr>
          <w:rFonts w:cstheme="minorHAnsi"/>
        </w:rPr>
        <w:t>∙</w:t>
      </w:r>
      <w:r w:rsidR="008D313E" w:rsidRPr="00DE2DDF">
        <w:t>L</w:t>
      </w:r>
      <w:r w:rsidR="008D313E" w:rsidRPr="00A26617">
        <w:rPr>
          <w:vertAlign w:val="superscript"/>
        </w:rPr>
        <w:t>-1</w:t>
      </w:r>
      <w:r w:rsidRPr="00DE2DDF">
        <w:t>, likely originating from multiple sources</w:t>
      </w:r>
      <w:r w:rsidR="0009514B">
        <w:t xml:space="preserve"> </w:t>
      </w:r>
      <w:r w:rsidR="0009514B">
        <w:fldChar w:fldCharType="begin"/>
      </w:r>
      <w:r w:rsidR="0009514B">
        <w:instrText xml:space="preserve"> ADDIN ZOTERO_ITEM CSL_CITATION {"citationID":"IOpNCPQL","properties":{"formattedCitation":"(Pramanik {\\i{}et al.}, 2020)","plainCitation":"(Pramanik et al., 2020)","noteIndex":0},"citationItems":[{"id":6903,"uris":["http://zotero.org/users/9753339/items/HVY9ZXBL"],"itemData":{"id":6903,"type":"article-journal","container-title":"Process Safety and Environmental Protection","DOI":"10.1016/j.psep.2020.07.020","ISSN":"0957-5820","language":"en","license":"https://www.elsevier.com/tdm/userlicense/1.0/","note":"publisher: Elsevier BV","page":"236-241","source":"Crossref","title":"Fate of road-dust associated microplastics and per- and polyfluorinated substances in stormwater","volume":"144","author":[{"family":"Pramanik","given":"Biplob Kumar"},{"family":"Roychand","given":"Rajeev"},{"family":"Monira","given":"Sirajum"},{"family":"Bhuiyan","given":"Muhammed"},{"family":"Jegatheesan","given":"Veeriah"}],"issued":{"date-parts":[["2020",12]]}}}],"schema":"https://github.com/citation-style-language/schema/raw/master/csl-citation.json"} </w:instrText>
      </w:r>
      <w:r w:rsidR="0009514B">
        <w:fldChar w:fldCharType="separate"/>
      </w:r>
      <w:r w:rsidR="0009514B" w:rsidRPr="0009514B">
        <w:rPr>
          <w:rFonts w:ascii="Calibri" w:hAnsi="Calibri" w:cs="Calibri"/>
          <w:szCs w:val="24"/>
        </w:rPr>
        <w:t xml:space="preserve">(Pramanik </w:t>
      </w:r>
      <w:r w:rsidR="0009514B" w:rsidRPr="0009514B">
        <w:rPr>
          <w:rFonts w:ascii="Calibri" w:hAnsi="Calibri" w:cs="Calibri"/>
          <w:i/>
          <w:iCs/>
          <w:szCs w:val="24"/>
        </w:rPr>
        <w:t>et al.</w:t>
      </w:r>
      <w:r w:rsidR="0009514B" w:rsidRPr="0009514B">
        <w:rPr>
          <w:rFonts w:ascii="Calibri" w:hAnsi="Calibri" w:cs="Calibri"/>
          <w:szCs w:val="24"/>
        </w:rPr>
        <w:t>, 2020)</w:t>
      </w:r>
      <w:r w:rsidR="0009514B">
        <w:fldChar w:fldCharType="end"/>
      </w:r>
      <w:r w:rsidRPr="00DE2DDF">
        <w:t xml:space="preserve">. These include their use in Aqueous Film-Forming Foams (AFFF) during fire response training at the airport, as well as their presence as surfactants in cleaning products and corrosion inhibitors in aircraft hydraulic fluids </w:t>
      </w:r>
      <w:r w:rsidR="00575ECD">
        <w:fldChar w:fldCharType="begin"/>
      </w:r>
      <w:r w:rsidR="0009514B">
        <w:instrText xml:space="preserve"> ADDIN ZOTERO_ITEM CSL_CITATION {"citationID":"AEb7g65j","properties":{"formattedCitation":"(Wang {\\i{}et al.}, 2016; Milley {\\i{}et al.}, 2018; Liu {\\i{}et al.}, 2022)","plainCitation":"(Wang et al., 2016; Milley et al., 2018; Liu et al., 2022)","noteIndex":0},"citationItems":[{"id":6911,"uris":["http://zotero.org/users/9753339/items/7BEAD7TE"],"itemData":{"id":6911,"type":"article-journal","abstract":"The use of cyclic perﬂuoroalkyl acids as anticorrosive agents in hydraulic ﬂuids remains a poorly characterized source of organoﬂuorine compounds to the environment. Here, we investigated the presence of perﬂuoroethylenecyclohexanesulfonate (PFECHS) isomers in environmental samples for the ﬁrst time using a combination of high resolution and tandem mass spectrometry. Five distinct peaks attributed to diﬀerent isomers of PFECHS and perﬂuoropropylcyclopentanesulfonate (PFPCPeS) were identiﬁed in environmental samples. The sum of PFECHS and PFPCPeS isomers displayed logarithmically decreasing spatial trends in water (1.04−324 ng/L) and sediment samples (&lt;MLQ − 2.23 ng/g dw) with increasing distance from Beijing international airport. PFECHS and PFPCPeS displayed the highest accumulation in liver, kidney, blood and bladder and average whole body bioaccumulation factors (log BAFwhole</w:instrText>
      </w:r>
      <w:r w:rsidR="0009514B">
        <w:rPr>
          <w:rFonts w:ascii="Cambria Math" w:hAnsi="Cambria Math" w:cs="Cambria Math"/>
        </w:rPr>
        <w:instrText>‑</w:instrText>
      </w:r>
      <w:r w:rsidR="0009514B">
        <w:instrText>body) were estimated to be 2.7 and 1.9 respectively. Isomer-speciﬁc diﬀerences in the tissue/blood distribution ratios and BAFwhole</w:instrText>
      </w:r>
      <w:r w:rsidR="0009514B">
        <w:rPr>
          <w:rFonts w:ascii="Cambria Math" w:hAnsi="Cambria Math" w:cs="Cambria Math"/>
        </w:rPr>
        <w:instrText>‑</w:instrText>
      </w:r>
      <w:r w:rsidR="0009514B">
        <w:instrText>body indicate that ring structure and position of the sulfonic acid group a</w:instrText>
      </w:r>
      <w:r w:rsidR="0009514B">
        <w:rPr>
          <w:rFonts w:ascii="Calibri" w:hAnsi="Calibri" w:cs="Calibri"/>
        </w:rPr>
        <w:instrText>ﬀ</w:instrText>
      </w:r>
      <w:r w:rsidR="0009514B">
        <w:instrText>ect the bioaccumulation potential of cyclic per</w:instrText>
      </w:r>
      <w:r w:rsidR="0009514B">
        <w:rPr>
          <w:rFonts w:ascii="Calibri" w:hAnsi="Calibri" w:cs="Calibri"/>
        </w:rPr>
        <w:instrText>ﬂ</w:instrText>
      </w:r>
      <w:r w:rsidR="0009514B">
        <w:instrText xml:space="preserve">uoroalkyl acids. Based on the high mobility and moderate bioaccumulation potential of cyclic perﬂuorinated acids it is suggested that contamination of aquifers used for drinking water around airports may be a hitherto overlooked problem for this novel class of contaminants.","container-title":"Environmental Science &amp; Technology","DOI":"10.1021/acs.est.6b01980","ISSN":"0013-936X, 1520-5851","issue":"20","journalAbbreviation":"Environ. Sci. Technol.","language":"en","note":"publisher: American Chemical Society (ACS)","page":"10923-10932","source":"Crossref","title":"Identification, Tissue Distribution, and Bioaccumulation Potential of Cyclic Perfluorinated Sulfonic Acids Isomers in an Airport Impacted Ecosystem","volume":"50","author":[{"family":"Wang","given":"Yuan"},{"family":"Vestergren","given":"Robin"},{"family":"Shi","given":"Yali"},{"family":"Cao","given":"Dong"},{"family":"Xu","given":"Lin"},{"family":"Cai","given":"Yaqi"},{"family":"Zhao","given":"Xiaoli"},{"family":"Wu","given":"Fengchang"}],"issued":{"date-parts":[["2016",10,18]]}}},{"id":6909,"uris":["http://zotero.org/users/9753339/items/RYJGEP7A"],"itemData":{"id":6909,"type":"article-journal","abstract":"Assessing the extent to which emerging contaminants (ECs) such as perﬂuoroalkyl and polyﬂuoroalkyl substances (PFAS) have been released into the environment is one of the foundations for developing eﬀective management and remediation strategies for impacted sites. PFAS are known to have caused the contamination of soil, groundwater, and surface water as a result of aqueous ﬁlm forming foam (AFFF) being accidentally or intentionally released into the environment. To date, the scope of the issue has not been evaluated in Canada. In this study we developed a framework, in the form of a decision tree, to estimate the number of potentially PFAS impacted airport sites in Canada as a result of AFFF releases. The screening process was completed using publicly available resources including airport websites, the Canadian Owners and Pilots Association website, Sky Vector, Transport Safety Board of Canada aviation investigation reports, the Aviation Safety Network website, and Google maps. The methodology presented in this study could be used to identify additional PFAS impacted sites in Canada or other jurisdictions worldwide. 2071 airport/heliport sites in Canada were investigated with indications that 152 (7%) of these sites likely have PFAS contamination as a result of the use of AFFF at ﬁreﬁghter training areas (FFTAs) and/or accidents where ﬁres occurred. In addition, another 268 sites (13%) were identiﬁed as possibly impacted with PFASs primarily as a result of the location having the ability to store and dispense petroleum products, and therefore having AFFF systems onsite. Surﬁcial geology was also identiﬁed for all sites determined to likely have PFAS contamination. An estimated 42.8% had surﬁcial geology composed of sand, 27% had clay, 19.7% organic-based, with the remaining sites found on cryosols or rock. Methodological validation was also completed. The procedure used in this study successfully predicted occurrences of PFAS contamination at 25 sites where contamination, as a result of AFFF use, was conﬁrmed by Canadian governmental departments. For these 25 sites, the distance from potential release areas to the nearest surface water was calculated. Five of the sites were within 200 meters of surface water, 19 were within one kilometer, and all 25 were within 2.5 kilometers. This suggests that surface water may have been historically impacted by PFAS at as many as 152 to 420 diﬀerent airport locations in Canada.","container-title":"Journal of Environmental Management","DOI":"10.1016/j.jenvman.2018.05.028","ISSN":"0301-4797","language":"en","license":"https://www.elsevier.com/tdm/userlicense/1.0/","note":"publisher: Elsevier BV","page":"122-131","source":"Crossref","title":"Estimating the number of airports potentially contaminated with perfluoroalkyl and polyfluoroalkyl substances from aqueous film forming foam: A Canadian example","title-short":"Estimating the number of airports potentially contaminated with perfluoroalkyl and polyfluoroalkyl substances from aqueous film forming foam","volume":"222","author":[{"family":"Milley","given":"Shawn A."},{"family":"Koch","given":"Iris"},{"family":"Fortin","given":"Patricia"},{"family":"Archer","given":"Jeremy"},{"family":"Reynolds","given":"David"},{"family":"Weber","given":"Kela P."}],"issued":{"date-parts":[["2018",9]]}}},{"id":6617,"uris":["http://zotero.org/users/9753339/items/DHV39ULA"],"itemData":{"id":6617,"type":"article-journal","abstract":"The occurrence of 93 classes of per- and polyﬂuoroalkyl substances (PFASs) was investigated at aqueous ﬁlm-forming foam (AFFF)-impacted sites of four Canadian airports. Surface/subsurface soil and groundwater samples were characterized using high-resolution mass spectrometry (HRMS) and an improved total oxidizable precursor (TOP) assay. PFAS proﬁles, loads, and spatial trends were highly site-speciﬁc, inﬂuenced by the AFFF use history, variations in sorption, transport, and in situ transformation potential of PFASs. All sites have been impacted by more than one AFFF chemistry, with the active ﬁreﬁghter training area exhibiting a greater PFAS variety and total PFAS burden than decommissioned sites. Zwitterionic and cationic compounds composed a large percentage (34.5−85.5%) of the total PFAS mass in most surface soil samples in the source zone but a relatively low percentage (&lt;20%) in groundwater samples. Background soils surrounding the source zone contained predominantly unidentiﬁed precursors attributed to atmospheric deposition, while in AFFF-impacted soils, precursors originating from AFFFs can be largely captured by HRMS using available suspect lists. Horizontal transfer of PFASs in surface soils was limited, but vertical migration down the soil column occurred even in locations of low permeability. This study provides a critical data set to support developing new priority analyte lists and integrating TOP assay for comprehensive PFAS monitoring at AFFF-impacted sites.","container-title":"Environmental Science &amp; Technology","DOI":"10.1021/acs.est.1c04798","ISSN":"0013-936X, 1520-5851","issue":"2","journalAbbreviation":"Environ. Sci. Technol.","language":"en","license":"https://doi.org/10.15223/policy-029","page":"885-895","source":"DOI.org (Crossref)","title":"Per- and Polyfluoroalkyl Substances in Contaminated Soil and Groundwater at Airports: A Canadian Case Study","title-short":"Per- and Polyfluoroalkyl Substances in Contaminated Soil and Groundwater at Airports","volume":"56","author":[{"family":"Liu","given":"Min"},{"family":"Munoz","given":"Gabriel"},{"family":"Vo Duy","given":"Sung"},{"family":"Sauvé","given":"Sébastien"},{"family":"Liu","given":"Jinxia"}],"issued":{"date-parts":[["2022",1,18]]}}}],"schema":"https://github.com/citation-style-language/schema/raw/master/csl-citation.json"} </w:instrText>
      </w:r>
      <w:r w:rsidR="00575ECD">
        <w:fldChar w:fldCharType="separate"/>
      </w:r>
      <w:r w:rsidR="0009514B" w:rsidRPr="0009514B">
        <w:rPr>
          <w:rFonts w:ascii="Calibri" w:hAnsi="Calibri" w:cs="Calibri"/>
          <w:szCs w:val="24"/>
        </w:rPr>
        <w:t xml:space="preserve">(Wang </w:t>
      </w:r>
      <w:r w:rsidR="0009514B" w:rsidRPr="0009514B">
        <w:rPr>
          <w:rFonts w:ascii="Calibri" w:hAnsi="Calibri" w:cs="Calibri"/>
          <w:i/>
          <w:iCs/>
          <w:szCs w:val="24"/>
        </w:rPr>
        <w:t>et al.</w:t>
      </w:r>
      <w:r w:rsidR="0009514B" w:rsidRPr="0009514B">
        <w:rPr>
          <w:rFonts w:ascii="Calibri" w:hAnsi="Calibri" w:cs="Calibri"/>
          <w:szCs w:val="24"/>
        </w:rPr>
        <w:t xml:space="preserve">, 2016; Milley </w:t>
      </w:r>
      <w:r w:rsidR="0009514B" w:rsidRPr="0009514B">
        <w:rPr>
          <w:rFonts w:ascii="Calibri" w:hAnsi="Calibri" w:cs="Calibri"/>
          <w:i/>
          <w:iCs/>
          <w:szCs w:val="24"/>
        </w:rPr>
        <w:t>et al.</w:t>
      </w:r>
      <w:r w:rsidR="0009514B" w:rsidRPr="0009514B">
        <w:rPr>
          <w:rFonts w:ascii="Calibri" w:hAnsi="Calibri" w:cs="Calibri"/>
          <w:szCs w:val="24"/>
        </w:rPr>
        <w:t xml:space="preserve">, 2018; Liu </w:t>
      </w:r>
      <w:r w:rsidR="0009514B" w:rsidRPr="0009514B">
        <w:rPr>
          <w:rFonts w:ascii="Calibri" w:hAnsi="Calibri" w:cs="Calibri"/>
          <w:i/>
          <w:iCs/>
          <w:szCs w:val="24"/>
        </w:rPr>
        <w:t>et al.</w:t>
      </w:r>
      <w:r w:rsidR="0009514B" w:rsidRPr="0009514B">
        <w:rPr>
          <w:rFonts w:ascii="Calibri" w:hAnsi="Calibri" w:cs="Calibri"/>
          <w:szCs w:val="24"/>
        </w:rPr>
        <w:t>, 2022)</w:t>
      </w:r>
      <w:r w:rsidR="00575ECD">
        <w:fldChar w:fldCharType="end"/>
      </w:r>
      <w:r w:rsidRPr="00DE2DDF">
        <w:t>.</w:t>
      </w:r>
      <w:r w:rsidR="00A26617">
        <w:t xml:space="preserve"> </w:t>
      </w:r>
      <w:r w:rsidR="00845C3F">
        <w:t xml:space="preserve">Notably, </w:t>
      </w:r>
      <w:r w:rsidRPr="00DE2DDF">
        <w:t>these compounds were detected</w:t>
      </w:r>
      <w:r w:rsidR="00EB4095">
        <w:t xml:space="preserve"> at higher concentration in winter. This seasonal pattern can be  explained by two factors. First, winter season is characterized by greater precipitation and snowmelt events, </w:t>
      </w:r>
      <w:r w:rsidR="00EB4095" w:rsidRPr="00EB4095">
        <w:t>increas</w:t>
      </w:r>
      <w:r w:rsidR="00EB4095">
        <w:t>ing runoff volumes and</w:t>
      </w:r>
      <w:r w:rsidR="00EB4095" w:rsidRPr="00EB4095">
        <w:t xml:space="preserve"> </w:t>
      </w:r>
      <w:r w:rsidR="00EB4095">
        <w:t xml:space="preserve">subsequently, </w:t>
      </w:r>
      <w:r w:rsidR="00EB4095" w:rsidRPr="00EB4095">
        <w:t>the mobilization of PFAS and othe</w:t>
      </w:r>
      <w:r w:rsidR="00EB4095">
        <w:t>r airport-related contaminants. Secondly,</w:t>
      </w:r>
      <w:r w:rsidR="00EB4095" w:rsidRPr="00EB4095">
        <w:t xml:space="preserve"> the exclusive use of deicing </w:t>
      </w:r>
      <w:r w:rsidR="00EB4095">
        <w:t>and anti-icing fluids in winter</w:t>
      </w:r>
      <w:r w:rsidR="00EB4095" w:rsidRPr="00EB4095">
        <w:t xml:space="preserve"> accounts for the elevated benzotriazole concentrations observed</w:t>
      </w:r>
      <w:r w:rsidR="00EB4095">
        <w:t xml:space="preserve"> </w:t>
      </w:r>
      <w:r w:rsidR="00003C8A">
        <w:fldChar w:fldCharType="begin"/>
      </w:r>
      <w:r w:rsidR="00003C8A">
        <w:instrText xml:space="preserve"> QUOTE  "(Breedveld et al., 2002; Cancilla et al., 2003; Olds et al., 2021)" </w:instrText>
      </w:r>
      <w:r w:rsidR="00003C8A">
        <w:fldChar w:fldCharType="separate"/>
      </w:r>
      <w:r w:rsidR="00003C8A">
        <w:t xml:space="preserve">(Breedveld </w:t>
      </w:r>
      <w:r w:rsidR="00003C8A" w:rsidRPr="00DB6DBE">
        <w:rPr>
          <w:i/>
        </w:rPr>
        <w:t>et al.</w:t>
      </w:r>
      <w:r w:rsidR="00003C8A">
        <w:t xml:space="preserve">, 2002; Cancilla </w:t>
      </w:r>
      <w:r w:rsidR="00003C8A" w:rsidRPr="00DB6DBE">
        <w:rPr>
          <w:i/>
        </w:rPr>
        <w:t>et al.</w:t>
      </w:r>
      <w:r w:rsidR="00003C8A">
        <w:t xml:space="preserve">, 2003; Olds </w:t>
      </w:r>
      <w:r w:rsidR="00003C8A" w:rsidRPr="00DB6DBE">
        <w:rPr>
          <w:i/>
        </w:rPr>
        <w:t>et al.</w:t>
      </w:r>
      <w:r w:rsidR="00003C8A">
        <w:t>, 2021)</w:t>
      </w:r>
      <w:r w:rsidR="00003C8A">
        <w:fldChar w:fldCharType="end"/>
      </w:r>
      <w:r w:rsidR="002D69EE" w:rsidRPr="00DB6DBE">
        <w:t>.</w:t>
      </w:r>
    </w:p>
    <w:p w14:paraId="5675478F" w14:textId="48ADE551" w:rsidR="002E6038" w:rsidRPr="005B1539" w:rsidRDefault="002E6038" w:rsidP="00865AB7">
      <w:pPr>
        <w:spacing w:line="276" w:lineRule="auto"/>
        <w:jc w:val="both"/>
      </w:pPr>
      <w:r>
        <w:t xml:space="preserve">In addition, </w:t>
      </w:r>
      <w:r>
        <w:fldChar w:fldCharType="begin"/>
      </w:r>
      <w:r>
        <w:instrText xml:space="preserve"> REF _Ref209038202 \h </w:instrText>
      </w:r>
      <w:r>
        <w:fldChar w:fldCharType="separate"/>
      </w:r>
      <w:r w:rsidR="00D1782E">
        <w:t xml:space="preserve">Figure </w:t>
      </w:r>
      <w:r w:rsidR="00D1782E">
        <w:rPr>
          <w:noProof/>
        </w:rPr>
        <w:t>2</w:t>
      </w:r>
      <w:r>
        <w:fldChar w:fldCharType="end"/>
      </w:r>
      <w:r>
        <w:t xml:space="preserve"> </w:t>
      </w:r>
      <w:r w:rsidRPr="005B1539">
        <w:t>illustrates the molecular structures of the target compounds, including NP2EO, benzotriazole, tolyltriazole, and the selected PFAS. This figure provides a visual comparison of functional groups and chain lengths, which are later discussed in relation to sorption and biodegradation processes</w:t>
      </w:r>
      <w:r w:rsidR="009F77E5">
        <w:t xml:space="preserve"> (see Section </w:t>
      </w:r>
      <w:r w:rsidR="009F77E5">
        <w:fldChar w:fldCharType="begin"/>
      </w:r>
      <w:r w:rsidR="009F77E5">
        <w:instrText xml:space="preserve"> REF _Ref209514694 \r \h </w:instrText>
      </w:r>
      <w:r w:rsidR="009F77E5">
        <w:fldChar w:fldCharType="separate"/>
      </w:r>
      <w:r w:rsidR="00D1782E">
        <w:t>3.4.4</w:t>
      </w:r>
      <w:r w:rsidR="009F77E5">
        <w:fldChar w:fldCharType="end"/>
      </w:r>
      <w:r w:rsidR="009F77E5">
        <w:t>)</w:t>
      </w:r>
      <w:r w:rsidRPr="005B1539">
        <w:t>.</w:t>
      </w:r>
    </w:p>
    <w:p w14:paraId="062C668F" w14:textId="77777777" w:rsidR="002E6038" w:rsidRDefault="002E6038" w:rsidP="005B1539">
      <w:pPr>
        <w:pStyle w:val="NormalWeb"/>
        <w:keepNext/>
        <w:jc w:val="center"/>
      </w:pPr>
      <w:r>
        <w:rPr>
          <w:noProof/>
        </w:rPr>
        <w:lastRenderedPageBreak/>
        <w:drawing>
          <wp:inline distT="0" distB="0" distL="0" distR="0" wp14:anchorId="129F789D" wp14:editId="6693E3A6">
            <wp:extent cx="5760000" cy="3240000"/>
            <wp:effectExtent l="0" t="0" r="0" b="0"/>
            <wp:docPr id="5" name="Image 5" descr="C:\Users\glaud\Documents\Uliege\doctorat\paper\batch_experiments\figures\CECs_chemical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aud\Documents\Uliege\doctorat\paper\batch_experiments\figures\CECs_chemical_struc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noFill/>
                    </a:ln>
                  </pic:spPr>
                </pic:pic>
              </a:graphicData>
            </a:graphic>
          </wp:inline>
        </w:drawing>
      </w:r>
    </w:p>
    <w:p w14:paraId="7298C8F5" w14:textId="3696D072" w:rsidR="00EB4095" w:rsidRPr="002E6038" w:rsidRDefault="002E6038" w:rsidP="005B1539">
      <w:pPr>
        <w:pStyle w:val="Lgende"/>
        <w:jc w:val="center"/>
      </w:pPr>
      <w:bookmarkStart w:id="6" w:name="_Ref209038202"/>
      <w:r>
        <w:t xml:space="preserve">Figure </w:t>
      </w:r>
      <w:fldSimple w:instr=" SEQ Figure \* ARABIC ">
        <w:r>
          <w:rPr>
            <w:noProof/>
          </w:rPr>
          <w:t>2</w:t>
        </w:r>
      </w:fldSimple>
      <w:bookmarkEnd w:id="6"/>
      <w:r>
        <w:t xml:space="preserve">. </w:t>
      </w:r>
      <w:r w:rsidRPr="002E6038">
        <w:t>Molecular structures of the target contaminants</w:t>
      </w:r>
      <w:r>
        <w:t>.</w:t>
      </w:r>
    </w:p>
    <w:p w14:paraId="6CB4D811" w14:textId="641ECFD8" w:rsidR="00DF1658" w:rsidRPr="002E6038" w:rsidRDefault="00DF1658" w:rsidP="00865AB7">
      <w:pPr>
        <w:spacing w:line="276" w:lineRule="auto"/>
        <w:jc w:val="both"/>
        <w:sectPr w:rsidR="00DF1658" w:rsidRPr="002E6038" w:rsidSect="001046BE">
          <w:type w:val="continuous"/>
          <w:pgSz w:w="11906" w:h="16838"/>
          <w:pgMar w:top="1418" w:right="1418" w:bottom="1418" w:left="1418" w:header="709" w:footer="709" w:gutter="0"/>
          <w:lnNumType w:countBy="1" w:restart="continuous"/>
          <w:cols w:space="708"/>
          <w:docGrid w:linePitch="360"/>
        </w:sectPr>
      </w:pPr>
    </w:p>
    <w:p w14:paraId="7D920E30" w14:textId="1E30D33D" w:rsidR="00DF1658" w:rsidRDefault="00DF1658" w:rsidP="00865AB7">
      <w:pPr>
        <w:pStyle w:val="Lgende"/>
        <w:keepNext/>
        <w:spacing w:line="276" w:lineRule="auto"/>
        <w:jc w:val="center"/>
      </w:pPr>
      <w:r>
        <w:lastRenderedPageBreak/>
        <w:t xml:space="preserve">Table </w:t>
      </w:r>
      <w:fldSimple w:instr=" SEQ Table \* ARABIC ">
        <w:r w:rsidR="0009035E">
          <w:rPr>
            <w:noProof/>
          </w:rPr>
          <w:t>1</w:t>
        </w:r>
      </w:fldSimple>
      <w:r w:rsidR="0009514B">
        <w:t>. Concentration in ng</w:t>
      </w:r>
      <w:r w:rsidR="0009514B">
        <w:rPr>
          <w:rFonts w:eastAsiaTheme="minorEastAsia" w:cstheme="minorHAnsi"/>
        </w:rPr>
        <w:t>∙</w:t>
      </w:r>
      <w:r>
        <w:t>L</w:t>
      </w:r>
      <w:r w:rsidR="00A54DB9" w:rsidRPr="00A54DB9">
        <w:rPr>
          <w:vertAlign w:val="superscript"/>
        </w:rPr>
        <w:t>-1</w:t>
      </w:r>
      <w:r>
        <w:t xml:space="preserve"> of the identified CEC in runoff water collected in four stormwater basins in spring 2022 and winter 2023 (n=8).</w:t>
      </w:r>
    </w:p>
    <w:tbl>
      <w:tblPr>
        <w:tblStyle w:val="TableauGrille1Clair"/>
        <w:tblW w:w="14924" w:type="dxa"/>
        <w:tblLook w:val="04A0" w:firstRow="1" w:lastRow="0" w:firstColumn="1" w:lastColumn="0" w:noHBand="0" w:noVBand="1"/>
      </w:tblPr>
      <w:tblGrid>
        <w:gridCol w:w="4423"/>
        <w:gridCol w:w="1169"/>
        <w:gridCol w:w="1422"/>
        <w:gridCol w:w="1169"/>
        <w:gridCol w:w="1169"/>
        <w:gridCol w:w="1169"/>
        <w:gridCol w:w="1169"/>
        <w:gridCol w:w="3234"/>
      </w:tblGrid>
      <w:tr w:rsidR="00DF1658" w:rsidRPr="005A646C" w14:paraId="3B9A5F8A" w14:textId="77777777" w:rsidTr="006A3E1D">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423" w:type="dxa"/>
            <w:noWrap/>
            <w:vAlign w:val="center"/>
            <w:hideMark/>
          </w:tcPr>
          <w:p w14:paraId="673741B8" w14:textId="77777777" w:rsidR="00DF1658" w:rsidRPr="00BA31ED" w:rsidRDefault="00DF1658" w:rsidP="00865AB7">
            <w:pPr>
              <w:spacing w:line="276" w:lineRule="auto"/>
              <w:jc w:val="center"/>
              <w:rPr>
                <w:rFonts w:ascii="Calibri" w:eastAsia="Times New Roman" w:hAnsi="Calibri" w:cs="Calibri"/>
                <w:bCs w:val="0"/>
                <w:color w:val="000000"/>
                <w:lang w:eastAsia="en-GB"/>
              </w:rPr>
            </w:pPr>
            <w:r w:rsidRPr="00BA31ED">
              <w:rPr>
                <w:rFonts w:ascii="Calibri" w:eastAsia="Times New Roman" w:hAnsi="Calibri" w:cs="Calibri"/>
                <w:bCs w:val="0"/>
                <w:color w:val="000000"/>
                <w:lang w:eastAsia="en-GB"/>
              </w:rPr>
              <w:t>Name</w:t>
            </w:r>
          </w:p>
        </w:tc>
        <w:tc>
          <w:tcPr>
            <w:tcW w:w="1169" w:type="dxa"/>
            <w:noWrap/>
            <w:vAlign w:val="center"/>
            <w:hideMark/>
          </w:tcPr>
          <w:p w14:paraId="4DE11A77" w14:textId="77777777" w:rsidR="00DF1658" w:rsidRPr="00BA31ED" w:rsidRDefault="00DF1658" w:rsidP="00865AB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en-GB"/>
              </w:rPr>
            </w:pPr>
            <w:r w:rsidRPr="00BA31ED">
              <w:rPr>
                <w:rFonts w:ascii="Calibri" w:eastAsia="Times New Roman" w:hAnsi="Calibri" w:cs="Calibri"/>
                <w:bCs w:val="0"/>
                <w:color w:val="000000"/>
                <w:lang w:eastAsia="en-GB"/>
              </w:rPr>
              <w:t>Acronym</w:t>
            </w:r>
          </w:p>
        </w:tc>
        <w:tc>
          <w:tcPr>
            <w:tcW w:w="1422" w:type="dxa"/>
            <w:noWrap/>
            <w:vAlign w:val="center"/>
            <w:hideMark/>
          </w:tcPr>
          <w:p w14:paraId="4FC13347" w14:textId="1B8B92B0" w:rsidR="00DF1658" w:rsidRPr="00BA31ED" w:rsidRDefault="008D313E" w:rsidP="00865AB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en-GB"/>
              </w:rPr>
            </w:pPr>
            <w:r>
              <w:rPr>
                <w:rFonts w:ascii="Calibri" w:eastAsia="Times New Roman" w:hAnsi="Calibri" w:cs="Calibri"/>
                <w:bCs w:val="0"/>
                <w:color w:val="000000"/>
                <w:lang w:eastAsia="en-GB"/>
              </w:rPr>
              <w:t>F</w:t>
            </w:r>
            <w:r w:rsidRPr="00BA31ED">
              <w:rPr>
                <w:rFonts w:ascii="Calibri" w:eastAsia="Times New Roman" w:hAnsi="Calibri" w:cs="Calibri"/>
                <w:bCs w:val="0"/>
                <w:color w:val="000000"/>
                <w:lang w:eastAsia="en-GB"/>
              </w:rPr>
              <w:t>amily</w:t>
            </w:r>
          </w:p>
        </w:tc>
        <w:tc>
          <w:tcPr>
            <w:tcW w:w="1169" w:type="dxa"/>
            <w:noWrap/>
            <w:vAlign w:val="center"/>
            <w:hideMark/>
          </w:tcPr>
          <w:p w14:paraId="41D901C9" w14:textId="77777777" w:rsidR="00DF1658" w:rsidRPr="00BA31ED" w:rsidRDefault="00DF1658" w:rsidP="00865AB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en-GB"/>
              </w:rPr>
            </w:pPr>
            <w:r w:rsidRPr="00BA31ED">
              <w:rPr>
                <w:rFonts w:ascii="Calibri" w:eastAsia="Times New Roman" w:hAnsi="Calibri" w:cs="Calibri"/>
                <w:bCs w:val="0"/>
                <w:color w:val="000000"/>
                <w:lang w:eastAsia="en-GB"/>
              </w:rPr>
              <w:t>CAS</w:t>
            </w:r>
          </w:p>
        </w:tc>
        <w:tc>
          <w:tcPr>
            <w:tcW w:w="1169" w:type="dxa"/>
            <w:noWrap/>
            <w:vAlign w:val="center"/>
            <w:hideMark/>
          </w:tcPr>
          <w:p w14:paraId="3D265170" w14:textId="548728E0" w:rsidR="00DF1658" w:rsidRPr="00BA31ED" w:rsidRDefault="008D313E" w:rsidP="00865AB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en-GB"/>
              </w:rPr>
            </w:pPr>
            <w:r>
              <w:rPr>
                <w:rFonts w:ascii="Calibri" w:eastAsia="Times New Roman" w:hAnsi="Calibri" w:cs="Calibri"/>
                <w:bCs w:val="0"/>
                <w:color w:val="000000"/>
                <w:lang w:eastAsia="en-GB"/>
              </w:rPr>
              <w:t>M</w:t>
            </w:r>
            <w:r w:rsidRPr="00BA31ED">
              <w:rPr>
                <w:rFonts w:ascii="Calibri" w:eastAsia="Times New Roman" w:hAnsi="Calibri" w:cs="Calibri"/>
                <w:bCs w:val="0"/>
                <w:color w:val="000000"/>
                <w:lang w:eastAsia="en-GB"/>
              </w:rPr>
              <w:t>in</w:t>
            </w:r>
          </w:p>
        </w:tc>
        <w:tc>
          <w:tcPr>
            <w:tcW w:w="1169" w:type="dxa"/>
            <w:noWrap/>
            <w:vAlign w:val="center"/>
            <w:hideMark/>
          </w:tcPr>
          <w:p w14:paraId="020F123A" w14:textId="60380964" w:rsidR="00DF1658" w:rsidRPr="00BA31ED" w:rsidRDefault="008D313E" w:rsidP="00865AB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en-GB"/>
              </w:rPr>
            </w:pPr>
            <w:r>
              <w:rPr>
                <w:rFonts w:ascii="Calibri" w:eastAsia="Times New Roman" w:hAnsi="Calibri" w:cs="Calibri"/>
                <w:bCs w:val="0"/>
                <w:color w:val="000000"/>
                <w:lang w:eastAsia="en-GB"/>
              </w:rPr>
              <w:t xml:space="preserve"> M</w:t>
            </w:r>
            <w:r w:rsidRPr="00BA31ED">
              <w:rPr>
                <w:rFonts w:ascii="Calibri" w:eastAsia="Times New Roman" w:hAnsi="Calibri" w:cs="Calibri"/>
                <w:bCs w:val="0"/>
                <w:color w:val="000000"/>
                <w:lang w:eastAsia="en-GB"/>
              </w:rPr>
              <w:t>ax</w:t>
            </w:r>
          </w:p>
        </w:tc>
        <w:tc>
          <w:tcPr>
            <w:tcW w:w="1169" w:type="dxa"/>
            <w:noWrap/>
            <w:vAlign w:val="center"/>
            <w:hideMark/>
          </w:tcPr>
          <w:p w14:paraId="173AFB10" w14:textId="60CD305F" w:rsidR="00DF1658" w:rsidRPr="00BA31ED" w:rsidRDefault="008D313E" w:rsidP="00865AB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en-GB"/>
              </w:rPr>
            </w:pPr>
            <w:r>
              <w:rPr>
                <w:rFonts w:ascii="Calibri" w:eastAsia="Times New Roman" w:hAnsi="Calibri" w:cs="Calibri"/>
                <w:bCs w:val="0"/>
                <w:color w:val="000000"/>
                <w:lang w:eastAsia="en-GB"/>
              </w:rPr>
              <w:t>M</w:t>
            </w:r>
            <w:r w:rsidRPr="00BA31ED">
              <w:rPr>
                <w:rFonts w:ascii="Calibri" w:eastAsia="Times New Roman" w:hAnsi="Calibri" w:cs="Calibri"/>
                <w:bCs w:val="0"/>
                <w:color w:val="000000"/>
                <w:lang w:eastAsia="en-GB"/>
              </w:rPr>
              <w:t>edian</w:t>
            </w:r>
          </w:p>
        </w:tc>
        <w:tc>
          <w:tcPr>
            <w:tcW w:w="3234" w:type="dxa"/>
            <w:noWrap/>
            <w:vAlign w:val="center"/>
            <w:hideMark/>
          </w:tcPr>
          <w:p w14:paraId="4CBE4CF0" w14:textId="0677A657" w:rsidR="00DF1658" w:rsidRPr="00BA31ED" w:rsidRDefault="008D313E" w:rsidP="00865AB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en-GB"/>
              </w:rPr>
            </w:pPr>
            <w:r>
              <w:rPr>
                <w:rFonts w:ascii="Calibri" w:eastAsia="Times New Roman" w:hAnsi="Calibri" w:cs="Calibri"/>
                <w:bCs w:val="0"/>
                <w:color w:val="000000"/>
                <w:lang w:eastAsia="en-GB"/>
              </w:rPr>
              <w:t>O</w:t>
            </w:r>
            <w:r w:rsidRPr="00BA31ED">
              <w:rPr>
                <w:rFonts w:ascii="Calibri" w:eastAsia="Times New Roman" w:hAnsi="Calibri" w:cs="Calibri"/>
                <w:bCs w:val="0"/>
                <w:color w:val="000000"/>
                <w:lang w:eastAsia="en-GB"/>
              </w:rPr>
              <w:t>rigin</w:t>
            </w:r>
          </w:p>
        </w:tc>
      </w:tr>
      <w:tr w:rsidR="003B2D42" w:rsidRPr="005A646C" w14:paraId="34895D69" w14:textId="77777777" w:rsidTr="006A3E1D">
        <w:trPr>
          <w:trHeight w:val="545"/>
        </w:trPr>
        <w:tc>
          <w:tcPr>
            <w:cnfStyle w:val="001000000000" w:firstRow="0" w:lastRow="0" w:firstColumn="1" w:lastColumn="0" w:oddVBand="0" w:evenVBand="0" w:oddHBand="0" w:evenHBand="0" w:firstRowFirstColumn="0" w:firstRowLastColumn="0" w:lastRowFirstColumn="0" w:lastRowLastColumn="0"/>
            <w:tcW w:w="4423" w:type="dxa"/>
            <w:noWrap/>
            <w:vAlign w:val="center"/>
            <w:hideMark/>
          </w:tcPr>
          <w:p w14:paraId="2C500E7F" w14:textId="77777777" w:rsidR="003B2D42" w:rsidRPr="005A646C" w:rsidRDefault="003B2D42" w:rsidP="00865AB7">
            <w:pPr>
              <w:spacing w:line="276" w:lineRule="auto"/>
              <w:jc w:val="center"/>
              <w:rPr>
                <w:rFonts w:ascii="Calibri" w:eastAsia="Times New Roman" w:hAnsi="Calibri" w:cs="Calibri"/>
                <w:color w:val="000000"/>
                <w:lang w:eastAsia="en-GB"/>
              </w:rPr>
            </w:pPr>
            <w:r w:rsidRPr="005A646C">
              <w:rPr>
                <w:rFonts w:ascii="Calibri" w:eastAsia="Times New Roman" w:hAnsi="Calibri" w:cs="Calibri"/>
                <w:color w:val="000000"/>
                <w:lang w:eastAsia="en-GB"/>
              </w:rPr>
              <w:t>Benzotriazole</w:t>
            </w:r>
          </w:p>
        </w:tc>
        <w:tc>
          <w:tcPr>
            <w:tcW w:w="1169" w:type="dxa"/>
            <w:noWrap/>
            <w:vAlign w:val="center"/>
            <w:hideMark/>
          </w:tcPr>
          <w:p w14:paraId="1648DE0E"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Bzt</w:t>
            </w:r>
          </w:p>
        </w:tc>
        <w:tc>
          <w:tcPr>
            <w:tcW w:w="1422" w:type="dxa"/>
            <w:vMerge w:val="restart"/>
            <w:noWrap/>
            <w:vAlign w:val="center"/>
            <w:hideMark/>
          </w:tcPr>
          <w:p w14:paraId="047B703E"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52F39">
              <w:rPr>
                <w:rFonts w:ascii="Calibri" w:eastAsia="Times New Roman" w:hAnsi="Calibri" w:cs="Calibri"/>
                <w:color w:val="000000"/>
                <w:lang w:eastAsia="en-GB"/>
              </w:rPr>
              <w:t>Triazole</w:t>
            </w:r>
            <w:r w:rsidRPr="005A646C">
              <w:rPr>
                <w:rFonts w:ascii="Calibri" w:eastAsia="Times New Roman" w:hAnsi="Calibri" w:cs="Calibri"/>
                <w:color w:val="000000"/>
                <w:lang w:eastAsia="en-GB"/>
              </w:rPr>
              <w:t>s</w:t>
            </w:r>
          </w:p>
        </w:tc>
        <w:tc>
          <w:tcPr>
            <w:tcW w:w="1169" w:type="dxa"/>
            <w:noWrap/>
            <w:vAlign w:val="center"/>
            <w:hideMark/>
          </w:tcPr>
          <w:p w14:paraId="0E8DB3FF"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95-14-7</w:t>
            </w:r>
          </w:p>
        </w:tc>
        <w:tc>
          <w:tcPr>
            <w:tcW w:w="1169" w:type="dxa"/>
            <w:noWrap/>
            <w:vAlign w:val="center"/>
            <w:hideMark/>
          </w:tcPr>
          <w:p w14:paraId="6D3EFD53"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390</w:t>
            </w:r>
          </w:p>
        </w:tc>
        <w:tc>
          <w:tcPr>
            <w:tcW w:w="1169" w:type="dxa"/>
            <w:noWrap/>
            <w:vAlign w:val="center"/>
            <w:hideMark/>
          </w:tcPr>
          <w:p w14:paraId="24894221"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1400</w:t>
            </w:r>
          </w:p>
        </w:tc>
        <w:tc>
          <w:tcPr>
            <w:tcW w:w="1169" w:type="dxa"/>
            <w:noWrap/>
            <w:vAlign w:val="center"/>
            <w:hideMark/>
          </w:tcPr>
          <w:p w14:paraId="40BAB1E6"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895</w:t>
            </w:r>
          </w:p>
        </w:tc>
        <w:tc>
          <w:tcPr>
            <w:tcW w:w="3234" w:type="dxa"/>
            <w:vMerge w:val="restart"/>
            <w:vAlign w:val="center"/>
            <w:hideMark/>
          </w:tcPr>
          <w:p w14:paraId="55478A16"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 xml:space="preserve">Corrosion inhibitors </w:t>
            </w:r>
            <w:r w:rsidRPr="005A646C">
              <w:rPr>
                <w:rFonts w:ascii="Calibri" w:eastAsia="Times New Roman" w:hAnsi="Calibri" w:cs="Calibri"/>
                <w:color w:val="000000"/>
                <w:lang w:eastAsia="en-GB"/>
              </w:rPr>
              <w:br/>
              <w:t>in deicing fluids</w:t>
            </w:r>
          </w:p>
        </w:tc>
      </w:tr>
      <w:tr w:rsidR="003B2D42" w:rsidRPr="005A646C" w14:paraId="11F9E8AD" w14:textId="77777777" w:rsidTr="006A3E1D">
        <w:trPr>
          <w:trHeight w:val="475"/>
        </w:trPr>
        <w:tc>
          <w:tcPr>
            <w:cnfStyle w:val="001000000000" w:firstRow="0" w:lastRow="0" w:firstColumn="1" w:lastColumn="0" w:oddVBand="0" w:evenVBand="0" w:oddHBand="0" w:evenHBand="0" w:firstRowFirstColumn="0" w:firstRowLastColumn="0" w:lastRowFirstColumn="0" w:lastRowLastColumn="0"/>
            <w:tcW w:w="4423" w:type="dxa"/>
            <w:noWrap/>
            <w:vAlign w:val="center"/>
            <w:hideMark/>
          </w:tcPr>
          <w:p w14:paraId="14D162CF" w14:textId="77777777" w:rsidR="003B2D42" w:rsidRPr="005A646C" w:rsidRDefault="003B2D42" w:rsidP="00865AB7">
            <w:pPr>
              <w:spacing w:line="276" w:lineRule="auto"/>
              <w:jc w:val="center"/>
              <w:rPr>
                <w:rFonts w:ascii="Calibri" w:eastAsia="Times New Roman" w:hAnsi="Calibri" w:cs="Calibri"/>
                <w:color w:val="000000"/>
                <w:lang w:eastAsia="en-GB"/>
              </w:rPr>
            </w:pPr>
            <w:r w:rsidRPr="005A646C">
              <w:rPr>
                <w:rFonts w:ascii="Calibri" w:eastAsia="Times New Roman" w:hAnsi="Calibri" w:cs="Calibri"/>
                <w:color w:val="000000"/>
                <w:lang w:eastAsia="en-GB"/>
              </w:rPr>
              <w:t>Tolyltriazole</w:t>
            </w:r>
          </w:p>
        </w:tc>
        <w:tc>
          <w:tcPr>
            <w:tcW w:w="1169" w:type="dxa"/>
            <w:noWrap/>
            <w:vAlign w:val="center"/>
            <w:hideMark/>
          </w:tcPr>
          <w:p w14:paraId="3FC854A0"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Tlt</w:t>
            </w:r>
          </w:p>
        </w:tc>
        <w:tc>
          <w:tcPr>
            <w:tcW w:w="1422" w:type="dxa"/>
            <w:vMerge/>
            <w:vAlign w:val="center"/>
            <w:hideMark/>
          </w:tcPr>
          <w:p w14:paraId="03634529"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169" w:type="dxa"/>
            <w:noWrap/>
            <w:vAlign w:val="center"/>
            <w:hideMark/>
          </w:tcPr>
          <w:p w14:paraId="1260F0DE"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136-85-6</w:t>
            </w:r>
          </w:p>
        </w:tc>
        <w:tc>
          <w:tcPr>
            <w:tcW w:w="1169" w:type="dxa"/>
            <w:noWrap/>
            <w:vAlign w:val="center"/>
            <w:hideMark/>
          </w:tcPr>
          <w:p w14:paraId="2C052641"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360</w:t>
            </w:r>
          </w:p>
        </w:tc>
        <w:tc>
          <w:tcPr>
            <w:tcW w:w="1169" w:type="dxa"/>
            <w:noWrap/>
            <w:vAlign w:val="center"/>
            <w:hideMark/>
          </w:tcPr>
          <w:p w14:paraId="5C994887"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440</w:t>
            </w:r>
          </w:p>
        </w:tc>
        <w:tc>
          <w:tcPr>
            <w:tcW w:w="1169" w:type="dxa"/>
            <w:noWrap/>
            <w:vAlign w:val="center"/>
            <w:hideMark/>
          </w:tcPr>
          <w:p w14:paraId="7F8056BB"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400</w:t>
            </w:r>
          </w:p>
        </w:tc>
        <w:tc>
          <w:tcPr>
            <w:tcW w:w="3234" w:type="dxa"/>
            <w:vMerge/>
            <w:vAlign w:val="center"/>
            <w:hideMark/>
          </w:tcPr>
          <w:p w14:paraId="798C2F27" w14:textId="77777777" w:rsidR="003B2D42"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r>
      <w:tr w:rsidR="00DF1658" w:rsidRPr="005A646C" w14:paraId="685C7B8A" w14:textId="77777777" w:rsidTr="00F0323C">
        <w:trPr>
          <w:cantSplit/>
          <w:trHeight w:val="1134"/>
        </w:trPr>
        <w:tc>
          <w:tcPr>
            <w:cnfStyle w:val="001000000000" w:firstRow="0" w:lastRow="0" w:firstColumn="1" w:lastColumn="0" w:oddVBand="0" w:evenVBand="0" w:oddHBand="0" w:evenHBand="0" w:firstRowFirstColumn="0" w:firstRowLastColumn="0" w:lastRowFirstColumn="0" w:lastRowLastColumn="0"/>
            <w:tcW w:w="4423" w:type="dxa"/>
            <w:noWrap/>
            <w:vAlign w:val="center"/>
            <w:hideMark/>
          </w:tcPr>
          <w:p w14:paraId="3B5FF1EA" w14:textId="350160BF" w:rsidR="00DF1658" w:rsidRPr="005A646C" w:rsidRDefault="00DF1658" w:rsidP="00865AB7">
            <w:pPr>
              <w:spacing w:line="276"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w:t>
            </w:r>
            <w:r w:rsidR="003B2D42">
              <w:rPr>
                <w:rFonts w:ascii="Calibri" w:eastAsia="Times New Roman" w:hAnsi="Calibri" w:cs="Calibri"/>
                <w:color w:val="000000"/>
                <w:lang w:eastAsia="en-GB"/>
              </w:rPr>
              <w:t xml:space="preserve">onylphenol diethoxylate </w:t>
            </w:r>
          </w:p>
        </w:tc>
        <w:tc>
          <w:tcPr>
            <w:tcW w:w="1169" w:type="dxa"/>
            <w:noWrap/>
            <w:vAlign w:val="center"/>
            <w:hideMark/>
          </w:tcPr>
          <w:p w14:paraId="6AD07945"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NP2EO</w:t>
            </w:r>
          </w:p>
        </w:tc>
        <w:tc>
          <w:tcPr>
            <w:tcW w:w="1422" w:type="dxa"/>
            <w:vAlign w:val="center"/>
            <w:hideMark/>
          </w:tcPr>
          <w:p w14:paraId="5AC92F0C"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Alkylphenols</w:t>
            </w:r>
          </w:p>
        </w:tc>
        <w:tc>
          <w:tcPr>
            <w:tcW w:w="1169" w:type="dxa"/>
            <w:noWrap/>
            <w:vAlign w:val="center"/>
            <w:hideMark/>
          </w:tcPr>
          <w:p w14:paraId="731EB73F"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2315-61-9</w:t>
            </w:r>
          </w:p>
        </w:tc>
        <w:tc>
          <w:tcPr>
            <w:tcW w:w="1169" w:type="dxa"/>
            <w:noWrap/>
            <w:vAlign w:val="center"/>
            <w:hideMark/>
          </w:tcPr>
          <w:p w14:paraId="7C68EE8F"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42</w:t>
            </w:r>
          </w:p>
        </w:tc>
        <w:tc>
          <w:tcPr>
            <w:tcW w:w="1169" w:type="dxa"/>
            <w:noWrap/>
            <w:vAlign w:val="center"/>
            <w:hideMark/>
          </w:tcPr>
          <w:p w14:paraId="6094DBC2"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126</w:t>
            </w:r>
          </w:p>
        </w:tc>
        <w:tc>
          <w:tcPr>
            <w:tcW w:w="1169" w:type="dxa"/>
            <w:noWrap/>
            <w:vAlign w:val="center"/>
            <w:hideMark/>
          </w:tcPr>
          <w:p w14:paraId="49BF8C66"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56</w:t>
            </w:r>
          </w:p>
        </w:tc>
        <w:tc>
          <w:tcPr>
            <w:tcW w:w="3234" w:type="dxa"/>
            <w:vAlign w:val="center"/>
            <w:hideMark/>
          </w:tcPr>
          <w:p w14:paraId="6454FC2E" w14:textId="3CA872B5" w:rsidR="003B2D42" w:rsidRPr="003B2D42"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2D42">
              <w:rPr>
                <w:rFonts w:ascii="Calibri" w:eastAsia="Times New Roman" w:hAnsi="Calibri" w:cs="Calibri"/>
                <w:color w:val="000000"/>
                <w:lang w:eastAsia="en-GB"/>
              </w:rPr>
              <w:t>Additives in industrial</w:t>
            </w:r>
          </w:p>
          <w:p w14:paraId="547A069C" w14:textId="712A59FA" w:rsidR="00DF1658" w:rsidRPr="005A646C" w:rsidRDefault="003B2D42"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surfactants and cleaning agents</w:t>
            </w:r>
          </w:p>
        </w:tc>
      </w:tr>
      <w:tr w:rsidR="00DF1658" w:rsidRPr="005A646C" w14:paraId="1F53F51A" w14:textId="77777777" w:rsidTr="006A3E1D">
        <w:trPr>
          <w:trHeight w:val="485"/>
        </w:trPr>
        <w:tc>
          <w:tcPr>
            <w:cnfStyle w:val="001000000000" w:firstRow="0" w:lastRow="0" w:firstColumn="1" w:lastColumn="0" w:oddVBand="0" w:evenVBand="0" w:oddHBand="0" w:evenHBand="0" w:firstRowFirstColumn="0" w:firstRowLastColumn="0" w:lastRowFirstColumn="0" w:lastRowLastColumn="0"/>
            <w:tcW w:w="4423" w:type="dxa"/>
            <w:noWrap/>
            <w:vAlign w:val="center"/>
            <w:hideMark/>
          </w:tcPr>
          <w:p w14:paraId="3EFC5A6A" w14:textId="77777777" w:rsidR="00DF1658" w:rsidRPr="005A646C" w:rsidRDefault="00DF1658" w:rsidP="00865AB7">
            <w:pPr>
              <w:spacing w:line="276" w:lineRule="auto"/>
              <w:jc w:val="center"/>
              <w:rPr>
                <w:rFonts w:ascii="Calibri" w:eastAsia="Times New Roman" w:hAnsi="Calibri" w:cs="Calibri"/>
                <w:color w:val="000000"/>
                <w:lang w:eastAsia="en-GB"/>
              </w:rPr>
            </w:pPr>
            <w:r w:rsidRPr="005A646C">
              <w:rPr>
                <w:rFonts w:ascii="Calibri" w:eastAsia="Times New Roman" w:hAnsi="Calibri" w:cs="Calibri"/>
                <w:color w:val="000000"/>
                <w:lang w:eastAsia="en-GB"/>
              </w:rPr>
              <w:t>Perfluorooctanoic acid</w:t>
            </w:r>
          </w:p>
        </w:tc>
        <w:tc>
          <w:tcPr>
            <w:tcW w:w="1169" w:type="dxa"/>
            <w:noWrap/>
            <w:vAlign w:val="center"/>
            <w:hideMark/>
          </w:tcPr>
          <w:p w14:paraId="722562F4"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PFOA</w:t>
            </w:r>
          </w:p>
        </w:tc>
        <w:tc>
          <w:tcPr>
            <w:tcW w:w="1422" w:type="dxa"/>
            <w:vMerge w:val="restart"/>
            <w:noWrap/>
            <w:vAlign w:val="center"/>
            <w:hideMark/>
          </w:tcPr>
          <w:p w14:paraId="1F5231AA"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PFAS</w:t>
            </w:r>
          </w:p>
        </w:tc>
        <w:tc>
          <w:tcPr>
            <w:tcW w:w="1169" w:type="dxa"/>
            <w:noWrap/>
            <w:vAlign w:val="center"/>
            <w:hideMark/>
          </w:tcPr>
          <w:p w14:paraId="2F480686"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335-67-1</w:t>
            </w:r>
          </w:p>
        </w:tc>
        <w:tc>
          <w:tcPr>
            <w:tcW w:w="1169" w:type="dxa"/>
            <w:noWrap/>
            <w:vAlign w:val="center"/>
            <w:hideMark/>
          </w:tcPr>
          <w:p w14:paraId="792F0C42"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19</w:t>
            </w:r>
          </w:p>
        </w:tc>
        <w:tc>
          <w:tcPr>
            <w:tcW w:w="1169" w:type="dxa"/>
            <w:noWrap/>
            <w:vAlign w:val="center"/>
            <w:hideMark/>
          </w:tcPr>
          <w:p w14:paraId="1CF6280E"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19</w:t>
            </w:r>
          </w:p>
        </w:tc>
        <w:tc>
          <w:tcPr>
            <w:tcW w:w="1169" w:type="dxa"/>
            <w:noWrap/>
            <w:vAlign w:val="center"/>
            <w:hideMark/>
          </w:tcPr>
          <w:p w14:paraId="2A6B601A"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19</w:t>
            </w:r>
          </w:p>
        </w:tc>
        <w:tc>
          <w:tcPr>
            <w:tcW w:w="3234" w:type="dxa"/>
            <w:vMerge w:val="restart"/>
            <w:noWrap/>
            <w:vAlign w:val="center"/>
            <w:hideMark/>
          </w:tcPr>
          <w:p w14:paraId="74529611" w14:textId="100F55B3" w:rsidR="00DF1658" w:rsidRPr="005A646C" w:rsidRDefault="00DF16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Surfactant</w:t>
            </w:r>
            <w:r w:rsidR="0098293E">
              <w:rPr>
                <w:rFonts w:ascii="Calibri" w:eastAsia="Times New Roman" w:hAnsi="Calibri" w:cs="Calibri"/>
                <w:color w:val="000000"/>
                <w:lang w:eastAsia="en-GB"/>
              </w:rPr>
              <w:t>s</w:t>
            </w:r>
            <w:r w:rsidRPr="005A646C">
              <w:rPr>
                <w:rFonts w:ascii="Calibri" w:eastAsia="Times New Roman" w:hAnsi="Calibri" w:cs="Calibri"/>
                <w:color w:val="000000"/>
                <w:lang w:eastAsia="en-GB"/>
              </w:rPr>
              <w:t xml:space="preserve"> </w:t>
            </w:r>
          </w:p>
        </w:tc>
      </w:tr>
      <w:tr w:rsidR="00DF1658" w:rsidRPr="005A646C" w14:paraId="08301BBE" w14:textId="77777777" w:rsidTr="006A3E1D">
        <w:trPr>
          <w:trHeight w:val="415"/>
        </w:trPr>
        <w:tc>
          <w:tcPr>
            <w:cnfStyle w:val="001000000000" w:firstRow="0" w:lastRow="0" w:firstColumn="1" w:lastColumn="0" w:oddVBand="0" w:evenVBand="0" w:oddHBand="0" w:evenHBand="0" w:firstRowFirstColumn="0" w:firstRowLastColumn="0" w:lastRowFirstColumn="0" w:lastRowLastColumn="0"/>
            <w:tcW w:w="4423" w:type="dxa"/>
            <w:noWrap/>
            <w:vAlign w:val="center"/>
            <w:hideMark/>
          </w:tcPr>
          <w:p w14:paraId="72EEA1B6" w14:textId="77777777" w:rsidR="00DF1658" w:rsidRPr="005A646C" w:rsidRDefault="00DF1658" w:rsidP="00865AB7">
            <w:pPr>
              <w:spacing w:line="276" w:lineRule="auto"/>
              <w:jc w:val="center"/>
              <w:rPr>
                <w:rFonts w:ascii="Calibri" w:eastAsia="Times New Roman" w:hAnsi="Calibri" w:cs="Calibri"/>
                <w:color w:val="000000"/>
                <w:lang w:eastAsia="en-GB"/>
              </w:rPr>
            </w:pPr>
            <w:r w:rsidRPr="005A646C">
              <w:rPr>
                <w:rFonts w:ascii="Calibri" w:eastAsia="Times New Roman" w:hAnsi="Calibri" w:cs="Calibri"/>
                <w:color w:val="000000"/>
                <w:lang w:eastAsia="en-GB"/>
              </w:rPr>
              <w:t>Perfluorooctanesulfonic acid</w:t>
            </w:r>
          </w:p>
        </w:tc>
        <w:tc>
          <w:tcPr>
            <w:tcW w:w="1169" w:type="dxa"/>
            <w:noWrap/>
            <w:vAlign w:val="center"/>
            <w:hideMark/>
          </w:tcPr>
          <w:p w14:paraId="47BEB6F5"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PFOS</w:t>
            </w:r>
          </w:p>
        </w:tc>
        <w:tc>
          <w:tcPr>
            <w:tcW w:w="1422" w:type="dxa"/>
            <w:vMerge/>
            <w:vAlign w:val="center"/>
            <w:hideMark/>
          </w:tcPr>
          <w:p w14:paraId="7A7DA7F2"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169" w:type="dxa"/>
            <w:noWrap/>
            <w:vAlign w:val="center"/>
            <w:hideMark/>
          </w:tcPr>
          <w:p w14:paraId="41A0F20A"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1763-23-1</w:t>
            </w:r>
          </w:p>
        </w:tc>
        <w:tc>
          <w:tcPr>
            <w:tcW w:w="1169" w:type="dxa"/>
            <w:noWrap/>
            <w:vAlign w:val="center"/>
            <w:hideMark/>
          </w:tcPr>
          <w:p w14:paraId="56723EAD"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13</w:t>
            </w:r>
          </w:p>
        </w:tc>
        <w:tc>
          <w:tcPr>
            <w:tcW w:w="1169" w:type="dxa"/>
            <w:noWrap/>
            <w:vAlign w:val="center"/>
            <w:hideMark/>
          </w:tcPr>
          <w:p w14:paraId="77DB52E7"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310</w:t>
            </w:r>
          </w:p>
        </w:tc>
        <w:tc>
          <w:tcPr>
            <w:tcW w:w="1169" w:type="dxa"/>
            <w:noWrap/>
            <w:vAlign w:val="center"/>
            <w:hideMark/>
          </w:tcPr>
          <w:p w14:paraId="340862E0"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24</w:t>
            </w:r>
          </w:p>
        </w:tc>
        <w:tc>
          <w:tcPr>
            <w:tcW w:w="3234" w:type="dxa"/>
            <w:vMerge/>
            <w:vAlign w:val="center"/>
            <w:hideMark/>
          </w:tcPr>
          <w:p w14:paraId="40C60810"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r>
      <w:tr w:rsidR="00DF1658" w:rsidRPr="005A646C" w14:paraId="5E86D610" w14:textId="77777777" w:rsidTr="006A3E1D">
        <w:trPr>
          <w:trHeight w:val="584"/>
        </w:trPr>
        <w:tc>
          <w:tcPr>
            <w:cnfStyle w:val="001000000000" w:firstRow="0" w:lastRow="0" w:firstColumn="1" w:lastColumn="0" w:oddVBand="0" w:evenVBand="0" w:oddHBand="0" w:evenHBand="0" w:firstRowFirstColumn="0" w:firstRowLastColumn="0" w:lastRowFirstColumn="0" w:lastRowLastColumn="0"/>
            <w:tcW w:w="4423" w:type="dxa"/>
            <w:vAlign w:val="center"/>
            <w:hideMark/>
          </w:tcPr>
          <w:p w14:paraId="38A4F7E7" w14:textId="77777777" w:rsidR="00DF1658" w:rsidRPr="005A646C" w:rsidRDefault="00DF1658" w:rsidP="00865AB7">
            <w:pPr>
              <w:spacing w:line="276" w:lineRule="auto"/>
              <w:jc w:val="center"/>
              <w:rPr>
                <w:rFonts w:ascii="Calibri" w:eastAsia="Times New Roman" w:hAnsi="Calibri" w:cs="Calibri"/>
                <w:color w:val="000000"/>
                <w:lang w:eastAsia="en-GB"/>
              </w:rPr>
            </w:pPr>
            <w:r w:rsidRPr="005A646C">
              <w:rPr>
                <w:rFonts w:ascii="Calibri" w:eastAsia="Times New Roman" w:hAnsi="Calibri" w:cs="Calibri"/>
                <w:color w:val="000000"/>
                <w:lang w:eastAsia="en-GB"/>
              </w:rPr>
              <w:t>Perfluorohexanoic acid</w:t>
            </w:r>
          </w:p>
        </w:tc>
        <w:tc>
          <w:tcPr>
            <w:tcW w:w="1169" w:type="dxa"/>
            <w:noWrap/>
            <w:vAlign w:val="center"/>
            <w:hideMark/>
          </w:tcPr>
          <w:p w14:paraId="2BC73562"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PFHxA</w:t>
            </w:r>
          </w:p>
        </w:tc>
        <w:tc>
          <w:tcPr>
            <w:tcW w:w="1422" w:type="dxa"/>
            <w:vMerge/>
            <w:vAlign w:val="center"/>
            <w:hideMark/>
          </w:tcPr>
          <w:p w14:paraId="1457A9A0"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169" w:type="dxa"/>
            <w:noWrap/>
            <w:vAlign w:val="center"/>
            <w:hideMark/>
          </w:tcPr>
          <w:p w14:paraId="02131B5F"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307-24-4</w:t>
            </w:r>
          </w:p>
        </w:tc>
        <w:tc>
          <w:tcPr>
            <w:tcW w:w="1169" w:type="dxa"/>
            <w:noWrap/>
            <w:vAlign w:val="center"/>
            <w:hideMark/>
          </w:tcPr>
          <w:p w14:paraId="320DC07D"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25</w:t>
            </w:r>
          </w:p>
        </w:tc>
        <w:tc>
          <w:tcPr>
            <w:tcW w:w="1169" w:type="dxa"/>
            <w:noWrap/>
            <w:vAlign w:val="center"/>
            <w:hideMark/>
          </w:tcPr>
          <w:p w14:paraId="549E3EFF"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60</w:t>
            </w:r>
          </w:p>
        </w:tc>
        <w:tc>
          <w:tcPr>
            <w:tcW w:w="1169" w:type="dxa"/>
            <w:noWrap/>
            <w:vAlign w:val="center"/>
            <w:hideMark/>
          </w:tcPr>
          <w:p w14:paraId="55E3A755"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55</w:t>
            </w:r>
          </w:p>
        </w:tc>
        <w:tc>
          <w:tcPr>
            <w:tcW w:w="3234" w:type="dxa"/>
            <w:noWrap/>
            <w:vAlign w:val="center"/>
            <w:hideMark/>
          </w:tcPr>
          <w:p w14:paraId="19975AE6"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Degradation product of 6:2 FTS</w:t>
            </w:r>
          </w:p>
        </w:tc>
      </w:tr>
      <w:tr w:rsidR="00DF1658" w:rsidRPr="005A646C" w14:paraId="6FB6993D" w14:textId="77777777" w:rsidTr="006A3E1D">
        <w:trPr>
          <w:trHeight w:val="852"/>
        </w:trPr>
        <w:tc>
          <w:tcPr>
            <w:cnfStyle w:val="001000000000" w:firstRow="0" w:lastRow="0" w:firstColumn="1" w:lastColumn="0" w:oddVBand="0" w:evenVBand="0" w:oddHBand="0" w:evenHBand="0" w:firstRowFirstColumn="0" w:firstRowLastColumn="0" w:lastRowFirstColumn="0" w:lastRowLastColumn="0"/>
            <w:tcW w:w="4423" w:type="dxa"/>
            <w:noWrap/>
            <w:vAlign w:val="center"/>
            <w:hideMark/>
          </w:tcPr>
          <w:p w14:paraId="75CEF99A" w14:textId="77777777" w:rsidR="00DF1658" w:rsidRPr="005A646C" w:rsidRDefault="00DF1658" w:rsidP="00865AB7">
            <w:pPr>
              <w:spacing w:line="276" w:lineRule="auto"/>
              <w:jc w:val="center"/>
              <w:rPr>
                <w:rFonts w:ascii="Calibri" w:eastAsia="Times New Roman" w:hAnsi="Calibri" w:cs="Calibri"/>
                <w:color w:val="000000"/>
                <w:lang w:eastAsia="en-GB"/>
              </w:rPr>
            </w:pPr>
            <w:r w:rsidRPr="005A646C">
              <w:rPr>
                <w:rFonts w:ascii="Calibri" w:eastAsia="Times New Roman" w:hAnsi="Calibri" w:cs="Calibri"/>
                <w:color w:val="000000"/>
                <w:lang w:eastAsia="en-GB"/>
              </w:rPr>
              <w:t>Perfluoroethylcyclohexane Sulfonate</w:t>
            </w:r>
          </w:p>
        </w:tc>
        <w:tc>
          <w:tcPr>
            <w:tcW w:w="1169" w:type="dxa"/>
            <w:noWrap/>
            <w:vAlign w:val="center"/>
            <w:hideMark/>
          </w:tcPr>
          <w:p w14:paraId="204A8853"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PFECHS</w:t>
            </w:r>
          </w:p>
        </w:tc>
        <w:tc>
          <w:tcPr>
            <w:tcW w:w="1422" w:type="dxa"/>
            <w:vMerge/>
            <w:vAlign w:val="center"/>
            <w:hideMark/>
          </w:tcPr>
          <w:p w14:paraId="665CA9E6"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169" w:type="dxa"/>
            <w:noWrap/>
            <w:vAlign w:val="center"/>
            <w:hideMark/>
          </w:tcPr>
          <w:p w14:paraId="0BEEBCEA"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335-24-0</w:t>
            </w:r>
          </w:p>
        </w:tc>
        <w:tc>
          <w:tcPr>
            <w:tcW w:w="1169" w:type="dxa"/>
            <w:noWrap/>
            <w:vAlign w:val="center"/>
            <w:hideMark/>
          </w:tcPr>
          <w:p w14:paraId="60D2271C"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190</w:t>
            </w:r>
          </w:p>
        </w:tc>
        <w:tc>
          <w:tcPr>
            <w:tcW w:w="1169" w:type="dxa"/>
            <w:noWrap/>
            <w:vAlign w:val="center"/>
            <w:hideMark/>
          </w:tcPr>
          <w:p w14:paraId="79334FA9"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490</w:t>
            </w:r>
          </w:p>
        </w:tc>
        <w:tc>
          <w:tcPr>
            <w:tcW w:w="1169" w:type="dxa"/>
            <w:noWrap/>
            <w:vAlign w:val="center"/>
            <w:hideMark/>
          </w:tcPr>
          <w:p w14:paraId="4083F537"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210</w:t>
            </w:r>
          </w:p>
        </w:tc>
        <w:tc>
          <w:tcPr>
            <w:tcW w:w="3234" w:type="dxa"/>
            <w:vAlign w:val="center"/>
            <w:hideMark/>
          </w:tcPr>
          <w:p w14:paraId="21630B56"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 xml:space="preserve">Corrosion inhibitor </w:t>
            </w:r>
            <w:r w:rsidRPr="005A646C">
              <w:rPr>
                <w:rFonts w:ascii="Calibri" w:eastAsia="Times New Roman" w:hAnsi="Calibri" w:cs="Calibri"/>
                <w:color w:val="000000"/>
                <w:lang w:eastAsia="en-GB"/>
              </w:rPr>
              <w:br/>
              <w:t>in aircraft hydraulic fluid</w:t>
            </w:r>
          </w:p>
        </w:tc>
      </w:tr>
      <w:tr w:rsidR="00DF1658" w:rsidRPr="005A646C" w14:paraId="347CE6CA" w14:textId="77777777" w:rsidTr="006A3E1D">
        <w:trPr>
          <w:trHeight w:val="465"/>
        </w:trPr>
        <w:tc>
          <w:tcPr>
            <w:cnfStyle w:val="001000000000" w:firstRow="0" w:lastRow="0" w:firstColumn="1" w:lastColumn="0" w:oddVBand="0" w:evenVBand="0" w:oddHBand="0" w:evenHBand="0" w:firstRowFirstColumn="0" w:firstRowLastColumn="0" w:lastRowFirstColumn="0" w:lastRowLastColumn="0"/>
            <w:tcW w:w="4423" w:type="dxa"/>
            <w:noWrap/>
            <w:vAlign w:val="center"/>
            <w:hideMark/>
          </w:tcPr>
          <w:p w14:paraId="4B219F70" w14:textId="77777777" w:rsidR="00DF1658" w:rsidRPr="005A646C" w:rsidRDefault="00DF1658" w:rsidP="00865AB7">
            <w:pPr>
              <w:spacing w:line="276" w:lineRule="auto"/>
              <w:jc w:val="center"/>
              <w:rPr>
                <w:rFonts w:ascii="Calibri" w:eastAsia="Times New Roman" w:hAnsi="Calibri" w:cs="Calibri"/>
                <w:color w:val="000000"/>
                <w:lang w:eastAsia="en-GB"/>
              </w:rPr>
            </w:pPr>
            <w:r w:rsidRPr="005A646C">
              <w:rPr>
                <w:rFonts w:ascii="Calibri" w:eastAsia="Times New Roman" w:hAnsi="Calibri" w:cs="Calibri"/>
                <w:color w:val="000000"/>
                <w:lang w:eastAsia="en-GB"/>
              </w:rPr>
              <w:t>1H,1H,2H,2H-Perfluorooctanesulfonic acid</w:t>
            </w:r>
          </w:p>
        </w:tc>
        <w:tc>
          <w:tcPr>
            <w:tcW w:w="1169" w:type="dxa"/>
            <w:noWrap/>
            <w:vAlign w:val="center"/>
            <w:hideMark/>
          </w:tcPr>
          <w:p w14:paraId="63EE6347"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6:2 FTS</w:t>
            </w:r>
          </w:p>
        </w:tc>
        <w:tc>
          <w:tcPr>
            <w:tcW w:w="1422" w:type="dxa"/>
            <w:vMerge/>
            <w:vAlign w:val="center"/>
            <w:hideMark/>
          </w:tcPr>
          <w:p w14:paraId="4B638198"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169" w:type="dxa"/>
            <w:noWrap/>
            <w:vAlign w:val="center"/>
            <w:hideMark/>
          </w:tcPr>
          <w:p w14:paraId="436F8626"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27619-97-2</w:t>
            </w:r>
          </w:p>
        </w:tc>
        <w:tc>
          <w:tcPr>
            <w:tcW w:w="1169" w:type="dxa"/>
            <w:noWrap/>
            <w:vAlign w:val="center"/>
            <w:hideMark/>
          </w:tcPr>
          <w:p w14:paraId="287A4928"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63</w:t>
            </w:r>
          </w:p>
        </w:tc>
        <w:tc>
          <w:tcPr>
            <w:tcW w:w="1169" w:type="dxa"/>
            <w:noWrap/>
            <w:vAlign w:val="center"/>
            <w:hideMark/>
          </w:tcPr>
          <w:p w14:paraId="765545D7"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590</w:t>
            </w:r>
          </w:p>
        </w:tc>
        <w:tc>
          <w:tcPr>
            <w:tcW w:w="1169" w:type="dxa"/>
            <w:noWrap/>
            <w:vAlign w:val="center"/>
            <w:hideMark/>
          </w:tcPr>
          <w:p w14:paraId="40653FCB" w14:textId="77777777" w:rsidR="00DF1658" w:rsidRPr="005A646C" w:rsidRDefault="00DF1658" w:rsidP="00865AB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180</w:t>
            </w:r>
          </w:p>
        </w:tc>
        <w:tc>
          <w:tcPr>
            <w:tcW w:w="3234" w:type="dxa"/>
            <w:noWrap/>
            <w:vAlign w:val="center"/>
            <w:hideMark/>
          </w:tcPr>
          <w:p w14:paraId="074D1DCD" w14:textId="77777777" w:rsidR="00DF1658" w:rsidRPr="005A646C" w:rsidRDefault="00DF1658" w:rsidP="00865AB7">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5A646C">
              <w:rPr>
                <w:rFonts w:ascii="Calibri" w:eastAsia="Times New Roman" w:hAnsi="Calibri" w:cs="Calibri"/>
                <w:color w:val="000000"/>
                <w:lang w:eastAsia="en-GB"/>
              </w:rPr>
              <w:t>Additive in AFFF</w:t>
            </w:r>
          </w:p>
        </w:tc>
      </w:tr>
    </w:tbl>
    <w:p w14:paraId="40589917" w14:textId="42F1FD53" w:rsidR="00DF1658" w:rsidRDefault="00155D5A" w:rsidP="005B1539">
      <w:pPr>
        <w:spacing w:before="240" w:line="276" w:lineRule="auto"/>
        <w:jc w:val="both"/>
        <w:sectPr w:rsidR="00DF1658" w:rsidSect="001046BE">
          <w:type w:val="continuous"/>
          <w:pgSz w:w="16838" w:h="11906" w:orient="landscape"/>
          <w:pgMar w:top="1418" w:right="1418" w:bottom="1418" w:left="1418" w:header="709" w:footer="709" w:gutter="0"/>
          <w:lnNumType w:countBy="1" w:restart="continuous"/>
          <w:cols w:space="708"/>
          <w:docGrid w:linePitch="360"/>
        </w:sectPr>
      </w:pPr>
      <w:r w:rsidRPr="00155D5A">
        <w:t xml:space="preserve">In addition to runoff monitoring, groundwater samples collected from a piezometer located directly beneath the airport were analyzed. None of the target compounds (PFAS, benzotriazoles, alkylphenols) were detected in these samples. This observation is consistent with the current infrastructure, since the stormwater basins function as sealed retention basins with concrete bottoms, which discharge to WTTPs that release treated wastewater directly to the nearby Meuse River. As such, these basins are not hydraulically connected to the underlying groundwater system, and no contamination is expected under present conditions. </w:t>
      </w:r>
      <w:r w:rsidR="0070465B">
        <w:t xml:space="preserve">In addition, drilling data indicate that the unsaturated zone consists of successively </w:t>
      </w:r>
      <w:r w:rsidR="0070465B">
        <w:rPr>
          <w:rFonts w:cstheme="minorHAnsi"/>
        </w:rPr>
        <w:t>≈</w:t>
      </w:r>
      <w:r w:rsidR="0070465B">
        <w:t xml:space="preserve"> 10 m of loess, </w:t>
      </w:r>
      <w:r w:rsidR="0070465B">
        <w:rPr>
          <w:rFonts w:cstheme="minorHAnsi"/>
        </w:rPr>
        <w:t>≈</w:t>
      </w:r>
      <w:r w:rsidR="0070465B">
        <w:t xml:space="preserve"> 10 m of flint conglomerate, and </w:t>
      </w:r>
      <w:r w:rsidR="0070465B">
        <w:rPr>
          <w:rFonts w:cstheme="minorHAnsi"/>
        </w:rPr>
        <w:t>≈</w:t>
      </w:r>
      <w:r w:rsidR="0070465B">
        <w:t xml:space="preserve"> 10 m of unsaturated chalk before reaching the groundwater table at </w:t>
      </w:r>
      <w:r w:rsidR="0070465B">
        <w:rPr>
          <w:rFonts w:cstheme="minorHAnsi"/>
        </w:rPr>
        <w:t>≈</w:t>
      </w:r>
      <w:r w:rsidR="0070465B">
        <w:t xml:space="preserve"> 30 m of depth. </w:t>
      </w:r>
      <w:r w:rsidR="0070465B" w:rsidRPr="0070465B">
        <w:t>This stratigraphy provides a significant natural buffer, as infiltration through the loess cover alone delays the recharge by several months, allowing further attenuation processes to occur.</w:t>
      </w:r>
      <w:r w:rsidR="0070465B">
        <w:t xml:space="preserve"> </w:t>
      </w:r>
      <w:r w:rsidRPr="00155D5A">
        <w:t xml:space="preserve">Nevertheless, the potential for groundwater impact exists if infiltration pathways are created, such as with </w:t>
      </w:r>
      <w:r w:rsidR="00632E57">
        <w:t>SAT</w:t>
      </w:r>
      <w:r w:rsidR="00632E57" w:rsidRPr="00155D5A">
        <w:t xml:space="preserve"> </w:t>
      </w:r>
      <w:r w:rsidRPr="00155D5A">
        <w:t>operations, which justifies the following physico-chemical behavior evaluation perform</w:t>
      </w:r>
      <w:r>
        <w:t>ed in this study.</w:t>
      </w:r>
    </w:p>
    <w:p w14:paraId="5A9BBADC" w14:textId="6DB10BCB" w:rsidR="004802E4" w:rsidRDefault="00307370" w:rsidP="009F5AEB">
      <w:pPr>
        <w:pStyle w:val="Titre3"/>
        <w:numPr>
          <w:ilvl w:val="1"/>
          <w:numId w:val="1"/>
        </w:numPr>
        <w:spacing w:line="276" w:lineRule="auto"/>
      </w:pPr>
      <w:bookmarkStart w:id="7" w:name="_Ref213767136"/>
      <w:r>
        <w:lastRenderedPageBreak/>
        <w:t>Redox conditions</w:t>
      </w:r>
      <w:bookmarkEnd w:id="7"/>
    </w:p>
    <w:p w14:paraId="589FA6F3" w14:textId="318D8E97" w:rsidR="006D26F3" w:rsidRDefault="006D26F3" w:rsidP="00865AB7">
      <w:pPr>
        <w:spacing w:line="276" w:lineRule="auto"/>
        <w:jc w:val="both"/>
      </w:pPr>
      <w:r>
        <w:t>To</w:t>
      </w:r>
      <w:r w:rsidR="00C95F68">
        <w:t xml:space="preserve"> assess</w:t>
      </w:r>
      <w:r>
        <w:t xml:space="preserve"> the evolution of redox conditions in </w:t>
      </w:r>
      <w:r w:rsidR="00C95F68">
        <w:t>the</w:t>
      </w:r>
      <w:r>
        <w:t xml:space="preserve"> batch reactor</w:t>
      </w:r>
      <w:r w:rsidR="00C95F68">
        <w:t>s</w:t>
      </w:r>
      <w:r>
        <w:t xml:space="preserve">, </w:t>
      </w:r>
      <w:r w:rsidR="00185521">
        <w:t>DO</w:t>
      </w:r>
      <w:r w:rsidR="00C95F68">
        <w:t xml:space="preserve"> concentration </w:t>
      </w:r>
      <w:r w:rsidR="00821E6A">
        <w:t>was</w:t>
      </w:r>
      <w:r w:rsidR="00C95F68">
        <w:t xml:space="preserve"> monitored</w:t>
      </w:r>
      <w:r>
        <w:t xml:space="preserve"> during </w:t>
      </w:r>
      <w:r w:rsidR="00845C3F">
        <w:t>the experiment</w:t>
      </w:r>
      <w:r w:rsidR="00547F52">
        <w:t xml:space="preserve">. </w:t>
      </w:r>
      <w:r w:rsidR="00C95F68">
        <w:t>Redox-</w:t>
      </w:r>
      <w:r w:rsidR="00185521">
        <w:t xml:space="preserve">related species such as </w:t>
      </w:r>
      <w:r w:rsidR="00C95F68">
        <w:t>NO</w:t>
      </w:r>
      <w:r w:rsidR="00C95F68" w:rsidRPr="00C95F68">
        <w:rPr>
          <w:vertAlign w:val="subscript"/>
        </w:rPr>
        <w:t>3</w:t>
      </w:r>
      <w:r w:rsidR="00C95F68" w:rsidRPr="00C95F68">
        <w:rPr>
          <w:vertAlign w:val="superscript"/>
        </w:rPr>
        <w:t>-</w:t>
      </w:r>
      <w:r w:rsidR="00185521">
        <w:t xml:space="preserve"> and </w:t>
      </w:r>
      <w:r w:rsidR="00C95F68">
        <w:t>NO</w:t>
      </w:r>
      <w:r w:rsidR="00C95F68" w:rsidRPr="00C95F68">
        <w:rPr>
          <w:vertAlign w:val="subscript"/>
        </w:rPr>
        <w:t>2</w:t>
      </w:r>
      <w:r w:rsidR="00C95F68" w:rsidRPr="00C95F68">
        <w:rPr>
          <w:vertAlign w:val="superscript"/>
        </w:rPr>
        <w:t>-</w:t>
      </w:r>
      <w:r w:rsidR="00C95F68">
        <w:t xml:space="preserve"> provide insights into</w:t>
      </w:r>
      <w:r w:rsidR="00547F52">
        <w:t xml:space="preserve"> potential denitrification </w:t>
      </w:r>
      <w:r w:rsidR="00C95F68">
        <w:t xml:space="preserve">processes </w:t>
      </w:r>
      <w:r w:rsidR="00547F52">
        <w:t xml:space="preserve">occurring when </w:t>
      </w:r>
      <w:r w:rsidR="00845C3F">
        <w:t xml:space="preserve">DO </w:t>
      </w:r>
      <w:r w:rsidR="00C95F68">
        <w:t>becomes unavailable</w:t>
      </w:r>
      <w:r w:rsidR="00547F52">
        <w:t xml:space="preserve"> as an electron acceptor for bacteria to </w:t>
      </w:r>
      <w:r w:rsidR="00515B2C">
        <w:t xml:space="preserve">degrade organic matter. </w:t>
      </w:r>
      <w:r w:rsidR="00B655C9">
        <w:fldChar w:fldCharType="begin"/>
      </w:r>
      <w:r w:rsidR="00B655C9">
        <w:instrText xml:space="preserve"> REF _Ref187140249 \h </w:instrText>
      </w:r>
      <w:r w:rsidR="00476F5B">
        <w:instrText xml:space="preserve"> \* MERGEFORMAT </w:instrText>
      </w:r>
      <w:r w:rsidR="00B655C9">
        <w:fldChar w:fldCharType="separate"/>
      </w:r>
      <w:r w:rsidR="00181F02">
        <w:t xml:space="preserve">Figure </w:t>
      </w:r>
      <w:r w:rsidR="00181F02">
        <w:rPr>
          <w:noProof/>
        </w:rPr>
        <w:t>3</w:t>
      </w:r>
      <w:r w:rsidR="00B655C9">
        <w:fldChar w:fldCharType="end"/>
      </w:r>
      <w:r w:rsidR="00B655C9">
        <w:t xml:space="preserve"> </w:t>
      </w:r>
      <w:r w:rsidR="00C95F68">
        <w:t>illustrates</w:t>
      </w:r>
      <w:r w:rsidR="00547F52">
        <w:t xml:space="preserve"> the </w:t>
      </w:r>
      <w:r w:rsidR="00C95F68">
        <w:t xml:space="preserve">mean concentration </w:t>
      </w:r>
      <w:r w:rsidR="00547F52">
        <w:t xml:space="preserve">evolution of </w:t>
      </w:r>
      <w:r w:rsidR="00B655C9">
        <w:t>DO</w:t>
      </w:r>
      <w:r w:rsidR="00547F52">
        <w:t xml:space="preserve">, </w:t>
      </w:r>
      <w:r w:rsidR="00B655C9">
        <w:t>NO</w:t>
      </w:r>
      <w:r w:rsidR="00B655C9" w:rsidRPr="00C95F68">
        <w:rPr>
          <w:vertAlign w:val="subscript"/>
        </w:rPr>
        <w:t>3</w:t>
      </w:r>
      <w:r w:rsidR="00B655C9" w:rsidRPr="00C95F68">
        <w:rPr>
          <w:vertAlign w:val="superscript"/>
        </w:rPr>
        <w:t>-</w:t>
      </w:r>
      <w:r w:rsidR="00547F52">
        <w:t xml:space="preserve"> and </w:t>
      </w:r>
      <w:r w:rsidR="00B655C9">
        <w:t>NO</w:t>
      </w:r>
      <w:r w:rsidR="00B655C9" w:rsidRPr="00C95F68">
        <w:rPr>
          <w:vertAlign w:val="subscript"/>
        </w:rPr>
        <w:t>2</w:t>
      </w:r>
      <w:r w:rsidR="00B655C9" w:rsidRPr="00C95F68">
        <w:rPr>
          <w:vertAlign w:val="superscript"/>
        </w:rPr>
        <w:t>-</w:t>
      </w:r>
      <w:r w:rsidR="00B655C9">
        <w:t xml:space="preserve"> in</w:t>
      </w:r>
      <w:r w:rsidR="00547F52">
        <w:t xml:space="preserve"> the </w:t>
      </w:r>
      <w:r w:rsidR="0027794C">
        <w:t>batch experiments</w:t>
      </w:r>
      <w:r w:rsidR="00547F52">
        <w:t>.</w:t>
      </w:r>
    </w:p>
    <w:p w14:paraId="5A5C2A0F" w14:textId="14D9C898" w:rsidR="00175CE1" w:rsidRPr="00175CE1" w:rsidRDefault="003F7541" w:rsidP="00865AB7">
      <w:pPr>
        <w:spacing w:line="276" w:lineRule="auto"/>
        <w:jc w:val="both"/>
      </w:pPr>
      <w:r>
        <w:t xml:space="preserve">As </w:t>
      </w:r>
      <w:r w:rsidR="00C95F68">
        <w:t>shown</w:t>
      </w:r>
      <w:r w:rsidR="00515B2C">
        <w:t xml:space="preserve"> in </w:t>
      </w:r>
      <w:r w:rsidR="0009514B">
        <w:fldChar w:fldCharType="begin"/>
      </w:r>
      <w:r w:rsidR="0009514B">
        <w:instrText xml:space="preserve"> REF _Ref187140249 \h </w:instrText>
      </w:r>
      <w:r w:rsidR="00476F5B">
        <w:instrText xml:space="preserve"> \* MERGEFORMAT </w:instrText>
      </w:r>
      <w:r w:rsidR="0009514B">
        <w:fldChar w:fldCharType="separate"/>
      </w:r>
      <w:r w:rsidR="00181F02">
        <w:t xml:space="preserve">Figure </w:t>
      </w:r>
      <w:r w:rsidR="00181F02">
        <w:rPr>
          <w:noProof/>
        </w:rPr>
        <w:t>3</w:t>
      </w:r>
      <w:r w:rsidR="0009514B">
        <w:fldChar w:fldCharType="end"/>
      </w:r>
      <w:r w:rsidR="00515B2C">
        <w:t>a</w:t>
      </w:r>
      <w:r>
        <w:t xml:space="preserve">, </w:t>
      </w:r>
      <w:r w:rsidR="007A3CEA">
        <w:t>DO</w:t>
      </w:r>
      <w:r>
        <w:t xml:space="preserve"> </w:t>
      </w:r>
      <w:r w:rsidR="00C95F68">
        <w:t>depletion</w:t>
      </w:r>
      <w:r>
        <w:t xml:space="preserve"> </w:t>
      </w:r>
      <w:r w:rsidR="00C95F68">
        <w:t>occurred</w:t>
      </w:r>
      <w:r>
        <w:t xml:space="preserve"> rapidly </w:t>
      </w:r>
      <w:r w:rsidR="00C95F68">
        <w:t>within the</w:t>
      </w:r>
      <w:r w:rsidR="00515B2C">
        <w:t xml:space="preserve"> first </w:t>
      </w:r>
      <w:r w:rsidR="00C95F68">
        <w:t xml:space="preserve">four </w:t>
      </w:r>
      <w:r w:rsidR="00515B2C">
        <w:t>days</w:t>
      </w:r>
      <w:r w:rsidR="00C95F68">
        <w:t>, dropping</w:t>
      </w:r>
      <w:r w:rsidR="00515B2C">
        <w:t xml:space="preserve"> </w:t>
      </w:r>
      <w:r w:rsidR="00432A0A">
        <w:t>from 8.8</w:t>
      </w:r>
      <w:r w:rsidR="00B9395C">
        <w:t xml:space="preserve"> </w:t>
      </w:r>
      <w:r w:rsidR="00C95F68">
        <w:t xml:space="preserve">to </w:t>
      </w:r>
      <w:r w:rsidR="00515B2C">
        <w:t>4</w:t>
      </w:r>
      <w:r w:rsidR="0009514B">
        <w:t xml:space="preserve"> mg</w:t>
      </w:r>
      <w:r w:rsidR="0009514B">
        <w:rPr>
          <w:rFonts w:eastAsiaTheme="minorEastAsia" w:cstheme="minorHAnsi"/>
        </w:rPr>
        <w:t>∙</w:t>
      </w:r>
      <w:r w:rsidR="00515B2C">
        <w:t>L</w:t>
      </w:r>
      <w:r w:rsidR="00515B2C" w:rsidRPr="00515B2C">
        <w:rPr>
          <w:vertAlign w:val="superscript"/>
        </w:rPr>
        <w:t>-1</w:t>
      </w:r>
      <w:r w:rsidR="00515B2C">
        <w:t xml:space="preserve">. </w:t>
      </w:r>
      <w:r w:rsidR="00C95F68">
        <w:t>This</w:t>
      </w:r>
      <w:r w:rsidR="00DE7FC9">
        <w:t xml:space="preserve"> </w:t>
      </w:r>
      <w:r w:rsidR="00DE7FC9" w:rsidRPr="00DE7FC9">
        <w:t>depletion is expected</w:t>
      </w:r>
      <w:r w:rsidR="00C95F68">
        <w:t>, as oxygen</w:t>
      </w:r>
      <w:r w:rsidR="00DE7FC9" w:rsidRPr="00DE7FC9">
        <w:t xml:space="preserve"> is the first electron acceptor used by bacteria to </w:t>
      </w:r>
      <w:r w:rsidR="00C95F68">
        <w:t>degrade</w:t>
      </w:r>
      <w:r w:rsidR="00DE7FC9" w:rsidRPr="00DE7FC9">
        <w:t xml:space="preserve"> high BDOC</w:t>
      </w:r>
      <w:r w:rsidR="00DE7FC9">
        <w:t xml:space="preserve">. </w:t>
      </w:r>
      <w:r w:rsidR="007A3CEA">
        <w:t>Afterward, the DO</w:t>
      </w:r>
      <w:r w:rsidR="00C95F68" w:rsidRPr="00C95F68">
        <w:t xml:space="preserve"> concentration decreased more slowly before increasing again in a linear </w:t>
      </w:r>
      <w:r w:rsidR="00B9395C">
        <w:t>way</w:t>
      </w:r>
      <w:r w:rsidR="00C95F68" w:rsidRPr="00C95F68">
        <w:t>.</w:t>
      </w:r>
      <w:r w:rsidR="00515B2C">
        <w:t xml:space="preserve"> </w:t>
      </w:r>
      <w:r w:rsidR="00341380">
        <w:t>Although</w:t>
      </w:r>
      <w:r w:rsidR="00341380" w:rsidRPr="00175CE1">
        <w:t xml:space="preserve"> </w:t>
      </w:r>
      <w:r w:rsidR="00175CE1" w:rsidRPr="00175CE1">
        <w:t xml:space="preserve">the batch reactors </w:t>
      </w:r>
      <w:r w:rsidR="00B9395C">
        <w:t>were</w:t>
      </w:r>
      <w:r w:rsidR="00B9395C" w:rsidRPr="00175CE1">
        <w:t xml:space="preserve"> </w:t>
      </w:r>
      <w:r w:rsidR="00341380">
        <w:t>designed</w:t>
      </w:r>
      <w:r w:rsidR="00175CE1" w:rsidRPr="00175CE1">
        <w:t xml:space="preserve"> as closed systems, </w:t>
      </w:r>
      <w:r w:rsidR="00341380">
        <w:t>the consistent oxygen increase observed later on during the experiment is most likely explained by unintended entrance through the pressure valves, which were directly connected to the ambient air inside the incubator</w:t>
      </w:r>
      <w:r w:rsidR="00175CE1">
        <w:t xml:space="preserve">. </w:t>
      </w:r>
      <w:r w:rsidR="00175CE1" w:rsidRPr="00175CE1">
        <w:t>Initially, this oxygen influx was not observable due to simultaneous oxygen consumption by bacteria at rates higher than the incoming oxygen. However, once the available BDOC was consumed, oxygen influx overcame consumpti</w:t>
      </w:r>
      <w:r w:rsidR="007D4A43">
        <w:t>on, leading to an increase in DO</w:t>
      </w:r>
      <w:r w:rsidR="00175CE1" w:rsidRPr="00175CE1">
        <w:t xml:space="preserve"> levels across the </w:t>
      </w:r>
      <w:r w:rsidR="0009514B">
        <w:t>batch experiments</w:t>
      </w:r>
      <w:r w:rsidR="00175CE1" w:rsidRPr="00175CE1">
        <w:t>.</w:t>
      </w:r>
      <w:r w:rsidR="00175CE1">
        <w:t xml:space="preserve"> This results in three distinct</w:t>
      </w:r>
      <w:r w:rsidR="007D4A43">
        <w:t xml:space="preserve"> phases: (i) oxic conditions (DO</w:t>
      </w:r>
      <w:r w:rsidR="00175CE1">
        <w:t xml:space="preserve"> &gt; 4 mg L⁻¹)</w:t>
      </w:r>
      <w:r w:rsidR="002B7A1B">
        <w:t xml:space="preserve"> </w:t>
      </w:r>
      <w:r w:rsidR="005D5435">
        <w:t xml:space="preserve">during </w:t>
      </w:r>
      <w:r w:rsidR="002B7A1B">
        <w:t>the first</w:t>
      </w:r>
      <w:r w:rsidR="009C6103">
        <w:t xml:space="preserve"> four</w:t>
      </w:r>
      <w:r w:rsidR="002B7A1B">
        <w:t xml:space="preserve"> days</w:t>
      </w:r>
      <w:r w:rsidR="00175CE1">
        <w:t xml:space="preserve">, (ii) </w:t>
      </w:r>
      <w:r w:rsidR="00635F70">
        <w:t>nitrate reducing</w:t>
      </w:r>
      <w:r w:rsidR="00175CE1">
        <w:t xml:space="preserve"> conditions </w:t>
      </w:r>
      <w:r w:rsidR="00420A32">
        <w:t xml:space="preserve">(NR) </w:t>
      </w:r>
      <w:r w:rsidR="00175CE1">
        <w:t>(</w:t>
      </w:r>
      <w:r w:rsidR="007D4A43">
        <w:t>3 &lt; DO</w:t>
      </w:r>
      <w:r w:rsidR="00175CE1">
        <w:t xml:space="preserve"> &lt; 4 mg L⁻¹)</w:t>
      </w:r>
      <w:r w:rsidR="002B7A1B">
        <w:t xml:space="preserve"> from day 4 to day 15</w:t>
      </w:r>
      <w:r w:rsidR="00175CE1">
        <w:t>, and (iii)</w:t>
      </w:r>
      <w:r w:rsidR="007036E3">
        <w:t xml:space="preserve"> a return to oxic conditions (DO</w:t>
      </w:r>
      <w:r w:rsidR="00175CE1">
        <w:t xml:space="preserve"> &gt; 4 mg L⁻¹)</w:t>
      </w:r>
      <w:r w:rsidR="002B7A1B">
        <w:t xml:space="preserve"> </w:t>
      </w:r>
      <w:r w:rsidR="009C6103">
        <w:t>lasting until</w:t>
      </w:r>
      <w:r w:rsidR="002B7A1B">
        <w:t xml:space="preserve"> the</w:t>
      </w:r>
      <w:r w:rsidR="009C6103">
        <w:t xml:space="preserve"> conclusion</w:t>
      </w:r>
      <w:r w:rsidR="002B7A1B">
        <w:t xml:space="preserve"> of the experiment</w:t>
      </w:r>
      <w:r w:rsidR="00175CE1">
        <w:t>.</w:t>
      </w:r>
      <w:r w:rsidR="007D4A43">
        <w:t xml:space="preserve"> </w:t>
      </w:r>
    </w:p>
    <w:p w14:paraId="579DE7B6" w14:textId="199F05EB" w:rsidR="003F7541" w:rsidRPr="003F0958" w:rsidRDefault="00175CE1" w:rsidP="00865AB7">
      <w:pPr>
        <w:spacing w:line="276" w:lineRule="auto"/>
        <w:jc w:val="both"/>
        <w:rPr>
          <w:rFonts w:cstheme="minorHAnsi"/>
          <w:i/>
        </w:rPr>
      </w:pPr>
      <w:r>
        <w:t>These observations are corroborated by nitrate and ni</w:t>
      </w:r>
      <w:r w:rsidR="0009514B">
        <w:t xml:space="preserve">trite dynamics shown in </w:t>
      </w:r>
      <w:r w:rsidR="0009514B">
        <w:fldChar w:fldCharType="begin"/>
      </w:r>
      <w:r w:rsidR="0009514B">
        <w:instrText xml:space="preserve"> REF _Ref187140249 \h </w:instrText>
      </w:r>
      <w:r w:rsidR="00476F5B">
        <w:instrText xml:space="preserve"> \* MERGEFORMAT </w:instrText>
      </w:r>
      <w:r w:rsidR="0009514B">
        <w:fldChar w:fldCharType="separate"/>
      </w:r>
      <w:r w:rsidR="00181F02">
        <w:t xml:space="preserve">Figure </w:t>
      </w:r>
      <w:r w:rsidR="00181F02">
        <w:rPr>
          <w:noProof/>
        </w:rPr>
        <w:t>3</w:t>
      </w:r>
      <w:r w:rsidR="0009514B">
        <w:fldChar w:fldCharType="end"/>
      </w:r>
      <w:r>
        <w:t>b. As O₂ concentrations decreased sufficiently</w:t>
      </w:r>
      <w:r w:rsidR="0009514B">
        <w:t>,</w:t>
      </w:r>
      <w:r>
        <w:t xml:space="preserve"> bacteria </w:t>
      </w:r>
      <w:r w:rsidR="002124CB">
        <w:t>started using</w:t>
      </w:r>
      <w:r>
        <w:t xml:space="preserve"> NO₃⁻ as an electron acceptor. Simultaneously, nitrate reduction led to the production of nitrite. </w:t>
      </w:r>
      <w:r w:rsidRPr="00175CE1">
        <w:t xml:space="preserve">Once </w:t>
      </w:r>
      <w:r w:rsidR="00420A32">
        <w:t>DO</w:t>
      </w:r>
      <w:r w:rsidRPr="00175CE1">
        <w:t xml:space="preserve"> levels exceeded 4 mg L⁻¹, denitrification </w:t>
      </w:r>
      <w:r>
        <w:t>is</w:t>
      </w:r>
      <w:r w:rsidRPr="00175CE1">
        <w:t xml:space="preserve"> inhibited, leading to a cessat</w:t>
      </w:r>
      <w:r>
        <w:t xml:space="preserve">ion of nitrate consumption and </w:t>
      </w:r>
      <w:r w:rsidR="003216B5">
        <w:t xml:space="preserve">thus, </w:t>
      </w:r>
      <w:r>
        <w:t>no further nitrite production.</w:t>
      </w:r>
      <w:r w:rsidR="003F0958">
        <w:t xml:space="preserve"> </w:t>
      </w:r>
      <w:r w:rsidR="002124CB" w:rsidRPr="003F0958">
        <w:rPr>
          <w:rFonts w:cstheme="minorHAnsi"/>
        </w:rPr>
        <w:t>This observation is supported by</w:t>
      </w:r>
      <w:r w:rsidR="00F23307">
        <w:rPr>
          <w:rFonts w:cstheme="minorHAnsi"/>
        </w:rPr>
        <w:t xml:space="preserve"> </w:t>
      </w:r>
      <w:r w:rsidR="00F23307">
        <w:rPr>
          <w:rFonts w:cstheme="minorHAnsi"/>
        </w:rPr>
        <w:fldChar w:fldCharType="begin"/>
      </w:r>
      <w:r w:rsidR="00F23307">
        <w:rPr>
          <w:rFonts w:cstheme="minorHAnsi"/>
        </w:rPr>
        <w:instrText xml:space="preserve"> QUOTE  "Green et al. (2008)" </w:instrText>
      </w:r>
      <w:r w:rsidR="00F23307">
        <w:rPr>
          <w:rFonts w:cstheme="minorHAnsi"/>
        </w:rPr>
        <w:fldChar w:fldCharType="separate"/>
      </w:r>
      <w:r w:rsidR="00F23307">
        <w:rPr>
          <w:rFonts w:cstheme="minorHAnsi"/>
        </w:rPr>
        <w:t>Green et al. (2008)</w:t>
      </w:r>
      <w:r w:rsidR="00F23307">
        <w:rPr>
          <w:rFonts w:cstheme="minorHAnsi"/>
        </w:rPr>
        <w:fldChar w:fldCharType="end"/>
      </w:r>
      <w:r w:rsidR="002124CB" w:rsidRPr="003F0958">
        <w:rPr>
          <w:rFonts w:cstheme="minorHAnsi"/>
        </w:rPr>
        <w:t xml:space="preserve">, who reported that </w:t>
      </w:r>
      <w:r w:rsidR="002124CB" w:rsidRPr="003F0958">
        <w:rPr>
          <w:rFonts w:cstheme="minorHAnsi"/>
          <w:color w:val="000000"/>
          <w:shd w:val="clear" w:color="auto" w:fill="FFFFFF"/>
        </w:rPr>
        <w:t xml:space="preserve">denitrification </w:t>
      </w:r>
      <w:r w:rsidR="00635F70">
        <w:rPr>
          <w:rFonts w:cstheme="minorHAnsi"/>
          <w:color w:val="000000"/>
          <w:shd w:val="clear" w:color="auto" w:fill="FFFFFF"/>
        </w:rPr>
        <w:t xml:space="preserve">can </w:t>
      </w:r>
      <w:r w:rsidR="0063392F">
        <w:rPr>
          <w:rFonts w:cstheme="minorHAnsi"/>
          <w:color w:val="000000"/>
          <w:shd w:val="clear" w:color="auto" w:fill="FFFFFF"/>
        </w:rPr>
        <w:t>persist</w:t>
      </w:r>
      <w:r w:rsidR="00635F70">
        <w:rPr>
          <w:rFonts w:cstheme="minorHAnsi"/>
          <w:color w:val="000000"/>
          <w:shd w:val="clear" w:color="auto" w:fill="FFFFFF"/>
        </w:rPr>
        <w:t xml:space="preserve"> </w:t>
      </w:r>
      <w:r w:rsidR="0063392F">
        <w:rPr>
          <w:rFonts w:cstheme="minorHAnsi"/>
          <w:color w:val="000000"/>
          <w:shd w:val="clear" w:color="auto" w:fill="FFFFFF"/>
        </w:rPr>
        <w:t>even when measured</w:t>
      </w:r>
      <w:r w:rsidR="00B655C9">
        <w:rPr>
          <w:rFonts w:cstheme="minorHAnsi"/>
          <w:color w:val="000000"/>
          <w:shd w:val="clear" w:color="auto" w:fill="FFFFFF"/>
        </w:rPr>
        <w:t xml:space="preserve"> DO </w:t>
      </w:r>
      <w:r w:rsidR="002124CB" w:rsidRPr="003F0958">
        <w:rPr>
          <w:rFonts w:cstheme="minorHAnsi"/>
          <w:color w:val="000000"/>
          <w:shd w:val="clear" w:color="auto" w:fill="FFFFFF"/>
        </w:rPr>
        <w:t>concentrations exceed</w:t>
      </w:r>
      <w:r w:rsidR="00635F70">
        <w:rPr>
          <w:rFonts w:cstheme="minorHAnsi"/>
          <w:color w:val="000000"/>
          <w:shd w:val="clear" w:color="auto" w:fill="FFFFFF"/>
        </w:rPr>
        <w:t>ing</w:t>
      </w:r>
      <w:r w:rsidR="0009514B">
        <w:rPr>
          <w:rFonts w:cstheme="minorHAnsi"/>
          <w:color w:val="000000"/>
          <w:shd w:val="clear" w:color="auto" w:fill="FFFFFF"/>
        </w:rPr>
        <w:t xml:space="preserve"> 3.0 mg∙</w:t>
      </w:r>
      <w:r w:rsidR="002124CB" w:rsidRPr="003F0958">
        <w:rPr>
          <w:rFonts w:cstheme="minorHAnsi"/>
          <w:color w:val="000000"/>
          <w:shd w:val="clear" w:color="auto" w:fill="FFFFFF"/>
        </w:rPr>
        <w:t>L</w:t>
      </w:r>
      <w:r w:rsidR="002124CB" w:rsidRPr="003F0958">
        <w:rPr>
          <w:rFonts w:cstheme="minorHAnsi"/>
          <w:color w:val="000000"/>
          <w:shd w:val="clear" w:color="auto" w:fill="FFFFFF"/>
          <w:vertAlign w:val="superscript"/>
        </w:rPr>
        <w:t>−1</w:t>
      </w:r>
      <w:r w:rsidR="0063392F">
        <w:rPr>
          <w:rFonts w:cstheme="minorHAnsi"/>
          <w:color w:val="000000"/>
          <w:shd w:val="clear" w:color="auto" w:fill="FFFFFF"/>
        </w:rPr>
        <w:t>, a</w:t>
      </w:r>
      <w:r w:rsidR="00635F70">
        <w:rPr>
          <w:rFonts w:cstheme="minorHAnsi"/>
          <w:color w:val="000000"/>
          <w:shd w:val="clear" w:color="auto" w:fill="FFFFFF"/>
        </w:rPr>
        <w:t xml:space="preserve"> process </w:t>
      </w:r>
      <w:r w:rsidR="0063392F">
        <w:rPr>
          <w:rFonts w:cstheme="minorHAnsi"/>
          <w:color w:val="000000"/>
          <w:shd w:val="clear" w:color="auto" w:fill="FFFFFF"/>
        </w:rPr>
        <w:t>known as</w:t>
      </w:r>
      <w:r w:rsidR="00635F70">
        <w:rPr>
          <w:rFonts w:cstheme="minorHAnsi"/>
          <w:color w:val="000000"/>
          <w:shd w:val="clear" w:color="auto" w:fill="FFFFFF"/>
        </w:rPr>
        <w:t xml:space="preserve"> aerobic denitrification.</w:t>
      </w:r>
    </w:p>
    <w:p w14:paraId="09C04BF0" w14:textId="59672ACA" w:rsidR="003216B5" w:rsidRDefault="00BF5B95" w:rsidP="00865AB7">
      <w:pPr>
        <w:spacing w:line="276" w:lineRule="auto"/>
        <w:jc w:val="both"/>
      </w:pPr>
      <w:r>
        <w:t>T</w:t>
      </w:r>
      <w:r w:rsidR="008534B9">
        <w:t xml:space="preserve">he </w:t>
      </w:r>
      <w:r w:rsidR="003216B5">
        <w:t xml:space="preserve">model </w:t>
      </w:r>
      <w:r w:rsidR="008534B9">
        <w:t>calibration</w:t>
      </w:r>
      <w:r w:rsidR="003216B5">
        <w:t xml:space="preserve"> closely reproduced the observed O₂, nitr</w:t>
      </w:r>
      <w:r w:rsidR="00307370">
        <w:t>ate, and nitrite concentrations (</w:t>
      </w:r>
      <w:r w:rsidR="00F727A6">
        <w:t xml:space="preserve">see </w:t>
      </w:r>
      <w:r w:rsidR="0009514B">
        <w:fldChar w:fldCharType="begin"/>
      </w:r>
      <w:r w:rsidR="0009514B">
        <w:instrText xml:space="preserve"> REF _Ref187140249 \h </w:instrText>
      </w:r>
      <w:r w:rsidR="00476F5B">
        <w:instrText xml:space="preserve"> \* MERGEFORMAT </w:instrText>
      </w:r>
      <w:r w:rsidR="0009514B">
        <w:fldChar w:fldCharType="separate"/>
      </w:r>
      <w:r w:rsidR="00181F02">
        <w:t xml:space="preserve">Figure </w:t>
      </w:r>
      <w:r w:rsidR="00181F02">
        <w:rPr>
          <w:noProof/>
        </w:rPr>
        <w:t>3</w:t>
      </w:r>
      <w:r w:rsidR="0009514B">
        <w:fldChar w:fldCharType="end"/>
      </w:r>
      <w:r w:rsidR="00307370">
        <w:t>)</w:t>
      </w:r>
      <w:r w:rsidR="003216B5">
        <w:t xml:space="preserve">. </w:t>
      </w:r>
      <w:r w:rsidR="003216B5" w:rsidRPr="003216B5">
        <w:t>The model successfully replicates the O₂ depletion and subsequent increase over time. The only significant deviation occurs at day 15, where the O₂ concentration mea</w:t>
      </w:r>
      <w:r w:rsidR="0096546D">
        <w:t>sured was higher than predicted</w:t>
      </w:r>
      <w:r w:rsidR="003216B5" w:rsidRPr="003216B5">
        <w:t>.</w:t>
      </w:r>
      <w:r w:rsidR="003216B5">
        <w:t xml:space="preserve"> </w:t>
      </w:r>
      <w:r w:rsidR="003216B5" w:rsidRPr="003216B5">
        <w:t xml:space="preserve">Regarding nitrate and nitrite, the model accurately captures their consumption and depletion during the </w:t>
      </w:r>
      <w:r w:rsidR="004B4E93">
        <w:t>nitrate reducing</w:t>
      </w:r>
      <w:r w:rsidR="003216B5" w:rsidRPr="003216B5">
        <w:t xml:space="preserve"> phase. </w:t>
      </w:r>
      <w:r w:rsidR="003216B5">
        <w:t>However</w:t>
      </w:r>
      <w:r w:rsidR="003216B5" w:rsidRPr="003216B5">
        <w:t xml:space="preserve">, error bars indicate greater uncertainty in </w:t>
      </w:r>
      <w:r w:rsidR="003216B5">
        <w:t>nitrite and nitrate</w:t>
      </w:r>
      <w:r w:rsidR="003216B5" w:rsidRPr="003216B5">
        <w:t xml:space="preserve"> measurements</w:t>
      </w:r>
      <w:r w:rsidR="003216B5">
        <w:t xml:space="preserve"> than for oxygen.</w:t>
      </w:r>
    </w:p>
    <w:p w14:paraId="610110D9" w14:textId="1C282F24" w:rsidR="00F51A63" w:rsidRPr="00EC1293" w:rsidRDefault="00EC1293" w:rsidP="00865AB7">
      <w:pPr>
        <w:spacing w:before="100" w:beforeAutospacing="1" w:after="100" w:afterAutospacing="1" w:line="276" w:lineRule="auto"/>
        <w:rPr>
          <w:rFonts w:ascii="Times New Roman" w:eastAsia="Times New Roman" w:hAnsi="Times New Roman" w:cs="Times New Roman"/>
          <w:sz w:val="24"/>
          <w:szCs w:val="24"/>
          <w:lang w:eastAsia="en-GB"/>
        </w:rPr>
      </w:pPr>
      <w:r w:rsidRPr="00EC1293">
        <w:rPr>
          <w:rFonts w:ascii="Times New Roman" w:eastAsia="Times New Roman" w:hAnsi="Times New Roman" w:cs="Times New Roman"/>
          <w:noProof/>
          <w:sz w:val="24"/>
          <w:szCs w:val="24"/>
          <w:lang w:eastAsia="en-GB"/>
        </w:rPr>
        <w:lastRenderedPageBreak/>
        <w:drawing>
          <wp:inline distT="0" distB="0" distL="0" distR="0" wp14:anchorId="7BD692E4" wp14:editId="6530EF27">
            <wp:extent cx="5364000" cy="2376441"/>
            <wp:effectExtent l="0" t="0" r="8255" b="5080"/>
            <wp:docPr id="4" name="Image 4" descr="C:\Users\glaud\Documents\Uliege\doctorat\paper\batch_experiments\figures\all_figur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aud\Documents\Uliege\doctorat\paper\batch_experiments\figures\all_figures\figur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4000" cy="2376441"/>
                    </a:xfrm>
                    <a:prstGeom prst="rect">
                      <a:avLst/>
                    </a:prstGeom>
                    <a:noFill/>
                    <a:ln>
                      <a:noFill/>
                    </a:ln>
                  </pic:spPr>
                </pic:pic>
              </a:graphicData>
            </a:graphic>
          </wp:inline>
        </w:drawing>
      </w:r>
    </w:p>
    <w:p w14:paraId="74EB99FC" w14:textId="504360A0" w:rsidR="00E819C3" w:rsidRPr="00E819C3" w:rsidRDefault="00F51A63" w:rsidP="00865AB7">
      <w:pPr>
        <w:pStyle w:val="Lgende"/>
        <w:spacing w:line="276" w:lineRule="auto"/>
        <w:jc w:val="center"/>
      </w:pPr>
      <w:bookmarkStart w:id="8" w:name="_Ref187140249"/>
      <w:bookmarkStart w:id="9" w:name="_Ref198124968"/>
      <w:r>
        <w:t xml:space="preserve">Figure </w:t>
      </w:r>
      <w:fldSimple w:instr=" SEQ Figure \* ARABIC ">
        <w:r w:rsidR="002E6038">
          <w:rPr>
            <w:noProof/>
          </w:rPr>
          <w:t>3</w:t>
        </w:r>
      </w:fldSimple>
      <w:bookmarkEnd w:id="8"/>
      <w:r>
        <w:t xml:space="preserve">. </w:t>
      </w:r>
      <w:r w:rsidR="0067537C" w:rsidRPr="0067537C">
        <w:t xml:space="preserve">Temporal evolution of the mean concentrations </w:t>
      </w:r>
      <w:r w:rsidR="0009514B">
        <w:t>in the batch experiments</w:t>
      </w:r>
      <w:r w:rsidR="0067537C" w:rsidRPr="0067537C">
        <w:t xml:space="preserve"> and corresponding ch</w:t>
      </w:r>
      <w:r w:rsidR="008534B9">
        <w:t xml:space="preserve">emical model predictions for a) oxygen and </w:t>
      </w:r>
      <w:r w:rsidR="0067537C" w:rsidRPr="0067537C">
        <w:t>b) nitrate/nitrite.</w:t>
      </w:r>
      <w:bookmarkEnd w:id="9"/>
    </w:p>
    <w:p w14:paraId="235C76F2" w14:textId="17C9AF79" w:rsidR="00935EDD" w:rsidRDefault="00DB1597" w:rsidP="00865AB7">
      <w:pPr>
        <w:pStyle w:val="Titre2"/>
        <w:numPr>
          <w:ilvl w:val="1"/>
          <w:numId w:val="1"/>
        </w:numPr>
        <w:spacing w:line="276" w:lineRule="auto"/>
      </w:pPr>
      <w:r>
        <w:t xml:space="preserve">BDOC </w:t>
      </w:r>
      <w:r w:rsidR="00307370">
        <w:t>evolution</w:t>
      </w:r>
    </w:p>
    <w:p w14:paraId="040E832D" w14:textId="6399A16B" w:rsidR="00DB1597" w:rsidRDefault="00227CA6" w:rsidP="00865AB7">
      <w:pPr>
        <w:spacing w:line="276" w:lineRule="auto"/>
        <w:jc w:val="both"/>
      </w:pPr>
      <w:r>
        <w:t>T</w:t>
      </w:r>
      <w:r w:rsidR="008577D0">
        <w:t xml:space="preserve">otal BDOC </w:t>
      </w:r>
      <w:r>
        <w:t xml:space="preserve">concentration evolution was monitored in the </w:t>
      </w:r>
      <w:r w:rsidR="003659AF">
        <w:t xml:space="preserve">batch experiments </w:t>
      </w:r>
      <w:r>
        <w:t>and in the abiotic control to assess bacteriological activity</w:t>
      </w:r>
      <w:r w:rsidR="00AE179B">
        <w:t xml:space="preserve"> (</w:t>
      </w:r>
      <w:r w:rsidR="00F727A6">
        <w:t xml:space="preserve">see </w:t>
      </w:r>
      <w:r w:rsidR="00AE179B">
        <w:fldChar w:fldCharType="begin"/>
      </w:r>
      <w:r w:rsidR="00AE179B">
        <w:instrText xml:space="preserve"> REF _Ref187165493 \h </w:instrText>
      </w:r>
      <w:r w:rsidR="00476F5B">
        <w:instrText xml:space="preserve"> \* MERGEFORMAT </w:instrText>
      </w:r>
      <w:r w:rsidR="00AE179B">
        <w:fldChar w:fldCharType="separate"/>
      </w:r>
      <w:r w:rsidR="00181F02">
        <w:t xml:space="preserve">Figure </w:t>
      </w:r>
      <w:r w:rsidR="00181F02">
        <w:rPr>
          <w:noProof/>
        </w:rPr>
        <w:t>4</w:t>
      </w:r>
      <w:r w:rsidR="00AE179B">
        <w:fldChar w:fldCharType="end"/>
      </w:r>
      <w:r w:rsidR="00AE179B">
        <w:t>)</w:t>
      </w:r>
      <w:r>
        <w:t xml:space="preserve">. </w:t>
      </w:r>
      <w:r w:rsidR="00482B37" w:rsidRPr="00482B37">
        <w:t xml:space="preserve">High BDOC introduced into the synthetic water was assumed to be biodegradable, while low BDOC remained recalcitrant. Under oxic conditions, bacteria consumed oxygen to degrade high BDOC. Once oxygen is sufficiently low, nitrate serves as an alternative electron acceptor under </w:t>
      </w:r>
      <w:r w:rsidR="00C50C8F">
        <w:t>NR</w:t>
      </w:r>
      <w:r w:rsidR="00482B37" w:rsidRPr="00482B37">
        <w:t xml:space="preserve"> conditions, allowi</w:t>
      </w:r>
      <w:r w:rsidR="00482B37">
        <w:t xml:space="preserve">ng biodegradation to continue. </w:t>
      </w:r>
      <w:r w:rsidR="00AD6225">
        <w:fldChar w:fldCharType="begin"/>
      </w:r>
      <w:r w:rsidR="00AD6225">
        <w:instrText xml:space="preserve"> REF _Ref187165493 \h </w:instrText>
      </w:r>
      <w:r w:rsidR="00476F5B">
        <w:instrText xml:space="preserve"> \* MERGEFORMAT </w:instrText>
      </w:r>
      <w:r w:rsidR="00AD6225">
        <w:fldChar w:fldCharType="separate"/>
      </w:r>
      <w:r w:rsidR="00160B1B">
        <w:t xml:space="preserve">Figure </w:t>
      </w:r>
      <w:r w:rsidR="00160B1B">
        <w:rPr>
          <w:noProof/>
        </w:rPr>
        <w:t>4</w:t>
      </w:r>
      <w:r w:rsidR="00AD6225">
        <w:fldChar w:fldCharType="end"/>
      </w:r>
      <w:r w:rsidR="00AE179B">
        <w:t>a</w:t>
      </w:r>
      <w:r w:rsidR="008577D0">
        <w:t xml:space="preserve"> shows an initial rapid degradation of high BDOC under</w:t>
      </w:r>
      <w:r w:rsidR="00AD6225">
        <w:t xml:space="preserve"> oxic conditions. </w:t>
      </w:r>
      <w:r w:rsidR="008577D0">
        <w:t xml:space="preserve">In </w:t>
      </w:r>
      <w:r w:rsidR="003D78A5">
        <w:t>NR</w:t>
      </w:r>
      <w:r w:rsidR="008577D0">
        <w:t xml:space="preserve"> conditions, </w:t>
      </w:r>
      <w:r w:rsidR="00AD6225">
        <w:t>biodegradation</w:t>
      </w:r>
      <w:r w:rsidR="008577D0">
        <w:t xml:space="preserve"> continues</w:t>
      </w:r>
      <w:r w:rsidR="00AD6225">
        <w:t xml:space="preserve"> but at a </w:t>
      </w:r>
      <w:r w:rsidR="008577D0">
        <w:t>s</w:t>
      </w:r>
      <w:r w:rsidR="00AD6225">
        <w:t xml:space="preserve">lower rate. </w:t>
      </w:r>
      <w:r w:rsidR="008577D0">
        <w:t>O</w:t>
      </w:r>
      <w:r w:rsidR="00AD6225">
        <w:t xml:space="preserve">nce oxic conditions are </w:t>
      </w:r>
      <w:r w:rsidR="008577D0">
        <w:t>restored</w:t>
      </w:r>
      <w:r w:rsidR="00AD6225">
        <w:t xml:space="preserve">, most of </w:t>
      </w:r>
      <w:r w:rsidR="008577D0">
        <w:t xml:space="preserve">the </w:t>
      </w:r>
      <w:r w:rsidR="00AD6225">
        <w:t xml:space="preserve">high BDOC (peptone) has already been biodegradaded, </w:t>
      </w:r>
      <w:r w:rsidR="008577D0">
        <w:t>resulting in</w:t>
      </w:r>
      <w:r w:rsidR="00AD6225">
        <w:t xml:space="preserve"> a c</w:t>
      </w:r>
      <w:r w:rsidR="008577D0">
        <w:t>onstant BDOC concentration, which represents the total concentration of humic acid.</w:t>
      </w:r>
    </w:p>
    <w:p w14:paraId="5AD44DE6" w14:textId="49E2DF74" w:rsidR="005F10AC" w:rsidRPr="00F77BAD" w:rsidRDefault="00AD6225" w:rsidP="00865AB7">
      <w:pPr>
        <w:spacing w:line="276" w:lineRule="auto"/>
        <w:jc w:val="both"/>
      </w:pPr>
      <w:r>
        <w:t>The model</w:t>
      </w:r>
      <w:r w:rsidR="008577D0">
        <w:t xml:space="preserve"> accurately</w:t>
      </w:r>
      <w:r>
        <w:t xml:space="preserve"> reproduces the </w:t>
      </w:r>
      <w:r w:rsidR="008577D0">
        <w:t xml:space="preserve">initial </w:t>
      </w:r>
      <w:r>
        <w:t xml:space="preserve">BDOC concentration </w:t>
      </w:r>
      <w:r w:rsidR="00507248">
        <w:t xml:space="preserve">the </w:t>
      </w:r>
      <w:r w:rsidR="008577D0">
        <w:t>first days</w:t>
      </w:r>
      <w:r w:rsidR="00AE179B">
        <w:t xml:space="preserve"> (</w:t>
      </w:r>
      <w:r w:rsidR="00F727A6">
        <w:t xml:space="preserve">see </w:t>
      </w:r>
      <w:r w:rsidR="00AE179B">
        <w:fldChar w:fldCharType="begin"/>
      </w:r>
      <w:r w:rsidR="00AE179B">
        <w:instrText xml:space="preserve"> REF _Ref187165493 \h </w:instrText>
      </w:r>
      <w:r w:rsidR="00476F5B">
        <w:instrText xml:space="preserve"> \* MERGEFORMAT </w:instrText>
      </w:r>
      <w:r w:rsidR="00AE179B">
        <w:fldChar w:fldCharType="separate"/>
      </w:r>
      <w:r w:rsidR="00160B1B">
        <w:t xml:space="preserve">Figure </w:t>
      </w:r>
      <w:r w:rsidR="00160B1B">
        <w:rPr>
          <w:noProof/>
        </w:rPr>
        <w:t>4</w:t>
      </w:r>
      <w:r w:rsidR="00AE179B">
        <w:fldChar w:fldCharType="end"/>
      </w:r>
      <w:r w:rsidR="00AE179B">
        <w:t>a)</w:t>
      </w:r>
      <w:r>
        <w:t xml:space="preserve">. However, </w:t>
      </w:r>
      <w:r w:rsidR="008577D0">
        <w:t>the subsequent BDOC observations are underestimated</w:t>
      </w:r>
      <w:r>
        <w:t xml:space="preserve">. </w:t>
      </w:r>
      <w:r w:rsidR="008577D0" w:rsidRPr="008577D0">
        <w:t>This discrepancy may be due to the model not accounting for the potential release of additional organic matter from the sediments.</w:t>
      </w:r>
      <w:r w:rsidR="0037602B">
        <w:t xml:space="preserve"> </w:t>
      </w:r>
      <w:r w:rsidR="005F10AC" w:rsidRPr="005F10AC">
        <w:t xml:space="preserve">Despite higher variability at intermediate times (e.g., third and seventh observations), a clear overall decrease is visible across the three replicates, with the mean BDOC concentration declining from 18.3 to 12.9 mg·L⁻¹ between the start and the end of the experiment. </w:t>
      </w:r>
      <w:r w:rsidR="00B0699C">
        <w:t>Similarly, total BDOC concentration was also monitored in the abiotic control t</w:t>
      </w:r>
      <w:r w:rsidR="00B0699C" w:rsidRPr="00F77BAD">
        <w:t xml:space="preserve">o assess </w:t>
      </w:r>
      <w:r w:rsidR="00B0699C">
        <w:t>its</w:t>
      </w:r>
      <w:r w:rsidR="00B0699C" w:rsidRPr="00F77BAD">
        <w:t xml:space="preserve"> reliability</w:t>
      </w:r>
      <w:r w:rsidR="00B0699C">
        <w:t xml:space="preserve"> (</w:t>
      </w:r>
      <w:r w:rsidR="00F727A6">
        <w:t xml:space="preserve">see </w:t>
      </w:r>
      <w:r w:rsidR="00B0699C">
        <w:fldChar w:fldCharType="begin"/>
      </w:r>
      <w:r w:rsidR="00B0699C">
        <w:instrText xml:space="preserve"> REF _Ref187165493 \h </w:instrText>
      </w:r>
      <w:r w:rsidR="00476F5B">
        <w:instrText xml:space="preserve"> \* MERGEFORMAT </w:instrText>
      </w:r>
      <w:r w:rsidR="00B0699C">
        <w:fldChar w:fldCharType="separate"/>
      </w:r>
      <w:r w:rsidR="00160B1B">
        <w:t xml:space="preserve">Figure </w:t>
      </w:r>
      <w:r w:rsidR="00160B1B">
        <w:rPr>
          <w:noProof/>
        </w:rPr>
        <w:t>4</w:t>
      </w:r>
      <w:r w:rsidR="00B0699C">
        <w:fldChar w:fldCharType="end"/>
      </w:r>
      <w:r w:rsidR="00B0699C">
        <w:t>b)</w:t>
      </w:r>
      <w:r w:rsidR="00B0699C" w:rsidRPr="00F77BAD">
        <w:t xml:space="preserve">. </w:t>
      </w:r>
      <w:r w:rsidR="005F10AC" w:rsidRPr="005F10AC">
        <w:t>In contrast, the abiotic control showed BDOC concentrations fluctuating around a constant mean BDOC value without systematic decrease, confirming that sterilization effectively inhibited microbial activity.</w:t>
      </w:r>
    </w:p>
    <w:p w14:paraId="1245691F" w14:textId="3CAC4698" w:rsidR="00AD6225" w:rsidRPr="00B94226" w:rsidRDefault="00E8160B" w:rsidP="00E8160B">
      <w:pPr>
        <w:pStyle w:val="NormalWeb"/>
        <w:jc w:val="center"/>
      </w:pPr>
      <w:r>
        <w:rPr>
          <w:noProof/>
        </w:rPr>
        <w:lastRenderedPageBreak/>
        <w:drawing>
          <wp:inline distT="0" distB="0" distL="0" distR="0" wp14:anchorId="595DED69" wp14:editId="48E4FD7B">
            <wp:extent cx="5527352" cy="2368765"/>
            <wp:effectExtent l="0" t="0" r="0" b="0"/>
            <wp:docPr id="1" name="Image 1" descr="C:\Users\glaud\Documents\Uliege\doctorat\WP2\batch_experiment\modeling_phreeqc\redox_calib\visualisation\merged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aud\Documents\Uliege\doctorat\WP2\batch_experiment\modeling_phreeqc\redox_calib\visualisation\merged_do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3235" cy="2371286"/>
                    </a:xfrm>
                    <a:prstGeom prst="rect">
                      <a:avLst/>
                    </a:prstGeom>
                    <a:noFill/>
                    <a:ln>
                      <a:noFill/>
                    </a:ln>
                  </pic:spPr>
                </pic:pic>
              </a:graphicData>
            </a:graphic>
          </wp:inline>
        </w:drawing>
      </w:r>
    </w:p>
    <w:p w14:paraId="36DFD0F3" w14:textId="425FC905" w:rsidR="00AD6225" w:rsidRDefault="00AD6225" w:rsidP="00865AB7">
      <w:pPr>
        <w:pStyle w:val="Lgende"/>
        <w:spacing w:line="276" w:lineRule="auto"/>
        <w:jc w:val="center"/>
      </w:pPr>
      <w:bookmarkStart w:id="10" w:name="_Ref187165493"/>
      <w:r>
        <w:t xml:space="preserve">Figure </w:t>
      </w:r>
      <w:fldSimple w:instr=" SEQ Figure \* ARABIC ">
        <w:r w:rsidR="002E6038">
          <w:rPr>
            <w:noProof/>
          </w:rPr>
          <w:t>4</w:t>
        </w:r>
      </w:fldSimple>
      <w:bookmarkEnd w:id="10"/>
      <w:r>
        <w:t>. Total BDOC evolution</w:t>
      </w:r>
      <w:r w:rsidR="00AE179B">
        <w:t xml:space="preserve"> in a) the </w:t>
      </w:r>
      <w:r w:rsidR="0009514B">
        <w:t>batch experiments</w:t>
      </w:r>
      <w:r w:rsidR="00AE179B">
        <w:t xml:space="preserve"> and b) the abiotic control.</w:t>
      </w:r>
    </w:p>
    <w:p w14:paraId="2D4BE068" w14:textId="12E3C8AF" w:rsidR="00935EDD" w:rsidRDefault="009E3A92" w:rsidP="00865AB7">
      <w:pPr>
        <w:pStyle w:val="Titre2"/>
        <w:numPr>
          <w:ilvl w:val="1"/>
          <w:numId w:val="1"/>
        </w:numPr>
        <w:spacing w:line="276" w:lineRule="auto"/>
      </w:pPr>
      <w:r>
        <w:t>CEC</w:t>
      </w:r>
      <w:r w:rsidR="009C6103">
        <w:t>s</w:t>
      </w:r>
      <w:r w:rsidR="00935EDD" w:rsidRPr="006D26F3">
        <w:t xml:space="preserve"> evolution</w:t>
      </w:r>
    </w:p>
    <w:p w14:paraId="1BBFFE0E" w14:textId="018022B0" w:rsidR="006B2515" w:rsidRDefault="00714B5E" w:rsidP="00865AB7">
      <w:pPr>
        <w:spacing w:line="276" w:lineRule="auto"/>
        <w:jc w:val="both"/>
      </w:pPr>
      <w:r w:rsidRPr="00714B5E">
        <w:t>The following section describe</w:t>
      </w:r>
      <w:r w:rsidR="00EC1325">
        <w:t>s</w:t>
      </w:r>
      <w:r w:rsidRPr="00714B5E">
        <w:t xml:space="preserve"> the temporal evolution of each </w:t>
      </w:r>
      <w:r w:rsidR="00E171DE">
        <w:t>studied CECs</w:t>
      </w:r>
      <w:r w:rsidR="00BE0FAC">
        <w:t xml:space="preserve"> </w:t>
      </w:r>
      <w:r w:rsidR="00E171DE">
        <w:t xml:space="preserve">in </w:t>
      </w:r>
      <w:r w:rsidR="009C6103">
        <w:t>the</w:t>
      </w:r>
      <w:r w:rsidR="00EC1325">
        <w:t xml:space="preserve"> abiotic control</w:t>
      </w:r>
      <w:r w:rsidR="00984943">
        <w:t xml:space="preserve"> (see </w:t>
      </w:r>
      <w:r w:rsidR="00984943">
        <w:fldChar w:fldCharType="begin"/>
      </w:r>
      <w:r w:rsidR="00984943">
        <w:instrText xml:space="preserve"> REF _Ref198284472 \h </w:instrText>
      </w:r>
      <w:r w:rsidR="00476F5B">
        <w:instrText xml:space="preserve"> \* MERGEFORMAT </w:instrText>
      </w:r>
      <w:r w:rsidR="00984943">
        <w:fldChar w:fldCharType="separate"/>
      </w:r>
      <w:r w:rsidR="00181F02">
        <w:t xml:space="preserve">Figure </w:t>
      </w:r>
      <w:r w:rsidR="00181F02">
        <w:rPr>
          <w:noProof/>
        </w:rPr>
        <w:t>5</w:t>
      </w:r>
      <w:r w:rsidR="00984943">
        <w:fldChar w:fldCharType="end"/>
      </w:r>
      <w:r w:rsidR="00984943">
        <w:t xml:space="preserve">) and in the batch experiments (see </w:t>
      </w:r>
      <w:r w:rsidR="00984943">
        <w:fldChar w:fldCharType="begin"/>
      </w:r>
      <w:r w:rsidR="00984943">
        <w:instrText xml:space="preserve"> REF _Ref198540294 \h </w:instrText>
      </w:r>
      <w:r w:rsidR="00476F5B">
        <w:instrText xml:space="preserve"> \* MERGEFORMAT </w:instrText>
      </w:r>
      <w:r w:rsidR="00984943">
        <w:fldChar w:fldCharType="separate"/>
      </w:r>
      <w:r w:rsidR="00181F02">
        <w:t xml:space="preserve">Figure </w:t>
      </w:r>
      <w:r w:rsidR="00181F02">
        <w:rPr>
          <w:noProof/>
        </w:rPr>
        <w:t>6</w:t>
      </w:r>
      <w:r w:rsidR="00984943">
        <w:fldChar w:fldCharType="end"/>
      </w:r>
      <w:r w:rsidR="00984943">
        <w:t>)</w:t>
      </w:r>
      <w:r w:rsidRPr="00714B5E">
        <w:t>. Additionally, the chemical models developed to reproduce the experimental results will also be presented, thereby highlighting the differences in</w:t>
      </w:r>
      <w:r>
        <w:t xml:space="preserve"> physico-chemical behavio</w:t>
      </w:r>
      <w:r w:rsidR="00A54DB9">
        <w:t>u</w:t>
      </w:r>
      <w:r>
        <w:t>r between each CEC</w:t>
      </w:r>
      <w:r w:rsidRPr="00714B5E">
        <w:t xml:space="preserve"> </w:t>
      </w:r>
      <w:r>
        <w:t>and how redox conditions affect it.</w:t>
      </w:r>
      <w:r w:rsidR="00EC1325">
        <w:t xml:space="preserve"> </w:t>
      </w:r>
      <w:r w:rsidR="00EC1325" w:rsidRPr="00EC1325">
        <w:t>A comparison between the fitted sorption parameters and those reported in the literature is included to assess consistency. Finally, total attenuation is quantified for each compound as the ratio between the model-predicted concentration at the end of the experiment (day 21) and the initial concentration.</w:t>
      </w:r>
      <w:r w:rsidR="00475069" w:rsidRPr="00475069">
        <w:t xml:space="preserve"> The complete set of </w:t>
      </w:r>
      <w:r w:rsidR="006B2515">
        <w:t>calibrated parameters</w:t>
      </w:r>
      <w:r w:rsidR="002D1108">
        <w:t xml:space="preserve"> </w:t>
      </w:r>
      <w:r w:rsidR="00475069" w:rsidRPr="00475069">
        <w:t>is available in</w:t>
      </w:r>
      <w:r w:rsidR="0009514B">
        <w:t xml:space="preserve"> the</w:t>
      </w:r>
      <w:r w:rsidR="00EC1325">
        <w:t xml:space="preserve"> </w:t>
      </w:r>
      <w:r w:rsidR="005F2193" w:rsidRPr="005F2193">
        <w:t>s</w:t>
      </w:r>
      <w:r w:rsidR="005004CC">
        <w:t>ection S7</w:t>
      </w:r>
      <w:r w:rsidR="00EC1325">
        <w:t xml:space="preserve"> in</w:t>
      </w:r>
      <w:r w:rsidR="00011A08" w:rsidRPr="005F2193">
        <w:t xml:space="preserve"> </w:t>
      </w:r>
      <w:r w:rsidR="00475069" w:rsidRPr="005F2193">
        <w:t xml:space="preserve">the </w:t>
      </w:r>
      <w:r w:rsidR="00011A08" w:rsidRPr="005F2193">
        <w:t>S</w:t>
      </w:r>
      <w:r w:rsidR="00475069" w:rsidRPr="005F2193">
        <w:t xml:space="preserve">upplementary </w:t>
      </w:r>
      <w:r w:rsidR="00011A08" w:rsidRPr="005F2193">
        <w:t>M</w:t>
      </w:r>
      <w:r w:rsidR="00475069" w:rsidRPr="005F2193">
        <w:t>aterial.</w:t>
      </w:r>
      <w:r w:rsidR="004A2DA3">
        <w:t xml:space="preserve"> </w:t>
      </w:r>
    </w:p>
    <w:p w14:paraId="4240E41C" w14:textId="3CF3AE43" w:rsidR="00714B5E" w:rsidRDefault="004A2DA3" w:rsidP="00865AB7">
      <w:pPr>
        <w:spacing w:line="276" w:lineRule="auto"/>
        <w:jc w:val="both"/>
      </w:pPr>
      <w:r w:rsidRPr="004A2DA3">
        <w:t xml:space="preserve">The results will be represented in relative concentration form, i.e. by comparing the </w:t>
      </w:r>
      <w:r w:rsidR="00EC1325">
        <w:t xml:space="preserve">concentration of each </w:t>
      </w:r>
      <w:r w:rsidRPr="004A2DA3">
        <w:t xml:space="preserve">contaminant </w:t>
      </w:r>
      <w:r w:rsidR="00EC1325">
        <w:t xml:space="preserve">to its </w:t>
      </w:r>
      <w:r w:rsidRPr="004A2DA3">
        <w:t xml:space="preserve">initial </w:t>
      </w:r>
      <w:r w:rsidR="00EC1325">
        <w:t>value</w:t>
      </w:r>
      <w:r w:rsidRPr="004A2DA3">
        <w:t>.</w:t>
      </w:r>
      <w:r w:rsidR="006B2515">
        <w:t xml:space="preserve"> </w:t>
      </w:r>
      <w:r w:rsidR="007810FC" w:rsidRPr="007810FC">
        <w:t>Observation points showing concentrations higher than the initial concentration were excluded from the analysis. While such increases could, in principle, result from the transformation of precursor compou</w:t>
      </w:r>
      <w:r w:rsidR="0009514B">
        <w:t xml:space="preserve">nds into degradation products, </w:t>
      </w:r>
      <w:r w:rsidR="007810FC" w:rsidRPr="007810FC">
        <w:t>as is the case for PFHxA potentially formed from the degradation of 6:2 FTS</w:t>
      </w:r>
      <w:r w:rsidR="00A14A0F">
        <w:t xml:space="preserve"> </w:t>
      </w:r>
      <w:r w:rsidR="00A14A0F">
        <w:fldChar w:fldCharType="begin"/>
      </w:r>
      <w:r w:rsidR="00A14A0F">
        <w:instrText xml:space="preserve"> ADDIN ZOTERO_ITEM CSL_CITATION {"citationID":"cXHxgVR2","properties":{"formattedCitation":"(Yang {\\i{}et al.}, 2014)","plainCitation":"(Yang et al., 2014)","noteIndex":0},"citationItems":[{"id":6994,"uris":["http://zotero.org/users/9753339/items/5JR5RABN"],"itemData":{"id":6994,"type":"article-journal","abstract":"Perfluorooctane sulfonate (PFOS), a widely used mist suppressant in hard chrome electroplating industry, has been listed in the Stockholm Convention for global ban. 6:2 Fluorotelomer sulfonate (6:2 FTS) acid and salts have been adopted as alternative products in the market, but no data about their abiotic degradation has been reported. In the present study, the degradability of 6:2 FTS potassium salt (6:2 FTS-K) was evaluated under various advanced oxidation processes, including ultraviolet (UV) irradiation, UV with hydrogen peroxide (H2O2), alkaline ozonation (O3, pH = 11), peroxone (O3/H2O2), and Fenton reagent oxidation (Fe2+/H2O2). UV/H2O2 was found to be the most effective approach, where the degradation of 6:2 FTS-K followed the pseudo-first-order kinetics. The intermediates were mainly shorter chain perfluoroalkyl carboxylic acid (C7 to C2), while sulfate (SO42−) and fluoride (F−) were found to be the final products. The high yields of SO42− and F− indicate that 6:2 FTS-K can be nearly completely desulfonated and defluorinated under UV/H2O2 condition. The degradation should firstly begin with the substitution of hydrogen atom by hydroxyl radicals, followed by desulfonation, carboxylation, and sequential “flake off” of CF2 unit. Compared with PFOS which is inert in most advanced oxidation processes, 6:2 FTS-K is more degradable as the alternative.","container-title":"Environmental Science and Pollution Research","DOI":"10.1007/s11356-013-2389-z","ISSN":"0944-1344, 1614-7499","issue":"6","journalAbbreviation":"Environ Sci Pollut Res","language":"en","license":"http://www.springer.com/tdm","page":"4634-4642","source":"DOI.org (Crossref)","title":"Stability of 6:2 fluorotelomer sulfonate in advanced oxidation processes: degradation kinetics and pathway","title-short":"Stability of 6","volume":"21","author":[{"family":"Yang","given":"Xiaoling"},{"family":"Huang","given":"Jun"},{"family":"Zhang","given":"Kunlun"},{"family":"Yu","given":"Gang"},{"family":"Deng","given":"Shubo"},{"family":"Wang","given":"Bin"}],"issued":{"date-parts":[["2014",3]]}}}],"schema":"https://github.com/citation-style-language/schema/raw/master/csl-citation.json"} </w:instrText>
      </w:r>
      <w:r w:rsidR="00A14A0F">
        <w:fldChar w:fldCharType="separate"/>
      </w:r>
      <w:r w:rsidR="00A14A0F" w:rsidRPr="00A14A0F">
        <w:rPr>
          <w:rFonts w:ascii="Calibri" w:hAnsi="Calibri" w:cs="Calibri"/>
          <w:szCs w:val="24"/>
        </w:rPr>
        <w:t xml:space="preserve">(Yang </w:t>
      </w:r>
      <w:r w:rsidR="00A14A0F" w:rsidRPr="00A14A0F">
        <w:rPr>
          <w:rFonts w:ascii="Calibri" w:hAnsi="Calibri" w:cs="Calibri"/>
          <w:i/>
          <w:iCs/>
          <w:szCs w:val="24"/>
        </w:rPr>
        <w:t>et al.</w:t>
      </w:r>
      <w:r w:rsidR="00A14A0F" w:rsidRPr="00A14A0F">
        <w:rPr>
          <w:rFonts w:ascii="Calibri" w:hAnsi="Calibri" w:cs="Calibri"/>
          <w:szCs w:val="24"/>
        </w:rPr>
        <w:t>, 2014)</w:t>
      </w:r>
      <w:r w:rsidR="00A14A0F">
        <w:fldChar w:fldCharType="end"/>
      </w:r>
      <w:r w:rsidR="0009514B">
        <w:t xml:space="preserve">, </w:t>
      </w:r>
      <w:r w:rsidR="007810FC" w:rsidRPr="007810FC">
        <w:t xml:space="preserve">this process is considered negligible in our system, since 6:2 FTS is predominantly removed through sorption rather than biodegradation. </w:t>
      </w:r>
      <w:r w:rsidR="00420A32">
        <w:t xml:space="preserve">Notably, </w:t>
      </w:r>
      <w:r w:rsidR="00420A32" w:rsidRPr="007810FC">
        <w:t>the observed increases are more likely attributable to analytical variability or measurement uncertainty</w:t>
      </w:r>
      <w:r w:rsidR="00420A32">
        <w:t xml:space="preserve">, </w:t>
      </w:r>
      <w:r w:rsidR="007810FC" w:rsidRPr="007810FC">
        <w:t>given the very low concentrations involved in these experiments.</w:t>
      </w:r>
    </w:p>
    <w:p w14:paraId="3C1CEDD0" w14:textId="0D510230" w:rsidR="002A644A" w:rsidRDefault="002A644A" w:rsidP="00865AB7">
      <w:pPr>
        <w:pStyle w:val="Titre3"/>
        <w:numPr>
          <w:ilvl w:val="2"/>
          <w:numId w:val="1"/>
        </w:numPr>
        <w:spacing w:before="0" w:after="120" w:line="276" w:lineRule="auto"/>
        <w:ind w:left="1077"/>
      </w:pPr>
      <w:r>
        <w:t xml:space="preserve">Abiotic control </w:t>
      </w:r>
    </w:p>
    <w:p w14:paraId="77CDAA73" w14:textId="413B67A8" w:rsidR="00274F7C" w:rsidRPr="00274F7C" w:rsidRDefault="002A5980" w:rsidP="00865AB7">
      <w:pPr>
        <w:spacing w:line="276" w:lineRule="auto"/>
        <w:rPr>
          <w:b/>
          <w:i/>
        </w:rPr>
      </w:pPr>
      <w:r>
        <w:rPr>
          <w:b/>
          <w:i/>
        </w:rPr>
        <w:t>Benzotriazoles</w:t>
      </w:r>
    </w:p>
    <w:p w14:paraId="6D76FD3D" w14:textId="0B8286BB" w:rsidR="00746C95" w:rsidRDefault="00693CE0" w:rsidP="00865AB7">
      <w:pPr>
        <w:spacing w:line="276" w:lineRule="auto"/>
        <w:jc w:val="both"/>
      </w:pPr>
      <w:r>
        <w:rPr>
          <w:lang w:val="fr-BE"/>
        </w:rPr>
        <w:fldChar w:fldCharType="begin"/>
      </w:r>
      <w:r w:rsidRPr="005B1539">
        <w:instrText xml:space="preserve"> REF _Ref198284472 \h </w:instrText>
      </w:r>
      <w:r>
        <w:rPr>
          <w:lang w:val="fr-BE"/>
        </w:rPr>
      </w:r>
      <w:r>
        <w:rPr>
          <w:lang w:val="fr-BE"/>
        </w:rPr>
        <w:fldChar w:fldCharType="separate"/>
      </w:r>
      <w:r w:rsidR="00181F02">
        <w:t xml:space="preserve">Figure </w:t>
      </w:r>
      <w:r w:rsidR="00181F02">
        <w:rPr>
          <w:noProof/>
        </w:rPr>
        <w:t>5</w:t>
      </w:r>
      <w:r>
        <w:rPr>
          <w:lang w:val="fr-BE"/>
        </w:rPr>
        <w:fldChar w:fldCharType="end"/>
      </w:r>
      <w:r w:rsidR="00984943">
        <w:t>a-b illustrate</w:t>
      </w:r>
      <w:r w:rsidR="005D5435">
        <w:t>s</w:t>
      </w:r>
      <w:r w:rsidR="002A644A" w:rsidRPr="00B95285">
        <w:t xml:space="preserve"> the temporal evolution of benzotriazole and tolyltriazole</w:t>
      </w:r>
      <w:r w:rsidR="00746C95">
        <w:t xml:space="preserve"> relative</w:t>
      </w:r>
      <w:r w:rsidR="002A644A" w:rsidRPr="00B95285">
        <w:t xml:space="preserve"> concentrations in the abiotic control. </w:t>
      </w:r>
      <w:r w:rsidR="00DB1C60">
        <w:t xml:space="preserve">Both compounds show a consistent decline over time, suggesting their removal from the aqueous phase through </w:t>
      </w:r>
      <w:r w:rsidR="002A644A">
        <w:t>sorption onto the lo</w:t>
      </w:r>
      <w:r w:rsidR="009E2632">
        <w:t>ess</w:t>
      </w:r>
      <w:r w:rsidR="002A644A">
        <w:t xml:space="preserve"> sediments</w:t>
      </w:r>
      <w:r w:rsidR="002A644A" w:rsidRPr="00B95285">
        <w:t xml:space="preserve">. </w:t>
      </w:r>
      <w:r w:rsidR="002A644A" w:rsidRPr="00AF4CC4">
        <w:t xml:space="preserve">The integrated sorption models accurately </w:t>
      </w:r>
      <w:r w:rsidR="00DB1C60">
        <w:t>closely match</w:t>
      </w:r>
      <w:r w:rsidR="002A644A" w:rsidRPr="00AF4CC4">
        <w:t xml:space="preserve"> the experimental </w:t>
      </w:r>
      <w:r w:rsidR="00DB1C60">
        <w:t>data</w:t>
      </w:r>
      <w:r w:rsidR="00746C95">
        <w:t xml:space="preserve">, </w:t>
      </w:r>
      <w:r w:rsidR="00DB1C60">
        <w:t>with</w:t>
      </w:r>
      <w:r w:rsidR="00746C95">
        <w:t xml:space="preserve"> RMSE</w:t>
      </w:r>
      <w:r w:rsidR="00DB1C60">
        <w:t>s</w:t>
      </w:r>
      <w:r w:rsidR="00746C95">
        <w:t xml:space="preserve"> </w:t>
      </w:r>
      <w:r w:rsidR="00DB1C60">
        <w:t xml:space="preserve">values </w:t>
      </w:r>
      <w:r w:rsidR="00746C95">
        <w:t>of 0.01</w:t>
      </w:r>
      <w:r w:rsidR="002A644A" w:rsidRPr="00AF4CC4">
        <w:t xml:space="preserve">9 for benzotriazole </w:t>
      </w:r>
      <w:r w:rsidR="002A644A" w:rsidRPr="00253336">
        <w:t>and 0</w:t>
      </w:r>
      <w:r w:rsidR="00746C95">
        <w:t>.017</w:t>
      </w:r>
      <w:r w:rsidR="002A644A" w:rsidRPr="00253336">
        <w:t xml:space="preserve"> for tolyltriazole. </w:t>
      </w:r>
    </w:p>
    <w:p w14:paraId="61642217" w14:textId="10DFAF84" w:rsidR="002A644A" w:rsidRPr="001F5C3A" w:rsidRDefault="00746C95" w:rsidP="00865AB7">
      <w:pPr>
        <w:spacing w:line="276" w:lineRule="auto"/>
        <w:jc w:val="both"/>
      </w:pPr>
      <w:r w:rsidRPr="00746C95">
        <w:t>By the end of the experiment, approximately 16%</w:t>
      </w:r>
      <w:r w:rsidR="00DB1C60">
        <w:t xml:space="preserve"> of the initial benzotriazole mass</w:t>
      </w:r>
      <w:r w:rsidRPr="00746C95">
        <w:t xml:space="preserve"> and 19% of the tolylt</w:t>
      </w:r>
      <w:r w:rsidR="00DB1C60">
        <w:t>riazole mass had been adsorbed onto the sediments. This higher sorption of tolyltriazole is consisten</w:t>
      </w:r>
      <w:r w:rsidR="001F5C3A">
        <w:t xml:space="preserve">t with its </w:t>
      </w:r>
      <w:r w:rsidR="003659AF">
        <w:t>higher log K</w:t>
      </w:r>
      <w:r w:rsidR="003659AF" w:rsidRPr="00746C95">
        <w:rPr>
          <w:vertAlign w:val="subscript"/>
        </w:rPr>
        <w:t>oc</w:t>
      </w:r>
      <w:r w:rsidR="0080780F">
        <w:rPr>
          <w:vertAlign w:val="subscript"/>
        </w:rPr>
        <w:t xml:space="preserve"> </w:t>
      </w:r>
      <w:r w:rsidR="003659AF">
        <w:t>compared to benzotriazole</w:t>
      </w:r>
      <w:r w:rsidR="001F5C3A">
        <w:t xml:space="preserve">, as also reported by </w:t>
      </w:r>
      <w:r w:rsidR="002A644A">
        <w:fldChar w:fldCharType="begin"/>
      </w:r>
      <w:r w:rsidR="002A644A">
        <w:instrText xml:space="preserve"> QUOTE  "Hart et al. (2004)" </w:instrText>
      </w:r>
      <w:r w:rsidR="002A644A">
        <w:fldChar w:fldCharType="separate"/>
      </w:r>
      <w:r w:rsidR="002A644A">
        <w:t xml:space="preserve">Hart </w:t>
      </w:r>
      <w:r w:rsidR="002A644A" w:rsidRPr="006842C7">
        <w:rPr>
          <w:i/>
        </w:rPr>
        <w:t>et al.</w:t>
      </w:r>
      <w:r w:rsidR="002A644A">
        <w:t xml:space="preserve"> (2004)</w:t>
      </w:r>
      <w:r w:rsidR="002A644A">
        <w:fldChar w:fldCharType="end"/>
      </w:r>
      <w:r w:rsidR="003659AF">
        <w:t xml:space="preserve"> </w:t>
      </w:r>
      <w:r w:rsidR="001F5C3A">
        <w:t xml:space="preserve">in </w:t>
      </w:r>
      <w:r w:rsidR="001F5C3A">
        <w:lastRenderedPageBreak/>
        <w:t>different types of soil</w:t>
      </w:r>
      <w:r w:rsidR="003659AF">
        <w:t>s</w:t>
      </w:r>
      <w:r w:rsidR="001F5C3A">
        <w:t xml:space="preserve">. </w:t>
      </w:r>
      <w:r w:rsidR="001F5C3A" w:rsidRPr="001F5C3A">
        <w:t>This implies stronger interactions with the organic matter content of the l</w:t>
      </w:r>
      <w:r w:rsidR="009E2632">
        <w:t xml:space="preserve">oess </w:t>
      </w:r>
      <w:r w:rsidR="001F5C3A" w:rsidRPr="001F5C3A">
        <w:t>sediment</w:t>
      </w:r>
      <w:r w:rsidR="00927E97">
        <w:t>s</w:t>
      </w:r>
      <w:r w:rsidR="001F5C3A">
        <w:t>.</w:t>
      </w:r>
    </w:p>
    <w:p w14:paraId="64EC6B63" w14:textId="492446A9" w:rsidR="002A644A" w:rsidRDefault="00274F7C" w:rsidP="00865AB7">
      <w:pPr>
        <w:spacing w:line="276" w:lineRule="auto"/>
        <w:rPr>
          <w:b/>
          <w:i/>
        </w:rPr>
      </w:pPr>
      <w:r w:rsidRPr="00274F7C">
        <w:rPr>
          <w:b/>
          <w:i/>
        </w:rPr>
        <w:t>PFAS</w:t>
      </w:r>
    </w:p>
    <w:p w14:paraId="1499BE24" w14:textId="3CED49D1" w:rsidR="002A5980" w:rsidRDefault="002A5980" w:rsidP="00865AB7">
      <w:pPr>
        <w:spacing w:line="276" w:lineRule="auto"/>
        <w:jc w:val="both"/>
      </w:pPr>
      <w:r>
        <w:t>PFAS also exhibit</w:t>
      </w:r>
      <w:r w:rsidR="00B9395C">
        <w:t>ed</w:t>
      </w:r>
      <w:r>
        <w:t xml:space="preserve"> sorption onto loess materials, with the extent of sorption varying depending on the specific PFAS compound.</w:t>
      </w:r>
      <w:r w:rsidR="00984943">
        <w:t xml:space="preserve"> </w:t>
      </w:r>
      <w:r w:rsidR="00693CE0">
        <w:fldChar w:fldCharType="begin"/>
      </w:r>
      <w:r w:rsidR="00693CE0">
        <w:instrText xml:space="preserve"> REF _Ref198284472 \h </w:instrText>
      </w:r>
      <w:r w:rsidR="00693CE0">
        <w:fldChar w:fldCharType="separate"/>
      </w:r>
      <w:r w:rsidR="00181F02">
        <w:t xml:space="preserve">Figure </w:t>
      </w:r>
      <w:r w:rsidR="00181F02">
        <w:rPr>
          <w:noProof/>
        </w:rPr>
        <w:t>5</w:t>
      </w:r>
      <w:r w:rsidR="00693CE0">
        <w:fldChar w:fldCharType="end"/>
      </w:r>
      <w:r w:rsidR="00693CE0">
        <w:t>c</w:t>
      </w:r>
      <w:r w:rsidR="00984943">
        <w:t>-</w:t>
      </w:r>
      <w:r w:rsidR="00693CE0">
        <w:t>f</w:t>
      </w:r>
      <w:r>
        <w:t xml:space="preserve"> illustrates the temporal evolution of different PFAS concentrations in the abiotic control. All compounds, except PFECHS, show</w:t>
      </w:r>
      <w:r w:rsidR="00A4323B">
        <w:t>ed</w:t>
      </w:r>
      <w:r>
        <w:t xml:space="preserve"> a </w:t>
      </w:r>
      <w:r w:rsidR="003659AF">
        <w:t xml:space="preserve">decrease </w:t>
      </w:r>
      <w:r>
        <w:t xml:space="preserve">in concentration to varying extents. </w:t>
      </w:r>
    </w:p>
    <w:p w14:paraId="692023A6" w14:textId="555D1C3A" w:rsidR="002A5980" w:rsidRDefault="002A5980" w:rsidP="00865AB7">
      <w:pPr>
        <w:spacing w:line="276" w:lineRule="auto"/>
        <w:jc w:val="both"/>
      </w:pPr>
      <w:r>
        <w:t xml:space="preserve">Sorption of PFAS is particularly more complex than that of conventional organic compounds, as highlighted by </w:t>
      </w:r>
      <w:r>
        <w:fldChar w:fldCharType="begin"/>
      </w:r>
      <w:r>
        <w:instrText xml:space="preserve"> QUOTE  "Kookana et al (2022)" </w:instrText>
      </w:r>
      <w:r>
        <w:fldChar w:fldCharType="separate"/>
      </w:r>
      <w:r>
        <w:t xml:space="preserve">Kookana </w:t>
      </w:r>
      <w:r w:rsidRPr="0020181A">
        <w:rPr>
          <w:i/>
        </w:rPr>
        <w:t>et al</w:t>
      </w:r>
      <w:r>
        <w:t xml:space="preserve"> (2022)</w:t>
      </w:r>
      <w:r>
        <w:fldChar w:fldCharType="end"/>
      </w:r>
      <w:r>
        <w:t xml:space="preserve">. This complexity arises from the unique properties of PFAS, including the exceptional strong C-F bond and the molecule’s amphiphilic nature, with a hydrophobic tail and a hydrophilic head </w:t>
      </w:r>
      <w:r>
        <w:fldChar w:fldCharType="begin"/>
      </w:r>
      <w:r>
        <w:instrText xml:space="preserve"> ADDIN ZOTERO_ITEM CSL_CITATION {"citationID":"n7ots31k","properties":{"formattedCitation":"(Itumoh {\\i{}et al.}, 2024)","plainCitation":"(Itumoh et al., 2024)","noteIndex":0},"citationItems":[{"id":6717,"uris":["http://zotero.org/users/9753339/items/LS4W6Z4S"],"itemData":{"id":6717,"type":"article-journal","abstract":"The combined stability, mobility, and bioaccumulation of per- and poly-fluoroalkyl substances (PFAS) has prompted a global environmental crisis.\n          , \n            The combined stability, mobility, and bioaccumulation of per- and poly-fluoroalkyl substances (PFAS) has prompted a global environmental crisis. PFAS have unique properties owing to their strong, hydrophobic C–F bonds, which result in their resistance to water, oil, chemicals, and heat. Applications of PFAS include their use as water-, grease-, and fire-proof coatings, emulsifiers, and surfactants, spanning most manufacturing sectors. The continued regulation of specific PFAS provides significant research opportunities for chemists and their collaborators across environmental, social, engineering, and materials sciences. Solutions in the areas of detection and analysis, immobilisation and destruction, and the creation of viable and safe alternatives are urgently needed. In this tutorial review, PFAS and their associated challenges are described, followed by a summary of existing solutions and future research opportunities.","container-title":"RSC Sustainability","DOI":"10.1039/D4SU00152D","ISSN":"2753-8125","journalAbbreviation":"RSC Sustain.","language":"en","page":"10.1039.D4SU00152D","source":"DOI.org (Crossref)","title":"Addressing the persistence of per- and poly-fluoroalkyl substances (PFAS): current challenges and potential solutions","title-short":"Addressing the persistence of per- and poly-fluoroalkyl substances (PFAS)","author":[{"family":"Itumoh","given":"Emeka J."},{"family":"Data","given":"Shailja"},{"family":"Chen","given":"Jack L.-Y."},{"family":"Kah","given":"Melanie"},{"family":"Padhye","given":"Lokesh P."},{"family":"Leitao","given":"Erin M."}],"issued":{"date-parts":[["2024"]]}}}],"schema":"https://github.com/citation-style-language/schema/raw/master/csl-citation.json"} </w:instrText>
      </w:r>
      <w:r>
        <w:fldChar w:fldCharType="separate"/>
      </w:r>
      <w:r w:rsidRPr="00941E39">
        <w:rPr>
          <w:rFonts w:ascii="Calibri" w:hAnsi="Calibri" w:cs="Calibri"/>
          <w:szCs w:val="24"/>
        </w:rPr>
        <w:t xml:space="preserve">(Itumoh </w:t>
      </w:r>
      <w:r w:rsidRPr="00941E39">
        <w:rPr>
          <w:rFonts w:ascii="Calibri" w:hAnsi="Calibri" w:cs="Calibri"/>
          <w:i/>
          <w:iCs/>
          <w:szCs w:val="24"/>
        </w:rPr>
        <w:t>et al.</w:t>
      </w:r>
      <w:r w:rsidRPr="00941E39">
        <w:rPr>
          <w:rFonts w:ascii="Calibri" w:hAnsi="Calibri" w:cs="Calibri"/>
          <w:szCs w:val="24"/>
        </w:rPr>
        <w:t>, 2024)</w:t>
      </w:r>
      <w:r>
        <w:fldChar w:fldCharType="end"/>
      </w:r>
      <w:r>
        <w:t xml:space="preserve">. In this study, the PFAS were predominantly present in their anionic forms, which make them more </w:t>
      </w:r>
      <w:r w:rsidR="0080780F">
        <w:t xml:space="preserve">soluble in </w:t>
      </w:r>
      <w:r>
        <w:t xml:space="preserve">water than under cationic or zwitterionic forms </w:t>
      </w:r>
      <w:r>
        <w:fldChar w:fldCharType="begin"/>
      </w:r>
      <w:r>
        <w:instrText xml:space="preserve"> ADDIN ZOTERO_ITEM CSL_CITATION {"citationID":"oAAWieA4","properties":{"formattedCitation":"(Mejia-Avenda\\uc0\\u241{}o {\\i{}et al.}, 2020)","plainCitation":"(Mejia-Avendaño et al., 2020)","noteIndex":0},"citationItems":[{"id":6395,"uris":["http://zotero.org/users/9753339/items/C3SP5U9B"],"itemData":{"id":6395,"type":"article-journal","abstract":"Zwitterionic, cationic, and anionic per- and polyﬂuoroalkyl substances (PFASs) are identiﬁed in aqueous ﬁlm-forming foam (AFFF) concentrates and AFFF-impacted sites. However, the mobility potential of zwitterionic and cationic PFASs is poorly understood, preventing reliable site assessment. The study aimed to elucidate the mobility behaviors of PFASs of various charge states in saturated soil−water systems and assess critical inﬂuencing factors. Five anionic, three zwitterionic, and one cationic PFASs were investigated in ﬁve soils through batch sorption experiments. Pairwise comparison revealed that the quaternary ammonium group imparted a strong aﬃnity of cationic perﬂuorooctaneamide ammonium compound (PFOAAmS) for soils. The inﬂuence of the quaternary ammonium group is mitigated in polyﬂuoroalkyl betaines, yet perﬂuorooctane sulfonamidoalkyl betaine (PFOSB) showed strong sorption in selected soils. Two soil bulk properties showed some correlations with the soil−water distribution coeﬃcient (Kd). A positive correlation with the fraction of soil organic carbon was found only for anionic PFASs, whereas cation exchange capacity had an approximate positive correlation with Kd only for PFOAAmS. Water chemistry (Ca2+ and pH) inﬂuences the sorption of nonanionic PFASs in very distinct fashions or even in opposite trends to what was known for anionic PFASs. Sorption was insensitive to pH changes except for PFOSB; PFOSB underwent profound sorption reduction because its speciation occurs around neutral pH, while the two other betaines and PFOAAmS have pKa values that are outside of the environmentally relevant range. The lack of correlations suggests that the transport potential of PFASs is probably highly site-speciﬁc. It remains a challenge in deciphering PFAS sorption mechanisms and predicting how AFFF plumes migrate.","container-title":"Environmental Science &amp; Technology","DOI":"10.1021/acs.est.9b04989","ISSN":"0013-936X, 1520-5851","issue":"3","journalAbbreviation":"Environ. Sci. Technol.","language":"en","page":"1513-1521","source":"DOI.org (Crossref)","title":"Sorption of Polyfluoroalkyl Surfactants on Surface Soils: Effect of Molecular Structures, Soil Properties, and Solution Chemistry","title-short":"Sorption of Polyfluoroalkyl Surfactants on Surface Soils","volume":"54","author":[{"family":"Mejia-Avendaño","given":"Sandra"},{"family":"Zhi","given":"Yue"},{"family":"Yan","given":"Bei"},{"family":"Liu","given":"Jinxia"}],"issued":{"date-parts":[["2020",2,4]]}}}],"schema":"https://github.com/citation-style-language/schema/raw/master/csl-citation.json"} </w:instrText>
      </w:r>
      <w:r>
        <w:fldChar w:fldCharType="separate"/>
      </w:r>
      <w:r w:rsidRPr="00B87B72">
        <w:rPr>
          <w:rFonts w:ascii="Calibri" w:hAnsi="Calibri" w:cs="Calibri"/>
          <w:szCs w:val="24"/>
        </w:rPr>
        <w:t xml:space="preserve">(Mejia-Avendaño </w:t>
      </w:r>
      <w:r w:rsidRPr="00B87B72">
        <w:rPr>
          <w:rFonts w:ascii="Calibri" w:hAnsi="Calibri" w:cs="Calibri"/>
          <w:i/>
          <w:iCs/>
          <w:szCs w:val="24"/>
        </w:rPr>
        <w:t>et al.</w:t>
      </w:r>
      <w:r w:rsidRPr="00B87B72">
        <w:rPr>
          <w:rFonts w:ascii="Calibri" w:hAnsi="Calibri" w:cs="Calibri"/>
          <w:szCs w:val="24"/>
        </w:rPr>
        <w:t>, 2020)</w:t>
      </w:r>
      <w:r>
        <w:fldChar w:fldCharType="end"/>
      </w:r>
      <w:r>
        <w:t xml:space="preserve">. In saturated soils, factors influencing PFAS sorption include the physiochemical properties of the specific PFAS compounds, soil organic matter content, mineral composition, </w:t>
      </w:r>
      <w:r w:rsidR="00A4323B">
        <w:t xml:space="preserve">pH, </w:t>
      </w:r>
      <w:r>
        <w:t xml:space="preserve">and soil solution chemistry </w:t>
      </w:r>
      <w:r>
        <w:fldChar w:fldCharType="begin"/>
      </w:r>
      <w:r>
        <w:instrText xml:space="preserve"> ADDIN ZOTERO_ITEM CSL_CITATION {"citationID":"dS1hW90W","properties":{"formattedCitation":"(Kookana {\\i{}et al.}, 2022)","plainCitation":"(Kookana et al., 2022)","noteIndex":0},"citationItems":[{"id":6921,"uris":["http://zotero.org/users/9753339/items/P52EIQ6B"],"itemData":{"id":6921,"type":"article-journal","abstract":"Poly- and perﬂuoroalkyl substances (PFAS) have been widely used worldwide over the last seven decades in &gt;200 diverse industrial applications. Thousands of different PFAS have been used in a wide range of products, such as food packaging, water-repellent and stain-resistant clothing and ﬁre-ﬁghting foams. Partially due to their extreme stability and high mobility, PFAS are now ubiquitous in the environment. Due to their prolonged persistence, some PFAS have been added to the list of persistent organic pollutants. Sorption is one of the fundamental processes that governs environmental fate and effects of organic chemicals. In recent years, a signiﬁcant body of literature has been published on sorption of PFAS in soils. However, there are conﬂicting reports about the soil or sediment properties that may be used to predict the mobility of PFAS in the soil environment. This is not surprising because PFAS have complex chemical properties (anionic, cationic and zwitterionic charges together with surface active properties) that inﬂuence their sorption–desorption behaviour. Additionally, PFAS show a ﬂuid–water interfacial adsorption phenomenon and such interfaces offer additional retention mechanisms in unsaturated or oil-contaminated soils. In this review, we analyse the literature on sorption and desorption of PFAS to evaluate the dominant soil and solution properties that govern their sorption–desorption behaviour in saturated and unsaturated soils. We also identify the knowledge gaps that need to be addressed in order to gain a sound understanding of their sorption–desorption behaviour in saturated as well as unsaturated soils.","container-title":"Soil Research","DOI":"10.1071/SR22183","ISSN":"1838-675X, 1838-6768","issue":"2","journalAbbreviation":"Soil Res.","language":"en","page":"107-125","source":"DOI.org (Crossref)","title":"Key properties governing sorption–desorption behaviour of poly- and perfluoroalkyl substances in saturated and unsaturated soils: a review","title-short":"Key properties governing sorption–desorption behaviour of poly- and perfluoroalkyl substances in saturated and unsaturated soils","volume":"61","author":[{"family":"Kookana","given":"Rai S."},{"family":"Navarro","given":"Divina A."},{"family":"Kabiri","given":"Shervin"},{"family":"McLaughlin","given":"Mike J."}],"editor":[{"family":"Singh","given":"Balwant"}],"issued":{"date-parts":[["2022",12,16]]}}}],"schema":"https://github.com/citation-style-language/schema/raw/master/csl-citation.json"} </w:instrText>
      </w:r>
      <w:r>
        <w:fldChar w:fldCharType="separate"/>
      </w:r>
      <w:r w:rsidRPr="00941E39">
        <w:rPr>
          <w:rFonts w:ascii="Calibri" w:hAnsi="Calibri" w:cs="Calibri"/>
          <w:szCs w:val="24"/>
        </w:rPr>
        <w:t xml:space="preserve">(Kookana </w:t>
      </w:r>
      <w:r w:rsidRPr="00941E39">
        <w:rPr>
          <w:rFonts w:ascii="Calibri" w:hAnsi="Calibri" w:cs="Calibri"/>
          <w:i/>
          <w:iCs/>
          <w:szCs w:val="24"/>
        </w:rPr>
        <w:t>et al.</w:t>
      </w:r>
      <w:r w:rsidRPr="00941E39">
        <w:rPr>
          <w:rFonts w:ascii="Calibri" w:hAnsi="Calibri" w:cs="Calibri"/>
          <w:szCs w:val="24"/>
        </w:rPr>
        <w:t>, 2022)</w:t>
      </w:r>
      <w:r>
        <w:fldChar w:fldCharType="end"/>
      </w:r>
      <w:r>
        <w:t>. Nevertheless, in the abiotic control, these complex interactions are integrated all together, making it challenging to attribute the sorption behavio</w:t>
      </w:r>
      <w:r w:rsidR="00A54DB9">
        <w:t>u</w:t>
      </w:r>
      <w:r>
        <w:t>r of a particular PFAS compound to a single factor. Hypotheses can only be proposed to explain why some PFAS compounds exhibit stronger sorption than others.</w:t>
      </w:r>
      <w:r w:rsidR="0086798B">
        <w:t xml:space="preserve"> As such, </w:t>
      </w:r>
      <w:r w:rsidR="0086798B" w:rsidRPr="0086798B">
        <w:t>a detailed comparison of our results with previous PFAS sorption stud</w:t>
      </w:r>
      <w:r w:rsidR="00787120">
        <w:t xml:space="preserve">ies is provided in Section </w:t>
      </w:r>
      <w:r w:rsidR="00787120">
        <w:fldChar w:fldCharType="begin"/>
      </w:r>
      <w:r w:rsidR="00787120">
        <w:instrText xml:space="preserve"> REF _Ref208241472 \r \h </w:instrText>
      </w:r>
      <w:r w:rsidR="00787120">
        <w:fldChar w:fldCharType="separate"/>
      </w:r>
      <w:r w:rsidR="00D1782E">
        <w:t>3.4.3</w:t>
      </w:r>
      <w:r w:rsidR="00787120">
        <w:fldChar w:fldCharType="end"/>
      </w:r>
      <w:r w:rsidR="0086798B" w:rsidRPr="0086798B">
        <w:t>.</w:t>
      </w:r>
    </w:p>
    <w:p w14:paraId="2C544022" w14:textId="77777777" w:rsidR="00712EE9" w:rsidRDefault="00693CE0" w:rsidP="00865AB7">
      <w:pPr>
        <w:spacing w:line="276" w:lineRule="auto"/>
        <w:jc w:val="both"/>
      </w:pPr>
      <w:r w:rsidRPr="00693CE0">
        <w:t>It should also be noted that sodium azide additio</w:t>
      </w:r>
      <w:r w:rsidR="00331A0D">
        <w:t xml:space="preserve">n in the abiotic control led to </w:t>
      </w:r>
      <w:r w:rsidRPr="00693CE0">
        <w:t>higher sodium and nitrate concentrations than in the biotic reactors</w:t>
      </w:r>
      <w:r>
        <w:t xml:space="preserve"> (see Table S1 of the supplementary materials)</w:t>
      </w:r>
      <w:r w:rsidRPr="00693CE0">
        <w:t xml:space="preserve">. However, previous studies indicate that such moderate changes in ionic strength or nitrate presence as a competing anion have only limited influence on PFAS sorption compared to dominant factors such as chain length, functional </w:t>
      </w:r>
      <w:r w:rsidR="00331A0D">
        <w:t xml:space="preserve">group, and sediment properties </w:t>
      </w:r>
      <w:r w:rsidR="00331A0D">
        <w:fldChar w:fldCharType="begin"/>
      </w:r>
      <w:r w:rsidR="00331A0D">
        <w:instrText xml:space="preserve"> ADDIN ZOTERO_ITEM CSL_CITATION {"citationID":"wZnVGBcw","properties":{"formattedCitation":"(Wanzek {\\i{}et al.}, 2023; Woke {\\i{}et al.}, 2025)","plainCitation":"(Wanzek et al., 2023; Woke et al., 2025)","noteIndex":0},"citationItems":[{"id":7429,"uris":["http://zotero.org/users/9753339/items/SFAUND7Y"],"itemData":{"id":7429,"type":"article-journal","container-title":"Environmental Science &amp; Technology","DOI":"10.1021/acs.est.2c08806","ISSN":"0013-936X, 1520-5851","issue":"13","journalAbbreviation":"Environ. Sci. Technol.","language":"en","license":"https://doi.org/10.15223/policy-029","page":"5231-5242","source":"DOI.org (Crossref)","title":"Role of Mineral–Organic Interactions in PFAS Retention by AFFF-Impacted Soil","volume":"57","author":[{"family":"Wanzek","given":"Thomas"},{"family":"Stults","given":"John F."},{"family":"Johnson","given":"Mark G."},{"family":"Field","given":"Jennifer A."},{"family":"Kleber","given":"Markus"}],"issued":{"date-parts":[["2023",4,4]]}}},{"id":7428,"uris":["http://zotero.org/users/9753339/items/QRDCPUSD"],"itemData":{"id":7428,"type":"article-journal","abstract":"The impact of coexisting anions on the removal of per- and polyfluoroalkyl substances (PFAS) by three strong base anion exchange resins (AER) was investigated. Two short-chain (perfluorobutanoic acid (PFBA); per­ fluorobutane sulfonic acid (PFBS)) and two long-chain (perfluorooctanoic acid (PFOA); perflourooctane sulfonic acid (PFOS)) PFAS were selected as model compounds representing varying chain lengths and functional groups. Batch sorption experiments were conducted using single PFAS and multi-solute (four PFAS) matrix in the presence and absence of nitrate and sulfate ions. Divalent (sulfate) anions inhibited the sorption of PFAS by nearly 2-times compared to monovalent (nitrate) anions in the single solute system. However, the trend was inconsistent in the multi-solute matrix due to inter-competition between PFAS. The sorption capacities of the resins for PFAS were greatly suppressed by the presence of coexisting anions, with FerrIX A33E (arsenic-specific resin) showing nearly 2-times more impact than A592E (PFAS-specific resin) and A520E (nitrate-specific resin). The observed trends were related to competitive sorption to the exchange sites of the resins by the inorganic anions and their relative affinity to the resins investigated. The impact of inorganic anions on PFAS removal by the AER followed the trend: PFBA &gt; PFBS ≥ PFOA &gt; PFOS, with PFBA sorption suppressed by 4X-7X in both the single-solute and multi-solute systems. Higher inhibitions were observed for carboxylates compared to sulfo­ nates, likely due to the higher electronegativity of the sulfonate functional group and/or hydrophobicity of perfluoroalkyl sulfonates allowing for their enhanced sorption on AER.","container-title":"Chemical Engineering Science","DOI":"10.1016/j.ces.2025.122126","ISSN":"00092509","journalAbbreviation":"Chemical Engineering Science","language":"en","page":"122126","source":"DOI.org (Crossref)","title":"Impact of coexisting nitrate and sulfate ions on per- and polyfluoroalkyl substances removal by anion exchange resins","volume":"318","author":[{"family":"Woke","given":"Justice C."},{"family":"Maroli","given":"Amith S."},{"family":"Zhang","given":"Yi"},{"family":"Venkatesan","given":"Arjun K."}],"issued":{"date-parts":[["2025",12]]}}}],"schema":"https://github.com/citation-style-language/schema/raw/master/csl-citation.json"} </w:instrText>
      </w:r>
      <w:r w:rsidR="00331A0D">
        <w:fldChar w:fldCharType="separate"/>
      </w:r>
      <w:r w:rsidR="00331A0D" w:rsidRPr="00331A0D">
        <w:rPr>
          <w:rFonts w:ascii="Calibri" w:hAnsi="Calibri" w:cs="Calibri"/>
          <w:szCs w:val="24"/>
        </w:rPr>
        <w:t xml:space="preserve">(Wanzek </w:t>
      </w:r>
      <w:r w:rsidR="00331A0D" w:rsidRPr="00331A0D">
        <w:rPr>
          <w:rFonts w:ascii="Calibri" w:hAnsi="Calibri" w:cs="Calibri"/>
          <w:i/>
          <w:iCs/>
          <w:szCs w:val="24"/>
        </w:rPr>
        <w:t>et al.</w:t>
      </w:r>
      <w:r w:rsidR="00331A0D" w:rsidRPr="00331A0D">
        <w:rPr>
          <w:rFonts w:ascii="Calibri" w:hAnsi="Calibri" w:cs="Calibri"/>
          <w:szCs w:val="24"/>
        </w:rPr>
        <w:t xml:space="preserve">, 2023; Woke </w:t>
      </w:r>
      <w:r w:rsidR="00331A0D" w:rsidRPr="00331A0D">
        <w:rPr>
          <w:rFonts w:ascii="Calibri" w:hAnsi="Calibri" w:cs="Calibri"/>
          <w:i/>
          <w:iCs/>
          <w:szCs w:val="24"/>
        </w:rPr>
        <w:t>et al.</w:t>
      </w:r>
      <w:r w:rsidR="00331A0D" w:rsidRPr="00331A0D">
        <w:rPr>
          <w:rFonts w:ascii="Calibri" w:hAnsi="Calibri" w:cs="Calibri"/>
          <w:szCs w:val="24"/>
        </w:rPr>
        <w:t>, 2025)</w:t>
      </w:r>
      <w:r w:rsidR="00331A0D">
        <w:fldChar w:fldCharType="end"/>
      </w:r>
      <w:r w:rsidRPr="00693CE0">
        <w:t>.</w:t>
      </w:r>
      <w:r w:rsidR="00331A0D">
        <w:t xml:space="preserve"> </w:t>
      </w:r>
      <w:r w:rsidRPr="00693CE0">
        <w:t xml:space="preserve">Another possible source of uncertainty is sorption to reactor walls. </w:t>
      </w:r>
      <w:r w:rsidR="00963CA6">
        <w:t>Yet</w:t>
      </w:r>
      <w:r w:rsidRPr="00693CE0">
        <w:t>, glass containers are known to adsorb significantly less PFAS than polymeric materials such as polypropylene or HDPE, and a</w:t>
      </w:r>
      <w:r w:rsidR="00331A0D">
        <w:t xml:space="preserve">dsorption to glass reaches </w:t>
      </w:r>
      <w:r w:rsidRPr="00693CE0">
        <w:t xml:space="preserve">equilibrium </w:t>
      </w:r>
      <w:r>
        <w:t>rapidly</w:t>
      </w:r>
      <w:r w:rsidR="00331A0D">
        <w:t xml:space="preserve"> </w:t>
      </w:r>
      <w:r w:rsidR="00331A0D">
        <w:fldChar w:fldCharType="begin"/>
      </w:r>
      <w:r w:rsidR="00331A0D">
        <w:instrText xml:space="preserve"> ADDIN ZOTERO_ITEM CSL_CITATION {"citationID":"vJykm0wc","properties":{"formattedCitation":"(Zenobio {\\i{}et al.}, 2022)","plainCitation":"(Zenobio et al., 2022)","noteIndex":0},"citationItems":[{"id":5502,"uris":["http://zotero.org/users/9753339/items/KULZDQ2M"],"itemData":{"id":5502,"type":"article-journal","container-title":"Journal of Hazardous Materials Advances","DOI":"10.1016/j.hazadv.2022.100130","ISSN":"27724166","journalAbbreviation":"Journal of Hazardous Materials Advances","language":"en","page":"100130","source":"DOI.org (Crossref)","title":"Adsorption of per- and polyfluoroalkyl substances (PFAS) to containers","volume":"7","author":[{"family":"Zenobio","given":"Jenny E."},{"family":"Salawu","given":"Omobayo A."},{"family":"Han","given":"Ziwei"},{"family":"Adeleye","given":"Adeyemi S."}],"issued":{"date-parts":[["2022",8]]}}}],"schema":"https://github.com/citation-style-language/schema/raw/master/csl-citation.json"} </w:instrText>
      </w:r>
      <w:r w:rsidR="00331A0D">
        <w:fldChar w:fldCharType="separate"/>
      </w:r>
      <w:r w:rsidR="00331A0D" w:rsidRPr="00331A0D">
        <w:rPr>
          <w:rFonts w:ascii="Calibri" w:hAnsi="Calibri" w:cs="Calibri"/>
          <w:szCs w:val="24"/>
        </w:rPr>
        <w:t xml:space="preserve">(Zenobio </w:t>
      </w:r>
      <w:r w:rsidR="00331A0D" w:rsidRPr="00331A0D">
        <w:rPr>
          <w:rFonts w:ascii="Calibri" w:hAnsi="Calibri" w:cs="Calibri"/>
          <w:i/>
          <w:iCs/>
          <w:szCs w:val="24"/>
        </w:rPr>
        <w:t>et al.</w:t>
      </w:r>
      <w:r w:rsidR="00331A0D" w:rsidRPr="00331A0D">
        <w:rPr>
          <w:rFonts w:ascii="Calibri" w:hAnsi="Calibri" w:cs="Calibri"/>
          <w:szCs w:val="24"/>
        </w:rPr>
        <w:t>, 2022)</w:t>
      </w:r>
      <w:r w:rsidR="00331A0D">
        <w:fldChar w:fldCharType="end"/>
      </w:r>
      <w:r w:rsidRPr="00693CE0">
        <w:t xml:space="preserve">. </w:t>
      </w:r>
      <w:r w:rsidR="00963CA6" w:rsidRPr="00963CA6">
        <w:t>Importantly, vessel sorption would affect all reactors equally and thus cannot explain the systematic concentration differences between abiotic and biotic treatments.</w:t>
      </w:r>
    </w:p>
    <w:p w14:paraId="220691E5" w14:textId="65E16292" w:rsidR="00712EE9" w:rsidRDefault="00712EE9" w:rsidP="00865AB7">
      <w:pPr>
        <w:spacing w:line="276" w:lineRule="auto"/>
        <w:jc w:val="both"/>
      </w:pPr>
      <w:r>
        <w:t>F</w:t>
      </w:r>
      <w:r w:rsidR="00850A3B">
        <w:t>inally, it is important to note that the sorption capacity of loess sediments is not unlimited.</w:t>
      </w:r>
      <w:r w:rsidR="00247A39">
        <w:t xml:space="preserve"> Under continuous exposure to contaminated water, the available sorption sites could </w:t>
      </w:r>
      <w:r w:rsidR="0010109E">
        <w:t>progressively become saturated, leading to a decline in removal efficiency over time. This is particularly relevant in SAT systems, where the soil acts a reactive medium over extended periods.</w:t>
      </w:r>
      <w:r w:rsidR="00365413">
        <w:t xml:space="preserve"> As this study focused on short-term batch conditions, the potential for sorption site exhaustion and contaminant desorption during repeated infiltration cycles in SAT systems was not addressed here.</w:t>
      </w:r>
    </w:p>
    <w:p w14:paraId="50B81E2F" w14:textId="1397952D" w:rsidR="002A5980" w:rsidRPr="00B94226" w:rsidRDefault="001C0DA2" w:rsidP="005B153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1C0DA2">
        <w:rPr>
          <w:rFonts w:ascii="Times New Roman" w:eastAsia="Times New Roman" w:hAnsi="Times New Roman" w:cs="Times New Roman"/>
          <w:noProof/>
          <w:sz w:val="24"/>
          <w:szCs w:val="24"/>
          <w:lang w:eastAsia="en-GB"/>
        </w:rPr>
        <w:lastRenderedPageBreak/>
        <w:drawing>
          <wp:inline distT="0" distB="0" distL="0" distR="0" wp14:anchorId="0C685A55" wp14:editId="5F7E0D12">
            <wp:extent cx="3600000" cy="5249084"/>
            <wp:effectExtent l="0" t="0" r="635" b="8890"/>
            <wp:docPr id="6" name="Image 6" descr="C:\Users\glaud\Documents\Uliege\doctorat\WP2\batch_experiment\modeling_phreeqc\visualisation_sorption\sorption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aud\Documents\Uliege\doctorat\WP2\batch_experiment\modeling_phreeqc\visualisation_sorption\sorption_fig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5249084"/>
                    </a:xfrm>
                    <a:prstGeom prst="rect">
                      <a:avLst/>
                    </a:prstGeom>
                    <a:noFill/>
                    <a:ln>
                      <a:noFill/>
                    </a:ln>
                  </pic:spPr>
                </pic:pic>
              </a:graphicData>
            </a:graphic>
          </wp:inline>
        </w:drawing>
      </w:r>
    </w:p>
    <w:p w14:paraId="54364C1A" w14:textId="133006BC" w:rsidR="002A5980" w:rsidRDefault="002A5980" w:rsidP="00865AB7">
      <w:pPr>
        <w:pStyle w:val="Lgende"/>
        <w:spacing w:line="276" w:lineRule="auto"/>
        <w:jc w:val="center"/>
      </w:pPr>
      <w:bookmarkStart w:id="11" w:name="_Ref198284472"/>
      <w:r>
        <w:t xml:space="preserve">Figure </w:t>
      </w:r>
      <w:fldSimple w:instr=" SEQ Figure \* ARABIC ">
        <w:r w:rsidR="00693CE0">
          <w:rPr>
            <w:noProof/>
          </w:rPr>
          <w:t>5</w:t>
        </w:r>
      </w:fldSimple>
      <w:bookmarkEnd w:id="11"/>
      <w:r>
        <w:t xml:space="preserve">. </w:t>
      </w:r>
      <w:r w:rsidR="000F4B2B">
        <w:t>Concentration evolution of a) benzotriazole, b) tolyltriazole, c) PFOA, d) PFHxA, e) 6:2 FTS and f</w:t>
      </w:r>
      <w:r w:rsidRPr="00D775D5">
        <w:t>) PFOS in the abiotic control.</w:t>
      </w:r>
    </w:p>
    <w:p w14:paraId="5ADD5F1C" w14:textId="463F52BF" w:rsidR="002A644A" w:rsidRDefault="0080780F" w:rsidP="00865AB7">
      <w:pPr>
        <w:pStyle w:val="Titre3"/>
        <w:numPr>
          <w:ilvl w:val="2"/>
          <w:numId w:val="1"/>
        </w:numPr>
        <w:spacing w:after="120" w:line="276" w:lineRule="auto"/>
        <w:ind w:left="1077"/>
      </w:pPr>
      <w:bookmarkStart w:id="12" w:name="_Ref213837192"/>
      <w:r>
        <w:t>Batch experiments</w:t>
      </w:r>
      <w:bookmarkEnd w:id="12"/>
    </w:p>
    <w:p w14:paraId="06132666" w14:textId="087942DF" w:rsidR="002A5980" w:rsidRDefault="002A5980" w:rsidP="00865AB7">
      <w:pPr>
        <w:spacing w:line="276" w:lineRule="auto"/>
        <w:rPr>
          <w:b/>
          <w:i/>
        </w:rPr>
      </w:pPr>
      <w:r w:rsidRPr="002A5980">
        <w:rPr>
          <w:b/>
          <w:i/>
        </w:rPr>
        <w:t>Benzotriazoles</w:t>
      </w:r>
    </w:p>
    <w:p w14:paraId="675C6C42" w14:textId="12E738D3" w:rsidR="00D72EB6" w:rsidRDefault="00984943" w:rsidP="00865AB7">
      <w:pPr>
        <w:spacing w:line="276" w:lineRule="auto"/>
        <w:jc w:val="both"/>
      </w:pPr>
      <w:r>
        <w:fldChar w:fldCharType="begin"/>
      </w:r>
      <w:r>
        <w:instrText xml:space="preserve"> REF _Ref198540294 \h </w:instrText>
      </w:r>
      <w:r w:rsidR="00476F5B">
        <w:instrText xml:space="preserve"> \* MERGEFORMAT </w:instrText>
      </w:r>
      <w:r>
        <w:fldChar w:fldCharType="separate"/>
      </w:r>
      <w:r w:rsidR="00181F02">
        <w:t xml:space="preserve">Figure </w:t>
      </w:r>
      <w:r w:rsidR="00181F02">
        <w:rPr>
          <w:noProof/>
        </w:rPr>
        <w:t>6</w:t>
      </w:r>
      <w:r>
        <w:fldChar w:fldCharType="end"/>
      </w:r>
      <w:r>
        <w:t xml:space="preserve">a-b </w:t>
      </w:r>
      <w:r w:rsidR="00F43282">
        <w:t xml:space="preserve">illustrates the total attenuation of triazoles </w:t>
      </w:r>
      <w:r w:rsidR="009E2632">
        <w:t xml:space="preserve">across </w:t>
      </w:r>
      <w:r w:rsidR="0080780F">
        <w:t>batch</w:t>
      </w:r>
      <w:r w:rsidR="009E2632">
        <w:t xml:space="preserve"> experiments</w:t>
      </w:r>
      <w:r w:rsidR="00F43282">
        <w:t xml:space="preserve">. The developed chemical model </w:t>
      </w:r>
      <w:r w:rsidR="00257253">
        <w:t>integrates</w:t>
      </w:r>
      <w:r w:rsidR="006123CA">
        <w:t xml:space="preserve"> </w:t>
      </w:r>
      <w:r w:rsidR="00257253">
        <w:t xml:space="preserve">both </w:t>
      </w:r>
      <w:r w:rsidR="00F43282">
        <w:t xml:space="preserve">sorption </w:t>
      </w:r>
      <w:r w:rsidR="00257253">
        <w:t xml:space="preserve">and </w:t>
      </w:r>
      <w:r w:rsidR="00F43282">
        <w:t xml:space="preserve">degradation </w:t>
      </w:r>
      <w:r w:rsidR="00257253">
        <w:t>processes, as</w:t>
      </w:r>
      <w:r w:rsidR="009E2632">
        <w:t xml:space="preserve"> de</w:t>
      </w:r>
      <w:r w:rsidR="00257253">
        <w:t xml:space="preserve">scribed in </w:t>
      </w:r>
      <w:r w:rsidR="0009514B">
        <w:t>equations (2) and (3</w:t>
      </w:r>
      <w:r w:rsidR="00F43282">
        <w:t xml:space="preserve">). </w:t>
      </w:r>
      <w:r w:rsidR="00F43282" w:rsidRPr="00D24715">
        <w:t xml:space="preserve">For benzotriazole, a higher biodegradation rate </w:t>
      </w:r>
      <w:r w:rsidR="006123CA">
        <w:t>wa</w:t>
      </w:r>
      <w:r w:rsidR="006123CA" w:rsidRPr="00D24715">
        <w:t xml:space="preserve">s </w:t>
      </w:r>
      <w:r w:rsidR="00F43282" w:rsidRPr="00D24715">
        <w:t>observed unde</w:t>
      </w:r>
      <w:r w:rsidR="00F43282">
        <w:t xml:space="preserve">r oxic conditions compared to </w:t>
      </w:r>
      <w:r w:rsidR="00257253">
        <w:t>nitrate reducing</w:t>
      </w:r>
      <w:r w:rsidR="00F43282" w:rsidRPr="00D24715">
        <w:t xml:space="preserve"> conditions. </w:t>
      </w:r>
      <w:r w:rsidR="00257253" w:rsidRPr="00257253">
        <w:t>Additionally, more pronounced attenuation was observed during the first four days. This was attributed to the sorption model being included i</w:t>
      </w:r>
      <w:r w:rsidR="00257253">
        <w:t xml:space="preserve">n the overall attenuation model. </w:t>
      </w:r>
      <w:r w:rsidR="00F43282" w:rsidRPr="00D24715">
        <w:t>The model fits the experimental data reasonably well,</w:t>
      </w:r>
      <w:r w:rsidR="00D72EB6">
        <w:t xml:space="preserve"> with a calculated RMSE of 0.078</w:t>
      </w:r>
      <w:r w:rsidR="00F43282" w:rsidRPr="00D24715">
        <w:t>.</w:t>
      </w:r>
      <w:r w:rsidR="00D72EB6" w:rsidRPr="00D72EB6">
        <w:t xml:space="preserve"> However, the last experimental data point deviates from the predicted downward trend in concentration, indicating that the combined effects of sorption and biodegradation may diminish over time or be influenced by additional processes not captured by the model</w:t>
      </w:r>
      <w:r w:rsidR="00D72EB6">
        <w:t>. Therefore</w:t>
      </w:r>
      <w:r w:rsidR="00D72EB6" w:rsidRPr="00D72EB6">
        <w:t>, the e</w:t>
      </w:r>
      <w:r w:rsidR="00D72EB6">
        <w:t xml:space="preserve">stimated total attenuation for benzotriazole </w:t>
      </w:r>
      <w:r w:rsidR="00D72EB6" w:rsidRPr="00D72EB6">
        <w:t>was based solely on the lower limit of the last observation point. A total attenuation of 38% is thus obtained,</w:t>
      </w:r>
      <w:r w:rsidR="00D72EB6">
        <w:t xml:space="preserve"> with sorption accounting for 16</w:t>
      </w:r>
      <w:r w:rsidR="00D72EB6" w:rsidRPr="00D72EB6">
        <w:t>% of this total.</w:t>
      </w:r>
    </w:p>
    <w:p w14:paraId="468268D1" w14:textId="7FDBB8FE" w:rsidR="004B4E93" w:rsidRDefault="00257253" w:rsidP="00865AB7">
      <w:pPr>
        <w:spacing w:line="276" w:lineRule="auto"/>
        <w:jc w:val="both"/>
      </w:pPr>
      <w:r>
        <w:lastRenderedPageBreak/>
        <w:t>For tolyltriazole, a similar redox-dependent trend is observed</w:t>
      </w:r>
      <w:r w:rsidR="00F43282" w:rsidRPr="00D24715">
        <w:t>.</w:t>
      </w:r>
      <w:r>
        <w:t xml:space="preserve"> Biodegradation proceeds more efficiently under oxic conditions than under nitrate reducing conditions. As with benzotriazole, attenuation is more significant during the initial phase of the experiment, reflecting the influence </w:t>
      </w:r>
      <w:r w:rsidR="004B4E93">
        <w:t>of rapid sorption onto loess sediments</w:t>
      </w:r>
      <w:r w:rsidR="00F43282" w:rsidRPr="00D24715">
        <w:t xml:space="preserve">. </w:t>
      </w:r>
      <w:r w:rsidR="00735C35">
        <w:t>Note that t</w:t>
      </w:r>
      <w:r w:rsidR="00735C35" w:rsidRPr="00735C35">
        <w:t>he final observation point (day 22) was not included in the model calibration due to elevated uncertainty associated with that measurement</w:t>
      </w:r>
      <w:r w:rsidR="00735C35">
        <w:t>.</w:t>
      </w:r>
    </w:p>
    <w:p w14:paraId="2BF18F38" w14:textId="1D38264F" w:rsidR="002A5980" w:rsidRPr="000E73F9" w:rsidRDefault="002A5980" w:rsidP="00865AB7">
      <w:pPr>
        <w:spacing w:line="276" w:lineRule="auto"/>
        <w:rPr>
          <w:b/>
          <w:i/>
        </w:rPr>
      </w:pPr>
      <w:r w:rsidRPr="000E73F9">
        <w:rPr>
          <w:b/>
          <w:i/>
        </w:rPr>
        <w:t>PFAS</w:t>
      </w:r>
    </w:p>
    <w:p w14:paraId="7A6A7527" w14:textId="200B69A9" w:rsidR="00E91838" w:rsidRDefault="00984943" w:rsidP="00865AB7">
      <w:pPr>
        <w:spacing w:line="276" w:lineRule="auto"/>
        <w:jc w:val="both"/>
      </w:pPr>
      <w:r w:rsidRPr="00984943">
        <w:fldChar w:fldCharType="begin"/>
      </w:r>
      <w:r w:rsidRPr="00984943">
        <w:instrText xml:space="preserve"> REF _Ref198540294 \h  \* MERGEFORMAT </w:instrText>
      </w:r>
      <w:r w:rsidRPr="00984943">
        <w:fldChar w:fldCharType="separate"/>
      </w:r>
      <w:r w:rsidR="00181F02">
        <w:t xml:space="preserve">Figure </w:t>
      </w:r>
      <w:r w:rsidR="00181F02">
        <w:rPr>
          <w:noProof/>
        </w:rPr>
        <w:t>6</w:t>
      </w:r>
      <w:r w:rsidRPr="00984943">
        <w:fldChar w:fldCharType="end"/>
      </w:r>
      <w:r w:rsidRPr="00984943">
        <w:t>c-g</w:t>
      </w:r>
      <w:r>
        <w:rPr>
          <w:b/>
        </w:rPr>
        <w:t xml:space="preserve"> </w:t>
      </w:r>
      <w:r w:rsidR="00F43282" w:rsidRPr="00227A00">
        <w:t xml:space="preserve">illustrates </w:t>
      </w:r>
      <w:r w:rsidR="00F43282">
        <w:t xml:space="preserve">the evolution of PFAS concentration in the </w:t>
      </w:r>
      <w:r w:rsidR="003C06C3">
        <w:t>batch experiments</w:t>
      </w:r>
      <w:r w:rsidR="00E91838">
        <w:t xml:space="preserve">. Both </w:t>
      </w:r>
      <w:r w:rsidR="00F43282">
        <w:t xml:space="preserve">sorption and biodegradation </w:t>
      </w:r>
      <w:r w:rsidR="00E91838">
        <w:t>models were applied to reproduce the observed concentration trends, as for the other contaminants</w:t>
      </w:r>
      <w:r w:rsidR="00F43282">
        <w:t xml:space="preserve">. </w:t>
      </w:r>
      <w:r w:rsidR="00E91838">
        <w:t>However, given the strong persistence of PFAS, the attenuation fraction theoretically attributed to biodegradation should be interpreted with caution.</w:t>
      </w:r>
    </w:p>
    <w:p w14:paraId="241915F4" w14:textId="3B6E9E00" w:rsidR="00AD43CD" w:rsidRDefault="006C4E22">
      <w:pPr>
        <w:spacing w:line="276" w:lineRule="auto"/>
        <w:jc w:val="both"/>
      </w:pPr>
      <w:r>
        <w:t>U</w:t>
      </w:r>
      <w:r w:rsidR="006E3ACD">
        <w:t>nder oxic conditions, PFAS concentrations initially decreased rapidly, reflecting fast sorption processes</w:t>
      </w:r>
      <w:r w:rsidR="00321DD8">
        <w:t xml:space="preserve"> that occurred during the early stage contact between the aqueous phase and the loess sediments</w:t>
      </w:r>
      <w:r w:rsidR="00403568">
        <w:t>.</w:t>
      </w:r>
      <w:r w:rsidR="00321DD8">
        <w:t xml:space="preserve"> This was followed by a period of relative stabilization under nitrate-reducing conditions</w:t>
      </w:r>
      <w:r w:rsidR="00785098">
        <w:t xml:space="preserve">, when sorption reached near-equilibrium for most PFAS. The only exceptions were PFOS and 6:2 FTS, which showed an additional decrease in concentration attributed to continued sorption. </w:t>
      </w:r>
      <w:r w:rsidR="00785098" w:rsidRPr="00785098">
        <w:t>After approximately 15 days, as the system returned to oxic conditions, a gradual decline in dissolved PFAS concentrations was again observed.</w:t>
      </w:r>
      <w:r w:rsidR="00FA5283">
        <w:t xml:space="preserve"> </w:t>
      </w:r>
      <w:r w:rsidR="00785098" w:rsidRPr="00785098">
        <w:t>Given the well-documented persistence of PFAS, this secondary attenuation phase</w:t>
      </w:r>
      <w:r w:rsidR="00FA5283">
        <w:t xml:space="preserve"> may be explained by the development of new sorptive phases associated with oxic microbial activity. </w:t>
      </w:r>
      <w:r w:rsidR="00FA5283" w:rsidRPr="00FA5283">
        <w:t>One possibility is that re-oxygenation stimulated the formation or restructuring of soil biofilms, which can act as effective sorbents</w:t>
      </w:r>
      <w:r w:rsidR="006F44D1">
        <w:t xml:space="preserve"> </w:t>
      </w:r>
      <w:r w:rsidR="006F44D1">
        <w:fldChar w:fldCharType="begin"/>
      </w:r>
      <w:r w:rsidR="006F44D1">
        <w:instrText xml:space="preserve"> ADDIN ZOTERO_ITEM CSL_CITATION {"citationID":"v8pugHn9","properties":{"formattedCitation":"(Flemming, 1995)","plainCitation":"(Flemming, 1995)","noteIndex":0},"citationItems":[{"id":7547,"uris":["http://zotero.org/users/9753339/items/MUBAT5PX"],"itemData":{"id":7547,"type":"article-journal","abstract":"The distribution of pollutants in water is strongly dependent on the processes at the solid-liquid interface, such as soprtion. The solid phase is represented by many different materials, mostly minerals but also metals and organics. In technical and natural water systems, biofilms occur to a greater or lesser extent. They will cover the underlying material (substratum) at least partially and represent a gel-type layer, mainly consisting of extracellular polymeric substances (EPS), formed by biofilm organisms, in which the latter are embedded. Thus, the sorption properties of biofilms will significantly determine the overall process. This effect may have been almost completely overseen, e.g., in the assessment of the fate of pollutants in waters, in the process of sediment diagenesis, and in chemical sorption studies. Sorption data can differ considerably between sterile and non-sterile assays; this aspect puts in question many results gained in biologically uncharacterized systems. Sorption in biofilms can be undesired, if pollutants accumulate in biomass such as activated sludge. The same effect, however, can be biotechnologically exploited, e.g. in biosorption reactors.\n            Biofilms can sorb water, inorganic and organic solutes and particles. As sorption sites can serve: EPS, cell walls, cell membranes and cell cytoplasm. These sites display different sorption preferences, capacities and properties. The situation becomes even more complex as biofilms may respond physiologically to sorbed substances. For example: the uptake of toluene can lead to the formation of uronic acids in the EPS and, thus, to an increased sorption capacity for cations.\n            When decomposing, biofilms will release sorbed substances. This can be of significance if trickling deposition of sewage water on soil is finished. The biomass will decompose, sorbed pollutants are remobilized and can contaminate the ground water if not retained abiotically by other soil components.\n            A substantial research demand is identified regarding the following questions: (i) what do biofilms sorb; (ii) what are the binding sites; (iii) what are the sorption mechanisms and capacity, and (iv) what is the remobilization potential?","container-title":"Water Science and Technology","DOI":"10.2166/wst.1995.0256","ISSN":"0273-1223, 1996-9732","issue":"8","language":"en","page":"27-33","source":"DOI.org (Crossref)","title":"Sorption sites in biofilms","volume":"32","author":[{"family":"Flemming","given":"Hans-Curt"}],"issued":{"date-parts":[["1995",10,1]]}}}],"schema":"https://github.com/citation-style-language/schema/raw/master/csl-citation.json"} </w:instrText>
      </w:r>
      <w:r w:rsidR="006F44D1">
        <w:fldChar w:fldCharType="separate"/>
      </w:r>
      <w:r w:rsidR="006F44D1" w:rsidRPr="006F44D1">
        <w:rPr>
          <w:rFonts w:ascii="Calibri" w:hAnsi="Calibri" w:cs="Calibri"/>
        </w:rPr>
        <w:t>(Flemming, 1995)</w:t>
      </w:r>
      <w:r w:rsidR="006F44D1">
        <w:fldChar w:fldCharType="end"/>
      </w:r>
      <w:r w:rsidR="00FA5283" w:rsidRPr="00FA5283">
        <w:t>.</w:t>
      </w:r>
      <w:r w:rsidR="006F44D1">
        <w:t xml:space="preserve"> Indeed,</w:t>
      </w:r>
      <w:r w:rsidR="00785098">
        <w:t xml:space="preserve"> </w:t>
      </w:r>
      <w:r w:rsidR="006F44D1">
        <w:t>r</w:t>
      </w:r>
      <w:r w:rsidR="00FA5283" w:rsidRPr="00FA5283">
        <w:t xml:space="preserve">espiration and electron-acceptor availability are known to </w:t>
      </w:r>
      <w:r w:rsidR="006F44D1">
        <w:t>govern</w:t>
      </w:r>
      <w:r w:rsidR="00FA5283" w:rsidRPr="00FA5283">
        <w:t xml:space="preserve"> biofilm formation</w:t>
      </w:r>
      <w:r w:rsidR="006F44D1">
        <w:t xml:space="preserve">, with oxygen </w:t>
      </w:r>
      <w:r w:rsidR="00FA5283" w:rsidRPr="00FA5283">
        <w:t>providing the highest energy yield and supporting pronounced biofilm development</w:t>
      </w:r>
      <w:r w:rsidR="006E7016">
        <w:t xml:space="preserve"> </w:t>
      </w:r>
      <w:r w:rsidR="006E7016">
        <w:fldChar w:fldCharType="begin"/>
      </w:r>
      <w:r w:rsidR="006E7016">
        <w:instrText xml:space="preserve"> ADDIN ZOTERO_ITEM CSL_CITATION {"citationID":"iFSUQN9n","properties":{"formattedCitation":"(Mart\\uc0\\u237{}n-Rodr\\uc0\\u237{}guez, 2023)","plainCitation":"(Martín-Rodríguez, 2023)","noteIndex":0},"citationItems":[{"id":7546,"uris":["http://zotero.org/users/9753339/items/GWCBHDV4"],"itemData":{"id":7546,"type":"article-journal","container-title":"Trends in Microbiology","DOI":"10.1016/j.tim.2022.08.007","ISSN":"0966842X","issue":"2","journalAbbreviation":"Trends in Microbiology","language":"en","page":"120-134","source":"DOI.org (Crossref)","title":"Respiration-induced biofilm formation as a driver for bacterial niche colonization","volume":"31","author":[{"family":"Martín-Rodríguez","given":"Alberto J."}],"issued":{"date-parts":[["2023",2]]}}}],"schema":"https://github.com/citation-style-language/schema/raw/master/csl-citation.json"} </w:instrText>
      </w:r>
      <w:r w:rsidR="006E7016">
        <w:fldChar w:fldCharType="separate"/>
      </w:r>
      <w:r w:rsidR="006E7016" w:rsidRPr="006E7016">
        <w:rPr>
          <w:rFonts w:ascii="Calibri" w:hAnsi="Calibri" w:cs="Calibri"/>
          <w:szCs w:val="24"/>
        </w:rPr>
        <w:t>(Martín-Rodríguez, 2023)</w:t>
      </w:r>
      <w:r w:rsidR="006E7016">
        <w:fldChar w:fldCharType="end"/>
      </w:r>
      <w:r w:rsidR="00FA5283" w:rsidRPr="00FA5283">
        <w:t>.</w:t>
      </w:r>
      <w:r w:rsidR="00FA5283">
        <w:t xml:space="preserve"> </w:t>
      </w:r>
      <w:r w:rsidR="006E7016">
        <w:t xml:space="preserve">This interpretation is consistent </w:t>
      </w:r>
      <w:r w:rsidR="00DA2ABB">
        <w:t xml:space="preserve">with </w:t>
      </w:r>
      <w:r w:rsidR="006E7016">
        <w:fldChar w:fldCharType="begin"/>
      </w:r>
      <w:r w:rsidR="006E7016">
        <w:instrText xml:space="preserve"> QUOTE  "Muñoz-Vega et al. (2023)" </w:instrText>
      </w:r>
      <w:r w:rsidR="006E7016">
        <w:fldChar w:fldCharType="separate"/>
      </w:r>
      <w:r w:rsidR="006E7016">
        <w:t xml:space="preserve">Muñoz-Vega </w:t>
      </w:r>
      <w:r w:rsidR="006E7016" w:rsidRPr="00DB6DBE">
        <w:rPr>
          <w:i/>
        </w:rPr>
        <w:t>et al.</w:t>
      </w:r>
      <w:r w:rsidR="006E7016">
        <w:t xml:space="preserve"> (2023)</w:t>
      </w:r>
      <w:r w:rsidR="006E7016">
        <w:fldChar w:fldCharType="end"/>
      </w:r>
      <w:r w:rsidR="006E7016">
        <w:t>,</w:t>
      </w:r>
      <w:r w:rsidR="00DA2ABB">
        <w:t xml:space="preserve"> who observed </w:t>
      </w:r>
      <w:r w:rsidR="006E7016">
        <w:t xml:space="preserve">increased </w:t>
      </w:r>
      <w:r w:rsidR="00DA2ABB">
        <w:t xml:space="preserve">contaminant </w:t>
      </w:r>
      <w:r w:rsidR="006E7016">
        <w:t>sorption in systems (batch and columns) with higher biological activity</w:t>
      </w:r>
      <w:r w:rsidR="00DA2ABB">
        <w:t xml:space="preserve"> due to </w:t>
      </w:r>
      <w:r w:rsidR="006E7016">
        <w:t>biofilm formation.</w:t>
      </w:r>
      <w:r w:rsidR="00AD43CD">
        <w:t xml:space="preserve"> </w:t>
      </w:r>
      <w:r w:rsidR="00DA2ABB" w:rsidRPr="00DA2ABB">
        <w:t xml:space="preserve">Such </w:t>
      </w:r>
      <w:r w:rsidR="00DA2ABB">
        <w:t xml:space="preserve">biofilm-induced </w:t>
      </w:r>
      <w:r w:rsidR="00DA2ABB" w:rsidRPr="00DA2ABB">
        <w:t xml:space="preserve">sorption </w:t>
      </w:r>
      <w:r w:rsidR="00DA2ABB">
        <w:t xml:space="preserve">processes </w:t>
      </w:r>
      <w:r w:rsidR="00DA2ABB" w:rsidRPr="00DA2ABB">
        <w:t>could explain the additional attenuation observe</w:t>
      </w:r>
      <w:r w:rsidR="00DA2ABB">
        <w:t>d during the second oxic phase and</w:t>
      </w:r>
      <w:r w:rsidR="00DA2ABB" w:rsidRPr="00DA2ABB">
        <w:t xml:space="preserve"> is not captured by the linear sorption isotherm. However, as solid-phase PFAS and biofilm biomass were not quantified in this study, this mechanism remains a working hypothesis requiring further validation.</w:t>
      </w:r>
    </w:p>
    <w:p w14:paraId="62E66387" w14:textId="0E61C1E1" w:rsidR="00DA2ABB" w:rsidRDefault="00403568" w:rsidP="00403568">
      <w:pPr>
        <w:spacing w:line="276" w:lineRule="auto"/>
        <w:jc w:val="both"/>
      </w:pPr>
      <w:r>
        <w:t xml:space="preserve">Consequently, PFAS attenuation in this study is best explained by sorption </w:t>
      </w:r>
      <w:r w:rsidR="00DA2ABB">
        <w:t>processes alone</w:t>
      </w:r>
      <w:r>
        <w:t>. For PFOS and 6:2 FTS, the linear isotherm model reproduces about 80 % of the total attenuation observed experimentally, while for PFOA and PFHxA it accounts for 62 % and 63 %, respectively.</w:t>
      </w:r>
      <w:r w:rsidR="00DA2ABB" w:rsidRPr="00DA2ABB">
        <w:t xml:space="preserve"> The remaining di</w:t>
      </w:r>
      <w:r w:rsidR="00DA2ABB">
        <w:t>fference</w:t>
      </w:r>
      <w:r w:rsidR="00DA2ABB" w:rsidRPr="00DA2ABB">
        <w:t xml:space="preserve"> is likely </w:t>
      </w:r>
      <w:r w:rsidR="00DA2ABB">
        <w:t>associated</w:t>
      </w:r>
      <w:r w:rsidR="00DA2ABB" w:rsidRPr="00DA2ABB">
        <w:t xml:space="preserve"> to additional sorption mechanisms not represe</w:t>
      </w:r>
      <w:r w:rsidR="00DA2ABB">
        <w:t xml:space="preserve">nted by the simple linear model, </w:t>
      </w:r>
      <w:r w:rsidR="00DA2ABB" w:rsidRPr="00DA2ABB">
        <w:t>particularly those associated with biofilm formation during the second oxic phase, as discussed above.</w:t>
      </w:r>
    </w:p>
    <w:p w14:paraId="5464C297" w14:textId="67193B8C" w:rsidR="00403568" w:rsidRDefault="00403568" w:rsidP="00403568">
      <w:pPr>
        <w:spacing w:line="276" w:lineRule="auto"/>
        <w:jc w:val="both"/>
      </w:pPr>
      <w:r>
        <w:t xml:space="preserve">The only exception is 6:2 FTS, whose molecular structure includes two non-fluorinated carbon atoms (see </w:t>
      </w:r>
      <w:r>
        <w:fldChar w:fldCharType="begin"/>
      </w:r>
      <w:r>
        <w:instrText xml:space="preserve"> REF _Ref209038202 \h </w:instrText>
      </w:r>
      <w:r>
        <w:fldChar w:fldCharType="separate"/>
      </w:r>
      <w:r>
        <w:t xml:space="preserve">Figure </w:t>
      </w:r>
      <w:r>
        <w:rPr>
          <w:noProof/>
        </w:rPr>
        <w:t>2</w:t>
      </w:r>
      <w:r>
        <w:fldChar w:fldCharType="end"/>
      </w:r>
      <w:r>
        <w:t xml:space="preserve">). Previous studies </w:t>
      </w:r>
      <w:r>
        <w:fldChar w:fldCharType="begin"/>
      </w:r>
      <w:r>
        <w:instrText xml:space="preserve"> ADDIN ZOTERO_ITEM CSL_CITATION {"citationID":"su0EvJAW","properties":{"formattedCitation":"(Yan {\\i{}et al.}, 2024)","plainCitation":"(Yan et al., 2024)","noteIndex":0},"citationItems":[{"id":7442,"uris":["http://zotero.org/users/9753339/items/BW24R5L2"],"itemData":{"id":7442,"type":"article-journal","abstract":"Nearly all per- and polyfluoroalkyl substances (PFAS) biotransformation studies reported to date have been limited to laboratory-scale batch reactors. The fate and transport of PFAS in systems that more closely represent field conditions, i.e., in saturated porous media under flowing conditions, remain largely unexplored. This study investigated the biotransformation of 6:2 fluorotelomer sulfonate (6:2 FTS), a representative PFAS of widespread environmental occurrence, in one-dimensional water-saturated flow-through columns packed with soil obtained from a PFAS-contaminated site. The 305-day column experiments demonstrated that 6:2 FTS biotransformation was rate-limited, where a decrease in pore-water velocity from 3.7 to 2.4 cm/day, resulted in a 21.7–26.1 % decrease in effluent concentrations of 6:2 FTS and higher yields (1.0–1.4 mol% vs. 0.3 mol%) of late-stage biotransformation products (C4–C7 perfluoroalkyl carboxylates). Flow interruptions (2 and 7 days) were found to enhance 6:2 FTS biotransformation during the 6–7 pore volumes following flow resumption. Modelfitted 6:2 FTS column biotransformation rates (0.039–0.041 cm3w/gs/d) were ~3.5 times smaller than those observed in microcosms (0.137 cm3w/gs/d). Additionally, during column experiments, planktonic microbial communities remained relatively stable, whereas the composition of the attached microbial communities shifted along the flow path, which may have been attributed to oxygen availability and the toxicity of 6:2 FTS and associated biotransformation products. Genus Pseudomonas dominated in planktonic microbial communities, while in the attached microbial communities, Rhodococcus decreased and Pelotomaculum increased along the flow path, suggesting their potential involvement in early- and late-stage 6:2 FTS biotransformation, respectively. Overall, this study highlights the importance of incorporating realistic environmental conditions into experi­ mental systems to obtain a more representative assessment of in-situ PFAS biotransformation.","container-title":"Water Research","DOI":"10.1016/j.watres.2024.121146","ISSN":"00431354","journalAbbreviation":"Water Research","language":"en","page":"121146","source":"DOI.org (Crossref)","title":"Biotransformation of 6:2 fluorotelomer sulfonate and microbial community dynamics in water-saturated one-dimensional flow-through columns","title-short":"Biotransformation of 6","volume":"252","author":[{"family":"Yan","given":"Peng-Fei"},{"family":"Dong","given":"Sheng"},{"family":"Woodcock","given":"Matthew J."},{"family":"Manz","given":"Katherine E."},{"family":"Garza-Rubalcava","given":"Uriel"},{"family":"Abriola","given":"Linda M."},{"family":"Pennell","given":"Kurt D."},{"family":"Cápiro","given":"Natalie L."}],"issued":{"date-parts":[["2024",3]]}}}],"schema":"https://github.com/citation-style-language/schema/raw/master/csl-citation.json"} </w:instrText>
      </w:r>
      <w:r>
        <w:fldChar w:fldCharType="separate"/>
      </w:r>
      <w:r w:rsidRPr="00403568">
        <w:rPr>
          <w:rFonts w:ascii="Calibri" w:hAnsi="Calibri" w:cs="Calibri"/>
          <w:szCs w:val="24"/>
        </w:rPr>
        <w:t xml:space="preserve">(Yan </w:t>
      </w:r>
      <w:r w:rsidRPr="00403568">
        <w:rPr>
          <w:rFonts w:ascii="Calibri" w:hAnsi="Calibri" w:cs="Calibri"/>
          <w:i/>
          <w:iCs/>
          <w:szCs w:val="24"/>
        </w:rPr>
        <w:t>et al.</w:t>
      </w:r>
      <w:r w:rsidRPr="00403568">
        <w:rPr>
          <w:rFonts w:ascii="Calibri" w:hAnsi="Calibri" w:cs="Calibri"/>
          <w:szCs w:val="24"/>
        </w:rPr>
        <w:t>, 2024)</w:t>
      </w:r>
      <w:r>
        <w:fldChar w:fldCharType="end"/>
      </w:r>
      <w:r>
        <w:t xml:space="preserve"> have demonstrated its potential for partial biotransformation under oxic conditions. Therefore, while sorption fully explains the attenuation of all other PFAS studied, a minor contribution from biotransformation cannot be excluded for 6:2 FTS.</w:t>
      </w:r>
    </w:p>
    <w:p w14:paraId="70F92B05" w14:textId="7AC49EF7" w:rsidR="002A5980" w:rsidRDefault="002A5980" w:rsidP="00865AB7">
      <w:pPr>
        <w:spacing w:line="276" w:lineRule="auto"/>
        <w:rPr>
          <w:b/>
          <w:i/>
        </w:rPr>
      </w:pPr>
      <w:r>
        <w:rPr>
          <w:b/>
          <w:i/>
        </w:rPr>
        <w:t>Alkylphenols</w:t>
      </w:r>
    </w:p>
    <w:p w14:paraId="11E1394D" w14:textId="250D8C4A" w:rsidR="00F43282" w:rsidRDefault="009F2AB3" w:rsidP="00865AB7">
      <w:pPr>
        <w:spacing w:line="276" w:lineRule="auto"/>
        <w:jc w:val="both"/>
      </w:pPr>
      <w:r>
        <w:fldChar w:fldCharType="begin"/>
      </w:r>
      <w:r>
        <w:instrText xml:space="preserve"> REF _Ref198540294 \h </w:instrText>
      </w:r>
      <w:r w:rsidR="00476F5B">
        <w:instrText xml:space="preserve"> \* MERGEFORMAT </w:instrText>
      </w:r>
      <w:r>
        <w:fldChar w:fldCharType="separate"/>
      </w:r>
      <w:r w:rsidR="00CB5B90">
        <w:t xml:space="preserve">Figure </w:t>
      </w:r>
      <w:r w:rsidR="00CB5B90">
        <w:rPr>
          <w:noProof/>
        </w:rPr>
        <w:t>6</w:t>
      </w:r>
      <w:r>
        <w:fldChar w:fldCharType="end"/>
      </w:r>
      <w:r w:rsidR="00A11166">
        <w:t>h</w:t>
      </w:r>
      <w:r>
        <w:t xml:space="preserve"> </w:t>
      </w:r>
      <w:r w:rsidR="00F43282">
        <w:t xml:space="preserve">illustrates the evolution of NP2EO concentration in the triplicate. Unlike the other studied CECs, the total attenuation of NP2EO </w:t>
      </w:r>
      <w:r w:rsidR="006123CA">
        <w:t xml:space="preserve">was </w:t>
      </w:r>
      <w:r w:rsidR="00F43282">
        <w:t>nearly compl</w:t>
      </w:r>
      <w:r w:rsidR="00885288">
        <w:t xml:space="preserve">ete after 21 days, reaching 90%. </w:t>
      </w:r>
      <w:r w:rsidR="00885288" w:rsidRPr="00885288">
        <w:t xml:space="preserve">This </w:t>
      </w:r>
      <w:r w:rsidR="00885288" w:rsidRPr="00885288">
        <w:lastRenderedPageBreak/>
        <w:t>attenuation is entirely attributed to biodegradation,</w:t>
      </w:r>
      <w:r w:rsidR="00491B38">
        <w:t xml:space="preserve"> as no measurable sorption onto loess sediments was observed in the </w:t>
      </w:r>
      <w:r w:rsidR="00184C0A">
        <w:t>abiotic control (see section S8</w:t>
      </w:r>
      <w:r w:rsidR="00491B38">
        <w:t xml:space="preserve"> of the Supplementary Materials). In addition, </w:t>
      </w:r>
      <w:r w:rsidR="00885288" w:rsidRPr="00885288">
        <w:t xml:space="preserve">no significant difference </w:t>
      </w:r>
      <w:r w:rsidR="00491B38">
        <w:t xml:space="preserve">were </w:t>
      </w:r>
      <w:r w:rsidR="00885288" w:rsidRPr="00885288">
        <w:t xml:space="preserve">observed between oxic </w:t>
      </w:r>
      <w:r w:rsidR="00885288">
        <w:t>and nitrate-reducing conditions</w:t>
      </w:r>
      <w:r w:rsidR="00F43282">
        <w:t>.</w:t>
      </w:r>
      <w:r w:rsidR="00491B38">
        <w:t xml:space="preserve"> D</w:t>
      </w:r>
      <w:r w:rsidR="00F43282" w:rsidRPr="00EF7C95">
        <w:t xml:space="preserve">espite the higher solubility of NP2EO, it degrades relatively quickly, with 50% of its initial concentration disappearing within just 5 days. Therefore, if water containing NP2EO were to infiltrate </w:t>
      </w:r>
      <w:r>
        <w:t xml:space="preserve">through </w:t>
      </w:r>
      <w:r w:rsidR="00F43282" w:rsidRPr="00EF7C95">
        <w:t xml:space="preserve">loess sediments, the compound, while not expected to undergo significant sorption, is likely to degrade rapidly. </w:t>
      </w:r>
      <w:r w:rsidR="00885288" w:rsidRPr="00885288">
        <w:t xml:space="preserve"> However, it is important to note that in this study, we did not account for the formation of degradation products, some of which may be of concern. For instance, NP2EO can degrade into nonylphenol (NP), a more persistent, hydrophobic, and toxic compound known for its endocrine</w:t>
      </w:r>
      <w:r w:rsidR="00885288">
        <w:t xml:space="preserve">-disrupting properties </w:t>
      </w:r>
      <w:r w:rsidR="00885288">
        <w:fldChar w:fldCharType="begin"/>
      </w:r>
      <w:r w:rsidR="00885288">
        <w:instrText xml:space="preserve"> ADDIN ZOTERO_ITEM CSL_CITATION {"citationID":"9tn2Z0Sj","properties":{"formattedCitation":"(Soares {\\i{}et al.}, 2008)","plainCitation":"(Soares et al., 2008)","noteIndex":0},"citationItems":[{"id":7002,"uris":["http://zotero.org/users/9753339/items/JFJU84EE"],"itemData":{"id":7002,"type":"article-journal","abstract":"Nonylphenol is a toxic xenobiotic compound classified as an endocrine disrupter capable of interfering with the hormonal system of numerous organisms. It originates principally from the degradation of nonylphenol ethoxylates which are widely used as industrial surfactants. Nonylphenol ethoxylates reach sewage treatment works in substantial quantities where they biodegrade into several by-products including nonylphenol. Due to its physical–chemical characteristics, such as low solubility and high hydrophobicity, nonylphenol accumulates in environmental compartments that are characterised by high organic content, typically sewage sludge and river sediments, where it persists. The occurrence of nonylphenol in the environment is clearly correlated with anthropogenic activities such as wastewater treatment, landfilling and sewage sludge recycling. Nonylphenol is found often in matrices such as sewage sludge, effluents from sewage treatment works, river water and sediments, soil and groundwater. The impacts of nonylphenol in the environment include feminization of aquatic organisms, decrease in male fertility and the survival of juveniles at concentrations as low as 8.2 μg/l. Due to the harmful effects of the degradation products of nonylphenol ethoxylates in the environment, the use and production of such compounds have been banned in EU countries and strictly monitored in many other countries such as Canada and Japan. Although it has been shown that the concentration of nonylphenol in the environment is decreasing, it is still found at concentrations of 4.1 μg/l in river waters and 1 mg/kg in sediments. Nonylphenol has been referred to in the list of priority substances in the Water Frame Directive and in the 3rd draft Working Document on Sludge of the EU. Consequently there is currently a concern within some industries about the possibility of future regulations that may impose the removal of trace contaminants from contaminated effluents. The significance of upgrading sewage treatment works with advanced treatment technologies for removal of trace contaminants is discussed.","container-title":"Environment International","DOI":"10.1016/j.envint.2008.01.004","ISSN":"01604120","issue":"7","journalAbbreviation":"Environment International","language":"en","license":"https://www.elsevier.com/tdm/userlicense/1.0/","page":"1033-1049","source":"DOI.org (Crossref)","title":"Nonylphenol in the environment: A critical review on occurrence, fate, toxicity and treatment in wastewaters","title-short":"Nonylphenol in the environment","volume":"34","author":[{"family":"Soares","given":"A."},{"family":"Guieysse","given":"B."},{"family":"Jefferson","given":"B."},{"family":"Cartmell","given":"E."},{"family":"Lester","given":"J.N."}],"issued":{"date-parts":[["2008",10]]}}}],"schema":"https://github.com/citation-style-language/schema/raw/master/csl-citation.json"} </w:instrText>
      </w:r>
      <w:r w:rsidR="00885288">
        <w:fldChar w:fldCharType="separate"/>
      </w:r>
      <w:r w:rsidR="00885288" w:rsidRPr="00885288">
        <w:rPr>
          <w:rFonts w:ascii="Calibri" w:hAnsi="Calibri" w:cs="Calibri"/>
          <w:szCs w:val="24"/>
        </w:rPr>
        <w:t xml:space="preserve">(Soares </w:t>
      </w:r>
      <w:r w:rsidR="00885288" w:rsidRPr="00885288">
        <w:rPr>
          <w:rFonts w:ascii="Calibri" w:hAnsi="Calibri" w:cs="Calibri"/>
          <w:i/>
          <w:iCs/>
          <w:szCs w:val="24"/>
        </w:rPr>
        <w:t>et al.</w:t>
      </w:r>
      <w:r w:rsidR="00885288" w:rsidRPr="00885288">
        <w:rPr>
          <w:rFonts w:ascii="Calibri" w:hAnsi="Calibri" w:cs="Calibri"/>
          <w:szCs w:val="24"/>
        </w:rPr>
        <w:t>, 2008)</w:t>
      </w:r>
      <w:r w:rsidR="00885288">
        <w:fldChar w:fldCharType="end"/>
      </w:r>
      <w:r w:rsidR="00035544" w:rsidRPr="00885288">
        <w:t>.</w:t>
      </w:r>
      <w:r w:rsidR="00A2660A">
        <w:t xml:space="preserve"> </w:t>
      </w:r>
    </w:p>
    <w:p w14:paraId="74DB9B28" w14:textId="2CA10506" w:rsidR="00F43282" w:rsidRPr="00B94226" w:rsidRDefault="00E02669" w:rsidP="005B1539">
      <w:pPr>
        <w:pStyle w:val="NormalWeb"/>
      </w:pPr>
      <w:r>
        <w:rPr>
          <w:noProof/>
        </w:rPr>
        <w:drawing>
          <wp:inline distT="0" distB="0" distL="0" distR="0" wp14:anchorId="099C44D4" wp14:editId="7E43F2E1">
            <wp:extent cx="5760000" cy="5730446"/>
            <wp:effectExtent l="0" t="0" r="0" b="3810"/>
            <wp:docPr id="2" name="Image 2" descr="C:\Users\glaud\Documents\Uliege\doctorat\WP2\batch_experiment\modeling_phreeqc\visualisation_results\combined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d\Documents\Uliege\doctorat\WP2\batch_experiment\modeling_phreeqc\visualisation_results\combined_plo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5730446"/>
                    </a:xfrm>
                    <a:prstGeom prst="rect">
                      <a:avLst/>
                    </a:prstGeom>
                    <a:noFill/>
                    <a:ln>
                      <a:noFill/>
                    </a:ln>
                  </pic:spPr>
                </pic:pic>
              </a:graphicData>
            </a:graphic>
          </wp:inline>
        </w:drawing>
      </w:r>
    </w:p>
    <w:p w14:paraId="548B4916" w14:textId="1A266C44" w:rsidR="00F43282" w:rsidRPr="00FD1E6C" w:rsidRDefault="00F43282" w:rsidP="00865AB7">
      <w:pPr>
        <w:pStyle w:val="Lgende"/>
        <w:spacing w:line="276" w:lineRule="auto"/>
        <w:jc w:val="center"/>
      </w:pPr>
      <w:bookmarkStart w:id="13" w:name="_Ref198540294"/>
      <w:r>
        <w:t xml:space="preserve">Figure </w:t>
      </w:r>
      <w:fldSimple w:instr=" SEQ Figure \* ARABIC ">
        <w:r w:rsidR="002E6038">
          <w:rPr>
            <w:noProof/>
          </w:rPr>
          <w:t>6</w:t>
        </w:r>
      </w:fldSimple>
      <w:bookmarkEnd w:id="13"/>
      <w:r>
        <w:t>.</w:t>
      </w:r>
      <w:r w:rsidR="00F727A6">
        <w:t xml:space="preserve"> C</w:t>
      </w:r>
      <w:r w:rsidR="00F727A6" w:rsidRPr="002667C0">
        <w:t>oncentration</w:t>
      </w:r>
      <w:r w:rsidR="00F727A6">
        <w:t xml:space="preserve"> evolution</w:t>
      </w:r>
      <w:r w:rsidR="00F727A6" w:rsidRPr="002667C0">
        <w:t xml:space="preserve"> of a) benzotriazole</w:t>
      </w:r>
      <w:r w:rsidR="00F727A6">
        <w:t>, b) tolyltriazole, c) PFOA, d) PFHxA, e) 6:2 FTS, f) PFOS, g) PFECHS and h) nonylphenol diethoxylate</w:t>
      </w:r>
      <w:r w:rsidR="00A11166">
        <w:t xml:space="preserve"> in the batch reactors</w:t>
      </w:r>
      <w:r w:rsidR="00F727A6">
        <w:t>.</w:t>
      </w:r>
    </w:p>
    <w:p w14:paraId="0113E490" w14:textId="351C6A53" w:rsidR="002A644A" w:rsidRDefault="00FD1E6C" w:rsidP="00865AB7">
      <w:pPr>
        <w:pStyle w:val="Titre3"/>
        <w:numPr>
          <w:ilvl w:val="2"/>
          <w:numId w:val="1"/>
        </w:numPr>
        <w:spacing w:line="276" w:lineRule="auto"/>
      </w:pPr>
      <w:bookmarkStart w:id="14" w:name="_Ref208241472"/>
      <w:r>
        <w:lastRenderedPageBreak/>
        <w:t>Comparison of sorption parameters with literature data</w:t>
      </w:r>
      <w:bookmarkEnd w:id="14"/>
    </w:p>
    <w:p w14:paraId="1E27B836" w14:textId="3F29C013" w:rsidR="00674736" w:rsidRDefault="00674736" w:rsidP="00865AB7">
      <w:pPr>
        <w:spacing w:line="276" w:lineRule="auto"/>
        <w:jc w:val="both"/>
      </w:pPr>
      <w:r w:rsidRPr="00674736">
        <w:t xml:space="preserve">For comparison with the scientific literature, the </w:t>
      </w:r>
      <w:r w:rsidRPr="00A610E9">
        <w:rPr>
          <w:i/>
        </w:rPr>
        <w:t>K</w:t>
      </w:r>
      <w:r w:rsidRPr="00A610E9">
        <w:rPr>
          <w:i/>
          <w:vertAlign w:val="subscript"/>
        </w:rPr>
        <w:t>d</w:t>
      </w:r>
      <w:r w:rsidRPr="00674736">
        <w:t xml:space="preserve"> values obtained from the calibration of chemical models were used to calculate </w:t>
      </w:r>
      <w:r w:rsidRPr="00A610E9">
        <w:rPr>
          <w:i/>
        </w:rPr>
        <w:t>K</w:t>
      </w:r>
      <w:r w:rsidRPr="00A610E9">
        <w:rPr>
          <w:i/>
          <w:vertAlign w:val="subscript"/>
        </w:rPr>
        <w:t>oc</w:t>
      </w:r>
      <w:r w:rsidRPr="00A610E9">
        <w:rPr>
          <w:i/>
        </w:rPr>
        <w:t xml:space="preserve"> </w:t>
      </w:r>
      <w:r w:rsidRPr="00674736">
        <w:t xml:space="preserve">values, based on the organic carbon fraction </w:t>
      </w:r>
      <w:r w:rsidRPr="005B4DB6">
        <w:rPr>
          <w:i/>
        </w:rPr>
        <w:t>f</w:t>
      </w:r>
      <w:r w:rsidRPr="005B4DB6">
        <w:rPr>
          <w:i/>
          <w:vertAlign w:val="subscript"/>
        </w:rPr>
        <w:t>oc</w:t>
      </w:r>
      <w:r w:rsidR="00D64490">
        <w:rPr>
          <w:i/>
          <w:vertAlign w:val="subscript"/>
        </w:rPr>
        <w:t xml:space="preserve"> </w:t>
      </w:r>
      <w:r w:rsidR="00D64490">
        <w:t>(</w:t>
      </w:r>
      <w:r w:rsidR="0009035E">
        <w:t>Eq.</w:t>
      </w:r>
      <w:r w:rsidR="00D64490">
        <w:t xml:space="preserve"> 1)</w:t>
      </w:r>
      <w:r w:rsidR="0009035E">
        <w:t>. In this</w:t>
      </w:r>
      <w:r w:rsidRPr="00674736">
        <w:t xml:space="preserve"> study, the organic carbon analysis of the loess indicated an organic carbon content of</w:t>
      </w:r>
      <w:r w:rsidR="0009514B">
        <w:t xml:space="preserve"> </w:t>
      </w:r>
      <w:r w:rsidR="0009514B" w:rsidRPr="0009514B">
        <w:rPr>
          <w:i/>
        </w:rPr>
        <w:t>f</w:t>
      </w:r>
      <w:r w:rsidR="0009514B" w:rsidRPr="0009514B">
        <w:rPr>
          <w:i/>
          <w:vertAlign w:val="subscript"/>
        </w:rPr>
        <w:t>oc</w:t>
      </w:r>
      <w:r w:rsidR="0009514B">
        <w:t xml:space="preserve"> =</w:t>
      </w:r>
      <w:r w:rsidRPr="00674736">
        <w:t xml:space="preserve"> 2.23%.   </w:t>
      </w:r>
    </w:p>
    <w:p w14:paraId="7C15768C" w14:textId="14FEC773" w:rsidR="005B4DB6" w:rsidRDefault="00DB6DBE" w:rsidP="00865AB7">
      <w:pPr>
        <w:spacing w:line="276"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K</m:t>
                  </m:r>
                </m:e>
                <m:sub>
                  <m:r>
                    <w:rPr>
                      <w:rFonts w:ascii="Cambria Math" w:hAnsi="Cambria Math"/>
                    </w:rPr>
                    <m:t>oc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d</m:t>
                      </m:r>
                    </m:sub>
                  </m:sSub>
                </m:num>
                <m:den>
                  <m:sSub>
                    <m:sSubPr>
                      <m:ctrlPr>
                        <w:rPr>
                          <w:rFonts w:ascii="Cambria Math" w:hAnsi="Cambria Math"/>
                          <w:i/>
                        </w:rPr>
                      </m:ctrlPr>
                    </m:sSubPr>
                    <m:e>
                      <m:r>
                        <w:rPr>
                          <w:rFonts w:ascii="Cambria Math" w:hAnsi="Cambria Math"/>
                        </w:rPr>
                        <m:t>f</m:t>
                      </m:r>
                    </m:e>
                    <m:sub>
                      <m:r>
                        <w:rPr>
                          <w:rFonts w:ascii="Cambria Math" w:hAnsi="Cambria Math"/>
                        </w:rPr>
                        <m:t>oc</m:t>
                      </m:r>
                    </m:sub>
                  </m:sSub>
                </m:den>
              </m:f>
              <m:r>
                <w:rPr>
                  <w:rFonts w:ascii="Cambria Math" w:hAnsi="Cambria Math"/>
                </w:rPr>
                <m:t xml:space="preserve"> #(1</m:t>
              </m:r>
            </m:e>
          </m:eqArr>
          <m:r>
            <w:rPr>
              <w:rFonts w:ascii="Cambria Math" w:hAnsi="Cambria Math"/>
            </w:rPr>
            <m:t>)</m:t>
          </m:r>
        </m:oMath>
      </m:oMathPara>
    </w:p>
    <w:p w14:paraId="3D024BC9" w14:textId="4816E99A" w:rsidR="001B3A79" w:rsidRDefault="00A5757F" w:rsidP="00865AB7">
      <w:pPr>
        <w:spacing w:line="276" w:lineRule="auto"/>
        <w:jc w:val="both"/>
      </w:pPr>
      <w:r>
        <w:t>Estimated</w:t>
      </w:r>
      <w:r w:rsidR="00A610E9">
        <w:t xml:space="preserve"> </w:t>
      </w:r>
      <w:r w:rsidR="00AD6B8A">
        <w:t xml:space="preserve">log </w:t>
      </w:r>
      <w:r w:rsidR="00D64490" w:rsidRPr="00D64490">
        <w:rPr>
          <w:i/>
        </w:rPr>
        <w:t>K</w:t>
      </w:r>
      <w:r w:rsidR="00D64490" w:rsidRPr="00D64490">
        <w:rPr>
          <w:i/>
          <w:vertAlign w:val="subscript"/>
        </w:rPr>
        <w:t>oc</w:t>
      </w:r>
      <w:r w:rsidR="00AD6B8A">
        <w:t xml:space="preserve"> value</w:t>
      </w:r>
      <w:r w:rsidR="0080780F">
        <w:t>s of 1.34 and 1.47</w:t>
      </w:r>
      <w:r w:rsidR="00AD6B8A">
        <w:t xml:space="preserve"> </w:t>
      </w:r>
      <w:r>
        <w:t>were</w:t>
      </w:r>
      <w:r w:rsidR="00D64490">
        <w:t xml:space="preserve"> calculated</w:t>
      </w:r>
      <w:r w:rsidR="00DC03D5">
        <w:t xml:space="preserve"> for benzotriazole and tolyltriazole</w:t>
      </w:r>
      <w:r>
        <w:t xml:space="preserve"> respectively,</w:t>
      </w:r>
      <w:r w:rsidR="00DC03D5">
        <w:t xml:space="preserve"> </w:t>
      </w:r>
      <w:r>
        <w:t xml:space="preserve">based on </w:t>
      </w:r>
      <w:r w:rsidR="00D64490" w:rsidRPr="00987BBB">
        <w:rPr>
          <w:i/>
        </w:rPr>
        <w:t>K</w:t>
      </w:r>
      <w:r w:rsidR="00D64490" w:rsidRPr="00987BBB">
        <w:rPr>
          <w:i/>
          <w:vertAlign w:val="subscript"/>
        </w:rPr>
        <w:t>d</w:t>
      </w:r>
      <w:r w:rsidR="00D64490">
        <w:t xml:space="preserve"> values </w:t>
      </w:r>
      <w:r>
        <w:t xml:space="preserve">derived </w:t>
      </w:r>
      <w:r w:rsidR="00D64490">
        <w:t>from</w:t>
      </w:r>
      <w:r w:rsidR="0041671D">
        <w:t xml:space="preserve"> the interpretation of</w:t>
      </w:r>
      <w:r w:rsidR="00D64490">
        <w:t xml:space="preserve"> abiotic</w:t>
      </w:r>
      <w:r>
        <w:t xml:space="preserve"> control results</w:t>
      </w:r>
      <w:r w:rsidR="00DC03D5">
        <w:t xml:space="preserve">. </w:t>
      </w:r>
      <w:r w:rsidR="0041671D" w:rsidRPr="0041671D">
        <w:t>These</w:t>
      </w:r>
      <w:r w:rsidR="000719CA">
        <w:t xml:space="preserve"> values</w:t>
      </w:r>
      <w:r w:rsidR="0041671D" w:rsidRPr="0041671D">
        <w:t xml:space="preserve"> are lower than </w:t>
      </w:r>
      <w:r w:rsidR="000719CA">
        <w:t>those</w:t>
      </w:r>
      <w:r w:rsidR="006205EB">
        <w:t xml:space="preserve"> documented in the literature for similar soils. Specifically, </w:t>
      </w:r>
      <w:r w:rsidR="0041671D">
        <w:fldChar w:fldCharType="begin"/>
      </w:r>
      <w:r w:rsidR="0041671D">
        <w:instrText xml:space="preserve"> QUOTE  "Hart et al. (2004)" </w:instrText>
      </w:r>
      <w:r w:rsidR="0041671D">
        <w:fldChar w:fldCharType="separate"/>
      </w:r>
      <w:r w:rsidR="0041671D">
        <w:t xml:space="preserve">Hart </w:t>
      </w:r>
      <w:r w:rsidR="0041671D" w:rsidRPr="0041671D">
        <w:rPr>
          <w:i/>
        </w:rPr>
        <w:t>et al.</w:t>
      </w:r>
      <w:r w:rsidR="0041671D">
        <w:t xml:space="preserve"> (2004)</w:t>
      </w:r>
      <w:r w:rsidR="0041671D">
        <w:fldChar w:fldCharType="end"/>
      </w:r>
      <w:r w:rsidR="0041671D">
        <w:t xml:space="preserve"> and </w:t>
      </w:r>
      <w:r w:rsidR="0041671D">
        <w:fldChar w:fldCharType="begin"/>
      </w:r>
      <w:r w:rsidR="0041671D">
        <w:instrText xml:space="preserve"> QUOTE  "Alotaibi et al. (2015)" </w:instrText>
      </w:r>
      <w:r w:rsidR="0041671D">
        <w:fldChar w:fldCharType="separate"/>
      </w:r>
      <w:r w:rsidR="0041671D">
        <w:t>Alotaibi</w:t>
      </w:r>
      <w:r w:rsidR="0041671D" w:rsidRPr="0041671D">
        <w:rPr>
          <w:i/>
        </w:rPr>
        <w:t xml:space="preserve"> et al.</w:t>
      </w:r>
      <w:r w:rsidR="0041671D">
        <w:t xml:space="preserve"> (2015)</w:t>
      </w:r>
      <w:r w:rsidR="0041671D">
        <w:fldChar w:fldCharType="end"/>
      </w:r>
      <w:r w:rsidR="000719CA">
        <w:t xml:space="preserve"> </w:t>
      </w:r>
      <w:r w:rsidR="006205EB">
        <w:t xml:space="preserve">reported log </w:t>
      </w:r>
      <w:r w:rsidR="006205EB" w:rsidRPr="00D64490">
        <w:rPr>
          <w:i/>
        </w:rPr>
        <w:t>K</w:t>
      </w:r>
      <w:r w:rsidR="006205EB" w:rsidRPr="00D64490">
        <w:rPr>
          <w:i/>
          <w:vertAlign w:val="subscript"/>
        </w:rPr>
        <w:t>oc</w:t>
      </w:r>
      <w:r w:rsidR="006205EB">
        <w:t xml:space="preserve"> of </w:t>
      </w:r>
      <w:r w:rsidR="000719CA">
        <w:t xml:space="preserve">1.66 </w:t>
      </w:r>
      <w:r w:rsidR="006205EB">
        <w:t xml:space="preserve">for benzotriazole </w:t>
      </w:r>
      <w:r w:rsidR="000719CA">
        <w:t>and 1.97</w:t>
      </w:r>
      <w:r w:rsidR="0041671D" w:rsidRPr="0041671D">
        <w:t xml:space="preserve"> </w:t>
      </w:r>
      <w:r w:rsidR="000719CA">
        <w:t xml:space="preserve">for tolyltriazole </w:t>
      </w:r>
      <w:r w:rsidR="006205EB">
        <w:t>in soils with comparable grain size and carbon content</w:t>
      </w:r>
      <w:r w:rsidR="00370DB7">
        <w:t>.</w:t>
      </w:r>
      <w:r w:rsidR="001B3A79">
        <w:t xml:space="preserve"> </w:t>
      </w:r>
      <w:r w:rsidR="006205EB">
        <w:t xml:space="preserve">The </w:t>
      </w:r>
      <w:r w:rsidR="0041671D" w:rsidRPr="0041671D">
        <w:t>discrepancy likely arises from differences in exper</w:t>
      </w:r>
      <w:r w:rsidR="0041671D">
        <w:t>imental conditions, as they</w:t>
      </w:r>
      <w:r w:rsidR="0041671D" w:rsidRPr="0041671D">
        <w:t xml:space="preserve"> used a 1:1 solid-to-liquid ratio and procedures that enhanced contaminant–sediment interaction, leading to higher sorption estimates.</w:t>
      </w:r>
    </w:p>
    <w:p w14:paraId="1C209578" w14:textId="5186722A" w:rsidR="00674736" w:rsidRDefault="00674736" w:rsidP="00865AB7">
      <w:pPr>
        <w:spacing w:line="276" w:lineRule="auto"/>
        <w:jc w:val="both"/>
      </w:pPr>
      <w:r>
        <w:t xml:space="preserve">For PFAS compounds, </w:t>
      </w:r>
      <w:r w:rsidRPr="00FD1D25">
        <w:t>the differences in sorption behaviour per PFAS compound</w:t>
      </w:r>
      <w:r w:rsidR="006123CA">
        <w:t xml:space="preserve"> were assessed</w:t>
      </w:r>
      <w:r w:rsidRPr="00FD1D25">
        <w:t xml:space="preserve"> based on the </w:t>
      </w:r>
      <w:r w:rsidR="006123CA">
        <w:t>fluorinated ch</w:t>
      </w:r>
      <w:r w:rsidR="00DF1658">
        <w:t>ain leng</w:t>
      </w:r>
      <w:r w:rsidR="006123CA">
        <w:t>t</w:t>
      </w:r>
      <w:r w:rsidR="00DF1658">
        <w:t>h</w:t>
      </w:r>
      <w:r w:rsidRPr="00FD1D25">
        <w:t>.</w:t>
      </w:r>
      <w:r w:rsidR="00A5757F">
        <w:t xml:space="preserve"> </w:t>
      </w:r>
      <w:r w:rsidR="0009035E">
        <w:fldChar w:fldCharType="begin"/>
      </w:r>
      <w:r w:rsidR="0009035E">
        <w:instrText xml:space="preserve"> REF _Ref203749945 \h </w:instrText>
      </w:r>
      <w:r w:rsidR="00476F5B">
        <w:instrText xml:space="preserve"> \* MERGEFORMAT </w:instrText>
      </w:r>
      <w:r w:rsidR="0009035E">
        <w:fldChar w:fldCharType="separate"/>
      </w:r>
      <w:r w:rsidR="0009035E">
        <w:t xml:space="preserve">Table </w:t>
      </w:r>
      <w:r w:rsidR="0009035E">
        <w:rPr>
          <w:noProof/>
        </w:rPr>
        <w:t>2</w:t>
      </w:r>
      <w:r w:rsidR="0009035E">
        <w:fldChar w:fldCharType="end"/>
      </w:r>
      <w:r w:rsidR="0009035E">
        <w:t xml:space="preserve"> </w:t>
      </w:r>
      <w:r>
        <w:t xml:space="preserve">presents a comparison of the </w:t>
      </w:r>
      <w:r w:rsidRPr="00791E69">
        <w:rPr>
          <w:rStyle w:val="katex-mathml"/>
          <w:i/>
        </w:rPr>
        <w:t>K</w:t>
      </w:r>
      <w:r w:rsidRPr="00791E69">
        <w:rPr>
          <w:rStyle w:val="katex-mathml"/>
          <w:i/>
          <w:vertAlign w:val="subscript"/>
        </w:rPr>
        <w:t>oc</w:t>
      </w:r>
      <w:r>
        <w:rPr>
          <w:rStyle w:val="vlist-s"/>
        </w:rPr>
        <w:t xml:space="preserve"> </w:t>
      </w:r>
      <w:r>
        <w:t>values obtained from the abiotic con</w:t>
      </w:r>
      <w:r w:rsidR="00A5757F">
        <w:t xml:space="preserve">trol with those reported in the </w:t>
      </w:r>
      <w:r>
        <w:t xml:space="preserve">study of </w:t>
      </w:r>
      <w:r>
        <w:fldChar w:fldCharType="begin"/>
      </w:r>
      <w:r>
        <w:instrText xml:space="preserve"> QUOTE  "Fabregat-Palau et al (2022)" </w:instrText>
      </w:r>
      <w:r>
        <w:fldChar w:fldCharType="separate"/>
      </w:r>
      <w:r>
        <w:t xml:space="preserve">Fabregat-Palau </w:t>
      </w:r>
      <w:r w:rsidRPr="00735C35">
        <w:rPr>
          <w:i/>
        </w:rPr>
        <w:t>et al</w:t>
      </w:r>
      <w:r w:rsidR="00735C35" w:rsidRPr="00735C35">
        <w:rPr>
          <w:i/>
        </w:rPr>
        <w:t>.</w:t>
      </w:r>
      <w:r>
        <w:t xml:space="preserve"> (2022)</w:t>
      </w:r>
      <w:r>
        <w:fldChar w:fldCharType="end"/>
      </w:r>
      <w:r>
        <w:t xml:space="preserve">. Their study compiles a dataset of </w:t>
      </w:r>
      <w:r w:rsidRPr="00791E69">
        <w:rPr>
          <w:i/>
        </w:rPr>
        <w:t>K</w:t>
      </w:r>
      <w:r w:rsidRPr="00C72F8B">
        <w:rPr>
          <w:i/>
          <w:sz w:val="20"/>
          <w:vertAlign w:val="subscript"/>
        </w:rPr>
        <w:t>oc</w:t>
      </w:r>
      <w:r>
        <w:rPr>
          <w:sz w:val="20"/>
        </w:rPr>
        <w:t xml:space="preserve"> </w:t>
      </w:r>
      <w:r w:rsidRPr="00674736">
        <w:t>values of 13 different PFAS</w:t>
      </w:r>
      <w:r w:rsidRPr="00674736">
        <w:rPr>
          <w:sz w:val="24"/>
        </w:rPr>
        <w:t xml:space="preserve"> </w:t>
      </w:r>
      <w:r w:rsidRPr="0002790E">
        <w:t xml:space="preserve">from their own experiments and from a larger dataset reporting </w:t>
      </w:r>
      <w:r w:rsidRPr="00A610E9">
        <w:rPr>
          <w:i/>
        </w:rPr>
        <w:t>K</w:t>
      </w:r>
      <w:r w:rsidRPr="00A610E9">
        <w:rPr>
          <w:i/>
          <w:vertAlign w:val="subscript"/>
        </w:rPr>
        <w:t>oc</w:t>
      </w:r>
      <w:r w:rsidRPr="0002790E">
        <w:t xml:space="preserve"> values from the literature. In addition, an equation correlating the </w:t>
      </w:r>
      <w:r w:rsidRPr="00A610E9">
        <w:rPr>
          <w:i/>
        </w:rPr>
        <w:t>log K</w:t>
      </w:r>
      <w:r w:rsidRPr="00A610E9">
        <w:rPr>
          <w:i/>
          <w:vertAlign w:val="subscript"/>
        </w:rPr>
        <w:t>oc</w:t>
      </w:r>
      <w:r w:rsidRPr="0002790E">
        <w:t xml:space="preserve"> values with the number of CF</w:t>
      </w:r>
      <w:r w:rsidRPr="0002790E">
        <w:rPr>
          <w:vertAlign w:val="subscript"/>
        </w:rPr>
        <w:t>2</w:t>
      </w:r>
      <w:r w:rsidRPr="0002790E">
        <w:t xml:space="preserve"> was developed </w:t>
      </w:r>
      <w:r>
        <w:t xml:space="preserve">in their study </w:t>
      </w:r>
      <w:r w:rsidRPr="0002790E">
        <w:t xml:space="preserve">to predict </w:t>
      </w:r>
      <w:r w:rsidRPr="0002790E">
        <w:rPr>
          <w:i/>
        </w:rPr>
        <w:t>K</w:t>
      </w:r>
      <w:r w:rsidRPr="0002790E">
        <w:rPr>
          <w:i/>
          <w:vertAlign w:val="subscript"/>
        </w:rPr>
        <w:t>oc</w:t>
      </w:r>
      <w:r w:rsidRPr="0002790E">
        <w:rPr>
          <w:i/>
        </w:rPr>
        <w:t xml:space="preserve"> </w:t>
      </w:r>
      <w:r w:rsidRPr="0002790E">
        <w:t>based on PFAS physicochemical properties.</w:t>
      </w:r>
    </w:p>
    <w:p w14:paraId="4827D190" w14:textId="47978870" w:rsidR="0009035E" w:rsidRDefault="0009035E" w:rsidP="00865AB7">
      <w:pPr>
        <w:pStyle w:val="Lgende"/>
        <w:spacing w:after="0" w:line="276" w:lineRule="auto"/>
        <w:jc w:val="center"/>
      </w:pPr>
      <w:bookmarkStart w:id="15" w:name="_Ref203749945"/>
      <w:r>
        <w:t xml:space="preserve">Table </w:t>
      </w:r>
      <w:fldSimple w:instr=" SEQ Table \* ARABIC ">
        <w:r>
          <w:rPr>
            <w:noProof/>
          </w:rPr>
          <w:t>2</w:t>
        </w:r>
      </w:fldSimple>
      <w:bookmarkEnd w:id="15"/>
      <w:r>
        <w:t xml:space="preserve">. Comparison of partition coefficients derived from the abiotic control with values of the compiled dataset of </w:t>
      </w:r>
      <w:r>
        <w:fldChar w:fldCharType="begin"/>
      </w:r>
      <w:r>
        <w:instrText xml:space="preserve"> QUOTE  "Fabregat-Palau et al (2022)" </w:instrText>
      </w:r>
      <w:r>
        <w:fldChar w:fldCharType="separate"/>
      </w:r>
      <w:r>
        <w:t xml:space="preserve">Fabregat-Palau </w:t>
      </w:r>
      <w:r w:rsidRPr="00E24A10">
        <w:t>et al</w:t>
      </w:r>
      <w:r>
        <w:t xml:space="preserve"> (2022)</w:t>
      </w:r>
      <w:r>
        <w:fldChar w:fldCharType="end"/>
      </w:r>
      <w:r>
        <w:t xml:space="preserve"> and their correlation analysis. </w:t>
      </w:r>
    </w:p>
    <w:p w14:paraId="41DFA2C4" w14:textId="2EC488EB" w:rsidR="0009035E" w:rsidRDefault="0009035E" w:rsidP="00865AB7">
      <w:pPr>
        <w:pStyle w:val="Lgende"/>
        <w:spacing w:line="276" w:lineRule="auto"/>
        <w:jc w:val="center"/>
      </w:pPr>
      <w:r w:rsidRPr="00FD1D25">
        <w:rPr>
          <w:i w:val="0"/>
          <w:vertAlign w:val="superscript"/>
        </w:rPr>
        <w:t>1</w:t>
      </w:r>
      <w:r>
        <w:rPr>
          <w:i w:val="0"/>
        </w:rPr>
        <w:t>For the fluorotelomer 6:2 FTS, it should be noted that its tail made of six –CF</w:t>
      </w:r>
      <w:r w:rsidRPr="00FD1D25">
        <w:rPr>
          <w:i w:val="0"/>
          <w:vertAlign w:val="subscript"/>
        </w:rPr>
        <w:t xml:space="preserve">2 </w:t>
      </w:r>
      <w:r>
        <w:rPr>
          <w:i w:val="0"/>
        </w:rPr>
        <w:t>groups is connected to it is sulfonate head with two –CH</w:t>
      </w:r>
      <w:r w:rsidRPr="00FD1D25">
        <w:rPr>
          <w:i w:val="0"/>
          <w:vertAlign w:val="subscript"/>
        </w:rPr>
        <w:t>2</w:t>
      </w:r>
      <w:r>
        <w:rPr>
          <w:i w:val="0"/>
        </w:rPr>
        <w:t>, which make it different from PFHxA, PFOA and PFOS.</w:t>
      </w:r>
    </w:p>
    <w:tbl>
      <w:tblPr>
        <w:tblStyle w:val="TableauGrille1Clair"/>
        <w:tblW w:w="9918" w:type="dxa"/>
        <w:tblLook w:val="04A0" w:firstRow="1" w:lastRow="0" w:firstColumn="1" w:lastColumn="0" w:noHBand="0" w:noVBand="1"/>
      </w:tblPr>
      <w:tblGrid>
        <w:gridCol w:w="1413"/>
        <w:gridCol w:w="1123"/>
        <w:gridCol w:w="1113"/>
        <w:gridCol w:w="1343"/>
        <w:gridCol w:w="893"/>
        <w:gridCol w:w="1952"/>
        <w:gridCol w:w="2081"/>
      </w:tblGrid>
      <w:tr w:rsidR="00674736" w14:paraId="67F8527A" w14:textId="77777777" w:rsidTr="00253336">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912D338" w14:textId="77777777" w:rsidR="00674736" w:rsidRPr="00BA31ED" w:rsidRDefault="00674736" w:rsidP="00865AB7">
            <w:pPr>
              <w:spacing w:line="276" w:lineRule="auto"/>
              <w:jc w:val="center"/>
            </w:pPr>
            <w:r w:rsidRPr="00BA31ED">
              <w:t>Compound name</w:t>
            </w:r>
          </w:p>
        </w:tc>
        <w:tc>
          <w:tcPr>
            <w:tcW w:w="1123" w:type="dxa"/>
            <w:vAlign w:val="center"/>
          </w:tcPr>
          <w:p w14:paraId="523DCEC7" w14:textId="77777777" w:rsidR="00674736" w:rsidRPr="00BA31ED" w:rsidRDefault="00674736" w:rsidP="00865AB7">
            <w:pPr>
              <w:spacing w:line="276" w:lineRule="auto"/>
              <w:jc w:val="center"/>
              <w:cnfStyle w:val="100000000000" w:firstRow="1" w:lastRow="0" w:firstColumn="0" w:lastColumn="0" w:oddVBand="0" w:evenVBand="0" w:oddHBand="0" w:evenHBand="0" w:firstRowFirstColumn="0" w:firstRowLastColumn="0" w:lastRowFirstColumn="0" w:lastRowLastColumn="0"/>
            </w:pPr>
            <w:r w:rsidRPr="00BA31ED">
              <w:t>Number of –CF</w:t>
            </w:r>
            <w:r w:rsidRPr="00BA31ED">
              <w:rPr>
                <w:vertAlign w:val="subscript"/>
              </w:rPr>
              <w:t>2</w:t>
            </w:r>
          </w:p>
        </w:tc>
        <w:tc>
          <w:tcPr>
            <w:tcW w:w="1113" w:type="dxa"/>
            <w:vAlign w:val="center"/>
          </w:tcPr>
          <w:p w14:paraId="2832946B" w14:textId="77777777" w:rsidR="00674736" w:rsidRPr="00BA31ED" w:rsidRDefault="00674736" w:rsidP="00865AB7">
            <w:pPr>
              <w:spacing w:line="276" w:lineRule="auto"/>
              <w:jc w:val="center"/>
              <w:cnfStyle w:val="100000000000" w:firstRow="1" w:lastRow="0" w:firstColumn="0" w:lastColumn="0" w:oddVBand="0" w:evenVBand="0" w:oddHBand="0" w:evenHBand="0" w:firstRowFirstColumn="0" w:firstRowLastColumn="0" w:lastRowFirstColumn="0" w:lastRowLastColumn="0"/>
            </w:pPr>
            <w:r w:rsidRPr="00BA31ED">
              <w:t>K</w:t>
            </w:r>
            <w:r w:rsidRPr="00BA31ED">
              <w:rPr>
                <w:vertAlign w:val="subscript"/>
              </w:rPr>
              <w:t>d</w:t>
            </w:r>
            <w:r w:rsidRPr="00BA31ED">
              <w:t xml:space="preserve"> (L kg</w:t>
            </w:r>
            <w:r w:rsidRPr="00BA31ED">
              <w:rPr>
                <w:vertAlign w:val="superscript"/>
              </w:rPr>
              <w:t>-1</w:t>
            </w:r>
            <w:r w:rsidRPr="00BA31ED">
              <w:t>)</w:t>
            </w:r>
          </w:p>
        </w:tc>
        <w:tc>
          <w:tcPr>
            <w:tcW w:w="1343" w:type="dxa"/>
            <w:vAlign w:val="center"/>
          </w:tcPr>
          <w:p w14:paraId="37748478" w14:textId="77777777" w:rsidR="00674736" w:rsidRPr="00BA31ED" w:rsidRDefault="00674736" w:rsidP="00865AB7">
            <w:pPr>
              <w:spacing w:line="276" w:lineRule="auto"/>
              <w:jc w:val="center"/>
              <w:cnfStyle w:val="100000000000" w:firstRow="1" w:lastRow="0" w:firstColumn="0" w:lastColumn="0" w:oddVBand="0" w:evenVBand="0" w:oddHBand="0" w:evenHBand="0" w:firstRowFirstColumn="0" w:firstRowLastColumn="0" w:lastRowFirstColumn="0" w:lastRowLastColumn="0"/>
            </w:pPr>
            <w:r w:rsidRPr="00BA31ED">
              <w:t>K</w:t>
            </w:r>
            <w:r w:rsidRPr="00BA31ED">
              <w:rPr>
                <w:vertAlign w:val="subscript"/>
              </w:rPr>
              <w:t>oc</w:t>
            </w:r>
            <w:r w:rsidRPr="00BA31ED">
              <w:t xml:space="preserve"> (L kg</w:t>
            </w:r>
            <w:r w:rsidRPr="00BA31ED">
              <w:rPr>
                <w:vertAlign w:val="superscript"/>
              </w:rPr>
              <w:t>-1</w:t>
            </w:r>
            <w:r w:rsidRPr="00BA31ED">
              <w:t>)</w:t>
            </w:r>
          </w:p>
          <w:p w14:paraId="0C0AC0E5" w14:textId="77777777" w:rsidR="00674736" w:rsidRPr="00BA31ED" w:rsidRDefault="00674736" w:rsidP="00865AB7">
            <w:pPr>
              <w:spacing w:line="276" w:lineRule="auto"/>
              <w:jc w:val="center"/>
              <w:cnfStyle w:val="100000000000" w:firstRow="1" w:lastRow="0" w:firstColumn="0" w:lastColumn="0" w:oddVBand="0" w:evenVBand="0" w:oddHBand="0" w:evenHBand="0" w:firstRowFirstColumn="0" w:firstRowLastColumn="0" w:lastRowFirstColumn="0" w:lastRowLastColumn="0"/>
            </w:pPr>
            <w:r w:rsidRPr="00BA31ED">
              <w:t>f</w:t>
            </w:r>
            <w:r w:rsidRPr="00BA31ED">
              <w:rPr>
                <w:vertAlign w:val="subscript"/>
              </w:rPr>
              <w:t>oc</w:t>
            </w:r>
            <w:r w:rsidRPr="00BA31ED">
              <w:t xml:space="preserve"> = 2.23%</w:t>
            </w:r>
          </w:p>
        </w:tc>
        <w:tc>
          <w:tcPr>
            <w:tcW w:w="893" w:type="dxa"/>
            <w:vAlign w:val="center"/>
          </w:tcPr>
          <w:p w14:paraId="1396C7BE" w14:textId="77777777" w:rsidR="00674736" w:rsidRPr="00BA31ED" w:rsidRDefault="00674736" w:rsidP="00865AB7">
            <w:pPr>
              <w:spacing w:line="276" w:lineRule="auto"/>
              <w:jc w:val="center"/>
              <w:cnfStyle w:val="100000000000" w:firstRow="1" w:lastRow="0" w:firstColumn="0" w:lastColumn="0" w:oddVBand="0" w:evenVBand="0" w:oddHBand="0" w:evenHBand="0" w:firstRowFirstColumn="0" w:firstRowLastColumn="0" w:lastRowFirstColumn="0" w:lastRowLastColumn="0"/>
            </w:pPr>
            <w:r w:rsidRPr="00BA31ED">
              <w:t>Log K</w:t>
            </w:r>
            <w:r w:rsidRPr="00BA31ED">
              <w:rPr>
                <w:vertAlign w:val="subscript"/>
              </w:rPr>
              <w:t>oc</w:t>
            </w:r>
          </w:p>
        </w:tc>
        <w:tc>
          <w:tcPr>
            <w:tcW w:w="1952" w:type="dxa"/>
            <w:vAlign w:val="center"/>
          </w:tcPr>
          <w:p w14:paraId="1A79807E" w14:textId="6EDC8497" w:rsidR="00674736" w:rsidRPr="00BA31ED" w:rsidRDefault="006D4097" w:rsidP="00865AB7">
            <w:pPr>
              <w:spacing w:line="276" w:lineRule="auto"/>
              <w:jc w:val="center"/>
              <w:cnfStyle w:val="100000000000" w:firstRow="1" w:lastRow="0" w:firstColumn="0" w:lastColumn="0" w:oddVBand="0" w:evenVBand="0" w:oddHBand="0" w:evenHBand="0" w:firstRowFirstColumn="0" w:firstRowLastColumn="0" w:lastRowFirstColumn="0" w:lastRowLastColumn="0"/>
            </w:pPr>
            <w:r>
              <w:t xml:space="preserve">Log </w:t>
            </w:r>
            <w:r w:rsidR="00674736" w:rsidRPr="00BA31ED">
              <w:t>K</w:t>
            </w:r>
            <w:r w:rsidR="00674736" w:rsidRPr="00BA31ED">
              <w:rPr>
                <w:vertAlign w:val="subscript"/>
              </w:rPr>
              <w:t>oc</w:t>
            </w:r>
            <w:r w:rsidR="00674736" w:rsidRPr="00BA31ED">
              <w:t xml:space="preserve"> derived from </w:t>
            </w:r>
            <w:r w:rsidR="00674736" w:rsidRPr="00BA31ED">
              <w:fldChar w:fldCharType="begin"/>
            </w:r>
            <w:r w:rsidR="00674736" w:rsidRPr="00BA31ED">
              <w:instrText xml:space="preserve"> QUOTE  "Fabregat-Palau et al (2022)" </w:instrText>
            </w:r>
            <w:r w:rsidR="00674736" w:rsidRPr="00BA31ED">
              <w:fldChar w:fldCharType="separate"/>
            </w:r>
            <w:r w:rsidR="00674736" w:rsidRPr="00BA31ED">
              <w:t xml:space="preserve">Fabregat-Palau </w:t>
            </w:r>
            <w:r w:rsidR="00674736" w:rsidRPr="001C1CEB">
              <w:rPr>
                <w:i/>
              </w:rPr>
              <w:t>et al</w:t>
            </w:r>
            <w:r w:rsidR="001C1CEB" w:rsidRPr="001C1CEB">
              <w:rPr>
                <w:i/>
              </w:rPr>
              <w:t>.</w:t>
            </w:r>
            <w:r w:rsidR="00674736" w:rsidRPr="00BA31ED">
              <w:t xml:space="preserve"> (2022)</w:t>
            </w:r>
            <w:r w:rsidR="00674736" w:rsidRPr="00BA31ED">
              <w:fldChar w:fldCharType="end"/>
            </w:r>
            <w:r w:rsidR="00674736" w:rsidRPr="00BA31ED">
              <w:t xml:space="preserve"> dataset</w:t>
            </w:r>
          </w:p>
          <w:p w14:paraId="42432BA7" w14:textId="77777777" w:rsidR="00674736" w:rsidRPr="00BA31ED" w:rsidRDefault="00674736" w:rsidP="00865AB7">
            <w:pPr>
              <w:spacing w:line="276" w:lineRule="auto"/>
              <w:jc w:val="center"/>
              <w:cnfStyle w:val="100000000000" w:firstRow="1" w:lastRow="0" w:firstColumn="0" w:lastColumn="0" w:oddVBand="0" w:evenVBand="0" w:oddHBand="0" w:evenHBand="0" w:firstRowFirstColumn="0" w:firstRowLastColumn="0" w:lastRowFirstColumn="0" w:lastRowLastColumn="0"/>
            </w:pPr>
          </w:p>
        </w:tc>
        <w:tc>
          <w:tcPr>
            <w:tcW w:w="2081" w:type="dxa"/>
            <w:vAlign w:val="center"/>
          </w:tcPr>
          <w:p w14:paraId="25EE8341" w14:textId="77777777" w:rsidR="00674736" w:rsidRPr="00BA31ED" w:rsidRDefault="00674736" w:rsidP="00865AB7">
            <w:pPr>
              <w:spacing w:line="276" w:lineRule="auto"/>
              <w:jc w:val="center"/>
              <w:cnfStyle w:val="100000000000" w:firstRow="1" w:lastRow="0" w:firstColumn="0" w:lastColumn="0" w:oddVBand="0" w:evenVBand="0" w:oddHBand="0" w:evenHBand="0" w:firstRowFirstColumn="0" w:firstRowLastColumn="0" w:lastRowFirstColumn="0" w:lastRowLastColumn="0"/>
            </w:pPr>
            <w:r w:rsidRPr="00BA31ED">
              <w:t>log K</w:t>
            </w:r>
            <w:r w:rsidRPr="00BA31ED">
              <w:rPr>
                <w:vertAlign w:val="subscript"/>
              </w:rPr>
              <w:t>oc</w:t>
            </w:r>
            <w:r w:rsidRPr="00BA31ED">
              <w:t xml:space="preserve"> obtained from correlation analysis</w:t>
            </w:r>
          </w:p>
          <w:p w14:paraId="4A2E296F" w14:textId="77777777" w:rsidR="00674736" w:rsidRPr="00BA31ED" w:rsidRDefault="00674736" w:rsidP="00865AB7">
            <w:pPr>
              <w:spacing w:line="276" w:lineRule="auto"/>
              <w:jc w:val="center"/>
              <w:cnfStyle w:val="100000000000" w:firstRow="1" w:lastRow="0" w:firstColumn="0" w:lastColumn="0" w:oddVBand="0" w:evenVBand="0" w:oddHBand="0" w:evenHBand="0" w:firstRowFirstColumn="0" w:firstRowLastColumn="0" w:lastRowFirstColumn="0" w:lastRowLastColumn="0"/>
            </w:pPr>
          </w:p>
        </w:tc>
      </w:tr>
      <w:tr w:rsidR="00674736" w14:paraId="1D01AFAB" w14:textId="77777777" w:rsidTr="00253336">
        <w:tc>
          <w:tcPr>
            <w:cnfStyle w:val="001000000000" w:firstRow="0" w:lastRow="0" w:firstColumn="1" w:lastColumn="0" w:oddVBand="0" w:evenVBand="0" w:oddHBand="0" w:evenHBand="0" w:firstRowFirstColumn="0" w:firstRowLastColumn="0" w:lastRowFirstColumn="0" w:lastRowLastColumn="0"/>
            <w:tcW w:w="1413" w:type="dxa"/>
            <w:vAlign w:val="center"/>
          </w:tcPr>
          <w:p w14:paraId="3C80F347" w14:textId="77777777" w:rsidR="00674736" w:rsidRDefault="00674736" w:rsidP="00865AB7">
            <w:pPr>
              <w:spacing w:line="276" w:lineRule="auto"/>
              <w:jc w:val="center"/>
            </w:pPr>
            <w:r>
              <w:t>PFHxA</w:t>
            </w:r>
          </w:p>
        </w:tc>
        <w:tc>
          <w:tcPr>
            <w:tcW w:w="1123" w:type="dxa"/>
            <w:vAlign w:val="center"/>
          </w:tcPr>
          <w:p w14:paraId="3A01C648"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5</w:t>
            </w:r>
          </w:p>
        </w:tc>
        <w:tc>
          <w:tcPr>
            <w:tcW w:w="1113" w:type="dxa"/>
            <w:vAlign w:val="center"/>
          </w:tcPr>
          <w:p w14:paraId="712089AD"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0.47</w:t>
            </w:r>
          </w:p>
        </w:tc>
        <w:tc>
          <w:tcPr>
            <w:tcW w:w="1343" w:type="dxa"/>
            <w:vAlign w:val="center"/>
          </w:tcPr>
          <w:p w14:paraId="084EA3AB"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21</w:t>
            </w:r>
          </w:p>
        </w:tc>
        <w:tc>
          <w:tcPr>
            <w:tcW w:w="893" w:type="dxa"/>
            <w:vAlign w:val="center"/>
          </w:tcPr>
          <w:p w14:paraId="4BE9874D"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1.32</w:t>
            </w:r>
          </w:p>
        </w:tc>
        <w:tc>
          <w:tcPr>
            <w:tcW w:w="1952" w:type="dxa"/>
            <w:vAlign w:val="center"/>
          </w:tcPr>
          <w:p w14:paraId="58F866F1" w14:textId="5BBC5EAA" w:rsidR="00674736" w:rsidRDefault="00482B37"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[1.11 – 1.23</w:t>
            </w:r>
            <w:r w:rsidR="00674736">
              <w:t>]</w:t>
            </w:r>
          </w:p>
        </w:tc>
        <w:tc>
          <w:tcPr>
            <w:tcW w:w="2081" w:type="dxa"/>
            <w:vAlign w:val="center"/>
          </w:tcPr>
          <w:p w14:paraId="4C9220D0"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[0.85 – 1.85]</w:t>
            </w:r>
          </w:p>
        </w:tc>
      </w:tr>
      <w:tr w:rsidR="001C1CEB" w14:paraId="7DF8AEFB" w14:textId="77777777" w:rsidTr="00253336">
        <w:tc>
          <w:tcPr>
            <w:cnfStyle w:val="001000000000" w:firstRow="0" w:lastRow="0" w:firstColumn="1" w:lastColumn="0" w:oddVBand="0" w:evenVBand="0" w:oddHBand="0" w:evenHBand="0" w:firstRowFirstColumn="0" w:firstRowLastColumn="0" w:lastRowFirstColumn="0" w:lastRowLastColumn="0"/>
            <w:tcW w:w="1413" w:type="dxa"/>
            <w:vAlign w:val="center"/>
          </w:tcPr>
          <w:p w14:paraId="77FC7550" w14:textId="6149C6FF" w:rsidR="001C1CEB" w:rsidRDefault="001C1CEB" w:rsidP="00865AB7">
            <w:pPr>
              <w:spacing w:line="276" w:lineRule="auto"/>
              <w:jc w:val="center"/>
            </w:pPr>
            <w:r>
              <w:t>6:2 FTS</w:t>
            </w:r>
            <w:r w:rsidRPr="001C1CEB">
              <w:rPr>
                <w:vertAlign w:val="superscript"/>
              </w:rPr>
              <w:t>1</w:t>
            </w:r>
          </w:p>
        </w:tc>
        <w:tc>
          <w:tcPr>
            <w:tcW w:w="1123" w:type="dxa"/>
            <w:vAlign w:val="center"/>
          </w:tcPr>
          <w:p w14:paraId="2B2D6697" w14:textId="3BFA9B87" w:rsidR="001C1CEB" w:rsidRDefault="001C1CEB"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6</w:t>
            </w:r>
          </w:p>
        </w:tc>
        <w:tc>
          <w:tcPr>
            <w:tcW w:w="1113" w:type="dxa"/>
            <w:vAlign w:val="center"/>
          </w:tcPr>
          <w:p w14:paraId="07C57152" w14:textId="71149340" w:rsidR="001C1CEB" w:rsidRDefault="001C1CEB"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0.99</w:t>
            </w:r>
          </w:p>
        </w:tc>
        <w:tc>
          <w:tcPr>
            <w:tcW w:w="1343" w:type="dxa"/>
            <w:vAlign w:val="center"/>
          </w:tcPr>
          <w:p w14:paraId="3C990EB0" w14:textId="732C3CBB" w:rsidR="001C1CEB" w:rsidRDefault="001C1CEB"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45</w:t>
            </w:r>
          </w:p>
        </w:tc>
        <w:tc>
          <w:tcPr>
            <w:tcW w:w="893" w:type="dxa"/>
            <w:vAlign w:val="center"/>
          </w:tcPr>
          <w:p w14:paraId="56D53CBE" w14:textId="5CA0E4D3" w:rsidR="001C1CEB" w:rsidRDefault="001C1CEB"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1.65</w:t>
            </w:r>
          </w:p>
        </w:tc>
        <w:tc>
          <w:tcPr>
            <w:tcW w:w="1952" w:type="dxa"/>
            <w:vAlign w:val="center"/>
          </w:tcPr>
          <w:p w14:paraId="4D8837D0" w14:textId="23775962" w:rsidR="001C1CEB" w:rsidRDefault="001C1CEB"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2081" w:type="dxa"/>
            <w:vAlign w:val="center"/>
          </w:tcPr>
          <w:p w14:paraId="7DD20AE3" w14:textId="34ACB934" w:rsidR="001C1CEB" w:rsidRDefault="001C1CEB"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r>
      <w:tr w:rsidR="00674736" w14:paraId="1328AC82" w14:textId="77777777" w:rsidTr="00253336">
        <w:tc>
          <w:tcPr>
            <w:cnfStyle w:val="001000000000" w:firstRow="0" w:lastRow="0" w:firstColumn="1" w:lastColumn="0" w:oddVBand="0" w:evenVBand="0" w:oddHBand="0" w:evenHBand="0" w:firstRowFirstColumn="0" w:firstRowLastColumn="0" w:lastRowFirstColumn="0" w:lastRowLastColumn="0"/>
            <w:tcW w:w="1413" w:type="dxa"/>
            <w:vAlign w:val="center"/>
          </w:tcPr>
          <w:p w14:paraId="64BD005F" w14:textId="77777777" w:rsidR="00674736" w:rsidRDefault="00674736" w:rsidP="00865AB7">
            <w:pPr>
              <w:spacing w:line="276" w:lineRule="auto"/>
              <w:jc w:val="center"/>
            </w:pPr>
            <w:r>
              <w:t>PFOA</w:t>
            </w:r>
          </w:p>
        </w:tc>
        <w:tc>
          <w:tcPr>
            <w:tcW w:w="1123" w:type="dxa"/>
            <w:vAlign w:val="center"/>
          </w:tcPr>
          <w:p w14:paraId="41C420C4"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7</w:t>
            </w:r>
          </w:p>
        </w:tc>
        <w:tc>
          <w:tcPr>
            <w:tcW w:w="1113" w:type="dxa"/>
            <w:vAlign w:val="center"/>
          </w:tcPr>
          <w:p w14:paraId="1C29DA65"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0.44</w:t>
            </w:r>
          </w:p>
        </w:tc>
        <w:tc>
          <w:tcPr>
            <w:tcW w:w="1343" w:type="dxa"/>
            <w:vAlign w:val="center"/>
          </w:tcPr>
          <w:p w14:paraId="0CAC0A58"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20</w:t>
            </w:r>
          </w:p>
        </w:tc>
        <w:tc>
          <w:tcPr>
            <w:tcW w:w="893" w:type="dxa"/>
            <w:vAlign w:val="center"/>
          </w:tcPr>
          <w:p w14:paraId="3F15878B"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1.29</w:t>
            </w:r>
          </w:p>
        </w:tc>
        <w:tc>
          <w:tcPr>
            <w:tcW w:w="1952" w:type="dxa"/>
            <w:vAlign w:val="center"/>
          </w:tcPr>
          <w:p w14:paraId="37FDB477" w14:textId="568C292F" w:rsidR="00674736" w:rsidRDefault="006D4097"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[2.01 – 2.05</w:t>
            </w:r>
            <w:r w:rsidR="00674736">
              <w:t>]</w:t>
            </w:r>
          </w:p>
        </w:tc>
        <w:tc>
          <w:tcPr>
            <w:tcW w:w="2081" w:type="dxa"/>
            <w:vAlign w:val="center"/>
          </w:tcPr>
          <w:p w14:paraId="1B011253"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[1.59 – 2.75]</w:t>
            </w:r>
          </w:p>
        </w:tc>
      </w:tr>
      <w:tr w:rsidR="00674736" w14:paraId="3BA757B6" w14:textId="77777777" w:rsidTr="00253336">
        <w:tc>
          <w:tcPr>
            <w:cnfStyle w:val="001000000000" w:firstRow="0" w:lastRow="0" w:firstColumn="1" w:lastColumn="0" w:oddVBand="0" w:evenVBand="0" w:oddHBand="0" w:evenHBand="0" w:firstRowFirstColumn="0" w:firstRowLastColumn="0" w:lastRowFirstColumn="0" w:lastRowLastColumn="0"/>
            <w:tcW w:w="1413" w:type="dxa"/>
            <w:vAlign w:val="center"/>
          </w:tcPr>
          <w:p w14:paraId="1A6EAD1A" w14:textId="77777777" w:rsidR="00674736" w:rsidRDefault="00674736" w:rsidP="00865AB7">
            <w:pPr>
              <w:spacing w:line="276" w:lineRule="auto"/>
              <w:jc w:val="center"/>
            </w:pPr>
            <w:r>
              <w:t>PFOS</w:t>
            </w:r>
          </w:p>
        </w:tc>
        <w:tc>
          <w:tcPr>
            <w:tcW w:w="1123" w:type="dxa"/>
            <w:vAlign w:val="center"/>
          </w:tcPr>
          <w:p w14:paraId="22F388ED"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8</w:t>
            </w:r>
          </w:p>
        </w:tc>
        <w:tc>
          <w:tcPr>
            <w:tcW w:w="1113" w:type="dxa"/>
            <w:vAlign w:val="center"/>
          </w:tcPr>
          <w:p w14:paraId="73D8B4B3"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tcW w:w="1343" w:type="dxa"/>
            <w:vAlign w:val="center"/>
          </w:tcPr>
          <w:p w14:paraId="5B99379A"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90</w:t>
            </w:r>
          </w:p>
        </w:tc>
        <w:tc>
          <w:tcPr>
            <w:tcW w:w="893" w:type="dxa"/>
            <w:vAlign w:val="center"/>
          </w:tcPr>
          <w:p w14:paraId="1FF70376"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1.95</w:t>
            </w:r>
          </w:p>
        </w:tc>
        <w:tc>
          <w:tcPr>
            <w:tcW w:w="1952" w:type="dxa"/>
            <w:vAlign w:val="center"/>
          </w:tcPr>
          <w:p w14:paraId="624C8AA6" w14:textId="766E3C1A" w:rsidR="00674736" w:rsidRDefault="006D4097"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[2.77 – 2.80</w:t>
            </w:r>
            <w:r w:rsidR="00674736">
              <w:t>]</w:t>
            </w:r>
          </w:p>
        </w:tc>
        <w:tc>
          <w:tcPr>
            <w:tcW w:w="2081" w:type="dxa"/>
            <w:vAlign w:val="center"/>
          </w:tcPr>
          <w:p w14:paraId="2D6FF8C5" w14:textId="77777777" w:rsidR="00674736" w:rsidRDefault="00674736" w:rsidP="00865AB7">
            <w:pPr>
              <w:spacing w:line="276" w:lineRule="auto"/>
              <w:jc w:val="center"/>
              <w:cnfStyle w:val="000000000000" w:firstRow="0" w:lastRow="0" w:firstColumn="0" w:lastColumn="0" w:oddVBand="0" w:evenVBand="0" w:oddHBand="0" w:evenHBand="0" w:firstRowFirstColumn="0" w:firstRowLastColumn="0" w:lastRowFirstColumn="0" w:lastRowLastColumn="0"/>
            </w:pPr>
            <w:r>
              <w:t>[1.96 – 3.20]</w:t>
            </w:r>
          </w:p>
        </w:tc>
      </w:tr>
    </w:tbl>
    <w:p w14:paraId="7F7A55BA" w14:textId="77777777" w:rsidR="0009035E" w:rsidRDefault="0009035E" w:rsidP="00865AB7">
      <w:pPr>
        <w:spacing w:line="276" w:lineRule="auto"/>
        <w:jc w:val="both"/>
      </w:pPr>
    </w:p>
    <w:p w14:paraId="0DCE5E6E" w14:textId="38E4FB92" w:rsidR="00674736" w:rsidRDefault="00674736" w:rsidP="00865AB7">
      <w:pPr>
        <w:spacing w:line="276" w:lineRule="auto"/>
        <w:jc w:val="both"/>
      </w:pPr>
      <w:r>
        <w:t>The K</w:t>
      </w:r>
      <w:r>
        <w:rPr>
          <w:vertAlign w:val="subscript"/>
        </w:rPr>
        <w:t>oc</w:t>
      </w:r>
      <w:r>
        <w:t xml:space="preserve"> values derived from our experiments are overall lower than those reported by </w:t>
      </w:r>
      <w:r>
        <w:fldChar w:fldCharType="begin"/>
      </w:r>
      <w:r>
        <w:instrText xml:space="preserve"> QUOTE  "Fabregat-Palau et al (2022)" </w:instrText>
      </w:r>
      <w:r>
        <w:fldChar w:fldCharType="separate"/>
      </w:r>
      <w:r>
        <w:t xml:space="preserve">Fabregat-Palau </w:t>
      </w:r>
      <w:r w:rsidRPr="001C1CEB">
        <w:rPr>
          <w:i/>
        </w:rPr>
        <w:t>et al</w:t>
      </w:r>
      <w:r w:rsidR="001C1CEB" w:rsidRPr="001C1CEB">
        <w:rPr>
          <w:i/>
        </w:rPr>
        <w:t>.</w:t>
      </w:r>
      <w:r>
        <w:t xml:space="preserve"> (2022)</w:t>
      </w:r>
      <w:r>
        <w:fldChar w:fldCharType="end"/>
      </w:r>
      <w:r>
        <w:t xml:space="preserve">. </w:t>
      </w:r>
      <w:r w:rsidR="000719CA">
        <w:t>As</w:t>
      </w:r>
      <w:r w:rsidR="0041671D">
        <w:t xml:space="preserve"> with benzotriazoles, t</w:t>
      </w:r>
      <w:r w:rsidRPr="0002790E">
        <w:t xml:space="preserve">his discrepancy may be attributed to the static nature of our batch experiments, in contrast to most </w:t>
      </w:r>
      <w:r>
        <w:t xml:space="preserve">of </w:t>
      </w:r>
      <w:r w:rsidRPr="0002790E">
        <w:t xml:space="preserve">sorption experiments conducted in small </w:t>
      </w:r>
      <w:r>
        <w:t>falcons</w:t>
      </w:r>
      <w:r w:rsidRPr="0002790E">
        <w:t xml:space="preserve"> that are </w:t>
      </w:r>
      <w:r w:rsidR="00B82388">
        <w:t>agitated</w:t>
      </w:r>
      <w:r w:rsidRPr="0002790E">
        <w:t xml:space="preserve"> to enhance contact bet</w:t>
      </w:r>
      <w:r>
        <w:t>ween sediments and contaminants</w:t>
      </w:r>
      <w:r w:rsidR="00AF0662">
        <w:t xml:space="preserve"> </w:t>
      </w:r>
      <w:r w:rsidR="00003C8A">
        <w:fldChar w:fldCharType="begin"/>
      </w:r>
      <w:r w:rsidR="00003C8A">
        <w:instrText xml:space="preserve"> QUOTE  "(Zhang et al., 2015; Askeland et al., 2020; Barth et al., 2021; Dai et al., 2023; Hubert et al., 2023)" </w:instrText>
      </w:r>
      <w:r w:rsidR="00003C8A">
        <w:fldChar w:fldCharType="separate"/>
      </w:r>
      <w:r w:rsidR="00003C8A">
        <w:t xml:space="preserve">(Zhang </w:t>
      </w:r>
      <w:r w:rsidR="00003C8A" w:rsidRPr="00DB6DBE">
        <w:rPr>
          <w:i/>
        </w:rPr>
        <w:t>et al.</w:t>
      </w:r>
      <w:r w:rsidR="00003C8A">
        <w:t xml:space="preserve">, 2015; Askeland </w:t>
      </w:r>
      <w:r w:rsidR="00003C8A" w:rsidRPr="00DB6DBE">
        <w:rPr>
          <w:i/>
        </w:rPr>
        <w:t>et al.</w:t>
      </w:r>
      <w:r w:rsidR="00003C8A">
        <w:t xml:space="preserve">, 2020; Barth </w:t>
      </w:r>
      <w:r w:rsidR="00003C8A" w:rsidRPr="00DB6DBE">
        <w:rPr>
          <w:i/>
        </w:rPr>
        <w:t>et al.</w:t>
      </w:r>
      <w:r w:rsidR="00003C8A">
        <w:t xml:space="preserve">, 2021; Dai </w:t>
      </w:r>
      <w:r w:rsidR="00003C8A" w:rsidRPr="00DB6DBE">
        <w:rPr>
          <w:i/>
        </w:rPr>
        <w:t>et al.</w:t>
      </w:r>
      <w:r w:rsidR="00003C8A">
        <w:t xml:space="preserve">, 2023; Hubert </w:t>
      </w:r>
      <w:r w:rsidR="00003C8A" w:rsidRPr="00DB6DBE">
        <w:rPr>
          <w:i/>
        </w:rPr>
        <w:t>et al.</w:t>
      </w:r>
      <w:r w:rsidR="00003C8A">
        <w:t>, 2023)</w:t>
      </w:r>
      <w:r w:rsidR="00003C8A">
        <w:fldChar w:fldCharType="end"/>
      </w:r>
      <w:r w:rsidRPr="00DB6DBE">
        <w:t xml:space="preserve">. </w:t>
      </w:r>
      <w:r>
        <w:t xml:space="preserve">A similar trend is observed with the </w:t>
      </w:r>
      <w:r w:rsidRPr="0009514B">
        <w:rPr>
          <w:i/>
        </w:rPr>
        <w:t>K</w:t>
      </w:r>
      <w:r w:rsidRPr="0009514B">
        <w:rPr>
          <w:i/>
          <w:vertAlign w:val="subscript"/>
        </w:rPr>
        <w:t>oc</w:t>
      </w:r>
      <w:r>
        <w:t xml:space="preserve"> values derived from correlation analysis, which is expected since this analysis is based on </w:t>
      </w:r>
      <w:r w:rsidRPr="0009514B">
        <w:rPr>
          <w:i/>
        </w:rPr>
        <w:t>K</w:t>
      </w:r>
      <w:r w:rsidRPr="0009514B">
        <w:rPr>
          <w:i/>
          <w:vertAlign w:val="subscript"/>
        </w:rPr>
        <w:t>oc</w:t>
      </w:r>
      <w:r>
        <w:t xml:space="preserve"> values from the same dataset.</w:t>
      </w:r>
    </w:p>
    <w:p w14:paraId="56CD1F5B" w14:textId="557AC362" w:rsidR="00674736" w:rsidRDefault="00674736" w:rsidP="00865AB7">
      <w:pPr>
        <w:spacing w:line="276" w:lineRule="auto"/>
        <w:jc w:val="both"/>
      </w:pPr>
      <w:r>
        <w:t>Despite these differences, the sorption hierarchy observed in our study aligns with previous findings in the literature</w:t>
      </w:r>
      <w:r w:rsidR="000501A5">
        <w:t xml:space="preserve"> </w:t>
      </w:r>
      <w:r w:rsidR="00061744">
        <w:fldChar w:fldCharType="begin"/>
      </w:r>
      <w:r w:rsidR="00061744">
        <w:instrText xml:space="preserve"> ADDIN ZOTERO_ITEM CSL_CITATION {"citationID":"ViFTU4DU","properties":{"formattedCitation":"(Milinovic {\\i{}et al.}, 2015, 2016)","plainCitation":"(Milinovic et al., 2015, 2016)","noteIndex":0},"citationItems":[{"id":7551,"uris":["http://zotero.org/users/9753339/items/YPD5XPWH"],"itemData":{"id":7551,"type":"article-journal","container-title":"Science of The Total Environment","DOI":"10.1016/j.scitotenv.2014.12.017","ISSN":"00489697","journalAbbreviation":"Science of The Total Environment","language":"en","page":"63-71","source":"DOI.org (Crossref)","title":"Sorption behaviour of perfluoroalkyl substances in soils","volume":"511","author":[{"family":"Milinovic","given":"Jelena"},{"family":"Lacorte","given":"Silvia"},{"family":"Vidal","given":"Miquel"},{"family":"Rigol","given":"Anna"}],"issued":{"date-parts":[["2015",4]]}}},{"id":7553,"uris":["http://zotero.org/users/9753339/items/SNYI6PIB"],"itemData":{"id":7553,"type":"article-journal","container-title":"Environmental Science and Pollution Research","DOI":"10.1007/s11356-015-6019-9","ISSN":"0944-1344, 1614-7499","issue":"9","journalAbbreviation":"Environ Sci Pollut Res","language":"en","page":"8339-8348","source":"DOI.org (Crossref)","title":"Sorption of perfluoroalkyl substances in sewage sludge","volume":"23","author":[{"family":"Milinovic","given":"Jelena"},{"family":"Lacorte","given":"Silvia"},{"family":"Rigol","given":"Anna"},{"family":"Vidal","given":"Miquel"}],"issued":{"date-parts":[["2016",5]]}}}],"schema":"https://github.com/citation-style-language/schema/raw/master/csl-citation.json"} </w:instrText>
      </w:r>
      <w:r w:rsidR="00061744">
        <w:fldChar w:fldCharType="separate"/>
      </w:r>
      <w:r w:rsidR="00061744" w:rsidRPr="00061744">
        <w:rPr>
          <w:rFonts w:ascii="Calibri" w:hAnsi="Calibri" w:cs="Calibri"/>
          <w:szCs w:val="24"/>
        </w:rPr>
        <w:t xml:space="preserve">(Milinovic </w:t>
      </w:r>
      <w:r w:rsidR="00061744" w:rsidRPr="00061744">
        <w:rPr>
          <w:rFonts w:ascii="Calibri" w:hAnsi="Calibri" w:cs="Calibri"/>
          <w:i/>
          <w:iCs/>
          <w:szCs w:val="24"/>
        </w:rPr>
        <w:t>et al.</w:t>
      </w:r>
      <w:r w:rsidR="00061744" w:rsidRPr="00061744">
        <w:rPr>
          <w:rFonts w:ascii="Calibri" w:hAnsi="Calibri" w:cs="Calibri"/>
          <w:szCs w:val="24"/>
        </w:rPr>
        <w:t>, 2015, 2016)</w:t>
      </w:r>
      <w:r w:rsidR="00061744">
        <w:fldChar w:fldCharType="end"/>
      </w:r>
      <w:r>
        <w:t xml:space="preserve">. As expected, PFOS exhibits the highest sorption due to </w:t>
      </w:r>
      <w:r>
        <w:lastRenderedPageBreak/>
        <w:t xml:space="preserve">its longer carbon chain and sulfonate functional group. The 6:2 fluorotelomer FTS ranks second, as its sulfonate group makes it more sorbable than </w:t>
      </w:r>
      <w:r w:rsidR="001C1CEB">
        <w:t>perfluoro</w:t>
      </w:r>
      <w:r>
        <w:t>carbox</w:t>
      </w:r>
      <w:r w:rsidR="00E66851">
        <w:t>ylic acids</w:t>
      </w:r>
      <w:r>
        <w:t xml:space="preserve">, despite its fluorocarbon chain being one carbon shorter than PFOA. Interestingly, PFOA and PFHxA show surprisingly similar </w:t>
      </w:r>
      <w:r>
        <w:rPr>
          <w:rStyle w:val="katex-mathml"/>
        </w:rPr>
        <w:t>K</w:t>
      </w:r>
      <w:r w:rsidRPr="00A84336">
        <w:rPr>
          <w:rStyle w:val="katex-mathml"/>
          <w:vertAlign w:val="subscript"/>
        </w:rPr>
        <w:t>d</w:t>
      </w:r>
      <w:r>
        <w:t xml:space="preserve"> values, despite a difference of two CF</w:t>
      </w:r>
      <w:r w:rsidRPr="00A84336">
        <w:rPr>
          <w:rStyle w:val="katex-mathml"/>
          <w:vertAlign w:val="subscript"/>
        </w:rPr>
        <w:t>2</w:t>
      </w:r>
      <w:r>
        <w:rPr>
          <w:rStyle w:val="vlist-s"/>
        </w:rPr>
        <w:t>​</w:t>
      </w:r>
      <w:r>
        <w:t xml:space="preserve"> groups. The key distinction lies in the sorption kinetics: PFHxA reaches equilibrium within 2–3 days, while PFOA requires approximately 10 days to stabilize. Finally, PFECHS compound shows no noticeable sorption behavio</w:t>
      </w:r>
      <w:r w:rsidR="00A54DB9">
        <w:t>u</w:t>
      </w:r>
      <w:r>
        <w:t xml:space="preserve">r, which can likely be attributed to its distinct chemical structure. </w:t>
      </w:r>
      <w:r w:rsidRPr="00CE1BFB">
        <w:t>Unlike the other PFAS compounds studied, PFECHS features a cyclohexane ring instead of a linear fluorinated carbon chain.</w:t>
      </w:r>
    </w:p>
    <w:p w14:paraId="25652785" w14:textId="1BB41798" w:rsidR="00D43720" w:rsidRPr="00674736" w:rsidRDefault="00D43720" w:rsidP="00865AB7">
      <w:pPr>
        <w:spacing w:line="276" w:lineRule="auto"/>
        <w:jc w:val="both"/>
      </w:pPr>
      <w:r w:rsidRPr="00D43720">
        <w:t xml:space="preserve">It is important to </w:t>
      </w:r>
      <w:r w:rsidR="00C55A1D">
        <w:t>remind</w:t>
      </w:r>
      <w:r w:rsidR="00C55A1D" w:rsidRPr="00D43720">
        <w:t xml:space="preserve"> </w:t>
      </w:r>
      <w:r w:rsidRPr="00D43720">
        <w:t xml:space="preserve">that the sorption </w:t>
      </w:r>
      <w:r w:rsidR="00343A81">
        <w:t>model</w:t>
      </w:r>
      <w:r w:rsidRPr="00D43720">
        <w:t xml:space="preserve"> presented in this study </w:t>
      </w:r>
      <w:r w:rsidR="00343A81">
        <w:t>is a simple</w:t>
      </w:r>
      <w:r w:rsidR="00563083">
        <w:t xml:space="preserve"> linear isotherm</w:t>
      </w:r>
      <w:r w:rsidRPr="00D43720">
        <w:t>, which is commonly applied to conventional organic micropollutants</w:t>
      </w:r>
      <w:r w:rsidR="00563083">
        <w:t xml:space="preserve"> present at low concentrations</w:t>
      </w:r>
      <w:r w:rsidRPr="00D43720">
        <w:t>. However, such an approach may not fully capture the complex sorption behaviour of PFAS. As extensively discussed by</w:t>
      </w:r>
      <w:r w:rsidR="00073B6B">
        <w:t xml:space="preserve"> </w:t>
      </w:r>
      <w:r w:rsidR="00073B6B">
        <w:fldChar w:fldCharType="begin"/>
      </w:r>
      <w:r w:rsidR="00073B6B">
        <w:instrText xml:space="preserve"> QUOTE  "Kookana et al. (2022)" </w:instrText>
      </w:r>
      <w:r w:rsidR="00073B6B">
        <w:fldChar w:fldCharType="separate"/>
      </w:r>
      <w:r w:rsidR="00073B6B">
        <w:t>Kookana</w:t>
      </w:r>
      <w:r w:rsidR="00073B6B" w:rsidRPr="00073B6B">
        <w:rPr>
          <w:i/>
        </w:rPr>
        <w:t xml:space="preserve"> et al.</w:t>
      </w:r>
      <w:r w:rsidR="00073B6B">
        <w:t xml:space="preserve"> (2022)</w:t>
      </w:r>
      <w:r w:rsidR="00073B6B">
        <w:fldChar w:fldCharType="end"/>
      </w:r>
      <w:r w:rsidRPr="00D43720">
        <w:t>, PFAS sorption is governed by multiple interacting mechanisms, including hydrophobic interactions, electrostatic forces, fluid–fluid interfacial adsorption (e.g. air–water and NAPL–water interfaces), and physical entrapment within soil micropores. These mechanisms are influen</w:t>
      </w:r>
      <w:r w:rsidR="00563083">
        <w:t xml:space="preserve">ced not only by PFAS properties </w:t>
      </w:r>
      <w:r w:rsidRPr="00D43720">
        <w:t>such as chain length, headgrou</w:t>
      </w:r>
      <w:r w:rsidR="00563083">
        <w:t>p functionality, and ionic form</w:t>
      </w:r>
      <w:r w:rsidR="009804A2">
        <w:t>,</w:t>
      </w:r>
      <w:r w:rsidR="00563083">
        <w:t xml:space="preserve"> </w:t>
      </w:r>
      <w:r w:rsidRPr="00D43720">
        <w:t>but also by diverse soil characteristics like mineral composition, pH-dependent surface charge, and the presence of polyvalent cations or organic matter.</w:t>
      </w:r>
      <w:r w:rsidR="00A72144">
        <w:t xml:space="preserve"> </w:t>
      </w:r>
      <w:r w:rsidR="00614CD6" w:rsidRPr="00614CD6">
        <w:t>This is consistent with previous studies demonstrating that PFAS sorption correlates strongly with soil organic carbon but is also influenced by soil mineralogy and surface charge</w:t>
      </w:r>
      <w:r w:rsidR="00614CD6">
        <w:t xml:space="preserve"> </w:t>
      </w:r>
      <w:r w:rsidR="00614CD6">
        <w:fldChar w:fldCharType="begin"/>
      </w:r>
      <w:r w:rsidR="00614CD6">
        <w:instrText xml:space="preserve"> ADDIN ZOTERO_ITEM CSL_CITATION {"citationID":"EQBFnbAk","properties":{"formattedCitation":"(Milinovic {\\i{}et al.}, 2015, 2016)","plainCitation":"(Milinovic et al., 2015, 2016)","noteIndex":0},"citationItems":[{"id":7551,"uris":["http://zotero.org/users/9753339/items/YPD5XPWH"],"itemData":{"id":7551,"type":"article-journal","container-title":"Science of The Total Environment","DOI":"10.1016/j.scitotenv.2014.12.017","ISSN":"00489697","journalAbbreviation":"Science of The Total Environment","language":"en","page":"63-71","source":"DOI.org (Crossref)","title":"Sorption behaviour of perfluoroalkyl substances in soils","volume":"511","author":[{"family":"Milinovic","given":"Jelena"},{"family":"Lacorte","given":"Silvia"},{"family":"Vidal","given":"Miquel"},{"family":"Rigol","given":"Anna"}],"issued":{"date-parts":[["2015",4]]}}},{"id":7553,"uris":["http://zotero.org/users/9753339/items/SNYI6PIB"],"itemData":{"id":7553,"type":"article-journal","container-title":"Environmental Science and Pollution Research","DOI":"10.1007/s11356-015-6019-9","ISSN":"0944-1344, 1614-7499","issue":"9","journalAbbreviation":"Environ Sci Pollut Res","language":"en","page":"8339-8348","source":"DOI.org (Crossref)","title":"Sorption of perfluoroalkyl substances in sewage sludge","volume":"23","author":[{"family":"Milinovic","given":"Jelena"},{"family":"Lacorte","given":"Silvia"},{"family":"Rigol","given":"Anna"},{"family":"Vidal","given":"Miquel"}],"issued":{"date-parts":[["2016",5]]}}}],"schema":"https://github.com/citation-style-language/schema/raw/master/csl-citation.json"} </w:instrText>
      </w:r>
      <w:r w:rsidR="00614CD6">
        <w:fldChar w:fldCharType="separate"/>
      </w:r>
      <w:r w:rsidR="00614CD6" w:rsidRPr="00614CD6">
        <w:rPr>
          <w:rFonts w:ascii="Calibri" w:hAnsi="Calibri" w:cs="Calibri"/>
          <w:szCs w:val="24"/>
        </w:rPr>
        <w:t xml:space="preserve">(Milinovic </w:t>
      </w:r>
      <w:r w:rsidR="00614CD6" w:rsidRPr="00614CD6">
        <w:rPr>
          <w:rFonts w:ascii="Calibri" w:hAnsi="Calibri" w:cs="Calibri"/>
          <w:i/>
          <w:iCs/>
          <w:szCs w:val="24"/>
        </w:rPr>
        <w:t>et al.</w:t>
      </w:r>
      <w:r w:rsidR="00614CD6" w:rsidRPr="00614CD6">
        <w:rPr>
          <w:rFonts w:ascii="Calibri" w:hAnsi="Calibri" w:cs="Calibri"/>
          <w:szCs w:val="24"/>
        </w:rPr>
        <w:t>, 2015, 2016)</w:t>
      </w:r>
      <w:r w:rsidR="00614CD6">
        <w:fldChar w:fldCharType="end"/>
      </w:r>
      <w:r w:rsidR="00614CD6">
        <w:t xml:space="preserve">. </w:t>
      </w:r>
      <w:r w:rsidR="00A72144" w:rsidRPr="00A72144">
        <w:t xml:space="preserve">In addition, as discussed </w:t>
      </w:r>
      <w:r w:rsidR="00A72144">
        <w:t xml:space="preserve">in section </w:t>
      </w:r>
      <w:r w:rsidR="00A72144">
        <w:fldChar w:fldCharType="begin"/>
      </w:r>
      <w:r w:rsidR="00A72144">
        <w:instrText xml:space="preserve"> REF _Ref213837192 \r \h </w:instrText>
      </w:r>
      <w:r w:rsidR="00A72144">
        <w:fldChar w:fldCharType="separate"/>
      </w:r>
      <w:r w:rsidR="00D1782E">
        <w:t>3.4.2</w:t>
      </w:r>
      <w:r w:rsidR="00A72144">
        <w:fldChar w:fldCharType="end"/>
      </w:r>
      <w:r w:rsidR="00A72144" w:rsidRPr="00A72144">
        <w:t>,</w:t>
      </w:r>
      <w:r w:rsidR="00A72144">
        <w:t xml:space="preserve"> biologically mediated sorption through biofilm</w:t>
      </w:r>
      <w:r w:rsidR="00A72144" w:rsidRPr="00A72144">
        <w:t xml:space="preserve"> d</w:t>
      </w:r>
      <w:r w:rsidR="00A72144">
        <w:t>evelopment under oxic conditions</w:t>
      </w:r>
      <w:r w:rsidR="00A72144" w:rsidRPr="00A72144">
        <w:t xml:space="preserve"> may contribute</w:t>
      </w:r>
      <w:r w:rsidR="00A72144">
        <w:t xml:space="preserve"> to</w:t>
      </w:r>
      <w:r w:rsidR="00A72144" w:rsidRPr="00A72144">
        <w:t xml:space="preserve"> additional retention pathways not accounted for in the linear model. </w:t>
      </w:r>
      <w:r w:rsidRPr="00D43720">
        <w:t>Therefore, while linear sorption models provide a useful first-order approximation, they likely underestimate the complexity of PFAS retention under environmentally relevant conditions.</w:t>
      </w:r>
    </w:p>
    <w:p w14:paraId="1F1EAAAE" w14:textId="5708C26A" w:rsidR="00FD147B" w:rsidRDefault="002A644A" w:rsidP="00865AB7">
      <w:pPr>
        <w:pStyle w:val="Titre3"/>
        <w:numPr>
          <w:ilvl w:val="2"/>
          <w:numId w:val="1"/>
        </w:numPr>
        <w:spacing w:line="276" w:lineRule="auto"/>
      </w:pPr>
      <w:bookmarkStart w:id="16" w:name="_Ref209514694"/>
      <w:r>
        <w:t>Total attenuation</w:t>
      </w:r>
      <w:bookmarkEnd w:id="16"/>
      <w:r>
        <w:t xml:space="preserve"> </w:t>
      </w:r>
    </w:p>
    <w:p w14:paraId="0A07EE2B" w14:textId="109E27F4" w:rsidR="00AC469B" w:rsidRDefault="009F2AB3" w:rsidP="00AC469B">
      <w:pPr>
        <w:spacing w:line="276" w:lineRule="auto"/>
        <w:jc w:val="both"/>
      </w:pPr>
      <w:r>
        <w:fldChar w:fldCharType="begin"/>
      </w:r>
      <w:r>
        <w:instrText xml:space="preserve"> REF _Ref198540062 \h </w:instrText>
      </w:r>
      <w:r w:rsidR="00885FE0">
        <w:instrText xml:space="preserve"> \* MERGEFORMAT </w:instrText>
      </w:r>
      <w:r>
        <w:fldChar w:fldCharType="separate"/>
      </w:r>
      <w:r w:rsidR="008169B0">
        <w:t xml:space="preserve">Figure </w:t>
      </w:r>
      <w:r w:rsidR="008169B0">
        <w:rPr>
          <w:noProof/>
        </w:rPr>
        <w:t>7</w:t>
      </w:r>
      <w:r>
        <w:fldChar w:fldCharType="end"/>
      </w:r>
      <w:r>
        <w:t xml:space="preserve"> </w:t>
      </w:r>
      <w:r w:rsidR="00885FE0" w:rsidRPr="00885FE0">
        <w:t xml:space="preserve">compiles the total attenuation of </w:t>
      </w:r>
      <w:r w:rsidR="00AC469B">
        <w:t>the studied contaminants</w:t>
      </w:r>
      <w:r w:rsidR="00885FE0" w:rsidRPr="00885FE0">
        <w:t xml:space="preserve"> in the triplicates after 21 days, along with the</w:t>
      </w:r>
      <w:r w:rsidR="00AC469B">
        <w:t xml:space="preserve"> relative contribution of the different attenuation mechanisms</w:t>
      </w:r>
      <w:r w:rsidR="00885FE0" w:rsidRPr="00885FE0">
        <w:t xml:space="preserve">. </w:t>
      </w:r>
      <w:r w:rsidR="008328D5" w:rsidRPr="008328D5">
        <w:t>Here, total attenuation refers to the</w:t>
      </w:r>
      <w:r w:rsidR="00AC469B">
        <w:t xml:space="preserve"> overall</w:t>
      </w:r>
      <w:r w:rsidR="008328D5" w:rsidRPr="008328D5">
        <w:t xml:space="preserve"> decrease in concentration relative to the initial value</w:t>
      </w:r>
      <w:r w:rsidR="00AC469B">
        <w:t xml:space="preserve">. Although both sorption and biodegradation models were implemented for all compounds, the interpretation of these contributions differs depending on the contaminant class, as discussed in section </w:t>
      </w:r>
      <w:r w:rsidR="00AC469B">
        <w:fldChar w:fldCharType="begin"/>
      </w:r>
      <w:r w:rsidR="00AC469B">
        <w:instrText xml:space="preserve"> REF _Ref213837192 \r \h </w:instrText>
      </w:r>
      <w:r w:rsidR="00AC469B">
        <w:fldChar w:fldCharType="separate"/>
      </w:r>
      <w:r w:rsidR="00AC469B">
        <w:t>3.4.2</w:t>
      </w:r>
      <w:r w:rsidR="00AC469B">
        <w:fldChar w:fldCharType="end"/>
      </w:r>
      <w:r w:rsidR="00AC469B">
        <w:t xml:space="preserve">. </w:t>
      </w:r>
      <w:r w:rsidR="00AC469B" w:rsidRPr="00AC469B">
        <w:t>Note that in a dynamic system such as a column experiment or natural aquifer flow, sorption primarily contributes to contaminant retardation rather than permanent attenuation, unless the sorption is irreversible.</w:t>
      </w:r>
      <w:r w:rsidR="00AC469B">
        <w:t xml:space="preserve"> </w:t>
      </w:r>
      <w:r w:rsidR="00AC469B" w:rsidRPr="00AC469B">
        <w:t>Total attenuation values per CECs are detailed in the Section S9 of the Supplementary Materials.</w:t>
      </w:r>
    </w:p>
    <w:p w14:paraId="15DE35A3" w14:textId="6DB00917" w:rsidR="003C3DC0" w:rsidRDefault="003C3DC0" w:rsidP="00AC469B">
      <w:pPr>
        <w:spacing w:line="276" w:lineRule="auto"/>
        <w:jc w:val="both"/>
      </w:pPr>
      <w:r>
        <w:t>For alkylphenols (NP</w:t>
      </w:r>
      <w:r w:rsidRPr="00DB6DBE">
        <w:rPr>
          <w:vertAlign w:val="subscript"/>
        </w:rPr>
        <w:t>2</w:t>
      </w:r>
      <w:r>
        <w:t>EO), attenuation was almost complete and entirely due to biodegradation, with total removal close to 90%. Triazoles (benzotriazole and tolyltriazole) showed moderate attenuation (30-40%), resulting from a combination of sorption and biodegradation, the latter being favoured under oxic conditions. In addition, sorption contributed slightly more to the attenuation of tolyltriazole due to its higher hydrophobicity.</w:t>
      </w:r>
      <w:r w:rsidR="00806CEA">
        <w:t xml:space="preserve"> </w:t>
      </w:r>
      <w:r w:rsidR="00806CEA" w:rsidRPr="00073B6B">
        <w:t>These results can be partially explained by the chemical structure and functional groups of the studied compounds. NP2EO, a nonionic surfactant with a polyethoxylated chain</w:t>
      </w:r>
      <w:r w:rsidR="00806CEA">
        <w:t xml:space="preserve"> (</w:t>
      </w:r>
      <w:r w:rsidR="00806CEA">
        <w:fldChar w:fldCharType="begin"/>
      </w:r>
      <w:r w:rsidR="00806CEA">
        <w:instrText xml:space="preserve"> REF _Ref209038202 \h </w:instrText>
      </w:r>
      <w:r w:rsidR="00806CEA">
        <w:fldChar w:fldCharType="separate"/>
      </w:r>
      <w:r w:rsidR="00806CEA">
        <w:t xml:space="preserve">Figure </w:t>
      </w:r>
      <w:r w:rsidR="00806CEA">
        <w:rPr>
          <w:noProof/>
        </w:rPr>
        <w:t>2</w:t>
      </w:r>
      <w:r w:rsidR="00806CEA">
        <w:fldChar w:fldCharType="end"/>
      </w:r>
      <w:r w:rsidR="00806CEA">
        <w:t>)</w:t>
      </w:r>
      <w:r w:rsidR="00806CEA" w:rsidRPr="00073B6B">
        <w:t>, is known to be readily biodegradable under oxic conditions</w:t>
      </w:r>
      <w:r w:rsidR="00806CEA">
        <w:t xml:space="preserve"> </w:t>
      </w:r>
      <w:r w:rsidR="00806CEA">
        <w:fldChar w:fldCharType="begin"/>
      </w:r>
      <w:r w:rsidR="00806CEA">
        <w:instrText xml:space="preserve"> ADDIN ZOTERO_ITEM CSL_CITATION {"citationID":"NAcfqPCh","properties":{"formattedCitation":"(Ekdal {\\i{}et al.}, 2022)","plainCitation":"(Ekdal et al., 2022)","noteIndex":0},"citationItems":[{"id":7013,"uris":["http://zotero.org/users/9753339/items/JLVTQ7J8"],"itemData":{"id":7013,"type":"article-journal","container-title":"Biodegradation","DOI":"10.1007/s10532-022-09974-1","ISSN":"0923-9820, 1572-9729","issue":"2","language":"en","license":"https://www.springer.com/tdm","note":"publisher: Springer Science and Business Media LLC","page":"181-194","source":"Crossref","title":"Co-metabolism of nonylphenol ethoxylate in sequencing batch reactor under aerobic conditions","volume":"33","author":[{"family":"Ekdal","given":"Alpaslan"},{"family":"Okutman Tas","given":"Didem"},{"family":"Zengin","given":"Gulsum Emel"},{"family":"Onay","given":"Irmak Batı"},{"family":"Olmez Hanci","given":"Tugba"},{"family":"Orhon","given":"Derin"},{"family":"Cokgor","given":"Emine"}],"issued":{"date-parts":[["2022",4]]}}}],"schema":"https://github.com/citation-style-language/schema/raw/master/csl-citation.json"} </w:instrText>
      </w:r>
      <w:r w:rsidR="00806CEA">
        <w:fldChar w:fldCharType="separate"/>
      </w:r>
      <w:r w:rsidR="00806CEA" w:rsidRPr="00174A94">
        <w:rPr>
          <w:rFonts w:ascii="Calibri" w:hAnsi="Calibri" w:cs="Calibri"/>
          <w:szCs w:val="24"/>
        </w:rPr>
        <w:t xml:space="preserve">(Ekdal </w:t>
      </w:r>
      <w:r w:rsidR="00806CEA" w:rsidRPr="00174A94">
        <w:rPr>
          <w:rFonts w:ascii="Calibri" w:hAnsi="Calibri" w:cs="Calibri"/>
          <w:i/>
          <w:iCs/>
          <w:szCs w:val="24"/>
        </w:rPr>
        <w:t>et al.</w:t>
      </w:r>
      <w:r w:rsidR="00806CEA" w:rsidRPr="00174A94">
        <w:rPr>
          <w:rFonts w:ascii="Calibri" w:hAnsi="Calibri" w:cs="Calibri"/>
          <w:szCs w:val="24"/>
        </w:rPr>
        <w:t>, 2022)</w:t>
      </w:r>
      <w:r w:rsidR="00806CEA">
        <w:fldChar w:fldCharType="end"/>
      </w:r>
      <w:r w:rsidR="00806CEA" w:rsidRPr="00073B6B">
        <w:t xml:space="preserve">, explaining its rapid attenuation. </w:t>
      </w:r>
      <w:r w:rsidR="00806CEA">
        <w:t>Regarding benzotriazole compounds, b</w:t>
      </w:r>
      <w:r w:rsidR="00806CEA" w:rsidRPr="00220C66">
        <w:t>enzotriazole and tolyltriazole are structurally similar</w:t>
      </w:r>
      <w:r w:rsidR="00806CEA">
        <w:t xml:space="preserve"> (</w:t>
      </w:r>
      <w:r w:rsidR="00806CEA">
        <w:fldChar w:fldCharType="begin"/>
      </w:r>
      <w:r w:rsidR="00806CEA">
        <w:instrText xml:space="preserve"> REF _Ref209038202 \h </w:instrText>
      </w:r>
      <w:r w:rsidR="00806CEA">
        <w:fldChar w:fldCharType="separate"/>
      </w:r>
      <w:r w:rsidR="00806CEA">
        <w:t xml:space="preserve">Figure </w:t>
      </w:r>
      <w:r w:rsidR="00806CEA">
        <w:rPr>
          <w:noProof/>
        </w:rPr>
        <w:t>2</w:t>
      </w:r>
      <w:r w:rsidR="00806CEA">
        <w:fldChar w:fldCharType="end"/>
      </w:r>
      <w:r w:rsidR="00806CEA">
        <w:t xml:space="preserve">), </w:t>
      </w:r>
      <w:r w:rsidR="00806CEA" w:rsidRPr="006B3BEF">
        <w:t>consisting of a 1,2,3-triazo</w:t>
      </w:r>
      <w:r w:rsidR="00806CEA">
        <w:t xml:space="preserve">le ring fused to a benzene ring. </w:t>
      </w:r>
      <w:r w:rsidR="00806CEA" w:rsidRPr="006B3BEF">
        <w:t>However, the presence of a methyl substituent in tolyltriazole (primarily in the 4- or 5-position) increases its hydrophobicity, enhancing its affinity for organic matter and resulting in stronger sorption behavior</w:t>
      </w:r>
      <w:r w:rsidR="00806CEA">
        <w:t xml:space="preserve"> </w:t>
      </w:r>
      <w:r w:rsidR="00806CEA">
        <w:lastRenderedPageBreak/>
        <w:fldChar w:fldCharType="begin"/>
      </w:r>
      <w:r w:rsidR="00806CEA">
        <w:instrText xml:space="preserve"> ADDIN ZOTERO_ITEM CSL_CITATION {"citationID":"XHHUkTGW","properties":{"formattedCitation":"(Hart {\\i{}et al.}, 2004)","plainCitation":"(Hart et al., 2004)","noteIndex":0},"citationItems":[{"id":6919,"uris":["http://zotero.org/users/9753339/items/9FSPTGLN"],"itemData":{"id":6919,"type":"article-journal","abstract":"Benzotriazole compounds have major commercial applications as anticorrosive agents in automotive antifreeze and airplane deicer fluids. This study assesses the sorption of benzotriazole (BT), 5-methylbenzotriazole (MBT), and 5-chlorobenzotriazole (CBT) from aqueous solutions to four top soils. The concentration range of 10–500 mg ly1 was used with soils differing in total organic carbon content from 0.27 to 1.72%. Batch systems facilitated the equilibrium sorption with analysis by HPLC. The sorption of these compounds was as much as 60% by mass to a soil with 0.33% Org. C. The log octanol–water partition coefficients (log Kow) were determined to be 1.23 for BT, 1.89 for MBT, and 2.17 for CBT. The relationship between the log of the sorption partition coefficient, log Koc and log Kow differed from previous correlations because hydrophobicity was not the only factor affecting sorption. These compounds have substantial permanent dipole moments as well as being hydrophobic. At high pH where CBT molecules approach their pKa, sorption was approximately 50% less (by mass) than that of relatively nonionized CBT molecules.","container-title":"Microchemical Journal","DOI":"10.1016/j.microc.2003.08.005","ISSN":"0026265X","issue":"1","journalAbbreviation":"Microchemical Journal","language":"en","license":"https://www.elsevier.com/tdm/userlicense/1.0/","page":"9-17","source":"DOI.org (Crossref)","title":"Sorption and partitioning parameters of benzotriazole compounds","volume":"77","author":[{"family":"Hart","given":"D.S"},{"family":"Davis","given":"L.C"},{"family":"Erickson","given":"L.E"},{"family":"Callender","given":"T.M"}],"issued":{"date-parts":[["2004",5]]}}}],"schema":"https://github.com/citation-style-language/schema/raw/master/csl-citation.json"} </w:instrText>
      </w:r>
      <w:r w:rsidR="00806CEA">
        <w:fldChar w:fldCharType="separate"/>
      </w:r>
      <w:r w:rsidR="00806CEA" w:rsidRPr="006B3BEF">
        <w:rPr>
          <w:rFonts w:ascii="Calibri" w:hAnsi="Calibri" w:cs="Calibri"/>
          <w:szCs w:val="24"/>
        </w:rPr>
        <w:t xml:space="preserve">(Hart </w:t>
      </w:r>
      <w:r w:rsidR="00806CEA" w:rsidRPr="006B3BEF">
        <w:rPr>
          <w:rFonts w:ascii="Calibri" w:hAnsi="Calibri" w:cs="Calibri"/>
          <w:i/>
          <w:iCs/>
          <w:szCs w:val="24"/>
        </w:rPr>
        <w:t>et al.</w:t>
      </w:r>
      <w:r w:rsidR="00806CEA" w:rsidRPr="006B3BEF">
        <w:rPr>
          <w:rFonts w:ascii="Calibri" w:hAnsi="Calibri" w:cs="Calibri"/>
          <w:szCs w:val="24"/>
        </w:rPr>
        <w:t>, 2004)</w:t>
      </w:r>
      <w:r w:rsidR="00806CEA">
        <w:fldChar w:fldCharType="end"/>
      </w:r>
      <w:r w:rsidR="00806CEA">
        <w:t xml:space="preserve">. </w:t>
      </w:r>
      <w:r w:rsidR="00806CEA" w:rsidRPr="006B3BEF">
        <w:t>Both compounds are considered polar and relatively persistent, but benzotriazole tends to be slightly more biodegradable under aerobi</w:t>
      </w:r>
      <w:r w:rsidR="00806CEA">
        <w:t xml:space="preserve">c conditions than tolyltriazole </w:t>
      </w:r>
      <w:r w:rsidR="00806CEA">
        <w:fldChar w:fldCharType="begin"/>
      </w:r>
      <w:r w:rsidR="00806CEA">
        <w:instrText xml:space="preserve"> ADDIN ZOTERO_ITEM CSL_CITATION {"citationID":"FUrjoLE2","properties":{"formattedCitation":"(Reemtsma {\\i{}et al.}, 2010)","plainCitation":"(Reemtsma et al., 2010)","noteIndex":0},"citationItems":[{"id":7015,"uris":["http://zotero.org/users/9753339/items/AYZ37F6L"],"itemData":{"id":7015,"type":"article-journal","container-title":"Water Research","DOI":"10.1016/j.watres.2009.07.016","ISSN":"0043-1354","issue":"2","language":"en","license":"https://www.elsevier.com/tdm/userlicense/1.0/","note":"publisher: Elsevier BV","page":"596-604","source":"Crossref","title":"Polar pollutants in municipal wastewater and the water cycle: Occurrence and removal of benzotriazoles","title-short":"Polar pollutants in municipal wastewater and the water cycle","volume":"44","author":[{"family":"Reemtsma","given":"Thorsten"},{"family":"Miehe","given":"Ulf"},{"family":"Duennbier","given":"Uwe"},{"family":"Jekel","given":"Martin"}],"issued":{"date-parts":[["2010",1]]}}}],"schema":"https://github.com/citation-style-language/schema/raw/master/csl-citation.json"} </w:instrText>
      </w:r>
      <w:r w:rsidR="00806CEA">
        <w:fldChar w:fldCharType="separate"/>
      </w:r>
      <w:r w:rsidR="00806CEA" w:rsidRPr="006B3BEF">
        <w:rPr>
          <w:rFonts w:ascii="Calibri" w:hAnsi="Calibri" w:cs="Calibri"/>
          <w:szCs w:val="24"/>
        </w:rPr>
        <w:t xml:space="preserve">(Reemtsma </w:t>
      </w:r>
      <w:r w:rsidR="00806CEA" w:rsidRPr="006B3BEF">
        <w:rPr>
          <w:rFonts w:ascii="Calibri" w:hAnsi="Calibri" w:cs="Calibri"/>
          <w:i/>
          <w:iCs/>
          <w:szCs w:val="24"/>
        </w:rPr>
        <w:t>et al.</w:t>
      </w:r>
      <w:r w:rsidR="00806CEA" w:rsidRPr="006B3BEF">
        <w:rPr>
          <w:rFonts w:ascii="Calibri" w:hAnsi="Calibri" w:cs="Calibri"/>
          <w:szCs w:val="24"/>
        </w:rPr>
        <w:t>, 2010)</w:t>
      </w:r>
      <w:r w:rsidR="00806CEA">
        <w:fldChar w:fldCharType="end"/>
      </w:r>
      <w:r w:rsidR="00806CEA">
        <w:t xml:space="preserve">. </w:t>
      </w:r>
      <w:r w:rsidR="00806CEA" w:rsidRPr="006B3BEF">
        <w:t>These structural and physicochemical characteristics explain the moderate attenuation observed for</w:t>
      </w:r>
      <w:r w:rsidR="00806CEA">
        <w:t xml:space="preserve"> tolyltriazole</w:t>
      </w:r>
      <w:r w:rsidR="00806CEA" w:rsidRPr="006B3BEF">
        <w:t>, driven more by sorption than biodegradation.</w:t>
      </w:r>
    </w:p>
    <w:p w14:paraId="02FC2D75" w14:textId="1E6F6441" w:rsidR="00806CEA" w:rsidRPr="00AC469B" w:rsidRDefault="00806CEA" w:rsidP="00AC469B">
      <w:pPr>
        <w:spacing w:line="276" w:lineRule="auto"/>
        <w:jc w:val="both"/>
      </w:pPr>
      <w:r>
        <w:t xml:space="preserve">For PFAS compounds, total attenuation was primarily attributed to sorption. In </w:t>
      </w:r>
      <w:r>
        <w:fldChar w:fldCharType="begin"/>
      </w:r>
      <w:r>
        <w:instrText xml:space="preserve"> REF _Ref198540062 \h </w:instrText>
      </w:r>
      <w:r>
        <w:fldChar w:fldCharType="separate"/>
      </w:r>
      <w:r>
        <w:t xml:space="preserve">Figure </w:t>
      </w:r>
      <w:r>
        <w:rPr>
          <w:noProof/>
        </w:rPr>
        <w:t>7</w:t>
      </w:r>
      <w:r>
        <w:fldChar w:fldCharType="end"/>
      </w:r>
      <w:r>
        <w:t xml:space="preserve">, PFAS attenuation is therefore divided into two components: (i) the fraction of sorption reproduced by the linear isotherm model, and (ii) the additional retention processes not captured by that model. </w:t>
      </w:r>
      <w:r w:rsidR="007C4536" w:rsidRPr="007C4536">
        <w:t>These additional mechanisms may include biologically mediated sorption</w:t>
      </w:r>
      <w:r w:rsidR="007C4536">
        <w:t xml:space="preserve"> such as</w:t>
      </w:r>
      <w:r w:rsidR="007C4536" w:rsidRPr="007C4536">
        <w:t xml:space="preserve"> the formation or restructuring of biofilms during </w:t>
      </w:r>
      <w:r w:rsidR="007C4536">
        <w:t>oxygen renewal</w:t>
      </w:r>
      <w:r w:rsidR="007C4536" w:rsidRPr="007C4536">
        <w:t>, as discussed previously.</w:t>
      </w:r>
      <w:r w:rsidR="007C4536">
        <w:t xml:space="preserve"> </w:t>
      </w:r>
      <w:r>
        <w:t>This representation better reflects the complex sorption behavior observed during the whole experiment.</w:t>
      </w:r>
      <w:r w:rsidR="00F35B28">
        <w:t xml:space="preserve"> </w:t>
      </w:r>
      <w:r w:rsidR="00F35B28" w:rsidRPr="00F35B28">
        <w:t xml:space="preserve">Among PFAS, PFOS and 6:2 FTS showed the highest overall attenuation, with roughly 80 % reproduced by the linear isotherm. For PFOA and PFHxA, the linear model accounted for about 60 %, suggesting stronger </w:t>
      </w:r>
      <w:r w:rsidR="00510856">
        <w:t>limitations of the linear isotherm approach for these compounds</w:t>
      </w:r>
      <w:r w:rsidR="00F35B28" w:rsidRPr="00F35B28">
        <w:t>. PFECHS showed negligible sorption and correspondingly low total attenuation.</w:t>
      </w:r>
      <w:r w:rsidR="00510856">
        <w:t xml:space="preserve"> </w:t>
      </w:r>
    </w:p>
    <w:p w14:paraId="149B0D57" w14:textId="725D828C" w:rsidR="00575ECD" w:rsidRDefault="00BE003B" w:rsidP="00865AB7">
      <w:pPr>
        <w:spacing w:line="276" w:lineRule="auto"/>
        <w:jc w:val="both"/>
      </w:pPr>
      <w:r>
        <w:t>D</w:t>
      </w:r>
      <w:r w:rsidR="00073B6B" w:rsidRPr="00073B6B">
        <w:t xml:space="preserve">ifferences in </w:t>
      </w:r>
      <w:r>
        <w:t xml:space="preserve">PFAS </w:t>
      </w:r>
      <w:r w:rsidR="00073B6B" w:rsidRPr="00073B6B">
        <w:t>attenuation are closely related to their chain length and functional groups</w:t>
      </w:r>
      <w:r w:rsidR="00AF0763">
        <w:t xml:space="preserve"> (</w:t>
      </w:r>
      <w:r w:rsidR="00AF0763">
        <w:fldChar w:fldCharType="begin"/>
      </w:r>
      <w:r w:rsidR="00AF0763">
        <w:instrText xml:space="preserve"> REF _Ref209038202 \h </w:instrText>
      </w:r>
      <w:r w:rsidR="00AF0763">
        <w:fldChar w:fldCharType="separate"/>
      </w:r>
      <w:r w:rsidR="009804A2">
        <w:t xml:space="preserve">Figure </w:t>
      </w:r>
      <w:r w:rsidR="009804A2">
        <w:rPr>
          <w:noProof/>
        </w:rPr>
        <w:t>2</w:t>
      </w:r>
      <w:r w:rsidR="00AF0763">
        <w:fldChar w:fldCharType="end"/>
      </w:r>
      <w:r w:rsidR="00AF0763">
        <w:t>)</w:t>
      </w:r>
      <w:r w:rsidR="00073B6B" w:rsidRPr="00073B6B">
        <w:t>. PFOS (a sulfonate) and 6:2 FTS (a fluorotelomer sulfonate) showed higher sorption potential compared to PFOA and PFHxA (carboxylates), likely due to the higher hydrophobicity and lower polarity of sulfonates, as well as the presence of more fluorinated carbon atoms</w:t>
      </w:r>
      <w:r w:rsidR="00453085">
        <w:t xml:space="preserve"> </w:t>
      </w:r>
      <w:r w:rsidR="00003C8A">
        <w:fldChar w:fldCharType="begin"/>
      </w:r>
      <w:r w:rsidR="00003C8A">
        <w:instrText xml:space="preserve"> QUOTE  "(Mejia-Avendañoe et al., 2020; Fabregat-Palau et al., 2022; Kookana et al., 2022)" </w:instrText>
      </w:r>
      <w:r w:rsidR="00003C8A">
        <w:fldChar w:fldCharType="separate"/>
      </w:r>
      <w:r w:rsidR="00003C8A">
        <w:t>(Mejia-Avendaño</w:t>
      </w:r>
      <w:r w:rsidR="00003C8A" w:rsidRPr="00DB6DBE">
        <w:rPr>
          <w:i/>
        </w:rPr>
        <w:t xml:space="preserve"> et</w:t>
      </w:r>
      <w:r w:rsidR="00003C8A">
        <w:t xml:space="preserve"> </w:t>
      </w:r>
      <w:r w:rsidR="00003C8A" w:rsidRPr="00DB6DBE">
        <w:rPr>
          <w:i/>
        </w:rPr>
        <w:t>al.</w:t>
      </w:r>
      <w:r w:rsidR="00003C8A">
        <w:t xml:space="preserve">, 2020; Fabregat-Palau </w:t>
      </w:r>
      <w:r w:rsidR="00003C8A" w:rsidRPr="00DB6DBE">
        <w:rPr>
          <w:i/>
        </w:rPr>
        <w:t>et al.</w:t>
      </w:r>
      <w:r w:rsidR="00003C8A">
        <w:t xml:space="preserve">, 2022; Kookana </w:t>
      </w:r>
      <w:r w:rsidR="00003C8A" w:rsidRPr="00DB6DBE">
        <w:rPr>
          <w:i/>
        </w:rPr>
        <w:t>et al.</w:t>
      </w:r>
      <w:r w:rsidR="00003C8A">
        <w:t>, 2022)</w:t>
      </w:r>
      <w:r w:rsidR="00003C8A">
        <w:fldChar w:fldCharType="end"/>
      </w:r>
      <w:r w:rsidR="00073B6B" w:rsidRPr="00073B6B">
        <w:t xml:space="preserve">. </w:t>
      </w:r>
      <w:r w:rsidR="00575ECD" w:rsidRPr="00575ECD">
        <w:t>PFECHS</w:t>
      </w:r>
      <w:r w:rsidR="00575ECD">
        <w:t xml:space="preserve"> </w:t>
      </w:r>
      <w:r w:rsidR="00575ECD" w:rsidRPr="00575ECD">
        <w:t>also displayed low attenuation, which may be attributed to its rel</w:t>
      </w:r>
      <w:r w:rsidR="00575ECD">
        <w:t xml:space="preserve">atively high chemical stability, </w:t>
      </w:r>
      <w:r w:rsidR="00575ECD" w:rsidRPr="00575ECD">
        <w:t>due to the presence of a cyclic ether moiety within the perfluorinated carbon chain</w:t>
      </w:r>
      <w:r w:rsidR="00575ECD">
        <w:t xml:space="preserve">, </w:t>
      </w:r>
      <w:r w:rsidR="00575ECD" w:rsidRPr="00575ECD">
        <w:t xml:space="preserve">and its low sorption affinity in the tested sediment matrix </w:t>
      </w:r>
      <w:r w:rsidR="00C4559B">
        <w:fldChar w:fldCharType="begin"/>
      </w:r>
      <w:r w:rsidR="00C4559B">
        <w:instrText xml:space="preserve"> ADDIN ZOTERO_ITEM CSL_CITATION {"citationID":"Hkg7SAWO","properties":{"formattedCitation":"(Wang {\\i{}et al.}, 2016)","plainCitation":"(Wang et al., 2016)","noteIndex":0},"citationItems":[{"id":6911,"uris":["http://zotero.org/users/9753339/items/7BEAD7TE"],"itemData":{"id":6911,"type":"article-journal","abstract":"The use of cyclic perﬂuoroalkyl acids as anticorrosive agents in hydraulic ﬂuids remains a poorly characterized source of organoﬂuorine compounds to the environment. Here, we investigated the presence of perﬂuoroethylenecyclohexanesulfonate (PFECHS) isomers in environmental samples for the ﬁrst time using a combination of high resolution and tandem mass spectrometry. Five distinct peaks attributed to diﬀerent isomers of PFECHS and perﬂuoropropylcyclopentanesulfonate (PFPCPeS) were identiﬁed in environmental samples. The sum of PFECHS and PFPCPeS isomers displayed logarithmically decreasing spatial trends in water (1.04−324 ng/L) and sediment samples (&lt;MLQ − 2.23 ng/g dw) with increasing distance from Beijing international airport. PFECHS and PFPCPeS displayed the highest accumulation in liver, kidney, blood and bladder and average whole body bioaccumulation factors (log BAFwhole</w:instrText>
      </w:r>
      <w:r w:rsidR="00C4559B">
        <w:rPr>
          <w:rFonts w:ascii="Cambria Math" w:hAnsi="Cambria Math" w:cs="Cambria Math"/>
        </w:rPr>
        <w:instrText>‑</w:instrText>
      </w:r>
      <w:r w:rsidR="00C4559B">
        <w:instrText>body) were estimated to be 2.7 and 1.9 respectively. Isomer-speci</w:instrText>
      </w:r>
      <w:r w:rsidR="00C4559B">
        <w:rPr>
          <w:rFonts w:ascii="Calibri" w:hAnsi="Calibri" w:cs="Calibri"/>
        </w:rPr>
        <w:instrText>ﬁ</w:instrText>
      </w:r>
      <w:r w:rsidR="00C4559B">
        <w:instrText>c di</w:instrText>
      </w:r>
      <w:r w:rsidR="00C4559B">
        <w:rPr>
          <w:rFonts w:ascii="Calibri" w:hAnsi="Calibri" w:cs="Calibri"/>
        </w:rPr>
        <w:instrText>ﬀ</w:instrText>
      </w:r>
      <w:r w:rsidR="00C4559B">
        <w:instrText>erences in the tissue/blood distribution ratios and BAFwhole</w:instrText>
      </w:r>
      <w:r w:rsidR="00C4559B">
        <w:rPr>
          <w:rFonts w:ascii="Cambria Math" w:hAnsi="Cambria Math" w:cs="Cambria Math"/>
        </w:rPr>
        <w:instrText>‑</w:instrText>
      </w:r>
      <w:r w:rsidR="00C4559B">
        <w:instrText>body indicate that ring structure and position of the sulfonic acid group a</w:instrText>
      </w:r>
      <w:r w:rsidR="00C4559B">
        <w:rPr>
          <w:rFonts w:ascii="Calibri" w:hAnsi="Calibri" w:cs="Calibri"/>
        </w:rPr>
        <w:instrText>ﬀ</w:instrText>
      </w:r>
      <w:r w:rsidR="00C4559B">
        <w:instrText>ect the bioaccumulation potential of cyclic per</w:instrText>
      </w:r>
      <w:r w:rsidR="00C4559B">
        <w:rPr>
          <w:rFonts w:ascii="Calibri" w:hAnsi="Calibri" w:cs="Calibri"/>
        </w:rPr>
        <w:instrText>ﬂ</w:instrText>
      </w:r>
      <w:r w:rsidR="00C4559B">
        <w:instrText>uoroalkyl acids. Based on the high mobility and moderate bioaccumulation potential of cyclic per</w:instrText>
      </w:r>
      <w:r w:rsidR="00C4559B">
        <w:rPr>
          <w:rFonts w:ascii="Calibri" w:hAnsi="Calibri" w:cs="Calibri"/>
        </w:rPr>
        <w:instrText>ﬂ</w:instrText>
      </w:r>
      <w:r w:rsidR="00C4559B">
        <w:instrText xml:space="preserve">uorinated acids it is suggested that contamination of aquifers used for drinking water around airports may be a hitherto overlooked problem for this novel class of contaminants.","container-title":"Environmental Science &amp; Technology","DOI":"10.1021/acs.est.6b01980","ISSN":"0013-936X, 1520-5851","issue":"20","journalAbbreviation":"Environ. Sci. Technol.","language":"en","note":"publisher: American Chemical Society (ACS)","page":"10923-10932","source":"Crossref","title":"Identification, Tissue Distribution, and Bioaccumulation Potential of Cyclic Perfluorinated Sulfonic Acids Isomers in an Airport Impacted Ecosystem","volume":"50","author":[{"family":"Wang","given":"Yuan"},{"family":"Vestergren","given":"Robin"},{"family":"Shi","given":"Yali"},{"family":"Cao","given":"Dong"},{"family":"Xu","given":"Lin"},{"family":"Cai","given":"Yaqi"},{"family":"Zhao","given":"Xiaoli"},{"family":"Wu","given":"Fengchang"}],"issued":{"date-parts":[["2016",10,18]]}}}],"schema":"https://github.com/citation-style-language/schema/raw/master/csl-citation.json"} </w:instrText>
      </w:r>
      <w:r w:rsidR="00C4559B">
        <w:fldChar w:fldCharType="separate"/>
      </w:r>
      <w:r w:rsidR="00C4559B" w:rsidRPr="00C4559B">
        <w:rPr>
          <w:rFonts w:ascii="Calibri" w:hAnsi="Calibri" w:cs="Calibri"/>
          <w:szCs w:val="24"/>
        </w:rPr>
        <w:t xml:space="preserve">(Wang </w:t>
      </w:r>
      <w:r w:rsidR="00C4559B" w:rsidRPr="00C4559B">
        <w:rPr>
          <w:rFonts w:ascii="Calibri" w:hAnsi="Calibri" w:cs="Calibri"/>
          <w:i/>
          <w:iCs/>
          <w:szCs w:val="24"/>
        </w:rPr>
        <w:t>et al.</w:t>
      </w:r>
      <w:r w:rsidR="00C4559B" w:rsidRPr="00C4559B">
        <w:rPr>
          <w:rFonts w:ascii="Calibri" w:hAnsi="Calibri" w:cs="Calibri"/>
          <w:szCs w:val="24"/>
        </w:rPr>
        <w:t>, 2016)</w:t>
      </w:r>
      <w:r w:rsidR="00C4559B">
        <w:fldChar w:fldCharType="end"/>
      </w:r>
      <w:r w:rsidR="00C4559B">
        <w:t>.</w:t>
      </w:r>
    </w:p>
    <w:p w14:paraId="75EF2215" w14:textId="3C9EC1E5" w:rsidR="00253336" w:rsidRPr="00B94226" w:rsidRDefault="003725A5" w:rsidP="00DB6DBE">
      <w:pPr>
        <w:pStyle w:val="NormalWeb"/>
        <w:jc w:val="center"/>
      </w:pPr>
      <w:r>
        <w:rPr>
          <w:noProof/>
        </w:rPr>
        <w:drawing>
          <wp:inline distT="0" distB="0" distL="0" distR="0" wp14:anchorId="4EDCC930" wp14:editId="7B327CBD">
            <wp:extent cx="5760000" cy="2880000"/>
            <wp:effectExtent l="0" t="0" r="0" b="0"/>
            <wp:docPr id="7" name="Image 7" descr="C:\Users\glaud\Documents\Uliege\doctorat\WP2\batch_experiment\modeling_phreeqc\CECs\total_attenuation\atten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d\Documents\Uliege\doctorat\WP2\batch_experiment\modeling_phreeqc\CECs\total_attenuation\attenu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a:noFill/>
                    </a:ln>
                  </pic:spPr>
                </pic:pic>
              </a:graphicData>
            </a:graphic>
          </wp:inline>
        </w:drawing>
      </w:r>
    </w:p>
    <w:p w14:paraId="6C507B79" w14:textId="34AFF4F3" w:rsidR="00674736" w:rsidRDefault="00253336" w:rsidP="00865AB7">
      <w:pPr>
        <w:pStyle w:val="Lgende"/>
        <w:spacing w:line="276" w:lineRule="auto"/>
        <w:jc w:val="center"/>
      </w:pPr>
      <w:bookmarkStart w:id="17" w:name="_Ref198540062"/>
      <w:r>
        <w:t xml:space="preserve">Figure </w:t>
      </w:r>
      <w:fldSimple w:instr=" SEQ Figure \* ARABIC ">
        <w:r w:rsidR="002E6038">
          <w:rPr>
            <w:noProof/>
          </w:rPr>
          <w:t>7</w:t>
        </w:r>
      </w:fldSimple>
      <w:bookmarkEnd w:id="17"/>
      <w:r>
        <w:t xml:space="preserve">. </w:t>
      </w:r>
      <w:r w:rsidR="003725A5" w:rsidRPr="003725A5">
        <w:t>Total attenuation of individual contaminants after 21 days</w:t>
      </w:r>
      <w:r w:rsidR="003725A5">
        <w:t xml:space="preserve"> in the batch reactor</w:t>
      </w:r>
      <w:r w:rsidR="003725A5" w:rsidRPr="003725A5">
        <w:t>, with contributions from</w:t>
      </w:r>
      <w:r w:rsidR="00321DC5">
        <w:t xml:space="preserve"> sorption (linear isotherm + additional processes)</w:t>
      </w:r>
      <w:r w:rsidR="003725A5" w:rsidRPr="003725A5">
        <w:t xml:space="preserve"> and biodegradation</w:t>
      </w:r>
      <w:r w:rsidR="003725A5">
        <w:t>/biotransformation</w:t>
      </w:r>
      <w:r w:rsidR="003725A5" w:rsidRPr="003725A5">
        <w:t>. The blue–green diagonal pattern for 6:2 FTS represents a mixed attenuation mechanism.</w:t>
      </w:r>
    </w:p>
    <w:p w14:paraId="2225E70B" w14:textId="1BC6A689" w:rsidR="00D12F78" w:rsidRDefault="00FF37F7" w:rsidP="005B1539">
      <w:pPr>
        <w:jc w:val="both"/>
      </w:pPr>
      <w:r w:rsidRPr="00FF37F7">
        <w:t xml:space="preserve">When extrapolating these laboratory results to field conditions, it is important to consider the protective role of the thick unsaturated zone described in Section </w:t>
      </w:r>
      <w:r w:rsidR="00D1782E">
        <w:fldChar w:fldCharType="begin"/>
      </w:r>
      <w:r w:rsidR="00D1782E">
        <w:instrText xml:space="preserve"> REF _Ref214456307 \r \h </w:instrText>
      </w:r>
      <w:r w:rsidR="00D1782E">
        <w:fldChar w:fldCharType="separate"/>
      </w:r>
      <w:r w:rsidR="00D1782E">
        <w:t>3.1</w:t>
      </w:r>
      <w:r w:rsidR="00D1782E">
        <w:fldChar w:fldCharType="end"/>
      </w:r>
      <w:r w:rsidRPr="00FF37F7">
        <w:t xml:space="preserve">. This layer provides a significant </w:t>
      </w:r>
      <w:r w:rsidRPr="00FF37F7">
        <w:lastRenderedPageBreak/>
        <w:t xml:space="preserve">delay and additional opportunities for </w:t>
      </w:r>
      <w:r>
        <w:t>contaminant attenuation before the recharge water</w:t>
      </w:r>
      <w:r w:rsidRPr="00FF37F7">
        <w:t xml:space="preserve"> reaches the aqui</w:t>
      </w:r>
      <w:r>
        <w:t xml:space="preserve">fer </w:t>
      </w:r>
      <w:r>
        <w:fldChar w:fldCharType="begin"/>
      </w:r>
      <w:r>
        <w:instrText xml:space="preserve"> QUOTE  "(Brouyère et al., 2004)" </w:instrText>
      </w:r>
      <w:r>
        <w:fldChar w:fldCharType="separate"/>
      </w:r>
      <w:r>
        <w:t>(Brouyère et al., 2004)</w:t>
      </w:r>
      <w:r>
        <w:fldChar w:fldCharType="end"/>
      </w:r>
      <w:r>
        <w:t xml:space="preserve">. However, in the context of </w:t>
      </w:r>
      <w:r w:rsidR="00632E57">
        <w:t>SAT</w:t>
      </w:r>
      <w:r w:rsidR="00632E57" w:rsidRPr="00FF37F7">
        <w:t xml:space="preserve"> </w:t>
      </w:r>
      <w:r w:rsidRPr="00FF37F7">
        <w:t xml:space="preserve">operations, continuous </w:t>
      </w:r>
      <w:r>
        <w:t>recharge</w:t>
      </w:r>
      <w:r w:rsidRPr="00FF37F7">
        <w:t xml:space="preserve"> through </w:t>
      </w:r>
      <w:r>
        <w:t>infiltration</w:t>
      </w:r>
      <w:r w:rsidRPr="00FF37F7">
        <w:t xml:space="preserve"> basins is expected to establish a saturated reactive zone beneath the basin. The saturated batch experiments presented here therefore capture the main processes expected under such conditions, although dynamic column ex</w:t>
      </w:r>
      <w:r>
        <w:t xml:space="preserve">periments would be needed for </w:t>
      </w:r>
      <w:r w:rsidRPr="00FF37F7">
        <w:t>mo</w:t>
      </w:r>
      <w:r>
        <w:t>re representative field conditions</w:t>
      </w:r>
      <w:r w:rsidRPr="00FF37F7">
        <w:t xml:space="preserve">. </w:t>
      </w:r>
      <w:r w:rsidR="00801F2F">
        <w:t xml:space="preserve">Indeed, the hydraulic regime can further influence CECs attenuation, as infiltration dynamics controls solute residence times and the spatial distribution of redox conditions, which in turn govern biodegradation. This has notably been highlighted by </w:t>
      </w:r>
      <w:r w:rsidR="00D12F78">
        <w:fldChar w:fldCharType="begin"/>
      </w:r>
      <w:r w:rsidR="00D12F78">
        <w:instrText xml:space="preserve"> QUOTE  "Gorski et al. (2019)" </w:instrText>
      </w:r>
      <w:r w:rsidR="00D12F78">
        <w:fldChar w:fldCharType="separate"/>
      </w:r>
      <w:r w:rsidR="00D12F78">
        <w:t>Gorski et al. (2019)</w:t>
      </w:r>
      <w:r w:rsidR="00D12F78">
        <w:fldChar w:fldCharType="end"/>
      </w:r>
      <w:r w:rsidR="00D12F78">
        <w:t xml:space="preserve">, </w:t>
      </w:r>
      <w:r w:rsidR="00D12F78" w:rsidRPr="00D12F78">
        <w:t xml:space="preserve">who </w:t>
      </w:r>
      <w:r w:rsidR="00D12F78">
        <w:t>established</w:t>
      </w:r>
      <w:r w:rsidR="00D12F78" w:rsidRPr="00D12F78">
        <w:t xml:space="preserve"> a quantitative relationship between infiltration rate and denitrification. This implies that under </w:t>
      </w:r>
      <w:r w:rsidR="00632E57">
        <w:t>SAT</w:t>
      </w:r>
      <w:r w:rsidR="00632E57" w:rsidRPr="00D12F78">
        <w:t xml:space="preserve"> </w:t>
      </w:r>
      <w:r w:rsidR="00D12F78" w:rsidRPr="00D12F78">
        <w:t>operations, degr</w:t>
      </w:r>
      <w:r w:rsidR="00801F2F">
        <w:t xml:space="preserve">adation rates of </w:t>
      </w:r>
      <w:r w:rsidR="00D12F78" w:rsidRPr="00D12F78">
        <w:t xml:space="preserve">organic contaminants may </w:t>
      </w:r>
      <w:r w:rsidR="00801F2F">
        <w:t>vary with</w:t>
      </w:r>
      <w:r w:rsidR="00D12F78" w:rsidRPr="00D12F78">
        <w:t xml:space="preserve"> recharge intensity</w:t>
      </w:r>
      <w:r w:rsidR="00801F2F">
        <w:t xml:space="preserve"> through their control on redox evolution</w:t>
      </w:r>
      <w:r w:rsidR="00D12F78" w:rsidRPr="00D12F78">
        <w:t>.</w:t>
      </w:r>
      <w:r w:rsidR="00D12F78">
        <w:t xml:space="preserve"> </w:t>
      </w:r>
      <w:r w:rsidR="00D12F78" w:rsidRPr="00D12F78">
        <w:t xml:space="preserve">To address these aspects, complementary studies using HYDRUS reactive transport modeling </w:t>
      </w:r>
      <w:r w:rsidR="00801F2F">
        <w:t xml:space="preserve">and the obtained parameters </w:t>
      </w:r>
      <w:r w:rsidR="00D12F78" w:rsidRPr="00D12F78">
        <w:t xml:space="preserve">are currently </w:t>
      </w:r>
      <w:r w:rsidR="00D12F78">
        <w:t>in progress</w:t>
      </w:r>
      <w:r w:rsidR="00D12F78" w:rsidRPr="00D12F78">
        <w:t xml:space="preserve"> to </w:t>
      </w:r>
      <w:r w:rsidR="00801F2F">
        <w:t>quantify</w:t>
      </w:r>
      <w:r w:rsidR="00D12F78" w:rsidRPr="00D12F78">
        <w:t xml:space="preserve"> the influence of the vadose zone and infiltration dynamics on contaminant fate</w:t>
      </w:r>
      <w:r w:rsidR="00D12F78">
        <w:t>.</w:t>
      </w:r>
    </w:p>
    <w:p w14:paraId="2AF46C95" w14:textId="22739F30" w:rsidR="004802E4" w:rsidRDefault="004802E4" w:rsidP="00865AB7">
      <w:pPr>
        <w:pStyle w:val="Titre1"/>
        <w:numPr>
          <w:ilvl w:val="0"/>
          <w:numId w:val="1"/>
        </w:numPr>
        <w:spacing w:line="276" w:lineRule="auto"/>
      </w:pPr>
      <w:r w:rsidRPr="00F71CCF">
        <w:t>Conclusion</w:t>
      </w:r>
    </w:p>
    <w:p w14:paraId="2E736123" w14:textId="5E961FBA" w:rsidR="00964270" w:rsidRDefault="00964270" w:rsidP="00865AB7">
      <w:pPr>
        <w:spacing w:line="276" w:lineRule="auto"/>
        <w:jc w:val="both"/>
      </w:pPr>
      <w:r>
        <w:t>This study investigated the attenuation capacity of loess sediments overlying the Hesbaye chalk aquifer</w:t>
      </w:r>
      <w:r w:rsidR="001A3A09">
        <w:t xml:space="preserve"> (Belgium)</w:t>
      </w:r>
      <w:r>
        <w:t xml:space="preserve"> when </w:t>
      </w:r>
      <w:r w:rsidR="00452E77">
        <w:t>exposed to airport runoff water contaminated with alkylphenols, triazoles and PFAS</w:t>
      </w:r>
      <w:r>
        <w:t xml:space="preserve">. Our findings </w:t>
      </w:r>
      <w:r w:rsidR="007D7372">
        <w:t xml:space="preserve">reveal </w:t>
      </w:r>
      <w:r w:rsidR="00A5115D">
        <w:t>different behaviours</w:t>
      </w:r>
      <w:r>
        <w:t xml:space="preserve"> </w:t>
      </w:r>
      <w:r w:rsidR="007D7372">
        <w:t>among the target CECs</w:t>
      </w:r>
      <w:r>
        <w:t xml:space="preserve">, </w:t>
      </w:r>
      <w:r w:rsidR="007D7372">
        <w:t>with attenuation processes varying by compound class. Sorption emerged as the dominant mechanism for</w:t>
      </w:r>
      <w:r w:rsidR="00A96557">
        <w:t xml:space="preserve"> </w:t>
      </w:r>
      <w:r w:rsidR="007D7372">
        <w:t xml:space="preserve">PFAS compounds, while biodegradation played a major role in the attenuation of benzotriazoles and alkylphenols. </w:t>
      </w:r>
    </w:p>
    <w:p w14:paraId="186CEBD1" w14:textId="1F6525DA" w:rsidR="00407AA3" w:rsidRDefault="00964270" w:rsidP="00865AB7">
      <w:pPr>
        <w:spacing w:line="276" w:lineRule="auto"/>
        <w:jc w:val="both"/>
      </w:pPr>
      <w:r>
        <w:t xml:space="preserve">Among the studied compounds, </w:t>
      </w:r>
      <w:r w:rsidR="00E66851">
        <w:t xml:space="preserve">NP2EO </w:t>
      </w:r>
      <w:r>
        <w:t>exhibited the highest total attenuation, reaching nearly 90%, with biodegradation accounting for the entirety of its removal. This suggests that</w:t>
      </w:r>
      <w:r w:rsidR="007D7372">
        <w:t xml:space="preserve">, </w:t>
      </w:r>
      <w:r>
        <w:t xml:space="preserve">despite its solubility, NP2EO poses a low risk for aquifer contamination under the </w:t>
      </w:r>
      <w:r w:rsidR="007D7372">
        <w:t xml:space="preserve">studied </w:t>
      </w:r>
      <w:r>
        <w:t xml:space="preserve">conditions. </w:t>
      </w:r>
      <w:r w:rsidR="009D74D6" w:rsidRPr="009D74D6">
        <w:t>However, the potential formation of transformation products</w:t>
      </w:r>
      <w:r w:rsidR="007D7372">
        <w:t>,</w:t>
      </w:r>
      <w:r w:rsidR="009D74D6" w:rsidRPr="009D74D6">
        <w:t xml:space="preserve"> such as nonylphenol</w:t>
      </w:r>
      <w:r w:rsidR="007D7372">
        <w:t>,</w:t>
      </w:r>
      <w:r w:rsidR="009D74D6">
        <w:t xml:space="preserve"> </w:t>
      </w:r>
      <w:r w:rsidR="009D74D6" w:rsidRPr="009D74D6">
        <w:t xml:space="preserve">was not </w:t>
      </w:r>
      <w:r w:rsidR="007D7372">
        <w:t>evaluated</w:t>
      </w:r>
      <w:r w:rsidR="009D74D6" w:rsidRPr="009D74D6">
        <w:t xml:space="preserve"> and </w:t>
      </w:r>
      <w:r w:rsidR="007D7372">
        <w:t>may</w:t>
      </w:r>
      <w:r w:rsidR="007D7372" w:rsidRPr="009D74D6">
        <w:t xml:space="preserve"> </w:t>
      </w:r>
      <w:r w:rsidR="009D74D6" w:rsidRPr="009D74D6">
        <w:t>present additional risks.</w:t>
      </w:r>
    </w:p>
    <w:p w14:paraId="27423135" w14:textId="783A0663" w:rsidR="00964270" w:rsidRDefault="00964270" w:rsidP="00865AB7">
      <w:pPr>
        <w:spacing w:line="276" w:lineRule="auto"/>
        <w:jc w:val="both"/>
      </w:pPr>
      <w:r>
        <w:t>Benzotriazole and tolyltriazole showed m</w:t>
      </w:r>
      <w:r w:rsidR="00836319">
        <w:t>oderate attenuation levels of 38</w:t>
      </w:r>
      <w:r w:rsidR="00035544">
        <w:t>% and 30</w:t>
      </w:r>
      <w:r w:rsidR="00407AA3">
        <w:t xml:space="preserve">% </w:t>
      </w:r>
      <w:r>
        <w:t xml:space="preserve">respectively, </w:t>
      </w:r>
      <w:r w:rsidR="00035544">
        <w:t>with sorption contributing to 16% and 19</w:t>
      </w:r>
      <w:r>
        <w:t>%</w:t>
      </w:r>
      <w:r w:rsidR="001354CA">
        <w:t xml:space="preserve"> respectively</w:t>
      </w:r>
      <w:r>
        <w:t xml:space="preserve">. The stronger sorption of tolyltriazole </w:t>
      </w:r>
      <w:r w:rsidR="007D7372">
        <w:t>suggests a greater potential</w:t>
      </w:r>
      <w:r>
        <w:t xml:space="preserve"> for </w:t>
      </w:r>
      <w:r w:rsidR="007D7372">
        <w:t xml:space="preserve">sediment </w:t>
      </w:r>
      <w:r>
        <w:t xml:space="preserve">accumulation compared to benzotriazole, </w:t>
      </w:r>
      <w:r w:rsidR="007D7372" w:rsidRPr="007D7372">
        <w:t>which may be less concerning for groundwater quality.</w:t>
      </w:r>
      <w:r>
        <w:t xml:space="preserve"> </w:t>
      </w:r>
      <w:r w:rsidR="000372B3" w:rsidRPr="000372B3">
        <w:t>However, leaching of tolyltriazole could still occur if clean recharge water percolates through contaminated sediments.</w:t>
      </w:r>
      <w:r w:rsidR="000372B3">
        <w:t xml:space="preserve"> </w:t>
      </w:r>
      <w:r>
        <w:t>Additionally, biodegradation of these compounds was found to be redox-dependent, with higher degradation rates observed in oxic conditions.</w:t>
      </w:r>
    </w:p>
    <w:p w14:paraId="44D7C591" w14:textId="05959543" w:rsidR="00964270" w:rsidRDefault="00964270" w:rsidP="00865AB7">
      <w:pPr>
        <w:spacing w:line="276" w:lineRule="auto"/>
        <w:jc w:val="both"/>
      </w:pPr>
      <w:r>
        <w:t xml:space="preserve">As expected for persistent pollutants, PFAS compounds demonstrated limited </w:t>
      </w:r>
      <w:r w:rsidR="00C17AB1">
        <w:t xml:space="preserve">overall </w:t>
      </w:r>
      <w:r>
        <w:t xml:space="preserve">attenuation, </w:t>
      </w:r>
      <w:r w:rsidR="00C17AB1">
        <w:t xml:space="preserve">which was </w:t>
      </w:r>
      <w:r>
        <w:t xml:space="preserve">primarily </w:t>
      </w:r>
      <w:r w:rsidR="00C17AB1">
        <w:t>attributed to</w:t>
      </w:r>
      <w:r>
        <w:t xml:space="preserve"> sorption onto loess sediments. </w:t>
      </w:r>
      <w:r w:rsidR="00C17AB1">
        <w:t xml:space="preserve">Among them, PFOS and 6:2 FTS showed the highest retention, while PFOA and PFHxA were less sorbed, and PFECHS displayed little interaction with the solid phase. </w:t>
      </w:r>
      <w:r w:rsidR="00D24D72" w:rsidRPr="00D24D72">
        <w:t>Given their well-known resistance to microbial degradation, PFAS attenuation in this study is expected to result solely from sorption processes</w:t>
      </w:r>
      <w:r w:rsidR="00D24D72">
        <w:t xml:space="preserve"> rather than biodegradation.</w:t>
      </w:r>
      <w:r w:rsidR="00C17AB1">
        <w:t xml:space="preserve"> </w:t>
      </w:r>
      <w:r w:rsidR="00E81099">
        <w:t>The fraction of attenuation not reproduced by the linear isotherm may reflect additional sorption processes, such as biologically activated sorption occuring under oxic condition through the formation or restructuring of biofilms</w:t>
      </w:r>
      <w:r w:rsidR="00C17AB1">
        <w:t xml:space="preserve">. </w:t>
      </w:r>
      <w:r w:rsidR="00D24D72" w:rsidRPr="00D24D72">
        <w:t xml:space="preserve">The only compound for which biotransformation cannot be excluded is 6:2 FTS, which </w:t>
      </w:r>
      <w:r w:rsidR="00D24D72">
        <w:t xml:space="preserve">can </w:t>
      </w:r>
      <w:r w:rsidR="00D24D72" w:rsidRPr="00D24D72">
        <w:t>undergo partial transformation under oxic conditions.</w:t>
      </w:r>
      <w:r w:rsidR="00D24D72">
        <w:t xml:space="preserve"> </w:t>
      </w:r>
      <w:r w:rsidR="00D24D72" w:rsidRPr="00D24D72">
        <w:t>Given that PFAS sorption potential is strongly dependent on soil composition, further research should investigate their behavior across a range of soil types. Moreover, investigating the formation of PFAS degradation products might be interesting, as partial breakdown may lead to smaller, more mobile, and potentially more hazardous compounds.</w:t>
      </w:r>
    </w:p>
    <w:p w14:paraId="39B1BF3A" w14:textId="6174B7ED" w:rsidR="00964270" w:rsidRDefault="00C836CF" w:rsidP="00865AB7">
      <w:pPr>
        <w:spacing w:line="276" w:lineRule="auto"/>
        <w:jc w:val="both"/>
      </w:pPr>
      <w:r>
        <w:lastRenderedPageBreak/>
        <w:t>Even though the</w:t>
      </w:r>
      <w:r w:rsidR="00964270">
        <w:t xml:space="preserve"> biotic control in our experiments did not function as intended, </w:t>
      </w:r>
      <w:r w:rsidR="0030566C" w:rsidRPr="0030566C">
        <w:t>the results allow for an indirect estimation of biodegradation by considering total attenuation as the sum of sorption and biodegradation contributions.</w:t>
      </w:r>
      <w:r w:rsidR="0030566C">
        <w:t xml:space="preserve"> </w:t>
      </w:r>
      <w:r w:rsidR="00C4559B">
        <w:t>Furthermore, t</w:t>
      </w:r>
      <w:r w:rsidR="00D24E97" w:rsidRPr="00D24E97">
        <w:t xml:space="preserve">his study provides key parameters on sorption and biodegradation processes that will be valuable for modeling the transport and fate of CECs if </w:t>
      </w:r>
      <w:r w:rsidR="00632E57">
        <w:t>SAT</w:t>
      </w:r>
      <w:r w:rsidR="00D24E97" w:rsidRPr="00D24E97">
        <w:t xml:space="preserve"> is implemented using airport runoff as a recharge source</w:t>
      </w:r>
      <w:r w:rsidR="00407AA3" w:rsidRPr="00407AA3">
        <w:t xml:space="preserve">. </w:t>
      </w:r>
      <w:r w:rsidR="0030566C" w:rsidRPr="00407AA3">
        <w:t>In</w:t>
      </w:r>
      <w:r w:rsidR="0030566C">
        <w:t>tegrat</w:t>
      </w:r>
      <w:r w:rsidR="0030566C" w:rsidRPr="00407AA3">
        <w:t xml:space="preserve">ing </w:t>
      </w:r>
      <w:r w:rsidR="00407AA3" w:rsidRPr="00407AA3">
        <w:t xml:space="preserve">these experimental results into transport models will allow for a more accurate assessment of contaminant mobility, persistence, and potential groundwater impacts, aiding in the development of sustainable </w:t>
      </w:r>
      <w:r w:rsidR="00632E57">
        <w:t>SAT</w:t>
      </w:r>
      <w:r w:rsidR="00632E57" w:rsidRPr="00407AA3">
        <w:t xml:space="preserve"> </w:t>
      </w:r>
      <w:r w:rsidR="00407AA3" w:rsidRPr="00407AA3">
        <w:t>strategies.</w:t>
      </w:r>
      <w:r w:rsidR="00D24E97">
        <w:t xml:space="preserve"> </w:t>
      </w:r>
      <w:r w:rsidR="00984A35">
        <w:t>However, in the context of long-term SAT operations, the sorption capacity of loess sediments may progressively decline as sorption sites become sa</w:t>
      </w:r>
      <w:r w:rsidR="007F072C">
        <w:t>turated, reducing</w:t>
      </w:r>
      <w:r w:rsidR="00984A35">
        <w:t xml:space="preserve"> removal efficiency</w:t>
      </w:r>
      <w:r w:rsidR="007F072C">
        <w:t xml:space="preserve"> over time</w:t>
      </w:r>
      <w:r w:rsidR="00984A35">
        <w:t xml:space="preserve">. </w:t>
      </w:r>
      <w:r w:rsidR="007F072C">
        <w:t>Such long-term effects should be considered together with attenuation processes occurring in the unsaturated zone, which represents</w:t>
      </w:r>
      <w:r w:rsidR="00FF37F7" w:rsidRPr="00FF37F7">
        <w:t xml:space="preserve"> an additional natural buffer</w:t>
      </w:r>
      <w:r w:rsidR="007F072C">
        <w:t xml:space="preserve"> </w:t>
      </w:r>
      <w:r w:rsidR="00FF37F7" w:rsidRPr="00FF37F7">
        <w:t>before recharge</w:t>
      </w:r>
      <w:r w:rsidR="007F072C">
        <w:t xml:space="preserve"> water</w:t>
      </w:r>
      <w:r w:rsidR="00FF37F7" w:rsidRPr="00FF37F7">
        <w:t xml:space="preserve"> reaches the aquifer. Future work, including unsaturated column studies and reactive transport modeling with HYDRUS, will help to assess the influence of this vadose zone on contaminant transport.</w:t>
      </w:r>
      <w:r w:rsidR="00FF37F7">
        <w:t xml:space="preserve"> </w:t>
      </w:r>
      <w:r w:rsidR="00964270">
        <w:t xml:space="preserve">Expanding similar experiments to a wider range of soil types and environmental conditions </w:t>
      </w:r>
      <w:r w:rsidR="00D24E97" w:rsidRPr="00D24E97">
        <w:t xml:space="preserve">will be essential for improving risk assessments and ensuring the safe use of </w:t>
      </w:r>
      <w:r w:rsidR="00632E57">
        <w:t>SAT</w:t>
      </w:r>
      <w:r w:rsidR="00632E57" w:rsidRPr="00D24E97">
        <w:t xml:space="preserve"> </w:t>
      </w:r>
      <w:r w:rsidR="00D24E97" w:rsidRPr="00D24E97">
        <w:t>for groundwater recharge.</w:t>
      </w:r>
      <w:r w:rsidR="00C4559B">
        <w:t xml:space="preserve"> </w:t>
      </w:r>
      <w:r w:rsidR="00C4559B" w:rsidRPr="00C4559B">
        <w:t>Improving experimental design to ensure effective biotic controls should also be a priority in future studies, enabling more precise quantification of biodegradation processes.</w:t>
      </w:r>
    </w:p>
    <w:p w14:paraId="29ED5883" w14:textId="6312B810" w:rsidR="00331A0D" w:rsidRPr="00920242" w:rsidRDefault="0049492F" w:rsidP="00920242">
      <w:pPr>
        <w:spacing w:line="276" w:lineRule="auto"/>
        <w:jc w:val="both"/>
      </w:pPr>
      <w:r w:rsidRPr="0049492F">
        <w:t xml:space="preserve">Finally, some methodological aspects should be improved in future studies to strengthen the robustness of the conclusions. </w:t>
      </w:r>
      <w:r w:rsidR="00331A0D" w:rsidRPr="00331A0D">
        <w:t xml:space="preserve">In particular, the absence of solid phase measurements in this work prevents a complete mass balance and limits the ability to fully separate sorption from biodegradation. Minor differences in geochemical conditions between the abiotic control and the </w:t>
      </w:r>
      <w:r w:rsidR="00A96557">
        <w:t>batch</w:t>
      </w:r>
      <w:r w:rsidR="00A96557" w:rsidRPr="00331A0D">
        <w:t xml:space="preserve"> </w:t>
      </w:r>
      <w:r w:rsidR="00331A0D" w:rsidRPr="00331A0D">
        <w:t xml:space="preserve">reactors, as well as potential sorption to glass vessels, represent additional sources of uncertainty. </w:t>
      </w:r>
      <w:r w:rsidR="00963CA6">
        <w:t>However, t</w:t>
      </w:r>
      <w:r w:rsidR="00963CA6" w:rsidRPr="00963CA6">
        <w:t xml:space="preserve">hese effects are expected to be small and would apply equally to all reactors, meaning they cannot account for the systematic differences observed, but they </w:t>
      </w:r>
      <w:r w:rsidR="00963CA6">
        <w:t>cannot be fully excluded</w:t>
      </w:r>
      <w:r w:rsidR="00331A0D" w:rsidRPr="00331A0D">
        <w:t>.</w:t>
      </w:r>
      <w:r w:rsidR="00920242">
        <w:t xml:space="preserve"> In addition,</w:t>
      </w:r>
      <w:r w:rsidR="00920242" w:rsidRPr="00920242">
        <w:t xml:space="preserve"> </w:t>
      </w:r>
      <w:r w:rsidR="00920242">
        <w:t>a</w:t>
      </w:r>
      <w:r w:rsidR="00920242" w:rsidRPr="00920242">
        <w:t>lthough a single abiotic control was sufficient to support the interpretation of sorption processes, including replicate abiotic controls would reduce statistical uncertainty and allow a more rigorous assessment of differences with biotic reactors.</w:t>
      </w:r>
    </w:p>
    <w:p w14:paraId="436285E6" w14:textId="4F9E005E" w:rsidR="00BE339C" w:rsidRDefault="00BE339C" w:rsidP="00865AB7">
      <w:pPr>
        <w:pStyle w:val="Titre1"/>
        <w:spacing w:line="276" w:lineRule="auto"/>
      </w:pPr>
      <w:r>
        <w:t>Acknowledgements</w:t>
      </w:r>
    </w:p>
    <w:p w14:paraId="7B80E319" w14:textId="04815E5C" w:rsidR="00453085" w:rsidRPr="001D5443" w:rsidRDefault="001D5443" w:rsidP="00865AB7">
      <w:pPr>
        <w:spacing w:line="276" w:lineRule="auto"/>
        <w:jc w:val="both"/>
      </w:pPr>
      <w:r w:rsidRPr="001D5443">
        <w:t>The preparation of samples for HPLC-MS/MS analysis and the HPLC-MS/MS analysis itself were carried out under the supervision of Maria Dulsat-Masvidal</w:t>
      </w:r>
      <w:r>
        <w:t xml:space="preserve"> in IDAEA-CSIC (Chemometrics)</w:t>
      </w:r>
      <w:r w:rsidRPr="001D5443">
        <w:t xml:space="preserve">. I would like to express my sincere gratitude for her assistance and the knowledge she has </w:t>
      </w:r>
      <w:r>
        <w:t>shared</w:t>
      </w:r>
      <w:r w:rsidRPr="001D5443">
        <w:t xml:space="preserve"> to me on the subject.</w:t>
      </w:r>
    </w:p>
    <w:p w14:paraId="56D5933E" w14:textId="66D4CF29" w:rsidR="00BE339C" w:rsidRDefault="001D5443" w:rsidP="00865AB7">
      <w:pPr>
        <w:spacing w:line="276" w:lineRule="auto"/>
        <w:jc w:val="both"/>
      </w:pPr>
      <w:r w:rsidRPr="001D5443">
        <w:t>Major ion analyses of the runoff samples were performed by Joël Otten at the Hydrogeology and Environmental Geology Labora</w:t>
      </w:r>
      <w:r>
        <w:t>tory of the University of Liège</w:t>
      </w:r>
      <w:r w:rsidR="00BE339C">
        <w:t xml:space="preserve">. </w:t>
      </w:r>
      <w:r w:rsidRPr="001D5443">
        <w:t>We express our sincere gratitude for his technical support and expertise.</w:t>
      </w:r>
    </w:p>
    <w:p w14:paraId="0D1C3B41" w14:textId="6566ACA5" w:rsidR="00EA5457" w:rsidRPr="00EA5457" w:rsidRDefault="00EA5457" w:rsidP="00865AB7">
      <w:pPr>
        <w:spacing w:line="276" w:lineRule="auto"/>
        <w:jc w:val="both"/>
      </w:pPr>
      <w:r w:rsidRPr="00EA5457">
        <w:t xml:space="preserve">The </w:t>
      </w:r>
      <w:r>
        <w:t>granulometry analyses of loess sediment</w:t>
      </w:r>
      <w:r w:rsidRPr="00EA5457">
        <w:t xml:space="preserve"> was carried out at the Building Materials Laboratory (LMC) within the Urban and Environmental Engineering (UEE) department at the University of Liège, under the supervision of Pierre Illing. We are sincerely grateful to him for his valuable assistance</w:t>
      </w:r>
      <w:r>
        <w:t>.</w:t>
      </w:r>
    </w:p>
    <w:p w14:paraId="35713829" w14:textId="30920CF9" w:rsidR="00BE339C" w:rsidRDefault="00BE339C" w:rsidP="00865AB7">
      <w:pPr>
        <w:pStyle w:val="Titre1"/>
        <w:spacing w:line="276" w:lineRule="auto"/>
      </w:pPr>
      <w:r>
        <w:t>Funding</w:t>
      </w:r>
    </w:p>
    <w:p w14:paraId="357EA756" w14:textId="3A85E2FF" w:rsidR="008849CD" w:rsidRPr="008849CD" w:rsidRDefault="008849CD" w:rsidP="00865AB7">
      <w:pPr>
        <w:spacing w:line="276" w:lineRule="auto"/>
        <w:jc w:val="both"/>
      </w:pPr>
      <w:r w:rsidRPr="008849CD">
        <w:t>The experimental work of this research was supported by MCIU/AEI/10.13039/501100011033 and FEDER “one way to make Europe” through the grant PID2021-128995OA-I00.</w:t>
      </w:r>
      <w:r>
        <w:t xml:space="preserve"> Furthermore, t</w:t>
      </w:r>
      <w:r w:rsidRPr="008849CD">
        <w:t xml:space="preserve">he Spanish </w:t>
      </w:r>
      <w:r w:rsidRPr="008849CD">
        <w:lastRenderedPageBreak/>
        <w:t xml:space="preserve">Ministry of Science and Innovation is acknowledged for financial support [PID2022-137766NB-I00] </w:t>
      </w:r>
      <w:r>
        <w:t>of mass spectrometry equipment.</w:t>
      </w:r>
    </w:p>
    <w:p w14:paraId="6E0876C9" w14:textId="76C7AE9F" w:rsidR="001D5443" w:rsidRDefault="001D5443" w:rsidP="00865AB7">
      <w:pPr>
        <w:spacing w:line="276" w:lineRule="auto"/>
        <w:jc w:val="both"/>
      </w:pPr>
      <w:r>
        <w:t>Robin Glaude is a beneficiary of the ASP-REN fellowship supported by the FNRS (</w:t>
      </w:r>
      <w:r w:rsidRPr="00FE3E77">
        <w:t>Fonds de la Recherche Scientifique</w:t>
      </w:r>
      <w:r>
        <w:t>) Belgium.</w:t>
      </w:r>
      <w:r w:rsidR="001046BE">
        <w:t xml:space="preserve"> </w:t>
      </w:r>
      <w:r w:rsidR="001046BE" w:rsidRPr="001046BE">
        <w:t>In addition, he was awarded a mobility grant (SOR/2023/550158) by WBI (Wallonie-Bruxelles International) to carry out batch experiments in Barcelona, Spain.</w:t>
      </w:r>
    </w:p>
    <w:p w14:paraId="7B6D0DB1" w14:textId="526F5E33" w:rsidR="001630D4" w:rsidRPr="00DB6DBE" w:rsidRDefault="001630D4" w:rsidP="00865AB7">
      <w:pPr>
        <w:pStyle w:val="Titre1"/>
        <w:spacing w:line="276" w:lineRule="auto"/>
      </w:pPr>
      <w:r w:rsidRPr="00DB6DBE">
        <w:t>References</w:t>
      </w:r>
    </w:p>
    <w:p w14:paraId="538E5705" w14:textId="0E38F309" w:rsidR="009741B3" w:rsidRPr="00DB6DBE" w:rsidRDefault="001437AB" w:rsidP="00DB6DBE">
      <w:pPr>
        <w:pStyle w:val="Bibliographie"/>
        <w:jc w:val="both"/>
      </w:pPr>
      <w:r>
        <w:rPr>
          <w:rFonts w:ascii="Calibri" w:hAnsi="Calibri" w:cs="Calibri"/>
        </w:rPr>
        <w:fldChar w:fldCharType="begin"/>
      </w:r>
      <w:r w:rsidRPr="00DB6DBE">
        <w:rPr>
          <w:rFonts w:ascii="Calibri" w:hAnsi="Calibri" w:cs="Calibri"/>
        </w:rPr>
        <w:instrText xml:space="preserve"> ADDIN ZOTERO_BIBL {"uncited":[],"omitted":[],"custom":[]} CSL_BIBLIOGRAPHY </w:instrText>
      </w:r>
      <w:r>
        <w:rPr>
          <w:rFonts w:ascii="Calibri" w:hAnsi="Calibri" w:cs="Calibri"/>
        </w:rPr>
        <w:fldChar w:fldCharType="separate"/>
      </w:r>
      <w:r w:rsidR="00191803" w:rsidRPr="008A080D">
        <w:t>Ahrens, L., Norström, K., Viktor, T., Cousins, A. P., &amp; Josefsson, S. (2015). Stockholm Arlanda Airport as a source of per-and polyfluoroalkyl substances to water, sediment and fish. Chemosphere, 129, 33-38. https://doi.org/10.1016/j.chemosphere.2014.03.136.</w:t>
      </w:r>
    </w:p>
    <w:p w14:paraId="16AD2F30" w14:textId="77EDAC8A" w:rsidR="009741B3" w:rsidRPr="00191803" w:rsidRDefault="00191803" w:rsidP="00DB6DBE">
      <w:pPr>
        <w:pStyle w:val="Bibliographie"/>
        <w:jc w:val="both"/>
      </w:pPr>
      <w:r w:rsidRPr="008A080D">
        <w:t>Alotaibi, M. D., McKinley, A. J., Patterson, B. M., &amp; Reeder, A. Y. (2015). Benzotriazoles in the aquatic environment: a review of their occurrence, toxicity, degradation and analysis. Water, Air, &amp; Soil Pollution, 226(7), 226. https://doi.org/10.1007/s11270-015-2469-4.</w:t>
      </w:r>
    </w:p>
    <w:p w14:paraId="0CF80C26" w14:textId="6E367782" w:rsidR="009741B3" w:rsidRPr="00191803" w:rsidRDefault="00191803" w:rsidP="00DB6DBE">
      <w:pPr>
        <w:pStyle w:val="Bibliographie"/>
        <w:jc w:val="both"/>
      </w:pPr>
      <w:r w:rsidRPr="008A080D">
        <w:t>Askeland, M., Clarke, B. O., Cheema, S. A., Mendez, A., Gasco, G., &amp; Paz-Ferreiro, J. (2020). Biochar sorption of PFOS, PFOA, PFHxS and PFHxA in two soils with contrasting texture. Chemosphere, 249, 126072. https://doi.org/10.1016/j.chemosphere.2020.126072</w:t>
      </w:r>
      <w:r>
        <w:t>.</w:t>
      </w:r>
    </w:p>
    <w:p w14:paraId="22F6BAC4" w14:textId="41D2A06D" w:rsidR="009741B3" w:rsidRPr="00191803" w:rsidRDefault="00191803" w:rsidP="00DB6DBE">
      <w:pPr>
        <w:pStyle w:val="Bibliographie"/>
        <w:jc w:val="both"/>
      </w:pPr>
      <w:r w:rsidRPr="008A080D">
        <w:t>Barkow, I. S., Oswald, S. E., Lensing, H. J., &amp; Munz, M. (2021). Seasonal dynamics modifies fate of oxygen, nitrate, and organic micropollutants during bank filtration—temperature-dependent reactive transport modeling of field data. Environmental Science and Pollution Research, 28(8), 9682-9700. https://doi.org/10.1007/s11356-020-11002-9.</w:t>
      </w:r>
    </w:p>
    <w:p w14:paraId="6E67A414" w14:textId="0D39A835" w:rsidR="009741B3" w:rsidRDefault="00191803" w:rsidP="00DB6DBE">
      <w:pPr>
        <w:pStyle w:val="Bibliographie"/>
        <w:jc w:val="both"/>
      </w:pPr>
      <w:r w:rsidRPr="008A080D">
        <w:t>Barth, E., McKernan, J., Bless, D., &amp; Dasu, K. (2021). Investigation of an immobilization process for PFAS contaminated soils. Journal of environmental management, 296, 113069. https://doi.org/10.1016/j.jenvman.2021.113069.</w:t>
      </w:r>
    </w:p>
    <w:p w14:paraId="190E79EC" w14:textId="2F5240EE" w:rsidR="009741B3" w:rsidRPr="00191803" w:rsidRDefault="00191803" w:rsidP="00DB6DBE">
      <w:pPr>
        <w:pStyle w:val="Bibliographie"/>
        <w:jc w:val="both"/>
      </w:pPr>
      <w:r w:rsidRPr="008A080D">
        <w:t>Boyd, S. A., Lee, J. F., &amp; Mortland, M. M. (1988). Attenuating organic contaminant mobility by soil modification. Nature, 333(6171), 345-347. https://doi.org/10.1038/333345a0.</w:t>
      </w:r>
    </w:p>
    <w:p w14:paraId="5B680084" w14:textId="1DEAFD32" w:rsidR="009741B3" w:rsidRPr="00DB6DBE" w:rsidRDefault="00A14A82" w:rsidP="00DB6DBE">
      <w:pPr>
        <w:pStyle w:val="Bibliographie"/>
        <w:jc w:val="both"/>
        <w:rPr>
          <w:rFonts w:ascii="Calibri" w:hAnsi="Calibri" w:cs="Calibri"/>
        </w:rPr>
      </w:pPr>
      <w:r w:rsidRPr="00DB6DBE">
        <w:rPr>
          <w:rFonts w:ascii="Calibri" w:hAnsi="Calibri" w:cs="Calibri"/>
          <w:color w:val="222222"/>
          <w:shd w:val="clear" w:color="auto" w:fill="FFFFFF"/>
        </w:rPr>
        <w:t>Breedveld, G. D., Roseth, R., Sparrevik, M., Hartnik, T., &amp; Hem, L. J. (2003). Persistence of the de-icing additive benzotriazole at an abandoned airport. </w:t>
      </w:r>
      <w:r w:rsidRPr="00DB6DBE">
        <w:rPr>
          <w:rFonts w:ascii="Calibri" w:hAnsi="Calibri" w:cs="Calibri"/>
          <w:iCs/>
          <w:color w:val="222222"/>
          <w:shd w:val="clear" w:color="auto" w:fill="FFFFFF"/>
        </w:rPr>
        <w:t>Water, Air and Soil Pollution: Focus</w:t>
      </w:r>
      <w:r w:rsidRPr="00DB6DBE">
        <w:rPr>
          <w:rFonts w:ascii="Calibri" w:hAnsi="Calibri" w:cs="Calibri"/>
          <w:color w:val="222222"/>
          <w:shd w:val="clear" w:color="auto" w:fill="FFFFFF"/>
        </w:rPr>
        <w:t>, </w:t>
      </w:r>
      <w:r w:rsidRPr="00DB6DBE">
        <w:rPr>
          <w:rFonts w:ascii="Calibri" w:hAnsi="Calibri" w:cs="Calibri"/>
          <w:iCs/>
          <w:color w:val="222222"/>
          <w:shd w:val="clear" w:color="auto" w:fill="FFFFFF"/>
        </w:rPr>
        <w:t>3</w:t>
      </w:r>
      <w:r w:rsidRPr="00DB6DBE">
        <w:rPr>
          <w:rFonts w:ascii="Calibri" w:hAnsi="Calibri" w:cs="Calibri"/>
          <w:color w:val="222222"/>
          <w:shd w:val="clear" w:color="auto" w:fill="FFFFFF"/>
        </w:rPr>
        <w:t>(3), 91-101. https://doi.org/10.1023/A:1023961213839</w:t>
      </w:r>
    </w:p>
    <w:p w14:paraId="3FE8A11E" w14:textId="328BFD3F" w:rsidR="009741B3" w:rsidRPr="00191803" w:rsidRDefault="00191803" w:rsidP="00DB6DBE">
      <w:pPr>
        <w:pStyle w:val="Bibliographie"/>
        <w:jc w:val="both"/>
      </w:pPr>
      <w:r w:rsidRPr="008A080D">
        <w:t>Brouyère, S. (2024) ‘Managed Aquifer Recharge in Wallonia (Belgium) The MARWAL Project’. Groundwater World Congress IAH 2024, Davos, Suisse, 10 September. Available at: https://orb</w:t>
      </w:r>
      <w:r w:rsidR="00A14A82">
        <w:t>i.uliege.be/handle/2268/322816</w:t>
      </w:r>
      <w:r w:rsidRPr="008A080D">
        <w:t xml:space="preserve"> (Accessed: 9 July 2025).</w:t>
      </w:r>
    </w:p>
    <w:p w14:paraId="5A79DB95" w14:textId="78FE0F6B" w:rsidR="009741B3" w:rsidRPr="00DB6DBE" w:rsidRDefault="00A14A82" w:rsidP="00DB6DBE">
      <w:pPr>
        <w:pStyle w:val="Bibliographie"/>
        <w:jc w:val="both"/>
        <w:rPr>
          <w:rFonts w:cstheme="minorHAnsi"/>
        </w:rPr>
      </w:pPr>
      <w:r w:rsidRPr="00DB6DBE">
        <w:rPr>
          <w:rFonts w:cstheme="minorHAnsi"/>
          <w:color w:val="222222"/>
          <w:shd w:val="clear" w:color="auto" w:fill="FFFFFF"/>
        </w:rPr>
        <w:t>Brouyère, S., Dassargues, A., &amp; Hallet, V. (2004). Migration of contaminants through the unsaturated zone overlying the Hesbaye chalky aquifer in Belgium: a field investigation. </w:t>
      </w:r>
      <w:r w:rsidRPr="00DB6DBE">
        <w:rPr>
          <w:rFonts w:cstheme="minorHAnsi"/>
          <w:i/>
          <w:iCs/>
          <w:color w:val="222222"/>
          <w:shd w:val="clear" w:color="auto" w:fill="FFFFFF"/>
        </w:rPr>
        <w:t>Journal of Contaminant Hydrology</w:t>
      </w:r>
      <w:r w:rsidRPr="00DB6DBE">
        <w:rPr>
          <w:rFonts w:cstheme="minorHAnsi"/>
          <w:color w:val="222222"/>
          <w:shd w:val="clear" w:color="auto" w:fill="FFFFFF"/>
        </w:rPr>
        <w:t>, </w:t>
      </w:r>
      <w:r w:rsidRPr="00DB6DBE">
        <w:rPr>
          <w:rFonts w:cstheme="minorHAnsi"/>
          <w:i/>
          <w:iCs/>
          <w:color w:val="222222"/>
          <w:shd w:val="clear" w:color="auto" w:fill="FFFFFF"/>
        </w:rPr>
        <w:t>72</w:t>
      </w:r>
      <w:r w:rsidRPr="00DB6DBE">
        <w:rPr>
          <w:rFonts w:cstheme="minorHAnsi"/>
          <w:color w:val="222222"/>
          <w:shd w:val="clear" w:color="auto" w:fill="FFFFFF"/>
        </w:rPr>
        <w:t>(1-4), 135-164.</w:t>
      </w:r>
      <w:r w:rsidR="009741B3" w:rsidRPr="00DB6DBE">
        <w:rPr>
          <w:rFonts w:cstheme="minorHAnsi"/>
        </w:rPr>
        <w:t xml:space="preserve"> https://doi.org/10.1016/j.jconhyd.2003.10.009.</w:t>
      </w:r>
    </w:p>
    <w:p w14:paraId="0FE9BB3F" w14:textId="14C9C66B" w:rsidR="009741B3" w:rsidRPr="00DB6DBE" w:rsidRDefault="00191803" w:rsidP="00DB6DBE">
      <w:pPr>
        <w:pStyle w:val="Bibliographie"/>
        <w:jc w:val="both"/>
        <w:rPr>
          <w:lang w:val="fr-BE"/>
        </w:rPr>
      </w:pPr>
      <w:r w:rsidRPr="008A080D">
        <w:t xml:space="preserve">Burant, A., Selbig, W., Furlong, E. T., &amp; Higgins, C. P. (2018). Trace organic contaminants in urban runoff: Associations with urban land-use. </w:t>
      </w:r>
      <w:r w:rsidRPr="008A080D">
        <w:rPr>
          <w:lang w:val="fr-BE"/>
        </w:rPr>
        <w:t>Environmental pollution, 242, 2068-2077. https://doi.org/10.1016/j.envpol.2018.06.066.</w:t>
      </w:r>
    </w:p>
    <w:p w14:paraId="14C12ABE" w14:textId="682D0724" w:rsidR="009741B3" w:rsidRPr="00A14A82" w:rsidRDefault="00A14A82" w:rsidP="00DB6DBE">
      <w:pPr>
        <w:pStyle w:val="Bibliographie"/>
        <w:jc w:val="both"/>
      </w:pPr>
      <w:r w:rsidRPr="00A14A82">
        <w:rPr>
          <w:lang w:val="fr-BE"/>
        </w:rPr>
        <w:t xml:space="preserve">Cabrol, L., Quemeneur, M., &amp; Misson, B. (2017). </w:t>
      </w:r>
      <w:r w:rsidRPr="00DB6DBE">
        <w:t>Inhibitory effects of sodium azide on microbial growth in experimental resuspension of marine sediment. Journal of microbiological methods, 133, 62-65.</w:t>
      </w:r>
      <w:r w:rsidR="009741B3" w:rsidRPr="00A14A82">
        <w:t xml:space="preserve"> https://doi.org/10.1016/j.mimet.2016.12.021.</w:t>
      </w:r>
    </w:p>
    <w:p w14:paraId="5191801B" w14:textId="63EB4F2A" w:rsidR="009741B3" w:rsidRDefault="00A14A82" w:rsidP="00DB6DBE">
      <w:pPr>
        <w:pStyle w:val="Bibliographie"/>
        <w:jc w:val="both"/>
      </w:pPr>
      <w:r w:rsidRPr="00DB6DBE">
        <w:lastRenderedPageBreak/>
        <w:t xml:space="preserve">Cancilla, D. A., Baird, J. C., Geis, S. W., &amp; Corsi, S. R. (2003). </w:t>
      </w:r>
      <w:r w:rsidRPr="00A14A82">
        <w:t>Studies of the environmental fate and effect of aircraft deicing fluids: Detection of 5‐methyl‐1H‐benzotriazole in the fathead minnow (Pimephales promelas). Environmental Toxicology and Chemistry, 22(1), 134-140.</w:t>
      </w:r>
      <w:r w:rsidR="009741B3">
        <w:t xml:space="preserve"> https://doi.org/10.1002/etc.5620220117.</w:t>
      </w:r>
    </w:p>
    <w:p w14:paraId="55EC77C7" w14:textId="087867CB" w:rsidR="009741B3" w:rsidRDefault="00191803" w:rsidP="00DB6DBE">
      <w:pPr>
        <w:pStyle w:val="Bibliographie"/>
        <w:jc w:val="both"/>
      </w:pPr>
      <w:r w:rsidRPr="00DB6DBE">
        <w:t xml:space="preserve">Cheng, H., Hu, E., &amp; Hu, Y. (2012). </w:t>
      </w:r>
      <w:r w:rsidRPr="008A080D">
        <w:t>Impact of mineral micropores on transport and fate of organic contaminants: A review. Journal of contaminant hydrology, 129, 80-90. https://doi.org/10.1016/j.jconhyd.2011.09.008.</w:t>
      </w:r>
    </w:p>
    <w:p w14:paraId="6BBC03AD" w14:textId="4DF67FE5" w:rsidR="009741B3" w:rsidRPr="00A14A82" w:rsidRDefault="00191803" w:rsidP="00DB6DBE">
      <w:pPr>
        <w:pStyle w:val="Bibliographie"/>
        <w:jc w:val="both"/>
      </w:pPr>
      <w:r w:rsidRPr="00DB6DBE">
        <w:t xml:space="preserve">Dai, M., Yan, N., &amp; Brusseau, M. L. (2023). </w:t>
      </w:r>
      <w:r w:rsidRPr="008A080D">
        <w:t>Potential impact of bacteria on the transport of PFAS in porous media. Water research, 243, 120350. https://doi.org/10.1016/j.watres.2023.120350.</w:t>
      </w:r>
    </w:p>
    <w:p w14:paraId="26E603C1" w14:textId="25038CC0" w:rsidR="009741B3" w:rsidRPr="00DB6DBE" w:rsidRDefault="00A14A82" w:rsidP="00DB6DBE">
      <w:pPr>
        <w:pStyle w:val="Bibliographie"/>
        <w:jc w:val="both"/>
      </w:pPr>
      <w:r>
        <w:t>D</w:t>
      </w:r>
      <w:r w:rsidRPr="00DB6DBE">
        <w:t>e Wilt, A., He, Y., Sutton, N., Langenhoff, A., &amp; Rijnaarts, H. (2018). Sorption and biodegradation of six pharmaceutically active compounds under four different redox conditions. Chemosphere, 193, 811-819.</w:t>
      </w:r>
      <w:r w:rsidR="009741B3" w:rsidRPr="00DB6DBE">
        <w:t xml:space="preserve"> https://doi.org/10.1016/j.chemosphere.2017.11.084.</w:t>
      </w:r>
    </w:p>
    <w:p w14:paraId="612AB8FC" w14:textId="708CC2C6" w:rsidR="009741B3" w:rsidRPr="00191803" w:rsidRDefault="00191803" w:rsidP="00DB6DBE">
      <w:pPr>
        <w:pStyle w:val="Bibliographie"/>
        <w:jc w:val="both"/>
      </w:pPr>
      <w:r w:rsidRPr="008A080D">
        <w:t>Dillon, P., Stuyfzand, P., Grischek, T., Lluria, M., Pyne, R. D. G., Jain, R. C., ... &amp; Sapiano, M. (2019). Sixty years of global progress in managed aquifer recharge. Hydrogeology journal, 27(1), 1-30. https://doi.org/10.1007/s10040-018-1841-z.</w:t>
      </w:r>
    </w:p>
    <w:p w14:paraId="3F078C64" w14:textId="2C85F294" w:rsidR="009741B3" w:rsidRDefault="00191803" w:rsidP="00DB6DBE">
      <w:pPr>
        <w:pStyle w:val="Bibliographie"/>
        <w:jc w:val="both"/>
      </w:pPr>
      <w:r w:rsidRPr="008A080D">
        <w:t>Dillon, P., Fernández Escalante, E., Megdal, S. B., &amp; Massmann, G. (2020). Managed aquifer recharge for water resilience. Water, 12(7), 1846. https://doi.org/10.3390/w12071846</w:t>
      </w:r>
      <w:r>
        <w:t>.</w:t>
      </w:r>
    </w:p>
    <w:p w14:paraId="1FA1A0F0" w14:textId="3EFABB6D" w:rsidR="009741B3" w:rsidRDefault="00191803" w:rsidP="00DB6DBE">
      <w:pPr>
        <w:pStyle w:val="Bibliographie"/>
        <w:jc w:val="both"/>
      </w:pPr>
      <w:r w:rsidRPr="008A080D">
        <w:t>Doherty, J. (2010) PEST, Model-Independent Parameter Estimation—User Manual. Brisbane: Watermark Numerical Computing (5th Edition, with Slight Additions).</w:t>
      </w:r>
    </w:p>
    <w:p w14:paraId="16A7CB0A" w14:textId="397088E2" w:rsidR="009741B3" w:rsidRPr="00191803" w:rsidRDefault="00191803" w:rsidP="00DB6DBE">
      <w:pPr>
        <w:pStyle w:val="Bibliographie"/>
        <w:jc w:val="both"/>
      </w:pPr>
      <w:r w:rsidRPr="00DB6DBE">
        <w:t xml:space="preserve">Dulsat-Masvidal, M., Ciudad, C., Infante, O., Mateo, R., &amp; Lacorte, S. (2022). </w:t>
      </w:r>
      <w:r w:rsidRPr="008A080D">
        <w:t>Pilot monitoring scheme of water pollutants in Important Bird and Biodiversity Areas. Ecotoxicology and environmental safety, 237, 113562. https://doi.org/10.1016/j.ecoenv.2022.113562.</w:t>
      </w:r>
    </w:p>
    <w:p w14:paraId="3E250CC9" w14:textId="57A08A0F" w:rsidR="009741B3" w:rsidRDefault="00191803" w:rsidP="00DB6DBE">
      <w:pPr>
        <w:pStyle w:val="Bibliographie"/>
        <w:jc w:val="both"/>
      </w:pPr>
      <w:r w:rsidRPr="008A080D">
        <w:t xml:space="preserve">Ekdal, A., Okutman Tas, D., Zengin, G. E., Onay, I. B., Olmez Hanci, T., Orhon, D., &amp; Cokgor, E. (2022). Co-metabolism of nonylphenol ethoxylate in sequencing batch reactor under aerobic conditions. </w:t>
      </w:r>
      <w:r w:rsidRPr="00DB6DBE">
        <w:t>Biodegradation, 33(2), 181-194. https://doi.org/10.1007/s10532-022-09974-1</w:t>
      </w:r>
    </w:p>
    <w:p w14:paraId="2E683FCE" w14:textId="7001E613" w:rsidR="009741B3" w:rsidRPr="00191803" w:rsidRDefault="00191803" w:rsidP="00DB6DBE">
      <w:pPr>
        <w:pStyle w:val="Bibliographie"/>
        <w:jc w:val="both"/>
      </w:pPr>
      <w:r w:rsidRPr="00DB6DBE">
        <w:t xml:space="preserve">Fabregat-Palau, J., Vidal, M., &amp; Rigol, A. (2022). </w:t>
      </w:r>
      <w:r w:rsidRPr="008A080D">
        <w:t>Examining sorption of perfluoroalkyl substances (PFAS) in biochars and other carbon-rich materials. Chemosphere, 302, 134733. https://doi.org/10.1016/j.chemosphere.2022.134733.</w:t>
      </w:r>
    </w:p>
    <w:p w14:paraId="706491EF" w14:textId="275A8464" w:rsidR="009741B3" w:rsidRDefault="00191803" w:rsidP="00DB6DBE">
      <w:pPr>
        <w:pStyle w:val="Bibliographie"/>
        <w:jc w:val="both"/>
      </w:pPr>
      <w:r w:rsidRPr="008A080D">
        <w:t>Fairbairn, D. J., Elliott, S. M., Kiesling, R. L., Schoenfuss, H. L., Ferrey, M. L., &amp; Westerhoff, B. M. (2018). Contaminants of emerging concern in urban stormwater: Spatiotemporal patterns and removal by iron-enhanced sand filters (IESFs). Water Research, 145, 332-345. https://doi.org/10.1016/j.watres.2018.08.020.</w:t>
      </w:r>
    </w:p>
    <w:p w14:paraId="5D3F5E55" w14:textId="10098791" w:rsidR="009741B3" w:rsidRDefault="00A14A82" w:rsidP="00DB6DBE">
      <w:pPr>
        <w:pStyle w:val="Bibliographie"/>
        <w:jc w:val="both"/>
      </w:pPr>
      <w:r w:rsidRPr="00A14A82">
        <w:t>Flemming, H. C. (1995). Sorption sites in biofilms. Water Science and Technology, 32(8), 27.</w:t>
      </w:r>
      <w:r>
        <w:t xml:space="preserve"> </w:t>
      </w:r>
      <w:r w:rsidR="009741B3">
        <w:t>https://doi.org/10.2166/wst.1995.0256.</w:t>
      </w:r>
    </w:p>
    <w:p w14:paraId="6312BAEB" w14:textId="315832DF" w:rsidR="009741B3" w:rsidRPr="00191803" w:rsidRDefault="00191803" w:rsidP="00DB6DBE">
      <w:pPr>
        <w:pStyle w:val="Bibliographie"/>
        <w:jc w:val="both"/>
      </w:pPr>
      <w:r w:rsidRPr="008A080D">
        <w:t>Gasperi, J., Sebastian, C., Ruban, V., Delamain, M., Percot, S., Wiest, L., ... &amp; Gromaire, M. C. (2014). Micropollutants in urban stormwater: occurrence, concentrations, and atmospheric contributions for a wide range of contaminants in three French catchments. Environmental Science and Pollution Research, 21(8), 5267-5281. https://doi.org/10.1007/s11356-013-2396-0.</w:t>
      </w:r>
    </w:p>
    <w:p w14:paraId="6099B39E" w14:textId="6720334F" w:rsidR="009741B3" w:rsidRPr="00191803" w:rsidRDefault="00191803" w:rsidP="00DB6DBE">
      <w:pPr>
        <w:pStyle w:val="Bibliographie"/>
        <w:jc w:val="both"/>
      </w:pPr>
      <w:r w:rsidRPr="00DB6DBE">
        <w:lastRenderedPageBreak/>
        <w:t xml:space="preserve">Gasperi, J., Le Roux, J., Deshayes, S., Ayrault, S., Bordier, L., Boudahmane, L., ... </w:t>
      </w:r>
      <w:r w:rsidRPr="008A080D">
        <w:t>&amp; Gromaire, M. C. (2022). Micropollutants in urban runoff from traffic areas: target and non-target screening on four contrasted sites. Water, 14(3), 394. https://doi.org/10.3390/w14030394.</w:t>
      </w:r>
    </w:p>
    <w:p w14:paraId="038CA3F8" w14:textId="76DEC8E0" w:rsidR="009741B3" w:rsidRPr="00191803" w:rsidRDefault="00191803" w:rsidP="00DB6DBE">
      <w:pPr>
        <w:pStyle w:val="Bibliographie"/>
        <w:jc w:val="both"/>
      </w:pPr>
      <w:r w:rsidRPr="008A080D">
        <w:t>Goderniaux, P., Orban, P., Rorive, A., Brouyère, S., &amp; Dassargues, A. (2023). Study of historical groundwater level changes in two Belgian chalk aquifers in the context of climate change impacts. https://doi.org/10.1144/SP517-2020-212.</w:t>
      </w:r>
    </w:p>
    <w:p w14:paraId="457B2654" w14:textId="5C2973C7" w:rsidR="009741B3" w:rsidRPr="00DB6DBE" w:rsidRDefault="00A14A82" w:rsidP="00DB6DBE">
      <w:pPr>
        <w:pStyle w:val="Bibliographie"/>
        <w:jc w:val="both"/>
      </w:pPr>
      <w:r w:rsidRPr="00DB6DBE">
        <w:t>Gorski, G., Fisher, A. T., Beganskas, S., Weir, W. B., Redford, K., Schmidt, C., &amp; Saltikov, C. (2019). Field and laboratory studies linking hydrologic, geochemical, and microbiological processes and enhanced denitrification during infiltration for managed recharge. Environmental science &amp; technology, 53(16), 9491-9501.</w:t>
      </w:r>
      <w:r w:rsidR="009741B3" w:rsidRPr="00DB6DBE">
        <w:t xml:space="preserve"> https://doi.org/10.1021/acs.est.9b01191.</w:t>
      </w:r>
    </w:p>
    <w:p w14:paraId="207A3810" w14:textId="4A5A1520" w:rsidR="009741B3" w:rsidRPr="00A14A82" w:rsidRDefault="00191803" w:rsidP="00DB6DBE">
      <w:pPr>
        <w:pStyle w:val="Bibliographie"/>
        <w:jc w:val="both"/>
      </w:pPr>
      <w:r w:rsidRPr="008A080D">
        <w:t>Green, C. T., Puckett, L. J., Böhlke, J. K., Bekins, B. A., Phillips, S. P., Kauffman, L. J., ... &amp; Johnson, H. M. (2008). Limited occurrence of denitrification in four shallow aquifers in agricultural areas of the United States. Journal of environmental quality, 37(3), 994-1009. https://doi.org/10.2134/jeq2006.0419.</w:t>
      </w:r>
    </w:p>
    <w:p w14:paraId="0BC58599" w14:textId="0276E7E5" w:rsidR="009741B3" w:rsidRPr="00A14A82" w:rsidRDefault="00A14A82" w:rsidP="00DB6DBE">
      <w:pPr>
        <w:pStyle w:val="Bibliographie"/>
        <w:jc w:val="both"/>
      </w:pPr>
      <w:r w:rsidRPr="00DB6DBE">
        <w:t>Gulde, R., Helbling, D. E., Scheidegger, A., &amp; Fenner, K. (2014). pH-dependent biotransformation of ionizable organic micropollutants in activated sludge. Environmental science &amp; technology, 48(23), 13760-13768.</w:t>
      </w:r>
      <w:r w:rsidR="009741B3" w:rsidRPr="00A14A82">
        <w:t xml:space="preserve"> https://doi.org/10.1021/es5037139.</w:t>
      </w:r>
    </w:p>
    <w:p w14:paraId="33A2F282" w14:textId="48604DDC" w:rsidR="009741B3" w:rsidRPr="00DB6DBE" w:rsidRDefault="00191803" w:rsidP="00DB6DBE">
      <w:pPr>
        <w:pStyle w:val="Bibliographie"/>
        <w:jc w:val="both"/>
      </w:pPr>
      <w:r w:rsidRPr="008A080D">
        <w:t xml:space="preserve">Hakoun, V., Orban, P., Dassargues, A., &amp; Brouyère, S. (2017). Factors controlling spatial and temporal patterns of multiple pesticide compounds in groundwater (Hesbaye chalk aquifer, Belgium). </w:t>
      </w:r>
      <w:r w:rsidRPr="00DB6DBE">
        <w:t>Environmental Pollution, 223, 185-199. https://doi.org/10.1016/j.envpol.2017.01.012.</w:t>
      </w:r>
    </w:p>
    <w:p w14:paraId="0D3E3A59" w14:textId="709B5077" w:rsidR="009741B3" w:rsidRPr="00191803" w:rsidRDefault="00191803" w:rsidP="00DB6DBE">
      <w:pPr>
        <w:pStyle w:val="Bibliographie"/>
        <w:jc w:val="both"/>
      </w:pPr>
      <w:r w:rsidRPr="008A080D">
        <w:t>Han, S., Slater, L., Wilby, R. L., &amp; Faulkner, D. (2022). Contribution of urbanisation to non-stationary river flow in the UK. Journal of Hydrology, 613, 128417. https://doi.org/10.1016/j.jhydrol.2022.128417.</w:t>
      </w:r>
    </w:p>
    <w:p w14:paraId="275128FF" w14:textId="0FEBDABC" w:rsidR="009741B3" w:rsidRPr="00191803" w:rsidRDefault="00191803" w:rsidP="00DB6DBE">
      <w:pPr>
        <w:pStyle w:val="Bibliographie"/>
        <w:jc w:val="both"/>
      </w:pPr>
      <w:r w:rsidRPr="008A080D">
        <w:t>Hart, D. S., Davis, L. C., Erickson, L. E., &amp; Callender, T. M. (2004). Sorption and partitioning parameters of benzotriazole compounds. Microchemical Journal, 77(1), 9-17. https://doi.org/10.1016/j.microc.2003.08.005.</w:t>
      </w:r>
    </w:p>
    <w:p w14:paraId="6F9E8F1B" w14:textId="6C1924D6" w:rsidR="009741B3" w:rsidRPr="00191803" w:rsidRDefault="00191803" w:rsidP="00DB6DBE">
      <w:pPr>
        <w:pStyle w:val="Bibliographie"/>
        <w:jc w:val="both"/>
      </w:pPr>
      <w:r w:rsidRPr="008A080D">
        <w:rPr>
          <w:lang w:val="es-ES"/>
        </w:rPr>
        <w:t xml:space="preserve">Hubert, M., Arp, H. P. H., Hansen, M. C., Castro, G., Meyn, T., Asimakopoulos, A. G., &amp; Hale, S. E. (2023). </w:t>
      </w:r>
      <w:r w:rsidRPr="008A080D">
        <w:t>Influence of grain size, organic carbon and organic matter residue content on the sorption of per-and polyfluoroalkyl substances in aqueous film forming foam contaminated soils-Implications for remediation using soil washing. Science of The Total Environment, 875, 162668. https://doi.org/10.1016/j.scitotenv.2023.162668.</w:t>
      </w:r>
    </w:p>
    <w:p w14:paraId="30E50229" w14:textId="3166A02F" w:rsidR="009741B3" w:rsidRDefault="00191803" w:rsidP="00DB6DBE">
      <w:pPr>
        <w:pStyle w:val="Bibliographie"/>
        <w:jc w:val="both"/>
      </w:pPr>
      <w:r w:rsidRPr="008A080D">
        <w:t>ITUMOH, E. J., Data, S., Chen, J., Kah, M., Padhye, L. P., &amp; Leitao, E. (2024). Addressing the persistence of per-and poly-fluoroalkyl substances (PFAS): current challenges and potential solutions. RSC Sustainability. https://doi.org/10.1039/D4SU00152D.</w:t>
      </w:r>
    </w:p>
    <w:p w14:paraId="5C90A267" w14:textId="001953CF" w:rsidR="009741B3" w:rsidRPr="00191803" w:rsidRDefault="00191803" w:rsidP="00DB6DBE">
      <w:pPr>
        <w:pStyle w:val="Bibliographie"/>
        <w:jc w:val="both"/>
      </w:pPr>
      <w:r w:rsidRPr="008A080D">
        <w:t>Jaiyeola, A. T. (2017). The management and treatment of airport rainwater in a water-scarce environment. International Journal of Environmental Science and Technology, 14(2), 421-434. https://doi.org/10.1007/s13762-016-1122-0.</w:t>
      </w:r>
    </w:p>
    <w:p w14:paraId="33B33C82" w14:textId="7560EA9D" w:rsidR="009741B3" w:rsidRPr="00191803" w:rsidRDefault="00191803" w:rsidP="00DB6DBE">
      <w:pPr>
        <w:pStyle w:val="Bibliographie"/>
        <w:jc w:val="both"/>
      </w:pPr>
      <w:r w:rsidRPr="008A080D">
        <w:t>Jia, Y., Ehlert, L., Wahlskog, C., Lundberg, A., &amp; Maurice, C. (2018). Water quality of stormwater generated from an airport in a cold climate, function of an infiltration pond, and sampling strategy with limited resources. Environmental Monitoring and Assessment, 190(1), 4. https://doi.org/10.1007/s10661-017-6375-7.</w:t>
      </w:r>
    </w:p>
    <w:p w14:paraId="7E252110" w14:textId="243DC2E7" w:rsidR="009741B3" w:rsidRPr="000D34D9" w:rsidRDefault="00191803" w:rsidP="00DB6DBE">
      <w:pPr>
        <w:pStyle w:val="Bibliographie"/>
        <w:jc w:val="both"/>
      </w:pPr>
      <w:r w:rsidRPr="00DB6DBE">
        <w:lastRenderedPageBreak/>
        <w:t xml:space="preserve">Kookana, R. S., Navarro, D. A., Kabiri, S., &amp; McLaughlin, M. J. (2022). </w:t>
      </w:r>
      <w:r w:rsidRPr="008A080D">
        <w:t>Key properties governing sorption–desorption behaviour of poly-and perfluoroalkyl substances in saturated and unsaturated soils: a review. Soil Research, 61(2), 107-125. https://doi.org/10.1071/SR22183.</w:t>
      </w:r>
    </w:p>
    <w:p w14:paraId="71725AD8" w14:textId="08D1D508" w:rsidR="009741B3" w:rsidRPr="000D34D9" w:rsidRDefault="000D34D9" w:rsidP="00DB6DBE">
      <w:pPr>
        <w:pStyle w:val="Bibliographie"/>
        <w:jc w:val="both"/>
      </w:pPr>
      <w:r w:rsidRPr="008A080D">
        <w:t xml:space="preserve">Kret, E., Kiecak, A., Malina, G., Nijenhuis, I., &amp; Postawa, A. (2015). Identification of TCE and PCE sorption and biodegradation parameters in a sandy aquifer for fate and transport modelling: batch and column studies. </w:t>
      </w:r>
      <w:r w:rsidRPr="00C764E9">
        <w:t>Environmental Science and Pollution Research, 22(13), 9877-9888. https://doi.org/10.1007/s11356-015-4156-9.</w:t>
      </w:r>
    </w:p>
    <w:p w14:paraId="4B14105F" w14:textId="0D088646" w:rsidR="009741B3" w:rsidRPr="000D34D9" w:rsidRDefault="000D34D9" w:rsidP="00DB6DBE">
      <w:pPr>
        <w:pStyle w:val="Bibliographie"/>
        <w:jc w:val="both"/>
      </w:pPr>
      <w:r w:rsidRPr="00DB6DBE">
        <w:t xml:space="preserve">Lamprea, K., Bressy, A., Mirande-Bret, C., Caupos, E., &amp; Gromaire, M. C. (2018). </w:t>
      </w:r>
      <w:r w:rsidRPr="00C764E9">
        <w:t>Alkylphenol and bisphenol A contamination of urban runoff: an evaluation of the emission potentials of various construction materials and automotive supplies. Environmental Science and Pollution Research, 25(22), 21887-21900. https://doi.org/10.1007/s11356-018-2272-z.</w:t>
      </w:r>
    </w:p>
    <w:p w14:paraId="5BC4E8BF" w14:textId="564A3E5D" w:rsidR="009741B3" w:rsidRPr="00DB6DBE" w:rsidRDefault="000D34D9" w:rsidP="00DB6DBE">
      <w:pPr>
        <w:pStyle w:val="Bibliographie"/>
        <w:jc w:val="both"/>
        <w:rPr>
          <w:lang w:val="fr-BE"/>
        </w:rPr>
      </w:pPr>
      <w:r w:rsidRPr="00C764E9">
        <w:t xml:space="preserve">Lapworth, D. J., Baran, N., Stuart, M. E., &amp; Ward, R. S. (2012). Emerging organic contaminants in groundwater: a review of sources, fate and occurrence. </w:t>
      </w:r>
      <w:r w:rsidRPr="00DB6DBE">
        <w:rPr>
          <w:lang w:val="fr-BE"/>
        </w:rPr>
        <w:t>Environmental pollution, 163, 287-303. https://doi.org/10.1016/j.envpol.2011.12.034.</w:t>
      </w:r>
    </w:p>
    <w:p w14:paraId="2C21D83B" w14:textId="5AE8547A" w:rsidR="009741B3" w:rsidRDefault="000D34D9" w:rsidP="00DB6DBE">
      <w:pPr>
        <w:pStyle w:val="Bibliographie"/>
        <w:jc w:val="both"/>
      </w:pPr>
      <w:r w:rsidRPr="00DB6DBE">
        <w:rPr>
          <w:lang w:val="fr-BE"/>
        </w:rPr>
        <w:t xml:space="preserve">Launay, M. A., Dittmer, U., &amp; Steinmetz, H. (2016). </w:t>
      </w:r>
      <w:r w:rsidRPr="00C764E9">
        <w:t>Organic micropollutants discharged by combined sewer overflows–characterisation of pollutant sources and stormwater-related processes. Water research, 104, 82-92. https://doi.org/10.1016/j.watres.2016.07.068.</w:t>
      </w:r>
    </w:p>
    <w:p w14:paraId="2971180A" w14:textId="5B1D05C5" w:rsidR="009741B3" w:rsidRPr="004A7EF7" w:rsidRDefault="004A7EF7" w:rsidP="00DB6DBE">
      <w:pPr>
        <w:pStyle w:val="Bibliographie"/>
        <w:jc w:val="both"/>
      </w:pPr>
      <w:r w:rsidRPr="00DB6DBE">
        <w:t xml:space="preserve">Lichstein, H. C., &amp; Soule, M. H. (1944). Studies of the effect of sodium azide on microbic growth and respiration: I. The action of sodium azide on microbic growth. Journal of bacteriology, 47(3), 221-230. </w:t>
      </w:r>
      <w:r w:rsidR="009741B3" w:rsidRPr="004A7EF7">
        <w:t>https://doi.org/10.1128/jb.47.3.221-230.1944.</w:t>
      </w:r>
    </w:p>
    <w:p w14:paraId="72B411D8" w14:textId="3B38C97A" w:rsidR="009741B3" w:rsidRDefault="000D34D9" w:rsidP="00DB6DBE">
      <w:pPr>
        <w:pStyle w:val="Bibliographie"/>
        <w:jc w:val="both"/>
      </w:pPr>
      <w:r w:rsidRPr="00C764E9">
        <w:t>Liu, M., Munoz, G., Vo Duy, S., Sauvé, S., &amp; Liu, J. (2021). Per-and polyfluoroalkyl substances in contaminated soil and groundwater at airports: a Canadian case study. Environmental science &amp; technology, 56(2), 885-895. https://doi.org/10.1021/acs.est.1c04798.</w:t>
      </w:r>
    </w:p>
    <w:p w14:paraId="011D7FFD" w14:textId="45259514" w:rsidR="009741B3" w:rsidRPr="00DB6DBE" w:rsidRDefault="004A7EF7" w:rsidP="00DB6DBE">
      <w:pPr>
        <w:pStyle w:val="Bibliographie"/>
        <w:jc w:val="both"/>
      </w:pPr>
      <w:r w:rsidRPr="00DB6DBE">
        <w:t>Martín-Rodríguez, A. J. (2023). Respiration-induced biofilm formation as a driver for bacterial niche colonization. Trends in Microbiology, 31(2), 120-134.</w:t>
      </w:r>
      <w:r w:rsidR="009741B3" w:rsidRPr="00DB6DBE">
        <w:t xml:space="preserve"> https://doi.org/10.1016/j.tim.2022.08.007.</w:t>
      </w:r>
    </w:p>
    <w:p w14:paraId="63C3AB67" w14:textId="7F9D4DFD" w:rsidR="009741B3" w:rsidRPr="00DB6DBE" w:rsidRDefault="000D34D9" w:rsidP="00DB6DBE">
      <w:pPr>
        <w:pStyle w:val="Bibliographie"/>
        <w:jc w:val="both"/>
        <w:rPr>
          <w:lang w:val="fr-BE"/>
        </w:rPr>
      </w:pPr>
      <w:r w:rsidRPr="00C764E9">
        <w:t xml:space="preserve">Masoner, J. R., Kolpin, D. W., Cozzarelli, I. M., Barber, L. B., Burden, D. S., Foreman, W. T., ... &amp; Bradley, P. M. (2019). Urban stormwater: An overlooked pathway of extensive mixed contaminants to surface and groundwaters in the United States. </w:t>
      </w:r>
      <w:r w:rsidRPr="00DB6DBE">
        <w:rPr>
          <w:lang w:val="fr-BE"/>
        </w:rPr>
        <w:t>Environmental science &amp; technology, 53(17), 10070-10081. https://doi.org/10.1021/acs.est.9b02867.</w:t>
      </w:r>
    </w:p>
    <w:p w14:paraId="64938BD9" w14:textId="7F780F78" w:rsidR="009741B3" w:rsidRPr="004A7EF7" w:rsidRDefault="000D34D9" w:rsidP="00DB6DBE">
      <w:pPr>
        <w:pStyle w:val="Bibliographie"/>
        <w:jc w:val="both"/>
      </w:pPr>
      <w:r w:rsidRPr="00DB6DBE">
        <w:rPr>
          <w:lang w:val="fr-BE"/>
        </w:rPr>
        <w:t xml:space="preserve">Mejia-Avendaño, S., Zhi, Y., Yan, B., &amp; Liu, J. (2020). </w:t>
      </w:r>
      <w:r w:rsidRPr="00C764E9">
        <w:t>Sorption of polyfluoroalkyl surfactants on surface soils: Effect of molecular structures, soil properties, and solution chemistry. Environmental science &amp; technology, 54(3), 1513-1521. https://doi.org/10.1021/acs.est.9b04989.</w:t>
      </w:r>
    </w:p>
    <w:p w14:paraId="0B68EBB0" w14:textId="6B8C38FF" w:rsidR="009741B3" w:rsidRPr="00DB6DBE" w:rsidRDefault="004A7EF7" w:rsidP="00DB6DBE">
      <w:pPr>
        <w:pStyle w:val="Bibliographie"/>
        <w:jc w:val="both"/>
      </w:pPr>
      <w:r w:rsidRPr="00DB6DBE">
        <w:t>Milinovic, J., Lacorte, S., Vidal, M., &amp; Rigol, A. (2015). Sorption behaviour of perfluoroalkyl substances in soils. Science of the Total Environment, 511, 63-71.</w:t>
      </w:r>
      <w:r>
        <w:t xml:space="preserve"> </w:t>
      </w:r>
      <w:r w:rsidR="009741B3" w:rsidRPr="00DB6DBE">
        <w:t>https://doi.org/10.1016/j.scitotenv.2014.12.017.</w:t>
      </w:r>
    </w:p>
    <w:p w14:paraId="532668F9" w14:textId="4E6A340F" w:rsidR="009741B3" w:rsidRPr="004A7EF7" w:rsidRDefault="004A7EF7" w:rsidP="00DB6DBE">
      <w:pPr>
        <w:pStyle w:val="Bibliographie"/>
        <w:jc w:val="both"/>
      </w:pPr>
      <w:r w:rsidRPr="00DB6DBE">
        <w:rPr>
          <w:lang w:val="es-ES"/>
        </w:rPr>
        <w:t xml:space="preserve">Milinovic, J., Lacorte, S., Rigol, A., &amp; Vidal, M. (2016). </w:t>
      </w:r>
      <w:r w:rsidRPr="004A7EF7">
        <w:t>Sorption of perfluoroalkyl substances in sewage sludge. Environmental Science and Pollution Research, 23(9), 8339-8348.</w:t>
      </w:r>
      <w:r w:rsidR="009741B3" w:rsidRPr="004A7EF7">
        <w:t xml:space="preserve"> https://doi.org/10.1007/s11356-015-6019-9.</w:t>
      </w:r>
    </w:p>
    <w:p w14:paraId="0395EE7B" w14:textId="0BC98671" w:rsidR="009741B3" w:rsidRDefault="000D34D9" w:rsidP="00DB6DBE">
      <w:pPr>
        <w:pStyle w:val="Bibliographie"/>
        <w:jc w:val="both"/>
      </w:pPr>
      <w:r w:rsidRPr="00C764E9">
        <w:t xml:space="preserve">Milley, S. A., Koch, I., Fortin, P., Archer, J., Reynolds, D., &amp; Weber, K. P. (2018). Estimating the number of airports potentially contaminated with perfluoroalkyl and polyfluoroalkyl substances from aqueous </w:t>
      </w:r>
      <w:r w:rsidRPr="00C764E9">
        <w:lastRenderedPageBreak/>
        <w:t>film forming foam: A Canadian example. Journal of environmental management, 222, 122-131. https://doi.org/10.1016/j.jenvman.2018.05.028.</w:t>
      </w:r>
    </w:p>
    <w:p w14:paraId="29EA85E1" w14:textId="47E111B3" w:rsidR="009741B3" w:rsidRPr="00DB6DBE" w:rsidRDefault="000D34D9" w:rsidP="00DB6DBE">
      <w:pPr>
        <w:pStyle w:val="Bibliographie"/>
        <w:jc w:val="both"/>
        <w:rPr>
          <w:lang w:val="es-ES"/>
        </w:rPr>
      </w:pPr>
      <w:r w:rsidRPr="00C764E9">
        <w:t xml:space="preserve">Mumberg, T., Ahrens, L., &amp; Wanner, P. (2024). Managed aquifer recharge as a potential pathway of contaminants of emerging concern into groundwater systems–A systematic review. </w:t>
      </w:r>
      <w:r w:rsidRPr="00DB6DBE">
        <w:rPr>
          <w:lang w:val="es-ES"/>
        </w:rPr>
        <w:t>Chemosphere, 364, 143030. https://doi.org/10.1016/j.chemosphere.2024.143030.</w:t>
      </w:r>
    </w:p>
    <w:p w14:paraId="251ECE20" w14:textId="59D64719" w:rsidR="009741B3" w:rsidRPr="00DB6DBE" w:rsidRDefault="004A7EF7" w:rsidP="00DB6DBE">
      <w:pPr>
        <w:pStyle w:val="Bibliographie"/>
        <w:jc w:val="both"/>
      </w:pPr>
      <w:r w:rsidRPr="00DB6DBE">
        <w:rPr>
          <w:lang w:val="es-ES"/>
        </w:rPr>
        <w:t xml:space="preserve">Muñoz-Vega, E., Schulz, S., Rodriguez-Escales, P., Behle, V., Spada, L., Vogel, A. L., ... </w:t>
      </w:r>
      <w:r w:rsidRPr="00DB6DBE">
        <w:t>&amp; Schüth, C. (2023). Role of soil biofilms in clogging and fate of pharmaceuticals: a laboratory-scale column experiment. Environmental science &amp; technology, 57(33), 12398-12410.</w:t>
      </w:r>
      <w:r w:rsidR="009741B3" w:rsidRPr="00DB6DBE">
        <w:t xml:space="preserve"> https://doi.org/10.1021/acs.est.3c02034.</w:t>
      </w:r>
    </w:p>
    <w:p w14:paraId="29D65CBF" w14:textId="5FCABD9E" w:rsidR="009741B3" w:rsidRDefault="000D34D9" w:rsidP="00DB6DBE">
      <w:pPr>
        <w:pStyle w:val="Bibliographie"/>
        <w:jc w:val="both"/>
      </w:pPr>
      <w:r w:rsidRPr="00C764E9">
        <w:t>Mutzner, L., Zhang, K., Luthy, R. G., Arp, H. P. H., &amp; Spahr, S. (2023). Urban stormwater capture for water supply: look out for persistent, mobile and toxic substances. Environmental Science: Water Research &amp; Technology, 9(12), 3094-3102. https://doi.org/10.1039/D3EW00160A.</w:t>
      </w:r>
    </w:p>
    <w:p w14:paraId="1FB0CAEE" w14:textId="2295AC2E" w:rsidR="009741B3" w:rsidRDefault="000D34D9" w:rsidP="00DB6DBE">
      <w:pPr>
        <w:pStyle w:val="Bibliographie"/>
        <w:jc w:val="both"/>
      </w:pPr>
      <w:r w:rsidRPr="00C764E9">
        <w:t>Olds, H. T., Corsi, S. R., &amp; Rutter, T. D. (2021). Benzotriazole concentrations in airport runoff are reduced following changes in airport deicer formulations. Integrated Environmental Assessment and Management, 18(1), 245-257. https://doi.org/10.1002/ieam.4468.</w:t>
      </w:r>
    </w:p>
    <w:p w14:paraId="5C65C122" w14:textId="7A7EC299" w:rsidR="009741B3" w:rsidRDefault="000D34D9" w:rsidP="00DB6DBE">
      <w:pPr>
        <w:pStyle w:val="Bibliographie"/>
        <w:jc w:val="both"/>
      </w:pPr>
      <w:r w:rsidRPr="00C764E9">
        <w:t>Parkhurst, D.L. and Appelo, C.A.J. (2013) Description of input and examples for PHREEQC version 3—A computer program for speciation, batch-reaction, one-dimensional transport, and inverse geochemical calculations. U.S. Geological Survey Techniques and Methods.</w:t>
      </w:r>
    </w:p>
    <w:p w14:paraId="46AF29CA" w14:textId="1F0485B4" w:rsidR="009741B3" w:rsidRPr="00DB6DBE" w:rsidRDefault="000D34D9" w:rsidP="00DB6DBE">
      <w:pPr>
        <w:pStyle w:val="Bibliographie"/>
        <w:jc w:val="both"/>
        <w:rPr>
          <w:lang w:val="fr-BE"/>
        </w:rPr>
      </w:pPr>
      <w:r w:rsidRPr="00C764E9">
        <w:t xml:space="preserve">Pinasseau, L., Wiest, L., Volatier, L., Mermillod-Blondin, F., &amp; Vulliet, E. (2020). Emerging polar pollutants in groundwater: Potential impact of urban stormwater infiltration practices. </w:t>
      </w:r>
      <w:r w:rsidRPr="008A080D">
        <w:rPr>
          <w:lang w:val="fr-BE"/>
        </w:rPr>
        <w:t>Environmental Pollution, 266, 115387. https://doi.org/10.1016/j.envpol.2020.115387.</w:t>
      </w:r>
    </w:p>
    <w:p w14:paraId="48E30E90" w14:textId="4833DD36" w:rsidR="009741B3" w:rsidRPr="000D34D9" w:rsidRDefault="000D34D9" w:rsidP="00DB6DBE">
      <w:pPr>
        <w:pStyle w:val="Bibliographie"/>
        <w:jc w:val="both"/>
      </w:pPr>
      <w:r w:rsidRPr="008A080D">
        <w:rPr>
          <w:lang w:val="fr-BE"/>
        </w:rPr>
        <w:t xml:space="preserve">Pramanik, B. K., Roychand, R., Monira, S., Bhuiyan, M., &amp; Jegatheesan, V. (2020). </w:t>
      </w:r>
      <w:r w:rsidRPr="00C764E9">
        <w:t>Fate of road-dust associated microplastics and per-and polyfluorinated substances in stormwater. Process Safety and Environmental Protection, 144, 236-241. https://doi.org/10.1016/j.psep.2020.07.020</w:t>
      </w:r>
    </w:p>
    <w:p w14:paraId="49B27E88" w14:textId="7947713C" w:rsidR="009741B3" w:rsidRPr="000D34D9" w:rsidRDefault="000D34D9" w:rsidP="00DB6DBE">
      <w:pPr>
        <w:pStyle w:val="Bibliographie"/>
        <w:jc w:val="both"/>
      </w:pPr>
      <w:r w:rsidRPr="00C764E9">
        <w:t>Pressl, A., Pucher, B., Scharf, B., &amp; Langergraber, G. (2019). Treatment of de-icing contaminated surface water runoff along an airport runway using in-situ soil enriched with structural filter materials. Science of The Total Environment, 660, 321-328. https://doi.org/10.1016/j.scitotenv.2018.12.440.</w:t>
      </w:r>
    </w:p>
    <w:p w14:paraId="5FAD078A" w14:textId="46C56D26" w:rsidR="009741B3" w:rsidRPr="00DB6DBE" w:rsidRDefault="004A7EF7" w:rsidP="00DB6DBE">
      <w:pPr>
        <w:pStyle w:val="Bibliographie"/>
        <w:jc w:val="both"/>
        <w:rPr>
          <w:lang w:val="fr-BE"/>
        </w:rPr>
      </w:pPr>
      <w:r w:rsidRPr="00DB6DBE">
        <w:rPr>
          <w:lang w:val="es-ES"/>
        </w:rPr>
        <w:t xml:space="preserve">Pujades-Garnes, E., Ekiz, M. Ç., Izquierdo, M., Scheiber, L., Salehi Siavashani, N., Jurado, A., ... </w:t>
      </w:r>
      <w:r w:rsidRPr="004A7EF7">
        <w:t xml:space="preserve">&amp; Foppen, J. W. (2025). Behaviour and Fate of Anthropogenic Gadolinium in Groundwater: Insights from Batch Experiments and Measured Concentrations in the Besòs River Delta (NE Spain). </w:t>
      </w:r>
      <w:r w:rsidRPr="00DB6DBE">
        <w:rPr>
          <w:lang w:val="fr-BE"/>
        </w:rPr>
        <w:t>Environmental Processes, 12(3), 43.</w:t>
      </w:r>
      <w:r w:rsidR="009741B3" w:rsidRPr="00DB6DBE">
        <w:rPr>
          <w:lang w:val="fr-BE"/>
        </w:rPr>
        <w:t xml:space="preserve"> https://doi.org/10.1007/s40710-025-00784-0.</w:t>
      </w:r>
    </w:p>
    <w:p w14:paraId="0C0714B3" w14:textId="43B3BF83" w:rsidR="009741B3" w:rsidRPr="000D34D9" w:rsidRDefault="000D34D9" w:rsidP="00DB6DBE">
      <w:pPr>
        <w:pStyle w:val="Bibliographie"/>
        <w:jc w:val="both"/>
      </w:pPr>
      <w:r w:rsidRPr="00DB6DBE">
        <w:rPr>
          <w:lang w:val="fr-BE"/>
        </w:rPr>
        <w:t xml:space="preserve">Pyne, R. D. G. (2015). </w:t>
      </w:r>
      <w:r w:rsidRPr="00C764E9">
        <w:t>Aquifer storage recovery: An ASR solution to saltwater intrusion at Hilton Head Island, South Carolina, USA. Environmental Earth Sciences, 73(12), 7851-7859. https://doi.org/10.1007/s12665-014-3985-z.</w:t>
      </w:r>
    </w:p>
    <w:p w14:paraId="06B1C928" w14:textId="283D2182" w:rsidR="009741B3" w:rsidRDefault="000D34D9" w:rsidP="00DB6DBE">
      <w:pPr>
        <w:pStyle w:val="Bibliographie"/>
        <w:jc w:val="both"/>
      </w:pPr>
      <w:r w:rsidRPr="00C764E9">
        <w:t>Reemtsma, T., Miehe, U., Duennbier, U., &amp; Jekel, M. (2010). Polar pollutants in municipal wastewater and the water cycle: occurrence and removal of benzotriazoles. Water research, 44(2), 596-604. https://doi.org/10.1016/j.watres.2009.07.016.</w:t>
      </w:r>
    </w:p>
    <w:p w14:paraId="6D7ECADC" w14:textId="26F1EFAF" w:rsidR="009741B3" w:rsidRDefault="000D34D9" w:rsidP="00DB6DBE">
      <w:pPr>
        <w:pStyle w:val="Bibliographie"/>
        <w:jc w:val="both"/>
      </w:pPr>
      <w:r w:rsidRPr="00C764E9">
        <w:t>Ringleb, J., Sallwey, J., &amp; Stefan, C. (2016). Assessment of managed aquifer recharge through modeling—A review. Water, 8(12), 579. https://doi.org/10.3390/w8120579.</w:t>
      </w:r>
    </w:p>
    <w:p w14:paraId="34395721" w14:textId="4E6259EC" w:rsidR="009741B3" w:rsidRPr="004A7EF7" w:rsidRDefault="004A7EF7" w:rsidP="00DB6DBE">
      <w:pPr>
        <w:pStyle w:val="Bibliographie"/>
        <w:jc w:val="both"/>
      </w:pPr>
      <w:r w:rsidRPr="00DB6DBE">
        <w:lastRenderedPageBreak/>
        <w:t>Roberts, S., Higgins, C., &amp; McCray, J. (2014). Sorption of emerging organic wastewater contaminants to four soils. Water, 6(4), 1028-1042.</w:t>
      </w:r>
      <w:r w:rsidR="009741B3" w:rsidRPr="004A7EF7">
        <w:t xml:space="preserve"> https://doi.org/10.3390/w6041028.</w:t>
      </w:r>
    </w:p>
    <w:p w14:paraId="16D0548C" w14:textId="612F3002" w:rsidR="009741B3" w:rsidRDefault="004A7EF7" w:rsidP="00DB6DBE">
      <w:pPr>
        <w:pStyle w:val="Bibliographie"/>
        <w:jc w:val="both"/>
      </w:pPr>
      <w:r w:rsidRPr="004A7EF7">
        <w:t>Schübl, M., Kiecak, A., Hug, K., Lintelmann, J., Zimmermann, R., &amp; Stumpp, C. (2021). Sorption and biodegradation parameters of selected pharmaceuticals in laboratory column experiments. Journal of Contaminant Hydrology, 236, 103738.</w:t>
      </w:r>
      <w:r w:rsidR="009741B3">
        <w:t xml:space="preserve"> https://doi.org/10.1016/j.jconhyd.2020.103738.</w:t>
      </w:r>
    </w:p>
    <w:p w14:paraId="5148443E" w14:textId="36BF5DF9" w:rsidR="009741B3" w:rsidRPr="000D34D9" w:rsidRDefault="000D34D9" w:rsidP="00DB6DBE">
      <w:pPr>
        <w:pStyle w:val="Bibliographie"/>
        <w:jc w:val="both"/>
      </w:pPr>
      <w:r w:rsidRPr="00C764E9">
        <w:t>Seidl, C., Page, D., &amp; Wheeler, S. A. (2024). Using managed aquifer recharge to address land subsidence: Insights from a global literature review. Water Security, 23, 100184. https://doi.org/10.1016/j.wasec.2024.100184.</w:t>
      </w:r>
    </w:p>
    <w:p w14:paraId="5C6EE001" w14:textId="760BBE18" w:rsidR="009741B3" w:rsidRPr="00DB6DBE" w:rsidRDefault="000D34D9" w:rsidP="00DB6DBE">
      <w:pPr>
        <w:pStyle w:val="Bibliographie"/>
        <w:jc w:val="both"/>
        <w:rPr>
          <w:lang w:val="fr-BE"/>
        </w:rPr>
      </w:pPr>
      <w:r w:rsidRPr="00C764E9">
        <w:t xml:space="preserve">Semple, K. T., Doick, K. J., Wick, L. Y., &amp; Harms, H. (2007). Microbial interactions with organic contaminants in soil: definitions, processes and measurement. </w:t>
      </w:r>
      <w:r w:rsidRPr="00DB6DBE">
        <w:rPr>
          <w:lang w:val="fr-BE"/>
        </w:rPr>
        <w:t>Environmental pollution, 150(1), 166-176. https://doi.org/10.1016/j.envpol.2007.07.023.</w:t>
      </w:r>
    </w:p>
    <w:p w14:paraId="24946C45" w14:textId="19977FCD" w:rsidR="009741B3" w:rsidRPr="000D34D9" w:rsidRDefault="000D34D9" w:rsidP="00DB6DBE">
      <w:pPr>
        <w:pStyle w:val="Bibliographie"/>
        <w:jc w:val="both"/>
      </w:pPr>
      <w:r w:rsidRPr="00DB6DBE">
        <w:rPr>
          <w:lang w:val="fr-BE"/>
        </w:rPr>
        <w:t xml:space="preserve">Sharma, S. K., &amp; Kennedy, M. D. (2017). </w:t>
      </w:r>
      <w:r w:rsidRPr="00C764E9">
        <w:t>Soil aquifer treatment for wastewater treatment and reuse. International Biodeterioration &amp; Biodegradation, 119, 671-677. https://doi.org/10.1016/j.ibiod.2016.09.013.</w:t>
      </w:r>
    </w:p>
    <w:p w14:paraId="6D0A47BD" w14:textId="163040E4" w:rsidR="009741B3" w:rsidRPr="00DB6DBE" w:rsidRDefault="000D34D9" w:rsidP="00DB6DBE">
      <w:pPr>
        <w:pStyle w:val="Bibliographie"/>
        <w:jc w:val="both"/>
        <w:rPr>
          <w:lang w:val="fr-BE"/>
        </w:rPr>
      </w:pPr>
      <w:r w:rsidRPr="00C764E9">
        <w:t xml:space="preserve">Soares, A., Guieysse, B., Jefferson, B., Cartmell, E., &amp; Lester, J. N. (2008). Nonylphenol in the environment: a critical review on occurrence, fate, toxicity and treatment in wastewaters. </w:t>
      </w:r>
      <w:r w:rsidRPr="00DB6DBE">
        <w:rPr>
          <w:lang w:val="fr-BE"/>
        </w:rPr>
        <w:t>Environment international, 34(7), 1033-1049. https://doi.org/10.1016/j.envint.2008.01.004.</w:t>
      </w:r>
    </w:p>
    <w:p w14:paraId="3E6F1219" w14:textId="123F7683" w:rsidR="009741B3" w:rsidRPr="000D34D9" w:rsidRDefault="000D34D9" w:rsidP="00DB6DBE">
      <w:pPr>
        <w:pStyle w:val="Bibliographie"/>
        <w:jc w:val="both"/>
      </w:pPr>
      <w:r w:rsidRPr="00DB6DBE">
        <w:rPr>
          <w:lang w:val="fr-BE"/>
        </w:rPr>
        <w:t xml:space="preserve">Spahr, S., Teixidó, M., Sedlak, D. L., &amp; Luthy, R. G. (2020). </w:t>
      </w:r>
      <w:r w:rsidRPr="00C764E9">
        <w:t>Hydrophilic trace organic contaminants in urban stormwater: occurrence, toxicological relevance, and the need to enhance green stormwater infrastructure. Environmental Science: Water Research &amp; Technology, 6(1), 15-44. https://doi.org/10.1039/C9EW00674E.</w:t>
      </w:r>
    </w:p>
    <w:p w14:paraId="46162D69" w14:textId="306E1713" w:rsidR="009741B3" w:rsidRDefault="000D34D9" w:rsidP="00DB6DBE">
      <w:pPr>
        <w:pStyle w:val="Bibliographie"/>
        <w:jc w:val="both"/>
      </w:pPr>
      <w:r w:rsidRPr="00C764E9">
        <w:t>Sprenger, C., Hartog, N., Hernández, M., Vilanova, E., Grützmacher, G., Scheibler, F., &amp; Hannappel, S. (2017). Inventory of managed aquifer recharge sites in Europe: historical development, current situation and perspectives. Hydrogeology Journal, 25(6), 1909-1922. https://doi.org/10.1007/s10040-017-1554-8.</w:t>
      </w:r>
    </w:p>
    <w:p w14:paraId="5BD8F74D" w14:textId="2E37C456" w:rsidR="009741B3" w:rsidRPr="004A7EF7" w:rsidRDefault="000D34D9" w:rsidP="00DB6DBE">
      <w:pPr>
        <w:pStyle w:val="Bibliographie"/>
        <w:jc w:val="both"/>
      </w:pPr>
      <w:r w:rsidRPr="00C764E9">
        <w:t>Sulej, A. M., Polkowska, Ż., &amp; Namieśnik, J. (2011). Analysis of airport runoff waters. Critical Reviews in Analytical Chemistry, 41(3), 190-213. https://doi.org/10.1080/10408347.2011.588920.</w:t>
      </w:r>
    </w:p>
    <w:p w14:paraId="2D941CDD" w14:textId="11687BEC" w:rsidR="009741B3" w:rsidRDefault="004A7EF7" w:rsidP="00DB6DBE">
      <w:pPr>
        <w:pStyle w:val="Bibliographie"/>
        <w:jc w:val="both"/>
      </w:pPr>
      <w:r w:rsidRPr="00DB6DBE">
        <w:t xml:space="preserve">Sulej-Suchomska, A. M., Szumińska, D., de la Guardia, M., Przybyłowski, P., &amp; Polkowska, Ż. (2024). </w:t>
      </w:r>
      <w:r w:rsidRPr="004A7EF7">
        <w:t>Airport runoff water: State-of-the-art and future perspectives. Sustainability, 16(18), 8176.</w:t>
      </w:r>
      <w:r w:rsidR="009741B3">
        <w:t xml:space="preserve"> https://doi.org/10.3390/su16188176.</w:t>
      </w:r>
    </w:p>
    <w:p w14:paraId="26242699" w14:textId="3CBA6B5D" w:rsidR="009741B3" w:rsidRDefault="000D34D9" w:rsidP="00DB6DBE">
      <w:pPr>
        <w:pStyle w:val="Bibliographie"/>
        <w:jc w:val="both"/>
      </w:pPr>
      <w:r w:rsidRPr="00C764E9">
        <w:t>Sulej-Suchomska, A. M., Przybyłowski, P., &amp; Polkowska, Ż. (2021). Potential toxic effects of airport runoff water samples on the environment. Sustainability, 13(13), 7490. https://doi.org/10.3390/su13137490.</w:t>
      </w:r>
    </w:p>
    <w:p w14:paraId="53E98D07" w14:textId="248551D7" w:rsidR="009741B3" w:rsidRPr="004A7EF7" w:rsidRDefault="004A7EF7" w:rsidP="00DB6DBE">
      <w:pPr>
        <w:pStyle w:val="Bibliographie"/>
        <w:jc w:val="both"/>
      </w:pPr>
      <w:r w:rsidRPr="00DB6DBE">
        <w:t>Suresh, A., Pan, C., &amp; Ng, W. J. (2020). Sodium azide inhibition of microbial activities and impact on sludge floc destabilization. Chemosphere, 244, 125452.</w:t>
      </w:r>
      <w:r w:rsidR="009741B3" w:rsidRPr="004A7EF7">
        <w:t xml:space="preserve"> https://doi.org/10.1016/j.chemosphere.2019.125452.</w:t>
      </w:r>
    </w:p>
    <w:p w14:paraId="41D43064" w14:textId="305695DE" w:rsidR="009741B3" w:rsidRPr="00DB6DBE" w:rsidRDefault="004A7EF7" w:rsidP="00DB6DBE">
      <w:pPr>
        <w:pStyle w:val="Bibliographie"/>
        <w:jc w:val="both"/>
      </w:pPr>
      <w:r w:rsidRPr="00DB6DBE">
        <w:t>Süßmuth, R., Shrestha, P., Navarrete, C. A. D., Wege, F. F., Achten, C., &amp; Hennecke, D. (2024). Impact of different sterilisation techniques on sorption and NER formation of test chemicals in soil. Chemosphere, 357, 141915.</w:t>
      </w:r>
      <w:r w:rsidR="009741B3" w:rsidRPr="00DB6DBE">
        <w:t xml:space="preserve"> https://doi.org/10.1016/j.chemosphere.2024.141915.</w:t>
      </w:r>
    </w:p>
    <w:p w14:paraId="045146EC" w14:textId="1EADAAD9" w:rsidR="009741B3" w:rsidRPr="000D34D9" w:rsidRDefault="000D34D9" w:rsidP="00DB6DBE">
      <w:pPr>
        <w:pStyle w:val="Bibliographie"/>
        <w:jc w:val="both"/>
      </w:pPr>
      <w:r w:rsidRPr="00C764E9">
        <w:lastRenderedPageBreak/>
        <w:t>Tebes-Stevens, C., Valocchi, A. J., VanBriesen, J. M., &amp; Rittmann, B. E. (1998). Multicomponent transport with coupled geochemical and microbiological reactions: model description and example simulations. Journal of Hydrology, 209(1-4), 8-26. https://doi.org/10.1016/S0022-1694(98)00104-8.</w:t>
      </w:r>
    </w:p>
    <w:p w14:paraId="3D1A7000" w14:textId="51FF65C0" w:rsidR="009741B3" w:rsidRPr="000D34D9" w:rsidRDefault="000D34D9" w:rsidP="00DB6DBE">
      <w:pPr>
        <w:pStyle w:val="Bibliographie"/>
        <w:jc w:val="both"/>
      </w:pPr>
      <w:r w:rsidRPr="00DB6DBE">
        <w:t xml:space="preserve">Tedoldi, D., Chebbo, G., Pierlot, D., Kovacs, Y., &amp; Gromaire, M. C. (2016). </w:t>
      </w:r>
      <w:r w:rsidRPr="008A080D">
        <w:t>Impact of runoff infiltration on contaminant accumulation and transport in the soil/filter media of Sustainable Urban Drainage Systems: A literature review. Science of the Total Environment, 569, 904-926. https://doi.org/10.1016/j.scitotenv.2016.04.215.</w:t>
      </w:r>
    </w:p>
    <w:p w14:paraId="3A47868B" w14:textId="0BFDE613" w:rsidR="009741B3" w:rsidRPr="004A7EF7" w:rsidRDefault="000D34D9" w:rsidP="00DB6DBE">
      <w:pPr>
        <w:pStyle w:val="Bibliographie"/>
        <w:jc w:val="both"/>
      </w:pPr>
      <w:r w:rsidRPr="008A080D">
        <w:t>Ukalska-Jaruga, A., Bejger, R., Debaene, G., &amp; Smreczak, B. (2021). Characterization of soil organic matter individual fractions (fulvic acids, humic acids, and humins) by spectroscopic and electrochemical techniques in agricultural soils. Agronomy, 11(6), 1067. https://doi.org/10.3390/agronomy11061067.</w:t>
      </w:r>
    </w:p>
    <w:p w14:paraId="65015477" w14:textId="70C01176" w:rsidR="009741B3" w:rsidRPr="00DB6DBE" w:rsidRDefault="004A7EF7" w:rsidP="00DB6DBE">
      <w:pPr>
        <w:pStyle w:val="Bibliographie"/>
        <w:jc w:val="both"/>
      </w:pPr>
      <w:r w:rsidRPr="00DB6DBE">
        <w:t>Villa, A., Siavashani, N. S., Pujades-Garnes, E., Montemurro, N., Pérez, S., Foppen, J. W., ... &amp; Jurado, A. (2025). Exploring the influence of redox and temperature variations on the attenuation of pharmaceuticals in groundwater: Insights from parallel batch reactor experiments. Emerging Contaminants, 100537.</w:t>
      </w:r>
      <w:r w:rsidR="009741B3" w:rsidRPr="00DB6DBE">
        <w:t xml:space="preserve"> https://doi.org/10.1016/j.emcon.2025.100537.</w:t>
      </w:r>
    </w:p>
    <w:p w14:paraId="7F124E7D" w14:textId="00185BD6" w:rsidR="009741B3" w:rsidRPr="004A7EF7" w:rsidRDefault="000D34D9" w:rsidP="00DB6DBE">
      <w:pPr>
        <w:pStyle w:val="Bibliographie"/>
        <w:jc w:val="both"/>
      </w:pPr>
      <w:r w:rsidRPr="008A080D">
        <w:t>Wang, Y., Vestergren, R., Shi, Y., Cao, D., Xu, L., Cai, Y., ... &amp; Wu, F. (2016). Identification, tissue distribution, and bioaccumulation potential of cyclic perfluorinated sulfonic acids isomers in an airport impacted ecosystem. Environmental science &amp; technology, 50(20), 10923-10932. https://doi.org/10.1021/acs.est.6b01980.</w:t>
      </w:r>
    </w:p>
    <w:p w14:paraId="7C5A1BE0" w14:textId="3F7C40BC" w:rsidR="009741B3" w:rsidRDefault="004A7EF7" w:rsidP="00DB6DBE">
      <w:pPr>
        <w:pStyle w:val="Bibliographie"/>
        <w:jc w:val="both"/>
      </w:pPr>
      <w:r w:rsidRPr="004A7EF7">
        <w:t>Wanzek, T., Stults, J. F., Johnson, M. G., Field, J. A., &amp; Kleber, M. (2023). Role of mineral–organic interactions in PFAS retention by AFFF-impacted soil. Environmental science &amp; technology, 57(13), 5231-5242.</w:t>
      </w:r>
      <w:r w:rsidR="009741B3">
        <w:t xml:space="preserve"> https://doi.org/10.1021/acs.est.2c08806.</w:t>
      </w:r>
    </w:p>
    <w:p w14:paraId="27EC53FE" w14:textId="4478818A" w:rsidR="009741B3" w:rsidRPr="004A7EF7" w:rsidRDefault="004A7EF7" w:rsidP="00DB6DBE">
      <w:pPr>
        <w:pStyle w:val="Bibliographie"/>
        <w:jc w:val="both"/>
      </w:pPr>
      <w:r w:rsidRPr="00DB6DBE">
        <w:t>Weber Jr, W. J., McGinley, P. M., &amp; Katz, L. E. (1991). Sorption phenomena in subsurface systems: concepts, models and effects on contaminant fate and transport. Water research, 25(5), 499-528.</w:t>
      </w:r>
      <w:r w:rsidR="009741B3" w:rsidRPr="004A7EF7">
        <w:t xml:space="preserve"> https://doi.org/10.1016/0043-1354(91)90125-A.</w:t>
      </w:r>
    </w:p>
    <w:p w14:paraId="305EF53E" w14:textId="58558A85" w:rsidR="009741B3" w:rsidRPr="004A7EF7" w:rsidRDefault="004A7EF7" w:rsidP="00DB6DBE">
      <w:pPr>
        <w:pStyle w:val="Bibliographie"/>
        <w:jc w:val="both"/>
      </w:pPr>
      <w:r w:rsidRPr="00DB6DBE">
        <w:t>Woke, J. C., Maroli, A. S., Zhang, Y., &amp; Venkatesan, A. K. (2025). Impact of coexisting nitrate and sulfate ions on per-and polyfluoroalkyl substances removal by anion exchange resins. Chemical Engineering Science, 122126.</w:t>
      </w:r>
      <w:r w:rsidR="009741B3" w:rsidRPr="004A7EF7">
        <w:t xml:space="preserve"> https://doi.org/10.1016/j.ces.2025.122126.</w:t>
      </w:r>
    </w:p>
    <w:p w14:paraId="45F30751" w14:textId="34BABA1F" w:rsidR="009741B3" w:rsidRPr="00DB6DBE" w:rsidRDefault="004A7EF7" w:rsidP="00DB6DBE">
      <w:pPr>
        <w:pStyle w:val="Bibliographie"/>
        <w:jc w:val="both"/>
      </w:pPr>
      <w:r w:rsidRPr="00DB6DBE">
        <w:t>Yan, P. F., Dong, S., Woodcock, M. J., Manz, K. E., Garza-Rubalcava, U., Abriola, L. M., ... &amp; Cápiro, N. L. (2024). Biotransformation of 6: 2 fluorotelomer sulfonate and microbial community dynamics in water-saturated one-dimensional flow-through columns. Water Research, 252, 121146.</w:t>
      </w:r>
      <w:r w:rsidR="009741B3" w:rsidRPr="00DB6DBE">
        <w:t xml:space="preserve"> https://doi.org/10.1016/j.watres.2024.121146.</w:t>
      </w:r>
    </w:p>
    <w:p w14:paraId="176C8652" w14:textId="194A20E8" w:rsidR="009741B3" w:rsidRPr="004A7EF7" w:rsidRDefault="00242FDC" w:rsidP="00DB6DBE">
      <w:pPr>
        <w:pStyle w:val="Bibliographie"/>
        <w:jc w:val="both"/>
      </w:pPr>
      <w:r>
        <w:t>Y</w:t>
      </w:r>
      <w:r w:rsidRPr="008A080D">
        <w:t>ang, X., Huang, J., Zhang, K., Yu, G., Deng, S., &amp; Wang, B. (2014). Stability of 6: 2 fluorotelomer sulfonate in advanced oxidation processes: degradation kinetics and pathway. Environmental Science and Pollution Research, 21(6), 4634-4642. https://doi.org/10.1007/s11356-013-2389-z.</w:t>
      </w:r>
    </w:p>
    <w:p w14:paraId="3969ADBD" w14:textId="5372796C" w:rsidR="009741B3" w:rsidRDefault="004A7EF7" w:rsidP="00DB6DBE">
      <w:pPr>
        <w:pStyle w:val="Bibliographie"/>
        <w:jc w:val="both"/>
      </w:pPr>
      <w:r w:rsidRPr="00DB6DBE">
        <w:t xml:space="preserve">Zenobio, J. E., Salawu, O. A., Han, Z., &amp; Adeleye, A. S. (2022). </w:t>
      </w:r>
      <w:r w:rsidRPr="004A7EF7">
        <w:t>Adsorption of per-and polyfluoroalkyl substances (PFAS) to containers. Journal of Hazardous Materials Advances, 7, 100130.</w:t>
      </w:r>
      <w:r w:rsidR="009741B3">
        <w:t xml:space="preserve"> https://doi.org/10.1016/j.hazadv.2022.100130.</w:t>
      </w:r>
    </w:p>
    <w:p w14:paraId="263AFD1C" w14:textId="1B3151A2" w:rsidR="009741B3" w:rsidRDefault="00242FDC" w:rsidP="00DB6DBE">
      <w:pPr>
        <w:pStyle w:val="Bibliographie"/>
        <w:jc w:val="both"/>
      </w:pPr>
      <w:r w:rsidRPr="00DB6DBE">
        <w:rPr>
          <w:lang w:val="fr-BE"/>
        </w:rPr>
        <w:t xml:space="preserve">Zgheib, S., Moilleron, R., &amp; Chebbo, G. (2012). </w:t>
      </w:r>
      <w:r w:rsidRPr="008A080D">
        <w:t>Priority pollutants in urban stormwater: Part 1–Case of separate storm sewers. Water research, 46(20), 6683-6692. https://doi.org/10.1016/j.watres.2011.12.012.</w:t>
      </w:r>
    </w:p>
    <w:p w14:paraId="400CDFA8" w14:textId="5D6562BE" w:rsidR="009741B3" w:rsidRDefault="00242FDC" w:rsidP="00DB6DBE">
      <w:pPr>
        <w:pStyle w:val="Bibliographie"/>
        <w:jc w:val="both"/>
      </w:pPr>
      <w:r w:rsidRPr="008A080D">
        <w:lastRenderedPageBreak/>
        <w:t xml:space="preserve">Zhang, R., Yan, W., &amp; Jing, C. (2015). Experimental and molecular dynamic simulation study of perfluorooctane sulfonate adsorption on soil and sediment components. </w:t>
      </w:r>
      <w:r w:rsidRPr="008A080D">
        <w:rPr>
          <w:lang w:val="fr-BE"/>
        </w:rPr>
        <w:t>Journal of Environmental Sciences, 29, 131-138. https://doi.org/10.1016/j.jes.2014.11.001.</w:t>
      </w:r>
    </w:p>
    <w:p w14:paraId="3DB69DAD" w14:textId="48BD4064" w:rsidR="001630D4" w:rsidRPr="001630D4" w:rsidRDefault="001437AB" w:rsidP="00DB6DBE">
      <w:pPr>
        <w:spacing w:line="276" w:lineRule="auto"/>
        <w:jc w:val="both"/>
      </w:pPr>
      <w:r>
        <w:rPr>
          <w:rFonts w:ascii="Calibri" w:hAnsi="Calibri" w:cs="Calibri"/>
        </w:rPr>
        <w:fldChar w:fldCharType="end"/>
      </w:r>
    </w:p>
    <w:sectPr w:rsidR="001630D4" w:rsidRPr="001630D4" w:rsidSect="001046BE">
      <w:type w:val="continuous"/>
      <w:pgSz w:w="11906" w:h="16838"/>
      <w:pgMar w:top="1418" w:right="1418" w:bottom="1418" w:left="1418"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98F77" w16cex:dateUtc="2025-06-15T16:29:00Z"/>
  <w16cex:commentExtensible w16cex:durableId="2BF9900C" w16cex:dateUtc="2025-06-15T16:31:00Z"/>
  <w16cex:commentExtensible w16cex:durableId="2BF990DA" w16cex:dateUtc="2025-06-15T16:35:00Z"/>
  <w16cex:commentExtensible w16cex:durableId="2BF991D9" w16cex:dateUtc="2025-06-15T16:39:00Z"/>
  <w16cex:commentExtensible w16cex:durableId="2BE47982" w16cex:dateUtc="2025-05-30T16:37:00Z"/>
  <w16cex:commentExtensible w16cex:durableId="2BF9930E" w16cex:dateUtc="2025-06-15T16:44:00Z"/>
  <w16cex:commentExtensible w16cex:durableId="2BF99367" w16cex:dateUtc="2025-06-15T16:45:00Z"/>
  <w16cex:commentExtensible w16cex:durableId="2BF99381" w16cex:dateUtc="2025-06-15T16:46:00Z"/>
  <w16cex:commentExtensible w16cex:durableId="2BF9953E" w16cex:dateUtc="2025-06-15T16:53:00Z"/>
  <w16cex:commentExtensible w16cex:durableId="2BF993F0" w16cex:dateUtc="2025-06-15T16:48:00Z"/>
  <w16cex:commentExtensible w16cex:durableId="2BF99410" w16cex:dateUtc="2025-06-15T16:48:00Z"/>
  <w16cex:commentExtensible w16cex:durableId="2BF99417" w16cex:dateUtc="2025-06-15T16:48:00Z"/>
  <w16cex:commentExtensible w16cex:durableId="2BF994D3" w16cex:dateUtc="2025-06-15T16:52:00Z"/>
  <w16cex:commentExtensible w16cex:durableId="2BF9950E" w16cex:dateUtc="2025-06-15T16:53:00Z"/>
  <w16cex:commentExtensible w16cex:durableId="2BF9957F" w16cex:dateUtc="2025-06-15T16:54:00Z"/>
  <w16cex:commentExtensible w16cex:durableId="2BF995F9" w16cex:dateUtc="2025-06-15T16:56:00Z"/>
  <w16cex:commentExtensible w16cex:durableId="2BF995B7" w16cex:dateUtc="2025-06-15T16:55:00Z"/>
  <w16cex:commentExtensible w16cex:durableId="2BF99615" w16cex:dateUtc="2025-06-15T16:57:00Z"/>
  <w16cex:commentExtensible w16cex:durableId="2BF99682" w16cex:dateUtc="2025-06-15T16:59:00Z"/>
  <w16cex:commentExtensible w16cex:durableId="2BF99702" w16cex:dateUtc="2025-06-15T17:01:00Z"/>
  <w16cex:commentExtensible w16cex:durableId="2BF99791" w16cex:dateUtc="2025-06-15T17:03:00Z"/>
  <w16cex:commentExtensible w16cex:durableId="2BF997A8" w16cex:dateUtc="2025-06-15T17:04:00Z"/>
  <w16cex:commentExtensible w16cex:durableId="2BF99896" w16cex:dateUtc="2025-06-15T17:08:00Z"/>
  <w16cex:commentExtensible w16cex:durableId="2BF9994E" w16cex:dateUtc="2025-06-15T17:11:00Z"/>
  <w16cex:commentExtensible w16cex:durableId="2BF99971" w16cex:dateUtc="2025-06-15T17:11:00Z"/>
  <w16cex:commentExtensible w16cex:durableId="2BF999F0" w16cex:dateUtc="2025-06-15T17:13:00Z"/>
  <w16cex:commentExtensible w16cex:durableId="2BE48105" w16cex:dateUtc="2025-05-30T17:09:00Z"/>
  <w16cex:commentExtensible w16cex:durableId="2BF99A78" w16cex:dateUtc="2025-06-15T17:16:00Z"/>
  <w16cex:commentExtensible w16cex:durableId="2BF99AAF" w16cex:dateUtc="2025-06-15T17:17:00Z"/>
  <w16cex:commentExtensible w16cex:durableId="2BE48161" w16cex:dateUtc="2025-05-30T17:11:00Z"/>
  <w16cex:commentExtensible w16cex:durableId="2BF99B88" w16cex:dateUtc="2025-06-15T17:20:00Z"/>
  <w16cex:commentExtensible w16cex:durableId="2BE4826E" w16cex:dateUtc="2025-05-30T17:15:00Z"/>
  <w16cex:commentExtensible w16cex:durableId="2BF99BCB" w16cex:dateUtc="2025-06-15T17:21:00Z"/>
  <w16cex:commentExtensible w16cex:durableId="2BF99BF7" w16cex:dateUtc="2025-06-15T17:22:00Z"/>
  <w16cex:commentExtensible w16cex:durableId="2BF99C7A" w16cex:dateUtc="2025-06-15T17:24:00Z"/>
  <w16cex:commentExtensible w16cex:durableId="2BF99CB1" w16cex:dateUtc="2025-06-15T17:25:00Z"/>
  <w16cex:commentExtensible w16cex:durableId="2BF99DC3" w16cex:dateUtc="2025-06-15T17:30:00Z"/>
  <w16cex:commentExtensible w16cex:durableId="2BF99DE2" w16cex:dateUtc="2025-06-15T17:30:00Z"/>
  <w16cex:commentExtensible w16cex:durableId="2BF99DF7" w16cex:dateUtc="2025-06-15T17:31:00Z"/>
  <w16cex:commentExtensible w16cex:durableId="2BF99E6E" w16cex:dateUtc="2025-06-15T17:33:00Z"/>
  <w16cex:commentExtensible w16cex:durableId="2BF99E76" w16cex:dateUtc="2025-06-15T17:33:00Z"/>
  <w16cex:commentExtensible w16cex:durableId="2BF99EBC" w16cex:dateUtc="2025-06-15T1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2C9C4D" w16cid:durableId="2C1F526B"/>
  <w16cid:commentId w16cid:paraId="039AA7C7" w16cid:durableId="2C1F55A9"/>
  <w16cid:commentId w16cid:paraId="57A12FCC" w16cid:durableId="2C1F55CD"/>
  <w16cid:commentId w16cid:paraId="781ABAB8" w16cid:durableId="2C1F59A9"/>
  <w16cid:commentId w16cid:paraId="148A8521" w16cid:durableId="2C1BBB36"/>
  <w16cid:commentId w16cid:paraId="23FF7ECE" w16cid:durableId="2BF9930E"/>
  <w16cid:commentId w16cid:paraId="020ADE8F" w16cid:durableId="2C1B9D09"/>
  <w16cid:commentId w16cid:paraId="2BD3F090" w16cid:durableId="2BF99367"/>
  <w16cid:commentId w16cid:paraId="62FDD05C" w16cid:durableId="2C1B9D0B"/>
  <w16cid:commentId w16cid:paraId="11910384" w16cid:durableId="2BF99381"/>
  <w16cid:commentId w16cid:paraId="5705AADF" w16cid:durableId="2C1B9D0D"/>
  <w16cid:commentId w16cid:paraId="39A9EDC7" w16cid:durableId="2C1B9D0E"/>
  <w16cid:commentId w16cid:paraId="5DDBE3D8" w16cid:durableId="2BF98E24"/>
  <w16cid:commentId w16cid:paraId="526DBD16" w16cid:durableId="2C1F6385"/>
  <w16cid:commentId w16cid:paraId="774421BF" w16cid:durableId="2C1F62D8"/>
  <w16cid:commentId w16cid:paraId="6D0A3802" w16cid:durableId="2C1F64FA"/>
  <w16cid:commentId w16cid:paraId="283023B6" w16cid:durableId="2C1F65B1"/>
  <w16cid:commentId w16cid:paraId="4018DBD5" w16cid:durableId="2BF99AAF"/>
  <w16cid:commentId w16cid:paraId="0BCD6FE9" w16cid:durableId="2C1B9D11"/>
  <w16cid:commentId w16cid:paraId="7754FF5A" w16cid:durableId="2C1F678E"/>
  <w16cid:commentId w16cid:paraId="085FEDCE" w16cid:durableId="2BE477AF"/>
  <w16cid:commentId w16cid:paraId="57AD6B14" w16cid:durableId="2BF98E30"/>
  <w16cid:commentId w16cid:paraId="0FFC65DD" w16cid:durableId="2C1F6883"/>
  <w16cid:commentId w16cid:paraId="14CC9E32" w16cid:durableId="2C1F6BB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D1AD3"/>
    <w:multiLevelType w:val="hybridMultilevel"/>
    <w:tmpl w:val="AE7EC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937B04"/>
    <w:multiLevelType w:val="multilevel"/>
    <w:tmpl w:val="EFDEB4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E49"/>
    <w:rsid w:val="00000402"/>
    <w:rsid w:val="0000050A"/>
    <w:rsid w:val="000017A2"/>
    <w:rsid w:val="00001FB2"/>
    <w:rsid w:val="00002457"/>
    <w:rsid w:val="00002B73"/>
    <w:rsid w:val="00003C8A"/>
    <w:rsid w:val="00004E8F"/>
    <w:rsid w:val="00006C95"/>
    <w:rsid w:val="00011A08"/>
    <w:rsid w:val="00012B31"/>
    <w:rsid w:val="000132F6"/>
    <w:rsid w:val="00014B9D"/>
    <w:rsid w:val="000167BA"/>
    <w:rsid w:val="00024D61"/>
    <w:rsid w:val="0002790E"/>
    <w:rsid w:val="0003497E"/>
    <w:rsid w:val="000349AE"/>
    <w:rsid w:val="00035544"/>
    <w:rsid w:val="00035BC0"/>
    <w:rsid w:val="000372B3"/>
    <w:rsid w:val="00045D8A"/>
    <w:rsid w:val="00047200"/>
    <w:rsid w:val="000501A5"/>
    <w:rsid w:val="0005456D"/>
    <w:rsid w:val="00061744"/>
    <w:rsid w:val="000633FB"/>
    <w:rsid w:val="00063DCC"/>
    <w:rsid w:val="00065B33"/>
    <w:rsid w:val="00065E6F"/>
    <w:rsid w:val="000660C6"/>
    <w:rsid w:val="0007056C"/>
    <w:rsid w:val="00071350"/>
    <w:rsid w:val="000719CA"/>
    <w:rsid w:val="00073B6B"/>
    <w:rsid w:val="00075880"/>
    <w:rsid w:val="00080DDE"/>
    <w:rsid w:val="00084B9E"/>
    <w:rsid w:val="0009035E"/>
    <w:rsid w:val="00094CE8"/>
    <w:rsid w:val="0009514B"/>
    <w:rsid w:val="000A01EB"/>
    <w:rsid w:val="000A0F5E"/>
    <w:rsid w:val="000A1B29"/>
    <w:rsid w:val="000A6384"/>
    <w:rsid w:val="000B2BD4"/>
    <w:rsid w:val="000C5B29"/>
    <w:rsid w:val="000D34D9"/>
    <w:rsid w:val="000D363A"/>
    <w:rsid w:val="000D65A2"/>
    <w:rsid w:val="000E26DF"/>
    <w:rsid w:val="000E2A66"/>
    <w:rsid w:val="000E73F9"/>
    <w:rsid w:val="000E7E71"/>
    <w:rsid w:val="000F2F40"/>
    <w:rsid w:val="000F4611"/>
    <w:rsid w:val="000F4B2B"/>
    <w:rsid w:val="001002DC"/>
    <w:rsid w:val="0010109E"/>
    <w:rsid w:val="00103092"/>
    <w:rsid w:val="001046BE"/>
    <w:rsid w:val="0010660A"/>
    <w:rsid w:val="00106CC4"/>
    <w:rsid w:val="0011382C"/>
    <w:rsid w:val="00114590"/>
    <w:rsid w:val="00115562"/>
    <w:rsid w:val="00115905"/>
    <w:rsid w:val="001177D1"/>
    <w:rsid w:val="001303AA"/>
    <w:rsid w:val="00132886"/>
    <w:rsid w:val="00132F09"/>
    <w:rsid w:val="0013447D"/>
    <w:rsid w:val="001354CA"/>
    <w:rsid w:val="0013636B"/>
    <w:rsid w:val="001373F0"/>
    <w:rsid w:val="00141D3C"/>
    <w:rsid w:val="0014201B"/>
    <w:rsid w:val="00142DDD"/>
    <w:rsid w:val="001437AB"/>
    <w:rsid w:val="00143E14"/>
    <w:rsid w:val="001535C2"/>
    <w:rsid w:val="00155A07"/>
    <w:rsid w:val="00155D5A"/>
    <w:rsid w:val="00157234"/>
    <w:rsid w:val="00160B1B"/>
    <w:rsid w:val="001630D4"/>
    <w:rsid w:val="00174A94"/>
    <w:rsid w:val="00175CE1"/>
    <w:rsid w:val="00176F24"/>
    <w:rsid w:val="00177ADC"/>
    <w:rsid w:val="00181F02"/>
    <w:rsid w:val="0018277D"/>
    <w:rsid w:val="00183A21"/>
    <w:rsid w:val="00183C17"/>
    <w:rsid w:val="001841A0"/>
    <w:rsid w:val="0018425B"/>
    <w:rsid w:val="00184C0A"/>
    <w:rsid w:val="00185521"/>
    <w:rsid w:val="00185715"/>
    <w:rsid w:val="00187A4C"/>
    <w:rsid w:val="00191803"/>
    <w:rsid w:val="001929D6"/>
    <w:rsid w:val="001973CA"/>
    <w:rsid w:val="001A02BE"/>
    <w:rsid w:val="001A0C4B"/>
    <w:rsid w:val="001A2656"/>
    <w:rsid w:val="001A3A09"/>
    <w:rsid w:val="001B3A79"/>
    <w:rsid w:val="001B3B7C"/>
    <w:rsid w:val="001C0DA2"/>
    <w:rsid w:val="001C1CEB"/>
    <w:rsid w:val="001C44B1"/>
    <w:rsid w:val="001C718C"/>
    <w:rsid w:val="001D053E"/>
    <w:rsid w:val="001D5443"/>
    <w:rsid w:val="001E38B0"/>
    <w:rsid w:val="001E3E3F"/>
    <w:rsid w:val="001E3E9F"/>
    <w:rsid w:val="001E67FD"/>
    <w:rsid w:val="001F323C"/>
    <w:rsid w:val="001F4C83"/>
    <w:rsid w:val="001F5C3A"/>
    <w:rsid w:val="001F6247"/>
    <w:rsid w:val="0020181A"/>
    <w:rsid w:val="002124CB"/>
    <w:rsid w:val="00212F26"/>
    <w:rsid w:val="0021427E"/>
    <w:rsid w:val="00220C66"/>
    <w:rsid w:val="00223D91"/>
    <w:rsid w:val="00227A00"/>
    <w:rsid w:val="00227CA6"/>
    <w:rsid w:val="002305DA"/>
    <w:rsid w:val="00235929"/>
    <w:rsid w:val="00242FDC"/>
    <w:rsid w:val="00243F25"/>
    <w:rsid w:val="00245AE9"/>
    <w:rsid w:val="00247A39"/>
    <w:rsid w:val="00250A7F"/>
    <w:rsid w:val="00253336"/>
    <w:rsid w:val="00256C82"/>
    <w:rsid w:val="00257253"/>
    <w:rsid w:val="00266645"/>
    <w:rsid w:val="00267BB1"/>
    <w:rsid w:val="00270BE2"/>
    <w:rsid w:val="00274F7C"/>
    <w:rsid w:val="0027794C"/>
    <w:rsid w:val="002807B8"/>
    <w:rsid w:val="00285708"/>
    <w:rsid w:val="0029295F"/>
    <w:rsid w:val="00294B9D"/>
    <w:rsid w:val="002A0220"/>
    <w:rsid w:val="002A0F8C"/>
    <w:rsid w:val="002A26E9"/>
    <w:rsid w:val="002A5980"/>
    <w:rsid w:val="002A644A"/>
    <w:rsid w:val="002A7306"/>
    <w:rsid w:val="002B1540"/>
    <w:rsid w:val="002B5A24"/>
    <w:rsid w:val="002B7A1B"/>
    <w:rsid w:val="002C4D2C"/>
    <w:rsid w:val="002D1108"/>
    <w:rsid w:val="002D2427"/>
    <w:rsid w:val="002D36EF"/>
    <w:rsid w:val="002D3D39"/>
    <w:rsid w:val="002D69EE"/>
    <w:rsid w:val="002D76AF"/>
    <w:rsid w:val="002E11F7"/>
    <w:rsid w:val="002E5EEB"/>
    <w:rsid w:val="002E6038"/>
    <w:rsid w:val="002E6926"/>
    <w:rsid w:val="002F3A7E"/>
    <w:rsid w:val="002F5B37"/>
    <w:rsid w:val="00300680"/>
    <w:rsid w:val="003016FA"/>
    <w:rsid w:val="0030566C"/>
    <w:rsid w:val="00307370"/>
    <w:rsid w:val="00311D0F"/>
    <w:rsid w:val="0031610F"/>
    <w:rsid w:val="003172D2"/>
    <w:rsid w:val="003216B5"/>
    <w:rsid w:val="00321DC5"/>
    <w:rsid w:val="00321DD8"/>
    <w:rsid w:val="003223B8"/>
    <w:rsid w:val="00324734"/>
    <w:rsid w:val="003312D3"/>
    <w:rsid w:val="00331A0D"/>
    <w:rsid w:val="00335417"/>
    <w:rsid w:val="0033547E"/>
    <w:rsid w:val="00341380"/>
    <w:rsid w:val="003435D8"/>
    <w:rsid w:val="00343A81"/>
    <w:rsid w:val="0034491F"/>
    <w:rsid w:val="003471E9"/>
    <w:rsid w:val="00353FCE"/>
    <w:rsid w:val="003547E9"/>
    <w:rsid w:val="003641F5"/>
    <w:rsid w:val="0036455E"/>
    <w:rsid w:val="00365413"/>
    <w:rsid w:val="003659AF"/>
    <w:rsid w:val="00370DB7"/>
    <w:rsid w:val="003725A5"/>
    <w:rsid w:val="00374E1A"/>
    <w:rsid w:val="0037602B"/>
    <w:rsid w:val="00381A29"/>
    <w:rsid w:val="00387A3B"/>
    <w:rsid w:val="0039050D"/>
    <w:rsid w:val="00394813"/>
    <w:rsid w:val="003B2D42"/>
    <w:rsid w:val="003B492F"/>
    <w:rsid w:val="003B7844"/>
    <w:rsid w:val="003C06C3"/>
    <w:rsid w:val="003C3DC0"/>
    <w:rsid w:val="003C49F2"/>
    <w:rsid w:val="003C5F84"/>
    <w:rsid w:val="003D141A"/>
    <w:rsid w:val="003D75D7"/>
    <w:rsid w:val="003D78A5"/>
    <w:rsid w:val="003D7EFC"/>
    <w:rsid w:val="003E007F"/>
    <w:rsid w:val="003E1CD4"/>
    <w:rsid w:val="003E585E"/>
    <w:rsid w:val="003E7BDB"/>
    <w:rsid w:val="003F0958"/>
    <w:rsid w:val="003F7541"/>
    <w:rsid w:val="00400FE5"/>
    <w:rsid w:val="00402D5C"/>
    <w:rsid w:val="00403568"/>
    <w:rsid w:val="00407109"/>
    <w:rsid w:val="00407AA3"/>
    <w:rsid w:val="00412F60"/>
    <w:rsid w:val="0041671D"/>
    <w:rsid w:val="00416EA8"/>
    <w:rsid w:val="00420A32"/>
    <w:rsid w:val="0042210A"/>
    <w:rsid w:val="004239CA"/>
    <w:rsid w:val="00432A0A"/>
    <w:rsid w:val="0044156D"/>
    <w:rsid w:val="00441576"/>
    <w:rsid w:val="00444464"/>
    <w:rsid w:val="00444A45"/>
    <w:rsid w:val="00445707"/>
    <w:rsid w:val="00452A70"/>
    <w:rsid w:val="00452E77"/>
    <w:rsid w:val="00453085"/>
    <w:rsid w:val="004530BD"/>
    <w:rsid w:val="00453110"/>
    <w:rsid w:val="00456D87"/>
    <w:rsid w:val="00457FF8"/>
    <w:rsid w:val="00462504"/>
    <w:rsid w:val="0046673B"/>
    <w:rsid w:val="004671F1"/>
    <w:rsid w:val="0046734D"/>
    <w:rsid w:val="00471A25"/>
    <w:rsid w:val="00474D1D"/>
    <w:rsid w:val="00475069"/>
    <w:rsid w:val="00476169"/>
    <w:rsid w:val="00476F5B"/>
    <w:rsid w:val="004802E4"/>
    <w:rsid w:val="004826BA"/>
    <w:rsid w:val="00482B37"/>
    <w:rsid w:val="00487363"/>
    <w:rsid w:val="00487FAC"/>
    <w:rsid w:val="00491B38"/>
    <w:rsid w:val="0049492F"/>
    <w:rsid w:val="00496A93"/>
    <w:rsid w:val="00497B16"/>
    <w:rsid w:val="004A202C"/>
    <w:rsid w:val="004A2DA3"/>
    <w:rsid w:val="004A4288"/>
    <w:rsid w:val="004A4F26"/>
    <w:rsid w:val="004A5D8E"/>
    <w:rsid w:val="004A7EF7"/>
    <w:rsid w:val="004B0173"/>
    <w:rsid w:val="004B0D54"/>
    <w:rsid w:val="004B2EB8"/>
    <w:rsid w:val="004B4E93"/>
    <w:rsid w:val="004B7A9B"/>
    <w:rsid w:val="004C7499"/>
    <w:rsid w:val="004D68B2"/>
    <w:rsid w:val="004E164A"/>
    <w:rsid w:val="004E31E7"/>
    <w:rsid w:val="004F01B9"/>
    <w:rsid w:val="004F0C52"/>
    <w:rsid w:val="004F0FE9"/>
    <w:rsid w:val="004F4AEE"/>
    <w:rsid w:val="004F4CA6"/>
    <w:rsid w:val="004F62CA"/>
    <w:rsid w:val="004F6677"/>
    <w:rsid w:val="005004CC"/>
    <w:rsid w:val="00500F31"/>
    <w:rsid w:val="00501818"/>
    <w:rsid w:val="00506CC9"/>
    <w:rsid w:val="00507248"/>
    <w:rsid w:val="00510856"/>
    <w:rsid w:val="005142DF"/>
    <w:rsid w:val="00515098"/>
    <w:rsid w:val="00515B2C"/>
    <w:rsid w:val="00516030"/>
    <w:rsid w:val="00523ADD"/>
    <w:rsid w:val="00526C17"/>
    <w:rsid w:val="00531D4A"/>
    <w:rsid w:val="0054253A"/>
    <w:rsid w:val="005428DB"/>
    <w:rsid w:val="00543A18"/>
    <w:rsid w:val="00547F52"/>
    <w:rsid w:val="00551424"/>
    <w:rsid w:val="005547F8"/>
    <w:rsid w:val="00555F52"/>
    <w:rsid w:val="005573E1"/>
    <w:rsid w:val="00563083"/>
    <w:rsid w:val="00564245"/>
    <w:rsid w:val="00565F3F"/>
    <w:rsid w:val="005719A4"/>
    <w:rsid w:val="00573BB0"/>
    <w:rsid w:val="00575CB8"/>
    <w:rsid w:val="00575ECD"/>
    <w:rsid w:val="0058055B"/>
    <w:rsid w:val="00583789"/>
    <w:rsid w:val="00590C1D"/>
    <w:rsid w:val="005922C4"/>
    <w:rsid w:val="005979F6"/>
    <w:rsid w:val="005A08C9"/>
    <w:rsid w:val="005A29BF"/>
    <w:rsid w:val="005A646C"/>
    <w:rsid w:val="005A6601"/>
    <w:rsid w:val="005B0FD8"/>
    <w:rsid w:val="005B1539"/>
    <w:rsid w:val="005B158F"/>
    <w:rsid w:val="005B4DB6"/>
    <w:rsid w:val="005B6D6D"/>
    <w:rsid w:val="005B7BAD"/>
    <w:rsid w:val="005B7DE9"/>
    <w:rsid w:val="005C506F"/>
    <w:rsid w:val="005D0469"/>
    <w:rsid w:val="005D3D4B"/>
    <w:rsid w:val="005D5435"/>
    <w:rsid w:val="005D703D"/>
    <w:rsid w:val="005F10AC"/>
    <w:rsid w:val="005F2193"/>
    <w:rsid w:val="005F445A"/>
    <w:rsid w:val="005F4B4E"/>
    <w:rsid w:val="005F4C8F"/>
    <w:rsid w:val="005F55B2"/>
    <w:rsid w:val="005F5CEC"/>
    <w:rsid w:val="005F6E41"/>
    <w:rsid w:val="00600894"/>
    <w:rsid w:val="00603ACD"/>
    <w:rsid w:val="0060536E"/>
    <w:rsid w:val="00605E61"/>
    <w:rsid w:val="006123CA"/>
    <w:rsid w:val="00614CD6"/>
    <w:rsid w:val="006179E0"/>
    <w:rsid w:val="006205EB"/>
    <w:rsid w:val="00622634"/>
    <w:rsid w:val="00630B58"/>
    <w:rsid w:val="00632E57"/>
    <w:rsid w:val="0063392F"/>
    <w:rsid w:val="00635B2B"/>
    <w:rsid w:val="00635F70"/>
    <w:rsid w:val="0063697A"/>
    <w:rsid w:val="006407AC"/>
    <w:rsid w:val="00640C49"/>
    <w:rsid w:val="00644343"/>
    <w:rsid w:val="00653EFF"/>
    <w:rsid w:val="00656E62"/>
    <w:rsid w:val="00663AE1"/>
    <w:rsid w:val="006659D8"/>
    <w:rsid w:val="0067203E"/>
    <w:rsid w:val="00674736"/>
    <w:rsid w:val="0067537C"/>
    <w:rsid w:val="0068083B"/>
    <w:rsid w:val="0068161E"/>
    <w:rsid w:val="006826E1"/>
    <w:rsid w:val="00683C92"/>
    <w:rsid w:val="006842C7"/>
    <w:rsid w:val="0068443C"/>
    <w:rsid w:val="00686183"/>
    <w:rsid w:val="00693CE0"/>
    <w:rsid w:val="006A0B57"/>
    <w:rsid w:val="006A2E4C"/>
    <w:rsid w:val="006A3E1D"/>
    <w:rsid w:val="006B0072"/>
    <w:rsid w:val="006B136C"/>
    <w:rsid w:val="006B24B4"/>
    <w:rsid w:val="006B2515"/>
    <w:rsid w:val="006B36E8"/>
    <w:rsid w:val="006B3BEF"/>
    <w:rsid w:val="006B505B"/>
    <w:rsid w:val="006C2D7F"/>
    <w:rsid w:val="006C4E22"/>
    <w:rsid w:val="006C58C7"/>
    <w:rsid w:val="006C5F6B"/>
    <w:rsid w:val="006D0EF8"/>
    <w:rsid w:val="006D26F3"/>
    <w:rsid w:val="006D2B38"/>
    <w:rsid w:val="006D4097"/>
    <w:rsid w:val="006D757B"/>
    <w:rsid w:val="006E3ACD"/>
    <w:rsid w:val="006E4A36"/>
    <w:rsid w:val="006E7016"/>
    <w:rsid w:val="006F2EB2"/>
    <w:rsid w:val="006F3371"/>
    <w:rsid w:val="006F4167"/>
    <w:rsid w:val="006F44D1"/>
    <w:rsid w:val="006F53CF"/>
    <w:rsid w:val="006F5697"/>
    <w:rsid w:val="006F6FD6"/>
    <w:rsid w:val="007036E3"/>
    <w:rsid w:val="00704653"/>
    <w:rsid w:val="0070465B"/>
    <w:rsid w:val="00704AFC"/>
    <w:rsid w:val="00712EE9"/>
    <w:rsid w:val="00714B5E"/>
    <w:rsid w:val="00715F96"/>
    <w:rsid w:val="00724EA2"/>
    <w:rsid w:val="00726D15"/>
    <w:rsid w:val="00726E6C"/>
    <w:rsid w:val="00730473"/>
    <w:rsid w:val="00735C35"/>
    <w:rsid w:val="007400B0"/>
    <w:rsid w:val="00740D90"/>
    <w:rsid w:val="00743C1D"/>
    <w:rsid w:val="007448EB"/>
    <w:rsid w:val="00745A40"/>
    <w:rsid w:val="007463DD"/>
    <w:rsid w:val="00746C95"/>
    <w:rsid w:val="0075049F"/>
    <w:rsid w:val="0075059A"/>
    <w:rsid w:val="007526E7"/>
    <w:rsid w:val="007534D3"/>
    <w:rsid w:val="00754CD4"/>
    <w:rsid w:val="00755220"/>
    <w:rsid w:val="00755B64"/>
    <w:rsid w:val="0075644E"/>
    <w:rsid w:val="007670D0"/>
    <w:rsid w:val="007810FC"/>
    <w:rsid w:val="007828B2"/>
    <w:rsid w:val="00782913"/>
    <w:rsid w:val="00783806"/>
    <w:rsid w:val="00784541"/>
    <w:rsid w:val="00785098"/>
    <w:rsid w:val="0078597F"/>
    <w:rsid w:val="00787120"/>
    <w:rsid w:val="00791E69"/>
    <w:rsid w:val="0079288C"/>
    <w:rsid w:val="00794E92"/>
    <w:rsid w:val="00795496"/>
    <w:rsid w:val="007A3CEA"/>
    <w:rsid w:val="007A43CE"/>
    <w:rsid w:val="007A7032"/>
    <w:rsid w:val="007A74F8"/>
    <w:rsid w:val="007B4814"/>
    <w:rsid w:val="007B6906"/>
    <w:rsid w:val="007C2165"/>
    <w:rsid w:val="007C3D86"/>
    <w:rsid w:val="007C4536"/>
    <w:rsid w:val="007C4A8D"/>
    <w:rsid w:val="007C6A6A"/>
    <w:rsid w:val="007D0036"/>
    <w:rsid w:val="007D0DFB"/>
    <w:rsid w:val="007D26EF"/>
    <w:rsid w:val="007D3248"/>
    <w:rsid w:val="007D3993"/>
    <w:rsid w:val="007D4A43"/>
    <w:rsid w:val="007D62F9"/>
    <w:rsid w:val="007D7372"/>
    <w:rsid w:val="007E3DC4"/>
    <w:rsid w:val="007E5721"/>
    <w:rsid w:val="007F0302"/>
    <w:rsid w:val="007F072C"/>
    <w:rsid w:val="007F32FE"/>
    <w:rsid w:val="007F3B9F"/>
    <w:rsid w:val="007F758E"/>
    <w:rsid w:val="008007CC"/>
    <w:rsid w:val="00801F2F"/>
    <w:rsid w:val="00802B15"/>
    <w:rsid w:val="00806CEA"/>
    <w:rsid w:val="0080780F"/>
    <w:rsid w:val="00810F17"/>
    <w:rsid w:val="008155D2"/>
    <w:rsid w:val="008169B0"/>
    <w:rsid w:val="00817A25"/>
    <w:rsid w:val="00821E6A"/>
    <w:rsid w:val="008226FD"/>
    <w:rsid w:val="00823BA9"/>
    <w:rsid w:val="00826094"/>
    <w:rsid w:val="00827883"/>
    <w:rsid w:val="00830C35"/>
    <w:rsid w:val="00831B68"/>
    <w:rsid w:val="008328D5"/>
    <w:rsid w:val="00836319"/>
    <w:rsid w:val="00845C3F"/>
    <w:rsid w:val="00846EC2"/>
    <w:rsid w:val="00850A3B"/>
    <w:rsid w:val="00851104"/>
    <w:rsid w:val="00852B7A"/>
    <w:rsid w:val="008534B9"/>
    <w:rsid w:val="008577D0"/>
    <w:rsid w:val="00860FAA"/>
    <w:rsid w:val="00861680"/>
    <w:rsid w:val="00863237"/>
    <w:rsid w:val="0086576F"/>
    <w:rsid w:val="00865AB7"/>
    <w:rsid w:val="00865C08"/>
    <w:rsid w:val="0086798B"/>
    <w:rsid w:val="00867ADE"/>
    <w:rsid w:val="00872667"/>
    <w:rsid w:val="0087414E"/>
    <w:rsid w:val="008849CD"/>
    <w:rsid w:val="00885288"/>
    <w:rsid w:val="00885FE0"/>
    <w:rsid w:val="00893748"/>
    <w:rsid w:val="0089573F"/>
    <w:rsid w:val="008A32DE"/>
    <w:rsid w:val="008A7A21"/>
    <w:rsid w:val="008B113B"/>
    <w:rsid w:val="008B3A70"/>
    <w:rsid w:val="008B3B70"/>
    <w:rsid w:val="008B42C5"/>
    <w:rsid w:val="008B586A"/>
    <w:rsid w:val="008B6343"/>
    <w:rsid w:val="008B6A86"/>
    <w:rsid w:val="008C2382"/>
    <w:rsid w:val="008C2510"/>
    <w:rsid w:val="008C31C2"/>
    <w:rsid w:val="008C39DE"/>
    <w:rsid w:val="008C4CB9"/>
    <w:rsid w:val="008C5436"/>
    <w:rsid w:val="008D04D0"/>
    <w:rsid w:val="008D22CD"/>
    <w:rsid w:val="008D313E"/>
    <w:rsid w:val="008D4D03"/>
    <w:rsid w:val="008E5A70"/>
    <w:rsid w:val="008E72BB"/>
    <w:rsid w:val="008F10EF"/>
    <w:rsid w:val="008F2501"/>
    <w:rsid w:val="008F2C1F"/>
    <w:rsid w:val="008F43BC"/>
    <w:rsid w:val="00903E92"/>
    <w:rsid w:val="009132E2"/>
    <w:rsid w:val="00914526"/>
    <w:rsid w:val="00920242"/>
    <w:rsid w:val="00921D51"/>
    <w:rsid w:val="0092301F"/>
    <w:rsid w:val="00927E97"/>
    <w:rsid w:val="009312E1"/>
    <w:rsid w:val="009348F2"/>
    <w:rsid w:val="00935A81"/>
    <w:rsid w:val="00935EDD"/>
    <w:rsid w:val="0094115B"/>
    <w:rsid w:val="00941E39"/>
    <w:rsid w:val="0094283D"/>
    <w:rsid w:val="00945159"/>
    <w:rsid w:val="00946E57"/>
    <w:rsid w:val="00947BF0"/>
    <w:rsid w:val="009523B2"/>
    <w:rsid w:val="009525B6"/>
    <w:rsid w:val="009533EA"/>
    <w:rsid w:val="009612E0"/>
    <w:rsid w:val="00963CA6"/>
    <w:rsid w:val="00964270"/>
    <w:rsid w:val="0096546D"/>
    <w:rsid w:val="00974100"/>
    <w:rsid w:val="009741B3"/>
    <w:rsid w:val="009771DF"/>
    <w:rsid w:val="009804A2"/>
    <w:rsid w:val="009821DA"/>
    <w:rsid w:val="00982496"/>
    <w:rsid w:val="0098293E"/>
    <w:rsid w:val="00984943"/>
    <w:rsid w:val="009849F7"/>
    <w:rsid w:val="00984A35"/>
    <w:rsid w:val="00985F9B"/>
    <w:rsid w:val="00987BBB"/>
    <w:rsid w:val="00991A13"/>
    <w:rsid w:val="00991BD7"/>
    <w:rsid w:val="00992CDD"/>
    <w:rsid w:val="009A19EB"/>
    <w:rsid w:val="009A4B0F"/>
    <w:rsid w:val="009B0B7E"/>
    <w:rsid w:val="009B14DD"/>
    <w:rsid w:val="009B3C46"/>
    <w:rsid w:val="009B683C"/>
    <w:rsid w:val="009C1AA4"/>
    <w:rsid w:val="009C2E01"/>
    <w:rsid w:val="009C4108"/>
    <w:rsid w:val="009C6103"/>
    <w:rsid w:val="009C7D10"/>
    <w:rsid w:val="009D74D6"/>
    <w:rsid w:val="009D7A6B"/>
    <w:rsid w:val="009E1FFC"/>
    <w:rsid w:val="009E2632"/>
    <w:rsid w:val="009E3A92"/>
    <w:rsid w:val="009E5037"/>
    <w:rsid w:val="009E6C68"/>
    <w:rsid w:val="009E713E"/>
    <w:rsid w:val="009F2879"/>
    <w:rsid w:val="009F2AB3"/>
    <w:rsid w:val="009F5AEB"/>
    <w:rsid w:val="009F77E5"/>
    <w:rsid w:val="00A029D8"/>
    <w:rsid w:val="00A03D26"/>
    <w:rsid w:val="00A06BDA"/>
    <w:rsid w:val="00A11166"/>
    <w:rsid w:val="00A12E71"/>
    <w:rsid w:val="00A14A0F"/>
    <w:rsid w:val="00A14A82"/>
    <w:rsid w:val="00A14EE2"/>
    <w:rsid w:val="00A17005"/>
    <w:rsid w:val="00A22096"/>
    <w:rsid w:val="00A2660A"/>
    <w:rsid w:val="00A26617"/>
    <w:rsid w:val="00A32F4B"/>
    <w:rsid w:val="00A34738"/>
    <w:rsid w:val="00A347C1"/>
    <w:rsid w:val="00A36195"/>
    <w:rsid w:val="00A3658E"/>
    <w:rsid w:val="00A36EE9"/>
    <w:rsid w:val="00A37D24"/>
    <w:rsid w:val="00A412C6"/>
    <w:rsid w:val="00A4323B"/>
    <w:rsid w:val="00A44F42"/>
    <w:rsid w:val="00A474B9"/>
    <w:rsid w:val="00A5115D"/>
    <w:rsid w:val="00A515EE"/>
    <w:rsid w:val="00A54DB9"/>
    <w:rsid w:val="00A56ECF"/>
    <w:rsid w:val="00A5757F"/>
    <w:rsid w:val="00A610E9"/>
    <w:rsid w:val="00A6502A"/>
    <w:rsid w:val="00A659B9"/>
    <w:rsid w:val="00A72144"/>
    <w:rsid w:val="00A7295C"/>
    <w:rsid w:val="00A80779"/>
    <w:rsid w:val="00A83F51"/>
    <w:rsid w:val="00A84336"/>
    <w:rsid w:val="00A910DB"/>
    <w:rsid w:val="00A9197B"/>
    <w:rsid w:val="00A91E27"/>
    <w:rsid w:val="00A94524"/>
    <w:rsid w:val="00A96557"/>
    <w:rsid w:val="00A975CB"/>
    <w:rsid w:val="00AA68E9"/>
    <w:rsid w:val="00AC3D50"/>
    <w:rsid w:val="00AC469B"/>
    <w:rsid w:val="00AC78AF"/>
    <w:rsid w:val="00AD1899"/>
    <w:rsid w:val="00AD3D95"/>
    <w:rsid w:val="00AD3F20"/>
    <w:rsid w:val="00AD43CD"/>
    <w:rsid w:val="00AD4F50"/>
    <w:rsid w:val="00AD6225"/>
    <w:rsid w:val="00AD6334"/>
    <w:rsid w:val="00AD6B8A"/>
    <w:rsid w:val="00AE179B"/>
    <w:rsid w:val="00AE2695"/>
    <w:rsid w:val="00AE41AF"/>
    <w:rsid w:val="00AE74D3"/>
    <w:rsid w:val="00AF0662"/>
    <w:rsid w:val="00AF0763"/>
    <w:rsid w:val="00AF4CC4"/>
    <w:rsid w:val="00B016BE"/>
    <w:rsid w:val="00B03AE6"/>
    <w:rsid w:val="00B0699C"/>
    <w:rsid w:val="00B10654"/>
    <w:rsid w:val="00B120D2"/>
    <w:rsid w:val="00B13614"/>
    <w:rsid w:val="00B160E3"/>
    <w:rsid w:val="00B17E65"/>
    <w:rsid w:val="00B21D89"/>
    <w:rsid w:val="00B22DAD"/>
    <w:rsid w:val="00B2367B"/>
    <w:rsid w:val="00B40C62"/>
    <w:rsid w:val="00B43C82"/>
    <w:rsid w:val="00B4481E"/>
    <w:rsid w:val="00B4572D"/>
    <w:rsid w:val="00B51DD8"/>
    <w:rsid w:val="00B54D18"/>
    <w:rsid w:val="00B563E7"/>
    <w:rsid w:val="00B5648B"/>
    <w:rsid w:val="00B56DE7"/>
    <w:rsid w:val="00B655C9"/>
    <w:rsid w:val="00B6595B"/>
    <w:rsid w:val="00B66C3F"/>
    <w:rsid w:val="00B706C7"/>
    <w:rsid w:val="00B74964"/>
    <w:rsid w:val="00B82388"/>
    <w:rsid w:val="00B86C07"/>
    <w:rsid w:val="00B87B72"/>
    <w:rsid w:val="00B90BFD"/>
    <w:rsid w:val="00B937F3"/>
    <w:rsid w:val="00B9395C"/>
    <w:rsid w:val="00B94226"/>
    <w:rsid w:val="00B95285"/>
    <w:rsid w:val="00BA2862"/>
    <w:rsid w:val="00BA31ED"/>
    <w:rsid w:val="00BB028D"/>
    <w:rsid w:val="00BB0856"/>
    <w:rsid w:val="00BB1079"/>
    <w:rsid w:val="00BB320F"/>
    <w:rsid w:val="00BB6498"/>
    <w:rsid w:val="00BC010F"/>
    <w:rsid w:val="00BC3BAD"/>
    <w:rsid w:val="00BC7765"/>
    <w:rsid w:val="00BD1281"/>
    <w:rsid w:val="00BD1FDC"/>
    <w:rsid w:val="00BD6AD9"/>
    <w:rsid w:val="00BE003B"/>
    <w:rsid w:val="00BE0FAC"/>
    <w:rsid w:val="00BE26D2"/>
    <w:rsid w:val="00BE339C"/>
    <w:rsid w:val="00BF1B51"/>
    <w:rsid w:val="00BF2CD7"/>
    <w:rsid w:val="00BF59E6"/>
    <w:rsid w:val="00BF5B95"/>
    <w:rsid w:val="00BF6B38"/>
    <w:rsid w:val="00BF7BCA"/>
    <w:rsid w:val="00C00745"/>
    <w:rsid w:val="00C0674E"/>
    <w:rsid w:val="00C17AB1"/>
    <w:rsid w:val="00C21D6A"/>
    <w:rsid w:val="00C27348"/>
    <w:rsid w:val="00C31A2F"/>
    <w:rsid w:val="00C31CF0"/>
    <w:rsid w:val="00C333AA"/>
    <w:rsid w:val="00C363D4"/>
    <w:rsid w:val="00C400AE"/>
    <w:rsid w:val="00C407AA"/>
    <w:rsid w:val="00C424C3"/>
    <w:rsid w:val="00C4559B"/>
    <w:rsid w:val="00C456F7"/>
    <w:rsid w:val="00C46F16"/>
    <w:rsid w:val="00C471FE"/>
    <w:rsid w:val="00C50C8F"/>
    <w:rsid w:val="00C53C19"/>
    <w:rsid w:val="00C55A1D"/>
    <w:rsid w:val="00C55FE3"/>
    <w:rsid w:val="00C632CC"/>
    <w:rsid w:val="00C65B6E"/>
    <w:rsid w:val="00C72F8B"/>
    <w:rsid w:val="00C836CF"/>
    <w:rsid w:val="00C878A3"/>
    <w:rsid w:val="00C91493"/>
    <w:rsid w:val="00C91693"/>
    <w:rsid w:val="00C92017"/>
    <w:rsid w:val="00C95F68"/>
    <w:rsid w:val="00C97AEE"/>
    <w:rsid w:val="00CA0A1F"/>
    <w:rsid w:val="00CA26E5"/>
    <w:rsid w:val="00CA303F"/>
    <w:rsid w:val="00CA5DCF"/>
    <w:rsid w:val="00CB5B90"/>
    <w:rsid w:val="00CC1004"/>
    <w:rsid w:val="00CC4439"/>
    <w:rsid w:val="00CD07BB"/>
    <w:rsid w:val="00CD14BA"/>
    <w:rsid w:val="00CD5F17"/>
    <w:rsid w:val="00CD6BE2"/>
    <w:rsid w:val="00CE08F5"/>
    <w:rsid w:val="00CE0B3F"/>
    <w:rsid w:val="00CE1BFB"/>
    <w:rsid w:val="00CE1F1C"/>
    <w:rsid w:val="00CE4224"/>
    <w:rsid w:val="00CF6BAF"/>
    <w:rsid w:val="00D031E3"/>
    <w:rsid w:val="00D0788F"/>
    <w:rsid w:val="00D10494"/>
    <w:rsid w:val="00D108B6"/>
    <w:rsid w:val="00D11713"/>
    <w:rsid w:val="00D12F78"/>
    <w:rsid w:val="00D1782E"/>
    <w:rsid w:val="00D204A7"/>
    <w:rsid w:val="00D20ACB"/>
    <w:rsid w:val="00D21319"/>
    <w:rsid w:val="00D2166E"/>
    <w:rsid w:val="00D22FFE"/>
    <w:rsid w:val="00D24715"/>
    <w:rsid w:val="00D24D72"/>
    <w:rsid w:val="00D24E97"/>
    <w:rsid w:val="00D25AE7"/>
    <w:rsid w:val="00D3227D"/>
    <w:rsid w:val="00D37326"/>
    <w:rsid w:val="00D414B8"/>
    <w:rsid w:val="00D41994"/>
    <w:rsid w:val="00D42BA2"/>
    <w:rsid w:val="00D43720"/>
    <w:rsid w:val="00D43DF7"/>
    <w:rsid w:val="00D47607"/>
    <w:rsid w:val="00D53423"/>
    <w:rsid w:val="00D55B36"/>
    <w:rsid w:val="00D56C32"/>
    <w:rsid w:val="00D60736"/>
    <w:rsid w:val="00D641DC"/>
    <w:rsid w:val="00D6421E"/>
    <w:rsid w:val="00D64490"/>
    <w:rsid w:val="00D64DFC"/>
    <w:rsid w:val="00D720F0"/>
    <w:rsid w:val="00D72EB6"/>
    <w:rsid w:val="00D74BC8"/>
    <w:rsid w:val="00D75EDE"/>
    <w:rsid w:val="00D83434"/>
    <w:rsid w:val="00D87750"/>
    <w:rsid w:val="00D904C6"/>
    <w:rsid w:val="00D9184E"/>
    <w:rsid w:val="00D92274"/>
    <w:rsid w:val="00D93DB7"/>
    <w:rsid w:val="00D949EE"/>
    <w:rsid w:val="00D95FC2"/>
    <w:rsid w:val="00DA1129"/>
    <w:rsid w:val="00DA1BBC"/>
    <w:rsid w:val="00DA239A"/>
    <w:rsid w:val="00DA24E5"/>
    <w:rsid w:val="00DA2ABB"/>
    <w:rsid w:val="00DA30D3"/>
    <w:rsid w:val="00DA567C"/>
    <w:rsid w:val="00DB1597"/>
    <w:rsid w:val="00DB1C60"/>
    <w:rsid w:val="00DB2605"/>
    <w:rsid w:val="00DB5258"/>
    <w:rsid w:val="00DB54D6"/>
    <w:rsid w:val="00DB6DBE"/>
    <w:rsid w:val="00DC03D5"/>
    <w:rsid w:val="00DC144D"/>
    <w:rsid w:val="00DC74AC"/>
    <w:rsid w:val="00DC7A83"/>
    <w:rsid w:val="00DD73FD"/>
    <w:rsid w:val="00DE2DDF"/>
    <w:rsid w:val="00DE4399"/>
    <w:rsid w:val="00DE5670"/>
    <w:rsid w:val="00DE7FC9"/>
    <w:rsid w:val="00DF1658"/>
    <w:rsid w:val="00DF1F6B"/>
    <w:rsid w:val="00DF2181"/>
    <w:rsid w:val="00DF42A2"/>
    <w:rsid w:val="00DF597D"/>
    <w:rsid w:val="00E01E49"/>
    <w:rsid w:val="00E02669"/>
    <w:rsid w:val="00E03268"/>
    <w:rsid w:val="00E051C6"/>
    <w:rsid w:val="00E13CA0"/>
    <w:rsid w:val="00E1422A"/>
    <w:rsid w:val="00E171DE"/>
    <w:rsid w:val="00E178C9"/>
    <w:rsid w:val="00E179B6"/>
    <w:rsid w:val="00E24A10"/>
    <w:rsid w:val="00E33206"/>
    <w:rsid w:val="00E336BC"/>
    <w:rsid w:val="00E352B4"/>
    <w:rsid w:val="00E36CE6"/>
    <w:rsid w:val="00E53B77"/>
    <w:rsid w:val="00E66851"/>
    <w:rsid w:val="00E66DB6"/>
    <w:rsid w:val="00E675DC"/>
    <w:rsid w:val="00E7186E"/>
    <w:rsid w:val="00E749C6"/>
    <w:rsid w:val="00E749E2"/>
    <w:rsid w:val="00E81099"/>
    <w:rsid w:val="00E8160B"/>
    <w:rsid w:val="00E819C3"/>
    <w:rsid w:val="00E82E9B"/>
    <w:rsid w:val="00E86077"/>
    <w:rsid w:val="00E86D5B"/>
    <w:rsid w:val="00E87A39"/>
    <w:rsid w:val="00E91838"/>
    <w:rsid w:val="00E92964"/>
    <w:rsid w:val="00E9596E"/>
    <w:rsid w:val="00E96000"/>
    <w:rsid w:val="00EA4C69"/>
    <w:rsid w:val="00EA4DB5"/>
    <w:rsid w:val="00EA5457"/>
    <w:rsid w:val="00EB18D3"/>
    <w:rsid w:val="00EB1FA8"/>
    <w:rsid w:val="00EB3588"/>
    <w:rsid w:val="00EB4095"/>
    <w:rsid w:val="00EC096A"/>
    <w:rsid w:val="00EC1293"/>
    <w:rsid w:val="00EC1325"/>
    <w:rsid w:val="00ED3712"/>
    <w:rsid w:val="00EE16DC"/>
    <w:rsid w:val="00EF11C7"/>
    <w:rsid w:val="00EF1EB8"/>
    <w:rsid w:val="00EF4F4B"/>
    <w:rsid w:val="00EF7C95"/>
    <w:rsid w:val="00F00CE9"/>
    <w:rsid w:val="00F01645"/>
    <w:rsid w:val="00F02EEA"/>
    <w:rsid w:val="00F0323C"/>
    <w:rsid w:val="00F05205"/>
    <w:rsid w:val="00F06D44"/>
    <w:rsid w:val="00F1099E"/>
    <w:rsid w:val="00F137DC"/>
    <w:rsid w:val="00F14E0C"/>
    <w:rsid w:val="00F14E95"/>
    <w:rsid w:val="00F16454"/>
    <w:rsid w:val="00F2184A"/>
    <w:rsid w:val="00F21F4F"/>
    <w:rsid w:val="00F23307"/>
    <w:rsid w:val="00F26408"/>
    <w:rsid w:val="00F30D2D"/>
    <w:rsid w:val="00F34191"/>
    <w:rsid w:val="00F35B28"/>
    <w:rsid w:val="00F37239"/>
    <w:rsid w:val="00F4301E"/>
    <w:rsid w:val="00F43282"/>
    <w:rsid w:val="00F437A6"/>
    <w:rsid w:val="00F4670A"/>
    <w:rsid w:val="00F51A63"/>
    <w:rsid w:val="00F52F39"/>
    <w:rsid w:val="00F55A54"/>
    <w:rsid w:val="00F5655D"/>
    <w:rsid w:val="00F61614"/>
    <w:rsid w:val="00F6275D"/>
    <w:rsid w:val="00F65AB5"/>
    <w:rsid w:val="00F71CCF"/>
    <w:rsid w:val="00F727A6"/>
    <w:rsid w:val="00F731D9"/>
    <w:rsid w:val="00F77BAD"/>
    <w:rsid w:val="00F80AA0"/>
    <w:rsid w:val="00F8237D"/>
    <w:rsid w:val="00F83990"/>
    <w:rsid w:val="00F844D2"/>
    <w:rsid w:val="00F85982"/>
    <w:rsid w:val="00F92937"/>
    <w:rsid w:val="00F92B5E"/>
    <w:rsid w:val="00F95FC2"/>
    <w:rsid w:val="00FA4073"/>
    <w:rsid w:val="00FA4607"/>
    <w:rsid w:val="00FA505C"/>
    <w:rsid w:val="00FA5283"/>
    <w:rsid w:val="00FA5583"/>
    <w:rsid w:val="00FB2870"/>
    <w:rsid w:val="00FB3B4C"/>
    <w:rsid w:val="00FB4546"/>
    <w:rsid w:val="00FB4B07"/>
    <w:rsid w:val="00FB7B7D"/>
    <w:rsid w:val="00FC22FC"/>
    <w:rsid w:val="00FD147B"/>
    <w:rsid w:val="00FD14E8"/>
    <w:rsid w:val="00FD1D25"/>
    <w:rsid w:val="00FD1E6C"/>
    <w:rsid w:val="00FD1F69"/>
    <w:rsid w:val="00FD3A4A"/>
    <w:rsid w:val="00FE04E8"/>
    <w:rsid w:val="00FE3231"/>
    <w:rsid w:val="00FE5241"/>
    <w:rsid w:val="00FE7628"/>
    <w:rsid w:val="00FF0A2B"/>
    <w:rsid w:val="00FF2559"/>
    <w:rsid w:val="00FF37F7"/>
    <w:rsid w:val="00FF43FB"/>
    <w:rsid w:val="00FF443B"/>
    <w:rsid w:val="00FF76D0"/>
    <w:rsid w:val="00FF7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51A352"/>
  <w14:defaultImageDpi w14:val="330"/>
  <w15:chartTrackingRefBased/>
  <w15:docId w15:val="{191E1639-D49C-4AF0-8BB5-95EB1C20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802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63D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A44F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6A3E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02E4"/>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183C17"/>
    <w:pPr>
      <w:ind w:left="720"/>
      <w:contextualSpacing/>
    </w:pPr>
  </w:style>
  <w:style w:type="character" w:customStyle="1" w:styleId="Titre2Car">
    <w:name w:val="Titre 2 Car"/>
    <w:basedOn w:val="Policepardfaut"/>
    <w:link w:val="Titre2"/>
    <w:uiPriority w:val="9"/>
    <w:rsid w:val="00063DCC"/>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A44F42"/>
    <w:rPr>
      <w:rFonts w:asciiTheme="majorHAnsi" w:eastAsiaTheme="majorEastAsia" w:hAnsiTheme="majorHAnsi" w:cstheme="majorBidi"/>
      <w:color w:val="1F4D78" w:themeColor="accent1" w:themeShade="7F"/>
      <w:sz w:val="24"/>
      <w:szCs w:val="24"/>
    </w:rPr>
  </w:style>
  <w:style w:type="character" w:styleId="Marquedecommentaire">
    <w:name w:val="annotation reference"/>
    <w:basedOn w:val="Policepardfaut"/>
    <w:uiPriority w:val="99"/>
    <w:semiHidden/>
    <w:unhideWhenUsed/>
    <w:rsid w:val="00A14EE2"/>
    <w:rPr>
      <w:sz w:val="16"/>
      <w:szCs w:val="16"/>
    </w:rPr>
  </w:style>
  <w:style w:type="paragraph" w:styleId="Commentaire">
    <w:name w:val="annotation text"/>
    <w:basedOn w:val="Normal"/>
    <w:link w:val="CommentaireCar"/>
    <w:uiPriority w:val="99"/>
    <w:semiHidden/>
    <w:unhideWhenUsed/>
    <w:rsid w:val="00A14EE2"/>
    <w:pPr>
      <w:spacing w:line="240" w:lineRule="auto"/>
    </w:pPr>
    <w:rPr>
      <w:sz w:val="20"/>
      <w:szCs w:val="20"/>
    </w:rPr>
  </w:style>
  <w:style w:type="character" w:customStyle="1" w:styleId="CommentaireCar">
    <w:name w:val="Commentaire Car"/>
    <w:basedOn w:val="Policepardfaut"/>
    <w:link w:val="Commentaire"/>
    <w:uiPriority w:val="99"/>
    <w:semiHidden/>
    <w:rsid w:val="00A14EE2"/>
    <w:rPr>
      <w:sz w:val="20"/>
      <w:szCs w:val="20"/>
    </w:rPr>
  </w:style>
  <w:style w:type="paragraph" w:styleId="Objetducommentaire">
    <w:name w:val="annotation subject"/>
    <w:basedOn w:val="Commentaire"/>
    <w:next w:val="Commentaire"/>
    <w:link w:val="ObjetducommentaireCar"/>
    <w:uiPriority w:val="99"/>
    <w:semiHidden/>
    <w:unhideWhenUsed/>
    <w:rsid w:val="00A14EE2"/>
    <w:rPr>
      <w:b/>
      <w:bCs/>
    </w:rPr>
  </w:style>
  <w:style w:type="character" w:customStyle="1" w:styleId="ObjetducommentaireCar">
    <w:name w:val="Objet du commentaire Car"/>
    <w:basedOn w:val="CommentaireCar"/>
    <w:link w:val="Objetducommentaire"/>
    <w:uiPriority w:val="99"/>
    <w:semiHidden/>
    <w:rsid w:val="00A14EE2"/>
    <w:rPr>
      <w:b/>
      <w:bCs/>
      <w:sz w:val="20"/>
      <w:szCs w:val="20"/>
    </w:rPr>
  </w:style>
  <w:style w:type="paragraph" w:styleId="Textedebulles">
    <w:name w:val="Balloon Text"/>
    <w:basedOn w:val="Normal"/>
    <w:link w:val="TextedebullesCar"/>
    <w:uiPriority w:val="99"/>
    <w:semiHidden/>
    <w:unhideWhenUsed/>
    <w:rsid w:val="00A14EE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4EE2"/>
    <w:rPr>
      <w:rFonts w:ascii="Segoe UI" w:hAnsi="Segoe UI" w:cs="Segoe UI"/>
      <w:sz w:val="18"/>
      <w:szCs w:val="18"/>
    </w:rPr>
  </w:style>
  <w:style w:type="paragraph" w:styleId="NormalWeb">
    <w:name w:val="Normal (Web)"/>
    <w:basedOn w:val="Normal"/>
    <w:uiPriority w:val="99"/>
    <w:unhideWhenUsed/>
    <w:rsid w:val="00CE08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gende">
    <w:name w:val="caption"/>
    <w:basedOn w:val="Normal"/>
    <w:next w:val="Normal"/>
    <w:uiPriority w:val="35"/>
    <w:unhideWhenUsed/>
    <w:qFormat/>
    <w:rsid w:val="008007CC"/>
    <w:pPr>
      <w:spacing w:after="200" w:line="240" w:lineRule="auto"/>
    </w:pPr>
    <w:rPr>
      <w:i/>
      <w:iCs/>
      <w:color w:val="44546A" w:themeColor="text2"/>
      <w:sz w:val="18"/>
      <w:szCs w:val="18"/>
    </w:rPr>
  </w:style>
  <w:style w:type="table" w:styleId="Grilledutableau">
    <w:name w:val="Table Grid"/>
    <w:basedOn w:val="TableauNormal"/>
    <w:uiPriority w:val="39"/>
    <w:rsid w:val="002B1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Policepardfaut"/>
    <w:rsid w:val="004A4F26"/>
  </w:style>
  <w:style w:type="character" w:customStyle="1" w:styleId="mord">
    <w:name w:val="mord"/>
    <w:basedOn w:val="Policepardfaut"/>
    <w:rsid w:val="004A4F26"/>
  </w:style>
  <w:style w:type="character" w:customStyle="1" w:styleId="vlist-s">
    <w:name w:val="vlist-s"/>
    <w:basedOn w:val="Policepardfaut"/>
    <w:rsid w:val="004A4F26"/>
  </w:style>
  <w:style w:type="table" w:styleId="TableauGrille1Clair">
    <w:name w:val="Grid Table 1 Light"/>
    <w:basedOn w:val="TableauNormal"/>
    <w:uiPriority w:val="46"/>
    <w:rsid w:val="00BA31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ev">
    <w:name w:val="Strong"/>
    <w:basedOn w:val="Policepardfaut"/>
    <w:uiPriority w:val="22"/>
    <w:qFormat/>
    <w:rsid w:val="00821E6A"/>
    <w:rPr>
      <w:b/>
      <w:bCs/>
    </w:rPr>
  </w:style>
  <w:style w:type="character" w:customStyle="1" w:styleId="mbin">
    <w:name w:val="mbin"/>
    <w:basedOn w:val="Policepardfaut"/>
    <w:rsid w:val="00726E6C"/>
  </w:style>
  <w:style w:type="character" w:customStyle="1" w:styleId="mrel">
    <w:name w:val="mrel"/>
    <w:basedOn w:val="Policepardfaut"/>
    <w:rsid w:val="00726E6C"/>
  </w:style>
  <w:style w:type="character" w:styleId="Lienhypertexte">
    <w:name w:val="Hyperlink"/>
    <w:basedOn w:val="Policepardfaut"/>
    <w:uiPriority w:val="99"/>
    <w:unhideWhenUsed/>
    <w:rsid w:val="00726E6C"/>
    <w:rPr>
      <w:color w:val="0000FF"/>
      <w:u w:val="single"/>
    </w:rPr>
  </w:style>
  <w:style w:type="character" w:styleId="Textedelespacerserv">
    <w:name w:val="Placeholder Text"/>
    <w:basedOn w:val="Policepardfaut"/>
    <w:uiPriority w:val="99"/>
    <w:semiHidden/>
    <w:rsid w:val="005B4DB6"/>
    <w:rPr>
      <w:color w:val="808080"/>
    </w:rPr>
  </w:style>
  <w:style w:type="paragraph" w:styleId="Rvision">
    <w:name w:val="Revision"/>
    <w:hidden/>
    <w:uiPriority w:val="99"/>
    <w:semiHidden/>
    <w:rsid w:val="00A5757F"/>
    <w:pPr>
      <w:spacing w:after="0" w:line="240" w:lineRule="auto"/>
    </w:pPr>
  </w:style>
  <w:style w:type="character" w:customStyle="1" w:styleId="Titre4Car">
    <w:name w:val="Titre 4 Car"/>
    <w:basedOn w:val="Policepardfaut"/>
    <w:link w:val="Titre4"/>
    <w:uiPriority w:val="9"/>
    <w:rsid w:val="006A3E1D"/>
    <w:rPr>
      <w:rFonts w:asciiTheme="majorHAnsi" w:eastAsiaTheme="majorEastAsia" w:hAnsiTheme="majorHAnsi" w:cstheme="majorBidi"/>
      <w:i/>
      <w:iCs/>
      <w:color w:val="2E74B5" w:themeColor="accent1" w:themeShade="BF"/>
    </w:rPr>
  </w:style>
  <w:style w:type="character" w:customStyle="1" w:styleId="anchor-text">
    <w:name w:val="anchor-text"/>
    <w:basedOn w:val="Policepardfaut"/>
    <w:rsid w:val="00A5115D"/>
  </w:style>
  <w:style w:type="paragraph" w:styleId="Bibliographie">
    <w:name w:val="Bibliography"/>
    <w:basedOn w:val="Normal"/>
    <w:next w:val="Normal"/>
    <w:uiPriority w:val="37"/>
    <w:unhideWhenUsed/>
    <w:rsid w:val="001630D4"/>
    <w:pPr>
      <w:spacing w:after="240" w:line="240" w:lineRule="auto"/>
    </w:pPr>
  </w:style>
  <w:style w:type="character" w:customStyle="1" w:styleId="UnresolvedMention">
    <w:name w:val="Unresolved Mention"/>
    <w:basedOn w:val="Policepardfaut"/>
    <w:uiPriority w:val="99"/>
    <w:semiHidden/>
    <w:unhideWhenUsed/>
    <w:rsid w:val="00FA5583"/>
    <w:rPr>
      <w:color w:val="605E5C"/>
      <w:shd w:val="clear" w:color="auto" w:fill="E1DFDD"/>
    </w:rPr>
  </w:style>
  <w:style w:type="character" w:styleId="Numrodeligne">
    <w:name w:val="line number"/>
    <w:basedOn w:val="Policepardfaut"/>
    <w:uiPriority w:val="99"/>
    <w:semiHidden/>
    <w:unhideWhenUsed/>
    <w:rsid w:val="00476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9945">
      <w:bodyDiv w:val="1"/>
      <w:marLeft w:val="0"/>
      <w:marRight w:val="0"/>
      <w:marTop w:val="0"/>
      <w:marBottom w:val="0"/>
      <w:divBdr>
        <w:top w:val="none" w:sz="0" w:space="0" w:color="auto"/>
        <w:left w:val="none" w:sz="0" w:space="0" w:color="auto"/>
        <w:bottom w:val="none" w:sz="0" w:space="0" w:color="auto"/>
        <w:right w:val="none" w:sz="0" w:space="0" w:color="auto"/>
      </w:divBdr>
    </w:div>
    <w:div w:id="35589723">
      <w:bodyDiv w:val="1"/>
      <w:marLeft w:val="0"/>
      <w:marRight w:val="0"/>
      <w:marTop w:val="0"/>
      <w:marBottom w:val="0"/>
      <w:divBdr>
        <w:top w:val="none" w:sz="0" w:space="0" w:color="auto"/>
        <w:left w:val="none" w:sz="0" w:space="0" w:color="auto"/>
        <w:bottom w:val="none" w:sz="0" w:space="0" w:color="auto"/>
        <w:right w:val="none" w:sz="0" w:space="0" w:color="auto"/>
      </w:divBdr>
    </w:div>
    <w:div w:id="71388844">
      <w:bodyDiv w:val="1"/>
      <w:marLeft w:val="0"/>
      <w:marRight w:val="0"/>
      <w:marTop w:val="0"/>
      <w:marBottom w:val="0"/>
      <w:divBdr>
        <w:top w:val="none" w:sz="0" w:space="0" w:color="auto"/>
        <w:left w:val="none" w:sz="0" w:space="0" w:color="auto"/>
        <w:bottom w:val="none" w:sz="0" w:space="0" w:color="auto"/>
        <w:right w:val="none" w:sz="0" w:space="0" w:color="auto"/>
      </w:divBdr>
    </w:div>
    <w:div w:id="140389529">
      <w:bodyDiv w:val="1"/>
      <w:marLeft w:val="0"/>
      <w:marRight w:val="0"/>
      <w:marTop w:val="0"/>
      <w:marBottom w:val="0"/>
      <w:divBdr>
        <w:top w:val="none" w:sz="0" w:space="0" w:color="auto"/>
        <w:left w:val="none" w:sz="0" w:space="0" w:color="auto"/>
        <w:bottom w:val="none" w:sz="0" w:space="0" w:color="auto"/>
        <w:right w:val="none" w:sz="0" w:space="0" w:color="auto"/>
      </w:divBdr>
    </w:div>
    <w:div w:id="144519612">
      <w:bodyDiv w:val="1"/>
      <w:marLeft w:val="0"/>
      <w:marRight w:val="0"/>
      <w:marTop w:val="0"/>
      <w:marBottom w:val="0"/>
      <w:divBdr>
        <w:top w:val="none" w:sz="0" w:space="0" w:color="auto"/>
        <w:left w:val="none" w:sz="0" w:space="0" w:color="auto"/>
        <w:bottom w:val="none" w:sz="0" w:space="0" w:color="auto"/>
        <w:right w:val="none" w:sz="0" w:space="0" w:color="auto"/>
      </w:divBdr>
    </w:div>
    <w:div w:id="147329253">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211355915">
      <w:bodyDiv w:val="1"/>
      <w:marLeft w:val="0"/>
      <w:marRight w:val="0"/>
      <w:marTop w:val="0"/>
      <w:marBottom w:val="0"/>
      <w:divBdr>
        <w:top w:val="none" w:sz="0" w:space="0" w:color="auto"/>
        <w:left w:val="none" w:sz="0" w:space="0" w:color="auto"/>
        <w:bottom w:val="none" w:sz="0" w:space="0" w:color="auto"/>
        <w:right w:val="none" w:sz="0" w:space="0" w:color="auto"/>
      </w:divBdr>
    </w:div>
    <w:div w:id="233470639">
      <w:bodyDiv w:val="1"/>
      <w:marLeft w:val="0"/>
      <w:marRight w:val="0"/>
      <w:marTop w:val="0"/>
      <w:marBottom w:val="0"/>
      <w:divBdr>
        <w:top w:val="none" w:sz="0" w:space="0" w:color="auto"/>
        <w:left w:val="none" w:sz="0" w:space="0" w:color="auto"/>
        <w:bottom w:val="none" w:sz="0" w:space="0" w:color="auto"/>
        <w:right w:val="none" w:sz="0" w:space="0" w:color="auto"/>
      </w:divBdr>
    </w:div>
    <w:div w:id="245965399">
      <w:bodyDiv w:val="1"/>
      <w:marLeft w:val="0"/>
      <w:marRight w:val="0"/>
      <w:marTop w:val="0"/>
      <w:marBottom w:val="0"/>
      <w:divBdr>
        <w:top w:val="none" w:sz="0" w:space="0" w:color="auto"/>
        <w:left w:val="none" w:sz="0" w:space="0" w:color="auto"/>
        <w:bottom w:val="none" w:sz="0" w:space="0" w:color="auto"/>
        <w:right w:val="none" w:sz="0" w:space="0" w:color="auto"/>
      </w:divBdr>
    </w:div>
    <w:div w:id="260649054">
      <w:bodyDiv w:val="1"/>
      <w:marLeft w:val="0"/>
      <w:marRight w:val="0"/>
      <w:marTop w:val="0"/>
      <w:marBottom w:val="0"/>
      <w:divBdr>
        <w:top w:val="none" w:sz="0" w:space="0" w:color="auto"/>
        <w:left w:val="none" w:sz="0" w:space="0" w:color="auto"/>
        <w:bottom w:val="none" w:sz="0" w:space="0" w:color="auto"/>
        <w:right w:val="none" w:sz="0" w:space="0" w:color="auto"/>
      </w:divBdr>
    </w:div>
    <w:div w:id="263269826">
      <w:bodyDiv w:val="1"/>
      <w:marLeft w:val="0"/>
      <w:marRight w:val="0"/>
      <w:marTop w:val="0"/>
      <w:marBottom w:val="0"/>
      <w:divBdr>
        <w:top w:val="none" w:sz="0" w:space="0" w:color="auto"/>
        <w:left w:val="none" w:sz="0" w:space="0" w:color="auto"/>
        <w:bottom w:val="none" w:sz="0" w:space="0" w:color="auto"/>
        <w:right w:val="none" w:sz="0" w:space="0" w:color="auto"/>
      </w:divBdr>
    </w:div>
    <w:div w:id="270823696">
      <w:bodyDiv w:val="1"/>
      <w:marLeft w:val="0"/>
      <w:marRight w:val="0"/>
      <w:marTop w:val="0"/>
      <w:marBottom w:val="0"/>
      <w:divBdr>
        <w:top w:val="none" w:sz="0" w:space="0" w:color="auto"/>
        <w:left w:val="none" w:sz="0" w:space="0" w:color="auto"/>
        <w:bottom w:val="none" w:sz="0" w:space="0" w:color="auto"/>
        <w:right w:val="none" w:sz="0" w:space="0" w:color="auto"/>
      </w:divBdr>
    </w:div>
    <w:div w:id="277642884">
      <w:bodyDiv w:val="1"/>
      <w:marLeft w:val="0"/>
      <w:marRight w:val="0"/>
      <w:marTop w:val="0"/>
      <w:marBottom w:val="0"/>
      <w:divBdr>
        <w:top w:val="none" w:sz="0" w:space="0" w:color="auto"/>
        <w:left w:val="none" w:sz="0" w:space="0" w:color="auto"/>
        <w:bottom w:val="none" w:sz="0" w:space="0" w:color="auto"/>
        <w:right w:val="none" w:sz="0" w:space="0" w:color="auto"/>
      </w:divBdr>
    </w:div>
    <w:div w:id="286670466">
      <w:bodyDiv w:val="1"/>
      <w:marLeft w:val="0"/>
      <w:marRight w:val="0"/>
      <w:marTop w:val="0"/>
      <w:marBottom w:val="0"/>
      <w:divBdr>
        <w:top w:val="none" w:sz="0" w:space="0" w:color="auto"/>
        <w:left w:val="none" w:sz="0" w:space="0" w:color="auto"/>
        <w:bottom w:val="none" w:sz="0" w:space="0" w:color="auto"/>
        <w:right w:val="none" w:sz="0" w:space="0" w:color="auto"/>
      </w:divBdr>
    </w:div>
    <w:div w:id="301547931">
      <w:bodyDiv w:val="1"/>
      <w:marLeft w:val="0"/>
      <w:marRight w:val="0"/>
      <w:marTop w:val="0"/>
      <w:marBottom w:val="0"/>
      <w:divBdr>
        <w:top w:val="none" w:sz="0" w:space="0" w:color="auto"/>
        <w:left w:val="none" w:sz="0" w:space="0" w:color="auto"/>
        <w:bottom w:val="none" w:sz="0" w:space="0" w:color="auto"/>
        <w:right w:val="none" w:sz="0" w:space="0" w:color="auto"/>
      </w:divBdr>
    </w:div>
    <w:div w:id="330179163">
      <w:bodyDiv w:val="1"/>
      <w:marLeft w:val="0"/>
      <w:marRight w:val="0"/>
      <w:marTop w:val="0"/>
      <w:marBottom w:val="0"/>
      <w:divBdr>
        <w:top w:val="none" w:sz="0" w:space="0" w:color="auto"/>
        <w:left w:val="none" w:sz="0" w:space="0" w:color="auto"/>
        <w:bottom w:val="none" w:sz="0" w:space="0" w:color="auto"/>
        <w:right w:val="none" w:sz="0" w:space="0" w:color="auto"/>
      </w:divBdr>
    </w:div>
    <w:div w:id="348223393">
      <w:bodyDiv w:val="1"/>
      <w:marLeft w:val="0"/>
      <w:marRight w:val="0"/>
      <w:marTop w:val="0"/>
      <w:marBottom w:val="0"/>
      <w:divBdr>
        <w:top w:val="none" w:sz="0" w:space="0" w:color="auto"/>
        <w:left w:val="none" w:sz="0" w:space="0" w:color="auto"/>
        <w:bottom w:val="none" w:sz="0" w:space="0" w:color="auto"/>
        <w:right w:val="none" w:sz="0" w:space="0" w:color="auto"/>
      </w:divBdr>
    </w:div>
    <w:div w:id="420563709">
      <w:bodyDiv w:val="1"/>
      <w:marLeft w:val="0"/>
      <w:marRight w:val="0"/>
      <w:marTop w:val="0"/>
      <w:marBottom w:val="0"/>
      <w:divBdr>
        <w:top w:val="none" w:sz="0" w:space="0" w:color="auto"/>
        <w:left w:val="none" w:sz="0" w:space="0" w:color="auto"/>
        <w:bottom w:val="none" w:sz="0" w:space="0" w:color="auto"/>
        <w:right w:val="none" w:sz="0" w:space="0" w:color="auto"/>
      </w:divBdr>
    </w:div>
    <w:div w:id="447748174">
      <w:bodyDiv w:val="1"/>
      <w:marLeft w:val="0"/>
      <w:marRight w:val="0"/>
      <w:marTop w:val="0"/>
      <w:marBottom w:val="0"/>
      <w:divBdr>
        <w:top w:val="none" w:sz="0" w:space="0" w:color="auto"/>
        <w:left w:val="none" w:sz="0" w:space="0" w:color="auto"/>
        <w:bottom w:val="none" w:sz="0" w:space="0" w:color="auto"/>
        <w:right w:val="none" w:sz="0" w:space="0" w:color="auto"/>
      </w:divBdr>
    </w:div>
    <w:div w:id="452795038">
      <w:bodyDiv w:val="1"/>
      <w:marLeft w:val="0"/>
      <w:marRight w:val="0"/>
      <w:marTop w:val="0"/>
      <w:marBottom w:val="0"/>
      <w:divBdr>
        <w:top w:val="none" w:sz="0" w:space="0" w:color="auto"/>
        <w:left w:val="none" w:sz="0" w:space="0" w:color="auto"/>
        <w:bottom w:val="none" w:sz="0" w:space="0" w:color="auto"/>
        <w:right w:val="none" w:sz="0" w:space="0" w:color="auto"/>
      </w:divBdr>
    </w:div>
    <w:div w:id="531113086">
      <w:bodyDiv w:val="1"/>
      <w:marLeft w:val="0"/>
      <w:marRight w:val="0"/>
      <w:marTop w:val="0"/>
      <w:marBottom w:val="0"/>
      <w:divBdr>
        <w:top w:val="none" w:sz="0" w:space="0" w:color="auto"/>
        <w:left w:val="none" w:sz="0" w:space="0" w:color="auto"/>
        <w:bottom w:val="none" w:sz="0" w:space="0" w:color="auto"/>
        <w:right w:val="none" w:sz="0" w:space="0" w:color="auto"/>
      </w:divBdr>
    </w:div>
    <w:div w:id="549271247">
      <w:bodyDiv w:val="1"/>
      <w:marLeft w:val="0"/>
      <w:marRight w:val="0"/>
      <w:marTop w:val="0"/>
      <w:marBottom w:val="0"/>
      <w:divBdr>
        <w:top w:val="none" w:sz="0" w:space="0" w:color="auto"/>
        <w:left w:val="none" w:sz="0" w:space="0" w:color="auto"/>
        <w:bottom w:val="none" w:sz="0" w:space="0" w:color="auto"/>
        <w:right w:val="none" w:sz="0" w:space="0" w:color="auto"/>
      </w:divBdr>
    </w:div>
    <w:div w:id="565728871">
      <w:bodyDiv w:val="1"/>
      <w:marLeft w:val="0"/>
      <w:marRight w:val="0"/>
      <w:marTop w:val="0"/>
      <w:marBottom w:val="0"/>
      <w:divBdr>
        <w:top w:val="none" w:sz="0" w:space="0" w:color="auto"/>
        <w:left w:val="none" w:sz="0" w:space="0" w:color="auto"/>
        <w:bottom w:val="none" w:sz="0" w:space="0" w:color="auto"/>
        <w:right w:val="none" w:sz="0" w:space="0" w:color="auto"/>
      </w:divBdr>
    </w:div>
    <w:div w:id="615218444">
      <w:bodyDiv w:val="1"/>
      <w:marLeft w:val="0"/>
      <w:marRight w:val="0"/>
      <w:marTop w:val="0"/>
      <w:marBottom w:val="0"/>
      <w:divBdr>
        <w:top w:val="none" w:sz="0" w:space="0" w:color="auto"/>
        <w:left w:val="none" w:sz="0" w:space="0" w:color="auto"/>
        <w:bottom w:val="none" w:sz="0" w:space="0" w:color="auto"/>
        <w:right w:val="none" w:sz="0" w:space="0" w:color="auto"/>
      </w:divBdr>
    </w:div>
    <w:div w:id="671638344">
      <w:bodyDiv w:val="1"/>
      <w:marLeft w:val="0"/>
      <w:marRight w:val="0"/>
      <w:marTop w:val="0"/>
      <w:marBottom w:val="0"/>
      <w:divBdr>
        <w:top w:val="none" w:sz="0" w:space="0" w:color="auto"/>
        <w:left w:val="none" w:sz="0" w:space="0" w:color="auto"/>
        <w:bottom w:val="none" w:sz="0" w:space="0" w:color="auto"/>
        <w:right w:val="none" w:sz="0" w:space="0" w:color="auto"/>
      </w:divBdr>
    </w:div>
    <w:div w:id="690034447">
      <w:bodyDiv w:val="1"/>
      <w:marLeft w:val="0"/>
      <w:marRight w:val="0"/>
      <w:marTop w:val="0"/>
      <w:marBottom w:val="0"/>
      <w:divBdr>
        <w:top w:val="none" w:sz="0" w:space="0" w:color="auto"/>
        <w:left w:val="none" w:sz="0" w:space="0" w:color="auto"/>
        <w:bottom w:val="none" w:sz="0" w:space="0" w:color="auto"/>
        <w:right w:val="none" w:sz="0" w:space="0" w:color="auto"/>
      </w:divBdr>
    </w:div>
    <w:div w:id="698169200">
      <w:bodyDiv w:val="1"/>
      <w:marLeft w:val="0"/>
      <w:marRight w:val="0"/>
      <w:marTop w:val="0"/>
      <w:marBottom w:val="0"/>
      <w:divBdr>
        <w:top w:val="none" w:sz="0" w:space="0" w:color="auto"/>
        <w:left w:val="none" w:sz="0" w:space="0" w:color="auto"/>
        <w:bottom w:val="none" w:sz="0" w:space="0" w:color="auto"/>
        <w:right w:val="none" w:sz="0" w:space="0" w:color="auto"/>
      </w:divBdr>
    </w:div>
    <w:div w:id="742095856">
      <w:bodyDiv w:val="1"/>
      <w:marLeft w:val="0"/>
      <w:marRight w:val="0"/>
      <w:marTop w:val="0"/>
      <w:marBottom w:val="0"/>
      <w:divBdr>
        <w:top w:val="none" w:sz="0" w:space="0" w:color="auto"/>
        <w:left w:val="none" w:sz="0" w:space="0" w:color="auto"/>
        <w:bottom w:val="none" w:sz="0" w:space="0" w:color="auto"/>
        <w:right w:val="none" w:sz="0" w:space="0" w:color="auto"/>
      </w:divBdr>
    </w:div>
    <w:div w:id="747118038">
      <w:bodyDiv w:val="1"/>
      <w:marLeft w:val="0"/>
      <w:marRight w:val="0"/>
      <w:marTop w:val="0"/>
      <w:marBottom w:val="0"/>
      <w:divBdr>
        <w:top w:val="none" w:sz="0" w:space="0" w:color="auto"/>
        <w:left w:val="none" w:sz="0" w:space="0" w:color="auto"/>
        <w:bottom w:val="none" w:sz="0" w:space="0" w:color="auto"/>
        <w:right w:val="none" w:sz="0" w:space="0" w:color="auto"/>
      </w:divBdr>
    </w:div>
    <w:div w:id="758478022">
      <w:bodyDiv w:val="1"/>
      <w:marLeft w:val="0"/>
      <w:marRight w:val="0"/>
      <w:marTop w:val="0"/>
      <w:marBottom w:val="0"/>
      <w:divBdr>
        <w:top w:val="none" w:sz="0" w:space="0" w:color="auto"/>
        <w:left w:val="none" w:sz="0" w:space="0" w:color="auto"/>
        <w:bottom w:val="none" w:sz="0" w:space="0" w:color="auto"/>
        <w:right w:val="none" w:sz="0" w:space="0" w:color="auto"/>
      </w:divBdr>
    </w:div>
    <w:div w:id="786967442">
      <w:bodyDiv w:val="1"/>
      <w:marLeft w:val="0"/>
      <w:marRight w:val="0"/>
      <w:marTop w:val="0"/>
      <w:marBottom w:val="0"/>
      <w:divBdr>
        <w:top w:val="none" w:sz="0" w:space="0" w:color="auto"/>
        <w:left w:val="none" w:sz="0" w:space="0" w:color="auto"/>
        <w:bottom w:val="none" w:sz="0" w:space="0" w:color="auto"/>
        <w:right w:val="none" w:sz="0" w:space="0" w:color="auto"/>
      </w:divBdr>
    </w:div>
    <w:div w:id="794099937">
      <w:bodyDiv w:val="1"/>
      <w:marLeft w:val="0"/>
      <w:marRight w:val="0"/>
      <w:marTop w:val="0"/>
      <w:marBottom w:val="0"/>
      <w:divBdr>
        <w:top w:val="none" w:sz="0" w:space="0" w:color="auto"/>
        <w:left w:val="none" w:sz="0" w:space="0" w:color="auto"/>
        <w:bottom w:val="none" w:sz="0" w:space="0" w:color="auto"/>
        <w:right w:val="none" w:sz="0" w:space="0" w:color="auto"/>
      </w:divBdr>
    </w:div>
    <w:div w:id="807476150">
      <w:bodyDiv w:val="1"/>
      <w:marLeft w:val="0"/>
      <w:marRight w:val="0"/>
      <w:marTop w:val="0"/>
      <w:marBottom w:val="0"/>
      <w:divBdr>
        <w:top w:val="none" w:sz="0" w:space="0" w:color="auto"/>
        <w:left w:val="none" w:sz="0" w:space="0" w:color="auto"/>
        <w:bottom w:val="none" w:sz="0" w:space="0" w:color="auto"/>
        <w:right w:val="none" w:sz="0" w:space="0" w:color="auto"/>
      </w:divBdr>
    </w:div>
    <w:div w:id="818497382">
      <w:bodyDiv w:val="1"/>
      <w:marLeft w:val="0"/>
      <w:marRight w:val="0"/>
      <w:marTop w:val="0"/>
      <w:marBottom w:val="0"/>
      <w:divBdr>
        <w:top w:val="none" w:sz="0" w:space="0" w:color="auto"/>
        <w:left w:val="none" w:sz="0" w:space="0" w:color="auto"/>
        <w:bottom w:val="none" w:sz="0" w:space="0" w:color="auto"/>
        <w:right w:val="none" w:sz="0" w:space="0" w:color="auto"/>
      </w:divBdr>
    </w:div>
    <w:div w:id="901254545">
      <w:bodyDiv w:val="1"/>
      <w:marLeft w:val="0"/>
      <w:marRight w:val="0"/>
      <w:marTop w:val="0"/>
      <w:marBottom w:val="0"/>
      <w:divBdr>
        <w:top w:val="none" w:sz="0" w:space="0" w:color="auto"/>
        <w:left w:val="none" w:sz="0" w:space="0" w:color="auto"/>
        <w:bottom w:val="none" w:sz="0" w:space="0" w:color="auto"/>
        <w:right w:val="none" w:sz="0" w:space="0" w:color="auto"/>
      </w:divBdr>
    </w:div>
    <w:div w:id="915283542">
      <w:bodyDiv w:val="1"/>
      <w:marLeft w:val="0"/>
      <w:marRight w:val="0"/>
      <w:marTop w:val="0"/>
      <w:marBottom w:val="0"/>
      <w:divBdr>
        <w:top w:val="none" w:sz="0" w:space="0" w:color="auto"/>
        <w:left w:val="none" w:sz="0" w:space="0" w:color="auto"/>
        <w:bottom w:val="none" w:sz="0" w:space="0" w:color="auto"/>
        <w:right w:val="none" w:sz="0" w:space="0" w:color="auto"/>
      </w:divBdr>
    </w:div>
    <w:div w:id="916476824">
      <w:bodyDiv w:val="1"/>
      <w:marLeft w:val="0"/>
      <w:marRight w:val="0"/>
      <w:marTop w:val="0"/>
      <w:marBottom w:val="0"/>
      <w:divBdr>
        <w:top w:val="none" w:sz="0" w:space="0" w:color="auto"/>
        <w:left w:val="none" w:sz="0" w:space="0" w:color="auto"/>
        <w:bottom w:val="none" w:sz="0" w:space="0" w:color="auto"/>
        <w:right w:val="none" w:sz="0" w:space="0" w:color="auto"/>
      </w:divBdr>
    </w:div>
    <w:div w:id="977807418">
      <w:bodyDiv w:val="1"/>
      <w:marLeft w:val="0"/>
      <w:marRight w:val="0"/>
      <w:marTop w:val="0"/>
      <w:marBottom w:val="0"/>
      <w:divBdr>
        <w:top w:val="none" w:sz="0" w:space="0" w:color="auto"/>
        <w:left w:val="none" w:sz="0" w:space="0" w:color="auto"/>
        <w:bottom w:val="none" w:sz="0" w:space="0" w:color="auto"/>
        <w:right w:val="none" w:sz="0" w:space="0" w:color="auto"/>
      </w:divBdr>
    </w:div>
    <w:div w:id="1013993116">
      <w:bodyDiv w:val="1"/>
      <w:marLeft w:val="0"/>
      <w:marRight w:val="0"/>
      <w:marTop w:val="0"/>
      <w:marBottom w:val="0"/>
      <w:divBdr>
        <w:top w:val="none" w:sz="0" w:space="0" w:color="auto"/>
        <w:left w:val="none" w:sz="0" w:space="0" w:color="auto"/>
        <w:bottom w:val="none" w:sz="0" w:space="0" w:color="auto"/>
        <w:right w:val="none" w:sz="0" w:space="0" w:color="auto"/>
      </w:divBdr>
    </w:div>
    <w:div w:id="1100182758">
      <w:bodyDiv w:val="1"/>
      <w:marLeft w:val="0"/>
      <w:marRight w:val="0"/>
      <w:marTop w:val="0"/>
      <w:marBottom w:val="0"/>
      <w:divBdr>
        <w:top w:val="none" w:sz="0" w:space="0" w:color="auto"/>
        <w:left w:val="none" w:sz="0" w:space="0" w:color="auto"/>
        <w:bottom w:val="none" w:sz="0" w:space="0" w:color="auto"/>
        <w:right w:val="none" w:sz="0" w:space="0" w:color="auto"/>
      </w:divBdr>
    </w:div>
    <w:div w:id="1105879920">
      <w:bodyDiv w:val="1"/>
      <w:marLeft w:val="0"/>
      <w:marRight w:val="0"/>
      <w:marTop w:val="0"/>
      <w:marBottom w:val="0"/>
      <w:divBdr>
        <w:top w:val="none" w:sz="0" w:space="0" w:color="auto"/>
        <w:left w:val="none" w:sz="0" w:space="0" w:color="auto"/>
        <w:bottom w:val="none" w:sz="0" w:space="0" w:color="auto"/>
        <w:right w:val="none" w:sz="0" w:space="0" w:color="auto"/>
      </w:divBdr>
    </w:div>
    <w:div w:id="1130514964">
      <w:bodyDiv w:val="1"/>
      <w:marLeft w:val="0"/>
      <w:marRight w:val="0"/>
      <w:marTop w:val="0"/>
      <w:marBottom w:val="0"/>
      <w:divBdr>
        <w:top w:val="none" w:sz="0" w:space="0" w:color="auto"/>
        <w:left w:val="none" w:sz="0" w:space="0" w:color="auto"/>
        <w:bottom w:val="none" w:sz="0" w:space="0" w:color="auto"/>
        <w:right w:val="none" w:sz="0" w:space="0" w:color="auto"/>
      </w:divBdr>
    </w:div>
    <w:div w:id="1132358533">
      <w:bodyDiv w:val="1"/>
      <w:marLeft w:val="0"/>
      <w:marRight w:val="0"/>
      <w:marTop w:val="0"/>
      <w:marBottom w:val="0"/>
      <w:divBdr>
        <w:top w:val="none" w:sz="0" w:space="0" w:color="auto"/>
        <w:left w:val="none" w:sz="0" w:space="0" w:color="auto"/>
        <w:bottom w:val="none" w:sz="0" w:space="0" w:color="auto"/>
        <w:right w:val="none" w:sz="0" w:space="0" w:color="auto"/>
      </w:divBdr>
    </w:div>
    <w:div w:id="1171263788">
      <w:bodyDiv w:val="1"/>
      <w:marLeft w:val="0"/>
      <w:marRight w:val="0"/>
      <w:marTop w:val="0"/>
      <w:marBottom w:val="0"/>
      <w:divBdr>
        <w:top w:val="none" w:sz="0" w:space="0" w:color="auto"/>
        <w:left w:val="none" w:sz="0" w:space="0" w:color="auto"/>
        <w:bottom w:val="none" w:sz="0" w:space="0" w:color="auto"/>
        <w:right w:val="none" w:sz="0" w:space="0" w:color="auto"/>
      </w:divBdr>
    </w:div>
    <w:div w:id="1171406210">
      <w:bodyDiv w:val="1"/>
      <w:marLeft w:val="0"/>
      <w:marRight w:val="0"/>
      <w:marTop w:val="0"/>
      <w:marBottom w:val="0"/>
      <w:divBdr>
        <w:top w:val="none" w:sz="0" w:space="0" w:color="auto"/>
        <w:left w:val="none" w:sz="0" w:space="0" w:color="auto"/>
        <w:bottom w:val="none" w:sz="0" w:space="0" w:color="auto"/>
        <w:right w:val="none" w:sz="0" w:space="0" w:color="auto"/>
      </w:divBdr>
    </w:div>
    <w:div w:id="1190488562">
      <w:bodyDiv w:val="1"/>
      <w:marLeft w:val="0"/>
      <w:marRight w:val="0"/>
      <w:marTop w:val="0"/>
      <w:marBottom w:val="0"/>
      <w:divBdr>
        <w:top w:val="none" w:sz="0" w:space="0" w:color="auto"/>
        <w:left w:val="none" w:sz="0" w:space="0" w:color="auto"/>
        <w:bottom w:val="none" w:sz="0" w:space="0" w:color="auto"/>
        <w:right w:val="none" w:sz="0" w:space="0" w:color="auto"/>
      </w:divBdr>
    </w:div>
    <w:div w:id="1276056872">
      <w:bodyDiv w:val="1"/>
      <w:marLeft w:val="0"/>
      <w:marRight w:val="0"/>
      <w:marTop w:val="0"/>
      <w:marBottom w:val="0"/>
      <w:divBdr>
        <w:top w:val="none" w:sz="0" w:space="0" w:color="auto"/>
        <w:left w:val="none" w:sz="0" w:space="0" w:color="auto"/>
        <w:bottom w:val="none" w:sz="0" w:space="0" w:color="auto"/>
        <w:right w:val="none" w:sz="0" w:space="0" w:color="auto"/>
      </w:divBdr>
    </w:div>
    <w:div w:id="1328706795">
      <w:bodyDiv w:val="1"/>
      <w:marLeft w:val="0"/>
      <w:marRight w:val="0"/>
      <w:marTop w:val="0"/>
      <w:marBottom w:val="0"/>
      <w:divBdr>
        <w:top w:val="none" w:sz="0" w:space="0" w:color="auto"/>
        <w:left w:val="none" w:sz="0" w:space="0" w:color="auto"/>
        <w:bottom w:val="none" w:sz="0" w:space="0" w:color="auto"/>
        <w:right w:val="none" w:sz="0" w:space="0" w:color="auto"/>
      </w:divBdr>
    </w:div>
    <w:div w:id="1334070363">
      <w:bodyDiv w:val="1"/>
      <w:marLeft w:val="0"/>
      <w:marRight w:val="0"/>
      <w:marTop w:val="0"/>
      <w:marBottom w:val="0"/>
      <w:divBdr>
        <w:top w:val="none" w:sz="0" w:space="0" w:color="auto"/>
        <w:left w:val="none" w:sz="0" w:space="0" w:color="auto"/>
        <w:bottom w:val="none" w:sz="0" w:space="0" w:color="auto"/>
        <w:right w:val="none" w:sz="0" w:space="0" w:color="auto"/>
      </w:divBdr>
    </w:div>
    <w:div w:id="1359819966">
      <w:bodyDiv w:val="1"/>
      <w:marLeft w:val="0"/>
      <w:marRight w:val="0"/>
      <w:marTop w:val="0"/>
      <w:marBottom w:val="0"/>
      <w:divBdr>
        <w:top w:val="none" w:sz="0" w:space="0" w:color="auto"/>
        <w:left w:val="none" w:sz="0" w:space="0" w:color="auto"/>
        <w:bottom w:val="none" w:sz="0" w:space="0" w:color="auto"/>
        <w:right w:val="none" w:sz="0" w:space="0" w:color="auto"/>
      </w:divBdr>
    </w:div>
    <w:div w:id="1363945932">
      <w:bodyDiv w:val="1"/>
      <w:marLeft w:val="0"/>
      <w:marRight w:val="0"/>
      <w:marTop w:val="0"/>
      <w:marBottom w:val="0"/>
      <w:divBdr>
        <w:top w:val="none" w:sz="0" w:space="0" w:color="auto"/>
        <w:left w:val="none" w:sz="0" w:space="0" w:color="auto"/>
        <w:bottom w:val="none" w:sz="0" w:space="0" w:color="auto"/>
        <w:right w:val="none" w:sz="0" w:space="0" w:color="auto"/>
      </w:divBdr>
    </w:div>
    <w:div w:id="1435900929">
      <w:bodyDiv w:val="1"/>
      <w:marLeft w:val="0"/>
      <w:marRight w:val="0"/>
      <w:marTop w:val="0"/>
      <w:marBottom w:val="0"/>
      <w:divBdr>
        <w:top w:val="none" w:sz="0" w:space="0" w:color="auto"/>
        <w:left w:val="none" w:sz="0" w:space="0" w:color="auto"/>
        <w:bottom w:val="none" w:sz="0" w:space="0" w:color="auto"/>
        <w:right w:val="none" w:sz="0" w:space="0" w:color="auto"/>
      </w:divBdr>
    </w:div>
    <w:div w:id="1473786832">
      <w:bodyDiv w:val="1"/>
      <w:marLeft w:val="0"/>
      <w:marRight w:val="0"/>
      <w:marTop w:val="0"/>
      <w:marBottom w:val="0"/>
      <w:divBdr>
        <w:top w:val="none" w:sz="0" w:space="0" w:color="auto"/>
        <w:left w:val="none" w:sz="0" w:space="0" w:color="auto"/>
        <w:bottom w:val="none" w:sz="0" w:space="0" w:color="auto"/>
        <w:right w:val="none" w:sz="0" w:space="0" w:color="auto"/>
      </w:divBdr>
    </w:div>
    <w:div w:id="1495150540">
      <w:bodyDiv w:val="1"/>
      <w:marLeft w:val="0"/>
      <w:marRight w:val="0"/>
      <w:marTop w:val="0"/>
      <w:marBottom w:val="0"/>
      <w:divBdr>
        <w:top w:val="none" w:sz="0" w:space="0" w:color="auto"/>
        <w:left w:val="none" w:sz="0" w:space="0" w:color="auto"/>
        <w:bottom w:val="none" w:sz="0" w:space="0" w:color="auto"/>
        <w:right w:val="none" w:sz="0" w:space="0" w:color="auto"/>
      </w:divBdr>
    </w:div>
    <w:div w:id="1548108878">
      <w:bodyDiv w:val="1"/>
      <w:marLeft w:val="0"/>
      <w:marRight w:val="0"/>
      <w:marTop w:val="0"/>
      <w:marBottom w:val="0"/>
      <w:divBdr>
        <w:top w:val="none" w:sz="0" w:space="0" w:color="auto"/>
        <w:left w:val="none" w:sz="0" w:space="0" w:color="auto"/>
        <w:bottom w:val="none" w:sz="0" w:space="0" w:color="auto"/>
        <w:right w:val="none" w:sz="0" w:space="0" w:color="auto"/>
      </w:divBdr>
    </w:div>
    <w:div w:id="1568152969">
      <w:bodyDiv w:val="1"/>
      <w:marLeft w:val="0"/>
      <w:marRight w:val="0"/>
      <w:marTop w:val="0"/>
      <w:marBottom w:val="0"/>
      <w:divBdr>
        <w:top w:val="none" w:sz="0" w:space="0" w:color="auto"/>
        <w:left w:val="none" w:sz="0" w:space="0" w:color="auto"/>
        <w:bottom w:val="none" w:sz="0" w:space="0" w:color="auto"/>
        <w:right w:val="none" w:sz="0" w:space="0" w:color="auto"/>
      </w:divBdr>
    </w:div>
    <w:div w:id="1571037240">
      <w:bodyDiv w:val="1"/>
      <w:marLeft w:val="0"/>
      <w:marRight w:val="0"/>
      <w:marTop w:val="0"/>
      <w:marBottom w:val="0"/>
      <w:divBdr>
        <w:top w:val="none" w:sz="0" w:space="0" w:color="auto"/>
        <w:left w:val="none" w:sz="0" w:space="0" w:color="auto"/>
        <w:bottom w:val="none" w:sz="0" w:space="0" w:color="auto"/>
        <w:right w:val="none" w:sz="0" w:space="0" w:color="auto"/>
      </w:divBdr>
    </w:div>
    <w:div w:id="1574007549">
      <w:bodyDiv w:val="1"/>
      <w:marLeft w:val="0"/>
      <w:marRight w:val="0"/>
      <w:marTop w:val="0"/>
      <w:marBottom w:val="0"/>
      <w:divBdr>
        <w:top w:val="none" w:sz="0" w:space="0" w:color="auto"/>
        <w:left w:val="none" w:sz="0" w:space="0" w:color="auto"/>
        <w:bottom w:val="none" w:sz="0" w:space="0" w:color="auto"/>
        <w:right w:val="none" w:sz="0" w:space="0" w:color="auto"/>
      </w:divBdr>
    </w:div>
    <w:div w:id="1650210451">
      <w:bodyDiv w:val="1"/>
      <w:marLeft w:val="0"/>
      <w:marRight w:val="0"/>
      <w:marTop w:val="0"/>
      <w:marBottom w:val="0"/>
      <w:divBdr>
        <w:top w:val="none" w:sz="0" w:space="0" w:color="auto"/>
        <w:left w:val="none" w:sz="0" w:space="0" w:color="auto"/>
        <w:bottom w:val="none" w:sz="0" w:space="0" w:color="auto"/>
        <w:right w:val="none" w:sz="0" w:space="0" w:color="auto"/>
      </w:divBdr>
    </w:div>
    <w:div w:id="1717503337">
      <w:bodyDiv w:val="1"/>
      <w:marLeft w:val="0"/>
      <w:marRight w:val="0"/>
      <w:marTop w:val="0"/>
      <w:marBottom w:val="0"/>
      <w:divBdr>
        <w:top w:val="none" w:sz="0" w:space="0" w:color="auto"/>
        <w:left w:val="none" w:sz="0" w:space="0" w:color="auto"/>
        <w:bottom w:val="none" w:sz="0" w:space="0" w:color="auto"/>
        <w:right w:val="none" w:sz="0" w:space="0" w:color="auto"/>
      </w:divBdr>
    </w:div>
    <w:div w:id="1756633657">
      <w:bodyDiv w:val="1"/>
      <w:marLeft w:val="0"/>
      <w:marRight w:val="0"/>
      <w:marTop w:val="0"/>
      <w:marBottom w:val="0"/>
      <w:divBdr>
        <w:top w:val="none" w:sz="0" w:space="0" w:color="auto"/>
        <w:left w:val="none" w:sz="0" w:space="0" w:color="auto"/>
        <w:bottom w:val="none" w:sz="0" w:space="0" w:color="auto"/>
        <w:right w:val="none" w:sz="0" w:space="0" w:color="auto"/>
      </w:divBdr>
    </w:div>
    <w:div w:id="1784691066">
      <w:bodyDiv w:val="1"/>
      <w:marLeft w:val="0"/>
      <w:marRight w:val="0"/>
      <w:marTop w:val="0"/>
      <w:marBottom w:val="0"/>
      <w:divBdr>
        <w:top w:val="none" w:sz="0" w:space="0" w:color="auto"/>
        <w:left w:val="none" w:sz="0" w:space="0" w:color="auto"/>
        <w:bottom w:val="none" w:sz="0" w:space="0" w:color="auto"/>
        <w:right w:val="none" w:sz="0" w:space="0" w:color="auto"/>
      </w:divBdr>
    </w:div>
    <w:div w:id="1790203370">
      <w:bodyDiv w:val="1"/>
      <w:marLeft w:val="0"/>
      <w:marRight w:val="0"/>
      <w:marTop w:val="0"/>
      <w:marBottom w:val="0"/>
      <w:divBdr>
        <w:top w:val="none" w:sz="0" w:space="0" w:color="auto"/>
        <w:left w:val="none" w:sz="0" w:space="0" w:color="auto"/>
        <w:bottom w:val="none" w:sz="0" w:space="0" w:color="auto"/>
        <w:right w:val="none" w:sz="0" w:space="0" w:color="auto"/>
      </w:divBdr>
    </w:div>
    <w:div w:id="1820145257">
      <w:bodyDiv w:val="1"/>
      <w:marLeft w:val="0"/>
      <w:marRight w:val="0"/>
      <w:marTop w:val="0"/>
      <w:marBottom w:val="0"/>
      <w:divBdr>
        <w:top w:val="none" w:sz="0" w:space="0" w:color="auto"/>
        <w:left w:val="none" w:sz="0" w:space="0" w:color="auto"/>
        <w:bottom w:val="none" w:sz="0" w:space="0" w:color="auto"/>
        <w:right w:val="none" w:sz="0" w:space="0" w:color="auto"/>
      </w:divBdr>
    </w:div>
    <w:div w:id="1823892231">
      <w:bodyDiv w:val="1"/>
      <w:marLeft w:val="0"/>
      <w:marRight w:val="0"/>
      <w:marTop w:val="0"/>
      <w:marBottom w:val="0"/>
      <w:divBdr>
        <w:top w:val="none" w:sz="0" w:space="0" w:color="auto"/>
        <w:left w:val="none" w:sz="0" w:space="0" w:color="auto"/>
        <w:bottom w:val="none" w:sz="0" w:space="0" w:color="auto"/>
        <w:right w:val="none" w:sz="0" w:space="0" w:color="auto"/>
      </w:divBdr>
    </w:div>
    <w:div w:id="1829513630">
      <w:bodyDiv w:val="1"/>
      <w:marLeft w:val="0"/>
      <w:marRight w:val="0"/>
      <w:marTop w:val="0"/>
      <w:marBottom w:val="0"/>
      <w:divBdr>
        <w:top w:val="none" w:sz="0" w:space="0" w:color="auto"/>
        <w:left w:val="none" w:sz="0" w:space="0" w:color="auto"/>
        <w:bottom w:val="none" w:sz="0" w:space="0" w:color="auto"/>
        <w:right w:val="none" w:sz="0" w:space="0" w:color="auto"/>
      </w:divBdr>
    </w:div>
    <w:div w:id="1852988401">
      <w:bodyDiv w:val="1"/>
      <w:marLeft w:val="0"/>
      <w:marRight w:val="0"/>
      <w:marTop w:val="0"/>
      <w:marBottom w:val="0"/>
      <w:divBdr>
        <w:top w:val="none" w:sz="0" w:space="0" w:color="auto"/>
        <w:left w:val="none" w:sz="0" w:space="0" w:color="auto"/>
        <w:bottom w:val="none" w:sz="0" w:space="0" w:color="auto"/>
        <w:right w:val="none" w:sz="0" w:space="0" w:color="auto"/>
      </w:divBdr>
    </w:div>
    <w:div w:id="1917082530">
      <w:bodyDiv w:val="1"/>
      <w:marLeft w:val="0"/>
      <w:marRight w:val="0"/>
      <w:marTop w:val="0"/>
      <w:marBottom w:val="0"/>
      <w:divBdr>
        <w:top w:val="none" w:sz="0" w:space="0" w:color="auto"/>
        <w:left w:val="none" w:sz="0" w:space="0" w:color="auto"/>
        <w:bottom w:val="none" w:sz="0" w:space="0" w:color="auto"/>
        <w:right w:val="none" w:sz="0" w:space="0" w:color="auto"/>
      </w:divBdr>
    </w:div>
    <w:div w:id="1977642913">
      <w:bodyDiv w:val="1"/>
      <w:marLeft w:val="0"/>
      <w:marRight w:val="0"/>
      <w:marTop w:val="0"/>
      <w:marBottom w:val="0"/>
      <w:divBdr>
        <w:top w:val="none" w:sz="0" w:space="0" w:color="auto"/>
        <w:left w:val="none" w:sz="0" w:space="0" w:color="auto"/>
        <w:bottom w:val="none" w:sz="0" w:space="0" w:color="auto"/>
        <w:right w:val="none" w:sz="0" w:space="0" w:color="auto"/>
      </w:divBdr>
    </w:div>
    <w:div w:id="2022512460">
      <w:bodyDiv w:val="1"/>
      <w:marLeft w:val="0"/>
      <w:marRight w:val="0"/>
      <w:marTop w:val="0"/>
      <w:marBottom w:val="0"/>
      <w:divBdr>
        <w:top w:val="none" w:sz="0" w:space="0" w:color="auto"/>
        <w:left w:val="none" w:sz="0" w:space="0" w:color="auto"/>
        <w:bottom w:val="none" w:sz="0" w:space="0" w:color="auto"/>
        <w:right w:val="none" w:sz="0" w:space="0" w:color="auto"/>
      </w:divBdr>
    </w:div>
    <w:div w:id="2047171045">
      <w:bodyDiv w:val="1"/>
      <w:marLeft w:val="0"/>
      <w:marRight w:val="0"/>
      <w:marTop w:val="0"/>
      <w:marBottom w:val="0"/>
      <w:divBdr>
        <w:top w:val="none" w:sz="0" w:space="0" w:color="auto"/>
        <w:left w:val="none" w:sz="0" w:space="0" w:color="auto"/>
        <w:bottom w:val="none" w:sz="0" w:space="0" w:color="auto"/>
        <w:right w:val="none" w:sz="0" w:space="0" w:color="auto"/>
      </w:divBdr>
    </w:div>
    <w:div w:id="2074501270">
      <w:bodyDiv w:val="1"/>
      <w:marLeft w:val="0"/>
      <w:marRight w:val="0"/>
      <w:marTop w:val="0"/>
      <w:marBottom w:val="0"/>
      <w:divBdr>
        <w:top w:val="none" w:sz="0" w:space="0" w:color="auto"/>
        <w:left w:val="none" w:sz="0" w:space="0" w:color="auto"/>
        <w:bottom w:val="none" w:sz="0" w:space="0" w:color="auto"/>
        <w:right w:val="none" w:sz="0" w:space="0" w:color="auto"/>
      </w:divBdr>
    </w:div>
    <w:div w:id="2078239588">
      <w:bodyDiv w:val="1"/>
      <w:marLeft w:val="0"/>
      <w:marRight w:val="0"/>
      <w:marTop w:val="0"/>
      <w:marBottom w:val="0"/>
      <w:divBdr>
        <w:top w:val="none" w:sz="0" w:space="0" w:color="auto"/>
        <w:left w:val="none" w:sz="0" w:space="0" w:color="auto"/>
        <w:bottom w:val="none" w:sz="0" w:space="0" w:color="auto"/>
        <w:right w:val="none" w:sz="0" w:space="0" w:color="auto"/>
      </w:divBdr>
    </w:div>
    <w:div w:id="2118984495">
      <w:bodyDiv w:val="1"/>
      <w:marLeft w:val="0"/>
      <w:marRight w:val="0"/>
      <w:marTop w:val="0"/>
      <w:marBottom w:val="0"/>
      <w:divBdr>
        <w:top w:val="none" w:sz="0" w:space="0" w:color="auto"/>
        <w:left w:val="none" w:sz="0" w:space="0" w:color="auto"/>
        <w:bottom w:val="none" w:sz="0" w:space="0" w:color="auto"/>
        <w:right w:val="none" w:sz="0" w:space="0" w:color="auto"/>
      </w:divBdr>
    </w:div>
    <w:div w:id="212330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obin.glaude@uliege.be"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 Id="rId22"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FD759-B992-42DC-9132-B74D47BDB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30722</Words>
  <Characters>175116</Characters>
  <Application>Microsoft Office Word</Application>
  <DocSecurity>0</DocSecurity>
  <Lines>1459</Lines>
  <Paragraphs>410</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Glaude</dc:creator>
  <cp:keywords/>
  <dc:description/>
  <cp:lastModifiedBy>Robin Glaude</cp:lastModifiedBy>
  <cp:revision>4</cp:revision>
  <dcterms:created xsi:type="dcterms:W3CDTF">2025-11-19T14:02:00Z</dcterms:created>
  <dcterms:modified xsi:type="dcterms:W3CDTF">2025-11-19T14:02:00Z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id="3XQQ0ZL8"/&gt;&lt;style id="http://www.zotero.org/styles/harvard-cite-them-right"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