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BE95" w14:textId="77777777" w:rsidR="00204376" w:rsidRPr="00204376" w:rsidRDefault="00204376" w:rsidP="00204376">
      <w:pPr>
        <w:rPr>
          <w:lang w:val="en-US"/>
        </w:rPr>
      </w:pPr>
      <w:r w:rsidRPr="00204376">
        <w:rPr>
          <w:lang w:val="en-US"/>
        </w:rPr>
        <w:t>Remote Assessment and Management of Physical Function in Older Adults (RAMP): An International Modified Delphi Process to Develop Consumer Consensus</w:t>
      </w:r>
    </w:p>
    <w:p w14:paraId="5F4940B4" w14:textId="77777777" w:rsidR="00204376" w:rsidRPr="00204376" w:rsidRDefault="00204376" w:rsidP="00204376">
      <w:pPr>
        <w:rPr>
          <w:lang w:val="en-US"/>
        </w:rPr>
      </w:pPr>
      <w:r w:rsidRPr="00204376">
        <w:rPr>
          <w:lang w:val="en-US"/>
        </w:rPr>
        <w:t xml:space="preserve">Elsa Dent1, Christopher Hurst,2,3, Jackson J. Fyfe4, Paul Jansons4,5, Eleanor J. Hayes6, Gary Skinner4, Marc Sim7,8, Mylene Aubertin-Leheudre9,10, Sabine Britting11, Fanny Buckinx9,10,12, Gavin Connolly13, Ruth Dignam14, Lora Giangregorio15,16, Jennifer R. A. Jones17,18,19, Pauline Kelly14, Robert Kob11, Suzanne Morin20, Girish N21, Lucas B. R. Orssatto4, Maria Pearson22, Daniel Pinto23, Esmee M. Reijnierse24, Catherine M Said17,25, Mohamed Salem26, Vina Tan </w:t>
      </w:r>
      <w:proofErr w:type="spellStart"/>
      <w:r w:rsidRPr="00204376">
        <w:rPr>
          <w:lang w:val="en-US"/>
        </w:rPr>
        <w:t>Phei</w:t>
      </w:r>
      <w:proofErr w:type="spellEnd"/>
      <w:r w:rsidRPr="00204376">
        <w:rPr>
          <w:lang w:val="en-US"/>
        </w:rPr>
        <w:t xml:space="preserve"> Sean27, Rosanna Tran28, Jesse Zanker29, Robin M. Daly4, David Scott4,5 (The RAMP Working Group)</w:t>
      </w:r>
    </w:p>
    <w:p w14:paraId="18442CC8" w14:textId="77777777" w:rsidR="00204376" w:rsidRPr="00204376" w:rsidRDefault="00204376" w:rsidP="00204376">
      <w:pPr>
        <w:rPr>
          <w:lang w:val="en-US"/>
        </w:rPr>
      </w:pPr>
      <w:r w:rsidRPr="00204376">
        <w:rPr>
          <w:lang w:val="en-US"/>
        </w:rPr>
        <w:t>1. Caring Futures Institute, College of Nursing and Health Sciences, Flinders University, Adelaide, South Australia, Australia</w:t>
      </w:r>
    </w:p>
    <w:p w14:paraId="0A76C402" w14:textId="77777777" w:rsidR="00204376" w:rsidRPr="00204376" w:rsidRDefault="00204376" w:rsidP="00204376">
      <w:pPr>
        <w:rPr>
          <w:lang w:val="en-US"/>
        </w:rPr>
      </w:pPr>
      <w:r w:rsidRPr="00204376">
        <w:rPr>
          <w:lang w:val="en-US"/>
        </w:rPr>
        <w:t>2. AGE Research Group, Translational and Clinical Research Institute, Faculty of Medical Sciences, Newcastle University, Newcastle upon Tyne, United Kingdom</w:t>
      </w:r>
    </w:p>
    <w:p w14:paraId="094A41EB" w14:textId="77777777" w:rsidR="00204376" w:rsidRPr="00204376" w:rsidRDefault="00204376" w:rsidP="00204376">
      <w:pPr>
        <w:rPr>
          <w:lang w:val="en-US"/>
        </w:rPr>
      </w:pPr>
      <w:r w:rsidRPr="00204376">
        <w:rPr>
          <w:lang w:val="en-US"/>
        </w:rPr>
        <w:t>3. NIHR Newcastle Biomedical Research Centre, Newcastle upon Tyne Hospitals NHS Foundation Trust, Cumbria Northumberland Tyne and Wear NHS Foundation Trust and Faculty of Medical Sciences Newcastle University, Newcastle upon Tyne, UK</w:t>
      </w:r>
    </w:p>
    <w:p w14:paraId="00CF88E6" w14:textId="77777777" w:rsidR="00204376" w:rsidRPr="00204376" w:rsidRDefault="00204376" w:rsidP="00204376">
      <w:pPr>
        <w:rPr>
          <w:lang w:val="en-US"/>
        </w:rPr>
      </w:pPr>
      <w:r w:rsidRPr="00204376">
        <w:rPr>
          <w:lang w:val="en-US"/>
        </w:rPr>
        <w:t>4. Institute for Physical Activity and Nutrition (IPAN), Deakin University, Geelong, Australia</w:t>
      </w:r>
    </w:p>
    <w:p w14:paraId="34C39FB2" w14:textId="77777777" w:rsidR="00204376" w:rsidRPr="00204376" w:rsidRDefault="00204376" w:rsidP="00204376">
      <w:pPr>
        <w:rPr>
          <w:lang w:val="en-US"/>
        </w:rPr>
      </w:pPr>
      <w:r w:rsidRPr="00204376">
        <w:rPr>
          <w:lang w:val="en-US"/>
        </w:rPr>
        <w:t>5. School of Clinical Sciences at Monash Health, Monash University, Clayton, Australia</w:t>
      </w:r>
    </w:p>
    <w:p w14:paraId="4FD235B9" w14:textId="77777777" w:rsidR="00204376" w:rsidRPr="00204376" w:rsidRDefault="00204376" w:rsidP="00204376">
      <w:pPr>
        <w:rPr>
          <w:lang w:val="en-US"/>
        </w:rPr>
      </w:pPr>
      <w:r w:rsidRPr="00204376">
        <w:rPr>
          <w:lang w:val="en-US"/>
        </w:rPr>
        <w:t>6. Department of Sport, Exercise and Rehabilitation, Northumbria University, Newcastle upon Tyne, United Kingdom</w:t>
      </w:r>
    </w:p>
    <w:p w14:paraId="4E63D92E" w14:textId="77777777" w:rsidR="00204376" w:rsidRPr="00204376" w:rsidRDefault="00204376" w:rsidP="00204376">
      <w:pPr>
        <w:rPr>
          <w:lang w:val="en-US"/>
        </w:rPr>
      </w:pPr>
      <w:r w:rsidRPr="00204376">
        <w:rPr>
          <w:lang w:val="en-US"/>
        </w:rPr>
        <w:t>7. Nutrition &amp; Health Innovation Research Institute, School of Medical and Health Sciences, Edith Cowan University, Joondalup, Australia</w:t>
      </w:r>
    </w:p>
    <w:p w14:paraId="678F8922" w14:textId="77777777" w:rsidR="00204376" w:rsidRPr="00204376" w:rsidRDefault="00204376" w:rsidP="00204376">
      <w:pPr>
        <w:rPr>
          <w:lang w:val="en-US"/>
        </w:rPr>
      </w:pPr>
      <w:r w:rsidRPr="00204376">
        <w:rPr>
          <w:lang w:val="en-US"/>
        </w:rPr>
        <w:t>8. School of Medicine, University of Western Australia, Perth, Australia</w:t>
      </w:r>
    </w:p>
    <w:p w14:paraId="088CCBE0" w14:textId="77777777" w:rsidR="00204376" w:rsidRPr="00204376" w:rsidRDefault="00204376" w:rsidP="00204376">
      <w:r w:rsidRPr="00204376">
        <w:t>9. Département des Sciences de l'Activité Physique, Faculté des Sciences, Groupe de Recherche en Activité Physique Adaptée (GRAPA), Université du Québec À Montréal (UQAM), Montréal, Québec - Canada</w:t>
      </w:r>
    </w:p>
    <w:p w14:paraId="1C7600C8" w14:textId="77777777" w:rsidR="00204376" w:rsidRPr="00204376" w:rsidRDefault="00204376" w:rsidP="00204376">
      <w:r w:rsidRPr="00204376">
        <w:t>10. Centre de Recherche de l'Institut Universitaire de Gériatrie de Montréal (CRIUGM), Montréal, Québec - Canada</w:t>
      </w:r>
    </w:p>
    <w:p w14:paraId="7608B92B" w14:textId="77777777" w:rsidR="00204376" w:rsidRPr="00204376" w:rsidRDefault="00204376" w:rsidP="00204376">
      <w:pPr>
        <w:rPr>
          <w:lang w:val="en-US"/>
        </w:rPr>
      </w:pPr>
      <w:r w:rsidRPr="00204376">
        <w:rPr>
          <w:lang w:val="en-US"/>
        </w:rPr>
        <w:t>11. Institute for Biomedicine of Aging, Friedrich-Alexander-Universität Erlangen-Nürnberg, Nuremberg, Germany</w:t>
      </w:r>
    </w:p>
    <w:p w14:paraId="47B48F85" w14:textId="77777777" w:rsidR="00204376" w:rsidRPr="00204376" w:rsidRDefault="00204376" w:rsidP="00204376">
      <w:pPr>
        <w:rPr>
          <w:lang w:val="en-US"/>
        </w:rPr>
      </w:pPr>
      <w:r w:rsidRPr="00204376">
        <w:rPr>
          <w:lang w:val="en-US"/>
        </w:rPr>
        <w:t>12. WHO Collaborating Center or Public Health Aspects of Musculo-skeletal Health and Ageing, Research Unit in Public Health, Epidemiology and Health Economics, University of Liège, Liège, Belgium</w:t>
      </w:r>
    </w:p>
    <w:p w14:paraId="74F2C68B" w14:textId="77777777" w:rsidR="00204376" w:rsidRPr="00204376" w:rsidRDefault="00204376" w:rsidP="00204376">
      <w:pPr>
        <w:rPr>
          <w:lang w:val="en-US"/>
        </w:rPr>
      </w:pPr>
      <w:r w:rsidRPr="00204376">
        <w:rPr>
          <w:lang w:val="en-US"/>
        </w:rPr>
        <w:t>13. Metabolism and Healthy Aging Research Center (MHARC), Division of Endocrinology, Diabetes, and Metabolism, Department of Medicine, Cedars-Sinai Medical Center, Los Angeles, USA</w:t>
      </w:r>
    </w:p>
    <w:p w14:paraId="20B7AB8C" w14:textId="77777777" w:rsidR="00204376" w:rsidRPr="00204376" w:rsidRDefault="00204376" w:rsidP="00204376">
      <w:pPr>
        <w:rPr>
          <w:lang w:val="en-US"/>
        </w:rPr>
      </w:pPr>
      <w:r w:rsidRPr="00204376">
        <w:rPr>
          <w:lang w:val="en-US"/>
        </w:rPr>
        <w:t>14. IPAN Consumer Network, Deakin University, Geelong, Australia</w:t>
      </w:r>
    </w:p>
    <w:p w14:paraId="413CE6D0" w14:textId="77777777" w:rsidR="00204376" w:rsidRPr="00204376" w:rsidRDefault="00204376" w:rsidP="00204376">
      <w:pPr>
        <w:rPr>
          <w:lang w:val="en-US"/>
        </w:rPr>
      </w:pPr>
      <w:r w:rsidRPr="00204376">
        <w:rPr>
          <w:lang w:val="en-US"/>
        </w:rPr>
        <w:t>15. Schlegel-UW Research Institute for Aging, University of Waterloo, Waterloo, Canada</w:t>
      </w:r>
    </w:p>
    <w:p w14:paraId="586F81F1" w14:textId="77777777" w:rsidR="00204376" w:rsidRPr="00204376" w:rsidRDefault="00204376" w:rsidP="00204376">
      <w:pPr>
        <w:rPr>
          <w:lang w:val="en-US"/>
        </w:rPr>
      </w:pPr>
      <w:r w:rsidRPr="00204376">
        <w:rPr>
          <w:lang w:val="en-US"/>
        </w:rPr>
        <w:t>16. Department of Kinesiology and Health Sciences, University of Waterloo, Waterloo, Canada</w:t>
      </w:r>
    </w:p>
    <w:p w14:paraId="48D8E639" w14:textId="77777777" w:rsidR="00204376" w:rsidRPr="00204376" w:rsidRDefault="00204376" w:rsidP="00204376">
      <w:pPr>
        <w:rPr>
          <w:lang w:val="en-US"/>
        </w:rPr>
      </w:pPr>
      <w:r w:rsidRPr="00204376">
        <w:rPr>
          <w:lang w:val="en-US"/>
        </w:rPr>
        <w:t>17. Physiotherapy Department, The University of Melbourne, Parkville, Australia</w:t>
      </w:r>
    </w:p>
    <w:p w14:paraId="4404F338" w14:textId="77777777" w:rsidR="00204376" w:rsidRPr="00204376" w:rsidRDefault="00204376" w:rsidP="00204376">
      <w:pPr>
        <w:rPr>
          <w:lang w:val="en-US"/>
        </w:rPr>
      </w:pPr>
      <w:r w:rsidRPr="00204376">
        <w:rPr>
          <w:lang w:val="en-US"/>
        </w:rPr>
        <w:lastRenderedPageBreak/>
        <w:t>18. Physiotherapy Department, Division of Allied Health, Austin Health, Heidelberg, Australia</w:t>
      </w:r>
    </w:p>
    <w:p w14:paraId="0CF3955F" w14:textId="77777777" w:rsidR="00204376" w:rsidRPr="00204376" w:rsidRDefault="00204376" w:rsidP="00204376">
      <w:pPr>
        <w:rPr>
          <w:lang w:val="en-US"/>
        </w:rPr>
      </w:pPr>
      <w:r w:rsidRPr="00204376">
        <w:rPr>
          <w:lang w:val="en-US"/>
        </w:rPr>
        <w:t>19. Institute of Breathing and Sleep, Heidelberg, Australia</w:t>
      </w:r>
    </w:p>
    <w:p w14:paraId="77B611CF" w14:textId="77777777" w:rsidR="00204376" w:rsidRPr="00204376" w:rsidRDefault="00204376" w:rsidP="00204376">
      <w:pPr>
        <w:rPr>
          <w:lang w:val="en-US"/>
        </w:rPr>
      </w:pPr>
      <w:r w:rsidRPr="00204376">
        <w:rPr>
          <w:lang w:val="en-US"/>
        </w:rPr>
        <w:t>20. Division of General Internal Medicine, Department of Medicine, McGill University, Montreal, Canada</w:t>
      </w:r>
    </w:p>
    <w:p w14:paraId="1ED62A29" w14:textId="77777777" w:rsidR="00204376" w:rsidRPr="00204376" w:rsidRDefault="00204376" w:rsidP="00204376">
      <w:pPr>
        <w:rPr>
          <w:lang w:val="en-US"/>
        </w:rPr>
      </w:pPr>
      <w:r w:rsidRPr="00204376">
        <w:rPr>
          <w:lang w:val="en-US"/>
        </w:rPr>
        <w:t>21. Department of Physiotherapy, Manipal College of Health Professions, Manipal Academy of Higher Education, Manipal, India</w:t>
      </w:r>
    </w:p>
    <w:p w14:paraId="191C3965" w14:textId="77777777" w:rsidR="00204376" w:rsidRPr="00204376" w:rsidRDefault="00204376" w:rsidP="00204376">
      <w:pPr>
        <w:rPr>
          <w:lang w:val="en-US"/>
        </w:rPr>
      </w:pPr>
      <w:r w:rsidRPr="00204376">
        <w:rPr>
          <w:lang w:val="en-US"/>
        </w:rPr>
        <w:t>22. School of Physical Education, Sport and Exercise Sciences, University of Otago, Otago, New Zealand</w:t>
      </w:r>
    </w:p>
    <w:p w14:paraId="6AD28AA4" w14:textId="77777777" w:rsidR="00204376" w:rsidRPr="00204376" w:rsidRDefault="00204376" w:rsidP="00204376">
      <w:pPr>
        <w:rPr>
          <w:lang w:val="en-US"/>
        </w:rPr>
      </w:pPr>
      <w:r w:rsidRPr="00204376">
        <w:rPr>
          <w:lang w:val="en-US"/>
        </w:rPr>
        <w:t>23. Department of Physical Therapy, Marquette University, Milwaukee, USA</w:t>
      </w:r>
    </w:p>
    <w:p w14:paraId="2A1DA333" w14:textId="77777777" w:rsidR="00204376" w:rsidRPr="00204376" w:rsidRDefault="00204376" w:rsidP="00204376">
      <w:pPr>
        <w:rPr>
          <w:lang w:val="en-US"/>
        </w:rPr>
      </w:pPr>
      <w:r w:rsidRPr="00204376">
        <w:rPr>
          <w:lang w:val="en-US"/>
        </w:rPr>
        <w:t>24. Center of Expertise Urban Vitality, Faculty of Sports and Nutrition, Amsterdam University of Applied Sciences, Amsterdam, The Netherlands</w:t>
      </w:r>
    </w:p>
    <w:p w14:paraId="4E0AAB7A" w14:textId="77777777" w:rsidR="00204376" w:rsidRPr="00204376" w:rsidRDefault="00204376" w:rsidP="00204376">
      <w:pPr>
        <w:rPr>
          <w:lang w:val="en-US"/>
        </w:rPr>
      </w:pPr>
      <w:r w:rsidRPr="00204376">
        <w:rPr>
          <w:lang w:val="en-US"/>
        </w:rPr>
        <w:t>25. Physiotherapy, Western Health, St Albans, Australia</w:t>
      </w:r>
    </w:p>
    <w:p w14:paraId="0A6139E5" w14:textId="77777777" w:rsidR="00204376" w:rsidRPr="00204376" w:rsidRDefault="00204376" w:rsidP="00204376">
      <w:pPr>
        <w:rPr>
          <w:lang w:val="en-US"/>
        </w:rPr>
      </w:pPr>
      <w:r w:rsidRPr="00204376">
        <w:rPr>
          <w:lang w:val="en-US"/>
        </w:rPr>
        <w:t>26. Geriatrics, University of Malta, Malta</w:t>
      </w:r>
    </w:p>
    <w:p w14:paraId="4EF6C01C" w14:textId="77777777" w:rsidR="00204376" w:rsidRPr="00204376" w:rsidRDefault="00204376" w:rsidP="00204376">
      <w:pPr>
        <w:rPr>
          <w:lang w:val="en-US"/>
        </w:rPr>
      </w:pPr>
      <w:r w:rsidRPr="00204376">
        <w:rPr>
          <w:lang w:val="en-US"/>
        </w:rPr>
        <w:t xml:space="preserve">27. Exercise and Sports Science </w:t>
      </w:r>
      <w:proofErr w:type="spellStart"/>
      <w:r w:rsidRPr="00204376">
        <w:rPr>
          <w:lang w:val="en-US"/>
        </w:rPr>
        <w:t>Programme</w:t>
      </w:r>
      <w:proofErr w:type="spellEnd"/>
      <w:r w:rsidRPr="00204376">
        <w:rPr>
          <w:lang w:val="en-US"/>
        </w:rPr>
        <w:t xml:space="preserve">, School of Health Sciences, </w:t>
      </w:r>
      <w:proofErr w:type="spellStart"/>
      <w:r w:rsidRPr="00204376">
        <w:rPr>
          <w:lang w:val="en-US"/>
        </w:rPr>
        <w:t>Universiti</w:t>
      </w:r>
      <w:proofErr w:type="spellEnd"/>
      <w:r w:rsidRPr="00204376">
        <w:rPr>
          <w:lang w:val="en-US"/>
        </w:rPr>
        <w:t xml:space="preserve"> Sains Malaysia, Malaysia</w:t>
      </w:r>
    </w:p>
    <w:p w14:paraId="6B34DBAB" w14:textId="77777777" w:rsidR="00204376" w:rsidRPr="00204376" w:rsidRDefault="00204376" w:rsidP="00204376">
      <w:pPr>
        <w:rPr>
          <w:lang w:val="en-US"/>
        </w:rPr>
      </w:pPr>
      <w:r w:rsidRPr="00204376">
        <w:rPr>
          <w:lang w:val="en-US"/>
        </w:rPr>
        <w:t>28. Rehabilitation and Aged Care Services, Northern Sydney Local Health District, Sydney, Australia</w:t>
      </w:r>
    </w:p>
    <w:p w14:paraId="65DC25BB" w14:textId="77777777" w:rsidR="00204376" w:rsidRPr="00204376" w:rsidRDefault="00204376" w:rsidP="00204376">
      <w:pPr>
        <w:rPr>
          <w:lang w:val="en-US"/>
        </w:rPr>
      </w:pPr>
      <w:r w:rsidRPr="00204376">
        <w:rPr>
          <w:lang w:val="en-US"/>
        </w:rPr>
        <w:t>29. Department of Medicine - Royal Melbourne Hospital, The University of Melbourne, Parkville, Victoria, Australia</w:t>
      </w:r>
    </w:p>
    <w:p w14:paraId="49A06574" w14:textId="77777777" w:rsidR="00204376" w:rsidRPr="00204376" w:rsidRDefault="00204376" w:rsidP="00204376">
      <w:pPr>
        <w:rPr>
          <w:lang w:val="en-US"/>
        </w:rPr>
      </w:pPr>
      <w:r w:rsidRPr="00204376">
        <w:rPr>
          <w:lang w:val="en-US"/>
        </w:rPr>
        <w:t>Corresponding Author:</w:t>
      </w:r>
    </w:p>
    <w:p w14:paraId="2960E9E9" w14:textId="77777777" w:rsidR="00204376" w:rsidRPr="00204376" w:rsidRDefault="00204376" w:rsidP="00204376">
      <w:pPr>
        <w:rPr>
          <w:lang w:val="en-US"/>
        </w:rPr>
      </w:pPr>
      <w:r w:rsidRPr="00204376">
        <w:rPr>
          <w:lang w:val="en-US"/>
        </w:rPr>
        <w:t>Associate Professor David Scott</w:t>
      </w:r>
    </w:p>
    <w:p w14:paraId="05FA5029" w14:textId="77777777" w:rsidR="00204376" w:rsidRPr="00204376" w:rsidRDefault="00204376" w:rsidP="00204376">
      <w:pPr>
        <w:rPr>
          <w:lang w:val="en-US"/>
        </w:rPr>
      </w:pPr>
      <w:r w:rsidRPr="00204376">
        <w:rPr>
          <w:lang w:val="en-US"/>
        </w:rPr>
        <w:t>Institute for Physical Activity and Nutrition, School of Exercise and Nutrition Sciences, Deakin University</w:t>
      </w:r>
    </w:p>
    <w:p w14:paraId="6EE1F76E" w14:textId="77777777" w:rsidR="00204376" w:rsidRPr="00204376" w:rsidRDefault="00204376" w:rsidP="00204376">
      <w:pPr>
        <w:rPr>
          <w:lang w:val="en-US"/>
        </w:rPr>
      </w:pPr>
      <w:r w:rsidRPr="00204376">
        <w:rPr>
          <w:lang w:val="en-US"/>
        </w:rPr>
        <w:t>Burwood, Victoria, Australia 3125</w:t>
      </w:r>
    </w:p>
    <w:p w14:paraId="6DDE1C30" w14:textId="77777777" w:rsidR="00204376" w:rsidRPr="00204376" w:rsidRDefault="00204376" w:rsidP="00204376">
      <w:pPr>
        <w:rPr>
          <w:lang w:val="en-US"/>
        </w:rPr>
      </w:pPr>
      <w:r w:rsidRPr="00204376">
        <w:rPr>
          <w:lang w:val="en-US"/>
        </w:rPr>
        <w:t>Email: d.scott@deakin.edu.au</w:t>
      </w:r>
    </w:p>
    <w:p w14:paraId="7CEC468F" w14:textId="77777777" w:rsidR="00204376" w:rsidRPr="00204376" w:rsidRDefault="00204376" w:rsidP="00204376">
      <w:pPr>
        <w:rPr>
          <w:lang w:val="en-US"/>
        </w:rPr>
      </w:pPr>
      <w:r w:rsidRPr="00204376">
        <w:rPr>
          <w:lang w:val="en-US"/>
        </w:rPr>
        <w:t>Telephone: +61 3 9246 8438</w:t>
      </w:r>
    </w:p>
    <w:p w14:paraId="0F5BD629" w14:textId="77777777" w:rsidR="00204376" w:rsidRPr="00204376" w:rsidRDefault="00204376" w:rsidP="00204376">
      <w:pPr>
        <w:rPr>
          <w:lang w:val="en-US"/>
        </w:rPr>
      </w:pPr>
      <w:r w:rsidRPr="00204376">
        <w:rPr>
          <w:lang w:val="en-US"/>
        </w:rPr>
        <w:t>Abstract</w:t>
      </w:r>
    </w:p>
    <w:p w14:paraId="5133A043" w14:textId="77777777" w:rsidR="00204376" w:rsidRPr="00204376" w:rsidRDefault="00204376" w:rsidP="00204376">
      <w:pPr>
        <w:rPr>
          <w:lang w:val="en-US"/>
        </w:rPr>
      </w:pPr>
      <w:r w:rsidRPr="00204376">
        <w:rPr>
          <w:lang w:val="en-US"/>
        </w:rPr>
        <w:t>Background: Remote healthcare delivery has emerged as an effective tool for managing health outcomes, but its design and implementation often overlooks the needs and preferences of older adults. The primary aim of this modified Delphi process was to develop consumer consensus on preferences for remote assessment and management of physical function.</w:t>
      </w:r>
    </w:p>
    <w:p w14:paraId="4497FB1D" w14:textId="77777777" w:rsidR="00204376" w:rsidRPr="00204376" w:rsidRDefault="00204376" w:rsidP="00204376">
      <w:pPr>
        <w:rPr>
          <w:lang w:val="en-US"/>
        </w:rPr>
      </w:pPr>
      <w:r w:rsidRPr="00204376">
        <w:rPr>
          <w:lang w:val="en-US"/>
        </w:rPr>
        <w:t xml:space="preserve">Methods: Research and consumer experts of the RAMP Working Group co-developed the Round 1 Delphi survey. This online survey was advertised to consumers (adults aged ≥60 years) via our international clinical and research networks, and social media, between August and November 2023. The survey presented 23 Delphi statements for which consumers reported their level of agreement using an 11-point Likert scale (0-10; scores ≥7 indicated agreement). Statements were classified as having “strong agreement” and considered as achieving consensus if ≥80% of consumers responded ≥7. Statements classified as having “moderate” (70 to 80% of participants responded ≥7) or “low” </w:t>
      </w:r>
      <w:r w:rsidRPr="00204376">
        <w:rPr>
          <w:lang w:val="en-US"/>
        </w:rPr>
        <w:lastRenderedPageBreak/>
        <w:t>(&lt;70% of participants responded ≥7) agreement, were revised or rejected. Revised statements were presented to consumers in Round 2 (January to February 2024) and the final list of consensus statements was consolidated into recommendations.</w:t>
      </w:r>
    </w:p>
    <w:p w14:paraId="15895A09" w14:textId="77777777" w:rsidR="00204376" w:rsidRPr="00204376" w:rsidRDefault="00204376" w:rsidP="00204376">
      <w:pPr>
        <w:rPr>
          <w:lang w:val="en-US"/>
        </w:rPr>
      </w:pPr>
      <w:r w:rsidRPr="00204376">
        <w:rPr>
          <w:lang w:val="en-US"/>
        </w:rPr>
        <w:t>Results: A total of 654 consumers (69.0±6.0 years; 75.7% female) from 15 countries (five continents) provided complete responses in Round 1. Of 23 statements, 13 were accepted to have achieved consensus, with the strongest agreement observed for statements relating to the importance of physical function for quality of life and performing activities of daily living (6 statements; agreement 97.6-99.5%). Two statements regarding concerns about privacy and security when using technology (agreement 20.8%) and inability to perform physical function assessments or exercise in the home (agreement 15.5%) were rejected with low agreement. The remaining eight statements (agreement 49.5-79.5%) were modified into seven new statements for the Round 2. Among the Round 1 consumers, 526 (80.4%) completed the new survey. Five</w:t>
      </w:r>
    </w:p>
    <w:p w14:paraId="514FBE38" w14:textId="77777777" w:rsidR="00204376" w:rsidRPr="00204376" w:rsidRDefault="00204376" w:rsidP="00204376">
      <w:pPr>
        <w:rPr>
          <w:lang w:val="en-US"/>
        </w:rPr>
      </w:pPr>
      <w:r w:rsidRPr="00204376">
        <w:rPr>
          <w:lang w:val="en-US"/>
        </w:rPr>
        <w:t>of seven Round 2 statements were accepted with strong agreement (agreement 80.0-82.7%), including the importance of addressing personal preferences for self- versus clinician-led remote interventions, and availability of necessary resources (e.g. technology and exercise equipment).</w:t>
      </w:r>
    </w:p>
    <w:p w14:paraId="7B4157F6" w14:textId="77777777" w:rsidR="00204376" w:rsidRPr="00204376" w:rsidRDefault="00204376" w:rsidP="00204376">
      <w:pPr>
        <w:rPr>
          <w:lang w:val="en-US"/>
        </w:rPr>
      </w:pPr>
      <w:r w:rsidRPr="00204376">
        <w:rPr>
          <w:lang w:val="en-US"/>
        </w:rPr>
        <w:t xml:space="preserve">Conclusions: Among the twenty-three statements, eighteen (78%) achieved the consensus and were translated into seven recommendations highlighting that older adults </w:t>
      </w:r>
      <w:proofErr w:type="spellStart"/>
      <w:r w:rsidRPr="00204376">
        <w:rPr>
          <w:lang w:val="en-US"/>
        </w:rPr>
        <w:t>recognise</w:t>
      </w:r>
      <w:proofErr w:type="spellEnd"/>
      <w:r w:rsidRPr="00204376">
        <w:rPr>
          <w:lang w:val="en-US"/>
        </w:rPr>
        <w:t xml:space="preserve"> physical function as a health priority, would value more information about it, and are willing to participate in remote assessment and management interventions (including via digital health) to maintain or improve it. These recommendations also reinforce that interventions should be accessible and address personal preferences of consumers.</w:t>
      </w:r>
    </w:p>
    <w:p w14:paraId="14D86E9B" w14:textId="77777777" w:rsidR="00204376" w:rsidRPr="00204376" w:rsidRDefault="00204376" w:rsidP="00204376">
      <w:pPr>
        <w:rPr>
          <w:lang w:val="en-US"/>
        </w:rPr>
      </w:pPr>
      <w:r w:rsidRPr="00204376">
        <w:rPr>
          <w:lang w:val="en-US"/>
        </w:rPr>
        <w:t>Keywords: Aged; Delphi Technique; Exercise; Remote Consultation; Digital Health; Physical Function</w:t>
      </w:r>
    </w:p>
    <w:p w14:paraId="7891D18A" w14:textId="77777777" w:rsidR="00BA6F1F" w:rsidRPr="00204376" w:rsidRDefault="00BA6F1F">
      <w:pPr>
        <w:rPr>
          <w:lang w:val="en-US"/>
        </w:rPr>
      </w:pPr>
    </w:p>
    <w:sectPr w:rsidR="00BA6F1F" w:rsidRPr="00204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76"/>
    <w:rsid w:val="00057DFC"/>
    <w:rsid w:val="00204376"/>
    <w:rsid w:val="005069F4"/>
    <w:rsid w:val="007A7AC1"/>
    <w:rsid w:val="00BA6F1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A705"/>
  <w15:chartTrackingRefBased/>
  <w15:docId w15:val="{D7F100A4-4CB4-4164-9AC4-4A973BDD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43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043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0437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0437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0437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0437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437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437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437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437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0437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0437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0437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0437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0437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437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437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4376"/>
    <w:rPr>
      <w:rFonts w:eastAsiaTheme="majorEastAsia" w:cstheme="majorBidi"/>
      <w:color w:val="272727" w:themeColor="text1" w:themeTint="D8"/>
    </w:rPr>
  </w:style>
  <w:style w:type="paragraph" w:styleId="Titre">
    <w:name w:val="Title"/>
    <w:basedOn w:val="Normal"/>
    <w:next w:val="Normal"/>
    <w:link w:val="TitreCar"/>
    <w:uiPriority w:val="10"/>
    <w:qFormat/>
    <w:rsid w:val="00204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437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437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437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4376"/>
    <w:pPr>
      <w:spacing w:before="160"/>
      <w:jc w:val="center"/>
    </w:pPr>
    <w:rPr>
      <w:i/>
      <w:iCs/>
      <w:color w:val="404040" w:themeColor="text1" w:themeTint="BF"/>
    </w:rPr>
  </w:style>
  <w:style w:type="character" w:customStyle="1" w:styleId="CitationCar">
    <w:name w:val="Citation Car"/>
    <w:basedOn w:val="Policepardfaut"/>
    <w:link w:val="Citation"/>
    <w:uiPriority w:val="29"/>
    <w:rsid w:val="00204376"/>
    <w:rPr>
      <w:i/>
      <w:iCs/>
      <w:color w:val="404040" w:themeColor="text1" w:themeTint="BF"/>
    </w:rPr>
  </w:style>
  <w:style w:type="paragraph" w:styleId="Paragraphedeliste">
    <w:name w:val="List Paragraph"/>
    <w:basedOn w:val="Normal"/>
    <w:uiPriority w:val="34"/>
    <w:qFormat/>
    <w:rsid w:val="00204376"/>
    <w:pPr>
      <w:ind w:left="720"/>
      <w:contextualSpacing/>
    </w:pPr>
  </w:style>
  <w:style w:type="character" w:styleId="Accentuationintense">
    <w:name w:val="Intense Emphasis"/>
    <w:basedOn w:val="Policepardfaut"/>
    <w:uiPriority w:val="21"/>
    <w:qFormat/>
    <w:rsid w:val="00204376"/>
    <w:rPr>
      <w:i/>
      <w:iCs/>
      <w:color w:val="2F5496" w:themeColor="accent1" w:themeShade="BF"/>
    </w:rPr>
  </w:style>
  <w:style w:type="paragraph" w:styleId="Citationintense">
    <w:name w:val="Intense Quote"/>
    <w:basedOn w:val="Normal"/>
    <w:next w:val="Normal"/>
    <w:link w:val="CitationintenseCar"/>
    <w:uiPriority w:val="30"/>
    <w:qFormat/>
    <w:rsid w:val="002043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04376"/>
    <w:rPr>
      <w:i/>
      <w:iCs/>
      <w:color w:val="2F5496" w:themeColor="accent1" w:themeShade="BF"/>
    </w:rPr>
  </w:style>
  <w:style w:type="character" w:styleId="Rfrenceintense">
    <w:name w:val="Intense Reference"/>
    <w:basedOn w:val="Policepardfaut"/>
    <w:uiPriority w:val="32"/>
    <w:qFormat/>
    <w:rsid w:val="002043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1110</Words>
  <Characters>6108</Characters>
  <Application>Microsoft Office Word</Application>
  <DocSecurity>0</DocSecurity>
  <Lines>50</Lines>
  <Paragraphs>14</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buckinx</dc:creator>
  <cp:keywords/>
  <dc:description/>
  <cp:lastModifiedBy>fanny buckinx</cp:lastModifiedBy>
  <cp:revision>1</cp:revision>
  <dcterms:created xsi:type="dcterms:W3CDTF">2026-01-03T22:38:00Z</dcterms:created>
  <dcterms:modified xsi:type="dcterms:W3CDTF">2026-01-03T22:39:00Z</dcterms:modified>
</cp:coreProperties>
</file>