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F615E2" w:rsidRPr="00877ACE" w:rsidRDefault="00F615E2" w:rsidP="00F615E2">
      <w:pPr>
        <w:pStyle w:val="Heading1"/>
        <w:spacing w:after="120"/>
        <w:jc w:val="center"/>
        <w:rPr>
          <w:rFonts w:ascii="Arial" w:hAnsi="Arial" w:cs="Arial"/>
          <w:sz w:val="18"/>
          <w:szCs w:val="18"/>
        </w:rPr>
      </w:pPr>
    </w:p>
    <w:p w14:paraId="33DCD0E9" w14:textId="0E994D0B" w:rsidR="00F615E2" w:rsidRPr="0087510B" w:rsidRDefault="384AF122" w:rsidP="384AF122">
      <w:pPr>
        <w:pStyle w:val="Heading1"/>
        <w:spacing w:after="120"/>
        <w:jc w:val="center"/>
        <w:rPr>
          <w:rFonts w:ascii="Arial" w:hAnsi="Arial" w:cs="Arial"/>
          <w:sz w:val="40"/>
          <w:szCs w:val="40"/>
        </w:rPr>
      </w:pPr>
      <w:r w:rsidRPr="384AF122">
        <w:rPr>
          <w:rFonts w:ascii="Arial" w:hAnsi="Arial" w:cs="Arial"/>
          <w:sz w:val="40"/>
          <w:szCs w:val="40"/>
        </w:rPr>
        <w:t>Supports carbonés optimisés pour des électrodes de PEMFC durables et performantes</w:t>
      </w:r>
    </w:p>
    <w:p w14:paraId="29DCB47E" w14:textId="77777777" w:rsidR="00F615E2" w:rsidRPr="0087510B" w:rsidRDefault="0087510B" w:rsidP="00F615E2">
      <w:pPr>
        <w:pStyle w:val="Heading2"/>
        <w:jc w:val="center"/>
        <w:rPr>
          <w:rFonts w:ascii="Arial" w:hAnsi="Arial" w:cs="Arial"/>
          <w:sz w:val="24"/>
          <w:szCs w:val="24"/>
        </w:rPr>
      </w:pPr>
      <w:r w:rsidRPr="0087510B">
        <w:rPr>
          <w:rFonts w:ascii="Arial" w:hAnsi="Arial" w:cs="Arial"/>
          <w:sz w:val="24"/>
          <w:szCs w:val="24"/>
          <w:u w:val="single"/>
        </w:rPr>
        <w:t xml:space="preserve">Bryan </w:t>
      </w:r>
      <w:proofErr w:type="spellStart"/>
      <w:r w:rsidRPr="0087510B">
        <w:rPr>
          <w:rFonts w:ascii="Arial" w:hAnsi="Arial" w:cs="Arial"/>
          <w:sz w:val="24"/>
          <w:szCs w:val="24"/>
          <w:u w:val="single"/>
        </w:rPr>
        <w:t>CARRE</w:t>
      </w:r>
      <w:r w:rsidR="00F615E2" w:rsidRPr="0087510B">
        <w:rPr>
          <w:rFonts w:ascii="Arial" w:hAnsi="Arial" w:cs="Arial"/>
          <w:sz w:val="24"/>
          <w:szCs w:val="24"/>
          <w:vertAlign w:val="superscript"/>
        </w:rPr>
        <w:t>a</w:t>
      </w:r>
      <w:proofErr w:type="spellEnd"/>
      <w:r w:rsidR="00F615E2" w:rsidRPr="0087510B">
        <w:rPr>
          <w:rFonts w:ascii="Arial" w:hAnsi="Arial" w:cs="Arial"/>
          <w:sz w:val="24"/>
          <w:szCs w:val="24"/>
        </w:rPr>
        <w:t xml:space="preserve">, </w:t>
      </w:r>
      <w:r w:rsidRPr="0087510B">
        <w:rPr>
          <w:rFonts w:ascii="Arial" w:hAnsi="Arial" w:cs="Arial"/>
          <w:sz w:val="24"/>
          <w:szCs w:val="24"/>
        </w:rPr>
        <w:t xml:space="preserve">Nathalie </w:t>
      </w:r>
      <w:proofErr w:type="spellStart"/>
      <w:r w:rsidRPr="0087510B">
        <w:rPr>
          <w:rFonts w:ascii="Arial" w:hAnsi="Arial" w:cs="Arial"/>
          <w:sz w:val="24"/>
          <w:szCs w:val="24"/>
        </w:rPr>
        <w:t>JOB</w:t>
      </w:r>
      <w:r>
        <w:rPr>
          <w:rFonts w:ascii="Arial" w:hAnsi="Arial" w:cs="Arial"/>
          <w:sz w:val="24"/>
          <w:szCs w:val="24"/>
          <w:vertAlign w:val="superscript"/>
        </w:rPr>
        <w:t>a</w:t>
      </w:r>
      <w:proofErr w:type="spellEnd"/>
    </w:p>
    <w:p w14:paraId="0A37501D" w14:textId="77777777" w:rsidR="00F615E2" w:rsidRPr="0087510B" w:rsidRDefault="00F615E2" w:rsidP="00F615E2"/>
    <w:p w14:paraId="63D610A1" w14:textId="632FCDCB" w:rsidR="00845055" w:rsidRDefault="7CCA6C0C" w:rsidP="7CCA6C0C">
      <w:pPr>
        <w:jc w:val="center"/>
        <w:rPr>
          <w:rFonts w:ascii="Arial" w:hAnsi="Arial" w:cs="Arial"/>
          <w:sz w:val="18"/>
          <w:szCs w:val="18"/>
        </w:rPr>
      </w:pPr>
      <w:r w:rsidRPr="7CCA6C0C">
        <w:rPr>
          <w:rFonts w:ascii="Arial" w:hAnsi="Arial" w:cs="Arial"/>
          <w:sz w:val="18"/>
          <w:szCs w:val="18"/>
          <w:vertAlign w:val="superscript"/>
        </w:rPr>
        <w:t>a</w:t>
      </w:r>
      <w:r w:rsidRPr="7CCA6C0C">
        <w:rPr>
          <w:rFonts w:ascii="Arial" w:hAnsi="Arial" w:cs="Arial"/>
          <w:sz w:val="18"/>
          <w:szCs w:val="18"/>
        </w:rPr>
        <w:t xml:space="preserve"> Département de Chemical Engineering - NCE (</w:t>
      </w:r>
      <w:proofErr w:type="spellStart"/>
      <w:r w:rsidRPr="7CCA6C0C">
        <w:rPr>
          <w:rFonts w:ascii="Arial" w:hAnsi="Arial" w:cs="Arial"/>
          <w:sz w:val="18"/>
          <w:szCs w:val="18"/>
        </w:rPr>
        <w:t>Nanomaterials</w:t>
      </w:r>
      <w:proofErr w:type="spellEnd"/>
      <w:r w:rsidRPr="7CCA6C0C">
        <w:rPr>
          <w:rFonts w:ascii="Arial" w:hAnsi="Arial" w:cs="Arial"/>
          <w:sz w:val="18"/>
          <w:szCs w:val="18"/>
        </w:rPr>
        <w:t xml:space="preserve">, </w:t>
      </w:r>
      <w:proofErr w:type="spellStart"/>
      <w:r w:rsidRPr="7CCA6C0C">
        <w:rPr>
          <w:rFonts w:ascii="Arial" w:hAnsi="Arial" w:cs="Arial"/>
          <w:sz w:val="18"/>
          <w:szCs w:val="18"/>
        </w:rPr>
        <w:t>Catalysis</w:t>
      </w:r>
      <w:proofErr w:type="spellEnd"/>
      <w:r w:rsidRPr="7CCA6C0C">
        <w:rPr>
          <w:rFonts w:ascii="Arial" w:hAnsi="Arial" w:cs="Arial"/>
          <w:sz w:val="18"/>
          <w:szCs w:val="18"/>
        </w:rPr>
        <w:t xml:space="preserve">, </w:t>
      </w:r>
      <w:proofErr w:type="spellStart"/>
      <w:r w:rsidRPr="7CCA6C0C">
        <w:rPr>
          <w:rFonts w:ascii="Arial" w:hAnsi="Arial" w:cs="Arial"/>
          <w:sz w:val="18"/>
          <w:szCs w:val="18"/>
        </w:rPr>
        <w:t>Electrochemistry</w:t>
      </w:r>
      <w:proofErr w:type="spellEnd"/>
      <w:r w:rsidRPr="7CCA6C0C">
        <w:rPr>
          <w:rFonts w:ascii="Arial" w:hAnsi="Arial" w:cs="Arial"/>
          <w:sz w:val="18"/>
          <w:szCs w:val="18"/>
        </w:rPr>
        <w:t>), Université de Liège, 4000 Liège, Belgique</w:t>
      </w:r>
    </w:p>
    <w:p w14:paraId="37FA2780" w14:textId="0EF2508F" w:rsidR="7E99061C" w:rsidRDefault="7E99061C" w:rsidP="7E99061C">
      <w:pPr>
        <w:jc w:val="center"/>
        <w:rPr>
          <w:rFonts w:ascii="Arial" w:hAnsi="Arial" w:cs="Arial"/>
          <w:sz w:val="22"/>
          <w:szCs w:val="22"/>
        </w:rPr>
      </w:pPr>
    </w:p>
    <w:p w14:paraId="15D476C1" w14:textId="7D2ED531" w:rsidR="7E99061C" w:rsidRDefault="7E99061C" w:rsidP="7E99061C">
      <w:pPr>
        <w:jc w:val="center"/>
        <w:rPr>
          <w:rFonts w:ascii="Arial" w:hAnsi="Arial" w:cs="Arial"/>
          <w:sz w:val="18"/>
          <w:szCs w:val="18"/>
        </w:rPr>
      </w:pPr>
      <w:r w:rsidRPr="7E99061C">
        <w:rPr>
          <w:rFonts w:ascii="Arial" w:hAnsi="Arial" w:cs="Arial"/>
          <w:sz w:val="22"/>
          <w:szCs w:val="22"/>
        </w:rPr>
        <w:t xml:space="preserve">e-mail : </w:t>
      </w:r>
      <w:hyperlink r:id="rId7">
        <w:r w:rsidRPr="7E99061C">
          <w:rPr>
            <w:rStyle w:val="Hyperlink"/>
            <w:rFonts w:ascii="Arial" w:hAnsi="Arial" w:cs="Arial"/>
            <w:sz w:val="22"/>
            <w:szCs w:val="22"/>
          </w:rPr>
          <w:t>bryan.carre@uliege.be</w:t>
        </w:r>
      </w:hyperlink>
      <w:r w:rsidRPr="7E99061C">
        <w:rPr>
          <w:rFonts w:ascii="Arial" w:eastAsia="Arial" w:hAnsi="Arial" w:cs="Arial"/>
          <w:sz w:val="22"/>
          <w:szCs w:val="22"/>
        </w:rPr>
        <w:t xml:space="preserve"> ; </w:t>
      </w:r>
      <w:hyperlink r:id="rId8">
        <w:r w:rsidRPr="7E99061C">
          <w:rPr>
            <w:rStyle w:val="Hyperlink"/>
            <w:rFonts w:ascii="Arial" w:eastAsia="Arial" w:hAnsi="Arial" w:cs="Arial"/>
            <w:sz w:val="22"/>
            <w:szCs w:val="22"/>
          </w:rPr>
          <w:t>nathalie.job@uliege.be</w:t>
        </w:r>
      </w:hyperlink>
    </w:p>
    <w:p w14:paraId="02EB378F" w14:textId="77777777" w:rsidR="00F615E2" w:rsidRPr="002516F0" w:rsidRDefault="00F615E2" w:rsidP="00F615E2">
      <w:pPr>
        <w:jc w:val="both"/>
        <w:rPr>
          <w:rFonts w:ascii="Arial" w:hAnsi="Arial" w:cs="Arial"/>
        </w:rPr>
      </w:pPr>
    </w:p>
    <w:p w14:paraId="6A05A809" w14:textId="77777777" w:rsidR="00F615E2" w:rsidRPr="00845055" w:rsidRDefault="00F615E2" w:rsidP="00976D01">
      <w:pPr>
        <w:jc w:val="both"/>
        <w:rPr>
          <w:rFonts w:ascii="Arial" w:hAnsi="Arial" w:cs="Arial"/>
          <w:sz w:val="22"/>
          <w:szCs w:val="22"/>
        </w:rPr>
      </w:pPr>
    </w:p>
    <w:p w14:paraId="37A2EA02" w14:textId="6FB44051" w:rsidR="007978D6" w:rsidRDefault="00AC7142" w:rsidP="7E99061C">
      <w:pPr>
        <w:ind w:firstLine="708"/>
        <w:jc w:val="both"/>
        <w:rPr>
          <w:rFonts w:ascii="Arial" w:hAnsi="Arial" w:cs="Arial"/>
          <w:sz w:val="22"/>
          <w:szCs w:val="22"/>
        </w:rPr>
      </w:pPr>
      <w:r>
        <w:rPr>
          <w:rFonts w:ascii="Arial" w:hAnsi="Arial" w:cs="Arial"/>
          <w:sz w:val="22"/>
          <w:szCs w:val="22"/>
        </w:rPr>
        <w:t>Le projet BE-</w:t>
      </w:r>
      <w:proofErr w:type="spellStart"/>
      <w:r>
        <w:rPr>
          <w:rFonts w:ascii="Arial" w:hAnsi="Arial" w:cs="Arial"/>
          <w:sz w:val="22"/>
          <w:szCs w:val="22"/>
        </w:rPr>
        <w:t>HyFE</w:t>
      </w:r>
      <w:proofErr w:type="spellEnd"/>
      <w:r>
        <w:rPr>
          <w:rFonts w:ascii="Arial" w:hAnsi="Arial" w:cs="Arial"/>
          <w:sz w:val="22"/>
          <w:szCs w:val="22"/>
        </w:rPr>
        <w:t xml:space="preserve"> est un projet collaboratif belge rassemblant plusieurs doctorants qui focalisent leur recherche sur une meilleure compréhension des technologies hydrogène. Parmi ces technologies se trouvent les</w:t>
      </w:r>
      <w:r w:rsidR="6949B64E" w:rsidRPr="6949B64E">
        <w:rPr>
          <w:rFonts w:ascii="Arial" w:hAnsi="Arial" w:cs="Arial"/>
          <w:sz w:val="22"/>
          <w:szCs w:val="22"/>
        </w:rPr>
        <w:t xml:space="preserve"> PEMFC (Proton Exchange Membrane Fuel </w:t>
      </w:r>
      <w:proofErr w:type="spellStart"/>
      <w:r w:rsidR="6949B64E" w:rsidRPr="6949B64E">
        <w:rPr>
          <w:rFonts w:ascii="Arial" w:hAnsi="Arial" w:cs="Arial"/>
          <w:sz w:val="22"/>
          <w:szCs w:val="22"/>
        </w:rPr>
        <w:t>Cell</w:t>
      </w:r>
      <w:proofErr w:type="spellEnd"/>
      <w:r w:rsidR="6949B64E" w:rsidRPr="6949B64E">
        <w:rPr>
          <w:rFonts w:ascii="Arial" w:hAnsi="Arial" w:cs="Arial"/>
          <w:sz w:val="22"/>
          <w:szCs w:val="22"/>
        </w:rPr>
        <w:t>)</w:t>
      </w:r>
      <w:r>
        <w:rPr>
          <w:rFonts w:ascii="Arial" w:hAnsi="Arial" w:cs="Arial"/>
          <w:sz w:val="22"/>
          <w:szCs w:val="22"/>
        </w:rPr>
        <w:t>. Ces systèmes électrochimiques utilisen</w:t>
      </w:r>
      <w:r w:rsidR="00091041">
        <w:rPr>
          <w:rFonts w:ascii="Arial" w:hAnsi="Arial" w:cs="Arial"/>
          <w:sz w:val="22"/>
          <w:szCs w:val="22"/>
        </w:rPr>
        <w:t>t les réactions d’oxyd</w:t>
      </w:r>
      <w:r>
        <w:rPr>
          <w:rFonts w:ascii="Arial" w:hAnsi="Arial" w:cs="Arial"/>
          <w:sz w:val="22"/>
          <w:szCs w:val="22"/>
        </w:rPr>
        <w:t>ation de</w:t>
      </w:r>
      <w:r w:rsidRPr="6949B64E">
        <w:rPr>
          <w:rFonts w:ascii="Arial" w:hAnsi="Arial" w:cs="Arial"/>
          <w:sz w:val="22"/>
          <w:szCs w:val="22"/>
        </w:rPr>
        <w:t xml:space="preserve"> H</w:t>
      </w:r>
      <w:r w:rsidRPr="6949B64E">
        <w:rPr>
          <w:rFonts w:ascii="Arial" w:hAnsi="Arial" w:cs="Arial"/>
          <w:sz w:val="22"/>
          <w:szCs w:val="22"/>
          <w:vertAlign w:val="subscript"/>
        </w:rPr>
        <w:t>2</w:t>
      </w:r>
      <w:r>
        <w:rPr>
          <w:rFonts w:ascii="Arial" w:hAnsi="Arial" w:cs="Arial"/>
          <w:sz w:val="22"/>
          <w:szCs w:val="22"/>
        </w:rPr>
        <w:t xml:space="preserve"> (HER) </w:t>
      </w:r>
      <w:r w:rsidR="00091041">
        <w:rPr>
          <w:rFonts w:ascii="Arial" w:hAnsi="Arial" w:cs="Arial"/>
          <w:sz w:val="22"/>
          <w:szCs w:val="22"/>
        </w:rPr>
        <w:t>et</w:t>
      </w:r>
      <w:r>
        <w:rPr>
          <w:rFonts w:ascii="Arial" w:hAnsi="Arial" w:cs="Arial"/>
          <w:sz w:val="22"/>
          <w:szCs w:val="22"/>
        </w:rPr>
        <w:t xml:space="preserve"> de réduction de</w:t>
      </w:r>
      <w:r w:rsidRPr="6949B64E">
        <w:rPr>
          <w:rFonts w:ascii="Arial" w:hAnsi="Arial" w:cs="Arial"/>
          <w:sz w:val="22"/>
          <w:szCs w:val="22"/>
        </w:rPr>
        <w:t xml:space="preserve"> O</w:t>
      </w:r>
      <w:r>
        <w:rPr>
          <w:rFonts w:ascii="Arial" w:hAnsi="Arial" w:cs="Arial"/>
          <w:sz w:val="22"/>
          <w:szCs w:val="22"/>
          <w:vertAlign w:val="subscript"/>
        </w:rPr>
        <w:softHyphen/>
      </w:r>
      <w:r>
        <w:rPr>
          <w:rFonts w:ascii="Arial" w:hAnsi="Arial" w:cs="Arial"/>
          <w:sz w:val="22"/>
          <w:szCs w:val="22"/>
          <w:vertAlign w:val="subscript"/>
        </w:rPr>
        <w:softHyphen/>
      </w:r>
      <w:r w:rsidR="007275FF" w:rsidRPr="6949B64E">
        <w:rPr>
          <w:rFonts w:ascii="Arial" w:hAnsi="Arial" w:cs="Arial"/>
          <w:sz w:val="22"/>
          <w:szCs w:val="22"/>
          <w:vertAlign w:val="subscript"/>
        </w:rPr>
        <w:t>2</w:t>
      </w:r>
      <w:r w:rsidR="00091041">
        <w:rPr>
          <w:rFonts w:ascii="Arial" w:hAnsi="Arial" w:cs="Arial"/>
          <w:sz w:val="22"/>
          <w:szCs w:val="22"/>
        </w:rPr>
        <w:t xml:space="preserve"> (ORR)</w:t>
      </w:r>
      <w:r>
        <w:rPr>
          <w:rFonts w:ascii="Arial" w:hAnsi="Arial" w:cs="Arial"/>
          <w:sz w:val="22"/>
          <w:szCs w:val="22"/>
        </w:rPr>
        <w:t xml:space="preserve"> </w:t>
      </w:r>
      <w:r w:rsidR="000049CB">
        <w:rPr>
          <w:rFonts w:ascii="Arial" w:hAnsi="Arial" w:cs="Arial"/>
          <w:sz w:val="22"/>
          <w:szCs w:val="22"/>
        </w:rPr>
        <w:t>pour</w:t>
      </w:r>
      <w:r w:rsidR="000049CB" w:rsidRPr="6949B64E">
        <w:rPr>
          <w:rFonts w:ascii="Arial" w:hAnsi="Arial" w:cs="Arial"/>
          <w:sz w:val="22"/>
          <w:szCs w:val="22"/>
        </w:rPr>
        <w:t xml:space="preserve"> </w:t>
      </w:r>
      <w:r>
        <w:rPr>
          <w:rFonts w:ascii="Arial" w:hAnsi="Arial" w:cs="Arial"/>
          <w:sz w:val="22"/>
          <w:szCs w:val="22"/>
        </w:rPr>
        <w:t>générer un courant</w:t>
      </w:r>
      <w:r w:rsidR="007978D6">
        <w:rPr>
          <w:rFonts w:ascii="Arial" w:hAnsi="Arial" w:cs="Arial"/>
          <w:sz w:val="22"/>
          <w:szCs w:val="22"/>
        </w:rPr>
        <w:t xml:space="preserve"> électrique et </w:t>
      </w:r>
      <w:r w:rsidR="7CCA6C0C" w:rsidRPr="7CCA6C0C">
        <w:rPr>
          <w:rFonts w:ascii="Arial" w:hAnsi="Arial" w:cs="Arial"/>
          <w:sz w:val="22"/>
          <w:szCs w:val="22"/>
        </w:rPr>
        <w:t>former H</w:t>
      </w:r>
      <w:r w:rsidR="7CCA6C0C" w:rsidRPr="7CCA6C0C">
        <w:rPr>
          <w:rFonts w:ascii="Arial" w:hAnsi="Arial" w:cs="Arial"/>
          <w:sz w:val="22"/>
          <w:szCs w:val="22"/>
          <w:vertAlign w:val="subscript"/>
        </w:rPr>
        <w:t>2</w:t>
      </w:r>
      <w:r w:rsidR="7CCA6C0C" w:rsidRPr="7CCA6C0C">
        <w:rPr>
          <w:rFonts w:ascii="Arial" w:hAnsi="Arial" w:cs="Arial"/>
          <w:sz w:val="22"/>
          <w:szCs w:val="22"/>
        </w:rPr>
        <w:t>O</w:t>
      </w:r>
      <w:r w:rsidR="007978D6">
        <w:rPr>
          <w:rFonts w:ascii="Arial" w:hAnsi="Arial" w:cs="Arial"/>
          <w:sz w:val="22"/>
          <w:szCs w:val="22"/>
        </w:rPr>
        <w:t>. S'ils</w:t>
      </w:r>
      <w:r w:rsidRPr="00297C51">
        <w:rPr>
          <w:rFonts w:ascii="Arial" w:hAnsi="Arial" w:cs="Arial"/>
          <w:sz w:val="22"/>
          <w:szCs w:val="22"/>
        </w:rPr>
        <w:t xml:space="preserve"> représentent une source d’énergie prometteuse</w:t>
      </w:r>
      <w:r w:rsidR="00005337" w:rsidRPr="00297C51">
        <w:rPr>
          <w:rFonts w:ascii="Arial" w:hAnsi="Arial" w:cs="Arial"/>
          <w:sz w:val="22"/>
          <w:szCs w:val="22"/>
        </w:rPr>
        <w:t>,</w:t>
      </w:r>
      <w:r w:rsidR="00913FEA">
        <w:rPr>
          <w:rFonts w:ascii="Arial" w:hAnsi="Arial" w:cs="Arial"/>
          <w:sz w:val="22"/>
          <w:szCs w:val="22"/>
        </w:rPr>
        <w:t xml:space="preserve"> un</w:t>
      </w:r>
      <w:r w:rsidR="00091041" w:rsidRPr="00297C51">
        <w:rPr>
          <w:rFonts w:ascii="Arial" w:hAnsi="Arial" w:cs="Arial"/>
          <w:sz w:val="22"/>
          <w:szCs w:val="22"/>
        </w:rPr>
        <w:t xml:space="preserve"> problème majeur subsiste : </w:t>
      </w:r>
      <w:r w:rsidR="00913FEA">
        <w:rPr>
          <w:rFonts w:ascii="Arial" w:hAnsi="Arial" w:cs="Arial"/>
          <w:sz w:val="22"/>
          <w:szCs w:val="22"/>
        </w:rPr>
        <w:t>l’ORR</w:t>
      </w:r>
      <w:r w:rsidRPr="00297C51">
        <w:rPr>
          <w:rFonts w:ascii="Arial" w:hAnsi="Arial" w:cs="Arial"/>
          <w:sz w:val="22"/>
          <w:szCs w:val="22"/>
        </w:rPr>
        <w:t xml:space="preserve">, </w:t>
      </w:r>
      <w:r>
        <w:rPr>
          <w:rFonts w:ascii="Arial" w:hAnsi="Arial" w:cs="Arial"/>
          <w:sz w:val="22"/>
          <w:szCs w:val="22"/>
        </w:rPr>
        <w:t>particulièrement lente cinétiquement, limite les performances de ces appareils. Pour pallier ce problème</w:t>
      </w:r>
      <w:r w:rsidR="006D22D8">
        <w:rPr>
          <w:rFonts w:ascii="Arial" w:hAnsi="Arial" w:cs="Arial"/>
          <w:sz w:val="22"/>
          <w:szCs w:val="22"/>
        </w:rPr>
        <w:t xml:space="preserve">, la présence d’une couche catalytique est requise. </w:t>
      </w:r>
      <w:r w:rsidR="00297C51">
        <w:rPr>
          <w:rFonts w:ascii="Arial" w:hAnsi="Arial" w:cs="Arial"/>
          <w:sz w:val="22"/>
          <w:szCs w:val="22"/>
        </w:rPr>
        <w:t>Cette dernière est constituée le plus souvent d’un catalyseur</w:t>
      </w:r>
      <w:r w:rsidR="006D22D8">
        <w:rPr>
          <w:rFonts w:ascii="Arial" w:hAnsi="Arial" w:cs="Arial"/>
          <w:sz w:val="22"/>
          <w:szCs w:val="22"/>
        </w:rPr>
        <w:t xml:space="preserve"> métallique</w:t>
      </w:r>
      <w:r w:rsidR="7E99061C" w:rsidRPr="7E99061C">
        <w:rPr>
          <w:rFonts w:ascii="Arial" w:hAnsi="Arial" w:cs="Arial"/>
          <w:sz w:val="22"/>
          <w:szCs w:val="22"/>
        </w:rPr>
        <w:t xml:space="preserve"> nanoparticulaire, d’un </w:t>
      </w:r>
      <w:proofErr w:type="spellStart"/>
      <w:r w:rsidR="006D22D8">
        <w:rPr>
          <w:rFonts w:ascii="Arial" w:hAnsi="Arial" w:cs="Arial"/>
          <w:sz w:val="22"/>
          <w:szCs w:val="22"/>
        </w:rPr>
        <w:t>ionomère</w:t>
      </w:r>
      <w:proofErr w:type="spellEnd"/>
      <w:r w:rsidR="000049CB">
        <w:rPr>
          <w:rFonts w:ascii="Arial" w:hAnsi="Arial" w:cs="Arial"/>
          <w:sz w:val="22"/>
          <w:szCs w:val="22"/>
        </w:rPr>
        <w:t xml:space="preserve"> et </w:t>
      </w:r>
      <w:r w:rsidR="006D22D8">
        <w:rPr>
          <w:rFonts w:ascii="Arial" w:hAnsi="Arial" w:cs="Arial"/>
          <w:sz w:val="22"/>
          <w:szCs w:val="22"/>
        </w:rPr>
        <w:t>d’un</w:t>
      </w:r>
      <w:r w:rsidR="7E99061C" w:rsidRPr="7E99061C">
        <w:rPr>
          <w:rFonts w:ascii="Arial" w:hAnsi="Arial" w:cs="Arial"/>
          <w:sz w:val="22"/>
          <w:szCs w:val="22"/>
        </w:rPr>
        <w:t>e structure carbonée jouant le rôle de support ; cette dernière le thème de recherche central de cette thèse.</w:t>
      </w:r>
    </w:p>
    <w:p w14:paraId="5A39BBE3" w14:textId="77777777" w:rsidR="007978D6" w:rsidRPr="006531C1" w:rsidRDefault="007978D6" w:rsidP="00976D01">
      <w:pPr>
        <w:jc w:val="both"/>
        <w:rPr>
          <w:rFonts w:ascii="Arial" w:hAnsi="Arial" w:cs="Arial"/>
          <w:sz w:val="22"/>
          <w:szCs w:val="22"/>
          <w:lang w:val="fr-BE"/>
        </w:rPr>
      </w:pPr>
    </w:p>
    <w:p w14:paraId="3A6F6B03" w14:textId="6F683711" w:rsidR="00797646" w:rsidRDefault="384AF122" w:rsidP="00976D01">
      <w:pPr>
        <w:ind w:firstLine="708"/>
        <w:jc w:val="both"/>
        <w:rPr>
          <w:rFonts w:ascii="Arial" w:hAnsi="Arial" w:cs="Arial"/>
          <w:sz w:val="22"/>
          <w:szCs w:val="22"/>
        </w:rPr>
      </w:pPr>
      <w:r w:rsidRPr="384AF122">
        <w:rPr>
          <w:rFonts w:ascii="Arial" w:hAnsi="Arial" w:cs="Arial"/>
          <w:sz w:val="22"/>
          <w:szCs w:val="22"/>
        </w:rPr>
        <w:t>Dans l’industrie, la voie la plus commune pour former cette couche catalytique est l’utilisation de nanoparticules de platine déposées sur un noir de carbone (</w:t>
      </w:r>
      <w:proofErr w:type="spellStart"/>
      <w:r w:rsidRPr="384AF122">
        <w:rPr>
          <w:rFonts w:ascii="Arial" w:hAnsi="Arial" w:cs="Arial"/>
          <w:sz w:val="22"/>
          <w:szCs w:val="22"/>
        </w:rPr>
        <w:t>NdC</w:t>
      </w:r>
      <w:proofErr w:type="spellEnd"/>
      <w:r w:rsidRPr="384AF122">
        <w:rPr>
          <w:rFonts w:ascii="Arial" w:hAnsi="Arial" w:cs="Arial"/>
          <w:sz w:val="22"/>
          <w:szCs w:val="22"/>
        </w:rPr>
        <w:t xml:space="preserve">), mélangés à du </w:t>
      </w:r>
      <w:proofErr w:type="spellStart"/>
      <w:r w:rsidRPr="384AF122">
        <w:rPr>
          <w:rFonts w:ascii="Arial" w:hAnsi="Arial" w:cs="Arial"/>
          <w:sz w:val="22"/>
          <w:szCs w:val="22"/>
        </w:rPr>
        <w:t>Nafion</w:t>
      </w:r>
      <w:proofErr w:type="spellEnd"/>
      <w:r w:rsidRPr="384AF122">
        <w:rPr>
          <w:rFonts w:ascii="Arial" w:eastAsia="Arial" w:hAnsi="Arial" w:cs="Arial"/>
          <w:color w:val="202124"/>
          <w:szCs w:val="24"/>
        </w:rPr>
        <w:t>®</w:t>
      </w:r>
      <w:r w:rsidRPr="384AF122">
        <w:rPr>
          <w:rFonts w:ascii="Arial" w:hAnsi="Arial" w:cs="Arial"/>
          <w:sz w:val="22"/>
          <w:szCs w:val="22"/>
        </w:rPr>
        <w:t>. Cette voie est assez onéreuse en raison du prix du platine, et n’est pas nécessairement la meilleure car les noirs de carbone se corrodent facilement dans les conditions oxydantes de la pile. Il est donc nécessaire de développer des alternatives afin d’améliorer la durée de vie des couches catalytiques, ainsi que les applications liées aux PEMFC.</w:t>
      </w:r>
    </w:p>
    <w:p w14:paraId="41C8F396" w14:textId="77777777" w:rsidR="00E42277" w:rsidRPr="006531C1" w:rsidRDefault="00E42277" w:rsidP="00AC7142">
      <w:pPr>
        <w:ind w:firstLine="708"/>
        <w:jc w:val="both"/>
        <w:rPr>
          <w:rFonts w:ascii="Arial" w:hAnsi="Arial" w:cs="Arial"/>
          <w:sz w:val="22"/>
          <w:szCs w:val="22"/>
          <w:lang w:val="fr-BE"/>
        </w:rPr>
      </w:pPr>
    </w:p>
    <w:p w14:paraId="72A3D3EC" w14:textId="67E39419" w:rsidR="00AC7142" w:rsidRDefault="384AF122" w:rsidP="384AF122">
      <w:pPr>
        <w:ind w:firstLine="708"/>
        <w:jc w:val="both"/>
        <w:rPr>
          <w:rFonts w:ascii="Arial" w:hAnsi="Arial" w:cs="Arial"/>
          <w:sz w:val="22"/>
          <w:szCs w:val="22"/>
        </w:rPr>
      </w:pPr>
      <w:r w:rsidRPr="384AF122">
        <w:rPr>
          <w:rFonts w:ascii="Arial" w:hAnsi="Arial" w:cs="Arial"/>
          <w:sz w:val="22"/>
          <w:szCs w:val="22"/>
        </w:rPr>
        <w:t>A l’heure actuelle, d’autres structures carbonées existent. Le graphène et les nanotubes de carbone sont des candidats souvent considérés en raison de leur bonne résistance à la corrosion et leur haute conductivité électrique</w:t>
      </w:r>
      <w:r w:rsidRPr="384AF122">
        <w:rPr>
          <w:rFonts w:ascii="Arial" w:hAnsi="Arial" w:cs="Arial"/>
          <w:sz w:val="22"/>
          <w:szCs w:val="22"/>
          <w:vertAlign w:val="superscript"/>
        </w:rPr>
        <w:t>1</w:t>
      </w:r>
      <w:r w:rsidRPr="384AF122">
        <w:rPr>
          <w:rFonts w:ascii="Arial" w:hAnsi="Arial" w:cs="Arial"/>
          <w:sz w:val="22"/>
          <w:szCs w:val="22"/>
        </w:rPr>
        <w:t xml:space="preserve">, mais leur fabrication peut se révéler coûteuse et difficile. Par ailleurs, la texture poreuse de la couche, qui détermine les propriétés de transport, est difficile à maîtriser. D’un autre côté, les </w:t>
      </w:r>
      <w:proofErr w:type="spellStart"/>
      <w:r w:rsidRPr="384AF122">
        <w:rPr>
          <w:rFonts w:ascii="Arial" w:hAnsi="Arial" w:cs="Arial"/>
          <w:sz w:val="22"/>
          <w:szCs w:val="22"/>
        </w:rPr>
        <w:t>xérogels</w:t>
      </w:r>
      <w:proofErr w:type="spellEnd"/>
      <w:r w:rsidRPr="384AF122">
        <w:rPr>
          <w:rFonts w:ascii="Arial" w:hAnsi="Arial" w:cs="Arial"/>
          <w:sz w:val="22"/>
          <w:szCs w:val="22"/>
        </w:rPr>
        <w:t xml:space="preserve"> de carbone représentent une bonne alternative en tant que support de catalyseur</w:t>
      </w:r>
      <w:r w:rsidRPr="384AF122">
        <w:rPr>
          <w:rFonts w:ascii="Arial" w:hAnsi="Arial" w:cs="Arial"/>
          <w:sz w:val="22"/>
          <w:szCs w:val="22"/>
          <w:vertAlign w:val="superscript"/>
        </w:rPr>
        <w:t>2</w:t>
      </w:r>
      <w:r w:rsidRPr="384AF122">
        <w:rPr>
          <w:rFonts w:ascii="Arial" w:hAnsi="Arial" w:cs="Arial"/>
          <w:sz w:val="22"/>
          <w:szCs w:val="22"/>
        </w:rPr>
        <w:t>. Ces matériaux amorphes, possédant de petits domaines graphitiques, sont constitués de nodules sphériques dont la taille peut être contrôlée via les paramètres réactionnels. La porosité du matériau est donc modulable, contrairement aux noirs de carbone, tout en ayant un mode de fabrication abordable. Cependant, comme pour ces derniers, leur surface est peu résistante à la corrosion.</w:t>
      </w:r>
    </w:p>
    <w:p w14:paraId="3AC343EE" w14:textId="10725086" w:rsidR="384AF122" w:rsidRPr="006531C1" w:rsidRDefault="384AF122" w:rsidP="00976D01">
      <w:pPr>
        <w:jc w:val="both"/>
        <w:rPr>
          <w:szCs w:val="24"/>
          <w:lang w:val="fr-BE"/>
        </w:rPr>
      </w:pPr>
    </w:p>
    <w:p w14:paraId="55042F7B" w14:textId="3CFC3BEC" w:rsidR="00B56181" w:rsidRPr="006531C1" w:rsidRDefault="384AF122" w:rsidP="006531C1">
      <w:pPr>
        <w:ind w:firstLine="708"/>
        <w:jc w:val="both"/>
        <w:rPr>
          <w:rFonts w:ascii="Arial" w:eastAsia="Arial" w:hAnsi="Arial" w:cs="Arial"/>
          <w:sz w:val="22"/>
          <w:szCs w:val="22"/>
        </w:rPr>
      </w:pPr>
      <w:r w:rsidRPr="384AF122">
        <w:rPr>
          <w:rFonts w:ascii="Arial" w:hAnsi="Arial" w:cs="Arial"/>
          <w:sz w:val="22"/>
          <w:szCs w:val="22"/>
        </w:rPr>
        <w:t>Les travaux réalisés ces dernières années ont montré qu’il est possible d’améliorer les performances de ce type de support de plusieurs façons : (1) en le fonctionnalisant par un hétéroatome, l’azote en particulier, ce qui promeut la dispersion du catalyseur ainsi que la force de liaison support – catalyseur</w:t>
      </w:r>
      <w:r w:rsidRPr="384AF122">
        <w:rPr>
          <w:rFonts w:ascii="Arial" w:hAnsi="Arial" w:cs="Arial"/>
          <w:sz w:val="22"/>
          <w:szCs w:val="22"/>
          <w:vertAlign w:val="superscript"/>
        </w:rPr>
        <w:t>3</w:t>
      </w:r>
      <w:r w:rsidRPr="384AF122">
        <w:rPr>
          <w:rFonts w:ascii="Arial" w:hAnsi="Arial" w:cs="Arial"/>
          <w:sz w:val="22"/>
          <w:szCs w:val="22"/>
        </w:rPr>
        <w:t xml:space="preserve"> (2) en le graphitisant</w:t>
      </w:r>
      <w:r w:rsidRPr="384AF122">
        <w:rPr>
          <w:rFonts w:ascii="Arial" w:hAnsi="Arial" w:cs="Arial"/>
          <w:sz w:val="22"/>
          <w:szCs w:val="22"/>
          <w:vertAlign w:val="superscript"/>
        </w:rPr>
        <w:t>4</w:t>
      </w:r>
      <w:r w:rsidRPr="384AF122">
        <w:rPr>
          <w:rFonts w:ascii="Arial" w:hAnsi="Arial" w:cs="Arial"/>
          <w:sz w:val="22"/>
          <w:szCs w:val="22"/>
        </w:rPr>
        <w:t>, afin d’augmenter sa résistance à la corrosion, (3) en bouchant les micropores</w:t>
      </w:r>
      <w:r w:rsidRPr="384AF122">
        <w:rPr>
          <w:rFonts w:ascii="Arial" w:hAnsi="Arial" w:cs="Arial"/>
          <w:sz w:val="22"/>
          <w:szCs w:val="22"/>
          <w:vertAlign w:val="superscript"/>
        </w:rPr>
        <w:t>5</w:t>
      </w:r>
      <w:r w:rsidRPr="384AF122">
        <w:rPr>
          <w:rFonts w:ascii="Arial" w:hAnsi="Arial" w:cs="Arial"/>
          <w:sz w:val="22"/>
          <w:szCs w:val="22"/>
        </w:rPr>
        <w:t>, peu utiles car inatteignables par l’</w:t>
      </w:r>
      <w:proofErr w:type="spellStart"/>
      <w:r w:rsidRPr="384AF122">
        <w:rPr>
          <w:rFonts w:ascii="Arial" w:hAnsi="Arial" w:cs="Arial"/>
          <w:sz w:val="22"/>
          <w:szCs w:val="22"/>
        </w:rPr>
        <w:t>ionomère</w:t>
      </w:r>
      <w:proofErr w:type="spellEnd"/>
      <w:r w:rsidRPr="384AF122">
        <w:rPr>
          <w:rFonts w:ascii="Arial" w:hAnsi="Arial" w:cs="Arial"/>
          <w:sz w:val="22"/>
          <w:szCs w:val="22"/>
        </w:rPr>
        <w:t xml:space="preserve"> et où la diffusion de l’oxygène</w:t>
      </w:r>
      <w:r w:rsidRPr="384AF122">
        <w:rPr>
          <w:rFonts w:ascii="Arial" w:hAnsi="Arial" w:cs="Arial"/>
          <w:sz w:val="22"/>
          <w:szCs w:val="22"/>
          <w:vertAlign w:val="subscript"/>
        </w:rPr>
        <w:t xml:space="preserve"> </w:t>
      </w:r>
      <w:r w:rsidRPr="384AF122">
        <w:rPr>
          <w:rFonts w:ascii="Arial" w:hAnsi="Arial" w:cs="Arial"/>
          <w:sz w:val="22"/>
          <w:szCs w:val="22"/>
        </w:rPr>
        <w:t xml:space="preserve">est difficile. De ce fait, l’objectif principal de cette thèse sera d’optimiser l’efficacité du support </w:t>
      </w:r>
      <w:proofErr w:type="spellStart"/>
      <w:r w:rsidRPr="384AF122">
        <w:rPr>
          <w:rFonts w:ascii="Arial" w:hAnsi="Arial" w:cs="Arial"/>
          <w:sz w:val="22"/>
          <w:szCs w:val="22"/>
        </w:rPr>
        <w:t>c</w:t>
      </w:r>
      <w:r w:rsidR="00C923FC">
        <w:rPr>
          <w:rFonts w:ascii="Arial" w:hAnsi="Arial" w:cs="Arial"/>
          <w:sz w:val="22"/>
          <w:szCs w:val="22"/>
        </w:rPr>
        <w:t>-</w:t>
      </w:r>
      <w:r w:rsidRPr="384AF122">
        <w:rPr>
          <w:rFonts w:ascii="Arial" w:hAnsi="Arial" w:cs="Arial"/>
          <w:sz w:val="22"/>
          <w:szCs w:val="22"/>
        </w:rPr>
        <w:t>arboné</w:t>
      </w:r>
      <w:proofErr w:type="spellEnd"/>
      <w:r w:rsidRPr="384AF122">
        <w:rPr>
          <w:rFonts w:ascii="Arial" w:hAnsi="Arial" w:cs="Arial"/>
          <w:sz w:val="22"/>
          <w:szCs w:val="22"/>
        </w:rPr>
        <w:t xml:space="preserve"> en employant ces différentes méthodes. L’évaluation de catalyseurs à faible taux de platine sera aussi réalisée et sera d’une importance cruciale pour réduire le coût global du système. Les nanoparticules creuses bimétalliques, déjà utilisées précédemment au laboratoire</w:t>
      </w:r>
      <w:r w:rsidRPr="384AF122">
        <w:rPr>
          <w:rFonts w:ascii="Arial" w:hAnsi="Arial" w:cs="Arial"/>
          <w:sz w:val="22"/>
          <w:szCs w:val="22"/>
          <w:vertAlign w:val="superscript"/>
        </w:rPr>
        <w:t>6</w:t>
      </w:r>
      <w:r w:rsidRPr="384AF122">
        <w:rPr>
          <w:rFonts w:ascii="ari" w:eastAsia="ari" w:hAnsi="ari" w:cs="ari"/>
          <w:sz w:val="22"/>
          <w:szCs w:val="22"/>
        </w:rPr>
        <w:t>,</w:t>
      </w:r>
      <w:r w:rsidRPr="384AF122">
        <w:rPr>
          <w:rFonts w:ascii="Arial" w:eastAsia="Arial" w:hAnsi="Arial" w:cs="Arial"/>
          <w:sz w:val="22"/>
          <w:szCs w:val="22"/>
        </w:rPr>
        <w:t xml:space="preserve"> représenteront notamment une alternative intéressante au platine non allié.</w:t>
      </w:r>
    </w:p>
    <w:p w14:paraId="02F8EC0B" w14:textId="77777777" w:rsidR="00B56181" w:rsidRPr="006531C1" w:rsidRDefault="00B56181" w:rsidP="00B56181">
      <w:pPr>
        <w:ind w:firstLine="708"/>
        <w:jc w:val="both"/>
        <w:rPr>
          <w:rFonts w:ascii="Arial" w:eastAsia="Arial" w:hAnsi="Arial" w:cs="Arial"/>
          <w:sz w:val="22"/>
          <w:szCs w:val="22"/>
          <w:lang w:val="fr-BE"/>
        </w:rPr>
      </w:pPr>
    </w:p>
    <w:p w14:paraId="071E4E01" w14:textId="77777777" w:rsidR="003A7A04" w:rsidRPr="00040B69" w:rsidRDefault="003A7A04" w:rsidP="003A7A04">
      <w:pPr>
        <w:pStyle w:val="Heading3"/>
        <w:jc w:val="both"/>
        <w:rPr>
          <w:rFonts w:ascii="Arial" w:hAnsi="Arial" w:cs="Arial"/>
          <w:sz w:val="24"/>
          <w:lang w:val="en-GB"/>
        </w:rPr>
      </w:pPr>
      <w:r w:rsidRPr="00040B69">
        <w:rPr>
          <w:rFonts w:ascii="Arial" w:hAnsi="Arial" w:cs="Arial"/>
          <w:sz w:val="24"/>
          <w:lang w:val="en-GB"/>
        </w:rPr>
        <w:t>References</w:t>
      </w:r>
    </w:p>
    <w:p w14:paraId="1185702B" w14:textId="77777777" w:rsidR="00CC45C1" w:rsidRPr="00CC45C1" w:rsidRDefault="00CC45C1" w:rsidP="003A7A04">
      <w:pPr>
        <w:pStyle w:val="ListParagraph"/>
        <w:numPr>
          <w:ilvl w:val="0"/>
          <w:numId w:val="1"/>
        </w:numPr>
        <w:jc w:val="both"/>
        <w:rPr>
          <w:rFonts w:ascii="Arial" w:hAnsi="Arial" w:cs="Arial"/>
          <w:sz w:val="18"/>
          <w:szCs w:val="18"/>
          <w:lang w:val="en-US"/>
        </w:rPr>
      </w:pPr>
      <w:r w:rsidRPr="00CC45C1">
        <w:rPr>
          <w:rFonts w:ascii="Arial" w:hAnsi="Arial" w:cs="Arial"/>
          <w:sz w:val="18"/>
          <w:szCs w:val="18"/>
          <w:lang w:val="en-US"/>
        </w:rPr>
        <w:t xml:space="preserve">X. Wang, M. </w:t>
      </w:r>
      <w:proofErr w:type="spellStart"/>
      <w:r w:rsidRPr="00CC45C1">
        <w:rPr>
          <w:rFonts w:ascii="Arial" w:hAnsi="Arial" w:cs="Arial"/>
          <w:sz w:val="18"/>
          <w:szCs w:val="18"/>
          <w:lang w:val="en-US"/>
        </w:rPr>
        <w:t>Waje</w:t>
      </w:r>
      <w:proofErr w:type="spellEnd"/>
      <w:r w:rsidRPr="00CC45C1">
        <w:rPr>
          <w:rFonts w:ascii="Arial" w:hAnsi="Arial" w:cs="Arial"/>
          <w:sz w:val="18"/>
          <w:szCs w:val="18"/>
          <w:lang w:val="en-US"/>
        </w:rPr>
        <w:t>, Y. Ya</w:t>
      </w:r>
      <w:r>
        <w:rPr>
          <w:rFonts w:ascii="Arial" w:hAnsi="Arial" w:cs="Arial"/>
          <w:sz w:val="18"/>
          <w:szCs w:val="18"/>
          <w:lang w:val="en-US"/>
        </w:rPr>
        <w:t xml:space="preserve">n, </w:t>
      </w:r>
      <w:r>
        <w:rPr>
          <w:rFonts w:ascii="Arial" w:hAnsi="Arial" w:cs="Arial"/>
          <w:i/>
          <w:sz w:val="18"/>
          <w:szCs w:val="18"/>
          <w:lang w:val="en-US"/>
        </w:rPr>
        <w:t xml:space="preserve">Electrochemical and Solid-State Letters, </w:t>
      </w:r>
      <w:r>
        <w:rPr>
          <w:rFonts w:ascii="Arial" w:hAnsi="Arial" w:cs="Arial"/>
          <w:b/>
          <w:sz w:val="18"/>
          <w:szCs w:val="18"/>
          <w:lang w:val="en-US"/>
        </w:rPr>
        <w:t>2004</w:t>
      </w:r>
      <w:r>
        <w:rPr>
          <w:rFonts w:ascii="Arial" w:hAnsi="Arial" w:cs="Arial"/>
          <w:sz w:val="18"/>
          <w:szCs w:val="18"/>
          <w:lang w:val="en-US"/>
        </w:rPr>
        <w:t xml:space="preserve">, </w:t>
      </w:r>
      <w:r w:rsidRPr="000A5938">
        <w:rPr>
          <w:rFonts w:ascii="Arial" w:hAnsi="Arial" w:cs="Arial"/>
          <w:i/>
          <w:sz w:val="18"/>
          <w:szCs w:val="18"/>
          <w:lang w:val="en-US"/>
        </w:rPr>
        <w:t>8</w:t>
      </w:r>
      <w:r>
        <w:rPr>
          <w:rFonts w:ascii="Arial" w:hAnsi="Arial" w:cs="Arial"/>
          <w:sz w:val="18"/>
          <w:szCs w:val="18"/>
          <w:lang w:val="en-US"/>
        </w:rPr>
        <w:t>, A42</w:t>
      </w:r>
    </w:p>
    <w:p w14:paraId="4BED3CDA" w14:textId="77777777" w:rsidR="00292837" w:rsidRPr="00292837" w:rsidRDefault="00292837" w:rsidP="00292837">
      <w:pPr>
        <w:pStyle w:val="ListParagraph"/>
        <w:numPr>
          <w:ilvl w:val="0"/>
          <w:numId w:val="1"/>
        </w:numPr>
        <w:jc w:val="both"/>
        <w:rPr>
          <w:rFonts w:ascii="Arial" w:hAnsi="Arial" w:cs="Arial"/>
          <w:sz w:val="18"/>
          <w:szCs w:val="18"/>
          <w:lang w:val="en-US"/>
        </w:rPr>
      </w:pPr>
      <w:r w:rsidRPr="00292837">
        <w:rPr>
          <w:rFonts w:ascii="Arial" w:hAnsi="Arial" w:cs="Arial"/>
          <w:sz w:val="18"/>
          <w:szCs w:val="18"/>
          <w:lang w:val="en-US"/>
        </w:rPr>
        <w:t xml:space="preserve">N. Job et al. </w:t>
      </w:r>
      <w:r w:rsidRPr="00292837">
        <w:rPr>
          <w:rFonts w:ascii="Arial" w:hAnsi="Arial" w:cs="Arial"/>
          <w:i/>
          <w:sz w:val="18"/>
          <w:szCs w:val="18"/>
          <w:lang w:val="en-US"/>
        </w:rPr>
        <w:t>Energy Conversion and Management</w:t>
      </w:r>
      <w:r>
        <w:rPr>
          <w:rFonts w:ascii="Arial" w:hAnsi="Arial" w:cs="Arial"/>
          <w:sz w:val="18"/>
          <w:szCs w:val="18"/>
          <w:lang w:val="en-US"/>
        </w:rPr>
        <w:t>,</w:t>
      </w:r>
      <w:r w:rsidRPr="00292837">
        <w:rPr>
          <w:rFonts w:ascii="Arial" w:hAnsi="Arial" w:cs="Arial"/>
          <w:sz w:val="18"/>
          <w:szCs w:val="18"/>
          <w:lang w:val="en-US"/>
        </w:rPr>
        <w:t xml:space="preserve"> </w:t>
      </w:r>
      <w:r w:rsidRPr="00292837">
        <w:rPr>
          <w:rFonts w:ascii="Arial" w:hAnsi="Arial" w:cs="Arial"/>
          <w:b/>
          <w:sz w:val="18"/>
          <w:szCs w:val="18"/>
          <w:lang w:val="en-US"/>
        </w:rPr>
        <w:t>2008</w:t>
      </w:r>
      <w:r>
        <w:rPr>
          <w:rFonts w:ascii="Arial" w:hAnsi="Arial" w:cs="Arial"/>
          <w:sz w:val="18"/>
          <w:szCs w:val="18"/>
          <w:lang w:val="en-US"/>
        </w:rPr>
        <w:t xml:space="preserve">, </w:t>
      </w:r>
      <w:r w:rsidRPr="00292837">
        <w:rPr>
          <w:rFonts w:ascii="Arial" w:hAnsi="Arial" w:cs="Arial"/>
          <w:i/>
          <w:sz w:val="18"/>
          <w:szCs w:val="18"/>
          <w:lang w:val="en-US"/>
        </w:rPr>
        <w:t>49</w:t>
      </w:r>
      <w:r>
        <w:rPr>
          <w:rFonts w:ascii="Arial" w:hAnsi="Arial" w:cs="Arial"/>
          <w:sz w:val="18"/>
          <w:szCs w:val="18"/>
          <w:lang w:val="en-US"/>
        </w:rPr>
        <w:t>,</w:t>
      </w:r>
      <w:r w:rsidRPr="00292837">
        <w:rPr>
          <w:rFonts w:ascii="Arial" w:hAnsi="Arial" w:cs="Arial"/>
          <w:sz w:val="18"/>
          <w:szCs w:val="18"/>
          <w:lang w:val="en-US"/>
        </w:rPr>
        <w:t xml:space="preserve"> 2461</w:t>
      </w:r>
    </w:p>
    <w:p w14:paraId="6574E4F1" w14:textId="77777777" w:rsidR="00292837" w:rsidRDefault="00B26C7B" w:rsidP="003A7A04">
      <w:pPr>
        <w:pStyle w:val="ListParagraph"/>
        <w:numPr>
          <w:ilvl w:val="0"/>
          <w:numId w:val="1"/>
        </w:numPr>
        <w:jc w:val="both"/>
        <w:rPr>
          <w:rFonts w:ascii="Arial" w:hAnsi="Arial" w:cs="Arial"/>
          <w:sz w:val="18"/>
          <w:szCs w:val="18"/>
        </w:rPr>
      </w:pPr>
      <w:r w:rsidRPr="00B26C7B">
        <w:rPr>
          <w:rFonts w:ascii="Arial" w:hAnsi="Arial" w:cs="Arial"/>
          <w:sz w:val="18"/>
          <w:szCs w:val="18"/>
        </w:rPr>
        <w:t xml:space="preserve">C. </w:t>
      </w:r>
      <w:proofErr w:type="spellStart"/>
      <w:r w:rsidRPr="00B26C7B">
        <w:rPr>
          <w:rFonts w:ascii="Arial" w:hAnsi="Arial" w:cs="Arial"/>
          <w:sz w:val="18"/>
          <w:szCs w:val="18"/>
        </w:rPr>
        <w:t>Alegre</w:t>
      </w:r>
      <w:proofErr w:type="spellEnd"/>
      <w:r w:rsidRPr="00B26C7B">
        <w:rPr>
          <w:rFonts w:ascii="Arial" w:hAnsi="Arial" w:cs="Arial"/>
          <w:sz w:val="18"/>
          <w:szCs w:val="18"/>
        </w:rPr>
        <w:t xml:space="preserve"> et al, </w:t>
      </w:r>
      <w:r w:rsidRPr="00B26C7B">
        <w:rPr>
          <w:rFonts w:ascii="Arial" w:hAnsi="Arial" w:cs="Arial"/>
          <w:i/>
          <w:sz w:val="18"/>
          <w:szCs w:val="18"/>
        </w:rPr>
        <w:t>Materials</w:t>
      </w:r>
      <w:r w:rsidRPr="00B26C7B">
        <w:rPr>
          <w:rFonts w:ascii="Arial" w:hAnsi="Arial" w:cs="Arial"/>
          <w:sz w:val="18"/>
          <w:szCs w:val="18"/>
        </w:rPr>
        <w:t xml:space="preserve">, </w:t>
      </w:r>
      <w:r w:rsidRPr="00B26C7B">
        <w:rPr>
          <w:rFonts w:ascii="Arial" w:hAnsi="Arial" w:cs="Arial"/>
          <w:b/>
          <w:sz w:val="18"/>
          <w:szCs w:val="18"/>
        </w:rPr>
        <w:t>2017</w:t>
      </w:r>
      <w:r w:rsidRPr="00B26C7B">
        <w:rPr>
          <w:rFonts w:ascii="Arial" w:hAnsi="Arial" w:cs="Arial"/>
          <w:sz w:val="18"/>
          <w:szCs w:val="18"/>
        </w:rPr>
        <w:t xml:space="preserve">, </w:t>
      </w:r>
      <w:r w:rsidRPr="00B26C7B">
        <w:rPr>
          <w:rFonts w:ascii="Arial" w:hAnsi="Arial" w:cs="Arial"/>
          <w:i/>
          <w:sz w:val="18"/>
          <w:szCs w:val="18"/>
        </w:rPr>
        <w:t>10</w:t>
      </w:r>
      <w:r>
        <w:rPr>
          <w:rFonts w:ascii="Arial" w:hAnsi="Arial" w:cs="Arial"/>
          <w:i/>
          <w:sz w:val="18"/>
          <w:szCs w:val="18"/>
        </w:rPr>
        <w:t xml:space="preserve">, </w:t>
      </w:r>
      <w:r w:rsidRPr="00B26C7B">
        <w:rPr>
          <w:rFonts w:ascii="Arial" w:hAnsi="Arial" w:cs="Arial"/>
          <w:sz w:val="18"/>
          <w:szCs w:val="18"/>
        </w:rPr>
        <w:t>1092</w:t>
      </w:r>
    </w:p>
    <w:p w14:paraId="468CD7A5" w14:textId="77777777" w:rsidR="007B087E" w:rsidRPr="007B087E" w:rsidRDefault="005A30A8" w:rsidP="003A7A04">
      <w:pPr>
        <w:pStyle w:val="ListParagraph"/>
        <w:numPr>
          <w:ilvl w:val="0"/>
          <w:numId w:val="1"/>
        </w:numPr>
        <w:jc w:val="both"/>
        <w:rPr>
          <w:rFonts w:ascii="Arial" w:hAnsi="Arial" w:cs="Arial"/>
          <w:sz w:val="18"/>
          <w:szCs w:val="18"/>
          <w:lang w:val="en-US"/>
        </w:rPr>
      </w:pPr>
      <w:r w:rsidRPr="007B087E">
        <w:rPr>
          <w:rFonts w:ascii="Arial" w:hAnsi="Arial" w:cs="Arial"/>
          <w:sz w:val="18"/>
          <w:szCs w:val="18"/>
          <w:lang w:val="en-US"/>
        </w:rPr>
        <w:t>H.</w:t>
      </w:r>
      <w:r>
        <w:rPr>
          <w:rFonts w:ascii="Arial" w:hAnsi="Arial" w:cs="Arial"/>
          <w:sz w:val="18"/>
          <w:szCs w:val="18"/>
          <w:lang w:val="en-US"/>
        </w:rPr>
        <w:t xml:space="preserve"> </w:t>
      </w:r>
      <w:proofErr w:type="spellStart"/>
      <w:r w:rsidR="007B087E" w:rsidRPr="007B087E">
        <w:rPr>
          <w:rFonts w:ascii="Arial" w:hAnsi="Arial" w:cs="Arial"/>
          <w:sz w:val="18"/>
          <w:szCs w:val="18"/>
          <w:lang w:val="en-US"/>
        </w:rPr>
        <w:t>Jin</w:t>
      </w:r>
      <w:proofErr w:type="spellEnd"/>
      <w:r w:rsidR="007B087E" w:rsidRPr="007B087E">
        <w:rPr>
          <w:rFonts w:ascii="Arial" w:hAnsi="Arial" w:cs="Arial"/>
          <w:sz w:val="18"/>
          <w:szCs w:val="18"/>
          <w:lang w:val="en-US"/>
        </w:rPr>
        <w:t xml:space="preserve"> et al, </w:t>
      </w:r>
      <w:r w:rsidR="007B087E" w:rsidRPr="005A30A8">
        <w:rPr>
          <w:rFonts w:ascii="Arial" w:hAnsi="Arial" w:cs="Arial"/>
          <w:i/>
          <w:sz w:val="18"/>
          <w:szCs w:val="18"/>
          <w:lang w:val="en-US"/>
        </w:rPr>
        <w:t>Journal of Power Sources</w:t>
      </w:r>
      <w:r w:rsidR="007B087E" w:rsidRPr="007B087E">
        <w:rPr>
          <w:rFonts w:ascii="Arial" w:hAnsi="Arial" w:cs="Arial"/>
          <w:sz w:val="18"/>
          <w:szCs w:val="18"/>
          <w:lang w:val="en-US"/>
        </w:rPr>
        <w:t xml:space="preserve">, </w:t>
      </w:r>
      <w:r w:rsidRPr="005A30A8">
        <w:rPr>
          <w:rFonts w:ascii="Arial" w:hAnsi="Arial" w:cs="Arial"/>
          <w:b/>
          <w:sz w:val="18"/>
          <w:szCs w:val="18"/>
          <w:lang w:val="en-US"/>
        </w:rPr>
        <w:t>2010</w:t>
      </w:r>
      <w:r>
        <w:rPr>
          <w:rFonts w:ascii="Arial" w:hAnsi="Arial" w:cs="Arial"/>
          <w:sz w:val="18"/>
          <w:szCs w:val="18"/>
          <w:lang w:val="en-US"/>
        </w:rPr>
        <w:t xml:space="preserve">, </w:t>
      </w:r>
      <w:r w:rsidR="007B087E" w:rsidRPr="005A30A8">
        <w:rPr>
          <w:rFonts w:ascii="Arial" w:hAnsi="Arial" w:cs="Arial"/>
          <w:i/>
          <w:sz w:val="18"/>
          <w:szCs w:val="18"/>
          <w:lang w:val="en-US"/>
        </w:rPr>
        <w:t>195</w:t>
      </w:r>
      <w:r w:rsidR="007B087E" w:rsidRPr="007B087E">
        <w:rPr>
          <w:rFonts w:ascii="Arial" w:hAnsi="Arial" w:cs="Arial"/>
          <w:sz w:val="18"/>
          <w:szCs w:val="18"/>
          <w:lang w:val="en-US"/>
        </w:rPr>
        <w:t>, 6323-6328</w:t>
      </w:r>
    </w:p>
    <w:p w14:paraId="5BB3FC3A" w14:textId="77777777" w:rsidR="0086247A" w:rsidRDefault="6949B64E" w:rsidP="005A30A8">
      <w:pPr>
        <w:pStyle w:val="ListParagraph"/>
        <w:numPr>
          <w:ilvl w:val="0"/>
          <w:numId w:val="1"/>
        </w:numPr>
        <w:jc w:val="both"/>
        <w:rPr>
          <w:rFonts w:ascii="Arial" w:hAnsi="Arial" w:cs="Arial"/>
          <w:sz w:val="18"/>
          <w:szCs w:val="18"/>
        </w:rPr>
      </w:pPr>
      <w:r w:rsidRPr="6949B64E">
        <w:rPr>
          <w:rFonts w:ascii="Arial" w:hAnsi="Arial" w:cs="Arial"/>
          <w:sz w:val="18"/>
          <w:szCs w:val="18"/>
        </w:rPr>
        <w:t xml:space="preserve">Marie-Laure </w:t>
      </w:r>
      <w:proofErr w:type="spellStart"/>
      <w:r w:rsidRPr="6949B64E">
        <w:rPr>
          <w:rFonts w:ascii="Arial" w:hAnsi="Arial" w:cs="Arial"/>
          <w:sz w:val="18"/>
          <w:szCs w:val="18"/>
        </w:rPr>
        <w:t>Piedboeuf</w:t>
      </w:r>
      <w:proofErr w:type="spellEnd"/>
      <w:r w:rsidRPr="6949B64E">
        <w:rPr>
          <w:rFonts w:ascii="Arial" w:hAnsi="Arial" w:cs="Arial"/>
          <w:sz w:val="18"/>
          <w:szCs w:val="18"/>
        </w:rPr>
        <w:t xml:space="preserve">. </w:t>
      </w:r>
      <w:proofErr w:type="spellStart"/>
      <w:r w:rsidRPr="6949B64E">
        <w:rPr>
          <w:rFonts w:ascii="Arial" w:hAnsi="Arial" w:cs="Arial"/>
          <w:sz w:val="18"/>
          <w:szCs w:val="18"/>
        </w:rPr>
        <w:t>Xérogels</w:t>
      </w:r>
      <w:proofErr w:type="spellEnd"/>
      <w:r w:rsidRPr="6949B64E">
        <w:rPr>
          <w:rFonts w:ascii="Arial" w:hAnsi="Arial" w:cs="Arial"/>
          <w:sz w:val="18"/>
          <w:szCs w:val="18"/>
        </w:rPr>
        <w:t xml:space="preserve"> de carbone comme matériaux modèles pour l’étude du comportement électrochimique en tant qu’anodes de batteries Li-ion. Thèse. Université de Liège, </w:t>
      </w:r>
      <w:r w:rsidRPr="6949B64E">
        <w:rPr>
          <w:rFonts w:ascii="Arial" w:hAnsi="Arial" w:cs="Arial"/>
          <w:b/>
          <w:bCs/>
          <w:sz w:val="18"/>
          <w:szCs w:val="18"/>
        </w:rPr>
        <w:t>2019</w:t>
      </w:r>
    </w:p>
    <w:p w14:paraId="59484A12" w14:textId="401F1337" w:rsidR="002162A0" w:rsidRPr="006531C1" w:rsidRDefault="6949B64E" w:rsidP="00E966B8">
      <w:pPr>
        <w:pStyle w:val="ListParagraph"/>
        <w:numPr>
          <w:ilvl w:val="0"/>
          <w:numId w:val="1"/>
        </w:numPr>
        <w:jc w:val="both"/>
        <w:rPr>
          <w:rFonts w:ascii="Arial" w:hAnsi="Arial" w:cs="Arial"/>
          <w:sz w:val="18"/>
          <w:szCs w:val="18"/>
          <w:lang w:val="en-US"/>
        </w:rPr>
      </w:pPr>
      <w:r w:rsidRPr="6949B64E">
        <w:rPr>
          <w:rFonts w:ascii="Arial" w:hAnsi="Arial" w:cs="Arial"/>
          <w:sz w:val="18"/>
          <w:szCs w:val="18"/>
          <w:lang w:val="en-US"/>
        </w:rPr>
        <w:t xml:space="preserve">Anthony </w:t>
      </w:r>
      <w:proofErr w:type="spellStart"/>
      <w:r w:rsidRPr="6949B64E">
        <w:rPr>
          <w:rFonts w:ascii="Arial" w:hAnsi="Arial" w:cs="Arial"/>
          <w:sz w:val="18"/>
          <w:szCs w:val="18"/>
          <w:lang w:val="en-US"/>
        </w:rPr>
        <w:t>Zubiaur</w:t>
      </w:r>
      <w:proofErr w:type="spellEnd"/>
      <w:r w:rsidRPr="6949B64E">
        <w:rPr>
          <w:rFonts w:ascii="Arial" w:hAnsi="Arial" w:cs="Arial"/>
          <w:sz w:val="18"/>
          <w:szCs w:val="18"/>
          <w:lang w:val="en-US"/>
        </w:rPr>
        <w:t xml:space="preserve">. Development of new catalysts for proton exchange membrane fuel cells. </w:t>
      </w:r>
      <w:proofErr w:type="spellStart"/>
      <w:r w:rsidRPr="6949B64E">
        <w:rPr>
          <w:rFonts w:ascii="Arial" w:hAnsi="Arial" w:cs="Arial"/>
          <w:sz w:val="18"/>
          <w:szCs w:val="18"/>
          <w:lang w:val="en-US"/>
        </w:rPr>
        <w:t>Thèse</w:t>
      </w:r>
      <w:proofErr w:type="spellEnd"/>
      <w:r w:rsidRPr="6949B64E">
        <w:rPr>
          <w:rFonts w:ascii="Arial" w:hAnsi="Arial" w:cs="Arial"/>
          <w:sz w:val="18"/>
          <w:szCs w:val="18"/>
          <w:lang w:val="en-US"/>
        </w:rPr>
        <w:t xml:space="preserve">. Université de Liège. </w:t>
      </w:r>
      <w:r w:rsidRPr="6949B64E">
        <w:rPr>
          <w:rFonts w:ascii="Arial" w:hAnsi="Arial" w:cs="Arial"/>
          <w:b/>
          <w:bCs/>
          <w:sz w:val="18"/>
          <w:szCs w:val="18"/>
          <w:lang w:val="en-US"/>
        </w:rPr>
        <w:t>2017</w:t>
      </w:r>
      <w:r w:rsidRPr="6949B64E">
        <w:rPr>
          <w:rFonts w:ascii="Arial" w:hAnsi="Arial" w:cs="Arial"/>
          <w:sz w:val="18"/>
          <w:szCs w:val="18"/>
          <w:lang w:val="en-US"/>
        </w:rPr>
        <w:t>.</w:t>
      </w:r>
    </w:p>
    <w:sectPr w:rsidR="002162A0" w:rsidRPr="006531C1" w:rsidSect="00573C59">
      <w:headerReference w:type="default" r:id="rId9"/>
      <w:footerReference w:type="default" r:id="rId10"/>
      <w:pgSz w:w="11900" w:h="16840" w:code="9"/>
      <w:pgMar w:top="851" w:right="851" w:bottom="851" w:left="851"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D13489" w14:textId="77777777" w:rsidR="00202B06" w:rsidRDefault="00202B06" w:rsidP="00F615E2">
      <w:r>
        <w:separator/>
      </w:r>
    </w:p>
  </w:endnote>
  <w:endnote w:type="continuationSeparator" w:id="0">
    <w:p w14:paraId="2EA3541D" w14:textId="77777777" w:rsidR="00202B06" w:rsidRDefault="00202B06" w:rsidP="00F61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B0818" w14:textId="77777777" w:rsidR="00525866" w:rsidRDefault="00000000" w:rsidP="00573C59">
    <w:pPr>
      <w:pStyle w:val="Footer"/>
      <w:pBdr>
        <w:top w:val="single" w:sz="4" w:space="1" w:color="auto"/>
      </w:pBd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93E20" w14:textId="77777777" w:rsidR="00202B06" w:rsidRDefault="00202B06" w:rsidP="00F615E2">
      <w:r>
        <w:separator/>
      </w:r>
    </w:p>
  </w:footnote>
  <w:footnote w:type="continuationSeparator" w:id="0">
    <w:p w14:paraId="1CEB1413" w14:textId="77777777" w:rsidR="00202B06" w:rsidRDefault="00202B06" w:rsidP="00F615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3B7A3" w14:textId="77777777" w:rsidR="00525866" w:rsidRPr="006936FA" w:rsidRDefault="00FD47AB" w:rsidP="00573C59">
    <w:pPr>
      <w:pStyle w:val="Header"/>
      <w:pBdr>
        <w:bottom w:val="single" w:sz="4" w:space="1" w:color="auto"/>
      </w:pBdr>
      <w:jc w:val="center"/>
      <w:rPr>
        <w:rFonts w:ascii="Arial" w:hAnsi="Arial" w:cs="Arial"/>
        <w:sz w:val="18"/>
        <w:szCs w:val="21"/>
      </w:rPr>
    </w:pPr>
    <w:r>
      <w:rPr>
        <w:rFonts w:ascii="Arial" w:hAnsi="Arial" w:cs="Arial"/>
        <w:sz w:val="18"/>
        <w:szCs w:val="21"/>
      </w:rPr>
      <w:t>SFEC2022</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8C3118"/>
    <w:multiLevelType w:val="hybridMultilevel"/>
    <w:tmpl w:val="E17C0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841198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15E2"/>
    <w:rsid w:val="000049CB"/>
    <w:rsid w:val="00005337"/>
    <w:rsid w:val="00027A47"/>
    <w:rsid w:val="00036149"/>
    <w:rsid w:val="00040959"/>
    <w:rsid w:val="000459B2"/>
    <w:rsid w:val="00047D57"/>
    <w:rsid w:val="00052421"/>
    <w:rsid w:val="000668CA"/>
    <w:rsid w:val="000705C8"/>
    <w:rsid w:val="00070A35"/>
    <w:rsid w:val="00071F47"/>
    <w:rsid w:val="000830B0"/>
    <w:rsid w:val="00091041"/>
    <w:rsid w:val="000A5938"/>
    <w:rsid w:val="000B0164"/>
    <w:rsid w:val="000B34CF"/>
    <w:rsid w:val="000E0DD2"/>
    <w:rsid w:val="000E6266"/>
    <w:rsid w:val="000F3E72"/>
    <w:rsid w:val="000F62F2"/>
    <w:rsid w:val="00110441"/>
    <w:rsid w:val="00113C9E"/>
    <w:rsid w:val="001302C6"/>
    <w:rsid w:val="001612A7"/>
    <w:rsid w:val="001654ED"/>
    <w:rsid w:val="00167DFC"/>
    <w:rsid w:val="001A2674"/>
    <w:rsid w:val="001B4025"/>
    <w:rsid w:val="001B6239"/>
    <w:rsid w:val="001F2B12"/>
    <w:rsid w:val="00202B06"/>
    <w:rsid w:val="002162A0"/>
    <w:rsid w:val="002205CC"/>
    <w:rsid w:val="00266287"/>
    <w:rsid w:val="00292837"/>
    <w:rsid w:val="0029432A"/>
    <w:rsid w:val="00297C51"/>
    <w:rsid w:val="002A3294"/>
    <w:rsid w:val="002E1D60"/>
    <w:rsid w:val="002E5F8B"/>
    <w:rsid w:val="003257FF"/>
    <w:rsid w:val="00343516"/>
    <w:rsid w:val="00356160"/>
    <w:rsid w:val="00364BE0"/>
    <w:rsid w:val="003659AF"/>
    <w:rsid w:val="00366BAB"/>
    <w:rsid w:val="0038147E"/>
    <w:rsid w:val="00396569"/>
    <w:rsid w:val="003A2619"/>
    <w:rsid w:val="003A7A04"/>
    <w:rsid w:val="003E35D0"/>
    <w:rsid w:val="003F2C55"/>
    <w:rsid w:val="0040736D"/>
    <w:rsid w:val="00425766"/>
    <w:rsid w:val="0042731A"/>
    <w:rsid w:val="00437C40"/>
    <w:rsid w:val="004638FC"/>
    <w:rsid w:val="00467C84"/>
    <w:rsid w:val="00480267"/>
    <w:rsid w:val="004943ED"/>
    <w:rsid w:val="004A7943"/>
    <w:rsid w:val="004E2EED"/>
    <w:rsid w:val="0050390B"/>
    <w:rsid w:val="00512E54"/>
    <w:rsid w:val="00524753"/>
    <w:rsid w:val="00530C47"/>
    <w:rsid w:val="0054324D"/>
    <w:rsid w:val="0056598D"/>
    <w:rsid w:val="0058026F"/>
    <w:rsid w:val="00587739"/>
    <w:rsid w:val="0059542D"/>
    <w:rsid w:val="005A30A8"/>
    <w:rsid w:val="005B2831"/>
    <w:rsid w:val="006426F9"/>
    <w:rsid w:val="006531C1"/>
    <w:rsid w:val="0066121C"/>
    <w:rsid w:val="00674124"/>
    <w:rsid w:val="00674DF7"/>
    <w:rsid w:val="00690D14"/>
    <w:rsid w:val="006936FA"/>
    <w:rsid w:val="00695D5E"/>
    <w:rsid w:val="006A106A"/>
    <w:rsid w:val="006D22D8"/>
    <w:rsid w:val="0070797E"/>
    <w:rsid w:val="007275FF"/>
    <w:rsid w:val="0073167A"/>
    <w:rsid w:val="00737778"/>
    <w:rsid w:val="00771F93"/>
    <w:rsid w:val="00776A73"/>
    <w:rsid w:val="007964C5"/>
    <w:rsid w:val="00797646"/>
    <w:rsid w:val="007978D6"/>
    <w:rsid w:val="007A742B"/>
    <w:rsid w:val="007B087E"/>
    <w:rsid w:val="007F7447"/>
    <w:rsid w:val="00801F1B"/>
    <w:rsid w:val="00803E97"/>
    <w:rsid w:val="0083202D"/>
    <w:rsid w:val="00840746"/>
    <w:rsid w:val="00842DB9"/>
    <w:rsid w:val="00845055"/>
    <w:rsid w:val="00846E63"/>
    <w:rsid w:val="0085482B"/>
    <w:rsid w:val="0086247A"/>
    <w:rsid w:val="0087510B"/>
    <w:rsid w:val="008C146F"/>
    <w:rsid w:val="008D5F0E"/>
    <w:rsid w:val="00913FEA"/>
    <w:rsid w:val="0095531D"/>
    <w:rsid w:val="00967F9C"/>
    <w:rsid w:val="00973BFD"/>
    <w:rsid w:val="00976D01"/>
    <w:rsid w:val="009960B4"/>
    <w:rsid w:val="0099652F"/>
    <w:rsid w:val="009B6AE5"/>
    <w:rsid w:val="00A46633"/>
    <w:rsid w:val="00A51BB0"/>
    <w:rsid w:val="00A55D1D"/>
    <w:rsid w:val="00A565AB"/>
    <w:rsid w:val="00A64956"/>
    <w:rsid w:val="00A67836"/>
    <w:rsid w:val="00A7001A"/>
    <w:rsid w:val="00A70ED3"/>
    <w:rsid w:val="00A857F0"/>
    <w:rsid w:val="00A97D37"/>
    <w:rsid w:val="00AB24EB"/>
    <w:rsid w:val="00AC7142"/>
    <w:rsid w:val="00AD09D0"/>
    <w:rsid w:val="00AF16AE"/>
    <w:rsid w:val="00AF256A"/>
    <w:rsid w:val="00AF3C59"/>
    <w:rsid w:val="00B04B6B"/>
    <w:rsid w:val="00B0504E"/>
    <w:rsid w:val="00B12418"/>
    <w:rsid w:val="00B20DAA"/>
    <w:rsid w:val="00B26C7B"/>
    <w:rsid w:val="00B37EBC"/>
    <w:rsid w:val="00B45526"/>
    <w:rsid w:val="00B526CA"/>
    <w:rsid w:val="00B56181"/>
    <w:rsid w:val="00B6050A"/>
    <w:rsid w:val="00B873BC"/>
    <w:rsid w:val="00B918C0"/>
    <w:rsid w:val="00B95BE3"/>
    <w:rsid w:val="00BA5AEE"/>
    <w:rsid w:val="00BD1A4A"/>
    <w:rsid w:val="00BE029E"/>
    <w:rsid w:val="00BE414D"/>
    <w:rsid w:val="00BE48CF"/>
    <w:rsid w:val="00BE65EC"/>
    <w:rsid w:val="00C07F32"/>
    <w:rsid w:val="00C11CE0"/>
    <w:rsid w:val="00C52A84"/>
    <w:rsid w:val="00C827FE"/>
    <w:rsid w:val="00C923FC"/>
    <w:rsid w:val="00CC45C1"/>
    <w:rsid w:val="00CC4F35"/>
    <w:rsid w:val="00CF22F5"/>
    <w:rsid w:val="00D2143E"/>
    <w:rsid w:val="00D309E4"/>
    <w:rsid w:val="00D61C69"/>
    <w:rsid w:val="00D624D0"/>
    <w:rsid w:val="00D661E5"/>
    <w:rsid w:val="00D66C8E"/>
    <w:rsid w:val="00DB3830"/>
    <w:rsid w:val="00DB4084"/>
    <w:rsid w:val="00DB78FB"/>
    <w:rsid w:val="00DF3E8F"/>
    <w:rsid w:val="00E01258"/>
    <w:rsid w:val="00E16759"/>
    <w:rsid w:val="00E278A7"/>
    <w:rsid w:val="00E42277"/>
    <w:rsid w:val="00E63CE7"/>
    <w:rsid w:val="00E915E1"/>
    <w:rsid w:val="00E937D9"/>
    <w:rsid w:val="00E94609"/>
    <w:rsid w:val="00E96112"/>
    <w:rsid w:val="00E966B8"/>
    <w:rsid w:val="00EA043E"/>
    <w:rsid w:val="00EB40AA"/>
    <w:rsid w:val="00EC3899"/>
    <w:rsid w:val="00EC6E7B"/>
    <w:rsid w:val="00F1403F"/>
    <w:rsid w:val="00F54F8E"/>
    <w:rsid w:val="00F56B67"/>
    <w:rsid w:val="00F615E2"/>
    <w:rsid w:val="00F72EE3"/>
    <w:rsid w:val="00F75F09"/>
    <w:rsid w:val="00F859A5"/>
    <w:rsid w:val="00F958BA"/>
    <w:rsid w:val="00FD0591"/>
    <w:rsid w:val="00FD47AB"/>
    <w:rsid w:val="384AF122"/>
    <w:rsid w:val="43BDFD73"/>
    <w:rsid w:val="6949B64E"/>
    <w:rsid w:val="6B7FB2BC"/>
    <w:rsid w:val="6EC22435"/>
    <w:rsid w:val="7CCA6C0C"/>
    <w:rsid w:val="7E99061C"/>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0BBD46"/>
  <w15:docId w15:val="{E32D8AF5-8F03-4AD9-B789-DAEE000F8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5E2"/>
    <w:pPr>
      <w:spacing w:after="0" w:line="240" w:lineRule="auto"/>
    </w:pPr>
    <w:rPr>
      <w:rFonts w:ascii="Times" w:eastAsia="Times" w:hAnsi="Times" w:cs="Times New Roman"/>
      <w:sz w:val="24"/>
      <w:szCs w:val="20"/>
      <w:lang w:eastAsia="fr-FR"/>
    </w:rPr>
  </w:style>
  <w:style w:type="paragraph" w:styleId="Heading1">
    <w:name w:val="heading 1"/>
    <w:basedOn w:val="Normal"/>
    <w:next w:val="Normal"/>
    <w:link w:val="Heading1Char"/>
    <w:qFormat/>
    <w:rsid w:val="00F615E2"/>
    <w:pPr>
      <w:keepNext/>
      <w:outlineLvl w:val="0"/>
    </w:pPr>
    <w:rPr>
      <w:b/>
      <w:sz w:val="48"/>
    </w:rPr>
  </w:style>
  <w:style w:type="paragraph" w:styleId="Heading2">
    <w:name w:val="heading 2"/>
    <w:basedOn w:val="Normal"/>
    <w:next w:val="Normal"/>
    <w:link w:val="Heading2Char"/>
    <w:qFormat/>
    <w:rsid w:val="00F615E2"/>
    <w:pPr>
      <w:keepNext/>
      <w:outlineLvl w:val="1"/>
    </w:pPr>
    <w:rPr>
      <w:sz w:val="32"/>
    </w:rPr>
  </w:style>
  <w:style w:type="paragraph" w:styleId="Heading3">
    <w:name w:val="heading 3"/>
    <w:basedOn w:val="Normal"/>
    <w:next w:val="Normal"/>
    <w:link w:val="Heading3Char"/>
    <w:qFormat/>
    <w:rsid w:val="00F615E2"/>
    <w:pPr>
      <w:keepNext/>
      <w:outlineLvl w:val="2"/>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615E2"/>
    <w:rPr>
      <w:rFonts w:ascii="Times" w:eastAsia="Times" w:hAnsi="Times" w:cs="Times New Roman"/>
      <w:b/>
      <w:sz w:val="48"/>
      <w:szCs w:val="20"/>
      <w:lang w:eastAsia="fr-FR"/>
    </w:rPr>
  </w:style>
  <w:style w:type="character" w:customStyle="1" w:styleId="Heading2Char">
    <w:name w:val="Heading 2 Char"/>
    <w:basedOn w:val="DefaultParagraphFont"/>
    <w:link w:val="Heading2"/>
    <w:rsid w:val="00F615E2"/>
    <w:rPr>
      <w:rFonts w:ascii="Times" w:eastAsia="Times" w:hAnsi="Times" w:cs="Times New Roman"/>
      <w:sz w:val="32"/>
      <w:szCs w:val="20"/>
      <w:lang w:eastAsia="fr-FR"/>
    </w:rPr>
  </w:style>
  <w:style w:type="character" w:customStyle="1" w:styleId="Heading3Char">
    <w:name w:val="Heading 3 Char"/>
    <w:basedOn w:val="DefaultParagraphFont"/>
    <w:link w:val="Heading3"/>
    <w:rsid w:val="00F615E2"/>
    <w:rPr>
      <w:rFonts w:ascii="Times" w:eastAsia="Times" w:hAnsi="Times" w:cs="Times New Roman"/>
      <w:b/>
      <w:sz w:val="28"/>
      <w:szCs w:val="20"/>
      <w:lang w:eastAsia="fr-FR"/>
    </w:rPr>
  </w:style>
  <w:style w:type="character" w:styleId="Hyperlink">
    <w:name w:val="Hyperlink"/>
    <w:rsid w:val="00F615E2"/>
    <w:rPr>
      <w:color w:val="0000FF"/>
      <w:u w:val="single"/>
    </w:rPr>
  </w:style>
  <w:style w:type="paragraph" w:styleId="Header">
    <w:name w:val="header"/>
    <w:basedOn w:val="Normal"/>
    <w:link w:val="HeaderChar"/>
    <w:rsid w:val="00F615E2"/>
    <w:pPr>
      <w:tabs>
        <w:tab w:val="center" w:pos="4536"/>
        <w:tab w:val="right" w:pos="9072"/>
      </w:tabs>
    </w:pPr>
  </w:style>
  <w:style w:type="character" w:customStyle="1" w:styleId="HeaderChar">
    <w:name w:val="Header Char"/>
    <w:basedOn w:val="DefaultParagraphFont"/>
    <w:link w:val="Header"/>
    <w:rsid w:val="00F615E2"/>
    <w:rPr>
      <w:rFonts w:ascii="Times" w:eastAsia="Times" w:hAnsi="Times" w:cs="Times New Roman"/>
      <w:sz w:val="24"/>
      <w:szCs w:val="20"/>
      <w:lang w:eastAsia="fr-FR"/>
    </w:rPr>
  </w:style>
  <w:style w:type="paragraph" w:styleId="Footer">
    <w:name w:val="footer"/>
    <w:basedOn w:val="Normal"/>
    <w:link w:val="FooterChar"/>
    <w:rsid w:val="00F615E2"/>
    <w:pPr>
      <w:tabs>
        <w:tab w:val="center" w:pos="4536"/>
        <w:tab w:val="right" w:pos="9072"/>
      </w:tabs>
    </w:pPr>
  </w:style>
  <w:style w:type="character" w:customStyle="1" w:styleId="FooterChar">
    <w:name w:val="Footer Char"/>
    <w:basedOn w:val="DefaultParagraphFont"/>
    <w:link w:val="Footer"/>
    <w:rsid w:val="00F615E2"/>
    <w:rPr>
      <w:rFonts w:ascii="Times" w:eastAsia="Times" w:hAnsi="Times" w:cs="Times New Roman"/>
      <w:sz w:val="24"/>
      <w:szCs w:val="20"/>
      <w:lang w:eastAsia="fr-FR"/>
    </w:rPr>
  </w:style>
  <w:style w:type="character" w:customStyle="1" w:styleId="UnresolvedMention1">
    <w:name w:val="Unresolved Mention1"/>
    <w:basedOn w:val="DefaultParagraphFont"/>
    <w:uiPriority w:val="99"/>
    <w:semiHidden/>
    <w:unhideWhenUsed/>
    <w:rsid w:val="00845055"/>
    <w:rPr>
      <w:color w:val="605E5C"/>
      <w:shd w:val="clear" w:color="auto" w:fill="E1DFDD"/>
    </w:rPr>
  </w:style>
  <w:style w:type="character" w:styleId="UnresolvedMention">
    <w:name w:val="Unresolved Mention"/>
    <w:basedOn w:val="DefaultParagraphFont"/>
    <w:uiPriority w:val="99"/>
    <w:semiHidden/>
    <w:unhideWhenUsed/>
    <w:rsid w:val="0087510B"/>
    <w:rPr>
      <w:color w:val="605E5C"/>
      <w:shd w:val="clear" w:color="auto" w:fill="E1DFDD"/>
    </w:rPr>
  </w:style>
  <w:style w:type="paragraph" w:styleId="ListParagraph">
    <w:name w:val="List Paragraph"/>
    <w:basedOn w:val="Normal"/>
    <w:uiPriority w:val="34"/>
    <w:qFormat/>
    <w:rsid w:val="003A7A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thalie.job@uliege.be" TargetMode="External"/><Relationship Id="rId13" Type="http://schemas.microsoft.com/office/2020/10/relationships/intelligence" Target="intelligence2.xml"/><Relationship Id="rId3" Type="http://schemas.openxmlformats.org/officeDocument/2006/relationships/settings" Target="settings.xml"/><Relationship Id="rId7" Type="http://schemas.openxmlformats.org/officeDocument/2006/relationships/hyperlink" Target="mailto:bryan.carre@uliege.b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573</Words>
  <Characters>3670</Characters>
  <Application>Microsoft Office Word</Application>
  <DocSecurity>0</DocSecurity>
  <Lines>114</Lines>
  <Paragraphs>128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Nicolas BATISSE</dc:creator>
  <cp:keywords/>
  <dc:description/>
  <cp:lastModifiedBy>Bryan Carré</cp:lastModifiedBy>
  <cp:revision>125</cp:revision>
  <cp:lastPrinted>2021-06-03T08:18:00Z</cp:lastPrinted>
  <dcterms:created xsi:type="dcterms:W3CDTF">2022-01-12T23:11:00Z</dcterms:created>
  <dcterms:modified xsi:type="dcterms:W3CDTF">2023-05-09T08:56:00Z</dcterms:modified>
</cp:coreProperties>
</file>