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48F" w:rsidRPr="00D26661" w:rsidRDefault="00FC348F" w:rsidP="00615949">
      <w:pPr>
        <w:jc w:val="both"/>
        <w:rPr>
          <w:rFonts w:ascii="Arial" w:eastAsia="Times" w:hAnsi="Arial" w:cs="Arial"/>
          <w:sz w:val="22"/>
          <w:szCs w:val="22"/>
          <w:lang w:val="en-GB" w:eastAsia="fr-FR"/>
        </w:rPr>
      </w:pPr>
      <w:r w:rsidRPr="00D26661">
        <w:rPr>
          <w:rFonts w:ascii="Arial" w:eastAsia="Times" w:hAnsi="Arial" w:cs="Arial"/>
          <w:sz w:val="22"/>
          <w:szCs w:val="22"/>
          <w:lang w:val="en-GB" w:eastAsia="fr-FR"/>
        </w:rPr>
        <w:t xml:space="preserve">Energy storage using batteries plays a key role for a more sustainable future. However, the demand increase requires better concepts in terms of critical material use and manufacturing processes. Those new concepts should help solving issues of material availability (in particular Li) and of toxic or difficult-to-recycle materials use in electrode manufacturing (e.g. NMP as solvent and PVDF as binder). This study focuses on hard carbons for negative electrodes of Na-ion batteries; electrodes are further manufactured from carbon powders with a water-based process using a </w:t>
      </w:r>
      <w:proofErr w:type="spellStart"/>
      <w:r w:rsidRPr="00D26661">
        <w:rPr>
          <w:rFonts w:ascii="Arial" w:eastAsia="Times" w:hAnsi="Arial" w:cs="Arial"/>
          <w:sz w:val="22"/>
          <w:szCs w:val="22"/>
          <w:lang w:val="en-GB" w:eastAsia="fr-FR"/>
        </w:rPr>
        <w:t>biosourced</w:t>
      </w:r>
      <w:proofErr w:type="spellEnd"/>
      <w:r w:rsidRPr="00D26661">
        <w:rPr>
          <w:rFonts w:ascii="Arial" w:eastAsia="Times" w:hAnsi="Arial" w:cs="Arial"/>
          <w:sz w:val="22"/>
          <w:szCs w:val="22"/>
          <w:lang w:val="en-GB" w:eastAsia="fr-FR"/>
        </w:rPr>
        <w:t xml:space="preserve"> binder, xanthan gum</w:t>
      </w:r>
      <w:r w:rsidR="00D26661" w:rsidRPr="00D26661">
        <w:rPr>
          <w:rFonts w:ascii="Arial" w:eastAsia="Times" w:hAnsi="Arial" w:cs="Arial"/>
          <w:sz w:val="22"/>
          <w:szCs w:val="22"/>
          <w:vertAlign w:val="superscript"/>
          <w:lang w:val="en-GB" w:eastAsia="fr-FR"/>
        </w:rPr>
        <w:t>1</w:t>
      </w:r>
      <w:r w:rsidRPr="00D26661">
        <w:rPr>
          <w:rFonts w:ascii="Arial" w:eastAsia="Times" w:hAnsi="Arial" w:cs="Arial"/>
          <w:sz w:val="22"/>
          <w:szCs w:val="22"/>
          <w:lang w:val="en-GB" w:eastAsia="fr-FR"/>
        </w:rPr>
        <w:t>.</w:t>
      </w:r>
    </w:p>
    <w:p w:rsidR="00FC348F" w:rsidRPr="00D26661" w:rsidRDefault="00FC348F" w:rsidP="00615949">
      <w:pPr>
        <w:jc w:val="both"/>
        <w:rPr>
          <w:rFonts w:ascii="Arial" w:eastAsia="Times" w:hAnsi="Arial" w:cs="Arial"/>
          <w:sz w:val="22"/>
          <w:szCs w:val="22"/>
          <w:lang w:val="en-GB" w:eastAsia="fr-FR"/>
        </w:rPr>
      </w:pPr>
    </w:p>
    <w:p w:rsidR="00B844A1" w:rsidRPr="00D26661" w:rsidRDefault="00FC348F" w:rsidP="00615949">
      <w:pPr>
        <w:jc w:val="both"/>
        <w:rPr>
          <w:rFonts w:ascii="Arial" w:eastAsia="Times" w:hAnsi="Arial" w:cs="Arial"/>
          <w:sz w:val="22"/>
          <w:szCs w:val="22"/>
          <w:lang w:val="en-GB" w:eastAsia="fr-FR"/>
        </w:rPr>
      </w:pPr>
      <w:r w:rsidRPr="00D26661">
        <w:rPr>
          <w:rFonts w:ascii="Arial" w:eastAsia="Times" w:hAnsi="Arial" w:cs="Arial"/>
          <w:sz w:val="22"/>
          <w:szCs w:val="22"/>
          <w:lang w:val="en-GB" w:eastAsia="fr-FR"/>
        </w:rPr>
        <w:t>Hard carbons are popular materials as negative electrodes of Na-ion batteries due to possibility of Na</w:t>
      </w:r>
      <w:r w:rsidRPr="00D26661">
        <w:rPr>
          <w:rFonts w:ascii="Arial" w:eastAsia="Times" w:hAnsi="Arial" w:cs="Arial"/>
          <w:sz w:val="22"/>
          <w:szCs w:val="22"/>
          <w:vertAlign w:val="superscript"/>
          <w:lang w:val="en-GB" w:eastAsia="fr-FR"/>
        </w:rPr>
        <w:t>+</w:t>
      </w:r>
      <w:r w:rsidRPr="00D26661">
        <w:rPr>
          <w:rFonts w:ascii="Arial" w:eastAsia="Times" w:hAnsi="Arial" w:cs="Arial"/>
          <w:sz w:val="22"/>
          <w:szCs w:val="22"/>
          <w:lang w:val="en-GB" w:eastAsia="fr-FR"/>
        </w:rPr>
        <w:t xml:space="preserve"> intercalation into their structure, high tunability of their properties and easy synthesis. However, although those materials were able to obtain high capacities such as 300 mAh/g</w:t>
      </w:r>
      <w:r w:rsidR="00D26661">
        <w:rPr>
          <w:rFonts w:ascii="Arial" w:eastAsia="Times" w:hAnsi="Arial" w:cs="Arial"/>
          <w:sz w:val="22"/>
          <w:szCs w:val="22"/>
          <w:lang w:val="en-GB" w:eastAsia="fr-FR"/>
        </w:rPr>
        <w:t xml:space="preserve"> </w:t>
      </w:r>
      <w:r w:rsidR="00D26661" w:rsidRPr="00D26661">
        <w:rPr>
          <w:rFonts w:ascii="Arial" w:eastAsia="Times" w:hAnsi="Arial" w:cs="Arial"/>
          <w:sz w:val="22"/>
          <w:szCs w:val="22"/>
          <w:vertAlign w:val="superscript"/>
          <w:lang w:val="en-GB" w:eastAsia="fr-FR"/>
        </w:rPr>
        <w:t>2</w:t>
      </w:r>
      <w:r w:rsidRPr="00D26661">
        <w:rPr>
          <w:rFonts w:ascii="Arial" w:eastAsia="Times" w:hAnsi="Arial" w:cs="Arial"/>
          <w:sz w:val="22"/>
          <w:szCs w:val="22"/>
          <w:lang w:val="en-GB" w:eastAsia="fr-FR"/>
        </w:rPr>
        <w:t>, the capacity quickly drops due to high SEI formation on their high surface areas. Additionally, SEI formation seems to be hindering the micropores making it inaccessible for further Na</w:t>
      </w:r>
      <w:r w:rsidRPr="00437B8E">
        <w:rPr>
          <w:rFonts w:ascii="Arial" w:eastAsia="Times" w:hAnsi="Arial" w:cs="Arial"/>
          <w:sz w:val="22"/>
          <w:szCs w:val="22"/>
          <w:vertAlign w:val="superscript"/>
          <w:lang w:val="en-GB" w:eastAsia="fr-FR"/>
        </w:rPr>
        <w:t>+</w:t>
      </w:r>
      <w:r w:rsidRPr="00D26661">
        <w:rPr>
          <w:rFonts w:ascii="Arial" w:eastAsia="Times" w:hAnsi="Arial" w:cs="Arial"/>
          <w:sz w:val="22"/>
          <w:szCs w:val="22"/>
          <w:lang w:val="en-GB" w:eastAsia="fr-FR"/>
        </w:rPr>
        <w:t xml:space="preserve"> ions. In an earlier study</w:t>
      </w:r>
      <w:r w:rsidR="00D26661" w:rsidRPr="00D26661">
        <w:rPr>
          <w:rFonts w:ascii="Arial" w:eastAsia="Times" w:hAnsi="Arial" w:cs="Arial"/>
          <w:sz w:val="22"/>
          <w:szCs w:val="22"/>
          <w:vertAlign w:val="superscript"/>
          <w:lang w:val="en-GB" w:eastAsia="fr-FR"/>
        </w:rPr>
        <w:t>3</w:t>
      </w:r>
      <w:r w:rsidRPr="00D26661">
        <w:rPr>
          <w:rFonts w:ascii="Arial" w:eastAsia="Times" w:hAnsi="Arial" w:cs="Arial"/>
          <w:sz w:val="22"/>
          <w:szCs w:val="22"/>
          <w:lang w:val="en-GB" w:eastAsia="fr-FR"/>
        </w:rPr>
        <w:t xml:space="preserve">, </w:t>
      </w:r>
      <w:r w:rsidR="003F61D6" w:rsidRPr="00D26661">
        <w:rPr>
          <w:rFonts w:ascii="Arial" w:eastAsia="Times" w:hAnsi="Arial" w:cs="Arial"/>
          <w:sz w:val="22"/>
          <w:szCs w:val="22"/>
          <w:lang w:val="en-GB" w:eastAsia="fr-FR"/>
        </w:rPr>
        <w:t>carbon xerogels (i.e. micro-mesoporous hard carbons with a controllable pore texture</w:t>
      </w:r>
      <w:r w:rsidR="00D26661" w:rsidRPr="00D26661">
        <w:rPr>
          <w:rFonts w:ascii="Arial" w:eastAsia="Times" w:hAnsi="Arial" w:cs="Arial"/>
          <w:sz w:val="22"/>
          <w:szCs w:val="22"/>
          <w:vertAlign w:val="superscript"/>
          <w:lang w:val="en-GB" w:eastAsia="fr-FR"/>
        </w:rPr>
        <w:t>4</w:t>
      </w:r>
      <w:r w:rsidR="003F61D6" w:rsidRPr="00D26661">
        <w:rPr>
          <w:rFonts w:ascii="Arial" w:eastAsia="Times" w:hAnsi="Arial" w:cs="Arial"/>
          <w:sz w:val="22"/>
          <w:szCs w:val="22"/>
          <w:lang w:val="en-GB" w:eastAsia="fr-FR"/>
        </w:rPr>
        <w:t xml:space="preserve">) with different nodule sizes has been synthesized and it has been understood that the big nodule sized carbon xerogels are performing better as their pores </w:t>
      </w:r>
      <w:r w:rsidR="00437B8E">
        <w:rPr>
          <w:rFonts w:ascii="Arial" w:eastAsia="Times" w:hAnsi="Arial" w:cs="Arial"/>
          <w:sz w:val="22"/>
          <w:szCs w:val="22"/>
          <w:lang w:val="en-GB" w:eastAsia="fr-FR"/>
        </w:rPr>
        <w:t xml:space="preserve">are </w:t>
      </w:r>
      <w:r w:rsidR="003F61D6" w:rsidRPr="00D26661">
        <w:rPr>
          <w:rFonts w:ascii="Arial" w:eastAsia="Times" w:hAnsi="Arial" w:cs="Arial"/>
          <w:sz w:val="22"/>
          <w:szCs w:val="22"/>
          <w:lang w:val="en-GB" w:eastAsia="fr-FR"/>
        </w:rPr>
        <w:t>much less accessible to the electrolyte but they can still store Na</w:t>
      </w:r>
      <w:r w:rsidR="003F61D6" w:rsidRPr="00D26661">
        <w:rPr>
          <w:rFonts w:ascii="Arial" w:eastAsia="Times" w:hAnsi="Arial" w:cs="Arial"/>
          <w:sz w:val="22"/>
          <w:szCs w:val="22"/>
          <w:vertAlign w:val="superscript"/>
          <w:lang w:val="en-GB" w:eastAsia="fr-FR"/>
        </w:rPr>
        <w:t>+</w:t>
      </w:r>
      <w:r w:rsidR="003F61D6" w:rsidRPr="00D26661">
        <w:rPr>
          <w:rFonts w:ascii="Arial" w:eastAsia="Times" w:hAnsi="Arial" w:cs="Arial"/>
          <w:sz w:val="22"/>
          <w:szCs w:val="22"/>
          <w:lang w:val="en-GB" w:eastAsia="fr-FR"/>
        </w:rPr>
        <w:t xml:space="preserve"> ions. </w:t>
      </w:r>
    </w:p>
    <w:p w:rsidR="003F61D6" w:rsidRPr="00D26661" w:rsidRDefault="003F61D6" w:rsidP="00615949">
      <w:pPr>
        <w:jc w:val="both"/>
        <w:rPr>
          <w:rFonts w:ascii="Arial" w:eastAsia="Times" w:hAnsi="Arial" w:cs="Arial"/>
          <w:sz w:val="22"/>
          <w:szCs w:val="22"/>
          <w:lang w:val="en-GB" w:eastAsia="fr-FR"/>
        </w:rPr>
      </w:pPr>
    </w:p>
    <w:p w:rsidR="003F61D6" w:rsidRDefault="003F61D6" w:rsidP="00615949">
      <w:pPr>
        <w:jc w:val="both"/>
        <w:rPr>
          <w:rFonts w:ascii="Arial" w:eastAsia="Times" w:hAnsi="Arial" w:cs="Arial"/>
          <w:sz w:val="22"/>
          <w:szCs w:val="22"/>
          <w:lang w:val="en-GB" w:eastAsia="fr-FR"/>
        </w:rPr>
      </w:pPr>
      <w:r w:rsidRPr="00D26661">
        <w:rPr>
          <w:rFonts w:ascii="Arial" w:eastAsia="Times" w:hAnsi="Arial" w:cs="Arial"/>
          <w:sz w:val="22"/>
          <w:szCs w:val="22"/>
          <w:lang w:val="en-GB" w:eastAsia="fr-FR"/>
        </w:rPr>
        <w:t>In this study, that follows the first study</w:t>
      </w:r>
      <w:r w:rsidR="00D26661" w:rsidRPr="00D26661">
        <w:rPr>
          <w:rFonts w:ascii="Arial" w:eastAsia="Times" w:hAnsi="Arial" w:cs="Arial"/>
          <w:sz w:val="22"/>
          <w:szCs w:val="22"/>
          <w:vertAlign w:val="superscript"/>
          <w:lang w:val="en-GB" w:eastAsia="fr-FR"/>
        </w:rPr>
        <w:t>3</w:t>
      </w:r>
      <w:r w:rsidRPr="00D26661">
        <w:rPr>
          <w:rFonts w:ascii="Arial" w:eastAsia="Times" w:hAnsi="Arial" w:cs="Arial"/>
          <w:sz w:val="22"/>
          <w:szCs w:val="22"/>
          <w:lang w:val="en-GB" w:eastAsia="fr-FR"/>
        </w:rPr>
        <w:t>, carbon xerogels with 2</w:t>
      </w:r>
      <w:r w:rsidR="00D26661" w:rsidRPr="00D26661">
        <w:rPr>
          <w:rFonts w:ascii="Arial" w:eastAsia="Times" w:hAnsi="Arial" w:cs="Arial"/>
          <w:sz w:val="22"/>
          <w:szCs w:val="22"/>
          <w:lang w:val="en-GB" w:eastAsia="fr-FR"/>
        </w:rPr>
        <w:t xml:space="preserve"> µ</w:t>
      </w:r>
      <w:r w:rsidRPr="00D26661">
        <w:rPr>
          <w:rFonts w:ascii="Arial" w:eastAsia="Times" w:hAnsi="Arial" w:cs="Arial"/>
          <w:sz w:val="22"/>
          <w:szCs w:val="22"/>
          <w:lang w:val="en-GB" w:eastAsia="fr-FR"/>
        </w:rPr>
        <w:t>m nodule size were synthesized by pyrolysis of phenolic resins. Following this, CO</w:t>
      </w:r>
      <w:r w:rsidRPr="00D26661">
        <w:rPr>
          <w:rFonts w:ascii="Arial" w:eastAsia="Times" w:hAnsi="Arial" w:cs="Arial"/>
          <w:sz w:val="22"/>
          <w:szCs w:val="22"/>
          <w:vertAlign w:val="subscript"/>
          <w:lang w:val="en-GB" w:eastAsia="fr-FR"/>
        </w:rPr>
        <w:t>2</w:t>
      </w:r>
      <w:r w:rsidRPr="00D26661">
        <w:rPr>
          <w:rFonts w:ascii="Arial" w:eastAsia="Times" w:hAnsi="Arial" w:cs="Arial"/>
          <w:sz w:val="22"/>
          <w:szCs w:val="22"/>
          <w:lang w:val="en-GB" w:eastAsia="fr-FR"/>
        </w:rPr>
        <w:t xml:space="preserve"> activation has been realized in order to increase the microporosity and those micropores are later closed by Chemical Vapor </w:t>
      </w:r>
      <w:r w:rsidR="00437B8E">
        <w:rPr>
          <w:rFonts w:ascii="Arial" w:eastAsia="Times" w:hAnsi="Arial" w:cs="Arial"/>
          <w:sz w:val="22"/>
          <w:szCs w:val="22"/>
          <w:lang w:val="en-GB" w:eastAsia="fr-FR"/>
        </w:rPr>
        <w:t>D</w:t>
      </w:r>
      <w:r w:rsidRPr="00D26661">
        <w:rPr>
          <w:rFonts w:ascii="Arial" w:eastAsia="Times" w:hAnsi="Arial" w:cs="Arial"/>
          <w:sz w:val="22"/>
          <w:szCs w:val="22"/>
          <w:lang w:val="en-GB" w:eastAsia="fr-FR"/>
        </w:rPr>
        <w:t>eposition</w:t>
      </w:r>
      <w:r w:rsidR="00437B8E">
        <w:rPr>
          <w:rFonts w:ascii="Arial" w:eastAsia="Times" w:hAnsi="Arial" w:cs="Arial"/>
          <w:sz w:val="22"/>
          <w:szCs w:val="22"/>
          <w:lang w:val="en-GB" w:eastAsia="fr-FR"/>
        </w:rPr>
        <w:t xml:space="preserve"> (CVD)</w:t>
      </w:r>
      <w:r w:rsidRPr="00D26661">
        <w:rPr>
          <w:rFonts w:ascii="Arial" w:eastAsia="Times" w:hAnsi="Arial" w:cs="Arial"/>
          <w:sz w:val="22"/>
          <w:szCs w:val="22"/>
          <w:lang w:val="en-GB" w:eastAsia="fr-FR"/>
        </w:rPr>
        <w:t xml:space="preserve"> in order to increase the number of closed pores. Obtained powders are later characterized by their structure, surface chemistry and performance as negative electrodes of Na-ion batteries. Cells that are prepared with activated and coated carbon xerogels were able to show around 300 mAh/g capacity with 88% initial coulombic efficiency. </w:t>
      </w:r>
      <w:r w:rsidR="00D26661" w:rsidRPr="00D26661">
        <w:rPr>
          <w:rFonts w:ascii="Arial" w:eastAsia="Times" w:hAnsi="Arial" w:cs="Arial"/>
          <w:sz w:val="22"/>
          <w:szCs w:val="22"/>
          <w:lang w:val="en-GB" w:eastAsia="fr-FR"/>
        </w:rPr>
        <w:t xml:space="preserve">Additionally, further cyclic voltammetry studies with supercapacitor setup </w:t>
      </w:r>
      <w:r w:rsidR="00437B8E">
        <w:rPr>
          <w:rFonts w:ascii="Arial" w:eastAsia="Times" w:hAnsi="Arial" w:cs="Arial"/>
          <w:sz w:val="22"/>
          <w:szCs w:val="22"/>
          <w:lang w:val="en-GB" w:eastAsia="fr-FR"/>
        </w:rPr>
        <w:t>conducted in order to understand</w:t>
      </w:r>
      <w:r w:rsidR="00D26661" w:rsidRPr="00D26661">
        <w:rPr>
          <w:rFonts w:ascii="Arial" w:eastAsia="Times" w:hAnsi="Arial" w:cs="Arial"/>
          <w:sz w:val="22"/>
          <w:szCs w:val="22"/>
          <w:lang w:val="en-GB" w:eastAsia="fr-FR"/>
        </w:rPr>
        <w:t xml:space="preserve"> the relation between external surface</w:t>
      </w:r>
      <w:bookmarkStart w:id="0" w:name="_GoBack"/>
      <w:bookmarkEnd w:id="0"/>
      <w:r w:rsidR="00D26661" w:rsidRPr="00D26661">
        <w:rPr>
          <w:rFonts w:ascii="Arial" w:eastAsia="Times" w:hAnsi="Arial" w:cs="Arial"/>
          <w:sz w:val="22"/>
          <w:szCs w:val="22"/>
          <w:lang w:val="en-GB" w:eastAsia="fr-FR"/>
        </w:rPr>
        <w:t xml:space="preserve"> area and surface area accessible to the electrolyte. </w:t>
      </w:r>
    </w:p>
    <w:p w:rsidR="00615949" w:rsidRDefault="00615949" w:rsidP="00615949">
      <w:pPr>
        <w:jc w:val="both"/>
        <w:rPr>
          <w:rFonts w:ascii="Arial" w:eastAsia="Times" w:hAnsi="Arial" w:cs="Arial"/>
          <w:sz w:val="22"/>
          <w:szCs w:val="22"/>
          <w:lang w:val="en-GB" w:eastAsia="fr-FR"/>
        </w:rPr>
      </w:pPr>
    </w:p>
    <w:p w:rsidR="00D26661" w:rsidRPr="00D26661" w:rsidRDefault="00615949" w:rsidP="00615949">
      <w:pPr>
        <w:jc w:val="both"/>
        <w:rPr>
          <w:rFonts w:ascii="Arial" w:eastAsia="Times" w:hAnsi="Arial" w:cs="Arial"/>
          <w:sz w:val="22"/>
          <w:szCs w:val="22"/>
          <w:lang w:val="en-GB" w:eastAsia="fr-FR"/>
        </w:rPr>
      </w:pPr>
      <w:r>
        <w:rPr>
          <w:rFonts w:ascii="Arial" w:eastAsia="Times" w:hAnsi="Arial" w:cs="Arial"/>
          <w:sz w:val="22"/>
          <w:szCs w:val="22"/>
          <w:lang w:val="en-GB" w:eastAsia="fr-FR"/>
        </w:rPr>
        <w:t>References:</w:t>
      </w:r>
    </w:p>
    <w:p w:rsidR="00D26661" w:rsidRPr="00D26661" w:rsidRDefault="00D26661" w:rsidP="00615949">
      <w:pPr>
        <w:pStyle w:val="ListParagraph"/>
        <w:numPr>
          <w:ilvl w:val="0"/>
          <w:numId w:val="1"/>
        </w:numPr>
        <w:rPr>
          <w:rFonts w:ascii="Arial" w:eastAsia="Times" w:hAnsi="Arial" w:cs="Arial"/>
          <w:sz w:val="22"/>
          <w:szCs w:val="22"/>
          <w:lang w:val="en-GB" w:eastAsia="fr-FR"/>
        </w:rPr>
      </w:pPr>
      <w:r w:rsidRPr="00D26661">
        <w:rPr>
          <w:rFonts w:ascii="Arial" w:eastAsia="Times" w:hAnsi="Arial" w:cs="Arial"/>
          <w:sz w:val="22"/>
          <w:szCs w:val="22"/>
          <w:lang w:val="en-GB" w:eastAsia="fr-FR"/>
        </w:rPr>
        <w:t>A.F. Léonard, N. Job., Mater. Today Energy, 2019, 12, 168.</w:t>
      </w:r>
    </w:p>
    <w:p w:rsidR="00D26661" w:rsidRPr="00D26661" w:rsidRDefault="00D26661" w:rsidP="00615949">
      <w:pPr>
        <w:pStyle w:val="ListParagraph"/>
        <w:numPr>
          <w:ilvl w:val="0"/>
          <w:numId w:val="1"/>
        </w:numPr>
        <w:rPr>
          <w:rFonts w:ascii="Arial" w:eastAsia="Times" w:hAnsi="Arial" w:cs="Arial"/>
          <w:sz w:val="22"/>
          <w:szCs w:val="22"/>
          <w:lang w:val="en-GB" w:eastAsia="fr-FR"/>
        </w:rPr>
      </w:pPr>
      <w:r w:rsidRPr="00D26661">
        <w:rPr>
          <w:rFonts w:ascii="Arial" w:eastAsia="Times" w:hAnsi="Arial" w:cs="Arial"/>
          <w:sz w:val="22"/>
          <w:szCs w:val="22"/>
          <w:lang w:val="en-GB" w:eastAsia="fr-FR"/>
        </w:rPr>
        <w:t xml:space="preserve">K. Kubota, S. </w:t>
      </w:r>
      <w:proofErr w:type="spellStart"/>
      <w:r w:rsidRPr="00D26661">
        <w:rPr>
          <w:rFonts w:ascii="Arial" w:eastAsia="Times" w:hAnsi="Arial" w:cs="Arial"/>
          <w:sz w:val="22"/>
          <w:szCs w:val="22"/>
          <w:lang w:val="en-GB" w:eastAsia="fr-FR"/>
        </w:rPr>
        <w:t>Komaba</w:t>
      </w:r>
      <w:proofErr w:type="spellEnd"/>
      <w:r w:rsidRPr="00D26661">
        <w:rPr>
          <w:rFonts w:ascii="Arial" w:eastAsia="Times" w:hAnsi="Arial" w:cs="Arial"/>
          <w:sz w:val="22"/>
          <w:szCs w:val="22"/>
          <w:lang w:val="en-GB" w:eastAsia="fr-FR"/>
        </w:rPr>
        <w:t xml:space="preserve">., J. </w:t>
      </w:r>
      <w:proofErr w:type="spellStart"/>
      <w:r w:rsidRPr="00D26661">
        <w:rPr>
          <w:rFonts w:ascii="Arial" w:eastAsia="Times" w:hAnsi="Arial" w:cs="Arial"/>
          <w:sz w:val="22"/>
          <w:szCs w:val="22"/>
          <w:lang w:val="en-GB" w:eastAsia="fr-FR"/>
        </w:rPr>
        <w:t>Electrochem</w:t>
      </w:r>
      <w:proofErr w:type="spellEnd"/>
      <w:r w:rsidRPr="00D26661">
        <w:rPr>
          <w:rFonts w:ascii="Arial" w:eastAsia="Times" w:hAnsi="Arial" w:cs="Arial"/>
          <w:sz w:val="22"/>
          <w:szCs w:val="22"/>
          <w:lang w:val="en-GB" w:eastAsia="fr-FR"/>
        </w:rPr>
        <w:t>. Soc., 2015, 162, A2538.</w:t>
      </w:r>
    </w:p>
    <w:p w:rsidR="00D26661" w:rsidRPr="00615949" w:rsidRDefault="00D26661" w:rsidP="00615949">
      <w:pPr>
        <w:pStyle w:val="ListParagraph"/>
        <w:numPr>
          <w:ilvl w:val="0"/>
          <w:numId w:val="1"/>
        </w:numPr>
        <w:rPr>
          <w:rFonts w:ascii="Arial" w:eastAsia="Times" w:hAnsi="Arial" w:cs="Arial"/>
          <w:sz w:val="22"/>
          <w:szCs w:val="22"/>
          <w:lang w:val="fr-BE" w:eastAsia="fr-FR"/>
        </w:rPr>
      </w:pPr>
      <w:r w:rsidRPr="00615949">
        <w:rPr>
          <w:rFonts w:ascii="Arial" w:eastAsia="Times" w:hAnsi="Arial" w:cs="Arial"/>
          <w:sz w:val="22"/>
          <w:szCs w:val="22"/>
          <w:lang w:val="fr-BE" w:eastAsia="fr-FR"/>
        </w:rPr>
        <w:t>B. Karaman et al., Carbon, 2024, 225, 119077.</w:t>
      </w:r>
    </w:p>
    <w:p w:rsidR="00D26661" w:rsidRPr="00D26661" w:rsidRDefault="00D26661" w:rsidP="00615949">
      <w:pPr>
        <w:pStyle w:val="ListParagraph"/>
        <w:numPr>
          <w:ilvl w:val="0"/>
          <w:numId w:val="1"/>
        </w:numPr>
        <w:rPr>
          <w:rFonts w:ascii="Arial" w:eastAsia="Times" w:hAnsi="Arial" w:cs="Arial"/>
          <w:sz w:val="22"/>
          <w:szCs w:val="22"/>
          <w:lang w:val="en-GB" w:eastAsia="fr-FR"/>
        </w:rPr>
      </w:pPr>
      <w:r w:rsidRPr="00615949">
        <w:rPr>
          <w:rFonts w:ascii="Arial" w:eastAsia="Times" w:hAnsi="Arial" w:cs="Arial"/>
          <w:sz w:val="22"/>
          <w:szCs w:val="22"/>
          <w:lang w:val="fr-BE" w:eastAsia="fr-FR"/>
        </w:rPr>
        <w:t xml:space="preserve">M-L.C. </w:t>
      </w:r>
      <w:proofErr w:type="spellStart"/>
      <w:r w:rsidRPr="00615949">
        <w:rPr>
          <w:rFonts w:ascii="Arial" w:eastAsia="Times" w:hAnsi="Arial" w:cs="Arial"/>
          <w:sz w:val="22"/>
          <w:szCs w:val="22"/>
          <w:lang w:val="fr-BE" w:eastAsia="fr-FR"/>
        </w:rPr>
        <w:t>Piedboeuf</w:t>
      </w:r>
      <w:proofErr w:type="spellEnd"/>
      <w:r w:rsidRPr="00615949">
        <w:rPr>
          <w:rFonts w:ascii="Arial" w:eastAsia="Times" w:hAnsi="Arial" w:cs="Arial"/>
          <w:sz w:val="22"/>
          <w:szCs w:val="22"/>
          <w:lang w:val="fr-BE" w:eastAsia="fr-FR"/>
        </w:rPr>
        <w:t xml:space="preserve"> et al., </w:t>
      </w:r>
      <w:proofErr w:type="spellStart"/>
      <w:r w:rsidRPr="00615949">
        <w:rPr>
          <w:rFonts w:ascii="Arial" w:eastAsia="Times" w:hAnsi="Arial" w:cs="Arial"/>
          <w:sz w:val="22"/>
          <w:szCs w:val="22"/>
          <w:lang w:val="fr-BE" w:eastAsia="fr-FR"/>
        </w:rPr>
        <w:t>Micropor</w:t>
      </w:r>
      <w:proofErr w:type="spellEnd"/>
      <w:r w:rsidRPr="00615949">
        <w:rPr>
          <w:rFonts w:ascii="Arial" w:eastAsia="Times" w:hAnsi="Arial" w:cs="Arial"/>
          <w:sz w:val="22"/>
          <w:szCs w:val="22"/>
          <w:lang w:val="fr-BE" w:eastAsia="fr-FR"/>
        </w:rPr>
        <w:t xml:space="preserve">. </w:t>
      </w:r>
      <w:proofErr w:type="spellStart"/>
      <w:r w:rsidRPr="00D26661">
        <w:rPr>
          <w:rFonts w:ascii="Arial" w:eastAsia="Times" w:hAnsi="Arial" w:cs="Arial"/>
          <w:sz w:val="22"/>
          <w:szCs w:val="22"/>
          <w:lang w:val="en-GB" w:eastAsia="fr-FR"/>
        </w:rPr>
        <w:t>Mesopor</w:t>
      </w:r>
      <w:proofErr w:type="spellEnd"/>
      <w:r w:rsidRPr="00D26661">
        <w:rPr>
          <w:rFonts w:ascii="Arial" w:eastAsia="Times" w:hAnsi="Arial" w:cs="Arial"/>
          <w:sz w:val="22"/>
          <w:szCs w:val="22"/>
          <w:lang w:val="en-GB" w:eastAsia="fr-FR"/>
        </w:rPr>
        <w:t>. Mater., 2019, 275, 278.</w:t>
      </w:r>
    </w:p>
    <w:p w:rsidR="00D26661" w:rsidRPr="00D26661" w:rsidRDefault="00D26661" w:rsidP="00615949">
      <w:pPr>
        <w:jc w:val="both"/>
        <w:rPr>
          <w:rFonts w:ascii="Arial" w:eastAsia="Times" w:hAnsi="Arial" w:cs="Arial"/>
          <w:sz w:val="22"/>
          <w:szCs w:val="22"/>
          <w:lang w:val="en-GB" w:eastAsia="fr-FR"/>
        </w:rPr>
      </w:pPr>
    </w:p>
    <w:sectPr w:rsidR="00D26661" w:rsidRPr="00D26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016BD"/>
    <w:multiLevelType w:val="hybridMultilevel"/>
    <w:tmpl w:val="F48C4DD8"/>
    <w:lvl w:ilvl="0" w:tplc="403EF12E">
      <w:start w:val="1"/>
      <w:numFmt w:val="decimal"/>
      <w:lvlText w:val="%1-"/>
      <w:lvlJc w:val="left"/>
      <w:pPr>
        <w:ind w:left="720" w:hanging="360"/>
      </w:pPr>
      <w:rPr>
        <w:rFonts w:ascii="Arial" w:eastAsia="Times"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8F"/>
    <w:rsid w:val="002A6FEE"/>
    <w:rsid w:val="003F61D6"/>
    <w:rsid w:val="00437B8E"/>
    <w:rsid w:val="00615949"/>
    <w:rsid w:val="00AD2300"/>
    <w:rsid w:val="00B844A1"/>
    <w:rsid w:val="00C5767B"/>
    <w:rsid w:val="00D069E6"/>
    <w:rsid w:val="00D26661"/>
    <w:rsid w:val="00E65437"/>
    <w:rsid w:val="00FC3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C078"/>
  <w15:chartTrackingRefBased/>
  <w15:docId w15:val="{4F41B3F2-0BC5-4C6D-AB1C-A5328FBB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48F"/>
    <w:pPr>
      <w:spacing w:after="0" w:line="240" w:lineRule="auto"/>
    </w:pPr>
    <w:rPr>
      <w:rFonts w:eastAsia="MS Mincho"/>
      <w:lang w:val="en-US" w:eastAsia="ja-JP"/>
    </w:rPr>
  </w:style>
  <w:style w:type="paragraph" w:styleId="Heading1">
    <w:name w:val="heading 1"/>
    <w:basedOn w:val="Normal"/>
    <w:next w:val="Normal"/>
    <w:link w:val="Heading1Char"/>
    <w:autoRedefine/>
    <w:uiPriority w:val="9"/>
    <w:qFormat/>
    <w:rsid w:val="00C5767B"/>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semiHidden/>
    <w:unhideWhenUsed/>
    <w:qFormat/>
    <w:rsid w:val="00C5767B"/>
    <w:pPr>
      <w:keepNext/>
      <w:keepLines/>
      <w:spacing w:before="40"/>
      <w:outlineLvl w:val="1"/>
    </w:pPr>
    <w:rPr>
      <w:rFonts w:eastAsiaTheme="majorEastAsia"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67B"/>
    <w:rPr>
      <w:rFonts w:eastAsiaTheme="majorEastAsia" w:cstheme="majorBidi"/>
      <w:b/>
      <w:color w:val="000000" w:themeColor="text1"/>
      <w:szCs w:val="32"/>
      <w:lang w:val="en-US"/>
    </w:rPr>
  </w:style>
  <w:style w:type="character" w:customStyle="1" w:styleId="Heading2Char">
    <w:name w:val="Heading 2 Char"/>
    <w:basedOn w:val="DefaultParagraphFont"/>
    <w:link w:val="Heading2"/>
    <w:uiPriority w:val="9"/>
    <w:semiHidden/>
    <w:rsid w:val="00C5767B"/>
    <w:rPr>
      <w:rFonts w:eastAsiaTheme="majorEastAsia" w:cstheme="majorBidi"/>
      <w:color w:val="000000" w:themeColor="text1"/>
      <w:szCs w:val="26"/>
      <w:lang w:val="en-US"/>
    </w:rPr>
  </w:style>
  <w:style w:type="paragraph" w:styleId="ListParagraph">
    <w:name w:val="List Paragraph"/>
    <w:basedOn w:val="Normal"/>
    <w:uiPriority w:val="34"/>
    <w:qFormat/>
    <w:rsid w:val="00D26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Karaman Berke</dc:creator>
  <cp:keywords/>
  <dc:description/>
  <cp:lastModifiedBy>Karaman Berke</cp:lastModifiedBy>
  <cp:revision>4</cp:revision>
  <dcterms:created xsi:type="dcterms:W3CDTF">2024-12-18T08:40:00Z</dcterms:created>
  <dcterms:modified xsi:type="dcterms:W3CDTF">2024-12-18T09:21:00Z</dcterms:modified>
</cp:coreProperties>
</file>