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A25B86" w14:textId="20483373" w:rsidR="00180ED8" w:rsidRPr="0030010F" w:rsidRDefault="003D5BB6" w:rsidP="00D87395">
      <w:pPr>
        <w:spacing w:after="0" w:line="240" w:lineRule="auto"/>
        <w:jc w:val="both"/>
        <w:rPr>
          <w:color w:val="000000" w:themeColor="text1"/>
          <w:sz w:val="16"/>
          <w:szCs w:val="16"/>
        </w:rPr>
      </w:pPr>
      <w:r w:rsidRPr="0030010F">
        <w:rPr>
          <w:color w:val="000000" w:themeColor="text1"/>
          <w:sz w:val="16"/>
          <w:szCs w:val="16"/>
        </w:rPr>
        <w:t>S</w:t>
      </w:r>
      <w:r w:rsidR="009C60B3" w:rsidRPr="0030010F">
        <w:rPr>
          <w:color w:val="000000" w:themeColor="text1"/>
          <w:sz w:val="16"/>
          <w:szCs w:val="16"/>
        </w:rPr>
        <w:t>E</w:t>
      </w:r>
      <w:r w:rsidRPr="0030010F">
        <w:rPr>
          <w:color w:val="000000" w:themeColor="text1"/>
          <w:sz w:val="16"/>
          <w:szCs w:val="16"/>
        </w:rPr>
        <w:t>G</w:t>
      </w:r>
      <w:r w:rsidR="008123CA" w:rsidRPr="0030010F">
        <w:rPr>
          <w:color w:val="000000" w:themeColor="text1"/>
          <w:sz w:val="16"/>
          <w:szCs w:val="16"/>
        </w:rPr>
        <w:t>-</w:t>
      </w:r>
      <w:r w:rsidR="008772A5" w:rsidRPr="0030010F">
        <w:rPr>
          <w:color w:val="000000" w:themeColor="text1"/>
          <w:sz w:val="16"/>
          <w:szCs w:val="16"/>
        </w:rPr>
        <w:t>PV</w:t>
      </w:r>
      <w:r w:rsidR="000C4753" w:rsidRPr="0030010F">
        <w:rPr>
          <w:color w:val="000000" w:themeColor="text1"/>
          <w:sz w:val="16"/>
          <w:szCs w:val="16"/>
        </w:rPr>
        <w:t>n/</w:t>
      </w:r>
      <w:r w:rsidRPr="0030010F">
        <w:rPr>
          <w:color w:val="000000" w:themeColor="text1"/>
          <w:sz w:val="16"/>
          <w:szCs w:val="16"/>
        </w:rPr>
        <w:t>1</w:t>
      </w:r>
      <w:r w:rsidR="00473D23" w:rsidRPr="0030010F">
        <w:rPr>
          <w:color w:val="000000" w:themeColor="text1"/>
          <w:sz w:val="16"/>
          <w:szCs w:val="16"/>
        </w:rPr>
        <w:t>6</w:t>
      </w:r>
      <w:r w:rsidRPr="0030010F">
        <w:rPr>
          <w:color w:val="000000" w:themeColor="text1"/>
          <w:sz w:val="16"/>
          <w:szCs w:val="16"/>
        </w:rPr>
        <w:t> décembre 2025</w:t>
      </w:r>
      <w:r w:rsidR="00C16E8C" w:rsidRPr="0030010F">
        <w:rPr>
          <w:color w:val="000000" w:themeColor="text1"/>
          <w:sz w:val="16"/>
          <w:szCs w:val="16"/>
        </w:rPr>
        <w:t xml:space="preserve"> </w:t>
      </w:r>
      <w:r w:rsidR="00A672AB" w:rsidRPr="0030010F">
        <w:rPr>
          <w:color w:val="000000" w:themeColor="text1"/>
          <w:sz w:val="16"/>
          <w:szCs w:val="16"/>
        </w:rPr>
        <w:t>(</w:t>
      </w:r>
      <w:r w:rsidR="00473D23" w:rsidRPr="0030010F">
        <w:rPr>
          <w:color w:val="000000" w:themeColor="text1"/>
          <w:sz w:val="16"/>
          <w:szCs w:val="16"/>
        </w:rPr>
        <w:t>3</w:t>
      </w:r>
      <w:r w:rsidR="00A672AB" w:rsidRPr="0030010F">
        <w:rPr>
          <w:color w:val="000000" w:themeColor="text1"/>
          <w:sz w:val="16"/>
          <w:szCs w:val="16"/>
        </w:rPr>
        <w:t>)</w:t>
      </w:r>
    </w:p>
    <w:p w14:paraId="157FF478" w14:textId="77777777" w:rsidR="00C040F4" w:rsidRPr="0030010F" w:rsidRDefault="00C040F4" w:rsidP="00D87395">
      <w:pPr>
        <w:spacing w:after="0" w:line="240" w:lineRule="auto"/>
        <w:jc w:val="both"/>
        <w:rPr>
          <w:color w:val="000000" w:themeColor="text1"/>
        </w:rPr>
      </w:pPr>
    </w:p>
    <w:p w14:paraId="6693392D" w14:textId="529894D2" w:rsidR="00C040F4" w:rsidRPr="0030010F" w:rsidRDefault="00C040F4" w:rsidP="00C040F4">
      <w:pPr>
        <w:spacing w:after="0" w:line="240" w:lineRule="auto"/>
        <w:jc w:val="center"/>
        <w:rPr>
          <w:i/>
          <w:iCs/>
          <w:color w:val="000000" w:themeColor="text1"/>
          <w:sz w:val="32"/>
          <w:szCs w:val="32"/>
        </w:rPr>
      </w:pPr>
      <w:r w:rsidRPr="0030010F">
        <w:rPr>
          <w:b/>
          <w:bCs/>
          <w:color w:val="000000" w:themeColor="text1"/>
          <w:sz w:val="32"/>
          <w:szCs w:val="32"/>
          <w:u w:val="single"/>
        </w:rPr>
        <w:t xml:space="preserve">Pour </w:t>
      </w:r>
      <w:r w:rsidRPr="0030010F">
        <w:rPr>
          <w:b/>
          <w:bCs/>
          <w:i/>
          <w:iCs/>
          <w:color w:val="000000" w:themeColor="text1"/>
          <w:sz w:val="32"/>
          <w:szCs w:val="32"/>
          <w:u w:val="single"/>
        </w:rPr>
        <w:t>Justice-en-ligne</w:t>
      </w:r>
    </w:p>
    <w:p w14:paraId="7B16EE42" w14:textId="77777777" w:rsidR="00C040F4" w:rsidRPr="0030010F" w:rsidRDefault="00C040F4" w:rsidP="00D87395">
      <w:pPr>
        <w:spacing w:after="0" w:line="240" w:lineRule="auto"/>
        <w:jc w:val="both"/>
        <w:rPr>
          <w:i/>
          <w:iCs/>
          <w:color w:val="000000" w:themeColor="text1"/>
        </w:rPr>
      </w:pPr>
    </w:p>
    <w:p w14:paraId="0B9E0A1C" w14:textId="77777777" w:rsidR="00180ED8" w:rsidRPr="0030010F" w:rsidRDefault="00180ED8" w:rsidP="00D87395">
      <w:pPr>
        <w:spacing w:after="0" w:line="240" w:lineRule="auto"/>
        <w:jc w:val="both"/>
        <w:rPr>
          <w:color w:val="000000" w:themeColor="text1"/>
        </w:rPr>
      </w:pPr>
    </w:p>
    <w:p w14:paraId="3944F4C8" w14:textId="0D7F7B27" w:rsidR="000458AD" w:rsidRPr="0030010F" w:rsidRDefault="00D84AA3" w:rsidP="009C60B3">
      <w:pPr>
        <w:tabs>
          <w:tab w:val="left" w:pos="2127"/>
        </w:tabs>
        <w:spacing w:after="120" w:line="240" w:lineRule="auto"/>
        <w:ind w:left="2126" w:hanging="2126"/>
        <w:jc w:val="both"/>
        <w:rPr>
          <w:color w:val="000000" w:themeColor="text1"/>
        </w:rPr>
      </w:pPr>
      <w:bookmarkStart w:id="0" w:name="_Hlk169272797"/>
      <w:r w:rsidRPr="0030010F">
        <w:rPr>
          <w:color w:val="000000" w:themeColor="text1"/>
          <w:sz w:val="28"/>
          <w:szCs w:val="28"/>
          <w:u w:val="single"/>
        </w:rPr>
        <w:t>Titre d</w:t>
      </w:r>
      <w:r w:rsidR="000458AD" w:rsidRPr="0030010F">
        <w:rPr>
          <w:color w:val="000000" w:themeColor="text1"/>
          <w:sz w:val="28"/>
          <w:szCs w:val="28"/>
          <w:u w:val="single"/>
        </w:rPr>
        <w:t>u</w:t>
      </w:r>
      <w:r w:rsidRPr="0030010F">
        <w:rPr>
          <w:color w:val="000000" w:themeColor="text1"/>
          <w:sz w:val="28"/>
          <w:szCs w:val="28"/>
          <w:u w:val="single"/>
        </w:rPr>
        <w:t xml:space="preserve"> dossie</w:t>
      </w:r>
      <w:r w:rsidR="008A7B5D" w:rsidRPr="0030010F">
        <w:rPr>
          <w:color w:val="000000" w:themeColor="text1"/>
          <w:sz w:val="28"/>
          <w:szCs w:val="28"/>
          <w:u w:val="single"/>
        </w:rPr>
        <w:t>r</w:t>
      </w:r>
      <w:r w:rsidRPr="0030010F">
        <w:rPr>
          <w:color w:val="000000" w:themeColor="text1"/>
        </w:rPr>
        <w:t xml:space="preserve"> : </w:t>
      </w:r>
      <w:bookmarkStart w:id="1" w:name="_Hlk169272777"/>
      <w:bookmarkEnd w:id="0"/>
      <w:r w:rsidR="009C60B3" w:rsidRPr="0030010F">
        <w:rPr>
          <w:color w:val="000000" w:themeColor="text1"/>
        </w:rPr>
        <w:tab/>
        <w:t>La violence sexuelle</w:t>
      </w:r>
      <w:r w:rsidR="008A7B5D" w:rsidRPr="0030010F">
        <w:rPr>
          <w:color w:val="000000" w:themeColor="text1"/>
        </w:rPr>
        <w:t xml:space="preserve"> (dossier existant) (rubrique n° </w:t>
      </w:r>
      <w:r w:rsidR="009C60B3" w:rsidRPr="0030010F">
        <w:rPr>
          <w:color w:val="000000" w:themeColor="text1"/>
        </w:rPr>
        <w:t>530</w:t>
      </w:r>
      <w:r w:rsidR="008A7B5D" w:rsidRPr="0030010F">
        <w:rPr>
          <w:color w:val="000000" w:themeColor="text1"/>
        </w:rPr>
        <w:t xml:space="preserve">) (mot-clé du dossier : </w:t>
      </w:r>
      <w:r w:rsidR="009C60B3" w:rsidRPr="0030010F">
        <w:rPr>
          <w:color w:val="000000" w:themeColor="text1"/>
        </w:rPr>
        <w:t>Violence sexuelle</w:t>
      </w:r>
      <w:r w:rsidR="008A7B5D" w:rsidRPr="0030010F">
        <w:rPr>
          <w:color w:val="000000" w:themeColor="text1"/>
        </w:rPr>
        <w:t> - n° </w:t>
      </w:r>
      <w:r w:rsidR="009C60B3" w:rsidRPr="0030010F">
        <w:rPr>
          <w:color w:val="000000" w:themeColor="text1"/>
        </w:rPr>
        <w:t>3320</w:t>
      </w:r>
      <w:r w:rsidR="008A7B5D" w:rsidRPr="0030010F">
        <w:rPr>
          <w:color w:val="000000" w:themeColor="text1"/>
        </w:rPr>
        <w:t>)</w:t>
      </w:r>
      <w:bookmarkEnd w:id="1"/>
    </w:p>
    <w:p w14:paraId="63E02CA8" w14:textId="0767294A" w:rsidR="00D84AA3" w:rsidRPr="0030010F" w:rsidRDefault="00D84AA3" w:rsidP="000458AD">
      <w:pPr>
        <w:tabs>
          <w:tab w:val="left" w:pos="2127"/>
        </w:tabs>
        <w:spacing w:before="360" w:after="120" w:line="240" w:lineRule="auto"/>
        <w:ind w:left="2126" w:hanging="2126"/>
        <w:jc w:val="both"/>
        <w:rPr>
          <w:rFonts w:eastAsia="Times New Roman"/>
          <w:bCs/>
          <w:color w:val="000000" w:themeColor="text1"/>
          <w:lang w:eastAsia="fr-BE"/>
        </w:rPr>
      </w:pPr>
      <w:r w:rsidRPr="0030010F">
        <w:rPr>
          <w:color w:val="000000" w:themeColor="text1"/>
          <w:sz w:val="28"/>
          <w:szCs w:val="28"/>
          <w:u w:val="single"/>
        </w:rPr>
        <w:t xml:space="preserve">Titre de </w:t>
      </w:r>
      <w:r w:rsidR="00F9518B" w:rsidRPr="0030010F">
        <w:rPr>
          <w:color w:val="000000" w:themeColor="text1"/>
          <w:sz w:val="28"/>
          <w:szCs w:val="28"/>
          <w:u w:val="single"/>
        </w:rPr>
        <w:t>l</w:t>
      </w:r>
      <w:r w:rsidR="00B35E2B" w:rsidRPr="0030010F">
        <w:rPr>
          <w:color w:val="000000" w:themeColor="text1"/>
          <w:sz w:val="28"/>
          <w:szCs w:val="28"/>
          <w:u w:val="single"/>
        </w:rPr>
        <w:t>’</w:t>
      </w:r>
      <w:r w:rsidR="00F9518B" w:rsidRPr="0030010F">
        <w:rPr>
          <w:color w:val="000000" w:themeColor="text1"/>
          <w:sz w:val="28"/>
          <w:szCs w:val="28"/>
          <w:u w:val="single"/>
        </w:rPr>
        <w:t>a</w:t>
      </w:r>
      <w:r w:rsidR="00B35E2B" w:rsidRPr="0030010F">
        <w:rPr>
          <w:color w:val="000000" w:themeColor="text1"/>
          <w:sz w:val="28"/>
          <w:szCs w:val="28"/>
          <w:u w:val="single"/>
        </w:rPr>
        <w:t>rticle</w:t>
      </w:r>
      <w:r w:rsidRPr="0030010F">
        <w:rPr>
          <w:color w:val="000000" w:themeColor="text1"/>
        </w:rPr>
        <w:t xml:space="preserve"> : </w:t>
      </w:r>
      <w:r w:rsidRPr="0030010F">
        <w:rPr>
          <w:color w:val="000000" w:themeColor="text1"/>
        </w:rPr>
        <w:tab/>
      </w:r>
      <w:r w:rsidR="00155189" w:rsidRPr="0030010F">
        <w:rPr>
          <w:color w:val="000000" w:themeColor="text1"/>
        </w:rPr>
        <w:t>Prélèvements remboursés en cas de soumission chimique : Une réponse politique face à une preuve qui résiste</w:t>
      </w:r>
    </w:p>
    <w:p w14:paraId="60F13F23" w14:textId="2369550B" w:rsidR="00DC6745" w:rsidRPr="0030010F" w:rsidRDefault="00DC6745" w:rsidP="000C33F3">
      <w:pPr>
        <w:tabs>
          <w:tab w:val="left" w:pos="2127"/>
        </w:tabs>
        <w:spacing w:before="360" w:after="120" w:line="240" w:lineRule="auto"/>
        <w:ind w:left="2127" w:hanging="2127"/>
        <w:jc w:val="both"/>
        <w:rPr>
          <w:color w:val="000000" w:themeColor="text1"/>
          <w:sz w:val="28"/>
          <w:szCs w:val="28"/>
          <w:u w:val="single"/>
        </w:rPr>
      </w:pPr>
      <w:r w:rsidRPr="0030010F">
        <w:rPr>
          <w:color w:val="000000" w:themeColor="text1"/>
          <w:sz w:val="28"/>
          <w:szCs w:val="28"/>
          <w:u w:val="single"/>
        </w:rPr>
        <w:t>Image</w:t>
      </w:r>
      <w:r w:rsidR="00B96690" w:rsidRPr="0030010F">
        <w:rPr>
          <w:color w:val="000000" w:themeColor="text1"/>
          <w:sz w:val="28"/>
          <w:szCs w:val="28"/>
        </w:rPr>
        <w:t> </w:t>
      </w:r>
      <w:r w:rsidRPr="0030010F">
        <w:rPr>
          <w:color w:val="000000" w:themeColor="text1"/>
          <w:sz w:val="28"/>
          <w:szCs w:val="28"/>
        </w:rPr>
        <w:t>:</w:t>
      </w:r>
      <w:r w:rsidRPr="0030010F">
        <w:rPr>
          <w:color w:val="000000" w:themeColor="text1"/>
        </w:rPr>
        <w:tab/>
      </w:r>
      <w:r w:rsidR="00214B9C" w:rsidRPr="0030010F">
        <w:rPr>
          <w:color w:val="000000" w:themeColor="text1"/>
        </w:rPr>
        <w:t xml:space="preserve">(une image </w:t>
      </w:r>
      <w:r w:rsidR="00214B9C" w:rsidRPr="0030010F">
        <w:rPr>
          <w:color w:val="000000" w:themeColor="text1"/>
          <w:u w:val="single"/>
        </w:rPr>
        <w:t>libre de droits</w:t>
      </w:r>
      <w:r w:rsidR="00214B9C" w:rsidRPr="0030010F">
        <w:rPr>
          <w:color w:val="000000" w:themeColor="text1"/>
        </w:rPr>
        <w:t>)</w:t>
      </w:r>
      <w:r w:rsidR="00B329E9" w:rsidRPr="0030010F">
        <w:rPr>
          <w:color w:val="000000" w:themeColor="text1"/>
        </w:rPr>
        <w:t xml:space="preserve"> (avec, s’il y a lieu, la </w:t>
      </w:r>
      <w:r w:rsidR="00B329E9" w:rsidRPr="0030010F">
        <w:rPr>
          <w:color w:val="000000" w:themeColor="text1"/>
          <w:u w:val="single"/>
        </w:rPr>
        <w:t>mention exigée par la licence</w:t>
      </w:r>
      <w:r w:rsidR="00B329E9" w:rsidRPr="0030010F">
        <w:rPr>
          <w:color w:val="000000" w:themeColor="text1"/>
        </w:rPr>
        <w:t xml:space="preserve"> utilisée</w:t>
      </w:r>
      <w:r w:rsidR="00D20065" w:rsidRPr="0030010F">
        <w:rPr>
          <w:color w:val="000000" w:themeColor="text1"/>
        </w:rPr>
        <w:t>)</w:t>
      </w:r>
    </w:p>
    <w:p w14:paraId="6C67590C" w14:textId="6962C3C0" w:rsidR="00D224F6" w:rsidRPr="0030010F" w:rsidRDefault="00180ED8" w:rsidP="00155189">
      <w:pPr>
        <w:tabs>
          <w:tab w:val="left" w:pos="1418"/>
        </w:tabs>
        <w:spacing w:before="360" w:after="0" w:line="240" w:lineRule="auto"/>
        <w:ind w:left="1418" w:hanging="1418"/>
        <w:jc w:val="both"/>
        <w:rPr>
          <w:color w:val="000000" w:themeColor="text1"/>
        </w:rPr>
      </w:pPr>
      <w:r w:rsidRPr="0030010F">
        <w:rPr>
          <w:color w:val="000000" w:themeColor="text1"/>
          <w:sz w:val="28"/>
          <w:szCs w:val="28"/>
          <w:u w:val="single"/>
        </w:rPr>
        <w:t>Aut</w:t>
      </w:r>
      <w:r w:rsidR="009B0A40" w:rsidRPr="0030010F">
        <w:rPr>
          <w:color w:val="000000" w:themeColor="text1"/>
          <w:sz w:val="28"/>
          <w:szCs w:val="28"/>
          <w:u w:val="single"/>
        </w:rPr>
        <w:t>rice</w:t>
      </w:r>
      <w:r w:rsidR="00B96690" w:rsidRPr="0030010F">
        <w:rPr>
          <w:color w:val="000000" w:themeColor="text1"/>
        </w:rPr>
        <w:t> </w:t>
      </w:r>
      <w:r w:rsidR="0044573D" w:rsidRPr="0030010F">
        <w:rPr>
          <w:color w:val="000000" w:themeColor="text1"/>
        </w:rPr>
        <w:t xml:space="preserve">: </w:t>
      </w:r>
      <w:r w:rsidR="00F636BD" w:rsidRPr="0030010F">
        <w:rPr>
          <w:color w:val="000000" w:themeColor="text1"/>
        </w:rPr>
        <w:tab/>
      </w:r>
      <w:r w:rsidR="00155189" w:rsidRPr="0030010F">
        <w:rPr>
          <w:color w:val="000000" w:themeColor="text1"/>
        </w:rPr>
        <w:t xml:space="preserve">Sarah El Guendi, </w:t>
      </w:r>
      <w:r w:rsidR="001834E4" w:rsidRPr="0030010F">
        <w:rPr>
          <w:color w:val="000000" w:themeColor="text1"/>
        </w:rPr>
        <w:t xml:space="preserve">chercheure et professeure associée au Département de criminologie de </w:t>
      </w:r>
      <w:r w:rsidR="00155189" w:rsidRPr="0030010F">
        <w:rPr>
          <w:color w:val="000000" w:themeColor="text1"/>
        </w:rPr>
        <w:t>l’Université de Liège</w:t>
      </w:r>
    </w:p>
    <w:p w14:paraId="2669C20D" w14:textId="6F307AE6" w:rsidR="005955C9" w:rsidRPr="0030010F" w:rsidRDefault="005955C9" w:rsidP="00155189">
      <w:pPr>
        <w:keepNext/>
        <w:spacing w:before="480" w:after="120" w:line="240" w:lineRule="auto"/>
        <w:ind w:left="1418" w:hanging="1418"/>
        <w:jc w:val="both"/>
        <w:rPr>
          <w:color w:val="000000" w:themeColor="text1"/>
          <w:sz w:val="28"/>
          <w:szCs w:val="28"/>
        </w:rPr>
      </w:pPr>
      <w:r w:rsidRPr="0030010F">
        <w:rPr>
          <w:color w:val="000000" w:themeColor="text1"/>
          <w:sz w:val="28"/>
          <w:szCs w:val="28"/>
          <w:u w:val="single"/>
        </w:rPr>
        <w:t>Chapeau</w:t>
      </w:r>
      <w:r w:rsidR="00B96690" w:rsidRPr="0030010F">
        <w:rPr>
          <w:color w:val="000000" w:themeColor="text1"/>
          <w:sz w:val="28"/>
          <w:szCs w:val="28"/>
        </w:rPr>
        <w:t> </w:t>
      </w:r>
      <w:r w:rsidRPr="0030010F">
        <w:rPr>
          <w:color w:val="000000" w:themeColor="text1"/>
          <w:sz w:val="28"/>
          <w:szCs w:val="28"/>
        </w:rPr>
        <w:t>:</w:t>
      </w:r>
      <w:bookmarkStart w:id="2" w:name="_GoBack"/>
      <w:bookmarkEnd w:id="2"/>
    </w:p>
    <w:p w14:paraId="7CCD9A5E" w14:textId="364D30A8" w:rsidR="00155189" w:rsidRPr="0030010F" w:rsidRDefault="00155189" w:rsidP="00155189">
      <w:pPr>
        <w:keepNext/>
        <w:spacing w:after="120" w:line="240" w:lineRule="auto"/>
        <w:ind w:firstLine="709"/>
        <w:jc w:val="both"/>
        <w:rPr>
          <w:rFonts w:eastAsia="Times New Roman"/>
          <w:bCs/>
          <w:color w:val="000000" w:themeColor="text1"/>
          <w:lang w:eastAsia="fr-FR"/>
        </w:rPr>
      </w:pPr>
      <w:r w:rsidRPr="0030010F">
        <w:rPr>
          <w:rFonts w:eastAsia="Times New Roman"/>
          <w:bCs/>
          <w:color w:val="000000" w:themeColor="text1"/>
          <w:lang w:eastAsia="fr-FR"/>
        </w:rPr>
        <w:t>La question de la preuve peut être décisive lorsqu’une personne est amenée à agir en justice ou de s’y défendre. En voici une illustration particulièrement pertinente dans le contexte des violences sexuelles.</w:t>
      </w:r>
    </w:p>
    <w:p w14:paraId="035D9F3D" w14:textId="6264104D" w:rsidR="00573FB0" w:rsidRPr="0030010F" w:rsidRDefault="00155189" w:rsidP="00573FB0">
      <w:pPr>
        <w:spacing w:after="120" w:line="240" w:lineRule="auto"/>
        <w:ind w:firstLine="709"/>
        <w:jc w:val="both"/>
        <w:rPr>
          <w:rFonts w:eastAsia="Times New Roman"/>
          <w:bCs/>
          <w:color w:val="000000" w:themeColor="text1"/>
          <w:lang w:eastAsia="fr-FR"/>
        </w:rPr>
      </w:pPr>
      <w:r w:rsidRPr="0030010F">
        <w:rPr>
          <w:rFonts w:eastAsia="Times New Roman"/>
          <w:bCs/>
          <w:color w:val="000000" w:themeColor="text1"/>
          <w:lang w:eastAsia="fr-FR"/>
        </w:rPr>
        <w:t>Le 25 novembre 2025, à l’occasion de la Journée internationale pour l’élimination de la violence à l’égard des femmes, la ministre française de la Santé a en effet annoncé l’entrée en vigueur d’un dispositif permettant à toute personne s’estimant exposée à une substance administrée à son insu d’obtenir, gratuitement, des prélèvements biologiques destinés à objectiver une intoxication et à soutenir d’éventuelles démarches judiciaires. Une telle initiative, qui articule santé publique, protection des victimes et facilitation de la preuve, invite à s’interroger sur la manière dont un mécanisme comparable pourrait être conçu, accueilli et juridiquement intégré en Belgique, ainsi qu’en droit pénal, en matière de preuve et en organisation des soins.</w:t>
      </w:r>
    </w:p>
    <w:p w14:paraId="5BB3239F" w14:textId="114882BC" w:rsidR="0045468E" w:rsidRPr="0030010F" w:rsidRDefault="0045468E" w:rsidP="00573FB0">
      <w:pPr>
        <w:spacing w:after="120" w:line="240" w:lineRule="auto"/>
        <w:ind w:firstLine="709"/>
        <w:jc w:val="both"/>
        <w:rPr>
          <w:color w:val="000000" w:themeColor="text1"/>
        </w:rPr>
      </w:pPr>
      <w:r w:rsidRPr="0030010F">
        <w:rPr>
          <w:color w:val="000000" w:themeColor="text1"/>
        </w:rPr>
        <w:t xml:space="preserve">Sarah El Guendi, </w:t>
      </w:r>
      <w:r w:rsidR="001834E4" w:rsidRPr="0030010F">
        <w:rPr>
          <w:color w:val="000000" w:themeColor="text1"/>
        </w:rPr>
        <w:t>chercheure et professeure associée</w:t>
      </w:r>
      <w:r w:rsidRPr="0030010F">
        <w:rPr>
          <w:color w:val="000000" w:themeColor="text1"/>
        </w:rPr>
        <w:t xml:space="preserve"> </w:t>
      </w:r>
      <w:r w:rsidR="001834E4" w:rsidRPr="0030010F">
        <w:rPr>
          <w:color w:val="000000" w:themeColor="text1"/>
        </w:rPr>
        <w:t>au Département de criminologie de</w:t>
      </w:r>
      <w:r w:rsidRPr="0030010F">
        <w:rPr>
          <w:color w:val="000000" w:themeColor="text1"/>
        </w:rPr>
        <w:t xml:space="preserve"> l’Université de Liège, examine ces questions ci-dessous.</w:t>
      </w:r>
    </w:p>
    <w:p w14:paraId="1B616D35" w14:textId="222F335E" w:rsidR="00626639" w:rsidRPr="0030010F" w:rsidRDefault="00626639" w:rsidP="00155189">
      <w:pPr>
        <w:keepNext/>
        <w:spacing w:before="360" w:after="120"/>
        <w:jc w:val="both"/>
        <w:rPr>
          <w:color w:val="000000" w:themeColor="text1"/>
          <w:sz w:val="28"/>
          <w:szCs w:val="28"/>
          <w:u w:val="single"/>
        </w:rPr>
      </w:pPr>
      <w:r w:rsidRPr="0030010F">
        <w:rPr>
          <w:color w:val="000000" w:themeColor="text1"/>
          <w:sz w:val="28"/>
          <w:szCs w:val="28"/>
          <w:u w:val="single"/>
        </w:rPr>
        <w:t>Article</w:t>
      </w:r>
    </w:p>
    <w:p w14:paraId="6A5C9D30" w14:textId="70797BB2" w:rsidR="00155189" w:rsidRPr="0030010F" w:rsidRDefault="003B23A6" w:rsidP="00155189">
      <w:pPr>
        <w:pStyle w:val="NormalWeb"/>
        <w:keepNext/>
        <w:spacing w:before="0" w:beforeAutospacing="0" w:after="120" w:afterAutospacing="0"/>
        <w:ind w:firstLine="709"/>
        <w:jc w:val="both"/>
        <w:rPr>
          <w:color w:val="000000" w:themeColor="text1"/>
        </w:rPr>
      </w:pPr>
      <w:r w:rsidRPr="0030010F">
        <w:rPr>
          <w:color w:val="000000" w:themeColor="text1"/>
        </w:rPr>
        <w:t>1. </w:t>
      </w:r>
      <w:r w:rsidR="00155189" w:rsidRPr="0030010F">
        <w:rPr>
          <w:color w:val="000000" w:themeColor="text1"/>
        </w:rPr>
        <w:t>Alors que la France met aujourd’hui en place un dispositif spécifique de dépistage</w:t>
      </w:r>
      <w:r w:rsidRPr="0030010F">
        <w:rPr>
          <w:color w:val="000000" w:themeColor="text1"/>
        </w:rPr>
        <w:t xml:space="preserve"> de violences sexuelles</w:t>
      </w:r>
      <w:r w:rsidR="00155189" w:rsidRPr="0030010F">
        <w:rPr>
          <w:color w:val="000000" w:themeColor="text1"/>
        </w:rPr>
        <w:t xml:space="preserve">, la Belgique s’appuie quant à elle principalement sur les Centres de prise en charge des violences sexuelles (CPVS), dont le projet pilote a été lancé </w:t>
      </w:r>
      <w:r w:rsidR="005607C6" w:rsidRPr="0030010F">
        <w:rPr>
          <w:color w:val="000000" w:themeColor="text1"/>
        </w:rPr>
        <w:t xml:space="preserve">à la </w:t>
      </w:r>
      <w:r w:rsidR="00155189" w:rsidRPr="0030010F">
        <w:rPr>
          <w:color w:val="000000" w:themeColor="text1"/>
        </w:rPr>
        <w:t xml:space="preserve">fin 2017. Ces centres </w:t>
      </w:r>
      <w:r w:rsidR="00155189" w:rsidRPr="0030010F">
        <w:rPr>
          <w:color w:val="000000" w:themeColor="text1"/>
        </w:rPr>
        <w:lastRenderedPageBreak/>
        <w:t>suivent des protocoles qui permettent, lorsque la victime se présente dans un délai compatible avec les analyses, de réaliser des prélèvements médico-légaux, incluant des examens toxicologiques.</w:t>
      </w:r>
    </w:p>
    <w:p w14:paraId="7E07219C" w14:textId="77777777" w:rsidR="00155189" w:rsidRPr="0030010F" w:rsidRDefault="00155189" w:rsidP="00155189">
      <w:pPr>
        <w:pStyle w:val="NormalWeb"/>
        <w:keepNext/>
        <w:spacing w:before="240" w:beforeAutospacing="0" w:after="120" w:afterAutospacing="0"/>
        <w:jc w:val="both"/>
        <w:rPr>
          <w:bCs/>
          <w:i/>
          <w:iCs/>
          <w:color w:val="000000" w:themeColor="text1"/>
        </w:rPr>
      </w:pPr>
      <w:r w:rsidRPr="0030010F">
        <w:rPr>
          <w:bCs/>
          <w:i/>
          <w:iCs/>
          <w:color w:val="000000" w:themeColor="text1"/>
        </w:rPr>
        <w:t>Une reconnaissance institutionnelle de la soumission chimique</w:t>
      </w:r>
    </w:p>
    <w:p w14:paraId="054E121C" w14:textId="1D7362FF" w:rsidR="003B23A6" w:rsidRPr="0030010F" w:rsidRDefault="003B23A6" w:rsidP="00155189">
      <w:pPr>
        <w:pStyle w:val="NormalWeb"/>
        <w:keepNext/>
        <w:spacing w:before="0" w:beforeAutospacing="0" w:after="120" w:afterAutospacing="0"/>
        <w:ind w:firstLine="709"/>
        <w:jc w:val="both"/>
        <w:rPr>
          <w:color w:val="000000" w:themeColor="text1"/>
        </w:rPr>
      </w:pPr>
      <w:r w:rsidRPr="0030010F">
        <w:rPr>
          <w:color w:val="000000" w:themeColor="text1"/>
        </w:rPr>
        <w:t>2. </w:t>
      </w:r>
      <w:r w:rsidR="00155189" w:rsidRPr="0030010F">
        <w:rPr>
          <w:color w:val="000000" w:themeColor="text1"/>
        </w:rPr>
        <w:t>L’initiative française invite à replacer la question dans un cadre plus large.</w:t>
      </w:r>
    </w:p>
    <w:p w14:paraId="72A16271" w14:textId="01BB30DC" w:rsidR="00155189" w:rsidRPr="0030010F" w:rsidRDefault="00155189" w:rsidP="003B23A6">
      <w:pPr>
        <w:pStyle w:val="NormalWeb"/>
        <w:spacing w:before="0" w:beforeAutospacing="0" w:after="120" w:afterAutospacing="0"/>
        <w:ind w:firstLine="709"/>
        <w:jc w:val="both"/>
        <w:rPr>
          <w:color w:val="000000" w:themeColor="text1"/>
        </w:rPr>
      </w:pPr>
      <w:r w:rsidRPr="0030010F">
        <w:rPr>
          <w:color w:val="000000" w:themeColor="text1"/>
        </w:rPr>
        <w:t>La hausse des situations où l’alcool ou d’autres substances altèrent le comportement ou la mémoire des victimes place ces produits au centre de l’analyse du consentement et du traitement pénal des violences sexuelles. Ce constat fait écho à plusieurs affaires largement relayées dans les médias, dont celle des « viols de Mazan », qui soulignent la difficulté d’apprécier le consentement lorsque les facultés de la victime sont altérées.</w:t>
      </w:r>
    </w:p>
    <w:p w14:paraId="344A8429" w14:textId="5D138188" w:rsidR="00155189" w:rsidRPr="0030010F" w:rsidRDefault="00155189" w:rsidP="00155189">
      <w:pPr>
        <w:spacing w:after="120" w:line="240" w:lineRule="auto"/>
        <w:ind w:firstLine="709"/>
        <w:jc w:val="both"/>
        <w:rPr>
          <w:rFonts w:eastAsia="Times New Roman"/>
          <w:color w:val="000000" w:themeColor="text1"/>
          <w:lang w:eastAsia="fr-FR"/>
        </w:rPr>
      </w:pPr>
      <w:r w:rsidRPr="0030010F">
        <w:rPr>
          <w:rFonts w:eastAsia="Times New Roman"/>
          <w:color w:val="000000" w:themeColor="text1"/>
          <w:lang w:eastAsia="fr-FR"/>
        </w:rPr>
        <w:t>En France, l’annonce ministérielle s’inscrit dans un mouvement de reconnaissance de la spécificité des atteintes liées à l’usage de substances. En Belgique, cette dynamique se manifeste, en parallèle des CPVS, par des réformes juridiques telles que l’introduction d’une définition autonome du consentement dans le nouveau Code pénal sexuel (article</w:t>
      </w:r>
      <w:r w:rsidR="00473D23" w:rsidRPr="0030010F">
        <w:rPr>
          <w:rFonts w:eastAsia="Times New Roman"/>
          <w:color w:val="000000" w:themeColor="text1"/>
          <w:lang w:eastAsia="fr-FR"/>
        </w:rPr>
        <w:t> </w:t>
      </w:r>
      <w:r w:rsidRPr="0030010F">
        <w:rPr>
          <w:rFonts w:eastAsia="Times New Roman"/>
          <w:color w:val="000000" w:themeColor="text1"/>
          <w:lang w:eastAsia="fr-FR"/>
        </w:rPr>
        <w:t>417/5 du Code pénal). Ces évolutions traduisent une même prise de conscience</w:t>
      </w:r>
      <w:r w:rsidR="00473D23" w:rsidRPr="0030010F">
        <w:rPr>
          <w:rFonts w:eastAsia="Times New Roman"/>
          <w:color w:val="000000" w:themeColor="text1"/>
          <w:lang w:eastAsia="fr-FR"/>
        </w:rPr>
        <w:t> </w:t>
      </w:r>
      <w:r w:rsidRPr="0030010F">
        <w:rPr>
          <w:rFonts w:eastAsia="Times New Roman"/>
          <w:color w:val="000000" w:themeColor="text1"/>
          <w:lang w:eastAsia="fr-FR"/>
        </w:rPr>
        <w:t>: l’usage de produits psychoactifs, qu’il soit subi ou exploité, influence la compréhension du consentement et la manière dont le droit pénal appréhende ces situations.</w:t>
      </w:r>
    </w:p>
    <w:p w14:paraId="29BCDD28" w14:textId="77777777" w:rsidR="00155189" w:rsidRPr="0030010F" w:rsidRDefault="00155189" w:rsidP="00155189">
      <w:pPr>
        <w:spacing w:after="120" w:line="240" w:lineRule="auto"/>
        <w:ind w:firstLine="709"/>
        <w:jc w:val="both"/>
        <w:rPr>
          <w:rFonts w:eastAsia="Times New Roman"/>
          <w:color w:val="000000" w:themeColor="text1"/>
          <w:lang w:eastAsia="fr-FR"/>
        </w:rPr>
      </w:pPr>
      <w:r w:rsidRPr="0030010F">
        <w:rPr>
          <w:rFonts w:eastAsia="Times New Roman"/>
          <w:color w:val="000000" w:themeColor="text1"/>
          <w:lang w:eastAsia="fr-FR"/>
        </w:rPr>
        <w:t>Cependant, l’adoption de telles mesures (qu’elles relèvent de la santé, du judiciaire ou de l’organisation des soins) ne suffit pas à répondre à l’ensemble des difficultés propres au phénomène de soumission chimique. Elles offrent certes aux victimes un accès facilité à des examens fiables et aux autorités des éléments exploitables, mais elles ne résolvent ni les enjeux de qualification ni ceux de responsabilité. Ces initiatives révèlent toute leur utilité lorsqu’elles viennent soutenir la preuve, en accélérant la production d’indices, en renforçant la chaîne probatoire et en facilitant le traitement des dossiers.</w:t>
      </w:r>
    </w:p>
    <w:p w14:paraId="5170CDF9" w14:textId="77777777" w:rsidR="00155189" w:rsidRPr="0030010F" w:rsidRDefault="00155189" w:rsidP="00155189">
      <w:pPr>
        <w:pStyle w:val="NormalWeb"/>
        <w:keepNext/>
        <w:spacing w:before="240" w:beforeAutospacing="0" w:after="120" w:afterAutospacing="0"/>
        <w:jc w:val="both"/>
        <w:rPr>
          <w:bCs/>
          <w:i/>
          <w:iCs/>
          <w:color w:val="000000" w:themeColor="text1"/>
        </w:rPr>
      </w:pPr>
      <w:r w:rsidRPr="0030010F">
        <w:rPr>
          <w:bCs/>
          <w:i/>
          <w:iCs/>
          <w:color w:val="000000" w:themeColor="text1"/>
        </w:rPr>
        <w:t>Le risque de créer une fausse promesse de preuve</w:t>
      </w:r>
    </w:p>
    <w:p w14:paraId="6981FC79" w14:textId="77777777" w:rsidR="00473D23" w:rsidRPr="0030010F" w:rsidRDefault="00473D23" w:rsidP="00155189">
      <w:pPr>
        <w:keepNext/>
        <w:spacing w:after="120" w:line="240" w:lineRule="auto"/>
        <w:ind w:firstLine="709"/>
        <w:jc w:val="both"/>
        <w:rPr>
          <w:rFonts w:eastAsia="Times New Roman"/>
          <w:color w:val="000000" w:themeColor="text1"/>
          <w:lang w:eastAsia="fr-FR"/>
        </w:rPr>
      </w:pPr>
      <w:r w:rsidRPr="0030010F">
        <w:rPr>
          <w:rFonts w:eastAsia="Times New Roman"/>
          <w:color w:val="000000" w:themeColor="text1"/>
          <w:lang w:eastAsia="fr-FR"/>
        </w:rPr>
        <w:t>3. </w:t>
      </w:r>
      <w:r w:rsidR="00155189" w:rsidRPr="0030010F">
        <w:rPr>
          <w:rFonts w:eastAsia="Times New Roman"/>
          <w:color w:val="000000" w:themeColor="text1"/>
          <w:lang w:eastAsia="fr-FR"/>
        </w:rPr>
        <w:t>L’accès rapide à des prélèvements toxicologiques vise à rapprocher l’outil probatoire du moment des faits et rappelle que, dans ce domaine, la preuve se joue dans une véritable course contre le temps.</w:t>
      </w:r>
    </w:p>
    <w:p w14:paraId="6F9A9EDF" w14:textId="2DEF7493" w:rsidR="00155189" w:rsidRPr="0030010F" w:rsidRDefault="00155189" w:rsidP="00473D23">
      <w:pPr>
        <w:spacing w:after="120" w:line="240" w:lineRule="auto"/>
        <w:ind w:firstLine="709"/>
        <w:jc w:val="both"/>
        <w:rPr>
          <w:rFonts w:eastAsia="Times New Roman"/>
          <w:color w:val="000000" w:themeColor="text1"/>
          <w:lang w:eastAsia="fr-FR"/>
        </w:rPr>
      </w:pPr>
      <w:r w:rsidRPr="0030010F">
        <w:rPr>
          <w:rFonts w:eastAsia="Times New Roman"/>
          <w:color w:val="000000" w:themeColor="text1"/>
          <w:lang w:eastAsia="fr-FR"/>
        </w:rPr>
        <w:t>Il serait toutefois illusoire de considérer que de tels tests de dépistage suffirai</w:t>
      </w:r>
      <w:r w:rsidR="00473D23" w:rsidRPr="0030010F">
        <w:rPr>
          <w:rFonts w:eastAsia="Times New Roman"/>
          <w:color w:val="000000" w:themeColor="text1"/>
          <w:lang w:eastAsia="fr-FR"/>
        </w:rPr>
        <w:t>en</w:t>
      </w:r>
      <w:r w:rsidRPr="0030010F">
        <w:rPr>
          <w:rFonts w:eastAsia="Times New Roman"/>
          <w:color w:val="000000" w:themeColor="text1"/>
          <w:lang w:eastAsia="fr-FR"/>
        </w:rPr>
        <w:t xml:space="preserve">t à lever l’ensemble des obstacles propres à la pratique </w:t>
      </w:r>
      <w:r w:rsidRPr="0030010F">
        <w:rPr>
          <w:rFonts w:eastAsia="Times New Roman"/>
          <w:bCs/>
          <w:color w:val="000000" w:themeColor="text1"/>
          <w:lang w:eastAsia="fr-FR"/>
        </w:rPr>
        <w:t>par laquelle</w:t>
      </w:r>
      <w:r w:rsidRPr="0030010F">
        <w:rPr>
          <w:rFonts w:eastAsia="Times New Roman"/>
          <w:color w:val="000000" w:themeColor="text1"/>
          <w:lang w:eastAsia="fr-FR"/>
        </w:rPr>
        <w:t xml:space="preserve"> une substance est administrée, à l’insu ou contre la volonté d’une personne, afin de la rendre vulnérable et de permettre la commission d’une infraction, le</w:t>
      </w:r>
      <w:r w:rsidR="00473D23" w:rsidRPr="0030010F">
        <w:rPr>
          <w:rFonts w:eastAsia="Times New Roman"/>
          <w:color w:val="000000" w:themeColor="text1"/>
          <w:lang w:eastAsia="fr-FR"/>
        </w:rPr>
        <w:t xml:space="preserve"> </w:t>
      </w:r>
      <w:r w:rsidRPr="0030010F">
        <w:rPr>
          <w:rFonts w:eastAsia="Times New Roman"/>
          <w:color w:val="000000" w:themeColor="text1"/>
          <w:lang w:eastAsia="fr-FR"/>
        </w:rPr>
        <w:t>plus souvent sexuelle.</w:t>
      </w:r>
    </w:p>
    <w:p w14:paraId="19CDD3EA" w14:textId="65DF2A5C" w:rsidR="00155189" w:rsidRPr="0030010F" w:rsidRDefault="00155189" w:rsidP="00155189">
      <w:pPr>
        <w:spacing w:after="120" w:line="240" w:lineRule="auto"/>
        <w:ind w:firstLine="709"/>
        <w:jc w:val="both"/>
        <w:rPr>
          <w:rFonts w:eastAsia="Times New Roman"/>
          <w:color w:val="000000" w:themeColor="text1"/>
          <w:lang w:eastAsia="fr-FR"/>
        </w:rPr>
      </w:pPr>
      <w:r w:rsidRPr="0030010F">
        <w:rPr>
          <w:rFonts w:eastAsia="Times New Roman"/>
          <w:bCs/>
          <w:color w:val="000000" w:themeColor="text1"/>
          <w:lang w:eastAsia="fr-FR"/>
        </w:rPr>
        <w:t>Pour autant,</w:t>
      </w:r>
      <w:r w:rsidRPr="0030010F">
        <w:rPr>
          <w:rFonts w:eastAsia="Times New Roman"/>
          <w:color w:val="000000" w:themeColor="text1"/>
          <w:lang w:eastAsia="fr-FR"/>
        </w:rPr>
        <w:t xml:space="preserve"> le champ </w:t>
      </w:r>
      <w:r w:rsidRPr="0030010F">
        <w:rPr>
          <w:rFonts w:eastAsia="Times New Roman"/>
          <w:bCs/>
          <w:color w:val="000000" w:themeColor="text1"/>
          <w:lang w:eastAsia="fr-FR"/>
        </w:rPr>
        <w:t>dans lequel</w:t>
      </w:r>
      <w:r w:rsidRPr="0030010F">
        <w:rPr>
          <w:rFonts w:eastAsia="Times New Roman"/>
          <w:color w:val="000000" w:themeColor="text1"/>
          <w:lang w:eastAsia="fr-FR"/>
        </w:rPr>
        <w:t xml:space="preserve"> s’inscrit la soumission chimique demeure traversé par une grande diversité de substances et de modes opératoires. </w:t>
      </w:r>
    </w:p>
    <w:p w14:paraId="08477813" w14:textId="6F18E7EA" w:rsidR="00155189" w:rsidRPr="0030010F" w:rsidRDefault="00155189" w:rsidP="00155189">
      <w:pPr>
        <w:spacing w:after="120" w:line="240" w:lineRule="auto"/>
        <w:ind w:firstLine="709"/>
        <w:jc w:val="both"/>
        <w:rPr>
          <w:rFonts w:eastAsia="Times New Roman"/>
          <w:color w:val="000000" w:themeColor="text1"/>
          <w:lang w:eastAsia="fr-FR"/>
        </w:rPr>
      </w:pPr>
      <w:r w:rsidRPr="0030010F">
        <w:rPr>
          <w:rFonts w:eastAsia="Times New Roman"/>
          <w:bCs/>
          <w:color w:val="000000" w:themeColor="text1"/>
          <w:lang w:eastAsia="fr-FR"/>
        </w:rPr>
        <w:t>De plus,</w:t>
      </w:r>
      <w:r w:rsidRPr="0030010F">
        <w:rPr>
          <w:rFonts w:eastAsia="Times New Roman"/>
          <w:color w:val="000000" w:themeColor="text1"/>
          <w:lang w:eastAsia="fr-FR"/>
        </w:rPr>
        <w:t xml:space="preserve"> la distinction couramment admise entre les violences dites </w:t>
      </w:r>
      <w:r w:rsidRPr="0030010F">
        <w:rPr>
          <w:rFonts w:eastAsia="Times New Roman"/>
          <w:i/>
          <w:iCs/>
          <w:color w:val="000000" w:themeColor="text1"/>
          <w:lang w:eastAsia="fr-FR"/>
        </w:rPr>
        <w:t>opportunistes</w:t>
      </w:r>
      <w:r w:rsidRPr="0030010F">
        <w:rPr>
          <w:rFonts w:eastAsia="Times New Roman"/>
          <w:color w:val="000000" w:themeColor="text1"/>
          <w:lang w:eastAsia="fr-FR"/>
        </w:rPr>
        <w:t xml:space="preserve"> et celles qualifiées de </w:t>
      </w:r>
      <w:r w:rsidRPr="0030010F">
        <w:rPr>
          <w:rFonts w:eastAsia="Times New Roman"/>
          <w:i/>
          <w:iCs/>
          <w:color w:val="000000" w:themeColor="text1"/>
          <w:lang w:eastAsia="fr-FR"/>
        </w:rPr>
        <w:t>proactives</w:t>
      </w:r>
      <w:r w:rsidRPr="0030010F">
        <w:rPr>
          <w:rFonts w:eastAsia="Times New Roman"/>
          <w:color w:val="000000" w:themeColor="text1"/>
          <w:lang w:eastAsia="fr-FR"/>
        </w:rPr>
        <w:t xml:space="preserve"> permet d’éclairer une partie du phénomène</w:t>
      </w:r>
      <w:r w:rsidR="00473D23" w:rsidRPr="0030010F">
        <w:rPr>
          <w:rFonts w:eastAsia="Times New Roman"/>
          <w:color w:val="000000" w:themeColor="text1"/>
          <w:lang w:eastAsia="fr-FR"/>
        </w:rPr>
        <w:t xml:space="preserve"> (</w:t>
      </w:r>
      <w:hyperlink r:id="rId8" w:history="1">
        <w:r w:rsidR="00473D23" w:rsidRPr="0030010F">
          <w:rPr>
            <w:rStyle w:val="Lienhypertexte"/>
            <w:rFonts w:eastAsia="Times New Roman"/>
            <w:color w:val="000000" w:themeColor="text1"/>
            <w:lang w:eastAsia="fr-FR"/>
          </w:rPr>
          <w:t>P. </w:t>
        </w:r>
        <w:r w:rsidR="00473D23" w:rsidRPr="0030010F">
          <w:rPr>
            <w:rStyle w:val="Lienhypertexte"/>
            <w:color w:val="000000" w:themeColor="text1"/>
            <w:lang w:val="fr-FR"/>
          </w:rPr>
          <w:t xml:space="preserve">Prego-Meleiro, G. Montalvo, C. García-Ruiz, F. Ortega-Ojeda, I. Ruiz-Pérez, et L. Sordo, (2022). </w:t>
        </w:r>
        <w:r w:rsidR="00473D23" w:rsidRPr="0030010F">
          <w:rPr>
            <w:rStyle w:val="Lienhypertexte"/>
            <w:rFonts w:eastAsia="Times New Roman"/>
            <w:color w:val="000000" w:themeColor="text1"/>
            <w:lang w:val="en-US" w:eastAsia="fr-FR"/>
          </w:rPr>
          <w:t>« </w:t>
        </w:r>
        <w:r w:rsidR="00473D23" w:rsidRPr="0030010F">
          <w:rPr>
            <w:rStyle w:val="Lienhypertexte"/>
            <w:color w:val="000000" w:themeColor="text1"/>
            <w:lang w:val="en-US"/>
          </w:rPr>
          <w:t>Gender-based differences in perceptions about sexual violence, equality and drug</w:t>
        </w:r>
        <w:r w:rsidR="00473D23" w:rsidRPr="0030010F">
          <w:rPr>
            <w:rStyle w:val="Lienhypertexte"/>
            <w:color w:val="000000" w:themeColor="text1"/>
            <w:lang w:val="en-US"/>
          </w:rPr>
          <w:noBreakHyphen/>
          <w:t>facilitated sexual assaults in nightlife contexts</w:t>
        </w:r>
        <w:r w:rsidR="00473D23" w:rsidRPr="0030010F">
          <w:rPr>
            <w:rStyle w:val="Lienhypertexte"/>
            <w:rFonts w:eastAsia="Times New Roman"/>
            <w:color w:val="000000" w:themeColor="text1"/>
            <w:lang w:val="en-US" w:eastAsia="fr-FR"/>
          </w:rPr>
          <w:t> »</w:t>
        </w:r>
        <w:r w:rsidR="00EF7562" w:rsidRPr="0030010F">
          <w:rPr>
            <w:rStyle w:val="Lienhypertexte"/>
            <w:color w:val="000000" w:themeColor="text1"/>
            <w:lang w:val="en-US"/>
          </w:rPr>
          <w:t>,</w:t>
        </w:r>
        <w:r w:rsidR="00473D23" w:rsidRPr="0030010F">
          <w:rPr>
            <w:rStyle w:val="Lienhypertexte"/>
            <w:color w:val="000000" w:themeColor="text1"/>
            <w:lang w:val="en-US"/>
          </w:rPr>
          <w:t xml:space="preserve"> </w:t>
        </w:r>
        <w:r w:rsidR="00473D23" w:rsidRPr="0030010F">
          <w:rPr>
            <w:rStyle w:val="Lienhypertexte"/>
            <w:i/>
            <w:color w:val="000000" w:themeColor="text1"/>
            <w:lang w:val="en-US"/>
          </w:rPr>
          <w:t>adicciones</w:t>
        </w:r>
        <w:r w:rsidR="00473D23" w:rsidRPr="0030010F">
          <w:rPr>
            <w:rStyle w:val="Lienhypertexte"/>
            <w:color w:val="000000" w:themeColor="text1"/>
            <w:lang w:val="en-US"/>
          </w:rPr>
          <w:t xml:space="preserve">, </w:t>
        </w:r>
        <w:r w:rsidR="00473D23" w:rsidRPr="0030010F">
          <w:rPr>
            <w:rStyle w:val="Lienhypertexte"/>
            <w:iCs/>
            <w:color w:val="000000" w:themeColor="text1"/>
            <w:lang w:val="en-US"/>
          </w:rPr>
          <w:t>34</w:t>
        </w:r>
        <w:r w:rsidR="00473D23" w:rsidRPr="0030010F">
          <w:rPr>
            <w:rStyle w:val="Lienhypertexte"/>
            <w:color w:val="000000" w:themeColor="text1"/>
            <w:lang w:val="en-US"/>
          </w:rPr>
          <w:t>(4), 285-298</w:t>
        </w:r>
      </w:hyperlink>
      <w:r w:rsidR="00EF7562" w:rsidRPr="0030010F">
        <w:rPr>
          <w:color w:val="000000" w:themeColor="text1"/>
          <w:lang w:val="en-US"/>
        </w:rPr>
        <w:t>)</w:t>
      </w:r>
      <w:r w:rsidRPr="0030010F">
        <w:rPr>
          <w:rFonts w:eastAsia="Times New Roman"/>
          <w:color w:val="000000" w:themeColor="text1"/>
          <w:lang w:val="en-US" w:eastAsia="fr-FR"/>
        </w:rPr>
        <w:t xml:space="preserve">. </w:t>
      </w:r>
      <w:r w:rsidRPr="0030010F">
        <w:rPr>
          <w:rFonts w:eastAsia="Times New Roman"/>
          <w:color w:val="000000" w:themeColor="text1"/>
          <w:lang w:eastAsia="fr-FR"/>
        </w:rPr>
        <w:t xml:space="preserve">Les premières renvoient à des situations </w:t>
      </w:r>
      <w:r w:rsidRPr="0030010F">
        <w:rPr>
          <w:rFonts w:eastAsia="Times New Roman"/>
          <w:bCs/>
          <w:color w:val="000000" w:themeColor="text1"/>
          <w:lang w:eastAsia="fr-FR"/>
        </w:rPr>
        <w:t>dans lesquelles</w:t>
      </w:r>
      <w:r w:rsidRPr="0030010F">
        <w:rPr>
          <w:rFonts w:eastAsia="Times New Roman"/>
          <w:color w:val="000000" w:themeColor="text1"/>
          <w:lang w:eastAsia="fr-FR"/>
        </w:rPr>
        <w:t xml:space="preserve"> la victime a consommé une substance de son plein gré et </w:t>
      </w:r>
      <w:r w:rsidRPr="0030010F">
        <w:rPr>
          <w:rFonts w:eastAsia="Times New Roman"/>
          <w:bCs/>
          <w:color w:val="000000" w:themeColor="text1"/>
          <w:lang w:eastAsia="fr-FR"/>
        </w:rPr>
        <w:t>où</w:t>
      </w:r>
      <w:r w:rsidRPr="0030010F">
        <w:rPr>
          <w:rFonts w:eastAsia="Times New Roman"/>
          <w:color w:val="000000" w:themeColor="text1"/>
          <w:lang w:eastAsia="fr-FR"/>
        </w:rPr>
        <w:t xml:space="preserve"> l’auteur exploite l’état </w:t>
      </w:r>
      <w:r w:rsidRPr="0030010F">
        <w:rPr>
          <w:rFonts w:eastAsia="Times New Roman"/>
          <w:bCs/>
          <w:color w:val="000000" w:themeColor="text1"/>
          <w:lang w:eastAsia="fr-FR"/>
        </w:rPr>
        <w:t>dans lequel</w:t>
      </w:r>
      <w:r w:rsidRPr="0030010F">
        <w:rPr>
          <w:rFonts w:eastAsia="Times New Roman"/>
          <w:color w:val="000000" w:themeColor="text1"/>
          <w:lang w:eastAsia="fr-FR"/>
        </w:rPr>
        <w:t xml:space="preserve"> elle se trouve. Les secondes surviennent lorsque la vulnérabilité de la victime résulte d’une </w:t>
      </w:r>
      <w:r w:rsidRPr="0030010F">
        <w:rPr>
          <w:rFonts w:eastAsia="Times New Roman"/>
          <w:color w:val="000000" w:themeColor="text1"/>
          <w:lang w:eastAsia="fr-FR"/>
        </w:rPr>
        <w:lastRenderedPageBreak/>
        <w:t xml:space="preserve">administration contrainte ou dissimulée, </w:t>
      </w:r>
      <w:r w:rsidRPr="0030010F">
        <w:rPr>
          <w:rFonts w:eastAsia="Times New Roman"/>
          <w:bCs/>
          <w:color w:val="000000" w:themeColor="text1"/>
          <w:lang w:eastAsia="fr-FR"/>
        </w:rPr>
        <w:t>ce qui</w:t>
      </w:r>
      <w:r w:rsidRPr="0030010F">
        <w:rPr>
          <w:rFonts w:eastAsia="Times New Roman"/>
          <w:color w:val="000000" w:themeColor="text1"/>
          <w:lang w:eastAsia="fr-FR"/>
        </w:rPr>
        <w:t xml:space="preserve"> place l’auteur dans une démarche résolument intentionnelle.</w:t>
      </w:r>
    </w:p>
    <w:p w14:paraId="0D24F30B" w14:textId="77777777" w:rsidR="00EF7562" w:rsidRPr="0030010F" w:rsidRDefault="00EF7562" w:rsidP="00155189">
      <w:pPr>
        <w:spacing w:after="120" w:line="240" w:lineRule="auto"/>
        <w:ind w:firstLine="709"/>
        <w:jc w:val="both"/>
        <w:rPr>
          <w:rFonts w:eastAsia="Times New Roman"/>
          <w:color w:val="000000" w:themeColor="text1"/>
          <w:lang w:eastAsia="fr-FR"/>
        </w:rPr>
      </w:pPr>
      <w:r w:rsidRPr="0030010F">
        <w:rPr>
          <w:rFonts w:eastAsia="Times New Roman"/>
          <w:bCs/>
          <w:color w:val="000000" w:themeColor="text1"/>
          <w:lang w:eastAsia="fr-FR"/>
        </w:rPr>
        <w:t>4. </w:t>
      </w:r>
      <w:r w:rsidR="00155189" w:rsidRPr="0030010F">
        <w:rPr>
          <w:rFonts w:eastAsia="Times New Roman"/>
          <w:bCs/>
          <w:color w:val="000000" w:themeColor="text1"/>
          <w:lang w:eastAsia="fr-FR"/>
        </w:rPr>
        <w:t>Cependant,</w:t>
      </w:r>
      <w:r w:rsidR="00155189" w:rsidRPr="0030010F">
        <w:rPr>
          <w:rFonts w:eastAsia="Times New Roman"/>
          <w:color w:val="000000" w:themeColor="text1"/>
          <w:lang w:eastAsia="fr-FR"/>
        </w:rPr>
        <w:t xml:space="preserve"> ces deux réalités, </w:t>
      </w:r>
      <w:r w:rsidR="00155189" w:rsidRPr="0030010F">
        <w:rPr>
          <w:rFonts w:eastAsia="Times New Roman"/>
          <w:bCs/>
          <w:color w:val="000000" w:themeColor="text1"/>
          <w:lang w:eastAsia="fr-FR"/>
        </w:rPr>
        <w:t>qui</w:t>
      </w:r>
      <w:r w:rsidR="00155189" w:rsidRPr="0030010F">
        <w:rPr>
          <w:rFonts w:eastAsia="Times New Roman"/>
          <w:color w:val="000000" w:themeColor="text1"/>
          <w:lang w:eastAsia="fr-FR"/>
        </w:rPr>
        <w:t xml:space="preserve"> paraissent claires en théorie, se mélangent très souvent dans la pratique. Il arrive, par exemple, qu’une personne consomme une substance de son plein gré tout en étant exposée, sans le savoir, à un produit supplémentaire </w:t>
      </w:r>
      <w:r w:rsidR="00155189" w:rsidRPr="0030010F">
        <w:rPr>
          <w:rFonts w:eastAsia="Times New Roman"/>
          <w:bCs/>
          <w:color w:val="000000" w:themeColor="text1"/>
          <w:lang w:eastAsia="fr-FR"/>
        </w:rPr>
        <w:t>qui</w:t>
      </w:r>
      <w:r w:rsidR="00155189" w:rsidRPr="0030010F">
        <w:rPr>
          <w:rFonts w:eastAsia="Times New Roman"/>
          <w:color w:val="000000" w:themeColor="text1"/>
          <w:lang w:eastAsia="fr-FR"/>
        </w:rPr>
        <w:t xml:space="preserve"> lui a été administré par l’auteur.</w:t>
      </w:r>
    </w:p>
    <w:p w14:paraId="706A46C2" w14:textId="77777777" w:rsidR="00EF7562" w:rsidRPr="0030010F" w:rsidRDefault="00155189" w:rsidP="00155189">
      <w:pPr>
        <w:spacing w:after="120" w:line="240" w:lineRule="auto"/>
        <w:ind w:firstLine="709"/>
        <w:jc w:val="both"/>
        <w:rPr>
          <w:rFonts w:eastAsia="Times New Roman"/>
          <w:color w:val="000000" w:themeColor="text1"/>
          <w:lang w:eastAsia="fr-FR"/>
        </w:rPr>
      </w:pPr>
      <w:r w:rsidRPr="0030010F">
        <w:rPr>
          <w:rFonts w:eastAsia="Times New Roman"/>
          <w:color w:val="000000" w:themeColor="text1"/>
          <w:lang w:eastAsia="fr-FR"/>
        </w:rPr>
        <w:t xml:space="preserve">On rencontre aussi des situations </w:t>
      </w:r>
      <w:r w:rsidRPr="0030010F">
        <w:rPr>
          <w:rFonts w:eastAsia="Times New Roman"/>
          <w:bCs/>
          <w:color w:val="000000" w:themeColor="text1"/>
          <w:lang w:eastAsia="fr-FR"/>
        </w:rPr>
        <w:t>dans lesquelles</w:t>
      </w:r>
      <w:r w:rsidRPr="0030010F">
        <w:rPr>
          <w:rFonts w:eastAsia="Times New Roman"/>
          <w:color w:val="000000" w:themeColor="text1"/>
          <w:lang w:eastAsia="fr-FR"/>
        </w:rPr>
        <w:t xml:space="preserve"> l’auteur pousse quelqu’un à boire ou à consommer, ou encore minimise les effets d’une substance </w:t>
      </w:r>
      <w:r w:rsidRPr="0030010F">
        <w:rPr>
          <w:rFonts w:eastAsia="Times New Roman"/>
          <w:bCs/>
          <w:color w:val="000000" w:themeColor="text1"/>
          <w:lang w:eastAsia="fr-FR"/>
        </w:rPr>
        <w:t>qu’il</w:t>
      </w:r>
      <w:r w:rsidRPr="0030010F">
        <w:rPr>
          <w:rFonts w:eastAsia="Times New Roman"/>
          <w:color w:val="000000" w:themeColor="text1"/>
          <w:lang w:eastAsia="fr-FR"/>
        </w:rPr>
        <w:t xml:space="preserve"> propose</w:t>
      </w:r>
      <w:r w:rsidR="00EF7562" w:rsidRPr="0030010F">
        <w:rPr>
          <w:rFonts w:eastAsia="Times New Roman"/>
          <w:color w:val="000000" w:themeColor="text1"/>
          <w:lang w:eastAsia="fr-FR"/>
        </w:rPr>
        <w:t xml:space="preserve"> (</w:t>
      </w:r>
      <w:hyperlink r:id="rId9" w:history="1">
        <w:r w:rsidR="00EF7562" w:rsidRPr="0030010F">
          <w:rPr>
            <w:rStyle w:val="Lienhypertexte"/>
            <w:color w:val="000000" w:themeColor="text1"/>
          </w:rPr>
          <w:t>Institut pour l’égalité des femmes et des hommes, Étude sur les violences sexuelles facilitées par une substance (partie 1) (Étude n° 199, 2023</w:t>
        </w:r>
      </w:hyperlink>
      <w:r w:rsidR="00EF7562" w:rsidRPr="0030010F">
        <w:rPr>
          <w:rFonts w:eastAsia="Times New Roman"/>
          <w:color w:val="000000" w:themeColor="text1"/>
          <w:lang w:eastAsia="fr-FR"/>
        </w:rPr>
        <w:t>)</w:t>
      </w:r>
      <w:r w:rsidRPr="0030010F">
        <w:rPr>
          <w:rFonts w:eastAsia="Times New Roman"/>
          <w:color w:val="000000" w:themeColor="text1"/>
          <w:lang w:eastAsia="fr-FR"/>
        </w:rPr>
        <w:t>.</w:t>
      </w:r>
    </w:p>
    <w:p w14:paraId="38D62FFE" w14:textId="212DAD9E" w:rsidR="00155189" w:rsidRPr="0030010F" w:rsidRDefault="00155189" w:rsidP="00155189">
      <w:pPr>
        <w:spacing w:after="120" w:line="240" w:lineRule="auto"/>
        <w:ind w:firstLine="709"/>
        <w:jc w:val="both"/>
        <w:rPr>
          <w:rFonts w:eastAsia="Times New Roman"/>
          <w:color w:val="000000" w:themeColor="text1"/>
          <w:lang w:eastAsia="fr-FR"/>
        </w:rPr>
      </w:pPr>
      <w:r w:rsidRPr="0030010F">
        <w:rPr>
          <w:rFonts w:eastAsia="Times New Roman"/>
          <w:color w:val="000000" w:themeColor="text1"/>
          <w:lang w:eastAsia="fr-FR"/>
        </w:rPr>
        <w:t>C’est pourquoi il devient fréquemment difficile d’établir, avec certitude, la manière dont les faits se sont enchaînés. Dans ce contexte, le dépistage précoce constitue un instrument utile, mais il ne peut être présenté comme la garantie d’une preuve décisive. Le droit doit donc intégrer cette nuance, lequel doit renforcer l’outil probatoire sans pour autant laisser croire qu’il permettra, à lui seul, de résoudre l’ensemble des incertitudes propres à la soumission chimique.</w:t>
      </w:r>
    </w:p>
    <w:p w14:paraId="0BFBFADE" w14:textId="77777777" w:rsidR="00155189" w:rsidRPr="0030010F" w:rsidRDefault="00155189" w:rsidP="00155189">
      <w:pPr>
        <w:keepNext/>
        <w:spacing w:before="240" w:after="120" w:line="240" w:lineRule="auto"/>
        <w:jc w:val="both"/>
        <w:rPr>
          <w:rFonts w:eastAsia="Times New Roman"/>
          <w:i/>
          <w:iCs/>
          <w:color w:val="000000" w:themeColor="text1"/>
          <w:lang w:eastAsia="fr-FR"/>
        </w:rPr>
      </w:pPr>
      <w:r w:rsidRPr="0030010F">
        <w:rPr>
          <w:rFonts w:eastAsia="Times New Roman"/>
          <w:i/>
          <w:iCs/>
          <w:color w:val="000000" w:themeColor="text1"/>
          <w:lang w:eastAsia="fr-FR"/>
        </w:rPr>
        <w:t>La preuve toxicologique, à elle seule, ne peut raconter toute l’histoire</w:t>
      </w:r>
    </w:p>
    <w:p w14:paraId="45CE584C" w14:textId="77777777" w:rsidR="00EF7562" w:rsidRPr="0030010F" w:rsidRDefault="00EF7562" w:rsidP="00155189">
      <w:pPr>
        <w:keepNext/>
        <w:spacing w:after="120" w:line="240" w:lineRule="auto"/>
        <w:ind w:firstLine="709"/>
        <w:jc w:val="both"/>
        <w:rPr>
          <w:rFonts w:eastAsia="Times New Roman"/>
          <w:color w:val="000000" w:themeColor="text1"/>
          <w:lang w:eastAsia="fr-FR"/>
        </w:rPr>
      </w:pPr>
      <w:r w:rsidRPr="0030010F">
        <w:rPr>
          <w:rFonts w:eastAsia="Times New Roman"/>
          <w:color w:val="000000" w:themeColor="text1"/>
          <w:lang w:eastAsia="fr-FR"/>
        </w:rPr>
        <w:t>5. </w:t>
      </w:r>
      <w:r w:rsidR="00155189" w:rsidRPr="0030010F">
        <w:rPr>
          <w:rFonts w:eastAsia="Times New Roman"/>
          <w:color w:val="000000" w:themeColor="text1"/>
          <w:lang w:eastAsia="fr-FR"/>
        </w:rPr>
        <w:t>À cette diversité factuelle s’ajoute une difficulté scientifique majeure.</w:t>
      </w:r>
    </w:p>
    <w:p w14:paraId="19C48346" w14:textId="77777777" w:rsidR="00EF7562" w:rsidRPr="0030010F" w:rsidRDefault="00155189" w:rsidP="00EF7562">
      <w:pPr>
        <w:spacing w:after="120" w:line="240" w:lineRule="auto"/>
        <w:ind w:firstLine="709"/>
        <w:jc w:val="both"/>
        <w:rPr>
          <w:rFonts w:eastAsia="Times New Roman"/>
          <w:color w:val="000000" w:themeColor="text1"/>
          <w:lang w:eastAsia="fr-FR"/>
        </w:rPr>
      </w:pPr>
      <w:r w:rsidRPr="0030010F">
        <w:rPr>
          <w:rFonts w:eastAsia="Times New Roman"/>
          <w:color w:val="000000" w:themeColor="text1"/>
          <w:lang w:eastAsia="fr-FR"/>
        </w:rPr>
        <w:t>Déterminer si une substance provient d’une consommation volontaire ou d’une administration subie reste un exercice très incertain. Les études manquent, les protocoles sont hétérogènes et la littérature souligne régulièrement l’impossibilité de relier de manière fiable une intoxication constatée aux faits allégués.</w:t>
      </w:r>
    </w:p>
    <w:p w14:paraId="5CD3D716" w14:textId="1D672A0A" w:rsidR="00155189" w:rsidRPr="0030010F" w:rsidRDefault="00155189" w:rsidP="00EF7562">
      <w:pPr>
        <w:spacing w:after="120" w:line="240" w:lineRule="auto"/>
        <w:ind w:firstLine="709"/>
        <w:jc w:val="both"/>
        <w:rPr>
          <w:rFonts w:eastAsia="Times New Roman"/>
          <w:color w:val="000000" w:themeColor="text1"/>
          <w:lang w:eastAsia="fr-FR"/>
        </w:rPr>
      </w:pPr>
      <w:r w:rsidRPr="0030010F">
        <w:rPr>
          <w:rFonts w:eastAsia="Times New Roman"/>
          <w:color w:val="000000" w:themeColor="text1"/>
          <w:lang w:eastAsia="fr-FR"/>
        </w:rPr>
        <w:t xml:space="preserve">Surtout, la simple présence d’un produit dans l’organisme ne dit rien des circonstances dans lesquelles il a été ingéré ni du rôle qu’il a réellement joué. Un même composé peut venir d’un médicament, d’un usage récréatif ou d’une administration à l’insu de la personne. </w:t>
      </w:r>
    </w:p>
    <w:p w14:paraId="035A8A32" w14:textId="24FCAA64" w:rsidR="00EF7562" w:rsidRPr="0030010F" w:rsidRDefault="00EF7562" w:rsidP="00155189">
      <w:pPr>
        <w:spacing w:after="120" w:line="240" w:lineRule="auto"/>
        <w:ind w:firstLine="709"/>
        <w:jc w:val="both"/>
        <w:rPr>
          <w:rFonts w:eastAsia="Times New Roman"/>
          <w:color w:val="000000" w:themeColor="text1"/>
          <w:lang w:eastAsia="fr-FR"/>
        </w:rPr>
      </w:pPr>
      <w:r w:rsidRPr="0030010F">
        <w:rPr>
          <w:rFonts w:eastAsia="Times New Roman"/>
          <w:color w:val="000000" w:themeColor="text1"/>
          <w:lang w:eastAsia="fr-FR"/>
        </w:rPr>
        <w:t>6. </w:t>
      </w:r>
      <w:r w:rsidR="00155189" w:rsidRPr="0030010F">
        <w:rPr>
          <w:rFonts w:eastAsia="Times New Roman"/>
          <w:color w:val="000000" w:themeColor="text1"/>
          <w:lang w:eastAsia="fr-FR"/>
        </w:rPr>
        <w:t>Quant aux concentrations mesurées, elles fluctuent selon une multitude de facteurs, notamment l’heure de la prise, le métabolisme, les mélanges, ou même la qualité du prélèvement. Dès lors, une faible quantité détectée peut tout aussi bien traduire une élimination rapide</w:t>
      </w:r>
      <w:r w:rsidRPr="0030010F">
        <w:rPr>
          <w:rFonts w:eastAsia="Times New Roman"/>
          <w:color w:val="000000" w:themeColor="text1"/>
          <w:lang w:eastAsia="fr-FR"/>
        </w:rPr>
        <w:t xml:space="preserve"> (</w:t>
      </w:r>
      <w:hyperlink r:id="rId10" w:history="1">
        <w:r w:rsidRPr="0030010F">
          <w:rPr>
            <w:rStyle w:val="Lienhypertexte"/>
            <w:rFonts w:eastAsia="Times New Roman"/>
            <w:color w:val="000000" w:themeColor="text1"/>
            <w:lang w:eastAsia="fr-FR"/>
          </w:rPr>
          <w:t>A.W. </w:t>
        </w:r>
        <w:r w:rsidRPr="0030010F">
          <w:rPr>
            <w:rStyle w:val="Lienhypertexte"/>
            <w:color w:val="000000" w:themeColor="text1"/>
            <w:lang w:val="fr-FR"/>
          </w:rPr>
          <w:t xml:space="preserve">Jones, A. Holmgren, et J. Ahlner, (2012). </w:t>
        </w:r>
        <w:r w:rsidRPr="0030010F">
          <w:rPr>
            <w:rStyle w:val="Lienhypertexte"/>
            <w:rFonts w:eastAsia="Times New Roman"/>
            <w:color w:val="000000" w:themeColor="text1"/>
            <w:lang w:eastAsia="fr-FR"/>
          </w:rPr>
          <w:t>« </w:t>
        </w:r>
        <w:r w:rsidRPr="0030010F">
          <w:rPr>
            <w:rStyle w:val="Lienhypertexte"/>
            <w:color w:val="000000" w:themeColor="text1"/>
            <w:lang w:val="fr-FR"/>
          </w:rPr>
          <w:t>Toxicological analysis of blood and urine samples from female victims of alleged sexual assault</w:t>
        </w:r>
        <w:r w:rsidRPr="0030010F">
          <w:rPr>
            <w:rStyle w:val="Lienhypertexte"/>
            <w:rFonts w:eastAsia="Times New Roman"/>
            <w:color w:val="000000" w:themeColor="text1"/>
            <w:lang w:eastAsia="fr-FR"/>
          </w:rPr>
          <w:t> »</w:t>
        </w:r>
        <w:r w:rsidRPr="0030010F">
          <w:rPr>
            <w:rStyle w:val="Lienhypertexte"/>
            <w:color w:val="000000" w:themeColor="text1"/>
            <w:lang w:val="fr-FR"/>
          </w:rPr>
          <w:t xml:space="preserve">, </w:t>
        </w:r>
        <w:r w:rsidRPr="0030010F">
          <w:rPr>
            <w:rStyle w:val="Lienhypertexte"/>
            <w:iCs/>
            <w:color w:val="000000" w:themeColor="text1"/>
            <w:lang w:val="fr-FR"/>
          </w:rPr>
          <w:t>Clinical Toxicology</w:t>
        </w:r>
        <w:r w:rsidRPr="0030010F">
          <w:rPr>
            <w:rStyle w:val="Lienhypertexte"/>
            <w:color w:val="000000" w:themeColor="text1"/>
            <w:lang w:val="fr-FR"/>
          </w:rPr>
          <w:t xml:space="preserve">, </w:t>
        </w:r>
        <w:r w:rsidRPr="0030010F">
          <w:rPr>
            <w:rStyle w:val="Lienhypertexte"/>
            <w:iCs/>
            <w:color w:val="000000" w:themeColor="text1"/>
            <w:lang w:val="fr-FR"/>
          </w:rPr>
          <w:t>50</w:t>
        </w:r>
        <w:r w:rsidRPr="0030010F">
          <w:rPr>
            <w:rStyle w:val="Lienhypertexte"/>
            <w:color w:val="000000" w:themeColor="text1"/>
            <w:lang w:val="fr-FR"/>
          </w:rPr>
          <w:t>(7), 555-561</w:t>
        </w:r>
      </w:hyperlink>
      <w:r w:rsidRPr="0030010F">
        <w:rPr>
          <w:rFonts w:eastAsia="Times New Roman"/>
          <w:color w:val="000000" w:themeColor="text1"/>
          <w:lang w:eastAsia="fr-FR"/>
        </w:rPr>
        <w:t>)</w:t>
      </w:r>
      <w:r w:rsidR="00155189" w:rsidRPr="0030010F">
        <w:rPr>
          <w:rFonts w:eastAsia="Times New Roman"/>
          <w:color w:val="000000" w:themeColor="text1"/>
          <w:lang w:eastAsia="fr-FR"/>
        </w:rPr>
        <w:t xml:space="preserve"> d’un produit administré à l’insu de la victime qu’une consommation volontaire minime</w:t>
      </w:r>
      <w:r w:rsidRPr="0030010F">
        <w:rPr>
          <w:rFonts w:eastAsia="Times New Roman"/>
          <w:color w:val="000000" w:themeColor="text1"/>
          <w:lang w:eastAsia="fr-FR"/>
        </w:rPr>
        <w:t> </w:t>
      </w:r>
      <w:r w:rsidR="00155189" w:rsidRPr="0030010F">
        <w:rPr>
          <w:rFonts w:eastAsia="Times New Roman"/>
          <w:color w:val="000000" w:themeColor="text1"/>
          <w:lang w:eastAsia="fr-FR"/>
        </w:rPr>
        <w:t>; une forte concentration ne prouve pas davantage que la prise a été imposée.</w:t>
      </w:r>
    </w:p>
    <w:p w14:paraId="45EF48EC" w14:textId="670E5DC2" w:rsidR="00155189" w:rsidRPr="0030010F" w:rsidRDefault="00155189" w:rsidP="00155189">
      <w:pPr>
        <w:spacing w:after="120" w:line="240" w:lineRule="auto"/>
        <w:ind w:firstLine="709"/>
        <w:jc w:val="both"/>
        <w:rPr>
          <w:rFonts w:eastAsia="Times New Roman"/>
          <w:color w:val="000000" w:themeColor="text1"/>
          <w:lang w:eastAsia="fr-FR"/>
        </w:rPr>
      </w:pPr>
      <w:r w:rsidRPr="0030010F">
        <w:rPr>
          <w:rFonts w:eastAsia="Times New Roman"/>
          <w:color w:val="000000" w:themeColor="text1"/>
          <w:lang w:eastAsia="fr-FR"/>
        </w:rPr>
        <w:t>Le test toxicologique, qui ne fait que révéler une</w:t>
      </w:r>
      <w:r w:rsidR="00EF7562" w:rsidRPr="0030010F">
        <w:rPr>
          <w:rFonts w:eastAsia="Times New Roman"/>
          <w:color w:val="000000" w:themeColor="text1"/>
          <w:lang w:eastAsia="fr-FR"/>
        </w:rPr>
        <w:t xml:space="preserve"> </w:t>
      </w:r>
      <w:r w:rsidRPr="0030010F">
        <w:rPr>
          <w:rFonts w:eastAsia="Times New Roman"/>
          <w:color w:val="000000" w:themeColor="text1"/>
          <w:lang w:eastAsia="fr-FR"/>
        </w:rPr>
        <w:t xml:space="preserve">présence, ne permet ni de reconstituer les faits ni d’établir un lien causal solide. </w:t>
      </w:r>
    </w:p>
    <w:p w14:paraId="3AA4C9D6" w14:textId="77777777" w:rsidR="00EF7562" w:rsidRPr="0030010F" w:rsidRDefault="00EF7562" w:rsidP="00155189">
      <w:pPr>
        <w:spacing w:after="120" w:line="240" w:lineRule="auto"/>
        <w:ind w:firstLine="709"/>
        <w:jc w:val="both"/>
        <w:rPr>
          <w:rFonts w:eastAsia="Times New Roman"/>
          <w:color w:val="000000" w:themeColor="text1"/>
          <w:lang w:eastAsia="fr-FR"/>
        </w:rPr>
      </w:pPr>
      <w:r w:rsidRPr="0030010F">
        <w:rPr>
          <w:rFonts w:eastAsia="Times New Roman"/>
          <w:color w:val="000000" w:themeColor="text1"/>
          <w:lang w:eastAsia="fr-FR"/>
        </w:rPr>
        <w:t>7. </w:t>
      </w:r>
      <w:r w:rsidR="00155189" w:rsidRPr="0030010F">
        <w:rPr>
          <w:rFonts w:eastAsia="Times New Roman"/>
          <w:color w:val="000000" w:themeColor="text1"/>
          <w:lang w:eastAsia="fr-FR"/>
        </w:rPr>
        <w:t>Enfin, l’état de confusion ou d’amnésie peut avoir de multiples causes, et la science ne permet pas d’isoler l’effet exact d’une substance ni d’en déduire une intention délictueuse.</w:t>
      </w:r>
    </w:p>
    <w:p w14:paraId="07CD6F16" w14:textId="36F6F1BE" w:rsidR="00155189" w:rsidRPr="0030010F" w:rsidRDefault="00155189" w:rsidP="00155189">
      <w:pPr>
        <w:spacing w:after="120" w:line="240" w:lineRule="auto"/>
        <w:ind w:firstLine="709"/>
        <w:jc w:val="both"/>
        <w:rPr>
          <w:rFonts w:eastAsia="Times New Roman"/>
          <w:color w:val="000000" w:themeColor="text1"/>
          <w:lang w:eastAsia="fr-FR"/>
        </w:rPr>
      </w:pPr>
      <w:r w:rsidRPr="0030010F">
        <w:rPr>
          <w:rFonts w:eastAsia="Times New Roman"/>
          <w:color w:val="000000" w:themeColor="text1"/>
          <w:lang w:eastAsia="fr-FR"/>
        </w:rPr>
        <w:t>La preuve toxicologique n’est donc qu’un élément parmi d’autres, qui ne prend sens qu’au regard de l’ensemble des indices matériels et médicaux de l’enquête.</w:t>
      </w:r>
    </w:p>
    <w:p w14:paraId="6F2B614D" w14:textId="77777777" w:rsidR="00155189" w:rsidRPr="0030010F" w:rsidRDefault="00155189" w:rsidP="00155189">
      <w:pPr>
        <w:keepNext/>
        <w:spacing w:before="240" w:after="120" w:line="240" w:lineRule="auto"/>
        <w:jc w:val="both"/>
        <w:rPr>
          <w:rFonts w:eastAsia="Times New Roman"/>
          <w:i/>
          <w:iCs/>
          <w:color w:val="000000" w:themeColor="text1"/>
          <w:lang w:eastAsia="fr-FR"/>
        </w:rPr>
      </w:pPr>
      <w:r w:rsidRPr="0030010F">
        <w:rPr>
          <w:rFonts w:eastAsia="Times New Roman"/>
          <w:i/>
          <w:iCs/>
          <w:color w:val="000000" w:themeColor="text1"/>
          <w:lang w:eastAsia="fr-FR"/>
        </w:rPr>
        <w:lastRenderedPageBreak/>
        <w:t>Conclusion</w:t>
      </w:r>
    </w:p>
    <w:p w14:paraId="6E40BDA8" w14:textId="5C2AAA1B" w:rsidR="00155189" w:rsidRPr="0030010F" w:rsidRDefault="00EF7562" w:rsidP="00155189">
      <w:pPr>
        <w:keepNext/>
        <w:spacing w:after="120" w:line="240" w:lineRule="auto"/>
        <w:ind w:firstLine="709"/>
        <w:jc w:val="both"/>
        <w:rPr>
          <w:rFonts w:eastAsia="Times New Roman"/>
          <w:color w:val="000000" w:themeColor="text1"/>
          <w:lang w:eastAsia="fr-FR"/>
        </w:rPr>
      </w:pPr>
      <w:r w:rsidRPr="0030010F">
        <w:rPr>
          <w:rFonts w:eastAsia="Times New Roman"/>
          <w:color w:val="000000" w:themeColor="text1"/>
          <w:lang w:eastAsia="fr-FR"/>
        </w:rPr>
        <w:t>8. </w:t>
      </w:r>
      <w:r w:rsidR="00155189" w:rsidRPr="0030010F">
        <w:rPr>
          <w:rFonts w:eastAsia="Times New Roman"/>
          <w:color w:val="000000" w:themeColor="text1"/>
          <w:lang w:eastAsia="fr-FR"/>
        </w:rPr>
        <w:t>Ces nouveaux tests remboursés en cas de suspicion de soumission chimique répondent à un impératif probatoire en rapprochant l’analyse des faits pour préserver des traces vite altérées. Ils constituent un progrès important. En Belgique, les protocoles des</w:t>
      </w:r>
      <w:r w:rsidRPr="0030010F">
        <w:rPr>
          <w:rFonts w:eastAsia="Times New Roman"/>
          <w:color w:val="000000" w:themeColor="text1"/>
          <w:lang w:eastAsia="fr-FR"/>
        </w:rPr>
        <w:t> </w:t>
      </w:r>
      <w:r w:rsidR="00155189" w:rsidRPr="0030010F">
        <w:rPr>
          <w:rFonts w:eastAsia="Times New Roman"/>
          <w:color w:val="000000" w:themeColor="text1"/>
          <w:lang w:eastAsia="fr-FR"/>
        </w:rPr>
        <w:t>CPVS vont dans le même sens, même si leur efficacité dépend encore de la rapidité d’accès des victimes à ces structures.</w:t>
      </w:r>
    </w:p>
    <w:p w14:paraId="44B8CB72" w14:textId="2A0B2625" w:rsidR="00155189" w:rsidRPr="0030010F" w:rsidRDefault="00155189" w:rsidP="00155189">
      <w:pPr>
        <w:spacing w:after="120" w:line="240" w:lineRule="auto"/>
        <w:ind w:firstLine="709"/>
        <w:jc w:val="both"/>
        <w:rPr>
          <w:rFonts w:eastAsia="Times New Roman"/>
          <w:color w:val="000000" w:themeColor="text1"/>
          <w:lang w:eastAsia="fr-FR"/>
        </w:rPr>
      </w:pPr>
      <w:r w:rsidRPr="0030010F">
        <w:rPr>
          <w:rFonts w:eastAsia="Times New Roman"/>
          <w:color w:val="000000" w:themeColor="text1"/>
          <w:lang w:eastAsia="fr-FR"/>
        </w:rPr>
        <w:t>Pour autant, la facilitation des analyses toxicologiques ne saurait masquer une autre réalité juridique</w:t>
      </w:r>
      <w:r w:rsidR="00EF7562" w:rsidRPr="0030010F">
        <w:rPr>
          <w:rFonts w:eastAsia="Times New Roman"/>
          <w:color w:val="000000" w:themeColor="text1"/>
          <w:lang w:eastAsia="fr-FR"/>
        </w:rPr>
        <w:t> </w:t>
      </w:r>
      <w:r w:rsidRPr="0030010F">
        <w:rPr>
          <w:rFonts w:eastAsia="Times New Roman"/>
          <w:color w:val="000000" w:themeColor="text1"/>
          <w:lang w:eastAsia="fr-FR"/>
        </w:rPr>
        <w:t xml:space="preserve">: la preuve toxicologique reste une preuve intrinsèquement partielle. Elle atteste d’une présence sans permettre d’en décrire le contexte, la modalité d’ingestion ni la signification normative au regard des faits allégués. Elle constitue un élément parmi d’autres, dont les résultats ne suffisent pas à reconstituer ce qui s’est produit, ce qui place les juges face à une matière probatoire inévitablement incomplète. </w:t>
      </w:r>
    </w:p>
    <w:p w14:paraId="53DCA999" w14:textId="288E7F75" w:rsidR="00A33700" w:rsidRPr="0030010F" w:rsidRDefault="00EF7562" w:rsidP="00155189">
      <w:pPr>
        <w:spacing w:after="120" w:line="240" w:lineRule="auto"/>
        <w:ind w:firstLine="709"/>
        <w:jc w:val="both"/>
        <w:rPr>
          <w:rFonts w:eastAsia="Times New Roman"/>
          <w:color w:val="000000" w:themeColor="text1"/>
          <w:lang w:eastAsia="fr-FR"/>
        </w:rPr>
      </w:pPr>
      <w:r w:rsidRPr="0030010F">
        <w:rPr>
          <w:rFonts w:eastAsia="Times New Roman"/>
          <w:color w:val="000000" w:themeColor="text1"/>
          <w:lang w:eastAsia="fr-FR"/>
        </w:rPr>
        <w:t>9. </w:t>
      </w:r>
      <w:r w:rsidR="00155189" w:rsidRPr="0030010F">
        <w:rPr>
          <w:rFonts w:eastAsia="Times New Roman"/>
          <w:color w:val="000000" w:themeColor="text1"/>
          <w:lang w:eastAsia="fr-FR"/>
        </w:rPr>
        <w:t>L’enjeu dépasse largement le seul dépistage et repose sur la manière dont les autorités soutiennent les victimes, alors même que la preuve scientifique présente d’importantes limites. Une politique cohérente, qui conjugue accompagnement, structures renforcées et reconnaissance de ces limites, est essentielle pour assurer une protection réellement effective.</w:t>
      </w:r>
    </w:p>
    <w:p w14:paraId="444851FC" w14:textId="39875B23" w:rsidR="00DA5BC0" w:rsidRPr="0030010F" w:rsidRDefault="0083138D" w:rsidP="00BC11D6">
      <w:pPr>
        <w:keepNext/>
        <w:spacing w:before="360" w:after="120" w:line="240" w:lineRule="auto"/>
        <w:jc w:val="both"/>
        <w:rPr>
          <w:color w:val="000000" w:themeColor="text1"/>
        </w:rPr>
      </w:pPr>
      <w:r w:rsidRPr="0030010F">
        <w:rPr>
          <w:color w:val="000000" w:themeColor="text1"/>
          <w:sz w:val="28"/>
          <w:szCs w:val="28"/>
          <w:u w:val="single"/>
        </w:rPr>
        <w:t>Mots-clé</w:t>
      </w:r>
      <w:r w:rsidR="00F073BF" w:rsidRPr="0030010F">
        <w:rPr>
          <w:color w:val="000000" w:themeColor="text1"/>
          <w:sz w:val="28"/>
          <w:szCs w:val="28"/>
          <w:u w:val="single"/>
        </w:rPr>
        <w:t>s</w:t>
      </w:r>
      <w:r w:rsidRPr="0030010F">
        <w:rPr>
          <w:color w:val="000000" w:themeColor="text1"/>
          <w:sz w:val="28"/>
          <w:szCs w:val="28"/>
          <w:u w:val="single"/>
        </w:rPr>
        <w:t xml:space="preserve"> du moteur de recherche</w:t>
      </w:r>
      <w:r w:rsidR="000F11A5" w:rsidRPr="0030010F">
        <w:rPr>
          <w:color w:val="000000" w:themeColor="text1"/>
          <w:sz w:val="28"/>
          <w:szCs w:val="28"/>
          <w:u w:val="single"/>
        </w:rPr>
        <w:t xml:space="preserve"> (« </w:t>
      </w:r>
      <w:r w:rsidR="00056953" w:rsidRPr="0030010F">
        <w:rPr>
          <w:color w:val="000000" w:themeColor="text1"/>
          <w:sz w:val="28"/>
          <w:szCs w:val="28"/>
          <w:u w:val="single"/>
        </w:rPr>
        <w:t>Mots-clé</w:t>
      </w:r>
      <w:r w:rsidR="00F073BF" w:rsidRPr="0030010F">
        <w:rPr>
          <w:color w:val="000000" w:themeColor="text1"/>
          <w:sz w:val="28"/>
          <w:szCs w:val="28"/>
          <w:u w:val="single"/>
        </w:rPr>
        <w:t>s</w:t>
      </w:r>
      <w:r w:rsidR="00056953" w:rsidRPr="0030010F">
        <w:rPr>
          <w:color w:val="000000" w:themeColor="text1"/>
          <w:sz w:val="28"/>
          <w:szCs w:val="28"/>
          <w:u w:val="single"/>
        </w:rPr>
        <w:t xml:space="preserve"> Articles »)</w:t>
      </w:r>
      <w:r w:rsidR="00B96690" w:rsidRPr="0030010F">
        <w:rPr>
          <w:color w:val="000000" w:themeColor="text1"/>
          <w:sz w:val="28"/>
          <w:szCs w:val="28"/>
          <w:u w:val="single"/>
        </w:rPr>
        <w:t> </w:t>
      </w:r>
      <w:r w:rsidRPr="0030010F">
        <w:rPr>
          <w:color w:val="000000" w:themeColor="text1"/>
          <w:sz w:val="28"/>
          <w:szCs w:val="28"/>
        </w:rPr>
        <w:t>:</w:t>
      </w:r>
      <w:r w:rsidR="001A5032" w:rsidRPr="0030010F">
        <w:rPr>
          <w:color w:val="000000" w:themeColor="text1"/>
        </w:rPr>
        <w:t xml:space="preserve"> </w:t>
      </w:r>
      <w:r w:rsidR="0045468E" w:rsidRPr="0030010F">
        <w:rPr>
          <w:color w:val="000000" w:themeColor="text1"/>
        </w:rPr>
        <w:t xml:space="preserve">Analyse </w:t>
      </w:r>
      <w:r w:rsidR="0045468E" w:rsidRPr="0030010F">
        <w:rPr>
          <w:rFonts w:eastAsia="Times New Roman"/>
          <w:color w:val="000000" w:themeColor="text1"/>
          <w:lang w:eastAsia="fr-FR"/>
        </w:rPr>
        <w:t>toxicologique*</w:t>
      </w:r>
      <w:r w:rsidR="0045468E" w:rsidRPr="0030010F">
        <w:rPr>
          <w:color w:val="000000" w:themeColor="text1"/>
        </w:rPr>
        <w:t xml:space="preserve">, </w:t>
      </w:r>
      <w:r w:rsidR="00155189" w:rsidRPr="0030010F">
        <w:rPr>
          <w:color w:val="000000" w:themeColor="text1"/>
        </w:rPr>
        <w:t xml:space="preserve">Centres de prise en charge des violences sexuelles (CPVS)*, </w:t>
      </w:r>
      <w:r w:rsidR="009C60B3" w:rsidRPr="0030010F">
        <w:rPr>
          <w:color w:val="000000" w:themeColor="text1"/>
        </w:rPr>
        <w:t>Consentement,</w:t>
      </w:r>
      <w:r w:rsidR="00155189" w:rsidRPr="0030010F">
        <w:rPr>
          <w:color w:val="000000" w:themeColor="text1"/>
        </w:rPr>
        <w:t xml:space="preserve"> Preuve,</w:t>
      </w:r>
      <w:r w:rsidR="009C60B3" w:rsidRPr="0030010F">
        <w:rPr>
          <w:color w:val="000000" w:themeColor="text1"/>
        </w:rPr>
        <w:t xml:space="preserve"> </w:t>
      </w:r>
      <w:r w:rsidR="0045468E" w:rsidRPr="0030010F">
        <w:rPr>
          <w:color w:val="000000" w:themeColor="text1"/>
        </w:rPr>
        <w:t>P</w:t>
      </w:r>
      <w:r w:rsidR="0045468E" w:rsidRPr="0030010F">
        <w:rPr>
          <w:rFonts w:eastAsia="Times New Roman"/>
          <w:color w:val="000000" w:themeColor="text1"/>
          <w:lang w:eastAsia="fr-FR"/>
        </w:rPr>
        <w:t>reuve toxicologique*</w:t>
      </w:r>
      <w:r w:rsidR="0045468E" w:rsidRPr="0030010F">
        <w:rPr>
          <w:color w:val="000000" w:themeColor="text1"/>
        </w:rPr>
        <w:t xml:space="preserve">, </w:t>
      </w:r>
      <w:r w:rsidR="00155189" w:rsidRPr="0030010F">
        <w:rPr>
          <w:color w:val="000000" w:themeColor="text1"/>
        </w:rPr>
        <w:t xml:space="preserve">Santé, Sécurité sociale, </w:t>
      </w:r>
      <w:r w:rsidR="009C60B3" w:rsidRPr="0030010F">
        <w:rPr>
          <w:color w:val="000000" w:themeColor="text1"/>
        </w:rPr>
        <w:t>Soumission chimique, Victime, Viol, Violence sexuelle</w:t>
      </w:r>
    </w:p>
    <w:p w14:paraId="573275F9" w14:textId="14F5A8AF" w:rsidR="004618A8" w:rsidRPr="0030010F" w:rsidRDefault="004618A8" w:rsidP="00BC11D6">
      <w:pPr>
        <w:keepNext/>
        <w:spacing w:after="120" w:line="240" w:lineRule="auto"/>
        <w:jc w:val="center"/>
        <w:rPr>
          <w:color w:val="000000" w:themeColor="text1"/>
        </w:rPr>
      </w:pPr>
      <w:r w:rsidRPr="0030010F">
        <w:rPr>
          <w:color w:val="000000" w:themeColor="text1"/>
        </w:rPr>
        <w:t>- - - - -</w:t>
      </w:r>
    </w:p>
    <w:sectPr w:rsidR="004618A8" w:rsidRPr="0030010F" w:rsidSect="007B2D74">
      <w:headerReference w:type="default" r:id="rId11"/>
      <w:pgSz w:w="12240" w:h="15840" w:code="1"/>
      <w:pgMar w:top="1418" w:right="1418" w:bottom="1418" w:left="1418" w:header="709"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07A71D" w16cex:dateUtc="2025-12-16T10:36:00Z"/>
  <w16cex:commentExtensible w16cex:durableId="24A95387" w16cex:dateUtc="2025-12-16T10: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14B09E" w16cid:durableId="2307A71D"/>
  <w16cid:commentId w16cid:paraId="6AE5AABD" w16cid:durableId="24A9538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1E2013" w14:textId="77777777" w:rsidR="00F9530A" w:rsidRDefault="00F9530A" w:rsidP="003E2E7C">
      <w:pPr>
        <w:spacing w:after="0" w:line="240" w:lineRule="auto"/>
      </w:pPr>
      <w:r>
        <w:separator/>
      </w:r>
    </w:p>
  </w:endnote>
  <w:endnote w:type="continuationSeparator" w:id="0">
    <w:p w14:paraId="142D2886" w14:textId="77777777" w:rsidR="00F9530A" w:rsidRDefault="00F9530A" w:rsidP="003E2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PS"/>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34953E" w14:textId="77777777" w:rsidR="00F9530A" w:rsidRDefault="00F9530A" w:rsidP="003E2E7C">
      <w:pPr>
        <w:spacing w:after="0" w:line="240" w:lineRule="auto"/>
      </w:pPr>
      <w:r>
        <w:separator/>
      </w:r>
    </w:p>
  </w:footnote>
  <w:footnote w:type="continuationSeparator" w:id="0">
    <w:p w14:paraId="1DFAB6BB" w14:textId="77777777" w:rsidR="00F9530A" w:rsidRDefault="00F9530A" w:rsidP="003E2E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14724" w14:textId="4027DD6F" w:rsidR="00F75CB2" w:rsidRDefault="00373048">
    <w:pPr>
      <w:pStyle w:val="En-tte"/>
      <w:jc w:val="right"/>
    </w:pPr>
    <w:r>
      <w:fldChar w:fldCharType="begin"/>
    </w:r>
    <w:r w:rsidR="00596663">
      <w:instrText xml:space="preserve"> PAGE   \* MERGEFORMAT </w:instrText>
    </w:r>
    <w:r>
      <w:fldChar w:fldCharType="separate"/>
    </w:r>
    <w:r w:rsidR="0030010F">
      <w:rPr>
        <w:noProof/>
      </w:rPr>
      <w:t>4</w:t>
    </w:r>
    <w:r>
      <w:rPr>
        <w:noProof/>
      </w:rPr>
      <w:fldChar w:fldCharType="end"/>
    </w:r>
  </w:p>
  <w:p w14:paraId="0FA32379" w14:textId="77777777" w:rsidR="00F75CB2" w:rsidRDefault="00F75CB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77D47"/>
    <w:multiLevelType w:val="hybridMultilevel"/>
    <w:tmpl w:val="DC02B74E"/>
    <w:lvl w:ilvl="0" w:tplc="CA3E2C6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CA0BB2"/>
    <w:multiLevelType w:val="hybridMultilevel"/>
    <w:tmpl w:val="A49A5880"/>
    <w:lvl w:ilvl="0" w:tplc="2FC4E14C">
      <w:start w:val="1"/>
      <w:numFmt w:val="decimal"/>
      <w:lvlText w:val="%1."/>
      <w:lvlJc w:val="left"/>
      <w:pPr>
        <w:ind w:left="0" w:firstLine="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B92524"/>
    <w:multiLevelType w:val="hybridMultilevel"/>
    <w:tmpl w:val="4D1CB474"/>
    <w:lvl w:ilvl="0" w:tplc="BC14EB10">
      <w:start w:val="3"/>
      <w:numFmt w:val="bullet"/>
      <w:lvlText w:val="-"/>
      <w:lvlJc w:val="left"/>
      <w:pPr>
        <w:ind w:left="360" w:hanging="360"/>
      </w:pPr>
      <w:rPr>
        <w:rFonts w:ascii="Times New Roman" w:eastAsia="Cambria" w:hAnsi="Times New Roman" w:cs="Times New Roman"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1B0B3B8A"/>
    <w:multiLevelType w:val="hybridMultilevel"/>
    <w:tmpl w:val="72BC1BE4"/>
    <w:lvl w:ilvl="0" w:tplc="0E7ACD10">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17F5484"/>
    <w:multiLevelType w:val="hybridMultilevel"/>
    <w:tmpl w:val="2ABCF6A6"/>
    <w:lvl w:ilvl="0" w:tplc="CA3E2C6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3402E2C"/>
    <w:multiLevelType w:val="hybridMultilevel"/>
    <w:tmpl w:val="5E02030A"/>
    <w:lvl w:ilvl="0" w:tplc="D3AEE982">
      <w:numFmt w:val="bullet"/>
      <w:lvlText w:val="-"/>
      <w:lvlJc w:val="left"/>
      <w:pPr>
        <w:tabs>
          <w:tab w:val="num" w:pos="1060"/>
        </w:tabs>
        <w:ind w:left="1060" w:hanging="700"/>
      </w:pPr>
      <w:rPr>
        <w:rFonts w:ascii="Times New Roman" w:eastAsia="Times New Roman" w:hAnsi="Times New Roman" w:hint="default"/>
        <w:w w:val="0"/>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9E4D6F"/>
    <w:multiLevelType w:val="hybridMultilevel"/>
    <w:tmpl w:val="F6C6B504"/>
    <w:lvl w:ilvl="0" w:tplc="B664B95E">
      <w:start w:val="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ED8"/>
    <w:rsid w:val="0000018A"/>
    <w:rsid w:val="0000060B"/>
    <w:rsid w:val="00000F63"/>
    <w:rsid w:val="00002C1A"/>
    <w:rsid w:val="00012F53"/>
    <w:rsid w:val="00013853"/>
    <w:rsid w:val="00013D0E"/>
    <w:rsid w:val="00013D40"/>
    <w:rsid w:val="00015BD6"/>
    <w:rsid w:val="000163CB"/>
    <w:rsid w:val="00017118"/>
    <w:rsid w:val="00020A57"/>
    <w:rsid w:val="00020D23"/>
    <w:rsid w:val="00021281"/>
    <w:rsid w:val="00021C92"/>
    <w:rsid w:val="0002207A"/>
    <w:rsid w:val="00024414"/>
    <w:rsid w:val="00024CA9"/>
    <w:rsid w:val="0002640A"/>
    <w:rsid w:val="00026D0B"/>
    <w:rsid w:val="00026E73"/>
    <w:rsid w:val="00027227"/>
    <w:rsid w:val="00027580"/>
    <w:rsid w:val="0003174E"/>
    <w:rsid w:val="00035804"/>
    <w:rsid w:val="00036458"/>
    <w:rsid w:val="00036E1F"/>
    <w:rsid w:val="000377CB"/>
    <w:rsid w:val="000379DE"/>
    <w:rsid w:val="00041D4E"/>
    <w:rsid w:val="00041DFE"/>
    <w:rsid w:val="00043523"/>
    <w:rsid w:val="000453E4"/>
    <w:rsid w:val="000458AD"/>
    <w:rsid w:val="0004670C"/>
    <w:rsid w:val="00047924"/>
    <w:rsid w:val="000506DF"/>
    <w:rsid w:val="00054AF1"/>
    <w:rsid w:val="00055063"/>
    <w:rsid w:val="00056953"/>
    <w:rsid w:val="00056967"/>
    <w:rsid w:val="00062596"/>
    <w:rsid w:val="00062EC6"/>
    <w:rsid w:val="00064967"/>
    <w:rsid w:val="00064D3F"/>
    <w:rsid w:val="00065AE2"/>
    <w:rsid w:val="00066767"/>
    <w:rsid w:val="0006791C"/>
    <w:rsid w:val="00067BE9"/>
    <w:rsid w:val="00067F4F"/>
    <w:rsid w:val="00074144"/>
    <w:rsid w:val="00075742"/>
    <w:rsid w:val="000776CC"/>
    <w:rsid w:val="00080B92"/>
    <w:rsid w:val="00082001"/>
    <w:rsid w:val="00082CF2"/>
    <w:rsid w:val="000859D7"/>
    <w:rsid w:val="00091A69"/>
    <w:rsid w:val="00091E13"/>
    <w:rsid w:val="000A15D8"/>
    <w:rsid w:val="000A24CD"/>
    <w:rsid w:val="000A3AD6"/>
    <w:rsid w:val="000A3D87"/>
    <w:rsid w:val="000A7A22"/>
    <w:rsid w:val="000A7CBD"/>
    <w:rsid w:val="000B0BCC"/>
    <w:rsid w:val="000B17E2"/>
    <w:rsid w:val="000B3194"/>
    <w:rsid w:val="000B3579"/>
    <w:rsid w:val="000B4261"/>
    <w:rsid w:val="000B7ED3"/>
    <w:rsid w:val="000C0F3C"/>
    <w:rsid w:val="000C33F3"/>
    <w:rsid w:val="000C4753"/>
    <w:rsid w:val="000C60B8"/>
    <w:rsid w:val="000C72CE"/>
    <w:rsid w:val="000C790F"/>
    <w:rsid w:val="000D143D"/>
    <w:rsid w:val="000D17FC"/>
    <w:rsid w:val="000D1A06"/>
    <w:rsid w:val="000D2D83"/>
    <w:rsid w:val="000D34FE"/>
    <w:rsid w:val="000D49DB"/>
    <w:rsid w:val="000E0D17"/>
    <w:rsid w:val="000E173A"/>
    <w:rsid w:val="000E25CD"/>
    <w:rsid w:val="000E2742"/>
    <w:rsid w:val="000E3261"/>
    <w:rsid w:val="000E36C8"/>
    <w:rsid w:val="000E585E"/>
    <w:rsid w:val="000E6C72"/>
    <w:rsid w:val="000E72CE"/>
    <w:rsid w:val="000F03AC"/>
    <w:rsid w:val="000F11A5"/>
    <w:rsid w:val="000F1CEE"/>
    <w:rsid w:val="000F2943"/>
    <w:rsid w:val="000F5165"/>
    <w:rsid w:val="000F6334"/>
    <w:rsid w:val="001003A8"/>
    <w:rsid w:val="00100B34"/>
    <w:rsid w:val="00101107"/>
    <w:rsid w:val="0010232A"/>
    <w:rsid w:val="001055CB"/>
    <w:rsid w:val="00112983"/>
    <w:rsid w:val="00112A3A"/>
    <w:rsid w:val="00114BAB"/>
    <w:rsid w:val="001178DB"/>
    <w:rsid w:val="00120F98"/>
    <w:rsid w:val="001235E0"/>
    <w:rsid w:val="00123E43"/>
    <w:rsid w:val="00125626"/>
    <w:rsid w:val="00125B27"/>
    <w:rsid w:val="00125DAD"/>
    <w:rsid w:val="00127002"/>
    <w:rsid w:val="0012705C"/>
    <w:rsid w:val="001316E1"/>
    <w:rsid w:val="001322E7"/>
    <w:rsid w:val="00132497"/>
    <w:rsid w:val="001351E5"/>
    <w:rsid w:val="00137323"/>
    <w:rsid w:val="00137790"/>
    <w:rsid w:val="00137A24"/>
    <w:rsid w:val="001405BD"/>
    <w:rsid w:val="00140B78"/>
    <w:rsid w:val="00141135"/>
    <w:rsid w:val="001421F8"/>
    <w:rsid w:val="00142CD8"/>
    <w:rsid w:val="0014437F"/>
    <w:rsid w:val="00146361"/>
    <w:rsid w:val="00146692"/>
    <w:rsid w:val="001467DC"/>
    <w:rsid w:val="00147138"/>
    <w:rsid w:val="0015079A"/>
    <w:rsid w:val="00152E20"/>
    <w:rsid w:val="00153564"/>
    <w:rsid w:val="001546CD"/>
    <w:rsid w:val="00155189"/>
    <w:rsid w:val="0015530F"/>
    <w:rsid w:val="00155C96"/>
    <w:rsid w:val="00156E9D"/>
    <w:rsid w:val="001605DD"/>
    <w:rsid w:val="00161268"/>
    <w:rsid w:val="00161923"/>
    <w:rsid w:val="00164943"/>
    <w:rsid w:val="001662FD"/>
    <w:rsid w:val="00166638"/>
    <w:rsid w:val="00166673"/>
    <w:rsid w:val="001666D5"/>
    <w:rsid w:val="00166D85"/>
    <w:rsid w:val="00167A5F"/>
    <w:rsid w:val="0017341A"/>
    <w:rsid w:val="00173AE3"/>
    <w:rsid w:val="00173C65"/>
    <w:rsid w:val="001747CB"/>
    <w:rsid w:val="00175B4B"/>
    <w:rsid w:val="001762AE"/>
    <w:rsid w:val="00180591"/>
    <w:rsid w:val="0018084C"/>
    <w:rsid w:val="00180872"/>
    <w:rsid w:val="00180ED8"/>
    <w:rsid w:val="0018109A"/>
    <w:rsid w:val="00182425"/>
    <w:rsid w:val="001834E4"/>
    <w:rsid w:val="001850EA"/>
    <w:rsid w:val="00193962"/>
    <w:rsid w:val="001944BD"/>
    <w:rsid w:val="00195778"/>
    <w:rsid w:val="001963F4"/>
    <w:rsid w:val="001A191E"/>
    <w:rsid w:val="001A1BB4"/>
    <w:rsid w:val="001A5032"/>
    <w:rsid w:val="001A63AB"/>
    <w:rsid w:val="001A644C"/>
    <w:rsid w:val="001B2689"/>
    <w:rsid w:val="001B4388"/>
    <w:rsid w:val="001B5810"/>
    <w:rsid w:val="001B6275"/>
    <w:rsid w:val="001B7339"/>
    <w:rsid w:val="001B7BA5"/>
    <w:rsid w:val="001C19D0"/>
    <w:rsid w:val="001C3B28"/>
    <w:rsid w:val="001C4B28"/>
    <w:rsid w:val="001C67FC"/>
    <w:rsid w:val="001D0ED4"/>
    <w:rsid w:val="001D4FB7"/>
    <w:rsid w:val="001D5876"/>
    <w:rsid w:val="001D5C75"/>
    <w:rsid w:val="001D739A"/>
    <w:rsid w:val="001E05FE"/>
    <w:rsid w:val="001E11FE"/>
    <w:rsid w:val="001E139F"/>
    <w:rsid w:val="001E27C4"/>
    <w:rsid w:val="001E7AE7"/>
    <w:rsid w:val="001F342E"/>
    <w:rsid w:val="001F389A"/>
    <w:rsid w:val="001F4274"/>
    <w:rsid w:val="001F6DDE"/>
    <w:rsid w:val="001F734C"/>
    <w:rsid w:val="001F7D4C"/>
    <w:rsid w:val="001F7D64"/>
    <w:rsid w:val="00200793"/>
    <w:rsid w:val="002024F8"/>
    <w:rsid w:val="00202B9B"/>
    <w:rsid w:val="00203CAF"/>
    <w:rsid w:val="002069F1"/>
    <w:rsid w:val="00206CE1"/>
    <w:rsid w:val="00207C8B"/>
    <w:rsid w:val="002102CE"/>
    <w:rsid w:val="0021096F"/>
    <w:rsid w:val="0021338A"/>
    <w:rsid w:val="00213667"/>
    <w:rsid w:val="00213690"/>
    <w:rsid w:val="00214B9C"/>
    <w:rsid w:val="00216536"/>
    <w:rsid w:val="00220923"/>
    <w:rsid w:val="0022169F"/>
    <w:rsid w:val="00223FC3"/>
    <w:rsid w:val="00232365"/>
    <w:rsid w:val="0023459E"/>
    <w:rsid w:val="00234895"/>
    <w:rsid w:val="002374E6"/>
    <w:rsid w:val="00242CD9"/>
    <w:rsid w:val="00243A34"/>
    <w:rsid w:val="00244585"/>
    <w:rsid w:val="00244B5B"/>
    <w:rsid w:val="00245378"/>
    <w:rsid w:val="0024591F"/>
    <w:rsid w:val="002468FE"/>
    <w:rsid w:val="00247F7C"/>
    <w:rsid w:val="002518D3"/>
    <w:rsid w:val="00251F8E"/>
    <w:rsid w:val="00252B08"/>
    <w:rsid w:val="00257D48"/>
    <w:rsid w:val="00257E28"/>
    <w:rsid w:val="0026213D"/>
    <w:rsid w:val="00263255"/>
    <w:rsid w:val="00263D52"/>
    <w:rsid w:val="00264D19"/>
    <w:rsid w:val="00267F1E"/>
    <w:rsid w:val="00270292"/>
    <w:rsid w:val="0027168E"/>
    <w:rsid w:val="00272006"/>
    <w:rsid w:val="00275448"/>
    <w:rsid w:val="002759D5"/>
    <w:rsid w:val="00280CEF"/>
    <w:rsid w:val="002821F2"/>
    <w:rsid w:val="0028340E"/>
    <w:rsid w:val="00283FCF"/>
    <w:rsid w:val="00284AC4"/>
    <w:rsid w:val="00286038"/>
    <w:rsid w:val="002874AA"/>
    <w:rsid w:val="00290009"/>
    <w:rsid w:val="00290163"/>
    <w:rsid w:val="002915A2"/>
    <w:rsid w:val="00292604"/>
    <w:rsid w:val="0029287D"/>
    <w:rsid w:val="00296613"/>
    <w:rsid w:val="00296A45"/>
    <w:rsid w:val="00296B72"/>
    <w:rsid w:val="00297F61"/>
    <w:rsid w:val="002A0A5F"/>
    <w:rsid w:val="002A1013"/>
    <w:rsid w:val="002A143F"/>
    <w:rsid w:val="002A30EA"/>
    <w:rsid w:val="002A332D"/>
    <w:rsid w:val="002A35E0"/>
    <w:rsid w:val="002A57B2"/>
    <w:rsid w:val="002A59AE"/>
    <w:rsid w:val="002B0423"/>
    <w:rsid w:val="002B0DE7"/>
    <w:rsid w:val="002B0FCC"/>
    <w:rsid w:val="002B1BA2"/>
    <w:rsid w:val="002B2B12"/>
    <w:rsid w:val="002B2BC0"/>
    <w:rsid w:val="002B3C58"/>
    <w:rsid w:val="002B4533"/>
    <w:rsid w:val="002B4DCA"/>
    <w:rsid w:val="002B5CCB"/>
    <w:rsid w:val="002B62D9"/>
    <w:rsid w:val="002B681D"/>
    <w:rsid w:val="002B78E5"/>
    <w:rsid w:val="002C0BB2"/>
    <w:rsid w:val="002C1AF3"/>
    <w:rsid w:val="002C2DC1"/>
    <w:rsid w:val="002C54A9"/>
    <w:rsid w:val="002C7CA1"/>
    <w:rsid w:val="002D1088"/>
    <w:rsid w:val="002D164E"/>
    <w:rsid w:val="002D16EC"/>
    <w:rsid w:val="002D239E"/>
    <w:rsid w:val="002D4AC8"/>
    <w:rsid w:val="002D4C3D"/>
    <w:rsid w:val="002D5025"/>
    <w:rsid w:val="002E2C8B"/>
    <w:rsid w:val="002E6974"/>
    <w:rsid w:val="002E702D"/>
    <w:rsid w:val="002F139D"/>
    <w:rsid w:val="002F1C95"/>
    <w:rsid w:val="002F21E4"/>
    <w:rsid w:val="002F5F0D"/>
    <w:rsid w:val="0030010F"/>
    <w:rsid w:val="00300334"/>
    <w:rsid w:val="00301519"/>
    <w:rsid w:val="00301655"/>
    <w:rsid w:val="00301F64"/>
    <w:rsid w:val="00302CE7"/>
    <w:rsid w:val="0030442E"/>
    <w:rsid w:val="003058B0"/>
    <w:rsid w:val="00305F5A"/>
    <w:rsid w:val="003061B5"/>
    <w:rsid w:val="00306839"/>
    <w:rsid w:val="00312260"/>
    <w:rsid w:val="00313620"/>
    <w:rsid w:val="003139DA"/>
    <w:rsid w:val="00317D2B"/>
    <w:rsid w:val="00320357"/>
    <w:rsid w:val="00320B93"/>
    <w:rsid w:val="003216A4"/>
    <w:rsid w:val="00324262"/>
    <w:rsid w:val="00326A96"/>
    <w:rsid w:val="0033037B"/>
    <w:rsid w:val="003324D0"/>
    <w:rsid w:val="0033280D"/>
    <w:rsid w:val="00333CEF"/>
    <w:rsid w:val="00335673"/>
    <w:rsid w:val="00336735"/>
    <w:rsid w:val="00336DDF"/>
    <w:rsid w:val="003373B3"/>
    <w:rsid w:val="003374C7"/>
    <w:rsid w:val="00340A9A"/>
    <w:rsid w:val="00342919"/>
    <w:rsid w:val="003456C0"/>
    <w:rsid w:val="003466A5"/>
    <w:rsid w:val="00354CCE"/>
    <w:rsid w:val="00356948"/>
    <w:rsid w:val="00357232"/>
    <w:rsid w:val="003572FB"/>
    <w:rsid w:val="0036032F"/>
    <w:rsid w:val="00361028"/>
    <w:rsid w:val="00361DA1"/>
    <w:rsid w:val="003627F1"/>
    <w:rsid w:val="00362B31"/>
    <w:rsid w:val="00365DE1"/>
    <w:rsid w:val="00366FE8"/>
    <w:rsid w:val="003679C9"/>
    <w:rsid w:val="00370531"/>
    <w:rsid w:val="00371FE4"/>
    <w:rsid w:val="00372A2F"/>
    <w:rsid w:val="00372CAE"/>
    <w:rsid w:val="00373048"/>
    <w:rsid w:val="00375581"/>
    <w:rsid w:val="0037672A"/>
    <w:rsid w:val="00376F0A"/>
    <w:rsid w:val="00377C95"/>
    <w:rsid w:val="0038001F"/>
    <w:rsid w:val="003816E8"/>
    <w:rsid w:val="0038294E"/>
    <w:rsid w:val="00386140"/>
    <w:rsid w:val="00387AC0"/>
    <w:rsid w:val="00396CFE"/>
    <w:rsid w:val="003A0283"/>
    <w:rsid w:val="003A3E78"/>
    <w:rsid w:val="003A4CD8"/>
    <w:rsid w:val="003A4F23"/>
    <w:rsid w:val="003A5399"/>
    <w:rsid w:val="003A586F"/>
    <w:rsid w:val="003A5DF5"/>
    <w:rsid w:val="003B07BA"/>
    <w:rsid w:val="003B0E03"/>
    <w:rsid w:val="003B1BFF"/>
    <w:rsid w:val="003B2399"/>
    <w:rsid w:val="003B23A6"/>
    <w:rsid w:val="003B5323"/>
    <w:rsid w:val="003B68C1"/>
    <w:rsid w:val="003B6CB2"/>
    <w:rsid w:val="003B6FC2"/>
    <w:rsid w:val="003B781F"/>
    <w:rsid w:val="003C0D1F"/>
    <w:rsid w:val="003C1021"/>
    <w:rsid w:val="003C3844"/>
    <w:rsid w:val="003C4E87"/>
    <w:rsid w:val="003C52DD"/>
    <w:rsid w:val="003C5C9D"/>
    <w:rsid w:val="003C6D25"/>
    <w:rsid w:val="003C78F0"/>
    <w:rsid w:val="003C7D18"/>
    <w:rsid w:val="003C7FA4"/>
    <w:rsid w:val="003D48A1"/>
    <w:rsid w:val="003D5BB6"/>
    <w:rsid w:val="003D5BF1"/>
    <w:rsid w:val="003D65F9"/>
    <w:rsid w:val="003E097B"/>
    <w:rsid w:val="003E0B57"/>
    <w:rsid w:val="003E1299"/>
    <w:rsid w:val="003E24D6"/>
    <w:rsid w:val="003E2E7C"/>
    <w:rsid w:val="003E5524"/>
    <w:rsid w:val="003E5FA8"/>
    <w:rsid w:val="003E728E"/>
    <w:rsid w:val="003F24FE"/>
    <w:rsid w:val="003F2AEF"/>
    <w:rsid w:val="003F2FB6"/>
    <w:rsid w:val="003F4D82"/>
    <w:rsid w:val="003F5154"/>
    <w:rsid w:val="003F5CB8"/>
    <w:rsid w:val="003F6475"/>
    <w:rsid w:val="003F771F"/>
    <w:rsid w:val="00400B9B"/>
    <w:rsid w:val="00403D1E"/>
    <w:rsid w:val="00403D27"/>
    <w:rsid w:val="00405D02"/>
    <w:rsid w:val="00406832"/>
    <w:rsid w:val="0040730E"/>
    <w:rsid w:val="004073D2"/>
    <w:rsid w:val="00407676"/>
    <w:rsid w:val="00407C87"/>
    <w:rsid w:val="0041144C"/>
    <w:rsid w:val="00411B7C"/>
    <w:rsid w:val="004133C0"/>
    <w:rsid w:val="00415351"/>
    <w:rsid w:val="00416A7F"/>
    <w:rsid w:val="0042102A"/>
    <w:rsid w:val="0042490A"/>
    <w:rsid w:val="00426E8D"/>
    <w:rsid w:val="0042723A"/>
    <w:rsid w:val="0043011F"/>
    <w:rsid w:val="004321CD"/>
    <w:rsid w:val="00432913"/>
    <w:rsid w:val="004334BE"/>
    <w:rsid w:val="004337B6"/>
    <w:rsid w:val="00434481"/>
    <w:rsid w:val="00435B4B"/>
    <w:rsid w:val="00437C0E"/>
    <w:rsid w:val="0044132F"/>
    <w:rsid w:val="00443892"/>
    <w:rsid w:val="00443D93"/>
    <w:rsid w:val="004444CE"/>
    <w:rsid w:val="00444F00"/>
    <w:rsid w:val="0044560A"/>
    <w:rsid w:val="0044573D"/>
    <w:rsid w:val="004462EE"/>
    <w:rsid w:val="00446F6E"/>
    <w:rsid w:val="00451009"/>
    <w:rsid w:val="004526B6"/>
    <w:rsid w:val="00453AEA"/>
    <w:rsid w:val="004542F9"/>
    <w:rsid w:val="0045468E"/>
    <w:rsid w:val="00455397"/>
    <w:rsid w:val="00457A16"/>
    <w:rsid w:val="004601A2"/>
    <w:rsid w:val="00460241"/>
    <w:rsid w:val="0046100D"/>
    <w:rsid w:val="00461840"/>
    <w:rsid w:val="004618A8"/>
    <w:rsid w:val="004619A1"/>
    <w:rsid w:val="00461DAA"/>
    <w:rsid w:val="00462BDC"/>
    <w:rsid w:val="004641E4"/>
    <w:rsid w:val="00464C2F"/>
    <w:rsid w:val="00466EB4"/>
    <w:rsid w:val="00466F5A"/>
    <w:rsid w:val="0047000B"/>
    <w:rsid w:val="0047366F"/>
    <w:rsid w:val="00473D23"/>
    <w:rsid w:val="004751CB"/>
    <w:rsid w:val="004770CB"/>
    <w:rsid w:val="00484988"/>
    <w:rsid w:val="0048582B"/>
    <w:rsid w:val="004868E9"/>
    <w:rsid w:val="00492916"/>
    <w:rsid w:val="00494396"/>
    <w:rsid w:val="00495ABE"/>
    <w:rsid w:val="00495F28"/>
    <w:rsid w:val="004962E2"/>
    <w:rsid w:val="0049701D"/>
    <w:rsid w:val="004A1704"/>
    <w:rsid w:val="004A4C29"/>
    <w:rsid w:val="004B03FA"/>
    <w:rsid w:val="004B0D23"/>
    <w:rsid w:val="004B14D2"/>
    <w:rsid w:val="004B22DD"/>
    <w:rsid w:val="004B322A"/>
    <w:rsid w:val="004B4310"/>
    <w:rsid w:val="004B4FA1"/>
    <w:rsid w:val="004B6125"/>
    <w:rsid w:val="004B7EC7"/>
    <w:rsid w:val="004C0594"/>
    <w:rsid w:val="004C2428"/>
    <w:rsid w:val="004C500C"/>
    <w:rsid w:val="004C543E"/>
    <w:rsid w:val="004C5F95"/>
    <w:rsid w:val="004D0A2B"/>
    <w:rsid w:val="004D33F2"/>
    <w:rsid w:val="004D4028"/>
    <w:rsid w:val="004D4620"/>
    <w:rsid w:val="004D49A6"/>
    <w:rsid w:val="004D4EE8"/>
    <w:rsid w:val="004E0995"/>
    <w:rsid w:val="004E1E3D"/>
    <w:rsid w:val="004E2495"/>
    <w:rsid w:val="004E4254"/>
    <w:rsid w:val="004E4D68"/>
    <w:rsid w:val="004E7B5B"/>
    <w:rsid w:val="004F01AB"/>
    <w:rsid w:val="004F1E7C"/>
    <w:rsid w:val="004F388D"/>
    <w:rsid w:val="004F3ADC"/>
    <w:rsid w:val="004F4025"/>
    <w:rsid w:val="004F42A2"/>
    <w:rsid w:val="004F5192"/>
    <w:rsid w:val="005002C9"/>
    <w:rsid w:val="00500326"/>
    <w:rsid w:val="005021D0"/>
    <w:rsid w:val="00502D7A"/>
    <w:rsid w:val="00504229"/>
    <w:rsid w:val="00505424"/>
    <w:rsid w:val="00505633"/>
    <w:rsid w:val="00507322"/>
    <w:rsid w:val="00512D65"/>
    <w:rsid w:val="005148FE"/>
    <w:rsid w:val="0051533D"/>
    <w:rsid w:val="00516736"/>
    <w:rsid w:val="00517DC2"/>
    <w:rsid w:val="005200CE"/>
    <w:rsid w:val="0052182E"/>
    <w:rsid w:val="00521D78"/>
    <w:rsid w:val="00522879"/>
    <w:rsid w:val="00524857"/>
    <w:rsid w:val="00525260"/>
    <w:rsid w:val="005275C5"/>
    <w:rsid w:val="005275EC"/>
    <w:rsid w:val="00527F29"/>
    <w:rsid w:val="005307AF"/>
    <w:rsid w:val="00534543"/>
    <w:rsid w:val="00534F38"/>
    <w:rsid w:val="00537A21"/>
    <w:rsid w:val="00541F36"/>
    <w:rsid w:val="00543132"/>
    <w:rsid w:val="00543729"/>
    <w:rsid w:val="005450F4"/>
    <w:rsid w:val="005458D6"/>
    <w:rsid w:val="0054691C"/>
    <w:rsid w:val="00550561"/>
    <w:rsid w:val="00550999"/>
    <w:rsid w:val="005543A8"/>
    <w:rsid w:val="005607C6"/>
    <w:rsid w:val="00563A87"/>
    <w:rsid w:val="005640A5"/>
    <w:rsid w:val="00565A57"/>
    <w:rsid w:val="00566705"/>
    <w:rsid w:val="00566744"/>
    <w:rsid w:val="0056674E"/>
    <w:rsid w:val="0056757B"/>
    <w:rsid w:val="00570BBB"/>
    <w:rsid w:val="00572D4C"/>
    <w:rsid w:val="00573349"/>
    <w:rsid w:val="00573FB0"/>
    <w:rsid w:val="0057572E"/>
    <w:rsid w:val="00576F67"/>
    <w:rsid w:val="00581011"/>
    <w:rsid w:val="00584602"/>
    <w:rsid w:val="00586262"/>
    <w:rsid w:val="00586DF9"/>
    <w:rsid w:val="00587159"/>
    <w:rsid w:val="00587193"/>
    <w:rsid w:val="00592A83"/>
    <w:rsid w:val="005943C2"/>
    <w:rsid w:val="00595052"/>
    <w:rsid w:val="005955C9"/>
    <w:rsid w:val="00596663"/>
    <w:rsid w:val="005967B8"/>
    <w:rsid w:val="00597A17"/>
    <w:rsid w:val="005A1AF0"/>
    <w:rsid w:val="005A2F45"/>
    <w:rsid w:val="005A335E"/>
    <w:rsid w:val="005A3EBC"/>
    <w:rsid w:val="005A4C62"/>
    <w:rsid w:val="005A6A6A"/>
    <w:rsid w:val="005A7AD1"/>
    <w:rsid w:val="005B052F"/>
    <w:rsid w:val="005B0E7D"/>
    <w:rsid w:val="005B15AF"/>
    <w:rsid w:val="005B3D5D"/>
    <w:rsid w:val="005B4AB6"/>
    <w:rsid w:val="005C1575"/>
    <w:rsid w:val="005C1937"/>
    <w:rsid w:val="005C2CCA"/>
    <w:rsid w:val="005C4647"/>
    <w:rsid w:val="005C71D7"/>
    <w:rsid w:val="005D0447"/>
    <w:rsid w:val="005D4DEE"/>
    <w:rsid w:val="005D4F71"/>
    <w:rsid w:val="005E100A"/>
    <w:rsid w:val="005E2AE4"/>
    <w:rsid w:val="005E3146"/>
    <w:rsid w:val="005E39DC"/>
    <w:rsid w:val="005E507F"/>
    <w:rsid w:val="005E5441"/>
    <w:rsid w:val="005F16C3"/>
    <w:rsid w:val="005F2143"/>
    <w:rsid w:val="005F2CD6"/>
    <w:rsid w:val="005F2E36"/>
    <w:rsid w:val="005F32D9"/>
    <w:rsid w:val="005F4422"/>
    <w:rsid w:val="005F5F17"/>
    <w:rsid w:val="005F7637"/>
    <w:rsid w:val="00600AD9"/>
    <w:rsid w:val="00601B86"/>
    <w:rsid w:val="00603285"/>
    <w:rsid w:val="00604DD0"/>
    <w:rsid w:val="006061EC"/>
    <w:rsid w:val="006077F4"/>
    <w:rsid w:val="00611399"/>
    <w:rsid w:val="006116BF"/>
    <w:rsid w:val="00612E90"/>
    <w:rsid w:val="0061336A"/>
    <w:rsid w:val="00613D11"/>
    <w:rsid w:val="00615CB0"/>
    <w:rsid w:val="00615F12"/>
    <w:rsid w:val="00617F42"/>
    <w:rsid w:val="006213F4"/>
    <w:rsid w:val="006217A5"/>
    <w:rsid w:val="00624103"/>
    <w:rsid w:val="006256B5"/>
    <w:rsid w:val="00625B32"/>
    <w:rsid w:val="00626639"/>
    <w:rsid w:val="006275A5"/>
    <w:rsid w:val="006300BD"/>
    <w:rsid w:val="00630A8B"/>
    <w:rsid w:val="0063110B"/>
    <w:rsid w:val="00631800"/>
    <w:rsid w:val="00631CE9"/>
    <w:rsid w:val="00631DFC"/>
    <w:rsid w:val="006348E6"/>
    <w:rsid w:val="00635E45"/>
    <w:rsid w:val="006368D1"/>
    <w:rsid w:val="0064173A"/>
    <w:rsid w:val="00642FDB"/>
    <w:rsid w:val="00643C60"/>
    <w:rsid w:val="006454B9"/>
    <w:rsid w:val="00646BAB"/>
    <w:rsid w:val="006472F6"/>
    <w:rsid w:val="00653549"/>
    <w:rsid w:val="00660652"/>
    <w:rsid w:val="006618E8"/>
    <w:rsid w:val="00664409"/>
    <w:rsid w:val="00665F19"/>
    <w:rsid w:val="00665FDF"/>
    <w:rsid w:val="0066782A"/>
    <w:rsid w:val="00667897"/>
    <w:rsid w:val="00671C9D"/>
    <w:rsid w:val="006723CA"/>
    <w:rsid w:val="0067299D"/>
    <w:rsid w:val="0067491C"/>
    <w:rsid w:val="00681D37"/>
    <w:rsid w:val="00681FB8"/>
    <w:rsid w:val="0068557A"/>
    <w:rsid w:val="00692692"/>
    <w:rsid w:val="006971D6"/>
    <w:rsid w:val="00697C6F"/>
    <w:rsid w:val="006A2233"/>
    <w:rsid w:val="006A25FB"/>
    <w:rsid w:val="006A33B4"/>
    <w:rsid w:val="006A39C0"/>
    <w:rsid w:val="006A5284"/>
    <w:rsid w:val="006B2CD7"/>
    <w:rsid w:val="006B3F10"/>
    <w:rsid w:val="006B4057"/>
    <w:rsid w:val="006B4DA3"/>
    <w:rsid w:val="006C12EE"/>
    <w:rsid w:val="006C25CB"/>
    <w:rsid w:val="006C2678"/>
    <w:rsid w:val="006C2D23"/>
    <w:rsid w:val="006C372C"/>
    <w:rsid w:val="006C4303"/>
    <w:rsid w:val="006C621C"/>
    <w:rsid w:val="006C6833"/>
    <w:rsid w:val="006C6A6E"/>
    <w:rsid w:val="006C7649"/>
    <w:rsid w:val="006C7FD3"/>
    <w:rsid w:val="006D105A"/>
    <w:rsid w:val="006D15C6"/>
    <w:rsid w:val="006D172A"/>
    <w:rsid w:val="006D3152"/>
    <w:rsid w:val="006D4314"/>
    <w:rsid w:val="006D4561"/>
    <w:rsid w:val="006D6AC3"/>
    <w:rsid w:val="006D705F"/>
    <w:rsid w:val="006D7300"/>
    <w:rsid w:val="006E2586"/>
    <w:rsid w:val="006E2790"/>
    <w:rsid w:val="006E37B2"/>
    <w:rsid w:val="006E47A1"/>
    <w:rsid w:val="006E4E41"/>
    <w:rsid w:val="006E6403"/>
    <w:rsid w:val="006E6C26"/>
    <w:rsid w:val="006F2F94"/>
    <w:rsid w:val="006F3B5F"/>
    <w:rsid w:val="006F49E9"/>
    <w:rsid w:val="006F6A3F"/>
    <w:rsid w:val="00701272"/>
    <w:rsid w:val="00701842"/>
    <w:rsid w:val="00703A8B"/>
    <w:rsid w:val="007061DC"/>
    <w:rsid w:val="0070643B"/>
    <w:rsid w:val="007067AF"/>
    <w:rsid w:val="00707153"/>
    <w:rsid w:val="007074A0"/>
    <w:rsid w:val="007076B9"/>
    <w:rsid w:val="00707F21"/>
    <w:rsid w:val="00710E87"/>
    <w:rsid w:val="00712B91"/>
    <w:rsid w:val="00712DF8"/>
    <w:rsid w:val="00712F04"/>
    <w:rsid w:val="007138B6"/>
    <w:rsid w:val="00715578"/>
    <w:rsid w:val="00716280"/>
    <w:rsid w:val="00716BEE"/>
    <w:rsid w:val="0072270C"/>
    <w:rsid w:val="007257D5"/>
    <w:rsid w:val="00725893"/>
    <w:rsid w:val="00726A65"/>
    <w:rsid w:val="00727618"/>
    <w:rsid w:val="0073069C"/>
    <w:rsid w:val="007308C0"/>
    <w:rsid w:val="00732D73"/>
    <w:rsid w:val="0073499C"/>
    <w:rsid w:val="00735554"/>
    <w:rsid w:val="007371DE"/>
    <w:rsid w:val="00737E70"/>
    <w:rsid w:val="00737EF9"/>
    <w:rsid w:val="007409B4"/>
    <w:rsid w:val="00742620"/>
    <w:rsid w:val="0074369B"/>
    <w:rsid w:val="007438C4"/>
    <w:rsid w:val="00747668"/>
    <w:rsid w:val="00750C6A"/>
    <w:rsid w:val="00750F87"/>
    <w:rsid w:val="00751DE2"/>
    <w:rsid w:val="007527DD"/>
    <w:rsid w:val="007537BF"/>
    <w:rsid w:val="00754118"/>
    <w:rsid w:val="0075450B"/>
    <w:rsid w:val="00755BA5"/>
    <w:rsid w:val="00755FA6"/>
    <w:rsid w:val="00756143"/>
    <w:rsid w:val="007562AB"/>
    <w:rsid w:val="0075646A"/>
    <w:rsid w:val="0076047D"/>
    <w:rsid w:val="00761CFC"/>
    <w:rsid w:val="00761D40"/>
    <w:rsid w:val="00762B6A"/>
    <w:rsid w:val="007636EC"/>
    <w:rsid w:val="00763C38"/>
    <w:rsid w:val="00763FEA"/>
    <w:rsid w:val="00764071"/>
    <w:rsid w:val="00764712"/>
    <w:rsid w:val="007708D0"/>
    <w:rsid w:val="0077102C"/>
    <w:rsid w:val="00771397"/>
    <w:rsid w:val="00771586"/>
    <w:rsid w:val="007779EA"/>
    <w:rsid w:val="0078168B"/>
    <w:rsid w:val="00784858"/>
    <w:rsid w:val="00784E5F"/>
    <w:rsid w:val="00785249"/>
    <w:rsid w:val="00785353"/>
    <w:rsid w:val="00786A9E"/>
    <w:rsid w:val="007872B4"/>
    <w:rsid w:val="00787EE8"/>
    <w:rsid w:val="0079168A"/>
    <w:rsid w:val="0079546F"/>
    <w:rsid w:val="0079587A"/>
    <w:rsid w:val="007959F0"/>
    <w:rsid w:val="00797196"/>
    <w:rsid w:val="007975A0"/>
    <w:rsid w:val="00797D35"/>
    <w:rsid w:val="007A1D4C"/>
    <w:rsid w:val="007A1F2B"/>
    <w:rsid w:val="007A43AD"/>
    <w:rsid w:val="007A580A"/>
    <w:rsid w:val="007A5F85"/>
    <w:rsid w:val="007A6F32"/>
    <w:rsid w:val="007B2D74"/>
    <w:rsid w:val="007C02F0"/>
    <w:rsid w:val="007C0725"/>
    <w:rsid w:val="007C152F"/>
    <w:rsid w:val="007C28D0"/>
    <w:rsid w:val="007C2AFA"/>
    <w:rsid w:val="007C2BD0"/>
    <w:rsid w:val="007C6C9C"/>
    <w:rsid w:val="007C76BD"/>
    <w:rsid w:val="007D082B"/>
    <w:rsid w:val="007D1562"/>
    <w:rsid w:val="007D2698"/>
    <w:rsid w:val="007D40DB"/>
    <w:rsid w:val="007D5225"/>
    <w:rsid w:val="007D6BE4"/>
    <w:rsid w:val="007D6F50"/>
    <w:rsid w:val="007D75F8"/>
    <w:rsid w:val="007D7C38"/>
    <w:rsid w:val="007E24F7"/>
    <w:rsid w:val="007E49FC"/>
    <w:rsid w:val="007E7467"/>
    <w:rsid w:val="007F0910"/>
    <w:rsid w:val="007F0BAF"/>
    <w:rsid w:val="007F142F"/>
    <w:rsid w:val="007F3CBD"/>
    <w:rsid w:val="007F48AD"/>
    <w:rsid w:val="007F4CA7"/>
    <w:rsid w:val="007F6DF0"/>
    <w:rsid w:val="007F7BA7"/>
    <w:rsid w:val="00801B19"/>
    <w:rsid w:val="008042D4"/>
    <w:rsid w:val="00804B0A"/>
    <w:rsid w:val="008059B1"/>
    <w:rsid w:val="0080753A"/>
    <w:rsid w:val="00807762"/>
    <w:rsid w:val="00807E28"/>
    <w:rsid w:val="00810021"/>
    <w:rsid w:val="00810561"/>
    <w:rsid w:val="008123CA"/>
    <w:rsid w:val="00813F75"/>
    <w:rsid w:val="008141A3"/>
    <w:rsid w:val="00821F47"/>
    <w:rsid w:val="008220BC"/>
    <w:rsid w:val="00824077"/>
    <w:rsid w:val="00825F61"/>
    <w:rsid w:val="00826D3C"/>
    <w:rsid w:val="00830C4B"/>
    <w:rsid w:val="0083138D"/>
    <w:rsid w:val="00831463"/>
    <w:rsid w:val="00831629"/>
    <w:rsid w:val="008322F2"/>
    <w:rsid w:val="008345BC"/>
    <w:rsid w:val="00840F5C"/>
    <w:rsid w:val="0084166F"/>
    <w:rsid w:val="00843D9A"/>
    <w:rsid w:val="008458FA"/>
    <w:rsid w:val="0084620C"/>
    <w:rsid w:val="00850BB7"/>
    <w:rsid w:val="00852FE3"/>
    <w:rsid w:val="00853626"/>
    <w:rsid w:val="00862159"/>
    <w:rsid w:val="008634BB"/>
    <w:rsid w:val="008642C9"/>
    <w:rsid w:val="00865864"/>
    <w:rsid w:val="00865E36"/>
    <w:rsid w:val="00866810"/>
    <w:rsid w:val="00867ED0"/>
    <w:rsid w:val="00873934"/>
    <w:rsid w:val="00874FB6"/>
    <w:rsid w:val="0087537B"/>
    <w:rsid w:val="00875466"/>
    <w:rsid w:val="00876C01"/>
    <w:rsid w:val="008772A5"/>
    <w:rsid w:val="0088517B"/>
    <w:rsid w:val="008866A9"/>
    <w:rsid w:val="00892847"/>
    <w:rsid w:val="00894683"/>
    <w:rsid w:val="008A1D79"/>
    <w:rsid w:val="008A2D80"/>
    <w:rsid w:val="008A3A4D"/>
    <w:rsid w:val="008A5A56"/>
    <w:rsid w:val="008A5EE0"/>
    <w:rsid w:val="008A6960"/>
    <w:rsid w:val="008A6F41"/>
    <w:rsid w:val="008A744F"/>
    <w:rsid w:val="008A76EF"/>
    <w:rsid w:val="008A7840"/>
    <w:rsid w:val="008A7B5D"/>
    <w:rsid w:val="008B00F5"/>
    <w:rsid w:val="008B156B"/>
    <w:rsid w:val="008B214C"/>
    <w:rsid w:val="008B2190"/>
    <w:rsid w:val="008B2339"/>
    <w:rsid w:val="008B6299"/>
    <w:rsid w:val="008B6FDA"/>
    <w:rsid w:val="008B783E"/>
    <w:rsid w:val="008C211C"/>
    <w:rsid w:val="008C6FA9"/>
    <w:rsid w:val="008D1191"/>
    <w:rsid w:val="008D28AB"/>
    <w:rsid w:val="008D3341"/>
    <w:rsid w:val="008D41E5"/>
    <w:rsid w:val="008E0BED"/>
    <w:rsid w:val="008E2F7E"/>
    <w:rsid w:val="008E49C4"/>
    <w:rsid w:val="008E49F2"/>
    <w:rsid w:val="008E52E2"/>
    <w:rsid w:val="008E5A86"/>
    <w:rsid w:val="008E5AC7"/>
    <w:rsid w:val="008E651F"/>
    <w:rsid w:val="008E7424"/>
    <w:rsid w:val="008F1794"/>
    <w:rsid w:val="008F48CC"/>
    <w:rsid w:val="008F4F6E"/>
    <w:rsid w:val="008F6C60"/>
    <w:rsid w:val="008F7067"/>
    <w:rsid w:val="00900183"/>
    <w:rsid w:val="00902A59"/>
    <w:rsid w:val="009057AB"/>
    <w:rsid w:val="00905EE7"/>
    <w:rsid w:val="00907587"/>
    <w:rsid w:val="00910B08"/>
    <w:rsid w:val="00910CC8"/>
    <w:rsid w:val="00911171"/>
    <w:rsid w:val="00911C1F"/>
    <w:rsid w:val="009130F2"/>
    <w:rsid w:val="00913CAF"/>
    <w:rsid w:val="00914CA2"/>
    <w:rsid w:val="009152A1"/>
    <w:rsid w:val="00915496"/>
    <w:rsid w:val="00915D78"/>
    <w:rsid w:val="00916C2B"/>
    <w:rsid w:val="009216C5"/>
    <w:rsid w:val="00921C8A"/>
    <w:rsid w:val="009248AE"/>
    <w:rsid w:val="0092724D"/>
    <w:rsid w:val="0092758D"/>
    <w:rsid w:val="009362FD"/>
    <w:rsid w:val="009367FF"/>
    <w:rsid w:val="009438E7"/>
    <w:rsid w:val="00945E78"/>
    <w:rsid w:val="009479EE"/>
    <w:rsid w:val="00950744"/>
    <w:rsid w:val="00953053"/>
    <w:rsid w:val="009559F1"/>
    <w:rsid w:val="009633F6"/>
    <w:rsid w:val="009647D0"/>
    <w:rsid w:val="00966D15"/>
    <w:rsid w:val="009671B6"/>
    <w:rsid w:val="009678AC"/>
    <w:rsid w:val="00973434"/>
    <w:rsid w:val="009735E9"/>
    <w:rsid w:val="0097518B"/>
    <w:rsid w:val="00975470"/>
    <w:rsid w:val="0097575B"/>
    <w:rsid w:val="009762EF"/>
    <w:rsid w:val="00976F5B"/>
    <w:rsid w:val="00977072"/>
    <w:rsid w:val="00977757"/>
    <w:rsid w:val="00977FD2"/>
    <w:rsid w:val="00980125"/>
    <w:rsid w:val="0098551F"/>
    <w:rsid w:val="00987200"/>
    <w:rsid w:val="00990366"/>
    <w:rsid w:val="009912C8"/>
    <w:rsid w:val="00991DB2"/>
    <w:rsid w:val="00992BE9"/>
    <w:rsid w:val="00995181"/>
    <w:rsid w:val="00995B17"/>
    <w:rsid w:val="00995FFC"/>
    <w:rsid w:val="00996282"/>
    <w:rsid w:val="00997641"/>
    <w:rsid w:val="009A0584"/>
    <w:rsid w:val="009A06AA"/>
    <w:rsid w:val="009A0BFE"/>
    <w:rsid w:val="009A0C70"/>
    <w:rsid w:val="009B0935"/>
    <w:rsid w:val="009B0A40"/>
    <w:rsid w:val="009B1BE3"/>
    <w:rsid w:val="009B2ED9"/>
    <w:rsid w:val="009B35FA"/>
    <w:rsid w:val="009B3AE6"/>
    <w:rsid w:val="009B637C"/>
    <w:rsid w:val="009B645E"/>
    <w:rsid w:val="009B67BD"/>
    <w:rsid w:val="009B6D12"/>
    <w:rsid w:val="009B73AE"/>
    <w:rsid w:val="009B7606"/>
    <w:rsid w:val="009C26AB"/>
    <w:rsid w:val="009C30D1"/>
    <w:rsid w:val="009C34D5"/>
    <w:rsid w:val="009C414B"/>
    <w:rsid w:val="009C4FAF"/>
    <w:rsid w:val="009C5926"/>
    <w:rsid w:val="009C60B3"/>
    <w:rsid w:val="009D0E67"/>
    <w:rsid w:val="009D155B"/>
    <w:rsid w:val="009D209D"/>
    <w:rsid w:val="009D3263"/>
    <w:rsid w:val="009D389C"/>
    <w:rsid w:val="009D3AD4"/>
    <w:rsid w:val="009D450F"/>
    <w:rsid w:val="009D6386"/>
    <w:rsid w:val="009E4CDB"/>
    <w:rsid w:val="009F1C28"/>
    <w:rsid w:val="009F3D5D"/>
    <w:rsid w:val="009F4FD5"/>
    <w:rsid w:val="009F5D4A"/>
    <w:rsid w:val="009F5E82"/>
    <w:rsid w:val="00A02A35"/>
    <w:rsid w:val="00A02F86"/>
    <w:rsid w:val="00A036D3"/>
    <w:rsid w:val="00A04603"/>
    <w:rsid w:val="00A05CB2"/>
    <w:rsid w:val="00A0603A"/>
    <w:rsid w:val="00A07096"/>
    <w:rsid w:val="00A077EE"/>
    <w:rsid w:val="00A114A0"/>
    <w:rsid w:val="00A12256"/>
    <w:rsid w:val="00A1299A"/>
    <w:rsid w:val="00A139FF"/>
    <w:rsid w:val="00A1410D"/>
    <w:rsid w:val="00A1637B"/>
    <w:rsid w:val="00A17467"/>
    <w:rsid w:val="00A17EF2"/>
    <w:rsid w:val="00A2063F"/>
    <w:rsid w:val="00A21808"/>
    <w:rsid w:val="00A24957"/>
    <w:rsid w:val="00A2495C"/>
    <w:rsid w:val="00A2628C"/>
    <w:rsid w:val="00A27592"/>
    <w:rsid w:val="00A27CA3"/>
    <w:rsid w:val="00A33700"/>
    <w:rsid w:val="00A33792"/>
    <w:rsid w:val="00A35A34"/>
    <w:rsid w:val="00A35DA7"/>
    <w:rsid w:val="00A411F7"/>
    <w:rsid w:val="00A423D0"/>
    <w:rsid w:val="00A43DB7"/>
    <w:rsid w:val="00A51347"/>
    <w:rsid w:val="00A56427"/>
    <w:rsid w:val="00A56ADF"/>
    <w:rsid w:val="00A576D5"/>
    <w:rsid w:val="00A6031F"/>
    <w:rsid w:val="00A62B17"/>
    <w:rsid w:val="00A63DAE"/>
    <w:rsid w:val="00A66357"/>
    <w:rsid w:val="00A66E4A"/>
    <w:rsid w:val="00A672AB"/>
    <w:rsid w:val="00A67618"/>
    <w:rsid w:val="00A70CE2"/>
    <w:rsid w:val="00A714AC"/>
    <w:rsid w:val="00A719DE"/>
    <w:rsid w:val="00A723A4"/>
    <w:rsid w:val="00A7446A"/>
    <w:rsid w:val="00A75078"/>
    <w:rsid w:val="00A753A3"/>
    <w:rsid w:val="00A815A8"/>
    <w:rsid w:val="00A823D5"/>
    <w:rsid w:val="00A83D1A"/>
    <w:rsid w:val="00A86E0C"/>
    <w:rsid w:val="00A92C8A"/>
    <w:rsid w:val="00A9408D"/>
    <w:rsid w:val="00A95BB1"/>
    <w:rsid w:val="00A97AB3"/>
    <w:rsid w:val="00AA2128"/>
    <w:rsid w:val="00AA269A"/>
    <w:rsid w:val="00AA3576"/>
    <w:rsid w:val="00AA7DC2"/>
    <w:rsid w:val="00AB0593"/>
    <w:rsid w:val="00AB05C6"/>
    <w:rsid w:val="00AB273F"/>
    <w:rsid w:val="00AB7370"/>
    <w:rsid w:val="00AC0118"/>
    <w:rsid w:val="00AC0779"/>
    <w:rsid w:val="00AC098B"/>
    <w:rsid w:val="00AC1ADD"/>
    <w:rsid w:val="00AC25A9"/>
    <w:rsid w:val="00AC361B"/>
    <w:rsid w:val="00AC4BD7"/>
    <w:rsid w:val="00AC706F"/>
    <w:rsid w:val="00AD036F"/>
    <w:rsid w:val="00AD0B85"/>
    <w:rsid w:val="00AD1592"/>
    <w:rsid w:val="00AD18EE"/>
    <w:rsid w:val="00AD2E7F"/>
    <w:rsid w:val="00AD5734"/>
    <w:rsid w:val="00AD5795"/>
    <w:rsid w:val="00AD5AAB"/>
    <w:rsid w:val="00AD5E1D"/>
    <w:rsid w:val="00AE1F9D"/>
    <w:rsid w:val="00AE2A30"/>
    <w:rsid w:val="00AE3A57"/>
    <w:rsid w:val="00AE753B"/>
    <w:rsid w:val="00AF24EB"/>
    <w:rsid w:val="00AF7EBA"/>
    <w:rsid w:val="00B006F8"/>
    <w:rsid w:val="00B00E7D"/>
    <w:rsid w:val="00B01177"/>
    <w:rsid w:val="00B03E21"/>
    <w:rsid w:val="00B0564D"/>
    <w:rsid w:val="00B0654F"/>
    <w:rsid w:val="00B1034A"/>
    <w:rsid w:val="00B1170A"/>
    <w:rsid w:val="00B14ADD"/>
    <w:rsid w:val="00B16F1D"/>
    <w:rsid w:val="00B17847"/>
    <w:rsid w:val="00B204E3"/>
    <w:rsid w:val="00B224A5"/>
    <w:rsid w:val="00B22CC0"/>
    <w:rsid w:val="00B2310C"/>
    <w:rsid w:val="00B232C2"/>
    <w:rsid w:val="00B237D8"/>
    <w:rsid w:val="00B252B0"/>
    <w:rsid w:val="00B25B07"/>
    <w:rsid w:val="00B31A85"/>
    <w:rsid w:val="00B3201A"/>
    <w:rsid w:val="00B32377"/>
    <w:rsid w:val="00B323C0"/>
    <w:rsid w:val="00B329E9"/>
    <w:rsid w:val="00B344C6"/>
    <w:rsid w:val="00B346F9"/>
    <w:rsid w:val="00B35E2B"/>
    <w:rsid w:val="00B36B74"/>
    <w:rsid w:val="00B36FDD"/>
    <w:rsid w:val="00B41461"/>
    <w:rsid w:val="00B46F3A"/>
    <w:rsid w:val="00B50931"/>
    <w:rsid w:val="00B50CB7"/>
    <w:rsid w:val="00B511F7"/>
    <w:rsid w:val="00B519DA"/>
    <w:rsid w:val="00B55394"/>
    <w:rsid w:val="00B56606"/>
    <w:rsid w:val="00B60DC4"/>
    <w:rsid w:val="00B611B5"/>
    <w:rsid w:val="00B63E9D"/>
    <w:rsid w:val="00B640D5"/>
    <w:rsid w:val="00B65958"/>
    <w:rsid w:val="00B70207"/>
    <w:rsid w:val="00B708A0"/>
    <w:rsid w:val="00B7253E"/>
    <w:rsid w:val="00B73512"/>
    <w:rsid w:val="00B74BF9"/>
    <w:rsid w:val="00B74F1F"/>
    <w:rsid w:val="00B76B3C"/>
    <w:rsid w:val="00B76CC0"/>
    <w:rsid w:val="00B778A2"/>
    <w:rsid w:val="00B80F1C"/>
    <w:rsid w:val="00B818DA"/>
    <w:rsid w:val="00B84263"/>
    <w:rsid w:val="00B84553"/>
    <w:rsid w:val="00B855A1"/>
    <w:rsid w:val="00B865D2"/>
    <w:rsid w:val="00B87DD7"/>
    <w:rsid w:val="00B87FD6"/>
    <w:rsid w:val="00B90D48"/>
    <w:rsid w:val="00B9106E"/>
    <w:rsid w:val="00B94080"/>
    <w:rsid w:val="00B94946"/>
    <w:rsid w:val="00B95FA0"/>
    <w:rsid w:val="00B9666B"/>
    <w:rsid w:val="00B96690"/>
    <w:rsid w:val="00BA0197"/>
    <w:rsid w:val="00BA3421"/>
    <w:rsid w:val="00BA3EA8"/>
    <w:rsid w:val="00BB096B"/>
    <w:rsid w:val="00BB0E52"/>
    <w:rsid w:val="00BB191A"/>
    <w:rsid w:val="00BB37C5"/>
    <w:rsid w:val="00BB404D"/>
    <w:rsid w:val="00BB47BA"/>
    <w:rsid w:val="00BB4C69"/>
    <w:rsid w:val="00BB5DFB"/>
    <w:rsid w:val="00BC11D6"/>
    <w:rsid w:val="00BC1AAE"/>
    <w:rsid w:val="00BC2DE4"/>
    <w:rsid w:val="00BC4B5B"/>
    <w:rsid w:val="00BC4B9D"/>
    <w:rsid w:val="00BC4F07"/>
    <w:rsid w:val="00BC576E"/>
    <w:rsid w:val="00BD0C96"/>
    <w:rsid w:val="00BD17AC"/>
    <w:rsid w:val="00BD235F"/>
    <w:rsid w:val="00BD2A87"/>
    <w:rsid w:val="00BD2DE5"/>
    <w:rsid w:val="00BD3F27"/>
    <w:rsid w:val="00BD6C78"/>
    <w:rsid w:val="00BE1978"/>
    <w:rsid w:val="00BE2A68"/>
    <w:rsid w:val="00BE2DBE"/>
    <w:rsid w:val="00BE37E6"/>
    <w:rsid w:val="00BE3E68"/>
    <w:rsid w:val="00BE6252"/>
    <w:rsid w:val="00BE68F8"/>
    <w:rsid w:val="00BE7434"/>
    <w:rsid w:val="00BE794E"/>
    <w:rsid w:val="00BF0B2B"/>
    <w:rsid w:val="00BF13C0"/>
    <w:rsid w:val="00BF1C20"/>
    <w:rsid w:val="00BF21CD"/>
    <w:rsid w:val="00BF3615"/>
    <w:rsid w:val="00BF3838"/>
    <w:rsid w:val="00BF405C"/>
    <w:rsid w:val="00BF408B"/>
    <w:rsid w:val="00BF446A"/>
    <w:rsid w:val="00BF4DEE"/>
    <w:rsid w:val="00BF5666"/>
    <w:rsid w:val="00BF70E5"/>
    <w:rsid w:val="00C00102"/>
    <w:rsid w:val="00C02B0E"/>
    <w:rsid w:val="00C040F4"/>
    <w:rsid w:val="00C101BC"/>
    <w:rsid w:val="00C1076B"/>
    <w:rsid w:val="00C13895"/>
    <w:rsid w:val="00C14926"/>
    <w:rsid w:val="00C156E7"/>
    <w:rsid w:val="00C157AC"/>
    <w:rsid w:val="00C16BCA"/>
    <w:rsid w:val="00C16E8C"/>
    <w:rsid w:val="00C17B61"/>
    <w:rsid w:val="00C210C8"/>
    <w:rsid w:val="00C2187B"/>
    <w:rsid w:val="00C225E0"/>
    <w:rsid w:val="00C24294"/>
    <w:rsid w:val="00C24A11"/>
    <w:rsid w:val="00C24E01"/>
    <w:rsid w:val="00C25823"/>
    <w:rsid w:val="00C3053E"/>
    <w:rsid w:val="00C3178B"/>
    <w:rsid w:val="00C3195B"/>
    <w:rsid w:val="00C3277E"/>
    <w:rsid w:val="00C34DD0"/>
    <w:rsid w:val="00C3522A"/>
    <w:rsid w:val="00C37693"/>
    <w:rsid w:val="00C37C6A"/>
    <w:rsid w:val="00C429AF"/>
    <w:rsid w:val="00C45AC3"/>
    <w:rsid w:val="00C46614"/>
    <w:rsid w:val="00C47CF4"/>
    <w:rsid w:val="00C47D91"/>
    <w:rsid w:val="00C5149F"/>
    <w:rsid w:val="00C52579"/>
    <w:rsid w:val="00C55D3A"/>
    <w:rsid w:val="00C55F62"/>
    <w:rsid w:val="00C60C08"/>
    <w:rsid w:val="00C611FC"/>
    <w:rsid w:val="00C62400"/>
    <w:rsid w:val="00C64BC1"/>
    <w:rsid w:val="00C65979"/>
    <w:rsid w:val="00C65F9B"/>
    <w:rsid w:val="00C667C1"/>
    <w:rsid w:val="00C70197"/>
    <w:rsid w:val="00C74167"/>
    <w:rsid w:val="00C7437C"/>
    <w:rsid w:val="00C7577E"/>
    <w:rsid w:val="00C76A94"/>
    <w:rsid w:val="00C80351"/>
    <w:rsid w:val="00C81C90"/>
    <w:rsid w:val="00C82192"/>
    <w:rsid w:val="00C82769"/>
    <w:rsid w:val="00C84C06"/>
    <w:rsid w:val="00C8515C"/>
    <w:rsid w:val="00C87344"/>
    <w:rsid w:val="00C90AFF"/>
    <w:rsid w:val="00C9166A"/>
    <w:rsid w:val="00C92F50"/>
    <w:rsid w:val="00C930D3"/>
    <w:rsid w:val="00C9538E"/>
    <w:rsid w:val="00C965E9"/>
    <w:rsid w:val="00C9782E"/>
    <w:rsid w:val="00C978E8"/>
    <w:rsid w:val="00CA003B"/>
    <w:rsid w:val="00CA0893"/>
    <w:rsid w:val="00CA4168"/>
    <w:rsid w:val="00CA4E91"/>
    <w:rsid w:val="00CA5116"/>
    <w:rsid w:val="00CA79C1"/>
    <w:rsid w:val="00CB062A"/>
    <w:rsid w:val="00CB1F2F"/>
    <w:rsid w:val="00CB2F57"/>
    <w:rsid w:val="00CB5860"/>
    <w:rsid w:val="00CB6F04"/>
    <w:rsid w:val="00CB784A"/>
    <w:rsid w:val="00CC0DD8"/>
    <w:rsid w:val="00CC3B0A"/>
    <w:rsid w:val="00CC3E68"/>
    <w:rsid w:val="00CC433E"/>
    <w:rsid w:val="00CC5411"/>
    <w:rsid w:val="00CD260E"/>
    <w:rsid w:val="00CD6BBD"/>
    <w:rsid w:val="00CD7F8A"/>
    <w:rsid w:val="00CE15C9"/>
    <w:rsid w:val="00CE1BAC"/>
    <w:rsid w:val="00CE1E02"/>
    <w:rsid w:val="00CE242E"/>
    <w:rsid w:val="00CE3453"/>
    <w:rsid w:val="00CE46B3"/>
    <w:rsid w:val="00CE4D46"/>
    <w:rsid w:val="00CE6000"/>
    <w:rsid w:val="00CE683F"/>
    <w:rsid w:val="00CE6C88"/>
    <w:rsid w:val="00CF16C4"/>
    <w:rsid w:val="00CF2413"/>
    <w:rsid w:val="00CF28B8"/>
    <w:rsid w:val="00CF4248"/>
    <w:rsid w:val="00CF4384"/>
    <w:rsid w:val="00CF4D96"/>
    <w:rsid w:val="00CF78A0"/>
    <w:rsid w:val="00D004B2"/>
    <w:rsid w:val="00D00A4E"/>
    <w:rsid w:val="00D03F75"/>
    <w:rsid w:val="00D0439B"/>
    <w:rsid w:val="00D05B66"/>
    <w:rsid w:val="00D07162"/>
    <w:rsid w:val="00D07544"/>
    <w:rsid w:val="00D12F62"/>
    <w:rsid w:val="00D13E82"/>
    <w:rsid w:val="00D142C7"/>
    <w:rsid w:val="00D14408"/>
    <w:rsid w:val="00D1450B"/>
    <w:rsid w:val="00D14B4B"/>
    <w:rsid w:val="00D14C10"/>
    <w:rsid w:val="00D1554E"/>
    <w:rsid w:val="00D16255"/>
    <w:rsid w:val="00D163F2"/>
    <w:rsid w:val="00D166C9"/>
    <w:rsid w:val="00D16795"/>
    <w:rsid w:val="00D16E92"/>
    <w:rsid w:val="00D17534"/>
    <w:rsid w:val="00D20065"/>
    <w:rsid w:val="00D200BE"/>
    <w:rsid w:val="00D208C5"/>
    <w:rsid w:val="00D21146"/>
    <w:rsid w:val="00D21342"/>
    <w:rsid w:val="00D21CE0"/>
    <w:rsid w:val="00D22029"/>
    <w:rsid w:val="00D224F6"/>
    <w:rsid w:val="00D22843"/>
    <w:rsid w:val="00D23A96"/>
    <w:rsid w:val="00D24FE4"/>
    <w:rsid w:val="00D25497"/>
    <w:rsid w:val="00D34109"/>
    <w:rsid w:val="00D34725"/>
    <w:rsid w:val="00D34A08"/>
    <w:rsid w:val="00D360BE"/>
    <w:rsid w:val="00D36667"/>
    <w:rsid w:val="00D36C19"/>
    <w:rsid w:val="00D3703B"/>
    <w:rsid w:val="00D404E1"/>
    <w:rsid w:val="00D416C1"/>
    <w:rsid w:val="00D42318"/>
    <w:rsid w:val="00D425B6"/>
    <w:rsid w:val="00D44BAB"/>
    <w:rsid w:val="00D44F5B"/>
    <w:rsid w:val="00D454C4"/>
    <w:rsid w:val="00D47525"/>
    <w:rsid w:val="00D47E50"/>
    <w:rsid w:val="00D505C4"/>
    <w:rsid w:val="00D52A5D"/>
    <w:rsid w:val="00D54C61"/>
    <w:rsid w:val="00D55C33"/>
    <w:rsid w:val="00D5738B"/>
    <w:rsid w:val="00D57E94"/>
    <w:rsid w:val="00D62538"/>
    <w:rsid w:val="00D62699"/>
    <w:rsid w:val="00D6373A"/>
    <w:rsid w:val="00D642FE"/>
    <w:rsid w:val="00D64E22"/>
    <w:rsid w:val="00D652EA"/>
    <w:rsid w:val="00D6611B"/>
    <w:rsid w:val="00D7101D"/>
    <w:rsid w:val="00D71D25"/>
    <w:rsid w:val="00D723C5"/>
    <w:rsid w:val="00D74783"/>
    <w:rsid w:val="00D77153"/>
    <w:rsid w:val="00D80460"/>
    <w:rsid w:val="00D822BC"/>
    <w:rsid w:val="00D831C5"/>
    <w:rsid w:val="00D846A6"/>
    <w:rsid w:val="00D84AA3"/>
    <w:rsid w:val="00D84DE5"/>
    <w:rsid w:val="00D85EE3"/>
    <w:rsid w:val="00D87395"/>
    <w:rsid w:val="00D915BF"/>
    <w:rsid w:val="00D93002"/>
    <w:rsid w:val="00D94A76"/>
    <w:rsid w:val="00D95C41"/>
    <w:rsid w:val="00DA3DC1"/>
    <w:rsid w:val="00DA5BC0"/>
    <w:rsid w:val="00DA7834"/>
    <w:rsid w:val="00DB002F"/>
    <w:rsid w:val="00DB1CD7"/>
    <w:rsid w:val="00DB1EF5"/>
    <w:rsid w:val="00DB258D"/>
    <w:rsid w:val="00DB28D6"/>
    <w:rsid w:val="00DB2948"/>
    <w:rsid w:val="00DB294F"/>
    <w:rsid w:val="00DB2A55"/>
    <w:rsid w:val="00DB2DE3"/>
    <w:rsid w:val="00DB4A75"/>
    <w:rsid w:val="00DB6C3B"/>
    <w:rsid w:val="00DC11A2"/>
    <w:rsid w:val="00DC16DC"/>
    <w:rsid w:val="00DC1CC4"/>
    <w:rsid w:val="00DC20EB"/>
    <w:rsid w:val="00DC2FAD"/>
    <w:rsid w:val="00DC550B"/>
    <w:rsid w:val="00DC6745"/>
    <w:rsid w:val="00DC7A99"/>
    <w:rsid w:val="00DD0BC6"/>
    <w:rsid w:val="00DD0EBB"/>
    <w:rsid w:val="00DD5414"/>
    <w:rsid w:val="00DD6840"/>
    <w:rsid w:val="00DD6848"/>
    <w:rsid w:val="00DE0D88"/>
    <w:rsid w:val="00DE1684"/>
    <w:rsid w:val="00DE3F43"/>
    <w:rsid w:val="00DE426E"/>
    <w:rsid w:val="00DE5B05"/>
    <w:rsid w:val="00DE5C6B"/>
    <w:rsid w:val="00DE67EE"/>
    <w:rsid w:val="00DE7371"/>
    <w:rsid w:val="00DF000F"/>
    <w:rsid w:val="00DF1D20"/>
    <w:rsid w:val="00DF26C7"/>
    <w:rsid w:val="00DF2FF7"/>
    <w:rsid w:val="00DF3A62"/>
    <w:rsid w:val="00DF3C02"/>
    <w:rsid w:val="00DF40A6"/>
    <w:rsid w:val="00DF53F7"/>
    <w:rsid w:val="00E00DAE"/>
    <w:rsid w:val="00E0112E"/>
    <w:rsid w:val="00E026B1"/>
    <w:rsid w:val="00E02A25"/>
    <w:rsid w:val="00E03436"/>
    <w:rsid w:val="00E03DC4"/>
    <w:rsid w:val="00E04CB4"/>
    <w:rsid w:val="00E05F01"/>
    <w:rsid w:val="00E068DA"/>
    <w:rsid w:val="00E07FA1"/>
    <w:rsid w:val="00E1042E"/>
    <w:rsid w:val="00E108F8"/>
    <w:rsid w:val="00E1259A"/>
    <w:rsid w:val="00E1425E"/>
    <w:rsid w:val="00E15142"/>
    <w:rsid w:val="00E15A13"/>
    <w:rsid w:val="00E16DB6"/>
    <w:rsid w:val="00E171B3"/>
    <w:rsid w:val="00E215C3"/>
    <w:rsid w:val="00E22A33"/>
    <w:rsid w:val="00E2313C"/>
    <w:rsid w:val="00E25BFD"/>
    <w:rsid w:val="00E25D78"/>
    <w:rsid w:val="00E25F10"/>
    <w:rsid w:val="00E27C5E"/>
    <w:rsid w:val="00E30046"/>
    <w:rsid w:val="00E32872"/>
    <w:rsid w:val="00E32BFA"/>
    <w:rsid w:val="00E335C9"/>
    <w:rsid w:val="00E33CC5"/>
    <w:rsid w:val="00E34BC2"/>
    <w:rsid w:val="00E350BA"/>
    <w:rsid w:val="00E36326"/>
    <w:rsid w:val="00E364BB"/>
    <w:rsid w:val="00E3774D"/>
    <w:rsid w:val="00E40091"/>
    <w:rsid w:val="00E40E91"/>
    <w:rsid w:val="00E41347"/>
    <w:rsid w:val="00E41B01"/>
    <w:rsid w:val="00E41E41"/>
    <w:rsid w:val="00E423F0"/>
    <w:rsid w:val="00E449FA"/>
    <w:rsid w:val="00E44FC6"/>
    <w:rsid w:val="00E45424"/>
    <w:rsid w:val="00E45FD6"/>
    <w:rsid w:val="00E4646D"/>
    <w:rsid w:val="00E511C1"/>
    <w:rsid w:val="00E520F1"/>
    <w:rsid w:val="00E534CE"/>
    <w:rsid w:val="00E551BA"/>
    <w:rsid w:val="00E5558F"/>
    <w:rsid w:val="00E57D54"/>
    <w:rsid w:val="00E602D9"/>
    <w:rsid w:val="00E63C9F"/>
    <w:rsid w:val="00E63D6C"/>
    <w:rsid w:val="00E656FF"/>
    <w:rsid w:val="00E6619E"/>
    <w:rsid w:val="00E724BC"/>
    <w:rsid w:val="00E72C8D"/>
    <w:rsid w:val="00E73211"/>
    <w:rsid w:val="00E73F26"/>
    <w:rsid w:val="00E751D4"/>
    <w:rsid w:val="00E757D2"/>
    <w:rsid w:val="00E765AB"/>
    <w:rsid w:val="00E768F1"/>
    <w:rsid w:val="00E77828"/>
    <w:rsid w:val="00E8252C"/>
    <w:rsid w:val="00E83941"/>
    <w:rsid w:val="00E8591C"/>
    <w:rsid w:val="00E87ED8"/>
    <w:rsid w:val="00E90E63"/>
    <w:rsid w:val="00E94D34"/>
    <w:rsid w:val="00E95443"/>
    <w:rsid w:val="00E9739D"/>
    <w:rsid w:val="00EA0ABB"/>
    <w:rsid w:val="00EA1FBA"/>
    <w:rsid w:val="00EA418C"/>
    <w:rsid w:val="00EA59A1"/>
    <w:rsid w:val="00EB00EB"/>
    <w:rsid w:val="00EB0234"/>
    <w:rsid w:val="00EB1332"/>
    <w:rsid w:val="00EB4314"/>
    <w:rsid w:val="00EB4908"/>
    <w:rsid w:val="00EB4912"/>
    <w:rsid w:val="00EB5057"/>
    <w:rsid w:val="00EB7157"/>
    <w:rsid w:val="00EC2D62"/>
    <w:rsid w:val="00EC38C3"/>
    <w:rsid w:val="00EC3E7A"/>
    <w:rsid w:val="00EC5D38"/>
    <w:rsid w:val="00EC6458"/>
    <w:rsid w:val="00EC7BD8"/>
    <w:rsid w:val="00EC7D0E"/>
    <w:rsid w:val="00EC7ED9"/>
    <w:rsid w:val="00ED1292"/>
    <w:rsid w:val="00ED2155"/>
    <w:rsid w:val="00ED2448"/>
    <w:rsid w:val="00ED5EF6"/>
    <w:rsid w:val="00EE0AD1"/>
    <w:rsid w:val="00EE3C46"/>
    <w:rsid w:val="00EE3D77"/>
    <w:rsid w:val="00EE457F"/>
    <w:rsid w:val="00EE5310"/>
    <w:rsid w:val="00EF10F6"/>
    <w:rsid w:val="00EF2443"/>
    <w:rsid w:val="00EF7562"/>
    <w:rsid w:val="00F003B4"/>
    <w:rsid w:val="00F00809"/>
    <w:rsid w:val="00F00A3C"/>
    <w:rsid w:val="00F01773"/>
    <w:rsid w:val="00F01910"/>
    <w:rsid w:val="00F045E4"/>
    <w:rsid w:val="00F06376"/>
    <w:rsid w:val="00F073BF"/>
    <w:rsid w:val="00F07415"/>
    <w:rsid w:val="00F10970"/>
    <w:rsid w:val="00F1145F"/>
    <w:rsid w:val="00F1177C"/>
    <w:rsid w:val="00F11F3A"/>
    <w:rsid w:val="00F133C1"/>
    <w:rsid w:val="00F16270"/>
    <w:rsid w:val="00F2045F"/>
    <w:rsid w:val="00F20489"/>
    <w:rsid w:val="00F214D3"/>
    <w:rsid w:val="00F219CA"/>
    <w:rsid w:val="00F225BD"/>
    <w:rsid w:val="00F23E20"/>
    <w:rsid w:val="00F25135"/>
    <w:rsid w:val="00F26B59"/>
    <w:rsid w:val="00F26D66"/>
    <w:rsid w:val="00F27565"/>
    <w:rsid w:val="00F32CE7"/>
    <w:rsid w:val="00F41118"/>
    <w:rsid w:val="00F419C5"/>
    <w:rsid w:val="00F426ED"/>
    <w:rsid w:val="00F43971"/>
    <w:rsid w:val="00F443CE"/>
    <w:rsid w:val="00F45ADD"/>
    <w:rsid w:val="00F45D46"/>
    <w:rsid w:val="00F460E9"/>
    <w:rsid w:val="00F51443"/>
    <w:rsid w:val="00F51B0A"/>
    <w:rsid w:val="00F52B32"/>
    <w:rsid w:val="00F54A8F"/>
    <w:rsid w:val="00F576FD"/>
    <w:rsid w:val="00F60C57"/>
    <w:rsid w:val="00F636BD"/>
    <w:rsid w:val="00F63717"/>
    <w:rsid w:val="00F64B12"/>
    <w:rsid w:val="00F64DA8"/>
    <w:rsid w:val="00F661B0"/>
    <w:rsid w:val="00F661DE"/>
    <w:rsid w:val="00F66465"/>
    <w:rsid w:val="00F66620"/>
    <w:rsid w:val="00F71C41"/>
    <w:rsid w:val="00F73625"/>
    <w:rsid w:val="00F746FE"/>
    <w:rsid w:val="00F75CB2"/>
    <w:rsid w:val="00F77CE2"/>
    <w:rsid w:val="00F8057F"/>
    <w:rsid w:val="00F80AFF"/>
    <w:rsid w:val="00F8160E"/>
    <w:rsid w:val="00F81DC6"/>
    <w:rsid w:val="00F83ADC"/>
    <w:rsid w:val="00F84D68"/>
    <w:rsid w:val="00F8612A"/>
    <w:rsid w:val="00F9186C"/>
    <w:rsid w:val="00F93194"/>
    <w:rsid w:val="00F93701"/>
    <w:rsid w:val="00F942F8"/>
    <w:rsid w:val="00F9518B"/>
    <w:rsid w:val="00F9530A"/>
    <w:rsid w:val="00F967E7"/>
    <w:rsid w:val="00F9775C"/>
    <w:rsid w:val="00F97C48"/>
    <w:rsid w:val="00F97C54"/>
    <w:rsid w:val="00FA0067"/>
    <w:rsid w:val="00FA075D"/>
    <w:rsid w:val="00FA096C"/>
    <w:rsid w:val="00FA0E83"/>
    <w:rsid w:val="00FA6459"/>
    <w:rsid w:val="00FA6835"/>
    <w:rsid w:val="00FB078C"/>
    <w:rsid w:val="00FB2E7F"/>
    <w:rsid w:val="00FB5076"/>
    <w:rsid w:val="00FB6892"/>
    <w:rsid w:val="00FB795D"/>
    <w:rsid w:val="00FC37F5"/>
    <w:rsid w:val="00FC6E26"/>
    <w:rsid w:val="00FC7128"/>
    <w:rsid w:val="00FC7223"/>
    <w:rsid w:val="00FC7A19"/>
    <w:rsid w:val="00FD0D86"/>
    <w:rsid w:val="00FD3515"/>
    <w:rsid w:val="00FD545B"/>
    <w:rsid w:val="00FD6239"/>
    <w:rsid w:val="00FE0376"/>
    <w:rsid w:val="00FE0ED6"/>
    <w:rsid w:val="00FE1AF3"/>
    <w:rsid w:val="00FE1C86"/>
    <w:rsid w:val="00FE28E8"/>
    <w:rsid w:val="00FE5067"/>
    <w:rsid w:val="00FE5B91"/>
    <w:rsid w:val="00FE6E03"/>
    <w:rsid w:val="00FF2C53"/>
    <w:rsid w:val="00FF46A6"/>
    <w:rsid w:val="00FF5F95"/>
    <w:rsid w:val="00FF7F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BE0D9"/>
  <w15:docId w15:val="{9CCD747C-2AE8-4A2D-8AD9-FF4E0BC18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fr-BE" w:eastAsia="fr-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69C"/>
    <w:pPr>
      <w:spacing w:after="200" w:line="276" w:lineRule="auto"/>
    </w:pPr>
    <w:rPr>
      <w:sz w:val="24"/>
      <w:szCs w:val="24"/>
      <w:lang w:eastAsia="en-US"/>
    </w:rPr>
  </w:style>
  <w:style w:type="paragraph" w:styleId="Titre5">
    <w:name w:val="heading 5"/>
    <w:basedOn w:val="Normal"/>
    <w:next w:val="Normal"/>
    <w:link w:val="Titre5Car"/>
    <w:qFormat/>
    <w:rsid w:val="0097575B"/>
    <w:pPr>
      <w:keepNext/>
      <w:spacing w:after="0" w:line="240" w:lineRule="auto"/>
      <w:jc w:val="center"/>
      <w:outlineLvl w:val="4"/>
    </w:pPr>
    <w:rPr>
      <w:rFonts w:eastAsia="Times New Roman"/>
      <w:b/>
      <w:bCs/>
      <w:sz w:val="20"/>
      <w:szCs w:val="20"/>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7C2BD0"/>
    <w:rPr>
      <w:sz w:val="16"/>
      <w:szCs w:val="16"/>
    </w:rPr>
  </w:style>
  <w:style w:type="paragraph" w:styleId="Commentaire">
    <w:name w:val="annotation text"/>
    <w:basedOn w:val="Normal"/>
    <w:link w:val="CommentaireCar"/>
    <w:uiPriority w:val="99"/>
    <w:unhideWhenUsed/>
    <w:rsid w:val="007C2BD0"/>
    <w:rPr>
      <w:sz w:val="20"/>
      <w:szCs w:val="20"/>
    </w:rPr>
  </w:style>
  <w:style w:type="character" w:customStyle="1" w:styleId="CommentaireCar">
    <w:name w:val="Commentaire Car"/>
    <w:basedOn w:val="Policepardfaut"/>
    <w:link w:val="Commentaire"/>
    <w:uiPriority w:val="99"/>
    <w:rsid w:val="007C2BD0"/>
    <w:rPr>
      <w:lang w:eastAsia="en-US"/>
    </w:rPr>
  </w:style>
  <w:style w:type="paragraph" w:styleId="Objetducommentaire">
    <w:name w:val="annotation subject"/>
    <w:basedOn w:val="Commentaire"/>
    <w:next w:val="Commentaire"/>
    <w:link w:val="ObjetducommentaireCar"/>
    <w:uiPriority w:val="99"/>
    <w:semiHidden/>
    <w:unhideWhenUsed/>
    <w:rsid w:val="007C2BD0"/>
    <w:rPr>
      <w:b/>
      <w:bCs/>
    </w:rPr>
  </w:style>
  <w:style w:type="character" w:customStyle="1" w:styleId="ObjetducommentaireCar">
    <w:name w:val="Objet du commentaire Car"/>
    <w:basedOn w:val="CommentaireCar"/>
    <w:link w:val="Objetducommentaire"/>
    <w:uiPriority w:val="99"/>
    <w:semiHidden/>
    <w:rsid w:val="007C2BD0"/>
    <w:rPr>
      <w:b/>
      <w:bCs/>
      <w:lang w:eastAsia="en-US"/>
    </w:rPr>
  </w:style>
  <w:style w:type="paragraph" w:styleId="Textedebulles">
    <w:name w:val="Balloon Text"/>
    <w:basedOn w:val="Normal"/>
    <w:link w:val="TextedebullesCar"/>
    <w:uiPriority w:val="99"/>
    <w:semiHidden/>
    <w:unhideWhenUsed/>
    <w:rsid w:val="007C2BD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C2BD0"/>
    <w:rPr>
      <w:rFonts w:ascii="Tahoma" w:hAnsi="Tahoma" w:cs="Tahoma"/>
      <w:sz w:val="16"/>
      <w:szCs w:val="16"/>
      <w:lang w:eastAsia="en-US"/>
    </w:rPr>
  </w:style>
  <w:style w:type="character" w:styleId="Lienhypertexte">
    <w:name w:val="Hyperlink"/>
    <w:basedOn w:val="Policepardfaut"/>
    <w:uiPriority w:val="99"/>
    <w:unhideWhenUsed/>
    <w:rsid w:val="0046100D"/>
    <w:rPr>
      <w:color w:val="0000FF"/>
      <w:u w:val="single"/>
    </w:rPr>
  </w:style>
  <w:style w:type="character" w:styleId="lev">
    <w:name w:val="Strong"/>
    <w:basedOn w:val="Policepardfaut"/>
    <w:uiPriority w:val="22"/>
    <w:qFormat/>
    <w:rsid w:val="0046100D"/>
    <w:rPr>
      <w:b/>
      <w:bCs/>
    </w:rPr>
  </w:style>
  <w:style w:type="character" w:styleId="Lienhypertextesuivivisit">
    <w:name w:val="FollowedHyperlink"/>
    <w:basedOn w:val="Policepardfaut"/>
    <w:uiPriority w:val="99"/>
    <w:semiHidden/>
    <w:unhideWhenUsed/>
    <w:rsid w:val="0075646A"/>
    <w:rPr>
      <w:color w:val="800080"/>
      <w:u w:val="single"/>
    </w:rPr>
  </w:style>
  <w:style w:type="paragraph" w:styleId="En-tte">
    <w:name w:val="header"/>
    <w:basedOn w:val="Normal"/>
    <w:link w:val="En-tteCar"/>
    <w:uiPriority w:val="99"/>
    <w:unhideWhenUsed/>
    <w:rsid w:val="003E2E7C"/>
    <w:pPr>
      <w:tabs>
        <w:tab w:val="center" w:pos="4536"/>
        <w:tab w:val="right" w:pos="9072"/>
      </w:tabs>
    </w:pPr>
  </w:style>
  <w:style w:type="character" w:customStyle="1" w:styleId="En-tteCar">
    <w:name w:val="En-tête Car"/>
    <w:basedOn w:val="Policepardfaut"/>
    <w:link w:val="En-tte"/>
    <w:uiPriority w:val="99"/>
    <w:rsid w:val="003E2E7C"/>
    <w:rPr>
      <w:sz w:val="24"/>
      <w:szCs w:val="24"/>
      <w:lang w:eastAsia="en-US"/>
    </w:rPr>
  </w:style>
  <w:style w:type="paragraph" w:styleId="Pieddepage">
    <w:name w:val="footer"/>
    <w:basedOn w:val="Normal"/>
    <w:link w:val="PieddepageCar"/>
    <w:uiPriority w:val="99"/>
    <w:semiHidden/>
    <w:unhideWhenUsed/>
    <w:rsid w:val="003E2E7C"/>
    <w:pPr>
      <w:tabs>
        <w:tab w:val="center" w:pos="4536"/>
        <w:tab w:val="right" w:pos="9072"/>
      </w:tabs>
    </w:pPr>
  </w:style>
  <w:style w:type="character" w:customStyle="1" w:styleId="PieddepageCar">
    <w:name w:val="Pied de page Car"/>
    <w:basedOn w:val="Policepardfaut"/>
    <w:link w:val="Pieddepage"/>
    <w:uiPriority w:val="99"/>
    <w:semiHidden/>
    <w:rsid w:val="003E2E7C"/>
    <w:rPr>
      <w:sz w:val="24"/>
      <w:szCs w:val="24"/>
      <w:lang w:eastAsia="en-US"/>
    </w:rPr>
  </w:style>
  <w:style w:type="paragraph" w:styleId="Notedebasdepage">
    <w:name w:val="footnote text"/>
    <w:aliases w:val="Footnote Text Char Char Char Char,Footnote Text Char Char Char,Footnotes,Note de bas de page2,footnote text"/>
    <w:basedOn w:val="Normal"/>
    <w:link w:val="NotedebasdepageCar"/>
    <w:uiPriority w:val="99"/>
    <w:unhideWhenUsed/>
    <w:rsid w:val="00B708A0"/>
    <w:rPr>
      <w:sz w:val="20"/>
      <w:szCs w:val="20"/>
    </w:rPr>
  </w:style>
  <w:style w:type="character" w:customStyle="1" w:styleId="NotedebasdepageCar">
    <w:name w:val="Note de bas de page Car"/>
    <w:aliases w:val="Footnote Text Char Char Char Char Car,Footnote Text Char Char Char Car,Footnotes Car,Note de bas de page2 Car,footnote text Car"/>
    <w:basedOn w:val="Policepardfaut"/>
    <w:link w:val="Notedebasdepage"/>
    <w:uiPriority w:val="99"/>
    <w:rsid w:val="00B708A0"/>
    <w:rPr>
      <w:lang w:eastAsia="en-US"/>
    </w:rPr>
  </w:style>
  <w:style w:type="character" w:styleId="Appelnotedebasdep">
    <w:name w:val="footnote reference"/>
    <w:aliases w:val="Appel note de bas de page,callout,Footnote Refernece,Footnotes refss,Footnote Reference Superscript,BVI fnr,Footnote Reference Number, BVI fnr"/>
    <w:basedOn w:val="Policepardfaut"/>
    <w:uiPriority w:val="99"/>
    <w:unhideWhenUsed/>
    <w:rsid w:val="00B708A0"/>
    <w:rPr>
      <w:vertAlign w:val="superscript"/>
    </w:rPr>
  </w:style>
  <w:style w:type="character" w:customStyle="1" w:styleId="Titre5Car">
    <w:name w:val="Titre 5 Car"/>
    <w:basedOn w:val="Policepardfaut"/>
    <w:link w:val="Titre5"/>
    <w:rsid w:val="0097575B"/>
    <w:rPr>
      <w:rFonts w:eastAsia="Times New Roman"/>
      <w:b/>
      <w:bCs/>
      <w:lang w:val="fr-FR" w:eastAsia="fr-FR"/>
    </w:rPr>
  </w:style>
  <w:style w:type="character" w:customStyle="1" w:styleId="sb8d990e2">
    <w:name w:val="sb8d990e2"/>
    <w:basedOn w:val="Policepardfaut"/>
    <w:rsid w:val="00D94A76"/>
  </w:style>
  <w:style w:type="paragraph" w:styleId="Corpsdetexte">
    <w:name w:val="Body Text"/>
    <w:basedOn w:val="Normal"/>
    <w:link w:val="CorpsdetexteCar"/>
    <w:semiHidden/>
    <w:rsid w:val="000F6334"/>
    <w:pPr>
      <w:suppressAutoHyphens/>
      <w:spacing w:after="0" w:line="240" w:lineRule="auto"/>
      <w:jc w:val="both"/>
    </w:pPr>
    <w:rPr>
      <w:rFonts w:eastAsia="Times New Roman"/>
      <w:lang w:val="fr-FR" w:eastAsia="ar-SA"/>
    </w:rPr>
  </w:style>
  <w:style w:type="character" w:customStyle="1" w:styleId="CorpsdetexteCar">
    <w:name w:val="Corps de texte Car"/>
    <w:basedOn w:val="Policepardfaut"/>
    <w:link w:val="Corpsdetexte"/>
    <w:semiHidden/>
    <w:rsid w:val="000F6334"/>
    <w:rPr>
      <w:rFonts w:eastAsia="Times New Roman"/>
      <w:sz w:val="24"/>
      <w:szCs w:val="24"/>
      <w:lang w:val="fr-FR" w:eastAsia="ar-SA"/>
    </w:rPr>
  </w:style>
  <w:style w:type="character" w:customStyle="1" w:styleId="Mentionnonrsolue1">
    <w:name w:val="Mention non résolue1"/>
    <w:basedOn w:val="Policepardfaut"/>
    <w:uiPriority w:val="99"/>
    <w:semiHidden/>
    <w:unhideWhenUsed/>
    <w:rsid w:val="00A62B17"/>
    <w:rPr>
      <w:color w:val="808080"/>
      <w:shd w:val="clear" w:color="auto" w:fill="E6E6E6"/>
    </w:rPr>
  </w:style>
  <w:style w:type="table" w:styleId="Grilledutableau">
    <w:name w:val="Table Grid"/>
    <w:basedOn w:val="TableauNormal"/>
    <w:uiPriority w:val="59"/>
    <w:unhideWhenUsed/>
    <w:rsid w:val="006C7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Policepardfaut"/>
    <w:uiPriority w:val="99"/>
    <w:semiHidden/>
    <w:unhideWhenUsed/>
    <w:rsid w:val="005B4AB6"/>
    <w:rPr>
      <w:color w:val="605E5C"/>
      <w:shd w:val="clear" w:color="auto" w:fill="E1DFDD"/>
    </w:rPr>
  </w:style>
  <w:style w:type="paragraph" w:styleId="Rvision">
    <w:name w:val="Revision"/>
    <w:hidden/>
    <w:uiPriority w:val="99"/>
    <w:semiHidden/>
    <w:rsid w:val="00180591"/>
    <w:rPr>
      <w:sz w:val="24"/>
      <w:szCs w:val="24"/>
      <w:lang w:eastAsia="en-US"/>
    </w:rPr>
  </w:style>
  <w:style w:type="paragraph" w:styleId="Paragraphedeliste">
    <w:name w:val="List Paragraph"/>
    <w:basedOn w:val="Normal"/>
    <w:uiPriority w:val="34"/>
    <w:qFormat/>
    <w:rsid w:val="00D360BE"/>
    <w:pPr>
      <w:spacing w:after="0" w:line="240" w:lineRule="auto"/>
      <w:ind w:left="720"/>
      <w:contextualSpacing/>
    </w:pPr>
    <w:rPr>
      <w:rFonts w:asciiTheme="minorHAnsi" w:eastAsiaTheme="minorHAnsi" w:hAnsiTheme="minorHAnsi" w:cstheme="minorBidi"/>
      <w:kern w:val="2"/>
      <w:lang w:val="fr-FR"/>
      <w14:ligatures w14:val="standardContextual"/>
    </w:rPr>
  </w:style>
  <w:style w:type="paragraph" w:styleId="NormalWeb">
    <w:name w:val="Normal (Web)"/>
    <w:basedOn w:val="Normal"/>
    <w:uiPriority w:val="99"/>
    <w:unhideWhenUsed/>
    <w:rsid w:val="00B35E2B"/>
    <w:pPr>
      <w:spacing w:before="100" w:beforeAutospacing="1" w:after="100" w:afterAutospacing="1" w:line="240" w:lineRule="auto"/>
    </w:pPr>
    <w:rPr>
      <w:rFonts w:eastAsia="Times New Roman"/>
      <w:lang w:val="fr-FR" w:eastAsia="fr-FR"/>
    </w:rPr>
  </w:style>
  <w:style w:type="character" w:styleId="Accentuation">
    <w:name w:val="Emphasis"/>
    <w:basedOn w:val="Policepardfaut"/>
    <w:uiPriority w:val="20"/>
    <w:qFormat/>
    <w:rsid w:val="00B35E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235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33768262/" TargetMode="Externa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pubmed.ncbi.nlm.nih.gov/22757745/" TargetMode="External"/><Relationship Id="rId4" Type="http://schemas.openxmlformats.org/officeDocument/2006/relationships/settings" Target="settings.xml"/><Relationship Id="rId9" Type="http://schemas.openxmlformats.org/officeDocument/2006/relationships/hyperlink" Target="https://igvm-iefh.belgium.be/sites/default/files/media/documents/199%20-%20Etude%20sur%20les%20violences%20sexuelles%20facilit%C3%A9es%20par%20une%20substance%20%28partie%201%29.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4F400A5-B6DB-4C2B-9120-34632454A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1576</Words>
  <Characters>8672</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Conseil d'Etat</Company>
  <LinksUpToDate>false</LinksUpToDate>
  <CharactersWithSpaces>10228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Vandernoot</dc:creator>
  <cp:keywords/>
  <dc:description/>
  <cp:lastModifiedBy>sarah *******</cp:lastModifiedBy>
  <cp:revision>3</cp:revision>
  <cp:lastPrinted>2021-06-04T11:42:00Z</cp:lastPrinted>
  <dcterms:created xsi:type="dcterms:W3CDTF">2025-12-16T13:13:00Z</dcterms:created>
  <dcterms:modified xsi:type="dcterms:W3CDTF">2025-12-16T17:56:00Z</dcterms:modified>
</cp:coreProperties>
</file>