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173F" w14:textId="77777777" w:rsidR="007E2550" w:rsidRDefault="005754E6" w:rsidP="00F32C6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59D">
        <w:rPr>
          <w:rFonts w:ascii="Times New Roman" w:hAnsi="Times New Roman" w:cs="Times New Roman"/>
          <w:color w:val="000000"/>
          <w:sz w:val="24"/>
          <w:szCs w:val="24"/>
        </w:rPr>
        <w:t xml:space="preserve">Eleni </w:t>
      </w:r>
      <w:proofErr w:type="spellStart"/>
      <w:r w:rsidRPr="00E5159D">
        <w:rPr>
          <w:rFonts w:ascii="Times New Roman" w:hAnsi="Times New Roman" w:cs="Times New Roman"/>
          <w:smallCaps/>
          <w:color w:val="000000"/>
          <w:sz w:val="24"/>
          <w:szCs w:val="24"/>
        </w:rPr>
        <w:t>Bozia</w:t>
      </w:r>
      <w:proofErr w:type="spellEnd"/>
      <w:r w:rsidRPr="00E515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515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Politics of Language. Foreign Nativeness and Identity in the Roman Empire</w:t>
      </w:r>
      <w:r w:rsidRPr="00E5159D">
        <w:rPr>
          <w:rFonts w:ascii="Times New Roman" w:hAnsi="Times New Roman" w:cs="Times New Roman"/>
          <w:color w:val="000000"/>
          <w:sz w:val="24"/>
          <w:szCs w:val="24"/>
        </w:rPr>
        <w:t xml:space="preserve">, London - New </w:t>
      </w:r>
      <w:proofErr w:type="gramStart"/>
      <w:r w:rsidRPr="00E5159D">
        <w:rPr>
          <w:rFonts w:ascii="Times New Roman" w:hAnsi="Times New Roman" w:cs="Times New Roman"/>
          <w:color w:val="000000"/>
          <w:sz w:val="24"/>
          <w:szCs w:val="24"/>
        </w:rPr>
        <w:t>York :</w:t>
      </w:r>
      <w:proofErr w:type="gramEnd"/>
      <w:r w:rsidRPr="00E5159D">
        <w:rPr>
          <w:rFonts w:ascii="Times New Roman" w:hAnsi="Times New Roman" w:cs="Times New Roman"/>
          <w:color w:val="000000"/>
          <w:sz w:val="24"/>
          <w:szCs w:val="24"/>
        </w:rPr>
        <w:t xml:space="preserve"> Bloomsbury Academic, 2025, 24 × 16,5 cm, </w:t>
      </w:r>
      <w:r w:rsidRPr="00E5159D">
        <w:rPr>
          <w:rFonts w:ascii="Times New Roman" w:hAnsi="Times New Roman" w:cs="Times New Roman"/>
          <w:smallCaps/>
          <w:color w:val="000000"/>
          <w:sz w:val="24"/>
          <w:szCs w:val="24"/>
        </w:rPr>
        <w:t>x</w:t>
      </w:r>
      <w:r w:rsidRPr="00E5159D">
        <w:rPr>
          <w:rFonts w:ascii="Times New Roman" w:hAnsi="Times New Roman" w:cs="Times New Roman"/>
          <w:color w:val="000000"/>
          <w:sz w:val="24"/>
          <w:szCs w:val="24"/>
        </w:rPr>
        <w:t>-238 p., fig., 85 £, ISBN 978-1-3504-3027-3.</w:t>
      </w:r>
    </w:p>
    <w:p w14:paraId="7A529E4E" w14:textId="77777777" w:rsidR="000121A5" w:rsidRPr="00382B8A" w:rsidRDefault="00112AD7" w:rsidP="00CE219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</w:pP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Le titre suggère une étude sur la politique linguistique et l’identité dans l’</w:t>
      </w:r>
      <w:r w:rsidR="00B7148B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E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mpire romain. En réalité, le sujet est</w:t>
      </w:r>
      <w:r w:rsidR="00E5159D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plus restreint. </w:t>
      </w:r>
      <w:r w:rsidR="00BF0AE0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L’ouvrage </w:t>
      </w:r>
      <w:r w:rsidR="00920D83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envisage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2369AA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le courant 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atticis</w:t>
      </w:r>
      <w:r w:rsidR="002369AA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t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e, qui promeut la ren</w:t>
      </w:r>
      <w:r w:rsidR="00E5159D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ai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ssance du grec attique, vu comme une des nouvelles façons d’exprimer l’identité et l’appartenance sous le Haut-Empire. La langue, sous l’Empire</w:t>
      </w:r>
      <w:r w:rsidR="00920D83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 romain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, devient </w:t>
      </w:r>
      <w:r w:rsidR="00071E3B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en effet 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un outil de pouvoir et un critère de distinction sociale. On </w:t>
      </w:r>
      <w:r w:rsidR="00920D83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s’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attend donc </w:t>
      </w:r>
      <w:r w:rsidR="002D358A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à 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une étude des interactions entre langue, cul</w:t>
      </w:r>
      <w:r w:rsidR="00E5159D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ture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 et pouvoir à travers les œuvres des orateurs </w:t>
      </w:r>
      <w:r w:rsidR="00920D83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de l’époque impériale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. Il faut </w:t>
      </w:r>
      <w:r w:rsidR="000752F2">
        <w:rPr>
          <w:rFonts w:ascii="Times New Roman" w:hAnsi="Times New Roman" w:cs="Times New Roman"/>
          <w:color w:val="000000"/>
          <w:sz w:val="24"/>
          <w:szCs w:val="24"/>
          <w:lang w:val="fr-BE"/>
        </w:rPr>
        <w:t>toutefois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2D358A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patienter jusqu’au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 chapitre trois pour trouver </w:t>
      </w:r>
      <w:r w:rsidR="002369AA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>des textes</w:t>
      </w:r>
      <w:r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920D83" w:rsidRPr="00382B8A">
        <w:rPr>
          <w:rFonts w:ascii="Times New Roman" w:hAnsi="Times New Roman" w:cs="Times New Roman"/>
          <w:color w:val="000000"/>
          <w:sz w:val="24"/>
          <w:szCs w:val="24"/>
          <w:lang w:val="fr-BE"/>
        </w:rPr>
        <w:t xml:space="preserve">de </w:t>
      </w:r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Dion de </w:t>
      </w:r>
      <w:proofErr w:type="spellStart"/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Pruse</w:t>
      </w:r>
      <w:proofErr w:type="spellEnd"/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Lucien </w:t>
      </w:r>
      <w:r w:rsidR="000752F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de Samosate </w:t>
      </w:r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et </w:t>
      </w:r>
      <w:proofErr w:type="spellStart"/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Aelius</w:t>
      </w:r>
      <w:proofErr w:type="spellEnd"/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Aristide. </w:t>
      </w:r>
      <w:r w:rsidR="006754F4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L</w:t>
      </w:r>
      <w:r w:rsidR="005C5789" w:rsidRPr="00382B8A">
        <w:rPr>
          <w:rFonts w:ascii="Times New Roman" w:hAnsi="Times New Roman" w:cs="Times New Roman"/>
          <w:sz w:val="24"/>
          <w:szCs w:val="24"/>
          <w:lang w:val="fr-BE"/>
        </w:rPr>
        <w:t>e recours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aux annotations d’arbres syntaxiques (</w:t>
      </w:r>
      <w:proofErr w:type="spellStart"/>
      <w:r w:rsidR="005C5789" w:rsidRPr="00382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BE"/>
        </w:rPr>
        <w:t>Treebank</w:t>
      </w:r>
      <w:proofErr w:type="spellEnd"/>
      <w:r w:rsidR="005C5789" w:rsidRPr="00382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BE"/>
        </w:rPr>
        <w:t xml:space="preserve"> annotation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), 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réalisées 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au moyen d’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outils développés par le </w:t>
      </w:r>
      <w:proofErr w:type="spellStart"/>
      <w:r w:rsidR="005C5789" w:rsidRPr="00382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BE"/>
        </w:rPr>
        <w:t>Perseids</w:t>
      </w:r>
      <w:proofErr w:type="spellEnd"/>
      <w:r w:rsidR="005C5789" w:rsidRPr="00382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BE"/>
        </w:rPr>
        <w:t xml:space="preserve"> Project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et aux méthodes computationnelles </w:t>
      </w:r>
      <w:r w:rsidR="006754F4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permet de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comparer, à la lumière des jugements de Denys d’Halicarnasse, les styles oratoires en vue de démontrer, dans le chapitre 4, comment les orateurs impériaux ont imité les techniques de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leurs prédécesseurs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tout en introduisant des variations stylistiques. </w:t>
      </w:r>
      <w:r w:rsidR="006754F4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L</w:t>
      </w:r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’analyse en composantes principales (</w:t>
      </w:r>
      <w:r w:rsidR="006754F4" w:rsidRPr="00962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BE"/>
        </w:rPr>
        <w:t xml:space="preserve">Principal Component </w:t>
      </w:r>
      <w:proofErr w:type="spellStart"/>
      <w:r w:rsidR="006754F4" w:rsidRPr="00962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BE"/>
        </w:rPr>
        <w:t>Analysis</w:t>
      </w:r>
      <w:proofErr w:type="spellEnd"/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) </w:t>
      </w:r>
      <w:r w:rsidR="00696C4D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débouche sur une </w:t>
      </w:r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cartographie </w:t>
      </w:r>
      <w:r w:rsidR="00696C4D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d</w:t>
      </w:r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es styles oratoi</w:t>
      </w:r>
      <w:r w:rsidR="006754F4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res </w:t>
      </w:r>
      <w:r w:rsidR="000752F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qui</w:t>
      </w:r>
      <w:r w:rsidR="006754F4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projet</w:t>
      </w:r>
      <w:r w:rsidR="000752F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te</w:t>
      </w:r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graphiquement les données stylistiques sur un plan en deux dimensions</w:t>
      </w:r>
      <w:r w:rsidR="006754F4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. </w:t>
      </w:r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Auparav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</w:t>
      </w:r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nt, un premier chapitre théori</w:t>
      </w:r>
      <w:r w:rsidR="00F32C6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qu</w:t>
      </w:r>
      <w:r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e </w:t>
      </w:r>
      <w:r w:rsidR="000752F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utilise le</w:t>
      </w:r>
      <w:r w:rsidR="00920D83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s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conce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p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ts de Michel Fouc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ul</w:t>
      </w:r>
      <w:r w:rsidR="00071E3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t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d’</w:t>
      </w:r>
      <w:r w:rsidR="005C5789" w:rsidRPr="00382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fr-BE"/>
        </w:rPr>
        <w:t>hétérotopie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 et</w:t>
      </w:r>
      <w:r w:rsidR="00071E3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d’</w:t>
      </w:r>
      <w:r w:rsidR="005C5789" w:rsidRPr="00382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fr-BE"/>
        </w:rPr>
        <w:t>hétérochronie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2D35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pour 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dé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f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inir l’Empire romain comme un espace culturel dynamique où les identités se (trans)forment continuellement. Un deuxième chapitre examine les termes 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</w:rPr>
        <w:t>ἑλληνισμός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</w:rPr>
        <w:t>ἑλληνίζω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</w:rPr>
        <w:t>ἀττικισμός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</w:rPr>
        <w:t>ἀττικίζω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et </w:t>
      </w:r>
      <w:r w:rsidR="00D51A96" w:rsidRPr="00382B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BE"/>
        </w:rPr>
        <w:t>latinitas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 dans les œuvres des lexicographes et grammairiens grecs et romains. 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J’a</w:t>
      </w:r>
      <w:r w:rsidR="0036764C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i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cru faire œuvre utile en publiant des </w:t>
      </w:r>
      <w:r w:rsidR="00D51A96" w:rsidRPr="00382B8A">
        <w:rPr>
          <w:rFonts w:ascii="Times New Roman" w:hAnsi="Times New Roman" w:cs="Times New Roman"/>
          <w:i/>
          <w:sz w:val="24"/>
          <w:szCs w:val="24"/>
          <w:lang w:val="fr-BE"/>
        </w:rPr>
        <w:t>Remarques sur l'élaboration de</w:t>
      </w:r>
      <w:r w:rsidR="00D51A96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51A96" w:rsidRPr="00382B8A">
        <w:rPr>
          <w:rStyle w:val="Accentuation"/>
          <w:rFonts w:ascii="Times New Roman" w:hAnsi="Times New Roman" w:cs="Times New Roman"/>
          <w:sz w:val="24"/>
          <w:szCs w:val="24"/>
          <w:lang w:val="fr-BE"/>
        </w:rPr>
        <w:t>la conscience linguistique des Grecs</w:t>
      </w:r>
      <w:r w:rsidR="00D51A96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D51A96" w:rsidRPr="00382B8A">
        <w:rPr>
          <w:rStyle w:val="Accentuation"/>
          <w:rFonts w:ascii="Times New Roman" w:hAnsi="Times New Roman" w:cs="Times New Roman"/>
          <w:sz w:val="24"/>
          <w:szCs w:val="24"/>
          <w:lang w:val="fr-BE"/>
        </w:rPr>
        <w:t>Glotta</w:t>
      </w:r>
      <w:proofErr w:type="spellEnd"/>
      <w:r w:rsidR="00D51A96" w:rsidRPr="00382B8A">
        <w:rPr>
          <w:rFonts w:ascii="Times New Roman" w:hAnsi="Times New Roman" w:cs="Times New Roman"/>
          <w:sz w:val="24"/>
          <w:szCs w:val="24"/>
          <w:lang w:val="fr-BE"/>
        </w:rPr>
        <w:t>, 79</w:t>
      </w:r>
      <w:r w:rsidR="00CE2191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 (2003)</w:t>
      </w:r>
      <w:r w:rsidR="00D51A96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2369AA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p. </w:t>
      </w:r>
      <w:r w:rsidR="00D51A96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175-204. 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Un dernier chapitre, qui aurait mieux </w:t>
      </w:r>
      <w:r w:rsidR="00920D83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trouvé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sa place après </w:t>
      </w:r>
      <w:r w:rsidR="00F32C6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le premier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approfondit l’exploration de la construction de la langue et de l’identité culturelle pendant le Haut-Empire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0752F2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à travers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les concepts de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</w:rPr>
        <w:t>μίμησις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et de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</w:rPr>
        <w:t>καινότης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dans les pratiques littéraires et culturelles</w:t>
      </w:r>
      <w:r w:rsidR="00D51A96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.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Le chapitre </w:t>
      </w:r>
      <w:r w:rsidR="00071E3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envisage</w:t>
      </w:r>
      <w:r w:rsidR="006754F4" w:rsidRPr="0096206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la fusion des éléments grecs et romains dans la construction de l’identité</w:t>
      </w:r>
      <w:r w:rsidR="006754F4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.</w:t>
      </w:r>
      <w:r w:rsidR="006754F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Cet ouvrage appelle plusieurs réserves</w:t>
      </w:r>
      <w:r w:rsidR="00071E3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,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à la fois sur le fond et sur la forme. Sur l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e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fond, je signalerai seulement l’absence d’allusion aux politiques lingui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s</w:t>
      </w:r>
      <w:r w:rsidR="00CE2191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tiques, alors que c’est le premier élément du titre. 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La qu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e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stion du multilinguisme, pourtant fortement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renouvelée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ces derniers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temps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est très vite évacuée. </w:t>
      </w:r>
      <w:r w:rsidR="000121A5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Les choix conceptuels 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posent question</w:t>
      </w:r>
      <w:r w:rsidR="000121A5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. 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En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particulier,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le 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recours aux thé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o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rie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s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de M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ichel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Foucault paraît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mal adapté et 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peu 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utile pour 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étayer</w:t>
      </w:r>
      <w:r w:rsidR="005C5789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des 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aspects considérés comme acquis dans la recherche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. Sur le</w:t>
      </w:r>
      <w:r w:rsidR="00E5159D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B7148B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plan formel, les défauts sont nombreux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 : trop d’espace consacré aux textes et aux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traduction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s (dont l’auteur n’est pas toujours identifié)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par rapport au commentaire proposé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(p. 54-57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,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à propos de 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βαρβαρ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ό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φωνος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[et non 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βαρβαρ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ό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φων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]</w:t>
      </w:r>
      <w:r w:rsidR="00BF0AE0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,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est-il util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e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de citer </w:t>
      </w:r>
      <w:r w:rsidR="002369AA" w:rsidRPr="000752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BE"/>
        </w:rPr>
        <w:t>in extenso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le long passage de Strabon et sa traduct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ion pour en proposer un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commentaire de </w:t>
      </w:r>
      <w:r w:rsidR="00071E3B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seulement treize</w:t>
      </w:r>
      <w:r w:rsidR="002369A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lignes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alors que ce terme </w:t>
      </w:r>
      <w:r w:rsidR="00BF0AE0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été maintes fois étudié [cf. L. </w:t>
      </w:r>
      <w:r w:rsidR="00382B8A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Innocente, </w:t>
      </w:r>
      <w:r w:rsidR="00382B8A" w:rsidRPr="00382B8A">
        <w:rPr>
          <w:rFonts w:ascii="Times New Roman" w:hAnsi="Times New Roman" w:cs="Times New Roman"/>
          <w:i/>
          <w:sz w:val="24"/>
          <w:szCs w:val="24"/>
          <w:lang w:val="fr-BE"/>
        </w:rPr>
        <w:t xml:space="preserve">Sul </w:t>
      </w:r>
      <w:proofErr w:type="spellStart"/>
      <w:r w:rsidR="00382B8A" w:rsidRPr="00382B8A">
        <w:rPr>
          <w:rFonts w:ascii="Times New Roman" w:hAnsi="Times New Roman" w:cs="Times New Roman"/>
          <w:i/>
          <w:sz w:val="24"/>
          <w:szCs w:val="24"/>
          <w:lang w:val="fr-BE"/>
        </w:rPr>
        <w:t>significato</w:t>
      </w:r>
      <w:proofErr w:type="spellEnd"/>
      <w:r w:rsidR="00382B8A" w:rsidRPr="00382B8A">
        <w:rPr>
          <w:rFonts w:ascii="Times New Roman" w:hAnsi="Times New Roman" w:cs="Times New Roman"/>
          <w:i/>
          <w:sz w:val="24"/>
          <w:szCs w:val="24"/>
          <w:lang w:val="fr-BE"/>
        </w:rPr>
        <w:t xml:space="preserve"> di « </w:t>
      </w:r>
      <w:proofErr w:type="spellStart"/>
      <w:r w:rsidR="00382B8A" w:rsidRPr="00382B8A">
        <w:rPr>
          <w:rFonts w:ascii="Times New Roman" w:hAnsi="Times New Roman" w:cs="Times New Roman"/>
          <w:i/>
          <w:sz w:val="24"/>
          <w:szCs w:val="24"/>
          <w:lang w:val="fr-BE"/>
        </w:rPr>
        <w:t>barbarophonos</w:t>
      </w:r>
      <w:proofErr w:type="spellEnd"/>
      <w:r w:rsidR="00382B8A" w:rsidRPr="00382B8A">
        <w:rPr>
          <w:rFonts w:ascii="Times New Roman" w:hAnsi="Times New Roman" w:cs="Times New Roman"/>
          <w:i/>
          <w:sz w:val="24"/>
          <w:szCs w:val="24"/>
          <w:lang w:val="fr-BE"/>
        </w:rPr>
        <w:t xml:space="preserve"> »</w:t>
      </w:r>
      <w:r w:rsidR="00382B8A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382B8A" w:rsidRPr="00382B8A">
        <w:rPr>
          <w:rStyle w:val="bpu-text-italic"/>
          <w:rFonts w:ascii="Times New Roman" w:hAnsi="Times New Roman" w:cs="Times New Roman"/>
          <w:i/>
          <w:sz w:val="24"/>
          <w:szCs w:val="24"/>
          <w:lang w:val="fr-BE"/>
        </w:rPr>
        <w:t>Incontri</w:t>
      </w:r>
      <w:proofErr w:type="spellEnd"/>
      <w:r w:rsidR="00382B8A" w:rsidRPr="00382B8A">
        <w:rPr>
          <w:rStyle w:val="bpu-text-italic"/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="00382B8A" w:rsidRPr="00382B8A">
        <w:rPr>
          <w:rStyle w:val="bpu-text-italic"/>
          <w:rFonts w:ascii="Times New Roman" w:hAnsi="Times New Roman" w:cs="Times New Roman"/>
          <w:i/>
          <w:sz w:val="24"/>
          <w:szCs w:val="24"/>
          <w:lang w:val="fr-BE"/>
        </w:rPr>
        <w:t>Linguistici</w:t>
      </w:r>
      <w:proofErr w:type="spellEnd"/>
      <w:r w:rsidR="00382B8A" w:rsidRPr="00382B8A">
        <w:rPr>
          <w:rFonts w:ascii="Times New Roman" w:hAnsi="Times New Roman" w:cs="Times New Roman"/>
          <w:sz w:val="24"/>
          <w:szCs w:val="24"/>
          <w:lang w:val="fr-BE"/>
        </w:rPr>
        <w:t xml:space="preserve"> 19 (1996), p. 121-126]</w:t>
      </w:r>
      <w:r w:rsidR="000752F2">
        <w:rPr>
          <w:rFonts w:ascii="Times New Roman" w:hAnsi="Times New Roman" w:cs="Times New Roman"/>
          <w:sz w:val="24"/>
          <w:szCs w:val="24"/>
          <w:lang w:val="fr-BE"/>
        </w:rPr>
        <w:t> ?</w:t>
      </w:r>
      <w:r w:rsidR="00382B8A" w:rsidRPr="00382B8A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, des formulations ambigu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ë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s ou peu claires, 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des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coquilles, 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des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références erronées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.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0121A5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Au total, cette monographie apporte peu de nouveautés, mais offre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toutefois</w:t>
      </w:r>
      <w:r w:rsidR="001C2BD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, dans les chapitres 3 et 4, </w:t>
      </w:r>
      <w:r w:rsidR="00C84D84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malgré des choix conceptuels et méthodologiques discutables,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</w:t>
      </w:r>
      <w:r w:rsidR="000121A5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quelques avancées sur le style des auteurs</w:t>
      </w:r>
      <w:r w:rsidR="00BF0AE0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dits</w:t>
      </w:r>
      <w:r w:rsidR="000121A5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 xml:space="preserve"> atticistes</w:t>
      </w:r>
      <w:r w:rsidR="00382B8A" w:rsidRPr="00382B8A"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.</w:t>
      </w:r>
    </w:p>
    <w:p w14:paraId="4E900F0B" w14:textId="77777777" w:rsidR="00382B8A" w:rsidRPr="00E5159D" w:rsidRDefault="00382B8A" w:rsidP="00382B8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BE"/>
        </w:rPr>
        <w:t>Bruno Rochette</w:t>
      </w:r>
    </w:p>
    <w:sectPr w:rsidR="00382B8A" w:rsidRPr="00E515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E6"/>
    <w:rsid w:val="000121A5"/>
    <w:rsid w:val="00071E3B"/>
    <w:rsid w:val="000752F2"/>
    <w:rsid w:val="00112AD7"/>
    <w:rsid w:val="001C2BDA"/>
    <w:rsid w:val="002369AA"/>
    <w:rsid w:val="002D358A"/>
    <w:rsid w:val="0036764C"/>
    <w:rsid w:val="00382B8A"/>
    <w:rsid w:val="005754E6"/>
    <w:rsid w:val="005C5789"/>
    <w:rsid w:val="006754F4"/>
    <w:rsid w:val="00696C4D"/>
    <w:rsid w:val="007E2550"/>
    <w:rsid w:val="0084449D"/>
    <w:rsid w:val="00920D83"/>
    <w:rsid w:val="0096206B"/>
    <w:rsid w:val="00B7148B"/>
    <w:rsid w:val="00BF0AE0"/>
    <w:rsid w:val="00C84D84"/>
    <w:rsid w:val="00CB3655"/>
    <w:rsid w:val="00CE2191"/>
    <w:rsid w:val="00D017FB"/>
    <w:rsid w:val="00D51A96"/>
    <w:rsid w:val="00E5159D"/>
    <w:rsid w:val="00F3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6AAB"/>
  <w15:chartTrackingRefBased/>
  <w15:docId w15:val="{FFCE125F-EE00-4F47-B529-6CD448B7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206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6206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6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6206B"/>
    <w:rPr>
      <w:b/>
      <w:bCs/>
    </w:rPr>
  </w:style>
  <w:style w:type="character" w:customStyle="1" w:styleId="bpu-text-italic">
    <w:name w:val="bpu-text-italic"/>
    <w:basedOn w:val="Policepardfaut"/>
    <w:rsid w:val="0038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7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1BE5-25E2-4E11-95D0-98942721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Rochette</dc:creator>
  <cp:keywords/>
  <dc:description/>
  <cp:lastModifiedBy>Rochette Bruno</cp:lastModifiedBy>
  <cp:revision>2</cp:revision>
  <dcterms:created xsi:type="dcterms:W3CDTF">2025-12-06T12:44:00Z</dcterms:created>
  <dcterms:modified xsi:type="dcterms:W3CDTF">2025-12-06T12:44:00Z</dcterms:modified>
</cp:coreProperties>
</file>