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42FB" w14:textId="446001E2" w:rsidR="003D161F" w:rsidRDefault="003D161F" w:rsidP="003D161F">
      <w:pPr>
        <w:pStyle w:val="NormalWeb"/>
        <w:jc w:val="both"/>
        <w:rPr>
          <w:rFonts w:ascii="Calibri" w:hAnsi="Calibri" w:cs="Calibri"/>
          <w:b/>
          <w:bCs/>
          <w:sz w:val="36"/>
          <w:szCs w:val="36"/>
          <w:lang w:val="en-US"/>
        </w:rPr>
      </w:pPr>
      <w:r w:rsidRPr="003D161F">
        <w:rPr>
          <w:rFonts w:ascii="Calibri" w:hAnsi="Calibri" w:cs="Calibri"/>
          <w:b/>
          <w:bCs/>
          <w:sz w:val="36"/>
          <w:szCs w:val="36"/>
          <w:lang w:val="en-US"/>
        </w:rPr>
        <w:t xml:space="preserve">Background: </w:t>
      </w:r>
    </w:p>
    <w:p w14:paraId="19D24FAD" w14:textId="0ED1D792" w:rsidR="00AD2762" w:rsidRPr="00AD2762" w:rsidRDefault="00AD2762" w:rsidP="003D161F">
      <w:pPr>
        <w:pStyle w:val="NormalWeb"/>
        <w:jc w:val="both"/>
        <w:rPr>
          <w:rFonts w:ascii="Calibri" w:hAnsi="Calibri" w:cs="Calibri"/>
          <w:lang w:val="en-US"/>
        </w:rPr>
      </w:pPr>
      <w:r w:rsidRPr="00AD2762">
        <w:rPr>
          <w:rFonts w:ascii="Calibri" w:hAnsi="Calibri" w:cs="Calibri"/>
          <w:lang w:val="en-US"/>
        </w:rPr>
        <w:t xml:space="preserve">Kidneys from DCD are increasingly used in transplantation, </w:t>
      </w:r>
      <w:proofErr w:type="spellStart"/>
      <w:r w:rsidRPr="00AD2762">
        <w:rPr>
          <w:rFonts w:ascii="Calibri" w:hAnsi="Calibri" w:cs="Calibri"/>
          <w:lang w:val="en-US"/>
        </w:rPr>
        <w:t>although</w:t>
      </w:r>
      <w:proofErr w:type="spellEnd"/>
      <w:r w:rsidRPr="00AD2762">
        <w:rPr>
          <w:rFonts w:ascii="Calibri" w:hAnsi="Calibri" w:cs="Calibri"/>
          <w:lang w:val="en-US"/>
        </w:rPr>
        <w:t xml:space="preserve"> of suboptimal </w:t>
      </w:r>
      <w:proofErr w:type="spellStart"/>
      <w:r w:rsidRPr="00AD2762">
        <w:rPr>
          <w:rFonts w:ascii="Calibri" w:hAnsi="Calibri" w:cs="Calibri"/>
          <w:lang w:val="en-US"/>
        </w:rPr>
        <w:t>quality</w:t>
      </w:r>
      <w:proofErr w:type="spellEnd"/>
      <w:r w:rsidRPr="00AD2762">
        <w:rPr>
          <w:rFonts w:ascii="Calibri" w:hAnsi="Calibri" w:cs="Calibri"/>
          <w:lang w:val="en-US"/>
        </w:rPr>
        <w:t xml:space="preserve">. Advanced </w:t>
      </w:r>
      <w:proofErr w:type="spellStart"/>
      <w:r w:rsidRPr="00AD2762">
        <w:rPr>
          <w:rFonts w:ascii="Calibri" w:hAnsi="Calibri" w:cs="Calibri"/>
          <w:lang w:val="en-US"/>
        </w:rPr>
        <w:t>preservation</w:t>
      </w:r>
      <w:proofErr w:type="spellEnd"/>
      <w:r w:rsidRPr="00AD2762">
        <w:rPr>
          <w:rFonts w:ascii="Calibri" w:hAnsi="Calibri" w:cs="Calibri"/>
          <w:lang w:val="en-US"/>
        </w:rPr>
        <w:t xml:space="preserve"> </w:t>
      </w:r>
      <w:proofErr w:type="spellStart"/>
      <w:r w:rsidRPr="00AD2762">
        <w:rPr>
          <w:rFonts w:ascii="Calibri" w:hAnsi="Calibri" w:cs="Calibri"/>
          <w:lang w:val="en-US"/>
        </w:rPr>
        <w:t>strategies</w:t>
      </w:r>
      <w:proofErr w:type="spellEnd"/>
      <w:r w:rsidRPr="00AD2762">
        <w:rPr>
          <w:rFonts w:ascii="Calibri" w:hAnsi="Calibri" w:cs="Calibri"/>
          <w:lang w:val="en-US"/>
        </w:rPr>
        <w:t xml:space="preserve">, </w:t>
      </w:r>
      <w:proofErr w:type="spellStart"/>
      <w:r w:rsidRPr="00AD2762">
        <w:rPr>
          <w:rFonts w:ascii="Calibri" w:hAnsi="Calibri" w:cs="Calibri"/>
          <w:lang w:val="en-US"/>
        </w:rPr>
        <w:t>such</w:t>
      </w:r>
      <w:proofErr w:type="spellEnd"/>
      <w:r w:rsidRPr="00AD2762">
        <w:rPr>
          <w:rFonts w:ascii="Calibri" w:hAnsi="Calibri" w:cs="Calibri"/>
          <w:lang w:val="en-US"/>
        </w:rPr>
        <w:t xml:space="preserve"> as </w:t>
      </w:r>
      <w:proofErr w:type="spellStart"/>
      <w:r w:rsidRPr="00AD2762">
        <w:rPr>
          <w:rFonts w:ascii="Calibri" w:hAnsi="Calibri" w:cs="Calibri"/>
          <w:lang w:val="en-US"/>
        </w:rPr>
        <w:t>normothermic</w:t>
      </w:r>
      <w:proofErr w:type="spellEnd"/>
      <w:r w:rsidRPr="00AD2762">
        <w:rPr>
          <w:rFonts w:ascii="Calibri" w:hAnsi="Calibri" w:cs="Calibri"/>
          <w:lang w:val="en-US"/>
        </w:rPr>
        <w:t xml:space="preserve"> machine perfusion (NMP), may mitigate ischemic injury.</w:t>
      </w:r>
      <w:r>
        <w:rPr>
          <w:rFonts w:ascii="Calibri" w:hAnsi="Calibri" w:cs="Calibri"/>
          <w:lang w:val="en-US"/>
        </w:rPr>
        <w:t xml:space="preserve"> </w:t>
      </w:r>
      <w:r>
        <w:rPr>
          <w:rFonts w:ascii="Calibri" w:hAnsi="Calibri" w:cs="Calibri"/>
          <w:lang w:val="en-US"/>
        </w:rPr>
        <w:fldChar w:fldCharType="begin"/>
      </w:r>
      <w:r>
        <w:rPr>
          <w:rFonts w:ascii="Calibri" w:hAnsi="Calibri" w:cs="Calibri"/>
          <w:lang w:val="en-US"/>
        </w:rPr>
        <w:instrText xml:space="preserve"> ADDIN ZOTERO_ITEM CSL_CITATION {"citationID":"pjy9fCFY","properties":{"formattedCitation":"\\super 1\\uc0\\u8211{}3\\nosupersub{}","plainCitation":"1–3","noteIndex":0},"citationItems":[{"id":6713,"uris":["http://zotero.org/users/10703342/items/ZY2WRUEB"],"itemData":{"id":6713,"type":"article-journal","abstract":"Normothermic machine perfusion (NMP) is a clinical strategy to reduce renal ischemia-reperfusion injury (IRI). Optimal NMP should restore metabolism and minimize IRI induced inflammatory responses. Microdialysis was used to evaluate renal metabolism. This study aimed to assess the effect of complement inhibition on NMP induced inflammatory responses. Twenty-two pig kidneys underwent 18 h of static cold storage (SCS) followed by 4 h of NMP using a closed-circuit system. Kidneys were randomized to receive a C5-inhibitor or placebo during SCS and NMP. Perfusion resulted in rapidly stabilized renal flow, low renal resistance, and urine production. During SCS, tissue microdialysate levels of glucose and pyruvate decreased significantly, whereas glycerol increased (p &lt; 0.001). In the first hour of NMP, glucose and pyruvate increased while glycerol decreased (p &lt; 0.001). After 4 h, all metabolites had returned to baseline. Inflammatory markers C3a, soluble C5b-9, TNF, IL-6, IL-1β, IL-8, and IL-10 increased significantly during NMP in perfusate and kidney tissue. C5-inhibition significantly decreased perfusate and urine soluble C5b-9 (p &lt; 0.001; p = 0.002, respectively), and tissue IL-1β (p = 0.049), but did not alter other inflammatory markers. Microdialysis can accurately monitor the effect of NMP on renal metabolism. Closed-circuit NMP induces inflammation, which appeared partly complement-mediated. Targeting additional immune inhibitors should be the next step.,","container-title":"Transplant International","DOI":"10.3389/ti.2024.13348","ISSN":"0934-0874","journalAbbreviation":"Transpl Int","note":"PMID: 39606689\nPMCID: PMC11598510","page":"13348","source":"PubMed Central","title":"Normothermic Machine Perfusion Reconstitutes Porcine Kidney Tissue Metabolism But Induces an Inflammatory Response, Which Is Reduced by Complement C5 Inhibition","volume":"37","author":[{"family":"Boer","given":"Eline","non-dropping-particle":"de"},{"family":"Sokolova","given":"Marina"},{"family":"Jager","given":"Neeltina M."},{"family":"Schjalm","given":"Camilla"},{"family":"Weiss","given":"Marc G."},{"family":"Liavåg","given":"Olav M."},{"family":"Maassen","given":"Hanno"},{"family":"Goor","given":"Harry","non-dropping-particle":"van"},{"family":"Thorgersen","given":"Ebbe Billmann"},{"family":"Pettersen","given":"Kristin"},{"family":"Christiansen","given":"Dorte"},{"family":"Ludviksen","given":"Judith Krey"},{"family":"Jespersen","given":"Bente"},{"family":"Mollnes","given":"Tom E."},{"family":"Leuvenink","given":"Henri G. D."},{"family":"Pischke","given":"Søren E."}],"issued":{"date-parts":[["2024",11,13]]}}},{"id":6582,"uris":["http://zotero.org/users/10703342/items/TF5EAB38"],"itemData":{"id":6582,"type":"article-journal","abstract":"Ex vivo normothermic machine perfusion (NMP) has improved organ preservation and viability assessment among heart, liver, and lung transplantation. However, literature regarding the application of NMP in human clinical kidney transplantation remains limited. Numerous kidneys, especially from donors with stage 3 acute kidney injury (AKI), are not utilized concerning the high rate of delayed graft function (DGF) and primary nonfunction. The present study investigated the impact of NMP (135-150 min) on short-term outcomes after kidney transplantation from deceased donors with AKI.\nMETHODS: Graft outcomes of NMP kidneys were compared with contralateral kidneys stored in static cold storage (SCS) from the same donor with AKI during December 2019-June 2021. The study's primary aim is to assess the safety and feasibility of NMP in deceased donors with AKI. The primary outcome was DGF. Secondary outcomes were duration of DGF, biopsy-proven rejection, postoperative intrarenal resistive index, postoperative infections, hospital stay duration, primary nonfunction, and kidney function estimated glomerular filtrate rate at discharge, 3 mo, and 1 y.\nRESULTS: Five pairs of AKI kidneys (NMP versus SCS) were included in the final analysis. The results show no statistically significant differences in clinical outcomes between NMP versus SCS kidneys; however, NMP kidneys demonstrated slightly improved estimated glomerular filtrate rate at 3 mo (59.8 ± 5.93 [59] versus 75.20 ± 14.94 [74]) mL/min/1.73 m2 (P &lt; 0.065) and at the last follow-up (12-29 mo) (72.80 ± 10.71 [75]) versus (94 ± 22.67 [82]) mL/min/1.73 m2 (P &lt; 0.059) as compared with SCS kidneys. A higher proportion of NMP kidneys had normal intrarenal resistive index (0.5-0.7) and mild acute tubular injury on protocol biopsy, suggesting NMP is safe and feasible in deceased donors with acute kidney injury.\nCONCLUSIONS: NMPs of AKI donor kidneys are safe and feasible. A larger cohort is required to explore the reconditioning effect of NMP on AKI kidneys.","container-title":"Transplantation Direct","ISSN":"2373-8731","issue":"11","journalAbbreviation":"Transplant Direct","language":"eng","note":"PMID: 36299442\nPMCID: PMC9592475","page":"e1391","source":"PubMed","title":"Application of Ex Vivo Normothermic Machine Perfusion in Deceased Donors With Acute Kidney Injury With Successful Renal Transplantation: A Preliminary Experience","title-short":"Application of Ex Vivo Normothermic Machine Perfusion in Deceased Donors With Acute Kidney Injury With Successful Renal Transplantation","volume":"8","author":[{"family":"Choudhary","given":"Devprakash"},{"family":"Sharma","given":"Ashish"},{"family":"Singh","given":"Sarbpreet"},{"family":"Kenwar","given":"Deepesh B."},{"family":"Walker Minz","given":"Ranjana"},{"family":"Singh Kohli","given":"Harbir"},{"family":"Nada","given":"Ritambhra"},{"family":"Wangkheimayum","given":"Sujata"},{"family":"Jain","given":"Kajal"},{"family":"Patil","given":"Shivakumar S."}],"issued":{"date-parts":[["2022",11]]}}},{"id":6653,"uris":["http://zotero.org/users/10703342/items/KS7FLGVP"],"itemData":{"id":6653,"type":"article-journal","abstract":"Objective: \n          To investigate whether ischemia alters donor kidney metabolism and whether these changes are associated with organ function.\n          Background: \n          An unmet need in kidney transplantation is the ability to predict posttransplant organ function before transplantation. Key to such viability testing is a profound understanding of the organ’s complex biochemistry and how ischemia, inevitable during the transplantation process, influences this.\n          Methods: \n          First, metabolic changes in perfusate glucose, lactate, and 20 amino acids, induced by no, 1 hour of warm, or 22 hours of cold ischemia, were investigated during 4-hour perfusion of pig kidneys with autologous whole blood (n = 6/group), simulating the ischemia-reperfusion phase of transplantation. Next, we confirmed similar metabolic changes during normothermic preservation of pigs (n = 3/group; n = 4 for cold ischemia) and discarded human kidneys (n = 6) perfused with a red blood cell-based perfusate.\n          Results: \n          At 2 hours of perfusion with autologous whole blood, abundances of 17/20 amino acids were significantly different between groups, reflecting the type of ischemia. Amino acid changes at 15 minutes and 2 hours of perfusion correlated with future kidney function during perfusion. Similar metabolic patterns were observed during perfusion preservation of pig and discarded human donor kidneys, suggesting an opportunity to assess kidney viability before transplantation.\n          Conclusions: \n          Perfusate metabolite changes during normothermic kidney perfusion represent a unique noninvasive opportunity to assess graft viability. These findings now need validation in transplant studies.","container-title":"Annals of Surgery","ISSN":"0003-4932","issue":"1","language":"en-US","page":"156","source":"journals.lww.com","title":"Ischemia-induced Metabolic Patterns Associate With Kidney Function During Normothermic Kidney Perfusion: A Preclinical Study","title-short":"Ischemia-induced Metabolic Patterns Associate With Kidney Function During Normothermic Kidney Perfusion","volume":"280","author":[{"family":"De Beule","given":"Julie"},{"family":"De Craemer","given":"Sam"},{"family":"Verstraeten","given":"Laurence"},{"family":"Ghesquière","given":"Bart"},{"family":"Jochmans","given":"Ina"}],"issued":{"date-parts":[["2024",7]]}}}],"schema":"https://github.com/citation-style-language/schema/raw/master/csl-citation.json"} </w:instrText>
      </w:r>
      <w:r>
        <w:rPr>
          <w:rFonts w:ascii="Calibri" w:hAnsi="Calibri" w:cs="Calibri"/>
          <w:lang w:val="en-US"/>
        </w:rPr>
        <w:fldChar w:fldCharType="separate"/>
      </w:r>
      <w:r w:rsidRPr="00AD2762">
        <w:rPr>
          <w:rFonts w:ascii="Calibri" w:hAnsi="Calibri" w:cs="Calibri"/>
          <w:vertAlign w:val="superscript"/>
          <w:lang w:val="fr-FR"/>
        </w:rPr>
        <w:t>1–3</w:t>
      </w:r>
      <w:r>
        <w:rPr>
          <w:rFonts w:ascii="Calibri" w:hAnsi="Calibri" w:cs="Calibri"/>
          <w:lang w:val="en-US"/>
        </w:rPr>
        <w:fldChar w:fldCharType="end"/>
      </w:r>
      <w:r w:rsidRPr="00AD2762">
        <w:rPr>
          <w:rFonts w:ascii="Calibri" w:hAnsi="Calibri" w:cs="Calibri"/>
          <w:lang w:val="en-US"/>
        </w:rPr>
        <w:t xml:space="preserve"> Additionally, mesenchymal stromal cells (MSCs), known for their immunomodulatory and tissue-repair properties, offer a potential therapeutic approach.</w:t>
      </w:r>
      <w:r>
        <w:rPr>
          <w:rFonts w:ascii="Calibri" w:hAnsi="Calibri" w:cs="Calibri"/>
          <w:lang w:val="en-US"/>
        </w:rPr>
        <w:fldChar w:fldCharType="begin"/>
      </w:r>
      <w:r>
        <w:rPr>
          <w:rFonts w:ascii="Calibri" w:hAnsi="Calibri" w:cs="Calibri"/>
          <w:lang w:val="en-US"/>
        </w:rPr>
        <w:instrText xml:space="preserve"> ADDIN ZOTERO_ITEM CSL_CITATION {"citationID":"wo9ASi05","properties":{"formattedCitation":"\\super 4\\uc0\\u8211{}6\\nosupersub{}","plainCitation":"4–6","noteIndex":0},"citationItems":[{"id":2343,"uris":["http://zotero.org/users/10703342/items/36DVUVQ5"],"itemData":{"id":2343,"type":"article-journal","abstract":"Over the past decade, the clinical application of mesenchymal stromal cells (MSCs) has generated growing enthusiasm as an innovative cell-based approach in solid organ transplantation (SOT). These expectations arise from a significant number of both transplant- A nd non-transplant-related experimental studies investigating the complex anti-inflammatory, immunomodulatory, and tissue-repair properties of MSCs. Promising preclinical results have prompted clinical trials using MSC-based therapy in SOT. In the present review, the general properties of MSCs are summarized, with a particular emphasis on MSC-mediated impact on the immune system and in the ischemic conditioning strategy. Next, we chronologically detail all clinical trials using MSCs in the field of SOT. Finally, we envision the challenges and perspectives of MSC-based cell therapy in SOT.","container-title":"Transplantation","issue":"5","page":"923-936","title":"Mesenchymal Stromal Cells in Solid Organ Transplantation","volume":"104","author":[{"family":"Vandermeulen","given":"Morgan"},{"family":"Erpicum","given":"Pauline"},{"family":"Weekers","given":"Laurent"},{"family":"Briquet","given":"Alexandra"},{"family":"Lechanteur","given":"Chantal"},{"family":"Detry","given":"Olivier"},{"family":"Beguin","given":"Yves"},{"family":"Jouret","given":"François"}],"issued":{"date-parts":[["2020"]]}}},{"id":1235,"uris":["http://zotero.org/users/10703342/items/YKKREW9J"],"itemData":{"id":1235,"type":"article-journal","archive":"Scopus","container-title":"Kidney International","issue":"3","page":"693-707","title":"Infusion of third-party mesenchymal stromal cells after kidney transplantation: a phase I-II, open-label, clinical study","volume":"95","author":[{"family":"Erpicum","given":"P."},{"family":"Weekers","given":"L."},{"family":"Detry","given":"O."},{"family":"Bonvoisin","given":"C."},{"family":"Delbouille","given":"M.-H."},{"family":"Grégoire","given":"C."},{"family":"Baudoux","given":"E."},{"family":"Briquet","given":"A."},{"family":"Lechanteur","given":"C."},{"family":"Maggipinto","given":"G."},{"family":"Somja","given":"J."},{"family":"Pottel","given":"H."},{"family":"Baron","given":"F."},{"family":"Jouret","given":"F."},{"family":"Beguin","given":"Y."}],"issued":{"date-parts":[["2019"]]}}},{"id":976,"uris":["http://zotero.org/users/10703342/items/4VM2WILK"],"itemData":{"id":976,"type":"article-journal","archive":"Scopus","container-title":"Transplantation","DOI":"10.1097/TP.0000000000003429","page":"517-528","title":"Ex Vivo Administration of Mesenchymal Stromal Cells in Kidney Grafts against Ischemia-reperfusion Injury - Effective Delivery without Kidney Function Improvement Posttransplant","author":[{"family":"Lohmann","given":"S."},{"family":"Eijken","given":"M."},{"family":"Møldrup","given":"U."},{"family":"Møller","given":"B.K."},{"family":"Hunter","given":"J."},{"family":"Moers","given":"C."},{"family":"Leuvenink","given":"H."},{"family":"Ploeg","given":"R.J."},{"family":"Clahsen-Van Groningen","given":"M.C."},{"family":"Hoogduijn","given":"M."},{"family":"Baan","given":"C.C."},{"family":"Keller","given":"A.K."},{"family":"Jespersen","given":"B."}],"issued":{"date-parts":[["2021"]]}}}],"schema":"https://github.com/citation-style-language/schema/raw/master/csl-citation.json"} </w:instrText>
      </w:r>
      <w:r>
        <w:rPr>
          <w:rFonts w:ascii="Calibri" w:hAnsi="Calibri" w:cs="Calibri"/>
          <w:lang w:val="en-US"/>
        </w:rPr>
        <w:fldChar w:fldCharType="separate"/>
      </w:r>
      <w:r w:rsidRPr="00AD2762">
        <w:rPr>
          <w:rFonts w:ascii="Calibri" w:hAnsi="Calibri" w:cs="Calibri"/>
          <w:vertAlign w:val="superscript"/>
          <w:lang w:val="fr-FR"/>
        </w:rPr>
        <w:t>4–6</w:t>
      </w:r>
      <w:r>
        <w:rPr>
          <w:rFonts w:ascii="Calibri" w:hAnsi="Calibri" w:cs="Calibri"/>
          <w:lang w:val="en-US"/>
        </w:rPr>
        <w:fldChar w:fldCharType="end"/>
      </w:r>
      <w:r>
        <w:rPr>
          <w:rFonts w:ascii="Calibri" w:hAnsi="Calibri" w:cs="Calibri"/>
          <w:lang w:val="en-US"/>
        </w:rPr>
        <w:t xml:space="preserve"> </w:t>
      </w:r>
      <w:r w:rsidRPr="00AD2762">
        <w:rPr>
          <w:rFonts w:ascii="Calibri" w:hAnsi="Calibri" w:cs="Calibri"/>
          <w:lang w:val="en-US"/>
        </w:rPr>
        <w:t xml:space="preserve"> However, concerns regarding the toxicity of MSC injection directly into the renal artery persist. We assess the safety and efficacy of MSC administration during NMP in a paired placebo-</w:t>
      </w:r>
      <w:proofErr w:type="spellStart"/>
      <w:r w:rsidRPr="00AD2762">
        <w:rPr>
          <w:rFonts w:ascii="Calibri" w:hAnsi="Calibri" w:cs="Calibri"/>
          <w:lang w:val="en-US"/>
        </w:rPr>
        <w:t>controlled</w:t>
      </w:r>
      <w:proofErr w:type="spellEnd"/>
      <w:r w:rsidRPr="00AD2762">
        <w:rPr>
          <w:rFonts w:ascii="Calibri" w:hAnsi="Calibri" w:cs="Calibri"/>
          <w:lang w:val="en-US"/>
        </w:rPr>
        <w:t xml:space="preserve"> </w:t>
      </w:r>
      <w:proofErr w:type="spellStart"/>
      <w:r w:rsidRPr="00AD2762">
        <w:rPr>
          <w:rFonts w:ascii="Calibri" w:hAnsi="Calibri" w:cs="Calibri"/>
          <w:lang w:val="en-US"/>
        </w:rPr>
        <w:t>blinded</w:t>
      </w:r>
      <w:proofErr w:type="spellEnd"/>
      <w:r w:rsidRPr="00AD2762">
        <w:rPr>
          <w:rFonts w:ascii="Calibri" w:hAnsi="Calibri" w:cs="Calibri"/>
          <w:lang w:val="en-US"/>
        </w:rPr>
        <w:t xml:space="preserve"> </w:t>
      </w:r>
      <w:proofErr w:type="spellStart"/>
      <w:r w:rsidRPr="00AD2762">
        <w:rPr>
          <w:rFonts w:ascii="Calibri" w:hAnsi="Calibri" w:cs="Calibri"/>
          <w:lang w:val="en-US"/>
        </w:rPr>
        <w:t>study</w:t>
      </w:r>
      <w:proofErr w:type="spellEnd"/>
      <w:r w:rsidRPr="00AD2762">
        <w:rPr>
          <w:rFonts w:ascii="Calibri" w:hAnsi="Calibri" w:cs="Calibri"/>
          <w:lang w:val="en-US"/>
        </w:rPr>
        <w:t xml:space="preserve"> in </w:t>
      </w:r>
      <w:proofErr w:type="spellStart"/>
      <w:r w:rsidRPr="00AD2762">
        <w:rPr>
          <w:rFonts w:ascii="Calibri" w:hAnsi="Calibri" w:cs="Calibri"/>
          <w:lang w:val="en-US"/>
        </w:rPr>
        <w:t>pigs</w:t>
      </w:r>
      <w:proofErr w:type="spellEnd"/>
      <w:r w:rsidRPr="00AD2762">
        <w:rPr>
          <w:rFonts w:ascii="Calibri" w:hAnsi="Calibri" w:cs="Calibri"/>
          <w:lang w:val="en-US"/>
        </w:rPr>
        <w:t xml:space="preserve">. </w:t>
      </w:r>
    </w:p>
    <w:p w14:paraId="09EAECD0" w14:textId="410938BC" w:rsidR="003D161F" w:rsidRDefault="003D161F" w:rsidP="003D161F">
      <w:pPr>
        <w:pStyle w:val="NormalWeb"/>
        <w:jc w:val="both"/>
        <w:rPr>
          <w:rFonts w:ascii="Calibri" w:hAnsi="Calibri" w:cs="Calibri"/>
          <w:b/>
          <w:bCs/>
          <w:sz w:val="36"/>
          <w:szCs w:val="36"/>
          <w:lang w:val="en-US"/>
        </w:rPr>
      </w:pPr>
      <w:r>
        <w:rPr>
          <w:rFonts w:ascii="Calibri" w:hAnsi="Calibri" w:cs="Calibri"/>
          <w:b/>
          <w:bCs/>
          <w:sz w:val="36"/>
          <w:szCs w:val="36"/>
          <w:lang w:val="en-US"/>
        </w:rPr>
        <w:t xml:space="preserve">Material &amp; </w:t>
      </w:r>
      <w:r w:rsidRPr="003D161F">
        <w:rPr>
          <w:rFonts w:ascii="Calibri" w:hAnsi="Calibri" w:cs="Calibri"/>
          <w:b/>
          <w:bCs/>
          <w:sz w:val="36"/>
          <w:szCs w:val="36"/>
          <w:lang w:val="en-US"/>
        </w:rPr>
        <w:t>Method</w:t>
      </w:r>
      <w:r>
        <w:rPr>
          <w:rFonts w:ascii="Calibri" w:hAnsi="Calibri" w:cs="Calibri"/>
          <w:b/>
          <w:bCs/>
          <w:sz w:val="36"/>
          <w:szCs w:val="36"/>
          <w:lang w:val="en-US"/>
        </w:rPr>
        <w:t>s</w:t>
      </w:r>
      <w:r w:rsidRPr="003D161F">
        <w:rPr>
          <w:rFonts w:ascii="Calibri" w:hAnsi="Calibri" w:cs="Calibri"/>
          <w:b/>
          <w:bCs/>
          <w:sz w:val="36"/>
          <w:szCs w:val="36"/>
          <w:lang w:val="en-US"/>
        </w:rPr>
        <w:t xml:space="preserve">: </w:t>
      </w:r>
    </w:p>
    <w:p w14:paraId="63F96107" w14:textId="5A646FD1" w:rsidR="00AD2762" w:rsidRDefault="00AD2762" w:rsidP="003D161F">
      <w:pPr>
        <w:pStyle w:val="NormalWeb"/>
        <w:jc w:val="both"/>
        <w:rPr>
          <w:rFonts w:ascii="ArialMT" w:hAnsi="ArialMT"/>
          <w:sz w:val="20"/>
          <w:szCs w:val="20"/>
          <w:lang w:val="en-US"/>
        </w:rPr>
      </w:pPr>
      <w:r w:rsidRPr="00AD2762">
        <w:rPr>
          <w:rFonts w:ascii="Calibri" w:hAnsi="Calibri" w:cs="Calibri"/>
          <w:lang w:val="en-US"/>
        </w:rPr>
        <w:t xml:space="preserve">Pig kidneys (n=10) underwent 30 minutes of warm ischemia and 3 hours of cold ischemia before 6 hours of NMP at 37°C. After 45 minutes of NMP, 10 million human MSCs were injected into the renal artery of one kidney, while the contralateral kidney received a placebo. Blinding was secured throughout the experimentation. Perfusion </w:t>
      </w:r>
      <w:proofErr w:type="spellStart"/>
      <w:r w:rsidRPr="00AD2762">
        <w:rPr>
          <w:rFonts w:ascii="Calibri" w:hAnsi="Calibri" w:cs="Calibri"/>
          <w:lang w:val="en-US"/>
        </w:rPr>
        <w:t>parameters</w:t>
      </w:r>
      <w:proofErr w:type="spellEnd"/>
      <w:r w:rsidRPr="00AD2762">
        <w:rPr>
          <w:rFonts w:ascii="Calibri" w:hAnsi="Calibri" w:cs="Calibri"/>
          <w:lang w:val="en-US"/>
        </w:rPr>
        <w:t xml:space="preserve"> were continuously monitored. Creatinine and </w:t>
      </w:r>
      <w:proofErr w:type="spellStart"/>
      <w:r w:rsidRPr="00AD2762">
        <w:rPr>
          <w:rFonts w:ascii="Calibri" w:hAnsi="Calibri" w:cs="Calibri"/>
          <w:lang w:val="en-US"/>
        </w:rPr>
        <w:t>iohexol</w:t>
      </w:r>
      <w:proofErr w:type="spellEnd"/>
      <w:r w:rsidRPr="00AD2762">
        <w:rPr>
          <w:rFonts w:ascii="Calibri" w:hAnsi="Calibri" w:cs="Calibri"/>
          <w:lang w:val="en-US"/>
        </w:rPr>
        <w:t xml:space="preserve"> clearances were assessed. Urine output and perfusate samples were collected hourly to quantify cytokine levels (e.g., IL-10, TNF-α).</w:t>
      </w:r>
      <w:r w:rsidRPr="00AD2762">
        <w:rPr>
          <w:rFonts w:ascii="ArialMT" w:hAnsi="ArialMT"/>
          <w:sz w:val="20"/>
          <w:szCs w:val="20"/>
          <w:lang w:val="en-US"/>
        </w:rPr>
        <w:t xml:space="preserve"> </w:t>
      </w:r>
    </w:p>
    <w:p w14:paraId="4B8B1783" w14:textId="727DECFB" w:rsidR="003D161F" w:rsidRDefault="003D161F" w:rsidP="003D161F">
      <w:pPr>
        <w:pStyle w:val="NormalWeb"/>
        <w:jc w:val="both"/>
        <w:rPr>
          <w:rFonts w:ascii="Calibri" w:hAnsi="Calibri" w:cs="Calibri"/>
          <w:b/>
          <w:bCs/>
          <w:sz w:val="36"/>
          <w:szCs w:val="36"/>
          <w:lang w:val="en-US"/>
        </w:rPr>
      </w:pPr>
      <w:r w:rsidRPr="003D161F">
        <w:rPr>
          <w:rFonts w:ascii="Calibri" w:hAnsi="Calibri" w:cs="Calibri"/>
          <w:b/>
          <w:bCs/>
          <w:sz w:val="36"/>
          <w:szCs w:val="36"/>
          <w:lang w:val="en-US"/>
        </w:rPr>
        <w:t xml:space="preserve">Results: </w:t>
      </w:r>
    </w:p>
    <w:p w14:paraId="78527B8E" w14:textId="4E8AB77A" w:rsidR="00AD2762" w:rsidRPr="00AD2762" w:rsidRDefault="00AD2762" w:rsidP="003D161F">
      <w:pPr>
        <w:pStyle w:val="NormalWeb"/>
        <w:jc w:val="both"/>
        <w:rPr>
          <w:rFonts w:ascii="Calibri" w:hAnsi="Calibri" w:cs="Calibri"/>
          <w:lang w:val="en-US"/>
        </w:rPr>
      </w:pPr>
      <w:r w:rsidRPr="00AD2762">
        <w:rPr>
          <w:rFonts w:ascii="Calibri" w:hAnsi="Calibri" w:cs="Calibri"/>
          <w:lang w:val="en-US"/>
        </w:rPr>
        <w:t xml:space="preserve">No </w:t>
      </w:r>
      <w:proofErr w:type="spellStart"/>
      <w:r w:rsidRPr="00AD2762">
        <w:rPr>
          <w:rFonts w:ascii="Calibri" w:hAnsi="Calibri" w:cs="Calibri"/>
          <w:lang w:val="en-US"/>
        </w:rPr>
        <w:t>significant</w:t>
      </w:r>
      <w:proofErr w:type="spellEnd"/>
      <w:r w:rsidRPr="00AD2762">
        <w:rPr>
          <w:rFonts w:ascii="Calibri" w:hAnsi="Calibri" w:cs="Calibri"/>
          <w:lang w:val="en-US"/>
        </w:rPr>
        <w:t xml:space="preserve"> </w:t>
      </w:r>
      <w:proofErr w:type="spellStart"/>
      <w:r w:rsidRPr="00AD2762">
        <w:rPr>
          <w:rFonts w:ascii="Calibri" w:hAnsi="Calibri" w:cs="Calibri"/>
          <w:lang w:val="en-US"/>
        </w:rPr>
        <w:t>differences</w:t>
      </w:r>
      <w:proofErr w:type="spellEnd"/>
      <w:r w:rsidRPr="00AD2762">
        <w:rPr>
          <w:rFonts w:ascii="Calibri" w:hAnsi="Calibri" w:cs="Calibri"/>
          <w:lang w:val="en-US"/>
        </w:rPr>
        <w:t xml:space="preserve"> </w:t>
      </w:r>
      <w:proofErr w:type="spellStart"/>
      <w:r w:rsidRPr="00AD2762">
        <w:rPr>
          <w:rFonts w:ascii="Calibri" w:hAnsi="Calibri" w:cs="Calibri"/>
          <w:lang w:val="en-US"/>
        </w:rPr>
        <w:t>were</w:t>
      </w:r>
      <w:proofErr w:type="spellEnd"/>
      <w:r w:rsidRPr="00AD2762">
        <w:rPr>
          <w:rFonts w:ascii="Calibri" w:hAnsi="Calibri" w:cs="Calibri"/>
          <w:lang w:val="en-US"/>
        </w:rPr>
        <w:t xml:space="preserve"> </w:t>
      </w:r>
      <w:proofErr w:type="spellStart"/>
      <w:r w:rsidRPr="00AD2762">
        <w:rPr>
          <w:rFonts w:ascii="Calibri" w:hAnsi="Calibri" w:cs="Calibri"/>
          <w:lang w:val="en-US"/>
        </w:rPr>
        <w:t>observed</w:t>
      </w:r>
      <w:proofErr w:type="spellEnd"/>
      <w:r w:rsidRPr="00AD2762">
        <w:rPr>
          <w:rFonts w:ascii="Calibri" w:hAnsi="Calibri" w:cs="Calibri"/>
          <w:lang w:val="en-US"/>
        </w:rPr>
        <w:t xml:space="preserve"> in perfusion </w:t>
      </w:r>
      <w:proofErr w:type="spellStart"/>
      <w:r w:rsidRPr="00AD2762">
        <w:rPr>
          <w:rFonts w:ascii="Calibri" w:hAnsi="Calibri" w:cs="Calibri"/>
          <w:lang w:val="en-US"/>
        </w:rPr>
        <w:t>parameters</w:t>
      </w:r>
      <w:proofErr w:type="spellEnd"/>
      <w:r w:rsidRPr="00AD2762">
        <w:rPr>
          <w:rFonts w:ascii="Calibri" w:hAnsi="Calibri" w:cs="Calibri"/>
          <w:lang w:val="en-US"/>
        </w:rPr>
        <w:t xml:space="preserve"> (flow, pressure, vascular resistance) between MSC-infused and </w:t>
      </w:r>
      <w:r>
        <w:rPr>
          <w:rFonts w:ascii="Calibri" w:hAnsi="Calibri" w:cs="Calibri"/>
          <w:lang w:val="en-US"/>
        </w:rPr>
        <w:t>control</w:t>
      </w:r>
      <w:r w:rsidRPr="00AD2762">
        <w:rPr>
          <w:rFonts w:ascii="Calibri" w:hAnsi="Calibri" w:cs="Calibri"/>
          <w:lang w:val="en-US"/>
        </w:rPr>
        <w:t xml:space="preserve"> </w:t>
      </w:r>
      <w:r>
        <w:rPr>
          <w:rFonts w:ascii="Calibri" w:hAnsi="Calibri" w:cs="Calibri"/>
          <w:lang w:val="en-US"/>
        </w:rPr>
        <w:t>group</w:t>
      </w:r>
      <w:r w:rsidRPr="00AD2762">
        <w:rPr>
          <w:rFonts w:ascii="Calibri" w:hAnsi="Calibri" w:cs="Calibri"/>
          <w:lang w:val="en-US"/>
        </w:rPr>
        <w:t xml:space="preserve">, indicating the absence of disturbances caused by MSCs. Similarly, no differences were found in arterial blood gas metrics. The cytokine assay reveals that the majority of cytokines are undetectable at the onset of perfusion but exhibit an increase after three hours. Notably, TNF-alpha appears to decline further after six hours of perfusion. Ongoing analyses aim to evaluate the clearance rates of creatinine and iohexol for </w:t>
      </w:r>
      <w:proofErr w:type="spellStart"/>
      <w:r w:rsidRPr="00AD2762">
        <w:rPr>
          <w:rFonts w:ascii="Calibri" w:hAnsi="Calibri" w:cs="Calibri"/>
          <w:lang w:val="en-US"/>
        </w:rPr>
        <w:t>further</w:t>
      </w:r>
      <w:proofErr w:type="spellEnd"/>
      <w:r w:rsidRPr="00AD2762">
        <w:rPr>
          <w:rFonts w:ascii="Calibri" w:hAnsi="Calibri" w:cs="Calibri"/>
          <w:lang w:val="en-US"/>
        </w:rPr>
        <w:t xml:space="preserve"> insights.</w:t>
      </w:r>
    </w:p>
    <w:p w14:paraId="6F8A6095" w14:textId="00A941EB" w:rsidR="003D161F" w:rsidRDefault="003D161F" w:rsidP="003D161F">
      <w:pPr>
        <w:pStyle w:val="NormalWeb"/>
        <w:jc w:val="both"/>
        <w:rPr>
          <w:rFonts w:ascii="Calibri" w:hAnsi="Calibri" w:cs="Calibri"/>
          <w:b/>
          <w:bCs/>
          <w:sz w:val="36"/>
          <w:szCs w:val="36"/>
          <w:lang w:val="en-US"/>
        </w:rPr>
      </w:pPr>
      <w:r w:rsidRPr="003D161F">
        <w:rPr>
          <w:rFonts w:ascii="Calibri" w:hAnsi="Calibri" w:cs="Calibri"/>
          <w:b/>
          <w:bCs/>
          <w:sz w:val="36"/>
          <w:szCs w:val="36"/>
          <w:lang w:val="en-US"/>
        </w:rPr>
        <w:t xml:space="preserve">Conclusion: </w:t>
      </w:r>
    </w:p>
    <w:p w14:paraId="19E7FC4D" w14:textId="3B42567E" w:rsidR="00AD2762" w:rsidRPr="00AD2762" w:rsidRDefault="00AD2762" w:rsidP="00AD2762">
      <w:pPr>
        <w:pStyle w:val="p1"/>
        <w:jc w:val="both"/>
        <w:rPr>
          <w:rFonts w:ascii="Calibri" w:hAnsi="Calibri" w:cs="Calibri"/>
          <w:lang w:val="en-US"/>
        </w:rPr>
      </w:pPr>
      <w:r w:rsidRPr="00AD2762">
        <w:rPr>
          <w:rFonts w:ascii="Calibri" w:hAnsi="Calibri" w:cs="Calibri"/>
          <w:lang w:val="en-US"/>
        </w:rPr>
        <w:t xml:space="preserve">This study demonstrates that intra-arterial administration of human MSCs during normothermic machine perfusion is safe and does not impair perfusion parameters in a porcine kidney model. While cytokine dynamics suggest evolving immune activity over time, no significant differences were observed between MSC-treated and control kidneys. </w:t>
      </w:r>
    </w:p>
    <w:p w14:paraId="46821CD7" w14:textId="307BADF7" w:rsidR="002C309E" w:rsidRDefault="003D161F" w:rsidP="003D161F">
      <w:pPr>
        <w:pStyle w:val="NormalWeb"/>
        <w:jc w:val="both"/>
        <w:rPr>
          <w:rFonts w:ascii="Calibri" w:hAnsi="Calibri" w:cs="Calibri"/>
          <w:b/>
          <w:bCs/>
          <w:sz w:val="36"/>
          <w:szCs w:val="36"/>
          <w:lang w:val="en-US"/>
        </w:rPr>
      </w:pPr>
      <w:r w:rsidRPr="003D161F">
        <w:rPr>
          <w:rFonts w:ascii="Calibri" w:hAnsi="Calibri" w:cs="Calibri"/>
          <w:b/>
          <w:bCs/>
          <w:sz w:val="36"/>
          <w:szCs w:val="36"/>
          <w:lang w:val="en-US"/>
        </w:rPr>
        <w:t>References</w:t>
      </w:r>
      <w:r>
        <w:rPr>
          <w:rFonts w:ascii="Calibri" w:hAnsi="Calibri" w:cs="Calibri"/>
          <w:b/>
          <w:bCs/>
          <w:sz w:val="36"/>
          <w:szCs w:val="36"/>
          <w:lang w:val="en-US"/>
        </w:rPr>
        <w:t xml:space="preserve">: </w:t>
      </w:r>
    </w:p>
    <w:p w14:paraId="3D69CB4D" w14:textId="77777777" w:rsidR="00AD2762" w:rsidRPr="00AD2762" w:rsidRDefault="00AD2762" w:rsidP="00AD2762">
      <w:pPr>
        <w:pStyle w:val="Bibliography"/>
        <w:jc w:val="both"/>
        <w:rPr>
          <w:sz w:val="14"/>
          <w:szCs w:val="15"/>
        </w:rPr>
      </w:pPr>
      <w:r>
        <w:fldChar w:fldCharType="begin"/>
      </w:r>
      <w:r>
        <w:instrText xml:space="preserve"> ADDIN ZOTERO_BIBL {"uncited":[],"omitted":[],"custom":[]} CSL_BIBLIOGRAPHY </w:instrText>
      </w:r>
      <w:r>
        <w:fldChar w:fldCharType="separate"/>
      </w:r>
      <w:r w:rsidRPr="00AD2762">
        <w:t>1.</w:t>
      </w:r>
      <w:r w:rsidRPr="00AD2762">
        <w:tab/>
      </w:r>
      <w:r w:rsidRPr="00AD2762">
        <w:rPr>
          <w:sz w:val="14"/>
          <w:szCs w:val="15"/>
        </w:rPr>
        <w:t xml:space="preserve">de Boer, E. </w:t>
      </w:r>
      <w:r w:rsidRPr="00AD2762">
        <w:rPr>
          <w:i/>
          <w:iCs/>
          <w:sz w:val="14"/>
          <w:szCs w:val="15"/>
        </w:rPr>
        <w:t>et al.</w:t>
      </w:r>
      <w:r w:rsidRPr="00AD2762">
        <w:rPr>
          <w:sz w:val="14"/>
          <w:szCs w:val="15"/>
        </w:rPr>
        <w:t xml:space="preserve"> Normothermic Machine Perfusion Reconstitutes Porcine Kidney Tissue Metabolism </w:t>
      </w:r>
      <w:proofErr w:type="gramStart"/>
      <w:r w:rsidRPr="00AD2762">
        <w:rPr>
          <w:sz w:val="14"/>
          <w:szCs w:val="15"/>
        </w:rPr>
        <w:t>But</w:t>
      </w:r>
      <w:proofErr w:type="gramEnd"/>
      <w:r w:rsidRPr="00AD2762">
        <w:rPr>
          <w:sz w:val="14"/>
          <w:szCs w:val="15"/>
        </w:rPr>
        <w:t xml:space="preserve"> Induces an Inflammatory Response, Which Is Reduced by Complement C5 Inhibition. </w:t>
      </w:r>
      <w:proofErr w:type="spellStart"/>
      <w:r w:rsidRPr="00AD2762">
        <w:rPr>
          <w:i/>
          <w:iCs/>
          <w:sz w:val="14"/>
          <w:szCs w:val="15"/>
        </w:rPr>
        <w:t>Transpl</w:t>
      </w:r>
      <w:proofErr w:type="spellEnd"/>
      <w:r w:rsidRPr="00AD2762">
        <w:rPr>
          <w:i/>
          <w:iCs/>
          <w:sz w:val="14"/>
          <w:szCs w:val="15"/>
        </w:rPr>
        <w:t xml:space="preserve"> Int</w:t>
      </w:r>
      <w:r w:rsidRPr="00AD2762">
        <w:rPr>
          <w:sz w:val="14"/>
          <w:szCs w:val="15"/>
        </w:rPr>
        <w:t xml:space="preserve"> </w:t>
      </w:r>
      <w:r w:rsidRPr="00AD2762">
        <w:rPr>
          <w:b/>
          <w:bCs/>
          <w:sz w:val="14"/>
          <w:szCs w:val="15"/>
        </w:rPr>
        <w:t>37</w:t>
      </w:r>
      <w:r w:rsidRPr="00AD2762">
        <w:rPr>
          <w:sz w:val="14"/>
          <w:szCs w:val="15"/>
        </w:rPr>
        <w:t>, 13348 (2024).</w:t>
      </w:r>
    </w:p>
    <w:p w14:paraId="1EA9115B" w14:textId="77777777" w:rsidR="00AD2762" w:rsidRPr="00AD2762" w:rsidRDefault="00AD2762" w:rsidP="00AD2762">
      <w:pPr>
        <w:pStyle w:val="Bibliography"/>
        <w:jc w:val="both"/>
        <w:rPr>
          <w:sz w:val="14"/>
          <w:szCs w:val="15"/>
        </w:rPr>
      </w:pPr>
      <w:r w:rsidRPr="00AD2762">
        <w:rPr>
          <w:sz w:val="14"/>
          <w:szCs w:val="15"/>
        </w:rPr>
        <w:t>2.</w:t>
      </w:r>
      <w:r w:rsidRPr="00AD2762">
        <w:rPr>
          <w:sz w:val="14"/>
          <w:szCs w:val="15"/>
        </w:rPr>
        <w:tab/>
        <w:t xml:space="preserve">Choudhary, D. </w:t>
      </w:r>
      <w:r w:rsidRPr="00AD2762">
        <w:rPr>
          <w:i/>
          <w:iCs/>
          <w:sz w:val="14"/>
          <w:szCs w:val="15"/>
        </w:rPr>
        <w:t>et al.</w:t>
      </w:r>
      <w:r w:rsidRPr="00AD2762">
        <w:rPr>
          <w:sz w:val="14"/>
          <w:szCs w:val="15"/>
        </w:rPr>
        <w:t xml:space="preserve"> Application of Ex Vivo Normothermic Machine Perfusion in Deceased Donors </w:t>
      </w:r>
      <w:proofErr w:type="gramStart"/>
      <w:r w:rsidRPr="00AD2762">
        <w:rPr>
          <w:sz w:val="14"/>
          <w:szCs w:val="15"/>
        </w:rPr>
        <w:t>With</w:t>
      </w:r>
      <w:proofErr w:type="gramEnd"/>
      <w:r w:rsidRPr="00AD2762">
        <w:rPr>
          <w:sz w:val="14"/>
          <w:szCs w:val="15"/>
        </w:rPr>
        <w:t xml:space="preserve"> Acute Kidney Injury </w:t>
      </w:r>
      <w:proofErr w:type="gramStart"/>
      <w:r w:rsidRPr="00AD2762">
        <w:rPr>
          <w:sz w:val="14"/>
          <w:szCs w:val="15"/>
        </w:rPr>
        <w:t>With</w:t>
      </w:r>
      <w:proofErr w:type="gramEnd"/>
      <w:r w:rsidRPr="00AD2762">
        <w:rPr>
          <w:sz w:val="14"/>
          <w:szCs w:val="15"/>
        </w:rPr>
        <w:t xml:space="preserve"> Successful Renal Transplantation: A Preliminary Experience. </w:t>
      </w:r>
      <w:r w:rsidRPr="00AD2762">
        <w:rPr>
          <w:i/>
          <w:iCs/>
          <w:sz w:val="14"/>
          <w:szCs w:val="15"/>
        </w:rPr>
        <w:t>Transplant Direct</w:t>
      </w:r>
      <w:r w:rsidRPr="00AD2762">
        <w:rPr>
          <w:sz w:val="14"/>
          <w:szCs w:val="15"/>
        </w:rPr>
        <w:t xml:space="preserve"> </w:t>
      </w:r>
      <w:r w:rsidRPr="00AD2762">
        <w:rPr>
          <w:b/>
          <w:bCs/>
          <w:sz w:val="14"/>
          <w:szCs w:val="15"/>
        </w:rPr>
        <w:t>8</w:t>
      </w:r>
      <w:r w:rsidRPr="00AD2762">
        <w:rPr>
          <w:sz w:val="14"/>
          <w:szCs w:val="15"/>
        </w:rPr>
        <w:t>, e1391 (2022).</w:t>
      </w:r>
    </w:p>
    <w:p w14:paraId="570B955E" w14:textId="77777777" w:rsidR="00AD2762" w:rsidRPr="00AD2762" w:rsidRDefault="00AD2762" w:rsidP="00AD2762">
      <w:pPr>
        <w:pStyle w:val="Bibliography"/>
        <w:jc w:val="both"/>
        <w:rPr>
          <w:sz w:val="14"/>
          <w:szCs w:val="15"/>
        </w:rPr>
      </w:pPr>
      <w:r w:rsidRPr="00AD2762">
        <w:rPr>
          <w:sz w:val="14"/>
          <w:szCs w:val="15"/>
        </w:rPr>
        <w:t>3.</w:t>
      </w:r>
      <w:r w:rsidRPr="00AD2762">
        <w:rPr>
          <w:sz w:val="14"/>
          <w:szCs w:val="15"/>
        </w:rPr>
        <w:tab/>
        <w:t xml:space="preserve">De Beule, J., De Craemer, S., </w:t>
      </w:r>
      <w:proofErr w:type="spellStart"/>
      <w:r w:rsidRPr="00AD2762">
        <w:rPr>
          <w:sz w:val="14"/>
          <w:szCs w:val="15"/>
        </w:rPr>
        <w:t>Verstraeten</w:t>
      </w:r>
      <w:proofErr w:type="spellEnd"/>
      <w:r w:rsidRPr="00AD2762">
        <w:rPr>
          <w:sz w:val="14"/>
          <w:szCs w:val="15"/>
        </w:rPr>
        <w:t xml:space="preserve">, L., Ghesquière, B. &amp; </w:t>
      </w:r>
      <w:proofErr w:type="spellStart"/>
      <w:r w:rsidRPr="00AD2762">
        <w:rPr>
          <w:sz w:val="14"/>
          <w:szCs w:val="15"/>
        </w:rPr>
        <w:t>Jochmans</w:t>
      </w:r>
      <w:proofErr w:type="spellEnd"/>
      <w:r w:rsidRPr="00AD2762">
        <w:rPr>
          <w:sz w:val="14"/>
          <w:szCs w:val="15"/>
        </w:rPr>
        <w:t xml:space="preserve">, I. Ischemia-induced Metabolic Patterns Associate </w:t>
      </w:r>
      <w:proofErr w:type="gramStart"/>
      <w:r w:rsidRPr="00AD2762">
        <w:rPr>
          <w:sz w:val="14"/>
          <w:szCs w:val="15"/>
        </w:rPr>
        <w:t>With</w:t>
      </w:r>
      <w:proofErr w:type="gramEnd"/>
      <w:r w:rsidRPr="00AD2762">
        <w:rPr>
          <w:sz w:val="14"/>
          <w:szCs w:val="15"/>
        </w:rPr>
        <w:t xml:space="preserve"> Kidney Function During Normothermic Kidney Perfusion: A Preclinical Study. </w:t>
      </w:r>
      <w:r w:rsidRPr="00AD2762">
        <w:rPr>
          <w:i/>
          <w:iCs/>
          <w:sz w:val="14"/>
          <w:szCs w:val="15"/>
        </w:rPr>
        <w:t>Annals of Surgery</w:t>
      </w:r>
      <w:r w:rsidRPr="00AD2762">
        <w:rPr>
          <w:sz w:val="14"/>
          <w:szCs w:val="15"/>
        </w:rPr>
        <w:t xml:space="preserve"> </w:t>
      </w:r>
      <w:r w:rsidRPr="00AD2762">
        <w:rPr>
          <w:b/>
          <w:bCs/>
          <w:sz w:val="14"/>
          <w:szCs w:val="15"/>
        </w:rPr>
        <w:t>280</w:t>
      </w:r>
      <w:r w:rsidRPr="00AD2762">
        <w:rPr>
          <w:sz w:val="14"/>
          <w:szCs w:val="15"/>
        </w:rPr>
        <w:t>, 156 (2024).</w:t>
      </w:r>
    </w:p>
    <w:p w14:paraId="726E11A9" w14:textId="77777777" w:rsidR="00AD2762" w:rsidRPr="00AD2762" w:rsidRDefault="00AD2762" w:rsidP="00AD2762">
      <w:pPr>
        <w:pStyle w:val="Bibliography"/>
        <w:jc w:val="both"/>
        <w:rPr>
          <w:sz w:val="14"/>
          <w:szCs w:val="15"/>
        </w:rPr>
      </w:pPr>
      <w:r w:rsidRPr="00AD2762">
        <w:rPr>
          <w:sz w:val="14"/>
          <w:szCs w:val="15"/>
        </w:rPr>
        <w:t>4.</w:t>
      </w:r>
      <w:r w:rsidRPr="00AD2762">
        <w:rPr>
          <w:sz w:val="14"/>
          <w:szCs w:val="15"/>
        </w:rPr>
        <w:tab/>
        <w:t xml:space="preserve">Vandermeulen, M. </w:t>
      </w:r>
      <w:r w:rsidRPr="00AD2762">
        <w:rPr>
          <w:i/>
          <w:iCs/>
          <w:sz w:val="14"/>
          <w:szCs w:val="15"/>
        </w:rPr>
        <w:t>et al.</w:t>
      </w:r>
      <w:r w:rsidRPr="00AD2762">
        <w:rPr>
          <w:sz w:val="14"/>
          <w:szCs w:val="15"/>
        </w:rPr>
        <w:t xml:space="preserve"> Mesenchymal Stromal Cells in Solid Organ Transplantation. </w:t>
      </w:r>
      <w:r w:rsidRPr="00AD2762">
        <w:rPr>
          <w:i/>
          <w:iCs/>
          <w:sz w:val="14"/>
          <w:szCs w:val="15"/>
        </w:rPr>
        <w:t>Transplantation</w:t>
      </w:r>
      <w:r w:rsidRPr="00AD2762">
        <w:rPr>
          <w:sz w:val="14"/>
          <w:szCs w:val="15"/>
        </w:rPr>
        <w:t xml:space="preserve"> </w:t>
      </w:r>
      <w:r w:rsidRPr="00AD2762">
        <w:rPr>
          <w:b/>
          <w:bCs/>
          <w:sz w:val="14"/>
          <w:szCs w:val="15"/>
        </w:rPr>
        <w:t>104</w:t>
      </w:r>
      <w:r w:rsidRPr="00AD2762">
        <w:rPr>
          <w:sz w:val="14"/>
          <w:szCs w:val="15"/>
        </w:rPr>
        <w:t>, 923–936 (2020).</w:t>
      </w:r>
    </w:p>
    <w:p w14:paraId="03A86A6C" w14:textId="77777777" w:rsidR="00AD2762" w:rsidRPr="00AD2762" w:rsidRDefault="00AD2762" w:rsidP="00AD2762">
      <w:pPr>
        <w:pStyle w:val="Bibliography"/>
        <w:jc w:val="both"/>
        <w:rPr>
          <w:sz w:val="14"/>
          <w:szCs w:val="15"/>
        </w:rPr>
      </w:pPr>
      <w:r w:rsidRPr="00AD2762">
        <w:rPr>
          <w:sz w:val="14"/>
          <w:szCs w:val="15"/>
        </w:rPr>
        <w:lastRenderedPageBreak/>
        <w:t>5.</w:t>
      </w:r>
      <w:r w:rsidRPr="00AD2762">
        <w:rPr>
          <w:sz w:val="14"/>
          <w:szCs w:val="15"/>
        </w:rPr>
        <w:tab/>
      </w:r>
      <w:proofErr w:type="spellStart"/>
      <w:r w:rsidRPr="00AD2762">
        <w:rPr>
          <w:sz w:val="14"/>
          <w:szCs w:val="15"/>
        </w:rPr>
        <w:t>Erpicum</w:t>
      </w:r>
      <w:proofErr w:type="spellEnd"/>
      <w:r w:rsidRPr="00AD2762">
        <w:rPr>
          <w:sz w:val="14"/>
          <w:szCs w:val="15"/>
        </w:rPr>
        <w:t xml:space="preserve">, P. </w:t>
      </w:r>
      <w:r w:rsidRPr="00AD2762">
        <w:rPr>
          <w:i/>
          <w:iCs/>
          <w:sz w:val="14"/>
          <w:szCs w:val="15"/>
        </w:rPr>
        <w:t>et al.</w:t>
      </w:r>
      <w:r w:rsidRPr="00AD2762">
        <w:rPr>
          <w:sz w:val="14"/>
          <w:szCs w:val="15"/>
        </w:rPr>
        <w:t xml:space="preserve"> Infusion of third-party mesenchymal stromal cells after kidney transplantation: a phase I-II, open-label, clinical study. </w:t>
      </w:r>
      <w:r w:rsidRPr="00AD2762">
        <w:rPr>
          <w:i/>
          <w:iCs/>
          <w:sz w:val="14"/>
          <w:szCs w:val="15"/>
        </w:rPr>
        <w:t>Kidney International</w:t>
      </w:r>
      <w:r w:rsidRPr="00AD2762">
        <w:rPr>
          <w:sz w:val="14"/>
          <w:szCs w:val="15"/>
        </w:rPr>
        <w:t xml:space="preserve"> </w:t>
      </w:r>
      <w:r w:rsidRPr="00AD2762">
        <w:rPr>
          <w:b/>
          <w:bCs/>
          <w:sz w:val="14"/>
          <w:szCs w:val="15"/>
        </w:rPr>
        <w:t>95</w:t>
      </w:r>
      <w:r w:rsidRPr="00AD2762">
        <w:rPr>
          <w:sz w:val="14"/>
          <w:szCs w:val="15"/>
        </w:rPr>
        <w:t>, 693–707 (2019).</w:t>
      </w:r>
    </w:p>
    <w:p w14:paraId="6F07659B" w14:textId="3EB48B70" w:rsidR="00AD2762" w:rsidRPr="00AD2762" w:rsidRDefault="00AD2762" w:rsidP="00AD2762">
      <w:pPr>
        <w:pStyle w:val="Bibliography"/>
        <w:jc w:val="both"/>
        <w:rPr>
          <w:sz w:val="14"/>
          <w:szCs w:val="15"/>
        </w:rPr>
      </w:pPr>
      <w:r w:rsidRPr="00AD2762">
        <w:rPr>
          <w:sz w:val="14"/>
          <w:szCs w:val="15"/>
        </w:rPr>
        <w:t>6.</w:t>
      </w:r>
      <w:r w:rsidRPr="00AD2762">
        <w:rPr>
          <w:sz w:val="14"/>
          <w:szCs w:val="15"/>
        </w:rPr>
        <w:tab/>
        <w:t xml:space="preserve">Lohmann, S. </w:t>
      </w:r>
      <w:r w:rsidRPr="00AD2762">
        <w:rPr>
          <w:i/>
          <w:iCs/>
          <w:sz w:val="14"/>
          <w:szCs w:val="15"/>
        </w:rPr>
        <w:t>et al.</w:t>
      </w:r>
      <w:r w:rsidRPr="00AD2762">
        <w:rPr>
          <w:sz w:val="14"/>
          <w:szCs w:val="15"/>
        </w:rPr>
        <w:t xml:space="preserve"> Ex Vivo Administration of Mesenchymal Stromal Cells in Kidney Grafts against Ischemia-reperfusion Injury - Effective Delivery without Kidney Function Improvement Posttransplant. </w:t>
      </w:r>
      <w:r w:rsidRPr="00AD2762">
        <w:rPr>
          <w:i/>
          <w:iCs/>
          <w:sz w:val="14"/>
          <w:szCs w:val="15"/>
        </w:rPr>
        <w:t>Transplantation</w:t>
      </w:r>
      <w:r w:rsidRPr="00AD2762">
        <w:rPr>
          <w:sz w:val="14"/>
          <w:szCs w:val="15"/>
        </w:rPr>
        <w:t xml:space="preserve"> 517–528 (2021) </w:t>
      </w:r>
    </w:p>
    <w:p w14:paraId="6004C9F6" w14:textId="23A8FC73" w:rsidR="003D161F" w:rsidRPr="00541724" w:rsidRDefault="00AD2762" w:rsidP="00AD2762">
      <w:pPr>
        <w:pStyle w:val="NormalWeb"/>
        <w:rPr>
          <w:lang w:val="en-US"/>
        </w:rPr>
      </w:pPr>
      <w:r>
        <w:rPr>
          <w:rFonts w:ascii="ArialMT" w:hAnsi="ArialMT"/>
          <w:sz w:val="18"/>
          <w:szCs w:val="18"/>
          <w:lang w:val="en-US"/>
        </w:rPr>
        <w:fldChar w:fldCharType="end"/>
      </w:r>
      <w:r w:rsidR="00541724" w:rsidRPr="00541724">
        <w:rPr>
          <w:rFonts w:ascii="ArialMT" w:hAnsi="ArialMT"/>
          <w:sz w:val="18"/>
          <w:szCs w:val="18"/>
          <w:lang w:val="en-US"/>
        </w:rPr>
        <w:t xml:space="preserve"> </w:t>
      </w:r>
    </w:p>
    <w:sectPr w:rsidR="003D161F" w:rsidRPr="005417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50CC" w14:textId="77777777" w:rsidR="00940452" w:rsidRDefault="00940452" w:rsidP="00541724">
      <w:r>
        <w:separator/>
      </w:r>
    </w:p>
  </w:endnote>
  <w:endnote w:type="continuationSeparator" w:id="0">
    <w:p w14:paraId="617D7C05" w14:textId="77777777" w:rsidR="00940452" w:rsidRDefault="00940452" w:rsidP="0054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9A3A" w14:textId="77777777" w:rsidR="00940452" w:rsidRDefault="00940452" w:rsidP="00541724">
      <w:r>
        <w:separator/>
      </w:r>
    </w:p>
  </w:footnote>
  <w:footnote w:type="continuationSeparator" w:id="0">
    <w:p w14:paraId="3637E02B" w14:textId="77777777" w:rsidR="00940452" w:rsidRDefault="00940452" w:rsidP="00541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667C"/>
    <w:multiLevelType w:val="hybridMultilevel"/>
    <w:tmpl w:val="7F16E69C"/>
    <w:lvl w:ilvl="0" w:tplc="08B674DC">
      <w:start w:val="1"/>
      <w:numFmt w:val="decimal"/>
      <w:lvlText w:val="(%1)"/>
      <w:lvlJc w:val="left"/>
      <w:pPr>
        <w:ind w:left="720" w:hanging="360"/>
      </w:pPr>
      <w:rPr>
        <w:rFonts w:ascii="ArialMT" w:hAnsi="ArialMT"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574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1F"/>
    <w:rsid w:val="00162CA9"/>
    <w:rsid w:val="002C309E"/>
    <w:rsid w:val="003D161F"/>
    <w:rsid w:val="00541724"/>
    <w:rsid w:val="00791B28"/>
    <w:rsid w:val="00940452"/>
    <w:rsid w:val="009535D6"/>
    <w:rsid w:val="00AD2762"/>
    <w:rsid w:val="00D240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5322B4B"/>
  <w15:chartTrackingRefBased/>
  <w15:docId w15:val="{00609794-3A4A-7A47-BF4F-37655FA5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1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1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16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16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16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161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161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161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161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16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16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16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16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16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16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16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16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161F"/>
    <w:rPr>
      <w:rFonts w:eastAsiaTheme="majorEastAsia" w:cstheme="majorBidi"/>
      <w:color w:val="272727" w:themeColor="text1" w:themeTint="D8"/>
    </w:rPr>
  </w:style>
  <w:style w:type="paragraph" w:styleId="Titre">
    <w:name w:val="Title"/>
    <w:basedOn w:val="Normal"/>
    <w:next w:val="Normal"/>
    <w:link w:val="TitreCar"/>
    <w:uiPriority w:val="10"/>
    <w:qFormat/>
    <w:rsid w:val="003D161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16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161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16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161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D161F"/>
    <w:rPr>
      <w:i/>
      <w:iCs/>
      <w:color w:val="404040" w:themeColor="text1" w:themeTint="BF"/>
    </w:rPr>
  </w:style>
  <w:style w:type="paragraph" w:styleId="Paragraphedeliste">
    <w:name w:val="List Paragraph"/>
    <w:basedOn w:val="Normal"/>
    <w:uiPriority w:val="34"/>
    <w:qFormat/>
    <w:rsid w:val="003D161F"/>
    <w:pPr>
      <w:ind w:left="720"/>
      <w:contextualSpacing/>
    </w:pPr>
  </w:style>
  <w:style w:type="character" w:styleId="Accentuationintense">
    <w:name w:val="Intense Emphasis"/>
    <w:basedOn w:val="Policepardfaut"/>
    <w:uiPriority w:val="21"/>
    <w:qFormat/>
    <w:rsid w:val="003D161F"/>
    <w:rPr>
      <w:i/>
      <w:iCs/>
      <w:color w:val="0F4761" w:themeColor="accent1" w:themeShade="BF"/>
    </w:rPr>
  </w:style>
  <w:style w:type="paragraph" w:styleId="Citationintense">
    <w:name w:val="Intense Quote"/>
    <w:basedOn w:val="Normal"/>
    <w:next w:val="Normal"/>
    <w:link w:val="CitationintenseCar"/>
    <w:uiPriority w:val="30"/>
    <w:qFormat/>
    <w:rsid w:val="003D1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161F"/>
    <w:rPr>
      <w:i/>
      <w:iCs/>
      <w:color w:val="0F4761" w:themeColor="accent1" w:themeShade="BF"/>
    </w:rPr>
  </w:style>
  <w:style w:type="character" w:styleId="Rfrenceintense">
    <w:name w:val="Intense Reference"/>
    <w:basedOn w:val="Policepardfaut"/>
    <w:uiPriority w:val="32"/>
    <w:qFormat/>
    <w:rsid w:val="003D161F"/>
    <w:rPr>
      <w:b/>
      <w:bCs/>
      <w:smallCaps/>
      <w:color w:val="0F4761" w:themeColor="accent1" w:themeShade="BF"/>
      <w:spacing w:val="5"/>
    </w:rPr>
  </w:style>
  <w:style w:type="paragraph" w:styleId="NormalWeb">
    <w:name w:val="Normal (Web)"/>
    <w:basedOn w:val="Normal"/>
    <w:link w:val="NormalWebCar"/>
    <w:uiPriority w:val="99"/>
    <w:semiHidden/>
    <w:unhideWhenUsed/>
    <w:rsid w:val="003D161F"/>
    <w:pPr>
      <w:spacing w:before="100" w:beforeAutospacing="1" w:after="100" w:afterAutospacing="1"/>
    </w:pPr>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semiHidden/>
    <w:unhideWhenUsed/>
    <w:rsid w:val="00541724"/>
    <w:rPr>
      <w:sz w:val="20"/>
      <w:szCs w:val="20"/>
    </w:rPr>
  </w:style>
  <w:style w:type="character" w:customStyle="1" w:styleId="NotedebasdepageCar">
    <w:name w:val="Note de bas de page Car"/>
    <w:basedOn w:val="Policepardfaut"/>
    <w:link w:val="Notedebasdepage"/>
    <w:uiPriority w:val="99"/>
    <w:semiHidden/>
    <w:rsid w:val="00541724"/>
    <w:rPr>
      <w:sz w:val="20"/>
      <w:szCs w:val="20"/>
    </w:rPr>
  </w:style>
  <w:style w:type="character" w:styleId="Appelnotedebasdep">
    <w:name w:val="footnote reference"/>
    <w:basedOn w:val="Policepardfaut"/>
    <w:uiPriority w:val="99"/>
    <w:semiHidden/>
    <w:unhideWhenUsed/>
    <w:rsid w:val="00541724"/>
    <w:rPr>
      <w:vertAlign w:val="superscript"/>
    </w:rPr>
  </w:style>
  <w:style w:type="paragraph" w:customStyle="1" w:styleId="Bibliography">
    <w:name w:val="Bibliography"/>
    <w:basedOn w:val="Normal"/>
    <w:link w:val="BibliographyCar"/>
    <w:rsid w:val="00AD2762"/>
    <w:pPr>
      <w:tabs>
        <w:tab w:val="left" w:pos="260"/>
      </w:tabs>
      <w:spacing w:line="480" w:lineRule="auto"/>
      <w:ind w:left="264" w:hanging="264"/>
    </w:pPr>
    <w:rPr>
      <w:rFonts w:ascii="ArialMT" w:eastAsia="Times New Roman" w:hAnsi="ArialMT" w:cs="Times New Roman"/>
      <w:kern w:val="0"/>
      <w:sz w:val="18"/>
      <w:szCs w:val="18"/>
      <w:lang w:val="en-US" w:eastAsia="fr-FR"/>
      <w14:ligatures w14:val="none"/>
    </w:rPr>
  </w:style>
  <w:style w:type="character" w:customStyle="1" w:styleId="NormalWebCar">
    <w:name w:val="Normal (Web) Car"/>
    <w:basedOn w:val="Policepardfaut"/>
    <w:link w:val="NormalWeb"/>
    <w:uiPriority w:val="99"/>
    <w:semiHidden/>
    <w:rsid w:val="00AD2762"/>
    <w:rPr>
      <w:rFonts w:ascii="Times New Roman" w:eastAsia="Times New Roman" w:hAnsi="Times New Roman" w:cs="Times New Roman"/>
      <w:kern w:val="0"/>
      <w:lang w:eastAsia="fr-FR"/>
      <w14:ligatures w14:val="none"/>
    </w:rPr>
  </w:style>
  <w:style w:type="character" w:customStyle="1" w:styleId="BibliographyCar">
    <w:name w:val="Bibliography Car"/>
    <w:basedOn w:val="NormalWebCar"/>
    <w:link w:val="Bibliography"/>
    <w:rsid w:val="00AD2762"/>
    <w:rPr>
      <w:rFonts w:ascii="ArialMT" w:eastAsia="Times New Roman" w:hAnsi="ArialMT" w:cs="Times New Roman"/>
      <w:kern w:val="0"/>
      <w:sz w:val="18"/>
      <w:szCs w:val="18"/>
      <w:lang w:val="en-US" w:eastAsia="fr-FR"/>
      <w14:ligatures w14:val="none"/>
    </w:rPr>
  </w:style>
  <w:style w:type="paragraph" w:customStyle="1" w:styleId="p1">
    <w:name w:val="p1"/>
    <w:basedOn w:val="Normal"/>
    <w:rsid w:val="00AD2762"/>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078">
      <w:bodyDiv w:val="1"/>
      <w:marLeft w:val="0"/>
      <w:marRight w:val="0"/>
      <w:marTop w:val="0"/>
      <w:marBottom w:val="0"/>
      <w:divBdr>
        <w:top w:val="none" w:sz="0" w:space="0" w:color="auto"/>
        <w:left w:val="none" w:sz="0" w:space="0" w:color="auto"/>
        <w:bottom w:val="none" w:sz="0" w:space="0" w:color="auto"/>
        <w:right w:val="none" w:sz="0" w:space="0" w:color="auto"/>
      </w:divBdr>
      <w:divsChild>
        <w:div w:id="234318322">
          <w:marLeft w:val="0"/>
          <w:marRight w:val="0"/>
          <w:marTop w:val="0"/>
          <w:marBottom w:val="0"/>
          <w:divBdr>
            <w:top w:val="none" w:sz="0" w:space="0" w:color="auto"/>
            <w:left w:val="none" w:sz="0" w:space="0" w:color="auto"/>
            <w:bottom w:val="none" w:sz="0" w:space="0" w:color="auto"/>
            <w:right w:val="none" w:sz="0" w:space="0" w:color="auto"/>
          </w:divBdr>
          <w:divsChild>
            <w:div w:id="88475062">
              <w:marLeft w:val="0"/>
              <w:marRight w:val="0"/>
              <w:marTop w:val="0"/>
              <w:marBottom w:val="0"/>
              <w:divBdr>
                <w:top w:val="none" w:sz="0" w:space="0" w:color="auto"/>
                <w:left w:val="none" w:sz="0" w:space="0" w:color="auto"/>
                <w:bottom w:val="none" w:sz="0" w:space="0" w:color="auto"/>
                <w:right w:val="none" w:sz="0" w:space="0" w:color="auto"/>
              </w:divBdr>
              <w:divsChild>
                <w:div w:id="12982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2129">
      <w:bodyDiv w:val="1"/>
      <w:marLeft w:val="0"/>
      <w:marRight w:val="0"/>
      <w:marTop w:val="0"/>
      <w:marBottom w:val="0"/>
      <w:divBdr>
        <w:top w:val="none" w:sz="0" w:space="0" w:color="auto"/>
        <w:left w:val="none" w:sz="0" w:space="0" w:color="auto"/>
        <w:bottom w:val="none" w:sz="0" w:space="0" w:color="auto"/>
        <w:right w:val="none" w:sz="0" w:space="0" w:color="auto"/>
      </w:divBdr>
      <w:divsChild>
        <w:div w:id="771978825">
          <w:marLeft w:val="0"/>
          <w:marRight w:val="0"/>
          <w:marTop w:val="0"/>
          <w:marBottom w:val="0"/>
          <w:divBdr>
            <w:top w:val="none" w:sz="0" w:space="0" w:color="auto"/>
            <w:left w:val="none" w:sz="0" w:space="0" w:color="auto"/>
            <w:bottom w:val="none" w:sz="0" w:space="0" w:color="auto"/>
            <w:right w:val="none" w:sz="0" w:space="0" w:color="auto"/>
          </w:divBdr>
          <w:divsChild>
            <w:div w:id="330765411">
              <w:marLeft w:val="0"/>
              <w:marRight w:val="0"/>
              <w:marTop w:val="0"/>
              <w:marBottom w:val="0"/>
              <w:divBdr>
                <w:top w:val="none" w:sz="0" w:space="0" w:color="auto"/>
                <w:left w:val="none" w:sz="0" w:space="0" w:color="auto"/>
                <w:bottom w:val="none" w:sz="0" w:space="0" w:color="auto"/>
                <w:right w:val="none" w:sz="0" w:space="0" w:color="auto"/>
              </w:divBdr>
              <w:divsChild>
                <w:div w:id="16922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30819">
      <w:bodyDiv w:val="1"/>
      <w:marLeft w:val="0"/>
      <w:marRight w:val="0"/>
      <w:marTop w:val="0"/>
      <w:marBottom w:val="0"/>
      <w:divBdr>
        <w:top w:val="none" w:sz="0" w:space="0" w:color="auto"/>
        <w:left w:val="none" w:sz="0" w:space="0" w:color="auto"/>
        <w:bottom w:val="none" w:sz="0" w:space="0" w:color="auto"/>
        <w:right w:val="none" w:sz="0" w:space="0" w:color="auto"/>
      </w:divBdr>
      <w:divsChild>
        <w:div w:id="1260406703">
          <w:marLeft w:val="0"/>
          <w:marRight w:val="0"/>
          <w:marTop w:val="0"/>
          <w:marBottom w:val="0"/>
          <w:divBdr>
            <w:top w:val="none" w:sz="0" w:space="0" w:color="auto"/>
            <w:left w:val="none" w:sz="0" w:space="0" w:color="auto"/>
            <w:bottom w:val="none" w:sz="0" w:space="0" w:color="auto"/>
            <w:right w:val="none" w:sz="0" w:space="0" w:color="auto"/>
          </w:divBdr>
          <w:divsChild>
            <w:div w:id="698970659">
              <w:marLeft w:val="0"/>
              <w:marRight w:val="0"/>
              <w:marTop w:val="0"/>
              <w:marBottom w:val="0"/>
              <w:divBdr>
                <w:top w:val="none" w:sz="0" w:space="0" w:color="auto"/>
                <w:left w:val="none" w:sz="0" w:space="0" w:color="auto"/>
                <w:bottom w:val="none" w:sz="0" w:space="0" w:color="auto"/>
                <w:right w:val="none" w:sz="0" w:space="0" w:color="auto"/>
              </w:divBdr>
              <w:divsChild>
                <w:div w:id="19236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2690">
      <w:bodyDiv w:val="1"/>
      <w:marLeft w:val="0"/>
      <w:marRight w:val="0"/>
      <w:marTop w:val="0"/>
      <w:marBottom w:val="0"/>
      <w:divBdr>
        <w:top w:val="none" w:sz="0" w:space="0" w:color="auto"/>
        <w:left w:val="none" w:sz="0" w:space="0" w:color="auto"/>
        <w:bottom w:val="none" w:sz="0" w:space="0" w:color="auto"/>
        <w:right w:val="none" w:sz="0" w:space="0" w:color="auto"/>
      </w:divBdr>
      <w:divsChild>
        <w:div w:id="1356923868">
          <w:marLeft w:val="0"/>
          <w:marRight w:val="0"/>
          <w:marTop w:val="0"/>
          <w:marBottom w:val="0"/>
          <w:divBdr>
            <w:top w:val="none" w:sz="0" w:space="0" w:color="auto"/>
            <w:left w:val="none" w:sz="0" w:space="0" w:color="auto"/>
            <w:bottom w:val="none" w:sz="0" w:space="0" w:color="auto"/>
            <w:right w:val="none" w:sz="0" w:space="0" w:color="auto"/>
          </w:divBdr>
          <w:divsChild>
            <w:div w:id="174613450">
              <w:marLeft w:val="0"/>
              <w:marRight w:val="0"/>
              <w:marTop w:val="0"/>
              <w:marBottom w:val="0"/>
              <w:divBdr>
                <w:top w:val="none" w:sz="0" w:space="0" w:color="auto"/>
                <w:left w:val="none" w:sz="0" w:space="0" w:color="auto"/>
                <w:bottom w:val="none" w:sz="0" w:space="0" w:color="auto"/>
                <w:right w:val="none" w:sz="0" w:space="0" w:color="auto"/>
              </w:divBdr>
              <w:divsChild>
                <w:div w:id="16654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0885">
      <w:bodyDiv w:val="1"/>
      <w:marLeft w:val="0"/>
      <w:marRight w:val="0"/>
      <w:marTop w:val="0"/>
      <w:marBottom w:val="0"/>
      <w:divBdr>
        <w:top w:val="none" w:sz="0" w:space="0" w:color="auto"/>
        <w:left w:val="none" w:sz="0" w:space="0" w:color="auto"/>
        <w:bottom w:val="none" w:sz="0" w:space="0" w:color="auto"/>
        <w:right w:val="none" w:sz="0" w:space="0" w:color="auto"/>
      </w:divBdr>
      <w:divsChild>
        <w:div w:id="881019944">
          <w:marLeft w:val="0"/>
          <w:marRight w:val="0"/>
          <w:marTop w:val="0"/>
          <w:marBottom w:val="0"/>
          <w:divBdr>
            <w:top w:val="none" w:sz="0" w:space="0" w:color="auto"/>
            <w:left w:val="none" w:sz="0" w:space="0" w:color="auto"/>
            <w:bottom w:val="none" w:sz="0" w:space="0" w:color="auto"/>
            <w:right w:val="none" w:sz="0" w:space="0" w:color="auto"/>
          </w:divBdr>
          <w:divsChild>
            <w:div w:id="748888047">
              <w:marLeft w:val="0"/>
              <w:marRight w:val="0"/>
              <w:marTop w:val="0"/>
              <w:marBottom w:val="0"/>
              <w:divBdr>
                <w:top w:val="none" w:sz="0" w:space="0" w:color="auto"/>
                <w:left w:val="none" w:sz="0" w:space="0" w:color="auto"/>
                <w:bottom w:val="none" w:sz="0" w:space="0" w:color="auto"/>
                <w:right w:val="none" w:sz="0" w:space="0" w:color="auto"/>
              </w:divBdr>
              <w:divsChild>
                <w:div w:id="4223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00514">
      <w:bodyDiv w:val="1"/>
      <w:marLeft w:val="0"/>
      <w:marRight w:val="0"/>
      <w:marTop w:val="0"/>
      <w:marBottom w:val="0"/>
      <w:divBdr>
        <w:top w:val="none" w:sz="0" w:space="0" w:color="auto"/>
        <w:left w:val="none" w:sz="0" w:space="0" w:color="auto"/>
        <w:bottom w:val="none" w:sz="0" w:space="0" w:color="auto"/>
        <w:right w:val="none" w:sz="0" w:space="0" w:color="auto"/>
      </w:divBdr>
    </w:div>
    <w:div w:id="1827699597">
      <w:bodyDiv w:val="1"/>
      <w:marLeft w:val="0"/>
      <w:marRight w:val="0"/>
      <w:marTop w:val="0"/>
      <w:marBottom w:val="0"/>
      <w:divBdr>
        <w:top w:val="none" w:sz="0" w:space="0" w:color="auto"/>
        <w:left w:val="none" w:sz="0" w:space="0" w:color="auto"/>
        <w:bottom w:val="none" w:sz="0" w:space="0" w:color="auto"/>
        <w:right w:val="none" w:sz="0" w:space="0" w:color="auto"/>
      </w:divBdr>
      <w:divsChild>
        <w:div w:id="392244113">
          <w:marLeft w:val="0"/>
          <w:marRight w:val="0"/>
          <w:marTop w:val="0"/>
          <w:marBottom w:val="0"/>
          <w:divBdr>
            <w:top w:val="none" w:sz="0" w:space="0" w:color="auto"/>
            <w:left w:val="none" w:sz="0" w:space="0" w:color="auto"/>
            <w:bottom w:val="none" w:sz="0" w:space="0" w:color="auto"/>
            <w:right w:val="none" w:sz="0" w:space="0" w:color="auto"/>
          </w:divBdr>
          <w:divsChild>
            <w:div w:id="1797915775">
              <w:marLeft w:val="0"/>
              <w:marRight w:val="0"/>
              <w:marTop w:val="0"/>
              <w:marBottom w:val="0"/>
              <w:divBdr>
                <w:top w:val="none" w:sz="0" w:space="0" w:color="auto"/>
                <w:left w:val="none" w:sz="0" w:space="0" w:color="auto"/>
                <w:bottom w:val="none" w:sz="0" w:space="0" w:color="auto"/>
                <w:right w:val="none" w:sz="0" w:space="0" w:color="auto"/>
              </w:divBdr>
              <w:divsChild>
                <w:div w:id="5804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0137">
      <w:bodyDiv w:val="1"/>
      <w:marLeft w:val="0"/>
      <w:marRight w:val="0"/>
      <w:marTop w:val="0"/>
      <w:marBottom w:val="0"/>
      <w:divBdr>
        <w:top w:val="none" w:sz="0" w:space="0" w:color="auto"/>
        <w:left w:val="none" w:sz="0" w:space="0" w:color="auto"/>
        <w:bottom w:val="none" w:sz="0" w:space="0" w:color="auto"/>
        <w:right w:val="none" w:sz="0" w:space="0" w:color="auto"/>
      </w:divBdr>
      <w:divsChild>
        <w:div w:id="538202921">
          <w:marLeft w:val="0"/>
          <w:marRight w:val="0"/>
          <w:marTop w:val="0"/>
          <w:marBottom w:val="0"/>
          <w:divBdr>
            <w:top w:val="none" w:sz="0" w:space="0" w:color="auto"/>
            <w:left w:val="none" w:sz="0" w:space="0" w:color="auto"/>
            <w:bottom w:val="none" w:sz="0" w:space="0" w:color="auto"/>
            <w:right w:val="none" w:sz="0" w:space="0" w:color="auto"/>
          </w:divBdr>
          <w:divsChild>
            <w:div w:id="1367372128">
              <w:marLeft w:val="0"/>
              <w:marRight w:val="0"/>
              <w:marTop w:val="0"/>
              <w:marBottom w:val="0"/>
              <w:divBdr>
                <w:top w:val="none" w:sz="0" w:space="0" w:color="auto"/>
                <w:left w:val="none" w:sz="0" w:space="0" w:color="auto"/>
                <w:bottom w:val="none" w:sz="0" w:space="0" w:color="auto"/>
                <w:right w:val="none" w:sz="0" w:space="0" w:color="auto"/>
              </w:divBdr>
              <w:divsChild>
                <w:div w:id="76804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82D4-7CD7-C243-9DF2-7210A1BB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2421</Words>
  <Characters>13318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Navez Margaux</dc:creator>
  <cp:keywords/>
  <dc:description/>
  <cp:lastModifiedBy>Navez Margaux</cp:lastModifiedBy>
  <cp:revision>2</cp:revision>
  <dcterms:created xsi:type="dcterms:W3CDTF">2024-05-31T12:40:00Z</dcterms:created>
  <dcterms:modified xsi:type="dcterms:W3CDTF">2025-04-30T09:50:00Z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id="1F0sVlu0"/&gt;&lt;style id="http://www.zotero.org/styles/nature" hasBibliography="1" bibliographyStyleHasBeenSet="1"/&gt;&lt;prefs&gt;&lt;pref name="fieldType" value="Field"/&gt;&lt;/prefs&gt;&lt;/data&gt;</vt:lpwstr>
  </property>
</Properties>
</file>