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333"/>
        <w:gridCol w:w="5921"/>
        <w:gridCol w:w="2724"/>
      </w:tblGrid>
      <w:tr w:rsidR="007E063E" w:rsidRPr="005F2E48" w14:paraId="2678FB78" w14:textId="77777777" w:rsidTr="00E73E44">
        <w:trPr>
          <w:trHeight w:val="414"/>
        </w:trPr>
        <w:tc>
          <w:tcPr>
            <w:tcW w:w="1333" w:type="dxa"/>
            <w:vMerge w:val="restart"/>
            <w:shd w:val="clear" w:color="auto" w:fill="auto"/>
          </w:tcPr>
          <w:p w14:paraId="47EE0E03" w14:textId="77777777" w:rsidR="000D2155" w:rsidRPr="005F2E48" w:rsidRDefault="000D2155" w:rsidP="00657D75">
            <w:pPr>
              <w:spacing w:before="120" w:after="0" w:line="240" w:lineRule="auto"/>
              <w:rPr>
                <w:sz w:val="36"/>
                <w:lang w:val="en-US"/>
              </w:rPr>
            </w:pPr>
          </w:p>
        </w:tc>
        <w:tc>
          <w:tcPr>
            <w:tcW w:w="5921" w:type="dxa"/>
            <w:vMerge w:val="restart"/>
            <w:shd w:val="clear" w:color="auto" w:fill="auto"/>
          </w:tcPr>
          <w:p w14:paraId="129C6362" w14:textId="77777777" w:rsidR="000D2155" w:rsidRPr="005F2E48" w:rsidRDefault="000D2155" w:rsidP="00657D75">
            <w:pPr>
              <w:pStyle w:val="BasicParagraph"/>
              <w:spacing w:before="120"/>
              <w:jc w:val="center"/>
              <w:rPr>
                <w:rFonts w:ascii="Times New Roman" w:hAnsi="Times New Roman" w:cs="Times New Roman"/>
                <w:i/>
                <w:iCs/>
                <w:szCs w:val="16"/>
              </w:rPr>
            </w:pPr>
          </w:p>
          <w:p w14:paraId="149D555C" w14:textId="77777777" w:rsidR="000D2155" w:rsidRPr="005F2E48" w:rsidRDefault="000D2155" w:rsidP="00963CA1">
            <w:pPr>
              <w:pStyle w:val="BasicParagraph"/>
              <w:spacing w:before="360"/>
              <w:jc w:val="center"/>
              <w:rPr>
                <w:sz w:val="40"/>
              </w:rPr>
            </w:pPr>
            <w:r w:rsidRPr="005F2E48">
              <w:rPr>
                <w:rFonts w:ascii="Times New Roman" w:hAnsi="Times New Roman" w:cs="Times New Roman"/>
                <w:i/>
                <w:iCs/>
                <w:szCs w:val="16"/>
              </w:rPr>
              <w:t>Mendeleev Commun.</w:t>
            </w:r>
            <w:r w:rsidRPr="005F2E48">
              <w:rPr>
                <w:rFonts w:ascii="Times New Roman" w:hAnsi="Times New Roman" w:cs="Times New Roman"/>
                <w:szCs w:val="16"/>
              </w:rPr>
              <w:t xml:space="preserve">, </w:t>
            </w:r>
            <w:r w:rsidR="00963CA1" w:rsidRPr="005F2E48">
              <w:rPr>
                <w:rFonts w:ascii="Times New Roman" w:hAnsi="Times New Roman" w:cs="Times New Roman"/>
                <w:szCs w:val="16"/>
              </w:rPr>
              <w:t>2025</w:t>
            </w:r>
            <w:r w:rsidRPr="005F2E48">
              <w:rPr>
                <w:rFonts w:ascii="Times New Roman" w:hAnsi="Times New Roman" w:cs="Times New Roman"/>
                <w:szCs w:val="16"/>
              </w:rPr>
              <w:t xml:space="preserve">, </w:t>
            </w:r>
            <w:r w:rsidRPr="005F2E48">
              <w:rPr>
                <w:rFonts w:ascii="Times New Roman" w:hAnsi="Times New Roman" w:cs="Times New Roman"/>
                <w:b/>
                <w:bCs/>
                <w:szCs w:val="16"/>
              </w:rPr>
              <w:t>issue</w:t>
            </w:r>
            <w:r w:rsidRPr="005F2E48">
              <w:rPr>
                <w:rFonts w:ascii="Times New Roman" w:hAnsi="Times New Roman" w:cs="Times New Roman"/>
                <w:szCs w:val="16"/>
              </w:rPr>
              <w:t>, pages</w:t>
            </w:r>
          </w:p>
        </w:tc>
        <w:tc>
          <w:tcPr>
            <w:tcW w:w="2724" w:type="dxa"/>
            <w:shd w:val="clear" w:color="auto" w:fill="auto"/>
          </w:tcPr>
          <w:p w14:paraId="72E06B15" w14:textId="6BDD1AB1" w:rsidR="000D2155" w:rsidRPr="005F2E48" w:rsidRDefault="000D2155" w:rsidP="00657D75">
            <w:pPr>
              <w:spacing w:after="0" w:line="240" w:lineRule="auto"/>
              <w:rPr>
                <w:sz w:val="36"/>
                <w:lang w:val="en-US"/>
              </w:rPr>
            </w:pPr>
          </w:p>
        </w:tc>
      </w:tr>
      <w:tr w:rsidR="007E063E" w:rsidRPr="005F2E48" w14:paraId="77E5438D" w14:textId="77777777" w:rsidTr="00E73E44">
        <w:trPr>
          <w:trHeight w:val="413"/>
        </w:trPr>
        <w:tc>
          <w:tcPr>
            <w:tcW w:w="1333" w:type="dxa"/>
            <w:vMerge/>
            <w:shd w:val="clear" w:color="auto" w:fill="auto"/>
          </w:tcPr>
          <w:p w14:paraId="0A53E15F" w14:textId="77777777" w:rsidR="000D2155" w:rsidRPr="005F2E48" w:rsidRDefault="000D2155" w:rsidP="00657D75">
            <w:pPr>
              <w:spacing w:after="0" w:line="240" w:lineRule="auto"/>
              <w:rPr>
                <w:noProof/>
                <w:sz w:val="36"/>
                <w:lang w:eastAsia="ru-RU"/>
              </w:rPr>
            </w:pPr>
          </w:p>
        </w:tc>
        <w:tc>
          <w:tcPr>
            <w:tcW w:w="5921" w:type="dxa"/>
            <w:vMerge/>
            <w:shd w:val="clear" w:color="auto" w:fill="auto"/>
          </w:tcPr>
          <w:p w14:paraId="4EF9A485" w14:textId="77777777" w:rsidR="000D2155" w:rsidRPr="005F2E48" w:rsidRDefault="000D2155" w:rsidP="00657D75">
            <w:pPr>
              <w:pStyle w:val="BasicParagraph"/>
              <w:spacing w:before="40"/>
              <w:jc w:val="center"/>
              <w:rPr>
                <w:rFonts w:ascii="Times New Roman" w:hAnsi="Times New Roman" w:cs="Times New Roman"/>
                <w:i/>
                <w:iCs/>
                <w:noProof/>
                <w:szCs w:val="16"/>
                <w:lang w:val="ru-RU" w:eastAsia="ru-RU"/>
              </w:rPr>
            </w:pPr>
          </w:p>
        </w:tc>
        <w:tc>
          <w:tcPr>
            <w:tcW w:w="2724" w:type="dxa"/>
            <w:shd w:val="clear" w:color="auto" w:fill="auto"/>
          </w:tcPr>
          <w:p w14:paraId="5A296632" w14:textId="77777777" w:rsidR="000D2155" w:rsidRPr="005F2E48" w:rsidRDefault="00C77E22" w:rsidP="005F2E48">
            <w:pPr>
              <w:pStyle w:val="MCNumberofmanuscript"/>
            </w:pPr>
            <w:r w:rsidRPr="005F2E48">
              <w:t>00</w:t>
            </w:r>
            <w:r w:rsidR="000D2155" w:rsidRPr="005F2E48">
              <w:t>/0000</w:t>
            </w:r>
          </w:p>
          <w:p w14:paraId="01426AE1" w14:textId="77777777" w:rsidR="00DF660F" w:rsidRPr="005F2E48" w:rsidRDefault="00DF660F" w:rsidP="005F2E48">
            <w:pPr>
              <w:pStyle w:val="MCNumberofmanuscript"/>
              <w:rPr>
                <w:shd w:val="pct10" w:color="auto" w:fill="auto"/>
              </w:rPr>
            </w:pPr>
          </w:p>
          <w:p w14:paraId="6C0ADDA0" w14:textId="77777777" w:rsidR="00DF660F" w:rsidRPr="005F2E48" w:rsidRDefault="00DF660F" w:rsidP="00272771">
            <w:pPr>
              <w:pStyle w:val="MCNumberofmanuscript"/>
              <w:jc w:val="left"/>
              <w:rPr>
                <w:shd w:val="pct10" w:color="auto" w:fill="auto"/>
              </w:rPr>
            </w:pPr>
          </w:p>
        </w:tc>
      </w:tr>
    </w:tbl>
    <w:p w14:paraId="315D6A57" w14:textId="77777777" w:rsidR="00281B3D" w:rsidRPr="0043735A" w:rsidRDefault="00963CA1" w:rsidP="0043735A">
      <w:pPr>
        <w:pStyle w:val="MCTitle"/>
      </w:pPr>
      <w:r w:rsidRPr="0043735A">
        <w:t>Stereochemical analysis of natural products:</w:t>
      </w:r>
      <w:r w:rsidRPr="0043735A">
        <w:br/>
        <w:t>alkaloids from</w:t>
      </w:r>
      <w:r w:rsidR="00A31B3E" w:rsidRPr="0043735A">
        <w:t xml:space="preserve"> the</w:t>
      </w:r>
      <w:r w:rsidRPr="0043735A">
        <w:t xml:space="preserve"> root bark of </w:t>
      </w:r>
      <w:r w:rsidRPr="0043735A">
        <w:rPr>
          <w:i/>
        </w:rPr>
        <w:t xml:space="preserve">Strychnos </w:t>
      </w:r>
      <w:proofErr w:type="spellStart"/>
      <w:r w:rsidR="0063374C">
        <w:rPr>
          <w:i/>
        </w:rPr>
        <w:t>p</w:t>
      </w:r>
      <w:r w:rsidRPr="0043735A">
        <w:rPr>
          <w:i/>
        </w:rPr>
        <w:t>anganensis</w:t>
      </w:r>
      <w:proofErr w:type="spellEnd"/>
    </w:p>
    <w:p w14:paraId="67C557A8" w14:textId="77777777" w:rsidR="00B07EF3" w:rsidRPr="0043735A" w:rsidRDefault="00E73E44" w:rsidP="0043735A">
      <w:pPr>
        <w:pStyle w:val="MCAuthors"/>
      </w:pPr>
      <w:r w:rsidRPr="0043735A">
        <w:t>Dmitry A. Grigoriev</w:t>
      </w:r>
      <w:r w:rsidR="005061F4" w:rsidRPr="0043735A">
        <w:t>,</w:t>
      </w:r>
      <w:r w:rsidRPr="0043735A">
        <w:rPr>
          <w:i/>
          <w:vertAlign w:val="superscript"/>
        </w:rPr>
        <w:t xml:space="preserve"> </w:t>
      </w:r>
      <w:r w:rsidR="005061F4" w:rsidRPr="0043735A">
        <w:rPr>
          <w:i/>
          <w:vertAlign w:val="superscript"/>
        </w:rPr>
        <w:t>a</w:t>
      </w:r>
      <w:r w:rsidR="000B16F3" w:rsidRPr="0043735A">
        <w:t xml:space="preserve"> </w:t>
      </w:r>
      <w:r w:rsidRPr="0043735A">
        <w:t>Valentin A. Semenov</w:t>
      </w:r>
      <w:r w:rsidR="000B16F3" w:rsidRPr="0043735A">
        <w:t>,</w:t>
      </w:r>
      <w:r w:rsidR="003740CE" w:rsidRPr="0043735A">
        <w:rPr>
          <w:vertAlign w:val="superscript"/>
        </w:rPr>
        <w:t xml:space="preserve"> </w:t>
      </w:r>
      <w:r w:rsidRPr="0043735A">
        <w:t>*</w:t>
      </w:r>
      <w:r w:rsidR="000B16F3" w:rsidRPr="0043735A">
        <w:rPr>
          <w:i/>
          <w:vertAlign w:val="superscript"/>
        </w:rPr>
        <w:t>a</w:t>
      </w:r>
      <w:r w:rsidR="000B16F3" w:rsidRPr="0043735A">
        <w:t xml:space="preserve"> </w:t>
      </w:r>
      <w:r w:rsidR="003740CE" w:rsidRPr="0043735A">
        <w:t>Luc Angenot,</w:t>
      </w:r>
      <w:r w:rsidR="003740CE" w:rsidRPr="0043735A">
        <w:rPr>
          <w:vertAlign w:val="superscript"/>
        </w:rPr>
        <w:t xml:space="preserve"> </w:t>
      </w:r>
      <w:r w:rsidR="003740CE" w:rsidRPr="0043735A">
        <w:rPr>
          <w:i/>
          <w:vertAlign w:val="superscript"/>
        </w:rPr>
        <w:t>b</w:t>
      </w:r>
      <w:r w:rsidR="003740CE" w:rsidRPr="0043735A">
        <w:t xml:space="preserve"> Georges </w:t>
      </w:r>
      <w:proofErr w:type="spellStart"/>
      <w:r w:rsidR="003740CE" w:rsidRPr="0043735A">
        <w:t>Massiot</w:t>
      </w:r>
      <w:proofErr w:type="spellEnd"/>
      <w:r w:rsidR="001D42DB" w:rsidRPr="0043735A">
        <w:t>,</w:t>
      </w:r>
      <w:r w:rsidR="003740CE" w:rsidRPr="0043735A">
        <w:rPr>
          <w:vertAlign w:val="superscript"/>
        </w:rPr>
        <w:t xml:space="preserve"> </w:t>
      </w:r>
      <w:r w:rsidR="003740CE" w:rsidRPr="0043735A">
        <w:rPr>
          <w:i/>
          <w:vertAlign w:val="superscript"/>
        </w:rPr>
        <w:t>c</w:t>
      </w:r>
      <w:r w:rsidR="00457ADB" w:rsidRPr="0043735A">
        <w:t xml:space="preserve"> </w:t>
      </w:r>
      <w:r w:rsidR="002B3BFE" w:rsidRPr="0043735A">
        <w:t xml:space="preserve">and </w:t>
      </w:r>
      <w:r w:rsidR="003740CE" w:rsidRPr="0043735A">
        <w:t>Leonid B. Krivdin</w:t>
      </w:r>
      <w:r w:rsidR="003740CE" w:rsidRPr="0043735A">
        <w:rPr>
          <w:vertAlign w:val="superscript"/>
        </w:rPr>
        <w:t xml:space="preserve"> </w:t>
      </w:r>
      <w:r w:rsidR="00B07EF3" w:rsidRPr="0043735A">
        <w:rPr>
          <w:i/>
          <w:vertAlign w:val="superscript"/>
        </w:rPr>
        <w:t>a</w:t>
      </w:r>
    </w:p>
    <w:p w14:paraId="18C0AFE2" w14:textId="77777777" w:rsidR="004022D5" w:rsidRPr="005F2E48" w:rsidRDefault="004022D5" w:rsidP="00B07EF3">
      <w:pPr>
        <w:pStyle w:val="MCAffiliation"/>
        <w:rPr>
          <w:iCs/>
          <w:sz w:val="24"/>
        </w:rPr>
      </w:pPr>
      <w:r w:rsidRPr="005F2E48">
        <w:rPr>
          <w:sz w:val="24"/>
          <w:vertAlign w:val="superscript"/>
        </w:rPr>
        <w:t>a </w:t>
      </w:r>
      <w:r w:rsidR="003740CE" w:rsidRPr="005F2E48">
        <w:rPr>
          <w:sz w:val="24"/>
        </w:rPr>
        <w:t xml:space="preserve">A.E. Favorsky Irkutsk Institute of Chemistry, Siberian Branch of the Russian Academy of Sciences, </w:t>
      </w:r>
      <w:r w:rsidR="00552C23" w:rsidRPr="005F2E48">
        <w:rPr>
          <w:sz w:val="24"/>
        </w:rPr>
        <w:t xml:space="preserve">664033 </w:t>
      </w:r>
      <w:r w:rsidR="003740CE" w:rsidRPr="005F2E48">
        <w:rPr>
          <w:sz w:val="24"/>
        </w:rPr>
        <w:t>Irkutsk, Russia</w:t>
      </w:r>
      <w:r w:rsidR="001145C3" w:rsidRPr="005F2E48">
        <w:rPr>
          <w:sz w:val="24"/>
        </w:rPr>
        <w:t>.</w:t>
      </w:r>
      <w:r w:rsidRPr="005F2E48">
        <w:rPr>
          <w:sz w:val="24"/>
        </w:rPr>
        <w:t xml:space="preserve"> </w:t>
      </w:r>
      <w:r w:rsidR="00281B3D" w:rsidRPr="005F2E48">
        <w:rPr>
          <w:sz w:val="24"/>
        </w:rPr>
        <w:tab/>
      </w:r>
      <w:r w:rsidR="00281B3D" w:rsidRPr="005F2E48">
        <w:rPr>
          <w:sz w:val="24"/>
        </w:rPr>
        <w:br/>
      </w:r>
      <w:r w:rsidRPr="005F2E48">
        <w:rPr>
          <w:iCs/>
          <w:sz w:val="24"/>
        </w:rPr>
        <w:t xml:space="preserve">e-mail: </w:t>
      </w:r>
      <w:r w:rsidR="003740CE" w:rsidRPr="005F2E48">
        <w:rPr>
          <w:iCs/>
          <w:sz w:val="24"/>
        </w:rPr>
        <w:t>semenov</w:t>
      </w:r>
      <w:r w:rsidRPr="005F2E48">
        <w:rPr>
          <w:iCs/>
          <w:sz w:val="24"/>
        </w:rPr>
        <w:t>@</w:t>
      </w:r>
      <w:r w:rsidR="003740CE" w:rsidRPr="005F2E48">
        <w:rPr>
          <w:iCs/>
          <w:sz w:val="24"/>
        </w:rPr>
        <w:t>irioch.irk</w:t>
      </w:r>
      <w:r w:rsidRPr="005F2E48">
        <w:rPr>
          <w:iCs/>
          <w:sz w:val="24"/>
        </w:rPr>
        <w:t>.</w:t>
      </w:r>
      <w:r w:rsidR="003740CE" w:rsidRPr="005F2E48">
        <w:rPr>
          <w:iCs/>
          <w:sz w:val="24"/>
        </w:rPr>
        <w:t>ru</w:t>
      </w:r>
    </w:p>
    <w:p w14:paraId="33284180" w14:textId="77777777" w:rsidR="003740CE" w:rsidRPr="005F2E48" w:rsidRDefault="003740CE" w:rsidP="003740CE">
      <w:pPr>
        <w:pStyle w:val="MCAffiliation"/>
        <w:rPr>
          <w:sz w:val="24"/>
        </w:rPr>
      </w:pPr>
      <w:r w:rsidRPr="005F2E48">
        <w:rPr>
          <w:sz w:val="24"/>
          <w:vertAlign w:val="superscript"/>
        </w:rPr>
        <w:t>b </w:t>
      </w:r>
      <w:r w:rsidRPr="005F2E48">
        <w:rPr>
          <w:sz w:val="24"/>
        </w:rPr>
        <w:t>Laboratory of Pharmacognosy, Center of Interdisciplinary Research on Medicines, Faculty of Medicine, University of Liège, Liège, Belgium.</w:t>
      </w:r>
    </w:p>
    <w:p w14:paraId="2A65A185" w14:textId="77777777" w:rsidR="003740CE" w:rsidRPr="00AC3E38" w:rsidRDefault="003740CE" w:rsidP="000B4485">
      <w:pPr>
        <w:pStyle w:val="MCAffiliation"/>
        <w:rPr>
          <w:sz w:val="24"/>
          <w:lang w:val="fr-FR"/>
        </w:rPr>
      </w:pPr>
      <w:r w:rsidRPr="00AC3E38">
        <w:rPr>
          <w:sz w:val="24"/>
          <w:vertAlign w:val="superscript"/>
          <w:lang w:val="fr-FR"/>
        </w:rPr>
        <w:t>c </w:t>
      </w:r>
      <w:r w:rsidR="000B4485" w:rsidRPr="00AC3E38">
        <w:rPr>
          <w:sz w:val="24"/>
          <w:lang w:val="fr-FR"/>
        </w:rPr>
        <w:t>Institut de Chimie Moléculaire de Reims, UMR CNRS 7312, Université Reims-Champagne-Ardenne, UFR Sciences, Reims, France</w:t>
      </w:r>
      <w:r w:rsidRPr="00AC3E38">
        <w:rPr>
          <w:sz w:val="24"/>
          <w:lang w:val="fr-FR"/>
        </w:rPr>
        <w:t>.</w:t>
      </w:r>
    </w:p>
    <w:p w14:paraId="17F232E0" w14:textId="77777777" w:rsidR="006F141C" w:rsidRPr="005F2E48" w:rsidRDefault="00552C23" w:rsidP="008E0B90">
      <w:pPr>
        <w:pStyle w:val="MCDOI"/>
        <w:rPr>
          <w:sz w:val="24"/>
        </w:rPr>
      </w:pPr>
      <w:r w:rsidRPr="005F2E48">
        <w:rPr>
          <w:sz w:val="24"/>
        </w:rPr>
        <w:t>DOI: 10.71267/</w:t>
      </w:r>
      <w:proofErr w:type="spellStart"/>
      <w:r w:rsidRPr="005F2E48">
        <w:rPr>
          <w:sz w:val="24"/>
        </w:rPr>
        <w:t>mencom.xxxx</w:t>
      </w:r>
      <w:proofErr w:type="spellEnd"/>
    </w:p>
    <w:tbl>
      <w:tblPr>
        <w:tblW w:w="10348" w:type="dxa"/>
        <w:jc w:val="center"/>
        <w:tblBorders>
          <w:top w:val="single" w:sz="6" w:space="0" w:color="auto"/>
          <w:bottom w:val="single" w:sz="6" w:space="0" w:color="auto"/>
          <w:insideH w:val="single" w:sz="4" w:space="0" w:color="auto"/>
        </w:tblBorders>
        <w:tblCellMar>
          <w:top w:w="108" w:type="dxa"/>
          <w:bottom w:w="108" w:type="dxa"/>
        </w:tblCellMar>
        <w:tblLook w:val="04A0" w:firstRow="1" w:lastRow="0" w:firstColumn="1" w:lastColumn="0" w:noHBand="0" w:noVBand="1"/>
      </w:tblPr>
      <w:tblGrid>
        <w:gridCol w:w="5056"/>
        <w:gridCol w:w="5292"/>
      </w:tblGrid>
      <w:tr w:rsidR="0002704C" w:rsidRPr="005F2E48" w14:paraId="4F2B63E8" w14:textId="77777777" w:rsidTr="003A1D12">
        <w:trPr>
          <w:trHeight w:val="1486"/>
          <w:jc w:val="center"/>
        </w:trPr>
        <w:tc>
          <w:tcPr>
            <w:tcW w:w="5245" w:type="dxa"/>
            <w:shd w:val="clear" w:color="auto" w:fill="auto"/>
          </w:tcPr>
          <w:p w14:paraId="419680C2" w14:textId="48920542" w:rsidR="002B3BFE" w:rsidRPr="005F2E48" w:rsidRDefault="003A1D12" w:rsidP="00B51B03">
            <w:pPr>
              <w:pStyle w:val="MCSummarytext"/>
              <w:rPr>
                <w:sz w:val="24"/>
              </w:rPr>
            </w:pPr>
            <w:r w:rsidRPr="0025234C">
              <w:rPr>
                <w:sz w:val="22"/>
              </w:rPr>
              <w:t xml:space="preserve">In this paper, the possibilities of reliable determination of the spatial structure of natural products based on correlation of high-level calculated and experimental </w:t>
            </w:r>
            <w:r w:rsidRPr="0025234C">
              <w:rPr>
                <w:sz w:val="22"/>
                <w:vertAlign w:val="superscript"/>
              </w:rPr>
              <w:t>1</w:t>
            </w:r>
            <w:r w:rsidRPr="0025234C">
              <w:rPr>
                <w:sz w:val="22"/>
              </w:rPr>
              <w:t xml:space="preserve">H and </w:t>
            </w:r>
            <w:r w:rsidRPr="0025234C">
              <w:rPr>
                <w:sz w:val="22"/>
                <w:vertAlign w:val="superscript"/>
              </w:rPr>
              <w:t>13</w:t>
            </w:r>
            <w:r w:rsidRPr="0025234C">
              <w:rPr>
                <w:sz w:val="22"/>
              </w:rPr>
              <w:t xml:space="preserve">C NMR chemical shifts are considered using the example of four main representatives of the </w:t>
            </w:r>
            <w:proofErr w:type="spellStart"/>
            <w:r w:rsidR="0063374C" w:rsidRPr="0025234C">
              <w:rPr>
                <w:sz w:val="22"/>
              </w:rPr>
              <w:t>p</w:t>
            </w:r>
            <w:r w:rsidRPr="0025234C">
              <w:rPr>
                <w:sz w:val="22"/>
              </w:rPr>
              <w:t>anganensine</w:t>
            </w:r>
            <w:proofErr w:type="spellEnd"/>
            <w:r w:rsidRPr="0025234C">
              <w:rPr>
                <w:sz w:val="22"/>
              </w:rPr>
              <w:t xml:space="preserve"> series – </w:t>
            </w:r>
            <w:r w:rsidRPr="0025234C">
              <w:rPr>
                <w:i/>
                <w:sz w:val="22"/>
              </w:rPr>
              <w:t>Strychnos</w:t>
            </w:r>
            <w:r w:rsidRPr="0025234C">
              <w:rPr>
                <w:sz w:val="22"/>
              </w:rPr>
              <w:t>-</w:t>
            </w:r>
            <w:r w:rsidRPr="0025234C">
              <w:rPr>
                <w:i/>
                <w:sz w:val="22"/>
              </w:rPr>
              <w:t>Strychnos</w:t>
            </w:r>
            <w:r w:rsidRPr="0025234C">
              <w:rPr>
                <w:sz w:val="22"/>
              </w:rPr>
              <w:t xml:space="preserve"> type </w:t>
            </w:r>
            <w:proofErr w:type="spellStart"/>
            <w:r w:rsidRPr="0025234C">
              <w:rPr>
                <w:sz w:val="22"/>
              </w:rPr>
              <w:t>bisindole</w:t>
            </w:r>
            <w:proofErr w:type="spellEnd"/>
            <w:r w:rsidRPr="0025234C">
              <w:rPr>
                <w:sz w:val="22"/>
              </w:rPr>
              <w:t xml:space="preserve"> alkaloids. </w:t>
            </w:r>
            <w:r w:rsidR="00BF3158" w:rsidRPr="0025234C">
              <w:rPr>
                <w:sz w:val="22"/>
              </w:rPr>
              <w:t xml:space="preserve">For </w:t>
            </w:r>
            <w:r w:rsidR="00A46883" w:rsidRPr="0025234C">
              <w:rPr>
                <w:sz w:val="22"/>
              </w:rPr>
              <w:t xml:space="preserve">isomeric </w:t>
            </w:r>
            <w:proofErr w:type="spellStart"/>
            <w:r w:rsidR="00963CA1" w:rsidRPr="0025234C">
              <w:rPr>
                <w:sz w:val="22"/>
              </w:rPr>
              <w:t>p</w:t>
            </w:r>
            <w:r w:rsidR="00BF3158" w:rsidRPr="0025234C">
              <w:rPr>
                <w:sz w:val="22"/>
              </w:rPr>
              <w:t>angane</w:t>
            </w:r>
            <w:r w:rsidR="00963CA1" w:rsidRPr="0025234C">
              <w:rPr>
                <w:sz w:val="22"/>
              </w:rPr>
              <w:t>n</w:t>
            </w:r>
            <w:r w:rsidR="00BF3158" w:rsidRPr="0025234C">
              <w:rPr>
                <w:sz w:val="22"/>
              </w:rPr>
              <w:t>sine</w:t>
            </w:r>
            <w:r w:rsidR="00842DE5" w:rsidRPr="0025234C">
              <w:rPr>
                <w:sz w:val="22"/>
              </w:rPr>
              <w:t>s</w:t>
            </w:r>
            <w:proofErr w:type="spellEnd"/>
            <w:r w:rsidR="00BF3158" w:rsidRPr="0025234C">
              <w:rPr>
                <w:sz w:val="22"/>
              </w:rPr>
              <w:t xml:space="preserve"> X and Y, </w:t>
            </w:r>
            <w:r w:rsidR="005B712A" w:rsidRPr="0025234C">
              <w:rPr>
                <w:sz w:val="22"/>
              </w:rPr>
              <w:t xml:space="preserve">the </w:t>
            </w:r>
            <w:r w:rsidR="00BF3158" w:rsidRPr="0025234C">
              <w:rPr>
                <w:sz w:val="22"/>
              </w:rPr>
              <w:t>reassignment of a number of individual</w:t>
            </w:r>
            <w:r w:rsidR="005B712A" w:rsidRPr="0025234C">
              <w:rPr>
                <w:sz w:val="22"/>
              </w:rPr>
              <w:t xml:space="preserve"> NMR</w:t>
            </w:r>
            <w:r w:rsidR="00BF3158" w:rsidRPr="0025234C">
              <w:rPr>
                <w:sz w:val="22"/>
              </w:rPr>
              <w:t xml:space="preserve"> signals together with</w:t>
            </w:r>
            <w:r w:rsidR="005B712A" w:rsidRPr="0025234C">
              <w:rPr>
                <w:sz w:val="22"/>
              </w:rPr>
              <w:t xml:space="preserve"> the</w:t>
            </w:r>
            <w:r w:rsidR="00BF3158" w:rsidRPr="0025234C">
              <w:rPr>
                <w:sz w:val="22"/>
              </w:rPr>
              <w:t xml:space="preserve"> spectral assignment of experimentally unresolved peaks </w:t>
            </w:r>
            <w:r w:rsidR="00664DB3" w:rsidRPr="0025234C">
              <w:rPr>
                <w:sz w:val="22"/>
              </w:rPr>
              <w:t>is</w:t>
            </w:r>
            <w:r w:rsidR="00BF3158" w:rsidRPr="0025234C">
              <w:rPr>
                <w:sz w:val="22"/>
              </w:rPr>
              <w:t xml:space="preserve"> </w:t>
            </w:r>
            <w:r w:rsidR="007741CE" w:rsidRPr="0025234C">
              <w:rPr>
                <w:sz w:val="22"/>
              </w:rPr>
              <w:t>suggested</w:t>
            </w:r>
            <w:r w:rsidR="00BF3158" w:rsidRPr="0025234C">
              <w:rPr>
                <w:sz w:val="22"/>
              </w:rPr>
              <w:t xml:space="preserve">. </w:t>
            </w:r>
            <w:r w:rsidR="00A46883" w:rsidRPr="0025234C">
              <w:rPr>
                <w:sz w:val="22"/>
              </w:rPr>
              <w:t>It also allowed the establishment of a definitive configuration for C-19, the only out-</w:t>
            </w:r>
            <w:r w:rsidR="00B51B03" w:rsidRPr="0025234C">
              <w:rPr>
                <w:sz w:val="22"/>
              </w:rPr>
              <w:t>of-ring asymmetric carbon atom.</w:t>
            </w:r>
          </w:p>
        </w:tc>
        <w:tc>
          <w:tcPr>
            <w:tcW w:w="5103" w:type="dxa"/>
            <w:shd w:val="clear" w:color="auto" w:fill="auto"/>
          </w:tcPr>
          <w:p w14:paraId="45D673F5" w14:textId="70C68ABC" w:rsidR="002B3BFE" w:rsidRPr="005F2E48" w:rsidRDefault="00BE71B7" w:rsidP="003A1D12">
            <w:pPr>
              <w:pStyle w:val="MCGrafAbstractText"/>
              <w:rPr>
                <w:sz w:val="20"/>
                <w:szCs w:val="14"/>
              </w:rPr>
            </w:pPr>
            <w:r w:rsidRPr="00BE71B7">
              <w:rPr>
                <w:noProof/>
                <w:lang w:val="ru-RU" w:eastAsia="ru-RU"/>
              </w:rPr>
              <w:drawing>
                <wp:inline distT="0" distB="0" distL="0" distR="0" wp14:anchorId="54EDD4E6" wp14:editId="7C84F9AA">
                  <wp:extent cx="3223514" cy="2543175"/>
                  <wp:effectExtent l="0" t="0" r="0" b="0"/>
                  <wp:docPr id="4" name="Рисунок 4" descr="D:\NMR\docs\2025\luc3.1\G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NMR\docs\2025\luc3.1\GA.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3762" cy="2559149"/>
                          </a:xfrm>
                          <a:prstGeom prst="rect">
                            <a:avLst/>
                          </a:prstGeom>
                          <a:noFill/>
                          <a:ln>
                            <a:noFill/>
                          </a:ln>
                        </pic:spPr>
                      </pic:pic>
                    </a:graphicData>
                  </a:graphic>
                </wp:inline>
              </w:drawing>
            </w:r>
          </w:p>
        </w:tc>
      </w:tr>
    </w:tbl>
    <w:p w14:paraId="4EA49652" w14:textId="658C6B82" w:rsidR="00DE79DE" w:rsidRPr="00BA4DA5" w:rsidRDefault="0063030E" w:rsidP="005B759E">
      <w:pPr>
        <w:pStyle w:val="MCKeywords"/>
        <w:rPr>
          <w:i w:val="0"/>
          <w:iCs w:val="0"/>
          <w:sz w:val="24"/>
          <w:lang w:val="en-US"/>
        </w:rPr>
      </w:pPr>
      <w:r w:rsidRPr="005F2E48">
        <w:rPr>
          <w:sz w:val="24"/>
        </w:rPr>
        <w:t>Keywords</w:t>
      </w:r>
      <w:r w:rsidRPr="00BA4DA5">
        <w:rPr>
          <w:sz w:val="24"/>
          <w:lang w:val="en-US"/>
        </w:rPr>
        <w:t>:</w:t>
      </w:r>
      <w:r w:rsidR="00BA4DA5" w:rsidRPr="00BA4DA5">
        <w:rPr>
          <w:i w:val="0"/>
          <w:iCs w:val="0"/>
          <w:sz w:val="24"/>
          <w:lang w:val="en-US"/>
        </w:rPr>
        <w:t xml:space="preserve"> </w:t>
      </w:r>
      <w:proofErr w:type="spellStart"/>
      <w:r w:rsidR="00DE79DE" w:rsidRPr="005F2E48">
        <w:rPr>
          <w:i w:val="0"/>
          <w:iCs w:val="0"/>
          <w:sz w:val="24"/>
        </w:rPr>
        <w:t>bisindole</w:t>
      </w:r>
      <w:proofErr w:type="spellEnd"/>
      <w:r w:rsidR="00DE79DE" w:rsidRPr="00BA4DA5">
        <w:rPr>
          <w:i w:val="0"/>
          <w:iCs w:val="0"/>
          <w:sz w:val="24"/>
          <w:lang w:val="en-US"/>
        </w:rPr>
        <w:t xml:space="preserve"> </w:t>
      </w:r>
      <w:r w:rsidR="00DE79DE" w:rsidRPr="005F2E48">
        <w:rPr>
          <w:i w:val="0"/>
          <w:iCs w:val="0"/>
          <w:sz w:val="24"/>
        </w:rPr>
        <w:t>alkaloids</w:t>
      </w:r>
      <w:r w:rsidR="005B759E" w:rsidRPr="00BA4DA5">
        <w:rPr>
          <w:i w:val="0"/>
          <w:iCs w:val="0"/>
          <w:sz w:val="24"/>
          <w:lang w:val="en-US"/>
        </w:rPr>
        <w:t xml:space="preserve">, </w:t>
      </w:r>
      <w:proofErr w:type="spellStart"/>
      <w:r w:rsidR="0031069B" w:rsidRPr="005F2E48">
        <w:rPr>
          <w:i w:val="0"/>
          <w:iCs w:val="0"/>
          <w:sz w:val="24"/>
        </w:rPr>
        <w:t>panganensine</w:t>
      </w:r>
      <w:proofErr w:type="spellEnd"/>
      <w:r w:rsidR="0031069B">
        <w:rPr>
          <w:i w:val="0"/>
          <w:iCs w:val="0"/>
          <w:sz w:val="24"/>
        </w:rPr>
        <w:t>,</w:t>
      </w:r>
      <w:r w:rsidR="0031069B" w:rsidRPr="005F2E48">
        <w:rPr>
          <w:i w:val="0"/>
          <w:iCs w:val="0"/>
          <w:sz w:val="24"/>
        </w:rPr>
        <w:t xml:space="preserve"> </w:t>
      </w:r>
      <w:r w:rsidR="00BA4DA5" w:rsidRPr="005F2E48">
        <w:rPr>
          <w:i w:val="0"/>
          <w:iCs w:val="0"/>
          <w:sz w:val="24"/>
        </w:rPr>
        <w:t>stereochemistry</w:t>
      </w:r>
      <w:r w:rsidR="00BA4DA5" w:rsidRPr="00BA4DA5">
        <w:rPr>
          <w:i w:val="0"/>
          <w:iCs w:val="0"/>
          <w:sz w:val="24"/>
          <w:lang w:val="en-US"/>
        </w:rPr>
        <w:t xml:space="preserve">, </w:t>
      </w:r>
      <w:r w:rsidR="00DE79DE" w:rsidRPr="005F2E48">
        <w:rPr>
          <w:i w:val="0"/>
          <w:iCs w:val="0"/>
          <w:sz w:val="24"/>
        </w:rPr>
        <w:t>computational</w:t>
      </w:r>
      <w:r w:rsidR="00DE79DE" w:rsidRPr="00BA4DA5">
        <w:rPr>
          <w:i w:val="0"/>
          <w:iCs w:val="0"/>
          <w:sz w:val="24"/>
          <w:lang w:val="en-US"/>
        </w:rPr>
        <w:t xml:space="preserve"> </w:t>
      </w:r>
      <w:r w:rsidR="00DE79DE" w:rsidRPr="005F2E48">
        <w:rPr>
          <w:i w:val="0"/>
          <w:iCs w:val="0"/>
          <w:sz w:val="24"/>
        </w:rPr>
        <w:t>NMR</w:t>
      </w:r>
      <w:r w:rsidR="005B759E" w:rsidRPr="00BA4DA5">
        <w:rPr>
          <w:i w:val="0"/>
          <w:iCs w:val="0"/>
          <w:sz w:val="24"/>
          <w:lang w:val="en-US"/>
        </w:rPr>
        <w:t xml:space="preserve">, </w:t>
      </w:r>
      <w:r w:rsidR="00BA4DA5" w:rsidRPr="005F2E48">
        <w:rPr>
          <w:i w:val="0"/>
          <w:iCs w:val="0"/>
          <w:sz w:val="24"/>
        </w:rPr>
        <w:t>DFT</w:t>
      </w:r>
      <w:r w:rsidR="00BA4DA5" w:rsidRPr="00BA4DA5">
        <w:rPr>
          <w:i w:val="0"/>
          <w:iCs w:val="0"/>
          <w:sz w:val="24"/>
          <w:lang w:val="en-US"/>
        </w:rPr>
        <w:t xml:space="preserve">, </w:t>
      </w:r>
      <w:r w:rsidR="00DE79DE" w:rsidRPr="00BA4DA5">
        <w:rPr>
          <w:i w:val="0"/>
          <w:iCs w:val="0"/>
          <w:sz w:val="24"/>
          <w:vertAlign w:val="superscript"/>
          <w:lang w:val="en-US"/>
        </w:rPr>
        <w:t>1</w:t>
      </w:r>
      <w:r w:rsidR="00DE79DE" w:rsidRPr="005F2E48">
        <w:rPr>
          <w:i w:val="0"/>
          <w:iCs w:val="0"/>
          <w:sz w:val="24"/>
          <w:lang w:val="en-US"/>
        </w:rPr>
        <w:t>H</w:t>
      </w:r>
      <w:r w:rsidR="00DE79DE" w:rsidRPr="00BA4DA5">
        <w:rPr>
          <w:i w:val="0"/>
          <w:iCs w:val="0"/>
          <w:sz w:val="24"/>
          <w:lang w:val="en-US"/>
        </w:rPr>
        <w:t xml:space="preserve"> </w:t>
      </w:r>
      <w:r w:rsidR="00DE79DE" w:rsidRPr="005F2E48">
        <w:rPr>
          <w:i w:val="0"/>
          <w:iCs w:val="0"/>
          <w:sz w:val="24"/>
          <w:lang w:val="en-US"/>
        </w:rPr>
        <w:t>and</w:t>
      </w:r>
      <w:r w:rsidR="00DE79DE" w:rsidRPr="00BA4DA5">
        <w:rPr>
          <w:i w:val="0"/>
          <w:iCs w:val="0"/>
          <w:sz w:val="24"/>
          <w:lang w:val="en-US"/>
        </w:rPr>
        <w:t xml:space="preserve"> </w:t>
      </w:r>
      <w:r w:rsidR="00DE79DE" w:rsidRPr="00BA4DA5">
        <w:rPr>
          <w:i w:val="0"/>
          <w:iCs w:val="0"/>
          <w:sz w:val="24"/>
          <w:vertAlign w:val="superscript"/>
          <w:lang w:val="en-US"/>
        </w:rPr>
        <w:t>13</w:t>
      </w:r>
      <w:r w:rsidR="00DE79DE" w:rsidRPr="005F2E48">
        <w:rPr>
          <w:i w:val="0"/>
          <w:iCs w:val="0"/>
          <w:sz w:val="24"/>
          <w:lang w:val="en-US"/>
        </w:rPr>
        <w:t>C</w:t>
      </w:r>
      <w:r w:rsidR="00DE79DE" w:rsidRPr="00BA4DA5">
        <w:rPr>
          <w:i w:val="0"/>
          <w:iCs w:val="0"/>
          <w:sz w:val="24"/>
          <w:lang w:val="en-US"/>
        </w:rPr>
        <w:t xml:space="preserve"> </w:t>
      </w:r>
      <w:r w:rsidR="00DE79DE" w:rsidRPr="005F2E48">
        <w:rPr>
          <w:i w:val="0"/>
          <w:iCs w:val="0"/>
          <w:sz w:val="24"/>
          <w:lang w:val="en-US"/>
        </w:rPr>
        <w:t>NMR</w:t>
      </w:r>
      <w:r w:rsidR="00DE79DE" w:rsidRPr="00BA4DA5">
        <w:rPr>
          <w:i w:val="0"/>
          <w:iCs w:val="0"/>
          <w:sz w:val="24"/>
          <w:lang w:val="en-US"/>
        </w:rPr>
        <w:t xml:space="preserve"> </w:t>
      </w:r>
      <w:r w:rsidR="00DE79DE" w:rsidRPr="005F2E48">
        <w:rPr>
          <w:i w:val="0"/>
          <w:iCs w:val="0"/>
          <w:sz w:val="24"/>
          <w:lang w:val="en-US"/>
        </w:rPr>
        <w:t>spectra</w:t>
      </w:r>
    </w:p>
    <w:p w14:paraId="7DF29A11" w14:textId="77777777" w:rsidR="00150DEC" w:rsidRDefault="00150DEC" w:rsidP="00150DEC">
      <w:pPr>
        <w:pStyle w:val="MCMainTextfirstparagraph"/>
      </w:pPr>
    </w:p>
    <w:p w14:paraId="05366074" w14:textId="25927080" w:rsidR="007354FD" w:rsidRPr="00217A5D" w:rsidRDefault="001973EB" w:rsidP="00150DEC">
      <w:pPr>
        <w:pStyle w:val="MCMainTextfirstparagraph"/>
      </w:pPr>
      <w:r w:rsidRPr="00217A5D">
        <w:t xml:space="preserve">The present </w:t>
      </w:r>
      <w:r w:rsidR="00D22A8D" w:rsidRPr="00217A5D">
        <w:t xml:space="preserve">communication continues </w:t>
      </w:r>
      <w:r w:rsidR="00B51B03" w:rsidRPr="00217A5D">
        <w:rPr>
          <w:color w:val="0070C0"/>
        </w:rPr>
        <w:t>the research devoted to</w:t>
      </w:r>
      <w:r w:rsidR="00D22A8D" w:rsidRPr="00217A5D">
        <w:rPr>
          <w:color w:val="0070C0"/>
        </w:rPr>
        <w:t xml:space="preserve"> </w:t>
      </w:r>
      <w:r w:rsidR="00D22A8D" w:rsidRPr="00217A5D">
        <w:t xml:space="preserve">the stereochemical analysis of </w:t>
      </w:r>
      <w:proofErr w:type="spellStart"/>
      <w:r w:rsidR="000737DD" w:rsidRPr="00217A5D">
        <w:t>bisindole</w:t>
      </w:r>
      <w:proofErr w:type="spellEnd"/>
      <w:r w:rsidR="000737DD" w:rsidRPr="00217A5D">
        <w:t xml:space="preserve"> alkaloids of natural origin</w:t>
      </w:r>
      <w:r w:rsidR="00BF68B3" w:rsidRPr="00217A5D">
        <w:t>.</w:t>
      </w:r>
      <w:r w:rsidR="00C51571" w:rsidRPr="00217A5D">
        <w:rPr>
          <w:rStyle w:val="Appeldenotedefin"/>
          <w:lang w:val="ru-RU"/>
        </w:rPr>
        <w:endnoteReference w:id="1"/>
      </w:r>
      <w:r w:rsidR="00C51571" w:rsidRPr="00217A5D">
        <w:rPr>
          <w:vertAlign w:val="superscript"/>
        </w:rPr>
        <w:t>,</w:t>
      </w:r>
      <w:r w:rsidR="00C51571" w:rsidRPr="00217A5D">
        <w:rPr>
          <w:rStyle w:val="Appeldenotedefin"/>
          <w:lang w:val="ru-RU"/>
        </w:rPr>
        <w:endnoteReference w:id="2"/>
      </w:r>
      <w:r w:rsidR="00C51571" w:rsidRPr="00217A5D">
        <w:t xml:space="preserve"> </w:t>
      </w:r>
      <w:r w:rsidRPr="00217A5D">
        <w:t>More precisely, t</w:t>
      </w:r>
      <w:r w:rsidR="00D22A8D" w:rsidRPr="00217A5D">
        <w:t xml:space="preserve">he aim of this </w:t>
      </w:r>
      <w:r w:rsidR="00E50841" w:rsidRPr="00217A5D">
        <w:t>study</w:t>
      </w:r>
      <w:r w:rsidR="00D22A8D" w:rsidRPr="00217A5D">
        <w:t xml:space="preserve"> was</w:t>
      </w:r>
      <w:r w:rsidR="00457ADB" w:rsidRPr="00217A5D">
        <w:t xml:space="preserve"> to perform</w:t>
      </w:r>
      <w:r w:rsidR="00D22A8D" w:rsidRPr="00217A5D">
        <w:t xml:space="preserve"> a detailed structural analysis of four alkaloids extracted from the root bark of </w:t>
      </w:r>
      <w:r w:rsidR="00D22A8D" w:rsidRPr="00217A5D">
        <w:rPr>
          <w:i/>
        </w:rPr>
        <w:t xml:space="preserve">Strychnos </w:t>
      </w:r>
      <w:proofErr w:type="spellStart"/>
      <w:r w:rsidR="0063374C" w:rsidRPr="00217A5D">
        <w:rPr>
          <w:i/>
        </w:rPr>
        <w:t>p</w:t>
      </w:r>
      <w:r w:rsidR="00D22A8D" w:rsidRPr="00217A5D">
        <w:rPr>
          <w:i/>
        </w:rPr>
        <w:t>anganensis</w:t>
      </w:r>
      <w:proofErr w:type="spellEnd"/>
      <w:r w:rsidR="00D22A8D" w:rsidRPr="00217A5D">
        <w:t xml:space="preserve"> known as </w:t>
      </w:r>
      <w:proofErr w:type="spellStart"/>
      <w:r w:rsidR="00D22A8D" w:rsidRPr="00217A5D">
        <w:t>panganensin</w:t>
      </w:r>
      <w:r w:rsidR="003F4B64" w:rsidRPr="00217A5D">
        <w:t>e</w:t>
      </w:r>
      <w:r w:rsidR="00D22A8D" w:rsidRPr="00217A5D">
        <w:t>s</w:t>
      </w:r>
      <w:proofErr w:type="spellEnd"/>
      <w:r w:rsidR="00E50841" w:rsidRPr="00217A5D">
        <w:t xml:space="preserve"> </w:t>
      </w:r>
      <w:r w:rsidR="00D22A8D" w:rsidRPr="00217A5D">
        <w:t>R (</w:t>
      </w:r>
      <w:r w:rsidR="00D22A8D" w:rsidRPr="00217A5D">
        <w:rPr>
          <w:b/>
        </w:rPr>
        <w:t>1</w:t>
      </w:r>
      <w:r w:rsidR="00D22A8D" w:rsidRPr="00217A5D">
        <w:t>), S (</w:t>
      </w:r>
      <w:r w:rsidR="00D22A8D" w:rsidRPr="00217A5D">
        <w:rPr>
          <w:b/>
        </w:rPr>
        <w:t>2</w:t>
      </w:r>
      <w:r w:rsidR="00D22A8D" w:rsidRPr="00217A5D">
        <w:t>), X (</w:t>
      </w:r>
      <w:r w:rsidR="00D22A8D" w:rsidRPr="00217A5D">
        <w:rPr>
          <w:b/>
        </w:rPr>
        <w:t>3</w:t>
      </w:r>
      <w:r w:rsidR="00D22A8D" w:rsidRPr="00217A5D">
        <w:t>), and Y (</w:t>
      </w:r>
      <w:r w:rsidR="00D22A8D" w:rsidRPr="00217A5D">
        <w:rPr>
          <w:b/>
        </w:rPr>
        <w:t>4</w:t>
      </w:r>
      <w:r w:rsidR="00D22A8D" w:rsidRPr="00217A5D">
        <w:t>)</w:t>
      </w:r>
      <w:r w:rsidR="00446B6E" w:rsidRPr="00217A5D">
        <w:t>, which are</w:t>
      </w:r>
      <w:r w:rsidR="00D22A8D" w:rsidRPr="00217A5D">
        <w:t xml:space="preserve"> shown in </w:t>
      </w:r>
      <w:r w:rsidR="00A31C93" w:rsidRPr="00217A5D">
        <w:rPr>
          <w:color w:val="0070C0"/>
          <w:highlight w:val="yellow"/>
        </w:rPr>
        <w:t>Figure</w:t>
      </w:r>
      <w:r w:rsidR="00BC06F5" w:rsidRPr="00217A5D">
        <w:rPr>
          <w:color w:val="0070C0"/>
          <w:highlight w:val="yellow"/>
        </w:rPr>
        <w:t xml:space="preserve"> </w:t>
      </w:r>
      <w:r w:rsidR="00BC06F5" w:rsidRPr="00217A5D">
        <w:rPr>
          <w:highlight w:val="yellow"/>
        </w:rPr>
        <w:t>1</w:t>
      </w:r>
      <w:r w:rsidR="0063374C" w:rsidRPr="00217A5D">
        <w:t>.</w:t>
      </w:r>
    </w:p>
    <w:p w14:paraId="121EFBEA" w14:textId="2E2588E3" w:rsidR="00B716F1" w:rsidRDefault="000C0A91" w:rsidP="008C4DA1">
      <w:pPr>
        <w:pStyle w:val="MCScheme"/>
      </w:pPr>
      <w:r w:rsidRPr="005F2E48">
        <w:object w:dxaOrig="9448" w:dyaOrig="8037" w14:anchorId="4A6DB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pt;height:277.8pt" o:ole="">
            <v:imagedata r:id="rId9" o:title=""/>
          </v:shape>
          <o:OLEObject Type="Embed" ProgID="ChemDraw.Document.6.0" ShapeID="_x0000_i1025" DrawAspect="Content" ObjectID="_1813751139" r:id="rId10"/>
        </w:object>
      </w:r>
    </w:p>
    <w:p w14:paraId="49B2F535" w14:textId="50CA73B9" w:rsidR="00B716F1" w:rsidRDefault="00A31C93" w:rsidP="00150DEC">
      <w:pPr>
        <w:pStyle w:val="MCMainTextfirstparagraph"/>
      </w:pPr>
      <w:r w:rsidRPr="00F9363E">
        <w:rPr>
          <w:b/>
          <w:color w:val="0070C0"/>
          <w:highlight w:val="yellow"/>
        </w:rPr>
        <w:t xml:space="preserve">Figure </w:t>
      </w:r>
      <w:r w:rsidRPr="00F9363E">
        <w:rPr>
          <w:b/>
          <w:highlight w:val="yellow"/>
        </w:rPr>
        <w:t>1.</w:t>
      </w:r>
      <w:r w:rsidRPr="00F9363E">
        <w:t xml:space="preserve"> </w:t>
      </w:r>
      <w:r w:rsidR="00446B6E" w:rsidRPr="00F9363E">
        <w:t xml:space="preserve">Structures and atom numbering of </w:t>
      </w:r>
      <w:proofErr w:type="spellStart"/>
      <w:r w:rsidR="00B716F1" w:rsidRPr="00F9363E">
        <w:t>panganensine</w:t>
      </w:r>
      <w:r w:rsidR="00D54530" w:rsidRPr="00F9363E">
        <w:t>s</w:t>
      </w:r>
      <w:proofErr w:type="spellEnd"/>
      <w:r w:rsidR="00B716F1" w:rsidRPr="00F9363E">
        <w:t xml:space="preserve"> 1-4.</w:t>
      </w:r>
    </w:p>
    <w:p w14:paraId="01C6521C" w14:textId="77777777" w:rsidR="00150DEC" w:rsidRPr="00F9363E" w:rsidRDefault="00150DEC" w:rsidP="00150DEC">
      <w:pPr>
        <w:pStyle w:val="MCMainTextfirstparagraph"/>
      </w:pPr>
    </w:p>
    <w:p w14:paraId="246FC8DB" w14:textId="3DB023EC" w:rsidR="007A2A98" w:rsidRPr="007A2A98" w:rsidRDefault="007A2A98" w:rsidP="00150DEC">
      <w:pPr>
        <w:pStyle w:val="MCMainTextfirstparagraph"/>
        <w:rPr>
          <w:iCs/>
          <w:color w:val="0070C0"/>
        </w:rPr>
      </w:pPr>
      <w:r w:rsidRPr="007A2A98">
        <w:rPr>
          <w:iCs/>
          <w:color w:val="0070C0"/>
        </w:rPr>
        <w:t xml:space="preserve">Historically, </w:t>
      </w:r>
      <w:proofErr w:type="spellStart"/>
      <w:r w:rsidRPr="007A2A98">
        <w:rPr>
          <w:iCs/>
          <w:color w:val="0070C0"/>
        </w:rPr>
        <w:t>panganensines</w:t>
      </w:r>
      <w:proofErr w:type="spellEnd"/>
      <w:r w:rsidRPr="007A2A98">
        <w:rPr>
          <w:iCs/>
          <w:color w:val="0070C0"/>
        </w:rPr>
        <w:t xml:space="preserve"> R, S, X, and Y were identified as novel alkaloids in addition to known representatives of this series like </w:t>
      </w:r>
      <w:proofErr w:type="spellStart"/>
      <w:r w:rsidRPr="007A2A98">
        <w:rPr>
          <w:iCs/>
          <w:color w:val="0070C0"/>
        </w:rPr>
        <w:t>matopensine</w:t>
      </w:r>
      <w:proofErr w:type="spellEnd"/>
      <w:r w:rsidRPr="007A2A98">
        <w:rPr>
          <w:iCs/>
          <w:color w:val="0070C0"/>
        </w:rPr>
        <w:t xml:space="preserve">. These alkaloids are characterized by their unique dimeric structure, meaning they are composed of two smaller alkaloid almost similar units, which are chemically linked together. In this pioneering communication, we have performed state-of-the-art stereochemical study of four most interesting classical representatives of this series by means of the original high-level DFT calculations of their </w:t>
      </w:r>
      <w:r w:rsidRPr="007A2A98">
        <w:rPr>
          <w:iCs/>
          <w:color w:val="0070C0"/>
          <w:vertAlign w:val="superscript"/>
        </w:rPr>
        <w:t>1</w:t>
      </w:r>
      <w:r w:rsidRPr="007A2A98">
        <w:rPr>
          <w:iCs/>
          <w:color w:val="0070C0"/>
        </w:rPr>
        <w:t xml:space="preserve">H and </w:t>
      </w:r>
      <w:r w:rsidRPr="007A2A98">
        <w:rPr>
          <w:iCs/>
          <w:color w:val="0070C0"/>
          <w:vertAlign w:val="superscript"/>
        </w:rPr>
        <w:t>13</w:t>
      </w:r>
      <w:r w:rsidRPr="007A2A98">
        <w:rPr>
          <w:iCs/>
          <w:color w:val="0070C0"/>
        </w:rPr>
        <w:t>C NMR chemical shifts, as compared to experiment.</w:t>
      </w:r>
    </w:p>
    <w:p w14:paraId="4EEFC8B8" w14:textId="3A3EF4A6" w:rsidR="0063374C" w:rsidRPr="00A46075" w:rsidRDefault="0063374C" w:rsidP="00150DEC">
      <w:pPr>
        <w:pStyle w:val="MCMainTextfirstparagraph"/>
      </w:pPr>
      <w:r w:rsidRPr="00A46075">
        <w:rPr>
          <w:i/>
          <w:iCs/>
        </w:rPr>
        <w:t xml:space="preserve">Strychnos </w:t>
      </w:r>
      <w:proofErr w:type="spellStart"/>
      <w:r w:rsidRPr="00A46075">
        <w:rPr>
          <w:i/>
          <w:iCs/>
        </w:rPr>
        <w:t>panganensis</w:t>
      </w:r>
      <w:proofErr w:type="spellEnd"/>
      <w:r w:rsidRPr="00A46075">
        <w:t xml:space="preserve"> </w:t>
      </w:r>
      <w:r w:rsidR="004E6572">
        <w:t>G</w:t>
      </w:r>
      <w:r w:rsidRPr="00A46075">
        <w:t xml:space="preserve">ilg is a </w:t>
      </w:r>
      <w:r w:rsidR="00A46075" w:rsidRPr="00A46075">
        <w:t>scrambling</w:t>
      </w:r>
      <w:r w:rsidRPr="00A46075">
        <w:t xml:space="preserve"> shrub or liana, 3-20 m climbing in </w:t>
      </w:r>
      <w:r w:rsidRPr="00B541B0">
        <w:rPr>
          <w:color w:val="0070C0"/>
        </w:rPr>
        <w:t xml:space="preserve">trees. </w:t>
      </w:r>
      <w:r w:rsidR="00A94334" w:rsidRPr="00A94334">
        <w:rPr>
          <w:color w:val="0070C0"/>
        </w:rPr>
        <w:t>A detailed geographical description of the substances studied is given in SI.</w:t>
      </w:r>
      <w:r w:rsidR="00A94334">
        <w:rPr>
          <w:color w:val="0070C0"/>
        </w:rPr>
        <w:t xml:space="preserve"> </w:t>
      </w:r>
      <w:r w:rsidR="000737DD" w:rsidRPr="00B541B0">
        <w:rPr>
          <w:color w:val="0070C0"/>
        </w:rPr>
        <w:t xml:space="preserve">The </w:t>
      </w:r>
      <w:proofErr w:type="spellStart"/>
      <w:r w:rsidR="000737DD" w:rsidRPr="00A46075">
        <w:t>antiplasmodial</w:t>
      </w:r>
      <w:proofErr w:type="spellEnd"/>
      <w:r w:rsidR="000737DD" w:rsidRPr="00A46075">
        <w:t xml:space="preserve"> activities of the three </w:t>
      </w:r>
      <w:proofErr w:type="spellStart"/>
      <w:r w:rsidR="000737DD" w:rsidRPr="00A46075">
        <w:t>panganensines</w:t>
      </w:r>
      <w:proofErr w:type="spellEnd"/>
      <w:r w:rsidR="000737DD" w:rsidRPr="00A46075">
        <w:t xml:space="preserve"> (S, X and Y) were evaluated against chloroquine-resistant and sensitive lines of </w:t>
      </w:r>
      <w:r w:rsidR="000737DD" w:rsidRPr="00A46075">
        <w:rPr>
          <w:i/>
          <w:iCs/>
        </w:rPr>
        <w:t>Plasmodium falciparum</w:t>
      </w:r>
      <w:r w:rsidR="000737DD" w:rsidRPr="00A46075">
        <w:t xml:space="preserve">. These alkaloids exhibited moderate to weak activity with </w:t>
      </w:r>
      <w:proofErr w:type="spellStart"/>
      <w:r w:rsidR="000737DD" w:rsidRPr="00A46075">
        <w:t>antiplasmodial</w:t>
      </w:r>
      <w:proofErr w:type="spellEnd"/>
      <w:r w:rsidR="000737DD" w:rsidRPr="00A46075">
        <w:t xml:space="preserve"> IC</w:t>
      </w:r>
      <w:r w:rsidR="000737DD" w:rsidRPr="00A46075">
        <w:rPr>
          <w:vertAlign w:val="subscript"/>
        </w:rPr>
        <w:t xml:space="preserve">50 </w:t>
      </w:r>
      <w:r w:rsidR="000737DD" w:rsidRPr="00A46075">
        <w:t xml:space="preserve">values of 5-20 </w:t>
      </w:r>
      <w:proofErr w:type="spellStart"/>
      <w:r w:rsidR="000737DD" w:rsidRPr="00A46075">
        <w:t>microM</w:t>
      </w:r>
      <w:proofErr w:type="spellEnd"/>
      <w:r w:rsidR="000737DD" w:rsidRPr="00A46075">
        <w:t xml:space="preserve"> against </w:t>
      </w:r>
      <w:r w:rsidR="000737DD" w:rsidRPr="00A46075">
        <w:rPr>
          <w:i/>
          <w:iCs/>
        </w:rPr>
        <w:t>Plasmodium</w:t>
      </w:r>
      <w:r w:rsidR="000737DD" w:rsidRPr="00A46075">
        <w:t xml:space="preserve"> lines tested</w:t>
      </w:r>
      <w:r w:rsidR="00BF68B3">
        <w:t>.</w:t>
      </w:r>
      <w:r w:rsidR="000737DD" w:rsidRPr="00BF68B3">
        <w:rPr>
          <w:rStyle w:val="Appeldenotedefin"/>
          <w:lang w:val="en-GB"/>
        </w:rPr>
        <w:endnoteReference w:id="3"/>
      </w:r>
      <w:r w:rsidR="000737DD" w:rsidRPr="00A46075">
        <w:t xml:space="preserve"> The amount of isolated </w:t>
      </w:r>
      <w:proofErr w:type="spellStart"/>
      <w:r w:rsidR="000737DD" w:rsidRPr="00A46075">
        <w:t>panganensine</w:t>
      </w:r>
      <w:proofErr w:type="spellEnd"/>
      <w:r w:rsidR="000737DD" w:rsidRPr="00A46075">
        <w:t xml:space="preserve"> R was not sufficient for the pharmacological testing.</w:t>
      </w:r>
    </w:p>
    <w:p w14:paraId="5FF411AF" w14:textId="1B7A92C0" w:rsidR="0063374C" w:rsidRPr="00A46075" w:rsidRDefault="0063374C" w:rsidP="00150DEC">
      <w:pPr>
        <w:pStyle w:val="MCMainTextfirstparagraph"/>
      </w:pPr>
      <w:r w:rsidRPr="00A46075">
        <w:t>The leaves of two East African specimens were screened for alkaloids but only traces have been found for one of the two</w:t>
      </w:r>
      <w:r w:rsidR="00A94334" w:rsidRPr="00A46075">
        <w:t>.</w:t>
      </w:r>
      <w:r w:rsidR="00091B11" w:rsidRPr="00BF68B3">
        <w:rPr>
          <w:rStyle w:val="Appeldenotedefin"/>
          <w:lang w:val="en-GB"/>
        </w:rPr>
        <w:endnoteReference w:id="4"/>
      </w:r>
      <w:r w:rsidRPr="00A46075">
        <w:t xml:space="preserve"> On the other hand, the alkaloids </w:t>
      </w:r>
      <w:r w:rsidR="00091B11" w:rsidRPr="00A46075">
        <w:t>of root</w:t>
      </w:r>
      <w:r w:rsidRPr="00A46075">
        <w:t xml:space="preserve"> bark of </w:t>
      </w:r>
      <w:r w:rsidRPr="00A46075">
        <w:rPr>
          <w:i/>
          <w:iCs/>
        </w:rPr>
        <w:t xml:space="preserve">Strychnos </w:t>
      </w:r>
      <w:proofErr w:type="spellStart"/>
      <w:r w:rsidRPr="00A46075">
        <w:rPr>
          <w:i/>
          <w:iCs/>
        </w:rPr>
        <w:t>panganensis</w:t>
      </w:r>
      <w:proofErr w:type="spellEnd"/>
      <w:r w:rsidRPr="00A46075">
        <w:t xml:space="preserve"> collected in Tanzania were extracted </w:t>
      </w:r>
      <w:r w:rsidR="00091B11" w:rsidRPr="00A46075">
        <w:t>and deeply</w:t>
      </w:r>
      <w:r w:rsidRPr="00A46075">
        <w:t xml:space="preserve"> studied at the University of Reims.</w:t>
      </w:r>
      <w:bookmarkStart w:id="0" w:name="_Ref197331375"/>
      <w:r w:rsidR="00A94334" w:rsidRPr="00A94334">
        <w:rPr>
          <w:rStyle w:val="Appeldenotedefin"/>
        </w:rPr>
        <w:endnoteReference w:id="5"/>
      </w:r>
      <w:bookmarkEnd w:id="0"/>
      <w:r w:rsidRPr="00A46075">
        <w:t xml:space="preserve"> From a crude fraction of 6.6 g of crude alkaloids, 12 alkaloids were separated. Among them six were new</w:t>
      </w:r>
      <w:r w:rsidR="00E917BD">
        <w:t>,</w:t>
      </w:r>
      <w:r w:rsidRPr="00A46075">
        <w:t xml:space="preserve"> among </w:t>
      </w:r>
      <w:r w:rsidR="00091B11" w:rsidRPr="00A46075">
        <w:t xml:space="preserve">which </w:t>
      </w:r>
      <w:r w:rsidRPr="00A46075">
        <w:t xml:space="preserve">dimeric </w:t>
      </w:r>
      <w:proofErr w:type="spellStart"/>
      <w:r w:rsidRPr="00A46075">
        <w:t>indolinic</w:t>
      </w:r>
      <w:proofErr w:type="spellEnd"/>
      <w:r w:rsidRPr="00A46075">
        <w:t xml:space="preserve"> alkaloids named </w:t>
      </w:r>
      <w:proofErr w:type="spellStart"/>
      <w:r w:rsidRPr="00A46075">
        <w:t>panganensines</w:t>
      </w:r>
      <w:proofErr w:type="spellEnd"/>
      <w:r w:rsidRPr="00A46075">
        <w:t xml:space="preserve"> R, S, X and Y</w:t>
      </w:r>
      <w:r w:rsidR="00091B11">
        <w:t xml:space="preserve">. </w:t>
      </w:r>
      <w:r w:rsidR="00E917BD">
        <w:t xml:space="preserve">These alkaloids were made up of </w:t>
      </w:r>
      <w:r w:rsidR="00E917BD" w:rsidRPr="00C13A94">
        <w:rPr>
          <w:i/>
        </w:rPr>
        <w:t>N</w:t>
      </w:r>
      <w:r w:rsidR="00E917BD">
        <w:t xml:space="preserve">-deacetylated </w:t>
      </w:r>
      <w:proofErr w:type="spellStart"/>
      <w:r w:rsidR="00E917BD">
        <w:t>retuline</w:t>
      </w:r>
      <w:proofErr w:type="spellEnd"/>
      <w:r w:rsidR="00E917BD">
        <w:t xml:space="preserve">, </w:t>
      </w:r>
      <w:proofErr w:type="spellStart"/>
      <w:r w:rsidR="00E917BD">
        <w:t>isoretuline</w:t>
      </w:r>
      <w:proofErr w:type="spellEnd"/>
      <w:r w:rsidR="00E917BD">
        <w:t xml:space="preserve"> and </w:t>
      </w:r>
      <w:proofErr w:type="spellStart"/>
      <w:r w:rsidR="00E917BD">
        <w:t>spermostrychnine</w:t>
      </w:r>
      <w:proofErr w:type="spellEnd"/>
      <w:r w:rsidR="00E917BD">
        <w:t xml:space="preserve"> and it was soon realized that they were pairs of </w:t>
      </w:r>
      <w:proofErr w:type="spellStart"/>
      <w:r w:rsidR="00E917BD">
        <w:t>diastereoisomers</w:t>
      </w:r>
      <w:proofErr w:type="spellEnd"/>
      <w:r w:rsidR="00E917BD">
        <w:t xml:space="preserve">. The first pair was named </w:t>
      </w:r>
      <w:proofErr w:type="spellStart"/>
      <w:r w:rsidR="00E917BD">
        <w:t>panganensines</w:t>
      </w:r>
      <w:proofErr w:type="spellEnd"/>
      <w:r w:rsidR="00E917BD">
        <w:t xml:space="preserve"> R and S, without knowing which was C-21′ </w:t>
      </w:r>
      <w:r w:rsidR="00E917BD" w:rsidRPr="00C13A94">
        <w:rPr>
          <w:i/>
        </w:rPr>
        <w:t>R</w:t>
      </w:r>
      <w:r w:rsidR="00E917BD">
        <w:t xml:space="preserve"> and C-21′</w:t>
      </w:r>
      <w:r w:rsidR="000737DD">
        <w:t xml:space="preserve"> </w:t>
      </w:r>
      <w:r w:rsidR="00E917BD" w:rsidRPr="00C13A94">
        <w:rPr>
          <w:i/>
        </w:rPr>
        <w:t>S</w:t>
      </w:r>
      <w:r w:rsidR="00E917BD">
        <w:t xml:space="preserve">. For the second pair, the letters X and Y were chosen and referred to </w:t>
      </w:r>
      <w:r w:rsidR="00E917BD" w:rsidRPr="00C13A94">
        <w:rPr>
          <w:i/>
        </w:rPr>
        <w:t>R</w:t>
      </w:r>
      <w:r w:rsidR="00517316" w:rsidRPr="00C13A94">
        <w:t>-</w:t>
      </w:r>
      <w:r w:rsidR="00E917BD">
        <w:t xml:space="preserve"> or </w:t>
      </w:r>
      <w:r w:rsidR="00E917BD" w:rsidRPr="00C13A94">
        <w:rPr>
          <w:i/>
        </w:rPr>
        <w:t>S</w:t>
      </w:r>
      <w:r w:rsidR="00517316">
        <w:t>-</w:t>
      </w:r>
      <w:r w:rsidR="00E917BD">
        <w:t>configurations at C-19. W</w:t>
      </w:r>
      <w:r w:rsidR="007A11A7">
        <w:t>ith the tools available at that time</w:t>
      </w:r>
      <w:r w:rsidR="00E917BD">
        <w:t xml:space="preserve">, it was not possible </w:t>
      </w:r>
      <w:r w:rsidR="006F5B49">
        <w:t>to determine the missing configurations</w:t>
      </w:r>
      <w:r w:rsidRPr="00A46075">
        <w:t>.</w:t>
      </w:r>
    </w:p>
    <w:p w14:paraId="7E4E71A5" w14:textId="78E2EE2A" w:rsidR="0099239C" w:rsidRDefault="00D54BB7" w:rsidP="00150DEC">
      <w:pPr>
        <w:pStyle w:val="MCMainTextfirstparagraph"/>
      </w:pPr>
      <w:r>
        <w:t>Thus, a</w:t>
      </w:r>
      <w:r w:rsidR="001D42DB">
        <w:t>t the first stage of the present</w:t>
      </w:r>
      <w:r w:rsidR="001D42DB" w:rsidRPr="001D42DB">
        <w:t xml:space="preserve"> study, a preliminary conformational search was carried out to establish the spatial three-dimensional structures of </w:t>
      </w:r>
      <w:r w:rsidR="001D42DB" w:rsidRPr="001D42DB">
        <w:rPr>
          <w:b/>
        </w:rPr>
        <w:t>1</w:t>
      </w:r>
      <w:r w:rsidR="001D42DB" w:rsidRPr="001D42DB">
        <w:t>–</w:t>
      </w:r>
      <w:r w:rsidR="001D42DB" w:rsidRPr="001D42DB">
        <w:rPr>
          <w:b/>
        </w:rPr>
        <w:t>4</w:t>
      </w:r>
      <w:r w:rsidR="001D42DB" w:rsidRPr="001D42DB">
        <w:t>.</w:t>
      </w:r>
      <w:r w:rsidR="00000057">
        <w:t xml:space="preserve"> </w:t>
      </w:r>
      <w:r w:rsidR="005E0366" w:rsidRPr="005E0366">
        <w:t xml:space="preserve">It is worth noting that the entries for </w:t>
      </w:r>
      <w:proofErr w:type="spellStart"/>
      <w:r w:rsidR="005E0366" w:rsidRPr="005E0366">
        <w:t>panganensin</w:t>
      </w:r>
      <w:r w:rsidR="005E0366">
        <w:t>e</w:t>
      </w:r>
      <w:r w:rsidR="005E0366" w:rsidRPr="005E0366">
        <w:t>s</w:t>
      </w:r>
      <w:proofErr w:type="spellEnd"/>
      <w:r w:rsidR="005E0366" w:rsidRPr="005E0366">
        <w:t xml:space="preserve"> S and X in the PubChem database were deposited with incorrect </w:t>
      </w:r>
      <w:r w:rsidR="007B62A3" w:rsidRPr="007B62A3">
        <w:t>designation</w:t>
      </w:r>
      <w:r w:rsidR="007B62A3">
        <w:t>s</w:t>
      </w:r>
      <w:r w:rsidR="007B62A3" w:rsidRPr="007B62A3">
        <w:t xml:space="preserve"> </w:t>
      </w:r>
      <w:r w:rsidR="005E0366" w:rsidRPr="005E0366">
        <w:t>of their three-dimensional structures.</w:t>
      </w:r>
      <w:r w:rsidR="00A94334" w:rsidRPr="00A94334">
        <w:rPr>
          <w:rStyle w:val="Appeldenotedefin"/>
        </w:rPr>
        <w:endnoteReference w:id="6"/>
      </w:r>
      <w:r w:rsidR="00A94334" w:rsidRPr="00A94334">
        <w:rPr>
          <w:vertAlign w:val="superscript"/>
        </w:rPr>
        <w:t>,</w:t>
      </w:r>
      <w:r w:rsidR="00A94334" w:rsidRPr="00A94334">
        <w:rPr>
          <w:rStyle w:val="Appeldenotedefin"/>
        </w:rPr>
        <w:endnoteReference w:id="7"/>
      </w:r>
      <w:r w:rsidR="005E0366">
        <w:t xml:space="preserve"> </w:t>
      </w:r>
      <w:r w:rsidR="001D42DB">
        <w:t>At that</w:t>
      </w:r>
      <w:r w:rsidR="007A11A7">
        <w:t xml:space="preserve"> point</w:t>
      </w:r>
      <w:r w:rsidR="001D42DB">
        <w:t>, t</w:t>
      </w:r>
      <w:r w:rsidR="001D42DB" w:rsidRPr="001D42DB">
        <w:t>he</w:t>
      </w:r>
      <w:r w:rsidR="00000057">
        <w:t xml:space="preserve"> mutual</w:t>
      </w:r>
      <w:r w:rsidR="001D42DB" w:rsidRPr="001D42DB">
        <w:t xml:space="preserve"> arrangement of </w:t>
      </w:r>
      <w:r w:rsidR="00845AFC" w:rsidRPr="001D42DB">
        <w:t>t</w:t>
      </w:r>
      <w:r w:rsidR="00845AFC">
        <w:t>he</w:t>
      </w:r>
      <w:r w:rsidR="00845AFC" w:rsidRPr="001D42DB">
        <w:t xml:space="preserve"> </w:t>
      </w:r>
      <w:r w:rsidR="001D42DB" w:rsidRPr="001D42DB">
        <w:t xml:space="preserve">subunits </w:t>
      </w:r>
      <w:r w:rsidR="00000057">
        <w:t>in</w:t>
      </w:r>
      <w:r w:rsidR="001D42DB" w:rsidRPr="001D42DB">
        <w:t xml:space="preserve"> each molecule </w:t>
      </w:r>
      <w:r w:rsidR="00000057">
        <w:lastRenderedPageBreak/>
        <w:t>was</w:t>
      </w:r>
      <w:r w:rsidR="001D42DB" w:rsidRPr="001D42DB">
        <w:t xml:space="preserve"> </w:t>
      </w:r>
      <w:r w:rsidR="00000057">
        <w:t>thoroughly</w:t>
      </w:r>
      <w:r w:rsidR="001D42DB" w:rsidRPr="001D42DB">
        <w:t xml:space="preserve"> </w:t>
      </w:r>
      <w:r w:rsidR="0031069B">
        <w:t>investigated</w:t>
      </w:r>
      <w:r w:rsidR="001D42DB" w:rsidRPr="001D42DB">
        <w:t>.</w:t>
      </w:r>
      <w:r w:rsidR="00000057">
        <w:t xml:space="preserve"> W</w:t>
      </w:r>
      <w:r w:rsidR="00000057" w:rsidRPr="00000057">
        <w:t xml:space="preserve">henever possible, available experimental data </w:t>
      </w:r>
      <w:r w:rsidR="00000057">
        <w:t>extracted from the</w:t>
      </w:r>
      <w:r w:rsidR="00000057" w:rsidRPr="00000057">
        <w:t xml:space="preserve"> ROESY and HMBC correlations were taken into account, as </w:t>
      </w:r>
      <w:r w:rsidR="008E6102">
        <w:t>summarized</w:t>
      </w:r>
      <w:r w:rsidR="00000057" w:rsidRPr="00000057">
        <w:t xml:space="preserve"> in </w:t>
      </w:r>
      <w:r w:rsidR="00F9363E" w:rsidRPr="00F9363E">
        <w:rPr>
          <w:color w:val="0070C0"/>
          <w:highlight w:val="yellow"/>
        </w:rPr>
        <w:t>Figure</w:t>
      </w:r>
      <w:r w:rsidR="00000057" w:rsidRPr="00F9363E">
        <w:rPr>
          <w:color w:val="0070C0"/>
          <w:highlight w:val="yellow"/>
        </w:rPr>
        <w:t xml:space="preserve"> </w:t>
      </w:r>
      <w:r w:rsidR="00000057" w:rsidRPr="00000057">
        <w:rPr>
          <w:highlight w:val="yellow"/>
        </w:rPr>
        <w:t>2</w:t>
      </w:r>
      <w:r w:rsidR="00000057" w:rsidRPr="00000057">
        <w:t>.</w:t>
      </w:r>
    </w:p>
    <w:p w14:paraId="226AD2E9" w14:textId="57580F2D" w:rsidR="0017560E" w:rsidRDefault="0017560E" w:rsidP="00150DEC">
      <w:pPr>
        <w:pStyle w:val="MCMainTextfirstparagraph"/>
      </w:pPr>
      <w:r>
        <w:t>Despite t</w:t>
      </w:r>
      <w:r w:rsidRPr="0017560E">
        <w:t xml:space="preserve">he minor structural differences </w:t>
      </w:r>
      <w:r w:rsidR="0031069B">
        <w:t>of</w:t>
      </w:r>
      <w:r w:rsidRPr="0017560E">
        <w:t xml:space="preserve"> </w:t>
      </w:r>
      <w:r w:rsidR="00314FA9" w:rsidRPr="00314FA9">
        <w:rPr>
          <w:b/>
        </w:rPr>
        <w:t>1</w:t>
      </w:r>
      <w:r w:rsidR="00314FA9">
        <w:t>-</w:t>
      </w:r>
      <w:r w:rsidR="00314FA9" w:rsidRPr="00314FA9">
        <w:rPr>
          <w:b/>
        </w:rPr>
        <w:t>4</w:t>
      </w:r>
      <w:r w:rsidR="00C80F47">
        <w:t>,</w:t>
      </w:r>
      <w:r w:rsidRPr="0017560E">
        <w:t xml:space="preserve"> </w:t>
      </w:r>
      <w:r w:rsidR="00C80F47">
        <w:t xml:space="preserve">they </w:t>
      </w:r>
      <w:r w:rsidR="0031069B">
        <w:t>demonstrate</w:t>
      </w:r>
      <w:r w:rsidRPr="0017560E">
        <w:t xml:space="preserve"> a </w:t>
      </w:r>
      <w:r w:rsidR="0031069B">
        <w:t>marked</w:t>
      </w:r>
      <w:r w:rsidRPr="0017560E">
        <w:t xml:space="preserve"> influence</w:t>
      </w:r>
      <w:r w:rsidR="00457ADB">
        <w:t xml:space="preserve"> of chemical structure</w:t>
      </w:r>
      <w:r w:rsidRPr="0017560E">
        <w:t xml:space="preserve"> on the </w:t>
      </w:r>
      <w:r w:rsidR="00C80F47">
        <w:t>variation</w:t>
      </w:r>
      <w:r w:rsidRPr="0017560E">
        <w:t xml:space="preserve"> of chemical shifts. </w:t>
      </w:r>
      <w:r w:rsidR="0031069B">
        <w:t>P</w:t>
      </w:r>
      <w:r>
        <w:t xml:space="preserve">erformed </w:t>
      </w:r>
      <w:r w:rsidRPr="0017560E">
        <w:t xml:space="preserve">conformational search was reduced mainly to identifying the exact angles of rotation of subunits at the C-19–C-20 and C-18–C-21' bonds in </w:t>
      </w:r>
      <w:proofErr w:type="spellStart"/>
      <w:r w:rsidRPr="0017560E">
        <w:t>panganensin</w:t>
      </w:r>
      <w:r w:rsidR="009F5269">
        <w:t>e</w:t>
      </w:r>
      <w:r w:rsidRPr="0017560E">
        <w:t>s</w:t>
      </w:r>
      <w:proofErr w:type="spellEnd"/>
      <w:r w:rsidRPr="0017560E">
        <w:t xml:space="preserve"> R and S, and</w:t>
      </w:r>
      <w:r w:rsidR="00A557FE">
        <w:t xml:space="preserve"> those</w:t>
      </w:r>
      <w:r w:rsidRPr="0017560E">
        <w:t xml:space="preserve"> at the C-19–C-20 and C-19–C-10</w:t>
      </w:r>
      <w:r>
        <w:t xml:space="preserve">' bonds in </w:t>
      </w:r>
      <w:proofErr w:type="spellStart"/>
      <w:r>
        <w:t>panganensin</w:t>
      </w:r>
      <w:r w:rsidR="009F5269">
        <w:t>e</w:t>
      </w:r>
      <w:r>
        <w:t>s</w:t>
      </w:r>
      <w:proofErr w:type="spellEnd"/>
      <w:r>
        <w:t xml:space="preserve"> X and Y</w:t>
      </w:r>
      <w:r w:rsidRPr="0017560E">
        <w:t>.</w:t>
      </w:r>
      <w:r w:rsidR="007354FD">
        <w:t xml:space="preserve"> </w:t>
      </w:r>
      <w:r w:rsidR="00C80F47">
        <w:t>Performed c</w:t>
      </w:r>
      <w:r w:rsidRPr="0017560E">
        <w:t>onformational search in the energy range</w:t>
      </w:r>
      <w:r w:rsidR="007354FD">
        <w:t xml:space="preserve"> of</w:t>
      </w:r>
      <w:r w:rsidRPr="0017560E">
        <w:t xml:space="preserve"> 0-10 kcal/mol relative to the </w:t>
      </w:r>
      <w:r w:rsidR="007354FD" w:rsidRPr="0017560E">
        <w:t xml:space="preserve">detected </w:t>
      </w:r>
      <w:r w:rsidRPr="0017560E">
        <w:t xml:space="preserve">minimum, </w:t>
      </w:r>
      <w:r w:rsidR="00314FA9">
        <w:t xml:space="preserve">revealed </w:t>
      </w:r>
      <w:r w:rsidRPr="0017560E">
        <w:t>several groups of conformers that correspond</w:t>
      </w:r>
      <w:r w:rsidR="007354FD">
        <w:t>ed</w:t>
      </w:r>
      <w:r w:rsidRPr="0017560E">
        <w:t xml:space="preserve"> to the stereochemical structures of </w:t>
      </w:r>
      <w:r w:rsidRPr="0017560E">
        <w:rPr>
          <w:b/>
        </w:rPr>
        <w:t>1</w:t>
      </w:r>
      <w:r w:rsidRPr="0017560E">
        <w:t>-</w:t>
      </w:r>
      <w:r w:rsidRPr="0017560E">
        <w:rPr>
          <w:b/>
        </w:rPr>
        <w:t>4</w:t>
      </w:r>
      <w:r w:rsidRPr="0017560E">
        <w:t>, as</w:t>
      </w:r>
      <w:r>
        <w:t xml:space="preserve"> it was</w:t>
      </w:r>
      <w:r w:rsidRPr="0017560E">
        <w:t xml:space="preserve"> initially established by a series of NMR experiments.</w:t>
      </w:r>
      <w:r w:rsidR="00A94334" w:rsidRPr="00A94334">
        <w:rPr>
          <w:highlight w:val="yellow"/>
          <w:vertAlign w:val="superscript"/>
        </w:rPr>
        <w:fldChar w:fldCharType="begin"/>
      </w:r>
      <w:r w:rsidR="00A94334" w:rsidRPr="00A94334">
        <w:rPr>
          <w:vertAlign w:val="superscript"/>
        </w:rPr>
        <w:instrText xml:space="preserve"> NOTEREF _Ref197331375 \h </w:instrText>
      </w:r>
      <w:r w:rsidR="00A94334">
        <w:rPr>
          <w:highlight w:val="yellow"/>
          <w:vertAlign w:val="superscript"/>
        </w:rPr>
        <w:instrText xml:space="preserve"> \* MERGEFORMAT </w:instrText>
      </w:r>
      <w:r w:rsidR="00A94334" w:rsidRPr="00A94334">
        <w:rPr>
          <w:highlight w:val="yellow"/>
          <w:vertAlign w:val="superscript"/>
        </w:rPr>
      </w:r>
      <w:r w:rsidR="00A94334" w:rsidRPr="00A94334">
        <w:rPr>
          <w:highlight w:val="yellow"/>
          <w:vertAlign w:val="superscript"/>
        </w:rPr>
        <w:fldChar w:fldCharType="separate"/>
      </w:r>
      <w:r w:rsidR="00A31C93">
        <w:rPr>
          <w:vertAlign w:val="superscript"/>
        </w:rPr>
        <w:t>5</w:t>
      </w:r>
      <w:r w:rsidR="00A94334" w:rsidRPr="00A94334">
        <w:rPr>
          <w:highlight w:val="yellow"/>
          <w:vertAlign w:val="superscript"/>
        </w:rPr>
        <w:fldChar w:fldCharType="end"/>
      </w:r>
    </w:p>
    <w:p w14:paraId="1F7B2AC3" w14:textId="42469EDB" w:rsidR="004B7E72" w:rsidRDefault="0041548C" w:rsidP="008C4DA1">
      <w:pPr>
        <w:pStyle w:val="MCScheme"/>
      </w:pPr>
      <w:r w:rsidRPr="005F2E48">
        <w:object w:dxaOrig="8925" w:dyaOrig="7510" w14:anchorId="6F4F6FA3">
          <v:shape id="_x0000_i1026" type="#_x0000_t75" style="width:306.25pt;height:256.3pt" o:ole="">
            <v:imagedata r:id="rId11" o:title=""/>
          </v:shape>
          <o:OLEObject Type="Embed" ProgID="ChemDraw.Document.6.0" ShapeID="_x0000_i1026" DrawAspect="Content" ObjectID="_1813751140" r:id="rId12"/>
        </w:object>
      </w:r>
    </w:p>
    <w:p w14:paraId="5324374E" w14:textId="6B69A6CC" w:rsidR="004B7E72" w:rsidRDefault="00F9363E" w:rsidP="00150DEC">
      <w:pPr>
        <w:pStyle w:val="MCMainTextfirstparagraph"/>
      </w:pPr>
      <w:r w:rsidRPr="00F9363E">
        <w:rPr>
          <w:b/>
          <w:color w:val="0070C0"/>
          <w:highlight w:val="yellow"/>
        </w:rPr>
        <w:t xml:space="preserve">Figure </w:t>
      </w:r>
      <w:r w:rsidRPr="00F9363E">
        <w:rPr>
          <w:b/>
          <w:highlight w:val="yellow"/>
        </w:rPr>
        <w:t>2.</w:t>
      </w:r>
      <w:r w:rsidRPr="00F9363E">
        <w:t xml:space="preserve"> </w:t>
      </w:r>
      <w:r w:rsidR="004B7E72" w:rsidRPr="00F9363E">
        <w:t xml:space="preserve">Principal </w:t>
      </w:r>
      <w:r w:rsidR="001431E0" w:rsidRPr="00F9363E">
        <w:t xml:space="preserve">NMR </w:t>
      </w:r>
      <w:r w:rsidR="004B7E72" w:rsidRPr="00F9363E">
        <w:t xml:space="preserve">correlations of </w:t>
      </w:r>
      <w:r w:rsidR="004B7E72" w:rsidRPr="00F9363E">
        <w:rPr>
          <w:b/>
        </w:rPr>
        <w:t>1</w:t>
      </w:r>
      <w:r w:rsidR="004B7E72" w:rsidRPr="00F9363E">
        <w:t>-</w:t>
      </w:r>
      <w:r w:rsidR="004B7E72" w:rsidRPr="00F9363E">
        <w:rPr>
          <w:b/>
        </w:rPr>
        <w:t>4</w:t>
      </w:r>
      <w:r w:rsidR="004B7E72" w:rsidRPr="00F9363E">
        <w:t>.</w:t>
      </w:r>
      <w:r w:rsidR="001431E0" w:rsidRPr="00F9363E">
        <w:t xml:space="preserve"> Violet</w:t>
      </w:r>
      <w:r w:rsidR="007354FD" w:rsidRPr="00F9363E">
        <w:t xml:space="preserve"> arrows correspond</w:t>
      </w:r>
      <w:r w:rsidR="001431E0" w:rsidRPr="00F9363E">
        <w:t xml:space="preserve"> to</w:t>
      </w:r>
      <w:r w:rsidR="007354FD" w:rsidRPr="00F9363E">
        <w:t xml:space="preserve"> the</w:t>
      </w:r>
      <w:r w:rsidR="001431E0" w:rsidRPr="00F9363E">
        <w:t xml:space="preserve"> {</w:t>
      </w:r>
      <w:r w:rsidR="001431E0" w:rsidRPr="00F9363E">
        <w:rPr>
          <w:vertAlign w:val="superscript"/>
        </w:rPr>
        <w:t>1</w:t>
      </w:r>
      <w:r w:rsidR="001431E0" w:rsidRPr="00F9363E">
        <w:t>H</w:t>
      </w:r>
      <w:r w:rsidR="002B4A7F" w:rsidRPr="00F9363E">
        <w:noBreakHyphen/>
      </w:r>
      <w:r w:rsidR="001431E0" w:rsidRPr="00F9363E">
        <w:rPr>
          <w:vertAlign w:val="superscript"/>
        </w:rPr>
        <w:t>13</w:t>
      </w:r>
      <w:r w:rsidR="001431E0" w:rsidRPr="00F9363E">
        <w:t>C} HMBC</w:t>
      </w:r>
      <w:r w:rsidR="007354FD" w:rsidRPr="00F9363E">
        <w:t xml:space="preserve"> of </w:t>
      </w:r>
      <w:r w:rsidR="007354FD" w:rsidRPr="00F9363E">
        <w:rPr>
          <w:b/>
        </w:rPr>
        <w:t>1</w:t>
      </w:r>
      <w:r w:rsidR="007354FD" w:rsidRPr="00F9363E">
        <w:t>-</w:t>
      </w:r>
      <w:r w:rsidR="007354FD" w:rsidRPr="00F9363E">
        <w:rPr>
          <w:b/>
        </w:rPr>
        <w:t>4</w:t>
      </w:r>
      <w:r w:rsidR="001431E0" w:rsidRPr="00F9363E">
        <w:t xml:space="preserve">, </w:t>
      </w:r>
      <w:r w:rsidR="007354FD" w:rsidRPr="00F9363E">
        <w:t xml:space="preserve">the </w:t>
      </w:r>
      <w:r w:rsidR="001431E0" w:rsidRPr="00F9363E">
        <w:t>blue</w:t>
      </w:r>
      <w:r w:rsidR="007354FD" w:rsidRPr="00F9363E">
        <w:t xml:space="preserve"> one</w:t>
      </w:r>
      <w:r w:rsidR="00A557FE" w:rsidRPr="00F9363E">
        <w:t xml:space="preserve"> is related</w:t>
      </w:r>
      <w:r w:rsidR="001431E0" w:rsidRPr="00F9363E">
        <w:t xml:space="preserve"> to</w:t>
      </w:r>
      <w:r w:rsidR="007354FD" w:rsidRPr="00F9363E">
        <w:t xml:space="preserve"> the</w:t>
      </w:r>
      <w:r w:rsidR="001431E0" w:rsidRPr="00F9363E">
        <w:t xml:space="preserve"> {</w:t>
      </w:r>
      <w:r w:rsidR="001431E0" w:rsidRPr="00F9363E">
        <w:rPr>
          <w:vertAlign w:val="superscript"/>
        </w:rPr>
        <w:t>1</w:t>
      </w:r>
      <w:r w:rsidR="001431E0" w:rsidRPr="00F9363E">
        <w:t>H-</w:t>
      </w:r>
      <w:r w:rsidR="001431E0" w:rsidRPr="00F9363E">
        <w:rPr>
          <w:vertAlign w:val="superscript"/>
        </w:rPr>
        <w:t>1</w:t>
      </w:r>
      <w:r w:rsidR="001431E0" w:rsidRPr="00F9363E">
        <w:t xml:space="preserve">H} ROESY of </w:t>
      </w:r>
      <w:r w:rsidR="001431E0" w:rsidRPr="00F9363E">
        <w:rPr>
          <w:b/>
        </w:rPr>
        <w:t>1</w:t>
      </w:r>
      <w:r w:rsidR="001431E0" w:rsidRPr="00F9363E">
        <w:t xml:space="preserve">, </w:t>
      </w:r>
      <w:r w:rsidR="007354FD" w:rsidRPr="00F9363E">
        <w:t>while the</w:t>
      </w:r>
      <w:r w:rsidR="001431E0" w:rsidRPr="00F9363E">
        <w:t xml:space="preserve"> green</w:t>
      </w:r>
      <w:r w:rsidR="007354FD" w:rsidRPr="00F9363E">
        <w:t xml:space="preserve"> </w:t>
      </w:r>
      <w:r w:rsidR="00A557FE" w:rsidRPr="00F9363E">
        <w:t>belongs</w:t>
      </w:r>
      <w:r w:rsidR="001431E0" w:rsidRPr="00F9363E">
        <w:t xml:space="preserve"> to</w:t>
      </w:r>
      <w:r w:rsidR="007354FD" w:rsidRPr="00F9363E">
        <w:t xml:space="preserve"> </w:t>
      </w:r>
      <w:r w:rsidR="001431E0" w:rsidRPr="00F9363E">
        <w:t>{</w:t>
      </w:r>
      <w:r w:rsidR="001431E0" w:rsidRPr="00F9363E">
        <w:rPr>
          <w:vertAlign w:val="superscript"/>
        </w:rPr>
        <w:t>1</w:t>
      </w:r>
      <w:r w:rsidR="001431E0" w:rsidRPr="00F9363E">
        <w:t>H-</w:t>
      </w:r>
      <w:r w:rsidR="001431E0" w:rsidRPr="00F9363E">
        <w:rPr>
          <w:vertAlign w:val="superscript"/>
        </w:rPr>
        <w:t>1</w:t>
      </w:r>
      <w:r w:rsidR="001431E0" w:rsidRPr="00F9363E">
        <w:t xml:space="preserve">H} ROESY of </w:t>
      </w:r>
      <w:r w:rsidR="001431E0" w:rsidRPr="00F9363E">
        <w:rPr>
          <w:b/>
        </w:rPr>
        <w:t>2</w:t>
      </w:r>
      <w:r w:rsidR="001431E0" w:rsidRPr="00F9363E">
        <w:t>.</w:t>
      </w:r>
    </w:p>
    <w:p w14:paraId="2FC994E4" w14:textId="77777777" w:rsidR="00150DEC" w:rsidRPr="00F9363E" w:rsidRDefault="00150DEC" w:rsidP="00150DEC">
      <w:pPr>
        <w:pStyle w:val="MCMainTextfirstparagraph"/>
      </w:pPr>
    </w:p>
    <w:p w14:paraId="2F6A9B94" w14:textId="4A1CA390" w:rsidR="00B9600A" w:rsidRPr="003D1E0F" w:rsidRDefault="005D6FA5" w:rsidP="00150DEC">
      <w:pPr>
        <w:pStyle w:val="MCMainTextfirstparagraph"/>
      </w:pPr>
      <w:r w:rsidRPr="005D6FA5">
        <w:t xml:space="preserve">As a result of molecular modeling, </w:t>
      </w:r>
      <w:r>
        <w:t xml:space="preserve">we </w:t>
      </w:r>
      <w:r w:rsidRPr="005D6FA5">
        <w:t>selected</w:t>
      </w:r>
      <w:r>
        <w:t xml:space="preserve"> from </w:t>
      </w:r>
      <w:r w:rsidRPr="005D6FA5">
        <w:t>4</w:t>
      </w:r>
      <w:r>
        <w:t xml:space="preserve"> to </w:t>
      </w:r>
      <w:r w:rsidRPr="005D6FA5">
        <w:t xml:space="preserve">6 groups from all identified low-energy conformers for each of the alkaloids </w:t>
      </w:r>
      <w:r>
        <w:t>under study</w:t>
      </w:r>
      <w:r w:rsidRPr="005D6FA5">
        <w:t>.</w:t>
      </w:r>
      <w:r w:rsidR="003D1E0F">
        <w:t xml:space="preserve"> Here w</w:t>
      </w:r>
      <w:r w:rsidR="003D1E0F" w:rsidRPr="003D1E0F">
        <w:t>e present</w:t>
      </w:r>
      <w:r w:rsidR="003D1E0F">
        <w:t xml:space="preserve"> the results of</w:t>
      </w:r>
      <w:r w:rsidR="003D1E0F" w:rsidRPr="003D1E0F">
        <w:t xml:space="preserve"> </w:t>
      </w:r>
      <w:r w:rsidR="003D1E0F">
        <w:t>the</w:t>
      </w:r>
      <w:r w:rsidR="003D1E0F" w:rsidRPr="003D1E0F">
        <w:t xml:space="preserve"> stereochemical analysis of </w:t>
      </w:r>
      <w:r w:rsidR="003D1E0F" w:rsidRPr="003D1E0F">
        <w:rPr>
          <w:b/>
        </w:rPr>
        <w:t>1</w:t>
      </w:r>
      <w:r w:rsidR="003D1E0F">
        <w:t>-</w:t>
      </w:r>
      <w:r w:rsidR="003D1E0F" w:rsidRPr="003D1E0F">
        <w:rPr>
          <w:b/>
        </w:rPr>
        <w:t>4</w:t>
      </w:r>
      <w:r w:rsidR="003D1E0F" w:rsidRPr="003D1E0F">
        <w:t xml:space="preserve"> with a brief summary of the </w:t>
      </w:r>
      <w:r w:rsidR="003D1E0F">
        <w:t xml:space="preserve">applied </w:t>
      </w:r>
      <w:r w:rsidR="003D1E0F" w:rsidRPr="003D1E0F">
        <w:t>calculation procedures</w:t>
      </w:r>
      <w:r w:rsidR="003D1E0F">
        <w:t xml:space="preserve"> exemplified with </w:t>
      </w:r>
      <w:r w:rsidR="00845AFC">
        <w:t xml:space="preserve">the </w:t>
      </w:r>
      <w:r w:rsidR="00845AFC" w:rsidRPr="00C13A94">
        <w:rPr>
          <w:i/>
        </w:rPr>
        <w:t>S</w:t>
      </w:r>
      <w:r w:rsidR="00E47A8C">
        <w:t>-</w:t>
      </w:r>
      <w:r w:rsidR="00845AFC">
        <w:t xml:space="preserve">isomer of </w:t>
      </w:r>
      <w:proofErr w:type="spellStart"/>
      <w:r w:rsidR="003D1E0F" w:rsidRPr="005F2E48">
        <w:t>panganensine</w:t>
      </w:r>
      <w:proofErr w:type="spellEnd"/>
      <w:r w:rsidR="003D1E0F" w:rsidRPr="003D1E0F">
        <w:t xml:space="preserve"> </w:t>
      </w:r>
      <w:r w:rsidR="003D1E0F" w:rsidRPr="005F2E48">
        <w:t>X</w:t>
      </w:r>
      <w:r w:rsidR="003D1E0F" w:rsidRPr="003D1E0F">
        <w:t xml:space="preserve"> </w:t>
      </w:r>
      <w:r w:rsidR="00E47A8C">
        <w:t>(</w:t>
      </w:r>
      <w:r w:rsidR="00E47A8C" w:rsidRPr="00C13A94">
        <w:rPr>
          <w:b/>
        </w:rPr>
        <w:t>3</w:t>
      </w:r>
      <w:r w:rsidR="00E47A8C">
        <w:t xml:space="preserve">) </w:t>
      </w:r>
      <w:r w:rsidR="00845AFC">
        <w:t>or Y</w:t>
      </w:r>
      <w:r w:rsidR="00E47A8C">
        <w:t xml:space="preserve"> (</w:t>
      </w:r>
      <w:r w:rsidR="00E47A8C" w:rsidRPr="00C13A94">
        <w:rPr>
          <w:b/>
        </w:rPr>
        <w:t>4</w:t>
      </w:r>
      <w:r w:rsidR="00E47A8C">
        <w:t>)</w:t>
      </w:r>
      <w:r w:rsidR="0031069B">
        <w:t xml:space="preserve"> in </w:t>
      </w:r>
      <w:r w:rsidR="000F640C">
        <w:t>more</w:t>
      </w:r>
      <w:r w:rsidR="0031069B">
        <w:t xml:space="preserve"> detail</w:t>
      </w:r>
      <w:r w:rsidR="003D1E0F" w:rsidRPr="003D1E0F">
        <w:t>.</w:t>
      </w:r>
    </w:p>
    <w:p w14:paraId="27DF5A5A" w14:textId="46FB06A4" w:rsidR="00735A6A" w:rsidRDefault="00072D08" w:rsidP="00150DEC">
      <w:pPr>
        <w:pStyle w:val="MCMainTextfirstparagraph"/>
      </w:pPr>
      <w:r>
        <w:t>At</w:t>
      </w:r>
      <w:r w:rsidRPr="00072D08">
        <w:t xml:space="preserve"> the initial stage of the </w:t>
      </w:r>
      <w:r>
        <w:t xml:space="preserve">performed </w:t>
      </w:r>
      <w:r w:rsidRPr="00072D08">
        <w:t>conformational search</w:t>
      </w:r>
      <w:r>
        <w:t>, as many as six</w:t>
      </w:r>
      <w:r w:rsidRPr="00072D08">
        <w:t xml:space="preserve"> groups of the most favorable conformers were identified, see SI for details.</w:t>
      </w:r>
      <w:r w:rsidR="0099239C">
        <w:t xml:space="preserve"> </w:t>
      </w:r>
      <w:r w:rsidR="00735A6A" w:rsidRPr="00735A6A">
        <w:t xml:space="preserve">The spatial structures of </w:t>
      </w:r>
      <w:r w:rsidR="00735A6A">
        <w:t xml:space="preserve">these </w:t>
      </w:r>
      <w:r w:rsidR="00735A6A" w:rsidRPr="00735A6A">
        <w:t xml:space="preserve">low-energy groups of conformers are shown in </w:t>
      </w:r>
      <w:r w:rsidR="00735A6A" w:rsidRPr="00735A6A">
        <w:rPr>
          <w:highlight w:val="yellow"/>
        </w:rPr>
        <w:t xml:space="preserve">Figure </w:t>
      </w:r>
      <w:r w:rsidR="00F9363E" w:rsidRPr="00F9363E">
        <w:rPr>
          <w:color w:val="0070C0"/>
          <w:highlight w:val="yellow"/>
        </w:rPr>
        <w:t>3</w:t>
      </w:r>
      <w:r w:rsidR="00735A6A" w:rsidRPr="00735A6A">
        <w:t>.</w:t>
      </w:r>
      <w:r w:rsidR="00735A6A">
        <w:t xml:space="preserve"> </w:t>
      </w:r>
      <w:r w:rsidR="00735A6A" w:rsidRPr="00735A6A">
        <w:t xml:space="preserve">For these conformers, the distribution of their relative free energies was </w:t>
      </w:r>
      <w:r w:rsidR="00735A6A">
        <w:t>found to be</w:t>
      </w:r>
      <w:r w:rsidR="00735A6A" w:rsidRPr="00735A6A">
        <w:t xml:space="preserve"> 2.1, 2.2, 3.8, 4.3, 0.0, and 4.1 kcal/mol </w:t>
      </w:r>
      <w:r w:rsidR="00735A6A">
        <w:t xml:space="preserve">when going </w:t>
      </w:r>
      <w:r w:rsidR="00735A6A" w:rsidRPr="00735A6A">
        <w:t xml:space="preserve">from </w:t>
      </w:r>
      <w:r w:rsidR="00735A6A" w:rsidRPr="00735A6A">
        <w:rPr>
          <w:b/>
        </w:rPr>
        <w:t>a</w:t>
      </w:r>
      <w:r w:rsidR="00735A6A" w:rsidRPr="00735A6A">
        <w:t xml:space="preserve"> to </w:t>
      </w:r>
      <w:r w:rsidR="00735A6A" w:rsidRPr="00735A6A">
        <w:rPr>
          <w:b/>
        </w:rPr>
        <w:t>f</w:t>
      </w:r>
      <w:r w:rsidR="00735A6A" w:rsidRPr="00735A6A">
        <w:t>.</w:t>
      </w:r>
      <w:r w:rsidR="0099239C">
        <w:t xml:space="preserve"> </w:t>
      </w:r>
      <w:r w:rsidR="00735A6A" w:rsidRPr="00735A6A">
        <w:t>In the next step, geometric parameters of these six low-energy conformers were refined by</w:t>
      </w:r>
      <w:r w:rsidR="00735A6A">
        <w:t xml:space="preserve"> the</w:t>
      </w:r>
      <w:r w:rsidR="00735A6A" w:rsidRPr="00735A6A">
        <w:t xml:space="preserve"> higher-level opti</w:t>
      </w:r>
      <w:r w:rsidR="00735A6A">
        <w:t>mization at the M06-2X/pecG-2 level</w:t>
      </w:r>
      <w:r w:rsidR="00A94334">
        <w:t xml:space="preserve"> </w:t>
      </w:r>
      <w:r w:rsidR="00735A6A" w:rsidRPr="00A94334">
        <w:rPr>
          <w:rStyle w:val="Appeldenotedefin"/>
          <w:lang w:val="ru-RU"/>
        </w:rPr>
        <w:endnoteReference w:id="8"/>
      </w:r>
      <w:r w:rsidR="00735A6A" w:rsidRPr="00A94334">
        <w:rPr>
          <w:vertAlign w:val="superscript"/>
        </w:rPr>
        <w:t>,</w:t>
      </w:r>
      <w:r w:rsidR="00735A6A" w:rsidRPr="00A94334">
        <w:rPr>
          <w:rStyle w:val="Appeldenotedefin"/>
          <w:lang w:val="ru-RU"/>
        </w:rPr>
        <w:endnoteReference w:id="9"/>
      </w:r>
      <w:r w:rsidR="00735A6A" w:rsidRPr="00A94334">
        <w:rPr>
          <w:vertAlign w:val="superscript"/>
        </w:rPr>
        <w:t>,</w:t>
      </w:r>
      <w:r w:rsidR="00735A6A" w:rsidRPr="00A94334">
        <w:rPr>
          <w:rStyle w:val="Appeldenotedefin"/>
          <w:lang w:val="ru-RU"/>
        </w:rPr>
        <w:endnoteReference w:id="10"/>
      </w:r>
      <w:r w:rsidR="00735A6A" w:rsidRPr="00735A6A">
        <w:t xml:space="preserve"> in</w:t>
      </w:r>
      <w:r w:rsidR="00735A6A">
        <w:t xml:space="preserve"> the</w:t>
      </w:r>
      <w:r w:rsidR="00735A6A" w:rsidRPr="00735A6A">
        <w:t xml:space="preserve"> liquid</w:t>
      </w:r>
      <w:r w:rsidR="00735A6A">
        <w:t xml:space="preserve"> phase of</w:t>
      </w:r>
      <w:r w:rsidR="00735A6A" w:rsidRPr="00735A6A">
        <w:t xml:space="preserve"> chloroform-</w:t>
      </w:r>
      <w:r w:rsidR="00735A6A" w:rsidRPr="00735A6A">
        <w:rPr>
          <w:i/>
        </w:rPr>
        <w:t>d</w:t>
      </w:r>
      <w:r w:rsidR="00A94334">
        <w:rPr>
          <w:i/>
        </w:rPr>
        <w:t xml:space="preserve"> </w:t>
      </w:r>
      <w:r w:rsidR="00735A6A" w:rsidRPr="00A94334">
        <w:rPr>
          <w:rStyle w:val="Appeldenotedefin"/>
          <w:lang w:val="ru-RU"/>
        </w:rPr>
        <w:endnoteReference w:id="11"/>
      </w:r>
      <w:r w:rsidR="00735A6A" w:rsidRPr="00A94334">
        <w:rPr>
          <w:vertAlign w:val="superscript"/>
        </w:rPr>
        <w:t>,</w:t>
      </w:r>
      <w:r w:rsidR="00735A6A" w:rsidRPr="00A94334">
        <w:rPr>
          <w:rStyle w:val="Appeldenotedefin"/>
          <w:lang w:val="ru-RU"/>
        </w:rPr>
        <w:endnoteReference w:id="12"/>
      </w:r>
      <w:r w:rsidR="00735A6A" w:rsidRPr="00735A6A">
        <w:t>.</w:t>
      </w:r>
      <w:r w:rsidR="007406D6">
        <w:t xml:space="preserve"> </w:t>
      </w:r>
      <w:r w:rsidR="006C0989" w:rsidRPr="006C0989">
        <w:t xml:space="preserve">Cartesian coordinates of main conformers of </w:t>
      </w:r>
      <w:r w:rsidR="006C0989" w:rsidRPr="006C0989">
        <w:rPr>
          <w:b/>
        </w:rPr>
        <w:t>1</w:t>
      </w:r>
      <w:r w:rsidR="006C0989" w:rsidRPr="006C0989">
        <w:t>-</w:t>
      </w:r>
      <w:r w:rsidR="006C0989" w:rsidRPr="006C0989">
        <w:rPr>
          <w:b/>
        </w:rPr>
        <w:t>4</w:t>
      </w:r>
      <w:r w:rsidR="006C0989" w:rsidRPr="006C0989">
        <w:t>, optimized in the liquid phase of chloroform</w:t>
      </w:r>
      <w:r w:rsidR="006C0989">
        <w:t xml:space="preserve"> are given in the SI.</w:t>
      </w:r>
      <w:r w:rsidR="006C0989" w:rsidRPr="006C0989">
        <w:t xml:space="preserve"> </w:t>
      </w:r>
      <w:r w:rsidR="00AC2EFC" w:rsidRPr="00AC2EFC">
        <w:t xml:space="preserve">Next, for the obtained optimized structures </w:t>
      </w:r>
      <w:r w:rsidR="00AC2EFC" w:rsidRPr="00AC2EFC">
        <w:rPr>
          <w:b/>
        </w:rPr>
        <w:t>a</w:t>
      </w:r>
      <w:r w:rsidR="00AC2EFC" w:rsidRPr="00AC2EFC">
        <w:t>–</w:t>
      </w:r>
      <w:r w:rsidR="00AC2EFC" w:rsidRPr="00AC2EFC">
        <w:rPr>
          <w:b/>
        </w:rPr>
        <w:t>f</w:t>
      </w:r>
      <w:r w:rsidR="00AC2EFC" w:rsidRPr="00AC2EFC">
        <w:t xml:space="preserve">, all shielding constants were calculated together with the corresponding </w:t>
      </w:r>
      <w:r w:rsidR="00AC2EFC" w:rsidRPr="00AC2EFC">
        <w:rPr>
          <w:vertAlign w:val="superscript"/>
        </w:rPr>
        <w:t>1</w:t>
      </w:r>
      <w:r w:rsidR="00AC2EFC" w:rsidRPr="00AC2EFC">
        <w:t xml:space="preserve">H and </w:t>
      </w:r>
      <w:r w:rsidR="00AC2EFC" w:rsidRPr="00AC2EFC">
        <w:rPr>
          <w:vertAlign w:val="superscript"/>
        </w:rPr>
        <w:t>13</w:t>
      </w:r>
      <w:r w:rsidR="00AC2EFC" w:rsidRPr="00AC2EFC">
        <w:t>C NMR chemical shifts within the GIAO-PBE0/pecS-2 scheme</w:t>
      </w:r>
      <w:r w:rsidR="007406D6" w:rsidRPr="007406D6">
        <w:t>,</w:t>
      </w:r>
      <w:r w:rsidR="00A94334" w:rsidRPr="00A94334">
        <w:rPr>
          <w:rStyle w:val="Appeldenotedefin"/>
        </w:rPr>
        <w:t xml:space="preserve"> </w:t>
      </w:r>
      <w:r w:rsidR="00A94334" w:rsidRPr="00A94334">
        <w:rPr>
          <w:rStyle w:val="Appeldenotedefin"/>
          <w:lang w:val="ru-RU"/>
        </w:rPr>
        <w:endnoteReference w:id="13"/>
      </w:r>
      <w:r w:rsidR="00A94334" w:rsidRPr="00A94334">
        <w:rPr>
          <w:vertAlign w:val="superscript"/>
        </w:rPr>
        <w:t>,</w:t>
      </w:r>
      <w:r w:rsidR="00A94334" w:rsidRPr="00A94334">
        <w:rPr>
          <w:rStyle w:val="Appeldenotedefin"/>
          <w:lang w:val="ru-RU"/>
        </w:rPr>
        <w:endnoteReference w:id="14"/>
      </w:r>
      <w:r w:rsidR="00A94334" w:rsidRPr="00A94334">
        <w:rPr>
          <w:vertAlign w:val="superscript"/>
        </w:rPr>
        <w:t>,</w:t>
      </w:r>
      <w:r w:rsidR="00A94334" w:rsidRPr="00A94334">
        <w:rPr>
          <w:rStyle w:val="Appeldenotedefin"/>
          <w:lang w:val="ru-RU"/>
        </w:rPr>
        <w:endnoteReference w:id="15"/>
      </w:r>
      <w:r w:rsidR="007406D6">
        <w:t xml:space="preserve"> see </w:t>
      </w:r>
      <w:r w:rsidR="007406D6" w:rsidRPr="007406D6">
        <w:rPr>
          <w:highlight w:val="yellow"/>
        </w:rPr>
        <w:t>Table S1</w:t>
      </w:r>
      <w:r w:rsidR="007406D6" w:rsidRPr="007406D6">
        <w:t xml:space="preserve">. </w:t>
      </w:r>
      <w:r w:rsidR="007406D6">
        <w:t>B</w:t>
      </w:r>
      <w:r w:rsidR="007406D6" w:rsidRPr="007406D6">
        <w:t>oth geometry optimization and chemical shift calculations</w:t>
      </w:r>
      <w:r w:rsidR="007406D6">
        <w:t xml:space="preserve"> were performed using</w:t>
      </w:r>
      <w:r w:rsidR="0001661B">
        <w:t xml:space="preserve"> accordingly,</w:t>
      </w:r>
      <w:r w:rsidR="007406D6">
        <w:t xml:space="preserve"> </w:t>
      </w:r>
      <w:r w:rsidR="007406D6" w:rsidRPr="007406D6">
        <w:t>new efficient basis sets pecG-2 and pecS-2,</w:t>
      </w:r>
      <w:bookmarkStart w:id="1" w:name="_Ref197188124"/>
      <w:r w:rsidR="00A94334" w:rsidRPr="00A94334">
        <w:rPr>
          <w:rStyle w:val="Appeldenotedefin"/>
          <w:lang w:val="ru-RU"/>
        </w:rPr>
        <w:endnoteReference w:id="16"/>
      </w:r>
      <w:bookmarkEnd w:id="1"/>
      <w:r w:rsidR="00A94334" w:rsidRPr="00A94334">
        <w:rPr>
          <w:vertAlign w:val="superscript"/>
        </w:rPr>
        <w:t>,</w:t>
      </w:r>
      <w:bookmarkStart w:id="2" w:name="_Ref197188126"/>
      <w:r w:rsidR="00A94334" w:rsidRPr="00A94334">
        <w:rPr>
          <w:rStyle w:val="Appeldenotedefin"/>
          <w:lang w:val="ru-RU"/>
        </w:rPr>
        <w:endnoteReference w:id="17"/>
      </w:r>
      <w:bookmarkEnd w:id="2"/>
      <w:r w:rsidR="0001661B">
        <w:t xml:space="preserve"> </w:t>
      </w:r>
      <w:r w:rsidR="007406D6" w:rsidRPr="007406D6">
        <w:t>which were optimized</w:t>
      </w:r>
      <w:r w:rsidR="0001661B">
        <w:t xml:space="preserve"> </w:t>
      </w:r>
      <w:r w:rsidR="007406D6" w:rsidRPr="007406D6">
        <w:t xml:space="preserve">for </w:t>
      </w:r>
      <w:r w:rsidR="0001661B">
        <w:t>the calculations of</w:t>
      </w:r>
      <w:r w:rsidR="007406D6" w:rsidRPr="007406D6">
        <w:t xml:space="preserve"> large synthetic</w:t>
      </w:r>
      <w:r w:rsidR="0001661B">
        <w:t xml:space="preserve"> organic </w:t>
      </w:r>
      <w:r w:rsidR="000F640C">
        <w:t>molecules</w:t>
      </w:r>
      <w:r w:rsidR="007406D6" w:rsidRPr="007406D6">
        <w:t xml:space="preserve"> and natural </w:t>
      </w:r>
      <w:r w:rsidR="0001661B">
        <w:t>products. For details of the performed calculations,</w:t>
      </w:r>
      <w:r w:rsidR="007406D6" w:rsidRPr="007406D6">
        <w:t xml:space="preserve"> see SI.</w:t>
      </w:r>
    </w:p>
    <w:p w14:paraId="63DBAEC4" w14:textId="47C3AFDA" w:rsidR="00D33BB0" w:rsidRDefault="00A17673" w:rsidP="0063030E">
      <w:pPr>
        <w:pStyle w:val="MCMainText"/>
        <w:rPr>
          <w:sz w:val="28"/>
          <w:lang w:val="en-US"/>
        </w:rPr>
      </w:pPr>
      <w:r w:rsidRPr="00A17673">
        <w:rPr>
          <w:noProof/>
          <w:sz w:val="28"/>
          <w:lang w:val="ru-RU" w:eastAsia="ru-RU"/>
        </w:rPr>
        <w:lastRenderedPageBreak/>
        <w:drawing>
          <wp:inline distT="0" distB="0" distL="0" distR="0" wp14:anchorId="4EC8AB5D" wp14:editId="73038432">
            <wp:extent cx="6381750" cy="2561131"/>
            <wp:effectExtent l="0" t="0" r="0" b="0"/>
            <wp:docPr id="6" name="Рисунок 6" descr="D:\NMR\docs\2025\luc3.1\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NMR\docs\2025\luc3.1\Figure 1.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8541" cy="1396012"/>
                    </a:xfrm>
                    <a:prstGeom prst="rect">
                      <a:avLst/>
                    </a:prstGeom>
                    <a:noFill/>
                    <a:ln>
                      <a:noFill/>
                    </a:ln>
                  </pic:spPr>
                </pic:pic>
              </a:graphicData>
            </a:graphic>
          </wp:inline>
        </w:drawing>
      </w:r>
    </w:p>
    <w:p w14:paraId="7DCC70B0" w14:textId="7B7F96AD" w:rsidR="00E50A6C" w:rsidRDefault="00F9363E" w:rsidP="00150DEC">
      <w:pPr>
        <w:pStyle w:val="MCMainTextfirstparagraph"/>
      </w:pPr>
      <w:r w:rsidRPr="00F9363E">
        <w:rPr>
          <w:b/>
          <w:highlight w:val="yellow"/>
        </w:rPr>
        <w:t xml:space="preserve">Figure </w:t>
      </w:r>
      <w:r w:rsidRPr="00F9363E">
        <w:rPr>
          <w:b/>
          <w:color w:val="0070C0"/>
          <w:highlight w:val="yellow"/>
        </w:rPr>
        <w:t>3</w:t>
      </w:r>
      <w:r w:rsidRPr="00F9363E">
        <w:rPr>
          <w:b/>
          <w:highlight w:val="yellow"/>
        </w:rPr>
        <w:t>.</w:t>
      </w:r>
      <w:r w:rsidRPr="00F9363E">
        <w:t xml:space="preserve"> </w:t>
      </w:r>
      <w:r w:rsidR="004D0886" w:rsidRPr="00F9363E">
        <w:t xml:space="preserve">Three-dimensional structures of the main low-energy groups of conformers </w:t>
      </w:r>
      <w:r w:rsidR="001B6519" w:rsidRPr="00F9363E">
        <w:rPr>
          <w:b/>
        </w:rPr>
        <w:t>3</w:t>
      </w:r>
      <w:r w:rsidR="004D0886" w:rsidRPr="00F9363E">
        <w:rPr>
          <w:b/>
        </w:rPr>
        <w:t>a</w:t>
      </w:r>
      <w:r w:rsidR="001B6519" w:rsidRPr="00F9363E">
        <w:t>-</w:t>
      </w:r>
      <w:r w:rsidR="001B6519" w:rsidRPr="00F9363E">
        <w:rPr>
          <w:b/>
        </w:rPr>
        <w:t>3f</w:t>
      </w:r>
      <w:r w:rsidR="004D0886" w:rsidRPr="00F9363E">
        <w:t xml:space="preserve"> of </w:t>
      </w:r>
      <w:proofErr w:type="spellStart"/>
      <w:r w:rsidR="001B6519" w:rsidRPr="00F9363E">
        <w:t>panganensine</w:t>
      </w:r>
      <w:proofErr w:type="spellEnd"/>
      <w:r w:rsidR="001B6519" w:rsidRPr="00F9363E">
        <w:t xml:space="preserve"> X</w:t>
      </w:r>
      <w:r w:rsidR="006F6A38" w:rsidRPr="00F9363E">
        <w:t xml:space="preserve"> (</w:t>
      </w:r>
      <w:r w:rsidR="006F6A38" w:rsidRPr="00F9363E">
        <w:rPr>
          <w:b/>
        </w:rPr>
        <w:t>3</w:t>
      </w:r>
      <w:r w:rsidR="006F6A38" w:rsidRPr="00F9363E">
        <w:t>)</w:t>
      </w:r>
      <w:r w:rsidR="004D0886" w:rsidRPr="00F9363E">
        <w:t>, optimized at the M06-2X/</w:t>
      </w:r>
      <w:r w:rsidR="001B6519" w:rsidRPr="00F9363E">
        <w:t>pecG-2 level.</w:t>
      </w:r>
    </w:p>
    <w:p w14:paraId="68C47144" w14:textId="77777777" w:rsidR="008708D3" w:rsidRPr="00F9363E" w:rsidRDefault="008708D3" w:rsidP="00150DEC">
      <w:pPr>
        <w:pStyle w:val="MCMainTextfirstparagraph"/>
      </w:pPr>
    </w:p>
    <w:p w14:paraId="2CCF5E3E" w14:textId="7DF46510" w:rsidR="007D1170" w:rsidRDefault="00BD61FA" w:rsidP="00150DEC">
      <w:pPr>
        <w:pStyle w:val="MCMainTextfirstparagraph"/>
      </w:pPr>
      <w:r w:rsidRPr="00BD61FA">
        <w:t>T</w:t>
      </w:r>
      <w:r w:rsidR="00150DEC">
        <w:t xml:space="preserve">he obtained calculated values </w:t>
      </w:r>
      <w:r w:rsidRPr="00BD61FA">
        <w:t>of NMR chemical shifts are compared with the known experimental data</w:t>
      </w:r>
      <w:r>
        <w:t xml:space="preserve">. Based on this comparison, </w:t>
      </w:r>
      <w:r w:rsidRPr="00BD61FA">
        <w:t xml:space="preserve">on the one hand, a correlation assessment of the quality of the computational procedure is carried out, and on the other hand, the degree of correspondence (or non-correspondence) of the values ​​of the resonance peaks of </w:t>
      </w:r>
      <w:r w:rsidRPr="00BD61FA">
        <w:rPr>
          <w:vertAlign w:val="superscript"/>
        </w:rPr>
        <w:t>1</w:t>
      </w:r>
      <w:r w:rsidRPr="00BD61FA">
        <w:t xml:space="preserve">H and </w:t>
      </w:r>
      <w:r w:rsidRPr="00BD61FA">
        <w:rPr>
          <w:vertAlign w:val="superscript"/>
        </w:rPr>
        <w:t>13</w:t>
      </w:r>
      <w:r w:rsidRPr="00BD61FA">
        <w:t xml:space="preserve">C of the experimental spectra to their theoretically obtained values ​​is determined. </w:t>
      </w:r>
      <w:r w:rsidR="00F80C3A" w:rsidRPr="00F80C3A">
        <w:rPr>
          <w:color w:val="0070C0"/>
        </w:rPr>
        <w:t>This approach has proven itself well and is widely used in the interpretation of spectral parameters of natural compounds.</w:t>
      </w:r>
      <w:r w:rsidR="00F80C3A">
        <w:rPr>
          <w:rStyle w:val="Appeldenotedefin"/>
          <w:color w:val="0070C0"/>
        </w:rPr>
        <w:endnoteReference w:id="18"/>
      </w:r>
      <w:r w:rsidR="00F80C3A" w:rsidRPr="00F80C3A">
        <w:rPr>
          <w:color w:val="0070C0"/>
        </w:rPr>
        <w:t xml:space="preserve"> </w:t>
      </w:r>
      <w:r w:rsidR="00CF6313" w:rsidRPr="00CF6313">
        <w:t xml:space="preserve">After comparing the theoretically calculated NMR chemical shifts with two experimental sets of signals for both the </w:t>
      </w:r>
      <w:r w:rsidR="00CF6313" w:rsidRPr="00C13A94">
        <w:rPr>
          <w:i/>
        </w:rPr>
        <w:t>R</w:t>
      </w:r>
      <w:r w:rsidR="00CF6313" w:rsidRPr="00CF6313">
        <w:t xml:space="preserve">- and </w:t>
      </w:r>
      <w:r w:rsidR="00CF6313" w:rsidRPr="00C13A94">
        <w:rPr>
          <w:i/>
        </w:rPr>
        <w:t>S</w:t>
      </w:r>
      <w:r w:rsidR="00111D9A">
        <w:t xml:space="preserve">-isomers of </w:t>
      </w:r>
      <w:proofErr w:type="spellStart"/>
      <w:r w:rsidR="00111D9A">
        <w:t>panganensine</w:t>
      </w:r>
      <w:proofErr w:type="spellEnd"/>
      <w:r w:rsidR="00111D9A">
        <w:t xml:space="preserve"> –</w:t>
      </w:r>
      <w:r w:rsidR="00CF6313" w:rsidRPr="00CF6313">
        <w:t xml:space="preserve"> X (</w:t>
      </w:r>
      <w:r w:rsidR="00CF6313" w:rsidRPr="00C13A94">
        <w:rPr>
          <w:b/>
        </w:rPr>
        <w:t>3</w:t>
      </w:r>
      <w:r w:rsidR="00CF6313" w:rsidRPr="00CF6313">
        <w:t>) and Y (</w:t>
      </w:r>
      <w:r w:rsidR="00CF6313" w:rsidRPr="00C13A94">
        <w:rPr>
          <w:b/>
        </w:rPr>
        <w:t>4</w:t>
      </w:r>
      <w:r w:rsidR="00CF6313" w:rsidRPr="00CF6313">
        <w:t>), it became clear that X (</w:t>
      </w:r>
      <w:r w:rsidR="00CF6313" w:rsidRPr="00C13A94">
        <w:rPr>
          <w:b/>
        </w:rPr>
        <w:t>3</w:t>
      </w:r>
      <w:r w:rsidR="00CF6313" w:rsidRPr="00CF6313">
        <w:t xml:space="preserve">) is the </w:t>
      </w:r>
      <w:r w:rsidR="00CF6313" w:rsidRPr="00C13A94">
        <w:rPr>
          <w:i/>
        </w:rPr>
        <w:t>S</w:t>
      </w:r>
      <w:r w:rsidR="00CF6313" w:rsidRPr="00CF6313">
        <w:t>- and Y (</w:t>
      </w:r>
      <w:r w:rsidR="00CF6313" w:rsidRPr="00C13A94">
        <w:rPr>
          <w:b/>
        </w:rPr>
        <w:t>4</w:t>
      </w:r>
      <w:r w:rsidR="00CF6313" w:rsidRPr="00CF6313">
        <w:t xml:space="preserve">) is the </w:t>
      </w:r>
      <w:r w:rsidR="00CF6313" w:rsidRPr="00C13A94">
        <w:rPr>
          <w:i/>
        </w:rPr>
        <w:t>R</w:t>
      </w:r>
      <w:r w:rsidR="00CF6313" w:rsidRPr="00CF6313">
        <w:t>-isomer.</w:t>
      </w:r>
      <w:r w:rsidR="00CF6313">
        <w:t xml:space="preserve"> </w:t>
      </w:r>
      <w:r w:rsidR="00CF6313" w:rsidRPr="00CF6313">
        <w:t xml:space="preserve">Accordingly, further in the text, by conformers of </w:t>
      </w:r>
      <w:r w:rsidR="00CF6313" w:rsidRPr="00C13A94">
        <w:rPr>
          <w:b/>
        </w:rPr>
        <w:t>a</w:t>
      </w:r>
      <w:r w:rsidR="00CF6313">
        <w:t>-</w:t>
      </w:r>
      <w:r w:rsidR="00CF6313" w:rsidRPr="00C13A94">
        <w:rPr>
          <w:b/>
        </w:rPr>
        <w:t>f</w:t>
      </w:r>
      <w:r w:rsidR="00CF6313" w:rsidRPr="00CF6313">
        <w:t xml:space="preserve"> we will mean those for </w:t>
      </w:r>
      <w:proofErr w:type="spellStart"/>
      <w:r w:rsidR="00CF6313" w:rsidRPr="00CF6313">
        <w:t>panganensin</w:t>
      </w:r>
      <w:r w:rsidR="00CF6313">
        <w:t>e</w:t>
      </w:r>
      <w:proofErr w:type="spellEnd"/>
      <w:r w:rsidR="00CF6313" w:rsidRPr="00CF6313">
        <w:t xml:space="preserve"> X</w:t>
      </w:r>
      <w:r w:rsidR="00CF6313">
        <w:t xml:space="preserve"> (</w:t>
      </w:r>
      <w:r w:rsidR="00CF6313" w:rsidRPr="00C13A94">
        <w:rPr>
          <w:b/>
        </w:rPr>
        <w:t>3</w:t>
      </w:r>
      <w:r w:rsidR="00CF6313">
        <w:t>)</w:t>
      </w:r>
      <w:r w:rsidR="00CF6313" w:rsidRPr="00CF6313">
        <w:t>.</w:t>
      </w:r>
    </w:p>
    <w:p w14:paraId="14348480" w14:textId="4BDFEB03" w:rsidR="003A04ED" w:rsidRDefault="003A04ED" w:rsidP="00150DEC">
      <w:pPr>
        <w:pStyle w:val="MCMainTextfirstparagraph"/>
      </w:pPr>
      <w:r w:rsidRPr="003A04ED">
        <w:t>As for the piperidine conformation of the second subunit</w:t>
      </w:r>
      <w:r w:rsidR="00611433">
        <w:t xml:space="preserve"> of </w:t>
      </w:r>
      <w:proofErr w:type="spellStart"/>
      <w:r w:rsidR="00611433">
        <w:t>panganensines</w:t>
      </w:r>
      <w:proofErr w:type="spellEnd"/>
      <w:r w:rsidR="00611433" w:rsidRPr="00CF6313">
        <w:t xml:space="preserve"> X (</w:t>
      </w:r>
      <w:r w:rsidR="00611433" w:rsidRPr="00036A04">
        <w:rPr>
          <w:b/>
        </w:rPr>
        <w:t>3</w:t>
      </w:r>
      <w:r w:rsidR="00611433" w:rsidRPr="00CF6313">
        <w:t>) and Y (</w:t>
      </w:r>
      <w:r w:rsidR="00611433" w:rsidRPr="00036A04">
        <w:rPr>
          <w:b/>
        </w:rPr>
        <w:t>4</w:t>
      </w:r>
      <w:r w:rsidR="00611433" w:rsidRPr="00CF6313">
        <w:t>)</w:t>
      </w:r>
      <w:r w:rsidRPr="003A04ED">
        <w:t>, the attached</w:t>
      </w:r>
      <w:r>
        <w:t xml:space="preserve"> six</w:t>
      </w:r>
      <w:r w:rsidR="00611433">
        <w:t>-</w:t>
      </w:r>
      <w:r>
        <w:t xml:space="preserve">membered ring form a (3-3-1) system, which has a single constraint: the substituents at the ring junction should be </w:t>
      </w:r>
      <w:r w:rsidRPr="00C13A94">
        <w:rPr>
          <w:i/>
        </w:rPr>
        <w:t>equatorial</w:t>
      </w:r>
      <w:r>
        <w:t xml:space="preserve">, then the two six membered rings could be either </w:t>
      </w:r>
      <w:r w:rsidRPr="00C13A94">
        <w:rPr>
          <w:i/>
        </w:rPr>
        <w:t>boat</w:t>
      </w:r>
      <w:r>
        <w:t xml:space="preserve"> or </w:t>
      </w:r>
      <w:r w:rsidRPr="00C13A94">
        <w:rPr>
          <w:i/>
        </w:rPr>
        <w:t>chair</w:t>
      </w:r>
      <w:r>
        <w:t xml:space="preserve">, even though another five membered ring comes to pinch the system. As regards the piperidine ring and due to the five membered ring which removes all mobility to the </w:t>
      </w:r>
      <w:r w:rsidRPr="00C13A94">
        <w:t>nitrogen atom, the only flexibility is in C-21</w:t>
      </w:r>
      <w:r w:rsidR="00611433" w:rsidRPr="00C13A94">
        <w:t xml:space="preserve">' </w:t>
      </w:r>
      <w:r w:rsidRPr="00C13A94">
        <w:t>(</w:t>
      </w:r>
      <w:r w:rsidR="00611433" w:rsidRPr="00C13A94">
        <w:rPr>
          <w:i/>
        </w:rPr>
        <w:t>axial</w:t>
      </w:r>
      <w:r w:rsidR="00611433" w:rsidRPr="00C13A94">
        <w:t xml:space="preserve"> or </w:t>
      </w:r>
      <w:r w:rsidR="00611433" w:rsidRPr="00C13A94">
        <w:rPr>
          <w:i/>
        </w:rPr>
        <w:t>equatorial</w:t>
      </w:r>
      <w:r w:rsidRPr="00C13A94">
        <w:t>). As regards the other six</w:t>
      </w:r>
      <w:r w:rsidR="00611433" w:rsidRPr="00C13A94">
        <w:t>-</w:t>
      </w:r>
      <w:r w:rsidRPr="00C13A94">
        <w:t>membered ring, there is flexibility around the C-2</w:t>
      </w:r>
      <w:r w:rsidR="00611433" w:rsidRPr="00C13A94">
        <w:t>'</w:t>
      </w:r>
      <w:r w:rsidRPr="00C13A94">
        <w:t xml:space="preserve"> to C-16</w:t>
      </w:r>
      <w:r w:rsidR="00611433" w:rsidRPr="00C13A94">
        <w:t>'</w:t>
      </w:r>
      <w:r w:rsidRPr="00C13A94">
        <w:t xml:space="preserve"> bond and depending on configurations of these carbon atoms, </w:t>
      </w:r>
      <w:r w:rsidR="00611433" w:rsidRPr="00C13A94">
        <w:t>there can be</w:t>
      </w:r>
      <w:r w:rsidRPr="00C13A94">
        <w:t xml:space="preserve"> a </w:t>
      </w:r>
      <w:r w:rsidRPr="00C13A94">
        <w:rPr>
          <w:i/>
        </w:rPr>
        <w:t>chair</w:t>
      </w:r>
      <w:r w:rsidRPr="00C13A94">
        <w:t xml:space="preserve"> or a </w:t>
      </w:r>
      <w:r w:rsidRPr="00C13A94">
        <w:rPr>
          <w:i/>
        </w:rPr>
        <w:t>boat</w:t>
      </w:r>
      <w:r w:rsidRPr="00C13A94">
        <w:t>.</w:t>
      </w:r>
      <w:r w:rsidR="00FA246C" w:rsidRPr="00C13A94">
        <w:t xml:space="preserve"> </w:t>
      </w:r>
      <w:r w:rsidR="00DC669F" w:rsidRPr="00C13A94">
        <w:t xml:space="preserve">Up to now </w:t>
      </w:r>
      <w:r w:rsidR="00C965C8" w:rsidRPr="00C13A94">
        <w:t xml:space="preserve">the sole conformation found </w:t>
      </w:r>
      <w:r w:rsidR="00FA246C" w:rsidRPr="00C13A94">
        <w:t xml:space="preserve">for the </w:t>
      </w:r>
      <w:proofErr w:type="spellStart"/>
      <w:r w:rsidR="00FA246C" w:rsidRPr="00C13A94">
        <w:t>piperidinic</w:t>
      </w:r>
      <w:proofErr w:type="spellEnd"/>
      <w:r w:rsidR="00FA246C" w:rsidRPr="00C13A94">
        <w:t xml:space="preserve"> ring </w:t>
      </w:r>
      <w:r w:rsidR="00B60CEE" w:rsidRPr="00C13A94">
        <w:t xml:space="preserve">of </w:t>
      </w:r>
      <w:proofErr w:type="spellStart"/>
      <w:r w:rsidR="00B60CEE" w:rsidRPr="00C13A94">
        <w:t>desacetylisoretuline</w:t>
      </w:r>
      <w:proofErr w:type="spellEnd"/>
      <w:r w:rsidR="00B60CEE" w:rsidRPr="00C13A94">
        <w:t xml:space="preserve"> is the </w:t>
      </w:r>
      <w:r w:rsidR="00B60CEE" w:rsidRPr="00C13A94">
        <w:rPr>
          <w:i/>
          <w:iCs/>
        </w:rPr>
        <w:t>chair</w:t>
      </w:r>
      <w:r w:rsidR="00B60CEE" w:rsidRPr="00C13A94">
        <w:t xml:space="preserve"> form</w:t>
      </w:r>
      <w:r w:rsidR="00407F53" w:rsidRPr="00C13A94">
        <w:t>.</w:t>
      </w:r>
      <w:r w:rsidR="00A94334" w:rsidRPr="00A94334">
        <w:rPr>
          <w:rStyle w:val="Appeldenotedefin"/>
        </w:rPr>
        <w:endnoteReference w:id="19"/>
      </w:r>
      <w:r w:rsidR="00CE70AE" w:rsidRPr="00C13A94">
        <w:t xml:space="preserve"> </w:t>
      </w:r>
      <w:r w:rsidRPr="00C13A94">
        <w:t xml:space="preserve">A </w:t>
      </w:r>
      <w:r w:rsidRPr="00C13A94">
        <w:rPr>
          <w:i/>
        </w:rPr>
        <w:t>boat</w:t>
      </w:r>
      <w:r w:rsidRPr="00C13A94">
        <w:t xml:space="preserve"> </w:t>
      </w:r>
      <w:r w:rsidR="00611433" w:rsidRPr="00C13A94">
        <w:t>form</w:t>
      </w:r>
      <w:r w:rsidRPr="00C13A94">
        <w:t xml:space="preserve"> may exist in both rings and the only means to demonstrate its existence would be through the observation </w:t>
      </w:r>
      <w:r>
        <w:t>of NOEs (or ROEs) between either H-14</w:t>
      </w:r>
      <w:r w:rsidR="00611433" w:rsidRPr="0017560E">
        <w:t>'</w:t>
      </w:r>
      <w:r>
        <w:t>s and H-21</w:t>
      </w:r>
      <w:r w:rsidR="00611433" w:rsidRPr="0017560E">
        <w:t>'</w:t>
      </w:r>
      <w:r>
        <w:t xml:space="preserve"> or H-2</w:t>
      </w:r>
      <w:r w:rsidR="00611433" w:rsidRPr="0017560E">
        <w:t>'</w:t>
      </w:r>
      <w:r>
        <w:t>. Unfortunately, spectra are no longer available</w:t>
      </w:r>
      <w:r w:rsidR="001D4EC4">
        <w:t>,</w:t>
      </w:r>
      <w:r>
        <w:t xml:space="preserve"> and </w:t>
      </w:r>
      <w:r w:rsidR="00611433">
        <w:t>c</w:t>
      </w:r>
      <w:r>
        <w:t xml:space="preserve">alculations are thus the only way to probe or not the existence of a </w:t>
      </w:r>
      <w:r w:rsidR="001D4EC4" w:rsidRPr="003A04ED">
        <w:t>second subunit</w:t>
      </w:r>
      <w:r w:rsidR="001D4EC4">
        <w:t xml:space="preserve"> </w:t>
      </w:r>
      <w:r w:rsidR="001D4EC4" w:rsidRPr="003A04ED">
        <w:t xml:space="preserve">piperidine </w:t>
      </w:r>
      <w:r w:rsidR="001D4EC4">
        <w:t xml:space="preserve">in a </w:t>
      </w:r>
      <w:r w:rsidRPr="00C13A94">
        <w:rPr>
          <w:i/>
        </w:rPr>
        <w:t>boat</w:t>
      </w:r>
      <w:r w:rsidR="001D4EC4">
        <w:t xml:space="preserve"> form</w:t>
      </w:r>
      <w:r>
        <w:t>.</w:t>
      </w:r>
    </w:p>
    <w:p w14:paraId="270C07D3" w14:textId="550B47D3" w:rsidR="00E50A6C" w:rsidRDefault="00BD61FA" w:rsidP="00150DEC">
      <w:pPr>
        <w:pStyle w:val="MCMainTextfirstparagraph"/>
      </w:pPr>
      <w:r w:rsidRPr="00BD61FA">
        <w:t xml:space="preserve">In this case, such statistical descriptors as the corrected mean absolute error (CMAE) and the root mean square deviation (RMSD) were used to assess the reliability of the obtained theoretical </w:t>
      </w:r>
      <w:r>
        <w:t>values</w:t>
      </w:r>
      <w:r w:rsidRPr="00BD61FA">
        <w:t>.</w:t>
      </w:r>
      <w:r>
        <w:t xml:space="preserve"> </w:t>
      </w:r>
      <w:r w:rsidR="00DE2AB0" w:rsidRPr="00DE2AB0">
        <w:t xml:space="preserve">The results of the </w:t>
      </w:r>
      <w:r w:rsidR="0016281D">
        <w:t>performed comparison</w:t>
      </w:r>
      <w:r w:rsidR="00DE2AB0" w:rsidRPr="00DE2AB0">
        <w:t xml:space="preserve"> of all calculated and experimental </w:t>
      </w:r>
      <w:r w:rsidR="00DE2AB0" w:rsidRPr="00DE2AB0">
        <w:rPr>
          <w:vertAlign w:val="superscript"/>
        </w:rPr>
        <w:t>1</w:t>
      </w:r>
      <w:r w:rsidR="00DE2AB0" w:rsidRPr="00DE2AB0">
        <w:t xml:space="preserve">H and </w:t>
      </w:r>
      <w:r w:rsidR="00DE2AB0" w:rsidRPr="00DE2AB0">
        <w:rPr>
          <w:vertAlign w:val="superscript"/>
        </w:rPr>
        <w:t>13</w:t>
      </w:r>
      <w:r w:rsidR="00DE2AB0" w:rsidRPr="00DE2AB0">
        <w:t xml:space="preserve">C NMR chemical shifts </w:t>
      </w:r>
      <w:r w:rsidR="0016281D">
        <w:t>for</w:t>
      </w:r>
      <w:r w:rsidR="00DE2AB0" w:rsidRPr="00DE2AB0">
        <w:t xml:space="preserve"> the conformers of </w:t>
      </w:r>
      <w:r w:rsidR="00DE2AB0" w:rsidRPr="00DE2AB0">
        <w:rPr>
          <w:b/>
        </w:rPr>
        <w:t>1</w:t>
      </w:r>
      <w:r w:rsidR="00DE2AB0" w:rsidRPr="00DE2AB0">
        <w:t>–</w:t>
      </w:r>
      <w:r w:rsidR="00DE2AB0" w:rsidRPr="00DE2AB0">
        <w:rPr>
          <w:b/>
        </w:rPr>
        <w:t>4</w:t>
      </w:r>
      <w:r w:rsidR="00DE2AB0" w:rsidRPr="00DE2AB0">
        <w:t xml:space="preserve"> are presented in </w:t>
      </w:r>
      <w:r w:rsidR="00DE2AB0" w:rsidRPr="00DE2AB0">
        <w:rPr>
          <w:highlight w:val="yellow"/>
        </w:rPr>
        <w:t>Table S2</w:t>
      </w:r>
      <w:r w:rsidR="00DE2AB0" w:rsidRPr="00DE2AB0">
        <w:t>.</w:t>
      </w:r>
    </w:p>
    <w:p w14:paraId="1394F51C" w14:textId="10769C9B" w:rsidR="005056F7" w:rsidRDefault="005056F7" w:rsidP="00150DEC">
      <w:pPr>
        <w:pStyle w:val="MCMainTextfirstparagraph"/>
      </w:pPr>
      <w:r w:rsidRPr="005056F7">
        <w:t xml:space="preserve">In addition, to increase the reliability of </w:t>
      </w:r>
      <w:r>
        <w:t>applied</w:t>
      </w:r>
      <w:r w:rsidRPr="005056F7">
        <w:t xml:space="preserve"> </w:t>
      </w:r>
      <w:r>
        <w:t>methodology</w:t>
      </w:r>
      <w:r w:rsidRPr="005056F7">
        <w:t xml:space="preserve">, the DP4+ </w:t>
      </w:r>
      <w:r w:rsidR="00BD61FA" w:rsidRPr="00FB416B">
        <w:t>approach</w:t>
      </w:r>
      <w:r w:rsidR="00A94334">
        <w:t xml:space="preserve"> </w:t>
      </w:r>
      <w:r w:rsidR="00627E22" w:rsidRPr="00A94334">
        <w:rPr>
          <w:rStyle w:val="Appeldenotedefin"/>
        </w:rPr>
        <w:endnoteReference w:id="20"/>
      </w:r>
      <w:r w:rsidR="00627E22" w:rsidRPr="00A94334">
        <w:rPr>
          <w:vertAlign w:val="superscript"/>
        </w:rPr>
        <w:t>,</w:t>
      </w:r>
      <w:r w:rsidR="00627E22" w:rsidRPr="00A94334">
        <w:rPr>
          <w:rStyle w:val="Appeldenotedefin"/>
        </w:rPr>
        <w:endnoteReference w:id="21"/>
      </w:r>
      <w:r w:rsidRPr="005056F7">
        <w:t xml:space="preserve"> was used, see details in SI. Using this technique to analyze the probability density distribution of the lowest-energy conformers </w:t>
      </w:r>
      <w:r>
        <w:t>of</w:t>
      </w:r>
      <w:r w:rsidRPr="005056F7">
        <w:t xml:space="preserve"> </w:t>
      </w:r>
      <w:proofErr w:type="spellStart"/>
      <w:r w:rsidRPr="005056F7">
        <w:t>panganensine</w:t>
      </w:r>
      <w:proofErr w:type="spellEnd"/>
      <w:r w:rsidRPr="005056F7">
        <w:t xml:space="preserve"> X (</w:t>
      </w:r>
      <w:r w:rsidRPr="005056F7">
        <w:rPr>
          <w:b/>
        </w:rPr>
        <w:t>3</w:t>
      </w:r>
      <w:r w:rsidRPr="005056F7">
        <w:t>)</w:t>
      </w:r>
      <w:r w:rsidR="00C45656">
        <w:t>,</w:t>
      </w:r>
      <w:r w:rsidRPr="005056F7">
        <w:t xml:space="preserve"> </w:t>
      </w:r>
      <w:r w:rsidR="00713D0A">
        <w:t>enabled</w:t>
      </w:r>
      <w:r w:rsidRPr="005056F7">
        <w:t xml:space="preserve"> us to conclude that the most probabl</w:t>
      </w:r>
      <w:r>
        <w:t xml:space="preserve">e conformer of this </w:t>
      </w:r>
      <w:r>
        <w:lastRenderedPageBreak/>
        <w:t>alkaloid was</w:t>
      </w:r>
      <w:r w:rsidRPr="005056F7">
        <w:t xml:space="preserve"> the one with a </w:t>
      </w:r>
      <w:r>
        <w:t>stereochemical</w:t>
      </w:r>
      <w:r w:rsidRPr="005056F7">
        <w:t xml:space="preserve"> structure close to</w:t>
      </w:r>
      <w:r>
        <w:t xml:space="preserve"> that of</w:t>
      </w:r>
      <w:r w:rsidRPr="005056F7">
        <w:t xml:space="preserve"> </w:t>
      </w:r>
      <w:r w:rsidRPr="005056F7">
        <w:rPr>
          <w:b/>
        </w:rPr>
        <w:t>3b</w:t>
      </w:r>
      <w:r w:rsidRPr="005056F7">
        <w:t>,</w:t>
      </w:r>
      <w:r>
        <w:t xml:space="preserve"> see</w:t>
      </w:r>
      <w:r w:rsidRPr="005056F7">
        <w:t xml:space="preserve"> </w:t>
      </w:r>
      <w:r w:rsidR="006B22AD" w:rsidRPr="006B22AD">
        <w:rPr>
          <w:color w:val="0070C0"/>
          <w:highlight w:val="yellow"/>
        </w:rPr>
        <w:t>Table 1</w:t>
      </w:r>
      <w:r w:rsidRPr="005056F7">
        <w:t>.</w:t>
      </w:r>
      <w:r w:rsidR="00F70B8E">
        <w:t xml:space="preserve"> </w:t>
      </w:r>
      <w:r>
        <w:t>It also followed</w:t>
      </w:r>
      <w:r w:rsidR="00F70B8E">
        <w:t xml:space="preserve"> from the performed DP4+ analysis</w:t>
      </w:r>
      <w:r>
        <w:t xml:space="preserve"> that a</w:t>
      </w:r>
      <w:r w:rsidRPr="005056F7">
        <w:t>mong</w:t>
      </w:r>
      <w:r w:rsidR="00F70B8E">
        <w:t xml:space="preserve"> all</w:t>
      </w:r>
      <w:r w:rsidRPr="005056F7">
        <w:t xml:space="preserve"> six possible conformers of </w:t>
      </w:r>
      <w:proofErr w:type="spellStart"/>
      <w:r w:rsidRPr="005056F7">
        <w:t>panganensine</w:t>
      </w:r>
      <w:proofErr w:type="spellEnd"/>
      <w:r w:rsidRPr="005056F7">
        <w:t xml:space="preserve"> </w:t>
      </w:r>
      <w:r w:rsidR="00F70B8E">
        <w:t xml:space="preserve">X, </w:t>
      </w:r>
      <w:r w:rsidR="00F70B8E">
        <w:rPr>
          <w:b/>
        </w:rPr>
        <w:t>3b</w:t>
      </w:r>
      <w:r w:rsidR="00F70B8E">
        <w:t xml:space="preserve"> was </w:t>
      </w:r>
      <w:r w:rsidRPr="005056F7">
        <w:t>t</w:t>
      </w:r>
      <w:r w:rsidR="00F70B8E">
        <w:t xml:space="preserve">he most </w:t>
      </w:r>
      <w:r w:rsidR="00BD61FA" w:rsidRPr="00BD61FA">
        <w:t>sustained</w:t>
      </w:r>
      <w:r w:rsidR="00F70B8E">
        <w:t>, although it did</w:t>
      </w:r>
      <w:r w:rsidRPr="005056F7">
        <w:t xml:space="preserve"> not have the lowest energy. The probability density distribution diagrams of the conformers of </w:t>
      </w:r>
      <w:r w:rsidR="0086401A">
        <w:t>three</w:t>
      </w:r>
      <w:r w:rsidRPr="005056F7">
        <w:t xml:space="preserve"> remaining alkaloids </w:t>
      </w:r>
      <w:r w:rsidRPr="00F70B8E">
        <w:rPr>
          <w:b/>
        </w:rPr>
        <w:t>1</w:t>
      </w:r>
      <w:r w:rsidRPr="005056F7">
        <w:t xml:space="preserve">, </w:t>
      </w:r>
      <w:r w:rsidRPr="00F70B8E">
        <w:rPr>
          <w:b/>
        </w:rPr>
        <w:t>2</w:t>
      </w:r>
      <w:r w:rsidRPr="005056F7">
        <w:t xml:space="preserve">, and </w:t>
      </w:r>
      <w:r w:rsidRPr="00F70B8E">
        <w:rPr>
          <w:b/>
        </w:rPr>
        <w:t>4</w:t>
      </w:r>
      <w:r w:rsidR="00F70B8E">
        <w:t xml:space="preserve"> from this series</w:t>
      </w:r>
      <w:r w:rsidRPr="005056F7">
        <w:t xml:space="preserve"> are </w:t>
      </w:r>
      <w:r w:rsidR="00F70B8E">
        <w:t>provided</w:t>
      </w:r>
      <w:r w:rsidRPr="005056F7">
        <w:t xml:space="preserve"> in </w:t>
      </w:r>
      <w:r w:rsidRPr="00F70B8E">
        <w:rPr>
          <w:highlight w:val="yellow"/>
        </w:rPr>
        <w:t>Figure S1</w:t>
      </w:r>
      <w:r w:rsidRPr="005056F7">
        <w:t>.</w:t>
      </w:r>
    </w:p>
    <w:p w14:paraId="548BE346" w14:textId="424119C4" w:rsidR="002270F7" w:rsidRDefault="002270F7" w:rsidP="00150DEC">
      <w:pPr>
        <w:pStyle w:val="MCMainTextfirstparagraph"/>
      </w:pPr>
    </w:p>
    <w:p w14:paraId="2BFFD16B" w14:textId="77777777" w:rsidR="006B22AD" w:rsidRDefault="006B22AD" w:rsidP="006B22AD">
      <w:pPr>
        <w:rPr>
          <w:noProof/>
          <w:lang w:eastAsia="ru-RU"/>
        </w:rPr>
      </w:pPr>
      <w:r w:rsidRPr="006B22AD">
        <w:rPr>
          <w:rFonts w:ascii="Times New Roman" w:hAnsi="Times New Roman"/>
          <w:b/>
          <w:color w:val="0070C0"/>
          <w:sz w:val="24"/>
          <w:szCs w:val="24"/>
          <w:highlight w:val="yellow"/>
          <w:lang w:val="en-US"/>
        </w:rPr>
        <w:t>Table 1.</w:t>
      </w:r>
      <w:r w:rsidRPr="006B22AD">
        <w:rPr>
          <w:rFonts w:ascii="Times New Roman" w:hAnsi="Times New Roman"/>
          <w:color w:val="0070C0"/>
          <w:sz w:val="24"/>
          <w:szCs w:val="24"/>
          <w:lang w:val="en-US"/>
        </w:rPr>
        <w:t xml:space="preserve"> </w:t>
      </w:r>
      <w:r w:rsidR="002270F7" w:rsidRPr="006B22AD">
        <w:rPr>
          <w:rFonts w:ascii="Times New Roman" w:hAnsi="Times New Roman"/>
          <w:sz w:val="24"/>
          <w:szCs w:val="24"/>
          <w:lang w:val="en-US"/>
        </w:rPr>
        <w:t xml:space="preserve">Graphs of the DP4+ probability distribution (%) of the main conformers </w:t>
      </w:r>
      <w:r w:rsidR="002270F7" w:rsidRPr="006B22AD">
        <w:rPr>
          <w:rFonts w:ascii="Times New Roman" w:hAnsi="Times New Roman"/>
          <w:b/>
          <w:sz w:val="24"/>
          <w:szCs w:val="24"/>
          <w:lang w:val="en-US"/>
        </w:rPr>
        <w:t>a</w:t>
      </w:r>
      <w:r w:rsidR="002270F7" w:rsidRPr="006B22AD">
        <w:rPr>
          <w:rFonts w:ascii="Times New Roman" w:hAnsi="Times New Roman"/>
          <w:sz w:val="24"/>
          <w:szCs w:val="24"/>
          <w:lang w:val="en-US"/>
        </w:rPr>
        <w:t>-</w:t>
      </w:r>
      <w:r w:rsidR="002270F7" w:rsidRPr="006B22AD">
        <w:rPr>
          <w:rFonts w:ascii="Times New Roman" w:hAnsi="Times New Roman"/>
          <w:b/>
          <w:sz w:val="24"/>
          <w:szCs w:val="24"/>
          <w:lang w:val="en-US"/>
        </w:rPr>
        <w:t>f</w:t>
      </w:r>
      <w:r w:rsidR="002270F7" w:rsidRPr="006B22AD">
        <w:rPr>
          <w:rFonts w:ascii="Times New Roman" w:hAnsi="Times New Roman"/>
          <w:sz w:val="24"/>
          <w:szCs w:val="24"/>
          <w:lang w:val="en-US"/>
        </w:rPr>
        <w:t xml:space="preserve"> of </w:t>
      </w:r>
      <w:proofErr w:type="spellStart"/>
      <w:r w:rsidR="002270F7" w:rsidRPr="006B22AD">
        <w:rPr>
          <w:rFonts w:ascii="Times New Roman" w:hAnsi="Times New Roman"/>
          <w:sz w:val="24"/>
          <w:szCs w:val="24"/>
          <w:lang w:val="en-US"/>
        </w:rPr>
        <w:t>panganensine</w:t>
      </w:r>
      <w:proofErr w:type="spellEnd"/>
      <w:r w:rsidR="002270F7" w:rsidRPr="006B22AD">
        <w:rPr>
          <w:rFonts w:ascii="Times New Roman" w:hAnsi="Times New Roman"/>
          <w:sz w:val="24"/>
          <w:szCs w:val="24"/>
          <w:lang w:val="en-US"/>
        </w:rPr>
        <w:t xml:space="preserve"> X (</w:t>
      </w:r>
      <w:r w:rsidR="002270F7" w:rsidRPr="006B22AD">
        <w:rPr>
          <w:rFonts w:ascii="Times New Roman" w:hAnsi="Times New Roman"/>
          <w:b/>
          <w:sz w:val="24"/>
          <w:szCs w:val="24"/>
          <w:lang w:val="en-US"/>
        </w:rPr>
        <w:t>3</w:t>
      </w:r>
      <w:r w:rsidR="002270F7" w:rsidRPr="006B22AD">
        <w:rPr>
          <w:rFonts w:ascii="Times New Roman" w:hAnsi="Times New Roman"/>
          <w:sz w:val="24"/>
          <w:szCs w:val="24"/>
          <w:lang w:val="en-US"/>
        </w:rPr>
        <w:t xml:space="preserve">), obtained by correlating calculated </w:t>
      </w:r>
      <w:r w:rsidR="002270F7" w:rsidRPr="006B22AD">
        <w:rPr>
          <w:rFonts w:ascii="Times New Roman" w:hAnsi="Times New Roman"/>
          <w:i/>
          <w:sz w:val="24"/>
          <w:szCs w:val="24"/>
          <w:lang w:val="en-US"/>
        </w:rPr>
        <w:t>vs</w:t>
      </w:r>
      <w:r w:rsidR="00C45656" w:rsidRPr="006B22AD">
        <w:rPr>
          <w:rFonts w:ascii="Times New Roman" w:hAnsi="Times New Roman"/>
          <w:sz w:val="24"/>
          <w:szCs w:val="24"/>
          <w:lang w:val="en-US"/>
        </w:rPr>
        <w:t>. experimental NMR data</w:t>
      </w:r>
      <w:r w:rsidR="0086401A" w:rsidRPr="006B22AD">
        <w:rPr>
          <w:rFonts w:ascii="Times New Roman" w:hAnsi="Times New Roman"/>
          <w:sz w:val="24"/>
          <w:szCs w:val="24"/>
          <w:lang w:val="en-US"/>
        </w:rPr>
        <w:t>.</w:t>
      </w:r>
      <w:r w:rsidR="00C45656" w:rsidRPr="006B22AD">
        <w:rPr>
          <w:rFonts w:ascii="Times New Roman" w:hAnsi="Times New Roman"/>
          <w:sz w:val="24"/>
          <w:szCs w:val="24"/>
          <w:lang w:val="en-US"/>
        </w:rPr>
        <w:t xml:space="preserve"> </w:t>
      </w:r>
      <w:r w:rsidR="0086401A" w:rsidRPr="006B22AD">
        <w:rPr>
          <w:rFonts w:ascii="Times New Roman" w:hAnsi="Times New Roman"/>
          <w:sz w:val="24"/>
          <w:szCs w:val="24"/>
          <w:lang w:val="en-US"/>
        </w:rPr>
        <w:t>Here</w:t>
      </w:r>
      <w:r w:rsidR="002270F7" w:rsidRPr="006B22AD">
        <w:rPr>
          <w:rFonts w:ascii="Times New Roman" w:hAnsi="Times New Roman"/>
          <w:sz w:val="24"/>
          <w:szCs w:val="24"/>
          <w:lang w:val="en-US"/>
        </w:rPr>
        <w:t xml:space="preserve"> </w:t>
      </w:r>
      <w:r w:rsidR="002270F7" w:rsidRPr="006B22AD">
        <w:rPr>
          <w:rFonts w:ascii="Times New Roman" w:hAnsi="Times New Roman"/>
          <w:i/>
          <w:sz w:val="24"/>
          <w:szCs w:val="24"/>
          <w:lang w:val="en-US"/>
        </w:rPr>
        <w:t>s</w:t>
      </w:r>
      <w:r w:rsidR="002270F7" w:rsidRPr="006B22AD">
        <w:rPr>
          <w:rFonts w:ascii="Times New Roman" w:hAnsi="Times New Roman"/>
          <w:sz w:val="24"/>
          <w:szCs w:val="24"/>
          <w:lang w:val="en-US"/>
        </w:rPr>
        <w:t>DP4</w:t>
      </w:r>
      <w:r w:rsidR="00A25BC5" w:rsidRPr="006B22AD">
        <w:rPr>
          <w:rFonts w:ascii="Times New Roman" w:hAnsi="Times New Roman"/>
          <w:sz w:val="24"/>
          <w:szCs w:val="24"/>
          <w:lang w:val="en-US"/>
        </w:rPr>
        <w:t xml:space="preserve">+ denotes scaled values of DP4+ </w:t>
      </w:r>
      <w:r w:rsidR="0086401A" w:rsidRPr="006B22AD">
        <w:rPr>
          <w:rFonts w:ascii="Times New Roman" w:hAnsi="Times New Roman"/>
          <w:sz w:val="24"/>
          <w:szCs w:val="24"/>
          <w:lang w:val="en-US"/>
        </w:rPr>
        <w:t xml:space="preserve">while </w:t>
      </w:r>
      <w:r w:rsidR="002270F7" w:rsidRPr="006B22AD">
        <w:rPr>
          <w:rFonts w:ascii="Times New Roman" w:hAnsi="Times New Roman"/>
          <w:i/>
          <w:sz w:val="24"/>
          <w:szCs w:val="24"/>
          <w:lang w:val="en-US"/>
        </w:rPr>
        <w:t>u</w:t>
      </w:r>
      <w:r w:rsidR="002270F7" w:rsidRPr="006B22AD">
        <w:rPr>
          <w:rFonts w:ascii="Times New Roman" w:hAnsi="Times New Roman"/>
          <w:sz w:val="24"/>
          <w:szCs w:val="24"/>
          <w:lang w:val="en-US"/>
        </w:rPr>
        <w:t xml:space="preserve">DP4+ denotes </w:t>
      </w:r>
      <w:r w:rsidR="00A25BC5" w:rsidRPr="006B22AD">
        <w:rPr>
          <w:rFonts w:ascii="Times New Roman" w:hAnsi="Times New Roman"/>
          <w:sz w:val="24"/>
          <w:szCs w:val="24"/>
          <w:lang w:val="en-US"/>
        </w:rPr>
        <w:t xml:space="preserve">the </w:t>
      </w:r>
      <w:r w:rsidR="002270F7" w:rsidRPr="006B22AD">
        <w:rPr>
          <w:rFonts w:ascii="Times New Roman" w:hAnsi="Times New Roman"/>
          <w:sz w:val="24"/>
          <w:szCs w:val="24"/>
          <w:lang w:val="en-US"/>
        </w:rPr>
        <w:t>unscaled</w:t>
      </w:r>
      <w:r w:rsidR="0086401A" w:rsidRPr="006B22AD">
        <w:rPr>
          <w:rFonts w:ascii="Times New Roman" w:hAnsi="Times New Roman"/>
          <w:sz w:val="24"/>
          <w:szCs w:val="24"/>
          <w:lang w:val="en-US"/>
        </w:rPr>
        <w:t xml:space="preserve"> </w:t>
      </w:r>
      <w:r w:rsidR="002270F7" w:rsidRPr="006B22AD">
        <w:rPr>
          <w:rFonts w:ascii="Times New Roman" w:hAnsi="Times New Roman"/>
          <w:sz w:val="24"/>
          <w:szCs w:val="24"/>
          <w:lang w:val="en-US"/>
        </w:rPr>
        <w:t xml:space="preserve">DP4+ </w:t>
      </w:r>
      <w:r w:rsidR="00A25BC5" w:rsidRPr="006B22AD">
        <w:rPr>
          <w:rFonts w:ascii="Times New Roman" w:hAnsi="Times New Roman"/>
          <w:sz w:val="24"/>
          <w:szCs w:val="24"/>
          <w:lang w:val="en-US"/>
        </w:rPr>
        <w:t xml:space="preserve">values. For details, </w:t>
      </w:r>
      <w:r w:rsidR="002270F7" w:rsidRPr="006B22AD">
        <w:rPr>
          <w:rFonts w:ascii="Times New Roman" w:hAnsi="Times New Roman"/>
          <w:sz w:val="24"/>
          <w:szCs w:val="24"/>
          <w:lang w:val="en-US"/>
        </w:rPr>
        <w:t xml:space="preserve">see </w:t>
      </w:r>
      <w:r w:rsidR="00364BF8" w:rsidRPr="006B22AD">
        <w:rPr>
          <w:rFonts w:ascii="Times New Roman" w:hAnsi="Times New Roman"/>
          <w:sz w:val="24"/>
          <w:szCs w:val="24"/>
          <w:lang w:val="en-US"/>
        </w:rPr>
        <w:t>SI</w:t>
      </w:r>
      <w:r w:rsidR="002270F7" w:rsidRPr="006B22AD">
        <w:rPr>
          <w:rFonts w:ascii="Times New Roman" w:hAnsi="Times New Roman"/>
          <w:sz w:val="24"/>
          <w:szCs w:val="24"/>
          <w:lang w:val="en-US"/>
        </w:rPr>
        <w:t>.</w:t>
      </w:r>
    </w:p>
    <w:p w14:paraId="159AE5CD" w14:textId="7AE48644" w:rsidR="002270F7" w:rsidRPr="006B22AD" w:rsidRDefault="006B22AD" w:rsidP="008C4DA1">
      <w:pPr>
        <w:spacing w:after="0" w:line="240" w:lineRule="auto"/>
        <w:jc w:val="center"/>
        <w:rPr>
          <w:rFonts w:ascii="Times New Roman" w:hAnsi="Times New Roman"/>
          <w:sz w:val="24"/>
          <w:szCs w:val="24"/>
        </w:rPr>
      </w:pPr>
      <w:r w:rsidRPr="002270F7">
        <w:rPr>
          <w:noProof/>
          <w:lang w:eastAsia="ru-RU"/>
        </w:rPr>
        <w:drawing>
          <wp:inline distT="0" distB="0" distL="0" distR="0" wp14:anchorId="2331004D" wp14:editId="6004D1F4">
            <wp:extent cx="3968151" cy="2039062"/>
            <wp:effectExtent l="0" t="0" r="0" b="0"/>
            <wp:docPr id="5" name="Рисунок 5" descr="D:\NMR\docs\2025\luc3.1\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NMR\docs\2025\luc3.1\Figure 2.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9898" cy="2070791"/>
                    </a:xfrm>
                    <a:prstGeom prst="rect">
                      <a:avLst/>
                    </a:prstGeom>
                    <a:noFill/>
                    <a:ln>
                      <a:noFill/>
                    </a:ln>
                  </pic:spPr>
                </pic:pic>
              </a:graphicData>
            </a:graphic>
          </wp:inline>
        </w:drawing>
      </w:r>
    </w:p>
    <w:p w14:paraId="726E9621" w14:textId="56EC2F74" w:rsidR="002270F7" w:rsidRDefault="00993AE5" w:rsidP="00150DEC">
      <w:pPr>
        <w:pStyle w:val="MCMainTextfirstparagraph"/>
      </w:pPr>
      <w:r w:rsidRPr="00993AE5">
        <w:t xml:space="preserve">In general, </w:t>
      </w:r>
      <w:r>
        <w:t>the average level of error for the calculation</w:t>
      </w:r>
      <w:r w:rsidRPr="00993AE5">
        <w:t xml:space="preserve"> </w:t>
      </w:r>
      <w:r>
        <w:t>of</w:t>
      </w:r>
      <w:r w:rsidRPr="00993AE5">
        <w:t xml:space="preserve"> </w:t>
      </w:r>
      <w:r w:rsidRPr="00993AE5">
        <w:rPr>
          <w:vertAlign w:val="superscript"/>
        </w:rPr>
        <w:t>1</w:t>
      </w:r>
      <w:r w:rsidRPr="00993AE5">
        <w:t xml:space="preserve">H and </w:t>
      </w:r>
      <w:r w:rsidRPr="00993AE5">
        <w:rPr>
          <w:vertAlign w:val="superscript"/>
        </w:rPr>
        <w:t>13</w:t>
      </w:r>
      <w:r w:rsidRPr="00993AE5">
        <w:t xml:space="preserve">C NMR chemical shifts </w:t>
      </w:r>
      <w:r>
        <w:t>in</w:t>
      </w:r>
      <w:r w:rsidRPr="00993AE5">
        <w:t xml:space="preserve"> </w:t>
      </w:r>
      <w:r>
        <w:t>the whole series of</w:t>
      </w:r>
      <w:r w:rsidRPr="00993AE5">
        <w:t xml:space="preserve"> alkaloids</w:t>
      </w:r>
      <w:r>
        <w:t xml:space="preserve"> under study</w:t>
      </w:r>
      <w:r w:rsidRPr="00993AE5">
        <w:t xml:space="preserve"> </w:t>
      </w:r>
      <w:r w:rsidRPr="00993AE5">
        <w:rPr>
          <w:b/>
        </w:rPr>
        <w:t>1</w:t>
      </w:r>
      <w:r w:rsidRPr="00993AE5">
        <w:t>–</w:t>
      </w:r>
      <w:r w:rsidRPr="00993AE5">
        <w:rPr>
          <w:b/>
        </w:rPr>
        <w:t>4</w:t>
      </w:r>
      <w:r>
        <w:t>,</w:t>
      </w:r>
      <w:r w:rsidRPr="00993AE5">
        <w:t xml:space="preserve"> </w:t>
      </w:r>
      <w:r>
        <w:t>is quite low (</w:t>
      </w:r>
      <w:r w:rsidR="0086401A">
        <w:t xml:space="preserve">see </w:t>
      </w:r>
      <w:r w:rsidRPr="00993AE5">
        <w:rPr>
          <w:highlight w:val="yellow"/>
        </w:rPr>
        <w:t>Table S2</w:t>
      </w:r>
      <w:r>
        <w:t>).</w:t>
      </w:r>
      <w:r w:rsidR="00BF0C64">
        <w:t xml:space="preserve"> For the </w:t>
      </w:r>
      <w:r w:rsidR="00BF0C64" w:rsidRPr="00BF0C64">
        <w:rPr>
          <w:b/>
        </w:rPr>
        <w:t>3b</w:t>
      </w:r>
      <w:r w:rsidR="00BF0C64">
        <w:t xml:space="preserve"> conformer of</w:t>
      </w:r>
      <w:r w:rsidRPr="00993AE5">
        <w:t xml:space="preserve"> </w:t>
      </w:r>
      <w:proofErr w:type="spellStart"/>
      <w:r w:rsidRPr="00993AE5">
        <w:t>panganensine</w:t>
      </w:r>
      <w:proofErr w:type="spellEnd"/>
      <w:r w:rsidRPr="00993AE5">
        <w:t xml:space="preserve"> X, the CMAE </w:t>
      </w:r>
      <w:r w:rsidR="00C9435B">
        <w:t>of</w:t>
      </w:r>
      <w:r w:rsidRPr="00993AE5">
        <w:t xml:space="preserve"> </w:t>
      </w:r>
      <w:r w:rsidR="00BF0C64">
        <w:t>calculated</w:t>
      </w:r>
      <w:r w:rsidRPr="00993AE5">
        <w:t xml:space="preserve"> </w:t>
      </w:r>
      <w:r w:rsidRPr="00BF0C64">
        <w:rPr>
          <w:vertAlign w:val="superscript"/>
        </w:rPr>
        <w:t>1</w:t>
      </w:r>
      <w:r w:rsidRPr="00993AE5">
        <w:t xml:space="preserve">H and </w:t>
      </w:r>
      <w:r w:rsidRPr="00BF0C64">
        <w:rPr>
          <w:vertAlign w:val="superscript"/>
        </w:rPr>
        <w:t>13</w:t>
      </w:r>
      <w:r w:rsidRPr="00993AE5">
        <w:t xml:space="preserve">C </w:t>
      </w:r>
      <w:r w:rsidR="00BF0C64">
        <w:t>chemical shifts</w:t>
      </w:r>
      <w:r w:rsidRPr="00993AE5">
        <w:t xml:space="preserve"> was </w:t>
      </w:r>
      <w:r w:rsidR="00BF0C64">
        <w:t>only</w:t>
      </w:r>
      <w:r w:rsidRPr="00993AE5">
        <w:t xml:space="preserve"> 0.17 and 2.2 ppm, </w:t>
      </w:r>
      <w:r w:rsidR="00BF0C64">
        <w:t>while</w:t>
      </w:r>
      <w:r w:rsidRPr="00993AE5">
        <w:t xml:space="preserve"> RMSD was </w:t>
      </w:r>
      <w:r w:rsidR="00BF0C64">
        <w:t>accordingly, 0.21 and 3.1 ppm</w:t>
      </w:r>
      <w:r w:rsidRPr="00993AE5">
        <w:t xml:space="preserve">. </w:t>
      </w:r>
      <w:r w:rsidR="00BF0C64">
        <w:t>All</w:t>
      </w:r>
      <w:r w:rsidRPr="00993AE5">
        <w:t xml:space="preserve"> calculated and experimental </w:t>
      </w:r>
      <w:r w:rsidRPr="00BF0C64">
        <w:rPr>
          <w:vertAlign w:val="superscript"/>
        </w:rPr>
        <w:t>1</w:t>
      </w:r>
      <w:r w:rsidRPr="00993AE5">
        <w:t xml:space="preserve">H and </w:t>
      </w:r>
      <w:r w:rsidRPr="00BF0C64">
        <w:rPr>
          <w:vertAlign w:val="superscript"/>
        </w:rPr>
        <w:t>13</w:t>
      </w:r>
      <w:r w:rsidRPr="00993AE5">
        <w:t xml:space="preserve">C NMR chemical shifts of this conformer are presented in </w:t>
      </w:r>
      <w:r w:rsidR="00A57079" w:rsidRPr="00A57079">
        <w:rPr>
          <w:color w:val="0070C0"/>
          <w:highlight w:val="yellow"/>
        </w:rPr>
        <w:t>Figure 4</w:t>
      </w:r>
      <w:r w:rsidRPr="00993AE5">
        <w:t xml:space="preserve">. </w:t>
      </w:r>
      <w:r w:rsidR="00BF0C64">
        <w:t>It should also be mentioned that</w:t>
      </w:r>
      <w:r w:rsidRPr="00993AE5">
        <w:t xml:space="preserve"> among </w:t>
      </w:r>
      <w:r w:rsidR="00713D0A">
        <w:t>the</w:t>
      </w:r>
      <w:r w:rsidRPr="00993AE5">
        <w:t xml:space="preserve"> </w:t>
      </w:r>
      <w:r w:rsidR="00BF0C64">
        <w:t xml:space="preserve">provided </w:t>
      </w:r>
      <w:r w:rsidRPr="00993AE5">
        <w:t xml:space="preserve">chemical shifts of </w:t>
      </w:r>
      <w:r w:rsidRPr="00BF0C64">
        <w:rPr>
          <w:b/>
        </w:rPr>
        <w:t>3b</w:t>
      </w:r>
      <w:r w:rsidRPr="00993AE5">
        <w:t xml:space="preserve">, there are some </w:t>
      </w:r>
      <w:r w:rsidR="00BF0C64">
        <w:t xml:space="preserve">outlined </w:t>
      </w:r>
      <w:r w:rsidRPr="00993AE5">
        <w:t xml:space="preserve">deviations that do not fit into the overall correlation. All </w:t>
      </w:r>
      <w:r w:rsidR="00BF0C64">
        <w:t>found deviations for the</w:t>
      </w:r>
      <w:r w:rsidRPr="00993AE5">
        <w:t xml:space="preserve"> conformers </w:t>
      </w:r>
      <w:r w:rsidRPr="00BF0C64">
        <w:rPr>
          <w:b/>
        </w:rPr>
        <w:t>1a</w:t>
      </w:r>
      <w:r w:rsidRPr="00993AE5">
        <w:t xml:space="preserve">, </w:t>
      </w:r>
      <w:r w:rsidRPr="00BF0C64">
        <w:rPr>
          <w:b/>
        </w:rPr>
        <w:t>2b</w:t>
      </w:r>
      <w:r w:rsidRPr="00993AE5">
        <w:t xml:space="preserve">, </w:t>
      </w:r>
      <w:r w:rsidRPr="00BF0C64">
        <w:rPr>
          <w:b/>
        </w:rPr>
        <w:t>3b</w:t>
      </w:r>
      <w:r w:rsidRPr="00993AE5">
        <w:t xml:space="preserve">, and </w:t>
      </w:r>
      <w:r w:rsidRPr="00BF0C64">
        <w:rPr>
          <w:b/>
        </w:rPr>
        <w:t>4c</w:t>
      </w:r>
      <w:r w:rsidRPr="00993AE5">
        <w:t xml:space="preserve"> are collected in </w:t>
      </w:r>
      <w:r w:rsidRPr="00BF0C64">
        <w:rPr>
          <w:highlight w:val="yellow"/>
        </w:rPr>
        <w:t xml:space="preserve">Table </w:t>
      </w:r>
      <w:r w:rsidR="00C13EA0" w:rsidRPr="00C13EA0">
        <w:rPr>
          <w:color w:val="0070C0"/>
          <w:highlight w:val="yellow"/>
        </w:rPr>
        <w:t>2</w:t>
      </w:r>
      <w:r w:rsidR="0086401A">
        <w:t xml:space="preserve"> and discussed elsewhere in this paper</w:t>
      </w:r>
      <w:r w:rsidRPr="00993AE5">
        <w:t>.</w:t>
      </w:r>
    </w:p>
    <w:p w14:paraId="7DD28AB0" w14:textId="064ACB00" w:rsidR="0050781B" w:rsidRPr="005F2E48" w:rsidRDefault="002B7370" w:rsidP="008C4DA1">
      <w:pPr>
        <w:pStyle w:val="MCScheme"/>
      </w:pPr>
      <w:r w:rsidRPr="005F2E48">
        <w:object w:dxaOrig="10893" w:dyaOrig="8981" w14:anchorId="6F986479">
          <v:shape id="_x0000_i1027" type="#_x0000_t75" style="width:344.4pt;height:285.3pt" o:ole="">
            <v:imagedata r:id="rId15" o:title=""/>
          </v:shape>
          <o:OLEObject Type="Embed" ProgID="ChemDraw.Document.6.0" ShapeID="_x0000_i1027" DrawAspect="Content" ObjectID="_1813751141" r:id="rId16"/>
        </w:object>
      </w:r>
    </w:p>
    <w:p w14:paraId="111F81C5" w14:textId="547C1CA4" w:rsidR="0050781B" w:rsidRPr="00F9363E" w:rsidRDefault="00F9363E" w:rsidP="00F9363E">
      <w:pPr>
        <w:rPr>
          <w:rFonts w:ascii="Times New Roman" w:hAnsi="Times New Roman"/>
          <w:sz w:val="24"/>
          <w:szCs w:val="24"/>
          <w:lang w:val="en-US"/>
        </w:rPr>
      </w:pPr>
      <w:r w:rsidRPr="00F9363E">
        <w:rPr>
          <w:rFonts w:ascii="Times New Roman" w:hAnsi="Times New Roman"/>
          <w:b/>
          <w:color w:val="0070C0"/>
          <w:sz w:val="24"/>
          <w:szCs w:val="24"/>
          <w:highlight w:val="yellow"/>
          <w:lang w:val="en-US"/>
        </w:rPr>
        <w:lastRenderedPageBreak/>
        <w:t>Figure 4.</w:t>
      </w:r>
      <w:r w:rsidRPr="00F9363E">
        <w:rPr>
          <w:rFonts w:ascii="Times New Roman" w:hAnsi="Times New Roman"/>
          <w:color w:val="0070C0"/>
          <w:sz w:val="24"/>
          <w:szCs w:val="24"/>
          <w:lang w:val="en-US"/>
        </w:rPr>
        <w:t xml:space="preserve"> </w:t>
      </w:r>
      <w:r w:rsidR="0050781B" w:rsidRPr="00F9363E">
        <w:rPr>
          <w:rFonts w:ascii="Times New Roman" w:hAnsi="Times New Roman"/>
          <w:sz w:val="24"/>
          <w:szCs w:val="24"/>
          <w:lang w:val="en-US"/>
        </w:rPr>
        <w:t xml:space="preserve">Calculated (blue) and experimental (black) </w:t>
      </w:r>
      <w:r w:rsidR="0050781B" w:rsidRPr="00F9363E">
        <w:rPr>
          <w:rFonts w:ascii="Times New Roman" w:hAnsi="Times New Roman"/>
          <w:sz w:val="24"/>
          <w:szCs w:val="24"/>
          <w:vertAlign w:val="superscript"/>
          <w:lang w:val="en-US"/>
        </w:rPr>
        <w:t>1</w:t>
      </w:r>
      <w:r w:rsidR="0050781B" w:rsidRPr="00F9363E">
        <w:rPr>
          <w:rFonts w:ascii="Times New Roman" w:hAnsi="Times New Roman"/>
          <w:sz w:val="24"/>
          <w:szCs w:val="24"/>
          <w:lang w:val="en-US"/>
        </w:rPr>
        <w:t>H</w:t>
      </w:r>
      <w:r w:rsidR="00C9435B" w:rsidRPr="00F9363E">
        <w:rPr>
          <w:rFonts w:ascii="Times New Roman" w:hAnsi="Times New Roman"/>
          <w:sz w:val="24"/>
          <w:szCs w:val="24"/>
          <w:lang w:val="en-US"/>
        </w:rPr>
        <w:t xml:space="preserve"> (</w:t>
      </w:r>
      <w:r w:rsidR="009F094F" w:rsidRPr="009F094F">
        <w:rPr>
          <w:rFonts w:ascii="Times New Roman" w:hAnsi="Times New Roman"/>
          <w:i/>
          <w:color w:val="0070C0"/>
          <w:sz w:val="24"/>
          <w:szCs w:val="24"/>
          <w:lang w:val="en-US"/>
        </w:rPr>
        <w:t>a</w:t>
      </w:r>
      <w:r w:rsidR="00C9435B" w:rsidRPr="00F9363E">
        <w:rPr>
          <w:rFonts w:ascii="Times New Roman" w:hAnsi="Times New Roman"/>
          <w:sz w:val="24"/>
          <w:szCs w:val="24"/>
          <w:lang w:val="en-US"/>
        </w:rPr>
        <w:t>)</w:t>
      </w:r>
      <w:r w:rsidR="0050781B" w:rsidRPr="00F9363E">
        <w:rPr>
          <w:rFonts w:ascii="Times New Roman" w:hAnsi="Times New Roman"/>
          <w:sz w:val="24"/>
          <w:szCs w:val="24"/>
          <w:lang w:val="en-US"/>
        </w:rPr>
        <w:t xml:space="preserve"> and </w:t>
      </w:r>
      <w:r w:rsidR="0050781B" w:rsidRPr="00F9363E">
        <w:rPr>
          <w:rFonts w:ascii="Times New Roman" w:hAnsi="Times New Roman"/>
          <w:sz w:val="24"/>
          <w:szCs w:val="24"/>
          <w:vertAlign w:val="superscript"/>
          <w:lang w:val="en-US"/>
        </w:rPr>
        <w:t>13</w:t>
      </w:r>
      <w:r w:rsidR="0050781B" w:rsidRPr="00F9363E">
        <w:rPr>
          <w:rFonts w:ascii="Times New Roman" w:hAnsi="Times New Roman"/>
          <w:sz w:val="24"/>
          <w:szCs w:val="24"/>
          <w:lang w:val="en-US"/>
        </w:rPr>
        <w:t>C</w:t>
      </w:r>
      <w:r w:rsidR="00C9435B" w:rsidRPr="00F9363E">
        <w:rPr>
          <w:rFonts w:ascii="Times New Roman" w:hAnsi="Times New Roman"/>
          <w:sz w:val="24"/>
          <w:szCs w:val="24"/>
          <w:lang w:val="en-US"/>
        </w:rPr>
        <w:t xml:space="preserve"> (</w:t>
      </w:r>
      <w:r w:rsidR="009F094F" w:rsidRPr="009F094F">
        <w:rPr>
          <w:rFonts w:ascii="Times New Roman" w:hAnsi="Times New Roman"/>
          <w:i/>
          <w:color w:val="0070C0"/>
          <w:sz w:val="24"/>
          <w:szCs w:val="24"/>
          <w:lang w:val="en-US"/>
        </w:rPr>
        <w:t>b</w:t>
      </w:r>
      <w:r w:rsidR="00C9435B" w:rsidRPr="00F9363E">
        <w:rPr>
          <w:rFonts w:ascii="Times New Roman" w:hAnsi="Times New Roman"/>
          <w:sz w:val="24"/>
          <w:szCs w:val="24"/>
          <w:lang w:val="en-US"/>
        </w:rPr>
        <w:t>)</w:t>
      </w:r>
      <w:r w:rsidR="0050781B" w:rsidRPr="00F9363E">
        <w:rPr>
          <w:rFonts w:ascii="Times New Roman" w:hAnsi="Times New Roman"/>
          <w:sz w:val="24"/>
          <w:szCs w:val="24"/>
          <w:lang w:val="en-US"/>
        </w:rPr>
        <w:t xml:space="preserve"> NMR chemical shifts of </w:t>
      </w:r>
      <w:r w:rsidR="007B2487" w:rsidRPr="00F9363E">
        <w:rPr>
          <w:rFonts w:ascii="Times New Roman" w:hAnsi="Times New Roman"/>
          <w:b/>
          <w:sz w:val="24"/>
          <w:szCs w:val="24"/>
          <w:lang w:val="en-US"/>
        </w:rPr>
        <w:t>3</w:t>
      </w:r>
      <w:r w:rsidR="007B2487" w:rsidRPr="00F9363E">
        <w:rPr>
          <w:rFonts w:ascii="Times New Roman" w:hAnsi="Times New Roman"/>
          <w:sz w:val="24"/>
          <w:szCs w:val="24"/>
          <w:lang w:val="en-US"/>
        </w:rPr>
        <w:t xml:space="preserve"> (calculated values are provided for</w:t>
      </w:r>
      <w:r w:rsidR="00713D0A" w:rsidRPr="00F9363E">
        <w:rPr>
          <w:rFonts w:ascii="Times New Roman" w:hAnsi="Times New Roman"/>
          <w:sz w:val="24"/>
          <w:szCs w:val="24"/>
          <w:lang w:val="en-US"/>
        </w:rPr>
        <w:t xml:space="preserve"> the</w:t>
      </w:r>
      <w:r w:rsidR="007B2487" w:rsidRPr="00F9363E">
        <w:rPr>
          <w:rFonts w:ascii="Times New Roman" w:hAnsi="Times New Roman"/>
          <w:sz w:val="24"/>
          <w:szCs w:val="24"/>
          <w:lang w:val="en-US"/>
        </w:rPr>
        <w:t xml:space="preserve"> </w:t>
      </w:r>
      <w:r w:rsidR="007B2487" w:rsidRPr="00F9363E">
        <w:rPr>
          <w:rFonts w:ascii="Times New Roman" w:hAnsi="Times New Roman"/>
          <w:b/>
          <w:sz w:val="24"/>
          <w:szCs w:val="24"/>
          <w:lang w:val="en-US"/>
        </w:rPr>
        <w:t>3b</w:t>
      </w:r>
      <w:r w:rsidR="007B2487" w:rsidRPr="00F9363E">
        <w:rPr>
          <w:rFonts w:ascii="Times New Roman" w:hAnsi="Times New Roman"/>
          <w:sz w:val="24"/>
          <w:szCs w:val="24"/>
          <w:lang w:val="en-US"/>
        </w:rPr>
        <w:t xml:space="preserve"> conformer, see </w:t>
      </w:r>
      <w:r w:rsidR="007B2487" w:rsidRPr="00F9363E">
        <w:rPr>
          <w:rFonts w:ascii="Times New Roman" w:hAnsi="Times New Roman"/>
          <w:sz w:val="24"/>
          <w:szCs w:val="24"/>
          <w:highlight w:val="yellow"/>
          <w:lang w:val="en-US"/>
        </w:rPr>
        <w:t>Figure</w:t>
      </w:r>
      <w:r w:rsidRPr="00F9363E">
        <w:rPr>
          <w:rFonts w:ascii="Times New Roman" w:hAnsi="Times New Roman"/>
          <w:sz w:val="24"/>
          <w:szCs w:val="24"/>
          <w:lang w:val="en-US"/>
        </w:rPr>
        <w:t xml:space="preserve"> </w:t>
      </w:r>
      <w:r w:rsidRPr="00A57079">
        <w:rPr>
          <w:rFonts w:ascii="Times New Roman" w:hAnsi="Times New Roman"/>
          <w:color w:val="0070C0"/>
          <w:sz w:val="24"/>
          <w:szCs w:val="24"/>
          <w:highlight w:val="yellow"/>
          <w:lang w:val="en-US"/>
        </w:rPr>
        <w:t>3</w:t>
      </w:r>
      <w:r w:rsidR="007B2487" w:rsidRPr="00F9363E">
        <w:rPr>
          <w:rFonts w:ascii="Times New Roman" w:hAnsi="Times New Roman"/>
          <w:sz w:val="24"/>
          <w:szCs w:val="24"/>
          <w:lang w:val="en-US"/>
        </w:rPr>
        <w:t>)</w:t>
      </w:r>
      <w:r w:rsidR="0050781B" w:rsidRPr="00F9363E">
        <w:rPr>
          <w:rFonts w:ascii="Times New Roman" w:hAnsi="Times New Roman"/>
          <w:sz w:val="24"/>
          <w:szCs w:val="24"/>
          <w:lang w:val="en-US"/>
        </w:rPr>
        <w:t>.</w:t>
      </w:r>
    </w:p>
    <w:tbl>
      <w:tblPr>
        <w:tblpPr w:leftFromText="180" w:rightFromText="180" w:vertAnchor="text" w:tblpY="1"/>
        <w:tblOverlap w:val="never"/>
        <w:tblW w:w="0" w:type="auto"/>
        <w:tblCellMar>
          <w:left w:w="57" w:type="dxa"/>
          <w:right w:w="57" w:type="dxa"/>
        </w:tblCellMar>
        <w:tblLook w:val="01E0" w:firstRow="1" w:lastRow="1" w:firstColumn="1" w:lastColumn="1" w:noHBand="0" w:noVBand="0"/>
      </w:tblPr>
      <w:tblGrid>
        <w:gridCol w:w="1741"/>
        <w:gridCol w:w="2022"/>
        <w:gridCol w:w="2001"/>
        <w:gridCol w:w="2022"/>
        <w:gridCol w:w="2192"/>
      </w:tblGrid>
      <w:tr w:rsidR="00893322" w:rsidRPr="00C540A7" w14:paraId="09322913" w14:textId="77777777" w:rsidTr="00F85A3F">
        <w:tc>
          <w:tcPr>
            <w:tcW w:w="0" w:type="auto"/>
            <w:gridSpan w:val="5"/>
            <w:tcBorders>
              <w:bottom w:val="single" w:sz="4" w:space="0" w:color="auto"/>
            </w:tcBorders>
            <w:shd w:val="clear" w:color="auto" w:fill="auto"/>
          </w:tcPr>
          <w:p w14:paraId="3027FD6E" w14:textId="37BCCEA6" w:rsidR="00893322" w:rsidRPr="007A2A98" w:rsidRDefault="00C13EA0" w:rsidP="008C4DA1">
            <w:pPr>
              <w:spacing w:after="0" w:line="240" w:lineRule="auto"/>
              <w:rPr>
                <w:rFonts w:ascii="Times New Roman" w:hAnsi="Times New Roman"/>
                <w:sz w:val="24"/>
                <w:szCs w:val="24"/>
                <w:lang w:val="en-US"/>
              </w:rPr>
            </w:pPr>
            <w:r w:rsidRPr="00C13EA0">
              <w:rPr>
                <w:rFonts w:ascii="Times New Roman" w:hAnsi="Times New Roman"/>
                <w:b/>
                <w:sz w:val="24"/>
                <w:szCs w:val="24"/>
                <w:highlight w:val="yellow"/>
                <w:lang w:val="en-US"/>
              </w:rPr>
              <w:t xml:space="preserve">Table </w:t>
            </w:r>
            <w:r w:rsidRPr="00C13EA0">
              <w:rPr>
                <w:rFonts w:ascii="Times New Roman" w:hAnsi="Times New Roman"/>
                <w:b/>
                <w:color w:val="0070C0"/>
                <w:sz w:val="24"/>
                <w:szCs w:val="24"/>
                <w:highlight w:val="yellow"/>
                <w:lang w:val="en-US"/>
              </w:rPr>
              <w:t>2</w:t>
            </w:r>
            <w:r w:rsidRPr="00C13EA0">
              <w:rPr>
                <w:rFonts w:ascii="Times New Roman" w:hAnsi="Times New Roman"/>
                <w:b/>
                <w:sz w:val="24"/>
                <w:szCs w:val="24"/>
                <w:highlight w:val="yellow"/>
                <w:lang w:val="en-US"/>
              </w:rPr>
              <w:t>.</w:t>
            </w:r>
            <w:r w:rsidRPr="00C13EA0">
              <w:rPr>
                <w:rFonts w:ascii="Times New Roman" w:hAnsi="Times New Roman"/>
                <w:color w:val="0070C0"/>
                <w:sz w:val="24"/>
                <w:szCs w:val="24"/>
                <w:lang w:val="en-US"/>
              </w:rPr>
              <w:t xml:space="preserve"> </w:t>
            </w:r>
            <w:r w:rsidR="00552C23" w:rsidRPr="00C13EA0">
              <w:rPr>
                <w:rFonts w:ascii="Times New Roman" w:hAnsi="Times New Roman"/>
                <w:sz w:val="24"/>
                <w:szCs w:val="24"/>
                <w:lang w:val="en-US"/>
              </w:rPr>
              <w:t>Selected ambiguous cases of</w:t>
            </w:r>
            <w:r w:rsidR="00DB7A23" w:rsidRPr="00C13EA0">
              <w:rPr>
                <w:rFonts w:ascii="Times New Roman" w:hAnsi="Times New Roman"/>
                <w:sz w:val="24"/>
                <w:szCs w:val="24"/>
                <w:lang w:val="en-US"/>
              </w:rPr>
              <w:t xml:space="preserve"> </w:t>
            </w:r>
            <w:r w:rsidR="00552C23" w:rsidRPr="00C13EA0">
              <w:rPr>
                <w:rFonts w:ascii="Times New Roman" w:hAnsi="Times New Roman"/>
                <w:sz w:val="24"/>
                <w:szCs w:val="24"/>
                <w:lang w:val="en-US"/>
              </w:rPr>
              <w:t xml:space="preserve">NMR chemical shifts (ppm) of </w:t>
            </w:r>
            <w:r w:rsidR="00DB7A23" w:rsidRPr="00C13EA0">
              <w:rPr>
                <w:rFonts w:ascii="Times New Roman" w:hAnsi="Times New Roman"/>
                <w:sz w:val="24"/>
                <w:szCs w:val="24"/>
                <w:lang w:val="en-US"/>
              </w:rPr>
              <w:t xml:space="preserve">the </w:t>
            </w:r>
            <w:r w:rsidR="00B92F0D" w:rsidRPr="00C13EA0">
              <w:rPr>
                <w:rFonts w:ascii="Times New Roman" w:hAnsi="Times New Roman"/>
                <w:sz w:val="24"/>
                <w:szCs w:val="24"/>
                <w:lang w:val="en-US"/>
              </w:rPr>
              <w:t xml:space="preserve">main conformers of </w:t>
            </w:r>
            <w:r w:rsidR="009A6ADB" w:rsidRPr="00C13EA0">
              <w:rPr>
                <w:rFonts w:ascii="Times New Roman" w:hAnsi="Times New Roman"/>
                <w:b/>
                <w:sz w:val="24"/>
                <w:szCs w:val="24"/>
                <w:lang w:val="en-US"/>
              </w:rPr>
              <w:t>1</w:t>
            </w:r>
            <w:r w:rsidR="009A6ADB" w:rsidRPr="00C13EA0">
              <w:rPr>
                <w:rFonts w:ascii="Times New Roman" w:hAnsi="Times New Roman"/>
                <w:sz w:val="24"/>
                <w:szCs w:val="24"/>
                <w:lang w:val="en-US"/>
              </w:rPr>
              <w:t>-</w:t>
            </w:r>
            <w:r w:rsidR="009A6ADB" w:rsidRPr="00C13EA0">
              <w:rPr>
                <w:rFonts w:ascii="Times New Roman" w:hAnsi="Times New Roman"/>
                <w:b/>
                <w:sz w:val="24"/>
                <w:szCs w:val="24"/>
                <w:lang w:val="en-US"/>
              </w:rPr>
              <w:t>4</w:t>
            </w:r>
            <w:r w:rsidR="00552C23" w:rsidRPr="00C13EA0">
              <w:rPr>
                <w:rFonts w:ascii="Times New Roman" w:hAnsi="Times New Roman"/>
                <w:sz w:val="24"/>
                <w:szCs w:val="24"/>
                <w:lang w:val="en-US"/>
              </w:rPr>
              <w:t xml:space="preserve">. </w:t>
            </w:r>
            <w:r w:rsidR="009A6ADB" w:rsidRPr="007A2A98">
              <w:rPr>
                <w:rFonts w:ascii="Times New Roman" w:hAnsi="Times New Roman"/>
                <w:sz w:val="24"/>
                <w:szCs w:val="24"/>
                <w:lang w:val="en-US"/>
              </w:rPr>
              <w:t>Deviations</w:t>
            </w:r>
            <w:r w:rsidR="00552C23" w:rsidRPr="007A2A98">
              <w:rPr>
                <w:rFonts w:ascii="Times New Roman" w:hAnsi="Times New Roman"/>
                <w:sz w:val="24"/>
                <w:szCs w:val="24"/>
                <w:lang w:val="en-US"/>
              </w:rPr>
              <w:t xml:space="preserve"> of</w:t>
            </w:r>
            <w:r w:rsidR="009A6ADB" w:rsidRPr="007A2A98">
              <w:rPr>
                <w:rFonts w:ascii="Times New Roman" w:hAnsi="Times New Roman"/>
                <w:sz w:val="24"/>
                <w:szCs w:val="24"/>
                <w:lang w:val="en-US"/>
              </w:rPr>
              <w:t xml:space="preserve"> calculated values from experiment </w:t>
            </w:r>
            <w:r w:rsidR="00552C23" w:rsidRPr="007A2A98">
              <w:rPr>
                <w:rFonts w:ascii="Times New Roman" w:hAnsi="Times New Roman"/>
                <w:sz w:val="24"/>
                <w:szCs w:val="24"/>
                <w:lang w:val="en-US"/>
              </w:rPr>
              <w:t>are given in parentheses.</w:t>
            </w:r>
          </w:p>
        </w:tc>
      </w:tr>
      <w:tr w:rsidR="00201AB1" w:rsidRPr="005F2E48" w14:paraId="1EB853B7" w14:textId="77777777" w:rsidTr="00F85A3F">
        <w:tc>
          <w:tcPr>
            <w:tcW w:w="0" w:type="auto"/>
            <w:tcBorders>
              <w:top w:val="single" w:sz="4" w:space="0" w:color="auto"/>
              <w:bottom w:val="single" w:sz="4" w:space="0" w:color="auto"/>
            </w:tcBorders>
            <w:vAlign w:val="center"/>
          </w:tcPr>
          <w:p w14:paraId="645E8126" w14:textId="77777777" w:rsidR="00157ABB" w:rsidRPr="008C4DA1" w:rsidRDefault="00157ABB" w:rsidP="008C4DA1">
            <w:pPr>
              <w:pStyle w:val="MCTablehead"/>
              <w:spacing w:before="0" w:after="0"/>
              <w:jc w:val="center"/>
              <w:rPr>
                <w:sz w:val="24"/>
                <w:szCs w:val="24"/>
                <w:lang w:val="en-US"/>
              </w:rPr>
            </w:pPr>
            <w:r w:rsidRPr="008C4DA1">
              <w:rPr>
                <w:sz w:val="24"/>
                <w:szCs w:val="24"/>
                <w:lang w:val="en-US"/>
              </w:rPr>
              <w:t>Nucleus</w:t>
            </w:r>
          </w:p>
        </w:tc>
        <w:tc>
          <w:tcPr>
            <w:tcW w:w="0" w:type="auto"/>
            <w:tcBorders>
              <w:top w:val="single" w:sz="4" w:space="0" w:color="auto"/>
              <w:bottom w:val="single" w:sz="4" w:space="0" w:color="auto"/>
            </w:tcBorders>
            <w:vAlign w:val="center"/>
          </w:tcPr>
          <w:p w14:paraId="188D7CB1" w14:textId="77777777" w:rsidR="00157ABB" w:rsidRPr="008C4DA1" w:rsidRDefault="00157ABB" w:rsidP="008C4DA1">
            <w:pPr>
              <w:pStyle w:val="MCTablehead"/>
              <w:spacing w:before="0" w:after="0"/>
              <w:jc w:val="center"/>
              <w:rPr>
                <w:b/>
                <w:sz w:val="24"/>
                <w:szCs w:val="24"/>
                <w:lang w:val="en-US"/>
              </w:rPr>
            </w:pPr>
            <w:r w:rsidRPr="008C4DA1">
              <w:rPr>
                <w:b/>
                <w:sz w:val="24"/>
                <w:szCs w:val="24"/>
                <w:lang w:val="en-US"/>
              </w:rPr>
              <w:t>1</w:t>
            </w:r>
            <w:r w:rsidR="00B92F0D" w:rsidRPr="008C4DA1">
              <w:rPr>
                <w:b/>
                <w:sz w:val="24"/>
                <w:szCs w:val="24"/>
                <w:lang w:val="en-US"/>
              </w:rPr>
              <w:t>a</w:t>
            </w:r>
          </w:p>
        </w:tc>
        <w:tc>
          <w:tcPr>
            <w:tcW w:w="0" w:type="auto"/>
            <w:tcBorders>
              <w:top w:val="single" w:sz="4" w:space="0" w:color="auto"/>
              <w:bottom w:val="single" w:sz="4" w:space="0" w:color="auto"/>
            </w:tcBorders>
            <w:vAlign w:val="center"/>
          </w:tcPr>
          <w:p w14:paraId="06F5410F" w14:textId="77777777" w:rsidR="00157ABB" w:rsidRPr="008C4DA1" w:rsidRDefault="00157ABB" w:rsidP="008C4DA1">
            <w:pPr>
              <w:pStyle w:val="MCTablehead"/>
              <w:spacing w:before="0" w:after="0"/>
              <w:jc w:val="center"/>
              <w:rPr>
                <w:b/>
                <w:sz w:val="24"/>
                <w:szCs w:val="24"/>
                <w:lang w:val="en-US"/>
              </w:rPr>
            </w:pPr>
            <w:r w:rsidRPr="008C4DA1">
              <w:rPr>
                <w:rFonts w:ascii="Times-Italic" w:eastAsia="Calibri" w:hAnsi="Times-Italic"/>
                <w:b/>
                <w:sz w:val="24"/>
                <w:szCs w:val="24"/>
                <w:lang w:val="en-US"/>
              </w:rPr>
              <w:t>2b</w:t>
            </w:r>
          </w:p>
        </w:tc>
        <w:tc>
          <w:tcPr>
            <w:tcW w:w="0" w:type="auto"/>
            <w:tcBorders>
              <w:top w:val="single" w:sz="4" w:space="0" w:color="auto"/>
              <w:bottom w:val="single" w:sz="4" w:space="0" w:color="auto"/>
            </w:tcBorders>
            <w:vAlign w:val="center"/>
          </w:tcPr>
          <w:p w14:paraId="09CD9D1E" w14:textId="77777777" w:rsidR="00157ABB" w:rsidRPr="008C4DA1" w:rsidRDefault="00157ABB" w:rsidP="008C4DA1">
            <w:pPr>
              <w:pStyle w:val="MCTablehead"/>
              <w:spacing w:before="0" w:after="0"/>
              <w:jc w:val="center"/>
              <w:rPr>
                <w:b/>
                <w:sz w:val="24"/>
                <w:szCs w:val="24"/>
                <w:lang w:val="en-US"/>
              </w:rPr>
            </w:pPr>
            <w:r w:rsidRPr="008C4DA1">
              <w:rPr>
                <w:b/>
                <w:sz w:val="24"/>
                <w:szCs w:val="24"/>
                <w:lang w:val="en-US"/>
              </w:rPr>
              <w:t>3</w:t>
            </w:r>
            <w:r w:rsidR="00B92F0D" w:rsidRPr="008C4DA1">
              <w:rPr>
                <w:b/>
                <w:sz w:val="24"/>
                <w:szCs w:val="24"/>
                <w:lang w:val="en-US"/>
              </w:rPr>
              <w:t>b</w:t>
            </w:r>
          </w:p>
        </w:tc>
        <w:tc>
          <w:tcPr>
            <w:tcW w:w="0" w:type="auto"/>
            <w:tcBorders>
              <w:top w:val="single" w:sz="4" w:space="0" w:color="auto"/>
              <w:bottom w:val="single" w:sz="4" w:space="0" w:color="auto"/>
            </w:tcBorders>
            <w:vAlign w:val="center"/>
          </w:tcPr>
          <w:p w14:paraId="30113202" w14:textId="77777777" w:rsidR="00157ABB" w:rsidRPr="008C4DA1" w:rsidRDefault="00157ABB" w:rsidP="008C4DA1">
            <w:pPr>
              <w:pStyle w:val="MCTablehead"/>
              <w:spacing w:before="0" w:after="0"/>
              <w:jc w:val="center"/>
              <w:rPr>
                <w:rStyle w:val="SymbolItalic"/>
                <w:rFonts w:ascii="Times New Roman" w:hAnsi="Times New Roman" w:cs="Times New Roman"/>
                <w:b/>
                <w:sz w:val="24"/>
                <w:szCs w:val="24"/>
              </w:rPr>
            </w:pPr>
            <w:r w:rsidRPr="008C4DA1">
              <w:rPr>
                <w:rStyle w:val="SymbolItalic"/>
                <w:b/>
                <w:sz w:val="24"/>
                <w:szCs w:val="24"/>
              </w:rPr>
              <w:t>4c</w:t>
            </w:r>
          </w:p>
        </w:tc>
      </w:tr>
      <w:tr w:rsidR="00F85A3F" w:rsidRPr="005F2E48" w14:paraId="10C33B22" w14:textId="77777777" w:rsidTr="00F85A3F">
        <w:trPr>
          <w:trHeight w:val="397"/>
        </w:trPr>
        <w:tc>
          <w:tcPr>
            <w:tcW w:w="0" w:type="auto"/>
            <w:gridSpan w:val="5"/>
            <w:tcBorders>
              <w:top w:val="single" w:sz="4" w:space="0" w:color="auto"/>
              <w:bottom w:val="single" w:sz="4" w:space="0" w:color="auto"/>
            </w:tcBorders>
            <w:vAlign w:val="center"/>
          </w:tcPr>
          <w:p w14:paraId="207056EB" w14:textId="77777777" w:rsidR="00F85A3F" w:rsidRPr="008C4DA1" w:rsidRDefault="00F85A3F" w:rsidP="008C4DA1">
            <w:pPr>
              <w:pStyle w:val="MCTablebody"/>
              <w:jc w:val="center"/>
              <w:rPr>
                <w:sz w:val="24"/>
              </w:rPr>
            </w:pPr>
            <w:r w:rsidRPr="008C4DA1">
              <w:rPr>
                <w:sz w:val="24"/>
                <w:vertAlign w:val="superscript"/>
                <w:lang w:val="en-US"/>
              </w:rPr>
              <w:t>1</w:t>
            </w:r>
            <w:r w:rsidRPr="008C4DA1">
              <w:rPr>
                <w:sz w:val="24"/>
                <w:lang w:val="en-US"/>
              </w:rPr>
              <w:t>H NMR</w:t>
            </w:r>
          </w:p>
        </w:tc>
      </w:tr>
      <w:tr w:rsidR="00201AB1" w:rsidRPr="005F2E48" w14:paraId="54967B20" w14:textId="77777777" w:rsidTr="00F85A3F">
        <w:tc>
          <w:tcPr>
            <w:tcW w:w="0" w:type="auto"/>
            <w:tcBorders>
              <w:top w:val="single" w:sz="4" w:space="0" w:color="auto"/>
            </w:tcBorders>
            <w:vAlign w:val="center"/>
          </w:tcPr>
          <w:p w14:paraId="2CC03EF3" w14:textId="77777777" w:rsidR="00157ABB" w:rsidRPr="008C4DA1" w:rsidRDefault="00F85A3F" w:rsidP="008C4DA1">
            <w:pPr>
              <w:pStyle w:val="MCTablebody"/>
              <w:jc w:val="center"/>
              <w:rPr>
                <w:sz w:val="24"/>
              </w:rPr>
            </w:pPr>
            <w:r w:rsidRPr="008C4DA1">
              <w:rPr>
                <w:sz w:val="24"/>
              </w:rPr>
              <w:t>2</w:t>
            </w:r>
          </w:p>
        </w:tc>
        <w:tc>
          <w:tcPr>
            <w:tcW w:w="0" w:type="auto"/>
            <w:tcBorders>
              <w:top w:val="single" w:sz="4" w:space="0" w:color="auto"/>
            </w:tcBorders>
            <w:vAlign w:val="center"/>
          </w:tcPr>
          <w:p w14:paraId="663BC193" w14:textId="77777777" w:rsidR="00157ABB" w:rsidRPr="008C4DA1" w:rsidRDefault="00F85A3F" w:rsidP="008C4DA1">
            <w:pPr>
              <w:pStyle w:val="MCTablebody"/>
              <w:jc w:val="center"/>
              <w:rPr>
                <w:sz w:val="24"/>
              </w:rPr>
            </w:pPr>
            <w:r w:rsidRPr="008C4DA1">
              <w:rPr>
                <w:sz w:val="24"/>
              </w:rPr>
              <w:t>3.83 (0.</w:t>
            </w:r>
            <w:r w:rsidR="00201AB1" w:rsidRPr="008C4DA1">
              <w:rPr>
                <w:sz w:val="24"/>
              </w:rPr>
              <w:t>87</w:t>
            </w:r>
            <w:r w:rsidRPr="008C4DA1">
              <w:rPr>
                <w:sz w:val="24"/>
              </w:rPr>
              <w:t>)</w:t>
            </w:r>
          </w:p>
        </w:tc>
        <w:tc>
          <w:tcPr>
            <w:tcW w:w="0" w:type="auto"/>
            <w:tcBorders>
              <w:top w:val="single" w:sz="4" w:space="0" w:color="auto"/>
            </w:tcBorders>
            <w:vAlign w:val="center"/>
          </w:tcPr>
          <w:p w14:paraId="1D7E0151" w14:textId="77777777" w:rsidR="00157ABB" w:rsidRPr="008C4DA1" w:rsidRDefault="00157ABB" w:rsidP="008C4DA1">
            <w:pPr>
              <w:pStyle w:val="MCTablebody"/>
              <w:jc w:val="center"/>
              <w:rPr>
                <w:sz w:val="24"/>
              </w:rPr>
            </w:pPr>
          </w:p>
        </w:tc>
        <w:tc>
          <w:tcPr>
            <w:tcW w:w="0" w:type="auto"/>
            <w:tcBorders>
              <w:top w:val="single" w:sz="4" w:space="0" w:color="auto"/>
            </w:tcBorders>
            <w:vAlign w:val="center"/>
          </w:tcPr>
          <w:p w14:paraId="06053CE6" w14:textId="77777777" w:rsidR="00157ABB" w:rsidRPr="008C4DA1" w:rsidRDefault="00157ABB" w:rsidP="008C4DA1">
            <w:pPr>
              <w:pStyle w:val="MCTablebody"/>
              <w:jc w:val="center"/>
              <w:rPr>
                <w:sz w:val="24"/>
              </w:rPr>
            </w:pPr>
          </w:p>
        </w:tc>
        <w:tc>
          <w:tcPr>
            <w:tcW w:w="0" w:type="auto"/>
            <w:tcBorders>
              <w:top w:val="single" w:sz="4" w:space="0" w:color="auto"/>
            </w:tcBorders>
            <w:vAlign w:val="center"/>
          </w:tcPr>
          <w:p w14:paraId="11FDE713" w14:textId="77777777" w:rsidR="00157ABB" w:rsidRPr="008C4DA1" w:rsidRDefault="00157ABB" w:rsidP="008C4DA1">
            <w:pPr>
              <w:pStyle w:val="MCTablebody"/>
              <w:jc w:val="center"/>
              <w:rPr>
                <w:sz w:val="24"/>
              </w:rPr>
            </w:pPr>
          </w:p>
        </w:tc>
      </w:tr>
      <w:tr w:rsidR="00201AB1" w:rsidRPr="005F2E48" w14:paraId="0AF60872" w14:textId="77777777" w:rsidTr="00F85A3F">
        <w:trPr>
          <w:trHeight w:val="278"/>
        </w:trPr>
        <w:tc>
          <w:tcPr>
            <w:tcW w:w="0" w:type="auto"/>
            <w:vAlign w:val="center"/>
          </w:tcPr>
          <w:p w14:paraId="2BFE4F72" w14:textId="77777777" w:rsidR="00F85A3F" w:rsidRPr="008C4DA1" w:rsidRDefault="00201AB1" w:rsidP="008C4DA1">
            <w:pPr>
              <w:pStyle w:val="MCTablebody"/>
              <w:jc w:val="center"/>
              <w:rPr>
                <w:sz w:val="24"/>
              </w:rPr>
            </w:pPr>
            <w:r w:rsidRPr="008C4DA1">
              <w:rPr>
                <w:sz w:val="24"/>
              </w:rPr>
              <w:t>14b</w:t>
            </w:r>
          </w:p>
        </w:tc>
        <w:tc>
          <w:tcPr>
            <w:tcW w:w="0" w:type="auto"/>
            <w:vAlign w:val="center"/>
          </w:tcPr>
          <w:p w14:paraId="563A9391" w14:textId="77777777" w:rsidR="00F85A3F" w:rsidRPr="008C4DA1" w:rsidRDefault="00F85A3F" w:rsidP="008C4DA1">
            <w:pPr>
              <w:pStyle w:val="MCTablebody"/>
              <w:jc w:val="center"/>
              <w:rPr>
                <w:sz w:val="24"/>
              </w:rPr>
            </w:pPr>
          </w:p>
        </w:tc>
        <w:tc>
          <w:tcPr>
            <w:tcW w:w="0" w:type="auto"/>
            <w:vAlign w:val="center"/>
          </w:tcPr>
          <w:p w14:paraId="203C02A3" w14:textId="77777777" w:rsidR="00F85A3F" w:rsidRPr="008C4DA1" w:rsidRDefault="00F85A3F" w:rsidP="008C4DA1">
            <w:pPr>
              <w:pStyle w:val="MCTablebody"/>
              <w:jc w:val="center"/>
              <w:rPr>
                <w:sz w:val="24"/>
              </w:rPr>
            </w:pPr>
          </w:p>
        </w:tc>
        <w:tc>
          <w:tcPr>
            <w:tcW w:w="0" w:type="auto"/>
            <w:vAlign w:val="center"/>
          </w:tcPr>
          <w:p w14:paraId="393DDC57" w14:textId="77777777" w:rsidR="00F85A3F" w:rsidRPr="008C4DA1" w:rsidRDefault="00F85A3F" w:rsidP="008C4DA1">
            <w:pPr>
              <w:pStyle w:val="MCTablebody"/>
              <w:jc w:val="center"/>
              <w:rPr>
                <w:sz w:val="24"/>
              </w:rPr>
            </w:pPr>
          </w:p>
        </w:tc>
        <w:tc>
          <w:tcPr>
            <w:tcW w:w="0" w:type="auto"/>
            <w:vAlign w:val="center"/>
          </w:tcPr>
          <w:p w14:paraId="153AC721" w14:textId="77777777" w:rsidR="00F85A3F" w:rsidRPr="008C4DA1" w:rsidRDefault="00201AB1" w:rsidP="008C4DA1">
            <w:pPr>
              <w:pStyle w:val="MCTablebody"/>
              <w:jc w:val="center"/>
              <w:rPr>
                <w:sz w:val="24"/>
              </w:rPr>
            </w:pPr>
            <w:r w:rsidRPr="008C4DA1">
              <w:rPr>
                <w:sz w:val="24"/>
              </w:rPr>
              <w:t>2.78 (0.88)</w:t>
            </w:r>
          </w:p>
        </w:tc>
      </w:tr>
      <w:tr w:rsidR="00201AB1" w:rsidRPr="005F2E48" w14:paraId="2CFB654B" w14:textId="77777777" w:rsidTr="00F85A3F">
        <w:trPr>
          <w:trHeight w:val="278"/>
        </w:trPr>
        <w:tc>
          <w:tcPr>
            <w:tcW w:w="0" w:type="auto"/>
            <w:vAlign w:val="center"/>
          </w:tcPr>
          <w:p w14:paraId="1BAEAD85" w14:textId="77777777" w:rsidR="00F85A3F" w:rsidRPr="008C4DA1" w:rsidRDefault="00201AB1" w:rsidP="008C4DA1">
            <w:pPr>
              <w:pStyle w:val="MCTablebody"/>
              <w:jc w:val="center"/>
              <w:rPr>
                <w:sz w:val="24"/>
              </w:rPr>
            </w:pPr>
            <w:r w:rsidRPr="008C4DA1">
              <w:rPr>
                <w:sz w:val="24"/>
              </w:rPr>
              <w:t>21</w:t>
            </w:r>
          </w:p>
        </w:tc>
        <w:tc>
          <w:tcPr>
            <w:tcW w:w="0" w:type="auto"/>
            <w:vAlign w:val="center"/>
          </w:tcPr>
          <w:p w14:paraId="17439253" w14:textId="77777777" w:rsidR="00F85A3F" w:rsidRPr="008C4DA1" w:rsidRDefault="00F85A3F" w:rsidP="008C4DA1">
            <w:pPr>
              <w:pStyle w:val="MCTablebody"/>
              <w:jc w:val="center"/>
              <w:rPr>
                <w:sz w:val="24"/>
              </w:rPr>
            </w:pPr>
          </w:p>
        </w:tc>
        <w:tc>
          <w:tcPr>
            <w:tcW w:w="0" w:type="auto"/>
            <w:vAlign w:val="center"/>
          </w:tcPr>
          <w:p w14:paraId="165126D0" w14:textId="77777777" w:rsidR="00F85A3F" w:rsidRPr="008C4DA1" w:rsidRDefault="00F85A3F" w:rsidP="008C4DA1">
            <w:pPr>
              <w:pStyle w:val="MCTablebody"/>
              <w:jc w:val="center"/>
              <w:rPr>
                <w:sz w:val="24"/>
              </w:rPr>
            </w:pPr>
          </w:p>
        </w:tc>
        <w:tc>
          <w:tcPr>
            <w:tcW w:w="0" w:type="auto"/>
            <w:vAlign w:val="center"/>
          </w:tcPr>
          <w:p w14:paraId="424AB6EE" w14:textId="77777777" w:rsidR="00F85A3F" w:rsidRPr="008C4DA1" w:rsidRDefault="00F85A3F" w:rsidP="008C4DA1">
            <w:pPr>
              <w:pStyle w:val="MCTablebody"/>
              <w:jc w:val="center"/>
              <w:rPr>
                <w:sz w:val="24"/>
              </w:rPr>
            </w:pPr>
          </w:p>
        </w:tc>
        <w:tc>
          <w:tcPr>
            <w:tcW w:w="0" w:type="auto"/>
            <w:vAlign w:val="center"/>
          </w:tcPr>
          <w:p w14:paraId="4758993C" w14:textId="77777777" w:rsidR="00F85A3F" w:rsidRPr="008C4DA1" w:rsidRDefault="00201AB1" w:rsidP="008C4DA1">
            <w:pPr>
              <w:pStyle w:val="MCTablebody"/>
              <w:jc w:val="center"/>
              <w:rPr>
                <w:sz w:val="24"/>
              </w:rPr>
            </w:pPr>
            <w:r w:rsidRPr="008C4DA1">
              <w:rPr>
                <w:sz w:val="24"/>
              </w:rPr>
              <w:t>4.90 (0.85)</w:t>
            </w:r>
          </w:p>
        </w:tc>
      </w:tr>
      <w:tr w:rsidR="00201AB1" w:rsidRPr="005F2E48" w14:paraId="0F628508" w14:textId="77777777" w:rsidTr="00F85A3F">
        <w:trPr>
          <w:trHeight w:val="278"/>
        </w:trPr>
        <w:tc>
          <w:tcPr>
            <w:tcW w:w="0" w:type="auto"/>
            <w:vAlign w:val="center"/>
          </w:tcPr>
          <w:p w14:paraId="4369C790" w14:textId="77777777" w:rsidR="00201AB1" w:rsidRPr="008C4DA1" w:rsidRDefault="00201AB1" w:rsidP="008C4DA1">
            <w:pPr>
              <w:pStyle w:val="MCTablebody"/>
              <w:jc w:val="center"/>
              <w:rPr>
                <w:sz w:val="24"/>
              </w:rPr>
            </w:pPr>
            <w:r w:rsidRPr="008C4DA1">
              <w:rPr>
                <w:sz w:val="24"/>
              </w:rPr>
              <w:t>2’</w:t>
            </w:r>
          </w:p>
        </w:tc>
        <w:tc>
          <w:tcPr>
            <w:tcW w:w="0" w:type="auto"/>
            <w:vAlign w:val="center"/>
          </w:tcPr>
          <w:p w14:paraId="4C19A692" w14:textId="77777777" w:rsidR="00201AB1" w:rsidRPr="008C4DA1" w:rsidRDefault="00201AB1" w:rsidP="008C4DA1">
            <w:pPr>
              <w:pStyle w:val="MCTablebody"/>
              <w:jc w:val="center"/>
              <w:rPr>
                <w:sz w:val="24"/>
              </w:rPr>
            </w:pPr>
          </w:p>
        </w:tc>
        <w:tc>
          <w:tcPr>
            <w:tcW w:w="0" w:type="auto"/>
            <w:vAlign w:val="center"/>
          </w:tcPr>
          <w:p w14:paraId="0F17FEEA" w14:textId="77777777" w:rsidR="00201AB1" w:rsidRPr="008C4DA1" w:rsidRDefault="00201AB1" w:rsidP="008C4DA1">
            <w:pPr>
              <w:pStyle w:val="MCTablebody"/>
              <w:jc w:val="center"/>
              <w:rPr>
                <w:sz w:val="24"/>
              </w:rPr>
            </w:pPr>
          </w:p>
        </w:tc>
        <w:tc>
          <w:tcPr>
            <w:tcW w:w="0" w:type="auto"/>
            <w:vAlign w:val="center"/>
          </w:tcPr>
          <w:p w14:paraId="269B229D" w14:textId="77777777" w:rsidR="00201AB1" w:rsidRPr="008C4DA1" w:rsidRDefault="00201AB1" w:rsidP="008C4DA1">
            <w:pPr>
              <w:pStyle w:val="MCTablebody"/>
              <w:jc w:val="center"/>
              <w:rPr>
                <w:sz w:val="24"/>
              </w:rPr>
            </w:pPr>
            <w:r w:rsidRPr="008C4DA1">
              <w:rPr>
                <w:sz w:val="24"/>
              </w:rPr>
              <w:t>3.92 (0.47)</w:t>
            </w:r>
          </w:p>
        </w:tc>
        <w:tc>
          <w:tcPr>
            <w:tcW w:w="0" w:type="auto"/>
            <w:vAlign w:val="center"/>
          </w:tcPr>
          <w:p w14:paraId="288B9F14" w14:textId="77777777" w:rsidR="00201AB1" w:rsidRPr="008C4DA1" w:rsidRDefault="00201AB1" w:rsidP="008C4DA1">
            <w:pPr>
              <w:pStyle w:val="MCTablebody"/>
              <w:jc w:val="center"/>
              <w:rPr>
                <w:sz w:val="24"/>
              </w:rPr>
            </w:pPr>
          </w:p>
        </w:tc>
      </w:tr>
      <w:tr w:rsidR="00201AB1" w:rsidRPr="005F2E48" w14:paraId="09EEA6C1" w14:textId="77777777" w:rsidTr="00A31B3E">
        <w:trPr>
          <w:trHeight w:val="397"/>
        </w:trPr>
        <w:tc>
          <w:tcPr>
            <w:tcW w:w="0" w:type="auto"/>
            <w:gridSpan w:val="5"/>
            <w:tcBorders>
              <w:top w:val="single" w:sz="4" w:space="0" w:color="auto"/>
              <w:bottom w:val="single" w:sz="4" w:space="0" w:color="auto"/>
            </w:tcBorders>
            <w:vAlign w:val="center"/>
          </w:tcPr>
          <w:p w14:paraId="51963150" w14:textId="77777777" w:rsidR="00201AB1" w:rsidRPr="008C4DA1" w:rsidRDefault="00201AB1" w:rsidP="008C4DA1">
            <w:pPr>
              <w:pStyle w:val="MCTablebody"/>
              <w:jc w:val="center"/>
              <w:rPr>
                <w:sz w:val="24"/>
              </w:rPr>
            </w:pPr>
            <w:r w:rsidRPr="008C4DA1">
              <w:rPr>
                <w:sz w:val="24"/>
                <w:vertAlign w:val="superscript"/>
                <w:lang w:val="en-US"/>
              </w:rPr>
              <w:t>13</w:t>
            </w:r>
            <w:r w:rsidRPr="008C4DA1">
              <w:rPr>
                <w:sz w:val="24"/>
                <w:lang w:val="en-US"/>
              </w:rPr>
              <w:t>C NMR</w:t>
            </w:r>
          </w:p>
        </w:tc>
      </w:tr>
      <w:tr w:rsidR="00201AB1" w:rsidRPr="005F2E48" w14:paraId="65F11374" w14:textId="77777777" w:rsidTr="00F85A3F">
        <w:trPr>
          <w:trHeight w:val="278"/>
        </w:trPr>
        <w:tc>
          <w:tcPr>
            <w:tcW w:w="0" w:type="auto"/>
            <w:vAlign w:val="center"/>
          </w:tcPr>
          <w:p w14:paraId="237FE1AD" w14:textId="77777777" w:rsidR="00201AB1" w:rsidRPr="008C4DA1" w:rsidRDefault="00201AB1" w:rsidP="008C4DA1">
            <w:pPr>
              <w:pStyle w:val="MCTablebody"/>
              <w:jc w:val="center"/>
              <w:rPr>
                <w:sz w:val="24"/>
              </w:rPr>
            </w:pPr>
          </w:p>
        </w:tc>
        <w:tc>
          <w:tcPr>
            <w:tcW w:w="0" w:type="auto"/>
            <w:vAlign w:val="center"/>
          </w:tcPr>
          <w:p w14:paraId="7C018016" w14:textId="77777777" w:rsidR="00201AB1" w:rsidRPr="008C4DA1" w:rsidRDefault="00201AB1" w:rsidP="008C4DA1">
            <w:pPr>
              <w:pStyle w:val="MCTablebody"/>
              <w:jc w:val="center"/>
              <w:rPr>
                <w:sz w:val="24"/>
              </w:rPr>
            </w:pPr>
          </w:p>
        </w:tc>
        <w:tc>
          <w:tcPr>
            <w:tcW w:w="0" w:type="auto"/>
            <w:vAlign w:val="center"/>
          </w:tcPr>
          <w:p w14:paraId="609BCED1" w14:textId="77777777" w:rsidR="00201AB1" w:rsidRPr="008C4DA1" w:rsidRDefault="00201AB1" w:rsidP="008C4DA1">
            <w:pPr>
              <w:pStyle w:val="MCTablebody"/>
              <w:jc w:val="center"/>
              <w:rPr>
                <w:sz w:val="24"/>
              </w:rPr>
            </w:pPr>
          </w:p>
        </w:tc>
        <w:tc>
          <w:tcPr>
            <w:tcW w:w="0" w:type="auto"/>
            <w:vAlign w:val="center"/>
          </w:tcPr>
          <w:p w14:paraId="545A0775" w14:textId="77777777" w:rsidR="00201AB1" w:rsidRPr="008C4DA1" w:rsidRDefault="00201AB1" w:rsidP="008C4DA1">
            <w:pPr>
              <w:pStyle w:val="MCTablebody"/>
              <w:jc w:val="center"/>
              <w:rPr>
                <w:sz w:val="24"/>
              </w:rPr>
            </w:pPr>
          </w:p>
        </w:tc>
        <w:tc>
          <w:tcPr>
            <w:tcW w:w="0" w:type="auto"/>
            <w:vAlign w:val="center"/>
          </w:tcPr>
          <w:p w14:paraId="1CDD040C" w14:textId="77777777" w:rsidR="00201AB1" w:rsidRPr="008C4DA1" w:rsidRDefault="00201AB1" w:rsidP="008C4DA1">
            <w:pPr>
              <w:pStyle w:val="MCTablebody"/>
              <w:jc w:val="center"/>
              <w:rPr>
                <w:sz w:val="24"/>
              </w:rPr>
            </w:pPr>
          </w:p>
        </w:tc>
      </w:tr>
      <w:tr w:rsidR="00201AB1" w:rsidRPr="005F2E48" w14:paraId="0427C988" w14:textId="77777777" w:rsidTr="00F85A3F">
        <w:trPr>
          <w:trHeight w:val="278"/>
        </w:trPr>
        <w:tc>
          <w:tcPr>
            <w:tcW w:w="0" w:type="auto"/>
            <w:vAlign w:val="center"/>
          </w:tcPr>
          <w:p w14:paraId="6C8433D6" w14:textId="77777777" w:rsidR="00201AB1" w:rsidRPr="008C4DA1" w:rsidRDefault="00201AB1" w:rsidP="008C4DA1">
            <w:pPr>
              <w:pStyle w:val="MCTablebody"/>
              <w:jc w:val="center"/>
              <w:rPr>
                <w:sz w:val="24"/>
              </w:rPr>
            </w:pPr>
            <w:r w:rsidRPr="008C4DA1">
              <w:rPr>
                <w:sz w:val="24"/>
              </w:rPr>
              <w:t>15</w:t>
            </w:r>
          </w:p>
        </w:tc>
        <w:tc>
          <w:tcPr>
            <w:tcW w:w="0" w:type="auto"/>
            <w:vAlign w:val="center"/>
          </w:tcPr>
          <w:p w14:paraId="26C58BC2" w14:textId="77777777" w:rsidR="00201AB1" w:rsidRPr="008C4DA1" w:rsidRDefault="00201AB1" w:rsidP="008C4DA1">
            <w:pPr>
              <w:pStyle w:val="MCTablebody"/>
              <w:jc w:val="center"/>
              <w:rPr>
                <w:sz w:val="24"/>
              </w:rPr>
            </w:pPr>
            <w:r w:rsidRPr="008C4DA1">
              <w:rPr>
                <w:sz w:val="24"/>
              </w:rPr>
              <w:t>30.8 (5.3)</w:t>
            </w:r>
          </w:p>
        </w:tc>
        <w:tc>
          <w:tcPr>
            <w:tcW w:w="0" w:type="auto"/>
            <w:vAlign w:val="center"/>
          </w:tcPr>
          <w:p w14:paraId="038F646D" w14:textId="77777777" w:rsidR="00201AB1" w:rsidRPr="008C4DA1" w:rsidRDefault="00201AB1" w:rsidP="008C4DA1">
            <w:pPr>
              <w:pStyle w:val="MCTablebody"/>
              <w:jc w:val="center"/>
              <w:rPr>
                <w:sz w:val="24"/>
              </w:rPr>
            </w:pPr>
          </w:p>
        </w:tc>
        <w:tc>
          <w:tcPr>
            <w:tcW w:w="0" w:type="auto"/>
            <w:vAlign w:val="center"/>
          </w:tcPr>
          <w:p w14:paraId="2F0C5FFF" w14:textId="77777777" w:rsidR="00201AB1" w:rsidRPr="008C4DA1" w:rsidRDefault="00201AB1" w:rsidP="008C4DA1">
            <w:pPr>
              <w:pStyle w:val="MCTablebody"/>
              <w:jc w:val="center"/>
              <w:rPr>
                <w:sz w:val="24"/>
              </w:rPr>
            </w:pPr>
          </w:p>
        </w:tc>
        <w:tc>
          <w:tcPr>
            <w:tcW w:w="0" w:type="auto"/>
            <w:vAlign w:val="center"/>
          </w:tcPr>
          <w:p w14:paraId="08CB8E89" w14:textId="77777777" w:rsidR="00201AB1" w:rsidRPr="008C4DA1" w:rsidRDefault="008D1735" w:rsidP="008C4DA1">
            <w:pPr>
              <w:pStyle w:val="MCTablebody"/>
              <w:jc w:val="center"/>
              <w:rPr>
                <w:sz w:val="24"/>
              </w:rPr>
            </w:pPr>
            <w:r w:rsidRPr="008C4DA1">
              <w:rPr>
                <w:sz w:val="24"/>
              </w:rPr>
              <w:t>35.3 (6.9)</w:t>
            </w:r>
          </w:p>
        </w:tc>
      </w:tr>
      <w:tr w:rsidR="00201AB1" w:rsidRPr="005F2E48" w14:paraId="4061C161" w14:textId="77777777" w:rsidTr="00F85A3F">
        <w:trPr>
          <w:trHeight w:val="278"/>
        </w:trPr>
        <w:tc>
          <w:tcPr>
            <w:tcW w:w="0" w:type="auto"/>
            <w:vAlign w:val="center"/>
          </w:tcPr>
          <w:p w14:paraId="056B1CE2" w14:textId="77777777" w:rsidR="00201AB1" w:rsidRPr="008C4DA1" w:rsidRDefault="00201AB1" w:rsidP="008C4DA1">
            <w:pPr>
              <w:pStyle w:val="MCTablebody"/>
              <w:jc w:val="center"/>
              <w:rPr>
                <w:sz w:val="24"/>
              </w:rPr>
            </w:pPr>
            <w:r w:rsidRPr="008C4DA1">
              <w:rPr>
                <w:sz w:val="24"/>
              </w:rPr>
              <w:t>19</w:t>
            </w:r>
          </w:p>
        </w:tc>
        <w:tc>
          <w:tcPr>
            <w:tcW w:w="0" w:type="auto"/>
            <w:vAlign w:val="center"/>
          </w:tcPr>
          <w:p w14:paraId="793FBF99" w14:textId="77777777" w:rsidR="00201AB1" w:rsidRPr="008C4DA1" w:rsidRDefault="00201AB1" w:rsidP="008C4DA1">
            <w:pPr>
              <w:pStyle w:val="MCTablebody"/>
              <w:jc w:val="center"/>
              <w:rPr>
                <w:sz w:val="24"/>
              </w:rPr>
            </w:pPr>
          </w:p>
        </w:tc>
        <w:tc>
          <w:tcPr>
            <w:tcW w:w="0" w:type="auto"/>
            <w:vAlign w:val="center"/>
          </w:tcPr>
          <w:p w14:paraId="1DA644F3" w14:textId="77777777" w:rsidR="00201AB1" w:rsidRPr="008C4DA1" w:rsidRDefault="00201AB1" w:rsidP="008C4DA1">
            <w:pPr>
              <w:pStyle w:val="MCTablebody"/>
              <w:jc w:val="center"/>
              <w:rPr>
                <w:sz w:val="24"/>
              </w:rPr>
            </w:pPr>
            <w:r w:rsidRPr="008C4DA1">
              <w:rPr>
                <w:sz w:val="24"/>
              </w:rPr>
              <w:t>134.8 (5.8)</w:t>
            </w:r>
          </w:p>
        </w:tc>
        <w:tc>
          <w:tcPr>
            <w:tcW w:w="0" w:type="auto"/>
            <w:vAlign w:val="center"/>
          </w:tcPr>
          <w:p w14:paraId="0EAFD534" w14:textId="77777777" w:rsidR="00201AB1" w:rsidRPr="008C4DA1" w:rsidRDefault="00201AB1" w:rsidP="008C4DA1">
            <w:pPr>
              <w:pStyle w:val="MCTablebody"/>
              <w:jc w:val="center"/>
              <w:rPr>
                <w:sz w:val="24"/>
              </w:rPr>
            </w:pPr>
          </w:p>
        </w:tc>
        <w:tc>
          <w:tcPr>
            <w:tcW w:w="0" w:type="auto"/>
            <w:vAlign w:val="center"/>
          </w:tcPr>
          <w:p w14:paraId="0A92E4D7" w14:textId="77777777" w:rsidR="00201AB1" w:rsidRPr="008C4DA1" w:rsidRDefault="00201AB1" w:rsidP="008C4DA1">
            <w:pPr>
              <w:pStyle w:val="MCTablebody"/>
              <w:jc w:val="center"/>
              <w:rPr>
                <w:sz w:val="24"/>
              </w:rPr>
            </w:pPr>
          </w:p>
        </w:tc>
      </w:tr>
      <w:tr w:rsidR="00201AB1" w:rsidRPr="005F2E48" w14:paraId="17781AC7" w14:textId="77777777" w:rsidTr="00F85A3F">
        <w:trPr>
          <w:trHeight w:val="278"/>
        </w:trPr>
        <w:tc>
          <w:tcPr>
            <w:tcW w:w="0" w:type="auto"/>
            <w:vAlign w:val="center"/>
          </w:tcPr>
          <w:p w14:paraId="014485B3" w14:textId="77777777" w:rsidR="00201AB1" w:rsidRPr="008C4DA1" w:rsidRDefault="00201AB1" w:rsidP="008C4DA1">
            <w:pPr>
              <w:pStyle w:val="MCTablebody"/>
              <w:jc w:val="center"/>
              <w:rPr>
                <w:sz w:val="24"/>
              </w:rPr>
            </w:pPr>
            <w:r w:rsidRPr="008C4DA1">
              <w:rPr>
                <w:sz w:val="24"/>
              </w:rPr>
              <w:t>20</w:t>
            </w:r>
          </w:p>
        </w:tc>
        <w:tc>
          <w:tcPr>
            <w:tcW w:w="0" w:type="auto"/>
            <w:vAlign w:val="center"/>
          </w:tcPr>
          <w:p w14:paraId="3CC9E73D" w14:textId="77777777" w:rsidR="00201AB1" w:rsidRPr="008C4DA1" w:rsidRDefault="00201AB1" w:rsidP="008C4DA1">
            <w:pPr>
              <w:pStyle w:val="MCTablebody"/>
              <w:jc w:val="center"/>
              <w:rPr>
                <w:sz w:val="24"/>
              </w:rPr>
            </w:pPr>
          </w:p>
        </w:tc>
        <w:tc>
          <w:tcPr>
            <w:tcW w:w="0" w:type="auto"/>
            <w:vAlign w:val="center"/>
          </w:tcPr>
          <w:p w14:paraId="28B8E661" w14:textId="77777777" w:rsidR="00201AB1" w:rsidRPr="008C4DA1" w:rsidRDefault="00201AB1" w:rsidP="008C4DA1">
            <w:pPr>
              <w:pStyle w:val="MCTablebody"/>
              <w:jc w:val="center"/>
              <w:rPr>
                <w:sz w:val="24"/>
              </w:rPr>
            </w:pPr>
          </w:p>
        </w:tc>
        <w:tc>
          <w:tcPr>
            <w:tcW w:w="0" w:type="auto"/>
            <w:vAlign w:val="center"/>
          </w:tcPr>
          <w:p w14:paraId="586AE6A9" w14:textId="77777777" w:rsidR="00201AB1" w:rsidRPr="008C4DA1" w:rsidRDefault="00201AB1" w:rsidP="008C4DA1">
            <w:pPr>
              <w:pStyle w:val="MCTablebody"/>
              <w:jc w:val="center"/>
              <w:rPr>
                <w:sz w:val="24"/>
              </w:rPr>
            </w:pPr>
            <w:r w:rsidRPr="008C4DA1">
              <w:rPr>
                <w:sz w:val="24"/>
              </w:rPr>
              <w:t>119.9 (7.1)</w:t>
            </w:r>
          </w:p>
        </w:tc>
        <w:tc>
          <w:tcPr>
            <w:tcW w:w="0" w:type="auto"/>
            <w:vAlign w:val="center"/>
          </w:tcPr>
          <w:p w14:paraId="181FCFEB" w14:textId="77777777" w:rsidR="00201AB1" w:rsidRPr="008C4DA1" w:rsidRDefault="00201AB1" w:rsidP="008C4DA1">
            <w:pPr>
              <w:pStyle w:val="MCTablebody"/>
              <w:jc w:val="center"/>
              <w:rPr>
                <w:sz w:val="24"/>
              </w:rPr>
            </w:pPr>
          </w:p>
        </w:tc>
      </w:tr>
      <w:tr w:rsidR="008D1735" w:rsidRPr="005F2E48" w14:paraId="46387C1B" w14:textId="77777777" w:rsidTr="00F85A3F">
        <w:trPr>
          <w:trHeight w:val="278"/>
        </w:trPr>
        <w:tc>
          <w:tcPr>
            <w:tcW w:w="0" w:type="auto"/>
            <w:vAlign w:val="center"/>
          </w:tcPr>
          <w:p w14:paraId="75A804CE" w14:textId="77777777" w:rsidR="008D1735" w:rsidRPr="008C4DA1" w:rsidRDefault="008D1735" w:rsidP="008C4DA1">
            <w:pPr>
              <w:pStyle w:val="MCTablebody"/>
              <w:jc w:val="center"/>
              <w:rPr>
                <w:sz w:val="24"/>
              </w:rPr>
            </w:pPr>
            <w:r w:rsidRPr="008C4DA1">
              <w:rPr>
                <w:sz w:val="24"/>
              </w:rPr>
              <w:t>21</w:t>
            </w:r>
          </w:p>
        </w:tc>
        <w:tc>
          <w:tcPr>
            <w:tcW w:w="0" w:type="auto"/>
            <w:vAlign w:val="center"/>
          </w:tcPr>
          <w:p w14:paraId="49CD3BBC" w14:textId="77777777" w:rsidR="008D1735" w:rsidRPr="008C4DA1" w:rsidRDefault="008D1735" w:rsidP="008C4DA1">
            <w:pPr>
              <w:pStyle w:val="MCTablebody"/>
              <w:jc w:val="center"/>
              <w:rPr>
                <w:sz w:val="24"/>
              </w:rPr>
            </w:pPr>
          </w:p>
        </w:tc>
        <w:tc>
          <w:tcPr>
            <w:tcW w:w="0" w:type="auto"/>
            <w:vAlign w:val="center"/>
          </w:tcPr>
          <w:p w14:paraId="61798086" w14:textId="77777777" w:rsidR="008D1735" w:rsidRPr="008C4DA1" w:rsidRDefault="008D1735" w:rsidP="008C4DA1">
            <w:pPr>
              <w:pStyle w:val="MCTablebody"/>
              <w:jc w:val="center"/>
              <w:rPr>
                <w:sz w:val="24"/>
              </w:rPr>
            </w:pPr>
          </w:p>
        </w:tc>
        <w:tc>
          <w:tcPr>
            <w:tcW w:w="0" w:type="auto"/>
            <w:vAlign w:val="center"/>
          </w:tcPr>
          <w:p w14:paraId="0D447DBC" w14:textId="77777777" w:rsidR="008D1735" w:rsidRPr="008C4DA1" w:rsidRDefault="008D1735" w:rsidP="008C4DA1">
            <w:pPr>
              <w:pStyle w:val="MCTablebody"/>
              <w:jc w:val="center"/>
              <w:rPr>
                <w:sz w:val="24"/>
              </w:rPr>
            </w:pPr>
          </w:p>
        </w:tc>
        <w:tc>
          <w:tcPr>
            <w:tcW w:w="0" w:type="auto"/>
            <w:vAlign w:val="center"/>
          </w:tcPr>
          <w:p w14:paraId="17983BBD" w14:textId="77777777" w:rsidR="008D1735" w:rsidRPr="008C4DA1" w:rsidRDefault="008D1735" w:rsidP="008C4DA1">
            <w:pPr>
              <w:pStyle w:val="MCTablebody"/>
              <w:jc w:val="center"/>
              <w:rPr>
                <w:sz w:val="24"/>
              </w:rPr>
            </w:pPr>
            <w:r w:rsidRPr="008C4DA1">
              <w:rPr>
                <w:sz w:val="24"/>
              </w:rPr>
              <w:t>137.1 (6.4)</w:t>
            </w:r>
          </w:p>
        </w:tc>
      </w:tr>
      <w:tr w:rsidR="00201AB1" w:rsidRPr="005F2E48" w14:paraId="62D4576F" w14:textId="77777777" w:rsidTr="00201AB1">
        <w:trPr>
          <w:trHeight w:val="278"/>
        </w:trPr>
        <w:tc>
          <w:tcPr>
            <w:tcW w:w="0" w:type="auto"/>
            <w:vAlign w:val="center"/>
          </w:tcPr>
          <w:p w14:paraId="7FFDE55B" w14:textId="77777777" w:rsidR="00201AB1" w:rsidRPr="008C4DA1" w:rsidRDefault="00201AB1" w:rsidP="008C4DA1">
            <w:pPr>
              <w:pStyle w:val="MCTablebody"/>
              <w:jc w:val="center"/>
              <w:rPr>
                <w:sz w:val="24"/>
              </w:rPr>
            </w:pPr>
            <w:r w:rsidRPr="008C4DA1">
              <w:rPr>
                <w:sz w:val="24"/>
              </w:rPr>
              <w:t>2’</w:t>
            </w:r>
          </w:p>
        </w:tc>
        <w:tc>
          <w:tcPr>
            <w:tcW w:w="0" w:type="auto"/>
            <w:vAlign w:val="center"/>
          </w:tcPr>
          <w:p w14:paraId="4A54D430" w14:textId="77777777" w:rsidR="00201AB1" w:rsidRPr="008C4DA1" w:rsidRDefault="00201AB1" w:rsidP="008C4DA1">
            <w:pPr>
              <w:pStyle w:val="MCTablebody"/>
              <w:jc w:val="center"/>
              <w:rPr>
                <w:sz w:val="24"/>
              </w:rPr>
            </w:pPr>
          </w:p>
        </w:tc>
        <w:tc>
          <w:tcPr>
            <w:tcW w:w="0" w:type="auto"/>
            <w:vAlign w:val="center"/>
          </w:tcPr>
          <w:p w14:paraId="335D004B" w14:textId="77777777" w:rsidR="00201AB1" w:rsidRPr="008C4DA1" w:rsidRDefault="00201AB1" w:rsidP="008C4DA1">
            <w:pPr>
              <w:pStyle w:val="MCTablebody"/>
              <w:jc w:val="center"/>
              <w:rPr>
                <w:sz w:val="24"/>
              </w:rPr>
            </w:pPr>
          </w:p>
        </w:tc>
        <w:tc>
          <w:tcPr>
            <w:tcW w:w="0" w:type="auto"/>
            <w:vAlign w:val="center"/>
          </w:tcPr>
          <w:p w14:paraId="11E10255" w14:textId="77777777" w:rsidR="00201AB1" w:rsidRPr="008C4DA1" w:rsidRDefault="00201AB1" w:rsidP="008C4DA1">
            <w:pPr>
              <w:pStyle w:val="MCTablebody"/>
              <w:jc w:val="center"/>
              <w:rPr>
                <w:sz w:val="24"/>
                <w:lang w:val="ru-RU"/>
              </w:rPr>
            </w:pPr>
            <w:r w:rsidRPr="008C4DA1">
              <w:rPr>
                <w:sz w:val="24"/>
                <w:lang w:val="ru-RU"/>
              </w:rPr>
              <w:t>65.</w:t>
            </w:r>
            <w:r w:rsidRPr="008C4DA1">
              <w:rPr>
                <w:sz w:val="24"/>
                <w:lang w:val="en-US"/>
              </w:rPr>
              <w:t xml:space="preserve">6 </w:t>
            </w:r>
            <w:r w:rsidRPr="008C4DA1">
              <w:rPr>
                <w:sz w:val="24"/>
                <w:lang w:val="ru-RU"/>
              </w:rPr>
              <w:t>(6.4)</w:t>
            </w:r>
          </w:p>
        </w:tc>
        <w:tc>
          <w:tcPr>
            <w:tcW w:w="0" w:type="auto"/>
            <w:vAlign w:val="center"/>
          </w:tcPr>
          <w:p w14:paraId="00233C7E" w14:textId="77777777" w:rsidR="00201AB1" w:rsidRPr="008C4DA1" w:rsidRDefault="00201AB1" w:rsidP="008C4DA1">
            <w:pPr>
              <w:pStyle w:val="MCTablebody"/>
              <w:jc w:val="center"/>
              <w:rPr>
                <w:sz w:val="24"/>
                <w:lang w:val="ru-RU"/>
              </w:rPr>
            </w:pPr>
          </w:p>
        </w:tc>
      </w:tr>
      <w:tr w:rsidR="00201AB1" w:rsidRPr="005F2E48" w14:paraId="64D7BA1B" w14:textId="77777777" w:rsidTr="00F85A3F">
        <w:trPr>
          <w:trHeight w:val="278"/>
        </w:trPr>
        <w:tc>
          <w:tcPr>
            <w:tcW w:w="0" w:type="auto"/>
            <w:tcBorders>
              <w:bottom w:val="single" w:sz="4" w:space="0" w:color="auto"/>
            </w:tcBorders>
            <w:vAlign w:val="center"/>
          </w:tcPr>
          <w:p w14:paraId="072B16DE" w14:textId="77777777" w:rsidR="00201AB1" w:rsidRPr="008C4DA1" w:rsidRDefault="00201AB1" w:rsidP="008C4DA1">
            <w:pPr>
              <w:pStyle w:val="MCTablebody"/>
              <w:jc w:val="center"/>
              <w:rPr>
                <w:sz w:val="24"/>
                <w:lang w:val="ru-RU"/>
              </w:rPr>
            </w:pPr>
            <w:r w:rsidRPr="008C4DA1">
              <w:rPr>
                <w:sz w:val="24"/>
                <w:lang w:val="ru-RU"/>
              </w:rPr>
              <w:t>20’</w:t>
            </w:r>
          </w:p>
        </w:tc>
        <w:tc>
          <w:tcPr>
            <w:tcW w:w="0" w:type="auto"/>
            <w:tcBorders>
              <w:bottom w:val="single" w:sz="4" w:space="0" w:color="auto"/>
            </w:tcBorders>
            <w:vAlign w:val="center"/>
          </w:tcPr>
          <w:p w14:paraId="1B1906D6" w14:textId="77777777" w:rsidR="00201AB1" w:rsidRPr="008C4DA1" w:rsidRDefault="00201AB1" w:rsidP="008C4DA1">
            <w:pPr>
              <w:pStyle w:val="MCTablebody"/>
              <w:jc w:val="center"/>
              <w:rPr>
                <w:sz w:val="24"/>
                <w:lang w:val="ru-RU"/>
              </w:rPr>
            </w:pPr>
          </w:p>
        </w:tc>
        <w:tc>
          <w:tcPr>
            <w:tcW w:w="0" w:type="auto"/>
            <w:tcBorders>
              <w:bottom w:val="single" w:sz="4" w:space="0" w:color="auto"/>
            </w:tcBorders>
            <w:vAlign w:val="center"/>
          </w:tcPr>
          <w:p w14:paraId="2A27FE75" w14:textId="77777777" w:rsidR="00201AB1" w:rsidRPr="008C4DA1" w:rsidRDefault="00201AB1" w:rsidP="008C4DA1">
            <w:pPr>
              <w:pStyle w:val="MCTablebody"/>
              <w:jc w:val="center"/>
              <w:rPr>
                <w:sz w:val="24"/>
                <w:lang w:val="ru-RU"/>
              </w:rPr>
            </w:pPr>
          </w:p>
        </w:tc>
        <w:tc>
          <w:tcPr>
            <w:tcW w:w="0" w:type="auto"/>
            <w:tcBorders>
              <w:bottom w:val="single" w:sz="4" w:space="0" w:color="auto"/>
            </w:tcBorders>
            <w:vAlign w:val="center"/>
          </w:tcPr>
          <w:p w14:paraId="5B59A99E" w14:textId="77777777" w:rsidR="00201AB1" w:rsidRPr="008C4DA1" w:rsidRDefault="00201AB1" w:rsidP="008C4DA1">
            <w:pPr>
              <w:pStyle w:val="MCTablebody"/>
              <w:jc w:val="center"/>
              <w:rPr>
                <w:sz w:val="24"/>
                <w:lang w:val="en-US"/>
              </w:rPr>
            </w:pPr>
            <w:r w:rsidRPr="008C4DA1">
              <w:rPr>
                <w:sz w:val="24"/>
                <w:lang w:val="en-US"/>
              </w:rPr>
              <w:t>143.8 (8.7</w:t>
            </w:r>
            <w:r w:rsidR="008D1735" w:rsidRPr="008C4DA1">
              <w:rPr>
                <w:sz w:val="24"/>
                <w:lang w:val="en-US"/>
              </w:rPr>
              <w:t>)</w:t>
            </w:r>
          </w:p>
        </w:tc>
        <w:tc>
          <w:tcPr>
            <w:tcW w:w="0" w:type="auto"/>
            <w:tcBorders>
              <w:bottom w:val="single" w:sz="4" w:space="0" w:color="auto"/>
            </w:tcBorders>
            <w:vAlign w:val="center"/>
          </w:tcPr>
          <w:p w14:paraId="19CCE772" w14:textId="77777777" w:rsidR="00201AB1" w:rsidRPr="008C4DA1" w:rsidRDefault="008D1735" w:rsidP="008C4DA1">
            <w:pPr>
              <w:pStyle w:val="MCTablebody"/>
              <w:jc w:val="center"/>
              <w:rPr>
                <w:sz w:val="24"/>
                <w:lang w:val="en-US"/>
              </w:rPr>
            </w:pPr>
            <w:r w:rsidRPr="008C4DA1">
              <w:rPr>
                <w:sz w:val="24"/>
                <w:lang w:val="en-US"/>
              </w:rPr>
              <w:t>144.7 (10.4)</w:t>
            </w:r>
          </w:p>
        </w:tc>
      </w:tr>
    </w:tbl>
    <w:p w14:paraId="430B98C4" w14:textId="77777777" w:rsidR="00DB7A23" w:rsidRDefault="00DB7A23" w:rsidP="00150DEC">
      <w:pPr>
        <w:pStyle w:val="MCMainTextfirstparagraph"/>
      </w:pPr>
    </w:p>
    <w:p w14:paraId="5997DFE2" w14:textId="56D5AA9F" w:rsidR="0009364C" w:rsidRPr="0009364C" w:rsidRDefault="00DB7A23" w:rsidP="00150DEC">
      <w:pPr>
        <w:pStyle w:val="MCMainTextfirstparagraph"/>
      </w:pPr>
      <w:r w:rsidRPr="00DB7A23">
        <w:t xml:space="preserve">Next, we will consider in more detail </w:t>
      </w:r>
      <w:r>
        <w:t>the results</w:t>
      </w:r>
      <w:r w:rsidRPr="00DB7A23">
        <w:t xml:space="preserve"> of </w:t>
      </w:r>
      <w:r w:rsidR="0009364C">
        <w:t xml:space="preserve">the </w:t>
      </w:r>
      <w:r>
        <w:t xml:space="preserve">performed </w:t>
      </w:r>
      <w:r w:rsidRPr="00DB7A23">
        <w:t xml:space="preserve">correlation analysis </w:t>
      </w:r>
      <w:r>
        <w:t>of</w:t>
      </w:r>
      <w:r w:rsidRPr="00DB7A23">
        <w:t xml:space="preserve"> </w:t>
      </w:r>
      <w:r>
        <w:t>the</w:t>
      </w:r>
      <w:r w:rsidRPr="00DB7A23">
        <w:t xml:space="preserve"> most favorable conformers of </w:t>
      </w:r>
      <w:r w:rsidRPr="00DB7A23">
        <w:rPr>
          <w:b/>
        </w:rPr>
        <w:t>1</w:t>
      </w:r>
      <w:r w:rsidRPr="00DB7A23">
        <w:t>-</w:t>
      </w:r>
      <w:r w:rsidRPr="00DB7A23">
        <w:rPr>
          <w:b/>
        </w:rPr>
        <w:t>4</w:t>
      </w:r>
      <w:r w:rsidRPr="00DB7A23">
        <w:t>.</w:t>
      </w:r>
      <w:r w:rsidR="0041548C">
        <w:t xml:space="preserve"> </w:t>
      </w:r>
      <w:r w:rsidR="0009364C">
        <w:t>An</w:t>
      </w:r>
      <w:r w:rsidR="0009364C" w:rsidRPr="0009364C">
        <w:t xml:space="preserve"> excellent agreement between calculated </w:t>
      </w:r>
      <w:r w:rsidR="0009364C" w:rsidRPr="0009364C">
        <w:rPr>
          <w:vertAlign w:val="superscript"/>
        </w:rPr>
        <w:t>13</w:t>
      </w:r>
      <w:r w:rsidR="0009364C" w:rsidRPr="0009364C">
        <w:t xml:space="preserve">C NMR chemical shifts and </w:t>
      </w:r>
      <w:r w:rsidR="0009364C">
        <w:t xml:space="preserve">their experimental values was </w:t>
      </w:r>
      <w:r w:rsidR="008807FC">
        <w:t>reached</w:t>
      </w:r>
      <w:r w:rsidR="00217A5D">
        <w:t xml:space="preserve"> </w:t>
      </w:r>
      <w:r w:rsidR="00217A5D" w:rsidRPr="00217A5D">
        <w:t>for</w:t>
      </w:r>
      <w:r w:rsidR="00217A5D" w:rsidRPr="00217A5D">
        <w:rPr>
          <w:color w:val="0070C0"/>
        </w:rPr>
        <w:t xml:space="preserve"> </w:t>
      </w:r>
      <w:proofErr w:type="spellStart"/>
      <w:r w:rsidR="00217A5D" w:rsidRPr="00217A5D">
        <w:rPr>
          <w:color w:val="0070C0"/>
        </w:rPr>
        <w:t>panganensine</w:t>
      </w:r>
      <w:proofErr w:type="spellEnd"/>
      <w:r w:rsidR="00217A5D" w:rsidRPr="00217A5D">
        <w:rPr>
          <w:color w:val="0070C0"/>
        </w:rPr>
        <w:t xml:space="preserve"> R (conformer </w:t>
      </w:r>
      <w:r w:rsidR="00217A5D" w:rsidRPr="00217A5D">
        <w:rPr>
          <w:b/>
          <w:color w:val="0070C0"/>
        </w:rPr>
        <w:t>1a</w:t>
      </w:r>
      <w:r w:rsidR="00217A5D" w:rsidRPr="00217A5D">
        <w:rPr>
          <w:color w:val="0070C0"/>
        </w:rPr>
        <w:t>)</w:t>
      </w:r>
      <w:r w:rsidR="0009364C" w:rsidRPr="00217A5D">
        <w:t>.</w:t>
      </w:r>
      <w:r w:rsidR="0009364C">
        <w:t xml:space="preserve"> Unfortunately, no</w:t>
      </w:r>
      <w:r w:rsidR="0009364C" w:rsidRPr="0009364C">
        <w:t xml:space="preserve"> experimental data</w:t>
      </w:r>
      <w:r w:rsidR="0009364C">
        <w:t xml:space="preserve"> for </w:t>
      </w:r>
      <w:r w:rsidR="0009364C" w:rsidRPr="0009364C">
        <w:t>C-18 and C-20</w:t>
      </w:r>
      <w:r w:rsidR="0009364C">
        <w:t xml:space="preserve"> is available</w:t>
      </w:r>
      <w:r w:rsidR="0086401A">
        <w:t xml:space="preserve"> in the literature</w:t>
      </w:r>
      <w:r w:rsidR="0009364C">
        <w:t xml:space="preserve">. </w:t>
      </w:r>
      <w:r w:rsidR="0009364C" w:rsidRPr="0009364C">
        <w:t xml:space="preserve">The only significant </w:t>
      </w:r>
      <w:r w:rsidR="0009364C">
        <w:t>deviation</w:t>
      </w:r>
      <w:r w:rsidR="0009364C" w:rsidRPr="0009364C">
        <w:t xml:space="preserve"> was found for C-15, which is probably due to </w:t>
      </w:r>
      <w:r w:rsidR="0009364C">
        <w:t xml:space="preserve">the </w:t>
      </w:r>
      <w:r w:rsidR="0009364C" w:rsidRPr="0009364C">
        <w:t xml:space="preserve">electronic effects </w:t>
      </w:r>
      <w:r w:rsidR="0086401A">
        <w:t xml:space="preserve">propagated </w:t>
      </w:r>
      <w:r w:rsidR="0009364C">
        <w:t>through</w:t>
      </w:r>
      <w:r w:rsidR="0009364C" w:rsidRPr="0009364C">
        <w:t xml:space="preserve"> the influence of the nearest C-20 atom participating in the conjugated </w:t>
      </w:r>
      <w:r w:rsidR="0009364C" w:rsidRPr="0009364C">
        <w:rPr>
          <w:i/>
          <w:lang w:val="ru-RU"/>
        </w:rPr>
        <w:t>π</w:t>
      </w:r>
      <w:r w:rsidR="0009364C" w:rsidRPr="0009364C">
        <w:t>-system,</w:t>
      </w:r>
      <w:r w:rsidR="0009364C">
        <w:t xml:space="preserve"> see</w:t>
      </w:r>
      <w:r w:rsidR="0009364C" w:rsidRPr="0009364C">
        <w:t xml:space="preserve"> </w:t>
      </w:r>
      <w:r w:rsidR="0009364C" w:rsidRPr="0009364C">
        <w:rPr>
          <w:highlight w:val="yellow"/>
        </w:rPr>
        <w:t xml:space="preserve">Table </w:t>
      </w:r>
      <w:r w:rsidR="00C13EA0" w:rsidRPr="00C13EA0">
        <w:rPr>
          <w:color w:val="0070C0"/>
          <w:highlight w:val="yellow"/>
        </w:rPr>
        <w:t>2</w:t>
      </w:r>
      <w:r w:rsidR="0009364C" w:rsidRPr="0009364C">
        <w:t>.</w:t>
      </w:r>
      <w:r w:rsidR="00173EDC">
        <w:t xml:space="preserve"> </w:t>
      </w:r>
      <w:r w:rsidR="0009364C" w:rsidRPr="0009364C">
        <w:t>As for</w:t>
      </w:r>
      <w:r w:rsidR="009E3A6F">
        <w:t xml:space="preserve"> the</w:t>
      </w:r>
      <w:r w:rsidR="0009364C" w:rsidRPr="0009364C">
        <w:t xml:space="preserve"> </w:t>
      </w:r>
      <w:r w:rsidR="0009364C" w:rsidRPr="0009364C">
        <w:rPr>
          <w:vertAlign w:val="superscript"/>
        </w:rPr>
        <w:t>1</w:t>
      </w:r>
      <w:r w:rsidR="0009364C" w:rsidRPr="0009364C">
        <w:t>H NMR</w:t>
      </w:r>
      <w:r w:rsidR="00173EDC">
        <w:t xml:space="preserve"> chemical shifts</w:t>
      </w:r>
      <w:r w:rsidR="0009364C" w:rsidRPr="0009364C">
        <w:t>, there are no experimental data for each second</w:t>
      </w:r>
      <w:r w:rsidR="00173EDC">
        <w:t xml:space="preserve"> proton</w:t>
      </w:r>
      <w:r w:rsidR="0009364C" w:rsidRPr="0009364C">
        <w:t xml:space="preserve"> at C-6, C-17, and C-14'. Despite the fact that </w:t>
      </w:r>
      <w:r w:rsidR="00173EDC">
        <w:t>those protons</w:t>
      </w:r>
      <w:r w:rsidR="0009364C" w:rsidRPr="0009364C">
        <w:t xml:space="preserve"> are bonded in pairs to one carbon atom,</w:t>
      </w:r>
      <w:r w:rsidR="00173EDC" w:rsidRPr="00173EDC">
        <w:t xml:space="preserve"> </w:t>
      </w:r>
      <w:r w:rsidR="00173EDC" w:rsidRPr="0009364C">
        <w:t xml:space="preserve">their chemical shifts </w:t>
      </w:r>
      <w:r w:rsidR="008807FC">
        <w:t>were expected to</w:t>
      </w:r>
      <w:r w:rsidR="00173EDC" w:rsidRPr="0009364C">
        <w:t xml:space="preserve"> differ </w:t>
      </w:r>
      <w:r w:rsidR="00173EDC">
        <w:t>essentially</w:t>
      </w:r>
      <w:r w:rsidR="00173EDC" w:rsidRPr="0009364C">
        <w:t>.</w:t>
      </w:r>
      <w:r w:rsidR="00173EDC">
        <w:t xml:space="preserve"> We have estimated</w:t>
      </w:r>
      <w:r w:rsidR="00173EDC" w:rsidRPr="00173EDC">
        <w:t xml:space="preserve"> </w:t>
      </w:r>
      <w:r w:rsidR="00173EDC" w:rsidRPr="0009364C">
        <w:t xml:space="preserve">all missing </w:t>
      </w:r>
      <w:r w:rsidR="00173EDC" w:rsidRPr="0009364C">
        <w:rPr>
          <w:vertAlign w:val="superscript"/>
        </w:rPr>
        <w:t>1</w:t>
      </w:r>
      <w:r w:rsidR="00173EDC" w:rsidRPr="0009364C">
        <w:t>H NMR</w:t>
      </w:r>
      <w:r w:rsidR="00173EDC">
        <w:t xml:space="preserve"> </w:t>
      </w:r>
      <w:r w:rsidR="00173EDC" w:rsidRPr="0009364C">
        <w:t>chemical shift</w:t>
      </w:r>
      <w:r w:rsidR="00173EDC">
        <w:t>s based on the established correlation</w:t>
      </w:r>
      <w:r w:rsidR="0009364C" w:rsidRPr="0009364C">
        <w:t xml:space="preserve">, see </w:t>
      </w:r>
      <w:r w:rsidR="0009364C" w:rsidRPr="00173EDC">
        <w:rPr>
          <w:highlight w:val="yellow"/>
        </w:rPr>
        <w:t>Figure S2</w:t>
      </w:r>
      <w:r w:rsidR="0009364C" w:rsidRPr="0009364C">
        <w:t xml:space="preserve">. </w:t>
      </w:r>
      <w:r w:rsidR="00173EDC">
        <w:t>A</w:t>
      </w:r>
      <w:r w:rsidR="0009364C" w:rsidRPr="0009364C">
        <w:t xml:space="preserve"> significant deviation of theore</w:t>
      </w:r>
      <w:r w:rsidR="00150DEC">
        <w:t xml:space="preserve">tical and experimental values </w:t>
      </w:r>
      <w:r w:rsidR="00173EDC">
        <w:t>for</w:t>
      </w:r>
      <w:r w:rsidR="0009364C" w:rsidRPr="0009364C">
        <w:t xml:space="preserve"> H-2 </w:t>
      </w:r>
      <w:r w:rsidR="00173EDC">
        <w:t>should be explained by</w:t>
      </w:r>
      <w:r w:rsidR="0009364C" w:rsidRPr="0009364C">
        <w:t xml:space="preserve"> </w:t>
      </w:r>
      <w:r w:rsidR="00173EDC">
        <w:t>its</w:t>
      </w:r>
      <w:r w:rsidR="0009364C" w:rsidRPr="0009364C">
        <w:t xml:space="preserve"> </w:t>
      </w:r>
      <w:r w:rsidR="00173EDC">
        <w:t>through-space</w:t>
      </w:r>
      <w:r w:rsidR="0009364C" w:rsidRPr="0009364C">
        <w:t xml:space="preserve"> intramolecular interaction</w:t>
      </w:r>
      <w:r w:rsidR="009E3A6F">
        <w:t xml:space="preserve"> involving</w:t>
      </w:r>
      <w:r w:rsidR="00173EDC">
        <w:t xml:space="preserve"> </w:t>
      </w:r>
      <w:r w:rsidR="009E3A6F" w:rsidRPr="0009364C">
        <w:t xml:space="preserve">the hydroxyl group </w:t>
      </w:r>
      <w:r w:rsidR="009E3A6F">
        <w:t>at</w:t>
      </w:r>
      <w:r w:rsidR="009E3A6F" w:rsidRPr="0009364C">
        <w:t xml:space="preserve"> O-17</w:t>
      </w:r>
      <w:r w:rsidR="009E3A6F">
        <w:t xml:space="preserve"> </w:t>
      </w:r>
      <w:r w:rsidR="00173EDC">
        <w:t xml:space="preserve">and formation of the </w:t>
      </w:r>
      <w:r w:rsidR="00173EDC" w:rsidRPr="0009364C">
        <w:t xml:space="preserve">five-membered </w:t>
      </w:r>
      <w:r w:rsidR="004E6572">
        <w:t>ring</w:t>
      </w:r>
      <w:r w:rsidR="009E3A6F">
        <w:t xml:space="preserve"> </w:t>
      </w:r>
      <w:r w:rsidR="008807FC">
        <w:t>involving</w:t>
      </w:r>
      <w:r w:rsidR="009E3A6F">
        <w:t xml:space="preserve"> hydrogen bonding between H-2 and oxygen atom.</w:t>
      </w:r>
    </w:p>
    <w:p w14:paraId="3274BB77" w14:textId="06D9B85A" w:rsidR="00590A37" w:rsidRDefault="00EB1F1F" w:rsidP="00150DEC">
      <w:pPr>
        <w:pStyle w:val="MCMainTextfirstparagraph"/>
      </w:pPr>
      <w:r>
        <w:t>No</w:t>
      </w:r>
      <w:r w:rsidRPr="00EB1F1F">
        <w:t xml:space="preserve"> </w:t>
      </w:r>
      <w:r w:rsidRPr="00EB1F1F">
        <w:rPr>
          <w:vertAlign w:val="superscript"/>
        </w:rPr>
        <w:t>13</w:t>
      </w:r>
      <w:r w:rsidRPr="00EB1F1F">
        <w:t xml:space="preserve">C NMR data </w:t>
      </w:r>
      <w:r>
        <w:t xml:space="preserve">is </w:t>
      </w:r>
      <w:r w:rsidRPr="00EB1F1F">
        <w:t>available for the C-18 atom</w:t>
      </w:r>
      <w:r w:rsidR="00217A5D">
        <w:t xml:space="preserve"> of </w:t>
      </w:r>
      <w:proofErr w:type="spellStart"/>
      <w:r w:rsidR="00217A5D" w:rsidRPr="00217A5D">
        <w:rPr>
          <w:color w:val="0070C0"/>
        </w:rPr>
        <w:t>panganensine</w:t>
      </w:r>
      <w:proofErr w:type="spellEnd"/>
      <w:r w:rsidR="00217A5D" w:rsidRPr="00217A5D">
        <w:rPr>
          <w:color w:val="0070C0"/>
        </w:rPr>
        <w:t xml:space="preserve"> S</w:t>
      </w:r>
      <w:r w:rsidR="00217A5D" w:rsidRPr="00217A5D">
        <w:rPr>
          <w:b/>
          <w:color w:val="0070C0"/>
        </w:rPr>
        <w:t xml:space="preserve"> </w:t>
      </w:r>
      <w:r w:rsidR="00217A5D" w:rsidRPr="00217A5D">
        <w:rPr>
          <w:color w:val="0070C0"/>
        </w:rPr>
        <w:t xml:space="preserve">(conformer </w:t>
      </w:r>
      <w:r w:rsidR="00217A5D" w:rsidRPr="00217A5D">
        <w:rPr>
          <w:b/>
          <w:color w:val="0070C0"/>
        </w:rPr>
        <w:t>2b</w:t>
      </w:r>
      <w:r w:rsidR="00217A5D" w:rsidRPr="00217A5D">
        <w:rPr>
          <w:color w:val="0070C0"/>
        </w:rPr>
        <w:t>)</w:t>
      </w:r>
      <w:r w:rsidRPr="00EB1F1F">
        <w:t>, so</w:t>
      </w:r>
      <w:r>
        <w:t xml:space="preserve"> we used </w:t>
      </w:r>
      <w:r w:rsidR="00F618A6">
        <w:t xml:space="preserve">its </w:t>
      </w:r>
      <w:r>
        <w:t>theoretical estimation</w:t>
      </w:r>
      <w:r w:rsidRPr="00EB1F1F">
        <w:t xml:space="preserve">, see </w:t>
      </w:r>
      <w:r w:rsidRPr="00EB1F1F">
        <w:rPr>
          <w:highlight w:val="yellow"/>
        </w:rPr>
        <w:t>Figure S2</w:t>
      </w:r>
      <w:r w:rsidRPr="00EB1F1F">
        <w:t xml:space="preserve">. The most noticeable deviation from the overall correlation is observed for the C-19 atom, which is likely due to </w:t>
      </w:r>
      <w:r w:rsidR="00590A37">
        <w:t>mixed</w:t>
      </w:r>
      <w:r w:rsidRPr="00EB1F1F">
        <w:t xml:space="preserve"> electronic effects in the conjugation chain that cannot be taken into account in the </w:t>
      </w:r>
      <w:r>
        <w:t>stationary</w:t>
      </w:r>
      <w:r w:rsidRPr="00EB1F1F">
        <w:t xml:space="preserve"> state.</w:t>
      </w:r>
      <w:r w:rsidR="00590A37">
        <w:t xml:space="preserve"> </w:t>
      </w:r>
      <w:r w:rsidR="00590A37" w:rsidRPr="00590A37">
        <w:t xml:space="preserve">The </w:t>
      </w:r>
      <w:r w:rsidR="00590A37" w:rsidRPr="00590A37">
        <w:rPr>
          <w:vertAlign w:val="superscript"/>
        </w:rPr>
        <w:t>1</w:t>
      </w:r>
      <w:r w:rsidR="00590A37" w:rsidRPr="00590A37">
        <w:t xml:space="preserve">H NMR data show </w:t>
      </w:r>
      <w:r w:rsidR="005603BB">
        <w:t>good</w:t>
      </w:r>
      <w:r w:rsidR="00590A37" w:rsidRPr="00590A37">
        <w:t xml:space="preserve"> agreement between calculated and experimental values</w:t>
      </w:r>
      <w:r w:rsidR="00590A37">
        <w:t xml:space="preserve"> of chemical shifts</w:t>
      </w:r>
      <w:r w:rsidR="00590A37" w:rsidRPr="00590A37">
        <w:t xml:space="preserve">. In stereoisomer </w:t>
      </w:r>
      <w:r w:rsidR="00590A37" w:rsidRPr="005603BB">
        <w:rPr>
          <w:i/>
        </w:rPr>
        <w:t>S</w:t>
      </w:r>
      <w:r w:rsidR="00590A37" w:rsidRPr="00590A37">
        <w:t xml:space="preserve">, theoretical chemical shift H-2 fits </w:t>
      </w:r>
      <w:r w:rsidR="00F618A6">
        <w:t>into</w:t>
      </w:r>
      <w:r w:rsidR="00590A37" w:rsidRPr="00590A37">
        <w:t xml:space="preserve"> correlation trend </w:t>
      </w:r>
      <w:r w:rsidR="00590A37">
        <w:t>quite</w:t>
      </w:r>
      <w:r w:rsidR="00590A37" w:rsidRPr="00590A37">
        <w:t xml:space="preserve"> well, indicating a less pronounced influence of the hydroxyl group OH-17</w:t>
      </w:r>
      <w:r w:rsidR="00590A37">
        <w:t>, as</w:t>
      </w:r>
      <w:r w:rsidR="00590A37" w:rsidRPr="00590A37">
        <w:t xml:space="preserve"> compared to that in </w:t>
      </w:r>
      <w:proofErr w:type="spellStart"/>
      <w:r w:rsidR="00590A37" w:rsidRPr="00590A37">
        <w:t>panganensine</w:t>
      </w:r>
      <w:proofErr w:type="spellEnd"/>
      <w:r w:rsidR="00590A37" w:rsidRPr="00590A37">
        <w:t xml:space="preserve"> R (</w:t>
      </w:r>
      <w:r w:rsidR="00590A37" w:rsidRPr="00590A37">
        <w:rPr>
          <w:b/>
        </w:rPr>
        <w:t>1</w:t>
      </w:r>
      <w:r w:rsidR="00590A37" w:rsidRPr="00590A37">
        <w:t>).</w:t>
      </w:r>
    </w:p>
    <w:p w14:paraId="4348A051" w14:textId="3FAA37AB" w:rsidR="00C5302D" w:rsidRDefault="0019652F" w:rsidP="00150DEC">
      <w:pPr>
        <w:pStyle w:val="MCMainTextfirstparagraph"/>
      </w:pPr>
      <w:r w:rsidRPr="0019652F">
        <w:t xml:space="preserve">In the case of </w:t>
      </w:r>
      <w:r w:rsidRPr="0019652F">
        <w:rPr>
          <w:vertAlign w:val="superscript"/>
        </w:rPr>
        <w:t>13</w:t>
      </w:r>
      <w:r w:rsidRPr="0019652F">
        <w:t>C NMR chemical shifts</w:t>
      </w:r>
      <w:r w:rsidR="00217A5D">
        <w:t xml:space="preserve"> </w:t>
      </w:r>
      <w:r w:rsidR="00217A5D" w:rsidRPr="00217A5D">
        <w:rPr>
          <w:color w:val="0070C0"/>
        </w:rPr>
        <w:t xml:space="preserve">of </w:t>
      </w:r>
      <w:proofErr w:type="spellStart"/>
      <w:r w:rsidR="00217A5D" w:rsidRPr="00217A5D">
        <w:rPr>
          <w:color w:val="0070C0"/>
        </w:rPr>
        <w:t>panganensine</w:t>
      </w:r>
      <w:proofErr w:type="spellEnd"/>
      <w:r w:rsidR="00217A5D" w:rsidRPr="00217A5D">
        <w:rPr>
          <w:color w:val="0070C0"/>
        </w:rPr>
        <w:t xml:space="preserve"> X (conformer </w:t>
      </w:r>
      <w:r w:rsidR="00217A5D" w:rsidRPr="00217A5D">
        <w:rPr>
          <w:b/>
          <w:color w:val="0070C0"/>
        </w:rPr>
        <w:t>3b</w:t>
      </w:r>
      <w:r w:rsidR="00217A5D" w:rsidRPr="00217A5D">
        <w:rPr>
          <w:color w:val="0070C0"/>
        </w:rPr>
        <w:t>)</w:t>
      </w:r>
      <w:r w:rsidRPr="00217A5D">
        <w:t>,</w:t>
      </w:r>
      <w:r w:rsidRPr="0019652F">
        <w:t xml:space="preserve"> </w:t>
      </w:r>
      <w:r>
        <w:t>three</w:t>
      </w:r>
      <w:r w:rsidRPr="0019652F">
        <w:t xml:space="preserve"> significant deviations from the general correlation trend</w:t>
      </w:r>
      <w:r w:rsidR="005B5944">
        <w:t xml:space="preserve"> for atoms C-20, C-2' and C-20' </w:t>
      </w:r>
      <w:r w:rsidRPr="0019652F">
        <w:t xml:space="preserve">were </w:t>
      </w:r>
      <w:r>
        <w:t>detect</w:t>
      </w:r>
      <w:r w:rsidRPr="0019652F">
        <w:t>ed</w:t>
      </w:r>
      <w:r>
        <w:t xml:space="preserve">, </w:t>
      </w:r>
      <w:r w:rsidRPr="0019652F">
        <w:rPr>
          <w:highlight w:val="yellow"/>
        </w:rPr>
        <w:t xml:space="preserve">Figure </w:t>
      </w:r>
      <w:r w:rsidR="00A57079" w:rsidRPr="00A57079">
        <w:rPr>
          <w:color w:val="0070C0"/>
          <w:highlight w:val="yellow"/>
        </w:rPr>
        <w:t>6</w:t>
      </w:r>
      <w:r>
        <w:t>.</w:t>
      </w:r>
      <w:r w:rsidRPr="0019652F">
        <w:t xml:space="preserve"> The chemical shift of C-20, as in previous cases, is distinguished by a noticeable discrepancy between the experimental and calculated values</w:t>
      </w:r>
      <w:r>
        <w:t xml:space="preserve">, </w:t>
      </w:r>
      <w:r w:rsidRPr="0019652F">
        <w:rPr>
          <w:highlight w:val="yellow"/>
        </w:rPr>
        <w:t xml:space="preserve">Table </w:t>
      </w:r>
      <w:r w:rsidR="00C13EA0" w:rsidRPr="00C13EA0">
        <w:rPr>
          <w:color w:val="0070C0"/>
          <w:highlight w:val="yellow"/>
        </w:rPr>
        <w:t>2</w:t>
      </w:r>
      <w:r w:rsidRPr="0019652F">
        <w:t>. Apparently, this is due to the effect of delocalization of the electron density caused by the interaction of the N-4</w:t>
      </w:r>
      <w:r w:rsidR="005B5944">
        <w:t xml:space="preserve"> lone pair</w:t>
      </w:r>
      <w:r>
        <w:t xml:space="preserve"> </w:t>
      </w:r>
      <w:r w:rsidR="00600347" w:rsidRPr="00600347">
        <w:t xml:space="preserve">with the </w:t>
      </w:r>
      <w:r w:rsidR="00600347" w:rsidRPr="00285089">
        <w:rPr>
          <w:i/>
        </w:rPr>
        <w:t>π</w:t>
      </w:r>
      <w:r w:rsidR="00600347" w:rsidRPr="00600347">
        <w:t>- system of C-20/C-21</w:t>
      </w:r>
      <w:r w:rsidR="008C7DE4">
        <w:t xml:space="preserve"> double bond</w:t>
      </w:r>
      <w:r w:rsidR="00600347" w:rsidRPr="00600347">
        <w:t>.</w:t>
      </w:r>
      <w:r w:rsidR="008C7DE4">
        <w:t xml:space="preserve"> To understand the origin of deviations</w:t>
      </w:r>
      <w:r w:rsidR="00C5302D">
        <w:t xml:space="preserve"> for C-2' and C-20', </w:t>
      </w:r>
      <w:r w:rsidR="005B5944" w:rsidRPr="005B5944">
        <w:t xml:space="preserve">as part of the calculation procedure </w:t>
      </w:r>
      <w:r w:rsidR="00C5302D">
        <w:t xml:space="preserve">we have performed a </w:t>
      </w:r>
      <w:r w:rsidR="00C5302D" w:rsidRPr="00C5302D">
        <w:t xml:space="preserve">topological analysis of the electron density distribution </w:t>
      </w:r>
      <w:r w:rsidR="00C5302D">
        <w:t>for</w:t>
      </w:r>
      <w:r w:rsidR="00C5302D" w:rsidRPr="00C5302D">
        <w:t xml:space="preserve"> </w:t>
      </w:r>
      <w:r w:rsidR="00C5302D" w:rsidRPr="00C5302D">
        <w:rPr>
          <w:b/>
        </w:rPr>
        <w:t>3b</w:t>
      </w:r>
      <w:r w:rsidR="00C5302D" w:rsidRPr="00C5302D">
        <w:t xml:space="preserve"> using the</w:t>
      </w:r>
      <w:r w:rsidR="00A31C93">
        <w:t xml:space="preserve"> formalism of the </w:t>
      </w:r>
      <w:r w:rsidR="00A31C93">
        <w:lastRenderedPageBreak/>
        <w:t>QTAIM theory</w:t>
      </w:r>
      <w:r w:rsidR="00C5302D" w:rsidRPr="00C5302D">
        <w:t>,</w:t>
      </w:r>
      <w:r w:rsidR="00A31C93" w:rsidRPr="00A31C93">
        <w:rPr>
          <w:rStyle w:val="Appeldenotedefin"/>
        </w:rPr>
        <w:endnoteReference w:id="22"/>
      </w:r>
      <w:r w:rsidR="00C5302D" w:rsidRPr="00C5302D">
        <w:t xml:space="preserve"> see SI</w:t>
      </w:r>
      <w:r w:rsidR="00C5302D">
        <w:t xml:space="preserve"> for details</w:t>
      </w:r>
      <w:r w:rsidR="00C5302D" w:rsidRPr="00C5302D">
        <w:t>.</w:t>
      </w:r>
      <w:r w:rsidR="00D87DAD">
        <w:t xml:space="preserve"> </w:t>
      </w:r>
      <w:r w:rsidR="00D87DAD" w:rsidRPr="00D87DAD">
        <w:t>According to the results of the</w:t>
      </w:r>
      <w:r w:rsidR="00F618A6">
        <w:t xml:space="preserve"> performed</w:t>
      </w:r>
      <w:r w:rsidR="00D87DAD" w:rsidRPr="00D87DAD">
        <w:t xml:space="preserve"> topological analysis in the cavity of the </w:t>
      </w:r>
      <w:r w:rsidR="00595A5D" w:rsidRPr="00595A5D">
        <w:t>bowl</w:t>
      </w:r>
      <w:r w:rsidR="00595A5D">
        <w:t>-</w:t>
      </w:r>
      <w:r w:rsidR="00595A5D" w:rsidRPr="00595A5D">
        <w:t>shaped nine</w:t>
      </w:r>
      <w:r w:rsidR="00595A5D">
        <w:t>-</w:t>
      </w:r>
      <w:r w:rsidR="00595A5D" w:rsidRPr="00595A5D">
        <w:t xml:space="preserve">membered </w:t>
      </w:r>
      <w:r w:rsidR="00D87DAD" w:rsidRPr="00D87DAD">
        <w:t xml:space="preserve">system </w:t>
      </w:r>
      <w:r w:rsidR="00595A5D">
        <w:t>C-2'</w:t>
      </w:r>
      <w:r w:rsidR="00595A5D" w:rsidRPr="00D87DAD">
        <w:t>–</w:t>
      </w:r>
      <w:r w:rsidR="00595A5D">
        <w:t>C-7'</w:t>
      </w:r>
      <w:r w:rsidR="00595A5D" w:rsidRPr="00D87DAD">
        <w:t>–</w:t>
      </w:r>
      <w:r w:rsidR="00595A5D">
        <w:t>C-6'</w:t>
      </w:r>
      <w:r w:rsidR="00595A5D" w:rsidRPr="00D87DAD">
        <w:t>–</w:t>
      </w:r>
      <w:r w:rsidR="00595A5D">
        <w:t>C-5'</w:t>
      </w:r>
      <w:r w:rsidR="00595A5D" w:rsidRPr="00D87DAD">
        <w:t>–</w:t>
      </w:r>
      <w:r w:rsidR="00595A5D">
        <w:t>N-4'</w:t>
      </w:r>
      <w:r w:rsidR="00595A5D" w:rsidRPr="00D87DAD">
        <w:t>–</w:t>
      </w:r>
      <w:r w:rsidR="00595A5D">
        <w:t>C-21'</w:t>
      </w:r>
      <w:r w:rsidR="00595A5D" w:rsidRPr="00D87DAD">
        <w:t>–</w:t>
      </w:r>
      <w:r w:rsidR="00595A5D">
        <w:t>C-20'</w:t>
      </w:r>
      <w:r w:rsidR="00595A5D" w:rsidRPr="00D87DAD">
        <w:t>–</w:t>
      </w:r>
      <w:r w:rsidR="00595A5D">
        <w:t>C-15'</w:t>
      </w:r>
      <w:r w:rsidR="00595A5D" w:rsidRPr="00595A5D">
        <w:t>–</w:t>
      </w:r>
      <w:r w:rsidR="00595A5D">
        <w:t xml:space="preserve">C-16' </w:t>
      </w:r>
      <w:r w:rsidR="00D87DAD" w:rsidRPr="00D87DAD">
        <w:t xml:space="preserve">of the second subunit of </w:t>
      </w:r>
      <w:r w:rsidR="00D87DAD" w:rsidRPr="00D87DAD">
        <w:rPr>
          <w:b/>
        </w:rPr>
        <w:t>3b</w:t>
      </w:r>
      <w:r w:rsidR="00D87DAD">
        <w:t>, t</w:t>
      </w:r>
      <w:r w:rsidR="00D87DAD" w:rsidRPr="00D87DAD">
        <w:t xml:space="preserve">he localization of two bond critical points of </w:t>
      </w:r>
      <w:r w:rsidR="00A867AE">
        <w:t>the</w:t>
      </w:r>
      <w:r w:rsidR="00D87DAD" w:rsidRPr="00D87DAD">
        <w:t xml:space="preserve"> (3,–1)</w:t>
      </w:r>
      <w:r w:rsidR="00A867AE">
        <w:t xml:space="preserve"> type</w:t>
      </w:r>
      <w:r w:rsidR="00D87DAD" w:rsidRPr="00D87DAD">
        <w:t xml:space="preserve"> was discovered</w:t>
      </w:r>
      <w:r w:rsidR="00D87DAD">
        <w:t xml:space="preserve">, see </w:t>
      </w:r>
      <w:r w:rsidR="00C5302D" w:rsidRPr="00D87DAD">
        <w:rPr>
          <w:highlight w:val="yellow"/>
        </w:rPr>
        <w:t xml:space="preserve">Figure </w:t>
      </w:r>
      <w:r w:rsidR="00A57079" w:rsidRPr="00A57079">
        <w:rPr>
          <w:color w:val="0070C0"/>
          <w:highlight w:val="yellow"/>
        </w:rPr>
        <w:t>5</w:t>
      </w:r>
      <w:r w:rsidR="00C5302D" w:rsidRPr="00C5302D">
        <w:t>.</w:t>
      </w:r>
      <w:r w:rsidR="00A867AE">
        <w:t xml:space="preserve"> </w:t>
      </w:r>
      <w:r w:rsidR="000C56E7">
        <w:t xml:space="preserve"> It follows</w:t>
      </w:r>
      <w:r w:rsidR="00C5302D" w:rsidRPr="00C5302D">
        <w:t xml:space="preserve"> th</w:t>
      </w:r>
      <w:r w:rsidR="00A867AE">
        <w:t>at the C-2′ atom</w:t>
      </w:r>
      <w:r w:rsidR="00C5302D" w:rsidRPr="00C5302D">
        <w:t xml:space="preserve"> </w:t>
      </w:r>
      <w:r w:rsidR="00A867AE">
        <w:t>reflects</w:t>
      </w:r>
      <w:r w:rsidR="00C5302D" w:rsidRPr="00C5302D">
        <w:t xml:space="preserve"> the influence of</w:t>
      </w:r>
      <w:r w:rsidR="00A867AE">
        <w:t xml:space="preserve"> the</w:t>
      </w:r>
      <w:r w:rsidR="00C5302D" w:rsidRPr="00C5302D">
        <w:t xml:space="preserve"> intramolecular non-</w:t>
      </w:r>
      <w:r w:rsidR="00752044">
        <w:t>valent</w:t>
      </w:r>
      <w:r w:rsidR="00C5302D" w:rsidRPr="00C5302D">
        <w:t xml:space="preserve"> interaction with the hydroxyl group OH-17′ through H-2. On the other hand, electron density is tr</w:t>
      </w:r>
      <w:r w:rsidR="00A867AE">
        <w:t>ansferred to the non-</w:t>
      </w:r>
      <w:r w:rsidR="00752044">
        <w:t>valent</w:t>
      </w:r>
      <w:r w:rsidR="00A867AE">
        <w:t xml:space="preserve"> H-2'</w:t>
      </w:r>
      <w:r w:rsidR="00C5302D" w:rsidRPr="00C5302D">
        <w:t>−</w:t>
      </w:r>
      <w:r w:rsidR="00A867AE">
        <w:t>H-21'</w:t>
      </w:r>
      <w:r w:rsidR="00C5302D" w:rsidRPr="00C5302D">
        <w:t xml:space="preserve"> contact through the same hydrogen atom. </w:t>
      </w:r>
      <w:r w:rsidR="000C56E7">
        <w:t>It is t</w:t>
      </w:r>
      <w:r w:rsidR="00A867AE">
        <w:t xml:space="preserve">hese effects </w:t>
      </w:r>
      <w:r w:rsidR="000C56E7">
        <w:t xml:space="preserve">that </w:t>
      </w:r>
      <w:r w:rsidR="00A867AE">
        <w:t xml:space="preserve">eventually reflect in </w:t>
      </w:r>
      <w:r w:rsidR="00C5302D" w:rsidRPr="00C5302D">
        <w:t xml:space="preserve">the value of </w:t>
      </w:r>
      <w:r w:rsidR="00A867AE">
        <w:t>C-2′</w:t>
      </w:r>
      <w:r w:rsidR="00C5302D" w:rsidRPr="00C5302D">
        <w:t xml:space="preserve"> chemical shift.</w:t>
      </w:r>
    </w:p>
    <w:p w14:paraId="00265EDC" w14:textId="77777777" w:rsidR="002B7370" w:rsidRDefault="002B7370" w:rsidP="00150DEC">
      <w:pPr>
        <w:pStyle w:val="MCMainTextfirstparagraph"/>
      </w:pPr>
    </w:p>
    <w:p w14:paraId="543B2655" w14:textId="77777777" w:rsidR="00082757" w:rsidRDefault="00082757" w:rsidP="0025234C">
      <w:pPr>
        <w:pStyle w:val="MCMainTextfirstparagraph"/>
        <w:jc w:val="center"/>
      </w:pPr>
      <w:r w:rsidRPr="005F2E48">
        <w:rPr>
          <w:noProof/>
          <w:lang w:val="ru-RU" w:eastAsia="ru-RU"/>
        </w:rPr>
        <w:drawing>
          <wp:inline distT="0" distB="0" distL="0" distR="0" wp14:anchorId="44535DE2" wp14:editId="4A1BC4DD">
            <wp:extent cx="4182595" cy="2743200"/>
            <wp:effectExtent l="0" t="0" r="8890" b="0"/>
            <wp:docPr id="2" name="Рисунок 2" descr="D:\NMR\docs\2025\luc3.1\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MR\docs\2025\luc3.1\Figure 2.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30704" cy="2774753"/>
                    </a:xfrm>
                    <a:prstGeom prst="rect">
                      <a:avLst/>
                    </a:prstGeom>
                    <a:noFill/>
                    <a:ln>
                      <a:noFill/>
                    </a:ln>
                  </pic:spPr>
                </pic:pic>
              </a:graphicData>
            </a:graphic>
          </wp:inline>
        </w:drawing>
      </w:r>
    </w:p>
    <w:p w14:paraId="7C3A5BB9" w14:textId="7914ACD9" w:rsidR="00082757" w:rsidRPr="00A57079" w:rsidRDefault="00A57079" w:rsidP="00A57079">
      <w:pPr>
        <w:jc w:val="both"/>
        <w:rPr>
          <w:rFonts w:ascii="Times New Roman" w:hAnsi="Times New Roman"/>
          <w:sz w:val="24"/>
          <w:szCs w:val="24"/>
          <w:lang w:val="en-US"/>
        </w:rPr>
      </w:pPr>
      <w:r w:rsidRPr="00A57079">
        <w:rPr>
          <w:rFonts w:ascii="Times New Roman" w:hAnsi="Times New Roman"/>
          <w:b/>
          <w:sz w:val="24"/>
          <w:szCs w:val="24"/>
          <w:highlight w:val="yellow"/>
          <w:lang w:val="en-US"/>
        </w:rPr>
        <w:t xml:space="preserve">Figure </w:t>
      </w:r>
      <w:r w:rsidRPr="00A57079">
        <w:rPr>
          <w:rFonts w:ascii="Times New Roman" w:hAnsi="Times New Roman"/>
          <w:b/>
          <w:color w:val="0070C0"/>
          <w:sz w:val="24"/>
          <w:szCs w:val="24"/>
          <w:highlight w:val="yellow"/>
          <w:lang w:val="en-US"/>
        </w:rPr>
        <w:t>5</w:t>
      </w:r>
      <w:r w:rsidRPr="00A57079">
        <w:rPr>
          <w:rFonts w:ascii="Times New Roman" w:hAnsi="Times New Roman"/>
          <w:b/>
          <w:sz w:val="24"/>
          <w:szCs w:val="24"/>
          <w:highlight w:val="yellow"/>
          <w:lang w:val="en-US"/>
        </w:rPr>
        <w:t>.</w:t>
      </w:r>
      <w:r w:rsidRPr="00A57079">
        <w:rPr>
          <w:rFonts w:ascii="Times New Roman" w:hAnsi="Times New Roman"/>
          <w:sz w:val="24"/>
          <w:szCs w:val="24"/>
          <w:lang w:val="en-US"/>
        </w:rPr>
        <w:t xml:space="preserve"> </w:t>
      </w:r>
      <w:r w:rsidR="00082757" w:rsidRPr="00A57079">
        <w:rPr>
          <w:rFonts w:ascii="Times New Roman" w:hAnsi="Times New Roman"/>
          <w:sz w:val="24"/>
          <w:szCs w:val="24"/>
          <w:lang w:val="en-US"/>
        </w:rPr>
        <w:t>Spatial arrangement of principal non-</w:t>
      </w:r>
      <w:r w:rsidR="00752044" w:rsidRPr="00A57079">
        <w:rPr>
          <w:rFonts w:ascii="Times New Roman" w:hAnsi="Times New Roman"/>
          <w:sz w:val="24"/>
          <w:szCs w:val="24"/>
          <w:lang w:val="en-US"/>
        </w:rPr>
        <w:t>valent</w:t>
      </w:r>
      <w:r w:rsidR="00082757" w:rsidRPr="00A57079">
        <w:rPr>
          <w:rFonts w:ascii="Times New Roman" w:hAnsi="Times New Roman"/>
          <w:sz w:val="24"/>
          <w:szCs w:val="24"/>
          <w:lang w:val="en-US"/>
        </w:rPr>
        <w:t xml:space="preserve"> intramolecular interactions</w:t>
      </w:r>
      <w:r w:rsidR="00400C7A" w:rsidRPr="00A57079">
        <w:rPr>
          <w:rFonts w:ascii="Times New Roman" w:hAnsi="Times New Roman"/>
          <w:sz w:val="24"/>
          <w:szCs w:val="24"/>
          <w:lang w:val="en-US"/>
        </w:rPr>
        <w:t xml:space="preserve"> and (3,–1) bond critical points</w:t>
      </w:r>
      <w:r w:rsidR="00082757" w:rsidRPr="00A57079">
        <w:rPr>
          <w:rFonts w:ascii="Times New Roman" w:hAnsi="Times New Roman"/>
          <w:sz w:val="24"/>
          <w:szCs w:val="24"/>
          <w:lang w:val="en-US"/>
        </w:rPr>
        <w:t xml:space="preserve"> in the second subunit of </w:t>
      </w:r>
      <w:r w:rsidR="00082757" w:rsidRPr="00A57079">
        <w:rPr>
          <w:rFonts w:ascii="Times New Roman" w:hAnsi="Times New Roman"/>
          <w:b/>
          <w:sz w:val="24"/>
          <w:szCs w:val="24"/>
          <w:lang w:val="en-US"/>
        </w:rPr>
        <w:t>3b</w:t>
      </w:r>
      <w:r w:rsidR="00082757" w:rsidRPr="00A57079">
        <w:rPr>
          <w:rFonts w:ascii="Times New Roman" w:hAnsi="Times New Roman"/>
          <w:sz w:val="24"/>
          <w:szCs w:val="24"/>
          <w:lang w:val="en-US"/>
        </w:rPr>
        <w:t xml:space="preserve"> (</w:t>
      </w:r>
      <w:r w:rsidR="00400C7A" w:rsidRPr="00A57079">
        <w:rPr>
          <w:rFonts w:ascii="Times New Roman" w:hAnsi="Times New Roman"/>
          <w:sz w:val="24"/>
          <w:szCs w:val="24"/>
          <w:lang w:val="en-US"/>
        </w:rPr>
        <w:t>bond critical points are shown as green circles</w:t>
      </w:r>
      <w:r w:rsidR="00082757" w:rsidRPr="00A57079">
        <w:rPr>
          <w:rFonts w:ascii="Times New Roman" w:hAnsi="Times New Roman"/>
          <w:sz w:val="24"/>
          <w:szCs w:val="24"/>
          <w:lang w:val="en-US"/>
        </w:rPr>
        <w:t xml:space="preserve"> with corresponding numerical values of electron density</w:t>
      </w:r>
      <w:r w:rsidR="000C56E7" w:rsidRPr="00A57079">
        <w:rPr>
          <w:rFonts w:ascii="Times New Roman" w:hAnsi="Times New Roman"/>
          <w:sz w:val="24"/>
          <w:szCs w:val="24"/>
          <w:lang w:val="en-US"/>
        </w:rPr>
        <w:t xml:space="preserve"> in</w:t>
      </w:r>
      <w:r w:rsidR="00082757" w:rsidRPr="00A57079">
        <w:rPr>
          <w:rFonts w:ascii="Times New Roman" w:hAnsi="Times New Roman"/>
          <w:sz w:val="24"/>
          <w:szCs w:val="24"/>
          <w:lang w:val="en-US"/>
        </w:rPr>
        <w:t xml:space="preserve"> </w:t>
      </w:r>
      <w:proofErr w:type="spellStart"/>
      <w:r w:rsidR="00082757" w:rsidRPr="00A57079">
        <w:rPr>
          <w:rFonts w:ascii="Times New Roman" w:hAnsi="Times New Roman"/>
          <w:sz w:val="24"/>
          <w:szCs w:val="24"/>
          <w:lang w:val="en-US"/>
        </w:rPr>
        <w:t>a.u</w:t>
      </w:r>
      <w:proofErr w:type="spellEnd"/>
      <w:r w:rsidR="00082757" w:rsidRPr="00A57079">
        <w:rPr>
          <w:rFonts w:ascii="Times New Roman" w:hAnsi="Times New Roman"/>
          <w:sz w:val="24"/>
          <w:szCs w:val="24"/>
          <w:lang w:val="en-US"/>
        </w:rPr>
        <w:t>.).</w:t>
      </w:r>
    </w:p>
    <w:p w14:paraId="65DDC808" w14:textId="3E57F793" w:rsidR="006C3152" w:rsidRDefault="00611C90" w:rsidP="00150DEC">
      <w:pPr>
        <w:pStyle w:val="MCMainTextfirstparagraph"/>
      </w:pPr>
      <w:r w:rsidRPr="00611C90">
        <w:t>The C-20′ chemical shift is significantly affected by its non-</w:t>
      </w:r>
      <w:r>
        <w:t>bonded</w:t>
      </w:r>
      <w:r w:rsidRPr="00611C90">
        <w:t xml:space="preserve"> interaction with the proton of the hydroxyl group OH-17′; in this case, a bond </w:t>
      </w:r>
      <w:r>
        <w:t>critical point of (3,–1) type was</w:t>
      </w:r>
      <w:r w:rsidRPr="00611C90">
        <w:t xml:space="preserve"> localized</w:t>
      </w:r>
      <w:r w:rsidR="00752044" w:rsidRPr="00752044">
        <w:t xml:space="preserve"> between them</w:t>
      </w:r>
      <w:r w:rsidRPr="00611C90">
        <w:t>,</w:t>
      </w:r>
      <w:r>
        <w:t xml:space="preserve"> see</w:t>
      </w:r>
      <w:r w:rsidRPr="00611C90">
        <w:t xml:space="preserve"> </w:t>
      </w:r>
      <w:r w:rsidRPr="00611C90">
        <w:rPr>
          <w:highlight w:val="yellow"/>
        </w:rPr>
        <w:t xml:space="preserve">Figure </w:t>
      </w:r>
      <w:r w:rsidR="00A57079" w:rsidRPr="00A57079">
        <w:rPr>
          <w:color w:val="0070C0"/>
          <w:highlight w:val="yellow"/>
        </w:rPr>
        <w:t>5</w:t>
      </w:r>
      <w:r w:rsidRPr="00611C90">
        <w:t xml:space="preserve">. In addition, the electronic </w:t>
      </w:r>
      <w:proofErr w:type="spellStart"/>
      <w:r w:rsidRPr="00611C90">
        <w:t>deshielding</w:t>
      </w:r>
      <w:proofErr w:type="spellEnd"/>
      <w:r w:rsidRPr="00611C90">
        <w:t xml:space="preserve"> effect of the C-19′/C-20′ </w:t>
      </w:r>
      <w:r w:rsidRPr="00611C90">
        <w:rPr>
          <w:i/>
        </w:rPr>
        <w:t>π</w:t>
      </w:r>
      <w:r w:rsidRPr="00611C90">
        <w:t xml:space="preserve">-system </w:t>
      </w:r>
      <w:r>
        <w:t>should also be present</w:t>
      </w:r>
      <w:r w:rsidR="00F618A6">
        <w:t xml:space="preserve"> and properly addressed</w:t>
      </w:r>
      <w:r w:rsidRPr="00611C90">
        <w:t>.</w:t>
      </w:r>
      <w:r>
        <w:t xml:space="preserve"> </w:t>
      </w:r>
      <w:r w:rsidRPr="00611C90">
        <w:t xml:space="preserve">The missing experimental </w:t>
      </w:r>
      <w:r w:rsidRPr="00611C90">
        <w:rPr>
          <w:vertAlign w:val="superscript"/>
        </w:rPr>
        <w:t>13</w:t>
      </w:r>
      <w:r w:rsidRPr="00611C90">
        <w:t xml:space="preserve">C NMR chemical shift </w:t>
      </w:r>
      <w:r>
        <w:t>of</w:t>
      </w:r>
      <w:r w:rsidRPr="00611C90">
        <w:t xml:space="preserve"> C-6 </w:t>
      </w:r>
      <w:r w:rsidR="00F618A6">
        <w:t xml:space="preserve">could be estimated </w:t>
      </w:r>
      <w:r w:rsidR="000C56E7">
        <w:t>based on</w:t>
      </w:r>
      <w:r>
        <w:t xml:space="preserve"> the calculated </w:t>
      </w:r>
      <w:r w:rsidRPr="00611C90">
        <w:t>43.7 ppm</w:t>
      </w:r>
      <w:r>
        <w:t xml:space="preserve"> value</w:t>
      </w:r>
      <w:r w:rsidRPr="00611C90">
        <w:t xml:space="preserve">, see </w:t>
      </w:r>
      <w:r w:rsidRPr="00611C90">
        <w:rPr>
          <w:highlight w:val="yellow"/>
        </w:rPr>
        <w:t>Figure S2</w:t>
      </w:r>
      <w:r w:rsidRPr="00611C90">
        <w:t>.</w:t>
      </w:r>
    </w:p>
    <w:p w14:paraId="084FD69E" w14:textId="539E6C17" w:rsidR="004755B4" w:rsidRDefault="00616DC4" w:rsidP="00150DEC">
      <w:pPr>
        <w:pStyle w:val="MCMainTextfirstparagraph"/>
      </w:pPr>
      <w:r w:rsidRPr="00616DC4">
        <w:t xml:space="preserve">As for the </w:t>
      </w:r>
      <w:r w:rsidRPr="00616DC4">
        <w:rPr>
          <w:vertAlign w:val="superscript"/>
        </w:rPr>
        <w:t>1</w:t>
      </w:r>
      <w:r w:rsidRPr="00616DC4">
        <w:t xml:space="preserve">H NMR chemical shifts of </w:t>
      </w:r>
      <w:r w:rsidRPr="00616DC4">
        <w:rPr>
          <w:b/>
        </w:rPr>
        <w:t>3b</w:t>
      </w:r>
      <w:r w:rsidRPr="00616DC4">
        <w:t xml:space="preserve">, </w:t>
      </w:r>
      <w:r>
        <w:t>all calculated</w:t>
      </w:r>
      <w:r w:rsidRPr="00616DC4">
        <w:t xml:space="preserve"> values ​​generally correlate with the experimental ones, with the exception of the proton H-2′</w:t>
      </w:r>
      <w:r w:rsidR="00F63CB1">
        <w:t xml:space="preserve">, </w:t>
      </w:r>
      <w:r w:rsidR="00F63CB1" w:rsidRPr="0019652F">
        <w:rPr>
          <w:highlight w:val="yellow"/>
        </w:rPr>
        <w:t xml:space="preserve">Figure </w:t>
      </w:r>
      <w:r w:rsidR="00A57079" w:rsidRPr="00A57079">
        <w:rPr>
          <w:color w:val="0070C0"/>
          <w:highlight w:val="yellow"/>
        </w:rPr>
        <w:t>6</w:t>
      </w:r>
      <w:r w:rsidRPr="00616DC4">
        <w:t xml:space="preserve">. Here, as </w:t>
      </w:r>
      <w:r>
        <w:t>stated</w:t>
      </w:r>
      <w:r w:rsidRPr="00616DC4">
        <w:t xml:space="preserve"> above, an intramolecular hydrogen bond is formed with the oxygen atom of OH-17′, which </w:t>
      </w:r>
      <w:r>
        <w:t>results in</w:t>
      </w:r>
      <w:r w:rsidRPr="00616DC4">
        <w:t xml:space="preserve"> </w:t>
      </w:r>
      <w:r>
        <w:t>the</w:t>
      </w:r>
      <w:r w:rsidRPr="00616DC4">
        <w:t xml:space="preserve"> delocalization of electron density</w:t>
      </w:r>
      <w:r w:rsidR="00F63CB1">
        <w:t xml:space="preserve">, </w:t>
      </w:r>
      <w:r w:rsidR="00F63CB1" w:rsidRPr="0019652F">
        <w:rPr>
          <w:highlight w:val="yellow"/>
        </w:rPr>
        <w:t xml:space="preserve">Figure </w:t>
      </w:r>
      <w:r w:rsidR="00A57079" w:rsidRPr="00A57079">
        <w:rPr>
          <w:color w:val="0070C0"/>
          <w:highlight w:val="yellow"/>
        </w:rPr>
        <w:t>5</w:t>
      </w:r>
      <w:r w:rsidRPr="00616DC4">
        <w:t xml:space="preserve">. Unfortunately, </w:t>
      </w:r>
      <w:r>
        <w:t>such</w:t>
      </w:r>
      <w:r w:rsidRPr="00616DC4">
        <w:t xml:space="preserve"> interdependent </w:t>
      </w:r>
      <w:proofErr w:type="spellStart"/>
      <w:r w:rsidRPr="00616DC4">
        <w:t>stereoelectronic</w:t>
      </w:r>
      <w:proofErr w:type="spellEnd"/>
      <w:r w:rsidRPr="00616DC4">
        <w:t xml:space="preserve"> delocalization effects are practically impossible to take into account within the framework of the GIAO-DFT formalism.</w:t>
      </w:r>
    </w:p>
    <w:p w14:paraId="79E91A9A" w14:textId="1BCB5157" w:rsidR="00BB3F90" w:rsidRDefault="00186B10" w:rsidP="00150DEC">
      <w:pPr>
        <w:pStyle w:val="MCMainTextfirstparagraph"/>
      </w:pPr>
      <w:bookmarkStart w:id="3" w:name="tmp"/>
      <w:bookmarkEnd w:id="3"/>
      <w:r w:rsidRPr="00186B10">
        <w:t xml:space="preserve">In contrast to the previous case, </w:t>
      </w:r>
      <w:r w:rsidR="00217A5D" w:rsidRPr="00217A5D">
        <w:rPr>
          <w:color w:val="0070C0"/>
        </w:rPr>
        <w:t xml:space="preserve">in </w:t>
      </w:r>
      <w:proofErr w:type="spellStart"/>
      <w:r w:rsidR="00217A5D" w:rsidRPr="00217A5D">
        <w:rPr>
          <w:color w:val="0070C0"/>
        </w:rPr>
        <w:t>panganensine</w:t>
      </w:r>
      <w:proofErr w:type="spellEnd"/>
      <w:r w:rsidR="00217A5D" w:rsidRPr="00217A5D">
        <w:rPr>
          <w:color w:val="0070C0"/>
        </w:rPr>
        <w:t xml:space="preserve"> Y</w:t>
      </w:r>
      <w:r w:rsidR="00217A5D" w:rsidRPr="00217A5D">
        <w:rPr>
          <w:b/>
          <w:color w:val="0070C0"/>
        </w:rPr>
        <w:t xml:space="preserve"> </w:t>
      </w:r>
      <w:r w:rsidR="00217A5D" w:rsidRPr="00217A5D">
        <w:rPr>
          <w:color w:val="0070C0"/>
        </w:rPr>
        <w:t xml:space="preserve">(conformer </w:t>
      </w:r>
      <w:r w:rsidR="00217A5D" w:rsidRPr="00217A5D">
        <w:rPr>
          <w:b/>
          <w:color w:val="0070C0"/>
        </w:rPr>
        <w:t>4</w:t>
      </w:r>
      <w:r w:rsidR="00217A5D" w:rsidRPr="00217A5D">
        <w:rPr>
          <w:b/>
          <w:color w:val="0070C0"/>
          <w:lang w:val="ru-RU"/>
        </w:rPr>
        <w:t>с</w:t>
      </w:r>
      <w:r w:rsidR="00217A5D" w:rsidRPr="00217A5D">
        <w:rPr>
          <w:color w:val="0070C0"/>
        </w:rPr>
        <w:t xml:space="preserve">), </w:t>
      </w:r>
      <w:r w:rsidRPr="00186B10">
        <w:t xml:space="preserve">the interaction of the OH-17′ hydroxyl group with H-15 </w:t>
      </w:r>
      <w:r w:rsidRPr="0008177E">
        <w:rPr>
          <w:i/>
        </w:rPr>
        <w:t>via</w:t>
      </w:r>
      <w:r w:rsidRPr="00186B10">
        <w:t xml:space="preserve"> oxygen is more pronounced, and this is reflected in </w:t>
      </w:r>
      <w:r w:rsidR="0008177E">
        <w:t>larger</w:t>
      </w:r>
      <w:r w:rsidRPr="00186B10">
        <w:t xml:space="preserve"> deviation of calculated C-15</w:t>
      </w:r>
      <w:r w:rsidR="0008177E">
        <w:t xml:space="preserve"> shift as compared to experiment, see</w:t>
      </w:r>
      <w:r w:rsidRPr="00186B10">
        <w:t xml:space="preserve"> </w:t>
      </w:r>
      <w:r w:rsidRPr="0008177E">
        <w:rPr>
          <w:highlight w:val="yellow"/>
        </w:rPr>
        <w:t xml:space="preserve">Table </w:t>
      </w:r>
      <w:r w:rsidR="00C13EA0" w:rsidRPr="00C13EA0">
        <w:rPr>
          <w:color w:val="0070C0"/>
          <w:highlight w:val="yellow"/>
        </w:rPr>
        <w:t>2</w:t>
      </w:r>
      <w:r w:rsidRPr="00186B10">
        <w:t xml:space="preserve">. In stereoisomer Y, the C-21 atom is </w:t>
      </w:r>
      <w:r w:rsidR="0008177E">
        <w:t>affected</w:t>
      </w:r>
      <w:r w:rsidRPr="00186B10">
        <w:t xml:space="preserve"> by the electron-deficient nitrogen atom N-4 due to the delocalization of the electron density </w:t>
      </w:r>
      <w:r w:rsidR="00A2081B">
        <w:t>of</w:t>
      </w:r>
      <w:r w:rsidRPr="00186B10">
        <w:t xml:space="preserve"> the C-20/C-21 </w:t>
      </w:r>
      <w:r w:rsidRPr="0008177E">
        <w:rPr>
          <w:i/>
          <w:lang w:val="ru-RU"/>
        </w:rPr>
        <w:t>π</w:t>
      </w:r>
      <w:r w:rsidRPr="00186B10">
        <w:t>-system. For this reason,</w:t>
      </w:r>
      <w:r w:rsidR="0008177E">
        <w:t xml:space="preserve"> calculated C-21 </w:t>
      </w:r>
      <w:r w:rsidR="00BC31E4">
        <w:t>signal</w:t>
      </w:r>
      <w:r w:rsidR="0008177E" w:rsidRPr="0008177E">
        <w:t xml:space="preserve"> </w:t>
      </w:r>
      <w:r w:rsidR="0008177E">
        <w:t>appears at</w:t>
      </w:r>
      <w:r w:rsidR="0008177E" w:rsidRPr="00186B10">
        <w:t xml:space="preserve"> a </w:t>
      </w:r>
      <w:r w:rsidR="0008177E">
        <w:t>higher</w:t>
      </w:r>
      <w:r w:rsidR="0008177E" w:rsidRPr="00186B10">
        <w:t xml:space="preserve"> field</w:t>
      </w:r>
      <w:r w:rsidR="0008177E">
        <w:t xml:space="preserve"> as</w:t>
      </w:r>
      <w:r w:rsidR="0008177E" w:rsidRPr="00186B10">
        <w:t xml:space="preserve"> compared to</w:t>
      </w:r>
      <w:r w:rsidR="0008177E" w:rsidRPr="0008177E">
        <w:t xml:space="preserve"> </w:t>
      </w:r>
      <w:r w:rsidR="0008177E">
        <w:t xml:space="preserve">experiment. </w:t>
      </w:r>
      <w:r w:rsidRPr="00186B10">
        <w:t xml:space="preserve">As for C-20′, it is influenced by </w:t>
      </w:r>
      <w:r w:rsidR="00A2081B">
        <w:t xml:space="preserve">the </w:t>
      </w:r>
      <w:r w:rsidRPr="00186B10">
        <w:t xml:space="preserve">partial protonation by the hydroxyl group located </w:t>
      </w:r>
      <w:r w:rsidR="00BB3F90">
        <w:t>close</w:t>
      </w:r>
      <w:r w:rsidRPr="00186B10">
        <w:t xml:space="preserve"> the C-19′/C-20′ </w:t>
      </w:r>
      <w:r w:rsidRPr="008531C7">
        <w:rPr>
          <w:i/>
          <w:lang w:val="ru-RU"/>
        </w:rPr>
        <w:t>π</w:t>
      </w:r>
      <w:r w:rsidRPr="00186B10">
        <w:t xml:space="preserve">-system, resulting in a discrepancy between experimental and </w:t>
      </w:r>
      <w:r w:rsidR="008531C7">
        <w:t>calculated</w:t>
      </w:r>
      <w:r w:rsidRPr="00186B10">
        <w:t xml:space="preserve"> values ​​</w:t>
      </w:r>
      <w:r w:rsidR="0099163F">
        <w:t>of C-20′</w:t>
      </w:r>
      <w:r w:rsidR="0099163F" w:rsidRPr="0099163F">
        <w:t xml:space="preserve"> </w:t>
      </w:r>
      <w:r w:rsidR="0099163F" w:rsidRPr="00186B10">
        <w:t>chemical shift</w:t>
      </w:r>
      <w:r w:rsidR="0099163F">
        <w:t>.</w:t>
      </w:r>
    </w:p>
    <w:p w14:paraId="7EAE706A" w14:textId="77777777" w:rsidR="0099163F" w:rsidRDefault="0099163F" w:rsidP="00150DEC">
      <w:pPr>
        <w:pStyle w:val="MCMainTextfirstparagraph"/>
      </w:pPr>
      <w:r>
        <w:lastRenderedPageBreak/>
        <w:t>C</w:t>
      </w:r>
      <w:r w:rsidRPr="0099163F">
        <w:t xml:space="preserve">hemical shifts H-14 and H-21 </w:t>
      </w:r>
      <w:r>
        <w:t>are affected</w:t>
      </w:r>
      <w:r w:rsidRPr="0099163F">
        <w:t xml:space="preserve"> by the electron-deficient nitrogen </w:t>
      </w:r>
      <w:r>
        <w:t>N-4. The</w:t>
      </w:r>
      <w:r w:rsidRPr="0099163F">
        <w:t xml:space="preserve"> H-21</w:t>
      </w:r>
      <w:r w:rsidR="003B75A1">
        <w:t xml:space="preserve"> chemical shift</w:t>
      </w:r>
      <w:r w:rsidRPr="0099163F">
        <w:t xml:space="preserve"> </w:t>
      </w:r>
      <w:r>
        <w:t>is influenced</w:t>
      </w:r>
      <w:r w:rsidRPr="0099163F">
        <w:t xml:space="preserve"> directly </w:t>
      </w:r>
      <w:r w:rsidR="00A2081B">
        <w:t>by</w:t>
      </w:r>
      <w:r>
        <w:t xml:space="preserve"> the carbon bridge</w:t>
      </w:r>
      <w:r w:rsidR="00A2081B">
        <w:t xml:space="preserve"> at</w:t>
      </w:r>
      <w:r>
        <w:t xml:space="preserve"> C-21</w:t>
      </w:r>
      <w:r w:rsidR="003B75A1">
        <w:t xml:space="preserve"> (the one between N-4 and H-21</w:t>
      </w:r>
      <w:r w:rsidR="00A2081B">
        <w:t xml:space="preserve"> through C-21</w:t>
      </w:r>
      <w:r w:rsidR="003B75A1">
        <w:t>)</w:t>
      </w:r>
      <w:r>
        <w:t xml:space="preserve"> while H-17</w:t>
      </w:r>
      <w:r w:rsidR="003B75A1">
        <w:t xml:space="preserve"> shift</w:t>
      </w:r>
      <w:r>
        <w:t xml:space="preserve"> is </w:t>
      </w:r>
      <w:r w:rsidR="003B75A1">
        <w:t>affected</w:t>
      </w:r>
      <w:r>
        <w:t xml:space="preserve"> indirectly </w:t>
      </w:r>
      <w:r w:rsidRPr="0099163F">
        <w:rPr>
          <w:i/>
        </w:rPr>
        <w:t>via</w:t>
      </w:r>
      <w:r>
        <w:t xml:space="preserve"> the through-space effect.</w:t>
      </w:r>
      <w:r w:rsidR="00A2081B">
        <w:t xml:space="preserve"> The marked deviation</w:t>
      </w:r>
      <w:r w:rsidR="003B75A1">
        <w:t xml:space="preserve"> between </w:t>
      </w:r>
      <w:r w:rsidR="003B75A1" w:rsidRPr="0099163F">
        <w:t xml:space="preserve">experimental and calculated values ​​of </w:t>
      </w:r>
      <w:r w:rsidR="00A2081B">
        <w:t>H-17 proton shift</w:t>
      </w:r>
      <w:r w:rsidR="003B75A1">
        <w:t xml:space="preserve"> </w:t>
      </w:r>
      <w:r w:rsidR="00A2081B">
        <w:t>is</w:t>
      </w:r>
      <w:r w:rsidR="003B75A1">
        <w:t xml:space="preserve"> due to theoretical underestimation</w:t>
      </w:r>
      <w:r w:rsidR="003B75A1" w:rsidRPr="003B75A1">
        <w:t xml:space="preserve"> </w:t>
      </w:r>
      <w:r w:rsidR="003B75A1" w:rsidRPr="0099163F">
        <w:t>of this electronic effect</w:t>
      </w:r>
      <w:r w:rsidR="003B75A1">
        <w:t>.</w:t>
      </w:r>
    </w:p>
    <w:p w14:paraId="051B970F" w14:textId="654126E5" w:rsidR="00995462" w:rsidRDefault="00995462" w:rsidP="00150DEC">
      <w:pPr>
        <w:pStyle w:val="MCMainTextfirstparagraph"/>
      </w:pPr>
      <w:r>
        <w:t>In summary, the results of this</w:t>
      </w:r>
      <w:r w:rsidRPr="00995462">
        <w:t xml:space="preserve"> study </w:t>
      </w:r>
      <w:r w:rsidR="00A2081B">
        <w:t>demonstrate</w:t>
      </w:r>
      <w:r w:rsidR="00F973A7">
        <w:t xml:space="preserve"> that</w:t>
      </w:r>
      <w:r w:rsidR="00A2081B">
        <w:t xml:space="preserve"> the</w:t>
      </w:r>
      <w:r w:rsidR="00F973A7">
        <w:t xml:space="preserve"> use of a</w:t>
      </w:r>
      <w:r w:rsidR="004E6572">
        <w:t>n accessibl</w:t>
      </w:r>
      <w:r w:rsidR="00F973A7">
        <w:t>e</w:t>
      </w:r>
      <w:r w:rsidRPr="00995462">
        <w:t xml:space="preserve"> </w:t>
      </w:r>
      <w:r>
        <w:t xml:space="preserve">computational </w:t>
      </w:r>
      <w:r w:rsidRPr="00995462">
        <w:t>algorithm allows</w:t>
      </w:r>
      <w:r w:rsidR="00F973A7">
        <w:t xml:space="preserve"> </w:t>
      </w:r>
      <w:r w:rsidR="008531C7">
        <w:t>performing</w:t>
      </w:r>
      <w:r w:rsidR="00F973A7">
        <w:t xml:space="preserve"> a</w:t>
      </w:r>
      <w:r>
        <w:t xml:space="preserve"> reliable </w:t>
      </w:r>
      <w:r w:rsidRPr="00995462">
        <w:t>est</w:t>
      </w:r>
      <w:r w:rsidR="00F973A7">
        <w:t>imation of conformational behavior</w:t>
      </w:r>
      <w:r w:rsidR="008531C7">
        <w:t xml:space="preserve"> of</w:t>
      </w:r>
      <w:r w:rsidR="00F973A7">
        <w:t xml:space="preserve"> </w:t>
      </w:r>
      <w:proofErr w:type="spellStart"/>
      <w:r w:rsidR="00404F66" w:rsidRPr="00D22A8D">
        <w:t>bisindole</w:t>
      </w:r>
      <w:proofErr w:type="spellEnd"/>
      <w:r w:rsidR="00404F66" w:rsidRPr="00D22A8D">
        <w:t xml:space="preserve"> alkaloids</w:t>
      </w:r>
      <w:r w:rsidR="00404F66">
        <w:t xml:space="preserve"> </w:t>
      </w:r>
      <w:r w:rsidR="00F973A7">
        <w:t xml:space="preserve">together with configurational assignment of their </w:t>
      </w:r>
      <w:r w:rsidR="00595A5D">
        <w:t xml:space="preserve">asymmetric </w:t>
      </w:r>
      <w:r w:rsidR="00F973A7">
        <w:t xml:space="preserve">centers. </w:t>
      </w:r>
      <w:r w:rsidRPr="00995462">
        <w:t xml:space="preserve">In addition, the use of </w:t>
      </w:r>
      <w:r w:rsidR="003719BF">
        <w:t xml:space="preserve">modern </w:t>
      </w:r>
      <w:r w:rsidRPr="00995462">
        <w:t>balanced basis sets</w:t>
      </w:r>
      <w:r w:rsidR="00404F66">
        <w:t xml:space="preserve"> </w:t>
      </w:r>
      <w:r w:rsidRPr="00995462">
        <w:t>allows for accurate and highly efficient prediction of</w:t>
      </w:r>
      <w:r w:rsidR="00F973A7">
        <w:t xml:space="preserve"> shielding</w:t>
      </w:r>
      <w:r w:rsidRPr="00995462">
        <w:t xml:space="preserve"> constants and corresponding NMR chemical shifts even in such non</w:t>
      </w:r>
      <w:r w:rsidR="003719BF">
        <w:t>-</w:t>
      </w:r>
      <w:r w:rsidRPr="00995462">
        <w:t xml:space="preserve">trivial structures as </w:t>
      </w:r>
      <w:proofErr w:type="spellStart"/>
      <w:r w:rsidRPr="00995462">
        <w:t>bisindole</w:t>
      </w:r>
      <w:proofErr w:type="spellEnd"/>
      <w:r w:rsidRPr="00995462">
        <w:t xml:space="preserve"> dimeric alkaloids, as illustrated </w:t>
      </w:r>
      <w:r w:rsidR="00A2081B">
        <w:t>in</w:t>
      </w:r>
      <w:r w:rsidRPr="00995462">
        <w:t xml:space="preserve"> </w:t>
      </w:r>
      <w:r w:rsidRPr="00F973A7">
        <w:rPr>
          <w:highlight w:val="yellow"/>
        </w:rPr>
        <w:t xml:space="preserve">Figure </w:t>
      </w:r>
      <w:r w:rsidR="00A57079" w:rsidRPr="00A57079">
        <w:rPr>
          <w:color w:val="0070C0"/>
          <w:highlight w:val="yellow"/>
        </w:rPr>
        <w:t>6</w:t>
      </w:r>
      <w:r w:rsidRPr="00995462">
        <w:t xml:space="preserve">. </w:t>
      </w:r>
      <w:r w:rsidR="00F973A7">
        <w:t>To be more philosophical, t</w:t>
      </w:r>
      <w:r w:rsidRPr="00995462">
        <w:t xml:space="preserve">his approach allows </w:t>
      </w:r>
      <w:r w:rsidRPr="00F4329A">
        <w:t xml:space="preserve">for deep penetration into the </w:t>
      </w:r>
      <w:r w:rsidR="003719BF" w:rsidRPr="00F4329A">
        <w:t>origin</w:t>
      </w:r>
      <w:r w:rsidRPr="005E0366">
        <w:t xml:space="preserve"> </w:t>
      </w:r>
      <w:r w:rsidRPr="00C13A94">
        <w:t xml:space="preserve">of </w:t>
      </w:r>
      <w:r w:rsidR="00F4329A" w:rsidRPr="00C13A94">
        <w:t xml:space="preserve">spatial </w:t>
      </w:r>
      <w:r w:rsidR="00F973A7" w:rsidRPr="00C13A94">
        <w:t>structure</w:t>
      </w:r>
      <w:r w:rsidRPr="00C13A94">
        <w:t xml:space="preserve"> of natural products.</w:t>
      </w:r>
    </w:p>
    <w:p w14:paraId="56898419" w14:textId="77777777" w:rsidR="002B7370" w:rsidRDefault="002B7370" w:rsidP="00150DEC">
      <w:pPr>
        <w:pStyle w:val="MCMainTextfirstparagraph"/>
      </w:pPr>
    </w:p>
    <w:p w14:paraId="0E7EDA5E" w14:textId="7454FAB3" w:rsidR="00400C7A" w:rsidRPr="005F2E48" w:rsidRDefault="00FC50DB" w:rsidP="00150DEC">
      <w:pPr>
        <w:pStyle w:val="MCMainTextfirstparagraph"/>
      </w:pPr>
      <w:r>
        <w:rPr>
          <w:noProof/>
          <w:lang w:val="ru-RU" w:eastAsia="ru-RU"/>
        </w:rPr>
        <w:drawing>
          <wp:inline distT="0" distB="0" distL="0" distR="0" wp14:anchorId="7B2294F8" wp14:editId="3B834BF6">
            <wp:extent cx="6336030" cy="307022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6030" cy="3070225"/>
                    </a:xfrm>
                    <a:prstGeom prst="rect">
                      <a:avLst/>
                    </a:prstGeom>
                  </pic:spPr>
                </pic:pic>
              </a:graphicData>
            </a:graphic>
          </wp:inline>
        </w:drawing>
      </w:r>
    </w:p>
    <w:p w14:paraId="338BF94D" w14:textId="0B0AA5CE" w:rsidR="00400C7A" w:rsidRPr="006B22AD" w:rsidRDefault="006B22AD" w:rsidP="006B22AD">
      <w:pPr>
        <w:jc w:val="both"/>
        <w:rPr>
          <w:rFonts w:ascii="Times New Roman" w:hAnsi="Times New Roman"/>
          <w:sz w:val="24"/>
          <w:szCs w:val="24"/>
          <w:lang w:val="en-US"/>
        </w:rPr>
      </w:pPr>
      <w:r w:rsidRPr="006B22AD">
        <w:rPr>
          <w:rFonts w:ascii="Times New Roman" w:hAnsi="Times New Roman"/>
          <w:sz w:val="24"/>
          <w:szCs w:val="24"/>
          <w:highlight w:val="yellow"/>
          <w:lang w:val="en-US"/>
        </w:rPr>
        <w:t xml:space="preserve">Figure </w:t>
      </w:r>
      <w:r w:rsidRPr="006B22AD">
        <w:rPr>
          <w:rFonts w:ascii="Times New Roman" w:hAnsi="Times New Roman"/>
          <w:color w:val="0070C0"/>
          <w:sz w:val="24"/>
          <w:szCs w:val="24"/>
          <w:highlight w:val="yellow"/>
          <w:lang w:val="en-US"/>
        </w:rPr>
        <w:t>6</w:t>
      </w:r>
      <w:r w:rsidRPr="006B22AD">
        <w:rPr>
          <w:rFonts w:ascii="Times New Roman" w:hAnsi="Times New Roman"/>
          <w:sz w:val="24"/>
          <w:szCs w:val="24"/>
          <w:highlight w:val="yellow"/>
          <w:lang w:val="en-US"/>
        </w:rPr>
        <w:t>.</w:t>
      </w:r>
      <w:r w:rsidRPr="006B22AD">
        <w:rPr>
          <w:rFonts w:ascii="Times New Roman" w:hAnsi="Times New Roman"/>
          <w:sz w:val="24"/>
          <w:szCs w:val="24"/>
          <w:lang w:val="en-US"/>
        </w:rPr>
        <w:t xml:space="preserve"> </w:t>
      </w:r>
      <w:r w:rsidR="00400C7A" w:rsidRPr="006B22AD">
        <w:rPr>
          <w:rFonts w:ascii="Times New Roman" w:hAnsi="Times New Roman"/>
          <w:sz w:val="24"/>
          <w:szCs w:val="24"/>
          <w:lang w:val="en-US"/>
        </w:rPr>
        <w:t xml:space="preserve">Correlation plots of calculated </w:t>
      </w:r>
      <w:r w:rsidR="00400C7A" w:rsidRPr="006B22AD">
        <w:rPr>
          <w:rFonts w:ascii="Times New Roman" w:hAnsi="Times New Roman"/>
          <w:i/>
          <w:sz w:val="24"/>
          <w:szCs w:val="24"/>
          <w:lang w:val="en-US"/>
        </w:rPr>
        <w:t>vs</w:t>
      </w:r>
      <w:r w:rsidR="00400C7A" w:rsidRPr="006B22AD">
        <w:rPr>
          <w:rFonts w:ascii="Times New Roman" w:hAnsi="Times New Roman"/>
          <w:sz w:val="24"/>
          <w:szCs w:val="24"/>
          <w:lang w:val="en-US"/>
        </w:rPr>
        <w:t xml:space="preserve">. experimental </w:t>
      </w:r>
      <w:r w:rsidR="00400C7A" w:rsidRPr="006B22AD">
        <w:rPr>
          <w:rFonts w:ascii="Times New Roman" w:hAnsi="Times New Roman"/>
          <w:sz w:val="24"/>
          <w:szCs w:val="24"/>
          <w:vertAlign w:val="superscript"/>
          <w:lang w:val="en-US"/>
        </w:rPr>
        <w:t>1</w:t>
      </w:r>
      <w:r w:rsidR="00400C7A" w:rsidRPr="006B22AD">
        <w:rPr>
          <w:rFonts w:ascii="Times New Roman" w:hAnsi="Times New Roman"/>
          <w:sz w:val="24"/>
          <w:szCs w:val="24"/>
          <w:lang w:val="en-US"/>
        </w:rPr>
        <w:t>H</w:t>
      </w:r>
      <w:r w:rsidR="00FC50DB">
        <w:rPr>
          <w:rFonts w:ascii="Times New Roman" w:hAnsi="Times New Roman"/>
          <w:sz w:val="24"/>
          <w:szCs w:val="24"/>
          <w:lang w:val="en-US"/>
        </w:rPr>
        <w:t xml:space="preserve"> </w:t>
      </w:r>
      <w:r w:rsidR="00FC50DB" w:rsidRPr="00FC50DB">
        <w:rPr>
          <w:rFonts w:ascii="Times New Roman" w:hAnsi="Times New Roman"/>
          <w:color w:val="0070C0"/>
          <w:sz w:val="24"/>
          <w:szCs w:val="24"/>
          <w:lang w:val="en-US"/>
        </w:rPr>
        <w:t>(</w:t>
      </w:r>
      <w:r w:rsidR="00FC50DB" w:rsidRPr="00FC50DB">
        <w:rPr>
          <w:rFonts w:ascii="Times New Roman" w:hAnsi="Times New Roman"/>
          <w:i/>
          <w:color w:val="0070C0"/>
          <w:sz w:val="24"/>
          <w:szCs w:val="24"/>
          <w:lang w:val="en-US"/>
        </w:rPr>
        <w:t>a</w:t>
      </w:r>
      <w:r w:rsidR="00FC50DB" w:rsidRPr="00FC50DB">
        <w:rPr>
          <w:rFonts w:ascii="Times New Roman" w:hAnsi="Times New Roman"/>
          <w:color w:val="0070C0"/>
          <w:sz w:val="24"/>
          <w:szCs w:val="24"/>
          <w:lang w:val="en-US"/>
        </w:rPr>
        <w:t>)</w:t>
      </w:r>
      <w:r w:rsidR="00400C7A" w:rsidRPr="006B22AD">
        <w:rPr>
          <w:rFonts w:ascii="Times New Roman" w:hAnsi="Times New Roman"/>
          <w:sz w:val="24"/>
          <w:szCs w:val="24"/>
          <w:lang w:val="en-US"/>
        </w:rPr>
        <w:t xml:space="preserve"> and </w:t>
      </w:r>
      <w:r w:rsidR="00400C7A" w:rsidRPr="006B22AD">
        <w:rPr>
          <w:rFonts w:ascii="Times New Roman" w:hAnsi="Times New Roman"/>
          <w:sz w:val="24"/>
          <w:szCs w:val="24"/>
          <w:vertAlign w:val="superscript"/>
          <w:lang w:val="en-US"/>
        </w:rPr>
        <w:t>13</w:t>
      </w:r>
      <w:r w:rsidR="00400C7A" w:rsidRPr="006B22AD">
        <w:rPr>
          <w:rFonts w:ascii="Times New Roman" w:hAnsi="Times New Roman"/>
          <w:sz w:val="24"/>
          <w:szCs w:val="24"/>
          <w:lang w:val="en-US"/>
        </w:rPr>
        <w:t>C</w:t>
      </w:r>
      <w:r w:rsidR="00FC50DB">
        <w:rPr>
          <w:rFonts w:ascii="Times New Roman" w:hAnsi="Times New Roman"/>
          <w:sz w:val="24"/>
          <w:szCs w:val="24"/>
          <w:lang w:val="en-US"/>
        </w:rPr>
        <w:t xml:space="preserve"> </w:t>
      </w:r>
      <w:r w:rsidR="00FC50DB" w:rsidRPr="00FC50DB">
        <w:rPr>
          <w:rFonts w:ascii="Times New Roman" w:hAnsi="Times New Roman"/>
          <w:color w:val="0070C0"/>
          <w:sz w:val="24"/>
          <w:szCs w:val="24"/>
          <w:lang w:val="en-US"/>
        </w:rPr>
        <w:t>(</w:t>
      </w:r>
      <w:r w:rsidR="00FC50DB">
        <w:rPr>
          <w:rFonts w:ascii="Times New Roman" w:hAnsi="Times New Roman"/>
          <w:i/>
          <w:color w:val="0070C0"/>
          <w:sz w:val="24"/>
          <w:szCs w:val="24"/>
          <w:lang w:val="en-US"/>
        </w:rPr>
        <w:t>b</w:t>
      </w:r>
      <w:r w:rsidR="00FC50DB" w:rsidRPr="00FC50DB">
        <w:rPr>
          <w:rFonts w:ascii="Times New Roman" w:hAnsi="Times New Roman"/>
          <w:color w:val="0070C0"/>
          <w:sz w:val="24"/>
          <w:szCs w:val="24"/>
          <w:lang w:val="en-US"/>
        </w:rPr>
        <w:t>)</w:t>
      </w:r>
      <w:r w:rsidR="00400C7A" w:rsidRPr="006B22AD">
        <w:rPr>
          <w:rFonts w:ascii="Times New Roman" w:hAnsi="Times New Roman"/>
          <w:sz w:val="24"/>
          <w:szCs w:val="24"/>
          <w:lang w:val="en-US"/>
        </w:rPr>
        <w:t xml:space="preserve"> NMR chemical shifts</w:t>
      </w:r>
      <w:r w:rsidR="00F973A7" w:rsidRPr="006B22AD">
        <w:rPr>
          <w:rFonts w:ascii="Times New Roman" w:hAnsi="Times New Roman"/>
          <w:sz w:val="24"/>
          <w:szCs w:val="24"/>
          <w:lang w:val="en-US"/>
        </w:rPr>
        <w:t xml:space="preserve"> (</w:t>
      </w:r>
      <w:r w:rsidR="00F973A7" w:rsidRPr="006B22AD">
        <w:rPr>
          <w:rFonts w:ascii="Times New Roman" w:hAnsi="Times New Roman"/>
          <w:i/>
          <w:sz w:val="24"/>
          <w:szCs w:val="24"/>
        </w:rPr>
        <w:t>δ</w:t>
      </w:r>
      <w:r w:rsidR="00F973A7" w:rsidRPr="006B22AD">
        <w:rPr>
          <w:rFonts w:ascii="Times New Roman" w:hAnsi="Times New Roman"/>
          <w:sz w:val="24"/>
          <w:szCs w:val="24"/>
          <w:lang w:val="en-US"/>
        </w:rPr>
        <w:t xml:space="preserve">, ppm) for the key conformations </w:t>
      </w:r>
      <w:r w:rsidR="00F973A7" w:rsidRPr="006B22AD">
        <w:rPr>
          <w:rFonts w:ascii="Times New Roman" w:hAnsi="Times New Roman"/>
          <w:b/>
          <w:sz w:val="24"/>
          <w:szCs w:val="24"/>
          <w:lang w:val="en-US"/>
        </w:rPr>
        <w:t>1a</w:t>
      </w:r>
      <w:r w:rsidR="00F973A7" w:rsidRPr="006B22AD">
        <w:rPr>
          <w:rFonts w:ascii="Times New Roman" w:hAnsi="Times New Roman"/>
          <w:sz w:val="24"/>
          <w:szCs w:val="24"/>
          <w:lang w:val="en-US"/>
        </w:rPr>
        <w:t xml:space="preserve">, </w:t>
      </w:r>
      <w:r w:rsidR="00F973A7" w:rsidRPr="006B22AD">
        <w:rPr>
          <w:rFonts w:ascii="Times New Roman" w:hAnsi="Times New Roman"/>
          <w:b/>
          <w:sz w:val="24"/>
          <w:szCs w:val="24"/>
          <w:lang w:val="en-US"/>
        </w:rPr>
        <w:t>2b</w:t>
      </w:r>
      <w:r w:rsidR="00F973A7" w:rsidRPr="006B22AD">
        <w:rPr>
          <w:rFonts w:ascii="Times New Roman" w:hAnsi="Times New Roman"/>
          <w:sz w:val="24"/>
          <w:szCs w:val="24"/>
          <w:lang w:val="en-US"/>
        </w:rPr>
        <w:t xml:space="preserve">, </w:t>
      </w:r>
      <w:r w:rsidR="00F973A7" w:rsidRPr="006B22AD">
        <w:rPr>
          <w:rFonts w:ascii="Times New Roman" w:hAnsi="Times New Roman"/>
          <w:b/>
          <w:sz w:val="24"/>
          <w:szCs w:val="24"/>
          <w:lang w:val="en-US"/>
        </w:rPr>
        <w:t>3b</w:t>
      </w:r>
      <w:r w:rsidR="00F973A7" w:rsidRPr="006B22AD">
        <w:rPr>
          <w:rFonts w:ascii="Times New Roman" w:hAnsi="Times New Roman"/>
          <w:sz w:val="24"/>
          <w:szCs w:val="24"/>
          <w:lang w:val="en-US"/>
        </w:rPr>
        <w:t xml:space="preserve">, </w:t>
      </w:r>
      <w:r w:rsidR="00F973A7" w:rsidRPr="006B22AD">
        <w:rPr>
          <w:rFonts w:ascii="Times New Roman" w:hAnsi="Times New Roman"/>
          <w:b/>
          <w:sz w:val="24"/>
          <w:szCs w:val="24"/>
          <w:lang w:val="en-US"/>
        </w:rPr>
        <w:t>4c</w:t>
      </w:r>
      <w:r w:rsidR="00F973A7" w:rsidRPr="006B22AD">
        <w:rPr>
          <w:rFonts w:ascii="Times New Roman" w:hAnsi="Times New Roman"/>
          <w:sz w:val="24"/>
          <w:szCs w:val="24"/>
          <w:lang w:val="en-US"/>
        </w:rPr>
        <w:t>.</w:t>
      </w:r>
    </w:p>
    <w:p w14:paraId="1BE7DECF" w14:textId="77777777" w:rsidR="00B17F15" w:rsidRPr="00D20F36" w:rsidRDefault="00D20F36" w:rsidP="00150DEC">
      <w:pPr>
        <w:pStyle w:val="MCMainTextfirstparagraph"/>
      </w:pPr>
      <w:r w:rsidRPr="00D20F36">
        <w:t>In general, the results</w:t>
      </w:r>
      <w:r w:rsidR="00A2081B">
        <w:t xml:space="preserve"> of the </w:t>
      </w:r>
      <w:r w:rsidR="003719BF">
        <w:t>performed</w:t>
      </w:r>
      <w:r w:rsidR="00404F66">
        <w:t xml:space="preserve"> study</w:t>
      </w:r>
      <w:r w:rsidRPr="00D20F36">
        <w:t xml:space="preserve"> showed th</w:t>
      </w:r>
      <w:r>
        <w:t>at the average level of error of calculated</w:t>
      </w:r>
      <w:r w:rsidRPr="00D20F36">
        <w:t xml:space="preserve"> </w:t>
      </w:r>
      <w:r w:rsidRPr="00D20F36">
        <w:rPr>
          <w:vertAlign w:val="superscript"/>
        </w:rPr>
        <w:t>1</w:t>
      </w:r>
      <w:r w:rsidRPr="00D20F36">
        <w:t xml:space="preserve">H and </w:t>
      </w:r>
      <w:r w:rsidRPr="00D20F36">
        <w:rPr>
          <w:vertAlign w:val="superscript"/>
        </w:rPr>
        <w:t>13</w:t>
      </w:r>
      <w:r w:rsidRPr="00D20F36">
        <w:t xml:space="preserve">C NMR chemical shifts </w:t>
      </w:r>
      <w:r>
        <w:t xml:space="preserve">of </w:t>
      </w:r>
      <w:r w:rsidRPr="00D20F36">
        <w:t xml:space="preserve">natural products exemplified with four alkaloids from the root bark of </w:t>
      </w:r>
      <w:r w:rsidRPr="00D20F36">
        <w:rPr>
          <w:i/>
        </w:rPr>
        <w:t xml:space="preserve">Strychnos </w:t>
      </w:r>
      <w:proofErr w:type="spellStart"/>
      <w:r w:rsidR="0063374C">
        <w:rPr>
          <w:i/>
        </w:rPr>
        <w:t>p</w:t>
      </w:r>
      <w:r w:rsidRPr="00D20F36">
        <w:rPr>
          <w:i/>
        </w:rPr>
        <w:t>anganensis</w:t>
      </w:r>
      <w:proofErr w:type="spellEnd"/>
      <w:r>
        <w:t xml:space="preserve"> was </w:t>
      </w:r>
      <w:r w:rsidR="00A2081B">
        <w:t>essentially</w:t>
      </w:r>
      <w:r>
        <w:t xml:space="preserve"> low. </w:t>
      </w:r>
      <w:r w:rsidR="00733BFA">
        <w:t>This result</w:t>
      </w:r>
      <w:r>
        <w:t xml:space="preserve"> indicated</w:t>
      </w:r>
      <w:r w:rsidRPr="00D20F36">
        <w:t xml:space="preserve"> </w:t>
      </w:r>
      <w:r>
        <w:t xml:space="preserve">on </w:t>
      </w:r>
      <w:r w:rsidRPr="00D20F36">
        <w:t xml:space="preserve">the effectiveness of the proposed approach and the </w:t>
      </w:r>
      <w:r w:rsidR="00733BFA">
        <w:t>perspectives</w:t>
      </w:r>
      <w:r w:rsidRPr="00D20F36">
        <w:t xml:space="preserve"> of its application </w:t>
      </w:r>
      <w:r>
        <w:t>in the NMR spectral analysis</w:t>
      </w:r>
      <w:r w:rsidRPr="00D20F36">
        <w:t xml:space="preserve">. </w:t>
      </w:r>
      <w:r w:rsidR="00733BFA" w:rsidRPr="00D20F36">
        <w:t xml:space="preserve">However, </w:t>
      </w:r>
      <w:r w:rsidR="00733BFA">
        <w:t>several calculated</w:t>
      </w:r>
      <w:r w:rsidR="00733BFA" w:rsidRPr="00D20F36">
        <w:t xml:space="preserve"> values ​​did not fit into overall correlation and were associated with </w:t>
      </w:r>
      <w:r w:rsidR="00733BFA">
        <w:t xml:space="preserve">complicated </w:t>
      </w:r>
      <w:proofErr w:type="spellStart"/>
      <w:r w:rsidR="00733BFA">
        <w:t>stereoelectronic</w:t>
      </w:r>
      <w:proofErr w:type="spellEnd"/>
      <w:r w:rsidR="00733BFA">
        <w:t xml:space="preserve"> effects. </w:t>
      </w:r>
      <w:r w:rsidR="00484CE2" w:rsidRPr="00484CE2">
        <w:t>In this communication, we attempted to clarify the reasons for these effects and determine their influence on the observed deviations.</w:t>
      </w:r>
      <w:r>
        <w:t xml:space="preserve"> </w:t>
      </w:r>
    </w:p>
    <w:p w14:paraId="295B6AE4" w14:textId="4081CD03" w:rsidR="00B17F15" w:rsidRDefault="00B17F15" w:rsidP="00150DEC">
      <w:pPr>
        <w:pStyle w:val="MCMainTextfirstparagraph"/>
      </w:pPr>
    </w:p>
    <w:p w14:paraId="4EA2BAEA" w14:textId="482F6060" w:rsidR="00CC0B0A" w:rsidRPr="00DC6E47" w:rsidRDefault="00CC0B0A" w:rsidP="00150DEC">
      <w:pPr>
        <w:pStyle w:val="MCMainTextfirstparagraph"/>
        <w:rPr>
          <w:b/>
        </w:rPr>
      </w:pPr>
      <w:r w:rsidRPr="00DC6E47">
        <w:rPr>
          <w:b/>
        </w:rPr>
        <w:t>Acknowledgments</w:t>
      </w:r>
    </w:p>
    <w:p w14:paraId="5C911239" w14:textId="2BD7C591" w:rsidR="00CC0B0A" w:rsidRDefault="00CC0B0A" w:rsidP="00150DEC">
      <w:pPr>
        <w:pStyle w:val="MCMainTextfirstparagraph"/>
      </w:pPr>
      <w:r w:rsidRPr="00CC0B0A">
        <w:t xml:space="preserve">All calculations were performed at the HPC cluster “Academician V.M. </w:t>
      </w:r>
      <w:proofErr w:type="spellStart"/>
      <w:r w:rsidRPr="00CC0B0A">
        <w:t>Matrosov</w:t>
      </w:r>
      <w:proofErr w:type="spellEnd"/>
      <w:r w:rsidRPr="00CC0B0A">
        <w:t xml:space="preserve">” (http://hpc.icc.ru, accessed on </w:t>
      </w:r>
      <w:r>
        <w:t>May</w:t>
      </w:r>
      <w:r w:rsidRPr="00CC0B0A">
        <w:t xml:space="preserve"> </w:t>
      </w:r>
      <w:r>
        <w:t>9</w:t>
      </w:r>
      <w:r w:rsidRPr="00CC0B0A">
        <w:t>, 202</w:t>
      </w:r>
      <w:r>
        <w:t>5</w:t>
      </w:r>
      <w:r w:rsidRPr="00CC0B0A">
        <w:t xml:space="preserve">) and at A.E. </w:t>
      </w:r>
      <w:proofErr w:type="spellStart"/>
      <w:r w:rsidRPr="00CC0B0A">
        <w:t>Favorsky</w:t>
      </w:r>
      <w:proofErr w:type="spellEnd"/>
      <w:r w:rsidRPr="00CC0B0A">
        <w:t xml:space="preserve"> Irkutsk Institute of Chemistry using the facilities of Baikal Analytical Center (http://ckp-rf.ru/ckp/3050, accessed on </w:t>
      </w:r>
      <w:r>
        <w:t>May</w:t>
      </w:r>
      <w:r w:rsidRPr="00CC0B0A">
        <w:t xml:space="preserve"> </w:t>
      </w:r>
      <w:r>
        <w:t>9</w:t>
      </w:r>
      <w:r w:rsidRPr="00CC0B0A">
        <w:t>, 202</w:t>
      </w:r>
      <w:r>
        <w:t>5</w:t>
      </w:r>
      <w:r w:rsidRPr="00CC0B0A">
        <w:t>).</w:t>
      </w:r>
    </w:p>
    <w:p w14:paraId="0FC31316" w14:textId="77777777" w:rsidR="002B7370" w:rsidRPr="00D20F36" w:rsidRDefault="002B7370" w:rsidP="00150DEC">
      <w:pPr>
        <w:pStyle w:val="MCMainTextfirstparagraph"/>
      </w:pPr>
    </w:p>
    <w:p w14:paraId="33206F71" w14:textId="2F899E01" w:rsidR="005036C8" w:rsidRPr="00DC6E47" w:rsidRDefault="005036C8" w:rsidP="00150DEC">
      <w:pPr>
        <w:pStyle w:val="MCMainTextfirstparagraph"/>
        <w:rPr>
          <w:b/>
        </w:rPr>
      </w:pPr>
      <w:r w:rsidRPr="00DC6E47">
        <w:rPr>
          <w:b/>
        </w:rPr>
        <w:lastRenderedPageBreak/>
        <w:t>Online Supplementary Materials</w:t>
      </w:r>
    </w:p>
    <w:p w14:paraId="7E6007E1" w14:textId="5B00D07B" w:rsidR="005036C8" w:rsidRPr="005F2E48" w:rsidRDefault="005036C8" w:rsidP="00150DEC">
      <w:pPr>
        <w:pStyle w:val="MCMainTextfirstparagraph"/>
      </w:pPr>
      <w:r w:rsidRPr="005F2E48">
        <w:t xml:space="preserve">Supplementary data associated with this article can be found in the online version at </w:t>
      </w:r>
      <w:hyperlink r:id="rId19" w:history="1">
        <w:r w:rsidR="00552C23" w:rsidRPr="005F2E48">
          <w:rPr>
            <w:rStyle w:val="Lienhypertexte"/>
          </w:rPr>
          <w:t>https://doi.org/10.71267/mencom.xxxx</w:t>
        </w:r>
      </w:hyperlink>
      <w:r w:rsidR="00D42457" w:rsidRPr="005F2E48">
        <w:t xml:space="preserve"> </w:t>
      </w:r>
    </w:p>
    <w:p w14:paraId="451B4E08" w14:textId="77777777" w:rsidR="003F0CAA" w:rsidRPr="00150DEC" w:rsidRDefault="003F0CAA" w:rsidP="00150DEC">
      <w:pPr>
        <w:pStyle w:val="MCReferenceHeading"/>
        <w:rPr>
          <w:lang w:val="ru-RU"/>
        </w:rPr>
      </w:pPr>
      <w:r w:rsidRPr="00150DEC">
        <w:t>Reference</w:t>
      </w:r>
      <w:r w:rsidR="00DB2BB0" w:rsidRPr="00150DEC">
        <w:t>s</w:t>
      </w:r>
    </w:p>
    <w:sectPr w:rsidR="003F0CAA" w:rsidRPr="00150DEC" w:rsidSect="00B716F1">
      <w:headerReference w:type="default" r:id="rId20"/>
      <w:footerReference w:type="default" r:id="rId21"/>
      <w:endnotePr>
        <w:numFmt w:val="decimal"/>
      </w:endnotePr>
      <w:type w:val="continuous"/>
      <w:pgSz w:w="11906" w:h="16838"/>
      <w:pgMar w:top="907" w:right="964" w:bottom="130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0026" w14:textId="77777777" w:rsidR="001411F1" w:rsidRDefault="001411F1" w:rsidP="000D2155">
      <w:pPr>
        <w:spacing w:after="0" w:line="240" w:lineRule="auto"/>
      </w:pPr>
      <w:r>
        <w:separator/>
      </w:r>
    </w:p>
  </w:endnote>
  <w:endnote w:type="continuationSeparator" w:id="0">
    <w:p w14:paraId="26B3928B" w14:textId="77777777" w:rsidR="001411F1" w:rsidRDefault="001411F1" w:rsidP="000D2155">
      <w:pPr>
        <w:spacing w:after="0" w:line="240" w:lineRule="auto"/>
      </w:pPr>
      <w:r>
        <w:continuationSeparator/>
      </w:r>
    </w:p>
  </w:endnote>
  <w:endnote w:id="1">
    <w:p w14:paraId="4436A019" w14:textId="4DC22FA3" w:rsidR="00186B10" w:rsidRPr="00C13A94" w:rsidRDefault="00186B10" w:rsidP="00C51571">
      <w:pPr>
        <w:pStyle w:val="Notedefin"/>
        <w:spacing w:line="276" w:lineRule="auto"/>
        <w:ind w:left="709" w:hanging="709"/>
        <w:jc w:val="both"/>
        <w:rPr>
          <w:rFonts w:ascii="Times New Roman" w:hAnsi="Times New Roman"/>
          <w:sz w:val="24"/>
          <w:szCs w:val="24"/>
          <w:lang w:val="en-US"/>
        </w:rPr>
      </w:pPr>
      <w:r w:rsidRPr="00C51571">
        <w:rPr>
          <w:rFonts w:ascii="Times New Roman" w:hAnsi="Times New Roman"/>
          <w:sz w:val="24"/>
          <w:szCs w:val="24"/>
          <w:lang w:val="en-US"/>
        </w:rPr>
        <w:endnoteRef/>
      </w:r>
      <w:r w:rsidRPr="00C51571">
        <w:rPr>
          <w:rFonts w:ascii="Times New Roman" w:hAnsi="Times New Roman"/>
          <w:sz w:val="24"/>
          <w:szCs w:val="24"/>
          <w:lang w:val="en-US"/>
        </w:rPr>
        <w:t xml:space="preserve"> </w:t>
      </w:r>
      <w:r>
        <w:rPr>
          <w:rFonts w:ascii="Times New Roman" w:hAnsi="Times New Roman"/>
          <w:sz w:val="24"/>
          <w:szCs w:val="24"/>
          <w:lang w:val="en-US"/>
        </w:rPr>
        <w:tab/>
      </w:r>
      <w:r w:rsidRPr="00C13A94">
        <w:rPr>
          <w:rFonts w:ascii="Times New Roman" w:hAnsi="Times New Roman"/>
          <w:sz w:val="24"/>
          <w:szCs w:val="24"/>
          <w:lang w:val="en-US"/>
        </w:rPr>
        <w:t xml:space="preserve">D.A. Grigoriev, V.A. Semenov, L. Angenot, </w:t>
      </w:r>
      <w:r w:rsidR="00965C7E" w:rsidRPr="00C13A94">
        <w:rPr>
          <w:rFonts w:ascii="Times New Roman" w:hAnsi="Times New Roman"/>
          <w:sz w:val="24"/>
          <w:szCs w:val="24"/>
          <w:lang w:val="en-US"/>
        </w:rPr>
        <w:t xml:space="preserve">and </w:t>
      </w:r>
      <w:r w:rsidRPr="00C13A94">
        <w:rPr>
          <w:rFonts w:ascii="Times New Roman" w:hAnsi="Times New Roman"/>
          <w:sz w:val="24"/>
          <w:szCs w:val="24"/>
          <w:lang w:val="en-US"/>
        </w:rPr>
        <w:t>L.B. Krivdin</w:t>
      </w:r>
      <w:r w:rsidR="00965C7E">
        <w:rPr>
          <w:rFonts w:ascii="Times New Roman" w:hAnsi="Times New Roman"/>
          <w:sz w:val="24"/>
          <w:szCs w:val="24"/>
          <w:lang w:val="en-US"/>
        </w:rPr>
        <w:t>,</w:t>
      </w:r>
      <w:r w:rsidRPr="00C13A94">
        <w:rPr>
          <w:rFonts w:ascii="Times New Roman" w:hAnsi="Times New Roman"/>
          <w:sz w:val="24"/>
          <w:szCs w:val="24"/>
          <w:lang w:val="en-US"/>
        </w:rPr>
        <w:t xml:space="preserve"> </w:t>
      </w:r>
      <w:r w:rsidRPr="00C13A94">
        <w:rPr>
          <w:rFonts w:ascii="Times New Roman" w:hAnsi="Times New Roman"/>
          <w:i/>
          <w:sz w:val="24"/>
          <w:szCs w:val="24"/>
          <w:lang w:val="en-US"/>
        </w:rPr>
        <w:t>Int J Quantum Chem.</w:t>
      </w:r>
      <w:r w:rsidR="002B7370">
        <w:rPr>
          <w:rFonts w:ascii="Times New Roman" w:hAnsi="Times New Roman"/>
          <w:i/>
          <w:sz w:val="24"/>
          <w:szCs w:val="24"/>
          <w:lang w:val="en-US"/>
        </w:rPr>
        <w:t>,</w:t>
      </w:r>
      <w:r w:rsidRPr="00C13A94">
        <w:rPr>
          <w:rFonts w:ascii="Times New Roman" w:hAnsi="Times New Roman"/>
          <w:i/>
          <w:sz w:val="24"/>
          <w:szCs w:val="24"/>
          <w:lang w:val="en-US"/>
        </w:rPr>
        <w:t xml:space="preserve"> </w:t>
      </w:r>
      <w:r w:rsidRPr="00C13A94">
        <w:rPr>
          <w:rFonts w:ascii="Times New Roman" w:hAnsi="Times New Roman"/>
          <w:sz w:val="24"/>
          <w:szCs w:val="24"/>
          <w:lang w:val="en-US"/>
        </w:rPr>
        <w:t xml:space="preserve">2024, </w:t>
      </w:r>
      <w:r w:rsidRPr="00C13A94">
        <w:rPr>
          <w:rFonts w:ascii="Times New Roman" w:hAnsi="Times New Roman"/>
          <w:b/>
          <w:sz w:val="24"/>
          <w:szCs w:val="24"/>
          <w:lang w:val="en-US"/>
        </w:rPr>
        <w:t>124</w:t>
      </w:r>
      <w:r w:rsidRPr="00C13A94">
        <w:rPr>
          <w:rFonts w:ascii="Times New Roman" w:hAnsi="Times New Roman"/>
          <w:sz w:val="24"/>
          <w:szCs w:val="24"/>
          <w:lang w:val="en-US"/>
        </w:rPr>
        <w:t xml:space="preserve">, e27323; </w:t>
      </w:r>
      <w:r w:rsidRPr="008A3C98">
        <w:rPr>
          <w:rFonts w:ascii="Times New Roman" w:hAnsi="Times New Roman"/>
          <w:sz w:val="24"/>
          <w:szCs w:val="24"/>
          <w:lang w:val="en-US"/>
        </w:rPr>
        <w:t>https://doi.org/10.1002/qua.27323</w:t>
      </w:r>
      <w:r w:rsidR="008A3C98">
        <w:rPr>
          <w:rFonts w:ascii="Times New Roman" w:hAnsi="Times New Roman"/>
          <w:sz w:val="24"/>
          <w:szCs w:val="24"/>
          <w:lang w:val="en-US"/>
        </w:rPr>
        <w:t>.</w:t>
      </w:r>
    </w:p>
  </w:endnote>
  <w:endnote w:id="2">
    <w:p w14:paraId="7EA8C940" w14:textId="020B7194" w:rsidR="00186B10" w:rsidRPr="00C13A94" w:rsidRDefault="00186B10" w:rsidP="00A02847">
      <w:pPr>
        <w:pStyle w:val="Notedefin"/>
        <w:spacing w:line="276" w:lineRule="auto"/>
        <w:ind w:left="709" w:hanging="709"/>
        <w:jc w:val="both"/>
        <w:rPr>
          <w:rFonts w:ascii="Times New Roman" w:hAnsi="Times New Roman"/>
          <w:sz w:val="24"/>
          <w:szCs w:val="24"/>
          <w:lang w:val="en-US"/>
        </w:rPr>
      </w:pPr>
      <w:r w:rsidRPr="00C13A94">
        <w:rPr>
          <w:rFonts w:ascii="Times New Roman" w:hAnsi="Times New Roman"/>
          <w:sz w:val="24"/>
          <w:szCs w:val="24"/>
          <w:lang w:val="en-US"/>
        </w:rPr>
        <w:endnoteRef/>
      </w:r>
      <w:r w:rsidRPr="00C13A94">
        <w:rPr>
          <w:rFonts w:ascii="Times New Roman" w:hAnsi="Times New Roman"/>
          <w:sz w:val="24"/>
          <w:szCs w:val="24"/>
          <w:lang w:val="en-US"/>
        </w:rPr>
        <w:t xml:space="preserve"> </w:t>
      </w:r>
      <w:r w:rsidRPr="00C13A94">
        <w:rPr>
          <w:rFonts w:ascii="Times New Roman" w:hAnsi="Times New Roman"/>
          <w:sz w:val="24"/>
          <w:szCs w:val="24"/>
          <w:lang w:val="en-US"/>
        </w:rPr>
        <w:tab/>
        <w:t xml:space="preserve">D.A. Grigoriev, V.A. Semenov, L. Angenot, </w:t>
      </w:r>
      <w:r w:rsidR="00965C7E" w:rsidRPr="00C13A94">
        <w:rPr>
          <w:rFonts w:ascii="Times New Roman" w:hAnsi="Times New Roman"/>
          <w:sz w:val="24"/>
          <w:szCs w:val="24"/>
          <w:lang w:val="en-US"/>
        </w:rPr>
        <w:t xml:space="preserve">and </w:t>
      </w:r>
      <w:r w:rsidRPr="00C13A94">
        <w:rPr>
          <w:rFonts w:ascii="Times New Roman" w:hAnsi="Times New Roman"/>
          <w:sz w:val="24"/>
          <w:szCs w:val="24"/>
          <w:lang w:val="en-US"/>
        </w:rPr>
        <w:t>L.B. Krivdin</w:t>
      </w:r>
      <w:r w:rsidR="00965C7E">
        <w:rPr>
          <w:rFonts w:ascii="Times New Roman" w:hAnsi="Times New Roman"/>
          <w:sz w:val="24"/>
          <w:szCs w:val="24"/>
          <w:lang w:val="en-US"/>
        </w:rPr>
        <w:t>,</w:t>
      </w:r>
      <w:r w:rsidRPr="00C13A94">
        <w:rPr>
          <w:rFonts w:ascii="Times New Roman" w:hAnsi="Times New Roman"/>
          <w:sz w:val="24"/>
          <w:szCs w:val="24"/>
          <w:lang w:val="en-US"/>
        </w:rPr>
        <w:t xml:space="preserve"> </w:t>
      </w:r>
      <w:r w:rsidRPr="00C13A94">
        <w:rPr>
          <w:rFonts w:ascii="Times New Roman" w:hAnsi="Times New Roman"/>
          <w:i/>
          <w:sz w:val="24"/>
          <w:szCs w:val="24"/>
          <w:lang w:val="en-US"/>
        </w:rPr>
        <w:t>Int J Quantum Chem.</w:t>
      </w:r>
      <w:r w:rsidR="002B7370">
        <w:rPr>
          <w:rFonts w:ascii="Times New Roman" w:hAnsi="Times New Roman"/>
          <w:i/>
          <w:sz w:val="24"/>
          <w:szCs w:val="24"/>
          <w:lang w:val="en-US"/>
        </w:rPr>
        <w:t>,</w:t>
      </w:r>
      <w:r w:rsidRPr="00C13A94">
        <w:rPr>
          <w:rFonts w:ascii="Times New Roman" w:hAnsi="Times New Roman"/>
          <w:sz w:val="24"/>
          <w:szCs w:val="24"/>
          <w:lang w:val="en-US"/>
        </w:rPr>
        <w:t xml:space="preserve"> 2025, </w:t>
      </w:r>
      <w:r w:rsidRPr="00C13A94">
        <w:rPr>
          <w:rFonts w:ascii="Times New Roman" w:hAnsi="Times New Roman"/>
          <w:b/>
          <w:sz w:val="24"/>
          <w:szCs w:val="24"/>
          <w:lang w:val="en-US"/>
        </w:rPr>
        <w:t>125</w:t>
      </w:r>
      <w:r w:rsidRPr="00C13A94">
        <w:rPr>
          <w:rFonts w:ascii="Times New Roman" w:hAnsi="Times New Roman"/>
          <w:sz w:val="24"/>
          <w:szCs w:val="24"/>
          <w:lang w:val="en-US"/>
        </w:rPr>
        <w:t xml:space="preserve">, e70008; </w:t>
      </w:r>
      <w:r w:rsidRPr="008A3C98">
        <w:rPr>
          <w:rFonts w:ascii="Times New Roman" w:hAnsi="Times New Roman"/>
          <w:sz w:val="24"/>
          <w:szCs w:val="24"/>
          <w:lang w:val="en-US"/>
        </w:rPr>
        <w:t>https://doi.org/10.1002/qua.70008</w:t>
      </w:r>
      <w:r w:rsidRPr="00C13A94">
        <w:rPr>
          <w:rFonts w:ascii="Times New Roman" w:hAnsi="Times New Roman"/>
          <w:sz w:val="24"/>
          <w:szCs w:val="24"/>
          <w:lang w:val="en-US"/>
        </w:rPr>
        <w:t xml:space="preserve">. </w:t>
      </w:r>
    </w:p>
  </w:endnote>
  <w:endnote w:id="3">
    <w:p w14:paraId="71EDC7D9" w14:textId="002F65E3" w:rsidR="000737DD" w:rsidRPr="004E6572" w:rsidRDefault="000737DD" w:rsidP="000737DD">
      <w:pPr>
        <w:pStyle w:val="Notedefin"/>
        <w:spacing w:line="276" w:lineRule="auto"/>
        <w:ind w:left="709" w:hanging="709"/>
        <w:jc w:val="both"/>
        <w:rPr>
          <w:rFonts w:ascii="Times New Roman" w:hAnsi="Times New Roman"/>
          <w:sz w:val="24"/>
          <w:szCs w:val="24"/>
          <w:lang w:val="en-US"/>
        </w:rPr>
      </w:pPr>
      <w:r w:rsidRPr="00C13A94">
        <w:rPr>
          <w:rFonts w:ascii="Times New Roman" w:hAnsi="Times New Roman"/>
          <w:sz w:val="24"/>
          <w:szCs w:val="24"/>
          <w:lang w:val="en-US"/>
        </w:rPr>
        <w:endnoteRef/>
      </w:r>
      <w:r w:rsidRPr="004E6572">
        <w:rPr>
          <w:rFonts w:ascii="Times New Roman" w:hAnsi="Times New Roman"/>
          <w:sz w:val="24"/>
          <w:szCs w:val="24"/>
          <w:lang w:val="en-US"/>
        </w:rPr>
        <w:t xml:space="preserve"> </w:t>
      </w:r>
      <w:r w:rsidRPr="004E6572">
        <w:rPr>
          <w:rFonts w:ascii="Times New Roman" w:hAnsi="Times New Roman"/>
          <w:sz w:val="24"/>
          <w:szCs w:val="24"/>
          <w:lang w:val="en-US"/>
        </w:rPr>
        <w:tab/>
        <w:t>M. Frederich, M.-J. Jacquier, P. Thépenier, P. De Mol, M. Tits, G. P</w:t>
      </w:r>
      <w:r w:rsidR="008A3C98" w:rsidRPr="004E6572">
        <w:rPr>
          <w:rFonts w:ascii="Times New Roman" w:hAnsi="Times New Roman"/>
          <w:sz w:val="24"/>
          <w:szCs w:val="24"/>
          <w:lang w:val="en-US"/>
        </w:rPr>
        <w:t>hilippe, C. Delaude, L. Angenot</w:t>
      </w:r>
      <w:r w:rsidRPr="004E6572">
        <w:rPr>
          <w:rFonts w:ascii="Times New Roman" w:hAnsi="Times New Roman"/>
          <w:sz w:val="24"/>
          <w:szCs w:val="24"/>
          <w:lang w:val="en-US"/>
        </w:rPr>
        <w:t xml:space="preserve">, </w:t>
      </w:r>
      <w:r w:rsidR="00965C7E" w:rsidRPr="00C13A94">
        <w:rPr>
          <w:rFonts w:ascii="Times New Roman" w:hAnsi="Times New Roman"/>
          <w:sz w:val="24"/>
          <w:szCs w:val="24"/>
          <w:lang w:val="en-US"/>
        </w:rPr>
        <w:t xml:space="preserve">and </w:t>
      </w:r>
      <w:r w:rsidRPr="004E6572">
        <w:rPr>
          <w:rFonts w:ascii="Times New Roman" w:hAnsi="Times New Roman"/>
          <w:sz w:val="24"/>
          <w:szCs w:val="24"/>
          <w:lang w:val="en-US"/>
        </w:rPr>
        <w:t>M. Zeches-Hanrot</w:t>
      </w:r>
      <w:r w:rsidR="00965C7E" w:rsidRPr="004E6572">
        <w:rPr>
          <w:rFonts w:ascii="Times New Roman" w:hAnsi="Times New Roman"/>
          <w:sz w:val="24"/>
          <w:szCs w:val="24"/>
          <w:lang w:val="en-US"/>
        </w:rPr>
        <w:t>,</w:t>
      </w:r>
      <w:r w:rsidRPr="004E6572">
        <w:rPr>
          <w:rFonts w:ascii="Times New Roman" w:hAnsi="Times New Roman"/>
          <w:sz w:val="24"/>
          <w:szCs w:val="24"/>
          <w:lang w:val="en-US"/>
        </w:rPr>
        <w:t xml:space="preserve"> </w:t>
      </w:r>
      <w:r w:rsidRPr="004E6572">
        <w:rPr>
          <w:rFonts w:ascii="Times New Roman" w:hAnsi="Times New Roman"/>
          <w:i/>
          <w:sz w:val="24"/>
          <w:szCs w:val="24"/>
          <w:lang w:val="en-US"/>
        </w:rPr>
        <w:t>J. Nat. Prod</w:t>
      </w:r>
      <w:r w:rsidRPr="004E6572">
        <w:rPr>
          <w:rFonts w:ascii="Times New Roman" w:hAnsi="Times New Roman"/>
          <w:sz w:val="24"/>
          <w:szCs w:val="24"/>
          <w:lang w:val="en-US"/>
        </w:rPr>
        <w:t>.</w:t>
      </w:r>
      <w:r w:rsidR="002B7370" w:rsidRPr="004E6572">
        <w:rPr>
          <w:rFonts w:ascii="Times New Roman" w:hAnsi="Times New Roman"/>
          <w:sz w:val="24"/>
          <w:szCs w:val="24"/>
          <w:lang w:val="en-US"/>
        </w:rPr>
        <w:t>,</w:t>
      </w:r>
      <w:r w:rsidRPr="004E6572">
        <w:rPr>
          <w:rFonts w:ascii="Times New Roman" w:hAnsi="Times New Roman"/>
          <w:sz w:val="24"/>
          <w:szCs w:val="24"/>
          <w:lang w:val="en-US"/>
        </w:rPr>
        <w:t xml:space="preserve"> 2002, </w:t>
      </w:r>
      <w:r w:rsidRPr="004E6572">
        <w:rPr>
          <w:rFonts w:ascii="Times New Roman" w:hAnsi="Times New Roman"/>
          <w:b/>
          <w:sz w:val="24"/>
          <w:szCs w:val="24"/>
          <w:lang w:val="en-US"/>
        </w:rPr>
        <w:t>65</w:t>
      </w:r>
      <w:r w:rsidRPr="004E6572">
        <w:rPr>
          <w:rFonts w:ascii="Times New Roman" w:hAnsi="Times New Roman"/>
          <w:sz w:val="24"/>
          <w:szCs w:val="24"/>
          <w:lang w:val="en-US"/>
        </w:rPr>
        <w:t xml:space="preserve">, </w:t>
      </w:r>
      <w:r w:rsidR="00E217C8" w:rsidRPr="004E6572">
        <w:rPr>
          <w:rFonts w:ascii="Times New Roman" w:hAnsi="Times New Roman"/>
          <w:sz w:val="24"/>
          <w:szCs w:val="24"/>
          <w:lang w:val="en-US"/>
        </w:rPr>
        <w:t xml:space="preserve">pp. </w:t>
      </w:r>
      <w:r w:rsidRPr="004E6572">
        <w:rPr>
          <w:rFonts w:ascii="Times New Roman" w:hAnsi="Times New Roman"/>
          <w:sz w:val="24"/>
          <w:szCs w:val="24"/>
          <w:lang w:val="en-US"/>
        </w:rPr>
        <w:t>1381-1386</w:t>
      </w:r>
      <w:r w:rsidR="008A3C98" w:rsidRPr="004E6572">
        <w:rPr>
          <w:rFonts w:ascii="Times New Roman" w:hAnsi="Times New Roman"/>
          <w:sz w:val="24"/>
          <w:szCs w:val="24"/>
          <w:lang w:val="en-US"/>
        </w:rPr>
        <w:t>;</w:t>
      </w:r>
      <w:r w:rsidR="00E4412A" w:rsidRPr="008B4379">
        <w:rPr>
          <w:lang w:val="en-US"/>
        </w:rPr>
        <w:t xml:space="preserve"> </w:t>
      </w:r>
      <w:r w:rsidR="00E4412A" w:rsidRPr="004E6572">
        <w:rPr>
          <w:rFonts w:ascii="Times New Roman" w:hAnsi="Times New Roman"/>
          <w:sz w:val="24"/>
          <w:szCs w:val="24"/>
          <w:lang w:val="en-US"/>
        </w:rPr>
        <w:t>https://doi.org/10.1021/np020070e</w:t>
      </w:r>
      <w:r w:rsidRPr="004E6572">
        <w:rPr>
          <w:rFonts w:ascii="Times New Roman" w:hAnsi="Times New Roman"/>
          <w:sz w:val="24"/>
          <w:szCs w:val="24"/>
          <w:lang w:val="en-US"/>
        </w:rPr>
        <w:t>.</w:t>
      </w:r>
    </w:p>
  </w:endnote>
  <w:endnote w:id="4">
    <w:p w14:paraId="69718469" w14:textId="02340B74" w:rsidR="00091B11" w:rsidRPr="004E6572" w:rsidRDefault="00091B11" w:rsidP="00091B11">
      <w:pPr>
        <w:pStyle w:val="Notedefin"/>
        <w:spacing w:line="276" w:lineRule="auto"/>
        <w:ind w:left="709" w:hanging="709"/>
        <w:jc w:val="both"/>
        <w:rPr>
          <w:rFonts w:ascii="Times New Roman" w:hAnsi="Times New Roman"/>
          <w:sz w:val="24"/>
          <w:szCs w:val="24"/>
          <w:lang w:val="en-US"/>
        </w:rPr>
      </w:pPr>
      <w:r w:rsidRPr="008B4379">
        <w:rPr>
          <w:rFonts w:ascii="Times New Roman" w:hAnsi="Times New Roman"/>
          <w:sz w:val="24"/>
          <w:szCs w:val="24"/>
          <w:lang w:val="en-US"/>
        </w:rPr>
        <w:endnoteRef/>
      </w:r>
      <w:r w:rsidRPr="004E6572">
        <w:rPr>
          <w:rFonts w:ascii="Times New Roman" w:hAnsi="Times New Roman"/>
          <w:sz w:val="24"/>
          <w:szCs w:val="24"/>
          <w:lang w:val="en-US"/>
        </w:rPr>
        <w:t xml:space="preserve"> </w:t>
      </w:r>
      <w:r w:rsidRPr="004E6572">
        <w:rPr>
          <w:rFonts w:ascii="Times New Roman" w:hAnsi="Times New Roman"/>
          <w:sz w:val="24"/>
          <w:szCs w:val="24"/>
          <w:lang w:val="en-US"/>
        </w:rPr>
        <w:tab/>
        <w:t>N.G. Bisset</w:t>
      </w:r>
      <w:r w:rsidR="00965C7E" w:rsidRPr="008B4379">
        <w:rPr>
          <w:rFonts w:ascii="Times New Roman" w:hAnsi="Times New Roman"/>
          <w:sz w:val="24"/>
          <w:szCs w:val="24"/>
          <w:lang w:val="en-US"/>
        </w:rPr>
        <w:t xml:space="preserve"> and</w:t>
      </w:r>
      <w:r w:rsidRPr="004E6572">
        <w:rPr>
          <w:rFonts w:ascii="Times New Roman" w:hAnsi="Times New Roman"/>
          <w:sz w:val="24"/>
          <w:szCs w:val="24"/>
          <w:lang w:val="en-US"/>
        </w:rPr>
        <w:t xml:space="preserve"> J.D. Phillipson</w:t>
      </w:r>
      <w:r w:rsidR="00965C7E" w:rsidRPr="004E6572">
        <w:rPr>
          <w:rFonts w:ascii="Times New Roman" w:hAnsi="Times New Roman"/>
          <w:sz w:val="24"/>
          <w:szCs w:val="24"/>
          <w:lang w:val="en-US"/>
        </w:rPr>
        <w:t>,</w:t>
      </w:r>
      <w:r w:rsidRPr="004E6572">
        <w:rPr>
          <w:rFonts w:ascii="Times New Roman" w:hAnsi="Times New Roman"/>
          <w:sz w:val="24"/>
          <w:szCs w:val="24"/>
          <w:lang w:val="en-US"/>
        </w:rPr>
        <w:t xml:space="preserve"> </w:t>
      </w:r>
      <w:r w:rsidRPr="004E6572">
        <w:rPr>
          <w:rFonts w:ascii="Times New Roman" w:hAnsi="Times New Roman"/>
          <w:i/>
          <w:sz w:val="24"/>
          <w:szCs w:val="24"/>
          <w:lang w:val="en-US"/>
        </w:rPr>
        <w:t>Lloydia</w:t>
      </w:r>
      <w:r w:rsidRPr="004E6572">
        <w:rPr>
          <w:rFonts w:ascii="Times New Roman" w:hAnsi="Times New Roman"/>
          <w:sz w:val="24"/>
          <w:szCs w:val="24"/>
          <w:lang w:val="en-US"/>
        </w:rPr>
        <w:t xml:space="preserve">, 1971, </w:t>
      </w:r>
      <w:r w:rsidRPr="004E6572">
        <w:rPr>
          <w:rFonts w:ascii="Times New Roman" w:hAnsi="Times New Roman"/>
          <w:b/>
          <w:sz w:val="24"/>
          <w:szCs w:val="24"/>
          <w:lang w:val="en-US"/>
        </w:rPr>
        <w:t>34</w:t>
      </w:r>
      <w:r w:rsidRPr="004E6572">
        <w:rPr>
          <w:rFonts w:ascii="Times New Roman" w:hAnsi="Times New Roman"/>
          <w:sz w:val="24"/>
          <w:szCs w:val="24"/>
          <w:lang w:val="en-US"/>
        </w:rPr>
        <w:t>, 1-60</w:t>
      </w:r>
      <w:r w:rsidR="008B4379" w:rsidRPr="004E6572">
        <w:rPr>
          <w:rFonts w:ascii="Times New Roman" w:hAnsi="Times New Roman"/>
          <w:sz w:val="24"/>
          <w:szCs w:val="24"/>
          <w:lang w:val="en-US"/>
        </w:rPr>
        <w:t>; https://pubmed.ncbi.nlm.nih.gov/5140265</w:t>
      </w:r>
      <w:r w:rsidRPr="004E6572">
        <w:rPr>
          <w:rFonts w:ascii="Times New Roman" w:hAnsi="Times New Roman"/>
          <w:sz w:val="24"/>
          <w:szCs w:val="24"/>
          <w:lang w:val="en-US"/>
        </w:rPr>
        <w:t>.</w:t>
      </w:r>
    </w:p>
  </w:endnote>
  <w:endnote w:id="5">
    <w:p w14:paraId="1004EE92" w14:textId="30747B28" w:rsidR="00A94334" w:rsidRPr="004E6572" w:rsidRDefault="00A94334" w:rsidP="00A94334">
      <w:pPr>
        <w:pStyle w:val="Notedefin"/>
        <w:spacing w:line="276" w:lineRule="auto"/>
        <w:ind w:left="709" w:hanging="709"/>
        <w:jc w:val="both"/>
        <w:rPr>
          <w:rFonts w:ascii="Times New Roman" w:hAnsi="Times New Roman"/>
          <w:sz w:val="24"/>
          <w:szCs w:val="24"/>
          <w:lang w:val="en-US"/>
        </w:rPr>
      </w:pPr>
      <w:r w:rsidRPr="00C13A94">
        <w:rPr>
          <w:rFonts w:ascii="Times New Roman" w:hAnsi="Times New Roman"/>
          <w:sz w:val="24"/>
          <w:szCs w:val="24"/>
          <w:lang w:val="en-US"/>
        </w:rPr>
        <w:endnoteRef/>
      </w:r>
      <w:r w:rsidRPr="004E6572">
        <w:rPr>
          <w:rFonts w:ascii="Times New Roman" w:hAnsi="Times New Roman"/>
          <w:sz w:val="24"/>
          <w:szCs w:val="24"/>
          <w:lang w:val="en-US"/>
        </w:rPr>
        <w:t xml:space="preserve"> </w:t>
      </w:r>
      <w:r w:rsidRPr="004E6572">
        <w:rPr>
          <w:rFonts w:ascii="Times New Roman" w:hAnsi="Times New Roman"/>
          <w:sz w:val="24"/>
          <w:szCs w:val="24"/>
          <w:lang w:val="en-US"/>
        </w:rPr>
        <w:tab/>
        <w:t xml:space="preserve">J.-M. Nuzillard, P. Thépenier, M.-J. Jacquier, G. Massiot, L. Le Men-Olivier, </w:t>
      </w:r>
      <w:r w:rsidR="005475E0" w:rsidRPr="00C13A94">
        <w:rPr>
          <w:rFonts w:ascii="Times New Roman" w:hAnsi="Times New Roman"/>
          <w:sz w:val="24"/>
          <w:szCs w:val="24"/>
          <w:lang w:val="en-US"/>
        </w:rPr>
        <w:t xml:space="preserve">and </w:t>
      </w:r>
      <w:r w:rsidRPr="004E6572">
        <w:rPr>
          <w:rFonts w:ascii="Times New Roman" w:hAnsi="Times New Roman"/>
          <w:sz w:val="24"/>
          <w:szCs w:val="24"/>
          <w:lang w:val="en-US"/>
        </w:rPr>
        <w:t>C. Delaude</w:t>
      </w:r>
      <w:r w:rsidR="00965C7E" w:rsidRPr="004E6572">
        <w:rPr>
          <w:rFonts w:ascii="Times New Roman" w:hAnsi="Times New Roman"/>
          <w:sz w:val="24"/>
          <w:szCs w:val="24"/>
          <w:lang w:val="en-US"/>
        </w:rPr>
        <w:t>,</w:t>
      </w:r>
      <w:r w:rsidRPr="004E6572">
        <w:rPr>
          <w:rFonts w:ascii="Times New Roman" w:hAnsi="Times New Roman"/>
          <w:sz w:val="24"/>
          <w:szCs w:val="24"/>
          <w:lang w:val="en-US"/>
        </w:rPr>
        <w:t xml:space="preserve"> </w:t>
      </w:r>
      <w:r w:rsidRPr="004E6572">
        <w:rPr>
          <w:rFonts w:ascii="Times New Roman" w:hAnsi="Times New Roman"/>
          <w:i/>
          <w:sz w:val="24"/>
          <w:szCs w:val="24"/>
          <w:lang w:val="en-US"/>
        </w:rPr>
        <w:t>Phytochemistry</w:t>
      </w:r>
      <w:r w:rsidRPr="004E6572">
        <w:rPr>
          <w:rFonts w:ascii="Times New Roman" w:hAnsi="Times New Roman"/>
          <w:sz w:val="24"/>
          <w:szCs w:val="24"/>
          <w:lang w:val="en-US"/>
        </w:rPr>
        <w:t xml:space="preserve">, 1996, </w:t>
      </w:r>
      <w:r w:rsidRPr="004E6572">
        <w:rPr>
          <w:rFonts w:ascii="Times New Roman" w:hAnsi="Times New Roman"/>
          <w:b/>
          <w:sz w:val="24"/>
          <w:szCs w:val="24"/>
          <w:lang w:val="en-US"/>
        </w:rPr>
        <w:t>43</w:t>
      </w:r>
      <w:r w:rsidRPr="004E6572">
        <w:rPr>
          <w:rFonts w:ascii="Times New Roman" w:hAnsi="Times New Roman"/>
          <w:sz w:val="24"/>
          <w:szCs w:val="24"/>
          <w:lang w:val="en-US"/>
        </w:rPr>
        <w:t xml:space="preserve">, </w:t>
      </w:r>
      <w:r w:rsidR="00E217C8" w:rsidRPr="004E6572">
        <w:rPr>
          <w:rFonts w:ascii="Times New Roman" w:hAnsi="Times New Roman"/>
          <w:sz w:val="24"/>
          <w:szCs w:val="24"/>
          <w:lang w:val="en-US"/>
        </w:rPr>
        <w:t xml:space="preserve">pp. </w:t>
      </w:r>
      <w:r w:rsidRPr="004E6572">
        <w:rPr>
          <w:rFonts w:ascii="Times New Roman" w:hAnsi="Times New Roman"/>
          <w:sz w:val="24"/>
          <w:szCs w:val="24"/>
          <w:lang w:val="en-US"/>
        </w:rPr>
        <w:t>897-902; https://doi.org/10.1016/0031-9422(96)00362-7.</w:t>
      </w:r>
    </w:p>
  </w:endnote>
  <w:endnote w:id="6">
    <w:p w14:paraId="259E4931" w14:textId="1E19EB63" w:rsidR="00A94334" w:rsidRPr="00C13A94" w:rsidRDefault="00A94334" w:rsidP="00A94334">
      <w:pPr>
        <w:pStyle w:val="Notedefin"/>
        <w:spacing w:line="276" w:lineRule="auto"/>
        <w:ind w:left="709" w:hanging="709"/>
        <w:jc w:val="both"/>
        <w:rPr>
          <w:rFonts w:ascii="Times New Roman" w:hAnsi="Times New Roman"/>
          <w:sz w:val="24"/>
          <w:szCs w:val="24"/>
          <w:lang w:val="en-GB"/>
        </w:rPr>
      </w:pPr>
      <w:r w:rsidRPr="00C13A94">
        <w:rPr>
          <w:rFonts w:ascii="Times New Roman" w:hAnsi="Times New Roman"/>
          <w:sz w:val="24"/>
          <w:szCs w:val="24"/>
          <w:lang w:val="fr-FR"/>
        </w:rPr>
        <w:endnoteRef/>
      </w:r>
      <w:r w:rsidRPr="00C13A94">
        <w:rPr>
          <w:rFonts w:ascii="Times New Roman" w:hAnsi="Times New Roman"/>
          <w:sz w:val="24"/>
          <w:szCs w:val="24"/>
          <w:lang w:val="en-GB"/>
        </w:rPr>
        <w:t xml:space="preserve"> </w:t>
      </w:r>
      <w:r w:rsidRPr="00C13A94">
        <w:rPr>
          <w:rFonts w:ascii="Times New Roman" w:hAnsi="Times New Roman"/>
          <w:sz w:val="24"/>
          <w:szCs w:val="24"/>
          <w:lang w:val="en-GB"/>
        </w:rPr>
        <w:tab/>
      </w:r>
      <w:r w:rsidRPr="00C13A94">
        <w:rPr>
          <w:rFonts w:ascii="Times New Roman" w:hAnsi="Times New Roman"/>
          <w:sz w:val="24"/>
          <w:szCs w:val="24"/>
          <w:lang w:val="en-US"/>
        </w:rPr>
        <w:t xml:space="preserve">National Center for Biotechnology Information. PubChem Compound Summary for CID 44559875, S-panganensine. </w:t>
      </w:r>
      <w:r w:rsidRPr="008A3C98">
        <w:rPr>
          <w:rFonts w:ascii="Times New Roman" w:hAnsi="Times New Roman"/>
          <w:sz w:val="24"/>
          <w:szCs w:val="24"/>
          <w:lang w:val="en-US"/>
        </w:rPr>
        <w:t>https://pubchem.ncbi.nlm.nih.gov/compound/S-panganensine</w:t>
      </w:r>
      <w:r w:rsidRPr="00C13A94">
        <w:rPr>
          <w:rFonts w:ascii="Times New Roman" w:hAnsi="Times New Roman"/>
          <w:sz w:val="24"/>
          <w:szCs w:val="24"/>
          <w:lang w:val="en-US"/>
        </w:rPr>
        <w:t>. Accessed May 9, 2025.</w:t>
      </w:r>
    </w:p>
  </w:endnote>
  <w:endnote w:id="7">
    <w:p w14:paraId="446AB4D7" w14:textId="7718D8F8" w:rsidR="00A94334" w:rsidRPr="00C13A94" w:rsidRDefault="00A94334" w:rsidP="00A94334">
      <w:pPr>
        <w:pStyle w:val="Notedefin"/>
        <w:spacing w:line="276" w:lineRule="auto"/>
        <w:ind w:left="709" w:hanging="709"/>
        <w:jc w:val="both"/>
        <w:rPr>
          <w:rFonts w:ascii="Times New Roman" w:hAnsi="Times New Roman"/>
          <w:sz w:val="24"/>
          <w:szCs w:val="24"/>
          <w:lang w:val="en-GB"/>
        </w:rPr>
      </w:pPr>
      <w:r w:rsidRPr="00C13A94">
        <w:rPr>
          <w:rFonts w:ascii="Times New Roman" w:hAnsi="Times New Roman"/>
          <w:sz w:val="24"/>
          <w:szCs w:val="24"/>
          <w:lang w:val="fr-FR"/>
        </w:rPr>
        <w:endnoteRef/>
      </w:r>
      <w:r w:rsidRPr="00C13A94">
        <w:rPr>
          <w:rFonts w:ascii="Times New Roman" w:hAnsi="Times New Roman"/>
          <w:sz w:val="24"/>
          <w:szCs w:val="24"/>
          <w:lang w:val="en-GB"/>
        </w:rPr>
        <w:t xml:space="preserve"> </w:t>
      </w:r>
      <w:r w:rsidRPr="00C13A94">
        <w:rPr>
          <w:rFonts w:ascii="Times New Roman" w:hAnsi="Times New Roman"/>
          <w:sz w:val="24"/>
          <w:szCs w:val="24"/>
          <w:lang w:val="en-GB"/>
        </w:rPr>
        <w:tab/>
      </w:r>
      <w:r w:rsidRPr="00C13A94">
        <w:rPr>
          <w:rFonts w:ascii="Times New Roman" w:hAnsi="Times New Roman"/>
          <w:sz w:val="24"/>
          <w:szCs w:val="24"/>
          <w:lang w:val="en-US"/>
        </w:rPr>
        <w:t xml:space="preserve">National Center for Biotechnology Information. PubChem Compound Summary for CID 44559876, Panganensine X. </w:t>
      </w:r>
      <w:r w:rsidRPr="008A3C98">
        <w:rPr>
          <w:rFonts w:ascii="Times New Roman" w:hAnsi="Times New Roman"/>
          <w:sz w:val="24"/>
          <w:szCs w:val="24"/>
          <w:lang w:val="en-US"/>
        </w:rPr>
        <w:t>https://pubchem.ncbi.nlm.nih.gov/compound/Panganensine-X</w:t>
      </w:r>
      <w:r w:rsidRPr="00C13A94">
        <w:rPr>
          <w:rFonts w:ascii="Times New Roman" w:hAnsi="Times New Roman"/>
          <w:sz w:val="24"/>
          <w:szCs w:val="24"/>
          <w:lang w:val="en-US"/>
        </w:rPr>
        <w:t>. Accessed May 9, 2025.</w:t>
      </w:r>
    </w:p>
  </w:endnote>
  <w:endnote w:id="8">
    <w:p w14:paraId="12D478F8" w14:textId="2E3D5B40" w:rsidR="00186B10" w:rsidRPr="00C13A94" w:rsidRDefault="00186B10" w:rsidP="00735A6A">
      <w:pPr>
        <w:pStyle w:val="Notedefin"/>
        <w:spacing w:line="276" w:lineRule="auto"/>
        <w:ind w:left="709" w:hanging="709"/>
        <w:jc w:val="both"/>
        <w:rPr>
          <w:rFonts w:ascii="Times New Roman" w:hAnsi="Times New Roman"/>
          <w:sz w:val="24"/>
          <w:szCs w:val="24"/>
          <w:lang w:val="en-US"/>
        </w:rPr>
      </w:pPr>
      <w:r w:rsidRPr="00C13A94">
        <w:rPr>
          <w:rStyle w:val="Appeldenotedefin"/>
          <w:rFonts w:ascii="Times New Roman" w:hAnsi="Times New Roman"/>
          <w:sz w:val="24"/>
          <w:szCs w:val="24"/>
          <w:vertAlign w:val="baseline"/>
        </w:rPr>
        <w:endnoteRef/>
      </w:r>
      <w:r w:rsidRPr="00C13A94">
        <w:rPr>
          <w:rFonts w:ascii="Times New Roman" w:hAnsi="Times New Roman"/>
          <w:sz w:val="24"/>
          <w:szCs w:val="24"/>
          <w:lang w:val="en-US"/>
        </w:rPr>
        <w:t xml:space="preserve"> </w:t>
      </w:r>
      <w:r w:rsidRPr="00C13A94">
        <w:rPr>
          <w:rFonts w:ascii="Times New Roman" w:hAnsi="Times New Roman"/>
          <w:sz w:val="24"/>
          <w:szCs w:val="24"/>
          <w:lang w:val="en-US"/>
        </w:rPr>
        <w:tab/>
      </w:r>
      <w:r w:rsidR="00965C7E" w:rsidRPr="00C13A94">
        <w:rPr>
          <w:rFonts w:ascii="Times New Roman" w:hAnsi="Times New Roman"/>
          <w:sz w:val="24"/>
          <w:szCs w:val="24"/>
          <w:lang w:val="en-US"/>
        </w:rPr>
        <w:t>Y.</w:t>
      </w:r>
      <w:r w:rsidR="00965C7E">
        <w:rPr>
          <w:rFonts w:ascii="Times New Roman" w:hAnsi="Times New Roman"/>
          <w:sz w:val="24"/>
          <w:szCs w:val="24"/>
          <w:lang w:val="en-US"/>
        </w:rPr>
        <w:t xml:space="preserve"> </w:t>
      </w:r>
      <w:r w:rsidRPr="00C13A94">
        <w:rPr>
          <w:rFonts w:ascii="Times New Roman" w:hAnsi="Times New Roman"/>
          <w:sz w:val="24"/>
          <w:szCs w:val="24"/>
          <w:lang w:val="en-US"/>
        </w:rPr>
        <w:t>Zhao</w:t>
      </w:r>
      <w:r w:rsidR="006F1C6F" w:rsidRPr="006F1C6F">
        <w:rPr>
          <w:rFonts w:ascii="Times New Roman" w:hAnsi="Times New Roman"/>
          <w:sz w:val="24"/>
          <w:szCs w:val="24"/>
          <w:lang w:val="en-US"/>
        </w:rPr>
        <w:t xml:space="preserve"> </w:t>
      </w:r>
      <w:r w:rsidR="006F1C6F">
        <w:rPr>
          <w:rFonts w:ascii="Times New Roman" w:hAnsi="Times New Roman"/>
          <w:sz w:val="24"/>
          <w:szCs w:val="24"/>
          <w:lang w:val="en-US"/>
        </w:rPr>
        <w:t>and</w:t>
      </w:r>
      <w:r w:rsidRPr="00C13A94">
        <w:rPr>
          <w:rFonts w:ascii="Times New Roman" w:hAnsi="Times New Roman"/>
          <w:sz w:val="24"/>
          <w:szCs w:val="24"/>
          <w:lang w:val="en-US"/>
        </w:rPr>
        <w:t xml:space="preserve"> </w:t>
      </w:r>
      <w:r w:rsidR="00965C7E" w:rsidRPr="00C13A94">
        <w:rPr>
          <w:rFonts w:ascii="Times New Roman" w:hAnsi="Times New Roman"/>
          <w:sz w:val="24"/>
          <w:szCs w:val="24"/>
          <w:lang w:val="en-US"/>
        </w:rPr>
        <w:t xml:space="preserve">D.G. </w:t>
      </w:r>
      <w:r w:rsidRPr="00C13A94">
        <w:rPr>
          <w:rFonts w:ascii="Times New Roman" w:hAnsi="Times New Roman"/>
          <w:sz w:val="24"/>
          <w:szCs w:val="24"/>
          <w:lang w:val="en-US"/>
        </w:rPr>
        <w:t>Truhlar</w:t>
      </w:r>
      <w:r w:rsidR="00965C7E">
        <w:rPr>
          <w:rFonts w:ascii="Times New Roman" w:hAnsi="Times New Roman"/>
          <w:sz w:val="24"/>
          <w:szCs w:val="24"/>
          <w:lang w:val="en-US"/>
        </w:rPr>
        <w:t>,</w:t>
      </w:r>
      <w:r w:rsidRPr="00C13A94">
        <w:rPr>
          <w:rFonts w:ascii="Times New Roman" w:hAnsi="Times New Roman"/>
          <w:sz w:val="24"/>
          <w:szCs w:val="24"/>
          <w:lang w:val="en-US"/>
        </w:rPr>
        <w:t xml:space="preserve"> </w:t>
      </w:r>
      <w:r w:rsidRPr="00C13A94">
        <w:rPr>
          <w:rFonts w:ascii="Times New Roman" w:hAnsi="Times New Roman"/>
          <w:i/>
          <w:sz w:val="24"/>
          <w:szCs w:val="24"/>
          <w:lang w:val="en-US"/>
        </w:rPr>
        <w:t>Theor. Chem. Account</w:t>
      </w:r>
      <w:r w:rsidR="002B7370">
        <w:rPr>
          <w:rFonts w:ascii="Times New Roman" w:hAnsi="Times New Roman"/>
          <w:i/>
          <w:sz w:val="24"/>
          <w:szCs w:val="24"/>
          <w:lang w:val="en-US"/>
        </w:rPr>
        <w:t>,</w:t>
      </w:r>
      <w:r w:rsidRPr="00C13A94">
        <w:rPr>
          <w:rFonts w:ascii="Times New Roman" w:hAnsi="Times New Roman"/>
          <w:sz w:val="24"/>
          <w:szCs w:val="24"/>
          <w:lang w:val="en-US"/>
        </w:rPr>
        <w:t xml:space="preserve"> </w:t>
      </w:r>
      <w:r w:rsidRPr="005475E0">
        <w:rPr>
          <w:rFonts w:ascii="Times New Roman" w:hAnsi="Times New Roman"/>
          <w:sz w:val="24"/>
          <w:szCs w:val="24"/>
          <w:lang w:val="en-US"/>
        </w:rPr>
        <w:t>2008</w:t>
      </w:r>
      <w:r w:rsidRPr="00C13A94">
        <w:rPr>
          <w:rFonts w:ascii="Times New Roman" w:hAnsi="Times New Roman"/>
          <w:sz w:val="24"/>
          <w:szCs w:val="24"/>
          <w:lang w:val="en-US"/>
        </w:rPr>
        <w:t xml:space="preserve">, </w:t>
      </w:r>
      <w:r w:rsidRPr="005475E0">
        <w:rPr>
          <w:rFonts w:ascii="Times New Roman" w:hAnsi="Times New Roman"/>
          <w:b/>
          <w:sz w:val="24"/>
          <w:szCs w:val="24"/>
          <w:lang w:val="en-US"/>
        </w:rPr>
        <w:t>120</w:t>
      </w:r>
      <w:r w:rsidRPr="00C13A94">
        <w:rPr>
          <w:rFonts w:ascii="Times New Roman" w:hAnsi="Times New Roman"/>
          <w:sz w:val="24"/>
          <w:szCs w:val="24"/>
          <w:lang w:val="en-US"/>
        </w:rPr>
        <w:t xml:space="preserve">, </w:t>
      </w:r>
      <w:r w:rsidR="005475E0">
        <w:rPr>
          <w:rFonts w:ascii="Times New Roman" w:hAnsi="Times New Roman"/>
          <w:sz w:val="24"/>
          <w:szCs w:val="24"/>
          <w:lang w:val="en-US"/>
        </w:rPr>
        <w:t xml:space="preserve">pp. </w:t>
      </w:r>
      <w:r w:rsidRPr="00C13A94">
        <w:rPr>
          <w:rFonts w:ascii="Times New Roman" w:hAnsi="Times New Roman"/>
          <w:sz w:val="24"/>
          <w:szCs w:val="24"/>
          <w:lang w:val="en-US"/>
        </w:rPr>
        <w:t>215–241</w:t>
      </w:r>
      <w:r w:rsidR="005475E0" w:rsidRPr="005475E0">
        <w:rPr>
          <w:rFonts w:ascii="Times New Roman" w:hAnsi="Times New Roman"/>
          <w:sz w:val="24"/>
          <w:szCs w:val="24"/>
          <w:lang w:val="en-US"/>
        </w:rPr>
        <w:t>;</w:t>
      </w:r>
      <w:r w:rsidR="00E4412A" w:rsidRPr="00E4412A">
        <w:rPr>
          <w:lang w:val="en-US"/>
        </w:rPr>
        <w:t xml:space="preserve"> </w:t>
      </w:r>
      <w:r w:rsidR="00E4412A" w:rsidRPr="00E4412A">
        <w:rPr>
          <w:rFonts w:ascii="Times New Roman" w:hAnsi="Times New Roman"/>
          <w:sz w:val="24"/>
          <w:szCs w:val="24"/>
          <w:lang w:val="en-US"/>
        </w:rPr>
        <w:t>https://doi.org/10.1007/s00214-007-0310-x</w:t>
      </w:r>
      <w:r w:rsidRPr="00C13A94">
        <w:rPr>
          <w:rFonts w:ascii="Times New Roman" w:hAnsi="Times New Roman"/>
          <w:sz w:val="24"/>
          <w:szCs w:val="24"/>
          <w:lang w:val="en-US"/>
        </w:rPr>
        <w:t>.</w:t>
      </w:r>
    </w:p>
  </w:endnote>
  <w:endnote w:id="9">
    <w:p w14:paraId="7C316E00" w14:textId="7F4BBD6C" w:rsidR="00186B10" w:rsidRPr="00C13A94" w:rsidRDefault="00186B10" w:rsidP="008B4379">
      <w:pPr>
        <w:pStyle w:val="Notedefin"/>
        <w:spacing w:line="276" w:lineRule="auto"/>
        <w:ind w:left="709" w:hanging="709"/>
        <w:jc w:val="both"/>
        <w:rPr>
          <w:rFonts w:ascii="Times New Roman" w:hAnsi="Times New Roman"/>
          <w:sz w:val="24"/>
          <w:szCs w:val="24"/>
          <w:lang w:val="en-US"/>
        </w:rPr>
      </w:pPr>
      <w:r w:rsidRPr="00C13A94">
        <w:rPr>
          <w:rStyle w:val="Appeldenotedefin"/>
          <w:rFonts w:ascii="Times New Roman" w:hAnsi="Times New Roman"/>
          <w:sz w:val="24"/>
          <w:szCs w:val="24"/>
          <w:vertAlign w:val="baseline"/>
        </w:rPr>
        <w:endnoteRef/>
      </w:r>
      <w:r w:rsidR="005475E0">
        <w:rPr>
          <w:rFonts w:ascii="Times New Roman" w:hAnsi="Times New Roman"/>
          <w:sz w:val="24"/>
          <w:szCs w:val="24"/>
          <w:lang w:val="en-US"/>
        </w:rPr>
        <w:t xml:space="preserve"> </w:t>
      </w:r>
      <w:r w:rsidR="005475E0">
        <w:rPr>
          <w:rFonts w:ascii="Times New Roman" w:hAnsi="Times New Roman"/>
          <w:sz w:val="24"/>
          <w:szCs w:val="24"/>
          <w:lang w:val="en-US"/>
        </w:rPr>
        <w:tab/>
        <w:t>Y.Y. Rusakov, Y.A. Nikurashina, and I.</w:t>
      </w:r>
      <w:r w:rsidRPr="00C13A94">
        <w:rPr>
          <w:rFonts w:ascii="Times New Roman" w:hAnsi="Times New Roman"/>
          <w:sz w:val="24"/>
          <w:szCs w:val="24"/>
          <w:lang w:val="en-US"/>
        </w:rPr>
        <w:t xml:space="preserve">L. Rusakova. </w:t>
      </w:r>
      <w:r w:rsidRPr="00C13A94">
        <w:rPr>
          <w:rFonts w:ascii="Times New Roman" w:hAnsi="Times New Roman"/>
          <w:i/>
          <w:iCs/>
          <w:sz w:val="24"/>
          <w:szCs w:val="24"/>
          <w:lang w:val="en-US"/>
        </w:rPr>
        <w:t>J. Chem. Phys.</w:t>
      </w:r>
      <w:r w:rsidR="002B7370">
        <w:rPr>
          <w:rFonts w:ascii="Times New Roman" w:hAnsi="Times New Roman"/>
          <w:i/>
          <w:iCs/>
          <w:sz w:val="24"/>
          <w:szCs w:val="24"/>
          <w:lang w:val="en-US"/>
        </w:rPr>
        <w:t>,</w:t>
      </w:r>
      <w:r w:rsidRPr="00C13A94">
        <w:rPr>
          <w:rFonts w:ascii="Times New Roman" w:hAnsi="Times New Roman"/>
          <w:i/>
          <w:iCs/>
          <w:sz w:val="24"/>
          <w:szCs w:val="24"/>
          <w:lang w:val="en-US"/>
        </w:rPr>
        <w:t xml:space="preserve"> </w:t>
      </w:r>
      <w:r w:rsidRPr="00C13A94">
        <w:rPr>
          <w:rFonts w:ascii="Times New Roman" w:hAnsi="Times New Roman"/>
          <w:sz w:val="24"/>
          <w:szCs w:val="24"/>
          <w:lang w:val="en-US"/>
        </w:rPr>
        <w:t xml:space="preserve">2024, </w:t>
      </w:r>
      <w:r w:rsidRPr="00C13A94">
        <w:rPr>
          <w:rFonts w:ascii="Times New Roman" w:hAnsi="Times New Roman"/>
          <w:b/>
          <w:sz w:val="24"/>
          <w:szCs w:val="24"/>
          <w:lang w:val="en-US"/>
        </w:rPr>
        <w:t>160</w:t>
      </w:r>
      <w:r w:rsidRPr="00C13A94">
        <w:rPr>
          <w:rFonts w:ascii="Times New Roman" w:hAnsi="Times New Roman"/>
          <w:sz w:val="24"/>
          <w:szCs w:val="24"/>
          <w:lang w:val="en-US"/>
        </w:rPr>
        <w:t>, 084109</w:t>
      </w:r>
      <w:r w:rsidR="006F1C6F">
        <w:rPr>
          <w:rFonts w:ascii="Times New Roman" w:hAnsi="Times New Roman"/>
          <w:sz w:val="24"/>
          <w:szCs w:val="24"/>
          <w:lang w:val="en-US"/>
        </w:rPr>
        <w:t>;</w:t>
      </w:r>
      <w:r w:rsidR="008B4379" w:rsidRPr="008B4379">
        <w:rPr>
          <w:lang w:val="en-US"/>
        </w:rPr>
        <w:t xml:space="preserve"> </w:t>
      </w:r>
      <w:r w:rsidR="008B4379" w:rsidRPr="008B4379">
        <w:rPr>
          <w:rFonts w:ascii="Times New Roman" w:hAnsi="Times New Roman"/>
          <w:sz w:val="24"/>
          <w:szCs w:val="24"/>
          <w:lang w:val="en-US"/>
        </w:rPr>
        <w:t>https://doi.org/10.1063/5.0193227</w:t>
      </w:r>
      <w:r w:rsidRPr="00C13A94">
        <w:rPr>
          <w:rFonts w:ascii="Times New Roman" w:hAnsi="Times New Roman"/>
          <w:sz w:val="24"/>
          <w:szCs w:val="24"/>
          <w:lang w:val="en-US"/>
        </w:rPr>
        <w:t>.</w:t>
      </w:r>
    </w:p>
  </w:endnote>
  <w:endnote w:id="10">
    <w:p w14:paraId="0F55E0C7" w14:textId="6DA67B94" w:rsidR="00186B10" w:rsidRPr="00C13A94" w:rsidRDefault="00186B10" w:rsidP="00735A6A">
      <w:pPr>
        <w:pStyle w:val="Notedefin"/>
        <w:spacing w:line="276" w:lineRule="auto"/>
        <w:ind w:left="709" w:hanging="709"/>
        <w:jc w:val="both"/>
        <w:rPr>
          <w:rFonts w:ascii="Times New Roman" w:hAnsi="Times New Roman"/>
          <w:sz w:val="24"/>
          <w:szCs w:val="24"/>
          <w:lang w:val="en-US"/>
        </w:rPr>
      </w:pPr>
      <w:r w:rsidRPr="00C13A94">
        <w:rPr>
          <w:rStyle w:val="Appeldenotedefin"/>
          <w:rFonts w:ascii="Times New Roman" w:hAnsi="Times New Roman"/>
          <w:sz w:val="24"/>
          <w:szCs w:val="24"/>
          <w:vertAlign w:val="baseline"/>
        </w:rPr>
        <w:endnoteRef/>
      </w:r>
      <w:r w:rsidR="005475E0">
        <w:rPr>
          <w:rFonts w:ascii="Times New Roman" w:hAnsi="Times New Roman"/>
          <w:sz w:val="24"/>
          <w:szCs w:val="24"/>
          <w:lang w:val="en-US"/>
        </w:rPr>
        <w:t xml:space="preserve"> </w:t>
      </w:r>
      <w:r w:rsidR="005475E0">
        <w:rPr>
          <w:rFonts w:ascii="Times New Roman" w:hAnsi="Times New Roman"/>
          <w:sz w:val="24"/>
          <w:szCs w:val="24"/>
          <w:lang w:val="en-US"/>
        </w:rPr>
        <w:tab/>
        <w:t>Y.</w:t>
      </w:r>
      <w:r w:rsidR="00C13581">
        <w:rPr>
          <w:rFonts w:ascii="Times New Roman" w:hAnsi="Times New Roman"/>
          <w:sz w:val="24"/>
          <w:szCs w:val="24"/>
          <w:lang w:val="en-US"/>
        </w:rPr>
        <w:t xml:space="preserve">Y. </w:t>
      </w:r>
      <w:r w:rsidRPr="00C13A94">
        <w:rPr>
          <w:rFonts w:ascii="Times New Roman" w:hAnsi="Times New Roman"/>
          <w:sz w:val="24"/>
          <w:szCs w:val="24"/>
          <w:lang w:val="en-US"/>
        </w:rPr>
        <w:t>Rus</w:t>
      </w:r>
      <w:r w:rsidR="005475E0">
        <w:rPr>
          <w:rFonts w:ascii="Times New Roman" w:hAnsi="Times New Roman"/>
          <w:sz w:val="24"/>
          <w:szCs w:val="24"/>
          <w:lang w:val="en-US"/>
        </w:rPr>
        <w:t>akov, Y.A. Nikurashina, and I.</w:t>
      </w:r>
      <w:r w:rsidRPr="00C13A94">
        <w:rPr>
          <w:rFonts w:ascii="Times New Roman" w:hAnsi="Times New Roman"/>
          <w:sz w:val="24"/>
          <w:szCs w:val="24"/>
          <w:lang w:val="en-US"/>
        </w:rPr>
        <w:t xml:space="preserve">L. Rusakova. </w:t>
      </w:r>
      <w:r w:rsidRPr="00C13A94">
        <w:rPr>
          <w:rFonts w:ascii="Times New Roman" w:hAnsi="Times New Roman"/>
          <w:i/>
          <w:sz w:val="24"/>
          <w:szCs w:val="24"/>
          <w:lang w:val="en-US"/>
        </w:rPr>
        <w:t>J. Chem. Theory Comput.</w:t>
      </w:r>
      <w:r w:rsidR="002B7370">
        <w:rPr>
          <w:rFonts w:ascii="Times New Roman" w:hAnsi="Times New Roman"/>
          <w:i/>
          <w:sz w:val="24"/>
          <w:szCs w:val="24"/>
          <w:lang w:val="en-US"/>
        </w:rPr>
        <w:t>,</w:t>
      </w:r>
      <w:r w:rsidRPr="00C13A94">
        <w:rPr>
          <w:rFonts w:ascii="Times New Roman" w:hAnsi="Times New Roman"/>
          <w:sz w:val="24"/>
          <w:szCs w:val="24"/>
          <w:lang w:val="en-US"/>
        </w:rPr>
        <w:t xml:space="preserve"> 2024, </w:t>
      </w:r>
      <w:r w:rsidRPr="00C13A94">
        <w:rPr>
          <w:rFonts w:ascii="Times New Roman" w:hAnsi="Times New Roman"/>
          <w:b/>
          <w:sz w:val="24"/>
          <w:szCs w:val="24"/>
          <w:lang w:val="en-US"/>
        </w:rPr>
        <w:t>20</w:t>
      </w:r>
      <w:r w:rsidRPr="00C13A94">
        <w:rPr>
          <w:rFonts w:ascii="Times New Roman" w:hAnsi="Times New Roman"/>
          <w:sz w:val="24"/>
          <w:szCs w:val="24"/>
          <w:lang w:val="en-US"/>
        </w:rPr>
        <w:t xml:space="preserve">, </w:t>
      </w:r>
      <w:r w:rsidR="00E217C8" w:rsidRPr="004E6572">
        <w:rPr>
          <w:rFonts w:ascii="Times New Roman" w:hAnsi="Times New Roman"/>
          <w:sz w:val="24"/>
          <w:szCs w:val="24"/>
          <w:lang w:val="en-US"/>
        </w:rPr>
        <w:t xml:space="preserve">pp. </w:t>
      </w:r>
      <w:r w:rsidRPr="00C13A94">
        <w:rPr>
          <w:rFonts w:ascii="Times New Roman" w:hAnsi="Times New Roman"/>
          <w:sz w:val="24"/>
          <w:szCs w:val="24"/>
          <w:lang w:val="en-US"/>
        </w:rPr>
        <w:t xml:space="preserve">6661–6673; </w:t>
      </w:r>
      <w:r w:rsidRPr="008A3C98">
        <w:rPr>
          <w:rFonts w:ascii="Times New Roman" w:hAnsi="Times New Roman"/>
          <w:sz w:val="24"/>
          <w:szCs w:val="24"/>
          <w:lang w:val="en-US"/>
        </w:rPr>
        <w:t>https://doi.org/10.1021/acs.jctc.4c00772</w:t>
      </w:r>
      <w:r w:rsidRPr="00C13A94">
        <w:rPr>
          <w:rFonts w:ascii="Times New Roman" w:hAnsi="Times New Roman"/>
          <w:sz w:val="24"/>
          <w:szCs w:val="24"/>
          <w:lang w:val="en-US"/>
        </w:rPr>
        <w:t>.</w:t>
      </w:r>
    </w:p>
  </w:endnote>
  <w:endnote w:id="11">
    <w:p w14:paraId="6C9CDF9F" w14:textId="3F40518A" w:rsidR="00186B10" w:rsidRPr="00C13A94" w:rsidRDefault="00186B10" w:rsidP="00735A6A">
      <w:pPr>
        <w:pStyle w:val="Notedefin"/>
        <w:spacing w:line="276" w:lineRule="auto"/>
        <w:ind w:left="709" w:hanging="709"/>
        <w:jc w:val="both"/>
        <w:rPr>
          <w:rFonts w:ascii="Times New Roman" w:hAnsi="Times New Roman"/>
          <w:sz w:val="24"/>
          <w:szCs w:val="24"/>
          <w:lang w:val="en-US"/>
        </w:rPr>
      </w:pPr>
      <w:r w:rsidRPr="00C13A94">
        <w:rPr>
          <w:rStyle w:val="Appeldenotedefin"/>
          <w:rFonts w:ascii="Times New Roman" w:hAnsi="Times New Roman"/>
          <w:sz w:val="24"/>
          <w:szCs w:val="24"/>
          <w:vertAlign w:val="baseline"/>
        </w:rPr>
        <w:endnoteRef/>
      </w:r>
      <w:r w:rsidRPr="00C13A94">
        <w:rPr>
          <w:rFonts w:ascii="Times New Roman" w:hAnsi="Times New Roman"/>
          <w:sz w:val="24"/>
          <w:szCs w:val="24"/>
          <w:lang w:val="en-US"/>
        </w:rPr>
        <w:t xml:space="preserve"> </w:t>
      </w:r>
      <w:r w:rsidRPr="00C13A94">
        <w:rPr>
          <w:rFonts w:ascii="Times New Roman" w:hAnsi="Times New Roman"/>
          <w:sz w:val="24"/>
          <w:szCs w:val="24"/>
          <w:lang w:val="en-US"/>
        </w:rPr>
        <w:tab/>
      </w:r>
      <w:r w:rsidR="006F1C6F" w:rsidRPr="00C13A94">
        <w:rPr>
          <w:rFonts w:ascii="Times New Roman" w:hAnsi="Times New Roman"/>
          <w:sz w:val="24"/>
          <w:szCs w:val="24"/>
          <w:lang w:val="en-US"/>
        </w:rPr>
        <w:t>J.</w:t>
      </w:r>
      <w:r w:rsidR="006F1C6F">
        <w:rPr>
          <w:rFonts w:ascii="Times New Roman" w:hAnsi="Times New Roman"/>
          <w:sz w:val="24"/>
          <w:szCs w:val="24"/>
          <w:lang w:val="en-US"/>
        </w:rPr>
        <w:t xml:space="preserve"> </w:t>
      </w:r>
      <w:r w:rsidRPr="00C13A94">
        <w:rPr>
          <w:rFonts w:ascii="Times New Roman" w:hAnsi="Times New Roman"/>
          <w:sz w:val="24"/>
          <w:szCs w:val="24"/>
          <w:lang w:val="en-US"/>
        </w:rPr>
        <w:t xml:space="preserve">Tomasi, </w:t>
      </w:r>
      <w:r w:rsidR="006F1C6F" w:rsidRPr="00C13A94">
        <w:rPr>
          <w:rFonts w:ascii="Times New Roman" w:hAnsi="Times New Roman"/>
          <w:sz w:val="24"/>
          <w:szCs w:val="24"/>
          <w:lang w:val="en-US"/>
        </w:rPr>
        <w:t>B.</w:t>
      </w:r>
      <w:r w:rsidR="006F1C6F">
        <w:rPr>
          <w:rFonts w:ascii="Times New Roman" w:hAnsi="Times New Roman"/>
          <w:sz w:val="24"/>
          <w:szCs w:val="24"/>
          <w:lang w:val="en-US"/>
        </w:rPr>
        <w:t xml:space="preserve"> </w:t>
      </w:r>
      <w:r w:rsidRPr="00C13A94">
        <w:rPr>
          <w:rFonts w:ascii="Times New Roman" w:hAnsi="Times New Roman"/>
          <w:sz w:val="24"/>
          <w:szCs w:val="24"/>
          <w:lang w:val="en-US"/>
        </w:rPr>
        <w:t xml:space="preserve">Mennucci, </w:t>
      </w:r>
      <w:r w:rsidR="005475E0" w:rsidRPr="00C13A94">
        <w:rPr>
          <w:rFonts w:ascii="Times New Roman" w:hAnsi="Times New Roman"/>
          <w:sz w:val="24"/>
          <w:szCs w:val="24"/>
          <w:lang w:val="en-US"/>
        </w:rPr>
        <w:t xml:space="preserve">and </w:t>
      </w:r>
      <w:r w:rsidR="00B67CE5" w:rsidRPr="00C13A94">
        <w:rPr>
          <w:rFonts w:ascii="Times New Roman" w:hAnsi="Times New Roman"/>
          <w:sz w:val="24"/>
          <w:szCs w:val="24"/>
          <w:lang w:val="en-US"/>
        </w:rPr>
        <w:t>E.</w:t>
      </w:r>
      <w:r w:rsidR="00B67CE5">
        <w:rPr>
          <w:rFonts w:ascii="Times New Roman" w:hAnsi="Times New Roman"/>
          <w:sz w:val="24"/>
          <w:szCs w:val="24"/>
          <w:lang w:val="en-US"/>
        </w:rPr>
        <w:t xml:space="preserve"> </w:t>
      </w:r>
      <w:r w:rsidRPr="00C13A94">
        <w:rPr>
          <w:rFonts w:ascii="Times New Roman" w:hAnsi="Times New Roman"/>
          <w:sz w:val="24"/>
          <w:szCs w:val="24"/>
          <w:lang w:val="en-US"/>
        </w:rPr>
        <w:t xml:space="preserve">Cancès, </w:t>
      </w:r>
      <w:r w:rsidRPr="00C13A94">
        <w:rPr>
          <w:rFonts w:ascii="Times New Roman" w:hAnsi="Times New Roman"/>
          <w:i/>
          <w:sz w:val="24"/>
          <w:szCs w:val="24"/>
          <w:lang w:val="en-US"/>
        </w:rPr>
        <w:t>THEOCHEM</w:t>
      </w:r>
      <w:r w:rsidR="002B7370">
        <w:rPr>
          <w:rFonts w:ascii="Times New Roman" w:hAnsi="Times New Roman"/>
          <w:i/>
          <w:sz w:val="24"/>
          <w:szCs w:val="24"/>
          <w:lang w:val="en-US"/>
        </w:rPr>
        <w:t>,</w:t>
      </w:r>
      <w:r w:rsidRPr="00C13A94">
        <w:rPr>
          <w:rFonts w:ascii="Times New Roman" w:hAnsi="Times New Roman"/>
          <w:sz w:val="24"/>
          <w:szCs w:val="24"/>
          <w:lang w:val="en-US"/>
        </w:rPr>
        <w:t xml:space="preserve"> </w:t>
      </w:r>
      <w:r w:rsidRPr="006F1C6F">
        <w:rPr>
          <w:rFonts w:ascii="Times New Roman" w:hAnsi="Times New Roman"/>
          <w:bCs/>
          <w:sz w:val="24"/>
          <w:szCs w:val="24"/>
          <w:lang w:val="en-US"/>
        </w:rPr>
        <w:t>1999</w:t>
      </w:r>
      <w:r w:rsidRPr="00C13A94">
        <w:rPr>
          <w:rFonts w:ascii="Times New Roman" w:hAnsi="Times New Roman"/>
          <w:sz w:val="24"/>
          <w:szCs w:val="24"/>
          <w:lang w:val="en-US"/>
        </w:rPr>
        <w:t xml:space="preserve">, </w:t>
      </w:r>
      <w:r w:rsidRPr="006F1C6F">
        <w:rPr>
          <w:rFonts w:ascii="Times New Roman" w:hAnsi="Times New Roman"/>
          <w:b/>
          <w:sz w:val="24"/>
          <w:szCs w:val="24"/>
          <w:lang w:val="en-US"/>
        </w:rPr>
        <w:t>464</w:t>
      </w:r>
      <w:r w:rsidRPr="00C13A94">
        <w:rPr>
          <w:rFonts w:ascii="Times New Roman" w:hAnsi="Times New Roman"/>
          <w:sz w:val="24"/>
          <w:szCs w:val="24"/>
          <w:lang w:val="en-US"/>
        </w:rPr>
        <w:t xml:space="preserve">, </w:t>
      </w:r>
      <w:r w:rsidR="00E217C8" w:rsidRPr="004E6572">
        <w:rPr>
          <w:rFonts w:ascii="Times New Roman" w:hAnsi="Times New Roman"/>
          <w:sz w:val="24"/>
          <w:szCs w:val="24"/>
          <w:lang w:val="en-US"/>
        </w:rPr>
        <w:t xml:space="preserve">pp. </w:t>
      </w:r>
      <w:r w:rsidRPr="00C13A94">
        <w:rPr>
          <w:rFonts w:ascii="Times New Roman" w:hAnsi="Times New Roman"/>
          <w:sz w:val="24"/>
          <w:szCs w:val="24"/>
          <w:lang w:val="en-US"/>
        </w:rPr>
        <w:t>211–226</w:t>
      </w:r>
      <w:r w:rsidR="006F1C6F">
        <w:rPr>
          <w:rFonts w:ascii="Times New Roman" w:hAnsi="Times New Roman"/>
          <w:sz w:val="24"/>
          <w:szCs w:val="24"/>
          <w:lang w:val="en-US"/>
        </w:rPr>
        <w:t>;</w:t>
      </w:r>
      <w:r w:rsidR="006F1C6F" w:rsidRPr="006F1C6F">
        <w:rPr>
          <w:lang w:val="en-US"/>
        </w:rPr>
        <w:t xml:space="preserve"> </w:t>
      </w:r>
      <w:r w:rsidR="006F1C6F" w:rsidRPr="006F1C6F">
        <w:rPr>
          <w:rFonts w:ascii="Times New Roman" w:hAnsi="Times New Roman"/>
          <w:sz w:val="24"/>
          <w:szCs w:val="24"/>
          <w:lang w:val="en-US"/>
        </w:rPr>
        <w:t>https://doi.org/10.1016/S0166-1280(98)00553-3</w:t>
      </w:r>
      <w:r w:rsidRPr="00C13A94">
        <w:rPr>
          <w:rFonts w:ascii="Times New Roman" w:hAnsi="Times New Roman"/>
          <w:sz w:val="24"/>
          <w:szCs w:val="24"/>
          <w:lang w:val="en-US"/>
        </w:rPr>
        <w:t>.</w:t>
      </w:r>
    </w:p>
  </w:endnote>
  <w:endnote w:id="12">
    <w:p w14:paraId="593BD2D7" w14:textId="639B65DD" w:rsidR="00186B10" w:rsidRPr="00C13A94" w:rsidRDefault="00186B10" w:rsidP="00735A6A">
      <w:pPr>
        <w:pStyle w:val="Notedefin"/>
        <w:spacing w:line="276" w:lineRule="auto"/>
        <w:ind w:left="709" w:hanging="709"/>
        <w:jc w:val="both"/>
        <w:rPr>
          <w:rFonts w:ascii="Times New Roman" w:hAnsi="Times New Roman"/>
          <w:sz w:val="24"/>
          <w:szCs w:val="24"/>
          <w:lang w:val="en-US"/>
        </w:rPr>
      </w:pPr>
      <w:r w:rsidRPr="00C13A94">
        <w:rPr>
          <w:rFonts w:ascii="Times New Roman" w:hAnsi="Times New Roman"/>
          <w:sz w:val="24"/>
          <w:szCs w:val="24"/>
          <w:lang w:val="en-US"/>
        </w:rPr>
        <w:endnoteRef/>
      </w:r>
      <w:r w:rsidRPr="00C13A94">
        <w:rPr>
          <w:rFonts w:ascii="Times New Roman" w:hAnsi="Times New Roman"/>
          <w:sz w:val="24"/>
          <w:szCs w:val="24"/>
          <w:lang w:val="en-US"/>
        </w:rPr>
        <w:t xml:space="preserve"> </w:t>
      </w:r>
      <w:r w:rsidRPr="00C13A94">
        <w:rPr>
          <w:rFonts w:ascii="Times New Roman" w:hAnsi="Times New Roman"/>
          <w:sz w:val="24"/>
          <w:szCs w:val="24"/>
          <w:lang w:val="en-US"/>
        </w:rPr>
        <w:tab/>
      </w:r>
      <w:r w:rsidR="00B67CE5" w:rsidRPr="00C13A94">
        <w:rPr>
          <w:rFonts w:ascii="Times New Roman" w:hAnsi="Times New Roman"/>
          <w:sz w:val="24"/>
          <w:szCs w:val="24"/>
          <w:lang w:val="en-US"/>
        </w:rPr>
        <w:t>J.</w:t>
      </w:r>
      <w:r w:rsidR="00B67CE5">
        <w:rPr>
          <w:rFonts w:ascii="Times New Roman" w:hAnsi="Times New Roman"/>
          <w:sz w:val="24"/>
          <w:szCs w:val="24"/>
          <w:lang w:val="en-US"/>
        </w:rPr>
        <w:t xml:space="preserve"> </w:t>
      </w:r>
      <w:r w:rsidRPr="00C13A94">
        <w:rPr>
          <w:rFonts w:ascii="Times New Roman" w:hAnsi="Times New Roman"/>
          <w:sz w:val="24"/>
          <w:szCs w:val="24"/>
          <w:lang w:val="en-US"/>
        </w:rPr>
        <w:t xml:space="preserve">Tomasi, </w:t>
      </w:r>
      <w:r w:rsidR="00B67CE5" w:rsidRPr="00C13A94">
        <w:rPr>
          <w:rFonts w:ascii="Times New Roman" w:hAnsi="Times New Roman"/>
          <w:sz w:val="24"/>
          <w:szCs w:val="24"/>
          <w:lang w:val="en-US"/>
        </w:rPr>
        <w:t>B</w:t>
      </w:r>
      <w:r w:rsidR="00B67CE5" w:rsidRPr="002B7370">
        <w:rPr>
          <w:rFonts w:ascii="Times New Roman" w:hAnsi="Times New Roman"/>
          <w:sz w:val="24"/>
          <w:szCs w:val="24"/>
          <w:lang w:val="en-US"/>
        </w:rPr>
        <w:t xml:space="preserve">. </w:t>
      </w:r>
      <w:r w:rsidRPr="002B7370">
        <w:rPr>
          <w:rFonts w:ascii="Times New Roman" w:hAnsi="Times New Roman"/>
          <w:sz w:val="24"/>
          <w:szCs w:val="24"/>
          <w:lang w:val="en-US"/>
        </w:rPr>
        <w:t xml:space="preserve">Mennucci, </w:t>
      </w:r>
      <w:r w:rsidR="005475E0" w:rsidRPr="002B7370">
        <w:rPr>
          <w:rFonts w:ascii="Times New Roman" w:hAnsi="Times New Roman"/>
          <w:sz w:val="24"/>
          <w:szCs w:val="24"/>
          <w:lang w:val="en-US"/>
        </w:rPr>
        <w:t xml:space="preserve">and </w:t>
      </w:r>
      <w:r w:rsidR="00B67CE5" w:rsidRPr="002B7370">
        <w:rPr>
          <w:rFonts w:ascii="Times New Roman" w:hAnsi="Times New Roman"/>
          <w:sz w:val="24"/>
          <w:szCs w:val="24"/>
          <w:lang w:val="en-US"/>
        </w:rPr>
        <w:t>R.</w:t>
      </w:r>
      <w:r w:rsidR="00B67CE5" w:rsidRPr="00C13A94">
        <w:rPr>
          <w:rFonts w:ascii="Times New Roman" w:hAnsi="Times New Roman"/>
          <w:sz w:val="24"/>
          <w:szCs w:val="24"/>
          <w:lang w:val="en-US"/>
        </w:rPr>
        <w:t xml:space="preserve"> </w:t>
      </w:r>
      <w:r w:rsidRPr="00C13A94">
        <w:rPr>
          <w:rFonts w:ascii="Times New Roman" w:hAnsi="Times New Roman"/>
          <w:sz w:val="24"/>
          <w:szCs w:val="24"/>
          <w:lang w:val="en-US"/>
        </w:rPr>
        <w:t>Cammi,</w:t>
      </w:r>
      <w:r w:rsidR="002B7370" w:rsidRPr="002B7370">
        <w:rPr>
          <w:lang w:val="en-US"/>
        </w:rPr>
        <w:t xml:space="preserve"> </w:t>
      </w:r>
      <w:r w:rsidR="002B7370" w:rsidRPr="002B7370">
        <w:rPr>
          <w:rFonts w:ascii="Times New Roman" w:hAnsi="Times New Roman"/>
          <w:i/>
          <w:sz w:val="24"/>
          <w:szCs w:val="24"/>
          <w:lang w:val="en-US"/>
        </w:rPr>
        <w:t>Chem. Rev.</w:t>
      </w:r>
      <w:r w:rsidR="002B7370">
        <w:rPr>
          <w:rFonts w:ascii="Times New Roman" w:hAnsi="Times New Roman"/>
          <w:sz w:val="24"/>
          <w:szCs w:val="24"/>
          <w:lang w:val="en-US"/>
        </w:rPr>
        <w:t>,</w:t>
      </w:r>
      <w:r w:rsidRPr="00C13A94">
        <w:rPr>
          <w:rFonts w:ascii="Times New Roman" w:hAnsi="Times New Roman"/>
          <w:sz w:val="24"/>
          <w:szCs w:val="24"/>
          <w:lang w:val="en-US"/>
        </w:rPr>
        <w:t xml:space="preserve"> 2005, </w:t>
      </w:r>
      <w:r w:rsidRPr="006F1C6F">
        <w:rPr>
          <w:rFonts w:ascii="Times New Roman" w:hAnsi="Times New Roman"/>
          <w:b/>
          <w:sz w:val="24"/>
          <w:szCs w:val="24"/>
          <w:lang w:val="en-US"/>
        </w:rPr>
        <w:t>105</w:t>
      </w:r>
      <w:r w:rsidRPr="00C13A94">
        <w:rPr>
          <w:rFonts w:ascii="Times New Roman" w:hAnsi="Times New Roman"/>
          <w:sz w:val="24"/>
          <w:szCs w:val="24"/>
          <w:lang w:val="en-US"/>
        </w:rPr>
        <w:t xml:space="preserve">, </w:t>
      </w:r>
      <w:r w:rsidR="00E217C8" w:rsidRPr="004E6572">
        <w:rPr>
          <w:rFonts w:ascii="Times New Roman" w:hAnsi="Times New Roman"/>
          <w:sz w:val="24"/>
          <w:szCs w:val="24"/>
          <w:lang w:val="en-US"/>
        </w:rPr>
        <w:t xml:space="preserve">pp. </w:t>
      </w:r>
      <w:r w:rsidRPr="00C13A94">
        <w:rPr>
          <w:rFonts w:ascii="Times New Roman" w:hAnsi="Times New Roman"/>
          <w:sz w:val="24"/>
          <w:szCs w:val="24"/>
          <w:lang w:val="en-US"/>
        </w:rPr>
        <w:t>2999–3093</w:t>
      </w:r>
      <w:r w:rsidR="002B7370">
        <w:rPr>
          <w:rFonts w:ascii="Times New Roman" w:hAnsi="Times New Roman"/>
          <w:sz w:val="24"/>
          <w:szCs w:val="24"/>
          <w:lang w:val="en-US"/>
        </w:rPr>
        <w:t xml:space="preserve">; </w:t>
      </w:r>
      <w:r w:rsidR="006F1C6F" w:rsidRPr="006F1C6F">
        <w:rPr>
          <w:rFonts w:ascii="Times New Roman" w:hAnsi="Times New Roman"/>
          <w:sz w:val="24"/>
          <w:szCs w:val="24"/>
          <w:lang w:val="en-US"/>
        </w:rPr>
        <w:t>https://doi.org/10.1021/cr9904009</w:t>
      </w:r>
      <w:r w:rsidRPr="00C13A94">
        <w:rPr>
          <w:rFonts w:ascii="Times New Roman" w:hAnsi="Times New Roman"/>
          <w:sz w:val="24"/>
          <w:szCs w:val="24"/>
          <w:lang w:val="en-US"/>
        </w:rPr>
        <w:t>.</w:t>
      </w:r>
    </w:p>
  </w:endnote>
  <w:endnote w:id="13">
    <w:p w14:paraId="64AAC911" w14:textId="00E7EFB6" w:rsidR="00A94334" w:rsidRPr="00C13A94" w:rsidRDefault="00A94334" w:rsidP="006F1C6F">
      <w:pPr>
        <w:pStyle w:val="Notedefin"/>
        <w:spacing w:line="276" w:lineRule="auto"/>
        <w:ind w:left="709" w:hanging="709"/>
        <w:jc w:val="both"/>
        <w:rPr>
          <w:rStyle w:val="Appeldenotedefin"/>
          <w:rFonts w:ascii="Times New Roman" w:hAnsi="Times New Roman"/>
          <w:sz w:val="24"/>
          <w:szCs w:val="24"/>
          <w:vertAlign w:val="baseline"/>
          <w:lang w:val="en-US"/>
        </w:rPr>
      </w:pPr>
      <w:r w:rsidRPr="00C13A94">
        <w:rPr>
          <w:rStyle w:val="Appeldenotedefin"/>
          <w:rFonts w:ascii="Times New Roman" w:hAnsi="Times New Roman"/>
          <w:sz w:val="24"/>
          <w:szCs w:val="24"/>
          <w:vertAlign w:val="baseline"/>
        </w:rPr>
        <w:endnoteRef/>
      </w:r>
      <w:r w:rsidRPr="00C13A94">
        <w:rPr>
          <w:rStyle w:val="Appeldenotedefin"/>
          <w:rFonts w:ascii="Times New Roman" w:hAnsi="Times New Roman"/>
          <w:sz w:val="24"/>
          <w:szCs w:val="24"/>
          <w:vertAlign w:val="baseline"/>
          <w:lang w:val="en-US"/>
        </w:rPr>
        <w:t xml:space="preserve"> </w:t>
      </w:r>
      <w:r w:rsidRPr="00C13A94">
        <w:rPr>
          <w:rFonts w:ascii="Times New Roman" w:hAnsi="Times New Roman"/>
          <w:sz w:val="24"/>
          <w:szCs w:val="24"/>
          <w:lang w:val="en-US"/>
        </w:rPr>
        <w:tab/>
      </w:r>
      <w:r w:rsidR="00B67CE5" w:rsidRPr="00C13A94">
        <w:rPr>
          <w:rFonts w:ascii="Times New Roman" w:hAnsi="Times New Roman"/>
          <w:sz w:val="24"/>
          <w:szCs w:val="24"/>
          <w:lang w:val="en-US"/>
        </w:rPr>
        <w:t>C.</w:t>
      </w:r>
      <w:r w:rsidR="00B67CE5">
        <w:rPr>
          <w:rFonts w:ascii="Times New Roman" w:hAnsi="Times New Roman"/>
          <w:sz w:val="24"/>
          <w:szCs w:val="24"/>
          <w:lang w:val="en-US"/>
        </w:rPr>
        <w:t xml:space="preserve"> </w:t>
      </w:r>
      <w:r w:rsidRPr="00C13A94">
        <w:rPr>
          <w:rFonts w:ascii="Times New Roman" w:hAnsi="Times New Roman"/>
          <w:sz w:val="24"/>
          <w:szCs w:val="24"/>
          <w:lang w:val="en-US"/>
        </w:rPr>
        <w:t xml:space="preserve">Adamo </w:t>
      </w:r>
      <w:r w:rsidR="005475E0" w:rsidRPr="00C13A94">
        <w:rPr>
          <w:rFonts w:ascii="Times New Roman" w:hAnsi="Times New Roman"/>
          <w:sz w:val="24"/>
          <w:szCs w:val="24"/>
          <w:lang w:val="en-US"/>
        </w:rPr>
        <w:t>and</w:t>
      </w:r>
      <w:r w:rsidRPr="00C13A94">
        <w:rPr>
          <w:rFonts w:ascii="Times New Roman" w:hAnsi="Times New Roman"/>
          <w:sz w:val="24"/>
          <w:szCs w:val="24"/>
          <w:lang w:val="en-US"/>
        </w:rPr>
        <w:t xml:space="preserve"> </w:t>
      </w:r>
      <w:r w:rsidR="00B67CE5" w:rsidRPr="00C13A94">
        <w:rPr>
          <w:rFonts w:ascii="Times New Roman" w:hAnsi="Times New Roman"/>
          <w:sz w:val="24"/>
          <w:szCs w:val="24"/>
          <w:lang w:val="en-US"/>
        </w:rPr>
        <w:t>V.</w:t>
      </w:r>
      <w:r w:rsidR="00B67CE5">
        <w:rPr>
          <w:rFonts w:ascii="Times New Roman" w:hAnsi="Times New Roman"/>
          <w:sz w:val="24"/>
          <w:szCs w:val="24"/>
          <w:lang w:val="en-US"/>
        </w:rPr>
        <w:t xml:space="preserve"> </w:t>
      </w:r>
      <w:r w:rsidRPr="00C13A94">
        <w:rPr>
          <w:rFonts w:ascii="Times New Roman" w:hAnsi="Times New Roman"/>
          <w:sz w:val="24"/>
          <w:szCs w:val="24"/>
          <w:lang w:val="en-US"/>
        </w:rPr>
        <w:t xml:space="preserve">Barone, </w:t>
      </w:r>
      <w:r w:rsidRPr="00C13A94">
        <w:rPr>
          <w:rFonts w:ascii="Times New Roman" w:hAnsi="Times New Roman"/>
          <w:i/>
          <w:sz w:val="24"/>
          <w:szCs w:val="24"/>
          <w:lang w:val="en-US"/>
        </w:rPr>
        <w:t>Chem. Phys. Lett</w:t>
      </w:r>
      <w:r w:rsidRPr="00C13A94">
        <w:rPr>
          <w:rFonts w:ascii="Times New Roman" w:hAnsi="Times New Roman"/>
          <w:sz w:val="24"/>
          <w:szCs w:val="24"/>
          <w:lang w:val="en-US"/>
        </w:rPr>
        <w:t>.</w:t>
      </w:r>
      <w:r w:rsidR="002B7370">
        <w:rPr>
          <w:rFonts w:ascii="Times New Roman" w:hAnsi="Times New Roman"/>
          <w:sz w:val="24"/>
          <w:szCs w:val="24"/>
          <w:lang w:val="en-US"/>
        </w:rPr>
        <w:t>,</w:t>
      </w:r>
      <w:r w:rsidRPr="00C13A94">
        <w:rPr>
          <w:rFonts w:ascii="Times New Roman" w:hAnsi="Times New Roman"/>
          <w:sz w:val="24"/>
          <w:szCs w:val="24"/>
          <w:lang w:val="en-US"/>
        </w:rPr>
        <w:t xml:space="preserve"> </w:t>
      </w:r>
      <w:r w:rsidRPr="00C13A94">
        <w:rPr>
          <w:rFonts w:ascii="Times New Roman" w:hAnsi="Times New Roman"/>
          <w:b/>
          <w:bCs/>
          <w:sz w:val="24"/>
          <w:szCs w:val="24"/>
          <w:lang w:val="en-US"/>
        </w:rPr>
        <w:t>1998</w:t>
      </w:r>
      <w:r w:rsidRPr="00C13A94">
        <w:rPr>
          <w:rFonts w:ascii="Times New Roman" w:hAnsi="Times New Roman"/>
          <w:sz w:val="24"/>
          <w:szCs w:val="24"/>
          <w:lang w:val="en-US"/>
        </w:rPr>
        <w:t xml:space="preserve">, </w:t>
      </w:r>
      <w:r w:rsidRPr="00C13A94">
        <w:rPr>
          <w:rFonts w:ascii="Times New Roman" w:hAnsi="Times New Roman"/>
          <w:i/>
          <w:sz w:val="24"/>
          <w:szCs w:val="24"/>
          <w:lang w:val="en-US"/>
        </w:rPr>
        <w:t>298</w:t>
      </w:r>
      <w:r w:rsidRPr="00C13A94">
        <w:rPr>
          <w:rFonts w:ascii="Times New Roman" w:hAnsi="Times New Roman"/>
          <w:sz w:val="24"/>
          <w:szCs w:val="24"/>
          <w:lang w:val="en-US"/>
        </w:rPr>
        <w:t xml:space="preserve">, </w:t>
      </w:r>
      <w:r w:rsidR="00E217C8" w:rsidRPr="004E6572">
        <w:rPr>
          <w:rFonts w:ascii="Times New Roman" w:hAnsi="Times New Roman"/>
          <w:sz w:val="24"/>
          <w:szCs w:val="24"/>
          <w:lang w:val="en-US"/>
        </w:rPr>
        <w:t xml:space="preserve">pp. </w:t>
      </w:r>
      <w:r w:rsidRPr="00C13A94">
        <w:rPr>
          <w:rFonts w:ascii="Times New Roman" w:hAnsi="Times New Roman"/>
          <w:sz w:val="24"/>
          <w:szCs w:val="24"/>
          <w:lang w:val="en-US"/>
        </w:rPr>
        <w:t>113</w:t>
      </w:r>
      <w:r w:rsidRPr="00C13A94">
        <w:rPr>
          <w:rFonts w:ascii="Times New Roman" w:hAnsi="Times New Roman" w:hint="eastAsia"/>
          <w:sz w:val="24"/>
          <w:szCs w:val="24"/>
          <w:lang w:val="en-US"/>
        </w:rPr>
        <w:t>–</w:t>
      </w:r>
      <w:r w:rsidRPr="00C13A94">
        <w:rPr>
          <w:rFonts w:ascii="Times New Roman" w:hAnsi="Times New Roman"/>
          <w:sz w:val="24"/>
          <w:szCs w:val="24"/>
          <w:lang w:val="en-US"/>
        </w:rPr>
        <w:t>119</w:t>
      </w:r>
      <w:r w:rsidR="006F1C6F">
        <w:rPr>
          <w:rFonts w:ascii="Times New Roman" w:hAnsi="Times New Roman"/>
          <w:sz w:val="24"/>
          <w:szCs w:val="24"/>
          <w:lang w:val="en-US"/>
        </w:rPr>
        <w:t>;</w:t>
      </w:r>
      <w:r w:rsidR="006F1C6F" w:rsidRPr="006F1C6F">
        <w:rPr>
          <w:lang w:val="en-US"/>
        </w:rPr>
        <w:t xml:space="preserve"> </w:t>
      </w:r>
      <w:r w:rsidR="006F1C6F" w:rsidRPr="006F1C6F">
        <w:rPr>
          <w:rFonts w:ascii="Times New Roman" w:hAnsi="Times New Roman"/>
          <w:sz w:val="24"/>
          <w:szCs w:val="24"/>
          <w:lang w:val="en-US"/>
        </w:rPr>
        <w:t>https://doi.org/10.1016/S0009-2614(98)01201-9</w:t>
      </w:r>
      <w:r w:rsidRPr="00C13A94">
        <w:rPr>
          <w:rFonts w:ascii="Times New Roman" w:hAnsi="Times New Roman"/>
          <w:sz w:val="24"/>
          <w:szCs w:val="24"/>
          <w:lang w:val="en-US"/>
        </w:rPr>
        <w:t>.</w:t>
      </w:r>
    </w:p>
  </w:endnote>
  <w:endnote w:id="14">
    <w:p w14:paraId="06F089F7" w14:textId="16F1DB6C" w:rsidR="00A94334" w:rsidRPr="00C13A94" w:rsidRDefault="00A94334" w:rsidP="006F1C6F">
      <w:pPr>
        <w:pStyle w:val="Notedefin"/>
        <w:spacing w:line="276" w:lineRule="auto"/>
        <w:ind w:left="709" w:hanging="709"/>
        <w:jc w:val="both"/>
        <w:rPr>
          <w:rStyle w:val="Appeldenotedefin"/>
          <w:rFonts w:ascii="Times New Roman" w:hAnsi="Times New Roman"/>
          <w:sz w:val="24"/>
          <w:szCs w:val="24"/>
          <w:vertAlign w:val="baseline"/>
          <w:lang w:val="en-US"/>
        </w:rPr>
      </w:pPr>
      <w:r w:rsidRPr="00C13A94">
        <w:rPr>
          <w:rStyle w:val="Appeldenotedefin"/>
          <w:rFonts w:ascii="Times New Roman" w:hAnsi="Times New Roman"/>
          <w:sz w:val="24"/>
          <w:szCs w:val="24"/>
          <w:vertAlign w:val="baseline"/>
        </w:rPr>
        <w:endnoteRef/>
      </w:r>
      <w:r w:rsidRPr="00C13A94">
        <w:rPr>
          <w:rStyle w:val="Appeldenotedefin"/>
          <w:rFonts w:ascii="Times New Roman" w:hAnsi="Times New Roman"/>
          <w:sz w:val="24"/>
          <w:szCs w:val="24"/>
          <w:vertAlign w:val="baseline"/>
          <w:lang w:val="en-US"/>
        </w:rPr>
        <w:t xml:space="preserve"> </w:t>
      </w:r>
      <w:r w:rsidRPr="00C13A94">
        <w:rPr>
          <w:rFonts w:ascii="Times New Roman" w:hAnsi="Times New Roman"/>
          <w:sz w:val="24"/>
          <w:szCs w:val="24"/>
          <w:lang w:val="en-US"/>
        </w:rPr>
        <w:tab/>
      </w:r>
      <w:r w:rsidR="00B67CE5" w:rsidRPr="00C13A94">
        <w:rPr>
          <w:rFonts w:ascii="Times New Roman" w:hAnsi="Times New Roman"/>
          <w:sz w:val="24"/>
          <w:szCs w:val="24"/>
          <w:lang w:val="en-US"/>
        </w:rPr>
        <w:t>Y.</w:t>
      </w:r>
      <w:r w:rsidR="00B67CE5">
        <w:rPr>
          <w:rFonts w:ascii="Times New Roman" w:hAnsi="Times New Roman"/>
          <w:sz w:val="24"/>
          <w:szCs w:val="24"/>
          <w:lang w:val="en-US"/>
        </w:rPr>
        <w:t>Y.</w:t>
      </w:r>
      <w:r w:rsidR="00B67CE5" w:rsidRPr="006F1C6F">
        <w:rPr>
          <w:rFonts w:ascii="Times New Roman" w:hAnsi="Times New Roman"/>
          <w:sz w:val="24"/>
          <w:szCs w:val="24"/>
          <w:lang w:val="en-US"/>
        </w:rPr>
        <w:t xml:space="preserve"> </w:t>
      </w:r>
      <w:r w:rsidRPr="00C13A94">
        <w:rPr>
          <w:rFonts w:ascii="Times New Roman" w:hAnsi="Times New Roman"/>
          <w:sz w:val="24"/>
          <w:szCs w:val="24"/>
          <w:lang w:val="en-US"/>
        </w:rPr>
        <w:t xml:space="preserve">Rusakov </w:t>
      </w:r>
      <w:r w:rsidR="006F1C6F">
        <w:rPr>
          <w:rFonts w:ascii="Times New Roman" w:hAnsi="Times New Roman"/>
          <w:sz w:val="24"/>
          <w:szCs w:val="24"/>
          <w:lang w:val="en-US"/>
        </w:rPr>
        <w:t>and</w:t>
      </w:r>
      <w:r w:rsidRPr="00C13A94">
        <w:rPr>
          <w:rFonts w:ascii="Times New Roman" w:hAnsi="Times New Roman"/>
          <w:sz w:val="24"/>
          <w:szCs w:val="24"/>
          <w:lang w:val="en-US"/>
        </w:rPr>
        <w:t xml:space="preserve"> </w:t>
      </w:r>
      <w:r w:rsidR="00B67CE5" w:rsidRPr="00C13A94">
        <w:rPr>
          <w:rFonts w:ascii="Times New Roman" w:hAnsi="Times New Roman"/>
          <w:sz w:val="24"/>
          <w:szCs w:val="24"/>
          <w:lang w:val="en-US"/>
        </w:rPr>
        <w:t xml:space="preserve">I.L. </w:t>
      </w:r>
      <w:r w:rsidRPr="00C13A94">
        <w:rPr>
          <w:rFonts w:ascii="Times New Roman" w:hAnsi="Times New Roman"/>
          <w:sz w:val="24"/>
          <w:szCs w:val="24"/>
          <w:lang w:val="en-US"/>
        </w:rPr>
        <w:t xml:space="preserve">Rusakova, </w:t>
      </w:r>
      <w:r w:rsidRPr="00C13A94">
        <w:rPr>
          <w:rFonts w:ascii="Times New Roman" w:hAnsi="Times New Roman"/>
          <w:i/>
          <w:sz w:val="24"/>
          <w:szCs w:val="24"/>
          <w:lang w:val="en-US"/>
        </w:rPr>
        <w:t>J. Chem. Phys.</w:t>
      </w:r>
      <w:r w:rsidR="002B7370">
        <w:rPr>
          <w:rFonts w:ascii="Times New Roman" w:hAnsi="Times New Roman"/>
          <w:i/>
          <w:sz w:val="24"/>
          <w:szCs w:val="24"/>
          <w:lang w:val="en-US"/>
        </w:rPr>
        <w:t>,</w:t>
      </w:r>
      <w:r w:rsidRPr="00C13A94">
        <w:rPr>
          <w:rFonts w:ascii="Times New Roman" w:hAnsi="Times New Roman"/>
          <w:sz w:val="24"/>
          <w:szCs w:val="24"/>
          <w:lang w:val="en-US"/>
        </w:rPr>
        <w:t xml:space="preserve"> </w:t>
      </w:r>
      <w:r w:rsidRPr="006F1C6F">
        <w:rPr>
          <w:rFonts w:ascii="Times New Roman" w:hAnsi="Times New Roman"/>
          <w:bCs/>
          <w:sz w:val="24"/>
          <w:szCs w:val="24"/>
          <w:lang w:val="en-US"/>
        </w:rPr>
        <w:t>2022</w:t>
      </w:r>
      <w:r w:rsidRPr="00C13A94">
        <w:rPr>
          <w:rFonts w:ascii="Times New Roman" w:hAnsi="Times New Roman"/>
          <w:sz w:val="24"/>
          <w:szCs w:val="24"/>
          <w:lang w:val="en-US"/>
        </w:rPr>
        <w:t xml:space="preserve">, </w:t>
      </w:r>
      <w:r w:rsidRPr="006F1C6F">
        <w:rPr>
          <w:rFonts w:ascii="Times New Roman" w:hAnsi="Times New Roman"/>
          <w:b/>
          <w:sz w:val="24"/>
          <w:szCs w:val="24"/>
          <w:lang w:val="en-US"/>
        </w:rPr>
        <w:t>156</w:t>
      </w:r>
      <w:r w:rsidRPr="00C13A94">
        <w:rPr>
          <w:rFonts w:ascii="Times New Roman" w:hAnsi="Times New Roman"/>
          <w:sz w:val="24"/>
          <w:szCs w:val="24"/>
          <w:lang w:val="en-US"/>
        </w:rPr>
        <w:t>, 244112</w:t>
      </w:r>
      <w:r w:rsidR="006F1C6F">
        <w:rPr>
          <w:rFonts w:ascii="Times New Roman" w:hAnsi="Times New Roman"/>
          <w:sz w:val="24"/>
          <w:szCs w:val="24"/>
          <w:lang w:val="en-US"/>
        </w:rPr>
        <w:t>;</w:t>
      </w:r>
      <w:r w:rsidR="006F1C6F" w:rsidRPr="006F1C6F">
        <w:rPr>
          <w:lang w:val="en-US"/>
        </w:rPr>
        <w:t xml:space="preserve"> </w:t>
      </w:r>
      <w:r w:rsidR="006F1C6F" w:rsidRPr="006F1C6F">
        <w:rPr>
          <w:rFonts w:ascii="Times New Roman" w:hAnsi="Times New Roman"/>
          <w:sz w:val="24"/>
          <w:szCs w:val="24"/>
          <w:lang w:val="en-US"/>
        </w:rPr>
        <w:t>https://doi.org/10.1063/5.0096907</w:t>
      </w:r>
      <w:r w:rsidRPr="00C13A94">
        <w:rPr>
          <w:rFonts w:ascii="Times New Roman" w:hAnsi="Times New Roman"/>
          <w:sz w:val="24"/>
          <w:szCs w:val="24"/>
          <w:lang w:val="en-US"/>
        </w:rPr>
        <w:t>.</w:t>
      </w:r>
    </w:p>
  </w:endnote>
  <w:endnote w:id="15">
    <w:p w14:paraId="54E974B6" w14:textId="28F4E7AF" w:rsidR="00A94334" w:rsidRPr="00C13A94" w:rsidRDefault="00A94334" w:rsidP="00A94334">
      <w:pPr>
        <w:pStyle w:val="Notedefin"/>
        <w:spacing w:line="276" w:lineRule="auto"/>
        <w:ind w:left="709" w:hanging="709"/>
        <w:jc w:val="both"/>
        <w:rPr>
          <w:rStyle w:val="Appeldenotedefin"/>
          <w:rFonts w:ascii="Times New Roman" w:hAnsi="Times New Roman"/>
          <w:sz w:val="24"/>
          <w:szCs w:val="24"/>
          <w:vertAlign w:val="baseline"/>
          <w:lang w:val="en-US"/>
        </w:rPr>
      </w:pPr>
      <w:r w:rsidRPr="00C13A94">
        <w:rPr>
          <w:rStyle w:val="Appeldenotedefin"/>
          <w:rFonts w:ascii="Times New Roman" w:hAnsi="Times New Roman"/>
          <w:sz w:val="24"/>
          <w:szCs w:val="24"/>
          <w:vertAlign w:val="baseline"/>
        </w:rPr>
        <w:endnoteRef/>
      </w:r>
      <w:r w:rsidRPr="00C13A94">
        <w:rPr>
          <w:rStyle w:val="Appeldenotedefin"/>
          <w:rFonts w:ascii="Times New Roman" w:hAnsi="Times New Roman"/>
          <w:sz w:val="24"/>
          <w:szCs w:val="24"/>
          <w:vertAlign w:val="baseline"/>
          <w:lang w:val="en-US"/>
        </w:rPr>
        <w:t xml:space="preserve"> </w:t>
      </w:r>
      <w:r w:rsidR="00B67CE5">
        <w:rPr>
          <w:rFonts w:ascii="Times New Roman" w:hAnsi="Times New Roman"/>
          <w:sz w:val="24"/>
          <w:szCs w:val="24"/>
          <w:lang w:val="en-US"/>
        </w:rPr>
        <w:tab/>
        <w:t>Y.Y. Rusakov and I.</w:t>
      </w:r>
      <w:r w:rsidRPr="00C13A94">
        <w:rPr>
          <w:rFonts w:ascii="Times New Roman" w:hAnsi="Times New Roman"/>
          <w:sz w:val="24"/>
          <w:szCs w:val="24"/>
          <w:lang w:val="en-US"/>
        </w:rPr>
        <w:t xml:space="preserve">L. Rusakova. </w:t>
      </w:r>
      <w:r w:rsidRPr="00C13A94">
        <w:rPr>
          <w:rFonts w:ascii="Times New Roman" w:hAnsi="Times New Roman"/>
          <w:i/>
          <w:iCs/>
          <w:sz w:val="24"/>
          <w:szCs w:val="24"/>
          <w:lang w:val="en-US"/>
        </w:rPr>
        <w:t>Phys. Chem. Chem. Phys.</w:t>
      </w:r>
      <w:r w:rsidRPr="00C13A94">
        <w:rPr>
          <w:rFonts w:ascii="Times New Roman" w:hAnsi="Times New Roman"/>
          <w:sz w:val="24"/>
          <w:szCs w:val="24"/>
          <w:lang w:val="en-US"/>
        </w:rPr>
        <w:t xml:space="preserve">, 2023, </w:t>
      </w:r>
      <w:r w:rsidRPr="00C13A94">
        <w:rPr>
          <w:rFonts w:ascii="Times New Roman" w:hAnsi="Times New Roman"/>
          <w:b/>
          <w:sz w:val="24"/>
          <w:szCs w:val="24"/>
          <w:lang w:val="en-US"/>
        </w:rPr>
        <w:t>25</w:t>
      </w:r>
      <w:r w:rsidRPr="00C13A94">
        <w:rPr>
          <w:rFonts w:ascii="Times New Roman" w:hAnsi="Times New Roman"/>
          <w:sz w:val="24"/>
          <w:szCs w:val="24"/>
          <w:lang w:val="en-US"/>
        </w:rPr>
        <w:t xml:space="preserve">, 18728; </w:t>
      </w:r>
      <w:r w:rsidRPr="008A3C98">
        <w:rPr>
          <w:rFonts w:ascii="Times New Roman" w:hAnsi="Times New Roman"/>
          <w:sz w:val="24"/>
          <w:szCs w:val="24"/>
          <w:lang w:val="en-US"/>
        </w:rPr>
        <w:t>https://doi.org/10.1039/d3cp02664g</w:t>
      </w:r>
      <w:r w:rsidRPr="00C13A94">
        <w:rPr>
          <w:rFonts w:ascii="Times New Roman" w:hAnsi="Times New Roman"/>
          <w:sz w:val="24"/>
          <w:szCs w:val="24"/>
          <w:lang w:val="en-US"/>
        </w:rPr>
        <w:t>.</w:t>
      </w:r>
    </w:p>
  </w:endnote>
  <w:endnote w:id="16">
    <w:p w14:paraId="75F71648" w14:textId="70FD1228" w:rsidR="00A94334" w:rsidRPr="00C13A94" w:rsidRDefault="00A94334" w:rsidP="00A94334">
      <w:pPr>
        <w:pStyle w:val="Notedefin"/>
        <w:spacing w:line="276" w:lineRule="auto"/>
        <w:ind w:left="709" w:hanging="709"/>
        <w:jc w:val="both"/>
        <w:rPr>
          <w:rFonts w:ascii="Times New Roman" w:hAnsi="Times New Roman"/>
          <w:sz w:val="24"/>
          <w:szCs w:val="24"/>
          <w:lang w:val="en-US"/>
        </w:rPr>
      </w:pPr>
      <w:r w:rsidRPr="00C13A94">
        <w:rPr>
          <w:rFonts w:ascii="Times New Roman" w:hAnsi="Times New Roman"/>
          <w:sz w:val="24"/>
          <w:szCs w:val="24"/>
          <w:lang w:val="en-US"/>
        </w:rPr>
        <w:endnoteRef/>
      </w:r>
      <w:r w:rsidRPr="00C13A94">
        <w:rPr>
          <w:rFonts w:ascii="Times New Roman" w:hAnsi="Times New Roman"/>
          <w:sz w:val="24"/>
          <w:szCs w:val="24"/>
          <w:lang w:val="en-US"/>
        </w:rPr>
        <w:t xml:space="preserve"> </w:t>
      </w:r>
      <w:r w:rsidRPr="00C13A94">
        <w:rPr>
          <w:rFonts w:ascii="Times New Roman" w:hAnsi="Times New Roman"/>
          <w:sz w:val="24"/>
          <w:szCs w:val="24"/>
          <w:lang w:val="en-US"/>
        </w:rPr>
        <w:tab/>
      </w:r>
      <w:r w:rsidR="00B67CE5" w:rsidRPr="00C13A94">
        <w:rPr>
          <w:rFonts w:ascii="Times New Roman" w:hAnsi="Times New Roman"/>
          <w:sz w:val="24"/>
          <w:szCs w:val="24"/>
          <w:lang w:val="en-US"/>
        </w:rPr>
        <w:t>Y.Y.</w:t>
      </w:r>
      <w:r w:rsidR="00B67CE5">
        <w:rPr>
          <w:rFonts w:ascii="Times New Roman" w:hAnsi="Times New Roman"/>
          <w:sz w:val="24"/>
          <w:szCs w:val="24"/>
          <w:lang w:val="en-US"/>
        </w:rPr>
        <w:t xml:space="preserve"> </w:t>
      </w:r>
      <w:r w:rsidRPr="00C13A94">
        <w:rPr>
          <w:rFonts w:ascii="Times New Roman" w:hAnsi="Times New Roman"/>
          <w:sz w:val="24"/>
          <w:szCs w:val="24"/>
          <w:lang w:val="en-US"/>
        </w:rPr>
        <w:t xml:space="preserve">Rusakov, </w:t>
      </w:r>
      <w:r w:rsidR="00B67CE5" w:rsidRPr="00C13A94">
        <w:rPr>
          <w:rFonts w:ascii="Times New Roman" w:hAnsi="Times New Roman"/>
          <w:sz w:val="24"/>
          <w:szCs w:val="24"/>
          <w:lang w:val="en-US"/>
        </w:rPr>
        <w:t>V.A.</w:t>
      </w:r>
      <w:r w:rsidR="00B67CE5">
        <w:rPr>
          <w:rFonts w:ascii="Times New Roman" w:hAnsi="Times New Roman"/>
          <w:sz w:val="24"/>
          <w:szCs w:val="24"/>
          <w:lang w:val="en-US"/>
        </w:rPr>
        <w:t xml:space="preserve"> </w:t>
      </w:r>
      <w:r w:rsidRPr="00C13A94">
        <w:rPr>
          <w:rFonts w:ascii="Times New Roman" w:hAnsi="Times New Roman"/>
          <w:sz w:val="24"/>
          <w:szCs w:val="24"/>
          <w:lang w:val="en-US"/>
        </w:rPr>
        <w:t xml:space="preserve">Semenov, </w:t>
      </w:r>
      <w:r w:rsidR="005475E0" w:rsidRPr="00C13A94">
        <w:rPr>
          <w:rFonts w:ascii="Times New Roman" w:hAnsi="Times New Roman"/>
          <w:sz w:val="24"/>
          <w:szCs w:val="24"/>
          <w:lang w:val="en-US"/>
        </w:rPr>
        <w:t xml:space="preserve">and </w:t>
      </w:r>
      <w:r w:rsidR="00B67CE5" w:rsidRPr="00C13A94">
        <w:rPr>
          <w:rFonts w:ascii="Times New Roman" w:hAnsi="Times New Roman"/>
          <w:sz w:val="24"/>
          <w:szCs w:val="24"/>
          <w:lang w:val="en-US"/>
        </w:rPr>
        <w:t xml:space="preserve">I.L. </w:t>
      </w:r>
      <w:r w:rsidRPr="00C13A94">
        <w:rPr>
          <w:rFonts w:ascii="Times New Roman" w:hAnsi="Times New Roman"/>
          <w:sz w:val="24"/>
          <w:szCs w:val="24"/>
          <w:lang w:val="en-US"/>
        </w:rPr>
        <w:t xml:space="preserve">Rusakova, </w:t>
      </w:r>
      <w:r w:rsidRPr="00C13A94">
        <w:rPr>
          <w:rFonts w:ascii="Times New Roman" w:hAnsi="Times New Roman"/>
          <w:i/>
          <w:sz w:val="24"/>
          <w:szCs w:val="24"/>
          <w:lang w:val="en-US"/>
        </w:rPr>
        <w:t>Int. J. Mol. Sci.</w:t>
      </w:r>
      <w:r w:rsidR="002B7370">
        <w:rPr>
          <w:rFonts w:ascii="Times New Roman" w:hAnsi="Times New Roman"/>
          <w:i/>
          <w:sz w:val="24"/>
          <w:szCs w:val="24"/>
          <w:lang w:val="en-US"/>
        </w:rPr>
        <w:t>,</w:t>
      </w:r>
      <w:r w:rsidRPr="00C13A94">
        <w:rPr>
          <w:rFonts w:ascii="Times New Roman" w:hAnsi="Times New Roman"/>
          <w:sz w:val="24"/>
          <w:szCs w:val="24"/>
          <w:lang w:val="en-US"/>
        </w:rPr>
        <w:t xml:space="preserve"> </w:t>
      </w:r>
      <w:r w:rsidRPr="006F1C6F">
        <w:rPr>
          <w:rFonts w:ascii="Times New Roman" w:hAnsi="Times New Roman"/>
          <w:bCs/>
          <w:sz w:val="24"/>
          <w:szCs w:val="24"/>
          <w:lang w:val="en-US"/>
        </w:rPr>
        <w:t>2024</w:t>
      </w:r>
      <w:r w:rsidRPr="00C13A94">
        <w:rPr>
          <w:rFonts w:ascii="Times New Roman" w:hAnsi="Times New Roman"/>
          <w:sz w:val="24"/>
          <w:szCs w:val="24"/>
          <w:lang w:val="en-US"/>
        </w:rPr>
        <w:t xml:space="preserve">, </w:t>
      </w:r>
      <w:r w:rsidRPr="006F1C6F">
        <w:rPr>
          <w:rFonts w:ascii="Times New Roman" w:hAnsi="Times New Roman"/>
          <w:b/>
          <w:sz w:val="24"/>
          <w:szCs w:val="24"/>
          <w:lang w:val="en-US"/>
        </w:rPr>
        <w:t>25</w:t>
      </w:r>
      <w:r w:rsidRPr="00C13A94">
        <w:rPr>
          <w:rFonts w:ascii="Times New Roman" w:hAnsi="Times New Roman"/>
          <w:sz w:val="24"/>
          <w:szCs w:val="24"/>
          <w:lang w:val="en-US"/>
        </w:rPr>
        <w:t>, 10588</w:t>
      </w:r>
      <w:r w:rsidR="002B7370">
        <w:rPr>
          <w:rFonts w:ascii="Times New Roman" w:hAnsi="Times New Roman"/>
          <w:sz w:val="24"/>
          <w:szCs w:val="24"/>
          <w:lang w:val="en-US"/>
        </w:rPr>
        <w:t>;</w:t>
      </w:r>
      <w:r w:rsidRPr="00C13A94">
        <w:rPr>
          <w:rFonts w:ascii="Times New Roman" w:hAnsi="Times New Roman"/>
          <w:sz w:val="24"/>
          <w:szCs w:val="24"/>
          <w:lang w:val="en-US"/>
        </w:rPr>
        <w:t xml:space="preserve"> </w:t>
      </w:r>
      <w:r w:rsidRPr="008A3C98">
        <w:rPr>
          <w:rFonts w:ascii="Times New Roman" w:hAnsi="Times New Roman"/>
          <w:sz w:val="24"/>
          <w:szCs w:val="24"/>
          <w:lang w:val="en-US"/>
        </w:rPr>
        <w:t>https://doi.org/10.3390/ijms251910588</w:t>
      </w:r>
      <w:r w:rsidRPr="00C13A94">
        <w:rPr>
          <w:rFonts w:ascii="Times New Roman" w:hAnsi="Times New Roman"/>
          <w:sz w:val="24"/>
          <w:szCs w:val="24"/>
          <w:lang w:val="en-US"/>
        </w:rPr>
        <w:t>.</w:t>
      </w:r>
    </w:p>
  </w:endnote>
  <w:endnote w:id="17">
    <w:p w14:paraId="231EAD89" w14:textId="52589C59" w:rsidR="00A94334" w:rsidRPr="004E6572" w:rsidRDefault="00A94334" w:rsidP="00A94334">
      <w:pPr>
        <w:pStyle w:val="Notedefin"/>
        <w:spacing w:line="276" w:lineRule="auto"/>
        <w:ind w:left="709" w:hanging="709"/>
        <w:jc w:val="both"/>
        <w:rPr>
          <w:rFonts w:ascii="Times New Roman" w:hAnsi="Times New Roman"/>
          <w:sz w:val="24"/>
          <w:szCs w:val="24"/>
          <w:lang w:val="en-US"/>
        </w:rPr>
      </w:pPr>
      <w:r w:rsidRPr="00C13A94">
        <w:rPr>
          <w:rFonts w:ascii="Times New Roman" w:hAnsi="Times New Roman"/>
          <w:sz w:val="24"/>
          <w:szCs w:val="24"/>
          <w:lang w:val="en-US"/>
        </w:rPr>
        <w:endnoteRef/>
      </w:r>
      <w:r w:rsidRPr="00C13A94">
        <w:rPr>
          <w:rFonts w:ascii="Times New Roman" w:hAnsi="Times New Roman"/>
          <w:sz w:val="24"/>
          <w:szCs w:val="24"/>
          <w:lang w:val="en-US"/>
        </w:rPr>
        <w:t xml:space="preserve"> </w:t>
      </w:r>
      <w:r w:rsidRPr="00C13A94">
        <w:rPr>
          <w:rFonts w:ascii="Times New Roman" w:hAnsi="Times New Roman"/>
          <w:sz w:val="24"/>
          <w:szCs w:val="24"/>
          <w:lang w:val="en-US"/>
        </w:rPr>
        <w:tab/>
      </w:r>
      <w:r w:rsidR="00B67CE5" w:rsidRPr="00C13A94">
        <w:rPr>
          <w:rFonts w:ascii="Times New Roman" w:hAnsi="Times New Roman"/>
          <w:sz w:val="24"/>
          <w:szCs w:val="24"/>
          <w:lang w:val="en-US"/>
        </w:rPr>
        <w:t>Y.Y.</w:t>
      </w:r>
      <w:r w:rsidR="00B67CE5">
        <w:rPr>
          <w:rFonts w:ascii="Times New Roman" w:hAnsi="Times New Roman"/>
          <w:sz w:val="24"/>
          <w:szCs w:val="24"/>
          <w:lang w:val="en-US"/>
        </w:rPr>
        <w:t xml:space="preserve"> </w:t>
      </w:r>
      <w:r w:rsidRPr="00C13A94">
        <w:rPr>
          <w:rFonts w:ascii="Times New Roman" w:hAnsi="Times New Roman"/>
          <w:sz w:val="24"/>
          <w:szCs w:val="24"/>
          <w:lang w:val="en-US"/>
        </w:rPr>
        <w:t xml:space="preserve">Rusakov, </w:t>
      </w:r>
      <w:r w:rsidR="00B67CE5" w:rsidRPr="00C13A94">
        <w:rPr>
          <w:rFonts w:ascii="Times New Roman" w:hAnsi="Times New Roman"/>
          <w:sz w:val="24"/>
          <w:szCs w:val="24"/>
          <w:lang w:val="en-US"/>
        </w:rPr>
        <w:t>V.A.</w:t>
      </w:r>
      <w:r w:rsidR="00B67CE5">
        <w:rPr>
          <w:rFonts w:ascii="Times New Roman" w:hAnsi="Times New Roman"/>
          <w:sz w:val="24"/>
          <w:szCs w:val="24"/>
          <w:lang w:val="en-US"/>
        </w:rPr>
        <w:t xml:space="preserve"> </w:t>
      </w:r>
      <w:r w:rsidRPr="00C13A94">
        <w:rPr>
          <w:rFonts w:ascii="Times New Roman" w:hAnsi="Times New Roman"/>
          <w:sz w:val="24"/>
          <w:szCs w:val="24"/>
          <w:lang w:val="en-US"/>
        </w:rPr>
        <w:t xml:space="preserve">Semenov, </w:t>
      </w:r>
      <w:r w:rsidR="005475E0" w:rsidRPr="00C13A94">
        <w:rPr>
          <w:rFonts w:ascii="Times New Roman" w:hAnsi="Times New Roman"/>
          <w:sz w:val="24"/>
          <w:szCs w:val="24"/>
          <w:lang w:val="en-US"/>
        </w:rPr>
        <w:t xml:space="preserve">and </w:t>
      </w:r>
      <w:r w:rsidR="00B67CE5" w:rsidRPr="00C13A94">
        <w:rPr>
          <w:rFonts w:ascii="Times New Roman" w:hAnsi="Times New Roman"/>
          <w:sz w:val="24"/>
          <w:szCs w:val="24"/>
          <w:lang w:val="en-US"/>
        </w:rPr>
        <w:t xml:space="preserve">I.L. </w:t>
      </w:r>
      <w:r w:rsidRPr="00C13A94">
        <w:rPr>
          <w:rFonts w:ascii="Times New Roman" w:hAnsi="Times New Roman"/>
          <w:sz w:val="24"/>
          <w:szCs w:val="24"/>
          <w:lang w:val="en-US"/>
        </w:rPr>
        <w:t xml:space="preserve">Rusakova, </w:t>
      </w:r>
      <w:r w:rsidRPr="00C13A94">
        <w:rPr>
          <w:rFonts w:ascii="Times New Roman" w:hAnsi="Times New Roman"/>
          <w:i/>
          <w:sz w:val="24"/>
          <w:szCs w:val="24"/>
          <w:lang w:val="en-US"/>
        </w:rPr>
        <w:t>Int. J. Mol. Sci.</w:t>
      </w:r>
      <w:r w:rsidR="002B7370">
        <w:rPr>
          <w:rFonts w:ascii="Times New Roman" w:hAnsi="Times New Roman"/>
          <w:i/>
          <w:sz w:val="24"/>
          <w:szCs w:val="24"/>
          <w:lang w:val="en-US"/>
        </w:rPr>
        <w:t>,</w:t>
      </w:r>
      <w:r w:rsidRPr="00C13A94">
        <w:rPr>
          <w:rFonts w:ascii="Times New Roman" w:hAnsi="Times New Roman"/>
          <w:sz w:val="24"/>
          <w:szCs w:val="24"/>
          <w:lang w:val="en-US"/>
        </w:rPr>
        <w:t xml:space="preserve"> </w:t>
      </w:r>
      <w:r w:rsidRPr="006F1C6F">
        <w:rPr>
          <w:rFonts w:ascii="Times New Roman" w:hAnsi="Times New Roman"/>
          <w:bCs/>
          <w:sz w:val="24"/>
          <w:szCs w:val="24"/>
          <w:lang w:val="en-US"/>
        </w:rPr>
        <w:t>2023</w:t>
      </w:r>
      <w:r w:rsidRPr="00C13A94">
        <w:rPr>
          <w:rFonts w:ascii="Times New Roman" w:hAnsi="Times New Roman"/>
          <w:sz w:val="24"/>
          <w:szCs w:val="24"/>
          <w:lang w:val="en-US"/>
        </w:rPr>
        <w:t xml:space="preserve">, </w:t>
      </w:r>
      <w:r w:rsidRPr="006F1C6F">
        <w:rPr>
          <w:rFonts w:ascii="Times New Roman" w:hAnsi="Times New Roman"/>
          <w:b/>
          <w:sz w:val="24"/>
          <w:szCs w:val="24"/>
          <w:lang w:val="en-US"/>
        </w:rPr>
        <w:t>24</w:t>
      </w:r>
      <w:r w:rsidRPr="00C13A94">
        <w:rPr>
          <w:rFonts w:ascii="Times New Roman" w:hAnsi="Times New Roman"/>
          <w:sz w:val="24"/>
          <w:szCs w:val="24"/>
          <w:lang w:val="en-US"/>
        </w:rPr>
        <w:t>, 14623</w:t>
      </w:r>
      <w:r w:rsidR="002B7370">
        <w:rPr>
          <w:rFonts w:ascii="Times New Roman" w:hAnsi="Times New Roman"/>
          <w:sz w:val="24"/>
          <w:szCs w:val="24"/>
          <w:lang w:val="en-US"/>
        </w:rPr>
        <w:t>;</w:t>
      </w:r>
      <w:r w:rsidRPr="00C13A94">
        <w:rPr>
          <w:rFonts w:ascii="Times New Roman" w:hAnsi="Times New Roman"/>
          <w:sz w:val="24"/>
          <w:szCs w:val="24"/>
          <w:lang w:val="en-US"/>
        </w:rPr>
        <w:t xml:space="preserve"> </w:t>
      </w:r>
      <w:r w:rsidRPr="004E6572">
        <w:rPr>
          <w:rFonts w:ascii="Times New Roman" w:hAnsi="Times New Roman"/>
          <w:sz w:val="24"/>
          <w:szCs w:val="24"/>
          <w:lang w:val="en-US"/>
        </w:rPr>
        <w:t>https://doi.org/10.3390/ijms241914623.</w:t>
      </w:r>
    </w:p>
  </w:endnote>
  <w:endnote w:id="18">
    <w:p w14:paraId="23D60050" w14:textId="77891900" w:rsidR="00F80C3A" w:rsidRPr="00F80C3A" w:rsidRDefault="00F80C3A" w:rsidP="00F80C3A">
      <w:pPr>
        <w:pStyle w:val="Notedefin"/>
        <w:spacing w:line="276" w:lineRule="auto"/>
        <w:ind w:left="709" w:hanging="709"/>
        <w:jc w:val="both"/>
        <w:rPr>
          <w:rFonts w:ascii="Times New Roman" w:hAnsi="Times New Roman"/>
          <w:sz w:val="24"/>
          <w:szCs w:val="24"/>
          <w:lang w:val="en-US"/>
        </w:rPr>
      </w:pPr>
      <w:r w:rsidRPr="00F80C3A">
        <w:rPr>
          <w:rFonts w:ascii="Times New Roman" w:hAnsi="Times New Roman"/>
          <w:sz w:val="24"/>
          <w:szCs w:val="24"/>
          <w:lang w:val="en-US"/>
        </w:rPr>
        <w:endnoteRef/>
      </w:r>
      <w:r w:rsidRPr="00F80C3A">
        <w:rPr>
          <w:rFonts w:ascii="Times New Roman" w:hAnsi="Times New Roman"/>
          <w:sz w:val="24"/>
          <w:szCs w:val="24"/>
          <w:lang w:val="en-US"/>
        </w:rPr>
        <w:t xml:space="preserve"> </w:t>
      </w:r>
      <w:r>
        <w:rPr>
          <w:rFonts w:ascii="Times New Roman" w:hAnsi="Times New Roman"/>
          <w:sz w:val="24"/>
          <w:szCs w:val="24"/>
          <w:lang w:val="en-US"/>
        </w:rPr>
        <w:tab/>
      </w:r>
      <w:r w:rsidRPr="00F80C3A">
        <w:rPr>
          <w:rFonts w:ascii="Times New Roman" w:hAnsi="Times New Roman"/>
          <w:sz w:val="24"/>
          <w:szCs w:val="24"/>
          <w:lang w:val="en-US"/>
        </w:rPr>
        <w:t>V.A.</w:t>
      </w:r>
      <w:r>
        <w:rPr>
          <w:rFonts w:ascii="Times New Roman" w:hAnsi="Times New Roman"/>
          <w:sz w:val="24"/>
          <w:szCs w:val="24"/>
          <w:lang w:val="en-US"/>
        </w:rPr>
        <w:t xml:space="preserve"> </w:t>
      </w:r>
      <w:r w:rsidRPr="00F80C3A">
        <w:rPr>
          <w:rFonts w:ascii="Times New Roman" w:hAnsi="Times New Roman"/>
          <w:sz w:val="24"/>
          <w:szCs w:val="24"/>
          <w:lang w:val="en-US"/>
        </w:rPr>
        <w:t>Semenov</w:t>
      </w:r>
      <w:r>
        <w:rPr>
          <w:rFonts w:ascii="Times New Roman" w:hAnsi="Times New Roman"/>
          <w:sz w:val="24"/>
          <w:szCs w:val="24"/>
          <w:lang w:val="en-US"/>
        </w:rPr>
        <w:t xml:space="preserve"> and</w:t>
      </w:r>
      <w:r w:rsidRPr="00F80C3A">
        <w:rPr>
          <w:rFonts w:ascii="Times New Roman" w:hAnsi="Times New Roman"/>
          <w:sz w:val="24"/>
          <w:szCs w:val="24"/>
          <w:lang w:val="en-US"/>
        </w:rPr>
        <w:t xml:space="preserve"> L.B.</w:t>
      </w:r>
      <w:r>
        <w:rPr>
          <w:rFonts w:ascii="Times New Roman" w:hAnsi="Times New Roman"/>
          <w:sz w:val="24"/>
          <w:szCs w:val="24"/>
          <w:lang w:val="en-US"/>
        </w:rPr>
        <w:t xml:space="preserve"> </w:t>
      </w:r>
      <w:r w:rsidRPr="00F80C3A">
        <w:rPr>
          <w:rFonts w:ascii="Times New Roman" w:hAnsi="Times New Roman"/>
          <w:sz w:val="24"/>
          <w:szCs w:val="24"/>
          <w:lang w:val="en-US"/>
        </w:rPr>
        <w:t>Krivdin</w:t>
      </w:r>
      <w:r>
        <w:rPr>
          <w:rFonts w:ascii="Times New Roman" w:hAnsi="Times New Roman"/>
          <w:sz w:val="24"/>
          <w:szCs w:val="24"/>
          <w:lang w:val="en-US"/>
        </w:rPr>
        <w:t xml:space="preserve">, </w:t>
      </w:r>
      <w:r w:rsidRPr="00F80C3A">
        <w:rPr>
          <w:rFonts w:ascii="Times New Roman" w:hAnsi="Times New Roman"/>
          <w:i/>
          <w:sz w:val="24"/>
          <w:szCs w:val="24"/>
          <w:lang w:val="en-US"/>
        </w:rPr>
        <w:t>Russ. Chem. Rev.</w:t>
      </w:r>
      <w:r w:rsidRPr="00F80C3A">
        <w:rPr>
          <w:rFonts w:ascii="Times New Roman" w:hAnsi="Times New Roman"/>
          <w:sz w:val="24"/>
          <w:szCs w:val="24"/>
          <w:lang w:val="en-US"/>
        </w:rPr>
        <w:t xml:space="preserve">, 2022, </w:t>
      </w:r>
      <w:r w:rsidRPr="002B7370">
        <w:rPr>
          <w:rFonts w:ascii="Times New Roman" w:hAnsi="Times New Roman"/>
          <w:b/>
          <w:sz w:val="24"/>
          <w:szCs w:val="24"/>
          <w:lang w:val="en-US"/>
        </w:rPr>
        <w:t>91</w:t>
      </w:r>
      <w:r w:rsidR="002B7370">
        <w:rPr>
          <w:rFonts w:ascii="Times New Roman" w:hAnsi="Times New Roman"/>
          <w:sz w:val="24"/>
          <w:szCs w:val="24"/>
          <w:lang w:val="en-US"/>
        </w:rPr>
        <w:t xml:space="preserve">, </w:t>
      </w:r>
      <w:r w:rsidRPr="00F80C3A">
        <w:rPr>
          <w:rFonts w:ascii="Times New Roman" w:hAnsi="Times New Roman"/>
          <w:sz w:val="24"/>
          <w:szCs w:val="24"/>
          <w:lang w:val="en-US"/>
        </w:rPr>
        <w:t>RCR5027</w:t>
      </w:r>
      <w:r>
        <w:rPr>
          <w:rFonts w:ascii="Times New Roman" w:hAnsi="Times New Roman"/>
          <w:sz w:val="24"/>
          <w:szCs w:val="24"/>
          <w:lang w:val="en-US"/>
        </w:rPr>
        <w:t xml:space="preserve">; </w:t>
      </w:r>
      <w:r w:rsidRPr="00F80C3A">
        <w:rPr>
          <w:rFonts w:ascii="Times New Roman" w:hAnsi="Times New Roman"/>
          <w:sz w:val="24"/>
          <w:szCs w:val="24"/>
          <w:lang w:val="en-US"/>
        </w:rPr>
        <w:t>https://doi.org/10.1070/RCR5027</w:t>
      </w:r>
      <w:r>
        <w:rPr>
          <w:rFonts w:ascii="Times New Roman" w:hAnsi="Times New Roman"/>
          <w:sz w:val="24"/>
          <w:szCs w:val="24"/>
          <w:lang w:val="en-US"/>
        </w:rPr>
        <w:t>.</w:t>
      </w:r>
    </w:p>
  </w:endnote>
  <w:endnote w:id="19">
    <w:p w14:paraId="07F2639D" w14:textId="79D77A9A" w:rsidR="00A94334" w:rsidRPr="00C13A94" w:rsidRDefault="00A94334" w:rsidP="00A94334">
      <w:pPr>
        <w:pStyle w:val="Notedefin"/>
        <w:spacing w:line="276" w:lineRule="auto"/>
        <w:ind w:left="709" w:hanging="709"/>
        <w:jc w:val="both"/>
        <w:rPr>
          <w:rFonts w:ascii="Times New Roman" w:hAnsi="Times New Roman"/>
          <w:sz w:val="24"/>
          <w:szCs w:val="24"/>
          <w:lang w:val="en-US"/>
        </w:rPr>
      </w:pPr>
      <w:r w:rsidRPr="00246535">
        <w:rPr>
          <w:rFonts w:ascii="Times New Roman" w:hAnsi="Times New Roman"/>
          <w:sz w:val="24"/>
          <w:szCs w:val="24"/>
          <w:lang w:val="en-US"/>
        </w:rPr>
        <w:endnoteRef/>
      </w:r>
      <w:r w:rsidRPr="00246535">
        <w:rPr>
          <w:rFonts w:ascii="Times New Roman" w:hAnsi="Times New Roman"/>
          <w:sz w:val="24"/>
          <w:szCs w:val="24"/>
          <w:lang w:val="en-US"/>
        </w:rPr>
        <w:t xml:space="preserve"> </w:t>
      </w:r>
      <w:r w:rsidRPr="00246535">
        <w:rPr>
          <w:rFonts w:ascii="Times New Roman" w:hAnsi="Times New Roman"/>
          <w:sz w:val="24"/>
          <w:szCs w:val="24"/>
          <w:lang w:val="en-US"/>
        </w:rPr>
        <w:tab/>
      </w:r>
      <w:r w:rsidR="00B67CE5" w:rsidRPr="00246535">
        <w:rPr>
          <w:rFonts w:ascii="Times New Roman" w:hAnsi="Times New Roman"/>
          <w:sz w:val="24"/>
          <w:szCs w:val="24"/>
          <w:lang w:val="en-US"/>
        </w:rPr>
        <w:t xml:space="preserve">D. </w:t>
      </w:r>
      <w:r w:rsidRPr="00246535">
        <w:rPr>
          <w:rFonts w:ascii="Times New Roman" w:hAnsi="Times New Roman"/>
          <w:sz w:val="24"/>
          <w:szCs w:val="24"/>
          <w:lang w:val="en-US"/>
        </w:rPr>
        <w:t>Tavernier,</w:t>
      </w:r>
      <w:r w:rsidR="00B67CE5" w:rsidRPr="00246535">
        <w:rPr>
          <w:rFonts w:ascii="Times New Roman" w:hAnsi="Times New Roman"/>
          <w:sz w:val="24"/>
          <w:szCs w:val="24"/>
          <w:lang w:val="en-US"/>
        </w:rPr>
        <w:t xml:space="preserve"> M.</w:t>
      </w:r>
      <w:r w:rsidR="00246535" w:rsidRPr="00246535">
        <w:rPr>
          <w:rFonts w:ascii="Times New Roman" w:hAnsi="Times New Roman"/>
          <w:sz w:val="24"/>
          <w:szCs w:val="24"/>
          <w:lang w:val="en-US"/>
        </w:rPr>
        <w:t>J.O.</w:t>
      </w:r>
      <w:r w:rsidRPr="00246535">
        <w:rPr>
          <w:rFonts w:ascii="Times New Roman" w:hAnsi="Times New Roman"/>
          <w:sz w:val="24"/>
          <w:szCs w:val="24"/>
          <w:lang w:val="en-US"/>
        </w:rPr>
        <w:t xml:space="preserve"> </w:t>
      </w:r>
      <w:r w:rsidR="008A3C98" w:rsidRPr="00246535">
        <w:rPr>
          <w:rFonts w:ascii="Times New Roman" w:hAnsi="Times New Roman"/>
          <w:sz w:val="24"/>
          <w:szCs w:val="24"/>
          <w:lang w:val="en-US"/>
        </w:rPr>
        <w:t>Anteunis</w:t>
      </w:r>
      <w:r w:rsidR="00B67CE5" w:rsidRPr="00246535">
        <w:rPr>
          <w:rFonts w:ascii="Times New Roman" w:hAnsi="Times New Roman"/>
          <w:sz w:val="24"/>
          <w:szCs w:val="24"/>
          <w:lang w:val="en-US"/>
        </w:rPr>
        <w:t>,</w:t>
      </w:r>
      <w:r w:rsidR="006F1C6F" w:rsidRPr="00246535">
        <w:rPr>
          <w:rFonts w:ascii="Times New Roman" w:hAnsi="Times New Roman"/>
          <w:sz w:val="24"/>
          <w:szCs w:val="24"/>
          <w:lang w:val="en-US"/>
        </w:rPr>
        <w:t xml:space="preserve"> </w:t>
      </w:r>
      <w:r w:rsidR="00B67CE5" w:rsidRPr="00246535">
        <w:rPr>
          <w:rFonts w:ascii="Times New Roman" w:hAnsi="Times New Roman"/>
          <w:sz w:val="24"/>
          <w:szCs w:val="24"/>
          <w:lang w:val="en-US"/>
        </w:rPr>
        <w:t>M.J.G. Tits, and</w:t>
      </w:r>
      <w:r w:rsidR="005475E0" w:rsidRPr="00246535">
        <w:rPr>
          <w:rFonts w:ascii="Times New Roman" w:hAnsi="Times New Roman"/>
          <w:sz w:val="24"/>
          <w:szCs w:val="24"/>
          <w:lang w:val="en-US"/>
        </w:rPr>
        <w:t xml:space="preserve"> </w:t>
      </w:r>
      <w:r w:rsidR="00B67CE5" w:rsidRPr="00246535">
        <w:rPr>
          <w:rFonts w:ascii="Times New Roman" w:hAnsi="Times New Roman"/>
          <w:sz w:val="24"/>
          <w:szCs w:val="24"/>
          <w:lang w:val="en-US"/>
        </w:rPr>
        <w:t xml:space="preserve">L.J.G. </w:t>
      </w:r>
      <w:r w:rsidRPr="00246535">
        <w:rPr>
          <w:rFonts w:ascii="Times New Roman" w:hAnsi="Times New Roman"/>
          <w:sz w:val="24"/>
          <w:szCs w:val="24"/>
          <w:lang w:val="en-US"/>
        </w:rPr>
        <w:t xml:space="preserve">Angenot, </w:t>
      </w:r>
      <w:r w:rsidRPr="00246535">
        <w:rPr>
          <w:rFonts w:ascii="Times New Roman" w:hAnsi="Times New Roman"/>
          <w:i/>
          <w:iCs/>
          <w:sz w:val="24"/>
          <w:szCs w:val="24"/>
          <w:lang w:val="en-US"/>
        </w:rPr>
        <w:t>Bull. Soc. Chim. Belg.</w:t>
      </w:r>
      <w:r w:rsidRPr="00246535">
        <w:rPr>
          <w:rFonts w:ascii="Times New Roman" w:hAnsi="Times New Roman"/>
          <w:sz w:val="24"/>
          <w:szCs w:val="24"/>
          <w:lang w:val="en-US"/>
        </w:rPr>
        <w:t xml:space="preserve"> </w:t>
      </w:r>
      <w:r w:rsidRPr="00246535">
        <w:rPr>
          <w:rFonts w:ascii="Times New Roman" w:hAnsi="Times New Roman"/>
          <w:bCs/>
          <w:sz w:val="24"/>
          <w:szCs w:val="24"/>
          <w:lang w:val="en-US"/>
        </w:rPr>
        <w:t>1978,</w:t>
      </w:r>
      <w:r w:rsidR="00E217C8" w:rsidRPr="00246535">
        <w:rPr>
          <w:rFonts w:ascii="Times New Roman" w:hAnsi="Times New Roman"/>
          <w:bCs/>
          <w:sz w:val="24"/>
          <w:szCs w:val="24"/>
          <w:lang w:val="en-US"/>
        </w:rPr>
        <w:t xml:space="preserve"> </w:t>
      </w:r>
      <w:r w:rsidRPr="00246535">
        <w:rPr>
          <w:rFonts w:ascii="Times New Roman" w:hAnsi="Times New Roman"/>
          <w:b/>
          <w:sz w:val="24"/>
          <w:szCs w:val="24"/>
          <w:lang w:val="en-US"/>
        </w:rPr>
        <w:t>87</w:t>
      </w:r>
      <w:r w:rsidRPr="00246535">
        <w:rPr>
          <w:rFonts w:ascii="Times New Roman" w:hAnsi="Times New Roman"/>
          <w:sz w:val="24"/>
          <w:szCs w:val="24"/>
          <w:lang w:val="en-US"/>
        </w:rPr>
        <w:t xml:space="preserve">, </w:t>
      </w:r>
      <w:r w:rsidR="00246535" w:rsidRPr="00246535">
        <w:rPr>
          <w:rFonts w:ascii="Times New Roman" w:hAnsi="Times New Roman"/>
          <w:sz w:val="24"/>
          <w:szCs w:val="24"/>
          <w:lang w:val="en-US"/>
        </w:rPr>
        <w:t xml:space="preserve">pp. </w:t>
      </w:r>
      <w:r w:rsidRPr="00246535">
        <w:rPr>
          <w:rFonts w:ascii="Times New Roman" w:hAnsi="Times New Roman"/>
          <w:sz w:val="24"/>
          <w:szCs w:val="24"/>
          <w:lang w:val="en-US"/>
        </w:rPr>
        <w:t>595</w:t>
      </w:r>
      <w:r w:rsidR="00246535" w:rsidRPr="00246535">
        <w:rPr>
          <w:rFonts w:ascii="Times New Roman" w:hAnsi="Times New Roman"/>
          <w:sz w:val="24"/>
          <w:szCs w:val="24"/>
          <w:lang w:val="en-US"/>
        </w:rPr>
        <w:t>-607; https://doi.org/10.1002/bscb.19780870804</w:t>
      </w:r>
      <w:r w:rsidR="00B67CE5" w:rsidRPr="00246535">
        <w:rPr>
          <w:rFonts w:ascii="Times New Roman" w:hAnsi="Times New Roman"/>
          <w:sz w:val="24"/>
          <w:szCs w:val="24"/>
          <w:lang w:val="en-US"/>
        </w:rPr>
        <w:t>.</w:t>
      </w:r>
    </w:p>
  </w:endnote>
  <w:endnote w:id="20">
    <w:p w14:paraId="12316DE0" w14:textId="3AE9AD4D" w:rsidR="00627E22" w:rsidRPr="00C13A94" w:rsidRDefault="00627E22" w:rsidP="00627E22">
      <w:pPr>
        <w:pStyle w:val="Notedefin"/>
        <w:spacing w:line="276" w:lineRule="auto"/>
        <w:ind w:left="709" w:hanging="709"/>
        <w:jc w:val="both"/>
        <w:rPr>
          <w:rFonts w:ascii="Times New Roman" w:hAnsi="Times New Roman"/>
          <w:sz w:val="24"/>
          <w:szCs w:val="24"/>
          <w:lang w:val="en-US"/>
        </w:rPr>
      </w:pPr>
      <w:r w:rsidRPr="00C13A94">
        <w:rPr>
          <w:rFonts w:ascii="Times New Roman" w:hAnsi="Times New Roman"/>
          <w:sz w:val="24"/>
          <w:szCs w:val="24"/>
          <w:lang w:val="en-US"/>
        </w:rPr>
        <w:endnoteRef/>
      </w:r>
      <w:r w:rsidRPr="004E6572">
        <w:rPr>
          <w:rFonts w:ascii="Times New Roman" w:hAnsi="Times New Roman"/>
          <w:sz w:val="24"/>
          <w:szCs w:val="24"/>
          <w:lang w:val="en-US"/>
        </w:rPr>
        <w:t xml:space="preserve"> </w:t>
      </w:r>
      <w:r w:rsidRPr="004E6572">
        <w:rPr>
          <w:rFonts w:ascii="Times New Roman" w:hAnsi="Times New Roman"/>
          <w:sz w:val="24"/>
          <w:szCs w:val="24"/>
          <w:lang w:val="en-US"/>
        </w:rPr>
        <w:tab/>
      </w:r>
      <w:r w:rsidR="00B67CE5" w:rsidRPr="004E6572">
        <w:rPr>
          <w:rFonts w:ascii="Times New Roman" w:hAnsi="Times New Roman"/>
          <w:sz w:val="24"/>
          <w:szCs w:val="24"/>
          <w:lang w:val="en-US"/>
        </w:rPr>
        <w:t xml:space="preserve">N. </w:t>
      </w:r>
      <w:r w:rsidRPr="004E6572">
        <w:rPr>
          <w:rFonts w:ascii="Times New Roman" w:hAnsi="Times New Roman"/>
          <w:sz w:val="24"/>
          <w:szCs w:val="24"/>
          <w:lang w:val="en-US"/>
        </w:rPr>
        <w:t xml:space="preserve">Grimblat, </w:t>
      </w:r>
      <w:r w:rsidR="00B67CE5" w:rsidRPr="004E6572">
        <w:rPr>
          <w:rFonts w:ascii="Times New Roman" w:hAnsi="Times New Roman"/>
          <w:sz w:val="24"/>
          <w:szCs w:val="24"/>
          <w:lang w:val="en-US"/>
        </w:rPr>
        <w:t xml:space="preserve">M.M. </w:t>
      </w:r>
      <w:r w:rsidRPr="004E6572">
        <w:rPr>
          <w:rFonts w:ascii="Times New Roman" w:hAnsi="Times New Roman"/>
          <w:sz w:val="24"/>
          <w:szCs w:val="24"/>
          <w:lang w:val="en-US"/>
        </w:rPr>
        <w:t xml:space="preserve">Zanardi, </w:t>
      </w:r>
      <w:r w:rsidR="005475E0" w:rsidRPr="00C13A94">
        <w:rPr>
          <w:rFonts w:ascii="Times New Roman" w:hAnsi="Times New Roman"/>
          <w:sz w:val="24"/>
          <w:szCs w:val="24"/>
          <w:lang w:val="en-US"/>
        </w:rPr>
        <w:t xml:space="preserve">and </w:t>
      </w:r>
      <w:r w:rsidR="00B67CE5" w:rsidRPr="004E6572">
        <w:rPr>
          <w:rFonts w:ascii="Times New Roman" w:hAnsi="Times New Roman"/>
          <w:sz w:val="24"/>
          <w:szCs w:val="24"/>
          <w:lang w:val="en-US"/>
        </w:rPr>
        <w:t xml:space="preserve">A.M. </w:t>
      </w:r>
      <w:r w:rsidRPr="004E6572">
        <w:rPr>
          <w:rFonts w:ascii="Times New Roman" w:hAnsi="Times New Roman"/>
          <w:sz w:val="24"/>
          <w:szCs w:val="24"/>
          <w:lang w:val="en-US"/>
        </w:rPr>
        <w:t xml:space="preserve">Sarotti, </w:t>
      </w:r>
      <w:r w:rsidRPr="004E6572">
        <w:rPr>
          <w:rFonts w:ascii="Times New Roman" w:hAnsi="Times New Roman"/>
          <w:i/>
          <w:sz w:val="24"/>
          <w:szCs w:val="24"/>
          <w:lang w:val="en-US"/>
        </w:rPr>
        <w:t xml:space="preserve">J. Org. </w:t>
      </w:r>
      <w:r w:rsidRPr="00C13A94">
        <w:rPr>
          <w:rFonts w:ascii="Times New Roman" w:hAnsi="Times New Roman"/>
          <w:i/>
          <w:sz w:val="24"/>
          <w:szCs w:val="24"/>
          <w:lang w:val="en-US"/>
        </w:rPr>
        <w:t>Chem</w:t>
      </w:r>
      <w:r w:rsidRPr="00C13A94">
        <w:rPr>
          <w:rFonts w:ascii="Times New Roman" w:hAnsi="Times New Roman"/>
          <w:sz w:val="24"/>
          <w:szCs w:val="24"/>
          <w:lang w:val="en-US"/>
        </w:rPr>
        <w:t xml:space="preserve">. 2015, </w:t>
      </w:r>
      <w:r w:rsidRPr="00C13A94">
        <w:rPr>
          <w:rFonts w:ascii="Times New Roman" w:hAnsi="Times New Roman"/>
          <w:b/>
          <w:sz w:val="24"/>
          <w:szCs w:val="24"/>
          <w:lang w:val="en-US"/>
        </w:rPr>
        <w:t>80</w:t>
      </w:r>
      <w:r w:rsidRPr="00C13A94">
        <w:rPr>
          <w:rFonts w:ascii="Times New Roman" w:hAnsi="Times New Roman"/>
          <w:sz w:val="24"/>
          <w:szCs w:val="24"/>
          <w:lang w:val="en-US"/>
        </w:rPr>
        <w:t xml:space="preserve">, </w:t>
      </w:r>
      <w:r w:rsidR="00E217C8" w:rsidRPr="004E6572">
        <w:rPr>
          <w:rFonts w:ascii="Times New Roman" w:hAnsi="Times New Roman"/>
          <w:sz w:val="24"/>
          <w:szCs w:val="24"/>
          <w:lang w:val="en-US"/>
        </w:rPr>
        <w:t xml:space="preserve">pp. </w:t>
      </w:r>
      <w:r w:rsidRPr="00C13A94">
        <w:rPr>
          <w:rFonts w:ascii="Times New Roman" w:hAnsi="Times New Roman"/>
          <w:sz w:val="24"/>
          <w:szCs w:val="24"/>
          <w:lang w:val="en-US"/>
        </w:rPr>
        <w:t>12526-12534</w:t>
      </w:r>
      <w:r w:rsidR="006F1C6F">
        <w:rPr>
          <w:rFonts w:ascii="Times New Roman" w:hAnsi="Times New Roman"/>
          <w:sz w:val="24"/>
          <w:szCs w:val="24"/>
          <w:lang w:val="en-US"/>
        </w:rPr>
        <w:t>;</w:t>
      </w:r>
      <w:r w:rsidR="006F1C6F" w:rsidRPr="006F1C6F">
        <w:rPr>
          <w:lang w:val="en-US"/>
        </w:rPr>
        <w:t xml:space="preserve"> </w:t>
      </w:r>
      <w:r w:rsidR="006F1C6F" w:rsidRPr="006F1C6F">
        <w:rPr>
          <w:rFonts w:ascii="Times New Roman" w:hAnsi="Times New Roman"/>
          <w:sz w:val="24"/>
          <w:szCs w:val="24"/>
          <w:lang w:val="en-US"/>
        </w:rPr>
        <w:t>https://doi.org/ 10.1021/acs.joc.5b02396</w:t>
      </w:r>
      <w:r w:rsidRPr="00C13A94">
        <w:rPr>
          <w:rFonts w:ascii="Times New Roman" w:hAnsi="Times New Roman"/>
          <w:sz w:val="24"/>
          <w:szCs w:val="24"/>
          <w:lang w:val="en-US"/>
        </w:rPr>
        <w:t>.</w:t>
      </w:r>
    </w:p>
  </w:endnote>
  <w:endnote w:id="21">
    <w:p w14:paraId="0D50E1E6" w14:textId="7DCA45F5" w:rsidR="00627E22" w:rsidRPr="00C13A94" w:rsidRDefault="00627E22" w:rsidP="00627E22">
      <w:pPr>
        <w:pStyle w:val="Notedefin"/>
        <w:spacing w:line="276" w:lineRule="auto"/>
        <w:ind w:left="709" w:hanging="709"/>
        <w:jc w:val="both"/>
        <w:rPr>
          <w:rFonts w:ascii="Times New Roman" w:hAnsi="Times New Roman"/>
          <w:sz w:val="24"/>
          <w:szCs w:val="24"/>
          <w:lang w:val="en-US"/>
        </w:rPr>
      </w:pPr>
      <w:r w:rsidRPr="00C13A94">
        <w:rPr>
          <w:rFonts w:ascii="Times New Roman" w:hAnsi="Times New Roman"/>
          <w:sz w:val="24"/>
          <w:szCs w:val="24"/>
          <w:lang w:val="en-US"/>
        </w:rPr>
        <w:endnoteRef/>
      </w:r>
      <w:r w:rsidRPr="00C13A94">
        <w:rPr>
          <w:rFonts w:ascii="Times New Roman" w:hAnsi="Times New Roman"/>
          <w:sz w:val="24"/>
          <w:szCs w:val="24"/>
          <w:lang w:val="en-US"/>
        </w:rPr>
        <w:t xml:space="preserve"> </w:t>
      </w:r>
      <w:r w:rsidRPr="00C13A94">
        <w:rPr>
          <w:rFonts w:ascii="Times New Roman" w:hAnsi="Times New Roman"/>
          <w:sz w:val="24"/>
          <w:szCs w:val="24"/>
          <w:lang w:val="en-US"/>
        </w:rPr>
        <w:tab/>
      </w:r>
      <w:r w:rsidR="00E217C8" w:rsidRPr="00C13A94">
        <w:rPr>
          <w:rFonts w:ascii="Times New Roman" w:hAnsi="Times New Roman"/>
          <w:sz w:val="24"/>
          <w:szCs w:val="24"/>
          <w:lang w:val="sv-SE"/>
        </w:rPr>
        <w:t>N.</w:t>
      </w:r>
      <w:r w:rsidR="00E217C8" w:rsidRPr="005475E0">
        <w:rPr>
          <w:rFonts w:ascii="Times New Roman" w:hAnsi="Times New Roman"/>
          <w:sz w:val="24"/>
          <w:szCs w:val="24"/>
          <w:lang w:val="en-US"/>
        </w:rPr>
        <w:t xml:space="preserve"> </w:t>
      </w:r>
      <w:r w:rsidRPr="00C13A94">
        <w:rPr>
          <w:rFonts w:ascii="Times New Roman" w:hAnsi="Times New Roman"/>
          <w:sz w:val="24"/>
          <w:szCs w:val="24"/>
          <w:lang w:val="de-DE"/>
        </w:rPr>
        <w:t>Grimblat</w:t>
      </w:r>
      <w:r w:rsidRPr="00C13A94">
        <w:rPr>
          <w:rFonts w:ascii="Times New Roman" w:hAnsi="Times New Roman"/>
          <w:sz w:val="24"/>
          <w:szCs w:val="24"/>
          <w:lang w:val="sv-SE"/>
        </w:rPr>
        <w:t xml:space="preserve"> </w:t>
      </w:r>
      <w:r w:rsidR="005475E0" w:rsidRPr="00C13A94">
        <w:rPr>
          <w:rFonts w:ascii="Times New Roman" w:hAnsi="Times New Roman"/>
          <w:sz w:val="24"/>
          <w:szCs w:val="24"/>
          <w:lang w:val="en-US"/>
        </w:rPr>
        <w:t xml:space="preserve">and </w:t>
      </w:r>
      <w:r w:rsidR="00E217C8" w:rsidRPr="00C13A94">
        <w:rPr>
          <w:rFonts w:ascii="Times New Roman" w:hAnsi="Times New Roman"/>
          <w:sz w:val="24"/>
          <w:szCs w:val="24"/>
          <w:lang w:val="sv-SE"/>
        </w:rPr>
        <w:t xml:space="preserve">A.M. </w:t>
      </w:r>
      <w:r w:rsidRPr="00C13A94">
        <w:rPr>
          <w:rFonts w:ascii="Times New Roman" w:hAnsi="Times New Roman"/>
          <w:sz w:val="24"/>
          <w:szCs w:val="24"/>
          <w:lang w:val="sv-SE"/>
        </w:rPr>
        <w:t xml:space="preserve">Sarotti, </w:t>
      </w:r>
      <w:r w:rsidRPr="00C13A94">
        <w:rPr>
          <w:rFonts w:ascii="Times New Roman" w:hAnsi="Times New Roman"/>
          <w:i/>
          <w:sz w:val="24"/>
          <w:szCs w:val="24"/>
          <w:lang w:val="sv-SE"/>
        </w:rPr>
        <w:t>Chem. Eur. J</w:t>
      </w:r>
      <w:r w:rsidRPr="00C13A94">
        <w:rPr>
          <w:rFonts w:ascii="Times New Roman" w:hAnsi="Times New Roman"/>
          <w:sz w:val="24"/>
          <w:szCs w:val="24"/>
          <w:lang w:val="sv-SE"/>
        </w:rPr>
        <w:t xml:space="preserve">. 2016, </w:t>
      </w:r>
      <w:r w:rsidRPr="00C13A94">
        <w:rPr>
          <w:rFonts w:ascii="Times New Roman" w:hAnsi="Times New Roman"/>
          <w:b/>
          <w:sz w:val="24"/>
          <w:szCs w:val="24"/>
          <w:lang w:val="sv-SE"/>
        </w:rPr>
        <w:t>22</w:t>
      </w:r>
      <w:r w:rsidRPr="00C13A94">
        <w:rPr>
          <w:rFonts w:ascii="Times New Roman" w:hAnsi="Times New Roman"/>
          <w:sz w:val="24"/>
          <w:szCs w:val="24"/>
          <w:lang w:val="sv-SE"/>
        </w:rPr>
        <w:t xml:space="preserve">, </w:t>
      </w:r>
      <w:r w:rsidR="00E217C8" w:rsidRPr="004E6572">
        <w:rPr>
          <w:rFonts w:ascii="Times New Roman" w:hAnsi="Times New Roman"/>
          <w:sz w:val="24"/>
          <w:szCs w:val="24"/>
          <w:lang w:val="en-US"/>
        </w:rPr>
        <w:t xml:space="preserve">pp. </w:t>
      </w:r>
      <w:r w:rsidRPr="00C13A94">
        <w:rPr>
          <w:rFonts w:ascii="Times New Roman" w:hAnsi="Times New Roman"/>
          <w:sz w:val="24"/>
          <w:szCs w:val="24"/>
          <w:lang w:val="sv-SE"/>
        </w:rPr>
        <w:t>12246-12261</w:t>
      </w:r>
      <w:r w:rsidR="006F1C6F">
        <w:rPr>
          <w:rFonts w:ascii="Times New Roman" w:hAnsi="Times New Roman"/>
          <w:sz w:val="24"/>
          <w:szCs w:val="24"/>
          <w:lang w:val="sv-SE"/>
        </w:rPr>
        <w:t>;</w:t>
      </w:r>
      <w:r w:rsidR="006F1C6F" w:rsidRPr="006F1C6F">
        <w:rPr>
          <w:lang w:val="en-US"/>
        </w:rPr>
        <w:t xml:space="preserve"> </w:t>
      </w:r>
      <w:r w:rsidR="006F1C6F" w:rsidRPr="006F1C6F">
        <w:rPr>
          <w:rFonts w:ascii="Times New Roman" w:hAnsi="Times New Roman"/>
          <w:sz w:val="24"/>
          <w:szCs w:val="24"/>
          <w:lang w:val="sv-SE"/>
        </w:rPr>
        <w:t>https://doi.org/10.1002/chem.201601150</w:t>
      </w:r>
      <w:r w:rsidRPr="00C13A94">
        <w:rPr>
          <w:rFonts w:ascii="Times New Roman" w:hAnsi="Times New Roman"/>
          <w:sz w:val="24"/>
          <w:szCs w:val="24"/>
          <w:lang w:val="sv-SE"/>
        </w:rPr>
        <w:t>.</w:t>
      </w:r>
    </w:p>
  </w:endnote>
  <w:endnote w:id="22">
    <w:p w14:paraId="3A2AEAF7" w14:textId="368BEC4D" w:rsidR="00A31C93" w:rsidRPr="00C13A94" w:rsidRDefault="00A31C93" w:rsidP="00A31C93">
      <w:pPr>
        <w:pStyle w:val="Notedefin"/>
        <w:spacing w:line="276" w:lineRule="auto"/>
        <w:ind w:left="709" w:hanging="709"/>
        <w:jc w:val="both"/>
        <w:rPr>
          <w:rFonts w:ascii="Times New Roman" w:hAnsi="Times New Roman"/>
          <w:color w:val="FF0000"/>
          <w:sz w:val="24"/>
          <w:szCs w:val="24"/>
          <w:lang w:val="en-US"/>
        </w:rPr>
      </w:pPr>
      <w:r w:rsidRPr="00C13A94">
        <w:rPr>
          <w:rFonts w:ascii="Times New Roman" w:hAnsi="Times New Roman"/>
          <w:sz w:val="24"/>
          <w:szCs w:val="24"/>
          <w:lang w:val="en-US"/>
        </w:rPr>
        <w:endnoteRef/>
      </w:r>
      <w:r w:rsidRPr="00C13A94">
        <w:rPr>
          <w:rFonts w:ascii="Times New Roman" w:hAnsi="Times New Roman"/>
          <w:sz w:val="24"/>
          <w:szCs w:val="24"/>
          <w:lang w:val="en-US"/>
        </w:rPr>
        <w:t xml:space="preserve"> </w:t>
      </w:r>
      <w:r w:rsidRPr="00C13A94">
        <w:rPr>
          <w:rFonts w:ascii="Times New Roman" w:hAnsi="Times New Roman"/>
          <w:sz w:val="24"/>
          <w:szCs w:val="24"/>
          <w:lang w:val="en-US"/>
        </w:rPr>
        <w:tab/>
        <w:t xml:space="preserve">AIMAll (Version 19.10.12), Keith, T.A. TK Gristmill Software, Overland Park KS, USA, 2019. </w:t>
      </w:r>
      <w:r w:rsidR="006F1C6F" w:rsidRPr="006F1C6F">
        <w:rPr>
          <w:rFonts w:ascii="Times New Roman" w:hAnsi="Times New Roman"/>
          <w:sz w:val="24"/>
          <w:szCs w:val="24"/>
          <w:lang w:val="en-US"/>
        </w:rPr>
        <w:t>http://aim.tkgristmill.com</w:t>
      </w:r>
      <w:r w:rsidR="006F1C6F">
        <w:rPr>
          <w:rFonts w:ascii="Times New Roman" w:hAnsi="Times New Roman"/>
          <w:sz w:val="24"/>
          <w:szCs w:val="24"/>
          <w:lang w:val="en-US"/>
        </w:rPr>
        <w:t xml:space="preserve">. </w:t>
      </w:r>
      <w:r w:rsidR="006F1C6F" w:rsidRPr="00C13A94">
        <w:rPr>
          <w:rFonts w:ascii="Times New Roman" w:hAnsi="Times New Roman"/>
          <w:sz w:val="24"/>
          <w:szCs w:val="24"/>
          <w:lang w:val="en-US"/>
        </w:rPr>
        <w:t>Accessed May 9, 2025</w:t>
      </w:r>
      <w:r w:rsidR="006F1C6F">
        <w:rPr>
          <w:rFonts w:ascii="Times New Roman" w:hAnsi="Times New Roman"/>
          <w:sz w:val="24"/>
          <w:szCs w:val="24"/>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CC"/>
    <w:family w:val="roman"/>
    <w:pitch w:val="default"/>
  </w:font>
  <w:font w:name="Symbol-ProportionalA">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SymbolMT">
    <w:altName w:val="MS Gothic"/>
    <w:panose1 w:val="00000000000000000000"/>
    <w:charset w:val="80"/>
    <w:family w:val="auto"/>
    <w:notTrueType/>
    <w:pitch w:val="default"/>
    <w:sig w:usb0="00000000" w:usb1="08070000" w:usb2="00000010" w:usb3="00000000" w:csb0="00020000" w:csb1="00000000"/>
  </w:font>
  <w:font w:name="Symbol-Proportional">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DCC2" w14:textId="634FA8C4" w:rsidR="00186B10" w:rsidRPr="000D2155" w:rsidRDefault="00186B10" w:rsidP="006D55F6">
    <w:pPr>
      <w:pStyle w:val="Pieddepage"/>
      <w:tabs>
        <w:tab w:val="clear" w:pos="4677"/>
        <w:tab w:val="clear" w:pos="9355"/>
        <w:tab w:val="center" w:pos="5387"/>
        <w:tab w:val="right" w:pos="9923"/>
      </w:tabs>
      <w:spacing w:before="240"/>
      <w:rPr>
        <w:lang w:val="en-US"/>
      </w:rPr>
    </w:pPr>
    <w:r>
      <w:rPr>
        <w:rFonts w:ascii="Times New Roman" w:hAnsi="Times New Roman"/>
        <w:spacing w:val="-1"/>
        <w:sz w:val="15"/>
        <w:szCs w:val="15"/>
        <w:lang w:val="en-US"/>
      </w:rPr>
      <w:t xml:space="preserve">©      </w:t>
    </w:r>
    <w:r w:rsidRPr="000D2155">
      <w:rPr>
        <w:rFonts w:ascii="Times New Roman" w:hAnsi="Times New Roman"/>
        <w:spacing w:val="-1"/>
        <w:sz w:val="15"/>
        <w:szCs w:val="15"/>
        <w:lang w:val="en-US"/>
      </w:rPr>
      <w:t xml:space="preserve"> Mendeleev Communications. Published by ELSEVIER B.V. </w:t>
    </w:r>
    <w:r>
      <w:rPr>
        <w:rFonts w:ascii="Times New Roman" w:hAnsi="Times New Roman"/>
        <w:spacing w:val="-1"/>
        <w:sz w:val="15"/>
        <w:szCs w:val="15"/>
        <w:lang w:val="en-US"/>
      </w:rPr>
      <w:tab/>
    </w:r>
    <w:r>
      <w:rPr>
        <w:lang w:val="en-US"/>
      </w:rPr>
      <w:t>– </w:t>
    </w:r>
    <w:r w:rsidRPr="002536BC">
      <w:rPr>
        <w:rFonts w:ascii="Times New Roman" w:hAnsi="Times New Roman"/>
      </w:rPr>
      <w:fldChar w:fldCharType="begin"/>
    </w:r>
    <w:r w:rsidRPr="002536BC">
      <w:rPr>
        <w:rFonts w:ascii="Times New Roman" w:hAnsi="Times New Roman"/>
        <w:lang w:val="en-US"/>
      </w:rPr>
      <w:instrText>PAGE   \* MERGEFORMAT</w:instrText>
    </w:r>
    <w:r w:rsidRPr="002536BC">
      <w:rPr>
        <w:rFonts w:ascii="Times New Roman" w:hAnsi="Times New Roman"/>
      </w:rPr>
      <w:fldChar w:fldCharType="separate"/>
    </w:r>
    <w:r w:rsidR="002B7370">
      <w:rPr>
        <w:rFonts w:ascii="Times New Roman" w:hAnsi="Times New Roman"/>
        <w:noProof/>
        <w:lang w:val="en-US"/>
      </w:rPr>
      <w:t>10</w:t>
    </w:r>
    <w:r w:rsidRPr="002536BC">
      <w:rPr>
        <w:rFonts w:ascii="Times New Roman" w:hAnsi="Times New Roman"/>
      </w:rPr>
      <w:fldChar w:fldCharType="end"/>
    </w:r>
    <w:r>
      <w:rPr>
        <w:lang w:val="en-US"/>
      </w:rPr>
      <w:t> –</w:t>
    </w:r>
    <w:r w:rsidRPr="000D2155">
      <w:rPr>
        <w:rFonts w:ascii="Times New Roman" w:hAnsi="Times New Roman"/>
        <w:spacing w:val="-1"/>
        <w:sz w:val="15"/>
        <w:szCs w:val="15"/>
        <w:lang w:val="en-US"/>
      </w:rPr>
      <w:br/>
      <w:t xml:space="preserve">on behalf of the N. D. Zelinsky Institute of Organic Chemistry of the </w:t>
    </w:r>
    <w:r w:rsidRPr="000D2155">
      <w:rPr>
        <w:rFonts w:ascii="Times New Roman" w:hAnsi="Times New Roman"/>
        <w:spacing w:val="-1"/>
        <w:sz w:val="15"/>
        <w:szCs w:val="15"/>
        <w:lang w:val="en-US"/>
      </w:rPr>
      <w:br/>
      <w:t>Russian Academy of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1478" w14:textId="77777777" w:rsidR="001411F1" w:rsidRDefault="001411F1" w:rsidP="000D2155">
      <w:pPr>
        <w:spacing w:after="0" w:line="240" w:lineRule="auto"/>
      </w:pPr>
      <w:r>
        <w:separator/>
      </w:r>
    </w:p>
  </w:footnote>
  <w:footnote w:type="continuationSeparator" w:id="0">
    <w:p w14:paraId="626DFA33" w14:textId="77777777" w:rsidR="001411F1" w:rsidRDefault="001411F1" w:rsidP="000D2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B1C0" w14:textId="77777777" w:rsidR="00186B10" w:rsidRDefault="00186B10" w:rsidP="002536BC">
    <w:pPr>
      <w:pStyle w:val="BasicParagraph"/>
      <w:spacing w:before="120" w:after="120"/>
      <w:jc w:val="center"/>
      <w:rPr>
        <w:sz w:val="16"/>
        <w:szCs w:val="16"/>
      </w:rPr>
    </w:pPr>
    <w:r>
      <w:rPr>
        <w:i/>
        <w:iCs/>
        <w:sz w:val="16"/>
        <w:szCs w:val="16"/>
      </w:rPr>
      <w:t>Mendeleev Commun.</w:t>
    </w:r>
    <w:r>
      <w:rPr>
        <w:sz w:val="16"/>
        <w:szCs w:val="16"/>
      </w:rPr>
      <w:t xml:space="preserve">, year, </w:t>
    </w:r>
    <w:r>
      <w:rPr>
        <w:b/>
        <w:bCs/>
        <w:sz w:val="16"/>
        <w:szCs w:val="16"/>
      </w:rPr>
      <w:t>issue</w:t>
    </w:r>
    <w:r>
      <w:rPr>
        <w:sz w:val="16"/>
        <w:szCs w:val="16"/>
      </w:rPr>
      <w:t>, 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32FF"/>
    <w:multiLevelType w:val="hybridMultilevel"/>
    <w:tmpl w:val="29DEAF66"/>
    <w:lvl w:ilvl="0" w:tplc="C5B2D2E4">
      <w:start w:val="1"/>
      <w:numFmt w:val="decimal"/>
      <w:lvlText w:val="Scheme %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FC853A2"/>
    <w:multiLevelType w:val="hybridMultilevel"/>
    <w:tmpl w:val="8C4810DA"/>
    <w:lvl w:ilvl="0" w:tplc="2710E994">
      <w:start w:val="1"/>
      <w:numFmt w:val="decimal"/>
      <w:lvlText w:val="Scheme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7227E8"/>
    <w:multiLevelType w:val="hybridMultilevel"/>
    <w:tmpl w:val="5A9808D6"/>
    <w:lvl w:ilvl="0" w:tplc="49082E98">
      <w:start w:val="1"/>
      <w:numFmt w:val="decimal"/>
      <w:pStyle w:val="MCReferen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69112E"/>
    <w:multiLevelType w:val="multilevel"/>
    <w:tmpl w:val="297619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CE62EF3"/>
    <w:multiLevelType w:val="multilevel"/>
    <w:tmpl w:val="F6EA2964"/>
    <w:lvl w:ilvl="0">
      <w:start w:val="1"/>
      <w:numFmt w:val="decimal"/>
      <w:lvlText w:val="Scheme %1"/>
      <w:lvlJc w:val="left"/>
      <w:pPr>
        <w:ind w:left="1170" w:hanging="360"/>
      </w:pPr>
      <w:rPr>
        <w:rFonts w:hint="default"/>
        <w:b/>
      </w:rPr>
    </w:lvl>
    <w:lvl w:ilvl="1">
      <w:start w:val="1"/>
      <w:numFmt w:val="lowerLetter"/>
      <w:lvlText w:val="%2."/>
      <w:lvlJc w:val="left"/>
      <w:pPr>
        <w:ind w:left="2316" w:hanging="360"/>
      </w:pPr>
    </w:lvl>
    <w:lvl w:ilvl="2">
      <w:start w:val="1"/>
      <w:numFmt w:val="lowerRoman"/>
      <w:lvlText w:val="%3."/>
      <w:lvlJc w:val="right"/>
      <w:pPr>
        <w:ind w:left="3036" w:hanging="180"/>
      </w:pPr>
    </w:lvl>
    <w:lvl w:ilvl="3">
      <w:start w:val="1"/>
      <w:numFmt w:val="decimal"/>
      <w:lvlText w:val="%4."/>
      <w:lvlJc w:val="left"/>
      <w:pPr>
        <w:ind w:left="3756" w:hanging="360"/>
      </w:pPr>
    </w:lvl>
    <w:lvl w:ilvl="4">
      <w:start w:val="1"/>
      <w:numFmt w:val="lowerLetter"/>
      <w:lvlText w:val="%5."/>
      <w:lvlJc w:val="left"/>
      <w:pPr>
        <w:ind w:left="4476" w:hanging="360"/>
      </w:pPr>
    </w:lvl>
    <w:lvl w:ilvl="5">
      <w:start w:val="1"/>
      <w:numFmt w:val="lowerRoman"/>
      <w:lvlText w:val="%6."/>
      <w:lvlJc w:val="right"/>
      <w:pPr>
        <w:ind w:left="5196" w:hanging="180"/>
      </w:pPr>
    </w:lvl>
    <w:lvl w:ilvl="6">
      <w:start w:val="1"/>
      <w:numFmt w:val="decimal"/>
      <w:lvlText w:val="%7."/>
      <w:lvlJc w:val="left"/>
      <w:pPr>
        <w:ind w:left="5916" w:hanging="360"/>
      </w:pPr>
    </w:lvl>
    <w:lvl w:ilvl="7">
      <w:start w:val="1"/>
      <w:numFmt w:val="lowerLetter"/>
      <w:lvlText w:val="%8."/>
      <w:lvlJc w:val="left"/>
      <w:pPr>
        <w:ind w:left="6636" w:hanging="360"/>
      </w:pPr>
    </w:lvl>
    <w:lvl w:ilvl="8">
      <w:start w:val="1"/>
      <w:numFmt w:val="lowerRoman"/>
      <w:lvlText w:val="%9."/>
      <w:lvlJc w:val="right"/>
      <w:pPr>
        <w:ind w:left="7356" w:hanging="180"/>
      </w:pPr>
    </w:lvl>
  </w:abstractNum>
  <w:abstractNum w:abstractNumId="5" w15:restartNumberingAfterBreak="0">
    <w:nsid w:val="610E2E15"/>
    <w:multiLevelType w:val="hybridMultilevel"/>
    <w:tmpl w:val="2B3CE138"/>
    <w:lvl w:ilvl="0" w:tplc="D5F6E8DE">
      <w:start w:val="1"/>
      <w:numFmt w:val="decimal"/>
      <w:pStyle w:val="MCFgurecaption"/>
      <w:lvlText w:val="Figure %1"/>
      <w:lvlJc w:val="left"/>
      <w:pPr>
        <w:ind w:left="720" w:hanging="36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BC1F50"/>
    <w:multiLevelType w:val="hybridMultilevel"/>
    <w:tmpl w:val="F6EA2964"/>
    <w:lvl w:ilvl="0" w:tplc="390E41DE">
      <w:start w:val="1"/>
      <w:numFmt w:val="decimal"/>
      <w:pStyle w:val="MCSchemecaption"/>
      <w:lvlText w:val="Scheme %1"/>
      <w:lvlJc w:val="left"/>
      <w:pPr>
        <w:ind w:left="1170" w:hanging="360"/>
      </w:pPr>
      <w:rPr>
        <w:rFonts w:hint="default"/>
        <w:b/>
      </w:rPr>
    </w:lvl>
    <w:lvl w:ilvl="1" w:tplc="04190019" w:tentative="1">
      <w:start w:val="1"/>
      <w:numFmt w:val="lowerLetter"/>
      <w:lvlText w:val="%2."/>
      <w:lvlJc w:val="left"/>
      <w:pPr>
        <w:ind w:left="2316" w:hanging="360"/>
      </w:pPr>
    </w:lvl>
    <w:lvl w:ilvl="2" w:tplc="0419001B" w:tentative="1">
      <w:start w:val="1"/>
      <w:numFmt w:val="lowerRoman"/>
      <w:lvlText w:val="%3."/>
      <w:lvlJc w:val="right"/>
      <w:pPr>
        <w:ind w:left="3036" w:hanging="180"/>
      </w:pPr>
    </w:lvl>
    <w:lvl w:ilvl="3" w:tplc="0419000F" w:tentative="1">
      <w:start w:val="1"/>
      <w:numFmt w:val="decimal"/>
      <w:lvlText w:val="%4."/>
      <w:lvlJc w:val="left"/>
      <w:pPr>
        <w:ind w:left="3756" w:hanging="360"/>
      </w:pPr>
    </w:lvl>
    <w:lvl w:ilvl="4" w:tplc="04190019" w:tentative="1">
      <w:start w:val="1"/>
      <w:numFmt w:val="lowerLetter"/>
      <w:lvlText w:val="%5."/>
      <w:lvlJc w:val="left"/>
      <w:pPr>
        <w:ind w:left="4476" w:hanging="360"/>
      </w:pPr>
    </w:lvl>
    <w:lvl w:ilvl="5" w:tplc="0419001B" w:tentative="1">
      <w:start w:val="1"/>
      <w:numFmt w:val="lowerRoman"/>
      <w:lvlText w:val="%6."/>
      <w:lvlJc w:val="right"/>
      <w:pPr>
        <w:ind w:left="5196" w:hanging="180"/>
      </w:pPr>
    </w:lvl>
    <w:lvl w:ilvl="6" w:tplc="0419000F" w:tentative="1">
      <w:start w:val="1"/>
      <w:numFmt w:val="decimal"/>
      <w:lvlText w:val="%7."/>
      <w:lvlJc w:val="left"/>
      <w:pPr>
        <w:ind w:left="5916" w:hanging="360"/>
      </w:pPr>
    </w:lvl>
    <w:lvl w:ilvl="7" w:tplc="04190019" w:tentative="1">
      <w:start w:val="1"/>
      <w:numFmt w:val="lowerLetter"/>
      <w:lvlText w:val="%8."/>
      <w:lvlJc w:val="left"/>
      <w:pPr>
        <w:ind w:left="6636" w:hanging="360"/>
      </w:pPr>
    </w:lvl>
    <w:lvl w:ilvl="8" w:tplc="0419001B" w:tentative="1">
      <w:start w:val="1"/>
      <w:numFmt w:val="lowerRoman"/>
      <w:lvlText w:val="%9."/>
      <w:lvlJc w:val="right"/>
      <w:pPr>
        <w:ind w:left="7356" w:hanging="180"/>
      </w:pPr>
    </w:lvl>
  </w:abstractNum>
  <w:abstractNum w:abstractNumId="7" w15:restartNumberingAfterBreak="0">
    <w:nsid w:val="6F460ECC"/>
    <w:multiLevelType w:val="hybridMultilevel"/>
    <w:tmpl w:val="2D7A2C7E"/>
    <w:lvl w:ilvl="0" w:tplc="29145F3E">
      <w:start w:val="1"/>
      <w:numFmt w:val="decimal"/>
      <w:pStyle w:val="MCTablecaption"/>
      <w:lvlText w:val="Table %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8057463">
    <w:abstractNumId w:val="3"/>
  </w:num>
  <w:num w:numId="2" w16cid:durableId="300506146">
    <w:abstractNumId w:val="2"/>
  </w:num>
  <w:num w:numId="3" w16cid:durableId="1818759269">
    <w:abstractNumId w:val="1"/>
  </w:num>
  <w:num w:numId="4" w16cid:durableId="189993267">
    <w:abstractNumId w:val="0"/>
  </w:num>
  <w:num w:numId="5" w16cid:durableId="1207377629">
    <w:abstractNumId w:val="6"/>
  </w:num>
  <w:num w:numId="6" w16cid:durableId="1625311557">
    <w:abstractNumId w:val="5"/>
  </w:num>
  <w:num w:numId="7" w16cid:durableId="1961035427">
    <w:abstractNumId w:val="7"/>
  </w:num>
  <w:num w:numId="8" w16cid:durableId="1545144252">
    <w:abstractNumId w:val="6"/>
    <w:lvlOverride w:ilvl="0">
      <w:startOverride w:val="1"/>
    </w:lvlOverride>
  </w:num>
  <w:num w:numId="9" w16cid:durableId="1936860072">
    <w:abstractNumId w:val="5"/>
  </w:num>
  <w:num w:numId="10" w16cid:durableId="1744333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4F"/>
    <w:rsid w:val="00000057"/>
    <w:rsid w:val="00005E2E"/>
    <w:rsid w:val="00007832"/>
    <w:rsid w:val="00007B2A"/>
    <w:rsid w:val="00012D71"/>
    <w:rsid w:val="0001661B"/>
    <w:rsid w:val="000171A7"/>
    <w:rsid w:val="00020A52"/>
    <w:rsid w:val="0002104E"/>
    <w:rsid w:val="00024675"/>
    <w:rsid w:val="0002704C"/>
    <w:rsid w:val="000400C7"/>
    <w:rsid w:val="00042E0B"/>
    <w:rsid w:val="00051D34"/>
    <w:rsid w:val="00056EA2"/>
    <w:rsid w:val="000705B0"/>
    <w:rsid w:val="00070BA3"/>
    <w:rsid w:val="0007141A"/>
    <w:rsid w:val="00072D08"/>
    <w:rsid w:val="000737DD"/>
    <w:rsid w:val="000778E1"/>
    <w:rsid w:val="000803AC"/>
    <w:rsid w:val="0008177E"/>
    <w:rsid w:val="00082757"/>
    <w:rsid w:val="00087217"/>
    <w:rsid w:val="00091A10"/>
    <w:rsid w:val="00091B11"/>
    <w:rsid w:val="0009364C"/>
    <w:rsid w:val="000B04D6"/>
    <w:rsid w:val="000B16F3"/>
    <w:rsid w:val="000B4485"/>
    <w:rsid w:val="000B6FA6"/>
    <w:rsid w:val="000B74A6"/>
    <w:rsid w:val="000C0A91"/>
    <w:rsid w:val="000C56E7"/>
    <w:rsid w:val="000D2155"/>
    <w:rsid w:val="000E7037"/>
    <w:rsid w:val="000E7A12"/>
    <w:rsid w:val="000F640C"/>
    <w:rsid w:val="000F79E0"/>
    <w:rsid w:val="000F7FEE"/>
    <w:rsid w:val="001005E9"/>
    <w:rsid w:val="001033B9"/>
    <w:rsid w:val="00111D9A"/>
    <w:rsid w:val="001138B1"/>
    <w:rsid w:val="001145C3"/>
    <w:rsid w:val="00117B92"/>
    <w:rsid w:val="00126CDC"/>
    <w:rsid w:val="00132053"/>
    <w:rsid w:val="001411F1"/>
    <w:rsid w:val="001431E0"/>
    <w:rsid w:val="00146CCF"/>
    <w:rsid w:val="00150DEC"/>
    <w:rsid w:val="001543FE"/>
    <w:rsid w:val="0015577C"/>
    <w:rsid w:val="00157ABB"/>
    <w:rsid w:val="0016281D"/>
    <w:rsid w:val="00164272"/>
    <w:rsid w:val="001700FE"/>
    <w:rsid w:val="00173EDC"/>
    <w:rsid w:val="0017560E"/>
    <w:rsid w:val="00183E88"/>
    <w:rsid w:val="00186B10"/>
    <w:rsid w:val="0019652F"/>
    <w:rsid w:val="001973EB"/>
    <w:rsid w:val="001A4607"/>
    <w:rsid w:val="001B6519"/>
    <w:rsid w:val="001D42DB"/>
    <w:rsid w:val="001D4EC4"/>
    <w:rsid w:val="001D7693"/>
    <w:rsid w:val="001E067B"/>
    <w:rsid w:val="00201AB1"/>
    <w:rsid w:val="00217A5D"/>
    <w:rsid w:val="002207B2"/>
    <w:rsid w:val="002270F7"/>
    <w:rsid w:val="00231CD9"/>
    <w:rsid w:val="00236629"/>
    <w:rsid w:val="0024346F"/>
    <w:rsid w:val="00245FFE"/>
    <w:rsid w:val="00246535"/>
    <w:rsid w:val="00247B2B"/>
    <w:rsid w:val="00251F16"/>
    <w:rsid w:val="0025234C"/>
    <w:rsid w:val="002536BC"/>
    <w:rsid w:val="002608C2"/>
    <w:rsid w:val="00262331"/>
    <w:rsid w:val="00263650"/>
    <w:rsid w:val="00263FF7"/>
    <w:rsid w:val="00264453"/>
    <w:rsid w:val="00270EA8"/>
    <w:rsid w:val="00272771"/>
    <w:rsid w:val="00272B77"/>
    <w:rsid w:val="00281B3D"/>
    <w:rsid w:val="00283A88"/>
    <w:rsid w:val="00285089"/>
    <w:rsid w:val="00286DFD"/>
    <w:rsid w:val="002903B1"/>
    <w:rsid w:val="00293016"/>
    <w:rsid w:val="002B0590"/>
    <w:rsid w:val="002B214F"/>
    <w:rsid w:val="002B3BFE"/>
    <w:rsid w:val="002B4A7F"/>
    <w:rsid w:val="002B4B44"/>
    <w:rsid w:val="002B683B"/>
    <w:rsid w:val="002B7370"/>
    <w:rsid w:val="002C0965"/>
    <w:rsid w:val="002C35E2"/>
    <w:rsid w:val="002E63B6"/>
    <w:rsid w:val="002E63F7"/>
    <w:rsid w:val="002F1947"/>
    <w:rsid w:val="00306612"/>
    <w:rsid w:val="0031069B"/>
    <w:rsid w:val="003110ED"/>
    <w:rsid w:val="003149BD"/>
    <w:rsid w:val="00314FA9"/>
    <w:rsid w:val="003261DF"/>
    <w:rsid w:val="003302EB"/>
    <w:rsid w:val="00332031"/>
    <w:rsid w:val="0033309E"/>
    <w:rsid w:val="00363F26"/>
    <w:rsid w:val="003646C2"/>
    <w:rsid w:val="00364BF8"/>
    <w:rsid w:val="00366B46"/>
    <w:rsid w:val="003671C9"/>
    <w:rsid w:val="003709AC"/>
    <w:rsid w:val="003719BF"/>
    <w:rsid w:val="003740CE"/>
    <w:rsid w:val="00381C4C"/>
    <w:rsid w:val="003A04ED"/>
    <w:rsid w:val="003A0A4A"/>
    <w:rsid w:val="003A1D12"/>
    <w:rsid w:val="003A617E"/>
    <w:rsid w:val="003B2390"/>
    <w:rsid w:val="003B75A1"/>
    <w:rsid w:val="003C38FE"/>
    <w:rsid w:val="003C64B5"/>
    <w:rsid w:val="003C6613"/>
    <w:rsid w:val="003D1E0F"/>
    <w:rsid w:val="003F0CAA"/>
    <w:rsid w:val="003F1426"/>
    <w:rsid w:val="003F4B64"/>
    <w:rsid w:val="003F59DF"/>
    <w:rsid w:val="00400C7A"/>
    <w:rsid w:val="004022D5"/>
    <w:rsid w:val="00404F66"/>
    <w:rsid w:val="00407F53"/>
    <w:rsid w:val="0041548C"/>
    <w:rsid w:val="00416043"/>
    <w:rsid w:val="00420989"/>
    <w:rsid w:val="0042402F"/>
    <w:rsid w:val="0043735A"/>
    <w:rsid w:val="00446B6E"/>
    <w:rsid w:val="0045015F"/>
    <w:rsid w:val="00457ADB"/>
    <w:rsid w:val="004627EB"/>
    <w:rsid w:val="0046380F"/>
    <w:rsid w:val="0046590F"/>
    <w:rsid w:val="0047306C"/>
    <w:rsid w:val="004755B4"/>
    <w:rsid w:val="00477637"/>
    <w:rsid w:val="00482120"/>
    <w:rsid w:val="00484CE2"/>
    <w:rsid w:val="004A2B9F"/>
    <w:rsid w:val="004A3680"/>
    <w:rsid w:val="004A6988"/>
    <w:rsid w:val="004B4790"/>
    <w:rsid w:val="004B7E72"/>
    <w:rsid w:val="004C150E"/>
    <w:rsid w:val="004C206C"/>
    <w:rsid w:val="004D0886"/>
    <w:rsid w:val="004D2141"/>
    <w:rsid w:val="004D241B"/>
    <w:rsid w:val="004D53DC"/>
    <w:rsid w:val="004E6572"/>
    <w:rsid w:val="004F67AD"/>
    <w:rsid w:val="0050368C"/>
    <w:rsid w:val="005036C8"/>
    <w:rsid w:val="005056F7"/>
    <w:rsid w:val="005061F4"/>
    <w:rsid w:val="0050781B"/>
    <w:rsid w:val="00517316"/>
    <w:rsid w:val="00517C8F"/>
    <w:rsid w:val="00524220"/>
    <w:rsid w:val="00531CB5"/>
    <w:rsid w:val="005373FC"/>
    <w:rsid w:val="00540BE4"/>
    <w:rsid w:val="005429CD"/>
    <w:rsid w:val="00544444"/>
    <w:rsid w:val="005475E0"/>
    <w:rsid w:val="00551CB3"/>
    <w:rsid w:val="00552C23"/>
    <w:rsid w:val="00552E4C"/>
    <w:rsid w:val="00554367"/>
    <w:rsid w:val="0055548E"/>
    <w:rsid w:val="00555D8F"/>
    <w:rsid w:val="005603BB"/>
    <w:rsid w:val="00566695"/>
    <w:rsid w:val="005679C5"/>
    <w:rsid w:val="005714C8"/>
    <w:rsid w:val="00571C61"/>
    <w:rsid w:val="00584EDC"/>
    <w:rsid w:val="0058790E"/>
    <w:rsid w:val="00590A37"/>
    <w:rsid w:val="00595A5D"/>
    <w:rsid w:val="005A097F"/>
    <w:rsid w:val="005A2393"/>
    <w:rsid w:val="005A744D"/>
    <w:rsid w:val="005B5944"/>
    <w:rsid w:val="005B6118"/>
    <w:rsid w:val="005B712A"/>
    <w:rsid w:val="005B759E"/>
    <w:rsid w:val="005D17B1"/>
    <w:rsid w:val="005D6A8C"/>
    <w:rsid w:val="005D6FA5"/>
    <w:rsid w:val="005E0366"/>
    <w:rsid w:val="005F182B"/>
    <w:rsid w:val="005F2E48"/>
    <w:rsid w:val="005F32AB"/>
    <w:rsid w:val="005F6E4E"/>
    <w:rsid w:val="00600347"/>
    <w:rsid w:val="00606508"/>
    <w:rsid w:val="00607823"/>
    <w:rsid w:val="00610226"/>
    <w:rsid w:val="00611433"/>
    <w:rsid w:val="00611C90"/>
    <w:rsid w:val="00614A8B"/>
    <w:rsid w:val="00616DC4"/>
    <w:rsid w:val="00620859"/>
    <w:rsid w:val="00627875"/>
    <w:rsid w:val="00627E22"/>
    <w:rsid w:val="0063030E"/>
    <w:rsid w:val="00630E3C"/>
    <w:rsid w:val="00630E7D"/>
    <w:rsid w:val="00633474"/>
    <w:rsid w:val="0063374C"/>
    <w:rsid w:val="00634302"/>
    <w:rsid w:val="00634D7A"/>
    <w:rsid w:val="006404B4"/>
    <w:rsid w:val="00640F95"/>
    <w:rsid w:val="006413C4"/>
    <w:rsid w:val="0065745B"/>
    <w:rsid w:val="00657D75"/>
    <w:rsid w:val="00661067"/>
    <w:rsid w:val="00664DB3"/>
    <w:rsid w:val="00666A1B"/>
    <w:rsid w:val="006701F4"/>
    <w:rsid w:val="006970EB"/>
    <w:rsid w:val="00697916"/>
    <w:rsid w:val="006A46FA"/>
    <w:rsid w:val="006A6A91"/>
    <w:rsid w:val="006B22AD"/>
    <w:rsid w:val="006C0989"/>
    <w:rsid w:val="006C3152"/>
    <w:rsid w:val="006D2C88"/>
    <w:rsid w:val="006D55F6"/>
    <w:rsid w:val="006D67DD"/>
    <w:rsid w:val="006D73ED"/>
    <w:rsid w:val="006F0C5C"/>
    <w:rsid w:val="006F141C"/>
    <w:rsid w:val="006F1C6F"/>
    <w:rsid w:val="006F5B49"/>
    <w:rsid w:val="006F6A38"/>
    <w:rsid w:val="00700E98"/>
    <w:rsid w:val="00713D0A"/>
    <w:rsid w:val="00717F31"/>
    <w:rsid w:val="007246B1"/>
    <w:rsid w:val="00733BFA"/>
    <w:rsid w:val="007354FD"/>
    <w:rsid w:val="00735A6A"/>
    <w:rsid w:val="007406D6"/>
    <w:rsid w:val="007459A6"/>
    <w:rsid w:val="00746914"/>
    <w:rsid w:val="00747962"/>
    <w:rsid w:val="0075201C"/>
    <w:rsid w:val="00752044"/>
    <w:rsid w:val="00763980"/>
    <w:rsid w:val="00766019"/>
    <w:rsid w:val="007741CE"/>
    <w:rsid w:val="007755D7"/>
    <w:rsid w:val="007845E8"/>
    <w:rsid w:val="007870C1"/>
    <w:rsid w:val="00787202"/>
    <w:rsid w:val="00790DD7"/>
    <w:rsid w:val="0079339A"/>
    <w:rsid w:val="0079351F"/>
    <w:rsid w:val="007937AF"/>
    <w:rsid w:val="007A0905"/>
    <w:rsid w:val="007A11A7"/>
    <w:rsid w:val="007A2A98"/>
    <w:rsid w:val="007A56E0"/>
    <w:rsid w:val="007A604E"/>
    <w:rsid w:val="007A7A3E"/>
    <w:rsid w:val="007B1899"/>
    <w:rsid w:val="007B2487"/>
    <w:rsid w:val="007B62A3"/>
    <w:rsid w:val="007C1ADA"/>
    <w:rsid w:val="007C4C4C"/>
    <w:rsid w:val="007D1170"/>
    <w:rsid w:val="007D1A0D"/>
    <w:rsid w:val="007D5FFE"/>
    <w:rsid w:val="007D7A42"/>
    <w:rsid w:val="007E063E"/>
    <w:rsid w:val="007E5291"/>
    <w:rsid w:val="00800BC2"/>
    <w:rsid w:val="00812A06"/>
    <w:rsid w:val="008204F8"/>
    <w:rsid w:val="00821FD5"/>
    <w:rsid w:val="00823FD3"/>
    <w:rsid w:val="00827046"/>
    <w:rsid w:val="008359CA"/>
    <w:rsid w:val="00841043"/>
    <w:rsid w:val="008420B1"/>
    <w:rsid w:val="00842DE5"/>
    <w:rsid w:val="00845AFC"/>
    <w:rsid w:val="00851205"/>
    <w:rsid w:val="008531C7"/>
    <w:rsid w:val="0086401A"/>
    <w:rsid w:val="00866001"/>
    <w:rsid w:val="00867014"/>
    <w:rsid w:val="008708D3"/>
    <w:rsid w:val="00871299"/>
    <w:rsid w:val="0088009A"/>
    <w:rsid w:val="008807FC"/>
    <w:rsid w:val="00887896"/>
    <w:rsid w:val="00893322"/>
    <w:rsid w:val="0089456F"/>
    <w:rsid w:val="008957DC"/>
    <w:rsid w:val="008A0C89"/>
    <w:rsid w:val="008A3378"/>
    <w:rsid w:val="008A3C98"/>
    <w:rsid w:val="008A404A"/>
    <w:rsid w:val="008B4379"/>
    <w:rsid w:val="008C2A7B"/>
    <w:rsid w:val="008C4389"/>
    <w:rsid w:val="008C4DA1"/>
    <w:rsid w:val="008C7DE4"/>
    <w:rsid w:val="008D1735"/>
    <w:rsid w:val="008D538B"/>
    <w:rsid w:val="008E0B90"/>
    <w:rsid w:val="008E234F"/>
    <w:rsid w:val="008E5020"/>
    <w:rsid w:val="008E6102"/>
    <w:rsid w:val="008F1C89"/>
    <w:rsid w:val="00910CF4"/>
    <w:rsid w:val="00917374"/>
    <w:rsid w:val="00923417"/>
    <w:rsid w:val="00927AC9"/>
    <w:rsid w:val="0094207B"/>
    <w:rsid w:val="0094211D"/>
    <w:rsid w:val="00950AF3"/>
    <w:rsid w:val="009521E8"/>
    <w:rsid w:val="00952984"/>
    <w:rsid w:val="00962BDC"/>
    <w:rsid w:val="00963CA1"/>
    <w:rsid w:val="00965C7E"/>
    <w:rsid w:val="009831B9"/>
    <w:rsid w:val="00983772"/>
    <w:rsid w:val="00986CF7"/>
    <w:rsid w:val="009876B4"/>
    <w:rsid w:val="0099163F"/>
    <w:rsid w:val="00992337"/>
    <w:rsid w:val="0099239C"/>
    <w:rsid w:val="00993AE5"/>
    <w:rsid w:val="00994C8F"/>
    <w:rsid w:val="00995462"/>
    <w:rsid w:val="009A6ADB"/>
    <w:rsid w:val="009B31E4"/>
    <w:rsid w:val="009C006D"/>
    <w:rsid w:val="009C0827"/>
    <w:rsid w:val="009D12F3"/>
    <w:rsid w:val="009E365A"/>
    <w:rsid w:val="009E3A6F"/>
    <w:rsid w:val="009E6DAF"/>
    <w:rsid w:val="009F094F"/>
    <w:rsid w:val="009F4415"/>
    <w:rsid w:val="009F5269"/>
    <w:rsid w:val="00A0131C"/>
    <w:rsid w:val="00A02847"/>
    <w:rsid w:val="00A107CA"/>
    <w:rsid w:val="00A14732"/>
    <w:rsid w:val="00A17673"/>
    <w:rsid w:val="00A2081B"/>
    <w:rsid w:val="00A20AA0"/>
    <w:rsid w:val="00A25BC5"/>
    <w:rsid w:val="00A31B3E"/>
    <w:rsid w:val="00A31C93"/>
    <w:rsid w:val="00A331EB"/>
    <w:rsid w:val="00A420E6"/>
    <w:rsid w:val="00A46075"/>
    <w:rsid w:val="00A46883"/>
    <w:rsid w:val="00A557FE"/>
    <w:rsid w:val="00A57079"/>
    <w:rsid w:val="00A57F99"/>
    <w:rsid w:val="00A60583"/>
    <w:rsid w:val="00A6176C"/>
    <w:rsid w:val="00A71DB8"/>
    <w:rsid w:val="00A72BFE"/>
    <w:rsid w:val="00A73EBE"/>
    <w:rsid w:val="00A7577A"/>
    <w:rsid w:val="00A85713"/>
    <w:rsid w:val="00A867AE"/>
    <w:rsid w:val="00A94334"/>
    <w:rsid w:val="00A951D2"/>
    <w:rsid w:val="00AA20C1"/>
    <w:rsid w:val="00AB2F6C"/>
    <w:rsid w:val="00AB38E6"/>
    <w:rsid w:val="00AB47DA"/>
    <w:rsid w:val="00AC1457"/>
    <w:rsid w:val="00AC2EAC"/>
    <w:rsid w:val="00AC2EFC"/>
    <w:rsid w:val="00AC3E38"/>
    <w:rsid w:val="00AC6040"/>
    <w:rsid w:val="00AC6FE9"/>
    <w:rsid w:val="00AE6EB0"/>
    <w:rsid w:val="00AF3945"/>
    <w:rsid w:val="00AF5536"/>
    <w:rsid w:val="00AF7B78"/>
    <w:rsid w:val="00B03840"/>
    <w:rsid w:val="00B07EF3"/>
    <w:rsid w:val="00B17F15"/>
    <w:rsid w:val="00B2221D"/>
    <w:rsid w:val="00B42C5E"/>
    <w:rsid w:val="00B4495D"/>
    <w:rsid w:val="00B50994"/>
    <w:rsid w:val="00B51B03"/>
    <w:rsid w:val="00B541B0"/>
    <w:rsid w:val="00B55730"/>
    <w:rsid w:val="00B60CEE"/>
    <w:rsid w:val="00B613B0"/>
    <w:rsid w:val="00B67CE5"/>
    <w:rsid w:val="00B70BC2"/>
    <w:rsid w:val="00B716F1"/>
    <w:rsid w:val="00B728E7"/>
    <w:rsid w:val="00B76977"/>
    <w:rsid w:val="00B92F0D"/>
    <w:rsid w:val="00B9600A"/>
    <w:rsid w:val="00B962B1"/>
    <w:rsid w:val="00BA2E6E"/>
    <w:rsid w:val="00BA4DA5"/>
    <w:rsid w:val="00BB2FB7"/>
    <w:rsid w:val="00BB3F90"/>
    <w:rsid w:val="00BB4D66"/>
    <w:rsid w:val="00BC05DD"/>
    <w:rsid w:val="00BC06F5"/>
    <w:rsid w:val="00BC29FC"/>
    <w:rsid w:val="00BC31E4"/>
    <w:rsid w:val="00BD5A42"/>
    <w:rsid w:val="00BD61FA"/>
    <w:rsid w:val="00BE1392"/>
    <w:rsid w:val="00BE71B7"/>
    <w:rsid w:val="00BF0C64"/>
    <w:rsid w:val="00BF3158"/>
    <w:rsid w:val="00BF68B3"/>
    <w:rsid w:val="00C012F7"/>
    <w:rsid w:val="00C027C8"/>
    <w:rsid w:val="00C13581"/>
    <w:rsid w:val="00C13A94"/>
    <w:rsid w:val="00C13EA0"/>
    <w:rsid w:val="00C3289C"/>
    <w:rsid w:val="00C37D8A"/>
    <w:rsid w:val="00C45656"/>
    <w:rsid w:val="00C51571"/>
    <w:rsid w:val="00C522C0"/>
    <w:rsid w:val="00C5302D"/>
    <w:rsid w:val="00C540A7"/>
    <w:rsid w:val="00C57F98"/>
    <w:rsid w:val="00C774A5"/>
    <w:rsid w:val="00C77E22"/>
    <w:rsid w:val="00C80F47"/>
    <w:rsid w:val="00C822BD"/>
    <w:rsid w:val="00C83C52"/>
    <w:rsid w:val="00C9435B"/>
    <w:rsid w:val="00C965C8"/>
    <w:rsid w:val="00C975B4"/>
    <w:rsid w:val="00CA22E9"/>
    <w:rsid w:val="00CA30FE"/>
    <w:rsid w:val="00CA39A0"/>
    <w:rsid w:val="00CB0208"/>
    <w:rsid w:val="00CB1D62"/>
    <w:rsid w:val="00CB4DE7"/>
    <w:rsid w:val="00CC0B0A"/>
    <w:rsid w:val="00CC367F"/>
    <w:rsid w:val="00CC634C"/>
    <w:rsid w:val="00CD51C8"/>
    <w:rsid w:val="00CE0EE4"/>
    <w:rsid w:val="00CE121A"/>
    <w:rsid w:val="00CE1D16"/>
    <w:rsid w:val="00CE70AE"/>
    <w:rsid w:val="00CF6313"/>
    <w:rsid w:val="00CF6FFA"/>
    <w:rsid w:val="00D022F1"/>
    <w:rsid w:val="00D20F36"/>
    <w:rsid w:val="00D22A8D"/>
    <w:rsid w:val="00D32B46"/>
    <w:rsid w:val="00D33BB0"/>
    <w:rsid w:val="00D33C57"/>
    <w:rsid w:val="00D369F0"/>
    <w:rsid w:val="00D42457"/>
    <w:rsid w:val="00D430B4"/>
    <w:rsid w:val="00D45952"/>
    <w:rsid w:val="00D466CB"/>
    <w:rsid w:val="00D52EFD"/>
    <w:rsid w:val="00D54530"/>
    <w:rsid w:val="00D54BB7"/>
    <w:rsid w:val="00D574B3"/>
    <w:rsid w:val="00D616D1"/>
    <w:rsid w:val="00D73692"/>
    <w:rsid w:val="00D743A5"/>
    <w:rsid w:val="00D87DAD"/>
    <w:rsid w:val="00DA153D"/>
    <w:rsid w:val="00DB2BB0"/>
    <w:rsid w:val="00DB4756"/>
    <w:rsid w:val="00DB5069"/>
    <w:rsid w:val="00DB752F"/>
    <w:rsid w:val="00DB7A23"/>
    <w:rsid w:val="00DC3980"/>
    <w:rsid w:val="00DC669F"/>
    <w:rsid w:val="00DC6E47"/>
    <w:rsid w:val="00DD63D2"/>
    <w:rsid w:val="00DE2AB0"/>
    <w:rsid w:val="00DE2DC2"/>
    <w:rsid w:val="00DE5109"/>
    <w:rsid w:val="00DE79DE"/>
    <w:rsid w:val="00DE7D29"/>
    <w:rsid w:val="00DF402F"/>
    <w:rsid w:val="00DF660F"/>
    <w:rsid w:val="00E00E57"/>
    <w:rsid w:val="00E217C8"/>
    <w:rsid w:val="00E3793F"/>
    <w:rsid w:val="00E43A39"/>
    <w:rsid w:val="00E4412A"/>
    <w:rsid w:val="00E47A8C"/>
    <w:rsid w:val="00E50841"/>
    <w:rsid w:val="00E50A6C"/>
    <w:rsid w:val="00E50DC7"/>
    <w:rsid w:val="00E54B4B"/>
    <w:rsid w:val="00E67076"/>
    <w:rsid w:val="00E70890"/>
    <w:rsid w:val="00E73E44"/>
    <w:rsid w:val="00E77F7B"/>
    <w:rsid w:val="00E910E1"/>
    <w:rsid w:val="00E917BD"/>
    <w:rsid w:val="00E95E77"/>
    <w:rsid w:val="00EB1F1F"/>
    <w:rsid w:val="00EB28CC"/>
    <w:rsid w:val="00EC1EFB"/>
    <w:rsid w:val="00ED3A16"/>
    <w:rsid w:val="00ED5892"/>
    <w:rsid w:val="00ED5AC5"/>
    <w:rsid w:val="00ED7CFF"/>
    <w:rsid w:val="00EE0778"/>
    <w:rsid w:val="00EE36D2"/>
    <w:rsid w:val="00EF07C8"/>
    <w:rsid w:val="00EF3A12"/>
    <w:rsid w:val="00F03CCF"/>
    <w:rsid w:val="00F25C59"/>
    <w:rsid w:val="00F27525"/>
    <w:rsid w:val="00F4329A"/>
    <w:rsid w:val="00F5625A"/>
    <w:rsid w:val="00F618A6"/>
    <w:rsid w:val="00F63CB1"/>
    <w:rsid w:val="00F7055A"/>
    <w:rsid w:val="00F70B8E"/>
    <w:rsid w:val="00F72A52"/>
    <w:rsid w:val="00F74ABF"/>
    <w:rsid w:val="00F80C3A"/>
    <w:rsid w:val="00F85A3F"/>
    <w:rsid w:val="00F9363E"/>
    <w:rsid w:val="00F973A7"/>
    <w:rsid w:val="00FA246C"/>
    <w:rsid w:val="00FA6981"/>
    <w:rsid w:val="00FA7A54"/>
    <w:rsid w:val="00FB2195"/>
    <w:rsid w:val="00FB2A8D"/>
    <w:rsid w:val="00FB3CA7"/>
    <w:rsid w:val="00FB416B"/>
    <w:rsid w:val="00FB7885"/>
    <w:rsid w:val="00FB7E12"/>
    <w:rsid w:val="00FC0A64"/>
    <w:rsid w:val="00FC201C"/>
    <w:rsid w:val="00FC3B31"/>
    <w:rsid w:val="00FC50DB"/>
    <w:rsid w:val="00FC574F"/>
    <w:rsid w:val="00FD0E20"/>
    <w:rsid w:val="00FD4664"/>
    <w:rsid w:val="00FE0A3D"/>
    <w:rsid w:val="00FE104D"/>
    <w:rsid w:val="00FE2A04"/>
    <w:rsid w:val="00FE6860"/>
    <w:rsid w:val="00FF5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717A"/>
  <w15:docId w15:val="{F63726B7-D335-4425-8B74-23C51186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F6C"/>
    <w:pPr>
      <w:spacing w:after="160" w:line="259" w:lineRule="auto"/>
    </w:pPr>
    <w:rPr>
      <w:sz w:val="22"/>
      <w:szCs w:val="22"/>
      <w:lang w:eastAsia="en-US"/>
    </w:rPr>
  </w:style>
  <w:style w:type="paragraph" w:styleId="Titre1">
    <w:name w:val="heading 1"/>
    <w:basedOn w:val="Normal"/>
    <w:next w:val="Normal"/>
    <w:link w:val="Titre1Car"/>
    <w:uiPriority w:val="9"/>
    <w:qFormat/>
    <w:rsid w:val="008E0B90"/>
    <w:pPr>
      <w:keepNext/>
      <w:keepLines/>
      <w:spacing w:before="240" w:after="0"/>
      <w:outlineLvl w:val="0"/>
    </w:pPr>
    <w:rPr>
      <w:rFonts w:ascii="Calibri Light" w:eastAsia="Times New Roman" w:hAnsi="Calibri Light"/>
      <w:color w:val="2E74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6F0C5C"/>
    <w:rPr>
      <w:color w:val="808080"/>
    </w:rPr>
  </w:style>
  <w:style w:type="table" w:styleId="Grilledutableau">
    <w:name w:val="Table Grid"/>
    <w:basedOn w:val="TableauNormal"/>
    <w:uiPriority w:val="39"/>
    <w:rsid w:val="00A61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A6176C"/>
    <w:pPr>
      <w:autoSpaceDE w:val="0"/>
      <w:autoSpaceDN w:val="0"/>
      <w:adjustRightInd w:val="0"/>
      <w:spacing w:after="0" w:line="288" w:lineRule="auto"/>
      <w:textAlignment w:val="center"/>
    </w:pPr>
    <w:rPr>
      <w:rFonts w:ascii="Times" w:hAnsi="Times" w:cs="Times"/>
      <w:color w:val="000000"/>
      <w:sz w:val="24"/>
      <w:szCs w:val="24"/>
      <w:lang w:val="en-US"/>
    </w:rPr>
  </w:style>
  <w:style w:type="paragraph" w:customStyle="1" w:styleId="NoParagraphStyle">
    <w:name w:val="[No Paragraph Style]"/>
    <w:rsid w:val="00AC2EAC"/>
    <w:pPr>
      <w:autoSpaceDE w:val="0"/>
      <w:autoSpaceDN w:val="0"/>
      <w:adjustRightInd w:val="0"/>
      <w:spacing w:line="288" w:lineRule="auto"/>
      <w:textAlignment w:val="center"/>
    </w:pPr>
    <w:rPr>
      <w:rFonts w:ascii="Times" w:hAnsi="Times" w:cs="Times"/>
      <w:color w:val="000000"/>
      <w:sz w:val="24"/>
      <w:szCs w:val="24"/>
      <w:lang w:val="en-US" w:eastAsia="en-US"/>
    </w:rPr>
  </w:style>
  <w:style w:type="paragraph" w:styleId="En-tte">
    <w:name w:val="header"/>
    <w:basedOn w:val="Normal"/>
    <w:link w:val="En-tteCar"/>
    <w:uiPriority w:val="99"/>
    <w:unhideWhenUsed/>
    <w:rsid w:val="000D2155"/>
    <w:pPr>
      <w:tabs>
        <w:tab w:val="center" w:pos="4677"/>
        <w:tab w:val="right" w:pos="9355"/>
      </w:tabs>
      <w:spacing w:after="0" w:line="240" w:lineRule="auto"/>
    </w:pPr>
  </w:style>
  <w:style w:type="character" w:customStyle="1" w:styleId="En-tteCar">
    <w:name w:val="En-tête Car"/>
    <w:basedOn w:val="Policepardfaut"/>
    <w:link w:val="En-tte"/>
    <w:uiPriority w:val="99"/>
    <w:rsid w:val="000D2155"/>
  </w:style>
  <w:style w:type="paragraph" w:styleId="Pieddepage">
    <w:name w:val="footer"/>
    <w:basedOn w:val="Normal"/>
    <w:link w:val="PieddepageCar"/>
    <w:uiPriority w:val="99"/>
    <w:unhideWhenUsed/>
    <w:rsid w:val="000D2155"/>
    <w:pPr>
      <w:tabs>
        <w:tab w:val="center" w:pos="4677"/>
        <w:tab w:val="right" w:pos="9355"/>
      </w:tabs>
      <w:spacing w:after="0" w:line="240" w:lineRule="auto"/>
    </w:pPr>
  </w:style>
  <w:style w:type="character" w:customStyle="1" w:styleId="PieddepageCar">
    <w:name w:val="Pied de page Car"/>
    <w:basedOn w:val="Policepardfaut"/>
    <w:link w:val="Pieddepage"/>
    <w:uiPriority w:val="99"/>
    <w:rsid w:val="000D2155"/>
  </w:style>
  <w:style w:type="character" w:styleId="Accentuation">
    <w:name w:val="Emphasis"/>
    <w:uiPriority w:val="20"/>
    <w:qFormat/>
    <w:rsid w:val="004F67AD"/>
    <w:rPr>
      <w:i/>
      <w:iCs/>
    </w:rPr>
  </w:style>
  <w:style w:type="paragraph" w:customStyle="1" w:styleId="MCRecievedRevised">
    <w:name w:val="MC_Recieved/Revised"/>
    <w:basedOn w:val="Normal"/>
    <w:autoRedefine/>
    <w:qFormat/>
    <w:rsid w:val="004F67AD"/>
    <w:pPr>
      <w:shd w:val="pct10" w:color="auto" w:fill="auto"/>
      <w:spacing w:after="0" w:line="240" w:lineRule="auto"/>
      <w:ind w:left="182"/>
    </w:pPr>
    <w:rPr>
      <w:rFonts w:ascii="Times New Roman" w:hAnsi="Times New Roman"/>
      <w:i/>
      <w:sz w:val="18"/>
      <w:szCs w:val="18"/>
      <w:lang w:val="en-US"/>
    </w:rPr>
  </w:style>
  <w:style w:type="paragraph" w:customStyle="1" w:styleId="MCTitle">
    <w:name w:val="MC_Title"/>
    <w:basedOn w:val="Normal"/>
    <w:autoRedefine/>
    <w:qFormat/>
    <w:rsid w:val="0043735A"/>
    <w:pPr>
      <w:spacing w:before="160" w:after="200"/>
      <w:jc w:val="center"/>
    </w:pPr>
    <w:rPr>
      <w:rFonts w:ascii="Arial" w:hAnsi="Arial" w:cs="Arial"/>
      <w:b/>
      <w:sz w:val="32"/>
      <w:szCs w:val="36"/>
      <w:lang w:val="en-US"/>
    </w:rPr>
  </w:style>
  <w:style w:type="paragraph" w:customStyle="1" w:styleId="MCNumberofmanuscript">
    <w:name w:val="MC_Number of manuscript"/>
    <w:basedOn w:val="NoParagraphStyle"/>
    <w:autoRedefine/>
    <w:qFormat/>
    <w:rsid w:val="005F2E48"/>
    <w:pPr>
      <w:shd w:val="pct10" w:color="auto" w:fill="auto"/>
      <w:spacing w:line="240" w:lineRule="auto"/>
      <w:ind w:left="182"/>
      <w:jc w:val="center"/>
    </w:pPr>
    <w:rPr>
      <w:rFonts w:ascii="Times New Roman" w:hAnsi="Times New Roman" w:cs="Times New Roman"/>
      <w:b/>
      <w:szCs w:val="20"/>
    </w:rPr>
  </w:style>
  <w:style w:type="paragraph" w:customStyle="1" w:styleId="MCAuthors">
    <w:name w:val="MC_Authors"/>
    <w:basedOn w:val="Normal"/>
    <w:autoRedefine/>
    <w:qFormat/>
    <w:rsid w:val="0043735A"/>
    <w:pPr>
      <w:spacing w:after="120"/>
      <w:ind w:firstLine="90"/>
      <w:jc w:val="center"/>
    </w:pPr>
    <w:rPr>
      <w:rFonts w:ascii="Times New Roman" w:hAnsi="Times New Roman"/>
      <w:b/>
      <w:sz w:val="28"/>
      <w:szCs w:val="28"/>
      <w:lang w:val="en-US"/>
    </w:rPr>
  </w:style>
  <w:style w:type="paragraph" w:styleId="Paragraphedeliste">
    <w:name w:val="List Paragraph"/>
    <w:basedOn w:val="Normal"/>
    <w:uiPriority w:val="34"/>
    <w:qFormat/>
    <w:rsid w:val="00CC634C"/>
    <w:pPr>
      <w:ind w:left="720"/>
      <w:contextualSpacing/>
    </w:pPr>
  </w:style>
  <w:style w:type="paragraph" w:customStyle="1" w:styleId="MCReference">
    <w:name w:val="MC_Reference"/>
    <w:basedOn w:val="Paragraphedeliste"/>
    <w:autoRedefine/>
    <w:qFormat/>
    <w:rsid w:val="0088009A"/>
    <w:pPr>
      <w:numPr>
        <w:numId w:val="2"/>
      </w:numPr>
      <w:autoSpaceDE w:val="0"/>
      <w:autoSpaceDN w:val="0"/>
      <w:adjustRightInd w:val="0"/>
      <w:spacing w:after="0" w:line="240" w:lineRule="auto"/>
      <w:ind w:left="284" w:hanging="284"/>
      <w:jc w:val="both"/>
    </w:pPr>
    <w:rPr>
      <w:rFonts w:ascii="Times New Roman" w:hAnsi="Times New Roman"/>
      <w:sz w:val="16"/>
      <w:szCs w:val="16"/>
      <w:lang w:val="en-US"/>
    </w:rPr>
  </w:style>
  <w:style w:type="paragraph" w:customStyle="1" w:styleId="MCFootnote">
    <w:name w:val="MC_Footnote"/>
    <w:basedOn w:val="MCMainText"/>
    <w:autoRedefine/>
    <w:qFormat/>
    <w:rsid w:val="00A7577A"/>
    <w:rPr>
      <w:sz w:val="16"/>
      <w:szCs w:val="16"/>
    </w:rPr>
  </w:style>
  <w:style w:type="character" w:customStyle="1" w:styleId="Titre1Car">
    <w:name w:val="Titre 1 Car"/>
    <w:link w:val="Titre1"/>
    <w:uiPriority w:val="9"/>
    <w:rsid w:val="008E0B90"/>
    <w:rPr>
      <w:rFonts w:ascii="Calibri Light" w:eastAsia="Times New Roman" w:hAnsi="Calibri Light" w:cs="Times New Roman"/>
      <w:color w:val="2E74B5"/>
      <w:sz w:val="32"/>
      <w:szCs w:val="32"/>
    </w:rPr>
  </w:style>
  <w:style w:type="paragraph" w:customStyle="1" w:styleId="MCAffiliation">
    <w:name w:val="MC_Affiliation"/>
    <w:basedOn w:val="Normal"/>
    <w:autoRedefine/>
    <w:qFormat/>
    <w:rsid w:val="008E0B90"/>
    <w:pPr>
      <w:spacing w:after="0"/>
      <w:ind w:left="964" w:right="851"/>
      <w:jc w:val="both"/>
    </w:pPr>
    <w:rPr>
      <w:rFonts w:ascii="Times New Roman" w:hAnsi="Times New Roman"/>
      <w:i/>
      <w:sz w:val="18"/>
      <w:szCs w:val="18"/>
      <w:lang w:val="en-US"/>
    </w:rPr>
  </w:style>
  <w:style w:type="paragraph" w:customStyle="1" w:styleId="MCDOI">
    <w:name w:val="MC_DOI"/>
    <w:basedOn w:val="NoParagraphStyle"/>
    <w:autoRedefine/>
    <w:qFormat/>
    <w:rsid w:val="00AF7B78"/>
    <w:pPr>
      <w:spacing w:before="240" w:after="120" w:line="240" w:lineRule="auto"/>
      <w:ind w:right="113"/>
      <w:jc w:val="right"/>
    </w:pPr>
    <w:rPr>
      <w:sz w:val="16"/>
      <w:szCs w:val="16"/>
    </w:rPr>
  </w:style>
  <w:style w:type="paragraph" w:customStyle="1" w:styleId="MCGrafAbstractCaption">
    <w:name w:val="MC_Graf Abstract Caption"/>
    <w:basedOn w:val="Normal"/>
    <w:autoRedefine/>
    <w:qFormat/>
    <w:rsid w:val="006D55F6"/>
    <w:pPr>
      <w:spacing w:after="120" w:line="240" w:lineRule="auto"/>
    </w:pPr>
    <w:rPr>
      <w:rFonts w:ascii="Times New Roman" w:hAnsi="Times New Roman"/>
      <w:b/>
      <w:sz w:val="18"/>
      <w:szCs w:val="18"/>
      <w:lang w:val="en-US"/>
    </w:rPr>
  </w:style>
  <w:style w:type="paragraph" w:customStyle="1" w:styleId="MCGrafAbstractText">
    <w:name w:val="MC_Graf Abstract Text"/>
    <w:basedOn w:val="Normal"/>
    <w:autoRedefine/>
    <w:qFormat/>
    <w:rsid w:val="003A1D12"/>
    <w:pPr>
      <w:autoSpaceDE w:val="0"/>
      <w:autoSpaceDN w:val="0"/>
      <w:adjustRightInd w:val="0"/>
      <w:spacing w:after="0" w:line="240" w:lineRule="auto"/>
      <w:jc w:val="right"/>
    </w:pPr>
    <w:rPr>
      <w:rFonts w:ascii="Arial" w:hAnsi="Arial" w:cs="Arial"/>
      <w:color w:val="FF0000"/>
      <w:sz w:val="16"/>
      <w:szCs w:val="16"/>
      <w:lang w:val="en-US"/>
    </w:rPr>
  </w:style>
  <w:style w:type="paragraph" w:customStyle="1" w:styleId="MCSummarycaption">
    <w:name w:val="MC_Summary caption"/>
    <w:basedOn w:val="MCGrafAbstractCaption"/>
    <w:qFormat/>
    <w:rsid w:val="003302EB"/>
  </w:style>
  <w:style w:type="paragraph" w:customStyle="1" w:styleId="MCSummarytext">
    <w:name w:val="MC_Summary text"/>
    <w:basedOn w:val="Normal"/>
    <w:qFormat/>
    <w:rsid w:val="00B07EF3"/>
    <w:pPr>
      <w:autoSpaceDE w:val="0"/>
      <w:autoSpaceDN w:val="0"/>
      <w:adjustRightInd w:val="0"/>
      <w:spacing w:after="0" w:line="240" w:lineRule="auto"/>
      <w:jc w:val="both"/>
    </w:pPr>
    <w:rPr>
      <w:rFonts w:ascii="Times New Roman" w:hAnsi="Times New Roman"/>
      <w:b/>
      <w:sz w:val="18"/>
      <w:szCs w:val="18"/>
      <w:lang w:val="en-US"/>
    </w:rPr>
  </w:style>
  <w:style w:type="paragraph" w:styleId="Notedebasdepage">
    <w:name w:val="footnote text"/>
    <w:basedOn w:val="Normal"/>
    <w:link w:val="NotedebasdepageCar"/>
    <w:uiPriority w:val="99"/>
    <w:semiHidden/>
    <w:unhideWhenUsed/>
    <w:rsid w:val="00CB1D62"/>
    <w:pPr>
      <w:spacing w:after="0" w:line="240" w:lineRule="auto"/>
    </w:pPr>
    <w:rPr>
      <w:sz w:val="20"/>
      <w:szCs w:val="20"/>
    </w:rPr>
  </w:style>
  <w:style w:type="character" w:customStyle="1" w:styleId="NotedebasdepageCar">
    <w:name w:val="Note de bas de page Car"/>
    <w:link w:val="Notedebasdepage"/>
    <w:uiPriority w:val="99"/>
    <w:semiHidden/>
    <w:rsid w:val="00CB1D62"/>
    <w:rPr>
      <w:sz w:val="20"/>
      <w:szCs w:val="20"/>
    </w:rPr>
  </w:style>
  <w:style w:type="character" w:styleId="Appelnotedebasdep">
    <w:name w:val="footnote reference"/>
    <w:uiPriority w:val="99"/>
    <w:semiHidden/>
    <w:unhideWhenUsed/>
    <w:rsid w:val="00CB1D62"/>
    <w:rPr>
      <w:vertAlign w:val="superscript"/>
    </w:rPr>
  </w:style>
  <w:style w:type="paragraph" w:customStyle="1" w:styleId="MCMainTextfirstparagraph">
    <w:name w:val="MC_Main Text_first paragraph"/>
    <w:basedOn w:val="Normal"/>
    <w:autoRedefine/>
    <w:qFormat/>
    <w:rsid w:val="00150DEC"/>
    <w:pPr>
      <w:autoSpaceDE w:val="0"/>
      <w:autoSpaceDN w:val="0"/>
      <w:adjustRightInd w:val="0"/>
      <w:spacing w:after="0" w:line="276" w:lineRule="auto"/>
      <w:ind w:right="28"/>
      <w:jc w:val="both"/>
    </w:pPr>
    <w:rPr>
      <w:rFonts w:ascii="Times New Roman" w:hAnsi="Times New Roman"/>
      <w:sz w:val="24"/>
      <w:szCs w:val="24"/>
      <w:lang w:val="en-US"/>
    </w:rPr>
  </w:style>
  <w:style w:type="paragraph" w:customStyle="1" w:styleId="MCMainText">
    <w:name w:val="MC_Main Text"/>
    <w:basedOn w:val="Normal"/>
    <w:autoRedefine/>
    <w:qFormat/>
    <w:rsid w:val="0063030E"/>
    <w:pPr>
      <w:autoSpaceDE w:val="0"/>
      <w:autoSpaceDN w:val="0"/>
      <w:adjustRightInd w:val="0"/>
      <w:spacing w:after="0" w:line="240" w:lineRule="auto"/>
      <w:jc w:val="both"/>
    </w:pPr>
    <w:rPr>
      <w:rFonts w:ascii="Times New Roman" w:hAnsi="Times New Roman"/>
      <w:iCs/>
      <w:sz w:val="19"/>
      <w:szCs w:val="24"/>
      <w:lang w:val="en"/>
    </w:rPr>
  </w:style>
  <w:style w:type="paragraph" w:customStyle="1" w:styleId="MCHeading">
    <w:name w:val="MC_Heading"/>
    <w:basedOn w:val="Normal"/>
    <w:qFormat/>
    <w:rsid w:val="00293016"/>
    <w:pPr>
      <w:autoSpaceDE w:val="0"/>
      <w:autoSpaceDN w:val="0"/>
      <w:adjustRightInd w:val="0"/>
      <w:spacing w:before="240" w:after="80" w:line="240" w:lineRule="auto"/>
    </w:pPr>
    <w:rPr>
      <w:rFonts w:ascii="Arial" w:hAnsi="Arial" w:cs="Arial"/>
      <w:b/>
      <w:bCs/>
      <w:sz w:val="19"/>
      <w:szCs w:val="19"/>
      <w:lang w:val="en-US"/>
    </w:rPr>
  </w:style>
  <w:style w:type="paragraph" w:customStyle="1" w:styleId="MCReferenceHeading">
    <w:name w:val="MC_Reference Heading"/>
    <w:basedOn w:val="MCHeading"/>
    <w:next w:val="MCReference"/>
    <w:autoRedefine/>
    <w:qFormat/>
    <w:rsid w:val="00150DEC"/>
    <w:rPr>
      <w:sz w:val="24"/>
    </w:rPr>
  </w:style>
  <w:style w:type="paragraph" w:customStyle="1" w:styleId="SchemeCaption">
    <w:name w:val="SchemeCaption"/>
    <w:basedOn w:val="Normal"/>
    <w:link w:val="SchemeCaption0"/>
    <w:rsid w:val="00281B3D"/>
    <w:pPr>
      <w:spacing w:before="230" w:after="460" w:line="180" w:lineRule="exact"/>
      <w:jc w:val="both"/>
    </w:pPr>
    <w:rPr>
      <w:rFonts w:ascii="Arial" w:eastAsia="MS Mincho" w:hAnsi="Arial"/>
      <w:sz w:val="14"/>
      <w:szCs w:val="14"/>
      <w:lang w:val="en-GB" w:eastAsia="ja-JP"/>
    </w:rPr>
  </w:style>
  <w:style w:type="paragraph" w:customStyle="1" w:styleId="FigureCaption">
    <w:name w:val="FigureCaption"/>
    <w:basedOn w:val="Normal"/>
    <w:rsid w:val="00281B3D"/>
    <w:pPr>
      <w:spacing w:before="230" w:after="460" w:line="180" w:lineRule="exact"/>
      <w:jc w:val="both"/>
    </w:pPr>
    <w:rPr>
      <w:rFonts w:ascii="Arial" w:eastAsia="MS Mincho" w:hAnsi="Arial"/>
      <w:sz w:val="14"/>
      <w:szCs w:val="14"/>
      <w:lang w:val="en-GB" w:eastAsia="ja-JP"/>
    </w:rPr>
  </w:style>
  <w:style w:type="paragraph" w:customStyle="1" w:styleId="TableCaption">
    <w:name w:val="TableCaption"/>
    <w:basedOn w:val="Normal"/>
    <w:qFormat/>
    <w:rsid w:val="00281B3D"/>
    <w:pPr>
      <w:spacing w:after="120" w:line="180" w:lineRule="exact"/>
      <w:jc w:val="both"/>
    </w:pPr>
    <w:rPr>
      <w:rFonts w:ascii="Arial" w:eastAsia="MS Mincho" w:hAnsi="Arial"/>
      <w:sz w:val="14"/>
      <w:szCs w:val="14"/>
      <w:lang w:val="en-GB" w:eastAsia="ja-JP"/>
    </w:rPr>
  </w:style>
  <w:style w:type="paragraph" w:customStyle="1" w:styleId="TableHead">
    <w:name w:val="TableHead"/>
    <w:basedOn w:val="TableCaption"/>
    <w:rsid w:val="00281B3D"/>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281B3D"/>
  </w:style>
  <w:style w:type="paragraph" w:customStyle="1" w:styleId="TableFoot">
    <w:name w:val="TableFoot"/>
    <w:basedOn w:val="TableBody"/>
    <w:rsid w:val="00281B3D"/>
    <w:pPr>
      <w:spacing w:before="60" w:after="60"/>
    </w:pPr>
  </w:style>
  <w:style w:type="paragraph" w:customStyle="1" w:styleId="TableSpacer">
    <w:name w:val="TableSpacer"/>
    <w:basedOn w:val="Normal"/>
    <w:qFormat/>
    <w:rsid w:val="00281B3D"/>
    <w:pPr>
      <w:spacing w:before="360" w:after="0" w:line="240" w:lineRule="auto"/>
    </w:pPr>
    <w:rPr>
      <w:rFonts w:ascii="Arial" w:eastAsia="MS Mincho" w:hAnsi="Arial"/>
      <w:noProof/>
      <w:sz w:val="14"/>
      <w:szCs w:val="24"/>
      <w:lang w:val="de-DE" w:eastAsia="ja-JP"/>
    </w:rPr>
  </w:style>
  <w:style w:type="paragraph" w:customStyle="1" w:styleId="P1">
    <w:name w:val="P1"/>
    <w:basedOn w:val="Normal"/>
    <w:qFormat/>
    <w:rsid w:val="00281B3D"/>
    <w:pPr>
      <w:spacing w:after="0" w:line="225" w:lineRule="exact"/>
      <w:jc w:val="both"/>
    </w:pPr>
    <w:rPr>
      <w:rFonts w:ascii="Arial" w:eastAsia="MS Mincho" w:hAnsi="Arial"/>
      <w:sz w:val="17"/>
      <w:szCs w:val="24"/>
      <w:lang w:val="en-US" w:eastAsia="ja-JP"/>
    </w:rPr>
  </w:style>
  <w:style w:type="paragraph" w:customStyle="1" w:styleId="MCSchemecaption">
    <w:name w:val="MC_Scheme caption"/>
    <w:basedOn w:val="MCScheme"/>
    <w:autoRedefine/>
    <w:qFormat/>
    <w:rsid w:val="002B4A7F"/>
    <w:pPr>
      <w:numPr>
        <w:numId w:val="5"/>
      </w:numPr>
      <w:tabs>
        <w:tab w:val="left" w:pos="851"/>
      </w:tabs>
      <w:spacing w:after="240"/>
      <w:ind w:left="0" w:firstLine="0"/>
      <w:jc w:val="both"/>
    </w:pPr>
    <w:rPr>
      <w:rFonts w:ascii="Times New Roman" w:hAnsi="Times New Roman"/>
      <w:sz w:val="16"/>
    </w:rPr>
  </w:style>
  <w:style w:type="character" w:customStyle="1" w:styleId="SchemeCaption0">
    <w:name w:val="SchemeCaption Знак"/>
    <w:link w:val="SchemeCaption"/>
    <w:rsid w:val="00551CB3"/>
    <w:rPr>
      <w:rFonts w:ascii="Arial" w:eastAsia="MS Mincho" w:hAnsi="Arial" w:cs="Times New Roman"/>
      <w:sz w:val="14"/>
      <w:szCs w:val="14"/>
      <w:lang w:val="en-GB" w:eastAsia="ja-JP"/>
    </w:rPr>
  </w:style>
  <w:style w:type="paragraph" w:customStyle="1" w:styleId="MCnotation">
    <w:name w:val="MC_notation"/>
    <w:basedOn w:val="MCMainTextfirstparagraph"/>
    <w:next w:val="NoParagraphStyle"/>
    <w:autoRedefine/>
    <w:qFormat/>
    <w:rsid w:val="00BC29FC"/>
    <w:rPr>
      <w:rFonts w:ascii="Arial" w:hAnsi="Arial" w:cs="Arial"/>
      <w:color w:val="FF0000"/>
      <w:sz w:val="14"/>
      <w:szCs w:val="16"/>
      <w:lang w:val="en-GB"/>
    </w:rPr>
  </w:style>
  <w:style w:type="paragraph" w:customStyle="1" w:styleId="MCScheme">
    <w:name w:val="MC_Scheme"/>
    <w:basedOn w:val="SchemeCaption"/>
    <w:next w:val="Normal"/>
    <w:autoRedefine/>
    <w:qFormat/>
    <w:rsid w:val="008C4DA1"/>
    <w:pPr>
      <w:spacing w:before="0" w:after="0" w:line="240" w:lineRule="auto"/>
      <w:jc w:val="center"/>
    </w:pPr>
  </w:style>
  <w:style w:type="paragraph" w:customStyle="1" w:styleId="MCFgurecaption">
    <w:name w:val="MC_Fgure caption"/>
    <w:basedOn w:val="MCSchemecaption"/>
    <w:autoRedefine/>
    <w:qFormat/>
    <w:rsid w:val="004D0886"/>
    <w:pPr>
      <w:numPr>
        <w:numId w:val="6"/>
      </w:numPr>
      <w:ind w:left="0" w:firstLine="0"/>
    </w:pPr>
  </w:style>
  <w:style w:type="character" w:customStyle="1" w:styleId="fontstyle01">
    <w:name w:val="fontstyle01"/>
    <w:rsid w:val="00AF3945"/>
    <w:rPr>
      <w:rFonts w:ascii="Times-Roman" w:eastAsia="Times-Roman" w:hint="eastAsia"/>
      <w:b w:val="0"/>
      <w:bCs w:val="0"/>
      <w:i w:val="0"/>
      <w:iCs w:val="0"/>
      <w:color w:val="231F20"/>
      <w:sz w:val="12"/>
      <w:szCs w:val="12"/>
    </w:rPr>
  </w:style>
  <w:style w:type="character" w:customStyle="1" w:styleId="fontstyle21">
    <w:name w:val="fontstyle21"/>
    <w:rsid w:val="00AF3945"/>
    <w:rPr>
      <w:rFonts w:ascii="Symbol-ProportionalA" w:hAnsi="Symbol-ProportionalA" w:hint="default"/>
      <w:b w:val="0"/>
      <w:bCs w:val="0"/>
      <w:i w:val="0"/>
      <w:iCs w:val="0"/>
      <w:color w:val="231F20"/>
      <w:sz w:val="18"/>
      <w:szCs w:val="18"/>
    </w:rPr>
  </w:style>
  <w:style w:type="character" w:customStyle="1" w:styleId="fontstyle31">
    <w:name w:val="fontstyle31"/>
    <w:rsid w:val="00AF3945"/>
    <w:rPr>
      <w:rFonts w:ascii="Times-Italic" w:hAnsi="Times-Italic" w:hint="default"/>
      <w:b w:val="0"/>
      <w:bCs w:val="0"/>
      <w:i/>
      <w:iCs/>
      <w:color w:val="231F20"/>
      <w:sz w:val="18"/>
      <w:szCs w:val="18"/>
    </w:rPr>
  </w:style>
  <w:style w:type="character" w:customStyle="1" w:styleId="fontstyle41">
    <w:name w:val="fontstyle41"/>
    <w:rsid w:val="007A604E"/>
    <w:rPr>
      <w:rFonts w:ascii="Times-Bold" w:hAnsi="Times-Bold" w:hint="default"/>
      <w:b/>
      <w:bCs/>
      <w:i w:val="0"/>
      <w:iCs w:val="0"/>
      <w:color w:val="231F20"/>
      <w:sz w:val="18"/>
      <w:szCs w:val="18"/>
    </w:rPr>
  </w:style>
  <w:style w:type="character" w:customStyle="1" w:styleId="fontstyle11">
    <w:name w:val="fontstyle11"/>
    <w:rsid w:val="0055548E"/>
    <w:rPr>
      <w:rFonts w:ascii="Times-Italic" w:hAnsi="Times-Italic" w:hint="default"/>
      <w:b w:val="0"/>
      <w:bCs w:val="0"/>
      <w:i/>
      <w:iCs/>
      <w:color w:val="231F20"/>
      <w:sz w:val="18"/>
      <w:szCs w:val="18"/>
    </w:rPr>
  </w:style>
  <w:style w:type="character" w:customStyle="1" w:styleId="fontstyle51">
    <w:name w:val="fontstyle51"/>
    <w:rsid w:val="00D33C57"/>
    <w:rPr>
      <w:rFonts w:ascii="SymbolMT" w:eastAsia="SymbolMT" w:hint="eastAsia"/>
      <w:b w:val="0"/>
      <w:bCs w:val="0"/>
      <w:i w:val="0"/>
      <w:iCs w:val="0"/>
      <w:color w:val="231F20"/>
      <w:sz w:val="18"/>
      <w:szCs w:val="18"/>
    </w:rPr>
  </w:style>
  <w:style w:type="paragraph" w:customStyle="1" w:styleId="MCFigure">
    <w:name w:val="MC_Figure"/>
    <w:basedOn w:val="MCMainText"/>
    <w:next w:val="MCFgurecaption"/>
    <w:qFormat/>
    <w:rsid w:val="00697916"/>
    <w:pPr>
      <w:spacing w:before="240" w:after="120"/>
      <w:jc w:val="center"/>
    </w:pPr>
    <w:rPr>
      <w:noProof/>
      <w:lang w:val="ru-RU" w:eastAsia="ru-RU"/>
    </w:rPr>
  </w:style>
  <w:style w:type="paragraph" w:customStyle="1" w:styleId="MCTablecaption">
    <w:name w:val="MC_Table caption"/>
    <w:basedOn w:val="MCFgurecaption"/>
    <w:autoRedefine/>
    <w:qFormat/>
    <w:rsid w:val="00524220"/>
    <w:pPr>
      <w:framePr w:hSpace="180" w:wrap="around" w:vAnchor="text" w:hAnchor="text" w:y="1"/>
      <w:numPr>
        <w:numId w:val="7"/>
      </w:numPr>
      <w:spacing w:after="80"/>
      <w:ind w:left="0" w:firstLine="0"/>
      <w:suppressOverlap/>
    </w:pPr>
    <w:rPr>
      <w:szCs w:val="16"/>
    </w:rPr>
  </w:style>
  <w:style w:type="paragraph" w:customStyle="1" w:styleId="MCTablehead">
    <w:name w:val="MC_Table head"/>
    <w:basedOn w:val="MCMainText"/>
    <w:next w:val="MCTablebody"/>
    <w:autoRedefine/>
    <w:qFormat/>
    <w:rsid w:val="00893322"/>
    <w:pPr>
      <w:spacing w:before="120" w:after="140"/>
      <w:jc w:val="left"/>
    </w:pPr>
    <w:rPr>
      <w:rFonts w:eastAsia="Times-Roman"/>
      <w:color w:val="231F20"/>
      <w:sz w:val="16"/>
      <w:szCs w:val="16"/>
      <w:lang w:val="ru-RU"/>
    </w:rPr>
  </w:style>
  <w:style w:type="paragraph" w:customStyle="1" w:styleId="MCTablebody">
    <w:name w:val="MC_Table body"/>
    <w:basedOn w:val="MCMainText"/>
    <w:autoRedefine/>
    <w:qFormat/>
    <w:rsid w:val="00263FF7"/>
    <w:pPr>
      <w:tabs>
        <w:tab w:val="decimal" w:pos="170"/>
      </w:tabs>
      <w:jc w:val="left"/>
    </w:pPr>
    <w:rPr>
      <w:sz w:val="16"/>
    </w:rPr>
  </w:style>
  <w:style w:type="paragraph" w:customStyle="1" w:styleId="MCTablefootnote">
    <w:name w:val="MC_Table footnote"/>
    <w:basedOn w:val="MCTablebody"/>
    <w:autoRedefine/>
    <w:qFormat/>
    <w:rsid w:val="00544444"/>
    <w:pPr>
      <w:spacing w:line="180" w:lineRule="exact"/>
      <w:jc w:val="both"/>
    </w:pPr>
  </w:style>
  <w:style w:type="paragraph" w:customStyle="1" w:styleId="TBodyTrueTable">
    <w:name w:val="T.Body (True Table)"/>
    <w:basedOn w:val="NoParagraphStyle"/>
    <w:uiPriority w:val="99"/>
    <w:rsid w:val="00893322"/>
    <w:pPr>
      <w:keepLines/>
      <w:suppressAutoHyphens/>
      <w:spacing w:after="34" w:line="180" w:lineRule="atLeast"/>
    </w:pPr>
    <w:rPr>
      <w:sz w:val="16"/>
      <w:szCs w:val="16"/>
      <w:lang w:val="en-GB"/>
    </w:rPr>
  </w:style>
  <w:style w:type="character" w:customStyle="1" w:styleId="SymbolItalic">
    <w:name w:val="Symbol Italic"/>
    <w:uiPriority w:val="99"/>
    <w:rsid w:val="00893322"/>
    <w:rPr>
      <w:rFonts w:ascii="Symbol-Proportional" w:hAnsi="Symbol-Proportional" w:cs="Symbol-Proportional"/>
      <w:color w:val="000000"/>
      <w:w w:val="100"/>
      <w:position w:val="0"/>
      <w:u w:val="none"/>
      <w:vertAlign w:val="baseline"/>
      <w:lang w:val="en-GB"/>
    </w:rPr>
  </w:style>
  <w:style w:type="paragraph" w:customStyle="1" w:styleId="Body1">
    <w:name w:val="Body1"/>
    <w:aliases w:val="no indent"/>
    <w:basedOn w:val="Normal"/>
    <w:next w:val="Normal"/>
    <w:uiPriority w:val="99"/>
    <w:rsid w:val="00571C61"/>
    <w:pPr>
      <w:suppressAutoHyphens/>
      <w:autoSpaceDE w:val="0"/>
      <w:autoSpaceDN w:val="0"/>
      <w:adjustRightInd w:val="0"/>
      <w:spacing w:after="0" w:line="220" w:lineRule="atLeast"/>
      <w:jc w:val="both"/>
      <w:textAlignment w:val="center"/>
    </w:pPr>
    <w:rPr>
      <w:rFonts w:ascii="Times" w:hAnsi="Times" w:cs="Times"/>
      <w:color w:val="000000"/>
      <w:sz w:val="19"/>
      <w:szCs w:val="19"/>
      <w:lang w:val="en-GB"/>
    </w:rPr>
  </w:style>
  <w:style w:type="paragraph" w:customStyle="1" w:styleId="MCKeywords">
    <w:name w:val="MC_Keywords"/>
    <w:basedOn w:val="MCMainText"/>
    <w:qFormat/>
    <w:rsid w:val="00571C61"/>
    <w:pPr>
      <w:spacing w:before="120"/>
      <w:jc w:val="left"/>
    </w:pPr>
    <w:rPr>
      <w:i/>
    </w:rPr>
  </w:style>
  <w:style w:type="paragraph" w:styleId="NormalWeb">
    <w:name w:val="Normal (Web)"/>
    <w:basedOn w:val="Normal"/>
    <w:unhideWhenUsed/>
    <w:rsid w:val="00E00E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lqj4b">
    <w:name w:val="jlqj4b"/>
    <w:basedOn w:val="Policepardfaut"/>
    <w:rsid w:val="00F7055A"/>
  </w:style>
  <w:style w:type="character" w:styleId="Lienhypertexte">
    <w:name w:val="Hyperlink"/>
    <w:uiPriority w:val="99"/>
    <w:unhideWhenUsed/>
    <w:rsid w:val="009F4415"/>
    <w:rPr>
      <w:color w:val="0563C1"/>
      <w:u w:val="single"/>
    </w:rPr>
  </w:style>
  <w:style w:type="paragraph" w:styleId="Textedebulles">
    <w:name w:val="Balloon Text"/>
    <w:basedOn w:val="Normal"/>
    <w:link w:val="TextedebullesCar"/>
    <w:uiPriority w:val="99"/>
    <w:semiHidden/>
    <w:unhideWhenUsed/>
    <w:rsid w:val="00540BE4"/>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540BE4"/>
    <w:rPr>
      <w:rFonts w:ascii="Segoe UI" w:hAnsi="Segoe UI" w:cs="Segoe UI"/>
      <w:sz w:val="18"/>
      <w:szCs w:val="18"/>
    </w:rPr>
  </w:style>
  <w:style w:type="paragraph" w:customStyle="1" w:styleId="Default">
    <w:name w:val="Default"/>
    <w:rsid w:val="00E50A6C"/>
    <w:pPr>
      <w:autoSpaceDE w:val="0"/>
      <w:autoSpaceDN w:val="0"/>
      <w:adjustRightInd w:val="0"/>
    </w:pPr>
    <w:rPr>
      <w:rFonts w:ascii="Times" w:hAnsi="Times" w:cs="Times"/>
      <w:color w:val="000000"/>
      <w:sz w:val="24"/>
      <w:szCs w:val="24"/>
      <w:lang w:eastAsia="en-US"/>
    </w:rPr>
  </w:style>
  <w:style w:type="character" w:customStyle="1" w:styleId="A9">
    <w:name w:val="A9"/>
    <w:uiPriority w:val="99"/>
    <w:rsid w:val="00E50A6C"/>
    <w:rPr>
      <w:color w:val="221E1F"/>
      <w:sz w:val="11"/>
      <w:szCs w:val="11"/>
    </w:rPr>
  </w:style>
  <w:style w:type="character" w:styleId="Lienhypertextesuivivisit">
    <w:name w:val="FollowedHyperlink"/>
    <w:uiPriority w:val="99"/>
    <w:semiHidden/>
    <w:unhideWhenUsed/>
    <w:rsid w:val="007755D7"/>
    <w:rPr>
      <w:color w:val="954F72"/>
      <w:u w:val="single"/>
    </w:rPr>
  </w:style>
  <w:style w:type="paragraph" w:styleId="Notedefin">
    <w:name w:val="endnote text"/>
    <w:basedOn w:val="Normal"/>
    <w:link w:val="NotedefinCar"/>
    <w:uiPriority w:val="99"/>
    <w:unhideWhenUsed/>
    <w:rsid w:val="00117B92"/>
    <w:pPr>
      <w:spacing w:after="0" w:line="240" w:lineRule="auto"/>
    </w:pPr>
    <w:rPr>
      <w:sz w:val="20"/>
      <w:szCs w:val="20"/>
    </w:rPr>
  </w:style>
  <w:style w:type="character" w:customStyle="1" w:styleId="NotedefinCar">
    <w:name w:val="Note de fin Car"/>
    <w:basedOn w:val="Policepardfaut"/>
    <w:link w:val="Notedefin"/>
    <w:uiPriority w:val="99"/>
    <w:rsid w:val="00117B92"/>
    <w:rPr>
      <w:lang w:eastAsia="en-US"/>
    </w:rPr>
  </w:style>
  <w:style w:type="character" w:styleId="Appeldenotedefin">
    <w:name w:val="endnote reference"/>
    <w:basedOn w:val="Policepardfaut"/>
    <w:uiPriority w:val="99"/>
    <w:semiHidden/>
    <w:unhideWhenUsed/>
    <w:rsid w:val="00117B92"/>
    <w:rPr>
      <w:vertAlign w:val="superscript"/>
    </w:rPr>
  </w:style>
  <w:style w:type="character" w:styleId="Marquedecommentaire">
    <w:name w:val="annotation reference"/>
    <w:basedOn w:val="Policepardfaut"/>
    <w:uiPriority w:val="99"/>
    <w:semiHidden/>
    <w:unhideWhenUsed/>
    <w:rsid w:val="001973EB"/>
    <w:rPr>
      <w:sz w:val="16"/>
      <w:szCs w:val="16"/>
    </w:rPr>
  </w:style>
  <w:style w:type="paragraph" w:styleId="Commentaire">
    <w:name w:val="annotation text"/>
    <w:basedOn w:val="Normal"/>
    <w:link w:val="CommentaireCar"/>
    <w:uiPriority w:val="99"/>
    <w:semiHidden/>
    <w:unhideWhenUsed/>
    <w:rsid w:val="001973EB"/>
    <w:pPr>
      <w:spacing w:line="240" w:lineRule="auto"/>
    </w:pPr>
    <w:rPr>
      <w:sz w:val="20"/>
      <w:szCs w:val="20"/>
    </w:rPr>
  </w:style>
  <w:style w:type="character" w:customStyle="1" w:styleId="CommentaireCar">
    <w:name w:val="Commentaire Car"/>
    <w:basedOn w:val="Policepardfaut"/>
    <w:link w:val="Commentaire"/>
    <w:uiPriority w:val="99"/>
    <w:semiHidden/>
    <w:rsid w:val="001973EB"/>
    <w:rPr>
      <w:lang w:eastAsia="en-US"/>
    </w:rPr>
  </w:style>
  <w:style w:type="paragraph" w:styleId="Objetducommentaire">
    <w:name w:val="annotation subject"/>
    <w:basedOn w:val="Commentaire"/>
    <w:next w:val="Commentaire"/>
    <w:link w:val="ObjetducommentaireCar"/>
    <w:uiPriority w:val="99"/>
    <w:semiHidden/>
    <w:unhideWhenUsed/>
    <w:rsid w:val="001973EB"/>
    <w:rPr>
      <w:b/>
      <w:bCs/>
    </w:rPr>
  </w:style>
  <w:style w:type="character" w:customStyle="1" w:styleId="ObjetducommentaireCar">
    <w:name w:val="Objet du commentaire Car"/>
    <w:basedOn w:val="CommentaireCar"/>
    <w:link w:val="Objetducommentaire"/>
    <w:uiPriority w:val="99"/>
    <w:semiHidden/>
    <w:rsid w:val="001973EB"/>
    <w:rPr>
      <w:b/>
      <w:bCs/>
      <w:lang w:eastAsia="en-US"/>
    </w:rPr>
  </w:style>
  <w:style w:type="paragraph" w:styleId="Rvision">
    <w:name w:val="Revision"/>
    <w:hidden/>
    <w:uiPriority w:val="99"/>
    <w:semiHidden/>
    <w:rsid w:val="00DC66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71653">
      <w:bodyDiv w:val="1"/>
      <w:marLeft w:val="0"/>
      <w:marRight w:val="0"/>
      <w:marTop w:val="0"/>
      <w:marBottom w:val="0"/>
      <w:divBdr>
        <w:top w:val="none" w:sz="0" w:space="0" w:color="auto"/>
        <w:left w:val="none" w:sz="0" w:space="0" w:color="auto"/>
        <w:bottom w:val="none" w:sz="0" w:space="0" w:color="auto"/>
        <w:right w:val="none" w:sz="0" w:space="0" w:color="auto"/>
      </w:divBdr>
      <w:divsChild>
        <w:div w:id="1020660587">
          <w:marLeft w:val="0"/>
          <w:marRight w:val="0"/>
          <w:marTop w:val="0"/>
          <w:marBottom w:val="0"/>
          <w:divBdr>
            <w:top w:val="none" w:sz="0" w:space="0" w:color="auto"/>
            <w:left w:val="none" w:sz="0" w:space="0" w:color="auto"/>
            <w:bottom w:val="none" w:sz="0" w:space="0" w:color="auto"/>
            <w:right w:val="none" w:sz="0" w:space="0" w:color="auto"/>
          </w:divBdr>
        </w:div>
      </w:divsChild>
    </w:div>
    <w:div w:id="532689747">
      <w:bodyDiv w:val="1"/>
      <w:marLeft w:val="0"/>
      <w:marRight w:val="0"/>
      <w:marTop w:val="0"/>
      <w:marBottom w:val="0"/>
      <w:divBdr>
        <w:top w:val="none" w:sz="0" w:space="0" w:color="auto"/>
        <w:left w:val="none" w:sz="0" w:space="0" w:color="auto"/>
        <w:bottom w:val="none" w:sz="0" w:space="0" w:color="auto"/>
        <w:right w:val="none" w:sz="0" w:space="0" w:color="auto"/>
      </w:divBdr>
      <w:divsChild>
        <w:div w:id="570703176">
          <w:marLeft w:val="0"/>
          <w:marRight w:val="0"/>
          <w:marTop w:val="0"/>
          <w:marBottom w:val="0"/>
          <w:divBdr>
            <w:top w:val="none" w:sz="0" w:space="0" w:color="auto"/>
            <w:left w:val="none" w:sz="0" w:space="0" w:color="auto"/>
            <w:bottom w:val="none" w:sz="0" w:space="0" w:color="auto"/>
            <w:right w:val="none" w:sz="0" w:space="0" w:color="auto"/>
          </w:divBdr>
        </w:div>
      </w:divsChild>
    </w:div>
    <w:div w:id="583685263">
      <w:bodyDiv w:val="1"/>
      <w:marLeft w:val="0"/>
      <w:marRight w:val="0"/>
      <w:marTop w:val="0"/>
      <w:marBottom w:val="0"/>
      <w:divBdr>
        <w:top w:val="none" w:sz="0" w:space="0" w:color="auto"/>
        <w:left w:val="none" w:sz="0" w:space="0" w:color="auto"/>
        <w:bottom w:val="none" w:sz="0" w:space="0" w:color="auto"/>
        <w:right w:val="none" w:sz="0" w:space="0" w:color="auto"/>
      </w:divBdr>
      <w:divsChild>
        <w:div w:id="1333411992">
          <w:marLeft w:val="0"/>
          <w:marRight w:val="0"/>
          <w:marTop w:val="0"/>
          <w:marBottom w:val="0"/>
          <w:divBdr>
            <w:top w:val="none" w:sz="0" w:space="0" w:color="auto"/>
            <w:left w:val="none" w:sz="0" w:space="0" w:color="auto"/>
            <w:bottom w:val="none" w:sz="0" w:space="0" w:color="auto"/>
            <w:right w:val="none" w:sz="0" w:space="0" w:color="auto"/>
          </w:divBdr>
        </w:div>
      </w:divsChild>
    </w:div>
    <w:div w:id="858859554">
      <w:bodyDiv w:val="1"/>
      <w:marLeft w:val="0"/>
      <w:marRight w:val="0"/>
      <w:marTop w:val="0"/>
      <w:marBottom w:val="0"/>
      <w:divBdr>
        <w:top w:val="none" w:sz="0" w:space="0" w:color="auto"/>
        <w:left w:val="none" w:sz="0" w:space="0" w:color="auto"/>
        <w:bottom w:val="none" w:sz="0" w:space="0" w:color="auto"/>
        <w:right w:val="none" w:sz="0" w:space="0" w:color="auto"/>
      </w:divBdr>
      <w:divsChild>
        <w:div w:id="1815100855">
          <w:marLeft w:val="0"/>
          <w:marRight w:val="0"/>
          <w:marTop w:val="0"/>
          <w:marBottom w:val="0"/>
          <w:divBdr>
            <w:top w:val="none" w:sz="0" w:space="0" w:color="auto"/>
            <w:left w:val="none" w:sz="0" w:space="0" w:color="auto"/>
            <w:bottom w:val="none" w:sz="0" w:space="0" w:color="auto"/>
            <w:right w:val="none" w:sz="0" w:space="0" w:color="auto"/>
          </w:divBdr>
        </w:div>
      </w:divsChild>
    </w:div>
    <w:div w:id="1645044349">
      <w:bodyDiv w:val="1"/>
      <w:marLeft w:val="0"/>
      <w:marRight w:val="0"/>
      <w:marTop w:val="0"/>
      <w:marBottom w:val="0"/>
      <w:divBdr>
        <w:top w:val="none" w:sz="0" w:space="0" w:color="auto"/>
        <w:left w:val="none" w:sz="0" w:space="0" w:color="auto"/>
        <w:bottom w:val="none" w:sz="0" w:space="0" w:color="auto"/>
        <w:right w:val="none" w:sz="0" w:space="0" w:color="auto"/>
      </w:divBdr>
      <w:divsChild>
        <w:div w:id="789516405">
          <w:marLeft w:val="0"/>
          <w:marRight w:val="0"/>
          <w:marTop w:val="0"/>
          <w:marBottom w:val="0"/>
          <w:divBdr>
            <w:top w:val="none" w:sz="0" w:space="0" w:color="auto"/>
            <w:left w:val="none" w:sz="0" w:space="0" w:color="auto"/>
            <w:bottom w:val="none" w:sz="0" w:space="0" w:color="auto"/>
            <w:right w:val="none" w:sz="0" w:space="0" w:color="auto"/>
          </w:divBdr>
          <w:divsChild>
            <w:div w:id="93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4.tif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tif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doi.org/10.71267/mencom.xxx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tif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Downloads\MC_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0A95-47E8-4989-996B-50155769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MC_template</Template>
  <TotalTime>0</TotalTime>
  <Pages>10</Pages>
  <Words>3010</Words>
  <Characters>16561</Characters>
  <Application>Microsoft Office Word</Application>
  <DocSecurity>0</DocSecurity>
  <Lines>138</Lines>
  <Paragraphs>39</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19532</CharactersWithSpaces>
  <SharedDoc>false</SharedDoc>
  <HLinks>
    <vt:vector size="18" baseType="variant">
      <vt:variant>
        <vt:i4>1507339</vt:i4>
      </vt:variant>
      <vt:variant>
        <vt:i4>12</vt:i4>
      </vt:variant>
      <vt:variant>
        <vt:i4>0</vt:i4>
      </vt:variant>
      <vt:variant>
        <vt:i4>5</vt:i4>
      </vt:variant>
      <vt:variant>
        <vt:lpwstr>http://classic.chem.msu.su/gran/gamess/index.html</vt:lpwstr>
      </vt:variant>
      <vt:variant>
        <vt:lpwstr/>
      </vt:variant>
      <vt:variant>
        <vt:i4>7798845</vt:i4>
      </vt:variant>
      <vt:variant>
        <vt:i4>6</vt:i4>
      </vt:variant>
      <vt:variant>
        <vt:i4>0</vt:i4>
      </vt:variant>
      <vt:variant>
        <vt:i4>5</vt:i4>
      </vt:variant>
      <vt:variant>
        <vt:lpwstr>http://www.mendcomm.org/download/guidline2.pdf</vt:lpwstr>
      </vt:variant>
      <vt:variant>
        <vt:lpwstr/>
      </vt:variant>
      <vt:variant>
        <vt:i4>7798845</vt:i4>
      </vt:variant>
      <vt:variant>
        <vt:i4>3</vt:i4>
      </vt:variant>
      <vt:variant>
        <vt:i4>0</vt:i4>
      </vt:variant>
      <vt:variant>
        <vt:i4>5</vt:i4>
      </vt:variant>
      <vt:variant>
        <vt:lpwstr>http://www.mendcomm.org/download/guidline2.pdf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dc:creator>
  <cp:keywords/>
  <cp:lastModifiedBy>Angenot Luc</cp:lastModifiedBy>
  <cp:revision>2</cp:revision>
  <cp:lastPrinted>2025-05-21T06:57:00Z</cp:lastPrinted>
  <dcterms:created xsi:type="dcterms:W3CDTF">2025-07-11T12:59:00Z</dcterms:created>
  <dcterms:modified xsi:type="dcterms:W3CDTF">2025-07-11T12:59:00Z</dcterms:modified>
</cp:coreProperties>
</file>