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2A87" w14:textId="77777777" w:rsidR="00F31694" w:rsidRPr="00F31694" w:rsidRDefault="00F31694" w:rsidP="00F31694">
      <w:pPr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b/>
          <w:bCs/>
          <w:color w:val="222222"/>
          <w:kern w:val="0"/>
          <w:sz w:val="20"/>
          <w:szCs w:val="20"/>
          <w:lang w:eastAsia="fr-FR"/>
          <w14:ligatures w14:val="none"/>
        </w:rPr>
        <w:t>Performances des équations d'estimation du DFG basées sur la créatinine et/ou la cystatine C en l'absence de sécrétion tubulaire de créatinine</w:t>
      </w:r>
    </w:p>
    <w:p w14:paraId="1A39432E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T. STEHLÉ*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1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G. Melica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2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S. Gallien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2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S. Fellahi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3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S. Brabant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4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D. Prié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5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M. Matignon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1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P. Grimbert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1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G. SERET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6 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; P. DELANAYE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 7 </w:t>
      </w:r>
    </w:p>
    <w:p w14:paraId="21D2EFCA" w14:textId="77777777" w:rsidR="00F31694" w:rsidRDefault="00F31694" w:rsidP="00F31694">
      <w:pPr>
        <w:spacing w:line="288" w:lineRule="atLeast"/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1 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Service de néphrologie et transplantation, Hôpital Henri Mondor, Créteil,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2 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Maladies infectieuses, Hôpital Henri-Mondor (AP-HP), Créteil, France, Créteil Cedex,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3 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Biochimie, Hôpital Henri-Mondor AP-HP, Créteil,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4 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Explorations Fonctionnelles, Hôpital Necker AP-HP, Paris,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5 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Physiologie-explorations fonctionnelles, inserm1151, Hôpital Necker, Paris,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6 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Néphrologie-dialyse, ECHO-Pôle santé sud, Le Mans, France;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vertAlign w:val="superscript"/>
          <w:lang w:eastAsia="fr-FR"/>
          <w14:ligatures w14:val="none"/>
        </w:rPr>
        <w:t>7 </w:t>
      </w:r>
      <w:r w:rsidRPr="00F31694"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Néphrologie, CHU de Liège, Liège, </w:t>
      </w:r>
      <w:r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  <w:t>Belgique</w:t>
      </w:r>
    </w:p>
    <w:p w14:paraId="3445D513" w14:textId="77777777" w:rsidR="00F31694" w:rsidRPr="00F31694" w:rsidRDefault="00F31694" w:rsidP="00F31694">
      <w:pPr>
        <w:spacing w:line="288" w:lineRule="atLeast"/>
        <w:rPr>
          <w:rFonts w:ascii="Verdana" w:eastAsia="Times New Roman" w:hAnsi="Verdana" w:cs="Times New Roman"/>
          <w:i/>
          <w:iCs/>
          <w:color w:val="222222"/>
          <w:kern w:val="0"/>
          <w:sz w:val="20"/>
          <w:szCs w:val="20"/>
          <w:lang w:eastAsia="fr-FR"/>
          <w14:ligatures w14:val="none"/>
        </w:rPr>
      </w:pPr>
    </w:p>
    <w:p w14:paraId="760C18AF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Introduction</w:t>
      </w:r>
    </w:p>
    <w:p w14:paraId="491BE929" w14:textId="77777777" w:rsidR="00F31694" w:rsidRPr="00F31694" w:rsidRDefault="00F31694" w:rsidP="00F31694">
      <w:pPr>
        <w:spacing w:after="100" w:afterAutospacing="1"/>
        <w:jc w:val="both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De nombreux médicaments, notamment en Infectiologie et Oncologie, bloquent la sécrétion tubulaire de créatinine (Créat-Sec). Sous ces traitements, le DFG estimé à partir de la cystatine C (DFGcys) est recommandé. Mais à notre connaissance, il n'y a pas de donnée évaluant, en cas de blocage de Créat-Sec, si le DFGcys est réellement plus performant que le DFG basé sur la créatinine (DFGcr), ni n'évaluant le DFGcr-cys basé sur les 2 biomarqueurs.</w:t>
      </w:r>
    </w:p>
    <w:p w14:paraId="4ECC9FD6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Description</w:t>
      </w:r>
    </w:p>
    <w:p w14:paraId="1B1CBBB2" w14:textId="77777777" w:rsidR="00F31694" w:rsidRPr="00F31694" w:rsidRDefault="00F31694" w:rsidP="00F31694">
      <w:pPr>
        <w:spacing w:after="100" w:afterAutospacing="1"/>
        <w:jc w:val="both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Il s'agit d'une étude rétrospective, transversale, monocentrique, utilisant la clairance plasmatique de l'iohexol comme méthode de référence (DFGm).</w:t>
      </w:r>
    </w:p>
    <w:p w14:paraId="3859652B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Méthodes</w:t>
      </w:r>
    </w:p>
    <w:p w14:paraId="588B03BA" w14:textId="77777777" w:rsidR="00F31694" w:rsidRPr="00F31694" w:rsidRDefault="00F31694" w:rsidP="00F31694">
      <w:pPr>
        <w:spacing w:after="100" w:afterAutospacing="1"/>
        <w:jc w:val="both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Tous les patients ayant eu une première mesure du DFG par clairance plasmatique et urinaire de l'iohexol dans notre centre entre juillet 2016 et avril 2025 étaient incluables. Une Créat-Sec [(clairance de créatinine - clairance urinaire iohexol) / clairance urinaire iohexol] &lt;10% était considérée comme nulle. La performance des équations était évaluée par le biais, la précision (IQR du biais), et l'exactitude à 15, 20 et 30% (P15, P20, P30).</w:t>
      </w:r>
    </w:p>
    <w:p w14:paraId="681ADFFE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Résultats obtenus ou attendus</w:t>
      </w:r>
    </w:p>
    <w:p w14:paraId="6A1002EA" w14:textId="77777777" w:rsidR="00F31694" w:rsidRPr="00F31694" w:rsidRDefault="00F31694" w:rsidP="00F31694">
      <w:pPr>
        <w:spacing w:after="100" w:afterAutospacing="1"/>
        <w:jc w:val="both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868 patients étaient inclus. Chez les 111 non sécrétants, le DFGcr sous évaluait le DFGm (-4.9 ml/min.1.73m2 (95%CI -8.7; -1.5) pour CKD-EPIcr, et -7.2 ml/min/1.73m2 (95%CI -10.2; -4.8) pour EKFCcr). De façon inattendue, le DFGcys sous-évaluait aussi le DFGm (-6.4 (95%CI -10.3 et -3.8) pour CKD-EPIcys et -5.5 (95%CI -7.2, -3.4) pour EKFCcys). Le DFGcys n'avait pas de meilleures exactitudes que le DFGcr</w:t>
      </w:r>
      <w:r w:rsidR="0043269F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, et était même moins exact que DFGcr pour les équations CKD-EPI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. Le DFGcr-cys était le plus exact (P30 90.1% (95%CI 84.5, 95.6) pour CKD-EPIcr-cys et 93.7% (95%CI 89.2, 98.2) pour EKFCcr-cys</w:t>
      </w:r>
      <w:r w:rsidR="0043269F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)</w:t>
      </w: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. Chez les normo-sécrétants, EKFCcr et EKFCcys étaient non biaisés, et le DFGcr-cys était le plus performant. Chez les 26 patients avec des conditions connues pour bloquer Créat-Sec, en raison soit d'un traitement (n=22), soit d'un syndrome de Fanconi (n=4), 8 avaient une Créat-Sec non bloquée. Chez eux aussi, DFGcr-cys était le plus performant.</w:t>
      </w:r>
    </w:p>
    <w:p w14:paraId="034CBD94" w14:textId="77777777" w:rsidR="00F31694" w:rsidRPr="00F31694" w:rsidRDefault="00F31694" w:rsidP="00F31694">
      <w:pPr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Conclusion</w:t>
      </w:r>
    </w:p>
    <w:p w14:paraId="32117FD4" w14:textId="77777777" w:rsidR="00F31694" w:rsidRPr="00F31694" w:rsidRDefault="00F31694" w:rsidP="00F31694">
      <w:pPr>
        <w:spacing w:after="100" w:afterAutospacing="1"/>
        <w:jc w:val="both"/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</w:pPr>
      <w:r w:rsidRPr="00F31694">
        <w:rPr>
          <w:rFonts w:ascii="Verdana" w:eastAsia="Times New Roman" w:hAnsi="Verdana" w:cs="Times New Roman"/>
          <w:color w:val="222222"/>
          <w:kern w:val="0"/>
          <w:sz w:val="20"/>
          <w:szCs w:val="20"/>
          <w:lang w:eastAsia="fr-FR"/>
          <w14:ligatures w14:val="none"/>
        </w:rPr>
        <w:t>Le DFGcr-cys est la méthode d'estimation du DFG la plus performante, que Créat-Sec soit abolie ou non.</w:t>
      </w:r>
    </w:p>
    <w:p w14:paraId="6461B02C" w14:textId="77777777" w:rsidR="007A28F7" w:rsidRDefault="00AB4BFB" w:rsidP="00AB4BFB">
      <w:pPr>
        <w:ind w:left="-1276"/>
      </w:pPr>
      <w:r>
        <w:lastRenderedPageBreak/>
        <w:fldChar w:fldCharType="begin"/>
      </w:r>
      <w:r>
        <w:instrText xml:space="preserve"> INCLUDEPICTURE "https://process.y-congress.com/ScientificProcess/Data/14/637/1575/e6511aeb-9f93-4899-af09-ddf42c42bf6c/Uploads/18750_Tableau_pour%20abstract.jpg"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2B075C2" wp14:editId="16A24AED">
                <wp:extent cx="304800" cy="304800"/>
                <wp:effectExtent l="0" t="0" r="0" b="0"/>
                <wp:docPr id="146588488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B73E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"https://process.y-congress.com/ScientificProcess/Data/14/637/1575/e6511aeb-9f93-4899-af09-ddf42c42bf6c/Uploads/18750_Tableau_pour%20abstract.jpg"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B212975" wp14:editId="724052A8">
                <wp:extent cx="304800" cy="304800"/>
                <wp:effectExtent l="0" t="0" r="0" b="0"/>
                <wp:docPr id="188299648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FD4D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="0043269F">
        <w:rPr>
          <w:noProof/>
        </w:rPr>
        <w:drawing>
          <wp:inline distT="0" distB="0" distL="0" distR="0" wp14:anchorId="28AFD944" wp14:editId="7D2EBE45">
            <wp:extent cx="5756910" cy="4318000"/>
            <wp:effectExtent l="0" t="0" r="0" b="0"/>
            <wp:docPr id="20053055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05516" name="Image 20053055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8F7" w:rsidSect="008F4D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B"/>
    <w:rsid w:val="00274CC6"/>
    <w:rsid w:val="003E5E25"/>
    <w:rsid w:val="0043269F"/>
    <w:rsid w:val="006755CB"/>
    <w:rsid w:val="00795AD8"/>
    <w:rsid w:val="007A28F7"/>
    <w:rsid w:val="008F4D9E"/>
    <w:rsid w:val="00AB4BFB"/>
    <w:rsid w:val="00B343F3"/>
    <w:rsid w:val="00D56C61"/>
    <w:rsid w:val="00E76E01"/>
    <w:rsid w:val="00F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0846"/>
  <w15:chartTrackingRefBased/>
  <w15:docId w15:val="{7C022A6B-B01C-D14F-BD91-2567CAC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">
    <w:name w:val="author"/>
    <w:basedOn w:val="Policepardfaut"/>
    <w:rsid w:val="00AB4BFB"/>
  </w:style>
  <w:style w:type="character" w:customStyle="1" w:styleId="autorinitial">
    <w:name w:val="autorinitial"/>
    <w:basedOn w:val="Policepardfaut"/>
    <w:rsid w:val="00AB4BFB"/>
  </w:style>
  <w:style w:type="character" w:customStyle="1" w:styleId="autorname">
    <w:name w:val="autorname"/>
    <w:basedOn w:val="Policepardfaut"/>
    <w:rsid w:val="00AB4BFB"/>
  </w:style>
  <w:style w:type="character" w:customStyle="1" w:styleId="serviceauthor">
    <w:name w:val="serviceauthor"/>
    <w:basedOn w:val="Policepardfaut"/>
    <w:rsid w:val="00AB4BFB"/>
  </w:style>
  <w:style w:type="character" w:customStyle="1" w:styleId="villeautor">
    <w:name w:val="villeautor"/>
    <w:basedOn w:val="Policepardfaut"/>
    <w:rsid w:val="00AB4BFB"/>
  </w:style>
  <w:style w:type="character" w:customStyle="1" w:styleId="paysautor">
    <w:name w:val="paysautor"/>
    <w:basedOn w:val="Policepardfaut"/>
    <w:rsid w:val="00AB4BFB"/>
  </w:style>
  <w:style w:type="paragraph" w:styleId="NormalWeb">
    <w:name w:val="Normal (Web)"/>
    <w:basedOn w:val="Normal"/>
    <w:uiPriority w:val="99"/>
    <w:semiHidden/>
    <w:unhideWhenUsed/>
    <w:rsid w:val="00AB4B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2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8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54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6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19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91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6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2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5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89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7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04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30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9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0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431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2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Stehlé</dc:creator>
  <cp:keywords/>
  <dc:description/>
  <cp:lastModifiedBy>DELANAYE Pierre</cp:lastModifiedBy>
  <cp:revision>2</cp:revision>
  <dcterms:created xsi:type="dcterms:W3CDTF">2025-10-14T07:29:00Z</dcterms:created>
  <dcterms:modified xsi:type="dcterms:W3CDTF">2025-10-14T07:29:00Z</dcterms:modified>
</cp:coreProperties>
</file>