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131F" w14:textId="77777777" w:rsidR="00000000" w:rsidRPr="008D44F9" w:rsidRDefault="00DC3257">
      <w:pPr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8D44F9">
        <w:rPr>
          <w:rFonts w:ascii="Calibri" w:hAnsi="Calibri" w:cs="Calibri"/>
          <w:b/>
          <w:sz w:val="22"/>
          <w:szCs w:val="22"/>
          <w:lang w:val="en-US"/>
        </w:rPr>
        <w:t>Pronostics</w:t>
      </w:r>
      <w:proofErr w:type="spellEnd"/>
      <w:r w:rsidRPr="008D44F9">
        <w:rPr>
          <w:rFonts w:ascii="Calibri" w:hAnsi="Calibri" w:cs="Calibri"/>
          <w:b/>
          <w:sz w:val="22"/>
          <w:szCs w:val="22"/>
          <w:lang w:val="en-US"/>
        </w:rPr>
        <w:t xml:space="preserve"> performances of </w:t>
      </w:r>
      <w:r w:rsidR="00B10221" w:rsidRPr="008D44F9">
        <w:rPr>
          <w:rFonts w:ascii="Calibri" w:hAnsi="Calibri" w:cs="Calibri"/>
          <w:b/>
          <w:sz w:val="22"/>
          <w:szCs w:val="22"/>
          <w:lang w:val="en-US"/>
        </w:rPr>
        <w:t xml:space="preserve">EKFC </w:t>
      </w:r>
      <w:r w:rsidRPr="008D44F9">
        <w:rPr>
          <w:rFonts w:ascii="Calibri" w:hAnsi="Calibri" w:cs="Calibri"/>
          <w:b/>
          <w:sz w:val="22"/>
          <w:szCs w:val="22"/>
          <w:lang w:val="en-US"/>
        </w:rPr>
        <w:t>and</w:t>
      </w:r>
      <w:r w:rsidR="00B10221" w:rsidRPr="008D44F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="00B10221" w:rsidRPr="008D44F9">
        <w:rPr>
          <w:rFonts w:ascii="Calibri" w:hAnsi="Calibri" w:cs="Calibri"/>
          <w:b/>
          <w:sz w:val="22"/>
          <w:szCs w:val="22"/>
          <w:lang w:val="en-US"/>
        </w:rPr>
        <w:t>CKDepi</w:t>
      </w:r>
      <w:proofErr w:type="spellEnd"/>
      <w:r w:rsidR="00B10221" w:rsidRPr="008D44F9">
        <w:rPr>
          <w:rFonts w:ascii="Calibri" w:hAnsi="Calibri" w:cs="Calibri"/>
          <w:b/>
          <w:sz w:val="22"/>
          <w:szCs w:val="22"/>
          <w:lang w:val="en-US"/>
        </w:rPr>
        <w:t xml:space="preserve"> 2009</w:t>
      </w:r>
      <w:r w:rsidRPr="008D44F9">
        <w:rPr>
          <w:rFonts w:ascii="Calibri" w:hAnsi="Calibri" w:cs="Calibri"/>
          <w:b/>
          <w:sz w:val="22"/>
          <w:szCs w:val="22"/>
          <w:lang w:val="en-US"/>
        </w:rPr>
        <w:t>.</w:t>
      </w:r>
    </w:p>
    <w:p w14:paraId="64A770E3" w14:textId="77777777" w:rsidR="00B10221" w:rsidRPr="008D44F9" w:rsidRDefault="00B10221">
      <w:pPr>
        <w:rPr>
          <w:rFonts w:ascii="Calibri" w:hAnsi="Calibri" w:cs="Calibri"/>
          <w:sz w:val="22"/>
          <w:szCs w:val="22"/>
          <w:lang w:val="en-US"/>
        </w:rPr>
      </w:pPr>
    </w:p>
    <w:p w14:paraId="06A2B280" w14:textId="77777777" w:rsidR="00B10221" w:rsidRPr="008D44F9" w:rsidRDefault="00B10221">
      <w:pPr>
        <w:rPr>
          <w:rFonts w:ascii="Calibri" w:hAnsi="Calibri" w:cs="Calibri"/>
          <w:sz w:val="22"/>
          <w:szCs w:val="22"/>
          <w:lang w:val="en-US"/>
        </w:rPr>
      </w:pPr>
    </w:p>
    <w:p w14:paraId="2AA6798C" w14:textId="77777777" w:rsidR="00B10221" w:rsidRPr="00920685" w:rsidRDefault="00B10221">
      <w:pPr>
        <w:rPr>
          <w:rFonts w:ascii="Calibri" w:hAnsi="Calibri" w:cs="Calibri"/>
          <w:sz w:val="22"/>
          <w:szCs w:val="22"/>
        </w:rPr>
      </w:pPr>
      <w:r w:rsidRPr="00920685">
        <w:rPr>
          <w:rFonts w:ascii="Calibri" w:hAnsi="Calibri" w:cs="Calibri"/>
          <w:sz w:val="22"/>
          <w:szCs w:val="22"/>
        </w:rPr>
        <w:t>Antoine Lanot</w:t>
      </w:r>
      <w:r w:rsidR="009020C0" w:rsidRPr="009020C0">
        <w:rPr>
          <w:rFonts w:ascii="Calibri" w:hAnsi="Calibri" w:cs="Calibri"/>
          <w:sz w:val="22"/>
          <w:szCs w:val="22"/>
          <w:vertAlign w:val="superscript"/>
        </w:rPr>
        <w:t>1,2,3</w:t>
      </w:r>
      <w:r w:rsidRPr="00920685">
        <w:rPr>
          <w:rFonts w:ascii="Calibri" w:hAnsi="Calibri" w:cs="Calibri"/>
          <w:sz w:val="22"/>
          <w:szCs w:val="22"/>
        </w:rPr>
        <w:t>, Pierre Delanaye</w:t>
      </w:r>
      <w:r w:rsidR="009020C0" w:rsidRPr="009020C0">
        <w:rPr>
          <w:rFonts w:ascii="Calibri" w:hAnsi="Calibri" w:cs="Calibri"/>
          <w:sz w:val="22"/>
          <w:szCs w:val="22"/>
          <w:vertAlign w:val="superscript"/>
        </w:rPr>
        <w:t>4,5</w:t>
      </w:r>
      <w:r w:rsidRPr="00920685">
        <w:rPr>
          <w:rFonts w:ascii="Calibri" w:hAnsi="Calibri" w:cs="Calibri"/>
          <w:sz w:val="22"/>
          <w:szCs w:val="22"/>
        </w:rPr>
        <w:t xml:space="preserve">, </w:t>
      </w:r>
      <w:r w:rsidR="0047370F" w:rsidRPr="00920685">
        <w:rPr>
          <w:rFonts w:ascii="Calibri" w:hAnsi="Calibri" w:cs="Calibri"/>
          <w:sz w:val="22"/>
          <w:szCs w:val="22"/>
        </w:rPr>
        <w:t>Marie Metzger</w:t>
      </w:r>
      <w:r w:rsidR="009020C0" w:rsidRPr="009020C0">
        <w:rPr>
          <w:rFonts w:ascii="Calibri" w:hAnsi="Calibri" w:cs="Calibri"/>
          <w:sz w:val="22"/>
          <w:szCs w:val="22"/>
          <w:vertAlign w:val="superscript"/>
        </w:rPr>
        <w:t>6</w:t>
      </w:r>
      <w:r w:rsidR="0047370F" w:rsidRPr="0092068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7370F" w:rsidRPr="00920685">
        <w:rPr>
          <w:rFonts w:ascii="Calibri" w:hAnsi="Calibri" w:cs="Calibri"/>
          <w:sz w:val="22"/>
          <w:szCs w:val="22"/>
        </w:rPr>
        <w:t>Aghilès</w:t>
      </w:r>
      <w:proofErr w:type="spellEnd"/>
      <w:r w:rsidR="0047370F" w:rsidRPr="00920685">
        <w:rPr>
          <w:rFonts w:ascii="Calibri" w:hAnsi="Calibri" w:cs="Calibri"/>
          <w:sz w:val="22"/>
          <w:szCs w:val="22"/>
        </w:rPr>
        <w:t xml:space="preserve"> Hamroun</w:t>
      </w:r>
      <w:r w:rsidR="009020C0" w:rsidRPr="009020C0">
        <w:rPr>
          <w:rFonts w:ascii="Calibri" w:hAnsi="Calibri" w:cs="Calibri"/>
          <w:sz w:val="22"/>
          <w:szCs w:val="22"/>
          <w:vertAlign w:val="superscript"/>
        </w:rPr>
        <w:t>7</w:t>
      </w:r>
      <w:r w:rsidR="0047370F" w:rsidRPr="00920685">
        <w:rPr>
          <w:rFonts w:ascii="Calibri" w:hAnsi="Calibri" w:cs="Calibri"/>
          <w:sz w:val="22"/>
          <w:szCs w:val="22"/>
        </w:rPr>
        <w:t xml:space="preserve">, </w:t>
      </w:r>
      <w:r w:rsidRPr="00920685">
        <w:rPr>
          <w:rFonts w:ascii="Calibri" w:hAnsi="Calibri" w:cs="Calibri"/>
          <w:sz w:val="22"/>
          <w:szCs w:val="22"/>
        </w:rPr>
        <w:t>Natalia Alencar de Pinho</w:t>
      </w:r>
      <w:r w:rsidR="009020C0" w:rsidRPr="009020C0">
        <w:rPr>
          <w:rFonts w:ascii="Calibri" w:hAnsi="Calibri" w:cs="Calibri"/>
          <w:sz w:val="22"/>
          <w:szCs w:val="22"/>
          <w:vertAlign w:val="superscript"/>
        </w:rPr>
        <w:t>6</w:t>
      </w:r>
      <w:r w:rsidRPr="00920685">
        <w:rPr>
          <w:rFonts w:ascii="Calibri" w:hAnsi="Calibri" w:cs="Calibri"/>
          <w:sz w:val="22"/>
          <w:szCs w:val="22"/>
        </w:rPr>
        <w:t>, Christophe Mariat</w:t>
      </w:r>
      <w:r w:rsidR="009020C0" w:rsidRPr="009020C0">
        <w:rPr>
          <w:rFonts w:ascii="Calibri" w:hAnsi="Calibri" w:cs="Calibri"/>
          <w:sz w:val="22"/>
          <w:szCs w:val="22"/>
          <w:vertAlign w:val="superscript"/>
        </w:rPr>
        <w:t>8</w:t>
      </w:r>
    </w:p>
    <w:p w14:paraId="4F91A74E" w14:textId="77777777" w:rsidR="00B10221" w:rsidRPr="00920685" w:rsidRDefault="00B10221">
      <w:pPr>
        <w:rPr>
          <w:rFonts w:ascii="Calibri" w:hAnsi="Calibri" w:cs="Calibri"/>
          <w:sz w:val="22"/>
          <w:szCs w:val="22"/>
        </w:rPr>
      </w:pPr>
    </w:p>
    <w:p w14:paraId="21CC4510" w14:textId="77777777" w:rsidR="00920685" w:rsidRPr="00920685" w:rsidRDefault="00920685" w:rsidP="00920685">
      <w:pPr>
        <w:shd w:val="clear" w:color="auto" w:fill="FFFFFF"/>
        <w:rPr>
          <w:rFonts w:ascii="Calibri" w:hAnsi="Calibri" w:cs="Calibri"/>
          <w:sz w:val="22"/>
          <w:szCs w:val="22"/>
          <w:lang w:val="fr-BE" w:eastAsia="fr-BE"/>
        </w:rPr>
      </w:pPr>
      <w:r w:rsidRPr="00920685">
        <w:rPr>
          <w:rFonts w:ascii="Calibri" w:hAnsi="Calibri" w:cs="Calibri"/>
          <w:sz w:val="22"/>
          <w:szCs w:val="22"/>
          <w:vertAlign w:val="superscript"/>
          <w:lang w:eastAsia="fr-BE"/>
        </w:rPr>
        <w:t>1</w:t>
      </w:r>
      <w:r w:rsidRPr="00920685">
        <w:rPr>
          <w:rFonts w:ascii="Calibri" w:hAnsi="Calibri" w:cs="Calibri"/>
          <w:sz w:val="22"/>
          <w:szCs w:val="22"/>
          <w:vertAlign w:val="superscript"/>
          <w:lang w:val="fr-BE" w:eastAsia="fr-BE"/>
        </w:rPr>
        <w:t xml:space="preserve"> </w:t>
      </w:r>
      <w:r w:rsidRPr="00920685">
        <w:rPr>
          <w:rFonts w:ascii="Calibri" w:hAnsi="Calibri" w:cs="Calibri"/>
          <w:sz w:val="22"/>
          <w:szCs w:val="22"/>
          <w:lang w:val="fr-BE" w:eastAsia="fr-BE"/>
        </w:rPr>
        <w:t>Normandie Université, Unicaen, CHU de Caen Normandie, Néphrologie, Côte de Nacre Caen, France.</w:t>
      </w:r>
    </w:p>
    <w:p w14:paraId="3482359A" w14:textId="77777777" w:rsidR="00920685" w:rsidRPr="00920685" w:rsidRDefault="00920685" w:rsidP="00920685">
      <w:pPr>
        <w:shd w:val="clear" w:color="auto" w:fill="FFFFFF"/>
        <w:rPr>
          <w:rFonts w:ascii="Calibri" w:hAnsi="Calibri" w:cs="Calibri"/>
          <w:sz w:val="22"/>
          <w:szCs w:val="22"/>
          <w:lang w:val="fr-BE" w:eastAsia="fr-BE"/>
        </w:rPr>
      </w:pPr>
      <w:r w:rsidRPr="00920685">
        <w:rPr>
          <w:rFonts w:ascii="Calibri" w:hAnsi="Calibri" w:cs="Calibri"/>
          <w:sz w:val="22"/>
          <w:szCs w:val="22"/>
          <w:vertAlign w:val="superscript"/>
          <w:lang w:val="fr-BE" w:eastAsia="fr-BE"/>
        </w:rPr>
        <w:t xml:space="preserve">2 </w:t>
      </w:r>
      <w:r w:rsidRPr="00920685">
        <w:rPr>
          <w:rFonts w:ascii="Calibri" w:hAnsi="Calibri" w:cs="Calibri"/>
          <w:sz w:val="22"/>
          <w:szCs w:val="22"/>
          <w:lang w:val="fr-BE" w:eastAsia="fr-BE"/>
        </w:rPr>
        <w:t xml:space="preserve">Normandie Université, Unicaen, UFR de médecine, 2 rue des </w:t>
      </w:r>
      <w:proofErr w:type="spellStart"/>
      <w:r w:rsidRPr="00920685">
        <w:rPr>
          <w:rFonts w:ascii="Calibri" w:hAnsi="Calibri" w:cs="Calibri"/>
          <w:sz w:val="22"/>
          <w:szCs w:val="22"/>
          <w:lang w:val="fr-BE" w:eastAsia="fr-BE"/>
        </w:rPr>
        <w:t>Rochambelles</w:t>
      </w:r>
      <w:proofErr w:type="spellEnd"/>
      <w:r w:rsidRPr="00920685">
        <w:rPr>
          <w:rFonts w:ascii="Calibri" w:hAnsi="Calibri" w:cs="Calibri"/>
          <w:sz w:val="22"/>
          <w:szCs w:val="22"/>
          <w:lang w:val="fr-BE" w:eastAsia="fr-BE"/>
        </w:rPr>
        <w:t>, Caen Cedex, France.</w:t>
      </w:r>
    </w:p>
    <w:p w14:paraId="024F3708" w14:textId="77777777" w:rsidR="00920685" w:rsidRPr="00920685" w:rsidRDefault="00920685" w:rsidP="00920685">
      <w:pPr>
        <w:shd w:val="clear" w:color="auto" w:fill="FFFFFF"/>
        <w:rPr>
          <w:rFonts w:ascii="Calibri" w:hAnsi="Calibri" w:cs="Calibri"/>
          <w:sz w:val="22"/>
          <w:szCs w:val="22"/>
          <w:lang w:val="fr-BE" w:eastAsia="fr-BE"/>
        </w:rPr>
      </w:pPr>
      <w:r w:rsidRPr="00920685">
        <w:rPr>
          <w:rFonts w:ascii="Calibri" w:hAnsi="Calibri" w:cs="Calibri"/>
          <w:sz w:val="22"/>
          <w:szCs w:val="22"/>
          <w:vertAlign w:val="superscript"/>
          <w:lang w:val="fr-BE" w:eastAsia="fr-BE"/>
        </w:rPr>
        <w:t>3</w:t>
      </w:r>
      <w:r w:rsidRPr="00920685">
        <w:rPr>
          <w:rFonts w:ascii="Calibri" w:hAnsi="Calibri" w:cs="Calibri"/>
          <w:sz w:val="22"/>
          <w:szCs w:val="22"/>
          <w:lang w:val="fr-BE" w:eastAsia="fr-BE"/>
        </w:rPr>
        <w:t xml:space="preserve"> ANTICIPE U1086 INSERM-UCN, Centre François </w:t>
      </w:r>
      <w:proofErr w:type="spellStart"/>
      <w:r w:rsidRPr="00920685">
        <w:rPr>
          <w:rFonts w:ascii="Calibri" w:hAnsi="Calibri" w:cs="Calibri"/>
          <w:sz w:val="22"/>
          <w:szCs w:val="22"/>
          <w:lang w:val="fr-BE" w:eastAsia="fr-BE"/>
        </w:rPr>
        <w:t>Baclesse</w:t>
      </w:r>
      <w:proofErr w:type="spellEnd"/>
      <w:r w:rsidRPr="00920685">
        <w:rPr>
          <w:rFonts w:ascii="Calibri" w:hAnsi="Calibri" w:cs="Calibri"/>
          <w:sz w:val="22"/>
          <w:szCs w:val="22"/>
          <w:lang w:val="fr-BE" w:eastAsia="fr-BE"/>
        </w:rPr>
        <w:t>, 3 Av. du Général Harris, Caen, France</w:t>
      </w:r>
    </w:p>
    <w:p w14:paraId="33FED877" w14:textId="77777777" w:rsidR="00920685" w:rsidRPr="00920685" w:rsidRDefault="00920685" w:rsidP="00920685">
      <w:pPr>
        <w:rPr>
          <w:rFonts w:ascii="Calibri" w:hAnsi="Calibri" w:cs="Calibri"/>
          <w:sz w:val="22"/>
          <w:szCs w:val="22"/>
          <w:lang w:val="en-US"/>
        </w:rPr>
      </w:pPr>
      <w:r w:rsidRPr="00920685">
        <w:rPr>
          <w:rFonts w:ascii="Calibri" w:hAnsi="Calibri" w:cs="Calibri"/>
          <w:sz w:val="22"/>
          <w:szCs w:val="22"/>
          <w:vertAlign w:val="superscript"/>
          <w:lang w:val="en-US"/>
        </w:rPr>
        <w:t xml:space="preserve">4 </w:t>
      </w:r>
      <w:r w:rsidRPr="00920685">
        <w:rPr>
          <w:rFonts w:ascii="Calibri" w:hAnsi="Calibri" w:cs="Calibri"/>
          <w:sz w:val="22"/>
          <w:szCs w:val="22"/>
          <w:lang w:val="en-US"/>
        </w:rPr>
        <w:t xml:space="preserve">Department of Nephrology-Dialysis-Transplantation, University of Liège, CHU </w:t>
      </w:r>
      <w:proofErr w:type="spellStart"/>
      <w:r w:rsidRPr="00920685">
        <w:rPr>
          <w:rFonts w:ascii="Calibri" w:hAnsi="Calibri" w:cs="Calibri"/>
          <w:sz w:val="22"/>
          <w:szCs w:val="22"/>
          <w:lang w:val="en-US"/>
        </w:rPr>
        <w:t>Sart</w:t>
      </w:r>
      <w:proofErr w:type="spellEnd"/>
      <w:r w:rsidRPr="00920685">
        <w:rPr>
          <w:rFonts w:ascii="Calibri" w:hAnsi="Calibri" w:cs="Calibri"/>
          <w:sz w:val="22"/>
          <w:szCs w:val="22"/>
          <w:lang w:val="en-US"/>
        </w:rPr>
        <w:t xml:space="preserve"> Tilman, Liège, Belgium.</w:t>
      </w:r>
    </w:p>
    <w:p w14:paraId="52C32DAA" w14:textId="77777777" w:rsidR="00920685" w:rsidRPr="00920685" w:rsidRDefault="00920685" w:rsidP="00920685">
      <w:pPr>
        <w:rPr>
          <w:rFonts w:ascii="Calibri" w:eastAsiaTheme="minorHAnsi" w:hAnsi="Calibri" w:cs="Calibri"/>
          <w:sz w:val="22"/>
          <w:szCs w:val="22"/>
          <w:shd w:val="clear" w:color="auto" w:fill="FFFFFF"/>
          <w:lang w:val="en-US" w:eastAsia="en-US"/>
        </w:rPr>
      </w:pPr>
      <w:r w:rsidRPr="00920685">
        <w:rPr>
          <w:rFonts w:ascii="Calibri" w:hAnsi="Calibri" w:cs="Calibri"/>
          <w:sz w:val="22"/>
          <w:szCs w:val="22"/>
          <w:vertAlign w:val="superscript"/>
          <w:lang w:val="en-US"/>
        </w:rPr>
        <w:t xml:space="preserve">5 </w:t>
      </w:r>
      <w:r w:rsidRPr="00920685">
        <w:rPr>
          <w:rFonts w:ascii="Calibri" w:hAnsi="Calibri" w:cs="Calibri"/>
          <w:sz w:val="22"/>
          <w:szCs w:val="22"/>
          <w:lang w:val="en-US"/>
        </w:rPr>
        <w:t xml:space="preserve">Department of </w:t>
      </w:r>
      <w:r w:rsidRPr="00920685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Nephrology-Dialysis-Apheresis, </w:t>
      </w:r>
      <w:proofErr w:type="spellStart"/>
      <w:r w:rsidRPr="00920685">
        <w:rPr>
          <w:rFonts w:ascii="Calibri" w:hAnsi="Calibri" w:cs="Calibri"/>
          <w:sz w:val="22"/>
          <w:szCs w:val="22"/>
          <w:shd w:val="clear" w:color="auto" w:fill="FFFFFF"/>
          <w:lang w:val="en-US"/>
        </w:rPr>
        <w:t>Hôpital</w:t>
      </w:r>
      <w:proofErr w:type="spellEnd"/>
      <w:r w:rsidRPr="00920685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 Universitaire </w:t>
      </w:r>
      <w:proofErr w:type="spellStart"/>
      <w:r w:rsidRPr="00920685">
        <w:rPr>
          <w:rFonts w:ascii="Calibri" w:hAnsi="Calibri" w:cs="Calibri"/>
          <w:sz w:val="22"/>
          <w:szCs w:val="22"/>
          <w:shd w:val="clear" w:color="auto" w:fill="FFFFFF"/>
          <w:lang w:val="en-US"/>
        </w:rPr>
        <w:t>Carémeau</w:t>
      </w:r>
      <w:proofErr w:type="spellEnd"/>
      <w:r w:rsidRPr="00920685">
        <w:rPr>
          <w:rFonts w:ascii="Calibri" w:hAnsi="Calibri" w:cs="Calibri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920685">
        <w:rPr>
          <w:rFonts w:ascii="Calibri" w:hAnsi="Calibri" w:cs="Calibri"/>
          <w:sz w:val="22"/>
          <w:szCs w:val="22"/>
          <w:shd w:val="clear" w:color="auto" w:fill="FFFFFF"/>
          <w:lang w:val="en-US"/>
        </w:rPr>
        <w:t>Nîmes</w:t>
      </w:r>
      <w:proofErr w:type="spellEnd"/>
      <w:r w:rsidRPr="00920685">
        <w:rPr>
          <w:rFonts w:ascii="Calibri" w:hAnsi="Calibri" w:cs="Calibri"/>
          <w:sz w:val="22"/>
          <w:szCs w:val="22"/>
          <w:shd w:val="clear" w:color="auto" w:fill="FFFFFF"/>
          <w:lang w:val="en-US"/>
        </w:rPr>
        <w:t>, France</w:t>
      </w:r>
    </w:p>
    <w:p w14:paraId="24BBBAD6" w14:textId="77777777" w:rsidR="00920685" w:rsidRPr="0047370F" w:rsidRDefault="00920685" w:rsidP="00920685">
      <w:pPr>
        <w:rPr>
          <w:rFonts w:ascii="Calibri" w:hAnsi="Calibri" w:cs="Calibri"/>
          <w:sz w:val="22"/>
          <w:szCs w:val="22"/>
        </w:rPr>
      </w:pPr>
      <w:r w:rsidRPr="00920685">
        <w:rPr>
          <w:rFonts w:ascii="Calibri" w:hAnsi="Calibri" w:cs="Calibri"/>
          <w:sz w:val="22"/>
          <w:szCs w:val="22"/>
          <w:vertAlign w:val="superscript"/>
        </w:rPr>
        <w:t xml:space="preserve">6 </w:t>
      </w:r>
      <w:r w:rsidRPr="0047370F">
        <w:rPr>
          <w:rFonts w:ascii="Calibri" w:hAnsi="Calibri" w:cs="Calibri"/>
          <w:sz w:val="22"/>
          <w:szCs w:val="22"/>
        </w:rPr>
        <w:t>CESP, Univ Paris-Saclay, Inserm U1018, Villejuif, France</w:t>
      </w:r>
    </w:p>
    <w:p w14:paraId="50FB62AE" w14:textId="77777777" w:rsidR="00920685" w:rsidRPr="00920685" w:rsidRDefault="00920685" w:rsidP="00920685">
      <w:pPr>
        <w:rPr>
          <w:rFonts w:ascii="Calibri" w:hAnsi="Calibri" w:cs="Calibri"/>
          <w:sz w:val="22"/>
          <w:szCs w:val="22"/>
        </w:rPr>
      </w:pPr>
      <w:r w:rsidRPr="00920685">
        <w:rPr>
          <w:rFonts w:ascii="Calibri" w:hAnsi="Calibri" w:cs="Calibri"/>
          <w:sz w:val="22"/>
          <w:szCs w:val="22"/>
          <w:vertAlign w:val="superscript"/>
        </w:rPr>
        <w:t xml:space="preserve">7 </w:t>
      </w:r>
      <w:r w:rsidRPr="0047370F">
        <w:rPr>
          <w:rFonts w:ascii="Calibri" w:hAnsi="Calibri" w:cs="Calibri"/>
          <w:sz w:val="22"/>
          <w:szCs w:val="22"/>
        </w:rPr>
        <w:t>RIDAGE, Institut Pasteur de Lille, Univ Lille, Inserm U1167, Lille, France</w:t>
      </w:r>
    </w:p>
    <w:p w14:paraId="57059D3A" w14:textId="77777777" w:rsidR="00920685" w:rsidRPr="00920685" w:rsidRDefault="00920685">
      <w:pPr>
        <w:rPr>
          <w:rFonts w:ascii="Calibri" w:hAnsi="Calibri" w:cs="Calibri"/>
          <w:sz w:val="22"/>
          <w:szCs w:val="22"/>
        </w:rPr>
      </w:pPr>
      <w:r w:rsidRPr="00920685">
        <w:rPr>
          <w:rFonts w:ascii="Calibri" w:eastAsia="AdvOT1ef757c0" w:hAnsi="Calibri" w:cs="Calibri"/>
          <w:sz w:val="22"/>
          <w:szCs w:val="22"/>
          <w:vertAlign w:val="superscript"/>
          <w:lang w:val="fr-BE"/>
        </w:rPr>
        <w:t xml:space="preserve">8 </w:t>
      </w:r>
      <w:r w:rsidRPr="00920685">
        <w:rPr>
          <w:rFonts w:ascii="Calibri" w:eastAsia="AdvOT1ef757c0" w:hAnsi="Calibri" w:cs="Calibri"/>
          <w:sz w:val="22"/>
          <w:szCs w:val="22"/>
          <w:lang w:val="fr-BE"/>
        </w:rPr>
        <w:t>Service de Néphrologie, Dialyse et Transplantation Rénale, Hôpital Nord, CHU de Saint-Etienne, France</w:t>
      </w:r>
    </w:p>
    <w:p w14:paraId="0D6DA91E" w14:textId="77777777" w:rsidR="0047370F" w:rsidRPr="00920685" w:rsidRDefault="0047370F">
      <w:pPr>
        <w:rPr>
          <w:rFonts w:ascii="Calibri" w:hAnsi="Calibri" w:cs="Calibri"/>
          <w:sz w:val="22"/>
          <w:szCs w:val="22"/>
        </w:rPr>
      </w:pPr>
    </w:p>
    <w:p w14:paraId="42FD9EB8" w14:textId="77777777" w:rsidR="0047370F" w:rsidRPr="00DC3257" w:rsidRDefault="0047370F">
      <w:pPr>
        <w:rPr>
          <w:rFonts w:ascii="Calibri" w:hAnsi="Calibri" w:cs="Calibri"/>
          <w:sz w:val="22"/>
          <w:szCs w:val="22"/>
        </w:rPr>
      </w:pPr>
    </w:p>
    <w:p w14:paraId="16BEC2E0" w14:textId="77777777" w:rsidR="0047370F" w:rsidRPr="00DC3257" w:rsidRDefault="0047370F">
      <w:pPr>
        <w:rPr>
          <w:rFonts w:ascii="Calibri" w:hAnsi="Calibri" w:cs="Calibri"/>
          <w:sz w:val="22"/>
          <w:szCs w:val="22"/>
        </w:rPr>
      </w:pPr>
    </w:p>
    <w:p w14:paraId="2F46D089" w14:textId="77777777" w:rsidR="00B10221" w:rsidRPr="00DC3257" w:rsidRDefault="00B10221">
      <w:pPr>
        <w:rPr>
          <w:rFonts w:ascii="Calibri" w:hAnsi="Calibri" w:cs="Calibri"/>
          <w:sz w:val="22"/>
          <w:szCs w:val="22"/>
        </w:rPr>
      </w:pPr>
    </w:p>
    <w:p w14:paraId="4ABAE459" w14:textId="77777777" w:rsidR="00B10221" w:rsidRPr="006A1A88" w:rsidRDefault="00B10221">
      <w:pPr>
        <w:rPr>
          <w:rFonts w:ascii="Calibri" w:hAnsi="Calibri" w:cs="Calibri"/>
          <w:sz w:val="22"/>
          <w:szCs w:val="22"/>
        </w:rPr>
      </w:pPr>
    </w:p>
    <w:p w14:paraId="7ED6F63B" w14:textId="77777777" w:rsidR="00B10221" w:rsidRPr="006A1A88" w:rsidRDefault="00B10221">
      <w:pPr>
        <w:rPr>
          <w:rFonts w:ascii="Calibri" w:hAnsi="Calibri" w:cs="Calibri"/>
          <w:sz w:val="22"/>
          <w:szCs w:val="22"/>
        </w:rPr>
      </w:pPr>
    </w:p>
    <w:p w14:paraId="17B135B7" w14:textId="77777777" w:rsidR="008D44F9" w:rsidRDefault="008D44F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4665FC3" w14:textId="77777777" w:rsidR="006B1DBE" w:rsidRPr="006A1A88" w:rsidRDefault="00B10221" w:rsidP="006B1DBE">
      <w:pPr>
        <w:rPr>
          <w:rFonts w:ascii="Calibri" w:hAnsi="Calibri" w:cs="Calibri"/>
          <w:sz w:val="22"/>
          <w:szCs w:val="22"/>
        </w:rPr>
      </w:pPr>
      <w:r w:rsidRPr="006A1A88">
        <w:rPr>
          <w:rFonts w:ascii="Calibri" w:hAnsi="Calibri" w:cs="Calibri"/>
          <w:sz w:val="22"/>
          <w:szCs w:val="22"/>
        </w:rPr>
        <w:lastRenderedPageBreak/>
        <w:t>Introduction</w:t>
      </w:r>
      <w:r w:rsidR="00957157" w:rsidRPr="006A1A88">
        <w:rPr>
          <w:rFonts w:ascii="Calibri" w:hAnsi="Calibri" w:cs="Calibri"/>
          <w:sz w:val="22"/>
          <w:szCs w:val="22"/>
        </w:rPr>
        <w:t> :</w:t>
      </w:r>
    </w:p>
    <w:p w14:paraId="66746ABE" w14:textId="77777777" w:rsidR="001E54B9" w:rsidRPr="006A1A88" w:rsidRDefault="00CF2063" w:rsidP="001E54B9">
      <w:pPr>
        <w:rPr>
          <w:rFonts w:ascii="Calibri" w:hAnsi="Calibri" w:cs="Calibri"/>
          <w:sz w:val="22"/>
          <w:szCs w:val="22"/>
        </w:rPr>
      </w:pPr>
      <w:r w:rsidRPr="006A1A88">
        <w:rPr>
          <w:rFonts w:ascii="Calibri" w:hAnsi="Calibri" w:cs="Calibri"/>
          <w:sz w:val="22"/>
          <w:szCs w:val="22"/>
        </w:rPr>
        <w:t>En pratique clinique l</w:t>
      </w:r>
      <w:r w:rsidR="001E54B9" w:rsidRPr="006A1A88">
        <w:rPr>
          <w:rFonts w:ascii="Calibri" w:hAnsi="Calibri" w:cs="Calibri"/>
          <w:sz w:val="22"/>
          <w:szCs w:val="22"/>
        </w:rPr>
        <w:t xml:space="preserve">a fonction rénale est estimée à l’aide de formules utilisant des biomarqueurs sanguins comme la créatinine ou la cystatine C. Ces formules d’estimation du débit de filtration glomérulaire (DFG) ont </w:t>
      </w:r>
      <w:r w:rsidRPr="006A1A88">
        <w:rPr>
          <w:rFonts w:ascii="Calibri" w:hAnsi="Calibri" w:cs="Calibri"/>
          <w:sz w:val="22"/>
          <w:szCs w:val="22"/>
        </w:rPr>
        <w:t>également</w:t>
      </w:r>
      <w:r w:rsidR="001E54B9" w:rsidRPr="006A1A88">
        <w:rPr>
          <w:rFonts w:ascii="Calibri" w:hAnsi="Calibri" w:cs="Calibri"/>
          <w:sz w:val="22"/>
          <w:szCs w:val="22"/>
        </w:rPr>
        <w:t xml:space="preserve"> un rôle prédictif, </w:t>
      </w:r>
      <w:r w:rsidRPr="006A1A88">
        <w:rPr>
          <w:rFonts w:ascii="Calibri" w:hAnsi="Calibri" w:cs="Calibri"/>
          <w:sz w:val="22"/>
          <w:szCs w:val="22"/>
        </w:rPr>
        <w:t>pour des évènements cliniques tels que</w:t>
      </w:r>
      <w:r w:rsidR="001E54B9" w:rsidRPr="006A1A88">
        <w:rPr>
          <w:rFonts w:ascii="Calibri" w:hAnsi="Calibri" w:cs="Calibri"/>
          <w:sz w:val="22"/>
          <w:szCs w:val="22"/>
        </w:rPr>
        <w:t xml:space="preserve"> la défaillance rénale. </w:t>
      </w:r>
      <w:r w:rsidRPr="006A1A88">
        <w:rPr>
          <w:rFonts w:ascii="Calibri" w:hAnsi="Calibri" w:cs="Calibri"/>
          <w:sz w:val="22"/>
          <w:szCs w:val="22"/>
        </w:rPr>
        <w:t>P</w:t>
      </w:r>
      <w:r w:rsidR="001E54B9" w:rsidRPr="006A1A88">
        <w:rPr>
          <w:rFonts w:ascii="Calibri" w:hAnsi="Calibri" w:cs="Calibri"/>
          <w:sz w:val="22"/>
          <w:szCs w:val="22"/>
        </w:rPr>
        <w:t xml:space="preserve">lusieurs biomarqueurs peuvent être utilisés et plusieurs formules existent. </w:t>
      </w:r>
      <w:r w:rsidRPr="006A1A88">
        <w:rPr>
          <w:rFonts w:ascii="Calibri" w:hAnsi="Calibri" w:cs="Calibri"/>
          <w:sz w:val="22"/>
          <w:szCs w:val="22"/>
        </w:rPr>
        <w:t>Le score KFRE est validé pour la prédiction du risque de défaillance rénale à 5 ans, à partir de variables incluant le DFG</w:t>
      </w:r>
      <w:r w:rsidR="001E54B9" w:rsidRPr="006A1A88">
        <w:rPr>
          <w:rFonts w:ascii="Calibri" w:hAnsi="Calibri" w:cs="Calibri"/>
          <w:sz w:val="22"/>
          <w:szCs w:val="22"/>
        </w:rPr>
        <w:t>.</w:t>
      </w:r>
    </w:p>
    <w:p w14:paraId="1B2FEFFD" w14:textId="77777777" w:rsidR="001E54B9" w:rsidRPr="006A1A88" w:rsidRDefault="001E54B9" w:rsidP="006B1DBE">
      <w:pPr>
        <w:rPr>
          <w:rFonts w:ascii="Calibri" w:hAnsi="Calibri" w:cs="Calibri"/>
          <w:sz w:val="22"/>
          <w:szCs w:val="22"/>
        </w:rPr>
      </w:pPr>
    </w:p>
    <w:p w14:paraId="19168525" w14:textId="77777777" w:rsidR="002E52DE" w:rsidRPr="006A1A88" w:rsidRDefault="00D857E4" w:rsidP="006B1DBE">
      <w:pPr>
        <w:rPr>
          <w:rFonts w:ascii="Calibri" w:hAnsi="Calibri" w:cs="Calibri"/>
          <w:sz w:val="22"/>
          <w:szCs w:val="22"/>
        </w:rPr>
      </w:pPr>
      <w:r w:rsidRPr="006A1A88">
        <w:rPr>
          <w:rFonts w:ascii="Calibri" w:hAnsi="Calibri" w:cs="Calibri"/>
          <w:sz w:val="22"/>
          <w:szCs w:val="22"/>
        </w:rPr>
        <w:t>Description</w:t>
      </w:r>
      <w:r w:rsidR="00BC6090" w:rsidRPr="006A1A88">
        <w:rPr>
          <w:rFonts w:ascii="Calibri" w:hAnsi="Calibri" w:cs="Calibri"/>
          <w:sz w:val="22"/>
          <w:szCs w:val="22"/>
        </w:rPr>
        <w:t xml:space="preserve"> </w:t>
      </w:r>
      <w:r w:rsidR="006B1DBE" w:rsidRPr="006A1A88">
        <w:rPr>
          <w:rFonts w:ascii="Calibri" w:hAnsi="Calibri" w:cs="Calibri"/>
          <w:sz w:val="22"/>
          <w:szCs w:val="22"/>
        </w:rPr>
        <w:t xml:space="preserve">: </w:t>
      </w:r>
    </w:p>
    <w:p w14:paraId="0FFE93D1" w14:textId="77777777" w:rsidR="006A1A88" w:rsidRDefault="006A1A88" w:rsidP="006B1D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</w:t>
      </w:r>
      <w:r w:rsidR="00A36CC7">
        <w:rPr>
          <w:rFonts w:ascii="Calibri" w:hAnsi="Calibri" w:cs="Calibri"/>
          <w:sz w:val="22"/>
          <w:szCs w:val="22"/>
        </w:rPr>
        <w:t xml:space="preserve">tre objectif était de comparer </w:t>
      </w:r>
      <w:r>
        <w:rPr>
          <w:rFonts w:ascii="Calibri" w:hAnsi="Calibri" w:cs="Calibri"/>
          <w:sz w:val="22"/>
          <w:szCs w:val="22"/>
        </w:rPr>
        <w:t xml:space="preserve">les performances des formules </w:t>
      </w:r>
      <w:proofErr w:type="spellStart"/>
      <w:r>
        <w:rPr>
          <w:rFonts w:ascii="Calibri" w:hAnsi="Calibri" w:cs="Calibri"/>
          <w:sz w:val="22"/>
          <w:szCs w:val="22"/>
        </w:rPr>
        <w:t>CKDepi</w:t>
      </w:r>
      <w:proofErr w:type="spellEnd"/>
      <w:r>
        <w:rPr>
          <w:rFonts w:ascii="Calibri" w:hAnsi="Calibri" w:cs="Calibri"/>
          <w:sz w:val="22"/>
          <w:szCs w:val="22"/>
        </w:rPr>
        <w:t xml:space="preserve"> 2009 et EKFC, utilisant la créatinine, la cystatine C ou la combinaison de ces deux biomarqueurs, dans le but de prévoir le risque de défaillance rénale</w:t>
      </w:r>
      <w:r w:rsidR="00A36CC7">
        <w:rPr>
          <w:rFonts w:ascii="Calibri" w:hAnsi="Calibri" w:cs="Calibri"/>
          <w:sz w:val="22"/>
          <w:szCs w:val="22"/>
        </w:rPr>
        <w:t>.</w:t>
      </w:r>
    </w:p>
    <w:p w14:paraId="34797552" w14:textId="77777777" w:rsidR="006B1DBE" w:rsidRPr="006A1A88" w:rsidRDefault="006B1DBE" w:rsidP="006B1DBE">
      <w:pPr>
        <w:rPr>
          <w:rFonts w:ascii="Calibri" w:hAnsi="Calibri" w:cs="Calibri"/>
          <w:sz w:val="22"/>
          <w:szCs w:val="22"/>
        </w:rPr>
      </w:pPr>
    </w:p>
    <w:p w14:paraId="32968DB4" w14:textId="77777777" w:rsidR="002E52DE" w:rsidRPr="006A1A88" w:rsidRDefault="006B1DBE" w:rsidP="006B1DBE">
      <w:pPr>
        <w:rPr>
          <w:rFonts w:ascii="Calibri" w:hAnsi="Calibri" w:cs="Calibri"/>
          <w:sz w:val="22"/>
          <w:szCs w:val="22"/>
        </w:rPr>
      </w:pPr>
      <w:r w:rsidRPr="006A1A88">
        <w:rPr>
          <w:rFonts w:ascii="Calibri" w:hAnsi="Calibri" w:cs="Calibri"/>
          <w:sz w:val="22"/>
          <w:szCs w:val="22"/>
        </w:rPr>
        <w:t xml:space="preserve">Méthodes : </w:t>
      </w:r>
    </w:p>
    <w:p w14:paraId="54C6EDBC" w14:textId="77777777" w:rsidR="00B10221" w:rsidRPr="006A1A88" w:rsidRDefault="006B1DBE">
      <w:pPr>
        <w:rPr>
          <w:rFonts w:ascii="Calibri" w:hAnsi="Calibri" w:cs="Calibri"/>
          <w:sz w:val="22"/>
          <w:szCs w:val="22"/>
        </w:rPr>
      </w:pPr>
      <w:r w:rsidRPr="006A1A88">
        <w:rPr>
          <w:rFonts w:ascii="Calibri" w:hAnsi="Calibri" w:cs="Calibri"/>
          <w:sz w:val="22"/>
          <w:szCs w:val="22"/>
        </w:rPr>
        <w:t xml:space="preserve">Nous </w:t>
      </w:r>
      <w:r w:rsidR="00A36CC7">
        <w:rPr>
          <w:rFonts w:ascii="Calibri" w:hAnsi="Calibri" w:cs="Calibri"/>
          <w:sz w:val="22"/>
          <w:szCs w:val="22"/>
        </w:rPr>
        <w:t xml:space="preserve">avons utilisé les données de </w:t>
      </w:r>
      <w:r w:rsidRPr="006A1A88">
        <w:rPr>
          <w:rFonts w:ascii="Calibri" w:hAnsi="Calibri" w:cs="Calibri"/>
          <w:sz w:val="22"/>
          <w:szCs w:val="22"/>
        </w:rPr>
        <w:t>la cohorte CKD-REIN</w:t>
      </w:r>
      <w:r w:rsidR="00A36CC7">
        <w:rPr>
          <w:rFonts w:ascii="Calibri" w:hAnsi="Calibri" w:cs="Calibri"/>
          <w:sz w:val="22"/>
          <w:szCs w:val="22"/>
        </w:rPr>
        <w:t xml:space="preserve">. </w:t>
      </w:r>
      <w:r w:rsidR="0023099A">
        <w:rPr>
          <w:rFonts w:ascii="Calibri" w:hAnsi="Calibri" w:cs="Calibri"/>
          <w:sz w:val="22"/>
          <w:szCs w:val="22"/>
        </w:rPr>
        <w:t>La survie sans défaillance rénale (défini par le recours à la dialyse ou la transplantation rénale) était étudiée à l’aide de</w:t>
      </w:r>
      <w:r w:rsidR="00A36CC7">
        <w:rPr>
          <w:rFonts w:ascii="Calibri" w:hAnsi="Calibri" w:cs="Calibri"/>
          <w:sz w:val="22"/>
          <w:szCs w:val="22"/>
        </w:rPr>
        <w:t xml:space="preserve"> modèles de Cox censurés pour </w:t>
      </w:r>
      <w:r w:rsidR="0023099A">
        <w:rPr>
          <w:rFonts w:ascii="Calibri" w:hAnsi="Calibri" w:cs="Calibri"/>
          <w:sz w:val="22"/>
          <w:szCs w:val="22"/>
        </w:rPr>
        <w:t xml:space="preserve">le décès, incluant le </w:t>
      </w:r>
      <w:proofErr w:type="spellStart"/>
      <w:r w:rsidR="0023099A">
        <w:rPr>
          <w:rFonts w:ascii="Calibri" w:hAnsi="Calibri" w:cs="Calibri"/>
          <w:sz w:val="22"/>
          <w:szCs w:val="22"/>
        </w:rPr>
        <w:t>DFGe</w:t>
      </w:r>
      <w:proofErr w:type="spellEnd"/>
      <w:r w:rsidR="0023099A">
        <w:rPr>
          <w:rFonts w:ascii="Calibri" w:hAnsi="Calibri" w:cs="Calibri"/>
          <w:sz w:val="22"/>
          <w:szCs w:val="22"/>
        </w:rPr>
        <w:t xml:space="preserve"> selon les différentes modalités comparées.</w:t>
      </w:r>
      <w:r w:rsidR="00BC3F40">
        <w:rPr>
          <w:rFonts w:ascii="Calibri" w:hAnsi="Calibri" w:cs="Calibri"/>
          <w:sz w:val="22"/>
          <w:szCs w:val="22"/>
        </w:rPr>
        <w:t xml:space="preserve"> Les performances des modèles de Cox étaient comparées par la statistique C et la calibration. Le score KFRE à 5 ans à 2, 4 et 6 variables a été évalué avec les différentes estimations du DFG, et comparé avec le taux observé de défaillance rénale à 5 ans.</w:t>
      </w:r>
    </w:p>
    <w:p w14:paraId="6E9B19BD" w14:textId="77777777" w:rsidR="00B10221" w:rsidRPr="006A1A88" w:rsidRDefault="00B10221">
      <w:pPr>
        <w:rPr>
          <w:rFonts w:ascii="Calibri" w:hAnsi="Calibri" w:cs="Calibri"/>
          <w:sz w:val="22"/>
          <w:szCs w:val="22"/>
        </w:rPr>
      </w:pPr>
    </w:p>
    <w:p w14:paraId="4F375CB3" w14:textId="77777777" w:rsidR="00B10221" w:rsidRPr="006A1A88" w:rsidRDefault="00B10221">
      <w:pPr>
        <w:rPr>
          <w:rFonts w:ascii="Calibri" w:hAnsi="Calibri" w:cs="Calibri"/>
          <w:sz w:val="22"/>
          <w:szCs w:val="22"/>
        </w:rPr>
      </w:pPr>
      <w:r w:rsidRPr="006A1A88">
        <w:rPr>
          <w:rFonts w:ascii="Calibri" w:hAnsi="Calibri" w:cs="Calibri"/>
          <w:sz w:val="22"/>
          <w:szCs w:val="22"/>
        </w:rPr>
        <w:t>Résultats</w:t>
      </w:r>
      <w:r w:rsidR="002E52DE" w:rsidRPr="006A1A88">
        <w:rPr>
          <w:rFonts w:ascii="Calibri" w:hAnsi="Calibri" w:cs="Calibri"/>
          <w:sz w:val="22"/>
          <w:szCs w:val="22"/>
        </w:rPr>
        <w:t> :</w:t>
      </w:r>
    </w:p>
    <w:p w14:paraId="19EC0E61" w14:textId="77777777" w:rsidR="00B10221" w:rsidRPr="00920685" w:rsidRDefault="00C719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</w:t>
      </w:r>
      <w:r w:rsidR="008F4379">
        <w:rPr>
          <w:rFonts w:ascii="Calibri" w:hAnsi="Calibri" w:cs="Calibri"/>
          <w:sz w:val="22"/>
          <w:szCs w:val="22"/>
        </w:rPr>
        <w:t xml:space="preserve"> données de 907 </w:t>
      </w:r>
      <w:r w:rsidR="003B15B8">
        <w:rPr>
          <w:rFonts w:ascii="Calibri" w:hAnsi="Calibri" w:cs="Calibri"/>
          <w:sz w:val="22"/>
          <w:szCs w:val="22"/>
        </w:rPr>
        <w:t>adultes</w:t>
      </w:r>
      <w:r w:rsidR="00250D63">
        <w:rPr>
          <w:rFonts w:ascii="Calibri" w:hAnsi="Calibri" w:cs="Calibri"/>
          <w:sz w:val="22"/>
          <w:szCs w:val="22"/>
        </w:rPr>
        <w:t xml:space="preserve"> porteurs d’insuffisance rénale et</w:t>
      </w:r>
      <w:r w:rsidR="008F4379">
        <w:rPr>
          <w:rFonts w:ascii="Calibri" w:hAnsi="Calibri" w:cs="Calibri"/>
          <w:sz w:val="22"/>
          <w:szCs w:val="22"/>
        </w:rPr>
        <w:t xml:space="preserve"> </w:t>
      </w:r>
      <w:r w:rsidR="00284111">
        <w:rPr>
          <w:rFonts w:ascii="Calibri" w:hAnsi="Calibri" w:cs="Calibri"/>
          <w:sz w:val="22"/>
          <w:szCs w:val="22"/>
        </w:rPr>
        <w:t xml:space="preserve">chez qui un dosage d’albuminurie était disponible ont été </w:t>
      </w:r>
      <w:r w:rsidR="00250D63">
        <w:rPr>
          <w:rFonts w:ascii="Calibri" w:hAnsi="Calibri" w:cs="Calibri"/>
          <w:sz w:val="22"/>
          <w:szCs w:val="22"/>
        </w:rPr>
        <w:t>étudiées</w:t>
      </w:r>
      <w:r w:rsidR="00284111">
        <w:rPr>
          <w:rFonts w:ascii="Calibri" w:hAnsi="Calibri" w:cs="Calibri"/>
          <w:sz w:val="22"/>
          <w:szCs w:val="22"/>
        </w:rPr>
        <w:t>.</w:t>
      </w:r>
      <w:r w:rsidR="00D95012">
        <w:rPr>
          <w:rFonts w:ascii="Calibri" w:hAnsi="Calibri" w:cs="Calibri"/>
          <w:sz w:val="22"/>
          <w:szCs w:val="22"/>
        </w:rPr>
        <w:t xml:space="preserve"> </w:t>
      </w:r>
      <w:r w:rsidR="00250D63">
        <w:rPr>
          <w:rFonts w:ascii="Calibri" w:hAnsi="Calibri" w:cs="Calibri"/>
          <w:sz w:val="22"/>
          <w:szCs w:val="22"/>
        </w:rPr>
        <w:t xml:space="preserve">En analyse de survie, </w:t>
      </w:r>
      <w:r w:rsidR="00F97850">
        <w:rPr>
          <w:rFonts w:ascii="Calibri" w:hAnsi="Calibri" w:cs="Calibri"/>
          <w:sz w:val="22"/>
          <w:szCs w:val="22"/>
        </w:rPr>
        <w:t xml:space="preserve">les scores de concordance obtenus avec EKFC ou </w:t>
      </w:r>
      <w:proofErr w:type="spellStart"/>
      <w:r w:rsidR="00F97850">
        <w:rPr>
          <w:rFonts w:ascii="Calibri" w:hAnsi="Calibri" w:cs="Calibri"/>
          <w:sz w:val="22"/>
          <w:szCs w:val="22"/>
        </w:rPr>
        <w:t>CKDepi</w:t>
      </w:r>
      <w:proofErr w:type="spellEnd"/>
      <w:r w:rsidR="00F97850">
        <w:rPr>
          <w:rFonts w:ascii="Calibri" w:hAnsi="Calibri" w:cs="Calibri"/>
          <w:sz w:val="22"/>
          <w:szCs w:val="22"/>
        </w:rPr>
        <w:t xml:space="preserve"> et avec les différents biomarqueurs n’étaient pas significativement différents.</w:t>
      </w:r>
      <w:r w:rsidR="00A55544">
        <w:rPr>
          <w:rFonts w:ascii="Calibri" w:hAnsi="Calibri" w:cs="Calibri"/>
          <w:sz w:val="22"/>
          <w:szCs w:val="22"/>
        </w:rPr>
        <w:t xml:space="preserve"> </w:t>
      </w:r>
      <w:r w:rsidR="000D60D3">
        <w:rPr>
          <w:rFonts w:ascii="Calibri" w:hAnsi="Calibri" w:cs="Calibri"/>
          <w:sz w:val="22"/>
          <w:szCs w:val="22"/>
        </w:rPr>
        <w:t>Concernant la capacité du score KFRE à 4 variables à classer les patients à risque de défaillance rénale à 5 ans, l</w:t>
      </w:r>
      <w:r w:rsidR="00FF3FB6">
        <w:rPr>
          <w:rFonts w:ascii="Calibri" w:hAnsi="Calibri" w:cs="Calibri"/>
          <w:sz w:val="22"/>
          <w:szCs w:val="22"/>
        </w:rPr>
        <w:t>’</w:t>
      </w:r>
      <w:r w:rsidR="00A55544">
        <w:rPr>
          <w:rFonts w:ascii="Calibri" w:hAnsi="Calibri" w:cs="Calibri"/>
          <w:sz w:val="22"/>
          <w:szCs w:val="22"/>
        </w:rPr>
        <w:t xml:space="preserve">AUC </w:t>
      </w:r>
      <w:r w:rsidR="000D60D3">
        <w:rPr>
          <w:rFonts w:ascii="Calibri" w:hAnsi="Calibri" w:cs="Calibri"/>
          <w:sz w:val="22"/>
          <w:szCs w:val="22"/>
        </w:rPr>
        <w:t>obtenue avec</w:t>
      </w:r>
      <w:r w:rsidR="00FF3FB6">
        <w:rPr>
          <w:rFonts w:ascii="Calibri" w:hAnsi="Calibri" w:cs="Calibri"/>
          <w:sz w:val="22"/>
          <w:szCs w:val="22"/>
        </w:rPr>
        <w:t xml:space="preserve"> EKFC</w:t>
      </w:r>
      <w:r w:rsidR="000D60D3">
        <w:rPr>
          <w:rFonts w:ascii="Calibri" w:hAnsi="Calibri" w:cs="Calibri"/>
          <w:sz w:val="22"/>
          <w:szCs w:val="22"/>
        </w:rPr>
        <w:t xml:space="preserve"> et la créatinine était </w:t>
      </w:r>
      <w:r w:rsidR="00AF3D88">
        <w:rPr>
          <w:rFonts w:ascii="Calibri" w:hAnsi="Calibri" w:cs="Calibri"/>
          <w:sz w:val="22"/>
          <w:szCs w:val="22"/>
        </w:rPr>
        <w:t>de 0.8</w:t>
      </w:r>
      <w:r w:rsidR="00D33209">
        <w:rPr>
          <w:rFonts w:ascii="Calibri" w:hAnsi="Calibri" w:cs="Calibri"/>
          <w:sz w:val="22"/>
          <w:szCs w:val="22"/>
        </w:rPr>
        <w:t>68</w:t>
      </w:r>
      <w:r w:rsidR="00AF3D88">
        <w:rPr>
          <w:rFonts w:ascii="Calibri" w:hAnsi="Calibri" w:cs="Calibri"/>
          <w:sz w:val="22"/>
          <w:szCs w:val="22"/>
        </w:rPr>
        <w:t xml:space="preserve"> [0.8</w:t>
      </w:r>
      <w:r w:rsidR="00D33209">
        <w:rPr>
          <w:rFonts w:ascii="Calibri" w:hAnsi="Calibri" w:cs="Calibri"/>
          <w:sz w:val="22"/>
          <w:szCs w:val="22"/>
        </w:rPr>
        <w:t>67</w:t>
      </w:r>
      <w:r w:rsidR="00AF3D88">
        <w:rPr>
          <w:rFonts w:ascii="Calibri" w:hAnsi="Calibri" w:cs="Calibri"/>
          <w:sz w:val="22"/>
          <w:szCs w:val="22"/>
        </w:rPr>
        <w:t>, 0.8</w:t>
      </w:r>
      <w:r w:rsidR="00D33209">
        <w:rPr>
          <w:rFonts w:ascii="Calibri" w:hAnsi="Calibri" w:cs="Calibri"/>
          <w:sz w:val="22"/>
          <w:szCs w:val="22"/>
        </w:rPr>
        <w:t>9</w:t>
      </w:r>
      <w:r w:rsidR="008D44F9">
        <w:rPr>
          <w:rFonts w:ascii="Calibri" w:hAnsi="Calibri" w:cs="Calibri"/>
          <w:sz w:val="22"/>
          <w:szCs w:val="22"/>
        </w:rPr>
        <w:t>7</w:t>
      </w:r>
      <w:r w:rsidR="00AF3D88">
        <w:rPr>
          <w:rFonts w:ascii="Calibri" w:hAnsi="Calibri" w:cs="Calibri"/>
          <w:sz w:val="22"/>
          <w:szCs w:val="22"/>
        </w:rPr>
        <w:t xml:space="preserve">], </w:t>
      </w:r>
      <w:r w:rsidR="000D60D3">
        <w:rPr>
          <w:rFonts w:ascii="Calibri" w:hAnsi="Calibri" w:cs="Calibri"/>
          <w:sz w:val="22"/>
          <w:szCs w:val="22"/>
        </w:rPr>
        <w:t xml:space="preserve">significativement supérieure à celle obtenue avec </w:t>
      </w:r>
      <w:proofErr w:type="spellStart"/>
      <w:r w:rsidR="000D60D3">
        <w:rPr>
          <w:rFonts w:ascii="Calibri" w:hAnsi="Calibri" w:cs="Calibri"/>
          <w:sz w:val="22"/>
          <w:szCs w:val="22"/>
        </w:rPr>
        <w:t>CKDepi</w:t>
      </w:r>
      <w:proofErr w:type="spellEnd"/>
      <w:r w:rsidR="000D60D3">
        <w:rPr>
          <w:rFonts w:ascii="Calibri" w:hAnsi="Calibri" w:cs="Calibri"/>
          <w:sz w:val="22"/>
          <w:szCs w:val="22"/>
        </w:rPr>
        <w:t xml:space="preserve"> et la créatinine </w:t>
      </w:r>
      <w:r w:rsidR="00AF3D88">
        <w:rPr>
          <w:rFonts w:ascii="Calibri" w:hAnsi="Calibri" w:cs="Calibri"/>
          <w:sz w:val="22"/>
          <w:szCs w:val="22"/>
        </w:rPr>
        <w:t>0.8</w:t>
      </w:r>
      <w:r w:rsidR="00D33209">
        <w:rPr>
          <w:rFonts w:ascii="Calibri" w:hAnsi="Calibri" w:cs="Calibri"/>
          <w:sz w:val="22"/>
          <w:szCs w:val="22"/>
        </w:rPr>
        <w:t>56</w:t>
      </w:r>
      <w:r w:rsidR="00AF3D88">
        <w:rPr>
          <w:rFonts w:ascii="Calibri" w:hAnsi="Calibri" w:cs="Calibri"/>
          <w:sz w:val="22"/>
          <w:szCs w:val="22"/>
        </w:rPr>
        <w:t xml:space="preserve"> [0.8</w:t>
      </w:r>
      <w:r w:rsidR="00D33209">
        <w:rPr>
          <w:rFonts w:ascii="Calibri" w:hAnsi="Calibri" w:cs="Calibri"/>
          <w:sz w:val="22"/>
          <w:szCs w:val="22"/>
        </w:rPr>
        <w:t>55</w:t>
      </w:r>
      <w:r w:rsidR="00AF3D88">
        <w:rPr>
          <w:rFonts w:ascii="Calibri" w:hAnsi="Calibri" w:cs="Calibri"/>
          <w:sz w:val="22"/>
          <w:szCs w:val="22"/>
        </w:rPr>
        <w:t>, 0.8</w:t>
      </w:r>
      <w:r w:rsidR="00D33209">
        <w:rPr>
          <w:rFonts w:ascii="Calibri" w:hAnsi="Calibri" w:cs="Calibri"/>
          <w:sz w:val="22"/>
          <w:szCs w:val="22"/>
        </w:rPr>
        <w:t>87</w:t>
      </w:r>
      <w:proofErr w:type="gramStart"/>
      <w:r w:rsidR="00AF3D88">
        <w:rPr>
          <w:rFonts w:ascii="Calibri" w:hAnsi="Calibri" w:cs="Calibri"/>
          <w:sz w:val="22"/>
          <w:szCs w:val="22"/>
        </w:rPr>
        <w:t xml:space="preserve">]  </w:t>
      </w:r>
      <w:r w:rsidR="000D60D3">
        <w:rPr>
          <w:rFonts w:ascii="Calibri" w:hAnsi="Calibri" w:cs="Calibri"/>
          <w:sz w:val="22"/>
          <w:szCs w:val="22"/>
        </w:rPr>
        <w:t>(</w:t>
      </w:r>
      <w:proofErr w:type="gramEnd"/>
      <w:r w:rsidR="000D60D3">
        <w:rPr>
          <w:rFonts w:ascii="Calibri" w:hAnsi="Calibri" w:cs="Calibri"/>
          <w:sz w:val="22"/>
          <w:szCs w:val="22"/>
        </w:rPr>
        <w:t xml:space="preserve">p = 0,02 selon le test de </w:t>
      </w:r>
      <w:proofErr w:type="spellStart"/>
      <w:r w:rsidR="000D60D3">
        <w:rPr>
          <w:rFonts w:ascii="Calibri" w:hAnsi="Calibri" w:cs="Calibri"/>
          <w:sz w:val="22"/>
          <w:szCs w:val="22"/>
        </w:rPr>
        <w:t>DeLong</w:t>
      </w:r>
      <w:proofErr w:type="spellEnd"/>
      <w:r w:rsidR="000D60D3">
        <w:rPr>
          <w:rFonts w:ascii="Calibri" w:hAnsi="Calibri" w:cs="Calibri"/>
          <w:sz w:val="22"/>
          <w:szCs w:val="22"/>
        </w:rPr>
        <w:t>), et pour l’équation EKFC, l’AUC obtenue avec les 2 biomarqueurs combinée était significativement supérieure à celle obtenue avec la cystatine C seule (p = 0,006).</w:t>
      </w:r>
    </w:p>
    <w:p w14:paraId="0FF0606E" w14:textId="77777777" w:rsidR="00B10221" w:rsidRPr="00920685" w:rsidRDefault="00B10221">
      <w:pPr>
        <w:rPr>
          <w:rFonts w:ascii="Calibri" w:hAnsi="Calibri" w:cs="Calibri"/>
          <w:sz w:val="22"/>
          <w:szCs w:val="22"/>
        </w:rPr>
      </w:pPr>
    </w:p>
    <w:p w14:paraId="13B0107D" w14:textId="77777777" w:rsidR="00B10221" w:rsidRDefault="00D857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Conclusion</w:t>
      </w:r>
      <w:r w:rsidR="009E313C">
        <w:rPr>
          <w:rFonts w:ascii="Calibri" w:hAnsi="Calibri" w:cs="Calibri"/>
          <w:sz w:val="22"/>
          <w:szCs w:val="22"/>
        </w:rPr>
        <w:t> :</w:t>
      </w:r>
      <w:r w:rsidR="00AF3D88">
        <w:rPr>
          <w:rFonts w:ascii="Calibri" w:hAnsi="Calibri" w:cs="Calibri"/>
          <w:sz w:val="22"/>
          <w:szCs w:val="22"/>
        </w:rPr>
        <w:t xml:space="preserve"> L’utilisation d’EKFC pour estimer le DFG permet d’améliorer la prédiction du risque de défaillance rénale.</w:t>
      </w:r>
    </w:p>
    <w:p w14:paraId="64754B8C" w14:textId="77777777" w:rsidR="00543B9C" w:rsidRDefault="00543B9C">
      <w:pPr>
        <w:rPr>
          <w:rFonts w:ascii="Calibri" w:hAnsi="Calibri" w:cs="Calibri"/>
          <w:sz w:val="22"/>
          <w:szCs w:val="22"/>
        </w:rPr>
      </w:pPr>
    </w:p>
    <w:p w14:paraId="02E02649" w14:textId="77777777" w:rsidR="00543B9C" w:rsidRDefault="00543B9C">
      <w:pPr>
        <w:rPr>
          <w:rFonts w:ascii="Calibri" w:hAnsi="Calibri" w:cs="Calibri"/>
          <w:sz w:val="22"/>
          <w:szCs w:val="22"/>
        </w:rPr>
      </w:pPr>
    </w:p>
    <w:p w14:paraId="6C296BA0" w14:textId="77777777" w:rsidR="009E313C" w:rsidRDefault="009E313C">
      <w:pPr>
        <w:rPr>
          <w:rFonts w:ascii="Calibri" w:hAnsi="Calibri" w:cs="Calibri"/>
          <w:sz w:val="22"/>
          <w:szCs w:val="22"/>
        </w:rPr>
      </w:pPr>
    </w:p>
    <w:p w14:paraId="0C12C04F" w14:textId="77777777" w:rsidR="007C7F8D" w:rsidRDefault="007C7F8D">
      <w:pPr>
        <w:rPr>
          <w:rFonts w:ascii="Calibri" w:hAnsi="Calibri" w:cs="Calibri"/>
          <w:sz w:val="22"/>
          <w:szCs w:val="22"/>
        </w:rPr>
      </w:pPr>
    </w:p>
    <w:p w14:paraId="46683F63" w14:textId="77777777" w:rsidR="007C7F8D" w:rsidRPr="00920685" w:rsidRDefault="007C7F8D">
      <w:pPr>
        <w:rPr>
          <w:rFonts w:ascii="Calibri" w:hAnsi="Calibri" w:cs="Calibri"/>
          <w:sz w:val="22"/>
          <w:szCs w:val="22"/>
        </w:rPr>
      </w:pPr>
    </w:p>
    <w:sectPr w:rsidR="007C7F8D" w:rsidRPr="00920685" w:rsidSect="009B32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1ef757c0">
    <w:altName w:val="MS Mincho"/>
    <w:charset w:val="80"/>
    <w:family w:val="auto"/>
    <w:pitch w:val="default"/>
    <w:sig w:usb0="00000003" w:usb1="09070000" w:usb2="00000010" w:usb3="00000000" w:csb0="000A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21"/>
    <w:rsid w:val="00051A60"/>
    <w:rsid w:val="000D60D3"/>
    <w:rsid w:val="001E54B9"/>
    <w:rsid w:val="0023099A"/>
    <w:rsid w:val="00250D63"/>
    <w:rsid w:val="00284111"/>
    <w:rsid w:val="002E52DE"/>
    <w:rsid w:val="00303F45"/>
    <w:rsid w:val="003B15B8"/>
    <w:rsid w:val="0047370F"/>
    <w:rsid w:val="00496B50"/>
    <w:rsid w:val="00543B9C"/>
    <w:rsid w:val="006A1A88"/>
    <w:rsid w:val="006B1DBE"/>
    <w:rsid w:val="007C7F8D"/>
    <w:rsid w:val="00865406"/>
    <w:rsid w:val="008A1AF3"/>
    <w:rsid w:val="008D44F9"/>
    <w:rsid w:val="008F4379"/>
    <w:rsid w:val="009020C0"/>
    <w:rsid w:val="00920685"/>
    <w:rsid w:val="00957157"/>
    <w:rsid w:val="009B324F"/>
    <w:rsid w:val="009E313C"/>
    <w:rsid w:val="00A36CC7"/>
    <w:rsid w:val="00A55544"/>
    <w:rsid w:val="00A62005"/>
    <w:rsid w:val="00AF3D88"/>
    <w:rsid w:val="00B0144D"/>
    <w:rsid w:val="00B10221"/>
    <w:rsid w:val="00B5757F"/>
    <w:rsid w:val="00BC3F40"/>
    <w:rsid w:val="00BC6090"/>
    <w:rsid w:val="00C71971"/>
    <w:rsid w:val="00CF2063"/>
    <w:rsid w:val="00D10D4E"/>
    <w:rsid w:val="00D132A0"/>
    <w:rsid w:val="00D33209"/>
    <w:rsid w:val="00D736EE"/>
    <w:rsid w:val="00D857E4"/>
    <w:rsid w:val="00D92758"/>
    <w:rsid w:val="00D95012"/>
    <w:rsid w:val="00DC3257"/>
    <w:rsid w:val="00DC366B"/>
    <w:rsid w:val="00F0007F"/>
    <w:rsid w:val="00F64855"/>
    <w:rsid w:val="00F75F62"/>
    <w:rsid w:val="00F97850"/>
    <w:rsid w:val="00FA1D85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D34C"/>
  <w15:chartTrackingRefBased/>
  <w15:docId w15:val="{AC6A33B1-7D5B-D04C-A033-C869A361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8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C7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Lanot</dc:creator>
  <cp:keywords/>
  <dc:description/>
  <cp:lastModifiedBy>DELANAYE Pierre</cp:lastModifiedBy>
  <cp:revision>2</cp:revision>
  <dcterms:created xsi:type="dcterms:W3CDTF">2025-10-13T15:59:00Z</dcterms:created>
  <dcterms:modified xsi:type="dcterms:W3CDTF">2025-10-13T15:59:00Z</dcterms:modified>
</cp:coreProperties>
</file>