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77B7" w14:textId="1B709A04" w:rsidR="00C57978" w:rsidRDefault="00740A2B" w:rsidP="00740A2B">
      <w:pPr>
        <w:jc w:val="center"/>
        <w:rPr>
          <w:b/>
          <w:bCs/>
          <w:u w:val="single"/>
          <w:lang w:val="fr-FR"/>
        </w:rPr>
      </w:pPr>
      <w:r>
        <w:rPr>
          <w:b/>
          <w:bCs/>
          <w:u w:val="single"/>
          <w:lang w:val="fr-FR"/>
        </w:rPr>
        <w:t>Performance des équations basées sur la créatinine et la cystatine C en transplantation rénale</w:t>
      </w:r>
    </w:p>
    <w:p w14:paraId="7CC0F29C" w14:textId="77777777" w:rsidR="00740A2B" w:rsidRDefault="00740A2B" w:rsidP="00740A2B">
      <w:pPr>
        <w:jc w:val="center"/>
        <w:rPr>
          <w:b/>
          <w:bCs/>
          <w:u w:val="single"/>
          <w:lang w:val="fr-FR"/>
        </w:rPr>
      </w:pPr>
    </w:p>
    <w:p w14:paraId="525CFEA8" w14:textId="1CBD1401" w:rsidR="00740A2B" w:rsidRDefault="00740A2B" w:rsidP="00740A2B">
      <w:pPr>
        <w:rPr>
          <w:b/>
          <w:bCs/>
          <w:lang w:val="fr-FR"/>
        </w:rPr>
      </w:pPr>
      <w:r>
        <w:rPr>
          <w:b/>
          <w:bCs/>
          <w:lang w:val="fr-FR"/>
        </w:rPr>
        <w:t>Pierre Delanaye, Christophe Mariat, Marco Van Londen, Emmanuelle Vidal-Petiot, Ingrid Masson, Nicolas Maillard, Stephan JL Bakker, Martin H de Borst, Hans Pottel, Martin Flamant</w:t>
      </w:r>
    </w:p>
    <w:p w14:paraId="6B88AFCD" w14:textId="7F45240B" w:rsidR="00740A2B" w:rsidRPr="00AE7CF4" w:rsidRDefault="00AE7CF4" w:rsidP="00740A2B">
      <w:pPr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300 mots</w:t>
      </w:r>
    </w:p>
    <w:p w14:paraId="5D16FD76" w14:textId="77777777" w:rsidR="00740A2B" w:rsidRDefault="00740A2B" w:rsidP="00740A2B">
      <w:pPr>
        <w:rPr>
          <w:b/>
          <w:bCs/>
          <w:lang w:val="fr-FR"/>
        </w:rPr>
      </w:pPr>
    </w:p>
    <w:p w14:paraId="53475BC4" w14:textId="47F18339" w:rsidR="00740A2B" w:rsidRDefault="00740A2B" w:rsidP="00740A2B">
      <w:pPr>
        <w:rPr>
          <w:b/>
          <w:bCs/>
          <w:lang w:val="fr-FR"/>
        </w:rPr>
      </w:pPr>
      <w:r>
        <w:rPr>
          <w:b/>
          <w:bCs/>
          <w:lang w:val="fr-FR"/>
        </w:rPr>
        <w:t>Introduction</w:t>
      </w:r>
    </w:p>
    <w:p w14:paraId="16F8FBDD" w14:textId="2D110B57" w:rsidR="00AE7CF4" w:rsidRDefault="00740A2B" w:rsidP="00740A2B">
      <w:pPr>
        <w:spacing w:line="240" w:lineRule="auto"/>
      </w:pPr>
      <w:r w:rsidRPr="00740A2B">
        <w:t>L’équation EKFC basée sur la</w:t>
      </w:r>
      <w:r>
        <w:t xml:space="preserve"> cystatine C n’a pas encore été validée en transplantation rénale. </w:t>
      </w:r>
    </w:p>
    <w:p w14:paraId="6B27A1E7" w14:textId="5DD2AE67" w:rsidR="00AE7CF4" w:rsidRPr="00AE7CF4" w:rsidRDefault="00AE7CF4" w:rsidP="00740A2B">
      <w:pPr>
        <w:spacing w:line="240" w:lineRule="auto"/>
        <w:rPr>
          <w:b/>
          <w:bCs/>
        </w:rPr>
      </w:pPr>
      <w:r>
        <w:rPr>
          <w:b/>
          <w:bCs/>
        </w:rPr>
        <w:t>Description</w:t>
      </w:r>
    </w:p>
    <w:p w14:paraId="3CC0B7C6" w14:textId="3DE91A5C" w:rsidR="00AE7CF4" w:rsidRDefault="00740A2B" w:rsidP="00740A2B">
      <w:pPr>
        <w:spacing w:line="240" w:lineRule="auto"/>
      </w:pPr>
      <w:r>
        <w:t>Nous avons étudié et comparé la performance des équations EKFC et CKD-EPI basées sur la créatinine</w:t>
      </w:r>
      <w:r w:rsidR="00AE7CF4">
        <w:t>,</w:t>
      </w:r>
      <w:r>
        <w:t xml:space="preserve"> la cystatine ou les deux biomarqueurs combinés</w:t>
      </w:r>
      <w:r w:rsidR="00AE7CF4">
        <w:t xml:space="preserve"> dans un cohorte multicentrique de patients transplantés rénaux. Nous avons également regard</w:t>
      </w:r>
      <w:r w:rsidR="00C8190C">
        <w:t>é</w:t>
      </w:r>
      <w:r w:rsidR="00AE7CF4">
        <w:t xml:space="preserve"> le taux de résultats discordant</w:t>
      </w:r>
      <w:r w:rsidR="00125CE0">
        <w:t>s</w:t>
      </w:r>
      <w:r w:rsidR="00AE7CF4">
        <w:t xml:space="preserve"> entre les estimations basées sur la créatinine et la cystatine C.</w:t>
      </w:r>
    </w:p>
    <w:p w14:paraId="17316385" w14:textId="77777777" w:rsidR="00AE7CF4" w:rsidRDefault="00AE7CF4" w:rsidP="00740A2B">
      <w:pPr>
        <w:spacing w:line="240" w:lineRule="auto"/>
        <w:rPr>
          <w:b/>
          <w:bCs/>
        </w:rPr>
      </w:pPr>
      <w:r>
        <w:rPr>
          <w:b/>
          <w:bCs/>
        </w:rPr>
        <w:t>Méthodes</w:t>
      </w:r>
    </w:p>
    <w:p w14:paraId="468CB275" w14:textId="020A84D1" w:rsidR="00861B0F" w:rsidRDefault="00AE7CF4" w:rsidP="00740A2B">
      <w:pPr>
        <w:spacing w:line="240" w:lineRule="auto"/>
      </w:pPr>
      <w:r>
        <w:t>Le débit de filtration glomérulaire</w:t>
      </w:r>
      <w:r w:rsidR="00861B0F">
        <w:t xml:space="preserve"> (DFG)</w:t>
      </w:r>
      <w:r>
        <w:t xml:space="preserve"> a été mesuré avec une méthode de référence dans trois centres (Paris, Saint-Etienne et Groningen), un an après la transplantation. La créatinine et la cystatine C ont été mesurées avec des méthodes standardisée</w:t>
      </w:r>
      <w:r w:rsidR="00861B0F">
        <w:t>s. Le biais, la précision et l’exactitude à 30% ont été calculé</w:t>
      </w:r>
      <w:r w:rsidR="000855D9">
        <w:t>s</w:t>
      </w:r>
      <w:r w:rsidR="00861B0F">
        <w:t xml:space="preserve"> et comparé</w:t>
      </w:r>
      <w:r w:rsidR="00C8190C">
        <w:t>s</w:t>
      </w:r>
      <w:r w:rsidR="00861B0F">
        <w:t xml:space="preserve"> pour les différentes formules. Un résultat différent de plus de 20% entre un DFG basé sur la créatinine et sur la cystatine C a été considéré comme discordant.</w:t>
      </w:r>
    </w:p>
    <w:p w14:paraId="37E77102" w14:textId="77777777" w:rsidR="00B71C48" w:rsidRDefault="00B71C48" w:rsidP="00740A2B">
      <w:pPr>
        <w:spacing w:line="240" w:lineRule="auto"/>
        <w:rPr>
          <w:b/>
          <w:bCs/>
        </w:rPr>
      </w:pPr>
      <w:r>
        <w:rPr>
          <w:b/>
          <w:bCs/>
        </w:rPr>
        <w:t>Résultats obtenus</w:t>
      </w:r>
    </w:p>
    <w:p w14:paraId="75478C9F" w14:textId="6895F9C6" w:rsidR="00B71C48" w:rsidRPr="000855D9" w:rsidRDefault="000855D9" w:rsidP="00740A2B">
      <w:pPr>
        <w:spacing w:line="240" w:lineRule="auto"/>
      </w:pPr>
      <w:r w:rsidRPr="000855D9">
        <w:t>1,348 patients ont été inclus</w:t>
      </w:r>
      <w:r>
        <w:t xml:space="preserve"> (51 [40;61] ans, 35.1% de femmes, DFG à 51 [39;62] mL/min/1.73m²</w:t>
      </w:r>
      <w:r w:rsidR="00C8190C">
        <w:t>)</w:t>
      </w:r>
      <w:r>
        <w:t>. Le biais et l’exactitude à 30% sont meilleurs pour EKFC</w:t>
      </w:r>
      <w:r>
        <w:rPr>
          <w:vertAlign w:val="subscript"/>
        </w:rPr>
        <w:t xml:space="preserve">cys </w:t>
      </w:r>
      <w:r>
        <w:t>que pour CKD-EPI</w:t>
      </w:r>
      <w:r>
        <w:rPr>
          <w:vertAlign w:val="subscript"/>
        </w:rPr>
        <w:t>cys</w:t>
      </w:r>
      <w:r>
        <w:rPr>
          <w:vertAlign w:val="subscript"/>
        </w:rPr>
        <w:t xml:space="preserve"> </w:t>
      </w:r>
      <w:r>
        <w:t xml:space="preserve">(-1,81 [-2,48;-1,03] </w:t>
      </w:r>
      <w:r>
        <w:rPr>
          <w:i/>
          <w:iCs/>
        </w:rPr>
        <w:t xml:space="preserve">versus </w:t>
      </w:r>
      <w:r>
        <w:t>-</w:t>
      </w:r>
      <w:r>
        <w:t>5,87</w:t>
      </w:r>
      <w:r>
        <w:t xml:space="preserve"> [-</w:t>
      </w:r>
      <w:r>
        <w:t>6,62</w:t>
      </w:r>
      <w:r>
        <w:t>;-</w:t>
      </w:r>
      <w:r>
        <w:t>5,26</w:t>
      </w:r>
      <w:r>
        <w:t>]</w:t>
      </w:r>
      <w:r>
        <w:t xml:space="preserve"> et 82,1 [80,1;84,2]% </w:t>
      </w:r>
      <w:r>
        <w:rPr>
          <w:i/>
          <w:iCs/>
        </w:rPr>
        <w:t xml:space="preserve">versus </w:t>
      </w:r>
      <w:r>
        <w:t>77,5</w:t>
      </w:r>
      <w:r>
        <w:t xml:space="preserve"> [</w:t>
      </w:r>
      <w:r>
        <w:t>75,3</w:t>
      </w:r>
      <w:r>
        <w:t>;</w:t>
      </w:r>
      <w:r>
        <w:t>79,8</w:t>
      </w:r>
      <w:r>
        <w:t>]%</w:t>
      </w:r>
      <w:r>
        <w:t>). EKFC</w:t>
      </w:r>
      <w:r>
        <w:rPr>
          <w:vertAlign w:val="subscript"/>
        </w:rPr>
        <w:t xml:space="preserve">cys </w:t>
      </w:r>
      <w:r>
        <w:t>ne fait pas mieux que EKFC</w:t>
      </w:r>
      <w:r>
        <w:rPr>
          <w:vertAlign w:val="subscript"/>
        </w:rPr>
        <w:t>crea</w:t>
      </w:r>
      <w:r w:rsidR="006F3E08">
        <w:rPr>
          <w:vertAlign w:val="subscript"/>
        </w:rPr>
        <w:t xml:space="preserve"> </w:t>
      </w:r>
      <w:r w:rsidR="006F3E08">
        <w:t>(</w:t>
      </w:r>
      <w:r w:rsidR="006F3E08">
        <w:t>0,22</w:t>
      </w:r>
      <w:r w:rsidR="006F3E08">
        <w:t xml:space="preserve"> [-</w:t>
      </w:r>
      <w:r w:rsidR="006F3E08">
        <w:t>0,43</w:t>
      </w:r>
      <w:r w:rsidR="006F3E08">
        <w:t>;</w:t>
      </w:r>
      <w:r w:rsidR="006F3E08">
        <w:t>0,93</w:t>
      </w:r>
      <w:r w:rsidR="006F3E08">
        <w:t xml:space="preserve">] et </w:t>
      </w:r>
      <w:r w:rsidR="006F3E08">
        <w:t>80,8 [78,7</w:t>
      </w:r>
      <w:r w:rsidR="006F3E08">
        <w:t>;8</w:t>
      </w:r>
      <w:r w:rsidR="006F3E08">
        <w:t>2,9</w:t>
      </w:r>
      <w:r w:rsidR="006F3E08">
        <w:t>]%)</w:t>
      </w:r>
      <w:r w:rsidR="006F3E08">
        <w:t>. EKFC</w:t>
      </w:r>
      <w:r w:rsidR="006F3E08">
        <w:rPr>
          <w:vertAlign w:val="subscript"/>
        </w:rPr>
        <w:t xml:space="preserve">cys+crea </w:t>
      </w:r>
      <w:r w:rsidR="006F3E08">
        <w:t>(</w:t>
      </w:r>
      <w:r w:rsidR="006F3E08">
        <w:t>-0,12</w:t>
      </w:r>
      <w:r w:rsidR="006F3E08">
        <w:t xml:space="preserve"> [-0,</w:t>
      </w:r>
      <w:r w:rsidR="006F3E08">
        <w:t>87</w:t>
      </w:r>
      <w:r w:rsidR="006F3E08">
        <w:t>;0,</w:t>
      </w:r>
      <w:r w:rsidR="006F3E08">
        <w:t>41</w:t>
      </w:r>
      <w:r w:rsidR="006F3E08">
        <w:t>] et 8</w:t>
      </w:r>
      <w:r w:rsidR="006F3E08">
        <w:t>7,6</w:t>
      </w:r>
      <w:r w:rsidR="006F3E08">
        <w:t xml:space="preserve"> [</w:t>
      </w:r>
      <w:r w:rsidR="006F3E08">
        <w:t>85,9</w:t>
      </w:r>
      <w:r w:rsidR="006F3E08">
        <w:t>;8</w:t>
      </w:r>
      <w:r w:rsidR="006F3E08">
        <w:t>9,4</w:t>
      </w:r>
      <w:r w:rsidR="006F3E08">
        <w:t>]%</w:t>
      </w:r>
      <w:r w:rsidR="006F3E08">
        <w:t xml:space="preserve"> fait mieux que EKFC</w:t>
      </w:r>
      <w:r w:rsidR="006F3E08">
        <w:rPr>
          <w:vertAlign w:val="subscript"/>
        </w:rPr>
        <w:t xml:space="preserve">crea </w:t>
      </w:r>
      <w:r w:rsidR="006F3E08">
        <w:t xml:space="preserve">et </w:t>
      </w:r>
      <w:r w:rsidR="006F3E08">
        <w:t>EKFC</w:t>
      </w:r>
      <w:r w:rsidR="006F3E08">
        <w:rPr>
          <w:vertAlign w:val="subscript"/>
        </w:rPr>
        <w:t>c</w:t>
      </w:r>
      <w:r w:rsidR="006F3E08">
        <w:rPr>
          <w:vertAlign w:val="subscript"/>
        </w:rPr>
        <w:t>ys</w:t>
      </w:r>
      <w:r w:rsidR="006F3E08">
        <w:t xml:space="preserve"> (et mieux que CKD-EPI</w:t>
      </w:r>
      <w:r w:rsidR="006F3E08">
        <w:rPr>
          <w:vertAlign w:val="subscript"/>
        </w:rPr>
        <w:t>cys+crea</w:t>
      </w:r>
      <w:r w:rsidR="006F3E08">
        <w:t>). Le taux de résultats discordants entre DFG</w:t>
      </w:r>
      <w:r w:rsidR="006F3E08">
        <w:rPr>
          <w:vertAlign w:val="subscript"/>
        </w:rPr>
        <w:t xml:space="preserve">crea </w:t>
      </w:r>
      <w:r w:rsidR="006F3E08">
        <w:t>et DFG</w:t>
      </w:r>
      <w:r w:rsidR="006F3E08">
        <w:rPr>
          <w:vertAlign w:val="subscript"/>
        </w:rPr>
        <w:t xml:space="preserve">cys </w:t>
      </w:r>
      <w:r w:rsidR="006F3E08">
        <w:t xml:space="preserve">est respectivement de 50,8% et 41,9% si les équations CKD-EPI ou EKFC sont utilisées. </w:t>
      </w:r>
      <w:r>
        <w:rPr>
          <w:vertAlign w:val="subscript"/>
        </w:rPr>
        <w:t xml:space="preserve"> </w:t>
      </w:r>
      <w:r>
        <w:t xml:space="preserve"> </w:t>
      </w:r>
      <w:r>
        <w:rPr>
          <w:i/>
          <w:iCs/>
        </w:rPr>
        <w:t xml:space="preserve"> </w:t>
      </w:r>
      <w:r>
        <w:t xml:space="preserve"> </w:t>
      </w:r>
      <w:r>
        <w:rPr>
          <w:i/>
          <w:iCs/>
        </w:rPr>
        <w:t xml:space="preserve"> </w:t>
      </w:r>
      <w:r>
        <w:t xml:space="preserve"> </w:t>
      </w:r>
      <w:r>
        <w:rPr>
          <w:vertAlign w:val="subscript"/>
        </w:rPr>
        <w:t xml:space="preserve"> </w:t>
      </w:r>
      <w:r>
        <w:t xml:space="preserve"> </w:t>
      </w:r>
    </w:p>
    <w:p w14:paraId="65B94D47" w14:textId="77777777" w:rsidR="00B71C48" w:rsidRDefault="00B71C48" w:rsidP="00740A2B">
      <w:pPr>
        <w:spacing w:line="240" w:lineRule="auto"/>
        <w:rPr>
          <w:b/>
          <w:bCs/>
        </w:rPr>
      </w:pPr>
      <w:r>
        <w:rPr>
          <w:b/>
          <w:bCs/>
        </w:rPr>
        <w:t>Conclusion</w:t>
      </w:r>
    </w:p>
    <w:p w14:paraId="7900968E" w14:textId="118C93E8" w:rsidR="00B71C48" w:rsidRPr="00B71C48" w:rsidRDefault="00B71C48" w:rsidP="00B71C48">
      <w:pPr>
        <w:spacing w:line="240" w:lineRule="auto"/>
      </w:pPr>
      <w:r>
        <w:t>La formule EKFC</w:t>
      </w:r>
      <w:r>
        <w:rPr>
          <w:vertAlign w:val="subscript"/>
        </w:rPr>
        <w:t>cys</w:t>
      </w:r>
      <w:r>
        <w:t xml:space="preserve"> a une performance acceptable en transplantation rénale. Sa performance est significativement meilleure que l’équation CKD-EPI. </w:t>
      </w:r>
      <w:r>
        <w:t>EKFC</w:t>
      </w:r>
      <w:r>
        <w:rPr>
          <w:vertAlign w:val="subscript"/>
        </w:rPr>
        <w:t>cys</w:t>
      </w:r>
      <w:r>
        <w:rPr>
          <w:vertAlign w:val="subscript"/>
        </w:rPr>
        <w:t xml:space="preserve"> </w:t>
      </w:r>
      <w:r>
        <w:t xml:space="preserve">n’est pas meilleure que </w:t>
      </w:r>
      <w:r>
        <w:t>EKFC</w:t>
      </w:r>
      <w:r>
        <w:rPr>
          <w:vertAlign w:val="subscript"/>
        </w:rPr>
        <w:t>c</w:t>
      </w:r>
      <w:r>
        <w:rPr>
          <w:vertAlign w:val="subscript"/>
        </w:rPr>
        <w:t>rea</w:t>
      </w:r>
      <w:r>
        <w:t>, mais EKFC</w:t>
      </w:r>
      <w:r>
        <w:rPr>
          <w:vertAlign w:val="subscript"/>
        </w:rPr>
        <w:t xml:space="preserve">cys+crea </w:t>
      </w:r>
      <w:r w:rsidR="000855D9">
        <w:t>présente une valeur ajoutée. Le taux de discordance entre DFG</w:t>
      </w:r>
      <w:r w:rsidR="000855D9">
        <w:rPr>
          <w:vertAlign w:val="subscript"/>
        </w:rPr>
        <w:t xml:space="preserve">cys </w:t>
      </w:r>
      <w:r w:rsidR="000855D9">
        <w:t>et DFG</w:t>
      </w:r>
      <w:r w:rsidR="000855D9">
        <w:rPr>
          <w:vertAlign w:val="subscript"/>
        </w:rPr>
        <w:t xml:space="preserve">crea </w:t>
      </w:r>
      <w:r w:rsidR="000855D9">
        <w:t>est très élevé dans cette population, mais il y moins de discordance si les équations EKFC sont utilisées à la place des équations CKD-EPI.</w:t>
      </w:r>
      <w:r>
        <w:t xml:space="preserve"> </w:t>
      </w:r>
    </w:p>
    <w:p w14:paraId="3529B93E" w14:textId="269CC14B" w:rsidR="00B71C48" w:rsidRPr="00B71C48" w:rsidRDefault="00B71C48" w:rsidP="00B71C48">
      <w:pPr>
        <w:spacing w:line="240" w:lineRule="auto"/>
      </w:pPr>
    </w:p>
    <w:p w14:paraId="27C11F83" w14:textId="4D791A98" w:rsidR="00740A2B" w:rsidRPr="00740A2B" w:rsidRDefault="00B71C48" w:rsidP="00740A2B">
      <w:pPr>
        <w:spacing w:line="240" w:lineRule="auto"/>
        <w:rPr>
          <w:vertAlign w:val="subscript"/>
        </w:rPr>
      </w:pPr>
      <w:r>
        <w:t xml:space="preserve"> </w:t>
      </w:r>
      <w:r w:rsidR="00861B0F">
        <w:t xml:space="preserve"> </w:t>
      </w:r>
      <w:r w:rsidR="00AE7CF4">
        <w:t xml:space="preserve"> </w:t>
      </w:r>
      <w:r w:rsidR="00740A2B">
        <w:t xml:space="preserve"> </w:t>
      </w:r>
    </w:p>
    <w:p w14:paraId="237B1989" w14:textId="36E29EA9" w:rsidR="00740A2B" w:rsidRPr="00740A2B" w:rsidRDefault="00740A2B" w:rsidP="00740A2B">
      <w:pPr>
        <w:spacing w:line="240" w:lineRule="auto"/>
      </w:pPr>
    </w:p>
    <w:sectPr w:rsidR="00740A2B" w:rsidRPr="00740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2B"/>
    <w:rsid w:val="000855D9"/>
    <w:rsid w:val="00125CE0"/>
    <w:rsid w:val="003B63A7"/>
    <w:rsid w:val="00483EB5"/>
    <w:rsid w:val="006F3E08"/>
    <w:rsid w:val="00740A2B"/>
    <w:rsid w:val="00861B0F"/>
    <w:rsid w:val="0090627C"/>
    <w:rsid w:val="00AE7CF4"/>
    <w:rsid w:val="00B57658"/>
    <w:rsid w:val="00B71C48"/>
    <w:rsid w:val="00C57978"/>
    <w:rsid w:val="00C8190C"/>
    <w:rsid w:val="00D5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C0EB9"/>
  <w15:chartTrackingRefBased/>
  <w15:docId w15:val="{36138804-48E2-416F-AD0E-88836710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40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A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A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A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A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A2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A2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A2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A2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A2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A2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A2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A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A2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A2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A2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A2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A2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DELANAYE Pierre</dc:creator>
  <cp:keywords/>
  <dc:description/>
  <cp:lastModifiedBy>DELANAYE Pierre</cp:lastModifiedBy>
  <cp:revision>9</cp:revision>
  <dcterms:created xsi:type="dcterms:W3CDTF">2025-05-09T10:06:00Z</dcterms:created>
  <dcterms:modified xsi:type="dcterms:W3CDTF">2025-05-09T10:58:00Z</dcterms:modified>
</cp:coreProperties>
</file>