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5191E">
      <w:pPr>
        <w:spacing w:after="200" w:line="276" w:lineRule="auto"/>
        <w:ind w:firstLine="0"/>
        <w:jc w:val="left"/>
        <w:rPr>
          <w:highlight w:val="none"/>
          <w:lang w:val="en-US" w:eastAsia="zh-CN"/>
        </w:rPr>
      </w:pPr>
    </w:p>
    <w:p w14:paraId="4DADC36E">
      <w:pPr>
        <w:spacing w:after="200" w:line="276" w:lineRule="auto"/>
        <w:ind w:firstLine="0"/>
        <w:jc w:val="left"/>
        <w:rPr>
          <w:highlight w:val="none"/>
          <w:lang w:eastAsia="zh-CN"/>
        </w:rPr>
      </w:pPr>
    </w:p>
    <w:p w14:paraId="2745681F">
      <w:pPr>
        <w:spacing w:after="200" w:line="276" w:lineRule="auto"/>
        <w:ind w:firstLine="0"/>
        <w:jc w:val="left"/>
        <w:rPr>
          <w:highlight w:val="none"/>
          <w:lang w:eastAsia="zh-CN"/>
        </w:rPr>
      </w:pPr>
    </w:p>
    <w:p w14:paraId="2CB841A2">
      <w:pPr>
        <w:pStyle w:val="92"/>
        <w:jc w:val="center"/>
        <w:rPr>
          <w:rFonts w:ascii="Times New Roman" w:hAnsi="Times New Roman" w:cs="Times New Roman"/>
          <w:sz w:val="56"/>
          <w:szCs w:val="56"/>
          <w:highlight w:val="none"/>
        </w:rPr>
      </w:pPr>
      <w:r>
        <w:rPr>
          <w:rFonts w:ascii="Times New Roman" w:hAnsi="Times New Roman" w:cs="Times New Roman"/>
          <w:sz w:val="56"/>
          <w:szCs w:val="56"/>
          <w:highlight w:val="none"/>
        </w:rPr>
        <w:t xml:space="preserve">Inulin induced changes of </w:t>
      </w:r>
      <w:r>
        <w:rPr>
          <w:rFonts w:ascii="Times New Roman" w:hAnsi="Times New Roman" w:cs="Times New Roman"/>
          <w:sz w:val="56"/>
          <w:szCs w:val="56"/>
          <w:highlight w:val="none"/>
          <w:lang w:eastAsia="zh-CN"/>
        </w:rPr>
        <w:t>serum</w:t>
      </w:r>
      <w:r>
        <w:rPr>
          <w:rFonts w:ascii="Times New Roman" w:hAnsi="Times New Roman" w:cs="Times New Roman"/>
          <w:sz w:val="56"/>
          <w:szCs w:val="56"/>
          <w:highlight w:val="none"/>
        </w:rPr>
        <w:t xml:space="preserve"> and milk extracellular vesicles and their function in lactating dairy cows with subclinical mastitis</w:t>
      </w:r>
    </w:p>
    <w:p w14:paraId="33BAAB8F">
      <w:pPr>
        <w:pStyle w:val="92"/>
        <w:rPr>
          <w:rFonts w:ascii="Times New Roman" w:hAnsi="Times New Roman" w:cs="Times New Roman"/>
          <w:sz w:val="22"/>
          <w:szCs w:val="22"/>
          <w:highlight w:val="none"/>
          <w:lang w:eastAsia="zh-CN"/>
        </w:rPr>
      </w:pPr>
    </w:p>
    <w:p w14:paraId="07D7B82B">
      <w:pPr>
        <w:pStyle w:val="92"/>
        <w:rPr>
          <w:rFonts w:ascii="Times New Roman" w:hAnsi="Times New Roman" w:cs="Times New Roman"/>
          <w:sz w:val="22"/>
          <w:szCs w:val="22"/>
          <w:highlight w:val="none"/>
          <w:lang w:eastAsia="zh-CN"/>
        </w:rPr>
      </w:pPr>
    </w:p>
    <w:p w14:paraId="7D3308CF">
      <w:pPr>
        <w:pStyle w:val="92"/>
        <w:rPr>
          <w:rFonts w:ascii="Times New Roman" w:hAnsi="Times New Roman" w:cs="Times New Roman"/>
          <w:sz w:val="22"/>
          <w:szCs w:val="22"/>
          <w:highlight w:val="none"/>
          <w:lang w:eastAsia="zh-CN"/>
        </w:rPr>
      </w:pPr>
    </w:p>
    <w:p w14:paraId="74589F98">
      <w:pPr>
        <w:pStyle w:val="92"/>
        <w:rPr>
          <w:rFonts w:ascii="Times New Roman" w:hAnsi="Times New Roman" w:cs="Times New Roman"/>
          <w:sz w:val="22"/>
          <w:szCs w:val="22"/>
          <w:highlight w:val="none"/>
          <w:lang w:eastAsia="zh-CN"/>
        </w:rPr>
      </w:pPr>
    </w:p>
    <w:p w14:paraId="2CC997FD">
      <w:pPr>
        <w:pStyle w:val="92"/>
        <w:rPr>
          <w:rFonts w:ascii="Times New Roman" w:hAnsi="Times New Roman" w:cs="Times New Roman"/>
          <w:sz w:val="22"/>
          <w:szCs w:val="22"/>
          <w:highlight w:val="none"/>
          <w:lang w:eastAsia="zh-CN"/>
        </w:rPr>
      </w:pPr>
    </w:p>
    <w:p w14:paraId="331FC32A">
      <w:pPr>
        <w:pStyle w:val="92"/>
        <w:rPr>
          <w:rFonts w:ascii="Times New Roman" w:hAnsi="Times New Roman" w:cs="Times New Roman"/>
          <w:sz w:val="22"/>
          <w:szCs w:val="22"/>
          <w:highlight w:val="none"/>
          <w:lang w:eastAsia="zh-CN"/>
        </w:rPr>
      </w:pPr>
    </w:p>
    <w:p w14:paraId="5914632A">
      <w:pPr>
        <w:pStyle w:val="92"/>
        <w:rPr>
          <w:rFonts w:ascii="Times New Roman" w:hAnsi="Times New Roman" w:cs="Times New Roman"/>
          <w:sz w:val="22"/>
          <w:szCs w:val="22"/>
          <w:highlight w:val="none"/>
          <w:lang w:eastAsia="zh-CN"/>
        </w:rPr>
      </w:pPr>
    </w:p>
    <w:p w14:paraId="22FDA3DE">
      <w:pPr>
        <w:pStyle w:val="92"/>
        <w:rPr>
          <w:rFonts w:ascii="Times New Roman" w:hAnsi="Times New Roman" w:cs="Times New Roman"/>
          <w:sz w:val="22"/>
          <w:szCs w:val="22"/>
          <w:highlight w:val="none"/>
          <w:lang w:eastAsia="zh-CN"/>
        </w:rPr>
      </w:pPr>
    </w:p>
    <w:p w14:paraId="2A3AF4CF">
      <w:pPr>
        <w:pStyle w:val="92"/>
        <w:rPr>
          <w:rFonts w:ascii="Times New Roman" w:hAnsi="Times New Roman" w:cs="Times New Roman"/>
          <w:sz w:val="22"/>
          <w:szCs w:val="22"/>
          <w:highlight w:val="none"/>
          <w:lang w:eastAsia="zh-CN"/>
        </w:rPr>
      </w:pPr>
    </w:p>
    <w:p w14:paraId="3519043D">
      <w:pPr>
        <w:pStyle w:val="92"/>
        <w:rPr>
          <w:rFonts w:ascii="Times New Roman" w:hAnsi="Times New Roman" w:cs="Times New Roman"/>
          <w:sz w:val="22"/>
          <w:szCs w:val="22"/>
          <w:highlight w:val="none"/>
          <w:lang w:eastAsia="zh-CN"/>
        </w:rPr>
      </w:pPr>
    </w:p>
    <w:p w14:paraId="5B6FEEFF">
      <w:pPr>
        <w:pStyle w:val="92"/>
        <w:rPr>
          <w:rFonts w:ascii="Times New Roman" w:hAnsi="Times New Roman" w:cs="Times New Roman"/>
          <w:sz w:val="22"/>
          <w:szCs w:val="22"/>
          <w:highlight w:val="none"/>
          <w:lang w:eastAsia="zh-CN"/>
        </w:rPr>
      </w:pPr>
    </w:p>
    <w:p w14:paraId="134A2979">
      <w:pPr>
        <w:pStyle w:val="92"/>
        <w:rPr>
          <w:rFonts w:ascii="Times New Roman" w:hAnsi="Times New Roman" w:cs="Times New Roman"/>
          <w:sz w:val="22"/>
          <w:szCs w:val="22"/>
          <w:highlight w:val="none"/>
          <w:lang w:eastAsia="zh-CN"/>
        </w:rPr>
      </w:pPr>
    </w:p>
    <w:p w14:paraId="091CDB95">
      <w:pPr>
        <w:pStyle w:val="92"/>
        <w:rPr>
          <w:rFonts w:ascii="Times New Roman" w:hAnsi="Times New Roman" w:cs="Times New Roman"/>
          <w:sz w:val="22"/>
          <w:szCs w:val="22"/>
          <w:highlight w:val="none"/>
          <w:lang w:eastAsia="zh-CN"/>
        </w:rPr>
      </w:pPr>
    </w:p>
    <w:p w14:paraId="02D45A48">
      <w:pPr>
        <w:pStyle w:val="92"/>
        <w:rPr>
          <w:rFonts w:ascii="Times New Roman" w:hAnsi="Times New Roman" w:cs="Times New Roman"/>
          <w:sz w:val="22"/>
          <w:szCs w:val="22"/>
          <w:highlight w:val="none"/>
          <w:lang w:eastAsia="zh-CN"/>
        </w:rPr>
      </w:pPr>
    </w:p>
    <w:p w14:paraId="3D636F0F">
      <w:pPr>
        <w:pStyle w:val="92"/>
        <w:rPr>
          <w:rFonts w:ascii="Times New Roman" w:hAnsi="Times New Roman" w:cs="Times New Roman"/>
          <w:sz w:val="22"/>
          <w:szCs w:val="22"/>
          <w:highlight w:val="none"/>
          <w:lang w:eastAsia="zh-CN"/>
        </w:rPr>
      </w:pPr>
    </w:p>
    <w:p w14:paraId="2A6C3EA9">
      <w:pPr>
        <w:pStyle w:val="92"/>
        <w:rPr>
          <w:rFonts w:ascii="Times New Roman" w:hAnsi="Times New Roman" w:cs="Times New Roman"/>
          <w:sz w:val="22"/>
          <w:szCs w:val="22"/>
          <w:highlight w:val="none"/>
          <w:lang w:eastAsia="zh-CN"/>
        </w:rPr>
      </w:pPr>
    </w:p>
    <w:p w14:paraId="1B546046">
      <w:pPr>
        <w:pStyle w:val="92"/>
        <w:jc w:val="center"/>
        <w:rPr>
          <w:rFonts w:ascii="Times New Roman" w:hAnsi="Times New Roman" w:cs="Times New Roman"/>
          <w:sz w:val="22"/>
          <w:szCs w:val="22"/>
          <w:highlight w:val="none"/>
          <w:lang w:eastAsia="zh-CN"/>
        </w:rPr>
      </w:pPr>
      <w:r>
        <w:rPr>
          <w:rFonts w:ascii="Times New Roman" w:hAnsi="Times New Roman" w:cs="Times New Roman"/>
          <w:sz w:val="22"/>
          <w:szCs w:val="22"/>
          <w:highlight w:val="none"/>
          <w:lang w:eastAsia="zh-CN"/>
        </w:rPr>
        <w:t>Wanjie YU</w:t>
      </w:r>
    </w:p>
    <w:p w14:paraId="318FAA1D">
      <w:pPr>
        <w:pStyle w:val="92"/>
        <w:jc w:val="center"/>
        <w:rPr>
          <w:rFonts w:ascii="Times New Roman" w:hAnsi="Times New Roman" w:cs="Times New Roman"/>
          <w:sz w:val="22"/>
          <w:szCs w:val="22"/>
          <w:highlight w:val="none"/>
          <w:lang w:eastAsia="zh-CN"/>
        </w:rPr>
      </w:pPr>
    </w:p>
    <w:p w14:paraId="6C3255D0">
      <w:pPr>
        <w:pStyle w:val="92"/>
        <w:jc w:val="right"/>
        <w:rPr>
          <w:rFonts w:ascii="Times New Roman" w:hAnsi="Times New Roman" w:cs="Times New Roman"/>
          <w:sz w:val="22"/>
          <w:szCs w:val="22"/>
          <w:highlight w:val="none"/>
          <w:lang w:eastAsia="zh-CN"/>
        </w:rPr>
      </w:pPr>
      <w:r>
        <w:rPr>
          <w:rFonts w:hint="eastAsia" w:ascii="Times New Roman" w:hAnsi="Times New Roman" w:cs="Times New Roman"/>
          <w:sz w:val="22"/>
          <w:szCs w:val="22"/>
          <w:highlight w:val="none"/>
          <w:lang w:eastAsia="zh-CN"/>
        </w:rPr>
        <w:t>2025</w:t>
      </w:r>
    </w:p>
    <w:p w14:paraId="06EB734D">
      <w:pPr>
        <w:spacing w:after="200" w:line="276" w:lineRule="auto"/>
        <w:ind w:firstLine="0"/>
        <w:jc w:val="left"/>
        <w:rPr>
          <w:highlight w:val="none"/>
        </w:rPr>
      </w:pPr>
      <w:r>
        <w:rPr>
          <w:rFonts w:eastAsia="Calibri" w:cs="Times New Roman"/>
          <w:sz w:val="20"/>
          <w:highlight w:val="none"/>
          <w:lang w:eastAsia="fr-BE"/>
        </w:rPr>
        <mc:AlternateContent>
          <mc:Choice Requires="wps">
            <w:drawing>
              <wp:anchor distT="0" distB="0" distL="114300" distR="114300" simplePos="0" relativeHeight="251659264" behindDoc="1" locked="0" layoutInCell="1" allowOverlap="0">
                <wp:simplePos x="0" y="0"/>
                <wp:positionH relativeFrom="page">
                  <wp:posOffset>16510</wp:posOffset>
                </wp:positionH>
                <wp:positionV relativeFrom="page">
                  <wp:posOffset>8890</wp:posOffset>
                </wp:positionV>
                <wp:extent cx="719455" cy="9528810"/>
                <wp:effectExtent l="0" t="0" r="4445" b="0"/>
                <wp:wrapTight wrapText="right">
                  <wp:wrapPolygon>
                    <wp:start x="0" y="0"/>
                    <wp:lineTo x="0" y="21548"/>
                    <wp:lineTo x="21162" y="21548"/>
                    <wp:lineTo x="21162" y="0"/>
                    <wp:lineTo x="0" y="0"/>
                  </wp:wrapPolygon>
                </wp:wrapTight>
                <wp:docPr id="5" name="Rectangle 5"/>
                <wp:cNvGraphicFramePr/>
                <a:graphic xmlns:a="http://schemas.openxmlformats.org/drawingml/2006/main">
                  <a:graphicData uri="http://schemas.microsoft.com/office/word/2010/wordprocessingShape">
                    <wps:wsp>
                      <wps:cNvSpPr/>
                      <wps:spPr>
                        <a:xfrm>
                          <a:off x="0" y="0"/>
                          <a:ext cx="719455" cy="952881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6" o:spt="1" style="position:absolute;left:0pt;margin-left:1.3pt;margin-top:0.7pt;height:750.3pt;width:56.65pt;mso-position-horizontal-relative:page;mso-position-vertical-relative:page;mso-wrap-distance-left:9pt;mso-wrap-distance-right:9pt;z-index:-251657216;v-text-anchor:middle;mso-width-relative:page;mso-height-relative:page;" fillcolor="#00B050" filled="t" stroked="f" coordsize="21600,21600" wrapcoords="0 0 0 21548 21162 21548 21162 0 0 0" o:allowoverlap="f" o:gfxdata="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V7VrXAAAACAEAAA8AAAAAAAAAAQAgAAAAIgAAAGRycy9kb3ducmV2LnhtbFBL&#10;AQIUABQAAAAIAIdO4kDnvrxlaQIAANwEAAAOAAAAAAAAAAEAIAAAACYBAABkcnMvZTJvRG9jLnht&#10;bFBLBQYAAAAABgAGAFkBAAABBgAAAAA=&#10;">
                <v:fill on="t" focussize="0,0"/>
                <v:stroke on="f" weight="1pt" miterlimit="8" joinstyle="miter"/>
                <v:imagedata o:title=""/>
                <o:lock v:ext="edit" aspectratio="f"/>
                <w10:wrap type="tight" side="right"/>
              </v:rect>
            </w:pict>
          </mc:Fallback>
        </mc:AlternateContent>
      </w:r>
      <w:r>
        <w:rPr>
          <w:highlight w:val="none"/>
        </w:rPr>
        <w:br w:type="page"/>
      </w:r>
      <w:r>
        <w:rPr>
          <w:rFonts w:eastAsia="Calibri" w:cs="Times New Roman"/>
          <w:sz w:val="20"/>
          <w:highlight w:val="none"/>
          <w:lang w:eastAsia="fr-BE"/>
        </w:rPr>
        <w:drawing>
          <wp:anchor distT="0" distB="360045" distL="114300" distR="114300" simplePos="0" relativeHeight="251660288" behindDoc="1" locked="1" layoutInCell="1" allowOverlap="0">
            <wp:simplePos x="0" y="0"/>
            <wp:positionH relativeFrom="column">
              <wp:posOffset>-66675</wp:posOffset>
            </wp:positionH>
            <wp:positionV relativeFrom="page">
              <wp:posOffset>56515</wp:posOffset>
            </wp:positionV>
            <wp:extent cx="1619885" cy="673100"/>
            <wp:effectExtent l="0" t="0" r="0" b="0"/>
            <wp:wrapTopAndBottom/>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9885" cy="673100"/>
                    </a:xfrm>
                    <a:prstGeom prst="rect">
                      <a:avLst/>
                    </a:prstGeom>
                  </pic:spPr>
                </pic:pic>
              </a:graphicData>
            </a:graphic>
          </wp:anchor>
        </w:drawing>
      </w:r>
    </w:p>
    <w:p w14:paraId="11B30952">
      <w:pPr>
        <w:rPr>
          <w:highlight w:val="none"/>
        </w:rPr>
      </w:pPr>
      <w:r>
        <w:rPr>
          <w:highlight w:val="none"/>
        </w:rPr>
        <w:br w:type="page"/>
      </w:r>
    </w:p>
    <w:p w14:paraId="1C79590C">
      <w:pPr>
        <w:pStyle w:val="92"/>
        <w:jc w:val="center"/>
        <w:rPr>
          <w:sz w:val="23"/>
          <w:szCs w:val="23"/>
          <w:highlight w:val="none"/>
        </w:rPr>
      </w:pPr>
      <w:r>
        <w:rPr>
          <w:sz w:val="23"/>
          <w:szCs w:val="23"/>
          <w:highlight w:val="none"/>
        </w:rPr>
        <w:t>COMMUNAUTÉ FRANÇAISE DE BELGIQUE</w:t>
      </w:r>
    </w:p>
    <w:p w14:paraId="7659D50F">
      <w:pPr>
        <w:pStyle w:val="92"/>
        <w:jc w:val="center"/>
        <w:rPr>
          <w:sz w:val="23"/>
          <w:szCs w:val="23"/>
          <w:highlight w:val="none"/>
        </w:rPr>
      </w:pPr>
      <w:r>
        <w:rPr>
          <w:sz w:val="23"/>
          <w:szCs w:val="23"/>
          <w:highlight w:val="none"/>
        </w:rPr>
        <w:t>UNIVERSITÉ DE LIÈGE – GEMBLOUX AGRO-BIO TECH</w:t>
      </w:r>
    </w:p>
    <w:p w14:paraId="6F4F8706">
      <w:pPr>
        <w:pStyle w:val="92"/>
        <w:rPr>
          <w:b/>
          <w:bCs/>
          <w:highlight w:val="none"/>
        </w:rPr>
      </w:pPr>
    </w:p>
    <w:p w14:paraId="58FBE4A5">
      <w:pPr>
        <w:pStyle w:val="92"/>
        <w:rPr>
          <w:b/>
          <w:bCs/>
          <w:highlight w:val="none"/>
        </w:rPr>
      </w:pPr>
    </w:p>
    <w:p w14:paraId="0B5C4D5C">
      <w:pPr>
        <w:pStyle w:val="92"/>
        <w:rPr>
          <w:b/>
          <w:bCs/>
          <w:highlight w:val="none"/>
          <w:lang w:eastAsia="zh-CN"/>
        </w:rPr>
      </w:pPr>
    </w:p>
    <w:p w14:paraId="6F1073DF">
      <w:pPr>
        <w:pStyle w:val="92"/>
        <w:rPr>
          <w:b/>
          <w:bCs/>
          <w:highlight w:val="none"/>
          <w:lang w:eastAsia="zh-CN"/>
        </w:rPr>
      </w:pPr>
    </w:p>
    <w:p w14:paraId="16CDBBFB">
      <w:pPr>
        <w:pStyle w:val="92"/>
        <w:rPr>
          <w:b/>
          <w:bCs/>
          <w:highlight w:val="none"/>
          <w:lang w:eastAsia="zh-CN"/>
        </w:rPr>
      </w:pPr>
    </w:p>
    <w:p w14:paraId="653A2DB7">
      <w:pPr>
        <w:pStyle w:val="92"/>
        <w:rPr>
          <w:b/>
          <w:bCs/>
          <w:highlight w:val="none"/>
        </w:rPr>
      </w:pPr>
    </w:p>
    <w:p w14:paraId="03F8C17E">
      <w:pPr>
        <w:pStyle w:val="92"/>
        <w:jc w:val="center"/>
        <w:rPr>
          <w:rFonts w:ascii="Times New Roman" w:hAnsi="Times New Roman" w:cs="Times New Roman"/>
          <w:sz w:val="56"/>
          <w:szCs w:val="56"/>
          <w:highlight w:val="none"/>
        </w:rPr>
      </w:pPr>
      <w:r>
        <w:rPr>
          <w:rFonts w:ascii="Times New Roman" w:hAnsi="Times New Roman" w:cs="Times New Roman"/>
          <w:sz w:val="56"/>
          <w:szCs w:val="56"/>
          <w:highlight w:val="none"/>
        </w:rPr>
        <w:t xml:space="preserve">Inulin induced changes of </w:t>
      </w:r>
      <w:r>
        <w:rPr>
          <w:rFonts w:ascii="Times New Roman" w:hAnsi="Times New Roman" w:cs="Times New Roman"/>
          <w:sz w:val="56"/>
          <w:szCs w:val="56"/>
          <w:highlight w:val="none"/>
          <w:lang w:eastAsia="zh-CN"/>
        </w:rPr>
        <w:t>serum</w:t>
      </w:r>
      <w:r>
        <w:rPr>
          <w:rFonts w:ascii="Times New Roman" w:hAnsi="Times New Roman" w:cs="Times New Roman"/>
          <w:sz w:val="56"/>
          <w:szCs w:val="56"/>
          <w:highlight w:val="none"/>
        </w:rPr>
        <w:t xml:space="preserve"> and milk extracellular vesicles and their function in lactating dairy cows with subclinical mastitis</w:t>
      </w:r>
    </w:p>
    <w:p w14:paraId="7923A37C">
      <w:pPr>
        <w:pStyle w:val="92"/>
        <w:rPr>
          <w:rFonts w:ascii="Times New Roman" w:hAnsi="Times New Roman" w:cs="Times New Roman"/>
          <w:sz w:val="22"/>
          <w:szCs w:val="22"/>
          <w:highlight w:val="none"/>
        </w:rPr>
      </w:pPr>
    </w:p>
    <w:p w14:paraId="6743CC66">
      <w:pPr>
        <w:pStyle w:val="92"/>
        <w:jc w:val="center"/>
        <w:rPr>
          <w:rFonts w:ascii="Times New Roman" w:hAnsi="Times New Roman" w:cs="Times New Roman"/>
          <w:sz w:val="22"/>
          <w:szCs w:val="22"/>
          <w:highlight w:val="none"/>
          <w:lang w:eastAsia="zh-CN"/>
        </w:rPr>
      </w:pPr>
      <w:r>
        <w:rPr>
          <w:rFonts w:ascii="Times New Roman" w:hAnsi="Times New Roman" w:cs="Times New Roman"/>
          <w:sz w:val="22"/>
          <w:szCs w:val="22"/>
          <w:highlight w:val="none"/>
          <w:lang w:eastAsia="zh-CN"/>
        </w:rPr>
        <w:t>Wanjie YU</w:t>
      </w:r>
    </w:p>
    <w:p w14:paraId="2F0544BD">
      <w:pPr>
        <w:pStyle w:val="92"/>
        <w:rPr>
          <w:sz w:val="22"/>
          <w:szCs w:val="22"/>
          <w:highlight w:val="none"/>
          <w:lang w:eastAsia="zh-CN"/>
        </w:rPr>
      </w:pPr>
    </w:p>
    <w:p w14:paraId="655953C0">
      <w:pPr>
        <w:pStyle w:val="92"/>
        <w:rPr>
          <w:sz w:val="22"/>
          <w:szCs w:val="22"/>
          <w:highlight w:val="none"/>
          <w:lang w:eastAsia="zh-CN"/>
        </w:rPr>
      </w:pPr>
    </w:p>
    <w:p w14:paraId="782ADEC6">
      <w:pPr>
        <w:pStyle w:val="92"/>
        <w:jc w:val="center"/>
        <w:rPr>
          <w:rFonts w:ascii="Times New Roman" w:hAnsi="Times New Roman" w:cs="Times New Roman"/>
          <w:sz w:val="22"/>
          <w:szCs w:val="22"/>
          <w:highlight w:val="none"/>
        </w:rPr>
      </w:pPr>
      <w:r>
        <w:rPr>
          <w:rFonts w:ascii="Times New Roman" w:hAnsi="Times New Roman" w:cs="Times New Roman"/>
          <w:sz w:val="22"/>
          <w:szCs w:val="22"/>
          <w:highlight w:val="none"/>
        </w:rPr>
        <w:t>Dissertation originale présentée (ou essai présenté) en vue de l’obtention du grade de doctorat en sciences agronomiques et ingénierie biologique</w:t>
      </w:r>
    </w:p>
    <w:p w14:paraId="1FB14326">
      <w:pPr>
        <w:pStyle w:val="92"/>
        <w:rPr>
          <w:rFonts w:ascii="Times New Roman" w:hAnsi="Times New Roman" w:cs="Times New Roman"/>
          <w:sz w:val="22"/>
          <w:szCs w:val="22"/>
          <w:highlight w:val="none"/>
        </w:rPr>
      </w:pPr>
    </w:p>
    <w:p w14:paraId="6E69CDF6">
      <w:pPr>
        <w:pStyle w:val="92"/>
        <w:rPr>
          <w:sz w:val="22"/>
          <w:szCs w:val="22"/>
          <w:highlight w:val="none"/>
        </w:rPr>
      </w:pPr>
    </w:p>
    <w:p w14:paraId="6C0F494E">
      <w:pPr>
        <w:pStyle w:val="92"/>
        <w:rPr>
          <w:sz w:val="22"/>
          <w:szCs w:val="22"/>
          <w:highlight w:val="none"/>
        </w:rPr>
      </w:pPr>
    </w:p>
    <w:p w14:paraId="23A3EF82">
      <w:pPr>
        <w:pStyle w:val="92"/>
        <w:jc w:val="center"/>
        <w:rPr>
          <w:sz w:val="22"/>
          <w:szCs w:val="22"/>
          <w:highlight w:val="none"/>
          <w:lang w:eastAsia="zh-CN"/>
        </w:rPr>
      </w:pPr>
    </w:p>
    <w:p w14:paraId="659F2226">
      <w:pPr>
        <w:pStyle w:val="92"/>
        <w:rPr>
          <w:sz w:val="22"/>
          <w:szCs w:val="22"/>
          <w:highlight w:val="none"/>
        </w:rPr>
      </w:pPr>
    </w:p>
    <w:p w14:paraId="24EE0B09">
      <w:pPr>
        <w:pStyle w:val="92"/>
        <w:rPr>
          <w:sz w:val="22"/>
          <w:szCs w:val="22"/>
          <w:highlight w:val="none"/>
        </w:rPr>
      </w:pPr>
    </w:p>
    <w:p w14:paraId="11940BEF">
      <w:pPr>
        <w:pStyle w:val="92"/>
        <w:rPr>
          <w:sz w:val="22"/>
          <w:szCs w:val="22"/>
          <w:highlight w:val="none"/>
          <w:lang w:eastAsia="zh-CN"/>
        </w:rPr>
      </w:pPr>
    </w:p>
    <w:p w14:paraId="798413DD">
      <w:pPr>
        <w:pStyle w:val="92"/>
        <w:rPr>
          <w:sz w:val="22"/>
          <w:szCs w:val="22"/>
          <w:highlight w:val="none"/>
        </w:rPr>
      </w:pPr>
    </w:p>
    <w:p w14:paraId="5AFAF500">
      <w:pPr>
        <w:pStyle w:val="92"/>
        <w:rPr>
          <w:sz w:val="22"/>
          <w:szCs w:val="22"/>
          <w:highlight w:val="none"/>
        </w:rPr>
      </w:pPr>
    </w:p>
    <w:p w14:paraId="6895FA9B">
      <w:pPr>
        <w:pStyle w:val="92"/>
        <w:rPr>
          <w:sz w:val="22"/>
          <w:szCs w:val="22"/>
          <w:highlight w:val="none"/>
        </w:rPr>
      </w:pPr>
    </w:p>
    <w:p w14:paraId="5CBC04F1">
      <w:pPr>
        <w:pStyle w:val="92"/>
        <w:rPr>
          <w:rFonts w:ascii="Times New Roman" w:hAnsi="Times New Roman" w:cs="Times New Roman"/>
          <w:sz w:val="22"/>
          <w:szCs w:val="22"/>
          <w:highlight w:val="none"/>
          <w:lang w:eastAsia="zh-CN"/>
        </w:rPr>
      </w:pPr>
      <w:r>
        <w:rPr>
          <w:rFonts w:ascii="Times New Roman" w:hAnsi="Times New Roman" w:cs="Times New Roman"/>
          <w:sz w:val="22"/>
          <w:szCs w:val="22"/>
          <w:highlight w:val="none"/>
        </w:rPr>
        <w:t xml:space="preserve">Promoteur(s) : </w:t>
      </w:r>
      <w:r>
        <w:rPr>
          <w:rFonts w:ascii="Times New Roman" w:hAnsi="Times New Roman" w:cs="Times New Roman"/>
          <w:sz w:val="22"/>
          <w:szCs w:val="22"/>
          <w:highlight w:val="none"/>
          <w:lang w:eastAsia="zh-CN"/>
        </w:rPr>
        <w:t>Prof. Martine Schr</w:t>
      </w:r>
      <w:r>
        <w:rPr>
          <w:rFonts w:hint="eastAsia" w:ascii="Times New Roman" w:hAnsi="Times New Roman" w:cs="Times New Roman"/>
          <w:sz w:val="22"/>
          <w:szCs w:val="22"/>
          <w:highlight w:val="none"/>
          <w:lang w:eastAsia="zh-CN"/>
        </w:rPr>
        <w:t>o</w:t>
      </w:r>
      <w:r>
        <w:rPr>
          <w:rFonts w:ascii="Times New Roman" w:hAnsi="Times New Roman" w:cs="Times New Roman"/>
          <w:sz w:val="22"/>
          <w:szCs w:val="22"/>
          <w:highlight w:val="none"/>
          <w:lang w:eastAsia="zh-CN"/>
        </w:rPr>
        <w:t>yen &amp; Prof. Benhai Xiong</w:t>
      </w:r>
    </w:p>
    <w:p w14:paraId="34167C53">
      <w:pPr>
        <w:spacing w:after="200" w:line="276" w:lineRule="auto"/>
        <w:ind w:firstLine="0"/>
        <w:jc w:val="left"/>
        <w:rPr>
          <w:rFonts w:cs="Times New Roman"/>
          <w:highlight w:val="none"/>
          <w:lang w:eastAsia="zh-CN"/>
        </w:rPr>
      </w:pPr>
      <w:r>
        <w:rPr>
          <w:rFonts w:cs="Times New Roman"/>
          <w:highlight w:val="none"/>
        </w:rPr>
        <w:t>Année civile :</w:t>
      </w:r>
      <w:r>
        <w:rPr>
          <w:rFonts w:cs="Times New Roman"/>
          <w:highlight w:val="none"/>
          <w:lang w:eastAsia="zh-CN"/>
        </w:rPr>
        <w:t xml:space="preserve"> 2025</w:t>
      </w:r>
    </w:p>
    <w:p w14:paraId="5DAC4FC5">
      <w:pPr>
        <w:spacing w:after="200" w:line="276" w:lineRule="auto"/>
        <w:ind w:firstLine="0"/>
        <w:jc w:val="left"/>
        <w:rPr>
          <w:highlight w:val="none"/>
        </w:rPr>
      </w:pPr>
      <w:r>
        <w:rPr>
          <w:highlight w:val="none"/>
        </w:rPr>
        <w:br w:type="page"/>
      </w:r>
    </w:p>
    <w:p w14:paraId="367D2DAE">
      <w:pPr>
        <w:ind w:firstLine="0"/>
        <w:rPr>
          <w:highlight w:val="none"/>
        </w:rPr>
      </w:pPr>
    </w:p>
    <w:p w14:paraId="7B4E4260">
      <w:pPr>
        <w:ind w:firstLine="0"/>
        <w:rPr>
          <w:highlight w:val="none"/>
        </w:rPr>
      </w:pPr>
    </w:p>
    <w:p w14:paraId="045558BC">
      <w:pPr>
        <w:ind w:firstLine="0"/>
        <w:rPr>
          <w:highlight w:val="none"/>
        </w:rPr>
      </w:pPr>
    </w:p>
    <w:p w14:paraId="5939E183">
      <w:pPr>
        <w:ind w:firstLine="0"/>
        <w:rPr>
          <w:highlight w:val="none"/>
        </w:rPr>
      </w:pPr>
    </w:p>
    <w:p w14:paraId="1C8D47CB">
      <w:pPr>
        <w:ind w:firstLine="0"/>
        <w:rPr>
          <w:highlight w:val="none"/>
        </w:rPr>
      </w:pPr>
    </w:p>
    <w:p w14:paraId="7307EB1E">
      <w:pPr>
        <w:ind w:firstLine="0"/>
        <w:rPr>
          <w:highlight w:val="none"/>
        </w:rPr>
      </w:pPr>
    </w:p>
    <w:p w14:paraId="11D3DCD5">
      <w:pPr>
        <w:ind w:firstLine="0"/>
        <w:rPr>
          <w:highlight w:val="none"/>
        </w:rPr>
      </w:pPr>
    </w:p>
    <w:p w14:paraId="07CB7F78">
      <w:pPr>
        <w:ind w:firstLine="0"/>
        <w:rPr>
          <w:highlight w:val="none"/>
        </w:rPr>
      </w:pPr>
    </w:p>
    <w:p w14:paraId="24E5D8E4">
      <w:pPr>
        <w:ind w:firstLine="0"/>
        <w:rPr>
          <w:highlight w:val="none"/>
        </w:rPr>
      </w:pPr>
    </w:p>
    <w:p w14:paraId="20BE6272">
      <w:pPr>
        <w:ind w:firstLine="0"/>
        <w:rPr>
          <w:highlight w:val="none"/>
        </w:rPr>
      </w:pPr>
    </w:p>
    <w:p w14:paraId="42D36B0F">
      <w:pPr>
        <w:ind w:firstLine="0"/>
        <w:rPr>
          <w:highlight w:val="none"/>
        </w:rPr>
      </w:pPr>
    </w:p>
    <w:p w14:paraId="43BEE867">
      <w:pPr>
        <w:ind w:firstLine="0"/>
        <w:rPr>
          <w:highlight w:val="none"/>
        </w:rPr>
      </w:pPr>
    </w:p>
    <w:p w14:paraId="0DE69BFA">
      <w:pPr>
        <w:ind w:firstLine="0"/>
        <w:rPr>
          <w:highlight w:val="none"/>
        </w:rPr>
      </w:pPr>
    </w:p>
    <w:p w14:paraId="62FA7027">
      <w:pPr>
        <w:ind w:firstLine="0"/>
        <w:rPr>
          <w:highlight w:val="none"/>
        </w:rPr>
      </w:pPr>
    </w:p>
    <w:p w14:paraId="3CAD7A0F">
      <w:pPr>
        <w:ind w:firstLine="0"/>
        <w:rPr>
          <w:highlight w:val="none"/>
        </w:rPr>
      </w:pPr>
    </w:p>
    <w:p w14:paraId="66306EE2">
      <w:pPr>
        <w:ind w:firstLine="0"/>
        <w:rPr>
          <w:highlight w:val="none"/>
        </w:rPr>
      </w:pPr>
    </w:p>
    <w:p w14:paraId="6B1AC158">
      <w:pPr>
        <w:ind w:firstLine="0"/>
        <w:rPr>
          <w:highlight w:val="none"/>
        </w:rPr>
      </w:pPr>
    </w:p>
    <w:p w14:paraId="7C7846B9">
      <w:pPr>
        <w:ind w:firstLine="0"/>
        <w:rPr>
          <w:highlight w:val="none"/>
        </w:rPr>
      </w:pPr>
    </w:p>
    <w:p w14:paraId="2D3E2DDB">
      <w:pPr>
        <w:ind w:firstLine="0"/>
        <w:rPr>
          <w:highlight w:val="none"/>
        </w:rPr>
      </w:pPr>
    </w:p>
    <w:p w14:paraId="4571EDC5">
      <w:pPr>
        <w:ind w:firstLine="0"/>
        <w:rPr>
          <w:highlight w:val="none"/>
        </w:rPr>
      </w:pPr>
    </w:p>
    <w:p w14:paraId="3EBB75C9">
      <w:pPr>
        <w:ind w:firstLine="0"/>
        <w:rPr>
          <w:highlight w:val="none"/>
        </w:rPr>
      </w:pPr>
    </w:p>
    <w:p w14:paraId="38A263FB">
      <w:pPr>
        <w:ind w:firstLine="0"/>
        <w:rPr>
          <w:highlight w:val="none"/>
        </w:rPr>
      </w:pPr>
    </w:p>
    <w:p w14:paraId="48E2645B">
      <w:pPr>
        <w:ind w:firstLine="0"/>
        <w:rPr>
          <w:highlight w:val="none"/>
        </w:rPr>
      </w:pPr>
    </w:p>
    <w:p w14:paraId="3030DE89">
      <w:pPr>
        <w:ind w:firstLine="0"/>
        <w:rPr>
          <w:highlight w:val="none"/>
        </w:rPr>
      </w:pPr>
    </w:p>
    <w:p w14:paraId="5DD601B0">
      <w:pPr>
        <w:ind w:firstLine="0"/>
        <w:rPr>
          <w:highlight w:val="none"/>
        </w:rPr>
      </w:pPr>
    </w:p>
    <w:p w14:paraId="760BA78F">
      <w:pPr>
        <w:ind w:firstLine="0"/>
        <w:rPr>
          <w:highlight w:val="none"/>
        </w:rPr>
      </w:pPr>
    </w:p>
    <w:p w14:paraId="382804FF">
      <w:pPr>
        <w:ind w:firstLine="0"/>
        <w:rPr>
          <w:highlight w:val="none"/>
        </w:rPr>
      </w:pPr>
    </w:p>
    <w:p w14:paraId="725481C7">
      <w:pPr>
        <w:ind w:firstLine="0"/>
        <w:rPr>
          <w:highlight w:val="none"/>
        </w:rPr>
      </w:pPr>
    </w:p>
    <w:p w14:paraId="2F0392A6">
      <w:pPr>
        <w:ind w:firstLine="0"/>
        <w:rPr>
          <w:highlight w:val="none"/>
        </w:rPr>
      </w:pPr>
    </w:p>
    <w:p w14:paraId="371DBEC0">
      <w:pPr>
        <w:ind w:firstLine="0"/>
        <w:rPr>
          <w:highlight w:val="none"/>
        </w:rPr>
      </w:pPr>
    </w:p>
    <w:p w14:paraId="0B2B9A6E">
      <w:pPr>
        <w:ind w:firstLine="0"/>
        <w:rPr>
          <w:highlight w:val="none"/>
        </w:rPr>
      </w:pPr>
    </w:p>
    <w:p w14:paraId="22D016CD">
      <w:pPr>
        <w:ind w:firstLine="0"/>
        <w:rPr>
          <w:highlight w:val="none"/>
        </w:rPr>
      </w:pPr>
    </w:p>
    <w:p w14:paraId="240769BA">
      <w:pPr>
        <w:ind w:firstLine="0"/>
        <w:rPr>
          <w:highlight w:val="none"/>
        </w:rPr>
      </w:pPr>
    </w:p>
    <w:p w14:paraId="4B6FC156">
      <w:pPr>
        <w:ind w:firstLine="0"/>
        <w:rPr>
          <w:highlight w:val="none"/>
        </w:rPr>
      </w:pPr>
    </w:p>
    <w:p w14:paraId="1958E5FF">
      <w:pPr>
        <w:ind w:firstLine="0"/>
        <w:rPr>
          <w:highlight w:val="none"/>
        </w:rPr>
      </w:pPr>
    </w:p>
    <w:p w14:paraId="027C34BE">
      <w:pPr>
        <w:ind w:firstLine="0"/>
        <w:rPr>
          <w:highlight w:val="none"/>
        </w:rPr>
      </w:pPr>
    </w:p>
    <w:p w14:paraId="72000CFA">
      <w:pPr>
        <w:ind w:firstLine="0"/>
        <w:rPr>
          <w:sz w:val="18"/>
          <w:highlight w:val="none"/>
          <w:lang w:eastAsia="zh-CN"/>
        </w:rPr>
      </w:pPr>
      <w:r>
        <w:rPr>
          <w:sz w:val="18"/>
          <w:highlight w:val="none"/>
        </w:rPr>
        <w:t xml:space="preserve">© </w:t>
      </w:r>
      <w:r>
        <w:rPr>
          <w:rFonts w:hint="eastAsia"/>
          <w:sz w:val="18"/>
          <w:highlight w:val="none"/>
          <w:lang w:eastAsia="zh-CN"/>
        </w:rPr>
        <w:t>Wanjie Yu</w:t>
      </w:r>
      <w:r>
        <w:rPr>
          <w:sz w:val="18"/>
          <w:highlight w:val="none"/>
        </w:rPr>
        <w:t xml:space="preserve">, </w:t>
      </w:r>
      <w:r>
        <w:rPr>
          <w:rFonts w:hint="eastAsia"/>
          <w:sz w:val="18"/>
          <w:highlight w:val="none"/>
          <w:lang w:eastAsia="zh-CN"/>
        </w:rPr>
        <w:t>2025</w:t>
      </w:r>
    </w:p>
    <w:p w14:paraId="06FEB642">
      <w:pPr>
        <w:ind w:firstLine="0"/>
        <w:rPr>
          <w:highlight w:val="none"/>
        </w:rPr>
      </w:pPr>
    </w:p>
    <w:p w14:paraId="74A2A783">
      <w:pPr>
        <w:ind w:firstLine="0"/>
        <w:rPr>
          <w:highlight w:val="none"/>
        </w:rPr>
      </w:pPr>
    </w:p>
    <w:p w14:paraId="1F014CDF">
      <w:pPr>
        <w:ind w:firstLine="0"/>
        <w:rPr>
          <w:highlight w:val="none"/>
        </w:rPr>
      </w:pPr>
    </w:p>
    <w:p w14:paraId="0FEEB94B">
      <w:pPr>
        <w:ind w:firstLine="0"/>
        <w:rPr>
          <w:highlight w:val="none"/>
        </w:rPr>
      </w:pPr>
    </w:p>
    <w:p w14:paraId="54472126">
      <w:pPr>
        <w:rPr>
          <w:highlight w:val="none"/>
        </w:rPr>
        <w:sectPr>
          <w:headerReference r:id="rId5" w:type="default"/>
          <w:footerReference r:id="rId6" w:type="default"/>
          <w:footerReference r:id="rId7" w:type="even"/>
          <w:pgSz w:w="9639" w:h="13608"/>
          <w:pgMar w:top="907" w:right="1021" w:bottom="1247" w:left="1361" w:header="709" w:footer="709" w:gutter="0"/>
          <w:cols w:space="708" w:num="1"/>
          <w:docGrid w:linePitch="360" w:charSpace="0"/>
        </w:sectPr>
      </w:pPr>
    </w:p>
    <w:p w14:paraId="47CFA3C5">
      <w:pPr>
        <w:pStyle w:val="3"/>
        <w:numPr>
          <w:ilvl w:val="0"/>
          <w:numId w:val="0"/>
        </w:numPr>
        <w:ind w:left="170"/>
        <w:rPr>
          <w:highlight w:val="none"/>
        </w:rPr>
      </w:pPr>
      <w:bookmarkStart w:id="0" w:name="_Toc207979730"/>
      <w:r>
        <w:rPr>
          <w:highlight w:val="none"/>
        </w:rPr>
        <w:t>Abstract</w:t>
      </w:r>
      <w:bookmarkEnd w:id="0"/>
    </w:p>
    <w:p w14:paraId="0B5563D9">
      <w:pPr>
        <w:rPr>
          <w:highlight w:val="none"/>
          <w:lang w:val="en-US"/>
        </w:rPr>
      </w:pPr>
      <w:bookmarkStart w:id="1" w:name="OLE_LINK3"/>
      <w:r>
        <w:rPr>
          <w:rStyle w:val="93"/>
          <w:rFonts w:cs="Times New Roman"/>
          <w:bCs/>
          <w:highlight w:val="none"/>
        </w:rPr>
        <w:t xml:space="preserve">Small extracellular vesicles (sEVs), as important mediators of intercellular communication, carry functional molecules such as miRNAs, mRNAs, and lncRNAs. The composition of </w:t>
      </w:r>
      <w:r>
        <w:rPr>
          <w:rStyle w:val="93"/>
          <w:rFonts w:hint="eastAsia" w:cs="Times New Roman"/>
          <w:bCs/>
          <w:highlight w:val="none"/>
          <w:lang w:eastAsia="zh-CN"/>
        </w:rPr>
        <w:t>s</w:t>
      </w:r>
      <w:r>
        <w:rPr>
          <w:rStyle w:val="93"/>
          <w:rFonts w:cs="Times New Roman"/>
          <w:bCs/>
          <w:highlight w:val="none"/>
        </w:rPr>
        <w:t xml:space="preserve">EVs is highly dynamic and can be significantly influenced by different nutritional statuses and disease conditions. For instance, changes in diet, including the supplementation of functional ingredients, can alter the </w:t>
      </w:r>
      <w:r>
        <w:rPr>
          <w:rStyle w:val="93"/>
          <w:rFonts w:hint="eastAsia" w:cs="Times New Roman"/>
          <w:bCs/>
          <w:highlight w:val="none"/>
          <w:lang w:eastAsia="zh-CN"/>
        </w:rPr>
        <w:t>contents</w:t>
      </w:r>
      <w:r>
        <w:rPr>
          <w:rStyle w:val="93"/>
          <w:rFonts w:cs="Times New Roman"/>
          <w:bCs/>
          <w:highlight w:val="none"/>
        </w:rPr>
        <w:t xml:space="preserve"> of </w:t>
      </w:r>
      <w:r>
        <w:rPr>
          <w:rStyle w:val="93"/>
          <w:rFonts w:hint="eastAsia" w:cs="Times New Roman"/>
          <w:bCs/>
          <w:highlight w:val="none"/>
          <w:lang w:eastAsia="zh-CN"/>
        </w:rPr>
        <w:t>s</w:t>
      </w:r>
      <w:r>
        <w:rPr>
          <w:rStyle w:val="93"/>
          <w:rFonts w:cs="Times New Roman"/>
          <w:bCs/>
          <w:highlight w:val="none"/>
        </w:rPr>
        <w:t>EVs. This alteration can further modulate immune responses, cellular metabolism, and tissue repair. In addition, under various pathological conditions, such as subclinical mastitis</w:t>
      </w:r>
      <w:r>
        <w:rPr>
          <w:rStyle w:val="93"/>
          <w:rFonts w:hint="eastAsia" w:cs="Times New Roman"/>
          <w:bCs/>
          <w:highlight w:val="none"/>
          <w:lang w:eastAsia="zh-CN"/>
        </w:rPr>
        <w:t xml:space="preserve"> (SCM)</w:t>
      </w:r>
      <w:r>
        <w:rPr>
          <w:rStyle w:val="93"/>
          <w:rFonts w:cs="Times New Roman"/>
          <w:bCs/>
          <w:highlight w:val="none"/>
        </w:rPr>
        <w:t xml:space="preserve"> or inflammation, </w:t>
      </w:r>
      <w:r>
        <w:rPr>
          <w:rStyle w:val="93"/>
          <w:rFonts w:hint="eastAsia" w:cs="Times New Roman"/>
          <w:bCs/>
          <w:highlight w:val="none"/>
          <w:lang w:eastAsia="zh-CN"/>
        </w:rPr>
        <w:t>s</w:t>
      </w:r>
      <w:r>
        <w:rPr>
          <w:rStyle w:val="93"/>
          <w:rFonts w:cs="Times New Roman"/>
          <w:bCs/>
          <w:highlight w:val="none"/>
        </w:rPr>
        <w:t xml:space="preserve">EVs can carry molecular signals that not only reflect the state of disease but also actively participate in regulating immune responses and other physiological processes. Previous studies have demonstrated that inulin supplementation can alleviate </w:t>
      </w:r>
      <w:r>
        <w:rPr>
          <w:rStyle w:val="93"/>
          <w:rFonts w:hint="eastAsia" w:cs="Times New Roman"/>
          <w:bCs/>
          <w:highlight w:val="none"/>
          <w:lang w:eastAsia="zh-CN"/>
        </w:rPr>
        <w:t>SCM</w:t>
      </w:r>
      <w:r>
        <w:rPr>
          <w:rStyle w:val="93"/>
          <w:rFonts w:cs="Times New Roman"/>
          <w:bCs/>
          <w:highlight w:val="none"/>
        </w:rPr>
        <w:t xml:space="preserve"> and improve milk yield and quality in dairy cows, possibly by modulating microbial composition and metaboli</w:t>
      </w:r>
      <w:r>
        <w:rPr>
          <w:rStyle w:val="93"/>
          <w:rFonts w:hint="eastAsia" w:cs="Times New Roman"/>
          <w:bCs/>
          <w:highlight w:val="none"/>
          <w:lang w:eastAsia="zh-CN"/>
        </w:rPr>
        <w:t>tes</w:t>
      </w:r>
      <w:r>
        <w:rPr>
          <w:rStyle w:val="93"/>
          <w:rFonts w:cs="Times New Roman"/>
          <w:bCs/>
          <w:highlight w:val="none"/>
        </w:rPr>
        <w:t xml:space="preserve">. However, the underlying molecular mechanisms by which inulin affects the composition of </w:t>
      </w:r>
      <w:r>
        <w:rPr>
          <w:rStyle w:val="93"/>
          <w:rFonts w:hint="eastAsia" w:cs="Times New Roman"/>
          <w:bCs/>
          <w:highlight w:val="none"/>
          <w:lang w:eastAsia="zh-CN"/>
        </w:rPr>
        <w:t>s</w:t>
      </w:r>
      <w:r>
        <w:rPr>
          <w:rStyle w:val="93"/>
          <w:rFonts w:cs="Times New Roman"/>
          <w:bCs/>
          <w:highlight w:val="none"/>
        </w:rPr>
        <w:t xml:space="preserve">EVs, especially regarding their RNA </w:t>
      </w:r>
      <w:r>
        <w:rPr>
          <w:rStyle w:val="93"/>
          <w:rFonts w:hint="eastAsia" w:cs="Times New Roman"/>
          <w:bCs/>
          <w:highlight w:val="none"/>
          <w:lang w:eastAsia="zh-CN"/>
        </w:rPr>
        <w:t>contents</w:t>
      </w:r>
      <w:r>
        <w:rPr>
          <w:rStyle w:val="93"/>
          <w:rFonts w:cs="Times New Roman"/>
          <w:bCs/>
          <w:highlight w:val="none"/>
        </w:rPr>
        <w:t xml:space="preserve">, remain unclear. Moreover, </w:t>
      </w:r>
      <w:r>
        <w:rPr>
          <w:rStyle w:val="93"/>
          <w:rFonts w:hint="eastAsia" w:cs="Times New Roman"/>
          <w:bCs/>
          <w:highlight w:val="none"/>
          <w:lang w:eastAsia="zh-CN"/>
        </w:rPr>
        <w:t>s</w:t>
      </w:r>
      <w:r>
        <w:rPr>
          <w:rStyle w:val="93"/>
          <w:rFonts w:cs="Times New Roman"/>
          <w:bCs/>
          <w:highlight w:val="none"/>
        </w:rPr>
        <w:t>EVs are not only carriers of information but can also reverse regulatory effects on the organism, influencing processes like immune response, metabolism, and cellular differentiation. Therefore, this study aimed to investigate the effects of inulin supplementation on sEV</w:t>
      </w:r>
      <w:r>
        <w:rPr>
          <w:rStyle w:val="93"/>
          <w:rFonts w:hint="eastAsia" w:cs="Times New Roman"/>
          <w:bCs/>
          <w:highlight w:val="none"/>
          <w:lang w:eastAsia="zh-CN"/>
        </w:rPr>
        <w:t>s</w:t>
      </w:r>
      <w:r>
        <w:rPr>
          <w:rStyle w:val="93"/>
          <w:rFonts w:cs="Times New Roman"/>
          <w:bCs/>
          <w:highlight w:val="none"/>
        </w:rPr>
        <w:t>-derived miRNAs and other RNA molecules in bovine serum and milk, and to e</w:t>
      </w:r>
      <w:r>
        <w:rPr>
          <w:rStyle w:val="93"/>
          <w:rFonts w:hint="eastAsia" w:cs="Times New Roman"/>
          <w:bCs/>
          <w:highlight w:val="none"/>
          <w:lang w:eastAsia="zh-CN"/>
        </w:rPr>
        <w:t>xplore</w:t>
      </w:r>
      <w:r>
        <w:rPr>
          <w:rStyle w:val="93"/>
          <w:rFonts w:cs="Times New Roman"/>
          <w:bCs/>
          <w:highlight w:val="none"/>
        </w:rPr>
        <w:t xml:space="preserve"> the potential signaling pathways involved, providing insights into the molecular basis of inulin's effects.</w:t>
      </w:r>
      <w:r>
        <w:rPr>
          <w:highlight w:val="none"/>
          <w:lang w:val="en-US"/>
        </w:rPr>
        <w:t xml:space="preserve"> </w:t>
      </w:r>
    </w:p>
    <w:p w14:paraId="65E43839">
      <w:pPr>
        <w:rPr>
          <w:highlight w:val="none"/>
          <w:lang w:val="en-US"/>
        </w:rPr>
      </w:pPr>
      <w:r>
        <w:rPr>
          <w:highlight w:val="none"/>
          <w:lang w:val="en-US"/>
        </w:rPr>
        <w:t>Firstly, we profiled sEV</w:t>
      </w:r>
      <w:r>
        <w:rPr>
          <w:rFonts w:hint="eastAsia"/>
          <w:highlight w:val="none"/>
          <w:lang w:val="en-US" w:eastAsia="zh-CN"/>
        </w:rPr>
        <w:t>s</w:t>
      </w:r>
      <w:r>
        <w:rPr>
          <w:highlight w:val="none"/>
          <w:lang w:val="en-US"/>
        </w:rPr>
        <w:t>-derived miRNAs in serum</w:t>
      </w:r>
      <w:r>
        <w:rPr>
          <w:rFonts w:hint="eastAsia"/>
          <w:highlight w:val="none"/>
          <w:lang w:val="en-US" w:eastAsia="zh-CN"/>
        </w:rPr>
        <w:t xml:space="preserve"> from both control and inulin groups (n=5 for each group),</w:t>
      </w:r>
      <w:r>
        <w:rPr>
          <w:highlight w:val="none"/>
          <w:lang w:val="en-US"/>
        </w:rPr>
        <w:t xml:space="preserve"> and found that inulin supplementation significantly altered the expression of multiple miRNAs, including 23 known miRNAs and 21 novel miRNAs</w:t>
      </w:r>
      <w:r>
        <w:rPr>
          <w:rFonts w:hint="eastAsia"/>
          <w:highlight w:val="none"/>
          <w:lang w:val="en-US" w:eastAsia="zh-CN"/>
        </w:rPr>
        <w:t xml:space="preserve"> (adjusted p-value &lt; 0.05)</w:t>
      </w:r>
      <w:r>
        <w:rPr>
          <w:highlight w:val="none"/>
          <w:lang w:val="en-US"/>
        </w:rPr>
        <w:t xml:space="preserve">. Gene ontology </w:t>
      </w:r>
      <w:r>
        <w:rPr>
          <w:rFonts w:hint="eastAsia"/>
          <w:highlight w:val="none"/>
          <w:lang w:val="en-US" w:eastAsia="zh-CN"/>
        </w:rPr>
        <w:t>(</w:t>
      </w:r>
      <w:r>
        <w:rPr>
          <w:highlight w:val="none"/>
          <w:lang w:val="en-US"/>
        </w:rPr>
        <w:t>GO</w:t>
      </w:r>
      <w:r>
        <w:rPr>
          <w:rFonts w:hint="eastAsia"/>
          <w:highlight w:val="none"/>
          <w:lang w:val="en-US" w:eastAsia="zh-CN"/>
        </w:rPr>
        <w:t>)</w:t>
      </w:r>
      <w:r>
        <w:rPr>
          <w:highlight w:val="none"/>
          <w:lang w:val="en-US"/>
        </w:rPr>
        <w:t xml:space="preserve"> enrichment analysis indicated that the differentially expressed</w:t>
      </w:r>
      <w:r>
        <w:rPr>
          <w:rFonts w:hint="eastAsia"/>
          <w:highlight w:val="none"/>
          <w:lang w:val="en-US" w:eastAsia="zh-CN"/>
        </w:rPr>
        <w:t xml:space="preserve"> (DE)</w:t>
      </w:r>
      <w:r>
        <w:rPr>
          <w:highlight w:val="none"/>
          <w:lang w:val="en-US"/>
        </w:rPr>
        <w:t xml:space="preserve"> miRNAs were primarily involved in biological processes such as signal transduction, cell differentiation, cell adhesion, apoptotic processes, actin cytoskeleton organization, and DNA-binding transcription factor activity, highlighting their roles in immune regulation and cellular responses. Kyoto Encyclopedia of Genes and Genomes (KEGG) analysis revealed that these miRNAs were significantly enriched in immune- and metabolism-related pathways, including the </w:t>
      </w:r>
      <w:r>
        <w:rPr>
          <w:rFonts w:cs="Times New Roman"/>
          <w:highlight w:val="none"/>
        </w:rPr>
        <w:t>NF-κB</w:t>
      </w:r>
      <w:r>
        <w:rPr>
          <w:highlight w:val="none"/>
          <w:lang w:val="en-US"/>
        </w:rPr>
        <w:t xml:space="preserve"> signaling pathway, MAPK signaling pathway, natural killer cell-mediated cytotoxicity, PPAR signaling pathway, and insulin signaling pathway.</w:t>
      </w:r>
    </w:p>
    <w:p w14:paraId="7B0CA821">
      <w:pPr>
        <w:rPr>
          <w:highlight w:val="none"/>
          <w:lang w:val="en-US"/>
        </w:rPr>
      </w:pPr>
      <w:bookmarkStart w:id="2" w:name="OLE_LINK2"/>
      <w:r>
        <w:rPr>
          <w:highlight w:val="none"/>
          <w:lang w:val="en-US"/>
        </w:rPr>
        <w:t>Secondly, the expression analysis of sEV</w:t>
      </w:r>
      <w:r>
        <w:rPr>
          <w:rFonts w:hint="eastAsia"/>
          <w:highlight w:val="none"/>
          <w:lang w:val="en-US" w:eastAsia="zh-CN"/>
        </w:rPr>
        <w:t>s</w:t>
      </w:r>
      <w:r>
        <w:rPr>
          <w:highlight w:val="none"/>
          <w:lang w:val="en-US"/>
        </w:rPr>
        <w:t>-derived miRNAs in milk</w:t>
      </w:r>
      <w:r>
        <w:rPr>
          <w:rFonts w:hint="eastAsia"/>
          <w:highlight w:val="none"/>
          <w:lang w:val="en-US" w:eastAsia="zh-CN"/>
        </w:rPr>
        <w:t xml:space="preserve"> from both control and inulin groups (n=7 for each group),</w:t>
      </w:r>
      <w:r>
        <w:rPr>
          <w:highlight w:val="none"/>
          <w:lang w:val="en-US"/>
        </w:rPr>
        <w:t xml:space="preserve"> revealed that inulin supplementation also modulated miRNAs associated with local mammary immune regulation. </w:t>
      </w:r>
      <w:bookmarkEnd w:id="2"/>
      <w:r>
        <w:rPr>
          <w:highlight w:val="none"/>
          <w:lang w:val="en-US"/>
        </w:rPr>
        <w:t>Nine DE miRNAs were identified between the two groups</w:t>
      </w:r>
      <w:r>
        <w:rPr>
          <w:rFonts w:hint="eastAsia"/>
          <w:highlight w:val="none"/>
          <w:lang w:val="en-US" w:eastAsia="zh-CN"/>
        </w:rPr>
        <w:t xml:space="preserve"> (adjusted p-value &lt; 0.05)</w:t>
      </w:r>
      <w:r>
        <w:rPr>
          <w:highlight w:val="none"/>
          <w:lang w:val="en-US"/>
        </w:rPr>
        <w:t>.</w:t>
      </w:r>
      <w:r>
        <w:rPr>
          <w:rFonts w:hint="eastAsia"/>
          <w:highlight w:val="none"/>
          <w:lang w:val="en-US" w:eastAsia="zh-CN"/>
        </w:rPr>
        <w:t xml:space="preserve"> </w:t>
      </w:r>
      <w:r>
        <w:rPr>
          <w:highlight w:val="none"/>
          <w:lang w:val="en-US"/>
        </w:rPr>
        <w:t xml:space="preserve">GO enrichment analysis showed that the </w:t>
      </w:r>
      <w:r>
        <w:rPr>
          <w:rFonts w:hint="eastAsia"/>
          <w:highlight w:val="none"/>
          <w:lang w:val="en-US" w:eastAsia="zh-CN"/>
        </w:rPr>
        <w:t>DE</w:t>
      </w:r>
      <w:r>
        <w:rPr>
          <w:highlight w:val="none"/>
          <w:lang w:val="en-US"/>
        </w:rPr>
        <w:t xml:space="preserve"> miRNAs were involved in biological processes such as transmembrane signaling receptor activity, signaling receptor activity, molecular transducer activity, and ion channel activity, highlighting their roles in cell signaling and immune responses. KEGG pathway analysis identified significant enrichment in pathways such as the thyroid hormone signaling pathway, regulation of actin cytoskeleton, Ras signaling pathway, Rap1 signaling pathway, and inflammatory mediator regulation of TRP channels, all of which are essential for immune regulation and cellular responses.</w:t>
      </w:r>
    </w:p>
    <w:p w14:paraId="4E3BF61B">
      <w:pPr>
        <w:rPr>
          <w:highlight w:val="none"/>
          <w:lang w:val="en-US" w:eastAsia="zh-CN"/>
        </w:rPr>
      </w:pPr>
      <w:r>
        <w:rPr>
          <w:highlight w:val="none"/>
          <w:lang w:val="en-US"/>
        </w:rPr>
        <w:t xml:space="preserve">Furthermore, we analyzed </w:t>
      </w:r>
      <w:r>
        <w:rPr>
          <w:rFonts w:hint="eastAsia"/>
          <w:highlight w:val="none"/>
          <w:lang w:val="en-US" w:eastAsia="zh-CN"/>
        </w:rPr>
        <w:t>other</w:t>
      </w:r>
      <w:r>
        <w:rPr>
          <w:highlight w:val="none"/>
          <w:lang w:val="en-US"/>
        </w:rPr>
        <w:t xml:space="preserve"> RNA profiles in bovine milk</w:t>
      </w:r>
      <w:r>
        <w:rPr>
          <w:rFonts w:hint="eastAsia"/>
          <w:highlight w:val="none"/>
          <w:lang w:val="en-US" w:eastAsia="zh-CN"/>
        </w:rPr>
        <w:t>-sEVs</w:t>
      </w:r>
      <w:r>
        <w:rPr>
          <w:highlight w:val="none"/>
          <w:lang w:val="en-US"/>
        </w:rPr>
        <w:t xml:space="preserve"> and identified 542 </w:t>
      </w:r>
      <w:r>
        <w:rPr>
          <w:rFonts w:hint="eastAsia"/>
          <w:highlight w:val="none"/>
          <w:lang w:val="en-US" w:eastAsia="zh-CN"/>
        </w:rPr>
        <w:t>DE</w:t>
      </w:r>
      <w:r>
        <w:rPr>
          <w:highlight w:val="none"/>
          <w:lang w:val="en-US"/>
        </w:rPr>
        <w:t xml:space="preserve"> lncRNAs and 1300 DE mRNAs</w:t>
      </w:r>
      <w:r>
        <w:rPr>
          <w:rFonts w:hint="eastAsia"/>
          <w:highlight w:val="none"/>
          <w:lang w:val="en-US" w:eastAsia="zh-CN"/>
        </w:rPr>
        <w:t xml:space="preserve"> (adjusted p-value &lt; 0.05)</w:t>
      </w:r>
      <w:r>
        <w:rPr>
          <w:highlight w:val="none"/>
          <w:lang w:val="en-US"/>
        </w:rPr>
        <w:t>. The GO analysis of DE lncRNAs revealed that they were mainly involved in processes such as tRNA binding, peptide binding, DNA-binding transcription factor activity, cysteine-type deubiquitinase activity, and chromatin binding. These lncRNAs may play significant roles in regulating gene expression.</w:t>
      </w:r>
      <w:r>
        <w:rPr>
          <w:rFonts w:hint="eastAsia"/>
          <w:highlight w:val="none"/>
          <w:lang w:val="en-US" w:eastAsia="zh-CN"/>
        </w:rPr>
        <w:t xml:space="preserve"> </w:t>
      </w:r>
      <w:r>
        <w:rPr>
          <w:highlight w:val="none"/>
          <w:lang w:val="en-US" w:eastAsia="zh-CN"/>
        </w:rPr>
        <w:t xml:space="preserve">KEGG pathways suggesting that they may play important roles in immune regulation, metabolic balance, and cell survival, including </w:t>
      </w:r>
      <w:r>
        <w:rPr>
          <w:rFonts w:hint="eastAsia"/>
          <w:highlight w:val="none"/>
          <w:lang w:val="en-US" w:eastAsia="zh-CN"/>
        </w:rPr>
        <w:t>s</w:t>
      </w:r>
      <w:r>
        <w:rPr>
          <w:highlight w:val="none"/>
          <w:lang w:val="en-US" w:eastAsia="zh-CN"/>
        </w:rPr>
        <w:t xml:space="preserve">phingolipid metabolism, </w:t>
      </w:r>
      <w:r>
        <w:rPr>
          <w:rFonts w:hint="eastAsia"/>
          <w:highlight w:val="none"/>
          <w:lang w:val="en-US" w:eastAsia="zh-CN"/>
        </w:rPr>
        <w:t>r</w:t>
      </w:r>
      <w:r>
        <w:rPr>
          <w:highlight w:val="none"/>
          <w:lang w:val="en-US" w:eastAsia="zh-CN"/>
        </w:rPr>
        <w:t xml:space="preserve">etinol metabolism, </w:t>
      </w:r>
      <w:r>
        <w:rPr>
          <w:rFonts w:hint="eastAsia"/>
          <w:highlight w:val="none"/>
          <w:lang w:val="en-US" w:eastAsia="zh-CN"/>
        </w:rPr>
        <w:t>p</w:t>
      </w:r>
      <w:r>
        <w:rPr>
          <w:highlight w:val="none"/>
          <w:lang w:val="en-US" w:eastAsia="zh-CN"/>
        </w:rPr>
        <w:t xml:space="preserve">rotein processing in the endoplasmic reticulum, </w:t>
      </w:r>
      <w:r>
        <w:rPr>
          <w:rFonts w:hint="eastAsia"/>
          <w:highlight w:val="none"/>
          <w:lang w:val="en-US" w:eastAsia="zh-CN"/>
        </w:rPr>
        <w:t>l</w:t>
      </w:r>
      <w:r>
        <w:rPr>
          <w:highlight w:val="none"/>
          <w:lang w:val="en-US" w:eastAsia="zh-CN"/>
        </w:rPr>
        <w:t xml:space="preserve">ysosome function, and </w:t>
      </w:r>
      <w:r>
        <w:rPr>
          <w:rFonts w:hint="eastAsia"/>
          <w:highlight w:val="none"/>
          <w:lang w:val="en-US" w:eastAsia="zh-CN"/>
        </w:rPr>
        <w:t>a</w:t>
      </w:r>
      <w:r>
        <w:rPr>
          <w:highlight w:val="none"/>
          <w:lang w:val="en-US" w:eastAsia="zh-CN"/>
        </w:rPr>
        <w:t>poptosis</w:t>
      </w:r>
      <w:r>
        <w:rPr>
          <w:rFonts w:hint="eastAsia"/>
          <w:highlight w:val="none"/>
          <w:lang w:val="en-US" w:eastAsia="zh-CN"/>
        </w:rPr>
        <w:t>-</w:t>
      </w:r>
      <w:r>
        <w:rPr>
          <w:highlight w:val="none"/>
          <w:lang w:val="en-US" w:eastAsia="zh-CN"/>
        </w:rPr>
        <w:t>multiple species.</w:t>
      </w:r>
      <w:r>
        <w:rPr>
          <w:rFonts w:hint="eastAsia"/>
          <w:highlight w:val="none"/>
          <w:lang w:val="en-US" w:eastAsia="zh-CN"/>
        </w:rPr>
        <w:t xml:space="preserve"> </w:t>
      </w:r>
      <w:r>
        <w:rPr>
          <w:highlight w:val="none"/>
          <w:lang w:val="en-US" w:eastAsia="zh-CN"/>
        </w:rPr>
        <w:t>The GO analysis of DE mRNAs revealed their involvement in several crucial biological processes, such as regulation of triglyceride biosynthesis, DNA replication, cell growth, and mRNA metabolism. Additionally, these mRNAs were associated with processes like chromatin remodeling, cellular response to xenobiotic stimulus, and activation of cysteine-type endopeptidase activity involved in apoptosis. These findings suggest that the differentially expressed mRNAs may play significant roles in lipid metabolism, cell cycle regulation, and apoptosis, as well as in responses to external stimuli.</w:t>
      </w:r>
      <w:r>
        <w:rPr>
          <w:rFonts w:hint="eastAsia"/>
          <w:highlight w:val="none"/>
          <w:lang w:val="en-US" w:eastAsia="zh-CN"/>
        </w:rPr>
        <w:t xml:space="preserve"> </w:t>
      </w:r>
      <w:r>
        <w:rPr>
          <w:highlight w:val="none"/>
          <w:lang w:val="en-US" w:eastAsia="zh-CN"/>
        </w:rPr>
        <w:t xml:space="preserve">KEGG pathway analysis revealed significant enrichment of DE mRNAs in pathways such as Taurine and hypotaurine metabolism, </w:t>
      </w:r>
      <w:r>
        <w:rPr>
          <w:rFonts w:cs="Times New Roman"/>
          <w:highlight w:val="none"/>
        </w:rPr>
        <w:t>NF-κB</w:t>
      </w:r>
      <w:r>
        <w:rPr>
          <w:highlight w:val="none"/>
          <w:lang w:val="en-US" w:eastAsia="zh-CN"/>
        </w:rPr>
        <w:t xml:space="preserve"> signaling pathway, and Inositol phosphate metabolism, which are essential for immune regulation, metabolic balance, and cellular signaling. Furthermore, DE mRNAs were associated with pathways involved in endocrine resistance, cell cycle regulation, biosynthesis of nucleotide sugars, and amino sugar and nucleotide sugar metabolism, highlighting their potential roles in cellular growth, stress response, and metabolic control.</w:t>
      </w:r>
    </w:p>
    <w:p w14:paraId="0ED59C90">
      <w:pPr>
        <w:rPr>
          <w:highlight w:val="none"/>
          <w:lang w:val="en-US" w:eastAsia="zh-CN"/>
        </w:rPr>
      </w:pPr>
      <w:r>
        <w:rPr>
          <w:highlight w:val="none"/>
          <w:lang w:val="en-US" w:eastAsia="zh-CN"/>
        </w:rPr>
        <w:t>In conclusion, inulin supplementation significantly altered the expression profiles of sEV</w:t>
      </w:r>
      <w:r>
        <w:rPr>
          <w:rFonts w:hint="eastAsia"/>
          <w:highlight w:val="none"/>
          <w:lang w:val="en-US" w:eastAsia="zh-CN"/>
        </w:rPr>
        <w:t>s</w:t>
      </w:r>
      <w:r>
        <w:rPr>
          <w:highlight w:val="none"/>
          <w:lang w:val="en-US" w:eastAsia="zh-CN"/>
        </w:rPr>
        <w:t xml:space="preserve">-derived miRNAs, mRNAs, and lncRNAs in both bovine serum and milk. These RNA molecules were associated with critical immune regulation and metabolic pathways, including immune signaling, cellular processes, and metabolic regulation. These findings suggest that inulin supplementation </w:t>
      </w:r>
      <w:r>
        <w:rPr>
          <w:rFonts w:hint="eastAsia"/>
          <w:highlight w:val="none"/>
          <w:lang w:val="en-US" w:eastAsia="zh-CN"/>
        </w:rPr>
        <w:t>could</w:t>
      </w:r>
      <w:r>
        <w:rPr>
          <w:highlight w:val="none"/>
          <w:lang w:val="en-US" w:eastAsia="zh-CN"/>
        </w:rPr>
        <w:t xml:space="preserve"> help restore immune balance, reduce inflammation, and support metabolic homeostasis.</w:t>
      </w:r>
      <w:bookmarkEnd w:id="1"/>
    </w:p>
    <w:p w14:paraId="7F4DCBFA">
      <w:pPr>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br w:type="page"/>
      </w:r>
    </w:p>
    <w:p w14:paraId="66973DE3">
      <w:pPr>
        <w:pStyle w:val="3"/>
        <w:numPr>
          <w:ilvl w:val="0"/>
          <w:numId w:val="0"/>
        </w:numPr>
        <w:ind w:left="170"/>
        <w:rPr>
          <w:highlight w:val="none"/>
        </w:rPr>
      </w:pPr>
      <w:bookmarkStart w:id="3" w:name="_Toc207979731"/>
      <w:r>
        <w:rPr>
          <w:highlight w:val="none"/>
        </w:rPr>
        <w:t>Résumé</w:t>
      </w:r>
      <w:bookmarkEnd w:id="3"/>
    </w:p>
    <w:p w14:paraId="348BE442">
      <w:pPr>
        <w:rPr>
          <w:rStyle w:val="93"/>
          <w:rFonts w:cs="Times New Roman"/>
          <w:bCs/>
          <w:highlight w:val="none"/>
          <w:lang w:val="zh-CN" w:eastAsia="zh-CN"/>
        </w:rPr>
      </w:pPr>
      <w:r>
        <w:rPr>
          <w:rStyle w:val="93"/>
          <w:rFonts w:cs="Times New Roman"/>
          <w:bCs/>
          <w:highlight w:val="none"/>
          <w:lang w:val="zh-CN"/>
        </w:rPr>
        <w:t>Les vésicules extracellulaires petites (sEVs), en tant que médiateurs importants de la communication intercellulaire, transportent des molécules fonctionnelles telles que des miARN, des ARNm et des lncARN. La composition des sEVs est hautement dynamique et peut être significativement influencée par différents statuts nutritionnels et conditions pathologiques. Par exemple, des changements dans l'alimentation, y compris l'ajout d'ingrédients fonctionnels, peuvent altérer le contenu des sEVs. Cette altération peut moduler davantage les réponses immunitaires, le métabolisme cellulaire et la réparation des tissus. De plus, dans diverses conditions pathologiques, telles que la mastite subclinique ou l'inflammation, les sEVs peuvent transporter des signaux moléculaires qui non seulement reflètent l'état de la maladie, mais participent également activement à la régulation des réponses immunitaires et d'autres processus physiologiques. Des études antérieures ont démontré que la supplémentation en inuline peut atténuer la mastite subclinique et améliorer la production et la qualité du lait chez les vaches laitières, probablement en modulant la composition microbienne et les métabolites. Cependant, les mécanismes moléculaires sous-jacents par lesquels l'inuline affecte la composition des sEVs, notamment en ce qui concerne leur contenu en ARN, restent flous. De plus, les sEVs ne sont pas seulement des transporteurs d'information, mais peuvent également inverser les effets régulateurs sur l'organisme, influençant des processus tels que la réponse immunitaire, le métabolisme et la différenciation cellulaire. Par conséquent, cette étude visait à examiner les effets de la supplémentation en inuline sur les miARN dérivés des sEVs et d'autres molécules ARN dans le sérum et le lait bovins, et à explorer les voies de signalisation potentielles impliquées, afin de fournir des éclairages sur la base moléculaire des effets de l'inuline.</w:t>
      </w:r>
    </w:p>
    <w:p w14:paraId="75C07591">
      <w:pPr>
        <w:rPr>
          <w:rStyle w:val="93"/>
          <w:rFonts w:cs="Times New Roman"/>
          <w:bCs/>
          <w:highlight w:val="none"/>
          <w:lang w:val="zh-CN"/>
        </w:rPr>
      </w:pPr>
      <w:r>
        <w:rPr>
          <w:rStyle w:val="93"/>
          <w:rFonts w:cs="Times New Roman"/>
          <w:bCs/>
          <w:highlight w:val="none"/>
          <w:lang w:val="zh-CN"/>
        </w:rPr>
        <w:t>Tout d'abord, nous avons profilé les miARN dérivés des sEVs dans le sérum</w:t>
      </w:r>
      <w:r>
        <w:rPr>
          <w:rStyle w:val="93"/>
          <w:rFonts w:hint="eastAsia" w:cs="Times New Roman"/>
          <w:bCs/>
          <w:highlight w:val="none"/>
          <w:lang w:val="zh-CN" w:eastAsia="zh-CN"/>
        </w:rPr>
        <w:t xml:space="preserve"> </w:t>
      </w:r>
      <w:r>
        <w:rPr>
          <w:rStyle w:val="93"/>
          <w:rFonts w:cs="Times New Roman"/>
          <w:bCs/>
          <w:highlight w:val="none"/>
          <w:lang w:val="zh-CN" w:eastAsia="zh-CN"/>
        </w:rPr>
        <w:t>des groupes témoin et inuline (n=</w:t>
      </w:r>
      <w:r>
        <w:rPr>
          <w:rStyle w:val="93"/>
          <w:rFonts w:hint="eastAsia" w:cs="Times New Roman"/>
          <w:bCs/>
          <w:highlight w:val="none"/>
          <w:lang w:val="zh-CN" w:eastAsia="zh-CN"/>
        </w:rPr>
        <w:t>5</w:t>
      </w:r>
      <w:r>
        <w:rPr>
          <w:rStyle w:val="93"/>
          <w:rFonts w:cs="Times New Roman"/>
          <w:bCs/>
          <w:highlight w:val="none"/>
          <w:lang w:val="zh-CN" w:eastAsia="zh-CN"/>
        </w:rPr>
        <w:t xml:space="preserve"> pour chaque groupe),</w:t>
      </w:r>
      <w:r>
        <w:rPr>
          <w:rStyle w:val="93"/>
          <w:rFonts w:cs="Times New Roman"/>
          <w:bCs/>
          <w:highlight w:val="none"/>
          <w:lang w:val="zh-CN"/>
        </w:rPr>
        <w:t xml:space="preserve"> et avons constaté que la supplémentation en inuline modifiait de manière significative l'expression de plusieurs miARN, dont 23 miARN connus et 21 miARN nouveaux (valeur p ajustée &lt; 0,05). L'analyse de l'enrichissement de l'ontologie génique (GO) a indiqué que les miARN différentiellement exprimés (DE) étaient principalement impliqués dans des processus biologiques tels que la transduction du signal, la différenciation cellulaire, l'adhésion cellulaire, les processus apoptotiques, l'organisation du cytosquelette d'actine et l'activité du facteur de transcription lié à l'ADN, mettant en évidence leur rôle dans la régulation immunitaire et les réponses cellulaires. L'analyse de l'Encyclopédie Kyoto des génomes et des gènes (KEGG) a révélé que ces miARN étaient significativement enrichis dans des voies liées à l'immunité et au métabolisme, telles que la voie de signalisation </w:t>
      </w:r>
      <w:r>
        <w:rPr>
          <w:rFonts w:cs="Times New Roman"/>
          <w:highlight w:val="none"/>
        </w:rPr>
        <w:t>NF-κB</w:t>
      </w:r>
      <w:r>
        <w:rPr>
          <w:rStyle w:val="93"/>
          <w:rFonts w:cs="Times New Roman"/>
          <w:bCs/>
          <w:highlight w:val="none"/>
          <w:lang w:val="zh-CN"/>
        </w:rPr>
        <w:t>, la voie de signalisation MAPK, la cytotoxicité médiée par les cellules tueuses naturelles, la voie de signalisation PPAR et la voie de signalisation de l'insuline.</w:t>
      </w:r>
    </w:p>
    <w:p w14:paraId="6FEB6644">
      <w:pPr>
        <w:rPr>
          <w:rStyle w:val="93"/>
          <w:rFonts w:cs="Times New Roman"/>
          <w:bCs/>
          <w:highlight w:val="none"/>
          <w:lang w:val="zh-CN"/>
        </w:rPr>
      </w:pPr>
      <w:r>
        <w:rPr>
          <w:rStyle w:val="93"/>
          <w:rFonts w:cs="Times New Roman"/>
          <w:bCs/>
          <w:highlight w:val="none"/>
          <w:lang w:val="zh-CN"/>
        </w:rPr>
        <w:t>Deuxièmement, l'analyse de l'expression des miARN dérivés des sEVs dans le lait</w:t>
      </w:r>
      <w:r>
        <w:rPr>
          <w:rStyle w:val="93"/>
          <w:rFonts w:hint="eastAsia" w:cs="Times New Roman"/>
          <w:bCs/>
          <w:highlight w:val="none"/>
          <w:lang w:val="zh-CN" w:eastAsia="zh-CN"/>
        </w:rPr>
        <w:t xml:space="preserve"> </w:t>
      </w:r>
      <w:r>
        <w:rPr>
          <w:rStyle w:val="93"/>
          <w:rFonts w:cs="Times New Roman"/>
          <w:bCs/>
          <w:highlight w:val="none"/>
          <w:lang w:val="zh-CN" w:eastAsia="zh-CN"/>
        </w:rPr>
        <w:t>des groupes témoin et inuline (n=7 pour chaque groupe),</w:t>
      </w:r>
      <w:r>
        <w:rPr>
          <w:rStyle w:val="93"/>
          <w:rFonts w:cs="Times New Roman"/>
          <w:bCs/>
          <w:highlight w:val="none"/>
          <w:lang w:val="zh-CN"/>
        </w:rPr>
        <w:t xml:space="preserve"> a révélé que la supplémentation en inuline modulait également des miARN associés à la régulation immunitaire locale des glandes mammaires. Neuf miARN DE ont été identifiés entre les deux groupes</w:t>
      </w:r>
      <w:r>
        <w:rPr>
          <w:rStyle w:val="93"/>
          <w:rFonts w:hint="eastAsia" w:cs="Times New Roman"/>
          <w:bCs/>
          <w:highlight w:val="none"/>
          <w:lang w:val="zh-CN" w:eastAsia="zh-CN"/>
        </w:rPr>
        <w:t xml:space="preserve"> </w:t>
      </w:r>
      <w:r>
        <w:rPr>
          <w:rStyle w:val="93"/>
          <w:rFonts w:cs="Times New Roman"/>
          <w:bCs/>
          <w:highlight w:val="none"/>
          <w:lang w:val="zh-CN" w:eastAsia="zh-CN"/>
        </w:rPr>
        <w:t>(valeur p ajustée &lt; 0,05)</w:t>
      </w:r>
      <w:r>
        <w:rPr>
          <w:rStyle w:val="93"/>
          <w:rFonts w:cs="Times New Roman"/>
          <w:bCs/>
          <w:highlight w:val="none"/>
          <w:lang w:val="zh-CN"/>
        </w:rPr>
        <w:t>. L'analyse de l'enrichissement GO a montré que les miARN DE étaient impliqués dans des processus biologiques tels que l'activité des récepteurs de signalisation transmembranaires, l'activité des récepteurs de signalisation, l'activité des transducteurs moléculaires et l'activité des canaux ioniques, mettant en évidence leur rôle dans la signalisation cellulaire et les réponses immunitaires. L'analyse des voies KEGG a identifié un enrichissement significatif dans des voies telles que la voie de signalisation des hormones thyroïdiennes, la régulation du cytosquelette d'actine, la voie de signalisation Ras, la voie de signalisation Rap1 et la régulation des médiateurs inflammatoires des canaux TRP, toutes essentielles pour la régulation immunitaire et les réponses cellulaires.</w:t>
      </w:r>
    </w:p>
    <w:p w14:paraId="2342910E">
      <w:pPr>
        <w:rPr>
          <w:rStyle w:val="93"/>
          <w:rFonts w:cs="Times New Roman"/>
          <w:bCs/>
          <w:highlight w:val="none"/>
          <w:lang w:val="zh-CN"/>
        </w:rPr>
      </w:pPr>
      <w:r>
        <w:rPr>
          <w:rStyle w:val="93"/>
          <w:rFonts w:cs="Times New Roman"/>
          <w:bCs/>
          <w:highlight w:val="none"/>
          <w:lang w:val="zh-CN"/>
        </w:rPr>
        <w:t>De plus, nous avons analysé d'autres profils d'ARN dans les sEVs du lait bovin et identifié 542 lncARN DE et 1300 ARNm DE</w:t>
      </w:r>
      <w:r>
        <w:rPr>
          <w:rStyle w:val="93"/>
          <w:rFonts w:hint="eastAsia" w:cs="Times New Roman"/>
          <w:bCs/>
          <w:highlight w:val="none"/>
          <w:lang w:val="zh-CN" w:eastAsia="zh-CN"/>
        </w:rPr>
        <w:t xml:space="preserve"> </w:t>
      </w:r>
      <w:r>
        <w:rPr>
          <w:rStyle w:val="93"/>
          <w:rFonts w:cs="Times New Roman"/>
          <w:bCs/>
          <w:highlight w:val="none"/>
          <w:lang w:val="zh-CN" w:eastAsia="zh-CN"/>
        </w:rPr>
        <w:t>(valeur p ajustée &lt; 0,05)</w:t>
      </w:r>
      <w:r>
        <w:rPr>
          <w:rStyle w:val="93"/>
          <w:rFonts w:cs="Times New Roman"/>
          <w:bCs/>
          <w:highlight w:val="none"/>
          <w:lang w:val="zh-CN"/>
        </w:rPr>
        <w:t xml:space="preserve">. L'analyse GO des lncARN DE a révélé qu'ils étaient principalement impliqués dans des processus tels que la liaison aux tRNA, la liaison aux peptides, l'activité du facteur de transcription lié à l'ADN, l'activité de déubiquitinase de type cystéine et la liaison à la chromatine. Ces lncARN peuvent jouer un rôle important dans la régulation de l'expression des gènes. Les voies KEGG suggèrent qu'ils peuvent jouer des rôles importants dans la régulation immunitaire, l'équilibre métabolique et la survie cellulaire, y compris le métabolisme des sphingolipides, le métabolisme du rétinol, le traitement des protéines dans le réticulum endoplasmique, la fonction des lysosomes et l'apoptose-chez plusieurs espèces. L'analyse GO des ARNm DE a révélé leur implication dans plusieurs processus biologiques cruciaux, tels que la régulation de la biosynthèse des triglycérides, la réplication de l'ADN, la croissance cellulaire et le métabolisme des ARNm. De plus, ces ARNm étaient associés à des processus tels que le remodelage de la chromatine, la réponse cellulaire au stimulus xénobiotique et l'activation de l'activité endopéptidase de type cystéine impliquée dans l'apoptose. Ces résultats suggèrent que les ARNm différentiellement exprimés peuvent jouer des rôles importants dans le métabolisme des lipides, la régulation du cycle cellulaire et l'apoptose, ainsi que dans les réponses aux stimuli externes. L'analyse des voies KEGG a révélé un enrichissement significatif des ARNm DE dans des voies telles que le métabolisme de la taurine et de l'hypotaurine, la voie de signalisation </w:t>
      </w:r>
      <w:r>
        <w:rPr>
          <w:rFonts w:cs="Times New Roman"/>
          <w:highlight w:val="none"/>
        </w:rPr>
        <w:t>NF-κB</w:t>
      </w:r>
      <w:r>
        <w:rPr>
          <w:rStyle w:val="93"/>
          <w:rFonts w:cs="Times New Roman"/>
          <w:bCs/>
          <w:highlight w:val="none"/>
          <w:lang w:val="zh-CN"/>
        </w:rPr>
        <w:t xml:space="preserve"> et le métabolisme des phosphates d'inositol, essentielles pour la régulation immunitaire, l'équilibre métabolique et la signalisation cellulaire. De plus, les ARNm DE étaient associés à des voies impliquées dans la résistance endocrinienne, la régulation du cycle cellulaire, la biosynthèse des sucres nucléotidiques et le métabolisme des sucres aminés et des sucres nucléotidiques, mettant en évidence leurs rôles potentiels dans la croissance cellulaire, la réponse au stress et le contrôle métabolique.</w:t>
      </w:r>
    </w:p>
    <w:p w14:paraId="2CCBD41B">
      <w:pPr>
        <w:rPr>
          <w:highlight w:val="none"/>
        </w:rPr>
      </w:pPr>
      <w:r>
        <w:rPr>
          <w:rStyle w:val="93"/>
          <w:rFonts w:cs="Times New Roman"/>
          <w:bCs/>
          <w:highlight w:val="none"/>
          <w:lang w:val="zh-CN"/>
        </w:rPr>
        <w:t>En conclusion, la supplémentation en inuline a modifié de manière significative les profils d'expression des miARN, des ARNm et des lncARN dérivés des sEVs dans le sérum et le lait bovins. Ces molécules ARN étaient associées à des voies cruciales de régulation immunitaire et métabolique, y compris la signalisation immunitaire, les processus cellulaires et la régulation du métabolisme. Ces résultats suggèrent que la supplémentation en inuline pourrait aider à rétablir l'équilibre immunitaire, réduire l'inflammation et soutenir l'homéostasie métabolique.</w:t>
      </w:r>
      <w:r>
        <w:rPr>
          <w:highlight w:val="none"/>
        </w:rPr>
        <w:t xml:space="preserve"> </w:t>
      </w:r>
    </w:p>
    <w:p w14:paraId="2294DF03">
      <w:pPr>
        <w:spacing w:after="200" w:line="276" w:lineRule="auto"/>
        <w:ind w:firstLine="0"/>
        <w:jc w:val="left"/>
        <w:rPr>
          <w:highlight w:val="none"/>
        </w:rPr>
      </w:pPr>
      <w:r>
        <w:rPr>
          <w:highlight w:val="none"/>
        </w:rPr>
        <w:br w:type="page"/>
      </w:r>
    </w:p>
    <w:p w14:paraId="6EF8D1A6">
      <w:pPr>
        <w:spacing w:after="200" w:line="276" w:lineRule="auto"/>
        <w:ind w:firstLine="0"/>
        <w:jc w:val="left"/>
        <w:rPr>
          <w:highlight w:val="none"/>
        </w:rPr>
        <w:sectPr>
          <w:headerReference r:id="rId8" w:type="default"/>
          <w:footerReference r:id="rId10" w:type="default"/>
          <w:headerReference r:id="rId9" w:type="even"/>
          <w:footerReference r:id="rId11" w:type="even"/>
          <w:pgSz w:w="9639" w:h="13608"/>
          <w:pgMar w:top="1361" w:right="907" w:bottom="1021" w:left="1247" w:header="567" w:footer="312" w:gutter="0"/>
          <w:pgNumType w:fmt="upperRoman" w:start="1"/>
          <w:cols w:space="708" w:num="1"/>
          <w:docGrid w:linePitch="360" w:charSpace="0"/>
        </w:sectPr>
      </w:pPr>
      <w:r>
        <w:rPr>
          <w:highlight w:val="none"/>
        </w:rPr>
        <w:br w:type="page"/>
      </w:r>
    </w:p>
    <w:p w14:paraId="530AD1BC">
      <w:pPr>
        <w:pStyle w:val="3"/>
        <w:numPr>
          <w:ilvl w:val="0"/>
          <w:numId w:val="0"/>
        </w:numPr>
        <w:ind w:left="170"/>
        <w:rPr>
          <w:highlight w:val="none"/>
        </w:rPr>
      </w:pPr>
      <w:bookmarkStart w:id="4" w:name="_Toc195143230"/>
      <w:bookmarkStart w:id="5" w:name="_Toc207979732"/>
      <w:r>
        <w:rPr>
          <w:highlight w:val="none"/>
        </w:rPr>
        <w:t>Acknow</w:t>
      </w:r>
      <w:r>
        <w:rPr>
          <w:rFonts w:hint="eastAsia"/>
          <w:highlight w:val="none"/>
          <w:lang w:eastAsia="zh-CN"/>
        </w:rPr>
        <w:t>l</w:t>
      </w:r>
      <w:r>
        <w:rPr>
          <w:highlight w:val="none"/>
        </w:rPr>
        <w:t>edgements</w:t>
      </w:r>
      <w:bookmarkEnd w:id="4"/>
      <w:bookmarkEnd w:id="5"/>
    </w:p>
    <w:p w14:paraId="69EE4D9B">
      <w:pPr>
        <w:rPr>
          <w:highlight w:val="none"/>
        </w:rPr>
      </w:pPr>
      <w:bookmarkStart w:id="6" w:name="OLE_LINK1"/>
      <w:r>
        <w:rPr>
          <w:highlight w:val="none"/>
        </w:rPr>
        <w:t xml:space="preserve">First and foremost, I would like to express my sincere gratitude to my supervisor, Professor </w:t>
      </w:r>
      <w:r>
        <w:rPr>
          <w:rFonts w:hint="eastAsia"/>
          <w:highlight w:val="none"/>
          <w:lang w:eastAsia="zh-CN"/>
        </w:rPr>
        <w:t>Martine Schroyen</w:t>
      </w:r>
      <w:r>
        <w:rPr>
          <w:highlight w:val="none"/>
        </w:rPr>
        <w:t xml:space="preserve">, for her invaluable academic guidance, continuous support, and encouragement throughout my Ph.D. journey. Undertaking this project was a significant challenge for me, as I had no prior experience with molecular-level research and had to learn much of it on my own. Without </w:t>
      </w:r>
      <w:r>
        <w:rPr>
          <w:rFonts w:hint="eastAsia"/>
          <w:highlight w:val="none"/>
          <w:lang w:eastAsia="zh-CN"/>
        </w:rPr>
        <w:t>her</w:t>
      </w:r>
      <w:r>
        <w:rPr>
          <w:highlight w:val="none"/>
        </w:rPr>
        <w:t xml:space="preserve"> mentorship, patience, and direction, this work would not have been possible. I am truly fortunate to have had her guidance throughout this process.</w:t>
      </w:r>
    </w:p>
    <w:p w14:paraId="76242A71">
      <w:pPr>
        <w:rPr>
          <w:highlight w:val="none"/>
        </w:rPr>
      </w:pPr>
      <w:r>
        <w:rPr>
          <w:highlight w:val="none"/>
        </w:rPr>
        <w:t xml:space="preserve">My sincere thanks also go to the </w:t>
      </w:r>
      <w:r>
        <w:rPr>
          <w:rFonts w:hint="eastAsia"/>
          <w:highlight w:val="none"/>
          <w:lang w:eastAsia="zh-CN"/>
        </w:rPr>
        <w:t xml:space="preserve">jury </w:t>
      </w:r>
      <w:r>
        <w:rPr>
          <w:highlight w:val="none"/>
        </w:rPr>
        <w:t xml:space="preserve">members of my </w:t>
      </w:r>
      <w:r>
        <w:rPr>
          <w:rFonts w:hint="eastAsia"/>
          <w:highlight w:val="none"/>
          <w:lang w:eastAsia="zh-CN"/>
        </w:rPr>
        <w:t>thesis</w:t>
      </w:r>
      <w:r>
        <w:rPr>
          <w:highlight w:val="none"/>
        </w:rPr>
        <w:t xml:space="preserve"> committee</w:t>
      </w:r>
      <w:r>
        <w:rPr>
          <w:rFonts w:hint="eastAsia"/>
          <w:highlight w:val="none"/>
          <w:lang w:eastAsia="zh-CN"/>
        </w:rPr>
        <w:t>, Professor Yves Beckers,</w:t>
      </w:r>
      <w:r>
        <w:rPr>
          <w:highlight w:val="none"/>
          <w:lang w:eastAsia="zh-CN"/>
        </w:rPr>
        <w:t xml:space="preserve"> </w:t>
      </w:r>
      <w:r>
        <w:rPr>
          <w:rFonts w:hint="eastAsia"/>
          <w:highlight w:val="none"/>
          <w:lang w:eastAsia="zh-CN"/>
        </w:rPr>
        <w:t xml:space="preserve">Professor </w:t>
      </w:r>
      <w:r>
        <w:rPr>
          <w:highlight w:val="none"/>
          <w:lang w:eastAsia="zh-CN"/>
        </w:rPr>
        <w:t>Jérôme</w:t>
      </w:r>
      <w:r>
        <w:rPr>
          <w:rFonts w:hint="eastAsia"/>
          <w:highlight w:val="none"/>
          <w:lang w:eastAsia="zh-CN"/>
        </w:rPr>
        <w:t xml:space="preserve"> Bindelle,</w:t>
      </w:r>
      <w:r>
        <w:rPr>
          <w:highlight w:val="none"/>
        </w:rPr>
        <w:t xml:space="preserve"> for their time, critical questions, and valuable feedback, which have greatly improved the quality of this thesis. Their insightful questions during various presentations and discussions not only guided me to identify gaps in my knowledge but also motivated me to broaden my understanding of the field and deepen my comprehension of this project.</w:t>
      </w:r>
    </w:p>
    <w:p w14:paraId="770A8C7E">
      <w:pPr>
        <w:rPr>
          <w:highlight w:val="none"/>
        </w:rPr>
      </w:pPr>
      <w:r>
        <w:rPr>
          <w:highlight w:val="none"/>
        </w:rPr>
        <w:t xml:space="preserve">I am also deeply grateful to my co-supervisor, Professor </w:t>
      </w:r>
      <w:r>
        <w:rPr>
          <w:rFonts w:hint="eastAsia"/>
          <w:highlight w:val="none"/>
          <w:lang w:eastAsia="zh-CN"/>
        </w:rPr>
        <w:t>Benhai Xiong</w:t>
      </w:r>
      <w:r>
        <w:rPr>
          <w:highlight w:val="none"/>
        </w:rPr>
        <w:t>, for providing me with the opportunity to pursue this Ph.D. project and for offering essential resources and support that made this research possible.</w:t>
      </w:r>
      <w:r>
        <w:rPr>
          <w:rFonts w:hint="eastAsia"/>
          <w:highlight w:val="none"/>
          <w:lang w:eastAsia="zh-CN"/>
        </w:rPr>
        <w:t xml:space="preserve"> </w:t>
      </w:r>
      <w:r>
        <w:rPr>
          <w:highlight w:val="none"/>
        </w:rPr>
        <w:t>I would like to thank Dr. Xuemei Nan for her generous guidance on the project design, methodological approaches, and helpful suggestions throughout the course of this study.</w:t>
      </w:r>
      <w:r>
        <w:rPr>
          <w:rFonts w:hint="eastAsia"/>
          <w:highlight w:val="none"/>
          <w:lang w:eastAsia="zh-CN"/>
        </w:rPr>
        <w:t xml:space="preserve"> </w:t>
      </w:r>
      <w:r>
        <w:rPr>
          <w:highlight w:val="none"/>
        </w:rPr>
        <w:t>I would also like to thank Dr. Yue Wang and Dr. Mengling Wang for providing the essential experimental samples for this project.</w:t>
      </w:r>
    </w:p>
    <w:p w14:paraId="6ABCAFE3">
      <w:pPr>
        <w:rPr>
          <w:highlight w:val="none"/>
          <w:lang w:eastAsia="zh-CN"/>
        </w:rPr>
      </w:pPr>
      <w:r>
        <w:rPr>
          <w:highlight w:val="none"/>
        </w:rPr>
        <w:t>Special thanks to my friends and colleagues Dengke Hua, Hui Han, Chi Ren, Yue He, Zihao Liu, Meng Cai, Xiaoyan Zhu, and Zhixue Yu, for generously sharing their expertise and providing invaluable insights that were crucial to my research</w:t>
      </w:r>
      <w:r>
        <w:rPr>
          <w:rFonts w:hint="eastAsia"/>
          <w:highlight w:val="none"/>
          <w:lang w:eastAsia="zh-CN"/>
        </w:rPr>
        <w:t>.</w:t>
      </w:r>
      <w:r>
        <w:rPr>
          <w:highlight w:val="none"/>
        </w:rPr>
        <w:t xml:space="preserve"> Their support has been instrumental in improving my dissertation and navigating the publication process. I am also grateful to all my other friends for their companionship and encouragement throughout this journey.</w:t>
      </w:r>
    </w:p>
    <w:p w14:paraId="63B489E1">
      <w:pPr>
        <w:rPr>
          <w:highlight w:val="none"/>
        </w:rPr>
      </w:pPr>
      <w:r>
        <w:rPr>
          <w:highlight w:val="none"/>
        </w:rPr>
        <w:t xml:space="preserve">Finally, I am deeply indebted to my family for their unwavering financial support, constant encouragement, and emotional strength, which have been the foundation of my perseverance throughout this journey. </w:t>
      </w:r>
      <w:bookmarkStart w:id="7" w:name="OLE_LINK5"/>
      <w:r>
        <w:rPr>
          <w:highlight w:val="none"/>
        </w:rPr>
        <w:t>I am also grateful to Z</w:t>
      </w:r>
      <w:r>
        <w:rPr>
          <w:rFonts w:hint="eastAsia"/>
          <w:highlight w:val="none"/>
          <w:lang w:eastAsia="zh-CN"/>
        </w:rPr>
        <w:t>ini Jin</w:t>
      </w:r>
      <w:r>
        <w:rPr>
          <w:highlight w:val="none"/>
        </w:rPr>
        <w:t>, whose companionship and support have made this experience more meaningful.</w:t>
      </w:r>
      <w:bookmarkEnd w:id="7"/>
    </w:p>
    <w:bookmarkEnd w:id="6"/>
    <w:p w14:paraId="6FF02385">
      <w:pPr>
        <w:rPr>
          <w:highlight w:val="none"/>
        </w:rPr>
      </w:pPr>
      <w:r>
        <w:rPr>
          <w:highlight w:val="none"/>
        </w:rPr>
        <w:t>I would like to conclude by thanking myself for persevering and not giving up. Many people once told me that completing a Ph.D. was beyond my capabilities, and I, too, never initially envisioned myself pursuing a career in research. However, this journey has been about more than just research—it's been about challenging myself and growing both personally and professionally. Although the specific knowledge I gained may not directly apply in my future career, the resilience, strength, and perspective I've gained will stay with me for life. That is what I find most meaningful.</w:t>
      </w:r>
    </w:p>
    <w:p w14:paraId="1599D020">
      <w:pPr>
        <w:jc w:val="right"/>
        <w:rPr>
          <w:highlight w:val="none"/>
          <w:lang w:eastAsia="zh-CN"/>
        </w:rPr>
      </w:pPr>
      <w:r>
        <w:rPr>
          <w:rFonts w:hint="eastAsia"/>
          <w:highlight w:val="none"/>
          <w:lang w:eastAsia="zh-CN"/>
        </w:rPr>
        <w:t>Wanjie Yu</w:t>
      </w:r>
    </w:p>
    <w:p w14:paraId="5D58BDA3">
      <w:pPr>
        <w:jc w:val="right"/>
        <w:rPr>
          <w:highlight w:val="none"/>
          <w:lang w:eastAsia="zh-CN"/>
        </w:rPr>
      </w:pPr>
      <w:r>
        <w:rPr>
          <w:rFonts w:hint="eastAsia"/>
          <w:highlight w:val="none"/>
          <w:lang w:eastAsia="zh-CN"/>
        </w:rPr>
        <w:t>2025 in Gembloux, Belgium</w:t>
      </w:r>
    </w:p>
    <w:p w14:paraId="6A8FA6F1">
      <w:pPr>
        <w:rPr>
          <w:highlight w:val="none"/>
        </w:rPr>
        <w:sectPr>
          <w:headerReference r:id="rId12" w:type="default"/>
          <w:pgSz w:w="9639" w:h="13608"/>
          <w:pgMar w:top="1361" w:right="907" w:bottom="1021" w:left="1247" w:header="567" w:footer="312" w:gutter="0"/>
          <w:cols w:space="708" w:num="1"/>
          <w:docGrid w:linePitch="360" w:charSpace="0"/>
        </w:sectPr>
      </w:pPr>
      <w:r>
        <w:rPr>
          <w:highlight w:val="none"/>
        </w:rPr>
        <w:t xml:space="preserve"> </w:t>
      </w:r>
    </w:p>
    <w:p w14:paraId="28464B8F">
      <w:pPr>
        <w:spacing w:after="200" w:line="276" w:lineRule="auto"/>
        <w:ind w:firstLine="0"/>
        <w:jc w:val="left"/>
        <w:rPr>
          <w:highlight w:val="none"/>
        </w:rPr>
        <w:sectPr>
          <w:headerReference r:id="rId13" w:type="default"/>
          <w:headerReference r:id="rId14" w:type="even"/>
          <w:pgSz w:w="9639" w:h="13608"/>
          <w:pgMar w:top="1361" w:right="907" w:bottom="1021" w:left="1247" w:header="567" w:footer="312" w:gutter="0"/>
          <w:cols w:space="708" w:num="1"/>
          <w:docGrid w:linePitch="360" w:charSpace="0"/>
        </w:sectPr>
      </w:pPr>
      <w:r>
        <w:rPr>
          <w:highlight w:val="none"/>
        </w:rPr>
        <w:br w:type="page"/>
      </w:r>
    </w:p>
    <w:p w14:paraId="24044EAF">
      <w:pPr>
        <w:pStyle w:val="3"/>
        <w:numPr>
          <w:ilvl w:val="0"/>
          <w:numId w:val="0"/>
        </w:numPr>
        <w:rPr>
          <w:highlight w:val="none"/>
        </w:rPr>
      </w:pPr>
      <w:bookmarkStart w:id="8" w:name="_Toc207979733"/>
      <w:bookmarkStart w:id="9" w:name="_Toc195143231"/>
      <w:r>
        <w:rPr>
          <w:highlight w:val="none"/>
        </w:rPr>
        <w:t>Table of contents</w:t>
      </w:r>
      <w:bookmarkEnd w:id="8"/>
      <w:bookmarkEnd w:id="9"/>
    </w:p>
    <w:p w14:paraId="43F5338B">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highlight w:val="none"/>
          <w:lang w:val="en-US"/>
        </w:rPr>
        <w:fldChar w:fldCharType="begin"/>
      </w:r>
      <w:r>
        <w:rPr>
          <w:highlight w:val="none"/>
          <w:lang w:val="en-US"/>
        </w:rPr>
        <w:instrText xml:space="preserve"> TOC \o "1-3" \u </w:instrText>
      </w:r>
      <w:r>
        <w:rPr>
          <w:highlight w:val="none"/>
          <w:lang w:val="en-US"/>
        </w:rPr>
        <w:fldChar w:fldCharType="separate"/>
      </w:r>
      <w:r>
        <w:rPr>
          <w:rFonts w:hint="eastAsia"/>
          <w:highlight w:val="none"/>
        </w:rPr>
        <w:t>Abstract</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_Toc207979730 \h</w:instrText>
      </w:r>
      <w:r>
        <w:rPr>
          <w:rFonts w:hint="eastAsia"/>
          <w:highlight w:val="none"/>
        </w:rPr>
        <w:instrText xml:space="preserve"> </w:instrText>
      </w:r>
      <w:r>
        <w:rPr>
          <w:rFonts w:hint="eastAsia"/>
          <w:highlight w:val="none"/>
        </w:rPr>
        <w:fldChar w:fldCharType="separate"/>
      </w:r>
      <w:r>
        <w:rPr>
          <w:highlight w:val="none"/>
        </w:rPr>
        <w:t>I</w:t>
      </w:r>
      <w:r>
        <w:rPr>
          <w:rFonts w:hint="eastAsia"/>
          <w:highlight w:val="none"/>
        </w:rPr>
        <w:fldChar w:fldCharType="end"/>
      </w:r>
    </w:p>
    <w:p w14:paraId="30C7303E">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Résumé</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_Toc207979731 \h</w:instrText>
      </w:r>
      <w:r>
        <w:rPr>
          <w:rFonts w:hint="eastAsia"/>
          <w:highlight w:val="none"/>
        </w:rPr>
        <w:instrText xml:space="preserve"> </w:instrText>
      </w:r>
      <w:r>
        <w:rPr>
          <w:rFonts w:hint="eastAsia"/>
          <w:highlight w:val="none"/>
        </w:rPr>
        <w:fldChar w:fldCharType="separate"/>
      </w:r>
      <w:r>
        <w:rPr>
          <w:highlight w:val="none"/>
        </w:rPr>
        <w:t>III</w:t>
      </w:r>
      <w:r>
        <w:rPr>
          <w:rFonts w:hint="eastAsia"/>
          <w:highlight w:val="none"/>
        </w:rPr>
        <w:fldChar w:fldCharType="end"/>
      </w:r>
    </w:p>
    <w:p w14:paraId="64927EB5">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Acknow</w:t>
      </w:r>
      <w:r>
        <w:rPr>
          <w:rFonts w:hint="eastAsia"/>
          <w:highlight w:val="none"/>
          <w:lang w:eastAsia="zh-CN"/>
        </w:rPr>
        <w:t>l</w:t>
      </w:r>
      <w:r>
        <w:rPr>
          <w:rFonts w:hint="eastAsia"/>
          <w:highlight w:val="none"/>
        </w:rPr>
        <w:t>edgements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_Toc207979732 \h</w:instrText>
      </w:r>
      <w:r>
        <w:rPr>
          <w:rFonts w:hint="eastAsia"/>
          <w:highlight w:val="none"/>
        </w:rPr>
        <w:instrText xml:space="preserve"> </w:instrText>
      </w:r>
      <w:r>
        <w:rPr>
          <w:rFonts w:hint="eastAsia"/>
          <w:highlight w:val="none"/>
        </w:rPr>
        <w:fldChar w:fldCharType="separate"/>
      </w:r>
      <w:r>
        <w:rPr>
          <w:highlight w:val="none"/>
        </w:rPr>
        <w:t>7</w:t>
      </w:r>
      <w:r>
        <w:rPr>
          <w:rFonts w:hint="eastAsia"/>
          <w:highlight w:val="none"/>
        </w:rPr>
        <w:fldChar w:fldCharType="end"/>
      </w:r>
    </w:p>
    <w:p w14:paraId="6313CAD5">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Table of contents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_Toc207979733 \h</w:instrText>
      </w:r>
      <w:r>
        <w:rPr>
          <w:rFonts w:hint="eastAsia"/>
          <w:highlight w:val="none"/>
        </w:rPr>
        <w:instrText xml:space="preserve"> </w:instrText>
      </w:r>
      <w:r>
        <w:rPr>
          <w:rFonts w:hint="eastAsia"/>
          <w:highlight w:val="none"/>
        </w:rPr>
        <w:fldChar w:fldCharType="separate"/>
      </w:r>
      <w:r>
        <w:rPr>
          <w:highlight w:val="none"/>
        </w:rPr>
        <w:t>9</w:t>
      </w:r>
      <w:r>
        <w:rPr>
          <w:rFonts w:hint="eastAsia"/>
          <w:highlight w:val="none"/>
        </w:rPr>
        <w:fldChar w:fldCharType="end"/>
      </w:r>
    </w:p>
    <w:p w14:paraId="0959287F">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List of figures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_Toc207979734 \h</w:instrText>
      </w:r>
      <w:r>
        <w:rPr>
          <w:rFonts w:hint="eastAsia"/>
          <w:highlight w:val="none"/>
        </w:rPr>
        <w:instrText xml:space="preserve"> </w:instrText>
      </w:r>
      <w:r>
        <w:rPr>
          <w:rFonts w:hint="eastAsia"/>
          <w:highlight w:val="none"/>
        </w:rPr>
        <w:fldChar w:fldCharType="separate"/>
      </w:r>
      <w:r>
        <w:rPr>
          <w:highlight w:val="none"/>
        </w:rPr>
        <w:t>15</w:t>
      </w:r>
      <w:r>
        <w:rPr>
          <w:rFonts w:hint="eastAsia"/>
          <w:highlight w:val="none"/>
        </w:rPr>
        <w:fldChar w:fldCharType="end"/>
      </w:r>
    </w:p>
    <w:p w14:paraId="3C733ED1">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List of tables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_Toc207979735 \h</w:instrText>
      </w:r>
      <w:r>
        <w:rPr>
          <w:rFonts w:hint="eastAsia"/>
          <w:highlight w:val="none"/>
        </w:rPr>
        <w:instrText xml:space="preserve"> </w:instrText>
      </w:r>
      <w:r>
        <w:rPr>
          <w:rFonts w:hint="eastAsia"/>
          <w:highlight w:val="none"/>
        </w:rPr>
        <w:fldChar w:fldCharType="separate"/>
      </w:r>
      <w:r>
        <w:rPr>
          <w:highlight w:val="none"/>
        </w:rPr>
        <w:t>17</w:t>
      </w:r>
      <w:r>
        <w:rPr>
          <w:rFonts w:hint="eastAsia"/>
          <w:highlight w:val="none"/>
        </w:rPr>
        <w:fldChar w:fldCharType="end"/>
      </w:r>
    </w:p>
    <w:p w14:paraId="2C3DB7FC">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List of acronyms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_Toc207979736 \h</w:instrText>
      </w:r>
      <w:r>
        <w:rPr>
          <w:rFonts w:hint="eastAsia"/>
          <w:highlight w:val="none"/>
        </w:rPr>
        <w:instrText xml:space="preserve"> </w:instrText>
      </w:r>
      <w:r>
        <w:rPr>
          <w:rFonts w:hint="eastAsia"/>
          <w:highlight w:val="none"/>
        </w:rPr>
        <w:fldChar w:fldCharType="separate"/>
      </w:r>
      <w:r>
        <w:rPr>
          <w:highlight w:val="none"/>
        </w:rPr>
        <w:t>19</w:t>
      </w:r>
      <w:r>
        <w:rPr>
          <w:rFonts w:hint="eastAsia"/>
          <w:highlight w:val="none"/>
        </w:rPr>
        <w:fldChar w:fldCharType="end"/>
      </w:r>
    </w:p>
    <w:p w14:paraId="56C81324">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Thesis outline</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_Toc207979737 \h</w:instrText>
      </w:r>
      <w:r>
        <w:rPr>
          <w:rFonts w:hint="eastAsia"/>
          <w:highlight w:val="none"/>
        </w:rPr>
        <w:instrText xml:space="preserve"> </w:instrText>
      </w:r>
      <w:r>
        <w:rPr>
          <w:rFonts w:hint="eastAsia"/>
          <w:highlight w:val="none"/>
        </w:rPr>
        <w:fldChar w:fldCharType="separate"/>
      </w:r>
      <w:r>
        <w:rPr>
          <w:highlight w:val="none"/>
        </w:rPr>
        <w:t>21</w:t>
      </w:r>
      <w:r>
        <w:rPr>
          <w:rFonts w:hint="eastAsia"/>
          <w:highlight w:val="none"/>
        </w:rPr>
        <w:fldChar w:fldCharType="end"/>
      </w:r>
    </w:p>
    <w:p w14:paraId="549328B0">
      <w:pPr>
        <w:pStyle w:val="20"/>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zh-CN"/>
        </w:rPr>
        <w:t>Chapter 1</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_Toc207979738 \h</w:instrText>
      </w:r>
      <w:r>
        <w:rPr>
          <w:rFonts w:hint="eastAsia"/>
          <w:highlight w:val="none"/>
        </w:rPr>
        <w:instrText xml:space="preserve"> </w:instrText>
      </w:r>
      <w:r>
        <w:rPr>
          <w:rFonts w:hint="eastAsia"/>
          <w:highlight w:val="none"/>
        </w:rPr>
        <w:fldChar w:fldCharType="separate"/>
      </w:r>
      <w:r>
        <w:rPr>
          <w:highlight w:val="none"/>
        </w:rPr>
        <w:t>1</w:t>
      </w:r>
      <w:r>
        <w:rPr>
          <w:rFonts w:hint="eastAsia"/>
          <w:highlight w:val="none"/>
        </w:rPr>
        <w:fldChar w:fldCharType="end"/>
      </w:r>
    </w:p>
    <w:p w14:paraId="2C8CD542">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Overall background on mastitis in dairy cows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_Toc207979739 \h</w:instrText>
      </w:r>
      <w:r>
        <w:rPr>
          <w:rFonts w:hint="eastAsia"/>
          <w:highlight w:val="none"/>
        </w:rPr>
        <w:instrText xml:space="preserve"> </w:instrText>
      </w:r>
      <w:r>
        <w:rPr>
          <w:rFonts w:hint="eastAsia"/>
          <w:highlight w:val="none"/>
        </w:rPr>
        <w:fldChar w:fldCharType="separate"/>
      </w:r>
      <w:r>
        <w:rPr>
          <w:highlight w:val="none"/>
        </w:rPr>
        <w:t>3</w:t>
      </w:r>
      <w:r>
        <w:rPr>
          <w:rFonts w:hint="eastAsia"/>
          <w:highlight w:val="none"/>
        </w:rPr>
        <w:fldChar w:fldCharType="end"/>
      </w:r>
    </w:p>
    <w:p w14:paraId="31DE1F57">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1.1.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fr-FR"/>
        </w:rPr>
        <w:t>Subclinical mastitis in dairy cows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_Toc207979740 \h</w:instrText>
      </w:r>
      <w:r>
        <w:rPr>
          <w:rFonts w:hint="eastAsia"/>
          <w:highlight w:val="none"/>
        </w:rPr>
        <w:instrText xml:space="preserve"> </w:instrText>
      </w:r>
      <w:r>
        <w:rPr>
          <w:rFonts w:hint="eastAsia"/>
          <w:highlight w:val="none"/>
        </w:rPr>
        <w:fldChar w:fldCharType="separate"/>
      </w:r>
      <w:r>
        <w:rPr>
          <w:highlight w:val="none"/>
        </w:rPr>
        <w:t>3</w:t>
      </w:r>
      <w:r>
        <w:rPr>
          <w:rFonts w:hint="eastAsia"/>
          <w:highlight w:val="none"/>
        </w:rPr>
        <w:fldChar w:fldCharType="end"/>
      </w:r>
    </w:p>
    <w:p w14:paraId="316528B2">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zh-CN"/>
        </w:rPr>
        <w:t>1.2.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zh-CN"/>
        </w:rPr>
        <w:t>Factors and mechanisms influencing bovine mastitis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_Toc207979741 \h</w:instrText>
      </w:r>
      <w:r>
        <w:rPr>
          <w:rFonts w:hint="eastAsia"/>
          <w:highlight w:val="none"/>
        </w:rPr>
        <w:instrText xml:space="preserve"> </w:instrText>
      </w:r>
      <w:r>
        <w:rPr>
          <w:rFonts w:hint="eastAsia"/>
          <w:highlight w:val="none"/>
        </w:rPr>
        <w:fldChar w:fldCharType="separate"/>
      </w:r>
      <w:r>
        <w:rPr>
          <w:highlight w:val="none"/>
        </w:rPr>
        <w:t>4</w:t>
      </w:r>
      <w:r>
        <w:rPr>
          <w:rFonts w:hint="eastAsia"/>
          <w:highlight w:val="none"/>
        </w:rPr>
        <w:fldChar w:fldCharType="end"/>
      </w:r>
    </w:p>
    <w:p w14:paraId="10D6F136">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1.3.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Approaches to manage mastitis</w:t>
      </w:r>
      <w:r>
        <w:rPr>
          <w:rFonts w:hint="eastAsia"/>
          <w:highlight w:val="none"/>
          <w:lang w:eastAsia="zh-CN"/>
        </w:rPr>
        <w:t xml:space="preserve"> </w:t>
      </w:r>
      <w:r>
        <w:rPr>
          <w:rFonts w:hint="eastAsia"/>
          <w:highlight w:val="none"/>
        </w:rPr>
        <w:t>: from antibiotics to functional feed additive</w:t>
      </w:r>
      <w:r>
        <w:rPr>
          <w:rFonts w:hint="eastAsia"/>
          <w:highlight w:val="none"/>
          <w:lang w:eastAsia="zh-CN"/>
        </w:rPr>
        <w:t>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_Toc207979742 \h</w:instrText>
      </w:r>
      <w:r>
        <w:rPr>
          <w:rFonts w:hint="eastAsia"/>
          <w:highlight w:val="none"/>
        </w:rPr>
        <w:instrText xml:space="preserve"> </w:instrText>
      </w:r>
      <w:r>
        <w:rPr>
          <w:rFonts w:hint="eastAsia"/>
          <w:highlight w:val="none"/>
        </w:rPr>
        <w:fldChar w:fldCharType="separate"/>
      </w:r>
      <w:r>
        <w:rPr>
          <w:highlight w:val="none"/>
        </w:rPr>
        <w:t>5</w:t>
      </w:r>
      <w:r>
        <w:rPr>
          <w:rFonts w:hint="eastAsia"/>
          <w:highlight w:val="none"/>
        </w:rPr>
        <w:fldChar w:fldCharType="end"/>
      </w:r>
    </w:p>
    <w:p w14:paraId="20F04F1B">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Extracellular vesicles and extracellular vesicles RNAs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_Toc207979743 \h</w:instrText>
      </w:r>
      <w:r>
        <w:rPr>
          <w:rFonts w:hint="eastAsia"/>
          <w:highlight w:val="none"/>
        </w:rPr>
        <w:instrText xml:space="preserve"> </w:instrText>
      </w:r>
      <w:r>
        <w:rPr>
          <w:rFonts w:hint="eastAsia"/>
          <w:highlight w:val="none"/>
        </w:rPr>
        <w:fldChar w:fldCharType="separate"/>
      </w:r>
      <w:r>
        <w:rPr>
          <w:highlight w:val="none"/>
        </w:rPr>
        <w:t>6</w:t>
      </w:r>
      <w:r>
        <w:rPr>
          <w:rFonts w:hint="eastAsia"/>
          <w:highlight w:val="none"/>
        </w:rPr>
        <w:fldChar w:fldCharType="end"/>
      </w:r>
    </w:p>
    <w:p w14:paraId="3E1771E9">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2.1.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fr-FR"/>
        </w:rPr>
        <w:t>Extracellular vesicles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_Toc207979744 \h</w:instrText>
      </w:r>
      <w:r>
        <w:rPr>
          <w:rFonts w:hint="eastAsia"/>
          <w:highlight w:val="none"/>
        </w:rPr>
        <w:instrText xml:space="preserve"> </w:instrText>
      </w:r>
      <w:r>
        <w:rPr>
          <w:rFonts w:hint="eastAsia"/>
          <w:highlight w:val="none"/>
        </w:rPr>
        <w:fldChar w:fldCharType="separate"/>
      </w:r>
      <w:r>
        <w:rPr>
          <w:highlight w:val="none"/>
        </w:rPr>
        <w:t>6</w:t>
      </w:r>
      <w:r>
        <w:rPr>
          <w:rFonts w:hint="eastAsia"/>
          <w:highlight w:val="none"/>
        </w:rPr>
        <w:fldChar w:fldCharType="end"/>
      </w:r>
    </w:p>
    <w:p w14:paraId="2479CCD7">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2.2.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fr-FR"/>
        </w:rPr>
        <w:t>Extracellular vesicles</w:t>
      </w:r>
      <w:r>
        <w:rPr>
          <w:rFonts w:hint="eastAsia"/>
          <w:highlight w:val="none"/>
          <w:lang w:eastAsia="zh-CN"/>
        </w:rPr>
        <w:t xml:space="preserve"> </w:t>
      </w:r>
      <w:r>
        <w:rPr>
          <w:rFonts w:hint="eastAsia"/>
          <w:highlight w:val="none"/>
          <w:lang w:eastAsia="fr-FR"/>
        </w:rPr>
        <w:t>RNAs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_Toc207979745 \h</w:instrText>
      </w:r>
      <w:r>
        <w:rPr>
          <w:rFonts w:hint="eastAsia"/>
          <w:highlight w:val="none"/>
        </w:rPr>
        <w:instrText xml:space="preserve"> </w:instrText>
      </w:r>
      <w:r>
        <w:rPr>
          <w:rFonts w:hint="eastAsia"/>
          <w:highlight w:val="none"/>
        </w:rPr>
        <w:fldChar w:fldCharType="separate"/>
      </w:r>
      <w:r>
        <w:rPr>
          <w:highlight w:val="none"/>
        </w:rPr>
        <w:t>9</w:t>
      </w:r>
      <w:r>
        <w:rPr>
          <w:rFonts w:hint="eastAsia"/>
          <w:highlight w:val="none"/>
        </w:rPr>
        <w:fldChar w:fldCharType="end"/>
      </w:r>
    </w:p>
    <w:p w14:paraId="6FB41BBC">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Inulin and its applications in dairy cows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_Toc207979746 \h</w:instrText>
      </w:r>
      <w:r>
        <w:rPr>
          <w:rFonts w:hint="eastAsia"/>
          <w:highlight w:val="none"/>
        </w:rPr>
        <w:instrText xml:space="preserve"> </w:instrText>
      </w:r>
      <w:r>
        <w:rPr>
          <w:rFonts w:hint="eastAsia"/>
          <w:highlight w:val="none"/>
        </w:rPr>
        <w:fldChar w:fldCharType="separate"/>
      </w:r>
      <w:r>
        <w:rPr>
          <w:highlight w:val="none"/>
        </w:rPr>
        <w:t>16</w:t>
      </w:r>
      <w:r>
        <w:rPr>
          <w:rFonts w:hint="eastAsia"/>
          <w:highlight w:val="none"/>
        </w:rPr>
        <w:fldChar w:fldCharType="end"/>
      </w:r>
    </w:p>
    <w:p w14:paraId="6B98EE02">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3.1.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Source and structural characteristics of inulin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_Toc207979747 \h</w:instrText>
      </w:r>
      <w:r>
        <w:rPr>
          <w:rFonts w:hint="eastAsia"/>
          <w:highlight w:val="none"/>
        </w:rPr>
        <w:instrText xml:space="preserve"> </w:instrText>
      </w:r>
      <w:r>
        <w:rPr>
          <w:rFonts w:hint="eastAsia"/>
          <w:highlight w:val="none"/>
        </w:rPr>
        <w:fldChar w:fldCharType="separate"/>
      </w:r>
      <w:r>
        <w:rPr>
          <w:highlight w:val="none"/>
        </w:rPr>
        <w:t>16</w:t>
      </w:r>
      <w:r>
        <w:rPr>
          <w:rFonts w:hint="eastAsia"/>
          <w:highlight w:val="none"/>
        </w:rPr>
        <w:fldChar w:fldCharType="end"/>
      </w:r>
    </w:p>
    <w:p w14:paraId="64EFC686">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3.2.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Application prospects of inulin in dairy farming</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_Toc207979748 \h</w:instrText>
      </w:r>
      <w:r>
        <w:rPr>
          <w:rFonts w:hint="eastAsia"/>
          <w:highlight w:val="none"/>
        </w:rPr>
        <w:instrText xml:space="preserve"> </w:instrText>
      </w:r>
      <w:r>
        <w:rPr>
          <w:rFonts w:hint="eastAsia"/>
          <w:highlight w:val="none"/>
        </w:rPr>
        <w:fldChar w:fldCharType="separate"/>
      </w:r>
      <w:r>
        <w:rPr>
          <w:highlight w:val="none"/>
        </w:rPr>
        <w:t>17</w:t>
      </w:r>
      <w:r>
        <w:rPr>
          <w:rFonts w:hint="eastAsia"/>
          <w:highlight w:val="none"/>
        </w:rPr>
        <w:fldChar w:fldCharType="end"/>
      </w:r>
    </w:p>
    <w:p w14:paraId="5D9FF000">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4.</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fr-FR"/>
        </w:rPr>
        <w:t>Hypothesis and objectives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_Toc207979749 \h</w:instrText>
      </w:r>
      <w:r>
        <w:rPr>
          <w:rFonts w:hint="eastAsia"/>
          <w:highlight w:val="none"/>
        </w:rPr>
        <w:instrText xml:space="preserve"> </w:instrText>
      </w:r>
      <w:r>
        <w:rPr>
          <w:rFonts w:hint="eastAsia"/>
          <w:highlight w:val="none"/>
        </w:rPr>
        <w:fldChar w:fldCharType="separate"/>
      </w:r>
      <w:r>
        <w:rPr>
          <w:highlight w:val="none"/>
        </w:rPr>
        <w:t>21</w:t>
      </w:r>
      <w:r>
        <w:rPr>
          <w:rFonts w:hint="eastAsia"/>
          <w:highlight w:val="none"/>
        </w:rPr>
        <w:fldChar w:fldCharType="end"/>
      </w:r>
    </w:p>
    <w:p w14:paraId="5BC70A5D">
      <w:pPr>
        <w:pStyle w:val="20"/>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Chapter 2</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_Toc207979750 \h</w:instrText>
      </w:r>
      <w:r>
        <w:rPr>
          <w:rFonts w:hint="eastAsia"/>
          <w:highlight w:val="none"/>
        </w:rPr>
        <w:instrText xml:space="preserve"> </w:instrText>
      </w:r>
      <w:r>
        <w:rPr>
          <w:rFonts w:hint="eastAsia"/>
          <w:highlight w:val="none"/>
        </w:rPr>
        <w:fldChar w:fldCharType="separate"/>
      </w:r>
      <w:r>
        <w:rPr>
          <w:highlight w:val="none"/>
        </w:rPr>
        <w:t>23</w:t>
      </w:r>
      <w:r>
        <w:rPr>
          <w:rFonts w:hint="eastAsia"/>
          <w:highlight w:val="none"/>
        </w:rPr>
        <w:fldChar w:fldCharType="end"/>
      </w:r>
    </w:p>
    <w:p w14:paraId="7DE56DDE">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zh-CN"/>
        </w:rPr>
        <w:t>Abstract</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_Toc207979751 \h</w:instrText>
      </w:r>
      <w:r>
        <w:rPr>
          <w:rFonts w:hint="eastAsia"/>
          <w:highlight w:val="none"/>
        </w:rPr>
        <w:instrText xml:space="preserve"> </w:instrText>
      </w:r>
      <w:r>
        <w:rPr>
          <w:rFonts w:hint="eastAsia"/>
          <w:highlight w:val="none"/>
        </w:rPr>
        <w:fldChar w:fldCharType="separate"/>
      </w:r>
      <w:r>
        <w:rPr>
          <w:highlight w:val="none"/>
        </w:rPr>
        <w:t>25</w:t>
      </w:r>
      <w:r>
        <w:rPr>
          <w:rFonts w:hint="eastAsia"/>
          <w:highlight w:val="none"/>
        </w:rPr>
        <w:fldChar w:fldCharType="end"/>
      </w:r>
    </w:p>
    <w:p w14:paraId="65B4E6EA">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fr-FR"/>
        </w:rPr>
        <w:t>Introduction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_Toc207979752 \h</w:instrText>
      </w:r>
      <w:r>
        <w:rPr>
          <w:rFonts w:hint="eastAsia"/>
          <w:highlight w:val="none"/>
        </w:rPr>
        <w:instrText xml:space="preserve"> </w:instrText>
      </w:r>
      <w:r>
        <w:rPr>
          <w:rFonts w:hint="eastAsia"/>
          <w:highlight w:val="none"/>
        </w:rPr>
        <w:fldChar w:fldCharType="separate"/>
      </w:r>
      <w:r>
        <w:rPr>
          <w:highlight w:val="none"/>
        </w:rPr>
        <w:t>25</w:t>
      </w:r>
      <w:r>
        <w:rPr>
          <w:rFonts w:hint="eastAsia"/>
          <w:highlight w:val="none"/>
        </w:rPr>
        <w:fldChar w:fldCharType="end"/>
      </w:r>
    </w:p>
    <w:p w14:paraId="680B9637">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fr-FR"/>
        </w:rPr>
        <w:t>Materials and methods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_Toc207979753 \h</w:instrText>
      </w:r>
      <w:r>
        <w:rPr>
          <w:rFonts w:hint="eastAsia"/>
          <w:highlight w:val="none"/>
        </w:rPr>
        <w:instrText xml:space="preserve"> </w:instrText>
      </w:r>
      <w:r>
        <w:rPr>
          <w:rFonts w:hint="eastAsia"/>
          <w:highlight w:val="none"/>
        </w:rPr>
        <w:fldChar w:fldCharType="separate"/>
      </w:r>
      <w:r>
        <w:rPr>
          <w:highlight w:val="none"/>
        </w:rPr>
        <w:t>27</w:t>
      </w:r>
      <w:r>
        <w:rPr>
          <w:rFonts w:hint="eastAsia"/>
          <w:highlight w:val="none"/>
        </w:rPr>
        <w:fldChar w:fldCharType="end"/>
      </w:r>
    </w:p>
    <w:p w14:paraId="1F8EBBCF">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3.1.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Animal experiment and sample collection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_Toc207979754 \h</w:instrText>
      </w:r>
      <w:r>
        <w:rPr>
          <w:rFonts w:hint="eastAsia"/>
          <w:highlight w:val="none"/>
        </w:rPr>
        <w:instrText xml:space="preserve"> </w:instrText>
      </w:r>
      <w:r>
        <w:rPr>
          <w:rFonts w:hint="eastAsia"/>
          <w:highlight w:val="none"/>
        </w:rPr>
        <w:fldChar w:fldCharType="separate"/>
      </w:r>
      <w:r>
        <w:rPr>
          <w:highlight w:val="none"/>
        </w:rPr>
        <w:t>27</w:t>
      </w:r>
      <w:r>
        <w:rPr>
          <w:rFonts w:hint="eastAsia"/>
          <w:highlight w:val="none"/>
        </w:rPr>
        <w:fldChar w:fldCharType="end"/>
      </w:r>
    </w:p>
    <w:p w14:paraId="41C7C965">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3.2.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Separation of small extracellular vesicles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_Toc207979755 \h</w:instrText>
      </w:r>
      <w:r>
        <w:rPr>
          <w:rFonts w:hint="eastAsia"/>
          <w:highlight w:val="none"/>
        </w:rPr>
        <w:instrText xml:space="preserve"> </w:instrText>
      </w:r>
      <w:r>
        <w:rPr>
          <w:rFonts w:hint="eastAsia"/>
          <w:highlight w:val="none"/>
        </w:rPr>
        <w:fldChar w:fldCharType="separate"/>
      </w:r>
      <w:r>
        <w:rPr>
          <w:highlight w:val="none"/>
        </w:rPr>
        <w:t>28</w:t>
      </w:r>
      <w:r>
        <w:rPr>
          <w:rFonts w:hint="eastAsia"/>
          <w:highlight w:val="none"/>
        </w:rPr>
        <w:fldChar w:fldCharType="end"/>
      </w:r>
    </w:p>
    <w:p w14:paraId="2885EF53">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3.3.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Small RNA library construction and sequencing</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_Toc207979756 \h</w:instrText>
      </w:r>
      <w:r>
        <w:rPr>
          <w:rFonts w:hint="eastAsia"/>
          <w:highlight w:val="none"/>
        </w:rPr>
        <w:instrText xml:space="preserve"> </w:instrText>
      </w:r>
      <w:r>
        <w:rPr>
          <w:rFonts w:hint="eastAsia"/>
          <w:highlight w:val="none"/>
        </w:rPr>
        <w:fldChar w:fldCharType="separate"/>
      </w:r>
      <w:r>
        <w:rPr>
          <w:highlight w:val="none"/>
        </w:rPr>
        <w:t>29</w:t>
      </w:r>
      <w:r>
        <w:rPr>
          <w:rFonts w:hint="eastAsia"/>
          <w:highlight w:val="none"/>
        </w:rPr>
        <w:fldChar w:fldCharType="end"/>
      </w:r>
    </w:p>
    <w:p w14:paraId="353B0F81">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3.4.</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Bioinformatics analysis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_Toc207979757 \h</w:instrText>
      </w:r>
      <w:r>
        <w:rPr>
          <w:rFonts w:hint="eastAsia"/>
          <w:highlight w:val="none"/>
        </w:rPr>
        <w:instrText xml:space="preserve"> </w:instrText>
      </w:r>
      <w:r>
        <w:rPr>
          <w:rFonts w:hint="eastAsia"/>
          <w:highlight w:val="none"/>
        </w:rPr>
        <w:fldChar w:fldCharType="separate"/>
      </w:r>
      <w:r>
        <w:rPr>
          <w:highlight w:val="none"/>
        </w:rPr>
        <w:t>29</w:t>
      </w:r>
      <w:r>
        <w:rPr>
          <w:rFonts w:hint="eastAsia"/>
          <w:highlight w:val="none"/>
        </w:rPr>
        <w:fldChar w:fldCharType="end"/>
      </w:r>
    </w:p>
    <w:p w14:paraId="35CEA53A">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3.5.</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Statistical analysis of data</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_Toc207979758 \h</w:instrText>
      </w:r>
      <w:r>
        <w:rPr>
          <w:rFonts w:hint="eastAsia"/>
          <w:highlight w:val="none"/>
        </w:rPr>
        <w:instrText xml:space="preserve"> </w:instrText>
      </w:r>
      <w:r>
        <w:rPr>
          <w:rFonts w:hint="eastAsia"/>
          <w:highlight w:val="none"/>
        </w:rPr>
        <w:fldChar w:fldCharType="separate"/>
      </w:r>
      <w:r>
        <w:rPr>
          <w:highlight w:val="none"/>
        </w:rPr>
        <w:t>30</w:t>
      </w:r>
      <w:r>
        <w:rPr>
          <w:rFonts w:hint="eastAsia"/>
          <w:highlight w:val="none"/>
        </w:rPr>
        <w:fldChar w:fldCharType="end"/>
      </w:r>
    </w:p>
    <w:p w14:paraId="53A561FC">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4.</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Results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_Toc207979759 \h</w:instrText>
      </w:r>
      <w:r>
        <w:rPr>
          <w:rFonts w:hint="eastAsia"/>
          <w:highlight w:val="none"/>
        </w:rPr>
        <w:instrText xml:space="preserve"> </w:instrText>
      </w:r>
      <w:r>
        <w:rPr>
          <w:rFonts w:hint="eastAsia"/>
          <w:highlight w:val="none"/>
        </w:rPr>
        <w:fldChar w:fldCharType="separate"/>
      </w:r>
      <w:r>
        <w:rPr>
          <w:highlight w:val="none"/>
        </w:rPr>
        <w:t>30</w:t>
      </w:r>
      <w:r>
        <w:rPr>
          <w:rFonts w:hint="eastAsia"/>
          <w:highlight w:val="none"/>
        </w:rPr>
        <w:fldChar w:fldCharType="end"/>
      </w:r>
    </w:p>
    <w:p w14:paraId="0AACD811">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4.1.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Identification of Bovine Serum small extracellular vesicles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_Toc207979760 \h</w:instrText>
      </w:r>
      <w:r>
        <w:rPr>
          <w:rFonts w:hint="eastAsia"/>
          <w:highlight w:val="none"/>
        </w:rPr>
        <w:instrText xml:space="preserve"> </w:instrText>
      </w:r>
      <w:r>
        <w:rPr>
          <w:rFonts w:hint="eastAsia"/>
          <w:highlight w:val="none"/>
        </w:rPr>
        <w:fldChar w:fldCharType="separate"/>
      </w:r>
      <w:r>
        <w:rPr>
          <w:highlight w:val="none"/>
        </w:rPr>
        <w:t>30</w:t>
      </w:r>
      <w:r>
        <w:rPr>
          <w:rFonts w:hint="eastAsia"/>
          <w:highlight w:val="none"/>
        </w:rPr>
        <w:fldChar w:fldCharType="end"/>
      </w:r>
    </w:p>
    <w:p w14:paraId="23E9BDA6">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4.2.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Small RNA profiling of serum small extracellular vesicles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_Toc207979761 \h</w:instrText>
      </w:r>
      <w:r>
        <w:rPr>
          <w:rFonts w:hint="eastAsia"/>
          <w:highlight w:val="none"/>
        </w:rPr>
        <w:instrText xml:space="preserve"> </w:instrText>
      </w:r>
      <w:r>
        <w:rPr>
          <w:rFonts w:hint="eastAsia"/>
          <w:highlight w:val="none"/>
        </w:rPr>
        <w:fldChar w:fldCharType="separate"/>
      </w:r>
      <w:r>
        <w:rPr>
          <w:highlight w:val="none"/>
        </w:rPr>
        <w:t>30</w:t>
      </w:r>
      <w:r>
        <w:rPr>
          <w:rFonts w:hint="eastAsia"/>
          <w:highlight w:val="none"/>
        </w:rPr>
        <w:fldChar w:fldCharType="end"/>
      </w:r>
    </w:p>
    <w:p w14:paraId="591D48FE">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4.3.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Most abundant microRNAs in bovine serum-derived extracellular vesicle microRNAs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_Toc207979762 \h</w:instrText>
      </w:r>
      <w:r>
        <w:rPr>
          <w:rFonts w:hint="eastAsia"/>
          <w:highlight w:val="none"/>
        </w:rPr>
        <w:instrText xml:space="preserve"> </w:instrText>
      </w:r>
      <w:r>
        <w:rPr>
          <w:rFonts w:hint="eastAsia"/>
          <w:highlight w:val="none"/>
        </w:rPr>
        <w:fldChar w:fldCharType="separate"/>
      </w:r>
      <w:r>
        <w:rPr>
          <w:highlight w:val="none"/>
        </w:rPr>
        <w:t>31</w:t>
      </w:r>
      <w:r>
        <w:rPr>
          <w:rFonts w:hint="eastAsia"/>
          <w:highlight w:val="none"/>
        </w:rPr>
        <w:fldChar w:fldCharType="end"/>
      </w:r>
    </w:p>
    <w:p w14:paraId="5386213F">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4.4.</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Effects of inulin supplementation on the expression of microRNAs in bovine serum-derived small extracellular vesicles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_Toc207979763 \h</w:instrText>
      </w:r>
      <w:r>
        <w:rPr>
          <w:rFonts w:hint="eastAsia"/>
          <w:highlight w:val="none"/>
        </w:rPr>
        <w:instrText xml:space="preserve"> </w:instrText>
      </w:r>
      <w:r>
        <w:rPr>
          <w:rFonts w:hint="eastAsia"/>
          <w:highlight w:val="none"/>
        </w:rPr>
        <w:fldChar w:fldCharType="separate"/>
      </w:r>
      <w:r>
        <w:rPr>
          <w:highlight w:val="none"/>
        </w:rPr>
        <w:t>32</w:t>
      </w:r>
      <w:r>
        <w:rPr>
          <w:rFonts w:hint="eastAsia"/>
          <w:highlight w:val="none"/>
        </w:rPr>
        <w:fldChar w:fldCharType="end"/>
      </w:r>
    </w:p>
    <w:p w14:paraId="5BB65A15">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5.</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Discussion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_Toc207979764 \h</w:instrText>
      </w:r>
      <w:r>
        <w:rPr>
          <w:rFonts w:hint="eastAsia"/>
          <w:highlight w:val="none"/>
        </w:rPr>
        <w:instrText xml:space="preserve"> </w:instrText>
      </w:r>
      <w:r>
        <w:rPr>
          <w:rFonts w:hint="eastAsia"/>
          <w:highlight w:val="none"/>
        </w:rPr>
        <w:fldChar w:fldCharType="separate"/>
      </w:r>
      <w:r>
        <w:rPr>
          <w:highlight w:val="none"/>
        </w:rPr>
        <w:t>34</w:t>
      </w:r>
      <w:r>
        <w:rPr>
          <w:rFonts w:hint="eastAsia"/>
          <w:highlight w:val="none"/>
        </w:rPr>
        <w:fldChar w:fldCharType="end"/>
      </w:r>
    </w:p>
    <w:p w14:paraId="7DAABC8E">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6.</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Conclusion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_Toc207979765 \h</w:instrText>
      </w:r>
      <w:r>
        <w:rPr>
          <w:rFonts w:hint="eastAsia"/>
          <w:highlight w:val="none"/>
        </w:rPr>
        <w:instrText xml:space="preserve"> </w:instrText>
      </w:r>
      <w:r>
        <w:rPr>
          <w:rFonts w:hint="eastAsia"/>
          <w:highlight w:val="none"/>
        </w:rPr>
        <w:fldChar w:fldCharType="separate"/>
      </w:r>
      <w:r>
        <w:rPr>
          <w:highlight w:val="none"/>
        </w:rPr>
        <w:t>37</w:t>
      </w:r>
      <w:r>
        <w:rPr>
          <w:rFonts w:hint="eastAsia"/>
          <w:highlight w:val="none"/>
        </w:rPr>
        <w:fldChar w:fldCharType="end"/>
      </w:r>
    </w:p>
    <w:p w14:paraId="1A108721">
      <w:pPr>
        <w:pStyle w:val="20"/>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Chapter 3</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_Toc207979766 \h</w:instrText>
      </w:r>
      <w:r>
        <w:rPr>
          <w:rFonts w:hint="eastAsia"/>
          <w:highlight w:val="none"/>
        </w:rPr>
        <w:instrText xml:space="preserve"> </w:instrText>
      </w:r>
      <w:r>
        <w:rPr>
          <w:rFonts w:hint="eastAsia"/>
          <w:highlight w:val="none"/>
        </w:rPr>
        <w:fldChar w:fldCharType="separate"/>
      </w:r>
      <w:r>
        <w:rPr>
          <w:highlight w:val="none"/>
        </w:rPr>
        <w:t>39</w:t>
      </w:r>
      <w:r>
        <w:rPr>
          <w:rFonts w:hint="eastAsia"/>
          <w:highlight w:val="none"/>
        </w:rPr>
        <w:fldChar w:fldCharType="end"/>
      </w:r>
    </w:p>
    <w:p w14:paraId="071CB410">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zh-CN"/>
        </w:rPr>
        <w:t>Abstract</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_Toc207979767 \h</w:instrText>
      </w:r>
      <w:r>
        <w:rPr>
          <w:rFonts w:hint="eastAsia"/>
          <w:highlight w:val="none"/>
        </w:rPr>
        <w:instrText xml:space="preserve"> </w:instrText>
      </w:r>
      <w:r>
        <w:rPr>
          <w:rFonts w:hint="eastAsia"/>
          <w:highlight w:val="none"/>
        </w:rPr>
        <w:fldChar w:fldCharType="separate"/>
      </w:r>
      <w:r>
        <w:rPr>
          <w:highlight w:val="none"/>
        </w:rPr>
        <w:t>41</w:t>
      </w:r>
      <w:r>
        <w:rPr>
          <w:rFonts w:hint="eastAsia"/>
          <w:highlight w:val="none"/>
        </w:rPr>
        <w:fldChar w:fldCharType="end"/>
      </w:r>
    </w:p>
    <w:p w14:paraId="733490B1">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Introduction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_Toc207979768 \h</w:instrText>
      </w:r>
      <w:r>
        <w:rPr>
          <w:rFonts w:hint="eastAsia"/>
          <w:highlight w:val="none"/>
        </w:rPr>
        <w:instrText xml:space="preserve"> </w:instrText>
      </w:r>
      <w:r>
        <w:rPr>
          <w:rFonts w:hint="eastAsia"/>
          <w:highlight w:val="none"/>
        </w:rPr>
        <w:fldChar w:fldCharType="separate"/>
      </w:r>
      <w:r>
        <w:rPr>
          <w:highlight w:val="none"/>
        </w:rPr>
        <w:t>42</w:t>
      </w:r>
      <w:r>
        <w:rPr>
          <w:rFonts w:hint="eastAsia"/>
          <w:highlight w:val="none"/>
        </w:rPr>
        <w:fldChar w:fldCharType="end"/>
      </w:r>
    </w:p>
    <w:p w14:paraId="429FD00F">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Materials and methods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_Toc207979769 \h</w:instrText>
      </w:r>
      <w:r>
        <w:rPr>
          <w:rFonts w:hint="eastAsia"/>
          <w:highlight w:val="none"/>
        </w:rPr>
        <w:instrText xml:space="preserve"> </w:instrText>
      </w:r>
      <w:r>
        <w:rPr>
          <w:rFonts w:hint="eastAsia"/>
          <w:highlight w:val="none"/>
        </w:rPr>
        <w:fldChar w:fldCharType="separate"/>
      </w:r>
      <w:r>
        <w:rPr>
          <w:highlight w:val="none"/>
        </w:rPr>
        <w:t>45</w:t>
      </w:r>
      <w:r>
        <w:rPr>
          <w:rFonts w:hint="eastAsia"/>
          <w:highlight w:val="none"/>
        </w:rPr>
        <w:fldChar w:fldCharType="end"/>
      </w:r>
    </w:p>
    <w:p w14:paraId="07FDAFBC">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3.1.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Animal experiment and sample collection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_Toc207979770 \h</w:instrText>
      </w:r>
      <w:r>
        <w:rPr>
          <w:rFonts w:hint="eastAsia"/>
          <w:highlight w:val="none"/>
        </w:rPr>
        <w:instrText xml:space="preserve"> </w:instrText>
      </w:r>
      <w:r>
        <w:rPr>
          <w:rFonts w:hint="eastAsia"/>
          <w:highlight w:val="none"/>
        </w:rPr>
        <w:fldChar w:fldCharType="separate"/>
      </w:r>
      <w:r>
        <w:rPr>
          <w:highlight w:val="none"/>
        </w:rPr>
        <w:t>45</w:t>
      </w:r>
      <w:r>
        <w:rPr>
          <w:rFonts w:hint="eastAsia"/>
          <w:highlight w:val="none"/>
        </w:rPr>
        <w:fldChar w:fldCharType="end"/>
      </w:r>
    </w:p>
    <w:p w14:paraId="2A4B826F">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3.2.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 xml:space="preserve">Separation of </w:t>
      </w:r>
      <w:r>
        <w:rPr>
          <w:rFonts w:hint="eastAsia"/>
          <w:highlight w:val="none"/>
          <w:lang w:val="en-US" w:eastAsia="zh-CN"/>
        </w:rPr>
        <w:t xml:space="preserve">milk </w:t>
      </w:r>
      <w:r>
        <w:rPr>
          <w:rFonts w:hint="eastAsia"/>
          <w:highlight w:val="none"/>
          <w:lang w:val="en-US" w:eastAsia="fr-FR"/>
        </w:rPr>
        <w:t>small extracellular vesicles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_Toc207979771 \h</w:instrText>
      </w:r>
      <w:r>
        <w:rPr>
          <w:rFonts w:hint="eastAsia"/>
          <w:highlight w:val="none"/>
        </w:rPr>
        <w:instrText xml:space="preserve"> </w:instrText>
      </w:r>
      <w:r>
        <w:rPr>
          <w:rFonts w:hint="eastAsia"/>
          <w:highlight w:val="none"/>
        </w:rPr>
        <w:fldChar w:fldCharType="separate"/>
      </w:r>
      <w:r>
        <w:rPr>
          <w:highlight w:val="none"/>
        </w:rPr>
        <w:t>46</w:t>
      </w:r>
      <w:r>
        <w:rPr>
          <w:rFonts w:hint="eastAsia"/>
          <w:highlight w:val="none"/>
        </w:rPr>
        <w:fldChar w:fldCharType="end"/>
      </w:r>
    </w:p>
    <w:p w14:paraId="2DD7AC93">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3.3.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RNA library construction and sequencing</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_Toc207979772 \h</w:instrText>
      </w:r>
      <w:r>
        <w:rPr>
          <w:rFonts w:hint="eastAsia"/>
          <w:highlight w:val="none"/>
        </w:rPr>
        <w:instrText xml:space="preserve"> </w:instrText>
      </w:r>
      <w:r>
        <w:rPr>
          <w:rFonts w:hint="eastAsia"/>
          <w:highlight w:val="none"/>
        </w:rPr>
        <w:fldChar w:fldCharType="separate"/>
      </w:r>
      <w:r>
        <w:rPr>
          <w:highlight w:val="none"/>
        </w:rPr>
        <w:t>46</w:t>
      </w:r>
      <w:r>
        <w:rPr>
          <w:rFonts w:hint="eastAsia"/>
          <w:highlight w:val="none"/>
        </w:rPr>
        <w:fldChar w:fldCharType="end"/>
      </w:r>
    </w:p>
    <w:p w14:paraId="46044B7C">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zh-CN"/>
        </w:rPr>
        <w:t>3.4.</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zh-CN"/>
        </w:rPr>
        <w:t>Bioinformatics analysis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_Toc207979773 \h</w:instrText>
      </w:r>
      <w:r>
        <w:rPr>
          <w:rFonts w:hint="eastAsia"/>
          <w:highlight w:val="none"/>
        </w:rPr>
        <w:instrText xml:space="preserve"> </w:instrText>
      </w:r>
      <w:r>
        <w:rPr>
          <w:rFonts w:hint="eastAsia"/>
          <w:highlight w:val="none"/>
        </w:rPr>
        <w:fldChar w:fldCharType="separate"/>
      </w:r>
      <w:r>
        <w:rPr>
          <w:highlight w:val="none"/>
        </w:rPr>
        <w:t>47</w:t>
      </w:r>
      <w:r>
        <w:rPr>
          <w:rFonts w:hint="eastAsia"/>
          <w:highlight w:val="none"/>
        </w:rPr>
        <w:fldChar w:fldCharType="end"/>
      </w:r>
    </w:p>
    <w:p w14:paraId="2DD0A3D9">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3.5.</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Statistical analysis of data</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_Toc207979774 \h</w:instrText>
      </w:r>
      <w:r>
        <w:rPr>
          <w:rFonts w:hint="eastAsia"/>
          <w:highlight w:val="none"/>
        </w:rPr>
        <w:instrText xml:space="preserve"> </w:instrText>
      </w:r>
      <w:r>
        <w:rPr>
          <w:rFonts w:hint="eastAsia"/>
          <w:highlight w:val="none"/>
        </w:rPr>
        <w:fldChar w:fldCharType="separate"/>
      </w:r>
      <w:r>
        <w:rPr>
          <w:highlight w:val="none"/>
        </w:rPr>
        <w:t>47</w:t>
      </w:r>
      <w:r>
        <w:rPr>
          <w:rFonts w:hint="eastAsia"/>
          <w:highlight w:val="none"/>
        </w:rPr>
        <w:fldChar w:fldCharType="end"/>
      </w:r>
    </w:p>
    <w:p w14:paraId="382A8078">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4.</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Results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_Toc207979775 \h</w:instrText>
      </w:r>
      <w:r>
        <w:rPr>
          <w:rFonts w:hint="eastAsia"/>
          <w:highlight w:val="none"/>
        </w:rPr>
        <w:instrText xml:space="preserve"> </w:instrText>
      </w:r>
      <w:r>
        <w:rPr>
          <w:rFonts w:hint="eastAsia"/>
          <w:highlight w:val="none"/>
        </w:rPr>
        <w:fldChar w:fldCharType="separate"/>
      </w:r>
      <w:r>
        <w:rPr>
          <w:highlight w:val="none"/>
        </w:rPr>
        <w:t>47</w:t>
      </w:r>
      <w:r>
        <w:rPr>
          <w:rFonts w:hint="eastAsia"/>
          <w:highlight w:val="none"/>
        </w:rPr>
        <w:fldChar w:fldCharType="end"/>
      </w:r>
    </w:p>
    <w:p w14:paraId="518F3DC1">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4.1.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eastAsia="fr-FR"/>
        </w:rPr>
        <w:t>Confirmation of Bovine Milk Small Extracellular Vesicles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_Toc207979776 \h</w:instrText>
      </w:r>
      <w:r>
        <w:rPr>
          <w:rFonts w:hint="eastAsia"/>
          <w:highlight w:val="none"/>
        </w:rPr>
        <w:instrText xml:space="preserve"> </w:instrText>
      </w:r>
      <w:r>
        <w:rPr>
          <w:rFonts w:hint="eastAsia"/>
          <w:highlight w:val="none"/>
        </w:rPr>
        <w:fldChar w:fldCharType="separate"/>
      </w:r>
      <w:r>
        <w:rPr>
          <w:highlight w:val="none"/>
        </w:rPr>
        <w:t>47</w:t>
      </w:r>
      <w:r>
        <w:rPr>
          <w:rFonts w:hint="eastAsia"/>
          <w:highlight w:val="none"/>
        </w:rPr>
        <w:fldChar w:fldCharType="end"/>
      </w:r>
    </w:p>
    <w:p w14:paraId="7F40FDDC">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GB" w:eastAsia="zh-CN"/>
        </w:rPr>
        <w:t>4.2.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GB" w:eastAsia="zh-CN"/>
        </w:rPr>
        <w:t>miRNA analysis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_Toc207979777 \h</w:instrText>
      </w:r>
      <w:r>
        <w:rPr>
          <w:rFonts w:hint="eastAsia"/>
          <w:highlight w:val="none"/>
        </w:rPr>
        <w:instrText xml:space="preserve"> </w:instrText>
      </w:r>
      <w:r>
        <w:rPr>
          <w:rFonts w:hint="eastAsia"/>
          <w:highlight w:val="none"/>
        </w:rPr>
        <w:fldChar w:fldCharType="separate"/>
      </w:r>
      <w:r>
        <w:rPr>
          <w:highlight w:val="none"/>
        </w:rPr>
        <w:t>48</w:t>
      </w:r>
      <w:r>
        <w:rPr>
          <w:rFonts w:hint="eastAsia"/>
          <w:highlight w:val="none"/>
        </w:rPr>
        <w:fldChar w:fldCharType="end"/>
      </w:r>
    </w:p>
    <w:p w14:paraId="7B57DE93">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GB" w:eastAsia="zh-CN"/>
        </w:rPr>
        <w:t>4.3.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GB" w:eastAsia="zh-CN"/>
        </w:rPr>
        <w:t>lncRNA analysis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_Toc207979778 \h</w:instrText>
      </w:r>
      <w:r>
        <w:rPr>
          <w:rFonts w:hint="eastAsia"/>
          <w:highlight w:val="none"/>
        </w:rPr>
        <w:instrText xml:space="preserve"> </w:instrText>
      </w:r>
      <w:r>
        <w:rPr>
          <w:rFonts w:hint="eastAsia"/>
          <w:highlight w:val="none"/>
        </w:rPr>
        <w:fldChar w:fldCharType="separate"/>
      </w:r>
      <w:r>
        <w:rPr>
          <w:highlight w:val="none"/>
        </w:rPr>
        <w:t>51</w:t>
      </w:r>
      <w:r>
        <w:rPr>
          <w:rFonts w:hint="eastAsia"/>
          <w:highlight w:val="none"/>
        </w:rPr>
        <w:fldChar w:fldCharType="end"/>
      </w:r>
    </w:p>
    <w:p w14:paraId="75029EC4">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rPr>
        <w:t>4.4.</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rPr>
        <w:t>mRNA analysis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_Toc207979779 \h</w:instrText>
      </w:r>
      <w:r>
        <w:rPr>
          <w:rFonts w:hint="eastAsia"/>
          <w:highlight w:val="none"/>
        </w:rPr>
        <w:instrText xml:space="preserve"> </w:instrText>
      </w:r>
      <w:r>
        <w:rPr>
          <w:rFonts w:hint="eastAsia"/>
          <w:highlight w:val="none"/>
        </w:rPr>
        <w:fldChar w:fldCharType="separate"/>
      </w:r>
      <w:r>
        <w:rPr>
          <w:highlight w:val="none"/>
        </w:rPr>
        <w:t>53</w:t>
      </w:r>
      <w:r>
        <w:rPr>
          <w:rFonts w:hint="eastAsia"/>
          <w:highlight w:val="none"/>
        </w:rPr>
        <w:fldChar w:fldCharType="end"/>
      </w:r>
    </w:p>
    <w:p w14:paraId="0091BEAB">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rPr>
        <w:t>4.5.</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rPr>
        <w:t>circRNA analysis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_Toc207979780 \h</w:instrText>
      </w:r>
      <w:r>
        <w:rPr>
          <w:rFonts w:hint="eastAsia"/>
          <w:highlight w:val="none"/>
        </w:rPr>
        <w:instrText xml:space="preserve"> </w:instrText>
      </w:r>
      <w:r>
        <w:rPr>
          <w:rFonts w:hint="eastAsia"/>
          <w:highlight w:val="none"/>
        </w:rPr>
        <w:fldChar w:fldCharType="separate"/>
      </w:r>
      <w:r>
        <w:rPr>
          <w:highlight w:val="none"/>
        </w:rPr>
        <w:t>55</w:t>
      </w:r>
      <w:r>
        <w:rPr>
          <w:rFonts w:hint="eastAsia"/>
          <w:highlight w:val="none"/>
        </w:rPr>
        <w:fldChar w:fldCharType="end"/>
      </w:r>
    </w:p>
    <w:p w14:paraId="724C442A">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5.</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Discussion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_Toc207979781 \h</w:instrText>
      </w:r>
      <w:r>
        <w:rPr>
          <w:rFonts w:hint="eastAsia"/>
          <w:highlight w:val="none"/>
        </w:rPr>
        <w:instrText xml:space="preserve"> </w:instrText>
      </w:r>
      <w:r>
        <w:rPr>
          <w:rFonts w:hint="eastAsia"/>
          <w:highlight w:val="none"/>
        </w:rPr>
        <w:fldChar w:fldCharType="separate"/>
      </w:r>
      <w:r>
        <w:rPr>
          <w:highlight w:val="none"/>
        </w:rPr>
        <w:t>56</w:t>
      </w:r>
      <w:r>
        <w:rPr>
          <w:rFonts w:hint="eastAsia"/>
          <w:highlight w:val="none"/>
        </w:rPr>
        <w:fldChar w:fldCharType="end"/>
      </w:r>
    </w:p>
    <w:p w14:paraId="72DFF93D">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6.</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Conclusion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_Toc207979782 \h</w:instrText>
      </w:r>
      <w:r>
        <w:rPr>
          <w:rFonts w:hint="eastAsia"/>
          <w:highlight w:val="none"/>
        </w:rPr>
        <w:instrText xml:space="preserve"> </w:instrText>
      </w:r>
      <w:r>
        <w:rPr>
          <w:rFonts w:hint="eastAsia"/>
          <w:highlight w:val="none"/>
        </w:rPr>
        <w:fldChar w:fldCharType="separate"/>
      </w:r>
      <w:r>
        <w:rPr>
          <w:highlight w:val="none"/>
        </w:rPr>
        <w:t>60</w:t>
      </w:r>
      <w:r>
        <w:rPr>
          <w:rFonts w:hint="eastAsia"/>
          <w:highlight w:val="none"/>
        </w:rPr>
        <w:fldChar w:fldCharType="end"/>
      </w:r>
    </w:p>
    <w:p w14:paraId="156999D1">
      <w:pPr>
        <w:pStyle w:val="20"/>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fr-FR"/>
        </w:rPr>
        <w:t>Chapter 4</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_Toc207979783 \h</w:instrText>
      </w:r>
      <w:r>
        <w:rPr>
          <w:rFonts w:hint="eastAsia"/>
          <w:highlight w:val="none"/>
        </w:rPr>
        <w:instrText xml:space="preserve"> </w:instrText>
      </w:r>
      <w:r>
        <w:rPr>
          <w:rFonts w:hint="eastAsia"/>
          <w:highlight w:val="none"/>
        </w:rPr>
        <w:fldChar w:fldCharType="separate"/>
      </w:r>
      <w:r>
        <w:rPr>
          <w:highlight w:val="none"/>
        </w:rPr>
        <w:t>61</w:t>
      </w:r>
      <w:r>
        <w:rPr>
          <w:rFonts w:hint="eastAsia"/>
          <w:highlight w:val="none"/>
        </w:rPr>
        <w:fldChar w:fldCharType="end"/>
      </w:r>
    </w:p>
    <w:p w14:paraId="0F3E95C2">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rPr>
        <w:t>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rPr>
        <w:t>General discussion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_Toc207979784 \h</w:instrText>
      </w:r>
      <w:r>
        <w:rPr>
          <w:rFonts w:hint="eastAsia"/>
          <w:highlight w:val="none"/>
        </w:rPr>
        <w:instrText xml:space="preserve"> </w:instrText>
      </w:r>
      <w:r>
        <w:rPr>
          <w:rFonts w:hint="eastAsia"/>
          <w:highlight w:val="none"/>
        </w:rPr>
        <w:fldChar w:fldCharType="separate"/>
      </w:r>
      <w:r>
        <w:rPr>
          <w:highlight w:val="none"/>
        </w:rPr>
        <w:t>63</w:t>
      </w:r>
      <w:r>
        <w:rPr>
          <w:rFonts w:hint="eastAsia"/>
          <w:highlight w:val="none"/>
        </w:rPr>
        <w:fldChar w:fldCharType="end"/>
      </w:r>
    </w:p>
    <w:p w14:paraId="6F03FB1B">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zh-CN"/>
        </w:rPr>
        <w:t>1.1.</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zh-CN"/>
        </w:rPr>
        <w:t>Inulin modulates serum sEVs-miRNAs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_Toc207979785 \h</w:instrText>
      </w:r>
      <w:r>
        <w:rPr>
          <w:rFonts w:hint="eastAsia"/>
          <w:highlight w:val="none"/>
        </w:rPr>
        <w:instrText xml:space="preserve"> </w:instrText>
      </w:r>
      <w:r>
        <w:rPr>
          <w:rFonts w:hint="eastAsia"/>
          <w:highlight w:val="none"/>
        </w:rPr>
        <w:fldChar w:fldCharType="separate"/>
      </w:r>
      <w:r>
        <w:rPr>
          <w:highlight w:val="none"/>
        </w:rPr>
        <w:t>63</w:t>
      </w:r>
      <w:r>
        <w:rPr>
          <w:rFonts w:hint="eastAsia"/>
          <w:highlight w:val="none"/>
        </w:rPr>
        <w:fldChar w:fldCharType="end"/>
      </w:r>
    </w:p>
    <w:p w14:paraId="06C52D87">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rPr>
        <w:t>1.2.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rPr>
        <w:t>Inulin modulates milk sEVs-miRNAs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_Toc207979786 \h</w:instrText>
      </w:r>
      <w:r>
        <w:rPr>
          <w:rFonts w:hint="eastAsia"/>
          <w:highlight w:val="none"/>
        </w:rPr>
        <w:instrText xml:space="preserve"> </w:instrText>
      </w:r>
      <w:r>
        <w:rPr>
          <w:rFonts w:hint="eastAsia"/>
          <w:highlight w:val="none"/>
        </w:rPr>
        <w:fldChar w:fldCharType="separate"/>
      </w:r>
      <w:r>
        <w:rPr>
          <w:highlight w:val="none"/>
        </w:rPr>
        <w:t>65</w:t>
      </w:r>
      <w:r>
        <w:rPr>
          <w:rFonts w:hint="eastAsia"/>
          <w:highlight w:val="none"/>
        </w:rPr>
        <w:fldChar w:fldCharType="end"/>
      </w:r>
    </w:p>
    <w:p w14:paraId="55704B1D">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rPr>
        <w:t>1.3.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rPr>
        <w:t>Inulin Modulates milk sEVs-lncRNAs and mRNA</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_Toc207979787 \h</w:instrText>
      </w:r>
      <w:r>
        <w:rPr>
          <w:rFonts w:hint="eastAsia"/>
          <w:highlight w:val="none"/>
        </w:rPr>
        <w:instrText xml:space="preserve"> </w:instrText>
      </w:r>
      <w:r>
        <w:rPr>
          <w:rFonts w:hint="eastAsia"/>
          <w:highlight w:val="none"/>
        </w:rPr>
        <w:fldChar w:fldCharType="separate"/>
      </w:r>
      <w:r>
        <w:rPr>
          <w:highlight w:val="none"/>
        </w:rPr>
        <w:t>67</w:t>
      </w:r>
      <w:r>
        <w:rPr>
          <w:rFonts w:hint="eastAsia"/>
          <w:highlight w:val="none"/>
        </w:rPr>
        <w:fldChar w:fldCharType="end"/>
      </w:r>
    </w:p>
    <w:p w14:paraId="4FFE84C8">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rPr>
        <w:t>1.4.</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rPr>
        <w:t>Comparison of sEVs-miRNAs in Serum and Milk: Similarities and Differences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_Toc207979788 \h</w:instrText>
      </w:r>
      <w:r>
        <w:rPr>
          <w:rFonts w:hint="eastAsia"/>
          <w:highlight w:val="none"/>
        </w:rPr>
        <w:instrText xml:space="preserve"> </w:instrText>
      </w:r>
      <w:r>
        <w:rPr>
          <w:rFonts w:hint="eastAsia"/>
          <w:highlight w:val="none"/>
        </w:rPr>
        <w:fldChar w:fldCharType="separate"/>
      </w:r>
      <w:r>
        <w:rPr>
          <w:highlight w:val="none"/>
        </w:rPr>
        <w:t>68</w:t>
      </w:r>
      <w:r>
        <w:rPr>
          <w:rFonts w:hint="eastAsia"/>
          <w:highlight w:val="none"/>
        </w:rPr>
        <w:fldChar w:fldCharType="end"/>
      </w:r>
    </w:p>
    <w:p w14:paraId="7238C00C">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rPr>
        <w:t>1.5.</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rPr>
        <w:t>miRNA-lncRNA-mRNA Interaction Network in Inflammatory and Metabolic Regulation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_Toc207979789 \h</w:instrText>
      </w:r>
      <w:r>
        <w:rPr>
          <w:rFonts w:hint="eastAsia"/>
          <w:highlight w:val="none"/>
        </w:rPr>
        <w:instrText xml:space="preserve"> </w:instrText>
      </w:r>
      <w:r>
        <w:rPr>
          <w:rFonts w:hint="eastAsia"/>
          <w:highlight w:val="none"/>
        </w:rPr>
        <w:fldChar w:fldCharType="separate"/>
      </w:r>
      <w:r>
        <w:rPr>
          <w:highlight w:val="none"/>
        </w:rPr>
        <w:t>72</w:t>
      </w:r>
      <w:r>
        <w:rPr>
          <w:rFonts w:hint="eastAsia"/>
          <w:highlight w:val="none"/>
        </w:rPr>
        <w:fldChar w:fldCharType="end"/>
      </w:r>
    </w:p>
    <w:p w14:paraId="062C92EF">
      <w:pPr>
        <w:pStyle w:val="15"/>
        <w:tabs>
          <w:tab w:val="left" w:pos="110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rPr>
        <w:t>1.6.</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val="en-US"/>
        </w:rPr>
        <w:t>Inulin Regulation of sEVs Composition and Secretion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_Toc207979790 \h</w:instrText>
      </w:r>
      <w:r>
        <w:rPr>
          <w:rFonts w:hint="eastAsia"/>
          <w:highlight w:val="none"/>
        </w:rPr>
        <w:instrText xml:space="preserve"> </w:instrText>
      </w:r>
      <w:r>
        <w:rPr>
          <w:rFonts w:hint="eastAsia"/>
          <w:highlight w:val="none"/>
        </w:rPr>
        <w:fldChar w:fldCharType="separate"/>
      </w:r>
      <w:r>
        <w:rPr>
          <w:highlight w:val="none"/>
        </w:rPr>
        <w:t>73</w:t>
      </w:r>
      <w:r>
        <w:rPr>
          <w:rFonts w:hint="eastAsia"/>
          <w:highlight w:val="none"/>
        </w:rPr>
        <w:fldChar w:fldCharType="end"/>
      </w:r>
    </w:p>
    <w:p w14:paraId="770D96FD">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zh-CN"/>
        </w:rPr>
        <w:t>2.</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zh-CN"/>
        </w:rPr>
        <w:t>Limitations and Perspectives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_Toc207979791 \h</w:instrText>
      </w:r>
      <w:r>
        <w:rPr>
          <w:rFonts w:hint="eastAsia"/>
          <w:highlight w:val="none"/>
        </w:rPr>
        <w:instrText xml:space="preserve"> </w:instrText>
      </w:r>
      <w:r>
        <w:rPr>
          <w:rFonts w:hint="eastAsia"/>
          <w:highlight w:val="none"/>
        </w:rPr>
        <w:fldChar w:fldCharType="separate"/>
      </w:r>
      <w:r>
        <w:rPr>
          <w:highlight w:val="none"/>
        </w:rPr>
        <w:t>75</w:t>
      </w:r>
      <w:r>
        <w:rPr>
          <w:rFonts w:hint="eastAsia"/>
          <w:highlight w:val="none"/>
        </w:rPr>
        <w:fldChar w:fldCharType="end"/>
      </w:r>
    </w:p>
    <w:p w14:paraId="5F6662A4">
      <w:pPr>
        <w:pStyle w:val="23"/>
        <w:tabs>
          <w:tab w:val="left" w:pos="660"/>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zh-CN"/>
        </w:rPr>
        <w:t>3.</w:t>
      </w:r>
      <w:r>
        <w:rPr>
          <w:rFonts w:hint="eastAsia" w:asciiTheme="minorHAnsi" w:hAnsiTheme="minorHAnsi" w:eastAsiaTheme="minorEastAsia" w:cstheme="minorBidi"/>
          <w:kern w:val="2"/>
          <w:szCs w:val="24"/>
          <w:highlight w:val="none"/>
          <w:lang w:val="en-US" w:eastAsia="zh-CN"/>
          <w14:ligatures w14:val="standardContextual"/>
        </w:rPr>
        <w:tab/>
      </w:r>
      <w:r>
        <w:rPr>
          <w:rFonts w:hint="eastAsia"/>
          <w:highlight w:val="none"/>
          <w:lang w:eastAsia="zh-CN"/>
        </w:rPr>
        <w:t>General Conclusion</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_Toc207979792 \h</w:instrText>
      </w:r>
      <w:r>
        <w:rPr>
          <w:rFonts w:hint="eastAsia"/>
          <w:highlight w:val="none"/>
        </w:rPr>
        <w:instrText xml:space="preserve"> </w:instrText>
      </w:r>
      <w:r>
        <w:rPr>
          <w:rFonts w:hint="eastAsia"/>
          <w:highlight w:val="none"/>
        </w:rPr>
        <w:fldChar w:fldCharType="separate"/>
      </w:r>
      <w:r>
        <w:rPr>
          <w:highlight w:val="none"/>
        </w:rPr>
        <w:t>76</w:t>
      </w:r>
      <w:r>
        <w:rPr>
          <w:rFonts w:hint="eastAsia"/>
          <w:highlight w:val="none"/>
        </w:rPr>
        <w:fldChar w:fldCharType="end"/>
      </w:r>
    </w:p>
    <w:p w14:paraId="75E31BCB">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References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_Toc207979793 \h</w:instrText>
      </w:r>
      <w:r>
        <w:rPr>
          <w:rFonts w:hint="eastAsia"/>
          <w:highlight w:val="none"/>
        </w:rPr>
        <w:instrText xml:space="preserve"> </w:instrText>
      </w:r>
      <w:r>
        <w:rPr>
          <w:rFonts w:hint="eastAsia"/>
          <w:highlight w:val="none"/>
        </w:rPr>
        <w:fldChar w:fldCharType="separate"/>
      </w:r>
      <w:r>
        <w:rPr>
          <w:highlight w:val="none"/>
        </w:rPr>
        <w:t>79</w:t>
      </w:r>
      <w:r>
        <w:rPr>
          <w:rFonts w:hint="eastAsia"/>
          <w:highlight w:val="none"/>
        </w:rPr>
        <w:fldChar w:fldCharType="end"/>
      </w:r>
    </w:p>
    <w:p w14:paraId="24AE425E">
      <w:pPr>
        <w:pStyle w:val="20"/>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val="en-US" w:eastAsia="zh-CN"/>
        </w:rPr>
        <w:t>Appendix</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_Toc207979794 \h</w:instrText>
      </w:r>
      <w:r>
        <w:rPr>
          <w:rFonts w:hint="eastAsia"/>
          <w:highlight w:val="none"/>
        </w:rPr>
        <w:instrText xml:space="preserve"> </w:instrText>
      </w:r>
      <w:r>
        <w:rPr>
          <w:rFonts w:hint="eastAsia"/>
          <w:highlight w:val="none"/>
        </w:rPr>
        <w:fldChar w:fldCharType="separate"/>
      </w:r>
      <w:r>
        <w:rPr>
          <w:highlight w:val="none"/>
        </w:rPr>
        <w:t>91</w:t>
      </w:r>
      <w:r>
        <w:rPr>
          <w:rFonts w:hint="eastAsia"/>
          <w:highlight w:val="none"/>
        </w:rPr>
        <w:fldChar w:fldCharType="end"/>
      </w:r>
    </w:p>
    <w:p w14:paraId="4C34E14C">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Supplementary Table</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_Toc207979795 \h</w:instrText>
      </w:r>
      <w:r>
        <w:rPr>
          <w:rFonts w:hint="eastAsia"/>
          <w:highlight w:val="none"/>
        </w:rPr>
        <w:instrText xml:space="preserve"> </w:instrText>
      </w:r>
      <w:r>
        <w:rPr>
          <w:rFonts w:hint="eastAsia"/>
          <w:highlight w:val="none"/>
        </w:rPr>
        <w:fldChar w:fldCharType="separate"/>
      </w:r>
      <w:r>
        <w:rPr>
          <w:highlight w:val="none"/>
        </w:rPr>
        <w:t>93</w:t>
      </w:r>
      <w:r>
        <w:rPr>
          <w:rFonts w:hint="eastAsia"/>
          <w:highlight w:val="none"/>
        </w:rPr>
        <w:fldChar w:fldCharType="end"/>
      </w:r>
    </w:p>
    <w:p w14:paraId="23B3EF96">
      <w:pPr>
        <w:pStyle w:val="23"/>
        <w:tabs>
          <w:tab w:val="right" w:leader="dot" w:pos="7475"/>
        </w:tabs>
        <w:rPr>
          <w:rFonts w:asciiTheme="minorHAnsi" w:hAnsiTheme="minorHAnsi" w:eastAsiaTheme="minorEastAsia" w:cstheme="minorBidi"/>
          <w:kern w:val="2"/>
          <w:szCs w:val="24"/>
          <w:highlight w:val="none"/>
          <w:lang w:val="en-US" w:eastAsia="zh-CN"/>
          <w14:ligatures w14:val="standardContextual"/>
        </w:rPr>
      </w:pPr>
      <w:r>
        <w:rPr>
          <w:rFonts w:hint="eastAsia"/>
          <w:highlight w:val="none"/>
          <w:lang w:eastAsia="fr-FR"/>
        </w:rPr>
        <w:t>Publications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_Toc207979796 \h</w:instrText>
      </w:r>
      <w:r>
        <w:rPr>
          <w:rFonts w:hint="eastAsia"/>
          <w:highlight w:val="none"/>
        </w:rPr>
        <w:instrText xml:space="preserve"> </w:instrText>
      </w:r>
      <w:r>
        <w:rPr>
          <w:rFonts w:hint="eastAsia"/>
          <w:highlight w:val="none"/>
        </w:rPr>
        <w:fldChar w:fldCharType="separate"/>
      </w:r>
      <w:r>
        <w:rPr>
          <w:highlight w:val="none"/>
        </w:rPr>
        <w:t>94</w:t>
      </w:r>
      <w:r>
        <w:rPr>
          <w:rFonts w:hint="eastAsia"/>
          <w:highlight w:val="none"/>
        </w:rPr>
        <w:fldChar w:fldCharType="end"/>
      </w:r>
    </w:p>
    <w:p w14:paraId="77F7F246">
      <w:pPr>
        <w:spacing w:after="200" w:line="276" w:lineRule="auto"/>
        <w:ind w:firstLine="0"/>
        <w:jc w:val="left"/>
        <w:rPr>
          <w:highlight w:val="none"/>
        </w:rPr>
      </w:pPr>
      <w:r>
        <w:rPr>
          <w:highlight w:val="none"/>
          <w:lang w:val="en-US"/>
        </w:rPr>
        <w:fldChar w:fldCharType="end"/>
      </w:r>
      <w:r>
        <w:rPr>
          <w:highlight w:val="none"/>
        </w:rPr>
        <w:br w:type="page"/>
      </w:r>
      <w:r>
        <w:rPr>
          <w:highlight w:val="none"/>
        </w:rPr>
        <w:br w:type="page"/>
      </w:r>
    </w:p>
    <w:p w14:paraId="47BD7211">
      <w:pPr>
        <w:rPr>
          <w:highlight w:val="none"/>
        </w:rPr>
        <w:sectPr>
          <w:headerReference r:id="rId15" w:type="even"/>
          <w:pgSz w:w="9639" w:h="13608"/>
          <w:pgMar w:top="1361" w:right="907" w:bottom="1021" w:left="1247" w:header="567" w:footer="312" w:gutter="0"/>
          <w:cols w:space="708" w:num="1"/>
          <w:docGrid w:linePitch="360" w:charSpace="0"/>
        </w:sectPr>
      </w:pPr>
    </w:p>
    <w:p w14:paraId="664C20EE">
      <w:pPr>
        <w:pStyle w:val="3"/>
        <w:numPr>
          <w:ilvl w:val="0"/>
          <w:numId w:val="0"/>
        </w:numPr>
        <w:ind w:left="170"/>
        <w:rPr>
          <w:highlight w:val="none"/>
        </w:rPr>
      </w:pPr>
      <w:bookmarkStart w:id="10" w:name="_Toc195143232"/>
      <w:bookmarkStart w:id="11" w:name="_Toc207979734"/>
      <w:r>
        <w:rPr>
          <w:highlight w:val="none"/>
        </w:rPr>
        <w:t>List of figures</w:t>
      </w:r>
      <w:bookmarkEnd w:id="10"/>
      <w:bookmarkEnd w:id="11"/>
    </w:p>
    <w:p w14:paraId="552FF751">
      <w:pPr>
        <w:pStyle w:val="22"/>
        <w:tabs>
          <w:tab w:val="right" w:leader="dot" w:pos="7475"/>
        </w:tabs>
        <w:rPr>
          <w:rFonts w:asciiTheme="minorHAnsi" w:hAnsiTheme="minorHAnsi"/>
          <w:kern w:val="2"/>
          <w:szCs w:val="24"/>
          <w:highlight w:val="none"/>
          <w:lang w:val="en-US" w:eastAsia="zh-CN"/>
          <w14:ligatures w14:val="standardContextual"/>
        </w:rPr>
      </w:pPr>
      <w:r>
        <w:rPr>
          <w:highlight w:val="none"/>
          <w:lang w:val="en-US"/>
        </w:rPr>
        <w:fldChar w:fldCharType="begin"/>
      </w:r>
      <w:r>
        <w:rPr>
          <w:highlight w:val="none"/>
          <w:lang w:val="en-US"/>
        </w:rPr>
        <w:instrText xml:space="preserve"> TOC \h \z \c "Figure" </w:instrText>
      </w:r>
      <w:r>
        <w:rPr>
          <w:highlight w:val="none"/>
          <w:lang w:val="en-US"/>
        </w:rPr>
        <w:fldChar w:fldCharType="separate"/>
      </w:r>
      <w:r>
        <w:rPr>
          <w:highlight w:val="none"/>
        </w:rPr>
        <w:fldChar w:fldCharType="begin"/>
      </w:r>
      <w:r>
        <w:rPr>
          <w:highlight w:val="none"/>
        </w:rPr>
        <w:instrText xml:space="preserve"> HYPERLINK \l "_Toc207982989" </w:instrText>
      </w:r>
      <w:r>
        <w:rPr>
          <w:highlight w:val="none"/>
        </w:rPr>
        <w:fldChar w:fldCharType="separate"/>
      </w:r>
      <w:r>
        <w:rPr>
          <w:rStyle w:val="39"/>
          <w:rFonts w:hint="eastAsia"/>
          <w:b/>
          <w:highlight w:val="none"/>
          <w:lang w:val="en-US"/>
        </w:rPr>
        <w:t>Figure 1</w:t>
      </w:r>
      <w:r>
        <w:rPr>
          <w:rStyle w:val="39"/>
          <w:rFonts w:hint="eastAsia"/>
          <w:b/>
          <w:highlight w:val="none"/>
          <w:lang w:val="en-US"/>
        </w:rPr>
        <w:noBreakHyphen/>
      </w:r>
      <w:r>
        <w:rPr>
          <w:rStyle w:val="39"/>
          <w:rFonts w:hint="eastAsia"/>
          <w:b/>
          <w:highlight w:val="none"/>
          <w:lang w:val="en-US"/>
        </w:rPr>
        <w:t>1:</w:t>
      </w:r>
      <w:r>
        <w:rPr>
          <w:rStyle w:val="39"/>
          <w:rFonts w:hint="eastAsia"/>
          <w:highlight w:val="none"/>
          <w:lang w:val="en-US"/>
        </w:rPr>
        <w:t xml:space="preserve"> Extracellular Vesicle Transfer of Molecular Cargo Between Cells. Endosomal vesicles form in donor cells, where biomolecules like proteins, lipids, and RNA are selectively packaged and matured into multivesicular bodies. These vesicles are released when multivesicular bodies fuse with the plasma membrane. Target cells take up vesicles via fusion, endocytosis, or receptors. The vesicles release their contents, influencing the target cell's behavior and signaling. Adapted from Zempleni et al. </w:t>
      </w:r>
      <w:r>
        <w:rPr>
          <w:rStyle w:val="39"/>
          <w:rFonts w:hint="eastAsia"/>
          <w:highlight w:val="none"/>
          <w:lang w:val="en-US" w:eastAsia="zh-CN"/>
        </w:rPr>
        <w:t>(</w:t>
      </w:r>
      <w:r>
        <w:rPr>
          <w:rStyle w:val="39"/>
          <w:rFonts w:hint="eastAsia"/>
          <w:highlight w:val="none"/>
          <w:lang w:val="en-US"/>
        </w:rPr>
        <w:t>2019).</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_Toc207982989 \h</w:instrText>
      </w:r>
      <w:r>
        <w:rPr>
          <w:rFonts w:hint="eastAsia"/>
          <w:highlight w:val="none"/>
        </w:rPr>
        <w:instrText xml:space="preserve"> </w:instrText>
      </w:r>
      <w:r>
        <w:rPr>
          <w:rFonts w:hint="eastAsia"/>
          <w:highlight w:val="none"/>
        </w:rPr>
        <w:fldChar w:fldCharType="separate"/>
      </w:r>
      <w:r>
        <w:rPr>
          <w:highlight w:val="none"/>
        </w:rPr>
        <w:t>7</w:t>
      </w:r>
      <w:r>
        <w:rPr>
          <w:rFonts w:hint="eastAsia"/>
          <w:highlight w:val="none"/>
        </w:rPr>
        <w:fldChar w:fldCharType="end"/>
      </w:r>
      <w:r>
        <w:rPr>
          <w:rFonts w:hint="eastAsia"/>
          <w:highlight w:val="none"/>
        </w:rPr>
        <w:fldChar w:fldCharType="end"/>
      </w:r>
    </w:p>
    <w:p w14:paraId="2C2FC71A">
      <w:pPr>
        <w:pStyle w:val="22"/>
        <w:tabs>
          <w:tab w:val="right" w:leader="dot" w:pos="7475"/>
        </w:tabs>
        <w:rPr>
          <w:rFonts w:asciiTheme="minorHAnsi" w:hAnsiTheme="minorHAnsi"/>
          <w:kern w:val="2"/>
          <w:szCs w:val="24"/>
          <w:highlight w:val="none"/>
          <w:lang w:val="en-US" w:eastAsia="zh-CN"/>
          <w14:ligatures w14:val="standardContextual"/>
        </w:rPr>
      </w:pPr>
      <w:r>
        <w:rPr>
          <w:highlight w:val="none"/>
        </w:rPr>
        <w:fldChar w:fldCharType="begin"/>
      </w:r>
      <w:r>
        <w:rPr>
          <w:highlight w:val="none"/>
        </w:rPr>
        <w:instrText xml:space="preserve"> HYPERLINK \l "_Toc207982990" </w:instrText>
      </w:r>
      <w:r>
        <w:rPr>
          <w:highlight w:val="none"/>
        </w:rPr>
        <w:fldChar w:fldCharType="separate"/>
      </w:r>
      <w:r>
        <w:rPr>
          <w:rStyle w:val="39"/>
          <w:rFonts w:hint="eastAsia"/>
          <w:b/>
          <w:highlight w:val="none"/>
          <w:lang w:val="en-US"/>
        </w:rPr>
        <w:t>Figure 1</w:t>
      </w:r>
      <w:r>
        <w:rPr>
          <w:rStyle w:val="39"/>
          <w:rFonts w:hint="eastAsia"/>
          <w:b/>
          <w:highlight w:val="none"/>
          <w:lang w:val="en-US"/>
        </w:rPr>
        <w:noBreakHyphen/>
      </w:r>
      <w:r>
        <w:rPr>
          <w:rStyle w:val="39"/>
          <w:rFonts w:hint="eastAsia"/>
          <w:b/>
          <w:highlight w:val="none"/>
          <w:lang w:val="en-US"/>
        </w:rPr>
        <w:t>2:</w:t>
      </w:r>
      <w:r>
        <w:rPr>
          <w:rStyle w:val="39"/>
          <w:rFonts w:hint="eastAsia"/>
          <w:highlight w:val="none"/>
          <w:lang w:val="en-US"/>
        </w:rPr>
        <w:t xml:space="preserve"> (A) mRNA-miRNA reciprocal regulations. miRNAs can suppress mRNA expression by binding to their 3' untranslated regions, leading to translational repression or degradation, or stimulate translation. Conversely, mRNA can regulate the levels of miRNAs through sequestration or degradation. (B) Regulatory network between miRNA, mRNA, and proteins. miRNAs bind to mRNA, leading to translational repression or mRNA degradation, thus reducing the synthesis of specific proteins. Meanwhile, proteins encoded by mRNAs can regulate miRNA expression through feedback mechanisms, typically by interacting with miRNA genes to influence miRNA transcription. These interactions form a complex regulatory network between miRNAs, mRNAs, and proteins, collectively contributing to the regulation of cellular functions. Adapted from Tian et al. </w:t>
      </w:r>
      <w:r>
        <w:rPr>
          <w:rStyle w:val="39"/>
          <w:rFonts w:hint="eastAsia"/>
          <w:highlight w:val="none"/>
          <w:lang w:val="en-US" w:eastAsia="zh-CN"/>
        </w:rPr>
        <w:t>(</w:t>
      </w:r>
      <w:r>
        <w:rPr>
          <w:rStyle w:val="39"/>
          <w:rFonts w:hint="eastAsia"/>
          <w:highlight w:val="none"/>
          <w:lang w:val="en-US"/>
        </w:rPr>
        <w:t>2016).</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_Toc207982990 \h</w:instrText>
      </w:r>
      <w:r>
        <w:rPr>
          <w:rFonts w:hint="eastAsia"/>
          <w:highlight w:val="none"/>
        </w:rPr>
        <w:instrText xml:space="preserve"> </w:instrText>
      </w:r>
      <w:r>
        <w:rPr>
          <w:rFonts w:hint="eastAsia"/>
          <w:highlight w:val="none"/>
        </w:rPr>
        <w:fldChar w:fldCharType="separate"/>
      </w:r>
      <w:r>
        <w:rPr>
          <w:highlight w:val="none"/>
        </w:rPr>
        <w:t>16</w:t>
      </w:r>
      <w:r>
        <w:rPr>
          <w:rFonts w:hint="eastAsia"/>
          <w:highlight w:val="none"/>
        </w:rPr>
        <w:fldChar w:fldCharType="end"/>
      </w:r>
      <w:r>
        <w:rPr>
          <w:rFonts w:hint="eastAsia"/>
          <w:highlight w:val="none"/>
        </w:rPr>
        <w:fldChar w:fldCharType="end"/>
      </w:r>
    </w:p>
    <w:p w14:paraId="3FF600C5">
      <w:pPr>
        <w:pStyle w:val="22"/>
        <w:tabs>
          <w:tab w:val="right" w:leader="dot" w:pos="7475"/>
        </w:tabs>
        <w:rPr>
          <w:rFonts w:asciiTheme="minorHAnsi" w:hAnsiTheme="minorHAnsi"/>
          <w:kern w:val="2"/>
          <w:szCs w:val="24"/>
          <w:highlight w:val="none"/>
          <w:lang w:val="en-US" w:eastAsia="zh-CN"/>
          <w14:ligatures w14:val="standardContextual"/>
        </w:rPr>
      </w:pPr>
      <w:r>
        <w:rPr>
          <w:highlight w:val="none"/>
        </w:rPr>
        <w:fldChar w:fldCharType="begin"/>
      </w:r>
      <w:r>
        <w:rPr>
          <w:highlight w:val="none"/>
        </w:rPr>
        <w:instrText xml:space="preserve"> HYPERLINK \l "_Toc207982991" </w:instrText>
      </w:r>
      <w:r>
        <w:rPr>
          <w:highlight w:val="none"/>
        </w:rPr>
        <w:fldChar w:fldCharType="separate"/>
      </w:r>
      <w:r>
        <w:rPr>
          <w:rStyle w:val="39"/>
          <w:rFonts w:hint="eastAsia"/>
          <w:b/>
          <w:bCs/>
          <w:highlight w:val="none"/>
          <w:lang w:val="en-US"/>
        </w:rPr>
        <w:t xml:space="preserve">Figure </w:t>
      </w:r>
      <w:r>
        <w:rPr>
          <w:rStyle w:val="39"/>
          <w:rFonts w:hint="eastAsia"/>
          <w:b/>
          <w:bCs/>
          <w:highlight w:val="none"/>
          <w:lang w:val="en-US" w:eastAsia="zh-CN"/>
        </w:rPr>
        <w:t>2</w:t>
      </w:r>
      <w:r>
        <w:rPr>
          <w:rStyle w:val="39"/>
          <w:rFonts w:hint="eastAsia"/>
          <w:b/>
          <w:bCs/>
          <w:highlight w:val="none"/>
          <w:lang w:val="en-US"/>
        </w:rPr>
        <w:noBreakHyphen/>
      </w:r>
      <w:r>
        <w:rPr>
          <w:rStyle w:val="39"/>
          <w:rFonts w:hint="eastAsia"/>
          <w:b/>
          <w:bCs/>
          <w:highlight w:val="none"/>
          <w:lang w:val="en-US"/>
        </w:rPr>
        <w:t>1:</w:t>
      </w:r>
      <w:r>
        <w:rPr>
          <w:rStyle w:val="39"/>
          <w:rFonts w:hint="eastAsia"/>
          <w:highlight w:val="none"/>
          <w:lang w:val="en-US"/>
        </w:rPr>
        <w:t xml:space="preserve"> Characterization of the isolated serum-derived small extracellular vesicles from cows suffering from subclinical mastitis. (A)</w:t>
      </w:r>
      <w:r>
        <w:rPr>
          <w:rStyle w:val="39"/>
          <w:rFonts w:hint="eastAsia"/>
          <w:highlight w:val="none"/>
          <w:lang w:val="en-US" w:eastAsia="zh-CN"/>
        </w:rPr>
        <w:t xml:space="preserve"> </w:t>
      </w:r>
      <w:r>
        <w:rPr>
          <w:rStyle w:val="39"/>
          <w:rFonts w:hint="eastAsia"/>
          <w:highlight w:val="none"/>
          <w:lang w:val="en-US"/>
        </w:rPr>
        <w:t>Micrograph of bovine serum-derived small extracellular vesicles captured using Transmission Electron Microscopy. (B) Particle size distribution of bovine serum-derived small extracellular vesicles.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_Toc207982991 \h</w:instrText>
      </w:r>
      <w:r>
        <w:rPr>
          <w:rFonts w:hint="eastAsia"/>
          <w:highlight w:val="none"/>
        </w:rPr>
        <w:instrText xml:space="preserve"> </w:instrText>
      </w:r>
      <w:r>
        <w:rPr>
          <w:rFonts w:hint="eastAsia"/>
          <w:highlight w:val="none"/>
        </w:rPr>
        <w:fldChar w:fldCharType="separate"/>
      </w:r>
      <w:r>
        <w:rPr>
          <w:highlight w:val="none"/>
        </w:rPr>
        <w:t>30</w:t>
      </w:r>
      <w:r>
        <w:rPr>
          <w:rFonts w:hint="eastAsia"/>
          <w:highlight w:val="none"/>
        </w:rPr>
        <w:fldChar w:fldCharType="end"/>
      </w:r>
      <w:r>
        <w:rPr>
          <w:rFonts w:hint="eastAsia"/>
          <w:highlight w:val="none"/>
        </w:rPr>
        <w:fldChar w:fldCharType="end"/>
      </w:r>
    </w:p>
    <w:p w14:paraId="5B88549D">
      <w:pPr>
        <w:pStyle w:val="22"/>
        <w:tabs>
          <w:tab w:val="right" w:leader="dot" w:pos="7475"/>
        </w:tabs>
        <w:rPr>
          <w:rFonts w:asciiTheme="minorHAnsi" w:hAnsiTheme="minorHAnsi"/>
          <w:kern w:val="2"/>
          <w:szCs w:val="24"/>
          <w:highlight w:val="none"/>
          <w:lang w:val="en-US" w:eastAsia="zh-CN"/>
          <w14:ligatures w14:val="standardContextual"/>
        </w:rPr>
      </w:pPr>
      <w:r>
        <w:rPr>
          <w:highlight w:val="none"/>
        </w:rPr>
        <w:fldChar w:fldCharType="begin"/>
      </w:r>
      <w:r>
        <w:rPr>
          <w:highlight w:val="none"/>
        </w:rPr>
        <w:instrText xml:space="preserve"> HYPERLINK \l "_Toc207982992" </w:instrText>
      </w:r>
      <w:r>
        <w:rPr>
          <w:highlight w:val="none"/>
        </w:rPr>
        <w:fldChar w:fldCharType="separate"/>
      </w:r>
      <w:r>
        <w:rPr>
          <w:rStyle w:val="39"/>
          <w:rFonts w:hint="eastAsia"/>
          <w:b/>
          <w:bCs/>
          <w:highlight w:val="none"/>
          <w:lang w:val="en-US"/>
        </w:rPr>
        <w:t xml:space="preserve">Figure </w:t>
      </w:r>
      <w:r>
        <w:rPr>
          <w:rStyle w:val="39"/>
          <w:rFonts w:hint="eastAsia"/>
          <w:b/>
          <w:bCs/>
          <w:highlight w:val="none"/>
          <w:lang w:val="en-US" w:eastAsia="zh-CN"/>
        </w:rPr>
        <w:t>2</w:t>
      </w:r>
      <w:r>
        <w:rPr>
          <w:rStyle w:val="39"/>
          <w:rFonts w:hint="eastAsia"/>
          <w:b/>
          <w:bCs/>
          <w:highlight w:val="none"/>
          <w:lang w:val="en-US"/>
        </w:rPr>
        <w:noBreakHyphen/>
      </w:r>
      <w:r>
        <w:rPr>
          <w:rStyle w:val="39"/>
          <w:rFonts w:hint="eastAsia"/>
          <w:b/>
          <w:bCs/>
          <w:highlight w:val="none"/>
          <w:lang w:val="en-US"/>
        </w:rPr>
        <w:t>2:</w:t>
      </w:r>
      <w:r>
        <w:rPr>
          <w:rStyle w:val="39"/>
          <w:rFonts w:hint="eastAsia"/>
          <w:highlight w:val="none"/>
          <w:lang w:val="en-US"/>
        </w:rPr>
        <w:t xml:space="preserve"> </w:t>
      </w:r>
      <w:r>
        <w:rPr>
          <w:rStyle w:val="39"/>
          <w:rFonts w:hint="eastAsia"/>
          <w:highlight w:val="none"/>
          <w:lang w:val="en-US" w:eastAsia="zh-CN"/>
        </w:rPr>
        <w:t xml:space="preserve">(A) </w:t>
      </w:r>
      <w:r>
        <w:rPr>
          <w:rStyle w:val="39"/>
          <w:rFonts w:hint="eastAsia"/>
          <w:highlight w:val="none"/>
          <w:lang w:val="en-US"/>
        </w:rPr>
        <w:t xml:space="preserve">Annotated small RNA profiling with classification of cis-regulatory elements, other Rfam RNA, ribosomal RNA, small nuclear RNA, transfer RNA, and microRNA derived from serum small extracellular vesicles in dairy cows suffering from subclinical mastitis in control and inulin groups. </w:t>
      </w:r>
      <w:r>
        <w:rPr>
          <w:rStyle w:val="39"/>
          <w:rFonts w:hint="eastAsia"/>
          <w:highlight w:val="none"/>
          <w:lang w:val="en-US" w:eastAsia="zh-CN"/>
        </w:rPr>
        <w:t xml:space="preserve">(B) </w:t>
      </w:r>
      <w:r>
        <w:rPr>
          <w:rStyle w:val="39"/>
          <w:rFonts w:hint="eastAsia"/>
          <w:highlight w:val="none"/>
          <w:lang w:val="en-US"/>
        </w:rPr>
        <w:t>Numbers of the serum-derived small extracellular vesicles microRNAs identified from cows suffering from subclinical mastitis in control and inulin groups.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_Toc207982992 \h</w:instrText>
      </w:r>
      <w:r>
        <w:rPr>
          <w:rFonts w:hint="eastAsia"/>
          <w:highlight w:val="none"/>
        </w:rPr>
        <w:instrText xml:space="preserve"> </w:instrText>
      </w:r>
      <w:r>
        <w:rPr>
          <w:rFonts w:hint="eastAsia"/>
          <w:highlight w:val="none"/>
        </w:rPr>
        <w:fldChar w:fldCharType="separate"/>
      </w:r>
      <w:r>
        <w:rPr>
          <w:highlight w:val="none"/>
        </w:rPr>
        <w:t>31</w:t>
      </w:r>
      <w:r>
        <w:rPr>
          <w:rFonts w:hint="eastAsia"/>
          <w:highlight w:val="none"/>
        </w:rPr>
        <w:fldChar w:fldCharType="end"/>
      </w:r>
      <w:r>
        <w:rPr>
          <w:rFonts w:hint="eastAsia"/>
          <w:highlight w:val="none"/>
        </w:rPr>
        <w:fldChar w:fldCharType="end"/>
      </w:r>
    </w:p>
    <w:p w14:paraId="1822FD14">
      <w:pPr>
        <w:pStyle w:val="22"/>
        <w:tabs>
          <w:tab w:val="right" w:leader="dot" w:pos="7475"/>
        </w:tabs>
        <w:rPr>
          <w:rFonts w:asciiTheme="minorHAnsi" w:hAnsiTheme="minorHAnsi"/>
          <w:kern w:val="2"/>
          <w:szCs w:val="24"/>
          <w:highlight w:val="none"/>
          <w:lang w:val="en-US" w:eastAsia="zh-CN"/>
          <w14:ligatures w14:val="standardContextual"/>
        </w:rPr>
      </w:pPr>
      <w:r>
        <w:rPr>
          <w:highlight w:val="none"/>
        </w:rPr>
        <w:fldChar w:fldCharType="begin"/>
      </w:r>
      <w:r>
        <w:rPr>
          <w:highlight w:val="none"/>
        </w:rPr>
        <w:instrText xml:space="preserve"> HYPERLINK \l "_Toc207982993" </w:instrText>
      </w:r>
      <w:r>
        <w:rPr>
          <w:highlight w:val="none"/>
        </w:rPr>
        <w:fldChar w:fldCharType="separate"/>
      </w:r>
      <w:r>
        <w:rPr>
          <w:rStyle w:val="39"/>
          <w:rFonts w:hint="eastAsia"/>
          <w:b/>
          <w:bCs/>
          <w:highlight w:val="none"/>
          <w:lang w:val="en-US"/>
        </w:rPr>
        <w:t xml:space="preserve">Figure </w:t>
      </w:r>
      <w:r>
        <w:rPr>
          <w:rStyle w:val="39"/>
          <w:rFonts w:hint="eastAsia"/>
          <w:b/>
          <w:bCs/>
          <w:highlight w:val="none"/>
          <w:lang w:val="en-US" w:eastAsia="zh-CN"/>
        </w:rPr>
        <w:t>2</w:t>
      </w:r>
      <w:r>
        <w:rPr>
          <w:rStyle w:val="39"/>
          <w:rFonts w:hint="eastAsia"/>
          <w:b/>
          <w:bCs/>
          <w:highlight w:val="none"/>
          <w:lang w:val="en-US"/>
        </w:rPr>
        <w:noBreakHyphen/>
      </w:r>
      <w:r>
        <w:rPr>
          <w:rStyle w:val="39"/>
          <w:rFonts w:hint="eastAsia"/>
          <w:b/>
          <w:bCs/>
          <w:highlight w:val="none"/>
          <w:lang w:val="en-US"/>
        </w:rPr>
        <w:t>3:</w:t>
      </w:r>
      <w:r>
        <w:rPr>
          <w:rStyle w:val="39"/>
          <w:rFonts w:hint="eastAsia"/>
          <w:highlight w:val="none"/>
          <w:lang w:val="en-US"/>
        </w:rPr>
        <w:t xml:space="preserve"> </w:t>
      </w:r>
      <w:r>
        <w:rPr>
          <w:rStyle w:val="39"/>
          <w:rFonts w:hint="eastAsia"/>
          <w:highlight w:val="none"/>
          <w:lang w:val="en-US" w:eastAsia="zh-CN"/>
        </w:rPr>
        <w:t xml:space="preserve">(A) </w:t>
      </w:r>
      <w:r>
        <w:rPr>
          <w:rStyle w:val="39"/>
          <w:rFonts w:hint="eastAsia"/>
          <w:highlight w:val="none"/>
          <w:lang w:val="en-US"/>
        </w:rPr>
        <w:t>Gene ontology enrichment analysis for the genes of the top 10 differentially expressed serum-derived small extracellular vesicles microRNAs from cows suffering from subclinical mastitis in three categories.</w:t>
      </w:r>
      <w:r>
        <w:rPr>
          <w:rStyle w:val="39"/>
          <w:rFonts w:hint="eastAsia"/>
          <w:highlight w:val="none"/>
          <w:lang w:val="en-US" w:eastAsia="zh-CN"/>
        </w:rPr>
        <w:t xml:space="preserve"> (B) </w:t>
      </w:r>
      <w:r>
        <w:rPr>
          <w:rStyle w:val="39"/>
          <w:rFonts w:hint="eastAsia"/>
          <w:highlight w:val="none"/>
          <w:lang w:val="en-US"/>
        </w:rPr>
        <w:t>Kyoto Encyclopedia of Genes and Genomes pathway analysis for target genes of the top 20 differentially expressed serum-derived small extracellular vesicles microRNAs in cows suffering from subclinical mastitis.</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_Toc207982993 \h</w:instrText>
      </w:r>
      <w:r>
        <w:rPr>
          <w:rFonts w:hint="eastAsia"/>
          <w:highlight w:val="none"/>
        </w:rPr>
        <w:instrText xml:space="preserve"> </w:instrText>
      </w:r>
      <w:r>
        <w:rPr>
          <w:rFonts w:hint="eastAsia"/>
          <w:highlight w:val="none"/>
        </w:rPr>
        <w:fldChar w:fldCharType="separate"/>
      </w:r>
      <w:r>
        <w:rPr>
          <w:highlight w:val="none"/>
        </w:rPr>
        <w:t>34</w:t>
      </w:r>
      <w:r>
        <w:rPr>
          <w:rFonts w:hint="eastAsia"/>
          <w:highlight w:val="none"/>
        </w:rPr>
        <w:fldChar w:fldCharType="end"/>
      </w:r>
      <w:r>
        <w:rPr>
          <w:rFonts w:hint="eastAsia"/>
          <w:highlight w:val="none"/>
        </w:rPr>
        <w:fldChar w:fldCharType="end"/>
      </w:r>
    </w:p>
    <w:p w14:paraId="1153AD47">
      <w:pPr>
        <w:pStyle w:val="22"/>
        <w:tabs>
          <w:tab w:val="right" w:leader="dot" w:pos="7475"/>
        </w:tabs>
        <w:rPr>
          <w:rFonts w:asciiTheme="minorHAnsi" w:hAnsiTheme="minorHAnsi"/>
          <w:kern w:val="2"/>
          <w:szCs w:val="24"/>
          <w:highlight w:val="none"/>
          <w:lang w:val="en-US" w:eastAsia="zh-CN"/>
          <w14:ligatures w14:val="standardContextual"/>
        </w:rPr>
      </w:pPr>
      <w:r>
        <w:rPr>
          <w:highlight w:val="none"/>
        </w:rPr>
        <w:fldChar w:fldCharType="begin"/>
      </w:r>
      <w:r>
        <w:rPr>
          <w:highlight w:val="none"/>
        </w:rPr>
        <w:instrText xml:space="preserve"> HYPERLINK \l "_Toc207982994" </w:instrText>
      </w:r>
      <w:r>
        <w:rPr>
          <w:highlight w:val="none"/>
        </w:rPr>
        <w:fldChar w:fldCharType="separate"/>
      </w:r>
      <w:r>
        <w:rPr>
          <w:rStyle w:val="39"/>
          <w:rFonts w:hint="eastAsia"/>
          <w:b/>
          <w:bCs/>
          <w:highlight w:val="none"/>
          <w:lang w:val="en-US"/>
        </w:rPr>
        <w:t xml:space="preserve">Figure </w:t>
      </w:r>
      <w:r>
        <w:rPr>
          <w:rStyle w:val="39"/>
          <w:rFonts w:hint="eastAsia"/>
          <w:b/>
          <w:bCs/>
          <w:highlight w:val="none"/>
          <w:lang w:val="en-US" w:eastAsia="zh-CN"/>
        </w:rPr>
        <w:t>3</w:t>
      </w:r>
      <w:r>
        <w:rPr>
          <w:rStyle w:val="39"/>
          <w:rFonts w:hint="eastAsia"/>
          <w:b/>
          <w:bCs/>
          <w:highlight w:val="none"/>
          <w:lang w:val="en-US"/>
        </w:rPr>
        <w:noBreakHyphen/>
      </w:r>
      <w:r>
        <w:rPr>
          <w:rStyle w:val="39"/>
          <w:rFonts w:hint="eastAsia"/>
          <w:b/>
          <w:bCs/>
          <w:highlight w:val="none"/>
          <w:lang w:val="en-US"/>
        </w:rPr>
        <w:t>1:</w:t>
      </w:r>
      <w:r>
        <w:rPr>
          <w:rStyle w:val="39"/>
          <w:rFonts w:hint="eastAsia"/>
          <w:highlight w:val="none"/>
          <w:lang w:val="en-US"/>
        </w:rPr>
        <w:t xml:space="preserve"> </w:t>
      </w:r>
      <w:r>
        <w:rPr>
          <w:rStyle w:val="39"/>
          <w:rFonts w:hint="eastAsia"/>
          <w:highlight w:val="none"/>
          <w:lang w:val="en-US" w:eastAsia="zh-CN"/>
        </w:rPr>
        <w:t xml:space="preserve">(A) </w:t>
      </w:r>
      <w:r>
        <w:rPr>
          <w:rStyle w:val="39"/>
          <w:rFonts w:hint="eastAsia"/>
          <w:highlight w:val="none"/>
          <w:lang w:val="en-US"/>
        </w:rPr>
        <w:t>Particle size distribution of bovine milk-derived small extracellular vesicles from cows with subclinical mastitis. (</w:t>
      </w:r>
      <w:r>
        <w:rPr>
          <w:rStyle w:val="39"/>
          <w:rFonts w:hint="eastAsia"/>
          <w:highlight w:val="none"/>
          <w:lang w:val="en-US" w:eastAsia="zh-CN"/>
        </w:rPr>
        <w:t>B</w:t>
      </w:r>
      <w:r>
        <w:rPr>
          <w:rStyle w:val="39"/>
          <w:rFonts w:hint="eastAsia"/>
          <w:highlight w:val="none"/>
          <w:lang w:val="en-US"/>
        </w:rPr>
        <w:t>) Profiling of annotated small RNAs derived from milk small extracellular vesicles in dairy cows with subclinical mastitis in the control and inulin group. (</w:t>
      </w:r>
      <w:r>
        <w:rPr>
          <w:rStyle w:val="39"/>
          <w:rFonts w:hint="eastAsia"/>
          <w:highlight w:val="none"/>
          <w:lang w:val="en-US" w:eastAsia="zh-CN"/>
        </w:rPr>
        <w:t>C</w:t>
      </w:r>
      <w:r>
        <w:rPr>
          <w:rStyle w:val="39"/>
          <w:rFonts w:hint="eastAsia"/>
          <w:highlight w:val="none"/>
          <w:lang w:val="en-US"/>
        </w:rPr>
        <w:t>) The length distribution of microRNAs derived from milk small extracellular vesicles in dairy cows with subclinical mastitis in the control and inulin group.</w:t>
      </w:r>
      <w:r>
        <w:rPr>
          <w:rStyle w:val="39"/>
          <w:rFonts w:hint="eastAsia"/>
          <w:highlight w:val="none"/>
          <w:lang w:val="en-US" w:eastAsia="zh-CN"/>
        </w:rPr>
        <w:t xml:space="preserve"> (D) </w:t>
      </w:r>
      <w:r>
        <w:rPr>
          <w:rStyle w:val="39"/>
          <w:rFonts w:hint="eastAsia"/>
          <w:highlight w:val="none"/>
          <w:lang w:val="en-US"/>
        </w:rPr>
        <w:t>The number of known milk small extracellular vesicles derived microRNAs in the control and inulin group.</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_Toc207982994 \h</w:instrText>
      </w:r>
      <w:r>
        <w:rPr>
          <w:rFonts w:hint="eastAsia"/>
          <w:highlight w:val="none"/>
        </w:rPr>
        <w:instrText xml:space="preserve"> </w:instrText>
      </w:r>
      <w:r>
        <w:rPr>
          <w:rFonts w:hint="eastAsia"/>
          <w:highlight w:val="none"/>
        </w:rPr>
        <w:fldChar w:fldCharType="separate"/>
      </w:r>
      <w:r>
        <w:rPr>
          <w:highlight w:val="none"/>
        </w:rPr>
        <w:t>48</w:t>
      </w:r>
      <w:r>
        <w:rPr>
          <w:rFonts w:hint="eastAsia"/>
          <w:highlight w:val="none"/>
        </w:rPr>
        <w:fldChar w:fldCharType="end"/>
      </w:r>
      <w:r>
        <w:rPr>
          <w:rFonts w:hint="eastAsia"/>
          <w:highlight w:val="none"/>
        </w:rPr>
        <w:fldChar w:fldCharType="end"/>
      </w:r>
    </w:p>
    <w:p w14:paraId="522B3B6F">
      <w:pPr>
        <w:pStyle w:val="22"/>
        <w:tabs>
          <w:tab w:val="right" w:leader="dot" w:pos="7475"/>
        </w:tabs>
        <w:rPr>
          <w:rFonts w:asciiTheme="minorHAnsi" w:hAnsiTheme="minorHAnsi"/>
          <w:kern w:val="2"/>
          <w:szCs w:val="24"/>
          <w:highlight w:val="none"/>
          <w:lang w:val="en-US" w:eastAsia="zh-CN"/>
          <w14:ligatures w14:val="standardContextual"/>
        </w:rPr>
      </w:pPr>
      <w:r>
        <w:rPr>
          <w:highlight w:val="none"/>
        </w:rPr>
        <w:fldChar w:fldCharType="begin"/>
      </w:r>
      <w:r>
        <w:rPr>
          <w:highlight w:val="none"/>
        </w:rPr>
        <w:instrText xml:space="preserve"> HYPERLINK \l "_Toc207982995" </w:instrText>
      </w:r>
      <w:r>
        <w:rPr>
          <w:highlight w:val="none"/>
        </w:rPr>
        <w:fldChar w:fldCharType="separate"/>
      </w:r>
      <w:r>
        <w:rPr>
          <w:rStyle w:val="39"/>
          <w:rFonts w:hint="eastAsia"/>
          <w:b/>
          <w:bCs/>
          <w:highlight w:val="none"/>
          <w:lang w:val="en-US"/>
        </w:rPr>
        <w:t xml:space="preserve">Figure </w:t>
      </w:r>
      <w:r>
        <w:rPr>
          <w:rStyle w:val="39"/>
          <w:rFonts w:hint="eastAsia"/>
          <w:b/>
          <w:bCs/>
          <w:highlight w:val="none"/>
          <w:lang w:val="en-US" w:eastAsia="zh-CN"/>
        </w:rPr>
        <w:t>3</w:t>
      </w:r>
      <w:r>
        <w:rPr>
          <w:rStyle w:val="39"/>
          <w:rFonts w:hint="eastAsia"/>
          <w:b/>
          <w:bCs/>
          <w:highlight w:val="none"/>
          <w:lang w:val="en-US"/>
        </w:rPr>
        <w:noBreakHyphen/>
      </w:r>
      <w:r>
        <w:rPr>
          <w:rStyle w:val="39"/>
          <w:rFonts w:hint="eastAsia"/>
          <w:b/>
          <w:bCs/>
          <w:highlight w:val="none"/>
          <w:lang w:val="en-US"/>
        </w:rPr>
        <w:t>2:</w:t>
      </w:r>
      <w:r>
        <w:rPr>
          <w:rStyle w:val="39"/>
          <w:rFonts w:hint="eastAsia"/>
          <w:highlight w:val="none"/>
          <w:lang w:val="en-US"/>
        </w:rPr>
        <w:t xml:space="preserve"> Differentially expressed milk-derived small extracellular vesicle microRNAs and functional analysis of their target genes in cows with subclinical mastitis between the control and inulin group. (A) Differentially expressed milk-derived small extracellular vesicles microRNAs from cows with subclinical mastitis between the control and inulin group. (B) Gene ontology enrichment analysis for the top 20 functions of target genes related to differentially expressed milk-derived small extracellular vesicles microRNAs from cows with subclinical mastitis. (C) Kyoto Encyclopedia of Genes and Genomes analysis for the top 20 pathways influenced by target genes from differentially expressed milk-derived small extracellular vesicles microRNAs in cows with subclinical mastitis.</w:t>
      </w:r>
      <w:bookmarkStart w:id="12" w:name="_Hlk207983042"/>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_Toc207982995 \h</w:instrText>
      </w:r>
      <w:r>
        <w:rPr>
          <w:rFonts w:hint="eastAsia"/>
          <w:highlight w:val="none"/>
        </w:rPr>
        <w:instrText xml:space="preserve"> </w:instrText>
      </w:r>
      <w:r>
        <w:rPr>
          <w:rFonts w:hint="eastAsia"/>
          <w:highlight w:val="none"/>
        </w:rPr>
        <w:fldChar w:fldCharType="separate"/>
      </w:r>
      <w:r>
        <w:rPr>
          <w:highlight w:val="none"/>
        </w:rPr>
        <w:t>50</w:t>
      </w:r>
      <w:r>
        <w:rPr>
          <w:rFonts w:hint="eastAsia"/>
          <w:highlight w:val="none"/>
        </w:rPr>
        <w:fldChar w:fldCharType="end"/>
      </w:r>
      <w:bookmarkEnd w:id="12"/>
      <w:r>
        <w:rPr>
          <w:rFonts w:hint="eastAsia"/>
          <w:highlight w:val="none"/>
        </w:rPr>
        <w:fldChar w:fldCharType="end"/>
      </w:r>
    </w:p>
    <w:p w14:paraId="0C76FC26">
      <w:pPr>
        <w:tabs>
          <w:tab w:val="right" w:leader="dot" w:pos="7480"/>
          <w:tab w:val="right" w:leader="dot" w:pos="7700"/>
          <w:tab w:val="right" w:leader="dot" w:pos="8140"/>
          <w:tab w:val="right" w:leader="dot" w:pos="8360"/>
        </w:tabs>
        <w:rPr>
          <w:highlight w:val="none"/>
          <w:lang w:val="en-US" w:eastAsia="zh-CN"/>
        </w:rPr>
      </w:pPr>
      <w:r>
        <w:rPr>
          <w:highlight w:val="none"/>
          <w:lang w:val="en-US"/>
        </w:rPr>
        <w:fldChar w:fldCharType="end"/>
      </w:r>
      <w:r>
        <w:rPr>
          <w:highlight w:val="none"/>
          <w:lang w:val="en-US"/>
        </w:rPr>
        <w:t xml:space="preserve"> </w:t>
      </w:r>
      <w:r>
        <w:rPr>
          <w:b/>
          <w:bCs/>
          <w:highlight w:val="none"/>
          <w:lang w:val="en-US"/>
        </w:rPr>
        <w:t xml:space="preserve">Figure </w:t>
      </w:r>
      <w:r>
        <w:rPr>
          <w:rFonts w:hint="eastAsia"/>
          <w:b/>
          <w:bCs/>
          <w:highlight w:val="none"/>
          <w:lang w:val="en-US" w:eastAsia="zh-CN"/>
        </w:rPr>
        <w:t>3</w:t>
      </w:r>
      <w:r>
        <w:rPr>
          <w:b/>
          <w:bCs/>
          <w:highlight w:val="none"/>
          <w:lang w:val="en-US"/>
        </w:rPr>
        <w:noBreakHyphen/>
      </w:r>
      <w:r>
        <w:rPr>
          <w:rFonts w:hint="eastAsia"/>
          <w:b/>
          <w:bCs/>
          <w:highlight w:val="none"/>
          <w:lang w:val="en-US" w:eastAsia="zh-CN"/>
        </w:rPr>
        <w:t>3</w:t>
      </w:r>
      <w:r>
        <w:rPr>
          <w:b/>
          <w:bCs/>
          <w:highlight w:val="none"/>
          <w:lang w:val="en-US"/>
        </w:rPr>
        <w:t>:</w:t>
      </w:r>
      <w:r>
        <w:rPr>
          <w:highlight w:val="none"/>
          <w:lang w:val="en-US"/>
        </w:rPr>
        <w:t xml:space="preserve"> Number of lncRNA genes identified in bovine milk derived EVs with subclinical mastitis.</w:t>
      </w:r>
      <w:r>
        <w:rPr>
          <w:highlight w:val="none"/>
          <w:lang w:val="en-US"/>
        </w:rPr>
        <w:tab/>
      </w:r>
      <w:r>
        <w:rPr>
          <w:rFonts w:hint="eastAsia"/>
          <w:highlight w:val="none"/>
          <w:lang w:val="en-US" w:eastAsia="zh-CN"/>
        </w:rPr>
        <w:t>51</w:t>
      </w:r>
    </w:p>
    <w:p w14:paraId="11982B7F">
      <w:pPr>
        <w:tabs>
          <w:tab w:val="left" w:leader="dot" w:pos="7260"/>
        </w:tabs>
        <w:rPr>
          <w:highlight w:val="none"/>
          <w:lang w:val="en-US" w:eastAsia="zh-CN"/>
        </w:rPr>
      </w:pPr>
      <w:r>
        <w:rPr>
          <w:b/>
          <w:bCs/>
          <w:highlight w:val="none"/>
          <w:lang w:val="en-US"/>
        </w:rPr>
        <w:t xml:space="preserve">Figure </w:t>
      </w:r>
      <w:r>
        <w:rPr>
          <w:rFonts w:hint="eastAsia"/>
          <w:b/>
          <w:bCs/>
          <w:highlight w:val="none"/>
          <w:lang w:val="en-US" w:eastAsia="zh-CN"/>
        </w:rPr>
        <w:t>3</w:t>
      </w:r>
      <w:r>
        <w:rPr>
          <w:b/>
          <w:bCs/>
          <w:highlight w:val="none"/>
          <w:lang w:val="en-US"/>
        </w:rPr>
        <w:noBreakHyphen/>
      </w:r>
      <w:r>
        <w:rPr>
          <w:rFonts w:hint="eastAsia"/>
          <w:b/>
          <w:bCs/>
          <w:highlight w:val="none"/>
          <w:lang w:val="en-US" w:eastAsia="zh-CN"/>
        </w:rPr>
        <w:t>4</w:t>
      </w:r>
      <w:r>
        <w:rPr>
          <w:b/>
          <w:bCs/>
          <w:highlight w:val="none"/>
          <w:lang w:val="en-US"/>
        </w:rPr>
        <w:t>:</w:t>
      </w:r>
      <w:r>
        <w:rPr>
          <w:highlight w:val="none"/>
          <w:lang w:val="en-US"/>
        </w:rPr>
        <w:t xml:space="preserve"> Differential expression of milk-derived small extracellular vesicles lncRNA genes from cows with subclinical mastitis between the control and inulin group. (A) The number of known and novel differentially expressed lncRNAs. (B) Volcano plot of up-regulated and down-regulated known lncRNAs between the two groups</w:t>
      </w:r>
      <w:r>
        <w:rPr>
          <w:rFonts w:hint="eastAsia"/>
          <w:highlight w:val="none"/>
          <w:lang w:val="en-US" w:eastAsia="zh-CN"/>
        </w:rPr>
        <w:t>.</w:t>
      </w:r>
      <w:r>
        <w:rPr>
          <w:highlight w:val="none"/>
          <w:lang w:val="en-US" w:eastAsia="zh-CN"/>
        </w:rPr>
        <w:tab/>
      </w:r>
      <w:r>
        <w:rPr>
          <w:rFonts w:hint="eastAsia"/>
          <w:highlight w:val="none"/>
          <w:lang w:val="en-US" w:eastAsia="zh-CN"/>
        </w:rPr>
        <w:t>52</w:t>
      </w:r>
    </w:p>
    <w:p w14:paraId="4B53DF67">
      <w:pPr>
        <w:tabs>
          <w:tab w:val="left" w:leader="dot" w:pos="7260"/>
        </w:tabs>
        <w:rPr>
          <w:highlight w:val="none"/>
          <w:lang w:val="en-US" w:eastAsia="zh-CN"/>
        </w:rPr>
      </w:pPr>
      <w:r>
        <w:rPr>
          <w:b/>
          <w:bCs/>
          <w:highlight w:val="none"/>
          <w:lang w:val="en-US"/>
        </w:rPr>
        <w:t xml:space="preserve">Figure </w:t>
      </w:r>
      <w:r>
        <w:rPr>
          <w:rFonts w:hint="eastAsia"/>
          <w:b/>
          <w:bCs/>
          <w:highlight w:val="none"/>
          <w:lang w:val="en-US" w:eastAsia="zh-CN"/>
        </w:rPr>
        <w:t>3</w:t>
      </w:r>
      <w:r>
        <w:rPr>
          <w:b/>
          <w:bCs/>
          <w:highlight w:val="none"/>
          <w:lang w:val="en-US"/>
        </w:rPr>
        <w:noBreakHyphen/>
      </w:r>
      <w:r>
        <w:rPr>
          <w:rFonts w:hint="eastAsia"/>
          <w:b/>
          <w:bCs/>
          <w:highlight w:val="none"/>
          <w:lang w:val="en-US" w:eastAsia="zh-CN"/>
        </w:rPr>
        <w:t>5</w:t>
      </w:r>
      <w:r>
        <w:rPr>
          <w:b/>
          <w:bCs/>
          <w:highlight w:val="none"/>
          <w:lang w:val="en-US"/>
        </w:rPr>
        <w:t>:</w:t>
      </w:r>
      <w:r>
        <w:rPr>
          <w:highlight w:val="none"/>
          <w:lang w:val="en-US"/>
        </w:rPr>
        <w:t xml:space="preserve"> Functional analysis of cis target genes associated with differentially expressed milk-derived extracellular vesicle lncRNAs in cows with subclinical mastitis. (A) Gene ontology (GO) enrichment analysis for the top 20 functions. (B) Kyoto Encyclopedia of Genes and Genomes (KEGG) analysis for the top 20 pathways.</w:t>
      </w:r>
      <w:r>
        <w:rPr>
          <w:highlight w:val="none"/>
          <w:lang w:val="en-US"/>
        </w:rPr>
        <w:tab/>
      </w:r>
      <w:r>
        <w:rPr>
          <w:rFonts w:hint="eastAsia"/>
          <w:highlight w:val="none"/>
          <w:lang w:val="en-US" w:eastAsia="zh-CN"/>
        </w:rPr>
        <w:t>53</w:t>
      </w:r>
    </w:p>
    <w:p w14:paraId="15C9633B">
      <w:pPr>
        <w:tabs>
          <w:tab w:val="left" w:leader="dot" w:pos="7260"/>
        </w:tabs>
        <w:rPr>
          <w:highlight w:val="none"/>
          <w:lang w:val="en-US" w:eastAsia="zh-CN"/>
        </w:rPr>
      </w:pPr>
      <w:r>
        <w:rPr>
          <w:b/>
          <w:bCs/>
          <w:highlight w:val="none"/>
          <w:lang w:val="en-US"/>
        </w:rPr>
        <w:t xml:space="preserve">Figure </w:t>
      </w:r>
      <w:r>
        <w:rPr>
          <w:rFonts w:hint="eastAsia"/>
          <w:b/>
          <w:bCs/>
          <w:highlight w:val="none"/>
          <w:lang w:val="en-US" w:eastAsia="zh-CN"/>
        </w:rPr>
        <w:t>3</w:t>
      </w:r>
      <w:r>
        <w:rPr>
          <w:b/>
          <w:bCs/>
          <w:highlight w:val="none"/>
          <w:lang w:val="en-US"/>
        </w:rPr>
        <w:noBreakHyphen/>
      </w:r>
      <w:r>
        <w:rPr>
          <w:rFonts w:hint="eastAsia"/>
          <w:b/>
          <w:bCs/>
          <w:highlight w:val="none"/>
          <w:lang w:val="en-US" w:eastAsia="zh-CN"/>
        </w:rPr>
        <w:t>6</w:t>
      </w:r>
      <w:r>
        <w:rPr>
          <w:b/>
          <w:bCs/>
          <w:highlight w:val="none"/>
          <w:lang w:val="en-US"/>
        </w:rPr>
        <w:t>:</w:t>
      </w:r>
      <w:r>
        <w:rPr>
          <w:highlight w:val="none"/>
          <w:lang w:val="en-US"/>
        </w:rPr>
        <w:t xml:space="preserve"> Number of differentially expressed milk-derived small extracellular vesicles mRNAs from cows with subclinical mastitis between the control and inulin group.</w:t>
      </w:r>
      <w:r>
        <w:rPr>
          <w:highlight w:val="none"/>
          <w:lang w:val="en-US"/>
        </w:rPr>
        <w:tab/>
      </w:r>
      <w:r>
        <w:rPr>
          <w:rFonts w:hint="eastAsia"/>
          <w:highlight w:val="none"/>
          <w:lang w:val="en-US" w:eastAsia="zh-CN"/>
        </w:rPr>
        <w:t>54</w:t>
      </w:r>
    </w:p>
    <w:p w14:paraId="6190491F">
      <w:pPr>
        <w:tabs>
          <w:tab w:val="left" w:leader="dot" w:pos="7260"/>
        </w:tabs>
        <w:rPr>
          <w:highlight w:val="none"/>
          <w:lang w:val="en-US" w:eastAsia="zh-CN"/>
        </w:rPr>
      </w:pPr>
      <w:r>
        <w:rPr>
          <w:b/>
          <w:bCs/>
          <w:highlight w:val="none"/>
          <w:lang w:val="en-US"/>
        </w:rPr>
        <w:t xml:space="preserve">Figure </w:t>
      </w:r>
      <w:r>
        <w:rPr>
          <w:rFonts w:hint="eastAsia"/>
          <w:b/>
          <w:bCs/>
          <w:highlight w:val="none"/>
          <w:lang w:val="en-US" w:eastAsia="zh-CN"/>
        </w:rPr>
        <w:t>3</w:t>
      </w:r>
      <w:r>
        <w:rPr>
          <w:b/>
          <w:bCs/>
          <w:highlight w:val="none"/>
          <w:lang w:val="en-US"/>
        </w:rPr>
        <w:noBreakHyphen/>
      </w:r>
      <w:r>
        <w:rPr>
          <w:rFonts w:hint="eastAsia"/>
          <w:b/>
          <w:bCs/>
          <w:highlight w:val="none"/>
          <w:lang w:val="en-US" w:eastAsia="zh-CN"/>
        </w:rPr>
        <w:t>7</w:t>
      </w:r>
      <w:r>
        <w:rPr>
          <w:b/>
          <w:bCs/>
          <w:highlight w:val="none"/>
          <w:lang w:val="en-US"/>
        </w:rPr>
        <w:t>:</w:t>
      </w:r>
      <w:r>
        <w:rPr>
          <w:highlight w:val="none"/>
          <w:lang w:val="en-US"/>
        </w:rPr>
        <w:t xml:space="preserve"> Functional analysis of target genes associated with differentially expressed milk-derived extracellular vesicle mRNAs in cows with subclinical mastitis. (A) Gene ontology (GO) enrichment analysis for the top 20 functions. (B) Kyoto Encyclopedia of Genes and Genomes (KEGG) analysis for the top 20 pathways.</w:t>
      </w:r>
      <w:r>
        <w:rPr>
          <w:highlight w:val="none"/>
          <w:lang w:val="en-US"/>
        </w:rPr>
        <w:tab/>
      </w:r>
      <w:r>
        <w:rPr>
          <w:rFonts w:hint="eastAsia"/>
          <w:highlight w:val="none"/>
          <w:lang w:val="en-US" w:eastAsia="zh-CN"/>
        </w:rPr>
        <w:t>54</w:t>
      </w:r>
    </w:p>
    <w:p w14:paraId="69D2A115">
      <w:pPr>
        <w:tabs>
          <w:tab w:val="left" w:leader="dot" w:pos="7260"/>
        </w:tabs>
        <w:rPr>
          <w:highlight w:val="none"/>
          <w:lang w:val="en-US" w:eastAsia="zh-CN"/>
        </w:rPr>
      </w:pPr>
      <w:r>
        <w:rPr>
          <w:b/>
          <w:bCs/>
          <w:highlight w:val="none"/>
          <w:lang w:val="en-US"/>
        </w:rPr>
        <w:t xml:space="preserve">Figure </w:t>
      </w:r>
      <w:r>
        <w:rPr>
          <w:rFonts w:hint="eastAsia"/>
          <w:b/>
          <w:bCs/>
          <w:highlight w:val="none"/>
          <w:lang w:val="en-US" w:eastAsia="zh-CN"/>
        </w:rPr>
        <w:t>3</w:t>
      </w:r>
      <w:r>
        <w:rPr>
          <w:b/>
          <w:bCs/>
          <w:highlight w:val="none"/>
          <w:lang w:val="en-US"/>
        </w:rPr>
        <w:noBreakHyphen/>
      </w:r>
      <w:r>
        <w:rPr>
          <w:rFonts w:hint="eastAsia"/>
          <w:b/>
          <w:bCs/>
          <w:highlight w:val="none"/>
          <w:lang w:val="en-US" w:eastAsia="zh-CN"/>
        </w:rPr>
        <w:t>8</w:t>
      </w:r>
      <w:r>
        <w:rPr>
          <w:b/>
          <w:bCs/>
          <w:highlight w:val="none"/>
          <w:lang w:val="en-US"/>
        </w:rPr>
        <w:t>:</w:t>
      </w:r>
      <w:r>
        <w:rPr>
          <w:highlight w:val="none"/>
          <w:lang w:val="en-US"/>
        </w:rPr>
        <w:t xml:space="preserve"> Statistical distribution of source characteristics of milk-derived small extracellular vesicles circRNAs in cows with subclinical mastitis</w:t>
      </w:r>
      <w:r>
        <w:rPr>
          <w:rFonts w:hint="eastAsia"/>
          <w:highlight w:val="none"/>
          <w:lang w:val="en-US" w:eastAsia="zh-CN"/>
        </w:rPr>
        <w:t xml:space="preserve">. </w:t>
      </w:r>
      <w:r>
        <w:rPr>
          <w:highlight w:val="none"/>
          <w:lang w:val="en-US" w:eastAsia="zh-CN"/>
        </w:rPr>
        <w:tab/>
      </w:r>
      <w:r>
        <w:rPr>
          <w:rFonts w:hint="eastAsia"/>
          <w:highlight w:val="none"/>
          <w:lang w:val="en-US" w:eastAsia="zh-CN"/>
        </w:rPr>
        <w:t>55</w:t>
      </w:r>
    </w:p>
    <w:p w14:paraId="4A82A06D">
      <w:pPr>
        <w:tabs>
          <w:tab w:val="left" w:leader="dot" w:pos="7260"/>
        </w:tabs>
        <w:rPr>
          <w:highlight w:val="none"/>
          <w:lang w:val="en-US" w:eastAsia="zh-CN"/>
        </w:rPr>
      </w:pPr>
      <w:r>
        <w:rPr>
          <w:b/>
          <w:bCs/>
          <w:highlight w:val="none"/>
          <w:lang w:val="en-US"/>
        </w:rPr>
        <w:t xml:space="preserve">Figure </w:t>
      </w:r>
      <w:r>
        <w:rPr>
          <w:rFonts w:hint="eastAsia"/>
          <w:b/>
          <w:bCs/>
          <w:highlight w:val="none"/>
          <w:lang w:val="en-US" w:eastAsia="zh-CN"/>
        </w:rPr>
        <w:t>3</w:t>
      </w:r>
      <w:r>
        <w:rPr>
          <w:b/>
          <w:bCs/>
          <w:highlight w:val="none"/>
          <w:lang w:val="en-US"/>
        </w:rPr>
        <w:noBreakHyphen/>
      </w:r>
      <w:r>
        <w:rPr>
          <w:rFonts w:hint="eastAsia"/>
          <w:b/>
          <w:bCs/>
          <w:highlight w:val="none"/>
          <w:lang w:val="en-US" w:eastAsia="zh-CN"/>
        </w:rPr>
        <w:t>9</w:t>
      </w:r>
      <w:r>
        <w:rPr>
          <w:b/>
          <w:bCs/>
          <w:highlight w:val="none"/>
          <w:lang w:val="en-US"/>
        </w:rPr>
        <w:t>:</w:t>
      </w:r>
      <w:r>
        <w:rPr>
          <w:highlight w:val="none"/>
          <w:lang w:val="en-US"/>
        </w:rPr>
        <w:t xml:space="preserve"> Volcano plot of Volcano plot of differentially expressed milk-derived small extracellular vesicles circRNAs in cows with subclinical mastitis between the control and inulin group.</w:t>
      </w:r>
      <w:r>
        <w:rPr>
          <w:highlight w:val="none"/>
          <w:lang w:val="en-US"/>
        </w:rPr>
        <w:tab/>
      </w:r>
      <w:r>
        <w:rPr>
          <w:rFonts w:hint="eastAsia"/>
          <w:highlight w:val="none"/>
          <w:lang w:val="en-US" w:eastAsia="zh-CN"/>
        </w:rPr>
        <w:t>55</w:t>
      </w:r>
    </w:p>
    <w:p w14:paraId="437BF6CC">
      <w:pPr>
        <w:spacing w:after="200" w:line="276" w:lineRule="auto"/>
        <w:ind w:firstLine="0"/>
        <w:jc w:val="left"/>
        <w:rPr>
          <w:highlight w:val="none"/>
          <w:lang w:val="en-US"/>
        </w:rPr>
        <w:sectPr>
          <w:headerReference r:id="rId16" w:type="default"/>
          <w:pgSz w:w="9639" w:h="13608"/>
          <w:pgMar w:top="1361" w:right="907" w:bottom="1021" w:left="1247" w:header="567" w:footer="312" w:gutter="0"/>
          <w:cols w:space="708" w:num="1"/>
          <w:docGrid w:linePitch="360" w:charSpace="0"/>
        </w:sectPr>
      </w:pPr>
      <w:r>
        <w:rPr>
          <w:highlight w:val="none"/>
          <w:lang w:val="en-US"/>
        </w:rPr>
        <w:br w:type="page"/>
      </w:r>
    </w:p>
    <w:p w14:paraId="4E972C92">
      <w:pPr>
        <w:pStyle w:val="3"/>
        <w:numPr>
          <w:ilvl w:val="0"/>
          <w:numId w:val="0"/>
        </w:numPr>
        <w:ind w:left="170"/>
        <w:rPr>
          <w:highlight w:val="none"/>
        </w:rPr>
      </w:pPr>
      <w:bookmarkStart w:id="13" w:name="_Toc207979735"/>
      <w:bookmarkStart w:id="14" w:name="_Toc195143233"/>
      <w:r>
        <w:rPr>
          <w:highlight w:val="none"/>
        </w:rPr>
        <w:t>List of tables</w:t>
      </w:r>
      <w:bookmarkEnd w:id="13"/>
      <w:bookmarkEnd w:id="14"/>
    </w:p>
    <w:p w14:paraId="18DF3ADD">
      <w:pPr>
        <w:pStyle w:val="22"/>
        <w:tabs>
          <w:tab w:val="right" w:leader="dot" w:pos="7475"/>
        </w:tabs>
        <w:rPr>
          <w:bCs/>
          <w:highlight w:val="none"/>
          <w:lang w:val="en-US"/>
        </w:rPr>
      </w:pPr>
      <w:r>
        <w:rPr>
          <w:bCs/>
          <w:highlight w:val="none"/>
          <w:lang w:val="en-US"/>
        </w:rPr>
        <w:fldChar w:fldCharType="begin"/>
      </w:r>
      <w:r>
        <w:rPr>
          <w:bCs/>
          <w:highlight w:val="none"/>
          <w:lang w:val="en-US"/>
        </w:rPr>
        <w:instrText xml:space="preserve"> TOC \c "Table" </w:instrText>
      </w:r>
      <w:r>
        <w:rPr>
          <w:bCs/>
          <w:highlight w:val="none"/>
          <w:lang w:val="en-US"/>
        </w:rPr>
        <w:fldChar w:fldCharType="separate"/>
      </w:r>
      <w:r>
        <w:rPr>
          <w:rFonts w:hint="eastAsia"/>
          <w:b/>
          <w:highlight w:val="none"/>
          <w:lang w:val="en-US"/>
        </w:rPr>
        <w:t>Table 1</w:t>
      </w:r>
      <w:r>
        <w:rPr>
          <w:rFonts w:hint="eastAsia"/>
          <w:b/>
          <w:highlight w:val="none"/>
          <w:lang w:val="en-US"/>
        </w:rPr>
        <w:noBreakHyphen/>
      </w:r>
      <w:r>
        <w:rPr>
          <w:rFonts w:hint="eastAsia"/>
          <w:b/>
          <w:highlight w:val="none"/>
          <w:lang w:val="en-US"/>
        </w:rPr>
        <w:t>1:</w:t>
      </w:r>
      <w:r>
        <w:rPr>
          <w:rFonts w:hint="eastAsia"/>
          <w:bCs/>
          <w:highlight w:val="none"/>
          <w:lang w:val="en-US"/>
        </w:rPr>
        <w:t xml:space="preserve"> Evaluation of Mastitis Severity in Dairy Cows Using California mastitis test results and somatic cell counts</w:t>
      </w:r>
      <w:bookmarkStart w:id="15" w:name="_Hlk207980383"/>
      <w:bookmarkStart w:id="16" w:name="_Hlk207980612"/>
      <w:r>
        <w:rPr>
          <w:rFonts w:hint="eastAsia"/>
          <w:bCs/>
          <w:highlight w:val="none"/>
          <w:lang w:val="en-US"/>
        </w:rPr>
        <w:tab/>
      </w:r>
      <w:bookmarkEnd w:id="15"/>
      <w:r>
        <w:rPr>
          <w:rFonts w:hint="eastAsia"/>
          <w:bCs/>
          <w:highlight w:val="none"/>
          <w:lang w:val="en-US"/>
        </w:rPr>
        <w:fldChar w:fldCharType="begin"/>
      </w:r>
      <w:r>
        <w:rPr>
          <w:rFonts w:hint="eastAsia"/>
          <w:bCs/>
          <w:highlight w:val="none"/>
          <w:lang w:val="en-US"/>
        </w:rPr>
        <w:instrText xml:space="preserve"> </w:instrText>
      </w:r>
      <w:r>
        <w:rPr>
          <w:bCs/>
          <w:highlight w:val="none"/>
          <w:lang w:val="en-US"/>
        </w:rPr>
        <w:instrText xml:space="preserve">PAGEREF _Toc207979951 \h</w:instrText>
      </w:r>
      <w:r>
        <w:rPr>
          <w:rFonts w:hint="eastAsia"/>
          <w:bCs/>
          <w:highlight w:val="none"/>
          <w:lang w:val="en-US"/>
        </w:rPr>
        <w:instrText xml:space="preserve"> </w:instrText>
      </w:r>
      <w:r>
        <w:rPr>
          <w:rFonts w:hint="eastAsia"/>
          <w:bCs/>
          <w:highlight w:val="none"/>
          <w:lang w:val="en-US"/>
        </w:rPr>
        <w:fldChar w:fldCharType="separate"/>
      </w:r>
      <w:r>
        <w:rPr>
          <w:bCs/>
          <w:highlight w:val="none"/>
          <w:lang w:val="en-US"/>
        </w:rPr>
        <w:t>4</w:t>
      </w:r>
      <w:r>
        <w:rPr>
          <w:rFonts w:hint="eastAsia"/>
          <w:bCs/>
          <w:highlight w:val="none"/>
          <w:lang w:val="en-US"/>
        </w:rPr>
        <w:fldChar w:fldCharType="end"/>
      </w:r>
      <w:bookmarkEnd w:id="16"/>
    </w:p>
    <w:p w14:paraId="2B5B9985">
      <w:pPr>
        <w:pStyle w:val="22"/>
        <w:tabs>
          <w:tab w:val="right" w:leader="dot" w:pos="7475"/>
        </w:tabs>
        <w:rPr>
          <w:bCs/>
          <w:highlight w:val="none"/>
          <w:lang w:val="en-US" w:eastAsia="zh-CN"/>
        </w:rPr>
      </w:pPr>
      <w:r>
        <w:rPr>
          <w:rFonts w:hint="eastAsia"/>
          <w:b/>
          <w:highlight w:val="none"/>
          <w:lang w:val="en-US"/>
        </w:rPr>
        <w:t>Table 1-2:</w:t>
      </w:r>
      <w:r>
        <w:rPr>
          <w:rFonts w:hint="eastAsia"/>
          <w:bCs/>
          <w:highlight w:val="none"/>
          <w:lang w:val="en-US"/>
        </w:rPr>
        <w:t xml:space="preserve"> Effect of inulin supplementation on milk compositions and performance in dairy cows with subclinical mastitis</w:t>
      </w:r>
      <w:r>
        <w:rPr>
          <w:rFonts w:hint="eastAsia"/>
          <w:bCs/>
          <w:highlight w:val="none"/>
          <w:lang w:val="en-US"/>
        </w:rPr>
        <w:tab/>
      </w:r>
      <w:r>
        <w:rPr>
          <w:rFonts w:hint="eastAsia"/>
          <w:bCs/>
          <w:highlight w:val="none"/>
          <w:lang w:val="en-US"/>
        </w:rPr>
        <w:t>2</w:t>
      </w:r>
      <w:r>
        <w:rPr>
          <w:rFonts w:hint="eastAsia"/>
          <w:bCs/>
          <w:highlight w:val="none"/>
          <w:lang w:val="en-US" w:eastAsia="zh-CN"/>
        </w:rPr>
        <w:t>1</w:t>
      </w:r>
    </w:p>
    <w:p w14:paraId="46E1F153">
      <w:pPr>
        <w:pStyle w:val="22"/>
        <w:tabs>
          <w:tab w:val="right" w:leader="dot" w:pos="7475"/>
        </w:tabs>
        <w:rPr>
          <w:bCs/>
          <w:highlight w:val="none"/>
          <w:lang w:val="en-US"/>
        </w:rPr>
      </w:pPr>
      <w:r>
        <w:rPr>
          <w:rFonts w:hint="eastAsia"/>
          <w:b/>
          <w:highlight w:val="none"/>
          <w:lang w:val="en-US"/>
        </w:rPr>
        <w:t>Table 2</w:t>
      </w:r>
      <w:r>
        <w:rPr>
          <w:rFonts w:hint="eastAsia"/>
          <w:b/>
          <w:highlight w:val="none"/>
          <w:lang w:val="en-US"/>
        </w:rPr>
        <w:noBreakHyphen/>
      </w:r>
      <w:r>
        <w:rPr>
          <w:rFonts w:hint="eastAsia"/>
          <w:b/>
          <w:highlight w:val="none"/>
          <w:lang w:val="en-US"/>
        </w:rPr>
        <w:t>1:</w:t>
      </w:r>
      <w:r>
        <w:rPr>
          <w:rFonts w:hint="eastAsia"/>
          <w:bCs/>
          <w:highlight w:val="none"/>
          <w:lang w:val="en-US"/>
        </w:rPr>
        <w:t xml:space="preserve"> Basic information of dairy cows suffering from subclinical mastitis in control and inulin groups</w:t>
      </w:r>
      <w:r>
        <w:rPr>
          <w:rFonts w:hint="eastAsia"/>
          <w:bCs/>
          <w:highlight w:val="none"/>
          <w:lang w:val="en-US"/>
        </w:rPr>
        <w:tab/>
      </w:r>
      <w:r>
        <w:rPr>
          <w:rFonts w:hint="eastAsia"/>
          <w:bCs/>
          <w:highlight w:val="none"/>
          <w:lang w:val="en-US"/>
        </w:rPr>
        <w:fldChar w:fldCharType="begin"/>
      </w:r>
      <w:r>
        <w:rPr>
          <w:rFonts w:hint="eastAsia"/>
          <w:bCs/>
          <w:highlight w:val="none"/>
          <w:lang w:val="en-US"/>
        </w:rPr>
        <w:instrText xml:space="preserve"> </w:instrText>
      </w:r>
      <w:r>
        <w:rPr>
          <w:bCs/>
          <w:highlight w:val="none"/>
          <w:lang w:val="en-US"/>
        </w:rPr>
        <w:instrText xml:space="preserve">PAGEREF _Toc207979952 \h</w:instrText>
      </w:r>
      <w:r>
        <w:rPr>
          <w:rFonts w:hint="eastAsia"/>
          <w:bCs/>
          <w:highlight w:val="none"/>
          <w:lang w:val="en-US"/>
        </w:rPr>
        <w:instrText xml:space="preserve"> </w:instrText>
      </w:r>
      <w:r>
        <w:rPr>
          <w:rFonts w:hint="eastAsia"/>
          <w:bCs/>
          <w:highlight w:val="none"/>
          <w:lang w:val="en-US"/>
        </w:rPr>
        <w:fldChar w:fldCharType="separate"/>
      </w:r>
      <w:r>
        <w:rPr>
          <w:bCs/>
          <w:highlight w:val="none"/>
          <w:lang w:val="en-US"/>
        </w:rPr>
        <w:t>28</w:t>
      </w:r>
      <w:r>
        <w:rPr>
          <w:rFonts w:hint="eastAsia"/>
          <w:bCs/>
          <w:highlight w:val="none"/>
          <w:lang w:val="en-US"/>
        </w:rPr>
        <w:fldChar w:fldCharType="end"/>
      </w:r>
    </w:p>
    <w:p w14:paraId="3015A7B6">
      <w:pPr>
        <w:pStyle w:val="22"/>
        <w:tabs>
          <w:tab w:val="right" w:leader="dot" w:pos="7475"/>
        </w:tabs>
        <w:rPr>
          <w:bCs/>
          <w:highlight w:val="none"/>
          <w:lang w:val="en-US" w:eastAsia="zh-CN"/>
        </w:rPr>
      </w:pPr>
      <w:r>
        <w:rPr>
          <w:b/>
          <w:highlight w:val="none"/>
          <w:lang w:val="en-US"/>
        </w:rPr>
        <w:t xml:space="preserve">Table </w:t>
      </w:r>
      <w:r>
        <w:rPr>
          <w:rFonts w:hint="eastAsia"/>
          <w:b/>
          <w:highlight w:val="none"/>
          <w:lang w:val="en-US"/>
        </w:rPr>
        <w:t>2</w:t>
      </w:r>
      <w:r>
        <w:rPr>
          <w:b/>
          <w:highlight w:val="none"/>
          <w:lang w:val="en-US"/>
        </w:rPr>
        <w:noBreakHyphen/>
      </w:r>
      <w:r>
        <w:rPr>
          <w:rFonts w:hint="eastAsia"/>
          <w:b/>
          <w:highlight w:val="none"/>
          <w:lang w:val="en-US"/>
        </w:rPr>
        <w:t>2</w:t>
      </w:r>
      <w:r>
        <w:rPr>
          <w:b/>
          <w:highlight w:val="none"/>
          <w:lang w:val="en-US"/>
        </w:rPr>
        <w:t>:</w:t>
      </w:r>
      <w:r>
        <w:rPr>
          <w:bCs/>
          <w:highlight w:val="none"/>
          <w:lang w:val="en-US"/>
        </w:rPr>
        <w:t xml:space="preserve"> Basic information (Mean) on dairy cows with subclinical mastitis in control (n = 7) and inulin group (n = 7)</w:t>
      </w:r>
      <w:r>
        <w:rPr>
          <w:rFonts w:hint="eastAsia"/>
          <w:bCs/>
          <w:highlight w:val="none"/>
          <w:lang w:val="en-US"/>
        </w:rPr>
        <w:tab/>
      </w:r>
      <w:r>
        <w:rPr>
          <w:rFonts w:hint="eastAsia"/>
          <w:bCs/>
          <w:highlight w:val="none"/>
          <w:lang w:val="en-US" w:eastAsia="zh-CN"/>
        </w:rPr>
        <w:t>32</w:t>
      </w:r>
    </w:p>
    <w:p w14:paraId="64F3CA1A">
      <w:pPr>
        <w:pStyle w:val="22"/>
        <w:tabs>
          <w:tab w:val="right" w:leader="dot" w:pos="7475"/>
        </w:tabs>
        <w:rPr>
          <w:bCs/>
          <w:highlight w:val="none"/>
          <w:lang w:val="en-US" w:eastAsia="zh-CN"/>
        </w:rPr>
      </w:pPr>
      <w:r>
        <w:rPr>
          <w:rFonts w:hint="eastAsia"/>
          <w:b/>
          <w:highlight w:val="none"/>
          <w:lang w:val="en-US"/>
        </w:rPr>
        <w:t>Table 2</w:t>
      </w:r>
      <w:r>
        <w:rPr>
          <w:rFonts w:hint="eastAsia"/>
          <w:b/>
          <w:highlight w:val="none"/>
          <w:lang w:val="en-US"/>
        </w:rPr>
        <w:noBreakHyphen/>
      </w:r>
      <w:r>
        <w:rPr>
          <w:rFonts w:hint="eastAsia"/>
          <w:b/>
          <w:highlight w:val="none"/>
          <w:lang w:val="en-US"/>
        </w:rPr>
        <w:t>3:</w:t>
      </w:r>
      <w:r>
        <w:rPr>
          <w:rFonts w:hint="eastAsia"/>
          <w:bCs/>
          <w:highlight w:val="none"/>
          <w:lang w:val="en-US"/>
        </w:rPr>
        <w:t xml:space="preserve"> Top 20 highly expressed microRNAs derived from serum small extracellular vesicles in dairy cows suffering from subclinical mastitis in the experiment</w:t>
      </w:r>
      <w:r>
        <w:rPr>
          <w:rFonts w:hint="eastAsia"/>
          <w:bCs/>
          <w:highlight w:val="none"/>
          <w:lang w:val="en-US"/>
        </w:rPr>
        <w:tab/>
      </w:r>
      <w:r>
        <w:rPr>
          <w:rFonts w:hint="eastAsia"/>
          <w:bCs/>
          <w:highlight w:val="none"/>
          <w:lang w:val="en-US" w:eastAsia="zh-CN"/>
        </w:rPr>
        <w:t>33</w:t>
      </w:r>
    </w:p>
    <w:p w14:paraId="779D3630">
      <w:pPr>
        <w:pStyle w:val="22"/>
        <w:tabs>
          <w:tab w:val="right" w:leader="dot" w:pos="7475"/>
        </w:tabs>
        <w:rPr>
          <w:bCs/>
          <w:highlight w:val="none"/>
          <w:lang w:val="en-US"/>
        </w:rPr>
      </w:pPr>
      <w:r>
        <w:rPr>
          <w:rFonts w:hint="eastAsia"/>
          <w:b/>
          <w:highlight w:val="none"/>
          <w:lang w:val="en-US"/>
        </w:rPr>
        <w:t>Table 2-4:</w:t>
      </w:r>
      <w:r>
        <w:rPr>
          <w:rFonts w:hint="eastAsia"/>
          <w:bCs/>
          <w:highlight w:val="none"/>
          <w:lang w:val="en-US"/>
        </w:rPr>
        <w:t xml:space="preserve"> Identification of differentially expressed known microRNAs derived from serum small extracellular vesicles in dairy cows suffering from subclinical mastitis when comparing the control group with the inulin group</w:t>
      </w:r>
      <w:r>
        <w:rPr>
          <w:rFonts w:hint="eastAsia"/>
          <w:bCs/>
          <w:highlight w:val="none"/>
          <w:lang w:val="en-US"/>
        </w:rPr>
        <w:tab/>
      </w:r>
      <w:r>
        <w:rPr>
          <w:rFonts w:hint="eastAsia"/>
          <w:bCs/>
          <w:highlight w:val="none"/>
          <w:lang w:val="en-US"/>
        </w:rPr>
        <w:fldChar w:fldCharType="begin"/>
      </w:r>
      <w:r>
        <w:rPr>
          <w:rFonts w:hint="eastAsia"/>
          <w:bCs/>
          <w:highlight w:val="none"/>
          <w:lang w:val="en-US"/>
        </w:rPr>
        <w:instrText xml:space="preserve"> </w:instrText>
      </w:r>
      <w:r>
        <w:rPr>
          <w:bCs/>
          <w:highlight w:val="none"/>
          <w:lang w:val="en-US"/>
        </w:rPr>
        <w:instrText xml:space="preserve">PAGEREF _Toc207979954 \h</w:instrText>
      </w:r>
      <w:r>
        <w:rPr>
          <w:rFonts w:hint="eastAsia"/>
          <w:bCs/>
          <w:highlight w:val="none"/>
          <w:lang w:val="en-US"/>
        </w:rPr>
        <w:instrText xml:space="preserve"> </w:instrText>
      </w:r>
      <w:r>
        <w:rPr>
          <w:rFonts w:hint="eastAsia"/>
          <w:bCs/>
          <w:highlight w:val="none"/>
          <w:lang w:val="en-US"/>
        </w:rPr>
        <w:fldChar w:fldCharType="separate"/>
      </w:r>
      <w:r>
        <w:rPr>
          <w:bCs/>
          <w:highlight w:val="none"/>
          <w:lang w:val="en-US"/>
        </w:rPr>
        <w:t>33</w:t>
      </w:r>
      <w:r>
        <w:rPr>
          <w:rFonts w:hint="eastAsia"/>
          <w:bCs/>
          <w:highlight w:val="none"/>
          <w:lang w:val="en-US"/>
        </w:rPr>
        <w:fldChar w:fldCharType="end"/>
      </w:r>
    </w:p>
    <w:p w14:paraId="6534BB1C">
      <w:pPr>
        <w:pStyle w:val="22"/>
        <w:tabs>
          <w:tab w:val="right" w:leader="dot" w:pos="7475"/>
        </w:tabs>
        <w:rPr>
          <w:bCs/>
          <w:highlight w:val="none"/>
          <w:lang w:val="en-US" w:eastAsia="zh-CN"/>
        </w:rPr>
      </w:pPr>
      <w:r>
        <w:rPr>
          <w:rFonts w:hint="eastAsia"/>
          <w:b/>
          <w:highlight w:val="none"/>
          <w:lang w:val="en-US"/>
        </w:rPr>
        <w:t>Table 3</w:t>
      </w:r>
      <w:r>
        <w:rPr>
          <w:rFonts w:hint="eastAsia"/>
          <w:b/>
          <w:highlight w:val="none"/>
          <w:lang w:val="en-US"/>
        </w:rPr>
        <w:noBreakHyphen/>
      </w:r>
      <w:r>
        <w:rPr>
          <w:rFonts w:hint="eastAsia"/>
          <w:b/>
          <w:highlight w:val="none"/>
          <w:lang w:val="en-US"/>
        </w:rPr>
        <w:t>1:</w:t>
      </w:r>
      <w:r>
        <w:rPr>
          <w:rFonts w:hint="eastAsia"/>
          <w:bCs/>
          <w:highlight w:val="none"/>
          <w:lang w:val="en-US"/>
        </w:rPr>
        <w:t xml:space="preserve"> Differentially expressed serum-derived small extracellular vesicles microRNAs exclusively expressed in either the control or inulin group of dairy cows suffering from subclinical mastitis</w:t>
      </w:r>
      <w:bookmarkStart w:id="17" w:name="_Hlk208211845"/>
      <w:r>
        <w:rPr>
          <w:rFonts w:hint="eastAsia"/>
          <w:bCs/>
          <w:highlight w:val="none"/>
          <w:lang w:val="en-US"/>
        </w:rPr>
        <w:tab/>
      </w:r>
      <w:bookmarkEnd w:id="17"/>
      <w:r>
        <w:rPr>
          <w:rFonts w:hint="eastAsia"/>
          <w:bCs/>
          <w:highlight w:val="none"/>
          <w:lang w:val="en-US" w:eastAsia="zh-CN"/>
        </w:rPr>
        <w:t>45</w:t>
      </w:r>
    </w:p>
    <w:p w14:paraId="6F821841">
      <w:pPr>
        <w:pStyle w:val="22"/>
        <w:tabs>
          <w:tab w:val="right" w:leader="dot" w:pos="7475"/>
        </w:tabs>
        <w:rPr>
          <w:bCs/>
          <w:highlight w:val="none"/>
          <w:lang w:val="en-US" w:eastAsia="zh-CN"/>
        </w:rPr>
      </w:pPr>
      <w:r>
        <w:rPr>
          <w:b/>
          <w:highlight w:val="none"/>
          <w:lang w:val="en-US"/>
        </w:rPr>
        <w:t>Table 3 2:</w:t>
      </w:r>
      <w:r>
        <w:rPr>
          <w:bCs/>
          <w:highlight w:val="none"/>
          <w:lang w:val="en-US"/>
        </w:rPr>
        <w:t xml:space="preserve"> Top 20 highly expressed sEVs derived miRNAs in milk from dairy cows with subclinical mastitis in two groups</w:t>
      </w:r>
      <w:r>
        <w:rPr>
          <w:bCs/>
          <w:highlight w:val="none"/>
          <w:lang w:val="en-US"/>
        </w:rPr>
        <w:tab/>
      </w:r>
      <w:r>
        <w:rPr>
          <w:rFonts w:hint="eastAsia"/>
          <w:bCs/>
          <w:highlight w:val="none"/>
          <w:lang w:val="en-US" w:eastAsia="zh-CN"/>
        </w:rPr>
        <w:t>49</w:t>
      </w:r>
    </w:p>
    <w:p w14:paraId="60F63297">
      <w:pPr>
        <w:pStyle w:val="22"/>
        <w:tabs>
          <w:tab w:val="right" w:leader="dot" w:pos="7475"/>
        </w:tabs>
        <w:rPr>
          <w:highlight w:val="none"/>
          <w:lang w:val="en-US"/>
        </w:rPr>
      </w:pPr>
      <w:r>
        <w:rPr>
          <w:bCs/>
          <w:highlight w:val="none"/>
          <w:lang w:val="en-US"/>
        </w:rPr>
        <w:fldChar w:fldCharType="end"/>
      </w:r>
      <w:r>
        <w:rPr>
          <w:highlight w:val="none"/>
          <w:lang w:val="en-US"/>
        </w:rPr>
        <w:br w:type="page"/>
      </w:r>
    </w:p>
    <w:p w14:paraId="1FB0D3B7">
      <w:pPr>
        <w:pStyle w:val="3"/>
        <w:numPr>
          <w:ilvl w:val="0"/>
          <w:numId w:val="0"/>
        </w:numPr>
        <w:ind w:left="170"/>
        <w:rPr>
          <w:highlight w:val="none"/>
        </w:rPr>
        <w:sectPr>
          <w:headerReference r:id="rId17" w:type="default"/>
          <w:pgSz w:w="9639" w:h="13608"/>
          <w:pgMar w:top="1361" w:right="907" w:bottom="1021" w:left="1247" w:header="567" w:footer="312" w:gutter="0"/>
          <w:cols w:space="708" w:num="1"/>
          <w:docGrid w:linePitch="360" w:charSpace="0"/>
        </w:sectPr>
      </w:pPr>
    </w:p>
    <w:p w14:paraId="7AF3A6D0">
      <w:pPr>
        <w:spacing w:after="200" w:line="276" w:lineRule="auto"/>
        <w:ind w:firstLine="0"/>
        <w:jc w:val="left"/>
        <w:rPr>
          <w:rFonts w:eastAsiaTheme="majorEastAsia" w:cstheme="majorBidi"/>
          <w:b/>
          <w:bCs/>
          <w:sz w:val="32"/>
          <w:szCs w:val="26"/>
          <w:highlight w:val="none"/>
          <w:lang w:val="en-US"/>
        </w:rPr>
      </w:pPr>
      <w:r>
        <w:rPr>
          <w:highlight w:val="none"/>
        </w:rPr>
        <w:br w:type="page"/>
      </w:r>
    </w:p>
    <w:p w14:paraId="5FFFC357">
      <w:pPr>
        <w:pStyle w:val="3"/>
        <w:numPr>
          <w:ilvl w:val="0"/>
          <w:numId w:val="0"/>
        </w:numPr>
        <w:ind w:left="170"/>
        <w:rPr>
          <w:highlight w:val="none"/>
        </w:rPr>
      </w:pPr>
      <w:bookmarkStart w:id="18" w:name="_Toc207979736"/>
      <w:bookmarkStart w:id="19" w:name="_Toc195143234"/>
      <w:r>
        <w:rPr>
          <w:highlight w:val="none"/>
        </w:rPr>
        <w:t>List of acronyms</w:t>
      </w:r>
      <w:bookmarkEnd w:id="18"/>
      <w:bookmarkEnd w:id="19"/>
    </w:p>
    <w:p w14:paraId="2AF71695">
      <w:pPr>
        <w:spacing w:after="120"/>
        <w:ind w:firstLine="0"/>
        <w:jc w:val="left"/>
        <w:rPr>
          <w:highlight w:val="none"/>
          <w:lang w:val="en-US" w:eastAsia="zh-CN"/>
        </w:rPr>
      </w:pPr>
      <w:r>
        <w:rPr>
          <w:b/>
          <w:bCs/>
          <w:highlight w:val="none"/>
          <w:lang w:val="en-US" w:eastAsia="zh-CN"/>
        </w:rPr>
        <w:t>ATP</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 xml:space="preserve">Adenosine </w:t>
      </w:r>
      <w:r>
        <w:rPr>
          <w:rFonts w:hint="eastAsia"/>
          <w:highlight w:val="none"/>
          <w:lang w:val="en-US" w:eastAsia="zh-CN"/>
        </w:rPr>
        <w:t>t</w:t>
      </w:r>
      <w:r>
        <w:rPr>
          <w:highlight w:val="none"/>
          <w:lang w:val="en-US" w:eastAsia="zh-CN"/>
        </w:rPr>
        <w:t>riphosphate</w:t>
      </w:r>
    </w:p>
    <w:p w14:paraId="134C0EA0">
      <w:pPr>
        <w:spacing w:after="120"/>
        <w:ind w:firstLine="0"/>
        <w:jc w:val="left"/>
        <w:rPr>
          <w:highlight w:val="none"/>
          <w:lang w:val="en-US" w:eastAsia="zh-CN"/>
        </w:rPr>
      </w:pPr>
      <w:r>
        <w:rPr>
          <w:b/>
          <w:bCs/>
          <w:highlight w:val="none"/>
          <w:lang w:val="en-US" w:eastAsia="zh-CN"/>
        </w:rPr>
        <w:t>circRNA</w:t>
      </w:r>
      <w:r>
        <w:rPr>
          <w:rFonts w:hint="eastAsia"/>
          <w:b/>
          <w:bCs/>
          <w:highlight w:val="none"/>
          <w:lang w:val="en-US" w:eastAsia="zh-CN"/>
        </w:rPr>
        <w:t>:</w:t>
      </w:r>
      <w:r>
        <w:rPr>
          <w:highlight w:val="none"/>
          <w:lang w:val="en-US" w:eastAsia="zh-CN"/>
        </w:rPr>
        <w:t xml:space="preserve"> circular RNA</w:t>
      </w:r>
    </w:p>
    <w:p w14:paraId="6EE405E3">
      <w:pPr>
        <w:spacing w:after="120"/>
        <w:ind w:firstLine="0"/>
        <w:jc w:val="left"/>
        <w:rPr>
          <w:highlight w:val="none"/>
          <w:lang w:val="en-US" w:eastAsia="zh-CN"/>
        </w:rPr>
      </w:pPr>
      <w:r>
        <w:rPr>
          <w:b/>
          <w:bCs/>
          <w:highlight w:val="none"/>
          <w:lang w:val="en-US" w:eastAsia="zh-CN"/>
        </w:rPr>
        <w:t>CMT</w:t>
      </w:r>
      <w:r>
        <w:rPr>
          <w:rFonts w:hint="eastAsia"/>
          <w:b/>
          <w:bCs/>
          <w:highlight w:val="none"/>
          <w:lang w:val="en-US" w:eastAsia="zh-CN"/>
        </w:rPr>
        <w:t>:</w:t>
      </w:r>
      <w:r>
        <w:rPr>
          <w:highlight w:val="none"/>
          <w:lang w:val="en-US" w:eastAsia="zh-CN"/>
        </w:rPr>
        <w:t xml:space="preserve"> California mastitis test</w:t>
      </w:r>
    </w:p>
    <w:p w14:paraId="230789AB">
      <w:pPr>
        <w:spacing w:after="120"/>
        <w:ind w:firstLine="0"/>
        <w:jc w:val="left"/>
        <w:rPr>
          <w:highlight w:val="none"/>
          <w:lang w:val="en-US" w:eastAsia="fr-FR"/>
        </w:rPr>
      </w:pPr>
      <w:r>
        <w:rPr>
          <w:b/>
          <w:bCs/>
          <w:highlight w:val="none"/>
          <w:lang w:val="en-US" w:eastAsia="fr-FR"/>
        </w:rPr>
        <w:t>DE</w:t>
      </w:r>
      <w:r>
        <w:rPr>
          <w:rFonts w:hint="eastAsia"/>
          <w:b/>
          <w:bCs/>
          <w:highlight w:val="none"/>
          <w:lang w:val="en-US" w:eastAsia="zh-CN"/>
        </w:rPr>
        <w:t>:</w:t>
      </w:r>
      <w:r>
        <w:rPr>
          <w:highlight w:val="none"/>
          <w:lang w:val="en-US" w:eastAsia="fr-FR"/>
        </w:rPr>
        <w:t xml:space="preserve"> </w:t>
      </w:r>
      <w:r>
        <w:rPr>
          <w:rFonts w:hint="eastAsia"/>
          <w:highlight w:val="none"/>
          <w:lang w:val="en-US" w:eastAsia="zh-CN"/>
        </w:rPr>
        <w:t>D</w:t>
      </w:r>
      <w:r>
        <w:rPr>
          <w:highlight w:val="none"/>
          <w:lang w:val="en-US" w:eastAsia="fr-FR"/>
        </w:rPr>
        <w:t>ifferentially expressed</w:t>
      </w:r>
    </w:p>
    <w:p w14:paraId="770A3DAB">
      <w:pPr>
        <w:spacing w:after="120"/>
        <w:ind w:firstLine="0"/>
        <w:jc w:val="left"/>
        <w:rPr>
          <w:highlight w:val="none"/>
          <w:lang w:val="en-US" w:eastAsia="zh-CN"/>
        </w:rPr>
      </w:pPr>
      <w:r>
        <w:rPr>
          <w:b/>
          <w:bCs/>
          <w:highlight w:val="none"/>
          <w:lang w:val="en-US" w:eastAsia="zh-CN"/>
        </w:rPr>
        <w:t>DIM</w:t>
      </w:r>
      <w:r>
        <w:rPr>
          <w:rFonts w:hint="eastAsia"/>
          <w:b/>
          <w:bCs/>
          <w:highlight w:val="none"/>
          <w:lang w:val="en-US" w:eastAsia="zh-CN"/>
        </w:rPr>
        <w:t>:</w:t>
      </w:r>
      <w:r>
        <w:rPr>
          <w:highlight w:val="none"/>
          <w:lang w:val="en-US" w:eastAsia="zh-CN"/>
        </w:rPr>
        <w:t xml:space="preserve"> </w:t>
      </w:r>
      <w:r>
        <w:rPr>
          <w:rFonts w:hint="eastAsia"/>
          <w:highlight w:val="none"/>
          <w:lang w:val="en-US" w:eastAsia="zh-CN"/>
        </w:rPr>
        <w:t>D</w:t>
      </w:r>
      <w:r>
        <w:rPr>
          <w:highlight w:val="none"/>
          <w:lang w:val="en-US" w:eastAsia="zh-CN"/>
        </w:rPr>
        <w:t>ays in milk</w:t>
      </w:r>
    </w:p>
    <w:p w14:paraId="75230987">
      <w:pPr>
        <w:spacing w:after="120"/>
        <w:ind w:firstLine="0"/>
        <w:jc w:val="left"/>
        <w:rPr>
          <w:highlight w:val="none"/>
          <w:lang w:val="en-US" w:eastAsia="zh-CN"/>
        </w:rPr>
      </w:pPr>
      <w:r>
        <w:rPr>
          <w:b/>
          <w:bCs/>
          <w:highlight w:val="none"/>
          <w:lang w:val="en-US" w:eastAsia="zh-CN"/>
        </w:rPr>
        <w:t>DNA</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 xml:space="preserve">Deoxyribonucleic </w:t>
      </w:r>
      <w:r>
        <w:rPr>
          <w:rFonts w:hint="eastAsia"/>
          <w:highlight w:val="none"/>
          <w:lang w:val="en-US" w:eastAsia="zh-CN"/>
        </w:rPr>
        <w:t>a</w:t>
      </w:r>
      <w:r>
        <w:rPr>
          <w:highlight w:val="none"/>
          <w:lang w:val="en-US" w:eastAsia="zh-CN"/>
        </w:rPr>
        <w:t>cid</w:t>
      </w:r>
    </w:p>
    <w:p w14:paraId="4D7E7659">
      <w:pPr>
        <w:spacing w:after="120"/>
        <w:ind w:firstLine="0"/>
        <w:jc w:val="left"/>
        <w:rPr>
          <w:highlight w:val="none"/>
          <w:lang w:val="en-US" w:eastAsia="zh-CN"/>
        </w:rPr>
      </w:pPr>
      <w:r>
        <w:rPr>
          <w:b/>
          <w:bCs/>
          <w:highlight w:val="none"/>
          <w:lang w:val="en-US" w:eastAsia="zh-CN"/>
        </w:rPr>
        <w:t>EVs</w:t>
      </w:r>
      <w:r>
        <w:rPr>
          <w:rFonts w:hint="eastAsia"/>
          <w:b/>
          <w:bCs/>
          <w:highlight w:val="none"/>
          <w:lang w:val="en-US" w:eastAsia="zh-CN"/>
        </w:rPr>
        <w:t>:</w:t>
      </w:r>
      <w:r>
        <w:rPr>
          <w:highlight w:val="none"/>
          <w:lang w:val="en-US" w:eastAsia="zh-CN"/>
        </w:rPr>
        <w:t xml:space="preserve"> Extracellular vesicles</w:t>
      </w:r>
    </w:p>
    <w:p w14:paraId="47062CE0">
      <w:pPr>
        <w:spacing w:after="120"/>
        <w:ind w:firstLine="0"/>
        <w:jc w:val="left"/>
        <w:rPr>
          <w:highlight w:val="none"/>
          <w:lang w:val="en-US" w:eastAsia="fr-FR"/>
        </w:rPr>
      </w:pPr>
      <w:r>
        <w:rPr>
          <w:b/>
          <w:bCs/>
          <w:highlight w:val="none"/>
          <w:lang w:val="en-US" w:eastAsia="fr-FR"/>
        </w:rPr>
        <w:t>GO</w:t>
      </w:r>
      <w:r>
        <w:rPr>
          <w:rFonts w:hint="eastAsia"/>
          <w:b/>
          <w:bCs/>
          <w:highlight w:val="none"/>
          <w:lang w:val="en-US" w:eastAsia="zh-CN"/>
        </w:rPr>
        <w:t>:</w:t>
      </w:r>
      <w:r>
        <w:rPr>
          <w:highlight w:val="none"/>
          <w:lang w:val="en-US" w:eastAsia="fr-FR"/>
        </w:rPr>
        <w:t xml:space="preserve"> Gene ontology</w:t>
      </w:r>
    </w:p>
    <w:p w14:paraId="666E4DB4">
      <w:pPr>
        <w:spacing w:after="120"/>
        <w:ind w:firstLine="0"/>
        <w:jc w:val="left"/>
        <w:rPr>
          <w:highlight w:val="none"/>
          <w:lang w:val="en-US" w:eastAsia="fr-FR"/>
        </w:rPr>
      </w:pPr>
      <w:r>
        <w:rPr>
          <w:b/>
          <w:bCs/>
          <w:highlight w:val="none"/>
          <w:lang w:val="en-US" w:eastAsia="fr-FR"/>
        </w:rPr>
        <w:t>KEGG</w:t>
      </w:r>
      <w:r>
        <w:rPr>
          <w:rFonts w:hint="eastAsia"/>
          <w:b/>
          <w:bCs/>
          <w:highlight w:val="none"/>
          <w:lang w:val="en-US" w:eastAsia="zh-CN"/>
        </w:rPr>
        <w:t>:</w:t>
      </w:r>
      <w:r>
        <w:rPr>
          <w:highlight w:val="none"/>
          <w:lang w:val="en-US" w:eastAsia="fr-FR"/>
        </w:rPr>
        <w:t xml:space="preserve"> Kyoto </w:t>
      </w:r>
      <w:r>
        <w:rPr>
          <w:rFonts w:hint="eastAsia"/>
          <w:highlight w:val="none"/>
          <w:lang w:val="en-US" w:eastAsia="zh-CN"/>
        </w:rPr>
        <w:t>e</w:t>
      </w:r>
      <w:r>
        <w:rPr>
          <w:highlight w:val="none"/>
          <w:lang w:val="en-US" w:eastAsia="fr-FR"/>
        </w:rPr>
        <w:t xml:space="preserve">ncyclopedia of </w:t>
      </w:r>
      <w:r>
        <w:rPr>
          <w:rFonts w:hint="eastAsia"/>
          <w:highlight w:val="none"/>
          <w:lang w:val="en-US" w:eastAsia="zh-CN"/>
        </w:rPr>
        <w:t>g</w:t>
      </w:r>
      <w:r>
        <w:rPr>
          <w:highlight w:val="none"/>
          <w:lang w:val="en-US" w:eastAsia="fr-FR"/>
        </w:rPr>
        <w:t xml:space="preserve">enes and </w:t>
      </w:r>
      <w:r>
        <w:rPr>
          <w:rFonts w:hint="eastAsia"/>
          <w:highlight w:val="none"/>
          <w:lang w:val="en-US" w:eastAsia="zh-CN"/>
        </w:rPr>
        <w:t>g</w:t>
      </w:r>
      <w:r>
        <w:rPr>
          <w:highlight w:val="none"/>
          <w:lang w:val="en-US" w:eastAsia="fr-FR"/>
        </w:rPr>
        <w:t>enomes</w:t>
      </w:r>
    </w:p>
    <w:p w14:paraId="63496C3D">
      <w:pPr>
        <w:spacing w:after="120"/>
        <w:ind w:firstLine="0"/>
        <w:jc w:val="left"/>
        <w:rPr>
          <w:highlight w:val="none"/>
          <w:lang w:val="en-US" w:eastAsia="zh-CN"/>
        </w:rPr>
      </w:pPr>
      <w:r>
        <w:rPr>
          <w:rFonts w:hint="eastAsia"/>
          <w:b/>
          <w:bCs/>
          <w:highlight w:val="none"/>
          <w:lang w:val="en-US" w:eastAsia="zh-CN"/>
        </w:rPr>
        <w:t>lncRNAs:</w:t>
      </w:r>
      <w:r>
        <w:rPr>
          <w:rFonts w:hint="eastAsia"/>
          <w:highlight w:val="none"/>
          <w:lang w:val="en-US" w:eastAsia="zh-CN"/>
        </w:rPr>
        <w:t xml:space="preserve"> </w:t>
      </w:r>
      <w:r>
        <w:rPr>
          <w:highlight w:val="none"/>
          <w:lang w:val="en-US" w:eastAsia="zh-CN"/>
        </w:rPr>
        <w:t>long noncoding RNAs</w:t>
      </w:r>
    </w:p>
    <w:p w14:paraId="71AC2377">
      <w:pPr>
        <w:spacing w:after="120"/>
        <w:ind w:firstLine="0"/>
        <w:jc w:val="left"/>
        <w:rPr>
          <w:highlight w:val="none"/>
          <w:lang w:val="en-US" w:eastAsia="zh-CN"/>
        </w:rPr>
      </w:pPr>
      <w:r>
        <w:rPr>
          <w:b/>
          <w:bCs/>
          <w:highlight w:val="none"/>
          <w:lang w:val="en-US" w:eastAsia="zh-CN"/>
        </w:rPr>
        <w:t>LPS</w:t>
      </w:r>
      <w:r>
        <w:rPr>
          <w:rFonts w:hint="eastAsia"/>
          <w:b/>
          <w:bCs/>
          <w:highlight w:val="none"/>
          <w:lang w:val="en-US" w:eastAsia="zh-CN"/>
        </w:rPr>
        <w:t>:</w:t>
      </w:r>
      <w:r>
        <w:rPr>
          <w:highlight w:val="none"/>
          <w:lang w:val="en-US" w:eastAsia="zh-CN"/>
        </w:rPr>
        <w:t xml:space="preserve"> </w:t>
      </w:r>
      <w:r>
        <w:rPr>
          <w:rFonts w:hint="eastAsia"/>
          <w:highlight w:val="none"/>
          <w:lang w:val="en-US" w:eastAsia="zh-CN"/>
        </w:rPr>
        <w:t>L</w:t>
      </w:r>
      <w:r>
        <w:rPr>
          <w:highlight w:val="none"/>
          <w:lang w:val="en-US" w:eastAsia="zh-CN"/>
        </w:rPr>
        <w:t>ipopolysaccharide</w:t>
      </w:r>
    </w:p>
    <w:p w14:paraId="4CC42BE9">
      <w:pPr>
        <w:spacing w:after="120"/>
        <w:ind w:firstLine="0"/>
        <w:jc w:val="left"/>
        <w:rPr>
          <w:highlight w:val="none"/>
          <w:lang w:val="en-US" w:eastAsia="zh-CN"/>
        </w:rPr>
      </w:pPr>
      <w:r>
        <w:rPr>
          <w:b/>
          <w:bCs/>
          <w:highlight w:val="none"/>
          <w:lang w:val="en-US" w:eastAsia="fr-FR"/>
        </w:rPr>
        <w:t>MAPK</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Mitogen-</w:t>
      </w:r>
      <w:r>
        <w:rPr>
          <w:rFonts w:hint="eastAsia"/>
          <w:highlight w:val="none"/>
          <w:lang w:val="en-US" w:eastAsia="zh-CN"/>
        </w:rPr>
        <w:t>a</w:t>
      </w:r>
      <w:r>
        <w:rPr>
          <w:highlight w:val="none"/>
          <w:lang w:val="en-US" w:eastAsia="zh-CN"/>
        </w:rPr>
        <w:t xml:space="preserve">ctivated </w:t>
      </w:r>
      <w:r>
        <w:rPr>
          <w:rFonts w:hint="eastAsia"/>
          <w:highlight w:val="none"/>
          <w:lang w:val="en-US" w:eastAsia="zh-CN"/>
        </w:rPr>
        <w:t>p</w:t>
      </w:r>
      <w:r>
        <w:rPr>
          <w:highlight w:val="none"/>
          <w:lang w:val="en-US" w:eastAsia="zh-CN"/>
        </w:rPr>
        <w:t xml:space="preserve">rotein </w:t>
      </w:r>
      <w:r>
        <w:rPr>
          <w:rFonts w:hint="eastAsia"/>
          <w:highlight w:val="none"/>
          <w:lang w:val="en-US" w:eastAsia="zh-CN"/>
        </w:rPr>
        <w:t>k</w:t>
      </w:r>
      <w:r>
        <w:rPr>
          <w:highlight w:val="none"/>
          <w:lang w:val="en-US" w:eastAsia="zh-CN"/>
        </w:rPr>
        <w:t>inase</w:t>
      </w:r>
    </w:p>
    <w:p w14:paraId="34199538">
      <w:pPr>
        <w:spacing w:after="120"/>
        <w:ind w:firstLine="0"/>
        <w:jc w:val="left"/>
        <w:rPr>
          <w:highlight w:val="none"/>
          <w:lang w:val="en-US" w:eastAsia="zh-CN"/>
        </w:rPr>
      </w:pPr>
      <w:r>
        <w:rPr>
          <w:b/>
          <w:bCs/>
          <w:highlight w:val="none"/>
          <w:lang w:val="en-US" w:eastAsia="fr-FR"/>
        </w:rPr>
        <w:t>miRNAs</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microRNAs</w:t>
      </w:r>
    </w:p>
    <w:p w14:paraId="5437ED42">
      <w:pPr>
        <w:spacing w:after="120"/>
        <w:ind w:firstLine="0"/>
        <w:jc w:val="left"/>
        <w:rPr>
          <w:highlight w:val="none"/>
          <w:lang w:val="en-US" w:eastAsia="zh-CN"/>
        </w:rPr>
      </w:pPr>
      <w:r>
        <w:rPr>
          <w:b/>
          <w:bCs/>
          <w:highlight w:val="none"/>
          <w:lang w:val="en-US" w:eastAsia="fr-FR"/>
        </w:rPr>
        <w:t>mRNAs</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messenger RNAs</w:t>
      </w:r>
    </w:p>
    <w:p w14:paraId="6278470D">
      <w:pPr>
        <w:spacing w:after="120"/>
        <w:ind w:firstLine="0"/>
        <w:jc w:val="left"/>
        <w:rPr>
          <w:highlight w:val="none"/>
        </w:rPr>
      </w:pPr>
      <w:r>
        <w:rPr>
          <w:b/>
          <w:bCs/>
          <w:highlight w:val="none"/>
          <w:lang w:val="en-US" w:eastAsia="zh-CN"/>
        </w:rPr>
        <w:t>NF-κB</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 xml:space="preserve">Nuclear </w:t>
      </w:r>
      <w:r>
        <w:rPr>
          <w:rFonts w:hint="eastAsia"/>
          <w:highlight w:val="none"/>
          <w:lang w:val="en-US" w:eastAsia="zh-CN"/>
        </w:rPr>
        <w:t>f</w:t>
      </w:r>
      <w:r>
        <w:rPr>
          <w:highlight w:val="none"/>
          <w:lang w:val="en-US" w:eastAsia="zh-CN"/>
        </w:rPr>
        <w:t>actor kappa-light-chain-enhancer of activated B cells</w:t>
      </w:r>
      <w:r>
        <w:rPr>
          <w:highlight w:val="none"/>
        </w:rPr>
        <w:t xml:space="preserve"> </w:t>
      </w:r>
    </w:p>
    <w:p w14:paraId="327E482F">
      <w:pPr>
        <w:spacing w:after="120"/>
        <w:ind w:firstLine="0"/>
        <w:jc w:val="left"/>
        <w:rPr>
          <w:highlight w:val="none"/>
          <w:lang w:val="en-US" w:eastAsia="zh-CN"/>
        </w:rPr>
      </w:pPr>
      <w:r>
        <w:rPr>
          <w:b/>
          <w:bCs/>
          <w:highlight w:val="none"/>
          <w:lang w:val="en-US" w:eastAsia="zh-CN"/>
        </w:rPr>
        <w:t>PBS</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Phosphate-</w:t>
      </w:r>
      <w:r>
        <w:rPr>
          <w:rFonts w:hint="eastAsia"/>
          <w:highlight w:val="none"/>
          <w:lang w:val="en-US" w:eastAsia="zh-CN"/>
        </w:rPr>
        <w:t>b</w:t>
      </w:r>
      <w:r>
        <w:rPr>
          <w:highlight w:val="none"/>
          <w:lang w:val="en-US" w:eastAsia="zh-CN"/>
        </w:rPr>
        <w:t xml:space="preserve">uffered </w:t>
      </w:r>
      <w:r>
        <w:rPr>
          <w:rFonts w:hint="eastAsia"/>
          <w:highlight w:val="none"/>
          <w:lang w:val="en-US" w:eastAsia="zh-CN"/>
        </w:rPr>
        <w:t>s</w:t>
      </w:r>
      <w:r>
        <w:rPr>
          <w:highlight w:val="none"/>
          <w:lang w:val="en-US" w:eastAsia="zh-CN"/>
        </w:rPr>
        <w:t>aline</w:t>
      </w:r>
    </w:p>
    <w:p w14:paraId="5659E231">
      <w:pPr>
        <w:spacing w:after="120"/>
        <w:ind w:firstLine="0"/>
        <w:jc w:val="left"/>
        <w:rPr>
          <w:highlight w:val="none"/>
          <w:lang w:val="en-US" w:eastAsia="zh-CN"/>
        </w:rPr>
      </w:pPr>
      <w:r>
        <w:rPr>
          <w:b/>
          <w:bCs/>
          <w:highlight w:val="none"/>
          <w:lang w:val="en-US" w:eastAsia="zh-CN"/>
        </w:rPr>
        <w:t>rRNAs</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ribosomal RNA</w:t>
      </w:r>
    </w:p>
    <w:p w14:paraId="49FEA5CF">
      <w:pPr>
        <w:spacing w:after="120"/>
        <w:ind w:firstLine="0"/>
        <w:jc w:val="left"/>
        <w:rPr>
          <w:highlight w:val="none"/>
          <w:lang w:val="en-US" w:eastAsia="zh-CN"/>
        </w:rPr>
      </w:pPr>
      <w:r>
        <w:rPr>
          <w:b/>
          <w:bCs/>
          <w:highlight w:val="none"/>
          <w:lang w:val="en-US" w:eastAsia="zh-CN"/>
        </w:rPr>
        <w:t>SCC</w:t>
      </w:r>
      <w:r>
        <w:rPr>
          <w:rFonts w:hint="eastAsia"/>
          <w:b/>
          <w:bCs/>
          <w:highlight w:val="none"/>
          <w:lang w:val="en-US" w:eastAsia="zh-CN"/>
        </w:rPr>
        <w:t>:</w:t>
      </w:r>
      <w:r>
        <w:rPr>
          <w:highlight w:val="none"/>
          <w:lang w:val="en-US" w:eastAsia="zh-CN"/>
        </w:rPr>
        <w:t xml:space="preserve"> somatic cell counts</w:t>
      </w:r>
    </w:p>
    <w:p w14:paraId="5A3C2C57">
      <w:pPr>
        <w:spacing w:after="120"/>
        <w:ind w:firstLine="0"/>
        <w:jc w:val="left"/>
        <w:rPr>
          <w:highlight w:val="none"/>
          <w:lang w:val="en-US" w:eastAsia="zh-CN"/>
        </w:rPr>
      </w:pPr>
      <w:r>
        <w:rPr>
          <w:b/>
          <w:bCs/>
          <w:highlight w:val="none"/>
          <w:lang w:val="en-US" w:eastAsia="zh-CN"/>
        </w:rPr>
        <w:t>SCFAs</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Short-chain fatty acids</w:t>
      </w:r>
    </w:p>
    <w:p w14:paraId="3F9E34EA">
      <w:pPr>
        <w:spacing w:after="120"/>
        <w:ind w:firstLine="0"/>
        <w:jc w:val="left"/>
        <w:rPr>
          <w:highlight w:val="none"/>
        </w:rPr>
      </w:pPr>
      <w:r>
        <w:rPr>
          <w:b/>
          <w:bCs/>
          <w:highlight w:val="none"/>
        </w:rPr>
        <w:t>sEVs</w:t>
      </w:r>
      <w:r>
        <w:rPr>
          <w:rFonts w:hint="eastAsia"/>
          <w:b/>
          <w:bCs/>
          <w:highlight w:val="none"/>
          <w:lang w:eastAsia="zh-CN"/>
        </w:rPr>
        <w:t>:</w:t>
      </w:r>
      <w:r>
        <w:rPr>
          <w:highlight w:val="none"/>
        </w:rPr>
        <w:t xml:space="preserve"> Small extracellular vesicles</w:t>
      </w:r>
    </w:p>
    <w:p w14:paraId="59B851D8">
      <w:pPr>
        <w:spacing w:after="120"/>
        <w:ind w:firstLine="0"/>
        <w:jc w:val="left"/>
        <w:rPr>
          <w:highlight w:val="none"/>
          <w:lang w:val="en-US" w:eastAsia="zh-CN"/>
        </w:rPr>
      </w:pPr>
      <w:r>
        <w:rPr>
          <w:b/>
          <w:bCs/>
          <w:highlight w:val="none"/>
          <w:lang w:val="en-US" w:eastAsia="zh-CN"/>
        </w:rPr>
        <w:t>snRNAs</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small nuclear RNA</w:t>
      </w:r>
    </w:p>
    <w:p w14:paraId="2B354D3E">
      <w:pPr>
        <w:spacing w:after="120"/>
        <w:ind w:firstLine="0"/>
        <w:jc w:val="left"/>
        <w:rPr>
          <w:highlight w:val="none"/>
          <w:lang w:val="en-US" w:eastAsia="zh-CN"/>
        </w:rPr>
      </w:pPr>
      <w:r>
        <w:rPr>
          <w:b/>
          <w:bCs/>
          <w:highlight w:val="none"/>
          <w:lang w:val="en-US" w:eastAsia="zh-CN"/>
        </w:rPr>
        <w:t>TMR</w:t>
      </w:r>
      <w:r>
        <w:rPr>
          <w:rFonts w:hint="eastAsia"/>
          <w:b/>
          <w:bCs/>
          <w:highlight w:val="none"/>
          <w:lang w:val="en-US" w:eastAsia="zh-CN"/>
        </w:rPr>
        <w:t>:</w:t>
      </w:r>
      <w:r>
        <w:rPr>
          <w:highlight w:val="none"/>
          <w:lang w:val="en-US" w:eastAsia="zh-CN"/>
        </w:rPr>
        <w:t xml:space="preserve"> </w:t>
      </w:r>
      <w:r>
        <w:rPr>
          <w:rFonts w:hint="eastAsia"/>
          <w:highlight w:val="none"/>
          <w:lang w:val="en-US" w:eastAsia="zh-CN"/>
        </w:rPr>
        <w:t>T</w:t>
      </w:r>
      <w:r>
        <w:rPr>
          <w:highlight w:val="none"/>
          <w:lang w:val="en-US" w:eastAsia="zh-CN"/>
        </w:rPr>
        <w:t>otal mixed rations</w:t>
      </w:r>
    </w:p>
    <w:p w14:paraId="118B37C2">
      <w:pPr>
        <w:spacing w:after="120"/>
        <w:ind w:firstLine="0"/>
        <w:jc w:val="left"/>
        <w:rPr>
          <w:highlight w:val="none"/>
          <w:lang w:val="en-US" w:eastAsia="zh-CN"/>
        </w:rPr>
      </w:pPr>
      <w:r>
        <w:rPr>
          <w:b/>
          <w:bCs/>
          <w:highlight w:val="none"/>
          <w:lang w:val="en-US" w:eastAsia="zh-CN"/>
        </w:rPr>
        <w:t>tRNA</w:t>
      </w:r>
      <w:r>
        <w:rPr>
          <w:rFonts w:hint="eastAsia"/>
          <w:b/>
          <w:bCs/>
          <w:highlight w:val="none"/>
          <w:lang w:val="en-US" w:eastAsia="zh-CN"/>
        </w:rPr>
        <w:t>:</w:t>
      </w:r>
      <w:r>
        <w:rPr>
          <w:rFonts w:hint="eastAsia"/>
          <w:highlight w:val="none"/>
          <w:lang w:val="en-US" w:eastAsia="zh-CN"/>
        </w:rPr>
        <w:t xml:space="preserve"> </w:t>
      </w:r>
      <w:r>
        <w:rPr>
          <w:highlight w:val="none"/>
          <w:lang w:val="en-US" w:eastAsia="zh-CN"/>
        </w:rPr>
        <w:t>transfer RNA</w:t>
      </w:r>
    </w:p>
    <w:p w14:paraId="053D7A3D">
      <w:pPr>
        <w:spacing w:after="200" w:line="276" w:lineRule="auto"/>
        <w:ind w:firstLine="0"/>
        <w:jc w:val="left"/>
        <w:rPr>
          <w:highlight w:val="none"/>
          <w:lang w:val="en-US" w:eastAsia="fr-FR"/>
        </w:rPr>
      </w:pPr>
      <w:r>
        <w:rPr>
          <w:highlight w:val="none"/>
          <w:lang w:val="en-US" w:eastAsia="fr-FR"/>
        </w:rPr>
        <w:br w:type="page"/>
      </w:r>
    </w:p>
    <w:p w14:paraId="19B22D3E">
      <w:pPr>
        <w:ind w:firstLine="0"/>
        <w:rPr>
          <w:highlight w:val="none"/>
          <w:lang w:val="en-US" w:eastAsia="fr-FR"/>
        </w:rPr>
      </w:pPr>
    </w:p>
    <w:p w14:paraId="2F006D85">
      <w:pPr>
        <w:spacing w:after="200" w:line="276" w:lineRule="auto"/>
        <w:ind w:firstLine="0"/>
        <w:jc w:val="left"/>
        <w:rPr>
          <w:highlight w:val="none"/>
          <w:lang w:val="en-US" w:eastAsia="fr-FR"/>
        </w:rPr>
      </w:pPr>
      <w:r>
        <w:rPr>
          <w:highlight w:val="none"/>
          <w:lang w:val="en-US" w:eastAsia="fr-FR"/>
        </w:rPr>
        <w:br w:type="page"/>
      </w:r>
    </w:p>
    <w:p w14:paraId="36DF1DAE">
      <w:pPr>
        <w:ind w:firstLine="0"/>
        <w:rPr>
          <w:highlight w:val="none"/>
          <w:lang w:val="en-US" w:eastAsia="fr-FR"/>
        </w:rPr>
        <w:sectPr>
          <w:headerReference r:id="rId18" w:type="default"/>
          <w:pgSz w:w="9639" w:h="13608"/>
          <w:pgMar w:top="1361" w:right="907" w:bottom="1021" w:left="1247" w:header="567" w:footer="312" w:gutter="0"/>
          <w:cols w:space="708" w:num="1"/>
          <w:docGrid w:linePitch="360" w:charSpace="0"/>
        </w:sectPr>
      </w:pPr>
    </w:p>
    <w:p w14:paraId="52532916">
      <w:pPr>
        <w:pStyle w:val="3"/>
        <w:numPr>
          <w:ilvl w:val="0"/>
          <w:numId w:val="0"/>
        </w:numPr>
        <w:ind w:left="170"/>
        <w:rPr>
          <w:highlight w:val="none"/>
        </w:rPr>
      </w:pPr>
      <w:bookmarkStart w:id="20" w:name="_Toc207979737"/>
      <w:r>
        <w:rPr>
          <w:highlight w:val="none"/>
        </w:rPr>
        <w:t>Thesis outline</w:t>
      </w:r>
      <w:bookmarkEnd w:id="20"/>
    </w:p>
    <w:p w14:paraId="5B5C17F1">
      <w:pPr>
        <w:rPr>
          <w:rFonts w:cs="Times New Roman"/>
          <w:highlight w:val="none"/>
        </w:rPr>
      </w:pPr>
      <w:r>
        <w:rPr>
          <w:rFonts w:cs="Times New Roman"/>
          <w:highlight w:val="none"/>
        </w:rPr>
        <w:t>T</w:t>
      </w:r>
      <w:r>
        <w:rPr>
          <w:rFonts w:hint="eastAsia" w:cs="Times New Roman"/>
          <w:highlight w:val="none"/>
        </w:rPr>
        <w:t>his thesis consists of f</w:t>
      </w:r>
      <w:r>
        <w:rPr>
          <w:rFonts w:hint="eastAsia" w:cs="Times New Roman"/>
          <w:highlight w:val="none"/>
          <w:lang w:eastAsia="zh-CN"/>
        </w:rPr>
        <w:t>our</w:t>
      </w:r>
      <w:r>
        <w:rPr>
          <w:rFonts w:hint="eastAsia" w:cs="Times New Roman"/>
          <w:highlight w:val="none"/>
        </w:rPr>
        <w:t xml:space="preserve"> chapters</w:t>
      </w:r>
      <w:r>
        <w:rPr>
          <w:rFonts w:hint="eastAsia" w:cs="Times New Roman"/>
          <w:highlight w:val="none"/>
          <w:lang w:eastAsia="zh-CN"/>
        </w:rPr>
        <w:t xml:space="preserve"> </w:t>
      </w:r>
      <w:r>
        <w:rPr>
          <w:rFonts w:hint="eastAsia" w:cs="Times New Roman"/>
          <w:highlight w:val="none"/>
        </w:rPr>
        <w:t>:</w:t>
      </w:r>
    </w:p>
    <w:p w14:paraId="770F686A">
      <w:pPr>
        <w:rPr>
          <w:rFonts w:cs="Times New Roman"/>
          <w:highlight w:val="none"/>
        </w:rPr>
      </w:pPr>
      <w:r>
        <w:rPr>
          <w:rFonts w:hint="eastAsia" w:cs="Times New Roman"/>
          <w:b/>
          <w:bCs/>
          <w:highlight w:val="none"/>
        </w:rPr>
        <w:t>Chapter 1</w:t>
      </w:r>
      <w:r>
        <w:rPr>
          <w:rFonts w:hint="eastAsia" w:cs="Times New Roman"/>
          <w:highlight w:val="none"/>
        </w:rPr>
        <w:t xml:space="preserve"> introduces </w:t>
      </w:r>
      <w:r>
        <w:rPr>
          <w:rFonts w:hint="eastAsia" w:cs="Times New Roman"/>
          <w:highlight w:val="none"/>
          <w:lang w:eastAsia="zh-CN"/>
        </w:rPr>
        <w:t>SCM</w:t>
      </w:r>
      <w:r>
        <w:rPr>
          <w:rFonts w:hint="eastAsia" w:cs="Times New Roman"/>
          <w:highlight w:val="none"/>
        </w:rPr>
        <w:t xml:space="preserve"> in dairy cows, covering its identification, economic impact, causes, and treatment approaches. It also provides an overview of sEVs and sEV</w:t>
      </w:r>
      <w:r>
        <w:rPr>
          <w:rFonts w:cs="Times New Roman"/>
          <w:highlight w:val="none"/>
        </w:rPr>
        <w:t>s</w:t>
      </w:r>
      <w:r>
        <w:rPr>
          <w:rFonts w:hint="eastAsia" w:cs="Times New Roman"/>
          <w:highlight w:val="none"/>
        </w:rPr>
        <w:t>-derived RNA, particularly miRNAs, lncRNA, and mRNA, as potential biomarkers and mediators of inflammation. Additionally, the chapter discusses inulin, a prebiotic dietary fiber, and its possible role in modulating immune responses and microbial metabolism in dairy cows.</w:t>
      </w:r>
    </w:p>
    <w:p w14:paraId="2525B1FB">
      <w:pPr>
        <w:rPr>
          <w:rFonts w:cs="Times New Roman"/>
          <w:highlight w:val="none"/>
        </w:rPr>
      </w:pPr>
      <w:r>
        <w:rPr>
          <w:rFonts w:hint="eastAsia" w:cs="Times New Roman"/>
          <w:b/>
          <w:bCs/>
          <w:highlight w:val="none"/>
        </w:rPr>
        <w:t xml:space="preserve">Chapter </w:t>
      </w:r>
      <w:r>
        <w:rPr>
          <w:rFonts w:hint="eastAsia" w:cs="Times New Roman"/>
          <w:b/>
          <w:bCs/>
          <w:highlight w:val="none"/>
          <w:lang w:eastAsia="zh-CN"/>
        </w:rPr>
        <w:t>2</w:t>
      </w:r>
      <w:r>
        <w:rPr>
          <w:rFonts w:hint="eastAsia" w:cs="Times New Roman"/>
          <w:highlight w:val="none"/>
        </w:rPr>
        <w:t xml:space="preserve"> presents the study "Inulin-induced differences on serum extracellular vesicles derived miRNAs in dairy cows suffering from subclinical mastitis" published in </w:t>
      </w:r>
      <w:r>
        <w:rPr>
          <w:rFonts w:hint="eastAsia" w:cs="Times New Roman"/>
          <w:i/>
          <w:iCs/>
          <w:highlight w:val="none"/>
        </w:rPr>
        <w:t>Animal</w:t>
      </w:r>
      <w:r>
        <w:rPr>
          <w:rFonts w:hint="eastAsia" w:cs="Times New Roman"/>
          <w:highlight w:val="none"/>
        </w:rPr>
        <w:t xml:space="preserve">. This chapter describes the experimental design, including animal selection, dietary treatments, and sample collection. It details the methods used for EV isolation and miRNA sequencing, followed by an analysis of differentially expressed miRNAs </w:t>
      </w:r>
      <w:r>
        <w:rPr>
          <w:rFonts w:cs="Times New Roman"/>
          <w:highlight w:val="none"/>
        </w:rPr>
        <w:t xml:space="preserve">in the serum </w:t>
      </w:r>
      <w:r>
        <w:rPr>
          <w:rFonts w:hint="eastAsia" w:cs="Times New Roman"/>
          <w:highlight w:val="none"/>
        </w:rPr>
        <w:t>and their potential roles in systemic inflammation, immune modulation, and metabolism.</w:t>
      </w:r>
    </w:p>
    <w:p w14:paraId="3229AD3F">
      <w:pPr>
        <w:rPr>
          <w:rFonts w:cs="Times New Roman"/>
          <w:highlight w:val="none"/>
        </w:rPr>
      </w:pPr>
      <w:r>
        <w:rPr>
          <w:rFonts w:hint="eastAsia" w:cs="Times New Roman"/>
          <w:b/>
          <w:bCs/>
          <w:highlight w:val="none"/>
        </w:rPr>
        <w:t xml:space="preserve">Chapter </w:t>
      </w:r>
      <w:r>
        <w:rPr>
          <w:rFonts w:hint="eastAsia" w:cs="Times New Roman"/>
          <w:b/>
          <w:bCs/>
          <w:highlight w:val="none"/>
          <w:lang w:eastAsia="zh-CN"/>
        </w:rPr>
        <w:t>3</w:t>
      </w:r>
      <w:r>
        <w:rPr>
          <w:rFonts w:hint="eastAsia" w:cs="Times New Roman"/>
          <w:highlight w:val="none"/>
        </w:rPr>
        <w:t xml:space="preserve"> presents the study "Effect of inulin on extracellular vesicles microRNAs in milk from dairy cows with subclinical mastitis," published in </w:t>
      </w:r>
      <w:r>
        <w:rPr>
          <w:rFonts w:hint="eastAsia" w:cs="Times New Roman"/>
          <w:i/>
          <w:iCs/>
          <w:highlight w:val="none"/>
        </w:rPr>
        <w:t>Journal of Animal Science</w:t>
      </w:r>
      <w:r>
        <w:rPr>
          <w:rFonts w:hint="eastAsia" w:cs="Times New Roman"/>
          <w:highlight w:val="none"/>
          <w:lang w:eastAsia="zh-CN"/>
        </w:rPr>
        <w:t xml:space="preserve"> and </w:t>
      </w:r>
      <w:r>
        <w:rPr>
          <w:rFonts w:hint="eastAsia" w:cs="Times New Roman"/>
          <w:highlight w:val="none"/>
        </w:rPr>
        <w:t>investigating the impact of inulin supplementation on milk-derived sEVs mRNA and lncRNA expression. This chapter describes the experimental design, including animal selection, dietary treatments, and sample collection. High-throughput sequencing was used to analyze the impact of inulin supplementation on the expression of milk-derived sEVs miRNAs</w:t>
      </w:r>
      <w:r>
        <w:rPr>
          <w:rFonts w:hint="eastAsia" w:cs="Times New Roman"/>
          <w:highlight w:val="none"/>
          <w:lang w:eastAsia="zh-CN"/>
        </w:rPr>
        <w:t>, mRNA, and lncRNA</w:t>
      </w:r>
      <w:r>
        <w:rPr>
          <w:rFonts w:hint="eastAsia" w:cs="Times New Roman"/>
          <w:highlight w:val="none"/>
        </w:rPr>
        <w:t xml:space="preserve">. Functional enrichment analysis was conducted to explore their potential roles in influencing inflammatory responses and milk production. </w:t>
      </w:r>
    </w:p>
    <w:p w14:paraId="552EB726">
      <w:pPr>
        <w:rPr>
          <w:highlight w:val="none"/>
          <w:lang w:val="en-US" w:eastAsia="zh-CN"/>
        </w:rPr>
      </w:pPr>
      <w:r>
        <w:rPr>
          <w:rFonts w:hint="eastAsia" w:cs="Times New Roman"/>
          <w:b/>
          <w:bCs/>
          <w:highlight w:val="none"/>
        </w:rPr>
        <w:t xml:space="preserve">Chapter </w:t>
      </w:r>
      <w:r>
        <w:rPr>
          <w:rFonts w:hint="eastAsia" w:cs="Times New Roman"/>
          <w:b/>
          <w:bCs/>
          <w:highlight w:val="none"/>
          <w:lang w:eastAsia="zh-CN"/>
        </w:rPr>
        <w:t>4</w:t>
      </w:r>
      <w:r>
        <w:rPr>
          <w:rFonts w:hint="eastAsia" w:cs="Times New Roman"/>
          <w:highlight w:val="none"/>
        </w:rPr>
        <w:t xml:space="preserve"> discusses the overall results of the study, integrating the findings from the previous chapters. It </w:t>
      </w:r>
      <w:r>
        <w:rPr>
          <w:rFonts w:cs="Times New Roman"/>
          <w:highlight w:val="none"/>
        </w:rPr>
        <w:t>compare</w:t>
      </w:r>
      <w:r>
        <w:rPr>
          <w:rFonts w:hint="eastAsia" w:cs="Times New Roman"/>
          <w:highlight w:val="none"/>
        </w:rPr>
        <w:t xml:space="preserve"> the effects of inulin supplementation on serum and milk sEVs-miRNAs, highlighting key differences and similarities. The chapter also explores the potential mechanisms by which inulin influences inflammation, immune response, and milk production. Additionally, it addresses the implications of these findings for dairy cow health, the management of </w:t>
      </w:r>
      <w:r>
        <w:rPr>
          <w:rFonts w:hint="eastAsia" w:cs="Times New Roman"/>
          <w:highlight w:val="none"/>
          <w:lang w:eastAsia="zh-CN"/>
        </w:rPr>
        <w:t>SCM</w:t>
      </w:r>
      <w:r>
        <w:rPr>
          <w:rFonts w:hint="eastAsia" w:cs="Times New Roman"/>
          <w:highlight w:val="none"/>
        </w:rPr>
        <w:t>, and potential applications of inulin in dairy nutrition. The discussion concludes with suggestions for future research directions to further explore these effects.</w:t>
      </w:r>
    </w:p>
    <w:p w14:paraId="197AB78C">
      <w:pPr>
        <w:spacing w:after="200" w:line="276" w:lineRule="auto"/>
        <w:ind w:firstLine="0"/>
        <w:jc w:val="left"/>
        <w:rPr>
          <w:highlight w:val="none"/>
          <w:lang w:val="en-US" w:eastAsia="fr-FR"/>
        </w:rPr>
      </w:pPr>
      <w:r>
        <w:rPr>
          <w:highlight w:val="none"/>
          <w:lang w:val="en-US" w:eastAsia="fr-FR"/>
        </w:rPr>
        <w:br w:type="page"/>
      </w:r>
    </w:p>
    <w:p w14:paraId="7D67B11E">
      <w:pPr>
        <w:spacing w:after="200" w:line="276" w:lineRule="auto"/>
        <w:ind w:firstLine="0"/>
        <w:jc w:val="left"/>
        <w:rPr>
          <w:highlight w:val="none"/>
          <w:lang w:val="en-US" w:eastAsia="fr-FR"/>
        </w:rPr>
      </w:pPr>
      <w:r>
        <w:rPr>
          <w:highlight w:val="none"/>
          <w:lang w:val="en-US" w:eastAsia="fr-FR"/>
        </w:rPr>
        <w:br w:type="page"/>
      </w:r>
    </w:p>
    <w:p w14:paraId="0B2F6703">
      <w:pPr>
        <w:spacing w:after="200" w:line="276" w:lineRule="auto"/>
        <w:ind w:firstLine="0"/>
        <w:jc w:val="left"/>
        <w:rPr>
          <w:highlight w:val="none"/>
          <w:lang w:val="en-US" w:eastAsia="fr-FR"/>
        </w:rPr>
        <w:sectPr>
          <w:headerReference r:id="rId19" w:type="default"/>
          <w:footerReference r:id="rId21" w:type="default"/>
          <w:headerReference r:id="rId20" w:type="even"/>
          <w:footerReference r:id="rId22" w:type="even"/>
          <w:pgSz w:w="9639" w:h="13608"/>
          <w:pgMar w:top="907" w:right="1021" w:bottom="1247" w:left="1361" w:header="709" w:footer="312" w:gutter="0"/>
          <w:cols w:space="708" w:num="1"/>
          <w:docGrid w:linePitch="360" w:charSpace="0"/>
        </w:sectPr>
      </w:pPr>
    </w:p>
    <w:p w14:paraId="348207E7">
      <w:pPr>
        <w:pStyle w:val="2"/>
        <w:rPr>
          <w:highlight w:val="none"/>
          <w:lang w:val="en-US" w:eastAsia="zh-CN"/>
        </w:rPr>
      </w:pPr>
      <w:bookmarkStart w:id="21" w:name="_Toc207979738"/>
      <w:bookmarkEnd w:id="21"/>
    </w:p>
    <w:p w14:paraId="7554E27F">
      <w:pPr>
        <w:spacing w:after="200"/>
        <w:ind w:firstLine="0"/>
        <w:jc w:val="center"/>
        <w:rPr>
          <w:highlight w:val="none"/>
          <w:lang w:val="en-US" w:eastAsia="fr-FR"/>
        </w:rPr>
      </w:pPr>
      <w:r>
        <w:rPr>
          <w:highlight w:val="none"/>
          <w:lang w:val="en-US" w:eastAsia="fr-FR"/>
        </w:rPr>
        <w:pict>
          <v:rect id="_x0000_i1025" o:spt="1" style="height:1pt;width:313.25pt;" fillcolor="#000000" filled="t" stroked="f" coordsize="21600,21600" o:hr="t" o:hrstd="t" o:hrnoshade="t" o:hralign="center">
            <v:path/>
            <v:fill on="t" focussize="0,0"/>
            <v:stroke on="f"/>
            <v:imagedata o:title=""/>
            <o:lock v:ext="edit"/>
            <w10:wrap type="none"/>
            <w10:anchorlock/>
          </v:rect>
        </w:pict>
      </w:r>
    </w:p>
    <w:p w14:paraId="548208DD">
      <w:pPr>
        <w:pStyle w:val="90"/>
        <w:jc w:val="right"/>
        <w:rPr>
          <w:rFonts w:ascii="Times New Roman" w:hAnsi="Times New Roman" w:cs="Times New Roman" w:eastAsiaTheme="minorEastAsia"/>
          <w:color w:val="auto"/>
          <w:sz w:val="40"/>
          <w:szCs w:val="40"/>
          <w:highlight w:val="none"/>
          <w:lang w:eastAsia="zh-CN"/>
        </w:rPr>
      </w:pPr>
      <w:r>
        <w:rPr>
          <w:rFonts w:ascii="Times New Roman" w:hAnsi="Times New Roman" w:cs="Times New Roman"/>
          <w:color w:val="auto"/>
          <w:sz w:val="40"/>
          <w:szCs w:val="40"/>
          <w:highlight w:val="none"/>
        </w:rPr>
        <w:t>General introductio</w:t>
      </w:r>
      <w:r>
        <w:rPr>
          <w:rFonts w:ascii="Times New Roman" w:hAnsi="Times New Roman" w:cs="Times New Roman"/>
          <w:color w:val="auto"/>
          <w:sz w:val="40"/>
          <w:szCs w:val="40"/>
          <w:highlight w:val="none"/>
          <w:lang w:eastAsia="zh-CN"/>
        </w:rPr>
        <w:t>n</w:t>
      </w:r>
    </w:p>
    <w:p w14:paraId="1B9AE153">
      <w:pPr>
        <w:spacing w:after="200" w:line="276" w:lineRule="auto"/>
        <w:ind w:firstLine="0"/>
        <w:jc w:val="left"/>
        <w:rPr>
          <w:b/>
          <w:sz w:val="40"/>
          <w:szCs w:val="40"/>
          <w:highlight w:val="none"/>
          <w:lang w:val="en-US" w:eastAsia="fr-FR"/>
        </w:rPr>
      </w:pPr>
      <w:r>
        <w:rPr>
          <w:b/>
          <w:sz w:val="40"/>
          <w:szCs w:val="40"/>
          <w:highlight w:val="none"/>
          <w:lang w:val="en-US" w:eastAsia="fr-FR"/>
        </w:rPr>
        <w:br w:type="page"/>
      </w:r>
    </w:p>
    <w:p w14:paraId="1FC2FB3B">
      <w:pPr>
        <w:spacing w:line="360" w:lineRule="auto"/>
        <w:jc w:val="right"/>
        <w:rPr>
          <w:b/>
          <w:sz w:val="40"/>
          <w:szCs w:val="40"/>
          <w:highlight w:val="none"/>
          <w:lang w:val="en-US" w:eastAsia="fr-FR"/>
        </w:rPr>
      </w:pPr>
    </w:p>
    <w:p w14:paraId="162CC441">
      <w:pPr>
        <w:spacing w:line="360" w:lineRule="auto"/>
        <w:jc w:val="center"/>
        <w:rPr>
          <w:b/>
          <w:sz w:val="40"/>
          <w:szCs w:val="40"/>
          <w:highlight w:val="none"/>
          <w:lang w:val="en-US" w:eastAsia="fr-FR"/>
        </w:rPr>
      </w:pPr>
    </w:p>
    <w:p w14:paraId="4E719F78">
      <w:pPr>
        <w:spacing w:line="360" w:lineRule="auto"/>
        <w:jc w:val="center"/>
        <w:rPr>
          <w:b/>
          <w:sz w:val="40"/>
          <w:szCs w:val="40"/>
          <w:highlight w:val="none"/>
          <w:lang w:val="en-US" w:eastAsia="fr-FR"/>
        </w:rPr>
        <w:sectPr>
          <w:headerReference r:id="rId23" w:type="default"/>
          <w:footerReference r:id="rId24" w:type="default"/>
          <w:footerReference r:id="rId25" w:type="even"/>
          <w:pgSz w:w="9639" w:h="13608"/>
          <w:pgMar w:top="907" w:right="1021" w:bottom="1247" w:left="1361" w:header="709" w:footer="312" w:gutter="0"/>
          <w:pgNumType w:start="1"/>
          <w:cols w:space="708" w:num="1"/>
          <w:docGrid w:linePitch="360" w:charSpace="0"/>
        </w:sectPr>
      </w:pPr>
    </w:p>
    <w:p w14:paraId="77FF9EB9">
      <w:pPr>
        <w:pStyle w:val="3"/>
        <w:rPr>
          <w:highlight w:val="none"/>
        </w:rPr>
      </w:pPr>
      <w:bookmarkStart w:id="22" w:name="_Toc207979739"/>
      <w:r>
        <w:rPr>
          <w:highlight w:val="none"/>
        </w:rPr>
        <w:t>Overall background on mastitis in dairy cows</w:t>
      </w:r>
      <w:bookmarkEnd w:id="22"/>
    </w:p>
    <w:p w14:paraId="5B16FA8A">
      <w:pPr>
        <w:pStyle w:val="4"/>
        <w:rPr>
          <w:highlight w:val="none"/>
          <w:lang w:eastAsia="fr-FR"/>
        </w:rPr>
      </w:pPr>
      <w:bookmarkStart w:id="23" w:name="_Toc207979740"/>
      <w:r>
        <w:rPr>
          <w:highlight w:val="none"/>
          <w:lang w:eastAsia="fr-FR"/>
        </w:rPr>
        <w:t>Subclinical mastitis in dairy cows</w:t>
      </w:r>
      <w:bookmarkEnd w:id="23"/>
    </w:p>
    <w:p w14:paraId="125A7BC4">
      <w:pPr>
        <w:rPr>
          <w:rFonts w:cs="Times New Roman"/>
          <w:highlight w:val="none"/>
        </w:rPr>
      </w:pPr>
      <w:r>
        <w:rPr>
          <w:rFonts w:cs="Times New Roman"/>
          <w:highlight w:val="none"/>
        </w:rPr>
        <w:t>Bovine mastitis is one of the most prevalent and economically significant diseases in the dairy industry, causing inflammation of the mammary gland</w:t>
      </w:r>
      <w:r>
        <w:rPr>
          <w:rFonts w:hint="eastAsia" w:cs="Times New Roman"/>
          <w:highlight w:val="none"/>
          <w:lang w:eastAsia="zh-CN"/>
        </w:rPr>
        <w:t xml:space="preserve"> (</w:t>
      </w:r>
      <w:bookmarkStart w:id="24" w:name="OLE_LINK7"/>
      <w:r>
        <w:rPr>
          <w:rFonts w:hint="eastAsia" w:cs="Times New Roman"/>
          <w:highlight w:val="none"/>
          <w:lang w:eastAsia="zh-CN"/>
        </w:rPr>
        <w:t>Rasmussen et al., 2024</w:t>
      </w:r>
      <w:bookmarkEnd w:id="24"/>
      <w:r>
        <w:rPr>
          <w:rFonts w:hint="eastAsia" w:cs="Times New Roman"/>
          <w:highlight w:val="none"/>
          <w:lang w:eastAsia="zh-CN"/>
        </w:rPr>
        <w:t>)</w:t>
      </w:r>
      <w:r>
        <w:rPr>
          <w:rFonts w:cs="Times New Roman"/>
          <w:highlight w:val="none"/>
        </w:rPr>
        <w:t xml:space="preserve">. It adversely impacts milk production, milk quality, and overall animal health, leading to substantial economic losses for dairy farmers worldwide </w:t>
      </w:r>
      <w:r>
        <w:rPr>
          <w:rFonts w:cs="Times New Roman"/>
          <w:highlight w:val="none"/>
        </w:rPr>
        <w:fldChar w:fldCharType="begin">
          <w:fldData xml:space="preserve">PEVuZE5vdGU+PENpdGU+PEF1dGhvcj5TZ3VpenphdG88L0F1dGhvcj48WWVhcj4yMDI0PC9ZZWFy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PEVuZE5vdGU+PENpdGU+PEF1dGhvcj5TZ3VpenphdG88L0F1dGhvcj48WWVhcj4yMDI0PC9ZZWFy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(Gasparik et al., 2022, Ibrahim et al., 2023, Sguizzato et al., 2024)</w:t>
      </w:r>
      <w:r>
        <w:rPr>
          <w:rFonts w:cs="Times New Roman"/>
          <w:highlight w:val="none"/>
        </w:rPr>
        <w:fldChar w:fldCharType="end"/>
      </w:r>
      <w:r>
        <w:rPr>
          <w:rFonts w:cs="Times New Roman"/>
          <w:highlight w:val="none"/>
        </w:rPr>
        <w:t>.</w:t>
      </w:r>
      <w:r>
        <w:rPr>
          <w:rFonts w:hint="eastAsia" w:cs="Times New Roman"/>
          <w:highlight w:val="none"/>
          <w:lang w:eastAsia="zh-CN"/>
        </w:rPr>
        <w:t xml:space="preserve"> </w:t>
      </w:r>
      <w:r>
        <w:rPr>
          <w:rFonts w:cs="Times New Roman"/>
          <w:highlight w:val="none"/>
          <w:lang w:eastAsia="zh-CN"/>
        </w:rPr>
        <w:t>A comorbidity-adjusted global analysis estimated total annual losses from dairy cattle diseases at approximately US $65 billion. Clinical mastitis alone accounts for about US $13 billion per year, while subclinical mastitis</w:t>
      </w:r>
      <w:r>
        <w:rPr>
          <w:rFonts w:hint="eastAsia" w:cs="Times New Roman"/>
          <w:highlight w:val="none"/>
          <w:lang w:eastAsia="zh-CN"/>
        </w:rPr>
        <w:t xml:space="preserve"> (SCM)</w:t>
      </w:r>
      <w:r>
        <w:rPr>
          <w:rFonts w:cs="Times New Roman"/>
          <w:highlight w:val="none"/>
          <w:lang w:eastAsia="zh-CN"/>
        </w:rPr>
        <w:t xml:space="preserve"> adds roughly US $9 billion, making both forms among the most economically burdensome conditions worldwide</w:t>
      </w:r>
      <w:r>
        <w:rPr>
          <w:rFonts w:hint="eastAsia" w:cs="Times New Roman"/>
          <w:highlight w:val="none"/>
          <w:lang w:eastAsia="zh-CN"/>
        </w:rPr>
        <w:t xml:space="preserve"> (Rasmussen et al., 2024).</w:t>
      </w:r>
      <w:r>
        <w:rPr>
          <w:rFonts w:cs="Times New Roman"/>
          <w:highlight w:val="none"/>
        </w:rPr>
        <w:t xml:space="preserve"> Mastitis is generally classified into clinical and subclinical forms based on pathological changes and the presence of clinical signs </w:t>
      </w:r>
      <w:r>
        <w:rPr>
          <w:rFonts w:cs="Times New Roman"/>
          <w:highlight w:val="none"/>
        </w:rPr>
        <w:fldChar w:fldCharType="begin"/>
      </w:r>
      <w:r>
        <w:rPr>
          <w:rFonts w:cs="Times New Roman"/>
          <w:highlight w:val="none"/>
        </w:rPr>
        <w:instrText xml:space="preserve"> ADDIN EN.CITE &lt;EndNote&gt;&lt;Cite&gt;&lt;Author&gt;Jin&lt;/Author&gt;&lt;Year&gt;2024&lt;/Year&gt;&lt;RecNum&gt;207&lt;/RecNum&gt;&lt;DisplayText&gt;(Jin et al., 2024)&lt;/DisplayText&gt;&lt;record&gt;&lt;rec-number&gt;207&lt;/rec-number&gt;&lt;foreign-keys&gt;&lt;key app="EN" db-id="xwvtz5rea2fr2je0p0uppszgwft92rr5pxdp" timestamp="1737995393"&gt;207&lt;/key&gt;&lt;/foreign-keys&gt;&lt;ref-type name="Journal Article"&gt;17&lt;/ref-type&gt;&lt;contributors&gt;&lt;authors&gt;&lt;author&gt;Jin, Changhong&lt;/author&gt;&lt;author&gt;Upton, John&lt;/author&gt;&lt;author&gt;Bazargani, Mehran Hossein Zadeh&lt;/author&gt;&lt;author&gt;Mac Namee, Brian&lt;/author&gt;&lt;/authors&gt;&lt;/contributors&gt;&lt;titles&gt;&lt;title&gt;Using milk flow profiles for subclinical mastitis detection&lt;/title&gt;&lt;secondary-title&gt;Smart Agricultural Technology&lt;/secondary-title&gt;&lt;/titles&gt;&lt;periodical&gt;&lt;full-title&gt;Smart Agricultural Technology&lt;/full-title&gt;&lt;/periodical&gt;&lt;pages&gt;100537&lt;/pages&gt;&lt;volume&gt;9&lt;/volume&gt;&lt;keywords&gt;&lt;keyword&gt;Subclinical mastitis detection&lt;/keyword&gt;&lt;keyword&gt;High SCC prediction&lt;/keyword&gt;&lt;keyword&gt;Machine learning&lt;/keyword&gt;&lt;keyword&gt;Milk flow profiles&lt;/keyword&gt;&lt;keyword&gt;Precision farming&lt;/keyword&gt;&lt;/keywords&gt;&lt;dates&gt;&lt;year&gt;2024&lt;/year&gt;&lt;pub-dates&gt;&lt;date&gt;2024/12/01/&lt;/date&gt;&lt;/pub-dates&gt;&lt;/dates&gt;&lt;isbn&gt;2772-3755&lt;/isbn&gt;&lt;urls&gt;&lt;related-urls&gt;&lt;url&gt;https://www.sciencedirect.com/science/article/pii/S2772375524001424&lt;/url&gt;&lt;/related-urls&gt;&lt;/urls&gt;&lt;electronic-resource-num&gt;https://doi.org/10.1016/j.atech.2024.100537&lt;/electronic-resource-num&gt;&lt;/record&gt;&lt;/Cite&gt;&lt;/EndNote&gt;</w:instrText>
      </w:r>
      <w:r>
        <w:rPr>
          <w:rFonts w:cs="Times New Roman"/>
          <w:highlight w:val="none"/>
        </w:rPr>
        <w:fldChar w:fldCharType="separate"/>
      </w:r>
      <w:r>
        <w:rPr>
          <w:rFonts w:cs="Times New Roman"/>
          <w:highlight w:val="none"/>
        </w:rPr>
        <w:t>(Jin et al., 2024)</w:t>
      </w:r>
      <w:r>
        <w:rPr>
          <w:rFonts w:cs="Times New Roman"/>
          <w:highlight w:val="none"/>
        </w:rPr>
        <w:fldChar w:fldCharType="end"/>
      </w:r>
      <w:r>
        <w:rPr>
          <w:rFonts w:cs="Times New Roman"/>
          <w:highlight w:val="none"/>
        </w:rPr>
        <w:t xml:space="preserve">. Clinical mastitis is characterized by obvious symptoms in the udder such as redness and abnormal milk secretion </w:t>
      </w:r>
      <w:r>
        <w:rPr>
          <w:rFonts w:cs="Times New Roman"/>
          <w:highlight w:val="none"/>
        </w:rPr>
        <w:fldChar w:fldCharType="begin"/>
      </w:r>
      <w:r>
        <w:rPr>
          <w:rFonts w:cs="Times New Roman"/>
          <w:highlight w:val="none"/>
        </w:rPr>
        <w:instrText xml:space="preserve"> ADDIN EN.CITE &lt;EndNote&gt;&lt;Cite&gt;&lt;Author&gt;Acharya&lt;/Author&gt;&lt;Year&gt;2022&lt;/Year&gt;&lt;RecNum&gt;268&lt;/RecNum&gt;&lt;DisplayText&gt;(Acharya et al., 2022)&lt;/DisplayText&gt;&lt;record&gt;&lt;rec-number&gt;268&lt;/rec-number&gt;&lt;foreign-keys&gt;&lt;key app="EN" db-id="xwvtz5rea2fr2je0p0uppszgwft92rr5pxdp" timestamp="1739803485"&gt;268&lt;/key&gt;&lt;/foreign-keys&gt;&lt;ref-type name="Journal Article"&gt;17&lt;/ref-type&gt;&lt;contributors&gt;&lt;authors&gt;&lt;author&gt;Acharya, Diptimayee&lt;/author&gt;&lt;author&gt;Parida, Puspanjali&lt;/author&gt;&lt;author&gt;Mohapatra, Himansu Sekhara&lt;/author&gt;&lt;author&gt;Sahoo, Santi Lata&lt;/author&gt;&lt;author&gt;Rout, Jyoti Ranjan&lt;/author&gt;&lt;/authors&gt;&lt;/contributors&gt;&lt;titles&gt;&lt;title&gt;Bovine mastitis: Causes and phytoremedies&lt;/title&gt;&lt;secondary-title&gt;Journal of Pure Applied Microbiology&lt;/secondary-title&gt;&lt;/titles&gt;&lt;periodical&gt;&lt;full-title&gt;Journal of Pure Applied Microbiology&lt;/full-title&gt;&lt;/periodical&gt;&lt;pages&gt;2259-2269&lt;/pages&gt;&lt;volume&gt;16&lt;/volume&gt;&lt;number&gt;4&lt;/number&gt;&lt;dates&gt;&lt;year&gt;2022&lt;/year&gt;&lt;/dates&gt;&lt;urls&gt;&lt;/urls&gt;&lt;/record&gt;&lt;/Cite&gt;&lt;/EndNote&gt;</w:instrText>
      </w:r>
      <w:r>
        <w:rPr>
          <w:rFonts w:cs="Times New Roman"/>
          <w:highlight w:val="none"/>
        </w:rPr>
        <w:fldChar w:fldCharType="separate"/>
      </w:r>
      <w:r>
        <w:rPr>
          <w:rFonts w:cs="Times New Roman"/>
          <w:highlight w:val="none"/>
        </w:rPr>
        <w:t>(Acharya et al., 2022)</w:t>
      </w:r>
      <w:r>
        <w:rPr>
          <w:rFonts w:cs="Times New Roman"/>
          <w:highlight w:val="none"/>
        </w:rPr>
        <w:fldChar w:fldCharType="end"/>
      </w:r>
      <w:r>
        <w:rPr>
          <w:rFonts w:cs="Times New Roman"/>
          <w:highlight w:val="none"/>
        </w:rPr>
        <w:t xml:space="preserve">. These visible signs make it easy to diagnose and treat. In contrast, </w:t>
      </w:r>
      <w:r>
        <w:rPr>
          <w:rFonts w:hint="eastAsia" w:cs="Times New Roman"/>
          <w:highlight w:val="none"/>
          <w:lang w:eastAsia="zh-CN"/>
        </w:rPr>
        <w:t>SCM</w:t>
      </w:r>
      <w:r>
        <w:rPr>
          <w:rFonts w:cs="Times New Roman"/>
          <w:highlight w:val="none"/>
        </w:rPr>
        <w:t xml:space="preserve"> lacks such apparent symptoms, making it more challenging to detect </w:t>
      </w:r>
      <w:r>
        <w:rPr>
          <w:rFonts w:cs="Times New Roman"/>
          <w:highlight w:val="none"/>
        </w:rPr>
        <w:fldChar w:fldCharType="begin"/>
      </w:r>
      <w:r>
        <w:rPr>
          <w:rFonts w:cs="Times New Roman"/>
          <w:highlight w:val="none"/>
        </w:rPr>
        <w:instrText xml:space="preserve"> ADDIN EN.CITE &lt;EndNote&gt;&lt;Cite&gt;&lt;Author&gt;Acharya&lt;/Author&gt;&lt;Year&gt;2022&lt;/Year&gt;&lt;RecNum&gt;268&lt;/RecNum&gt;&lt;DisplayText&gt;(Acharya et al., 2022)&lt;/DisplayText&gt;&lt;record&gt;&lt;rec-number&gt;268&lt;/rec-number&gt;&lt;foreign-keys&gt;&lt;key app="EN" db-id="xwvtz5rea2fr2je0p0uppszgwft92rr5pxdp" timestamp="1739803485"&gt;268&lt;/key&gt;&lt;/foreign-keys&gt;&lt;ref-type name="Journal Article"&gt;17&lt;/ref-type&gt;&lt;contributors&gt;&lt;authors&gt;&lt;author&gt;Acharya, Diptimayee&lt;/author&gt;&lt;author&gt;Parida, Puspanjali&lt;/author&gt;&lt;author&gt;Mohapatra, Himansu Sekhara&lt;/author&gt;&lt;author&gt;Sahoo, Santi Lata&lt;/author&gt;&lt;author&gt;Rout, Jyoti Ranjan&lt;/author&gt;&lt;/authors&gt;&lt;/contributors&gt;&lt;titles&gt;&lt;title&gt;Bovine mastitis: Causes and phytoremedies&lt;/title&gt;&lt;secondary-title&gt;Journal of Pure Applied Microbiology&lt;/secondary-title&gt;&lt;/titles&gt;&lt;periodical&gt;&lt;full-title&gt;Journal of Pure Applied Microbiology&lt;/full-title&gt;&lt;/periodical&gt;&lt;pages&gt;2259-2269&lt;/pages&gt;&lt;volume&gt;16&lt;/volume&gt;&lt;number&gt;4&lt;/number&gt;&lt;dates&gt;&lt;year&gt;2022&lt;/year&gt;&lt;/dates&gt;&lt;urls&gt;&lt;/urls&gt;&lt;/record&gt;&lt;/Cite&gt;&lt;/EndNote&gt;</w:instrText>
      </w:r>
      <w:r>
        <w:rPr>
          <w:rFonts w:cs="Times New Roman"/>
          <w:highlight w:val="none"/>
        </w:rPr>
        <w:fldChar w:fldCharType="separate"/>
      </w:r>
      <w:r>
        <w:rPr>
          <w:rFonts w:cs="Times New Roman"/>
          <w:highlight w:val="none"/>
        </w:rPr>
        <w:t>(Acharya et al., 2022)</w:t>
      </w:r>
      <w:r>
        <w:rPr>
          <w:rFonts w:cs="Times New Roman"/>
          <w:highlight w:val="none"/>
        </w:rPr>
        <w:fldChar w:fldCharType="end"/>
      </w:r>
      <w:r>
        <w:rPr>
          <w:rFonts w:cs="Times New Roman"/>
          <w:highlight w:val="none"/>
        </w:rPr>
        <w:t xml:space="preserve">.  </w:t>
      </w:r>
    </w:p>
    <w:p w14:paraId="57A09C65">
      <w:pPr>
        <w:rPr>
          <w:rStyle w:val="93"/>
          <w:rFonts w:cs="Times New Roman"/>
          <w:bCs/>
          <w:highlight w:val="none"/>
        </w:rPr>
      </w:pPr>
      <w:r>
        <w:rPr>
          <w:rFonts w:cs="Times New Roman"/>
          <w:highlight w:val="none"/>
        </w:rPr>
        <w:t>S</w:t>
      </w:r>
      <w:r>
        <w:rPr>
          <w:rFonts w:hint="eastAsia" w:cs="Times New Roman"/>
          <w:highlight w:val="none"/>
          <w:lang w:eastAsia="zh-CN"/>
        </w:rPr>
        <w:t>CM</w:t>
      </w:r>
      <w:r>
        <w:rPr>
          <w:rFonts w:cs="Times New Roman"/>
          <w:highlight w:val="none"/>
        </w:rPr>
        <w:t xml:space="preserve">, though asymptomatic, is far more prevalent than clinical mastitis and poses a significant threat to dairy production and cow health </w:t>
      </w:r>
      <w:r>
        <w:rPr>
          <w:rFonts w:cs="Times New Roman"/>
          <w:highlight w:val="none"/>
        </w:rPr>
        <w:fldChar w:fldCharType="begin"/>
      </w:r>
      <w:r>
        <w:rPr>
          <w:rFonts w:cs="Times New Roman"/>
          <w:highlight w:val="none"/>
        </w:rPr>
        <w:instrText xml:space="preserve"> ADDIN EN.CITE &lt;EndNote&gt;&lt;Cite&gt;&lt;Author&gt;Ruegg&lt;/Author&gt;&lt;Year&gt;2017&lt;/Year&gt;&lt;RecNum&gt;203&lt;/RecNum&gt;&lt;DisplayText&gt;(Ruegg, 2017)&lt;/DisplayText&gt;&lt;record&gt;&lt;rec-number&gt;203&lt;/rec-number&gt;&lt;foreign-keys&gt;&lt;key app="EN" db-id="xwvtz5rea2fr2je0p0uppszgwft92rr5pxdp" timestamp="1723041102"&gt;203&lt;/key&gt;&lt;/foreign-keys&gt;&lt;ref-type name="Journal Article"&gt;17&lt;/ref-type&gt;&lt;contributors&gt;&lt;authors&gt;&lt;author&gt;Ruegg, P. L.&lt;/author&gt;&lt;/authors&gt;&lt;/contributors&gt;&lt;auth-address&gt;Department of Dairy Science, University of Wisconsin, Madison 53706. Electronic address: plruegg@wisc.edu.&lt;/auth-address&gt;&lt;titles&gt;&lt;title&gt;A 100-Year Review: Mastitis detection, management, and prevention&lt;/title&gt;&lt;secondary-title&gt;J Dairy Sci&lt;/secondary-title&gt;&lt;/titles&gt;&lt;periodical&gt;&lt;full-title&gt;Journal of Dairy Science&lt;/full-title&gt;&lt;abbr-1&gt;J Dairy Sci&lt;/abbr-1&gt;&lt;/periodical&gt;&lt;pages&gt;10381-10397&lt;/pages&gt;&lt;volume&gt;100&lt;/volume&gt;&lt;number&gt;12&lt;/number&gt;&lt;keywords&gt;&lt;keyword&gt;Animals&lt;/keyword&gt;&lt;keyword&gt;Cattle&lt;/keyword&gt;&lt;keyword&gt;*Dairying/methods&lt;/keyword&gt;&lt;keyword&gt;Female&lt;/keyword&gt;&lt;keyword&gt;Mammary Glands, Animal&lt;/keyword&gt;&lt;keyword&gt;*Mastitis, Bovine/diagnosis/microbiology/prevention &amp;amp; control/therapy&lt;/keyword&gt;&lt;keyword&gt;Milk/microbiology&lt;/keyword&gt;&lt;keyword&gt;Staphylococcal Infections/*veterinary&lt;/keyword&gt;&lt;keyword&gt;*Staphylococcus aureus&lt;/keyword&gt;&lt;keyword&gt;Streptococcal Infections/*veterinary&lt;/keyword&gt;&lt;keyword&gt;*Streptococcus agalactiae&lt;/keyword&gt;&lt;keyword&gt;100-year review&lt;/keyword&gt;&lt;keyword&gt;Journal of Dairy Science&lt;/keyword&gt;&lt;keyword&gt;management&lt;/keyword&gt;&lt;keyword&gt;mastitis&lt;/keyword&gt;&lt;keyword&gt;prevention&lt;/keyword&gt;&lt;/keywords&gt;&lt;dates&gt;&lt;year&gt;2017&lt;/year&gt;&lt;pub-dates&gt;&lt;date&gt;Dec&lt;/date&gt;&lt;/pub-dates&gt;&lt;/dates&gt;&lt;isbn&gt;1525-3198 (Electronic)&amp;#xD;0022-0302 (Linking)&lt;/isbn&gt;&lt;accession-num&gt;29153171&lt;/accession-num&gt;&lt;urls&gt;&lt;related-urls&gt;&lt;url&gt;https://www.ncbi.nlm.nih.gov/pubmed/29153171&lt;/url&gt;&lt;/related-urls&gt;&lt;/urls&gt;&lt;electronic-resource-num&gt;10.3168/jds.2017-13023&lt;/electronic-resource-num&gt;&lt;remote-database-name&gt;Medline&lt;/remote-database-name&gt;&lt;remote-database-provider&gt;NLM&lt;/remote-database-provider&gt;&lt;/record&gt;&lt;/Cite&gt;&lt;/EndNote&gt;</w:instrText>
      </w:r>
      <w:r>
        <w:rPr>
          <w:rFonts w:cs="Times New Roman"/>
          <w:highlight w:val="none"/>
        </w:rPr>
        <w:fldChar w:fldCharType="separate"/>
      </w:r>
      <w:r>
        <w:rPr>
          <w:rFonts w:cs="Times New Roman"/>
          <w:highlight w:val="none"/>
        </w:rPr>
        <w:t>(Ruegg, 2017)</w:t>
      </w:r>
      <w:r>
        <w:rPr>
          <w:rFonts w:cs="Times New Roman"/>
          <w:highlight w:val="none"/>
        </w:rPr>
        <w:fldChar w:fldCharType="end"/>
      </w:r>
      <w:r>
        <w:rPr>
          <w:rFonts w:cs="Times New Roman"/>
          <w:highlight w:val="none"/>
        </w:rPr>
        <w:t xml:space="preserve">. It is often associated with chronic inflammation of the mammary gland, hidden pathological changes, elevated somatic cell counts (SCC) in milk, and the presence of potential microbial infections </w:t>
      </w:r>
      <w:r>
        <w:rPr>
          <w:rFonts w:cs="Times New Roman"/>
          <w:highlight w:val="none"/>
        </w:rPr>
        <w:fldChar w:fldCharType="begin">
          <w:fldData xml:space="preserve">PEVuZE5vdGU+PENpdGU+PEF1dGhvcj5KaW48L0F1dGhvcj48WWVhcj4yMDI0PC9ZZWFyPjxSZWNO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PEVuZE5vdGU+PENpdGU+PEF1dGhvcj5KaW48L0F1dGhvcj48WWVhcj4yMDI0PC9ZZWFyPjxSZWNO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(Ruegg, 2017, Jin et al., 2024)</w:t>
      </w:r>
      <w:r>
        <w:rPr>
          <w:rFonts w:cs="Times New Roman"/>
          <w:highlight w:val="none"/>
        </w:rPr>
        <w:fldChar w:fldCharType="end"/>
      </w:r>
      <w:r>
        <w:rPr>
          <w:rFonts w:cs="Times New Roman"/>
          <w:highlight w:val="none"/>
        </w:rPr>
        <w:t xml:space="preserve">. The early detection of </w:t>
      </w:r>
      <w:r>
        <w:rPr>
          <w:rFonts w:hint="eastAsia" w:cs="Times New Roman"/>
          <w:highlight w:val="none"/>
          <w:lang w:eastAsia="zh-CN"/>
        </w:rPr>
        <w:t>SCM</w:t>
      </w:r>
      <w:r>
        <w:rPr>
          <w:rFonts w:cs="Times New Roman"/>
          <w:highlight w:val="none"/>
        </w:rPr>
        <w:t xml:space="preserve"> requires advanced diagnostic tools, including somatic cell testing, the California mastitis test (CMT), microbial culture tests, and monitoring inflammatory marker changes in milk </w:t>
      </w:r>
      <w:r>
        <w:rPr>
          <w:rFonts w:cs="Times New Roman"/>
          <w:highlight w:val="none"/>
        </w:rPr>
        <w:fldChar w:fldCharType="begin"/>
      </w:r>
      <w:r>
        <w:rPr>
          <w:rFonts w:cs="Times New Roman"/>
          <w:highlight w:val="none"/>
        </w:rPr>
        <w:instrText xml:space="preserve"> ADDIN EN.CITE &lt;EndNote&gt;&lt;Cite&gt;&lt;Author&gt;Kumari&lt;/Author&gt;&lt;Year&gt;2018&lt;/Year&gt;&lt;RecNum&gt;208&lt;/RecNum&gt;&lt;DisplayText&gt;(Argaw, 2016, Kumari et al., 2018)&lt;/DisplayText&gt;&lt;record&gt;&lt;rec-number&gt;208&lt;/rec-number&gt;&lt;foreign-keys&gt;&lt;key app="EN" db-id="xwvtz5rea2fr2je0p0uppszgwft92rr5pxdp" timestamp="1738675680"&gt;208&lt;/key&gt;&lt;/foreign-keys&gt;&lt;ref-type name="Journal Article"&gt;17&lt;/ref-type&gt;&lt;contributors&gt;&lt;authors&gt;&lt;author&gt;Kumari, Tripti&lt;/author&gt;&lt;author&gt;Bhakat, Champak&lt;/author&gt;&lt;author&gt;Choudhary, Rajeev Kumar&lt;/author&gt;&lt;/authors&gt;&lt;/contributors&gt;&lt;titles&gt;&lt;title&gt;A review on subclinical mastitis in dairy cattle&lt;/title&gt;&lt;secondary-title&gt;Int. J. Pure Appl. Biosci&lt;/secondary-title&gt;&lt;/titles&gt;&lt;periodical&gt;&lt;full-title&gt;Int. J. Pure Appl. Biosci&lt;/full-title&gt;&lt;/periodical&gt;&lt;pages&gt;1291-1299&lt;/pages&gt;&lt;volume&gt;6&lt;/volume&gt;&lt;number&gt;2&lt;/number&gt;&lt;dates&gt;&lt;year&gt;2018&lt;/year&gt;&lt;/dates&gt;&lt;urls&gt;&lt;/urls&gt;&lt;/record&gt;&lt;/Cite&gt;&lt;Cite&gt;&lt;Author&gt;Argaw&lt;/Author&gt;&lt;Year&gt;2016&lt;/Year&gt;&lt;RecNum&gt;209&lt;/RecNum&gt;&lt;record&gt;&lt;rec-number&gt;209&lt;/rec-number&gt;&lt;foreign-keys&gt;&lt;key app="EN" db-id="xwvtz5rea2fr2je0p0uppszgwft92rr5pxdp" timestamp="1738676485"&gt;209&lt;/key&gt;&lt;/foreign-keys&gt;&lt;ref-type name="Journal Article"&gt;17&lt;/ref-type&gt;&lt;contributors&gt;&lt;authors&gt;&lt;author&gt;Argaw, Amare&lt;/author&gt;&lt;/authors&gt;&lt;/contributors&gt;&lt;titles&gt;&lt;title&gt;Review on epidemiology of clinical and subclinical mastitis on dairy cows&lt;/title&gt;&lt;secondary-title&gt;Food Science and Quality Management&lt;/secondary-title&gt;&lt;/titles&gt;&lt;periodical&gt;&lt;full-title&gt;Food Science and Quality Management&lt;/full-title&gt;&lt;/periodical&gt;&lt;pages&gt;56-65&lt;/pages&gt;&lt;volume&gt;52&lt;/volume&gt;&lt;number&gt;6&lt;/number&gt;&lt;dates&gt;&lt;year&gt;2016&lt;/year&gt;&lt;/dates&gt;&lt;urls&gt;&lt;/urls&gt;&lt;/record&gt;&lt;/Cite&gt;&lt;/EndNote&gt;</w:instrText>
      </w:r>
      <w:r>
        <w:rPr>
          <w:rFonts w:cs="Times New Roman"/>
          <w:highlight w:val="none"/>
        </w:rPr>
        <w:fldChar w:fldCharType="separate"/>
      </w:r>
      <w:r>
        <w:rPr>
          <w:rFonts w:cs="Times New Roman"/>
          <w:highlight w:val="none"/>
        </w:rPr>
        <w:t>(Argaw, 2016, Kumari et al., 2018)</w:t>
      </w:r>
      <w:r>
        <w:rPr>
          <w:rFonts w:cs="Times New Roman"/>
          <w:highlight w:val="none"/>
        </w:rPr>
        <w:fldChar w:fldCharType="end"/>
      </w:r>
      <w:r>
        <w:rPr>
          <w:rFonts w:cs="Times New Roman"/>
          <w:highlight w:val="none"/>
        </w:rPr>
        <w:t xml:space="preserve">. Table </w:t>
      </w:r>
      <w:r>
        <w:rPr>
          <w:rFonts w:hint="eastAsia" w:cs="Times New Roman"/>
          <w:highlight w:val="none"/>
          <w:lang w:eastAsia="zh-CN"/>
        </w:rPr>
        <w:t>1-</w:t>
      </w:r>
      <w:r>
        <w:rPr>
          <w:rFonts w:cs="Times New Roman"/>
          <w:highlight w:val="none"/>
        </w:rPr>
        <w:t xml:space="preserve">1 presents an evaluation of mastitis severity in dairy cows based on the CMT results and somatic cell counts, providing a quantitative assessment of disease progression. The stealthy progression of </w:t>
      </w:r>
      <w:r>
        <w:rPr>
          <w:rFonts w:hint="eastAsia" w:cs="Times New Roman"/>
          <w:highlight w:val="none"/>
          <w:lang w:eastAsia="zh-CN"/>
        </w:rPr>
        <w:t>SCM</w:t>
      </w:r>
      <w:r>
        <w:rPr>
          <w:rFonts w:cs="Times New Roman"/>
          <w:highlight w:val="none"/>
        </w:rPr>
        <w:t xml:space="preserve"> often results in delayed intervention, allowing the condition to progress and causing sustained damage to the mammary tissue </w:t>
      </w:r>
      <w:r>
        <w:rPr>
          <w:rFonts w:cs="Times New Roman"/>
          <w:highlight w:val="none"/>
        </w:rPr>
        <w:fldChar w:fldCharType="begin"/>
      </w:r>
      <w:r>
        <w:rPr>
          <w:rFonts w:cs="Times New Roman"/>
          <w:highlight w:val="none"/>
        </w:rPr>
        <w:instrText xml:space="preserve"> ADDIN EN.CITE &lt;EndNote&gt;&lt;Cite&gt;&lt;Author&gt;Argaw&lt;/Author&gt;&lt;Year&gt;2016&lt;/Year&gt;&lt;RecNum&gt;209&lt;/RecNum&gt;&lt;DisplayText&gt;(Argaw, 2016)&lt;/DisplayText&gt;&lt;record&gt;&lt;rec-number&gt;209&lt;/rec-number&gt;&lt;foreign-keys&gt;&lt;key app="EN" db-id="xwvtz5rea2fr2je0p0uppszgwft92rr5pxdp" timestamp="1738676485"&gt;209&lt;/key&gt;&lt;/foreign-keys&gt;&lt;ref-type name="Journal Article"&gt;17&lt;/ref-type&gt;&lt;contributors&gt;&lt;authors&gt;&lt;author&gt;Argaw, Amare&lt;/author&gt;&lt;/authors&gt;&lt;/contributors&gt;&lt;titles&gt;&lt;title&gt;Review on epidemiology of clinical and subclinical mastitis on dairy cows&lt;/title&gt;&lt;secondary-title&gt;Food Science and Quality Management&lt;/secondary-title&gt;&lt;/titles&gt;&lt;periodical&gt;&lt;full-title&gt;Food Science and Quality Management&lt;/full-title&gt;&lt;/periodical&gt;&lt;pages&gt;56-65&lt;/pages&gt;&lt;volume&gt;52&lt;/volume&gt;&lt;number&gt;6&lt;/number&gt;&lt;dates&gt;&lt;year&gt;2016&lt;/year&gt;&lt;/dates&gt;&lt;urls&gt;&lt;/urls&gt;&lt;/record&gt;&lt;/Cite&gt;&lt;/EndNote&gt;</w:instrText>
      </w:r>
      <w:r>
        <w:rPr>
          <w:rFonts w:cs="Times New Roman"/>
          <w:highlight w:val="none"/>
        </w:rPr>
        <w:fldChar w:fldCharType="separate"/>
      </w:r>
      <w:r>
        <w:rPr>
          <w:rFonts w:cs="Times New Roman"/>
          <w:highlight w:val="none"/>
        </w:rPr>
        <w:t>(Argaw, 2016)</w:t>
      </w:r>
      <w:r>
        <w:rPr>
          <w:rFonts w:cs="Times New Roman"/>
          <w:highlight w:val="none"/>
        </w:rPr>
        <w:fldChar w:fldCharType="end"/>
      </w:r>
      <w:r>
        <w:rPr>
          <w:rFonts w:cs="Times New Roman"/>
          <w:highlight w:val="none"/>
        </w:rPr>
        <w:t xml:space="preserve">. Beyond its direct impact on milk production, </w:t>
      </w:r>
      <w:r>
        <w:rPr>
          <w:rFonts w:hint="eastAsia" w:cs="Times New Roman"/>
          <w:highlight w:val="none"/>
          <w:lang w:eastAsia="zh-CN"/>
        </w:rPr>
        <w:t>SCM</w:t>
      </w:r>
      <w:r>
        <w:rPr>
          <w:rFonts w:cs="Times New Roman"/>
          <w:highlight w:val="none"/>
        </w:rPr>
        <w:t xml:space="preserve"> deteriorates overall systemic health in dairy cows </w:t>
      </w:r>
      <w:r>
        <w:rPr>
          <w:rFonts w:cs="Times New Roman"/>
          <w:highlight w:val="none"/>
        </w:rPr>
        <w:fldChar w:fldCharType="begin">
          <w:fldData xml:space="preserve">PEVuZE5vdGU+PENpdGU+PEF1dGhvcj5JYnJhaGltPC9BdXRob3I+PFllYXI+MjAyMzwvWWVhcj48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PEVuZE5vdGU+PENpdGU+PEF1dGhvcj5JYnJhaGltPC9BdXRob3I+PFllYXI+MjAyMzwvWWVhcj48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(Ibrahim et al., 2023)</w:t>
      </w:r>
      <w:r>
        <w:rPr>
          <w:rFonts w:cs="Times New Roman"/>
          <w:highlight w:val="none"/>
        </w:rPr>
        <w:fldChar w:fldCharType="end"/>
      </w:r>
      <w:r>
        <w:rPr>
          <w:rFonts w:cs="Times New Roman"/>
          <w:highlight w:val="none"/>
        </w:rPr>
        <w:t xml:space="preserve">. The chronic inflammatory state associated with </w:t>
      </w:r>
      <w:r>
        <w:rPr>
          <w:rFonts w:hint="eastAsia" w:cs="Times New Roman"/>
          <w:highlight w:val="none"/>
          <w:lang w:eastAsia="zh-CN"/>
        </w:rPr>
        <w:t>SCM</w:t>
      </w:r>
      <w:r>
        <w:rPr>
          <w:rFonts w:cs="Times New Roman"/>
          <w:highlight w:val="none"/>
        </w:rPr>
        <w:t xml:space="preserve"> has been linked to reproductive inefficiencies, reduced lifespans, and declined overall production efficiency </w:t>
      </w:r>
      <w:r>
        <w:rPr>
          <w:rFonts w:cs="Times New Roman"/>
          <w:highlight w:val="none"/>
        </w:rPr>
        <w:fldChar w:fldCharType="begin"/>
      </w:r>
      <w:r>
        <w:rPr>
          <w:rFonts w:cs="Times New Roman"/>
          <w:highlight w:val="none"/>
        </w:rPr>
        <w:instrText xml:space="preserve"> ADDIN EN.CITE &lt;EndNote&gt;&lt;Cite&gt;&lt;Author&gt;Kumari&lt;/Author&gt;&lt;Year&gt;2018&lt;/Year&gt;&lt;RecNum&gt;208&lt;/RecNum&gt;&lt;DisplayText&gt;(Kumari et al., 2018)&lt;/DisplayText&gt;&lt;record&gt;&lt;rec-number&gt;208&lt;/rec-number&gt;&lt;foreign-keys&gt;&lt;key app="EN" db-id="xwvtz5rea2fr2je0p0uppszgwft92rr5pxdp" timestamp="1738675680"&gt;208&lt;/key&gt;&lt;/foreign-keys&gt;&lt;ref-type name="Journal Article"&gt;17&lt;/ref-type&gt;&lt;contributors&gt;&lt;authors&gt;&lt;author&gt;Kumari, Tripti&lt;/author&gt;&lt;author&gt;Bhakat, Champak&lt;/author&gt;&lt;author&gt;Choudhary, Rajeev Kumar&lt;/author&gt;&lt;/authors&gt;&lt;/contributors&gt;&lt;titles&gt;&lt;title&gt;A review on subclinical mastitis in dairy cattle&lt;/title&gt;&lt;secondary-title&gt;Int. J. Pure Appl. Biosci&lt;/secondary-title&gt;&lt;/titles&gt;&lt;periodical&gt;&lt;full-title&gt;Int. J. Pure Appl. Biosci&lt;/full-title&gt;&lt;/periodical&gt;&lt;pages&gt;1291-1299&lt;/pages&gt;&lt;volume&gt;6&lt;/volume&gt;&lt;number&gt;2&lt;/number&gt;&lt;dates&gt;&lt;year&gt;2018&lt;/year&gt;&lt;/dates&gt;&lt;urls&gt;&lt;/urls&gt;&lt;/record&gt;&lt;/Cite&gt;&lt;/EndNote&gt;</w:instrText>
      </w:r>
      <w:r>
        <w:rPr>
          <w:rFonts w:cs="Times New Roman"/>
          <w:highlight w:val="none"/>
        </w:rPr>
        <w:fldChar w:fldCharType="separate"/>
      </w:r>
      <w:r>
        <w:rPr>
          <w:rFonts w:cs="Times New Roman"/>
          <w:highlight w:val="none"/>
        </w:rPr>
        <w:t>(Kumari et al., 2018)</w:t>
      </w:r>
      <w:r>
        <w:rPr>
          <w:rFonts w:cs="Times New Roman"/>
          <w:highlight w:val="none"/>
        </w:rPr>
        <w:fldChar w:fldCharType="end"/>
      </w:r>
      <w:r>
        <w:rPr>
          <w:rFonts w:cs="Times New Roman"/>
          <w:highlight w:val="none"/>
        </w:rPr>
        <w:t>.</w:t>
      </w:r>
    </w:p>
    <w:p w14:paraId="48CC7BC6">
      <w:pPr>
        <w:spacing w:after="200" w:line="276" w:lineRule="auto"/>
        <w:ind w:firstLine="0"/>
        <w:jc w:val="left"/>
        <w:rPr>
          <w:b/>
          <w:szCs w:val="21"/>
          <w:highlight w:val="none"/>
          <w:lang w:val="en-US"/>
        </w:rPr>
      </w:pPr>
      <w:r>
        <w:rPr>
          <w:b/>
          <w:bCs/>
          <w:szCs w:val="21"/>
          <w:highlight w:val="none"/>
          <w:lang w:val="en-US"/>
        </w:rPr>
        <w:br w:type="page"/>
      </w:r>
    </w:p>
    <w:p w14:paraId="07911698">
      <w:pPr>
        <w:pStyle w:val="11"/>
        <w:keepNext/>
        <w:rPr>
          <w:highlight w:val="none"/>
        </w:rPr>
      </w:pPr>
      <w:bookmarkStart w:id="25" w:name="_Toc207979951"/>
      <w:r>
        <w:rPr>
          <w:b/>
          <w:bCs w:val="0"/>
          <w:sz w:val="22"/>
          <w:szCs w:val="21"/>
          <w:highlight w:val="none"/>
          <w:lang w:val="en-US"/>
        </w:rPr>
        <w:t xml:space="preserve">Table </w:t>
      </w:r>
      <w:r>
        <w:rPr>
          <w:b/>
          <w:bCs w:val="0"/>
          <w:sz w:val="22"/>
          <w:szCs w:val="21"/>
          <w:highlight w:val="none"/>
          <w:lang w:val="en-US"/>
        </w:rPr>
        <w:fldChar w:fldCharType="begin"/>
      </w:r>
      <w:r>
        <w:rPr>
          <w:b/>
          <w:bCs w:val="0"/>
          <w:sz w:val="22"/>
          <w:szCs w:val="21"/>
          <w:highlight w:val="none"/>
          <w:lang w:val="en-US"/>
        </w:rPr>
        <w:instrText xml:space="preserve"> STYLEREF 1 \s </w:instrText>
      </w:r>
      <w:r>
        <w:rPr>
          <w:b/>
          <w:bCs w:val="0"/>
          <w:sz w:val="22"/>
          <w:szCs w:val="21"/>
          <w:highlight w:val="none"/>
          <w:lang w:val="en-US"/>
        </w:rPr>
        <w:fldChar w:fldCharType="separate"/>
      </w:r>
      <w:r>
        <w:rPr>
          <w:b/>
          <w:bCs w:val="0"/>
          <w:sz w:val="22"/>
          <w:szCs w:val="21"/>
          <w:highlight w:val="none"/>
          <w:lang w:val="en-US"/>
        </w:rPr>
        <w:t>1</w:t>
      </w:r>
      <w:r>
        <w:rPr>
          <w:b/>
          <w:bCs w:val="0"/>
          <w:sz w:val="22"/>
          <w:szCs w:val="21"/>
          <w:highlight w:val="none"/>
          <w:lang w:val="en-US"/>
        </w:rPr>
        <w:fldChar w:fldCharType="end"/>
      </w:r>
      <w:r>
        <w:rPr>
          <w:b/>
          <w:bCs w:val="0"/>
          <w:sz w:val="22"/>
          <w:szCs w:val="21"/>
          <w:highlight w:val="none"/>
          <w:lang w:val="en-US"/>
        </w:rPr>
        <w:noBreakHyphen/>
      </w:r>
      <w:r>
        <w:rPr>
          <w:b/>
          <w:bCs w:val="0"/>
          <w:sz w:val="22"/>
          <w:szCs w:val="21"/>
          <w:highlight w:val="none"/>
          <w:lang w:val="en-US"/>
        </w:rPr>
        <w:fldChar w:fldCharType="begin"/>
      </w:r>
      <w:r>
        <w:rPr>
          <w:b/>
          <w:bCs w:val="0"/>
          <w:sz w:val="22"/>
          <w:szCs w:val="21"/>
          <w:highlight w:val="none"/>
          <w:lang w:val="en-US"/>
        </w:rPr>
        <w:instrText xml:space="preserve"> SEQ Table \* ARABIC \s 1 </w:instrText>
      </w:r>
      <w:r>
        <w:rPr>
          <w:b/>
          <w:bCs w:val="0"/>
          <w:sz w:val="22"/>
          <w:szCs w:val="21"/>
          <w:highlight w:val="none"/>
          <w:lang w:val="en-US"/>
        </w:rPr>
        <w:fldChar w:fldCharType="separate"/>
      </w:r>
      <w:r>
        <w:rPr>
          <w:b/>
          <w:bCs w:val="0"/>
          <w:sz w:val="22"/>
          <w:szCs w:val="21"/>
          <w:highlight w:val="none"/>
          <w:lang w:val="en-US"/>
        </w:rPr>
        <w:t>1</w:t>
      </w:r>
      <w:r>
        <w:rPr>
          <w:b/>
          <w:bCs w:val="0"/>
          <w:sz w:val="22"/>
          <w:szCs w:val="21"/>
          <w:highlight w:val="none"/>
          <w:lang w:val="en-US"/>
        </w:rPr>
        <w:fldChar w:fldCharType="end"/>
      </w:r>
      <w:r>
        <w:rPr>
          <w:b/>
          <w:bCs w:val="0"/>
          <w:sz w:val="22"/>
          <w:szCs w:val="21"/>
          <w:highlight w:val="none"/>
          <w:lang w:val="en-US"/>
        </w:rPr>
        <w:t>:</w:t>
      </w:r>
      <w:r>
        <w:rPr>
          <w:highlight w:val="none"/>
          <w:lang w:val="en-US"/>
        </w:rPr>
        <w:t xml:space="preserve"> </w:t>
      </w:r>
      <w:r>
        <w:rPr>
          <w:highlight w:val="none"/>
        </w:rPr>
        <w:t>Evaluation of Mastitis Severity in Dairy Cows Using California mastitis test results and somatic cell counts</w:t>
      </w:r>
      <w:bookmarkEnd w:id="25"/>
    </w:p>
    <w:tbl>
      <w:tblPr>
        <w:tblStyle w:val="9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50"/>
        <w:gridCol w:w="2298"/>
        <w:gridCol w:w="3053"/>
      </w:tblGrid>
      <w:tr w14:paraId="28B87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26" w:type="pct"/>
            <w:tcBorders>
              <w:top w:val="single" w:color="000000" w:sz="8" w:space="0"/>
              <w:left w:val="nil"/>
              <w:bottom w:val="single" w:color="000000" w:sz="4" w:space="0"/>
              <w:right w:val="nil"/>
            </w:tcBorders>
            <w:vAlign w:val="center"/>
          </w:tcPr>
          <w:p w14:paraId="453703CC">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Classification</w:t>
            </w:r>
          </w:p>
        </w:tc>
        <w:tc>
          <w:tcPr>
            <w:tcW w:w="1492" w:type="pct"/>
            <w:tcBorders>
              <w:top w:val="single" w:color="000000" w:sz="8" w:space="0"/>
              <w:left w:val="nil"/>
              <w:bottom w:val="single" w:color="000000" w:sz="4" w:space="0"/>
              <w:right w:val="nil"/>
            </w:tcBorders>
            <w:vAlign w:val="center"/>
          </w:tcPr>
          <w:p w14:paraId="6A998C50">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California mastitis test results</w:t>
            </w:r>
          </w:p>
        </w:tc>
        <w:tc>
          <w:tcPr>
            <w:tcW w:w="1982" w:type="pct"/>
            <w:tcBorders>
              <w:top w:val="single" w:color="000000" w:sz="8" w:space="0"/>
              <w:left w:val="nil"/>
              <w:bottom w:val="single" w:color="000000" w:sz="4" w:space="0"/>
              <w:right w:val="nil"/>
            </w:tcBorders>
            <w:vAlign w:val="center"/>
          </w:tcPr>
          <w:p w14:paraId="2C23CD58">
            <w:pPr>
              <w:widowControl w:val="0"/>
              <w:spacing w:after="0"/>
              <w:ind w:firstLine="0"/>
              <w:jc w:val="center"/>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 xml:space="preserve">Milk somatic cell counts </w:t>
            </w:r>
          </w:p>
          <w:p w14:paraId="1FA8C5C9">
            <w:pPr>
              <w:widowControl w:val="0"/>
              <w:spacing w:after="0"/>
              <w:ind w:firstLine="0"/>
              <w:jc w:val="center"/>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(×1,000 cells/mL)</w:t>
            </w:r>
          </w:p>
        </w:tc>
      </w:tr>
      <w:tr w14:paraId="14971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1526" w:type="pct"/>
            <w:tcBorders>
              <w:top w:val="single" w:color="000000" w:sz="4" w:space="0"/>
              <w:left w:val="nil"/>
              <w:bottom w:val="nil"/>
              <w:right w:val="nil"/>
            </w:tcBorders>
            <w:vAlign w:val="center"/>
          </w:tcPr>
          <w:p w14:paraId="4806CBB1">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Healthy cow</w:t>
            </w:r>
          </w:p>
        </w:tc>
        <w:tc>
          <w:tcPr>
            <w:tcW w:w="1492" w:type="pct"/>
            <w:tcBorders>
              <w:top w:val="single" w:color="000000" w:sz="4" w:space="0"/>
              <w:left w:val="nil"/>
              <w:bottom w:val="nil"/>
              <w:right w:val="nil"/>
            </w:tcBorders>
            <w:vAlign w:val="center"/>
          </w:tcPr>
          <w:p w14:paraId="47C12535">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Negative (-)</w:t>
            </w:r>
          </w:p>
        </w:tc>
        <w:tc>
          <w:tcPr>
            <w:tcW w:w="1982" w:type="pct"/>
            <w:tcBorders>
              <w:top w:val="single" w:color="000000" w:sz="4" w:space="0"/>
              <w:left w:val="nil"/>
              <w:bottom w:val="nil"/>
              <w:right w:val="nil"/>
            </w:tcBorders>
            <w:vAlign w:val="center"/>
          </w:tcPr>
          <w:p w14:paraId="57BD4F46">
            <w:pPr>
              <w:widowControl w:val="0"/>
              <w:spacing w:after="0"/>
              <w:ind w:firstLine="0"/>
              <w:jc w:val="center"/>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0-200</w:t>
            </w:r>
          </w:p>
        </w:tc>
      </w:tr>
      <w:tr w14:paraId="66413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1526" w:type="pct"/>
            <w:vMerge w:val="restart"/>
          </w:tcPr>
          <w:p w14:paraId="031857BB">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Subclinical Mastitis</w:t>
            </w:r>
          </w:p>
        </w:tc>
        <w:tc>
          <w:tcPr>
            <w:tcW w:w="1492" w:type="pct"/>
          </w:tcPr>
          <w:p w14:paraId="57EA5BFA">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Suspected (±)</w:t>
            </w:r>
          </w:p>
        </w:tc>
        <w:tc>
          <w:tcPr>
            <w:tcW w:w="1982" w:type="pct"/>
          </w:tcPr>
          <w:p w14:paraId="54D764C1">
            <w:pPr>
              <w:widowControl w:val="0"/>
              <w:spacing w:after="0"/>
              <w:ind w:firstLine="0"/>
              <w:jc w:val="center"/>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200-500</w:t>
            </w:r>
          </w:p>
        </w:tc>
      </w:tr>
      <w:tr w14:paraId="2EEC8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1526" w:type="pct"/>
            <w:vMerge w:val="continue"/>
            <w:vAlign w:val="center"/>
          </w:tcPr>
          <w:p w14:paraId="6ECC066D">
            <w:pPr>
              <w:widowControl w:val="0"/>
              <w:spacing w:after="0"/>
              <w:ind w:firstLine="0"/>
              <w:rPr>
                <w:rFonts w:eastAsia="等线" w:cs="Times New Roman"/>
                <w:kern w:val="2"/>
                <w:sz w:val="20"/>
                <w:szCs w:val="20"/>
                <w:highlight w:val="none"/>
                <w:lang w:val="en-US" w:eastAsia="zh-CN"/>
              </w:rPr>
            </w:pPr>
          </w:p>
        </w:tc>
        <w:tc>
          <w:tcPr>
            <w:tcW w:w="1492" w:type="pct"/>
            <w:vAlign w:val="center"/>
          </w:tcPr>
          <w:p w14:paraId="241F6C20">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Weakly positive (+)</w:t>
            </w:r>
          </w:p>
        </w:tc>
        <w:tc>
          <w:tcPr>
            <w:tcW w:w="1982" w:type="pct"/>
            <w:vAlign w:val="center"/>
          </w:tcPr>
          <w:p w14:paraId="6483CA16">
            <w:pPr>
              <w:widowControl w:val="0"/>
              <w:spacing w:after="0"/>
              <w:ind w:firstLine="0"/>
              <w:jc w:val="center"/>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500-800</w:t>
            </w:r>
          </w:p>
        </w:tc>
      </w:tr>
      <w:tr w14:paraId="7E478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526" w:type="pct"/>
            <w:vMerge w:val="continue"/>
            <w:vAlign w:val="center"/>
          </w:tcPr>
          <w:p w14:paraId="43CD606C">
            <w:pPr>
              <w:widowControl w:val="0"/>
              <w:spacing w:after="0"/>
              <w:ind w:firstLine="0"/>
              <w:rPr>
                <w:rFonts w:eastAsia="等线" w:cs="Times New Roman"/>
                <w:kern w:val="2"/>
                <w:sz w:val="20"/>
                <w:szCs w:val="20"/>
                <w:highlight w:val="none"/>
                <w:lang w:val="en-US" w:eastAsia="zh-CN"/>
              </w:rPr>
            </w:pPr>
          </w:p>
        </w:tc>
        <w:tc>
          <w:tcPr>
            <w:tcW w:w="1492" w:type="pct"/>
            <w:vAlign w:val="center"/>
          </w:tcPr>
          <w:p w14:paraId="38F8DBA9">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Positive (++)</w:t>
            </w:r>
          </w:p>
        </w:tc>
        <w:tc>
          <w:tcPr>
            <w:tcW w:w="1982" w:type="pct"/>
            <w:vAlign w:val="center"/>
          </w:tcPr>
          <w:p w14:paraId="3E0FC6B9">
            <w:pPr>
              <w:widowControl w:val="0"/>
              <w:spacing w:after="0"/>
              <w:ind w:firstLine="0"/>
              <w:jc w:val="center"/>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800-5,000</w:t>
            </w:r>
          </w:p>
        </w:tc>
      </w:tr>
      <w:tr w14:paraId="13244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526" w:type="pct"/>
            <w:tcBorders>
              <w:top w:val="nil"/>
              <w:left w:val="nil"/>
              <w:bottom w:val="single" w:color="000000" w:sz="8" w:space="0"/>
              <w:right w:val="nil"/>
            </w:tcBorders>
            <w:vAlign w:val="center"/>
          </w:tcPr>
          <w:p w14:paraId="196D8CAE">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Clinical Mastitis</w:t>
            </w:r>
          </w:p>
        </w:tc>
        <w:tc>
          <w:tcPr>
            <w:tcW w:w="1492" w:type="pct"/>
            <w:tcBorders>
              <w:top w:val="nil"/>
              <w:left w:val="nil"/>
              <w:bottom w:val="single" w:color="000000" w:sz="8" w:space="0"/>
              <w:right w:val="nil"/>
            </w:tcBorders>
            <w:vAlign w:val="center"/>
          </w:tcPr>
          <w:p w14:paraId="1ABAA53D">
            <w:pPr>
              <w:widowControl w:val="0"/>
              <w:spacing w:after="0"/>
              <w:ind w:firstLine="0"/>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Strongly positive (+++)</w:t>
            </w:r>
          </w:p>
        </w:tc>
        <w:tc>
          <w:tcPr>
            <w:tcW w:w="1982" w:type="pct"/>
            <w:tcBorders>
              <w:top w:val="nil"/>
              <w:left w:val="nil"/>
              <w:bottom w:val="single" w:color="000000" w:sz="8" w:space="0"/>
              <w:right w:val="nil"/>
            </w:tcBorders>
            <w:vAlign w:val="center"/>
          </w:tcPr>
          <w:p w14:paraId="0561C737">
            <w:pPr>
              <w:widowControl w:val="0"/>
              <w:spacing w:after="0"/>
              <w:ind w:firstLine="0"/>
              <w:jc w:val="center"/>
              <w:rPr>
                <w:rFonts w:eastAsia="等线" w:cs="Times New Roman"/>
                <w:kern w:val="2"/>
                <w:sz w:val="20"/>
                <w:szCs w:val="20"/>
                <w:highlight w:val="none"/>
                <w:lang w:val="en-US" w:eastAsia="zh-CN"/>
              </w:rPr>
            </w:pPr>
            <w:r>
              <w:rPr>
                <w:rFonts w:eastAsia="等线" w:cs="Times New Roman"/>
                <w:kern w:val="2"/>
                <w:sz w:val="20"/>
                <w:szCs w:val="20"/>
                <w:highlight w:val="none"/>
                <w:lang w:val="en-US" w:eastAsia="zh-CN"/>
              </w:rPr>
              <w:t>&gt;5,000</w:t>
            </w:r>
          </w:p>
        </w:tc>
      </w:tr>
    </w:tbl>
    <w:p w14:paraId="0FE17325">
      <w:pPr>
        <w:pStyle w:val="4"/>
        <w:rPr>
          <w:highlight w:val="none"/>
          <w:lang w:eastAsia="zh-CN"/>
        </w:rPr>
      </w:pPr>
      <w:bookmarkStart w:id="26" w:name="_Toc207979741"/>
      <w:bookmarkStart w:id="27" w:name="_Hlk194882900"/>
      <w:r>
        <w:rPr>
          <w:highlight w:val="none"/>
          <w:lang w:eastAsia="zh-CN"/>
        </w:rPr>
        <w:t>Factors and mechanisms influencing bovine mastitis</w:t>
      </w:r>
      <w:bookmarkEnd w:id="26"/>
    </w:p>
    <w:p w14:paraId="3FDEEFBC">
      <w:pPr>
        <w:rPr>
          <w:highlight w:val="none"/>
          <w:lang w:eastAsia="zh-CN"/>
        </w:rPr>
      </w:pPr>
      <w:r>
        <w:rPr>
          <w:highlight w:val="none"/>
          <w:lang w:eastAsia="zh-CN"/>
        </w:rPr>
        <w:t>Bovine mastitis is a multifactorial disease caused by inflammation of the mammary gland, resulting from complex interactions among physiological, environmental, management, and pathogen-related factors. Cow</w:t>
      </w:r>
      <w:r>
        <w:rPr>
          <w:rFonts w:hint="eastAsia"/>
          <w:highlight w:val="none"/>
          <w:lang w:eastAsia="zh-CN"/>
        </w:rPr>
        <w:t>-</w:t>
      </w:r>
      <w:r>
        <w:rPr>
          <w:highlight w:val="none"/>
          <w:lang w:eastAsia="zh-CN"/>
        </w:rPr>
        <w:t>level characteristics, including days in milk, parity, previous mastitis history, udder conformation, and teat health, strongly influence susceptibility, with early-lactation and multiparous cows being particularly at risk due to metabolic stress, immune suppression, and cumulative udder tissue damage (Green et al., 2007</w:t>
      </w:r>
      <w:r>
        <w:rPr>
          <w:rFonts w:hint="eastAsia"/>
          <w:highlight w:val="none"/>
          <w:lang w:eastAsia="zh-CN"/>
        </w:rPr>
        <w:t>,</w:t>
      </w:r>
      <w:r>
        <w:rPr>
          <w:highlight w:val="none"/>
          <w:lang w:eastAsia="zh-CN"/>
        </w:rPr>
        <w:t xml:space="preserve"> Steeneveld et al., 2011). Environmental factors such as bedding type, cleanliness, ventilation, humidity, and seasonal conditions, along with management practices</w:t>
      </w:r>
      <w:r>
        <w:rPr>
          <w:rFonts w:hint="eastAsia"/>
          <w:highlight w:val="none"/>
          <w:lang w:eastAsia="zh-CN"/>
        </w:rPr>
        <w:t xml:space="preserve">, </w:t>
      </w:r>
      <w:r>
        <w:rPr>
          <w:highlight w:val="none"/>
          <w:lang w:eastAsia="zh-CN"/>
        </w:rPr>
        <w:t>including housing type, stocking density, milking hygiene, machine maintenance, and dry period protocols</w:t>
      </w:r>
      <w:r>
        <w:rPr>
          <w:rFonts w:hint="eastAsia"/>
          <w:highlight w:val="none"/>
          <w:lang w:eastAsia="zh-CN"/>
        </w:rPr>
        <w:t xml:space="preserve">, </w:t>
      </w:r>
      <w:r>
        <w:rPr>
          <w:highlight w:val="none"/>
          <w:lang w:eastAsia="zh-CN"/>
        </w:rPr>
        <w:t xml:space="preserve">further affect infection risk (Ruegg, 2017). </w:t>
      </w:r>
      <w:bookmarkStart w:id="28" w:name="OLE_LINK8"/>
      <w:r>
        <w:rPr>
          <w:highlight w:val="none"/>
          <w:lang w:eastAsia="zh-CN"/>
        </w:rPr>
        <w:t>Pathogen-specific characteristics, including bacterial species, virulence, and antimicrobial resistance, determine the severity, recurrence, and economic impact of both subclinical and clinical mastitis</w:t>
      </w:r>
      <w:bookmarkEnd w:id="28"/>
      <w:r>
        <w:rPr>
          <w:highlight w:val="none"/>
          <w:lang w:eastAsia="zh-CN"/>
        </w:rPr>
        <w:t xml:space="preserve"> (Schukken et al., 2011). </w:t>
      </w:r>
    </w:p>
    <w:p w14:paraId="5D05D902">
      <w:pPr>
        <w:rPr>
          <w:highlight w:val="none"/>
          <w:lang w:eastAsia="zh-CN"/>
        </w:rPr>
      </w:pPr>
      <w:r>
        <w:rPr>
          <w:highlight w:val="none"/>
          <w:lang w:eastAsia="zh-CN"/>
        </w:rPr>
        <w:t>Infection typically occurs via direct entry through the teat canal, particularly when the teat end is damaged or hygiene is inadequate, although bacteria can occasionally spread hematogenously or through skin wounds, respiratory, or oral routes (Ruegg, 2017). Moreover, recent studies suggest that the rumen and intestinal microbiota can indirectly influence mammary health through the gastrointestinal</w:t>
      </w:r>
      <w:r>
        <w:rPr>
          <w:rFonts w:hint="eastAsia"/>
          <w:highlight w:val="none"/>
          <w:lang w:eastAsia="zh-CN"/>
        </w:rPr>
        <w:t>-</w:t>
      </w:r>
      <w:r>
        <w:rPr>
          <w:highlight w:val="none"/>
          <w:lang w:eastAsia="zh-CN"/>
        </w:rPr>
        <w:t>mammary axis: bacterial components such as lipopolysaccharides (LPS) or inflammatory mediators produced in the rumen or intestine may enter the bloodstream, triggering systemic inflammation and enhancing mammary immune responses, thereby predisposing cows to subclinical or clinical mastitis (</w:t>
      </w:r>
      <w:r>
        <w:rPr>
          <w:rFonts w:hint="eastAsia"/>
          <w:highlight w:val="none"/>
          <w:lang w:eastAsia="zh-CN"/>
        </w:rPr>
        <w:t>Wang et al., 2025</w:t>
      </w:r>
      <w:r>
        <w:rPr>
          <w:highlight w:val="none"/>
          <w:lang w:eastAsia="zh-CN"/>
        </w:rPr>
        <w:t>). Understanding these diverse factors and infection pathways is crucial for developing effective prevention and control strategies in dairy herds, including dietary interventions.</w:t>
      </w:r>
    </w:p>
    <w:p w14:paraId="3065CCD7">
      <w:pPr>
        <w:pStyle w:val="4"/>
        <w:rPr>
          <w:highlight w:val="none"/>
          <w:lang w:eastAsia="fr-FR"/>
        </w:rPr>
      </w:pPr>
      <w:bookmarkStart w:id="29" w:name="_Toc207979742"/>
      <w:r>
        <w:rPr>
          <w:highlight w:val="none"/>
        </w:rPr>
        <w:t>Approaches to manage mastitis</w:t>
      </w:r>
      <w:r>
        <w:rPr>
          <w:rFonts w:hint="eastAsia"/>
          <w:highlight w:val="none"/>
          <w:lang w:eastAsia="zh-CN"/>
        </w:rPr>
        <w:t xml:space="preserve"> </w:t>
      </w:r>
      <w:r>
        <w:rPr>
          <w:highlight w:val="none"/>
        </w:rPr>
        <w:t xml:space="preserve">: from antibiotics to </w:t>
      </w:r>
      <w:bookmarkEnd w:id="27"/>
      <w:r>
        <w:rPr>
          <w:highlight w:val="none"/>
        </w:rPr>
        <w:t>functional feed additive</w:t>
      </w:r>
      <w:r>
        <w:rPr>
          <w:rFonts w:hint="eastAsia"/>
          <w:highlight w:val="none"/>
          <w:lang w:eastAsia="zh-CN"/>
        </w:rPr>
        <w:t>s</w:t>
      </w:r>
      <w:bookmarkEnd w:id="29"/>
    </w:p>
    <w:p w14:paraId="24E0654A">
      <w:pPr>
        <w:rPr>
          <w:rFonts w:cs="Times New Roman"/>
          <w:highlight w:val="none"/>
        </w:rPr>
      </w:pPr>
      <w:r>
        <w:rPr>
          <w:rFonts w:cs="Times New Roman"/>
          <w:highlight w:val="none"/>
        </w:rPr>
        <w:t xml:space="preserve">Mastitis is one of the leading causes of reduced dairy productivity and quality, making it a critical focus for the global dairy industry </w:t>
      </w:r>
      <w:r>
        <w:rPr>
          <w:rFonts w:cs="Times New Roman"/>
          <w:highlight w:val="none"/>
        </w:rPr>
        <w:fldChar w:fldCharType="begin"/>
      </w:r>
      <w:r>
        <w:rPr>
          <w:rFonts w:cs="Times New Roman"/>
          <w:highlight w:val="none"/>
        </w:rPr>
        <w:instrText xml:space="preserve"> ADDIN EN.CITE &lt;EndNote&gt;&lt;Cite&gt;&lt;Author&gt;Ruegg&lt;/Author&gt;&lt;Year&gt;2017&lt;/Year&gt;&lt;RecNum&gt;203&lt;/RecNum&gt;&lt;DisplayText&gt;(Ruegg, 2017)&lt;/DisplayText&gt;&lt;record&gt;&lt;rec-number&gt;203&lt;/rec-number&gt;&lt;foreign-keys&gt;&lt;key app="EN" db-id="xwvtz5rea2fr2je0p0uppszgwft92rr5pxdp" timestamp="1723041102"&gt;203&lt;/key&gt;&lt;/foreign-keys&gt;&lt;ref-type name="Journal Article"&gt;17&lt;/ref-type&gt;&lt;contributors&gt;&lt;authors&gt;&lt;author&gt;Ruegg, P. L.&lt;/author&gt;&lt;/authors&gt;&lt;/contributors&gt;&lt;auth-address&gt;Department of Dairy Science, University of Wisconsin, Madison 53706. Electronic address: plruegg@wisc.edu.&lt;/auth-address&gt;&lt;titles&gt;&lt;title&gt;A 100-Year Review: Mastitis detection, management, and prevention&lt;/title&gt;&lt;secondary-title&gt;J Dairy Sci&lt;/secondary-title&gt;&lt;/titles&gt;&lt;periodical&gt;&lt;full-title&gt;Journal of Dairy Science&lt;/full-title&gt;&lt;abbr-1&gt;J Dairy Sci&lt;/abbr-1&gt;&lt;/periodical&gt;&lt;pages&gt;10381-10397&lt;/pages&gt;&lt;volume&gt;100&lt;/volume&gt;&lt;number&gt;12&lt;/number&gt;&lt;keywords&gt;&lt;keyword&gt;Animals&lt;/keyword&gt;&lt;keyword&gt;Cattle&lt;/keyword&gt;&lt;keyword&gt;*Dairying/methods&lt;/keyword&gt;&lt;keyword&gt;Female&lt;/keyword&gt;&lt;keyword&gt;Mammary Glands, Animal&lt;/keyword&gt;&lt;keyword&gt;*Mastitis, Bovine/diagnosis/microbiology/prevention &amp;amp; control/therapy&lt;/keyword&gt;&lt;keyword&gt;Milk/microbiology&lt;/keyword&gt;&lt;keyword&gt;Staphylococcal Infections/*veterinary&lt;/keyword&gt;&lt;keyword&gt;*Staphylococcus aureus&lt;/keyword&gt;&lt;keyword&gt;Streptococcal Infections/*veterinary&lt;/keyword&gt;&lt;keyword&gt;*Streptococcus agalactiae&lt;/keyword&gt;&lt;keyword&gt;100-year review&lt;/keyword&gt;&lt;keyword&gt;Journal of Dairy Science&lt;/keyword&gt;&lt;keyword&gt;management&lt;/keyword&gt;&lt;keyword&gt;mastitis&lt;/keyword&gt;&lt;keyword&gt;prevention&lt;/keyword&gt;&lt;/keywords&gt;&lt;dates&gt;&lt;year&gt;2017&lt;/year&gt;&lt;pub-dates&gt;&lt;date&gt;Dec&lt;/date&gt;&lt;/pub-dates&gt;&lt;/dates&gt;&lt;isbn&gt;1525-3198 (Electronic)&amp;#xD;0022-0302 (Linking)&lt;/isbn&gt;&lt;accession-num&gt;29153171&lt;/accession-num&gt;&lt;urls&gt;&lt;related-urls&gt;&lt;url&gt;https://www.ncbi.nlm.nih.gov/pubmed/29153171&lt;/url&gt;&lt;/related-urls&gt;&lt;/urls&gt;&lt;electronic-resource-num&gt;10.3168/jds.2017-13023&lt;/electronic-resource-num&gt;&lt;remote-database-name&gt;Medline&lt;/remote-database-name&gt;&lt;remote-database-provider&gt;NLM&lt;/remote-database-provider&gt;&lt;/record&gt;&lt;/Cite&gt;&lt;/EndNote&gt;</w:instrText>
      </w:r>
      <w:r>
        <w:rPr>
          <w:rFonts w:cs="Times New Roman"/>
          <w:highlight w:val="none"/>
        </w:rPr>
        <w:fldChar w:fldCharType="separate"/>
      </w:r>
      <w:r>
        <w:rPr>
          <w:rFonts w:cs="Times New Roman"/>
          <w:highlight w:val="none"/>
        </w:rPr>
        <w:t>(Ruegg, 2017)</w:t>
      </w:r>
      <w:r>
        <w:rPr>
          <w:rFonts w:cs="Times New Roman"/>
          <w:highlight w:val="none"/>
        </w:rPr>
        <w:fldChar w:fldCharType="end"/>
      </w:r>
      <w:r>
        <w:rPr>
          <w:rFonts w:cs="Times New Roman"/>
          <w:highlight w:val="none"/>
        </w:rPr>
        <w:t xml:space="preserve">. Addressing </w:t>
      </w:r>
      <w:r>
        <w:rPr>
          <w:rFonts w:hint="eastAsia" w:cs="Times New Roman"/>
          <w:highlight w:val="none"/>
          <w:lang w:eastAsia="zh-CN"/>
        </w:rPr>
        <w:t>SCM</w:t>
      </w:r>
      <w:r>
        <w:rPr>
          <w:rFonts w:cs="Times New Roman"/>
          <w:highlight w:val="none"/>
        </w:rPr>
        <w:t xml:space="preserve"> is essential not only for maintaining the economic viability of dairy farms but also for improving the health and welfare of dairy cows. However, the traditional use of antibiotics as a treatment poses significant challenges. While antibiotics are effective in managing infections, their widespread and indiscriminate use has contributed to the emergence of antimicrobial resistance and raised concerns about antibiotic residues in milk, which may pose risks to human health </w:t>
      </w:r>
      <w:r>
        <w:rPr>
          <w:rFonts w:cs="Times New Roman"/>
          <w:highlight w:val="none"/>
        </w:rPr>
        <w:fldChar w:fldCharType="begin"/>
      </w:r>
      <w:r>
        <w:rPr>
          <w:rFonts w:cs="Times New Roman"/>
          <w:highlight w:val="none"/>
        </w:rPr>
        <w:instrText xml:space="preserve"> ADDIN EN.CITE &lt;EndNote&gt;&lt;Cite&gt;&lt;Author&gt;Organization&lt;/Author&gt;&lt;Year&gt;1998&lt;/Year&gt;&lt;RecNum&gt;210&lt;/RecNum&gt;&lt;DisplayText&gt;(Organization, 1998)&lt;/DisplayText&gt;&lt;record&gt;&lt;rec-number&gt;210&lt;/rec-number&gt;&lt;foreign-keys&gt;&lt;key app="EN" db-id="xwvtz5rea2fr2je0p0uppszgwft92rr5pxdp" timestamp="1738677094"&gt;210&lt;/key&gt;&lt;/foreign-keys&gt;&lt;ref-type name="Report"&gt;27&lt;/ref-type&gt;&lt;contributors&gt;&lt;authors&gt;&lt;author&gt;World Health Organization&lt;/author&gt;&lt;/authors&gt;&lt;/contributors&gt;&lt;titles&gt;&lt;title&gt;Use of quinolones in food animals and potential impact on human health: report of a WHO meeting, Geneva, Switzerland, 2-5 June 1998&lt;/title&gt;&lt;/titles&gt;&lt;dates&gt;&lt;year&gt;1998&lt;/year&gt;&lt;/dates&gt;&lt;publisher&gt;World Health Organization&lt;/publisher&gt;&lt;urls&gt;&lt;/urls&gt;&lt;/record&gt;&lt;/Cite&gt;&lt;/EndNote&gt;</w:instrText>
      </w:r>
      <w:r>
        <w:rPr>
          <w:rFonts w:cs="Times New Roman"/>
          <w:highlight w:val="none"/>
        </w:rPr>
        <w:fldChar w:fldCharType="separate"/>
      </w:r>
      <w:r>
        <w:rPr>
          <w:rFonts w:cs="Times New Roman"/>
          <w:highlight w:val="none"/>
        </w:rPr>
        <w:t>(Organization, 1998)</w:t>
      </w:r>
      <w:r>
        <w:rPr>
          <w:rFonts w:cs="Times New Roman"/>
          <w:highlight w:val="none"/>
        </w:rPr>
        <w:fldChar w:fldCharType="end"/>
      </w:r>
      <w:r>
        <w:rPr>
          <w:rFonts w:cs="Times New Roman"/>
          <w:highlight w:val="none"/>
        </w:rPr>
        <w:t>. These issues have spurred a shift toward sustainable and non-antibiotic approaches for the prevention and treatment of mastitis.</w:t>
      </w:r>
    </w:p>
    <w:p w14:paraId="4F9A8746">
      <w:pPr>
        <w:rPr>
          <w:rFonts w:cs="Times New Roman"/>
          <w:highlight w:val="none"/>
        </w:rPr>
      </w:pPr>
      <w:r>
        <w:rPr>
          <w:rFonts w:cs="Times New Roman"/>
          <w:highlight w:val="none"/>
        </w:rPr>
        <w:t xml:space="preserve">In recent years, the research on antibiotic alternatives has gained significant attention, encouraging researchers and industry stakeholders to explore alternative therapeutic strategies that align with the principles of sustainability and animal welfare </w:t>
      </w:r>
      <w:r>
        <w:rPr>
          <w:rFonts w:cs="Times New Roman"/>
          <w:highlight w:val="none"/>
        </w:rPr>
        <w:fldChar w:fldCharType="begin"/>
      </w:r>
      <w:r>
        <w:rPr>
          <w:rFonts w:cs="Times New Roman"/>
          <w:highlight w:val="none"/>
        </w:rPr>
        <w:instrText xml:space="preserve"> ADDIN EN.CITE &lt;EndNote&gt;&lt;Cite&gt;&lt;Author&gt;Pandey&lt;/Author&gt;&lt;Year&gt;2019&lt;/Year&gt;&lt;RecNum&gt;211&lt;/RecNum&gt;&lt;DisplayText&gt;(Pandey et al., 2019)&lt;/DisplayText&gt;&lt;record&gt;&lt;rec-number&gt;211&lt;/rec-number&gt;&lt;foreign-keys&gt;&lt;key app="EN" db-id="xwvtz5rea2fr2je0p0uppszgwft92rr5pxdp" timestamp="1738678609"&gt;211&lt;/key&gt;&lt;/foreign-keys&gt;&lt;ref-type name="Book Section"&gt;5&lt;/ref-type&gt;&lt;contributors&gt;&lt;authors&gt;&lt;author&gt;Pandey, Amit Kumar&lt;/author&gt;&lt;author&gt;Kumar, Prafulla&lt;/author&gt;&lt;author&gt;Saxena, M. J.&lt;/author&gt;&lt;/authors&gt;&lt;secondary-authors&gt;&lt;author&gt;Gupta, Ramesh C.&lt;/author&gt;&lt;author&gt;Srivastava, Ajay&lt;/author&gt;&lt;author&gt;Lall, Rajiv&lt;/author&gt;&lt;/secondary-authors&gt;&lt;/contributors&gt;&lt;titles&gt;&lt;title&gt;Feed Additives in Animal Health&lt;/title&gt;&lt;secondary-title&gt;Nutraceuticals in Veterinary Medicine&lt;/secondary-title&gt;&lt;/titles&gt;&lt;pages&gt;345-362&lt;/pages&gt;&lt;dates&gt;&lt;year&gt;2019&lt;/year&gt;&lt;/dates&gt;&lt;pub-location&gt;Cham&lt;/pub-location&gt;&lt;publisher&gt;Springer International Publishing&lt;/publisher&gt;&lt;isbn&gt;978-3-030-04624-8&lt;/isbn&gt;&lt;label&gt;Pandey2019&lt;/label&gt;&lt;urls&gt;&lt;related-urls&gt;&lt;url&gt;https://doi.org/10.1007/978-3-030-04624-8_23&lt;/url&gt;&lt;/related-urls&gt;&lt;/urls&gt;&lt;electronic-resource-num&gt;10.1007/978-3-030-04624-8_23&lt;/electronic-resource-num&gt;&lt;/record&gt;&lt;/Cite&gt;&lt;/EndNote&gt;</w:instrText>
      </w:r>
      <w:r>
        <w:rPr>
          <w:rFonts w:cs="Times New Roman"/>
          <w:highlight w:val="none"/>
        </w:rPr>
        <w:fldChar w:fldCharType="separate"/>
      </w:r>
      <w:r>
        <w:rPr>
          <w:rFonts w:cs="Times New Roman"/>
          <w:highlight w:val="none"/>
        </w:rPr>
        <w:t>(Pandey et al., 2019)</w:t>
      </w:r>
      <w:r>
        <w:rPr>
          <w:rFonts w:cs="Times New Roman"/>
          <w:highlight w:val="none"/>
        </w:rPr>
        <w:fldChar w:fldCharType="end"/>
      </w:r>
      <w:r>
        <w:rPr>
          <w:rFonts w:cs="Times New Roman"/>
          <w:highlight w:val="none"/>
        </w:rPr>
        <w:t xml:space="preserve">. </w:t>
      </w:r>
      <w:r>
        <w:rPr>
          <w:rFonts w:hint="eastAsia" w:cs="Times New Roman"/>
          <w:highlight w:val="none"/>
        </w:rPr>
        <w:t xml:space="preserve">Among these approaches, dietary regulation using functional feed additives has emerged as a promising strategy, </w:t>
      </w:r>
      <w:r>
        <w:rPr>
          <w:rFonts w:cs="Times New Roman"/>
          <w:highlight w:val="none"/>
        </w:rPr>
        <w:t>incorporating</w:t>
      </w:r>
      <w:r>
        <w:rPr>
          <w:rFonts w:hint="eastAsia" w:cs="Times New Roman"/>
          <w:highlight w:val="none"/>
        </w:rPr>
        <w:t xml:space="preserve"> probiotics, bioactive proteins, fatty acids, organic minerals, enzymes, and plant-derived compounds. These additives contribute to immune modulation</w:t>
      </w:r>
      <w:r>
        <w:rPr>
          <w:rFonts w:cs="Times New Roman"/>
          <w:highlight w:val="none"/>
        </w:rPr>
        <w:t xml:space="preserve"> and</w:t>
      </w:r>
      <w:r>
        <w:rPr>
          <w:rFonts w:hint="eastAsia" w:cs="Times New Roman"/>
          <w:highlight w:val="none"/>
        </w:rPr>
        <w:t xml:space="preserve"> antimicrobial defense, </w:t>
      </w:r>
      <w:r>
        <w:rPr>
          <w:rFonts w:cs="Times New Roman"/>
          <w:highlight w:val="none"/>
        </w:rPr>
        <w:t>have</w:t>
      </w:r>
      <w:r>
        <w:rPr>
          <w:rFonts w:hint="eastAsia" w:cs="Times New Roman"/>
          <w:highlight w:val="none"/>
        </w:rPr>
        <w:t xml:space="preserve"> anti-inflammatory effects, offering a sustainable and effective alternative for disease management. </w:t>
      </w:r>
    </w:p>
    <w:p w14:paraId="76445587">
      <w:pPr>
        <w:rPr>
          <w:rFonts w:cs="Times New Roman"/>
          <w:highlight w:val="none"/>
        </w:rPr>
      </w:pPr>
      <w:bookmarkStart w:id="30" w:name="OLE_LINK10"/>
      <w:r>
        <w:rPr>
          <w:rFonts w:hint="eastAsia" w:cs="Times New Roman"/>
          <w:highlight w:val="none"/>
        </w:rPr>
        <w:t xml:space="preserve">For instance, probiotics, such as </w:t>
      </w:r>
      <w:r>
        <w:rPr>
          <w:rFonts w:hint="eastAsia" w:cs="Times New Roman"/>
          <w:i/>
          <w:iCs/>
          <w:highlight w:val="none"/>
        </w:rPr>
        <w:t>Lactobacilli</w:t>
      </w:r>
      <w:r>
        <w:rPr>
          <w:rFonts w:hint="eastAsia" w:cs="Times New Roman"/>
          <w:highlight w:val="none"/>
        </w:rPr>
        <w:t xml:space="preserve">, </w:t>
      </w:r>
      <w:r>
        <w:rPr>
          <w:rFonts w:hint="eastAsia" w:cs="Times New Roman"/>
          <w:i/>
          <w:iCs/>
          <w:highlight w:val="none"/>
        </w:rPr>
        <w:t>Lactobacillus casei</w:t>
      </w:r>
      <w:r>
        <w:rPr>
          <w:rFonts w:hint="eastAsia" w:cs="Times New Roman"/>
          <w:highlight w:val="none"/>
        </w:rPr>
        <w:t xml:space="preserve">, and yeast, play a crucial role in maintaining mammary microbiota balance, enhancing immune defense, and inhibiting pathogenic bacteria in dairy cows </w:t>
      </w:r>
      <w:r>
        <w:rPr>
          <w:rFonts w:cs="Times New Roman"/>
          <w:highlight w:val="none"/>
        </w:rPr>
        <w:fldChar w:fldCharType="begin">
          <w:fldData xml:space="preserve">PEVuZE5vdGU+PENpdGU+PEF1dGhvcj5HYW88L0F1dGhvcj48WWVhcj4yMDIwPC9ZZWFyPjxSZWNO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</w:fldData>
        </w:fldChar>
      </w:r>
      <w:r>
        <w:rPr>
          <w:rFonts w:cs="Times New Roman"/>
          <w:highlight w:val="none"/>
        </w:rPr>
        <w:instrText xml:space="preserve"> ADDIN EN.CITE </w:instrText>
      </w:r>
      <w:r>
        <w:rPr>
          <w:rFonts w:cs="Times New Roman"/>
          <w:highlight w:val="none"/>
        </w:rPr>
        <w:fldChar w:fldCharType="begin">
          <w:fldData xml:space="preserve">PEVuZE5vdGU+PENpdGU+PEF1dGhvcj5HYW88L0F1dGhvcj48WWVhcj4yMDIwPC9ZZWFyPjxSZWNO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(Bouchard Damien et al., 2013, Gao et al., 2020)</w:t>
      </w:r>
      <w:r>
        <w:rPr>
          <w:rFonts w:cs="Times New Roman"/>
          <w:highlight w:val="none"/>
        </w:rPr>
        <w:fldChar w:fldCharType="end"/>
      </w:r>
      <w:bookmarkEnd w:id="30"/>
      <w:r>
        <w:rPr>
          <w:rFonts w:hint="eastAsia" w:cs="Times New Roman"/>
          <w:highlight w:val="none"/>
        </w:rPr>
        <w:t>.</w:t>
      </w:r>
      <w:r>
        <w:rPr>
          <w:rFonts w:cs="Times New Roman"/>
          <w:highlight w:val="none"/>
        </w:rPr>
        <w:t xml:space="preserve"> Notably, dietary inulin, as a prebiotic, has also been shown to increase the abundance of beneficial </w:t>
      </w:r>
      <w:r>
        <w:rPr>
          <w:rFonts w:cs="Times New Roman"/>
          <w:i/>
          <w:iCs/>
          <w:highlight w:val="none"/>
        </w:rPr>
        <w:t>Lactobacillus</w:t>
      </w:r>
      <w:r>
        <w:rPr>
          <w:rFonts w:cs="Times New Roman"/>
          <w:highlight w:val="none"/>
        </w:rPr>
        <w:t xml:space="preserve"> in both the rumen and milk microbiota, while reducing mastitis-associated pathogens and inflammatory responses (Wang et al., 2021</w:t>
      </w:r>
      <w:r>
        <w:rPr>
          <w:rFonts w:hint="eastAsia" w:cs="Times New Roman"/>
          <w:highlight w:val="none"/>
          <w:lang w:eastAsia="zh-CN"/>
        </w:rPr>
        <w:t>a</w:t>
      </w:r>
      <w:r>
        <w:rPr>
          <w:rFonts w:cs="Times New Roman"/>
          <w:highlight w:val="none"/>
        </w:rPr>
        <w:t>; Wang et al., 2022).</w:t>
      </w:r>
      <w:r>
        <w:rPr>
          <w:rFonts w:hint="eastAsia" w:cs="Times New Roman"/>
          <w:highlight w:val="none"/>
          <w:lang w:eastAsia="zh-CN"/>
        </w:rPr>
        <w:t xml:space="preserve"> </w:t>
      </w:r>
      <w:r>
        <w:rPr>
          <w:rFonts w:hint="eastAsia" w:cs="Times New Roman"/>
          <w:highlight w:val="none"/>
        </w:rPr>
        <w:t>Additionally, bioactive proteins, such as lactoferrin, are not only potential indicator</w:t>
      </w:r>
      <w:r>
        <w:rPr>
          <w:rFonts w:cs="Times New Roman"/>
          <w:highlight w:val="none"/>
        </w:rPr>
        <w:t>s</w:t>
      </w:r>
      <w:r>
        <w:rPr>
          <w:rFonts w:hint="eastAsia" w:cs="Times New Roman"/>
          <w:highlight w:val="none"/>
        </w:rPr>
        <w:t xml:space="preserve"> for bovine mastitis but also function as immunomodulators, playing a crucial role in the innate immune system </w:t>
      </w:r>
      <w:r>
        <w:rPr>
          <w:rFonts w:cs="Times New Roman"/>
          <w:highlight w:val="none"/>
        </w:rPr>
        <w:fldChar w:fldCharType="begin"/>
      </w:r>
      <w:r>
        <w:rPr>
          <w:rFonts w:cs="Times New Roman"/>
          <w:highlight w:val="none"/>
        </w:rPr>
        <w:instrText xml:space="preserve"> ADDIN EN.CITE &lt;EndNote&gt;&lt;Cite&gt;&lt;Author&gt;Soyeurt&lt;/Author&gt;&lt;Year&gt;2012&lt;/Year&gt;&lt;RecNum&gt;287&lt;/RecNum&gt;&lt;DisplayText&gt;(Soyeurt et al., 2012)&lt;/DisplayText&gt;&lt;record&gt;&lt;rec-number&gt;287&lt;/rec-number&gt;&lt;foreign-keys&gt;&lt;key app="EN" db-id="xwvtz5rea2fr2je0p0uppszgwft92rr5pxdp" timestamp="1740866886"&gt;287&lt;/key&gt;&lt;/foreign-keys&gt;&lt;ref-type name="Journal Article"&gt;17&lt;/ref-type&gt;&lt;contributors&gt;&lt;authors&gt;&lt;author&gt;Soyeurt, Hélène&lt;/author&gt;&lt;author&gt;Bastin, Catherine&lt;/author&gt;&lt;author&gt;Colinet, FG&lt;/author&gt;&lt;author&gt;Arnould, VM-R&lt;/author&gt;&lt;author&gt;Berry, DP&lt;/author&gt;&lt;author&gt;Wall, Eileen&lt;/author&gt;&lt;author&gt;Dehareng, Frédéric&lt;/author&gt;&lt;author&gt;Nguyen, HN&lt;/author&gt;&lt;author&gt;Dardenne, Pierre&lt;/author&gt;&lt;author&gt;Schefers, John&lt;/author&gt;&lt;/authors&gt;&lt;/contributors&gt;&lt;titles&gt;&lt;title&gt;Mid-infrared prediction of lactoferrin content in bovine milk: potential indicator of mastitis&lt;/title&gt;&lt;secondary-title&gt;Animal&lt;/secondary-title&gt;&lt;/titles&gt;&lt;periodical&gt;&lt;full-title&gt;Animal&lt;/full-title&gt;&lt;abbr-1&gt;Animal&lt;/abbr-1&gt;&lt;/periodical&gt;&lt;pages&gt;1830-1838&lt;/pages&gt;&lt;volume&gt;6&lt;/volume&gt;&lt;number&gt;11&lt;/number&gt;&lt;dates&gt;&lt;year&gt;2012&lt;/year&gt;&lt;/dates&gt;&lt;isbn&gt;1751-7311&lt;/isbn&gt;&lt;urls&gt;&lt;/urls&gt;&lt;/record&gt;&lt;/Cite&gt;&lt;/EndNote&gt;</w:instrText>
      </w:r>
      <w:r>
        <w:rPr>
          <w:rFonts w:cs="Times New Roman"/>
          <w:highlight w:val="none"/>
        </w:rPr>
        <w:fldChar w:fldCharType="separate"/>
      </w:r>
      <w:r>
        <w:rPr>
          <w:rFonts w:cs="Times New Roman"/>
          <w:highlight w:val="none"/>
        </w:rPr>
        <w:t>(Soyeurt et al., 2012)</w:t>
      </w:r>
      <w:r>
        <w:rPr>
          <w:rFonts w:cs="Times New Roman"/>
          <w:highlight w:val="none"/>
        </w:rPr>
        <w:fldChar w:fldCharType="end"/>
      </w:r>
      <w:r>
        <w:rPr>
          <w:rFonts w:hint="eastAsia" w:cs="Times New Roman"/>
          <w:highlight w:val="none"/>
        </w:rPr>
        <w:t xml:space="preserve">. They exhibit antimicrobial properties by inhibiting biofilm formation through iron chelation </w:t>
      </w:r>
      <w:r>
        <w:rPr>
          <w:rFonts w:cs="Times New Roman"/>
          <w:highlight w:val="none"/>
        </w:rPr>
        <w:fldChar w:fldCharType="begin"/>
      </w:r>
      <w:r>
        <w:rPr>
          <w:rFonts w:cs="Times New Roman"/>
          <w:highlight w:val="none"/>
        </w:rPr>
        <w:instrText xml:space="preserve"> ADDIN EN.CITE &lt;EndNote&gt;&lt;Cite&gt;&lt;Author&gt;Abd El Hafez&lt;/Author&gt;&lt;Year&gt;2013&lt;/Year&gt;&lt;RecNum&gt;286&lt;/RecNum&gt;&lt;DisplayText&gt;(Abd El Hafez et al., 2013)&lt;/DisplayText&gt;&lt;record&gt;&lt;rec-number&gt;286&lt;/rec-number&gt;&lt;foreign-keys&gt;&lt;key app="EN" db-id="xwvtz5rea2fr2je0p0uppszgwft92rr5pxdp" timestamp="1740866833"&gt;286&lt;/key&gt;&lt;/foreign-keys&gt;&lt;ref-type name="Journal Article"&gt;17&lt;/ref-type&gt;&lt;contributors&gt;&lt;authors&gt;&lt;author&gt;Abd El Hafez, Salama M&lt;/author&gt;&lt;author&gt;Ismael, Alaa B&lt;/author&gt;&lt;author&gt;Mahmoud, Manal B&lt;/author&gt;&lt;author&gt;Elaraby, Abdel-Kader A&lt;/author&gt;&lt;/authors&gt;&lt;/contributors&gt;&lt;titles&gt;&lt;title&gt;Development of new strategy for non-antibiotic therapy: bovine lactoferrin has a potent antimicrobial and immunomodulator effects&lt;/title&gt;&lt;/titles&gt;&lt;dates&gt;&lt;year&gt;2013&lt;/year&gt;&lt;/dates&gt;&lt;urls&gt;&lt;/urls&gt;&lt;/record&gt;&lt;/Cite&gt;&lt;/EndNote&gt;</w:instrText>
      </w:r>
      <w:r>
        <w:rPr>
          <w:rFonts w:cs="Times New Roman"/>
          <w:highlight w:val="none"/>
        </w:rPr>
        <w:fldChar w:fldCharType="separate"/>
      </w:r>
      <w:r>
        <w:rPr>
          <w:rFonts w:cs="Times New Roman"/>
          <w:highlight w:val="none"/>
        </w:rPr>
        <w:t>(Abd El Hafez et al., 2013)</w:t>
      </w:r>
      <w:r>
        <w:rPr>
          <w:rFonts w:cs="Times New Roman"/>
          <w:highlight w:val="none"/>
        </w:rPr>
        <w:fldChar w:fldCharType="end"/>
      </w:r>
      <w:r>
        <w:rPr>
          <w:rFonts w:hint="eastAsia" w:cs="Times New Roman"/>
          <w:highlight w:val="none"/>
        </w:rPr>
        <w:t>. Short-chain fatty acids</w:t>
      </w:r>
      <w:r>
        <w:rPr>
          <w:rFonts w:hint="eastAsia" w:cs="Times New Roman"/>
          <w:highlight w:val="none"/>
          <w:lang w:eastAsia="zh-CN"/>
        </w:rPr>
        <w:t xml:space="preserve"> (SCFAs)</w:t>
      </w:r>
      <w:r>
        <w:rPr>
          <w:rFonts w:hint="eastAsia" w:cs="Times New Roman"/>
          <w:highlight w:val="none"/>
        </w:rPr>
        <w:t xml:space="preserve"> can regulate the adhesion, invasion, and immune evasion of </w:t>
      </w:r>
      <w:r>
        <w:rPr>
          <w:rFonts w:hint="eastAsia" w:cs="Times New Roman"/>
          <w:i/>
          <w:iCs/>
          <w:highlight w:val="none"/>
        </w:rPr>
        <w:t>Staphylococcus aureus</w:t>
      </w:r>
      <w:r>
        <w:rPr>
          <w:rFonts w:hint="eastAsia" w:cs="Times New Roman"/>
          <w:highlight w:val="none"/>
        </w:rPr>
        <w:t xml:space="preserve">, contributing to the prevention of </w:t>
      </w:r>
      <w:r>
        <w:rPr>
          <w:rFonts w:hint="eastAsia" w:cs="Times New Roman"/>
          <w:i/>
          <w:iCs/>
          <w:highlight w:val="none"/>
        </w:rPr>
        <w:t>S. aureus</w:t>
      </w:r>
      <w:r>
        <w:rPr>
          <w:rFonts w:hint="eastAsia" w:cs="Times New Roman"/>
          <w:highlight w:val="none"/>
        </w:rPr>
        <w:t xml:space="preserve">-mediated mastitis </w:t>
      </w:r>
      <w:r>
        <w:rPr>
          <w:rFonts w:cs="Times New Roman"/>
          <w:highlight w:val="none"/>
        </w:rPr>
        <w:fldChar w:fldCharType="begin"/>
      </w:r>
      <w:r>
        <w:rPr>
          <w:rFonts w:cs="Times New Roman"/>
          <w:highlight w:val="none"/>
        </w:rPr>
        <w:instrText xml:space="preserve"> ADDIN EN.CITE &lt;EndNote&gt;&lt;Cite&gt;&lt;Author&gt;Akhtar&lt;/Author&gt;&lt;Year&gt;2022&lt;/Year&gt;&lt;RecNum&gt;288&lt;/RecNum&gt;&lt;DisplayText&gt;(Akhtar et al., 2022)&lt;/DisplayText&gt;&lt;record&gt;&lt;rec-number&gt;288&lt;/rec-number&gt;&lt;foreign-keys&gt;&lt;key app="EN" db-id="xwvtz5rea2fr2je0p0uppszgwft92rr5pxdp" timestamp="1740868138"&gt;288&lt;/key&gt;&lt;/foreign-keys&gt;&lt;ref-type name="Journal Article"&gt;17&lt;/ref-type&gt;&lt;contributors&gt;&lt;authors&gt;&lt;author&gt;Akhtar, Muhammad&lt;/author&gt;&lt;author&gt;Naqvi, Syed Umair-Ali-Shah&lt;/author&gt;&lt;author&gt;Liu, Qiyao&lt;/author&gt;&lt;author&gt;Pan, Hong&lt;/author&gt;&lt;author&gt;Ma, Ziyu&lt;/author&gt;&lt;author&gt;Kong, Na&lt;/author&gt;&lt;author&gt;Chen, Yan&lt;/author&gt;&lt;author&gt;Shi, Deshi&lt;/author&gt;&lt;author&gt;Kulyar, Muhammad Fakhar-e-Alam&lt;/author&gt;&lt;author&gt;Khan, Jawaria Ali&lt;/author&gt;&lt;author&gt;Liu, Huazhen&lt;/author&gt;&lt;/authors&gt;&lt;/contributors&gt;&lt;titles&gt;&lt;title&gt;Short Chain Fatty Acids (SCFAs) Are the Potential Immunomodulatory Metabolites in Controlling Staphylococcus aureus-Mediated Mastitis&lt;/title&gt;&lt;secondary-title&gt;Nutrients&lt;/secondary-title&gt;&lt;/titles&gt;&lt;periodical&gt;&lt;full-title&gt;Nutrients&lt;/full-title&gt;&lt;abbr-1&gt;Nutrients&lt;/abbr-1&gt;&lt;/periodical&gt;&lt;pages&gt;3687&lt;/pages&gt;&lt;volume&gt;14&lt;/volume&gt;&lt;number&gt;18&lt;/number&gt;&lt;dates&gt;&lt;year&gt;2022&lt;/year&gt;&lt;/dates&gt;&lt;isbn&gt;2072-6643&lt;/isbn&gt;&lt;accession-num&gt;doi:10.3390/nu14183687&lt;/accession-num&gt;&lt;urls&gt;&lt;related-urls&gt;&lt;url&gt;https://www.mdpi.com/2072-6643/14/18/3687&lt;/url&gt;&lt;/related-urls&gt;&lt;/urls&gt;&lt;/record&gt;&lt;/Cite&gt;&lt;/EndNote&gt;</w:instrText>
      </w:r>
      <w:r>
        <w:rPr>
          <w:rFonts w:cs="Times New Roman"/>
          <w:highlight w:val="none"/>
        </w:rPr>
        <w:fldChar w:fldCharType="separate"/>
      </w:r>
      <w:r>
        <w:rPr>
          <w:rFonts w:cs="Times New Roman"/>
          <w:highlight w:val="none"/>
        </w:rPr>
        <w:t>(Akhtar et al., 2022)</w:t>
      </w:r>
      <w:r>
        <w:rPr>
          <w:rFonts w:cs="Times New Roman"/>
          <w:highlight w:val="none"/>
        </w:rPr>
        <w:fldChar w:fldCharType="end"/>
      </w:r>
      <w:r>
        <w:rPr>
          <w:rFonts w:hint="eastAsia" w:cs="Times New Roman"/>
          <w:highlight w:val="none"/>
        </w:rPr>
        <w:t xml:space="preserve">. They help maintain the </w:t>
      </w:r>
      <w:r>
        <w:rPr>
          <w:rFonts w:hint="eastAsia" w:cs="Times New Roman"/>
          <w:highlight w:val="none"/>
          <w:lang w:eastAsia="zh-CN"/>
        </w:rPr>
        <w:t>d</w:t>
      </w:r>
      <w:r>
        <w:rPr>
          <w:rFonts w:cs="Times New Roman"/>
          <w:highlight w:val="none"/>
        </w:rPr>
        <w:t>igestive tract</w:t>
      </w:r>
      <w:r>
        <w:rPr>
          <w:rFonts w:hint="eastAsia" w:cs="Times New Roman"/>
          <w:highlight w:val="none"/>
        </w:rPr>
        <w:t xml:space="preserve">-mammary axis balance and prevent mastitis by modulating immune homeostasis </w:t>
      </w:r>
      <w:r>
        <w:rPr>
          <w:rFonts w:cs="Times New Roman"/>
          <w:highlight w:val="none"/>
        </w:rPr>
        <w:fldChar w:fldCharType="begin"/>
      </w:r>
      <w:r>
        <w:rPr>
          <w:rFonts w:cs="Times New Roman"/>
          <w:highlight w:val="none"/>
        </w:rPr>
        <w:instrText xml:space="preserve"> ADDIN EN.CITE &lt;EndNote&gt;&lt;Cite&gt;&lt;Author&gt;Akhtar&lt;/Author&gt;&lt;Year&gt;2022&lt;/Year&gt;&lt;RecNum&gt;288&lt;/RecNum&gt;&lt;DisplayText&gt;(Akhtar et al., 2022)&lt;/DisplayText&gt;&lt;record&gt;&lt;rec-number&gt;288&lt;/rec-number&gt;&lt;foreign-keys&gt;&lt;key app="EN" db-id="xwvtz5rea2fr2je0p0uppszgwft92rr5pxdp" timestamp="1740868138"&gt;288&lt;/key&gt;&lt;/foreign-keys&gt;&lt;ref-type name="Journal Article"&gt;17&lt;/ref-type&gt;&lt;contributors&gt;&lt;authors&gt;&lt;author&gt;Akhtar, Muhammad&lt;/author&gt;&lt;author&gt;Naqvi, Syed Umair-Ali-Shah&lt;/author&gt;&lt;author&gt;Liu, Qiyao&lt;/author&gt;&lt;author&gt;Pan, Hong&lt;/author&gt;&lt;author&gt;Ma, Ziyu&lt;/author&gt;&lt;author&gt;Kong, Na&lt;/author&gt;&lt;author&gt;Chen, Yan&lt;/author&gt;&lt;author&gt;Shi, Deshi&lt;/author&gt;&lt;author&gt;Kulyar, Muhammad Fakhar-e-Alam&lt;/author&gt;&lt;author&gt;Khan, Jawaria Ali&lt;/author&gt;&lt;author&gt;Liu, Huazhen&lt;/author&gt;&lt;/authors&gt;&lt;/contributors&gt;&lt;titles&gt;&lt;title&gt;Short Chain Fatty Acids (SCFAs) Are the Potential Immunomodulatory Metabolites in Controlling Staphylococcus aureus-Mediated Mastitis&lt;/title&gt;&lt;secondary-title&gt;Nutrients&lt;/secondary-title&gt;&lt;/titles&gt;&lt;periodical&gt;&lt;full-title&gt;Nutrients&lt;/full-title&gt;&lt;abbr-1&gt;Nutrients&lt;/abbr-1&gt;&lt;/periodical&gt;&lt;pages&gt;3687&lt;/pages&gt;&lt;volume&gt;14&lt;/volume&gt;&lt;number&gt;18&lt;/number&gt;&lt;dates&gt;&lt;year&gt;2022&lt;/year&gt;&lt;/dates&gt;&lt;isbn&gt;2072-6643&lt;/isbn&gt;&lt;accession-num&gt;doi:10.3390/nu14183687&lt;/accession-num&gt;&lt;urls&gt;&lt;related-urls&gt;&lt;url&gt;https://www.mdpi.com/2072-6643/14/18/3687&lt;/url&gt;&lt;/related-urls&gt;&lt;/urls&gt;&lt;/record&gt;&lt;/Cite&gt;&lt;/EndNote&gt;</w:instrText>
      </w:r>
      <w:r>
        <w:rPr>
          <w:rFonts w:cs="Times New Roman"/>
          <w:highlight w:val="none"/>
        </w:rPr>
        <w:fldChar w:fldCharType="separate"/>
      </w:r>
      <w:r>
        <w:rPr>
          <w:rFonts w:cs="Times New Roman"/>
          <w:highlight w:val="none"/>
        </w:rPr>
        <w:t>(Akhtar et al., 2022)</w:t>
      </w:r>
      <w:r>
        <w:rPr>
          <w:rFonts w:cs="Times New Roman"/>
          <w:highlight w:val="none"/>
        </w:rPr>
        <w:fldChar w:fldCharType="end"/>
      </w:r>
      <w:r>
        <w:rPr>
          <w:rFonts w:hint="eastAsia" w:cs="Times New Roman"/>
          <w:highlight w:val="none"/>
        </w:rPr>
        <w:t xml:space="preserve">. </w:t>
      </w:r>
      <w:r>
        <w:rPr>
          <w:rFonts w:cs="Times New Roman"/>
          <w:highlight w:val="none"/>
        </w:rPr>
        <w:t>M</w:t>
      </w:r>
      <w:r>
        <w:rPr>
          <w:rFonts w:hint="eastAsia" w:cs="Times New Roman"/>
          <w:highlight w:val="none"/>
        </w:rPr>
        <w:t xml:space="preserve">oreover, omega-3 polyunsaturated fatty acids, exhibit antimicrobial and anti-inflammatory effects, contributing to mammary gland health and reducing the </w:t>
      </w:r>
      <w:r>
        <w:rPr>
          <w:rFonts w:cs="Times New Roman"/>
          <w:highlight w:val="none"/>
        </w:rPr>
        <w:t>inflammatory</w:t>
      </w:r>
      <w:r>
        <w:rPr>
          <w:rFonts w:hint="eastAsia" w:cs="Times New Roman"/>
          <w:highlight w:val="none"/>
        </w:rPr>
        <w:t xml:space="preserve"> response induced by LPS </w:t>
      </w:r>
      <w:r>
        <w:rPr>
          <w:rFonts w:cs="Times New Roman"/>
          <w:highlight w:val="none"/>
        </w:rPr>
        <w:fldChar w:fldCharType="begin"/>
      </w:r>
      <w:r>
        <w:rPr>
          <w:rFonts w:cs="Times New Roman"/>
          <w:highlight w:val="none"/>
        </w:rPr>
        <w:instrText xml:space="preserve"> ADDIN EN.CITE &lt;EndNote&gt;&lt;Cite&gt;&lt;Author&gt;Feng&lt;/Author&gt;&lt;Year&gt;2021&lt;/Year&gt;&lt;RecNum&gt;289&lt;/RecNum&gt;&lt;DisplayText&gt;(Feng et al., 2021)&lt;/DisplayText&gt;&lt;record&gt;&lt;rec-number&gt;289&lt;/rec-number&gt;&lt;foreign-keys&gt;&lt;key app="EN" db-id="xwvtz5rea2fr2je0p0uppszgwft92rr5pxdp" timestamp="1740868551"&gt;289&lt;/key&gt;&lt;/foreign-keys&gt;&lt;ref-type name="Journal Article"&gt;17&lt;/ref-type&gt;&lt;contributors&gt;&lt;authors&gt;&lt;author&gt;Feng, Jiaxin&lt;/author&gt;&lt;author&gt;Wang, Qianwen&lt;/author&gt;&lt;author&gt;Yang, Wei&lt;/author&gt;&lt;author&gt;Liu, Jun&lt;/author&gt;&lt;author&gt;Gao, Ming-Qing&lt;/author&gt;&lt;/authors&gt;&lt;/contributors&gt;&lt;titles&gt;&lt;title&gt;Omega-3 polyunsaturated fatty acids ameliorated inflammatory response of mammary epithelial cells and mammary gland induced by lipopolysaccharide&lt;/title&gt;&lt;secondary-title&gt;Acta Biochimica et Biophysica Sinica&lt;/secondary-title&gt;&lt;/titles&gt;&lt;periodical&gt;&lt;full-title&gt;Acta Biochimica Et Biophysica Sinica&lt;/full-title&gt;&lt;abbr-1&gt;Acta Bioch Bioph Sin&lt;/abbr-1&gt;&lt;/periodical&gt;&lt;pages&gt;1142-1153&lt;/pages&gt;&lt;volume&gt;53&lt;/volume&gt;&lt;number&gt;9&lt;/number&gt;&lt;dates&gt;&lt;year&gt;2021&lt;/year&gt;&lt;/dates&gt;&lt;isbn&gt;1745-7270&lt;/isbn&gt;&lt;urls&gt;&lt;related-urls&gt;&lt;url&gt;https://doi.org/10.1093/abbs/gmab100&lt;/url&gt;&lt;/related-urls&gt;&lt;/urls&gt;&lt;electronic-resource-num&gt;10.1093/abbs/gmab100&lt;/electronic-resource-num&gt;&lt;access-date&gt;3/1/2025&lt;/access-date&gt;&lt;/record&gt;&lt;/Cite&gt;&lt;/EndNote&gt;</w:instrText>
      </w:r>
      <w:r>
        <w:rPr>
          <w:rFonts w:cs="Times New Roman"/>
          <w:highlight w:val="none"/>
        </w:rPr>
        <w:fldChar w:fldCharType="separate"/>
      </w:r>
      <w:r>
        <w:rPr>
          <w:rFonts w:cs="Times New Roman"/>
          <w:highlight w:val="none"/>
        </w:rPr>
        <w:t>(Feng et al., 2021)</w:t>
      </w:r>
      <w:r>
        <w:rPr>
          <w:rFonts w:cs="Times New Roman"/>
          <w:highlight w:val="none"/>
        </w:rPr>
        <w:fldChar w:fldCharType="end"/>
      </w:r>
      <w:r>
        <w:rPr>
          <w:rFonts w:hint="eastAsia" w:cs="Times New Roman"/>
          <w:highlight w:val="none"/>
        </w:rPr>
        <w:t>. Organic minerals, such as zinc, copper and selenium, play essential roles in immune function and oxidative stress reduction, thereby enhancing the cow</w:t>
      </w:r>
      <w:r>
        <w:rPr>
          <w:rFonts w:cs="Times New Roman"/>
          <w:highlight w:val="none"/>
          <w:lang w:eastAsia="zh-CN"/>
        </w:rPr>
        <w:t>’</w:t>
      </w:r>
      <w:r>
        <w:rPr>
          <w:rFonts w:hint="eastAsia" w:cs="Times New Roman"/>
          <w:highlight w:val="none"/>
          <w:lang w:eastAsia="zh-CN"/>
        </w:rPr>
        <w:t>s</w:t>
      </w:r>
      <w:r>
        <w:rPr>
          <w:rFonts w:hint="eastAsia" w:cs="Times New Roman"/>
          <w:highlight w:val="none"/>
        </w:rPr>
        <w:t xml:space="preserve"> resistance to infections </w:t>
      </w:r>
      <w:r>
        <w:rPr>
          <w:rFonts w:cs="Times New Roman"/>
          <w:highlight w:val="none"/>
        </w:rPr>
        <w:fldChar w:fldCharType="begin"/>
      </w:r>
      <w:r>
        <w:rPr>
          <w:rFonts w:cs="Times New Roman"/>
          <w:highlight w:val="none"/>
        </w:rPr>
        <w:instrText xml:space="preserve"> ADDIN EN.CITE &lt;EndNote&gt;&lt;Cite&gt;&lt;Author&gt;Libera&lt;/Author&gt;&lt;Year&gt;2021&lt;/Year&gt;&lt;RecNum&gt;290&lt;/RecNum&gt;&lt;DisplayText&gt;(Libera et al., 2021)&lt;/DisplayText&gt;&lt;record&gt;&lt;rec-number&gt;290&lt;/rec-number&gt;&lt;foreign-keys&gt;&lt;key app="EN" db-id="xwvtz5rea2fr2je0p0uppszgwft92rr5pxdp" timestamp="1740869131"&gt;290&lt;/key&gt;&lt;/foreign-keys&gt;&lt;ref-type name="Journal Article"&gt;17&lt;/ref-type&gt;&lt;contributors&gt;&lt;authors&gt;&lt;author&gt;Libera, Kacper&lt;/author&gt;&lt;author&gt;Konieczny, Kacper&lt;/author&gt;&lt;author&gt;Witkowska, Katarzyna&lt;/author&gt;&lt;author&gt;Żurek, Katarzyna&lt;/author&gt;&lt;author&gt;Szumacher-Strabel, Małgorzata&lt;/author&gt;&lt;author&gt;Cieslak, Adam&lt;/author&gt;&lt;author&gt;Smulski, Sebastian&lt;/author&gt;&lt;/authors&gt;&lt;/contributors&gt;&lt;titles&gt;&lt;title&gt;The Association between Selected Dietary Minerals and Mastitis in Dairy Cows—A Review&lt;/title&gt;&lt;secondary-title&gt;Animals&lt;/secondary-title&gt;&lt;/titles&gt;&lt;periodical&gt;&lt;full-title&gt;Animals&lt;/full-title&gt;&lt;abbr-1&gt;Animals-Basel&lt;/abbr-1&gt;&lt;/periodical&gt;&lt;pages&gt;2330&lt;/pages&gt;&lt;volume&gt;11&lt;/volume&gt;&lt;number&gt;8&lt;/number&gt;&lt;dates&gt;&lt;year&gt;2021&lt;/year&gt;&lt;/dates&gt;&lt;isbn&gt;2076-2615&lt;/isbn&gt;&lt;accession-num&gt;doi:10.3390/ani11082330&lt;/accession-num&gt;&lt;urls&gt;&lt;related-urls&gt;&lt;url&gt;https://www.mdpi.com/2076-2615/11/8/2330&lt;/url&gt;&lt;/related-urls&gt;&lt;/urls&gt;&lt;/record&gt;&lt;/Cite&gt;&lt;/EndNote&gt;</w:instrText>
      </w:r>
      <w:r>
        <w:rPr>
          <w:rFonts w:cs="Times New Roman"/>
          <w:highlight w:val="none"/>
        </w:rPr>
        <w:fldChar w:fldCharType="separate"/>
      </w:r>
      <w:r>
        <w:rPr>
          <w:rFonts w:cs="Times New Roman"/>
          <w:highlight w:val="none"/>
        </w:rPr>
        <w:t>(Libera et al., 2021)</w:t>
      </w:r>
      <w:r>
        <w:rPr>
          <w:rFonts w:cs="Times New Roman"/>
          <w:highlight w:val="none"/>
        </w:rPr>
        <w:fldChar w:fldCharType="end"/>
      </w:r>
      <w:r>
        <w:rPr>
          <w:rFonts w:hint="eastAsia" w:cs="Times New Roman"/>
          <w:highlight w:val="none"/>
        </w:rPr>
        <w:t>. Furthermore, enzymes, such as lysozyme</w:t>
      </w:r>
      <w:r>
        <w:rPr>
          <w:rFonts w:cs="Times New Roman"/>
          <w:highlight w:val="none"/>
        </w:rPr>
        <w:t>s</w:t>
      </w:r>
      <w:r>
        <w:rPr>
          <w:rFonts w:hint="eastAsia" w:cs="Times New Roman"/>
          <w:highlight w:val="none"/>
        </w:rPr>
        <w:t xml:space="preserve"> and proteases, can inhibit bacterial growth, participate in mammary tissue damage and inflammation, and enhance the efficacy of other antimicrobial compounds </w:t>
      </w:r>
      <w:r>
        <w:rPr>
          <w:rFonts w:cs="Times New Roman"/>
          <w:highlight w:val="none"/>
        </w:rPr>
        <w:fldChar w:fldCharType="begin">
          <w:fldData xml:space="preserve">PEVuZE5vdGU+PENpdGU+PEF1dGhvcj5DYXJsc3NvbjwvQXV0aG9yPjxZZWFyPjE5ODk8L1llYXI+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==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PEVuZE5vdGU+PENpdGU+PEF1dGhvcj5DYXJsc3NvbjwvQXV0aG9yPjxZZWFyPjE5ODk8L1llYXI+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==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(Carlsson et al., 1989, Mehrzad et al., 2005, Bakeš and Illek, 2006)</w:t>
      </w:r>
      <w:r>
        <w:rPr>
          <w:rFonts w:cs="Times New Roman"/>
          <w:highlight w:val="none"/>
        </w:rPr>
        <w:fldChar w:fldCharType="end"/>
      </w:r>
      <w:r>
        <w:rPr>
          <w:rFonts w:hint="eastAsia" w:cs="Times New Roman"/>
          <w:highlight w:val="none"/>
        </w:rPr>
        <w:t>.</w:t>
      </w:r>
    </w:p>
    <w:p w14:paraId="5CC7A7D6">
      <w:pPr>
        <w:rPr>
          <w:rFonts w:cs="Times New Roman"/>
          <w:highlight w:val="none"/>
        </w:rPr>
      </w:pPr>
      <w:r>
        <w:rPr>
          <w:rFonts w:hint="eastAsia" w:cs="Times New Roman"/>
          <w:highlight w:val="none"/>
        </w:rPr>
        <w:t xml:space="preserve">Various plants have been shown to possess antimicrobial properties and can also reduce inflammation triggered by pathogens or endotoxins by modulating </w:t>
      </w:r>
      <w:r>
        <w:rPr>
          <w:rFonts w:cs="Times New Roman"/>
          <w:highlight w:val="none"/>
        </w:rPr>
        <w:t>NF-κB</w:t>
      </w:r>
      <w:r>
        <w:rPr>
          <w:rFonts w:hint="eastAsia" w:cs="Times New Roman"/>
          <w:highlight w:val="none"/>
        </w:rPr>
        <w:t xml:space="preserve"> pathways </w:t>
      </w:r>
      <w:r>
        <w:rPr>
          <w:rFonts w:cs="Times New Roman"/>
          <w:highlight w:val="none"/>
        </w:rPr>
        <w:fldChar w:fldCharType="begin"/>
      </w:r>
      <w:r>
        <w:rPr>
          <w:rFonts w:cs="Times New Roman"/>
          <w:highlight w:val="none"/>
        </w:rPr>
        <w:instrText xml:space="preserve"> ADDIN EN.CITE &lt;EndNote&gt;&lt;Cite&gt;&lt;Author&gt;Cheng&lt;/Author&gt;&lt;Year&gt;2020&lt;/Year&gt;&lt;RecNum&gt;294&lt;/RecNum&gt;&lt;DisplayText&gt;(Cheng and Han, 2020)&lt;/DisplayText&gt;&lt;record&gt;&lt;rec-number&gt;294&lt;/rec-number&gt;&lt;foreign-keys&gt;&lt;key app="EN" db-id="xwvtz5rea2fr2je0p0uppszgwft92rr5pxdp" timestamp="1740871291"&gt;294&lt;/key&gt;&lt;/foreign-keys&gt;&lt;ref-type name="Journal Article"&gt;17&lt;/ref-type&gt;&lt;contributors&gt;&lt;authors&gt;&lt;author&gt;Cheng, W. N.&lt;/author&gt;&lt;author&gt;Han, S. G.&lt;/author&gt;&lt;/authors&gt;&lt;/contributors&gt;&lt;auth-address&gt;Department of Food Science and Biotechnology of Animal Resources, Konkuk University, Seoul 05029, Korea.&lt;/auth-address&gt;&lt;titles&gt;&lt;title&gt;Bovine mastitis: risk factors, therapeutic strategies, and alternative treatments - A review&lt;/title&gt;&lt;secondary-title&gt;Asian-Australas J Anim Sci&lt;/secondary-title&gt;&lt;/titles&gt;&lt;periodical&gt;&lt;full-title&gt;Asian-Australas J Anim Sci&lt;/full-title&gt;&lt;/periodical&gt;&lt;pages&gt;1699-1713&lt;/pages&gt;&lt;volume&gt;33&lt;/volume&gt;&lt;number&gt;11&lt;/number&gt;&lt;edition&gt;20200512&lt;/edition&gt;&lt;keywords&gt;&lt;keyword&gt;Alternative Bovine Mastitis Treatment&lt;/keyword&gt;&lt;keyword&gt;Antibiotic&lt;/keyword&gt;&lt;keyword&gt;Bacteria&lt;/keyword&gt;&lt;keyword&gt;Bovine Mastitis&lt;/keyword&gt;&lt;keyword&gt;Dairy Cow&lt;/keyword&gt;&lt;keyword&gt;Natural Products&lt;/keyword&gt;&lt;/keywords&gt;&lt;dates&gt;&lt;year&gt;2020&lt;/year&gt;&lt;pub-dates&gt;&lt;date&gt;Nov&lt;/date&gt;&lt;/pub-dates&gt;&lt;/dates&gt;&lt;isbn&gt;1011-2367 (Print)&amp;#xD;1011-2367&lt;/isbn&gt;&lt;accession-num&gt;32777908&lt;/accession-num&gt;&lt;urls&gt;&lt;/urls&gt;&lt;custom1&gt;CONFLICT OF INTEREST We certify that there is no conflict of interest with any financial organization regarding the material discussed in the manuscript.&lt;/custom1&gt;&lt;custom2&gt;PMC7649072&lt;/custom2&gt;&lt;electronic-resource-num&gt;10.5713/ajas.20.0156&lt;/electronic-resource-num&gt;&lt;remote-database-provider&gt;NLM&lt;/remote-database-provider&gt;&lt;language&gt;eng&lt;/language&gt;&lt;/record&gt;&lt;/Cite&gt;&lt;/EndNote&gt;</w:instrText>
      </w:r>
      <w:r>
        <w:rPr>
          <w:rFonts w:cs="Times New Roman"/>
          <w:highlight w:val="none"/>
        </w:rPr>
        <w:fldChar w:fldCharType="separate"/>
      </w:r>
      <w:r>
        <w:rPr>
          <w:rFonts w:cs="Times New Roman"/>
          <w:highlight w:val="none"/>
        </w:rPr>
        <w:t>(Cheng and Han, 2020)</w:t>
      </w:r>
      <w:r>
        <w:rPr>
          <w:rFonts w:cs="Times New Roman"/>
          <w:highlight w:val="none"/>
        </w:rPr>
        <w:fldChar w:fldCharType="end"/>
      </w:r>
      <w:r>
        <w:rPr>
          <w:rFonts w:hint="eastAsia" w:cs="Times New Roman"/>
          <w:highlight w:val="none"/>
        </w:rPr>
        <w:t xml:space="preserve">. Among plant-derived compounds, essential oils, flavonoids, and phenolic compounds like thymol and resveratrol have gained significant attention due to their broad-spectrum antimicrobial properties, antioxidative and anti-inflammatory effects, and ability to modulate immune responses. </w:t>
      </w:r>
      <w:r>
        <w:rPr>
          <w:rFonts w:cs="Times New Roman"/>
          <w:highlight w:val="none"/>
        </w:rPr>
        <w:fldChar w:fldCharType="begin">
          <w:fldData xml:space="preserve">PEVuZE5vdGU+PENpdGU+PEF1dGhvcj5Mb3BlczwvQXV0aG9yPjxZZWFyPjIwMjA8L1llYXI+PFJl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==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PEVuZE5vdGU+PENpdGU+PEF1dGhvcj5Mb3BlczwvQXV0aG9yPjxZZWFyPjIwMjA8L1llYXI+PFJl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==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(He et al., 2015, Cheng and Han, 2020, Lopes et al., 2020)</w:t>
      </w:r>
      <w:r>
        <w:rPr>
          <w:rFonts w:cs="Times New Roman"/>
          <w:highlight w:val="none"/>
        </w:rPr>
        <w:fldChar w:fldCharType="end"/>
      </w:r>
      <w:r>
        <w:rPr>
          <w:rFonts w:hint="eastAsia" w:cs="Times New Roman"/>
          <w:highlight w:val="none"/>
        </w:rPr>
        <w:t>. These phytochemicals can disrupt bacterial cell walls, suppress inflammatory pathways, making them promising candidates for mastitis control. Collectively, these functional feed additives offer a multifaceted approach to mastitis prevention and treatment, supporting sustainable dairy farming while minimizing the risks associated with antibiotic use.</w:t>
      </w:r>
    </w:p>
    <w:p w14:paraId="426332DD">
      <w:pPr>
        <w:pStyle w:val="3"/>
        <w:rPr>
          <w:highlight w:val="none"/>
        </w:rPr>
      </w:pPr>
      <w:bookmarkStart w:id="31" w:name="_Toc207979743"/>
      <w:r>
        <w:rPr>
          <w:highlight w:val="none"/>
        </w:rPr>
        <w:t>Extracellular vesicles and extracellular vesicles RNAs</w:t>
      </w:r>
      <w:bookmarkEnd w:id="31"/>
    </w:p>
    <w:p w14:paraId="36E1393A">
      <w:pPr>
        <w:pStyle w:val="4"/>
        <w:rPr>
          <w:highlight w:val="none"/>
          <w:lang w:eastAsia="fr-FR"/>
        </w:rPr>
      </w:pPr>
      <w:bookmarkStart w:id="32" w:name="_Toc207979744"/>
      <w:bookmarkStart w:id="33" w:name="_Hlk195143145"/>
      <w:r>
        <w:rPr>
          <w:highlight w:val="none"/>
          <w:lang w:eastAsia="fr-FR"/>
        </w:rPr>
        <w:t>Extracellular vesicles</w:t>
      </w:r>
      <w:bookmarkEnd w:id="32"/>
    </w:p>
    <w:bookmarkEnd w:id="33"/>
    <w:p w14:paraId="2DF3F24A">
      <w:pPr>
        <w:rPr>
          <w:rFonts w:cs="Times New Roman"/>
          <w:highlight w:val="none"/>
        </w:rPr>
      </w:pPr>
      <w:r>
        <w:rPr>
          <w:rFonts w:cs="Times New Roman"/>
          <w:highlight w:val="none"/>
        </w:rPr>
        <w:t xml:space="preserve">Extracellular vesicles (EVs) are membrane-bound particles secreted by cells into the extracellular space, playing a vital role in intercellular communication. </w:t>
      </w:r>
      <w:r>
        <w:rPr>
          <w:rFonts w:hint="eastAsia" w:cs="Times New Roman"/>
          <w:highlight w:val="none"/>
        </w:rPr>
        <w:t xml:space="preserve">As shown in Fig. </w:t>
      </w:r>
      <w:r>
        <w:rPr>
          <w:rFonts w:hint="eastAsia" w:cs="Times New Roman"/>
          <w:highlight w:val="none"/>
          <w:lang w:eastAsia="zh-CN"/>
        </w:rPr>
        <w:t>1-</w:t>
      </w:r>
      <w:r>
        <w:rPr>
          <w:rFonts w:hint="eastAsia" w:cs="Times New Roman"/>
          <w:highlight w:val="none"/>
        </w:rPr>
        <w:t>1, t</w:t>
      </w:r>
      <w:r>
        <w:rPr>
          <w:rFonts w:cs="Times New Roman"/>
          <w:highlight w:val="none"/>
        </w:rPr>
        <w:t xml:space="preserve">hey can carry proteins, lipids, RNA, and other bioactive molecules, influencing various biological processes </w:t>
      </w:r>
      <w:r>
        <w:rPr>
          <w:rFonts w:cs="Times New Roman"/>
          <w:highlight w:val="none"/>
        </w:rPr>
        <w:fldChar w:fldCharType="begin">
          <w:fldData xml:space="preserve">PEVuZE5vdGU+PENpdGU+PEF1dGhvcj5TdG9vcnZvZ2VsPC9BdXRob3I+PFllYXI+MjAwMjwvWWVh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PEVuZE5vdGU+PENpdGU+PEF1dGhvcj5TdG9vcnZvZ2VsPC9BdXRob3I+PFllYXI+MjAwMjwvWWVh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(Stoorvogel et al., 2002)</w:t>
      </w:r>
      <w:r>
        <w:rPr>
          <w:rFonts w:cs="Times New Roman"/>
          <w:highlight w:val="none"/>
        </w:rPr>
        <w:fldChar w:fldCharType="end"/>
      </w:r>
      <w:r>
        <w:rPr>
          <w:rFonts w:cs="Times New Roman"/>
          <w:highlight w:val="none"/>
        </w:rPr>
        <w:t xml:space="preserve">. In the context of animal husbandry, EVs are being explored for their potential in improving livestock health, enhancing immune function, and promoting tissue repair. Their ability to transport signaling molecules and regulate immune responses makes them a promising tool for managing diseases and improving productivity in livestock, with potential applications in disease diagnostics, treatment, and vaccine development </w:t>
      </w:r>
      <w:r>
        <w:rPr>
          <w:rFonts w:cs="Times New Roman"/>
          <w:highlight w:val="none"/>
        </w:rPr>
        <w:fldChar w:fldCharType="begin">
          <w:fldData xml:space="preserve">PEVuZE5vdGU+PENpdGU+PEF1dGhvcj5Db2xpdHRpPC9BdXRob3I+PFllYXI+MjAyMDwvWWVhcj48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</w:fldData>
        </w:fldChar>
      </w:r>
      <w:r>
        <w:rPr>
          <w:rFonts w:cs="Times New Roman"/>
          <w:highlight w:val="none"/>
        </w:rPr>
        <w:instrText xml:space="preserve"> ADDIN EN.CITE </w:instrText>
      </w:r>
      <w:r>
        <w:rPr>
          <w:rFonts w:cs="Times New Roman"/>
          <w:highlight w:val="none"/>
        </w:rPr>
        <w:fldChar w:fldCharType="begin">
          <w:fldData xml:space="preserve">PEVuZE5vdGU+PENpdGU+PEF1dGhvcj5Db2xpdHRpPC9BdXRob3I+PFllYXI+MjAyMDwvWWVhcj48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(Munagala et al., 2016, Colitti et al., 2020, Mecocci et al., 2021)</w:t>
      </w:r>
      <w:r>
        <w:rPr>
          <w:rFonts w:cs="Times New Roman"/>
          <w:highlight w:val="none"/>
        </w:rPr>
        <w:fldChar w:fldCharType="end"/>
      </w:r>
      <w:r>
        <w:rPr>
          <w:rFonts w:cs="Times New Roman"/>
          <w:highlight w:val="none"/>
        </w:rPr>
        <w:t>.</w:t>
      </w:r>
    </w:p>
    <w:p w14:paraId="20CC8834">
      <w:pPr>
        <w:jc w:val="center"/>
        <w:rPr>
          <w:rFonts w:cs="Times New Roman"/>
          <w:highlight w:val="none"/>
          <w:lang w:eastAsia="zh-CN"/>
        </w:rPr>
      </w:pPr>
      <w:r>
        <w:rPr>
          <w:rFonts w:cs="Times New Roman"/>
          <w:highlight w:val="none"/>
        </w:rPr>
        <w:drawing>
          <wp:inline distT="0" distB="0" distL="0" distR="0">
            <wp:extent cx="2385060" cy="2092960"/>
            <wp:effectExtent l="0" t="0" r="0" b="2540"/>
            <wp:docPr id="21023873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87306" name="图片 4"/>
                    <pic:cNvPicPr>
                      <a:picLocks noChangeAspect="1"/>
                    </pic:cNvPicPr>
                  </pic:nvPicPr>
                  <pic:blipFill>
                    <a:blip r:embed="rId55" cstate="print">
                      <a:extLst>
                        <a:ext uri="{28A0092B-C50C-407E-A947-70E740481C1C}">
                          <a14:useLocalDpi xmlns:a14="http://schemas.microsoft.com/office/drawing/2010/main" val="0"/>
                        </a:ext>
                      </a:extLst>
                    </a:blip>
                    <a:srcRect l="33360" t="30785" r="27500" b="10848"/>
                    <a:stretch>
                      <a:fillRect/>
                    </a:stretch>
                  </pic:blipFill>
                  <pic:spPr>
                    <a:xfrm>
                      <a:off x="0" y="0"/>
                      <a:ext cx="2399814" cy="2106294"/>
                    </a:xfrm>
                    <a:prstGeom prst="rect">
                      <a:avLst/>
                    </a:prstGeom>
                  </pic:spPr>
                </pic:pic>
              </a:graphicData>
            </a:graphic>
          </wp:inline>
        </w:drawing>
      </w:r>
    </w:p>
    <w:p w14:paraId="3502A413">
      <w:pPr>
        <w:pStyle w:val="11"/>
        <w:rPr>
          <w:highlight w:val="none"/>
          <w:lang w:val="en-US"/>
        </w:rPr>
      </w:pPr>
      <w:bookmarkStart w:id="34" w:name="_Toc207982989"/>
      <w:bookmarkStart w:id="35" w:name="OLE_LINK6"/>
      <w:r>
        <w:rPr>
          <w:b/>
          <w:bCs w:val="0"/>
          <w:sz w:val="22"/>
          <w:szCs w:val="21"/>
          <w:highlight w:val="none"/>
          <w:lang w:val="en-US"/>
        </w:rPr>
        <w:t xml:space="preserve">Figure </w:t>
      </w:r>
      <w:r>
        <w:rPr>
          <w:b/>
          <w:bCs w:val="0"/>
          <w:sz w:val="22"/>
          <w:szCs w:val="21"/>
          <w:highlight w:val="none"/>
          <w:lang w:val="en-US"/>
        </w:rPr>
        <w:fldChar w:fldCharType="begin"/>
      </w:r>
      <w:r>
        <w:rPr>
          <w:b/>
          <w:bCs w:val="0"/>
          <w:sz w:val="22"/>
          <w:szCs w:val="21"/>
          <w:highlight w:val="none"/>
          <w:lang w:val="en-US"/>
        </w:rPr>
        <w:instrText xml:space="preserve"> STYLEREF 1 \s </w:instrText>
      </w:r>
      <w:r>
        <w:rPr>
          <w:b/>
          <w:bCs w:val="0"/>
          <w:sz w:val="22"/>
          <w:szCs w:val="21"/>
          <w:highlight w:val="none"/>
          <w:lang w:val="en-US"/>
        </w:rPr>
        <w:fldChar w:fldCharType="separate"/>
      </w:r>
      <w:r>
        <w:rPr>
          <w:b/>
          <w:bCs w:val="0"/>
          <w:sz w:val="22"/>
          <w:szCs w:val="21"/>
          <w:highlight w:val="none"/>
          <w:lang w:val="en-US"/>
        </w:rPr>
        <w:t>1</w:t>
      </w:r>
      <w:r>
        <w:rPr>
          <w:b/>
          <w:bCs w:val="0"/>
          <w:sz w:val="22"/>
          <w:szCs w:val="21"/>
          <w:highlight w:val="none"/>
          <w:lang w:val="en-US"/>
        </w:rPr>
        <w:fldChar w:fldCharType="end"/>
      </w:r>
      <w:r>
        <w:rPr>
          <w:b/>
          <w:bCs w:val="0"/>
          <w:sz w:val="22"/>
          <w:szCs w:val="21"/>
          <w:highlight w:val="none"/>
          <w:lang w:val="en-US"/>
        </w:rPr>
        <w:noBreakHyphen/>
      </w:r>
      <w:r>
        <w:rPr>
          <w:b/>
          <w:bCs w:val="0"/>
          <w:sz w:val="22"/>
          <w:szCs w:val="21"/>
          <w:highlight w:val="none"/>
          <w:lang w:val="en-US"/>
        </w:rPr>
        <w:fldChar w:fldCharType="begin"/>
      </w:r>
      <w:r>
        <w:rPr>
          <w:b/>
          <w:bCs w:val="0"/>
          <w:sz w:val="22"/>
          <w:szCs w:val="21"/>
          <w:highlight w:val="none"/>
          <w:lang w:val="en-US"/>
        </w:rPr>
        <w:instrText xml:space="preserve"> SEQ Figure \* ARABIC \s 1 </w:instrText>
      </w:r>
      <w:r>
        <w:rPr>
          <w:b/>
          <w:bCs w:val="0"/>
          <w:sz w:val="22"/>
          <w:szCs w:val="21"/>
          <w:highlight w:val="none"/>
          <w:lang w:val="en-US"/>
        </w:rPr>
        <w:fldChar w:fldCharType="separate"/>
      </w:r>
      <w:r>
        <w:rPr>
          <w:b/>
          <w:bCs w:val="0"/>
          <w:sz w:val="22"/>
          <w:szCs w:val="21"/>
          <w:highlight w:val="none"/>
          <w:lang w:val="en-US"/>
        </w:rPr>
        <w:t>1</w:t>
      </w:r>
      <w:r>
        <w:rPr>
          <w:b/>
          <w:bCs w:val="0"/>
          <w:sz w:val="22"/>
          <w:szCs w:val="21"/>
          <w:highlight w:val="none"/>
          <w:lang w:val="en-US"/>
        </w:rPr>
        <w:fldChar w:fldCharType="end"/>
      </w:r>
      <w:r>
        <w:rPr>
          <w:b/>
          <w:bCs w:val="0"/>
          <w:sz w:val="22"/>
          <w:szCs w:val="21"/>
          <w:highlight w:val="none"/>
          <w:lang w:val="en-US"/>
        </w:rPr>
        <w:t>:</w:t>
      </w:r>
      <w:r>
        <w:rPr>
          <w:highlight w:val="none"/>
          <w:lang w:val="en-US"/>
        </w:rPr>
        <w:t xml:space="preserve"> Extracellular Vesicle Transfer of Molecular Cargo Between Cells. Endosomal vesicles form in donor cells, where biomolecules like proteins, lipids, and RNA are selectively packaged and matured into multivesicular bodies. These vesicles are released when multivesicular bodies fuse with the plasma membrane. Target cells take up vesicles via fusion, endocytosis, or receptors. The vesicles release their contents, influencing the target cell's behavior and signaling. Adapted from Zempleni et al. </w:t>
      </w:r>
      <w:r>
        <w:rPr>
          <w:rFonts w:hint="eastAsia"/>
          <w:highlight w:val="none"/>
          <w:lang w:val="en-US" w:eastAsia="zh-CN"/>
        </w:rPr>
        <w:t>(</w:t>
      </w:r>
      <w:r>
        <w:rPr>
          <w:highlight w:val="none"/>
          <w:lang w:val="en-US"/>
        </w:rPr>
        <w:t>2019).</w:t>
      </w:r>
      <w:bookmarkEnd w:id="34"/>
    </w:p>
    <w:bookmarkEnd w:id="35"/>
    <w:p w14:paraId="255BE1AE">
      <w:pPr>
        <w:pStyle w:val="5"/>
        <w:rPr>
          <w:highlight w:val="none"/>
          <w:lang w:val="en-US" w:eastAsia="fr-FR"/>
        </w:rPr>
      </w:pPr>
      <w:r>
        <w:rPr>
          <w:highlight w:val="none"/>
          <w:lang w:val="en-US" w:eastAsia="fr-FR"/>
        </w:rPr>
        <w:t>Origin of extracellular vesicles</w:t>
      </w:r>
    </w:p>
    <w:p w14:paraId="5804ACC1">
      <w:pPr>
        <w:rPr>
          <w:rStyle w:val="93"/>
          <w:rFonts w:cs="Times New Roman"/>
          <w:highlight w:val="none"/>
        </w:rPr>
      </w:pPr>
      <w:r>
        <w:rPr>
          <w:rStyle w:val="93"/>
          <w:rFonts w:cs="Times New Roman"/>
          <w:highlight w:val="none"/>
        </w:rPr>
        <w:t>EVs are membrane-bound particles released by cells into the extracellular space (Stoorvogel et al., 2002). They are produced by almost all cell types, including epithelial cells, immune cells, and stem cells, and are found in many biological fluids such as blood, saliva, urine, and milk (Fyfe et al., 2023). EVs are generally classified into three main types based on their size, biogenesis, and content : small EVs (sEVs), medium EVs, and large EVs (Théry et al., 2018).</w:t>
      </w:r>
    </w:p>
    <w:p w14:paraId="46643D75">
      <w:pPr>
        <w:rPr>
          <w:rStyle w:val="93"/>
          <w:rFonts w:cs="Times New Roman"/>
          <w:highlight w:val="none"/>
        </w:rPr>
      </w:pPr>
      <w:r>
        <w:rPr>
          <w:rStyle w:val="93"/>
          <w:rFonts w:cs="Times New Roman"/>
          <w:highlight w:val="none"/>
        </w:rPr>
        <w:t>sEVs are the smallest type of EVs, typically ranging from 30 to 200 nanometers in diameter (Théry et al., 2018). They originate from the inward budding of late endosomes, which form multivesicular bodies (Stoorvogel et al., 2002). These multivesicular bodies can either fuse with the plasma membrane, releasing sEVs into the extracellular environment, or be degraded within the cell (Stoorvogel et al., 2002). sEVs are known to carry a variety of bioactive molecules, including proteins, lipids, RNA, and DNA, which they can deliver to recipient cells, playing a crucial role in intercellular communication (Stoorvogel et al., 2002, Ong et al., 2021).</w:t>
      </w:r>
    </w:p>
    <w:p w14:paraId="56953AA3">
      <w:pPr>
        <w:rPr>
          <w:rStyle w:val="93"/>
          <w:rFonts w:cs="Times New Roman"/>
          <w:highlight w:val="none"/>
        </w:rPr>
      </w:pPr>
      <w:r>
        <w:rPr>
          <w:rStyle w:val="93"/>
          <w:rFonts w:cs="Times New Roman"/>
          <w:highlight w:val="none"/>
        </w:rPr>
        <w:t>Medium and large EVs, typically larger than 200 nanometers in diameter, are formed by the outward budding and fission of the plasma membrane, a process that often occurs under conditions of cellular stress or activation (Chatterjee et al., 2020, Fyfe et al., 2023). Medium and large EVs are rich in cellular proteins and nucleic acids and, like sEVs, they participate in cell-to-cell communication by transferring these components to neighboring cells (Stoorvogel et al., 2002).</w:t>
      </w:r>
    </w:p>
    <w:p w14:paraId="07665A5A">
      <w:pPr>
        <w:pStyle w:val="5"/>
        <w:rPr>
          <w:highlight w:val="none"/>
          <w:lang w:val="en-US" w:eastAsia="fr-FR"/>
        </w:rPr>
      </w:pPr>
      <w:r>
        <w:rPr>
          <w:highlight w:val="none"/>
          <w:lang w:val="en-US" w:eastAsia="fr-FR"/>
        </w:rPr>
        <w:t xml:space="preserve">Function of </w:t>
      </w:r>
      <w:r>
        <w:rPr>
          <w:highlight w:val="none"/>
          <w:lang w:eastAsia="fr-FR"/>
        </w:rPr>
        <w:t>extracellular vesicles</w:t>
      </w:r>
    </w:p>
    <w:p w14:paraId="3970735E">
      <w:pPr>
        <w:rPr>
          <w:rStyle w:val="93"/>
          <w:rFonts w:cs="Times New Roman"/>
          <w:highlight w:val="none"/>
          <w:lang w:val="zh-CN"/>
        </w:rPr>
      </w:pPr>
      <w:bookmarkStart w:id="36" w:name="OLE_LINK11"/>
      <w:r>
        <w:rPr>
          <w:rStyle w:val="93"/>
          <w:rFonts w:cs="Times New Roman"/>
          <w:highlight w:val="none"/>
          <w:lang w:val="zh-CN"/>
        </w:rPr>
        <w:t xml:space="preserve"> The functions of EVs are diverse and critical to maintaining cellular homeostasis. One of the primary roles of EVs is to facilitate intercellular communication. By transferring proteins, lipids, and nucleic acids, EVs enable cells to exchange signals, which can influence various cellular processes such as proliferation, differentiation, and apoptosis (Hock et al., 2017). EVs are also involved in the modulation of the immune system, carrying molecules that can either promote or suppress immune responses (Mecocci et al., 2021, Wang et al., 2021c). For instance, EVs derived from yak milk can activate the PI3K/AKT/C3 signaling pathway, increasing the survival of intestinal epithelial cells and lowering the incidence of intestine inflammation (Gao et al., 2021). By carrying anti-inflammatory cytokines or bioactive components, EVs can mitigate chronic inflammation and promote tissue healing (Stefanon et al., 2023).</w:t>
      </w:r>
    </w:p>
    <w:p w14:paraId="41F239E1">
      <w:pPr>
        <w:rPr>
          <w:rStyle w:val="93"/>
          <w:rFonts w:cs="Times New Roman"/>
          <w:highlight w:val="none"/>
          <w:lang w:val="zh-CN"/>
        </w:rPr>
      </w:pPr>
      <w:bookmarkStart w:id="37" w:name="OLE_LINK12"/>
      <w:r>
        <w:rPr>
          <w:rStyle w:val="93"/>
          <w:rFonts w:cs="Times New Roman"/>
          <w:highlight w:val="none"/>
          <w:lang w:val="zh-CN"/>
        </w:rPr>
        <w:t xml:space="preserve">EVs hold significant potential for improving livestock health and productivity. EVs have been shown to play a role in modulating the immune system, enhancing disease resistance, and promoting gut health in </w:t>
      </w:r>
      <w:r>
        <w:rPr>
          <w:rStyle w:val="93"/>
          <w:rFonts w:hint="eastAsia" w:cs="Times New Roman"/>
          <w:highlight w:val="none"/>
          <w:lang w:val="zh-CN" w:eastAsia="zh-CN"/>
        </w:rPr>
        <w:t xml:space="preserve">monogastric </w:t>
      </w:r>
      <w:r>
        <w:rPr>
          <w:rStyle w:val="93"/>
          <w:rFonts w:cs="Times New Roman"/>
          <w:highlight w:val="none"/>
          <w:lang w:val="zh-CN"/>
        </w:rPr>
        <w:t xml:space="preserve">animals (Zhou et al., 2019). These EVs can be derived from various sources, including microbiota that inhabit </w:t>
      </w:r>
      <w:r>
        <w:rPr>
          <w:rStyle w:val="93"/>
          <w:rFonts w:hint="eastAsia" w:cs="Times New Roman"/>
          <w:highlight w:val="none"/>
          <w:lang w:val="zh-CN" w:eastAsia="zh-CN"/>
        </w:rPr>
        <w:t>in the gut</w:t>
      </w:r>
      <w:r>
        <w:rPr>
          <w:rStyle w:val="93"/>
          <w:rFonts w:cs="Times New Roman"/>
          <w:highlight w:val="none"/>
          <w:lang w:val="zh-CN"/>
        </w:rPr>
        <w:t xml:space="preserve">. For example, EVs derived from beneficial microbiota, such as </w:t>
      </w:r>
      <w:r>
        <w:rPr>
          <w:rStyle w:val="93"/>
          <w:rFonts w:cs="Times New Roman"/>
          <w:i/>
          <w:iCs/>
          <w:highlight w:val="none"/>
          <w:lang w:val="zh-CN"/>
        </w:rPr>
        <w:t>Lactobacillus</w:t>
      </w:r>
      <w:r>
        <w:rPr>
          <w:rStyle w:val="93"/>
          <w:rFonts w:cs="Times New Roman"/>
          <w:highlight w:val="none"/>
          <w:lang w:val="zh-CN"/>
        </w:rPr>
        <w:t xml:space="preserve"> and </w:t>
      </w:r>
      <w:r>
        <w:rPr>
          <w:rStyle w:val="93"/>
          <w:rFonts w:cs="Times New Roman"/>
          <w:i/>
          <w:iCs/>
          <w:highlight w:val="none"/>
          <w:lang w:val="zh-CN"/>
        </w:rPr>
        <w:t>Bifidobacterium</w:t>
      </w:r>
      <w:r>
        <w:rPr>
          <w:rStyle w:val="93"/>
          <w:rFonts w:cs="Times New Roman"/>
          <w:highlight w:val="none"/>
          <w:lang w:val="zh-CN"/>
        </w:rPr>
        <w:t>, carry bioactive molecules, including miRNAs, proteins, and metabolites, which play a role in modulating host biology (Amabebe et al., 2024). These EVs can enhance gut barrier integrity, support the growth of beneficial microorganisms, and improve digestion and nutrient absorption, ultimately promoting gut health (Zhang et al., 2024). Additionally, EVs from immune cells, such as macrophages and dendritic cells, can enhance the immune response by carrying cytokines, antimicrobial peptides, and miRNAs, helping animals better resist infections and reduce reliance on antibiotics (Keshtkar et al., 2022).</w:t>
      </w:r>
      <w:bookmarkEnd w:id="36"/>
      <w:bookmarkEnd w:id="37"/>
    </w:p>
    <w:p w14:paraId="227BFF0B">
      <w:pPr>
        <w:rPr>
          <w:rStyle w:val="93"/>
          <w:rFonts w:cs="Times New Roman"/>
          <w:highlight w:val="none"/>
          <w:lang w:val="zh-CN"/>
        </w:rPr>
      </w:pPr>
      <w:r>
        <w:rPr>
          <w:rStyle w:val="93"/>
          <w:rFonts w:cs="Times New Roman"/>
          <w:highlight w:val="none"/>
          <w:lang w:val="zh-CN"/>
        </w:rPr>
        <w:t>Based on these findings in monogastric animals, it can be speculated that similar mechanisms of EV-mediated immune modulation, gut health support, and host</w:t>
      </w:r>
      <w:r>
        <w:rPr>
          <w:rStyle w:val="93"/>
          <w:rFonts w:hint="eastAsia" w:cs="Times New Roman"/>
          <w:highlight w:val="none"/>
          <w:lang w:val="zh-CN" w:eastAsia="zh-CN"/>
        </w:rPr>
        <w:t>-</w:t>
      </w:r>
      <w:r>
        <w:rPr>
          <w:rStyle w:val="93"/>
          <w:rFonts w:cs="Times New Roman"/>
          <w:highlight w:val="none"/>
          <w:lang w:val="zh-CN"/>
        </w:rPr>
        <w:t>microbe communication may also occur in ruminants such as dairy cows. Although studies in cattle remain limited, emerging evidence suggests that both rumen-derived and host-derived EVs can exert comparable effects on metabolism, immunity, and overall health, potentially via the rumen</w:t>
      </w:r>
      <w:r>
        <w:rPr>
          <w:rStyle w:val="93"/>
          <w:rFonts w:hint="eastAsia" w:cs="Times New Roman"/>
          <w:highlight w:val="none"/>
          <w:lang w:val="zh-CN" w:eastAsia="zh-CN"/>
        </w:rPr>
        <w:t>-</w:t>
      </w:r>
      <w:r>
        <w:rPr>
          <w:rStyle w:val="93"/>
          <w:rFonts w:cs="Times New Roman"/>
          <w:highlight w:val="none"/>
          <w:lang w:val="zh-CN"/>
        </w:rPr>
        <w:t>mammary gland axis by regulating the rumen microbiota and their secreted extracellular vesicles</w:t>
      </w:r>
      <w:r>
        <w:rPr>
          <w:rStyle w:val="93"/>
          <w:rFonts w:hint="eastAsia" w:cs="Times New Roman"/>
          <w:highlight w:val="none"/>
          <w:lang w:val="zh-CN" w:eastAsia="zh-CN"/>
        </w:rPr>
        <w:t xml:space="preserve"> (Huang et al., 2024)</w:t>
      </w:r>
      <w:r>
        <w:rPr>
          <w:rStyle w:val="93"/>
          <w:rFonts w:cs="Times New Roman"/>
          <w:highlight w:val="none"/>
          <w:lang w:val="zh-CN"/>
        </w:rPr>
        <w:t>. Moreover, this recently unveiled axis indicates that rumen bacteria and their metabolites can influence mammary gland health and function, highlighting a novel pathway through which microbial and host EVs may contribute to systemic physiological regulation in dairy cows.</w:t>
      </w:r>
    </w:p>
    <w:p w14:paraId="3582DEEC">
      <w:pPr>
        <w:pStyle w:val="5"/>
        <w:rPr>
          <w:highlight w:val="none"/>
          <w:lang w:val="en-US" w:eastAsia="fr-FR"/>
        </w:rPr>
      </w:pPr>
      <w:r>
        <w:rPr>
          <w:highlight w:val="none"/>
          <w:lang w:val="en-US" w:eastAsia="fr-FR"/>
        </w:rPr>
        <w:t>Potential role of extracellular vesicles in mastitis</w:t>
      </w:r>
    </w:p>
    <w:p w14:paraId="78AEC452">
      <w:pPr>
        <w:rPr>
          <w:highlight w:val="none"/>
          <w:lang w:eastAsia="fr-FR"/>
        </w:rPr>
      </w:pPr>
      <w:bookmarkStart w:id="38" w:name="_Hlk195143172"/>
      <w:r>
        <w:rPr>
          <w:highlight w:val="none"/>
          <w:lang w:eastAsia="fr-FR"/>
        </w:rPr>
        <w:t>E</w:t>
      </w:r>
      <w:bookmarkEnd w:id="38"/>
      <w:r>
        <w:rPr>
          <w:highlight w:val="none"/>
          <w:lang w:eastAsia="fr-FR"/>
        </w:rPr>
        <w:t>Vs are nanoscale, lipid-bound particles secreted by virtually all cell types (Gao et al., 2021). They play a pivotal role in intercellular communication by transporting bioactive molecules, including proteins, lipids, and nucleic acids, such as RNAs (Gao et al., 2021). Among these molecular cargos, small RNAs, particularly microRNAs (miRNAs), have garnered significant attention for their ability to regulate gene expression in recipient cells (Stoorvogel et al., 2002, Stefanon et al., 2023). Through the delivery of miRNAs and other RNAs, EVs can modulate a wide range of biological processes, including inflammation, immune responses, and tissue repair (Chen et al., 2020, Mecocci et al., 2021).</w:t>
      </w:r>
    </w:p>
    <w:p w14:paraId="63AE6DA8">
      <w:pPr>
        <w:rPr>
          <w:highlight w:val="none"/>
          <w:lang w:eastAsia="fr-FR"/>
        </w:rPr>
      </w:pPr>
      <w:r>
        <w:rPr>
          <w:highlight w:val="none"/>
          <w:lang w:eastAsia="fr-FR"/>
        </w:rPr>
        <w:t>The role of EVs in inflammation and immunity is particularly relevant to mastitis. Studies have shown that the composition and function of EVs are altered during inflammatory and immune-mediated conditions (Colitti et al., 2020). For instance, changes in the miRNA profiles of EVs have been implicated in the pathogenesis and progression of mastitis (Saenz-de-Juano et al., 2022, Stefanon et al., 2023). miRNAs carried by EVs can act as post-transcriptional regulators, silencing genes involved in inflammatory pathways or promoting the resolution of inflammation (Sun et al., 2015, Stefanon et al., 2023). Thus, EVs and their RNA cargos represent promising targets for therapeutic interventions aimed at modulating inflammation and restoring immune homeostasis.</w:t>
      </w:r>
    </w:p>
    <w:p w14:paraId="16D4DB39">
      <w:pPr>
        <w:rPr>
          <w:rStyle w:val="93"/>
          <w:highlight w:val="none"/>
          <w:lang w:eastAsia="fr-FR"/>
        </w:rPr>
      </w:pPr>
      <w:r>
        <w:rPr>
          <w:highlight w:val="none"/>
          <w:lang w:eastAsia="fr-FR"/>
        </w:rPr>
        <w:t xml:space="preserve">Recent research has revealed that the RNA cargo of EVs, particularly small RNAs like miRNAs, can be influenced by dietary components (Quan et al., 2019, Quan et al., 2020). Feed additives and nutrients have been shown to modulate the metabolic and transcriptional activity of EV-producing cells, thereby altering the expression and packaging of RNAs into EVs. For example, plant extracts such as polyphenols have been found to reshape the miRNA profiles in hyperlipidemic mice, enhancing their roles in immune regulation and metabolism (Joven et al., 2012, Corrêa and Rogero, 2019). Similarly, in human breast milk samples, two plant-derived food miRNAs, miR-156a and miR-168a, were identified in EVs, potentially influencing biological pathways in offspring (Lukasik et al., 2018). Although the exact plant sources were not identified in this study, the types of plant-based foods consumed were recorded, which may have contributed to the presence of these miRNAs in breast milk. These findings suggest that dietary interventions can serve as a novel strategy for modulating EV-mediated intercellular communication. By influencing the RNA cargos of EVs, specific feed components can enhance the ability of EVs to regulate inflammation and immune responses (Quan et al., 2019). This dietary-induced modulation of EV function holds significant promise for managing inflammatory conditions such as </w:t>
      </w:r>
      <w:r>
        <w:rPr>
          <w:rFonts w:hint="eastAsia"/>
          <w:highlight w:val="none"/>
          <w:lang w:eastAsia="zh-CN"/>
        </w:rPr>
        <w:t>SCM</w:t>
      </w:r>
      <w:r>
        <w:rPr>
          <w:highlight w:val="none"/>
          <w:lang w:eastAsia="fr-FR"/>
        </w:rPr>
        <w:t>.</w:t>
      </w:r>
    </w:p>
    <w:p w14:paraId="3E8EB0EB">
      <w:pPr>
        <w:pStyle w:val="4"/>
        <w:rPr>
          <w:highlight w:val="none"/>
          <w:lang w:eastAsia="fr-FR"/>
        </w:rPr>
      </w:pPr>
      <w:bookmarkStart w:id="39" w:name="_Toc207979745"/>
      <w:r>
        <w:rPr>
          <w:highlight w:val="none"/>
          <w:lang w:eastAsia="fr-FR"/>
        </w:rPr>
        <w:t>Extracellular vesicles</w:t>
      </w:r>
      <w:r>
        <w:rPr>
          <w:rFonts w:hint="eastAsia"/>
          <w:highlight w:val="none"/>
          <w:lang w:eastAsia="zh-CN"/>
        </w:rPr>
        <w:t xml:space="preserve"> </w:t>
      </w:r>
      <w:r>
        <w:rPr>
          <w:highlight w:val="none"/>
          <w:lang w:eastAsia="fr-FR"/>
        </w:rPr>
        <w:t>RNAs</w:t>
      </w:r>
      <w:bookmarkEnd w:id="39"/>
    </w:p>
    <w:p w14:paraId="6D4A2D9D">
      <w:pPr>
        <w:rPr>
          <w:rStyle w:val="93"/>
          <w:rFonts w:cs="Times New Roman"/>
          <w:highlight w:val="none"/>
          <w:lang w:val="zh-CN"/>
        </w:rPr>
      </w:pPr>
      <w:r>
        <w:rPr>
          <w:rStyle w:val="93"/>
          <w:rFonts w:cs="Times New Roman"/>
          <w:highlight w:val="none"/>
          <w:lang w:val="zh-CN"/>
        </w:rPr>
        <w:t>EV-encapsulated RNA is protected by the vesicle membrane, which confers resistance to nucleases, proteases, and variations in pH and osmolarity, as well as other environmental factors. This protection facilitates the transfer of RNA from the donor cell to a recipient cell, whether through horizontal transfer to nearby cells or to distant tissues. The transferred RNA molecules, including messenger RNAs (mRNAs) and various noncoding RNAs such as microRNAs (miRNAs) and long noncoding RNAs (lncRNAs), have the potential to modulate gene expression and cellular function in the recipient cell. These RNAs may act as regulators of cellular processes or as templates for protein synthesis in the target cell.</w:t>
      </w:r>
    </w:p>
    <w:p w14:paraId="59DF9764">
      <w:pPr>
        <w:pStyle w:val="5"/>
        <w:rPr>
          <w:highlight w:val="none"/>
          <w:lang w:val="en-US" w:eastAsia="fr-FR"/>
        </w:rPr>
      </w:pPr>
      <w:r>
        <w:rPr>
          <w:highlight w:val="none"/>
          <w:lang w:val="en-US" w:eastAsia="fr-FR"/>
        </w:rPr>
        <w:t xml:space="preserve">Function of </w:t>
      </w:r>
      <w:r>
        <w:rPr>
          <w:highlight w:val="none"/>
          <w:lang w:eastAsia="fr-FR"/>
        </w:rPr>
        <w:t>extracellular vesicles</w:t>
      </w:r>
      <w:r>
        <w:rPr>
          <w:rFonts w:hint="eastAsia"/>
          <w:highlight w:val="none"/>
          <w:lang w:eastAsia="zh-CN"/>
        </w:rPr>
        <w:t xml:space="preserve"> RNAs</w:t>
      </w:r>
    </w:p>
    <w:p w14:paraId="10F93FFD">
      <w:pPr>
        <w:rPr>
          <w:rStyle w:val="93"/>
          <w:rFonts w:cs="Times New Roman"/>
          <w:highlight w:val="none"/>
          <w:lang w:val="zh-CN"/>
        </w:rPr>
      </w:pPr>
      <w:r>
        <w:rPr>
          <w:rStyle w:val="93"/>
          <w:rFonts w:hint="eastAsia" w:cs="Times New Roman"/>
          <w:highlight w:val="none"/>
          <w:lang w:val="zh-CN"/>
        </w:rPr>
        <w:t>miRNAs are small, noncoding RNA molecules, typically 19 to 24 nucleotides long, that regulate gene expression at the post-transcriptional level (Colitti et al., 2020). They primarily function by binding to complementary sequences in the 3′ untranslated re</w:t>
      </w:r>
      <w:r>
        <w:rPr>
          <w:rStyle w:val="93"/>
          <w:rFonts w:cs="Times New Roman"/>
          <w:highlight w:val="none"/>
          <w:lang w:val="zh-CN"/>
        </w:rPr>
        <w:t>gions of target mRNAs, leading to mRNA degradation or inhibition of translation (Fernández-Messina et al., 2015). miRNAs can also influence gene transcription by modifying chromatin structure. These molecules are integral to a wide range of biological processes, including growth, development, reproduction, immune responses, and metabolism in livestock species (Sun et al., 2015, Saenz-de-Juano et al., 2022, Stefanon et al., 2023). Through their regulatory actions, miRNAs play a crucial role in modulating gene expression and cellular functions (Fernández-Messina et al., 2015).</w:t>
      </w:r>
    </w:p>
    <w:p w14:paraId="351E0DDF">
      <w:pPr>
        <w:rPr>
          <w:rFonts w:cs="Times New Roman"/>
          <w:b/>
          <w:bCs/>
          <w:highlight w:val="none"/>
        </w:rPr>
      </w:pPr>
      <w:r>
        <w:rPr>
          <w:rFonts w:cs="Times New Roman"/>
          <w:b/>
          <w:bCs/>
          <w:highlight w:val="none"/>
        </w:rPr>
        <w:t>Regulation of Growth and Development</w:t>
      </w:r>
    </w:p>
    <w:p w14:paraId="5D06FF93">
      <w:pPr>
        <w:rPr>
          <w:rFonts w:cs="Times New Roman"/>
          <w:highlight w:val="none"/>
        </w:rPr>
      </w:pPr>
      <w:r>
        <w:rPr>
          <w:rFonts w:cs="Times New Roman"/>
          <w:highlight w:val="none"/>
        </w:rPr>
        <w:t xml:space="preserve">miRNAs play an essential role in regulating growth and development in livestock. In muscle tissue, miRNAs regulate myogenesis, the process by which muscle cells differentiate and grow. Specific miRNAs, such as miR-1 and miR-133, are involved in the regulation of muscle differentiation and growth by targeting key genes that control muscle cell proliferation and differentiation </w:t>
      </w:r>
      <w:r>
        <w:rPr>
          <w:rFonts w:cs="Times New Roman"/>
          <w:highlight w:val="none"/>
        </w:rPr>
        <w:fldChar w:fldCharType="begin">
          <w:fldData xml:space="preserve">PEVuZE5vdGU+PENpdGU+PEF1dGhvcj5DaGVuPC9BdXRob3I+PFllYXI+MjAwNjwvWWVhcj48UmVj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PEVuZE5vdGU+PENpdGU+PEF1dGhvcj5DaGVuPC9BdXRob3I+PFllYXI+MjAwNjwvWWVhcj48UmVj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(Chen et al., 2006)</w:t>
      </w:r>
      <w:r>
        <w:rPr>
          <w:rFonts w:cs="Times New Roman"/>
          <w:highlight w:val="none"/>
        </w:rPr>
        <w:fldChar w:fldCharType="end"/>
      </w:r>
      <w:r>
        <w:rPr>
          <w:rFonts w:cs="Times New Roman"/>
          <w:highlight w:val="none"/>
        </w:rPr>
        <w:t xml:space="preserve">. Additionally, miRNAs like miR-126-5p and miR-23a are involved in controlling muscle hypertrophy (growth in muscle size), making them important regulators of meat production in livestock </w:t>
      </w:r>
      <w:r>
        <w:rPr>
          <w:rFonts w:cs="Times New Roman"/>
          <w:highlight w:val="none"/>
        </w:rPr>
        <w:fldChar w:fldCharType="begin"/>
      </w:r>
      <w:r>
        <w:rPr>
          <w:rFonts w:cs="Times New Roman"/>
          <w:highlight w:val="none"/>
        </w:rPr>
        <w:instrText xml:space="preserve"> ADDIN EN.CITE &lt;EndNote&gt;&lt;Cite&gt;&lt;Author&gt;Tewari&lt;/Author&gt;&lt;Year&gt;2021&lt;/Year&gt;&lt;RecNum&gt;230&lt;/RecNum&gt;&lt;DisplayText&gt;(Tewari et al., 2021)&lt;/DisplayText&gt;&lt;record&gt;&lt;rec-number&gt;230&lt;/rec-number&gt;&lt;foreign-keys&gt;&lt;key app="EN" db-id="xwvtz5rea2fr2je0p0uppszgwft92rr5pxdp" timestamp="1739204221"&gt;230&lt;/key&gt;&lt;/foreign-keys&gt;&lt;ref-type name="Journal Article"&gt;17&lt;/ref-type&gt;&lt;contributors&gt;&lt;authors&gt;&lt;author&gt;Tewari, R. S.&lt;/author&gt;&lt;author&gt;Ala, U.&lt;/author&gt;&lt;author&gt;Accornero, P.&lt;/author&gt;&lt;author&gt;Baratta, M.&lt;/author&gt;&lt;author&gt;Miretti, S.&lt;/author&gt;&lt;/authors&gt;&lt;/contributors&gt;&lt;auth-address&gt;Department of Veterinary Sciences, University of Turin, Turin, Italy.&amp;#xD;Department of Veterinary Sciences, University of Turin, Turin, Italy. silvia.miretti@unito.it.&lt;/auth-address&gt;&lt;titles&gt;&lt;title&gt;Circulating skeletal muscle related microRNAs profile in Piedmontese cattle during different age&lt;/title&gt;&lt;secondary-title&gt;Sci Rep&lt;/secondary-title&gt;&lt;/titles&gt;&lt;periodical&gt;&lt;full-title&gt;Sci Rep&lt;/full-title&gt;&lt;/periodical&gt;&lt;pages&gt;15815&lt;/pages&gt;&lt;volume&gt;11&lt;/volume&gt;&lt;number&gt;1&lt;/number&gt;&lt;edition&gt;20210804&lt;/edition&gt;&lt;keywords&gt;&lt;keyword&gt;Age Factors&lt;/keyword&gt;&lt;keyword&gt;Animals&lt;/keyword&gt;&lt;keyword&gt;Biomarkers/*analysis&lt;/keyword&gt;&lt;keyword&gt;Body Weight&lt;/keyword&gt;&lt;keyword&gt;Cattle&lt;/keyword&gt;&lt;keyword&gt;Circulating MicroRNA/analysis/*genetics&lt;/keyword&gt;&lt;keyword&gt;Hypertrophy/blood/*diagnosis/genetics&lt;/keyword&gt;&lt;keyword&gt;Muscle, Skeletal/*metabolism&lt;/keyword&gt;&lt;keyword&gt;Muscular Diseases/blood/*diagnosis/genetics&lt;/keyword&gt;&lt;keyword&gt;Myostatin/genetics/*metabolism&lt;/keyword&gt;&lt;keyword&gt;Pilot Projects&lt;/keyword&gt;&lt;/keywords&gt;&lt;dates&gt;&lt;year&gt;2021&lt;/year&gt;&lt;pub-dates&gt;&lt;date&gt;Aug 4&lt;/date&gt;&lt;/pub-dates&gt;&lt;/dates&gt;&lt;isbn&gt;2045-2322&lt;/isbn&gt;&lt;accession-num&gt;34349188&lt;/accession-num&gt;&lt;urls&gt;&lt;/urls&gt;&lt;custom1&gt;The authors declare no competing interests.&lt;/custom1&gt;&lt;custom2&gt;PMC8339070&lt;/custom2&gt;&lt;electronic-resource-num&gt;10.1038/s41598-021-95137-w&lt;/electronic-resource-num&gt;&lt;remote-database-provider&gt;NLM&lt;/remote-database-provider&gt;&lt;language&gt;eng&lt;/language&gt;&lt;/record&gt;&lt;/Cite&gt;&lt;/EndNote&gt;</w:instrText>
      </w:r>
      <w:r>
        <w:rPr>
          <w:rFonts w:cs="Times New Roman"/>
          <w:highlight w:val="none"/>
        </w:rPr>
        <w:fldChar w:fldCharType="separate"/>
      </w:r>
      <w:r>
        <w:rPr>
          <w:rFonts w:cs="Times New Roman"/>
          <w:highlight w:val="none"/>
        </w:rPr>
        <w:t>(Tewari et al., 2021)</w:t>
      </w:r>
      <w:r>
        <w:rPr>
          <w:rFonts w:cs="Times New Roman"/>
          <w:highlight w:val="none"/>
        </w:rPr>
        <w:fldChar w:fldCharType="end"/>
      </w:r>
      <w:r>
        <w:rPr>
          <w:rFonts w:cs="Times New Roman"/>
          <w:highlight w:val="none"/>
        </w:rPr>
        <w:t>.</w:t>
      </w:r>
    </w:p>
    <w:p w14:paraId="708782E4">
      <w:pPr>
        <w:rPr>
          <w:rFonts w:cs="Times New Roman"/>
          <w:highlight w:val="none"/>
        </w:rPr>
      </w:pPr>
      <w:r>
        <w:rPr>
          <w:rFonts w:cs="Times New Roman"/>
          <w:highlight w:val="none"/>
        </w:rPr>
        <w:t xml:space="preserve">In adipose tissue, miRNAs influence fat deposition and lipid metabolism. miRNAs such as miR-6529a is involved in regulating adipogenesis, the process by which pre-adipocytes differentiate into mature fat cells </w:t>
      </w:r>
      <w:r>
        <w:rPr>
          <w:rFonts w:cs="Times New Roman"/>
          <w:highlight w:val="none"/>
        </w:rPr>
        <w:fldChar w:fldCharType="begin"/>
      </w:r>
      <w:r>
        <w:rPr>
          <w:rFonts w:cs="Times New Roman"/>
          <w:highlight w:val="none"/>
        </w:rPr>
        <w:instrText xml:space="preserve"> ADDIN EN.CITE &lt;EndNote&gt;&lt;Cite&gt;&lt;Author&gt;Ran&lt;/Author&gt;&lt;Year&gt;2022&lt;/Year&gt;&lt;RecNum&gt;26&lt;/RecNum&gt;&lt;DisplayText&gt;(Ran et al., 2022)&lt;/DisplayText&gt;&lt;record&gt;&lt;rec-number&gt;26&lt;/rec-number&gt;&lt;foreign-keys&gt;&lt;key app="EN" db-id="xwvtz5rea2fr2je0p0uppszgwft92rr5pxdp" timestamp="1664366186"&gt;26&lt;/key&gt;&lt;/foreign-keys&gt;&lt;ref-type name="Journal Article"&gt;17&lt;/ref-type&gt;&lt;contributors&gt;&lt;authors&gt;&lt;author&gt;Ran, H. B.&lt;/author&gt;&lt;author&gt;Yang, Y.&lt;/author&gt;&lt;author&gt;Luo, M. N.&lt;/author&gt;&lt;author&gt;Liu, X. R.&lt;/author&gt;&lt;author&gt;Yue, B. L.&lt;/author&gt;&lt;author&gt;Chai, Z. X.&lt;/author&gt;&lt;author&gt;Zhong, J. C.&lt;/author&gt;&lt;author&gt;Wang, H.&lt;/author&gt;&lt;/authors&gt;&lt;/contributors&gt;&lt;auth-address&gt;Southwest Minzu Univ, Key Lab Qinghai Tibetan Plateau Anim Genet Resour, Sichuan Prov &amp;amp; Minist Educ, Chengdu 610225, Peoples R China&lt;/auth-address&gt;&lt;titles&gt;&lt;title&gt;Molecular Regulation of Yak Preadipocyte Differentiation and Proliferation by LncFAM200B and ceRNA Regulatory Network Analysis&lt;/title&gt;&lt;secondary-title&gt;Cells&lt;/secondary-title&gt;&lt;alt-title&gt;Cells-Basel&lt;/alt-title&gt;&lt;/titles&gt;&lt;periodical&gt;&lt;full-title&gt;Cells&lt;/full-title&gt;&lt;abbr-1&gt;Cells-Basel&lt;/abbr-1&gt;&lt;/periodical&gt;&lt;alt-periodical&gt;&lt;full-title&gt;Cells&lt;/full-title&gt;&lt;abbr-1&gt;Cells-Basel&lt;/abbr-1&gt;&lt;/alt-periodical&gt;&lt;volume&gt;11&lt;/volume&gt;&lt;number&gt;15&lt;/number&gt;&lt;keywords&gt;&lt;keyword&gt;preadipocytes&lt;/keyword&gt;&lt;keyword&gt;differentiation&lt;/keyword&gt;&lt;keyword&gt;proliferation&lt;/keyword&gt;&lt;keyword&gt;lncfam200b&lt;/keyword&gt;&lt;keyword&gt;cerna&lt;/keyword&gt;&lt;keyword&gt;yak&lt;/keyword&gt;&lt;keyword&gt;cell-proliferation&lt;/keyword&gt;&lt;keyword&gt;messenger-rna&lt;/keyword&gt;&lt;keyword&gt;progression&lt;/keyword&gt;&lt;keyword&gt;chemistry&lt;/keyword&gt;&lt;keyword&gt;lncrna&lt;/keyword&gt;&lt;keyword&gt;cdc20&lt;/keyword&gt;&lt;keyword&gt;cycle&lt;/keyword&gt;&lt;keyword&gt;gene&lt;/keyword&gt;&lt;/keywords&gt;&lt;dates&gt;&lt;year&gt;2022&lt;/year&gt;&lt;pub-dates&gt;&lt;date&gt;Aug&lt;/date&gt;&lt;/pub-dates&gt;&lt;/dates&gt;&lt;accession-num&gt;WOS:000840206300001&lt;/accession-num&gt;&lt;urls&gt;&lt;related-urls&gt;&lt;url&gt;&amp;lt;Go to ISI&amp;gt;://WOS:000840206300001&lt;/url&gt;&lt;/related-urls&gt;&lt;/urls&gt;&lt;electronic-resource-num&gt;ARTN 2366&amp;#xD;10.3390/cells11152366&lt;/electronic-resource-num&gt;&lt;language&gt;English&lt;/language&gt;&lt;/record&gt;&lt;/Cite&gt;&lt;/EndNote&gt;</w:instrText>
      </w:r>
      <w:r>
        <w:rPr>
          <w:rFonts w:cs="Times New Roman"/>
          <w:highlight w:val="none"/>
        </w:rPr>
        <w:fldChar w:fldCharType="separate"/>
      </w:r>
      <w:r>
        <w:rPr>
          <w:rFonts w:cs="Times New Roman"/>
          <w:highlight w:val="none"/>
        </w:rPr>
        <w:t>(Ran et al., 2022)</w:t>
      </w:r>
      <w:r>
        <w:rPr>
          <w:rFonts w:cs="Times New Roman"/>
          <w:highlight w:val="none"/>
        </w:rPr>
        <w:fldChar w:fldCharType="end"/>
      </w:r>
      <w:r>
        <w:rPr>
          <w:rFonts w:cs="Times New Roman"/>
          <w:highlight w:val="none"/>
        </w:rPr>
        <w:t>. The ability to regulate fat deposition is of great significance in livestock production, particularly for improving the efficiency of meat production and enhancing the quality of meat products, such as reducing excessive fat accumulation.</w:t>
      </w:r>
    </w:p>
    <w:p w14:paraId="49CB783A">
      <w:pPr>
        <w:rPr>
          <w:rFonts w:cs="Times New Roman"/>
          <w:b/>
          <w:bCs/>
          <w:highlight w:val="none"/>
        </w:rPr>
      </w:pPr>
      <w:r>
        <w:rPr>
          <w:rFonts w:cs="Times New Roman"/>
          <w:b/>
          <w:bCs/>
          <w:highlight w:val="none"/>
        </w:rPr>
        <w:t>Regulation of Immune System</w:t>
      </w:r>
    </w:p>
    <w:p w14:paraId="29C52087">
      <w:pPr>
        <w:rPr>
          <w:rFonts w:cs="Times New Roman"/>
          <w:highlight w:val="none"/>
        </w:rPr>
      </w:pPr>
      <w:r>
        <w:rPr>
          <w:rFonts w:cs="Times New Roman"/>
          <w:highlight w:val="none"/>
        </w:rPr>
        <w:t>The immune system in livestock is essential for fighting infections and maintaining overall health, and miRNAs are key regulators of immune responses in cattle and other farm animals. miRNAs govern activation, differentiation, and function of immune cells such as T cells, B cells, macrophages, and dendritic cells</w:t>
      </w:r>
      <w:r>
        <w:rPr>
          <w:rFonts w:hint="eastAsia" w:cs="Times New Roman"/>
          <w:highlight w:val="none"/>
          <w:lang w:eastAsia="zh-CN"/>
        </w:rPr>
        <w:t>-</w:t>
      </w:r>
      <w:r>
        <w:rPr>
          <w:rFonts w:cs="Times New Roman"/>
          <w:highlight w:val="none"/>
        </w:rPr>
        <w:t>mechanisms conserved between humans and cattle</w:t>
      </w:r>
      <w:r>
        <w:rPr>
          <w:rFonts w:hint="eastAsia" w:cs="Times New Roman"/>
          <w:highlight w:val="none"/>
          <w:lang w:eastAsia="zh-CN"/>
        </w:rPr>
        <w:t xml:space="preserve"> (</w:t>
      </w:r>
      <w:r>
        <w:rPr>
          <w:rFonts w:cs="Times New Roman"/>
          <w:highlight w:val="none"/>
        </w:rPr>
        <w:t>Trotta et al., 2012</w:t>
      </w:r>
      <w:r>
        <w:rPr>
          <w:rFonts w:hint="eastAsia" w:cs="Times New Roman"/>
          <w:highlight w:val="none"/>
          <w:lang w:eastAsia="zh-CN"/>
        </w:rPr>
        <w:t>)</w:t>
      </w:r>
      <w:r>
        <w:rPr>
          <w:rFonts w:cs="Times New Roman"/>
          <w:highlight w:val="none"/>
        </w:rPr>
        <w:t>. Research on bovine miRNAs shows they modulate the immune gene expression during infection and resolution phases in cattle</w:t>
      </w:r>
      <w:r>
        <w:rPr>
          <w:rFonts w:hint="eastAsia" w:cs="Times New Roman"/>
          <w:highlight w:val="none"/>
          <w:lang w:eastAsia="zh-CN"/>
        </w:rPr>
        <w:t xml:space="preserve"> (Lawless et al., 2014)</w:t>
      </w:r>
      <w:r>
        <w:rPr>
          <w:rFonts w:cs="Times New Roman"/>
          <w:highlight w:val="none"/>
        </w:rPr>
        <w:t>.</w:t>
      </w:r>
      <w:r>
        <w:rPr>
          <w:rFonts w:hint="eastAsia" w:cs="Times New Roman"/>
          <w:highlight w:val="none"/>
          <w:lang w:eastAsia="zh-CN"/>
        </w:rPr>
        <w:t xml:space="preserve"> </w:t>
      </w:r>
      <w:r>
        <w:rPr>
          <w:rFonts w:cs="Times New Roman"/>
          <w:highlight w:val="none"/>
        </w:rPr>
        <w:t>For instance, bta-miR-146a, the bovine ortholog of miR-146a, is significantly upregulated in mastitic mammary glands and controls pro-inflammatory cytokine production in bovine macrophages, helping to constrain excessive inflammation in mastitis cases</w:t>
      </w:r>
      <w:r>
        <w:rPr>
          <w:rFonts w:hint="eastAsia" w:cs="Times New Roman"/>
          <w:highlight w:val="none"/>
          <w:lang w:eastAsia="zh-CN"/>
        </w:rPr>
        <w:t xml:space="preserve"> (</w:t>
      </w:r>
      <w:r>
        <w:rPr>
          <w:rFonts w:cs="Times New Roman"/>
          <w:highlight w:val="none"/>
        </w:rPr>
        <w:t>Wang et al., 2017</w:t>
      </w:r>
      <w:r>
        <w:rPr>
          <w:rFonts w:hint="eastAsia" w:cs="Times New Roman"/>
          <w:highlight w:val="none"/>
          <w:lang w:eastAsia="zh-CN"/>
        </w:rPr>
        <w:t>)</w:t>
      </w:r>
      <w:r>
        <w:rPr>
          <w:rFonts w:cs="Times New Roman"/>
          <w:highlight w:val="none"/>
        </w:rPr>
        <w:t>.</w:t>
      </w:r>
      <w:r>
        <w:rPr>
          <w:highlight w:val="none"/>
        </w:rPr>
        <w:t xml:space="preserve"> </w:t>
      </w:r>
      <w:r>
        <w:rPr>
          <w:rFonts w:cs="Times New Roman"/>
          <w:highlight w:val="none"/>
        </w:rPr>
        <w:t>By modulating immune and inflammatory pathways, miRNAs help livestock defend against pathogens</w:t>
      </w:r>
      <w:r>
        <w:rPr>
          <w:rFonts w:hint="eastAsia" w:cs="Times New Roman"/>
          <w:highlight w:val="none"/>
          <w:lang w:eastAsia="zh-CN"/>
        </w:rPr>
        <w:t xml:space="preserve">, </w:t>
      </w:r>
      <w:r>
        <w:rPr>
          <w:rFonts w:cs="Times New Roman"/>
          <w:highlight w:val="none"/>
        </w:rPr>
        <w:t>especially in the context of mastitis</w:t>
      </w:r>
      <w:r>
        <w:rPr>
          <w:rFonts w:hint="eastAsia" w:cs="Times New Roman"/>
          <w:highlight w:val="none"/>
          <w:lang w:eastAsia="zh-CN"/>
        </w:rPr>
        <w:t xml:space="preserve">, </w:t>
      </w:r>
      <w:r>
        <w:rPr>
          <w:rFonts w:cs="Times New Roman"/>
          <w:highlight w:val="none"/>
        </w:rPr>
        <w:t>thereby improving health and productivity.</w:t>
      </w:r>
    </w:p>
    <w:p w14:paraId="16880E9E">
      <w:pPr>
        <w:rPr>
          <w:rFonts w:cs="Times New Roman"/>
          <w:b/>
          <w:bCs/>
          <w:highlight w:val="none"/>
        </w:rPr>
      </w:pPr>
      <w:r>
        <w:rPr>
          <w:rFonts w:cs="Times New Roman"/>
          <w:b/>
          <w:bCs/>
          <w:highlight w:val="none"/>
        </w:rPr>
        <w:t>Regulation of Metabolism and Feed Efficiency</w:t>
      </w:r>
    </w:p>
    <w:p w14:paraId="7CA57260">
      <w:pPr>
        <w:rPr>
          <w:rFonts w:cs="Times New Roman"/>
          <w:highlight w:val="none"/>
        </w:rPr>
      </w:pPr>
      <w:r>
        <w:rPr>
          <w:rFonts w:cs="Times New Roman"/>
          <w:highlight w:val="none"/>
        </w:rPr>
        <w:t xml:space="preserve">miRNAs play a crucial role in regulating metabolism in livestock, affecting feed utilization, growth, and production efficiency. </w:t>
      </w:r>
      <w:r>
        <w:rPr>
          <w:rFonts w:hint="eastAsia" w:cs="Times New Roman"/>
          <w:highlight w:val="none"/>
          <w:lang w:eastAsia="zh-CN"/>
        </w:rPr>
        <w:t xml:space="preserve">In monogastric animals, </w:t>
      </w:r>
      <w:r>
        <w:rPr>
          <w:rFonts w:cs="Times New Roman"/>
          <w:highlight w:val="none"/>
        </w:rPr>
        <w:t xml:space="preserve">miRNAs such as miR-33 regulate cholesterol metabolism and lipid homeostasis, which directly influence energy balance and fat storage in animals </w:t>
      </w:r>
      <w:r>
        <w:rPr>
          <w:rFonts w:cs="Times New Roman"/>
          <w:highlight w:val="none"/>
        </w:rPr>
        <w:fldChar w:fldCharType="begin"/>
      </w:r>
      <w:r>
        <w:rPr>
          <w:rFonts w:cs="Times New Roman"/>
          <w:highlight w:val="none"/>
        </w:rPr>
        <w:instrText xml:space="preserve"> ADDIN EN.CITE &lt;EndNote&gt;&lt;Cite&gt;&lt;Author&gt;Fernández-Hernando&lt;/Author&gt;&lt;Year&gt;2011&lt;/Year&gt;&lt;RecNum&gt;235&lt;/RecNum&gt;&lt;DisplayText&gt;(Fernández-Hernando et al., 2011)&lt;/DisplayText&gt;&lt;record&gt;&lt;rec-number&gt;235&lt;/rec-number&gt;&lt;foreign-keys&gt;&lt;key app="EN" db-id="xwvtz5rea2fr2je0p0uppszgwft92rr5pxdp" timestamp="1739205193"&gt;235&lt;/key&gt;&lt;/foreign-keys&gt;&lt;ref-type name="Journal Article"&gt;17&lt;/ref-type&gt;&lt;contributors&gt;&lt;authors&gt;&lt;author&gt;Fernández-Hernando, Carlos&lt;/author&gt;&lt;author&gt;Moore, Kathryn J.&lt;/author&gt;&lt;author&gt;Sessa, William C.&lt;/author&gt;&lt;/authors&gt;&lt;/contributors&gt;&lt;titles&gt;&lt;title&gt;MicroRNA Modulation of Cholesterol Homeostasis&lt;/title&gt;&lt;secondary-title&gt;Arteriosclerosis, Thrombosis, and Vascular Biology&lt;/secondary-title&gt;&lt;/titles&gt;&lt;periodical&gt;&lt;full-title&gt;Arteriosclerosis, Thrombosis, and Vascular Biology&lt;/full-title&gt;&lt;/periodical&gt;&lt;pages&gt;2378-2382&lt;/pages&gt;&lt;volume&gt;31&lt;/volume&gt;&lt;number&gt;11&lt;/number&gt;&lt;dates&gt;&lt;year&gt;2011&lt;/year&gt;&lt;/dates&gt;&lt;urls&gt;&lt;related-urls&gt;&lt;url&gt;https://www.ahajournals.org/doi/abs/10.1161/ATVBAHA.111.226688&lt;/url&gt;&lt;/related-urls&gt;&lt;/urls&gt;&lt;electronic-resource-num&gt;doi:10.1161/ATVBAHA.111.226688&lt;/electronic-resource-num&gt;&lt;/record&gt;&lt;/Cite&gt;&lt;/EndNote&gt;</w:instrText>
      </w:r>
      <w:r>
        <w:rPr>
          <w:rFonts w:cs="Times New Roman"/>
          <w:highlight w:val="none"/>
        </w:rPr>
        <w:fldChar w:fldCharType="separate"/>
      </w:r>
      <w:r>
        <w:rPr>
          <w:rFonts w:cs="Times New Roman"/>
          <w:highlight w:val="none"/>
        </w:rPr>
        <w:t>(Fernández-Hernando et al., 2011)</w:t>
      </w:r>
      <w:r>
        <w:rPr>
          <w:rFonts w:cs="Times New Roman"/>
          <w:highlight w:val="none"/>
        </w:rPr>
        <w:fldChar w:fldCharType="end"/>
      </w:r>
      <w:r>
        <w:rPr>
          <w:rFonts w:cs="Times New Roman"/>
          <w:highlight w:val="none"/>
        </w:rPr>
        <w:t xml:space="preserve">. Moreover, miRNAs are involved in regulating glucose and insulin metabolism, which can impact the overall health and performance of animals </w:t>
      </w:r>
      <w:r>
        <w:rPr>
          <w:rFonts w:cs="Times New Roman"/>
          <w:highlight w:val="none"/>
        </w:rPr>
        <w:fldChar w:fldCharType="begin"/>
      </w:r>
      <w:r>
        <w:rPr>
          <w:rFonts w:cs="Times New Roman"/>
          <w:highlight w:val="none"/>
        </w:rPr>
        <w:instrText xml:space="preserve"> ADDIN EN.CITE &lt;EndNote&gt;&lt;Cite&gt;&lt;Author&gt;Dávalos&lt;/Author&gt;&lt;Year&gt;2011&lt;/Year&gt;&lt;RecNum&gt;236&lt;/RecNum&gt;&lt;DisplayText&gt;(Dávalos et al., 2011)&lt;/DisplayText&gt;&lt;record&gt;&lt;rec-number&gt;236&lt;/rec-number&gt;&lt;foreign-keys&gt;&lt;key app="EN" db-id="xwvtz5rea2fr2je0p0uppszgwft92rr5pxdp" timestamp="1739205239"&gt;236&lt;/key&gt;&lt;/foreign-keys&gt;&lt;ref-type name="Journal Article"&gt;17&lt;/ref-type&gt;&lt;contributors&gt;&lt;authors&gt;&lt;author&gt;Dávalos, Alberto&lt;/author&gt;&lt;author&gt;Goedeke, Leigh&lt;/author&gt;&lt;author&gt;Smibert, Peter&lt;/author&gt;&lt;author&gt;Ramírez, Cristina M.&lt;/author&gt;&lt;author&gt;Warrier, Nikhil P.&lt;/author&gt;&lt;author&gt;Andreo, Ursula&lt;/author&gt;&lt;author&gt;Cirera-Salinas, Daniel&lt;/author&gt;&lt;author&gt;Rayner, Katey&lt;/author&gt;&lt;author&gt;Suresh, Uthra&lt;/author&gt;&lt;author&gt;Pastor-Pareja, José Carlos&lt;/author&gt;&lt;author&gt;Esplugues, Enric&lt;/author&gt;&lt;author&gt;Fisher, Edward A.&lt;/author&gt;&lt;author&gt;Penalva, Luiz O. F.&lt;/author&gt;&lt;author&gt;Moore, Kathryn J.&lt;/author&gt;&lt;author&gt;Suárez, Yajaira&lt;/author&gt;&lt;author&gt;Lai, Eric C.&lt;/author&gt;&lt;author&gt;Fernández-Hernando, Carlos&lt;/author&gt;&lt;/authors&gt;&lt;/contributors&gt;&lt;titles&gt;&lt;title&gt;miR-33a/b contribute to the regulation of fatty acid metabolism and insulin signaling&lt;/title&gt;&lt;secondary-title&gt;Proceedings of the National Academy of Sciences&lt;/secondary-title&gt;&lt;/titles&gt;&lt;periodical&gt;&lt;full-title&gt;Proceedings of the National Academy of Sciences&lt;/full-title&gt;&lt;/periodical&gt;&lt;pages&gt;9232-9237&lt;/pages&gt;&lt;volume&gt;108&lt;/volume&gt;&lt;number&gt;22&lt;/number&gt;&lt;dates&gt;&lt;year&gt;2011&lt;/year&gt;&lt;/dates&gt;&lt;urls&gt;&lt;related-urls&gt;&lt;url&gt;https://www.pnas.org/doi/abs/10.1073/pnas.1102281108&lt;/url&gt;&lt;/related-urls&gt;&lt;/urls&gt;&lt;electronic-resource-num&gt;doi:10.1073/pnas.1102281108&lt;/electronic-resource-num&gt;&lt;/record&gt;&lt;/Cite&gt;&lt;/EndNote&gt;</w:instrText>
      </w:r>
      <w:r>
        <w:rPr>
          <w:rFonts w:cs="Times New Roman"/>
          <w:highlight w:val="none"/>
        </w:rPr>
        <w:fldChar w:fldCharType="separate"/>
      </w:r>
      <w:r>
        <w:rPr>
          <w:rFonts w:cs="Times New Roman"/>
          <w:highlight w:val="none"/>
        </w:rPr>
        <w:t>(Dávalos et al., 2011)</w:t>
      </w:r>
      <w:r>
        <w:rPr>
          <w:rFonts w:cs="Times New Roman"/>
          <w:highlight w:val="none"/>
        </w:rPr>
        <w:fldChar w:fldCharType="end"/>
      </w:r>
      <w:r>
        <w:rPr>
          <w:rFonts w:cs="Times New Roman"/>
          <w:highlight w:val="none"/>
        </w:rPr>
        <w:t>.</w:t>
      </w:r>
    </w:p>
    <w:p w14:paraId="7221C8CE">
      <w:pPr>
        <w:rPr>
          <w:rFonts w:cs="Times New Roman"/>
          <w:highlight w:val="none"/>
        </w:rPr>
      </w:pPr>
      <w:r>
        <w:rPr>
          <w:rFonts w:cs="Times New Roman"/>
          <w:highlight w:val="none"/>
        </w:rPr>
        <w:t>In terms of feed efficiency, miRNAs can influence how animals process and utilize nutrients from their diet. For example,</w:t>
      </w:r>
      <w:r>
        <w:rPr>
          <w:rFonts w:hint="eastAsia" w:cs="Times New Roman"/>
          <w:highlight w:val="none"/>
          <w:lang w:eastAsia="zh-CN"/>
        </w:rPr>
        <w:t xml:space="preserve"> in ruminants,</w:t>
      </w:r>
      <w:r>
        <w:rPr>
          <w:rFonts w:cs="Times New Roman"/>
          <w:highlight w:val="none"/>
        </w:rPr>
        <w:t xml:space="preserve"> miRNAs regulate gene expression in the liver and muscle, which are key organs involved in nutrient metabolism </w:t>
      </w:r>
      <w:r>
        <w:rPr>
          <w:rFonts w:cs="Times New Roman"/>
          <w:highlight w:val="none"/>
        </w:rPr>
        <w:fldChar w:fldCharType="begin">
          <w:fldData xml:space="preserve">PEVuZE5vdGU+PENpdGU+PEF1dGhvcj5DYXJ2YWxobzwvQXV0aG9yPjxZZWFyPjIwMTk8L1llYXI+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</w:fldData>
        </w:fldChar>
      </w:r>
      <w:r>
        <w:rPr>
          <w:rFonts w:cs="Times New Roman"/>
          <w:highlight w:val="none"/>
        </w:rPr>
        <w:instrText xml:space="preserve"> ADDIN EN.CITE </w:instrText>
      </w:r>
      <w:r>
        <w:rPr>
          <w:rFonts w:cs="Times New Roman"/>
          <w:highlight w:val="none"/>
        </w:rPr>
        <w:fldChar w:fldCharType="begin">
          <w:fldData xml:space="preserve">PEVuZE5vdGU+PENpdGU+PEF1dGhvcj5DYXJ2YWxobzwvQXV0aG9yPjxZZWFyPjIwMTk8L1llYXI+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(Carvalho et al., 2019, Hu et al., 2022)</w:t>
      </w:r>
      <w:r>
        <w:rPr>
          <w:rFonts w:cs="Times New Roman"/>
          <w:highlight w:val="none"/>
        </w:rPr>
        <w:fldChar w:fldCharType="end"/>
      </w:r>
      <w:r>
        <w:rPr>
          <w:rFonts w:cs="Times New Roman"/>
          <w:highlight w:val="none"/>
        </w:rPr>
        <w:t>. In the liver of cattle selected for feed efficiency, differentially expressed miRNAs such as bta-miR-449a and bta-miR-AB-2 were identified across breeds (Angus, Charolais, etc.), and their target genes relate to nutrient metabolism including lipids and carbohydrates (Mukiibi et al., 2020)</w:t>
      </w:r>
      <w:r>
        <w:rPr>
          <w:rFonts w:hint="eastAsia" w:cs="Times New Roman"/>
          <w:highlight w:val="none"/>
          <w:lang w:eastAsia="zh-CN"/>
        </w:rPr>
        <w:t xml:space="preserve">. </w:t>
      </w:r>
      <w:r>
        <w:rPr>
          <w:rFonts w:cs="Times New Roman"/>
          <w:highlight w:val="none"/>
        </w:rPr>
        <w:t xml:space="preserve">By modulating the expression of genes involved in nutrient uptake, energy expenditure, and fat storage, miRNAs play a significant role in improving feed conversion ratios, which is essential for reducing production costs and increasing the sustainability of livestock farming </w:t>
      </w:r>
      <w:r>
        <w:rPr>
          <w:rFonts w:cs="Times New Roman"/>
          <w:highlight w:val="none"/>
        </w:rPr>
        <w:fldChar w:fldCharType="begin"/>
      </w:r>
      <w:r>
        <w:rPr>
          <w:rFonts w:cs="Times New Roman"/>
          <w:highlight w:val="none"/>
        </w:rPr>
        <w:instrText xml:space="preserve"> ADDIN EN.CITE &lt;EndNote&gt;&lt;Cite&gt;&lt;Author&gt;De Oliveira&lt;/Author&gt;&lt;Year&gt;2018&lt;/Year&gt;&lt;RecNum&gt;239&lt;/RecNum&gt;&lt;DisplayText&gt;(De Oliveira et al., 2018)&lt;/DisplayText&gt;&lt;record&gt;&lt;rec-number&gt;239&lt;/rec-number&gt;&lt;foreign-keys&gt;&lt;key app="EN" db-id="xwvtz5rea2fr2je0p0uppszgwft92rr5pxdp" timestamp="1739205628"&gt;239&lt;/key&gt;&lt;/foreign-keys&gt;&lt;ref-type name="Journal Article"&gt;17&lt;/ref-type&gt;&lt;contributors&gt;&lt;authors&gt;&lt;author&gt;De Oliveira, Priscila S. N.&lt;/author&gt;&lt;author&gt;Coutinho, Luiz L.&lt;/author&gt;&lt;author&gt;Tizioto, Polyana C.&lt;/author&gt;&lt;author&gt;Cesar, Aline S. M.&lt;/author&gt;&lt;author&gt;de Oliveira, Gabriella B.&lt;/author&gt;&lt;author&gt;Diniz, Wellison J. da S.&lt;/author&gt;&lt;author&gt;De Lima, Andressa O.&lt;/author&gt;&lt;author&gt;Reecy, James M.&lt;/author&gt;&lt;author&gt;Mourão, Gerson B.&lt;/author&gt;&lt;author&gt;Zerlotini, Adhemar&lt;/author&gt;&lt;author&gt;Regitano, Luciana C. A.&lt;/author&gt;&lt;/authors&gt;&lt;/contributors&gt;&lt;titles&gt;&lt;title&gt;An integrative transcriptome analysis indicates regulatory mRNA-miRNA networks for residual feed intake in Nelore cattle&lt;/title&gt;&lt;secondary-title&gt;Scientific Reports&lt;/secondary-title&gt;&lt;/titles&gt;&lt;periodical&gt;&lt;full-title&gt;Scientific Reports&lt;/full-title&gt;&lt;abbr-1&gt;Sci Rep-Uk&lt;/abbr-1&gt;&lt;/periodical&gt;&lt;pages&gt;17072&lt;/pages&gt;&lt;volume&gt;8&lt;/volume&gt;&lt;number&gt;1&lt;/number&gt;&lt;dates&gt;&lt;year&gt;2018&lt;/year&gt;&lt;pub-dates&gt;&lt;date&gt;2018/11/20&lt;/date&gt;&lt;/pub-dates&gt;&lt;/dates&gt;&lt;isbn&gt;2045-2322&lt;/isbn&gt;&lt;urls&gt;&lt;related-urls&gt;&lt;url&gt;https://doi.org/10.1038/s41598-018-35315-5&lt;/url&gt;&lt;/related-urls&gt;&lt;/urls&gt;&lt;electronic-resource-num&gt;10.1038/s41598-018-35315-5&lt;/electronic-resource-num&gt;&lt;/record&gt;&lt;/Cite&gt;&lt;/EndNote&gt;</w:instrText>
      </w:r>
      <w:r>
        <w:rPr>
          <w:rFonts w:cs="Times New Roman"/>
          <w:highlight w:val="none"/>
        </w:rPr>
        <w:fldChar w:fldCharType="separate"/>
      </w:r>
      <w:r>
        <w:rPr>
          <w:rFonts w:cs="Times New Roman"/>
          <w:highlight w:val="none"/>
        </w:rPr>
        <w:t>(De Oliveira et al., 2018)</w:t>
      </w:r>
      <w:r>
        <w:rPr>
          <w:rFonts w:cs="Times New Roman"/>
          <w:highlight w:val="none"/>
        </w:rPr>
        <w:fldChar w:fldCharType="end"/>
      </w:r>
      <w:r>
        <w:rPr>
          <w:rFonts w:cs="Times New Roman"/>
          <w:highlight w:val="none"/>
        </w:rPr>
        <w:t>.</w:t>
      </w:r>
    </w:p>
    <w:p w14:paraId="3DEC9FE6">
      <w:pPr>
        <w:rPr>
          <w:rFonts w:cs="Times New Roman"/>
          <w:b/>
          <w:bCs/>
          <w:highlight w:val="none"/>
        </w:rPr>
      </w:pPr>
      <w:r>
        <w:rPr>
          <w:rFonts w:cs="Times New Roman"/>
          <w:b/>
          <w:bCs/>
          <w:highlight w:val="none"/>
        </w:rPr>
        <w:t>Disease Resistance and Stress Responses</w:t>
      </w:r>
    </w:p>
    <w:p w14:paraId="39BF1E49">
      <w:pPr>
        <w:rPr>
          <w:rFonts w:cs="Times New Roman"/>
          <w:highlight w:val="none"/>
        </w:rPr>
      </w:pPr>
      <w:r>
        <w:rPr>
          <w:rFonts w:cs="Times New Roman"/>
          <w:highlight w:val="none"/>
        </w:rPr>
        <w:t xml:space="preserve">miRNAs are also involved in regulating the stress responses of livestock. When animals are exposed to environmental stressors such as heat, cold, or transportation, miRNAs help regulate the expression of stress-related genes, allowing animals to adapt to adverse conditions </w:t>
      </w:r>
      <w:r>
        <w:rPr>
          <w:rFonts w:cs="Times New Roman"/>
          <w:highlight w:val="none"/>
        </w:rPr>
        <w:fldChar w:fldCharType="begin"/>
      </w:r>
      <w:r>
        <w:rPr>
          <w:rFonts w:cs="Times New Roman"/>
          <w:highlight w:val="none"/>
        </w:rPr>
        <w:instrText xml:space="preserve"> ADDIN EN.CITE &lt;EndNote&gt;&lt;Cite&gt;&lt;Author&gt;Miretti&lt;/Author&gt;&lt;Year&gt;2020&lt;/Year&gt;&lt;RecNum&gt;240&lt;/RecNum&gt;&lt;DisplayText&gt;(Miretti et al., 2020)&lt;/DisplayText&gt;&lt;record&gt;&lt;rec-number&gt;240&lt;/rec-number&gt;&lt;foreign-keys&gt;&lt;key app="EN" db-id="xwvtz5rea2fr2je0p0uppszgwft92rr5pxdp" timestamp="1739205756"&gt;240&lt;/key&gt;&lt;/foreign-keys&gt;&lt;ref-type name="Journal Article"&gt;17&lt;/ref-type&gt;&lt;contributors&gt;&lt;authors&gt;&lt;author&gt;Miretti, S.&lt;/author&gt;&lt;author&gt;Lecchi, C.&lt;/author&gt;&lt;author&gt;Ceciliani, F.&lt;/author&gt;&lt;author&gt;Baratta, M.&lt;/author&gt;&lt;/authors&gt;&lt;/contributors&gt;&lt;auth-address&gt;Department of Veterinary Sciences, University of Torino, Grugliasco, Italy.&amp;#xD;Department of Veterinary Medicine, Università degli Studi di Milano, Milan, Italy.&lt;/auth-address&gt;&lt;titles&gt;&lt;title&gt;MicroRNAs as Biomarkers for Animal Health and Welfare in Livestock&lt;/title&gt;&lt;secondary-title&gt;Front Vet Sci&lt;/secondary-title&gt;&lt;/titles&gt;&lt;periodical&gt;&lt;full-title&gt;Frontiers in Veterinary Science&lt;/full-title&gt;&lt;abbr-1&gt;Front Vet Sci&lt;/abbr-1&gt;&lt;/periodical&gt;&lt;pages&gt;578193&lt;/pages&gt;&lt;volume&gt;7&lt;/volume&gt;&lt;edition&gt;20201218&lt;/edition&gt;&lt;keywords&gt;&lt;keyword&gt;biomarker&lt;/keyword&gt;&lt;keyword&gt;health&lt;/keyword&gt;&lt;keyword&gt;livestock&lt;/keyword&gt;&lt;keyword&gt;microRNA&lt;/keyword&gt;&lt;keyword&gt;pig&lt;/keyword&gt;&lt;keyword&gt;poultry&lt;/keyword&gt;&lt;keyword&gt;ruminants&lt;/keyword&gt;&lt;keyword&gt;welfare&lt;/keyword&gt;&lt;/keywords&gt;&lt;dates&gt;&lt;year&gt;2020&lt;/year&gt;&lt;/dates&gt;&lt;isbn&gt;2297-1769 (Print)&amp;#xD;2297-1769&lt;/isbn&gt;&lt;accession-num&gt;33392281&lt;/accession-num&gt;&lt;urls&gt;&lt;/urls&gt;&lt;custom1&gt;The authors declare that the research was conducted in the absence of any commercial or financial relationships that could be construed as a potential conflict of interest.&lt;/custom1&gt;&lt;custom2&gt;PMC7775535&lt;/custom2&gt;&lt;electronic-resource-num&gt;10.3389/fvets.2020.578193&lt;/electronic-resource-num&gt;&lt;remote-database-provider&gt;NLM&lt;/remote-database-provider&gt;&lt;language&gt;eng&lt;/language&gt;&lt;/record&gt;&lt;/Cite&gt;&lt;/EndNote&gt;</w:instrText>
      </w:r>
      <w:r>
        <w:rPr>
          <w:rFonts w:cs="Times New Roman"/>
          <w:highlight w:val="none"/>
        </w:rPr>
        <w:fldChar w:fldCharType="separate"/>
      </w:r>
      <w:r>
        <w:rPr>
          <w:rFonts w:cs="Times New Roman"/>
          <w:highlight w:val="none"/>
        </w:rPr>
        <w:t>(Miretti et al., 2020)</w:t>
      </w:r>
      <w:r>
        <w:rPr>
          <w:rFonts w:cs="Times New Roman"/>
          <w:highlight w:val="none"/>
        </w:rPr>
        <w:fldChar w:fldCharType="end"/>
      </w:r>
      <w:r>
        <w:rPr>
          <w:rFonts w:cs="Times New Roman"/>
          <w:highlight w:val="none"/>
        </w:rPr>
        <w:t xml:space="preserve">. miRNAs such as miR-223 have been implicated in modulating stress responses by regulating the expression of inflammatory cytokines and other stress-related molecules </w:t>
      </w:r>
      <w:r>
        <w:rPr>
          <w:rFonts w:cs="Times New Roman"/>
          <w:highlight w:val="none"/>
        </w:rPr>
        <w:fldChar w:fldCharType="begin">
          <w:fldData xml:space="preserve">PEVuZE5vdGU+PENpdGU+PEF1dGhvcj5aaG91PC9BdXRob3I+PFllYXI+MjAyMzwvWWVhcj48UmVj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PEVuZE5vdGU+PENpdGU+PEF1dGhvcj5aaG91PC9BdXRob3I+PFllYXI+MjAyMzwvWWVhcj48UmVj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(Zhou et al., 2023)</w:t>
      </w:r>
      <w:r>
        <w:rPr>
          <w:rFonts w:cs="Times New Roman"/>
          <w:highlight w:val="none"/>
        </w:rPr>
        <w:fldChar w:fldCharType="end"/>
      </w:r>
      <w:r>
        <w:rPr>
          <w:rFonts w:cs="Times New Roman"/>
          <w:highlight w:val="none"/>
        </w:rPr>
        <w:t>.</w:t>
      </w:r>
    </w:p>
    <w:p w14:paraId="020D4CDE">
      <w:pPr>
        <w:rPr>
          <w:rFonts w:cs="Times New Roman"/>
          <w:highlight w:val="none"/>
        </w:rPr>
      </w:pPr>
      <w:r>
        <w:rPr>
          <w:rFonts w:cs="Times New Roman"/>
          <w:highlight w:val="none"/>
        </w:rPr>
        <w:t xml:space="preserve">Recent studies also highlight the role of the rumen–mammary gland axis and bacterial </w:t>
      </w:r>
      <w:r>
        <w:rPr>
          <w:rFonts w:hint="eastAsia" w:cs="Times New Roman"/>
          <w:highlight w:val="none"/>
          <w:lang w:eastAsia="zh-CN"/>
        </w:rPr>
        <w:t>EVs</w:t>
      </w:r>
      <w:r>
        <w:rPr>
          <w:rFonts w:cs="Times New Roman"/>
          <w:highlight w:val="none"/>
        </w:rPr>
        <w:t xml:space="preserve"> in mediating heat stress responses in dairy cows, suggesting that microbial signals and EV</w:t>
      </w:r>
      <w:r>
        <w:rPr>
          <w:rFonts w:hint="eastAsia" w:cs="Times New Roman"/>
          <w:highlight w:val="none"/>
          <w:lang w:eastAsia="zh-CN"/>
        </w:rPr>
        <w:t>-</w:t>
      </w:r>
      <w:r>
        <w:rPr>
          <w:rFonts w:cs="Times New Roman"/>
          <w:highlight w:val="none"/>
        </w:rPr>
        <w:t>carried RNAs may interact with host miRNAs to regulate mammary gland function and inflammation during thermal stress</w:t>
      </w:r>
      <w:r>
        <w:rPr>
          <w:rFonts w:hint="eastAsia" w:cs="Times New Roman"/>
          <w:highlight w:val="none"/>
          <w:lang w:eastAsia="zh-CN"/>
        </w:rPr>
        <w:t xml:space="preserve"> (Huang et al., 2024)</w:t>
      </w:r>
      <w:r>
        <w:rPr>
          <w:rFonts w:cs="Times New Roman"/>
          <w:highlight w:val="none"/>
        </w:rPr>
        <w:t>. This provides a novel perspective on how environmental stress can alter systemic communication and miRNA-mediated regulation in ruminants.</w:t>
      </w:r>
    </w:p>
    <w:p w14:paraId="12B01100">
      <w:pPr>
        <w:rPr>
          <w:rStyle w:val="93"/>
          <w:rFonts w:cs="Times New Roman"/>
          <w:highlight w:val="none"/>
          <w:lang w:eastAsia="zh-CN"/>
        </w:rPr>
      </w:pPr>
      <w:bookmarkStart w:id="40" w:name="OLE_LINK27"/>
      <w:r>
        <w:rPr>
          <w:rFonts w:cs="Times New Roman"/>
          <w:highlight w:val="none"/>
        </w:rPr>
        <w:t xml:space="preserve">Furthermore, miRNAs are involved in disease resistance. For example, miR-146a is known to regulate immune tolerance, which can help livestock manage chronic infections or inflammatory conditions </w:t>
      </w:r>
      <w:r>
        <w:rPr>
          <w:rFonts w:cs="Times New Roman"/>
          <w:highlight w:val="none"/>
        </w:rPr>
        <w:fldChar w:fldCharType="begin">
          <w:fldData xml:space="preserve">PEVuZE5vdGU+PENpdGU+PEF1dGhvcj5TYWJhPC9BdXRob3I+PFllYXI+MjAxNDwvWWVhcj48UmVj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PEVuZE5vdGU+PENpdGU+PEF1dGhvcj5TYWJhPC9BdXRob3I+PFllYXI+MjAxNDwvWWVhcj48UmVj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(Nahid et al., 2009, Saba et al., 2014)</w:t>
      </w:r>
      <w:r>
        <w:rPr>
          <w:rFonts w:cs="Times New Roman"/>
          <w:highlight w:val="none"/>
        </w:rPr>
        <w:fldChar w:fldCharType="end"/>
      </w:r>
      <w:r>
        <w:rPr>
          <w:rFonts w:cs="Times New Roman"/>
          <w:highlight w:val="none"/>
        </w:rPr>
        <w:t>. In dairy cows, for instance, bta-miR-146a is upregulated during mastitis and helps regulate inflammatory pathways by targeting cytokine signaling molecules, thereby preventing excessive immune activation and tissue damage (L</w:t>
      </w:r>
      <w:r>
        <w:rPr>
          <w:rFonts w:hint="eastAsia" w:cs="Times New Roman"/>
          <w:highlight w:val="none"/>
          <w:lang w:eastAsia="zh-CN"/>
        </w:rPr>
        <w:t>a</w:t>
      </w:r>
      <w:r>
        <w:rPr>
          <w:rFonts w:cs="Times New Roman"/>
          <w:highlight w:val="none"/>
        </w:rPr>
        <w:t>i et al., 2017</w:t>
      </w:r>
      <w:r>
        <w:rPr>
          <w:rFonts w:hint="eastAsia" w:cs="Times New Roman"/>
          <w:highlight w:val="none"/>
          <w:lang w:eastAsia="zh-CN"/>
        </w:rPr>
        <w:t>,</w:t>
      </w:r>
      <w:r>
        <w:rPr>
          <w:rFonts w:cs="Times New Roman"/>
          <w:highlight w:val="none"/>
        </w:rPr>
        <w:t xml:space="preserve"> Wang et al., 2017). Through such mechanisms, miR-146a contributes to maintaining immune tolerance and controlling chronic inflammation. By modulating host responses to pathogens and environmental stressors, miRNAs enhance disease resistance and support improved animal health, ultimately reducing the reliance on antibiotics and other interventions in livestock production.</w:t>
      </w:r>
    </w:p>
    <w:bookmarkEnd w:id="40"/>
    <w:p w14:paraId="0E57B66E">
      <w:pPr>
        <w:pStyle w:val="5"/>
        <w:rPr>
          <w:highlight w:val="none"/>
          <w:lang w:val="en-US" w:eastAsia="fr-FR"/>
        </w:rPr>
      </w:pPr>
      <w:r>
        <w:rPr>
          <w:rFonts w:hint="eastAsia"/>
          <w:highlight w:val="none"/>
          <w:lang w:val="en-US" w:eastAsia="zh-CN"/>
        </w:rPr>
        <w:t>lnc</w:t>
      </w:r>
      <w:r>
        <w:rPr>
          <w:highlight w:val="none"/>
          <w:lang w:val="en-US" w:eastAsia="fr-FR"/>
        </w:rPr>
        <w:t>RNA</w:t>
      </w:r>
    </w:p>
    <w:p w14:paraId="2767497F">
      <w:pPr>
        <w:rPr>
          <w:rFonts w:cs="Times New Roman"/>
          <w:highlight w:val="none"/>
        </w:rPr>
      </w:pPr>
      <w:r>
        <w:rPr>
          <w:rFonts w:hint="eastAsia" w:cs="Times New Roman"/>
          <w:highlight w:val="none"/>
        </w:rPr>
        <w:t>l</w:t>
      </w:r>
      <w:r>
        <w:rPr>
          <w:rFonts w:cs="Times New Roman"/>
          <w:highlight w:val="none"/>
        </w:rPr>
        <w:t xml:space="preserve">ncRNAs are a class of noncoding RNAs that exceed 200 nucleotides in length and, as their name implies, do not encode proteins, similar to miRNAs </w:t>
      </w:r>
      <w:r>
        <w:rPr>
          <w:rFonts w:cs="Times New Roman"/>
          <w:highlight w:val="none"/>
        </w:rPr>
        <w:fldChar w:fldCharType="begin"/>
      </w:r>
      <w:r>
        <w:rPr>
          <w:rFonts w:cs="Times New Roman"/>
          <w:highlight w:val="none"/>
        </w:rPr>
        <w:instrText xml:space="preserve"> ADDIN EN.CITE &lt;EndNote&gt;&lt;Cite&gt;&lt;Author&gt;Jia&lt;/Author&gt;&lt;Year&gt;2022&lt;/Year&gt;&lt;RecNum&gt;169&lt;/RecNum&gt;&lt;DisplayText&gt;(Jia et al., 2022)&lt;/DisplayText&gt;&lt;record&gt;&lt;rec-number&gt;169&lt;/rec-number&gt;&lt;foreign-keys&gt;&lt;key app="EN" db-id="xwvtz5rea2fr2je0p0uppszgwft92rr5pxdp" timestamp="1718981476"&gt;169&lt;/key&gt;&lt;/foreign-keys&gt;&lt;ref-type name="Journal Article"&gt;17&lt;/ref-type&gt;&lt;contributors&gt;&lt;authors&gt;&lt;author&gt;Jia, L.&lt;/author&gt;&lt;author&gt;Wang, J.&lt;/author&gt;&lt;author&gt;Luoreng, Z.&lt;/author&gt;&lt;author&gt;Wang, X.&lt;/author&gt;&lt;author&gt;Wei, D.&lt;/author&gt;&lt;author&gt;Yang, J.&lt;/author&gt;&lt;author&gt;Hu, Q.&lt;/author&gt;&lt;author&gt;Ma, Y.&lt;/author&gt;&lt;/authors&gt;&lt;/contributors&gt;&lt;auth-address&gt;School of Agriculture, Ningxia University, Yinchuan 750021, China.&amp;#xD;Key Laboratory of Ruminant Molecular Cell Breeding, Ningxia Hui Autonomous Region, Yinchuan 750021, China.&lt;/auth-address&gt;&lt;titles&gt;&lt;title&gt;Progress in Expression Pattern and Molecular Regulation Mechanism of LncRNA in Bovine Mastitis&lt;/title&gt;&lt;secondary-title&gt;Animals (Basel)&lt;/secondary-title&gt;&lt;/titles&gt;&lt;periodical&gt;&lt;full-title&gt;Animals (Basel)&lt;/full-title&gt;&lt;/periodical&gt;&lt;volume&gt;12&lt;/volume&gt;&lt;number&gt;9&lt;/number&gt;&lt;edition&gt;20220420&lt;/edition&gt;&lt;keywords&gt;&lt;keyword&gt;cow&lt;/keyword&gt;&lt;keyword&gt;expression pattern&lt;/keyword&gt;&lt;keyword&gt;lncRNA&lt;/keyword&gt;&lt;keyword&gt;mastitis&lt;/keyword&gt;&lt;keyword&gt;regulatory mechanism&lt;/keyword&gt;&lt;/keywords&gt;&lt;dates&gt;&lt;year&gt;2022&lt;/year&gt;&lt;pub-dates&gt;&lt;date&gt;Apr 20&lt;/date&gt;&lt;/pub-dates&gt;&lt;/dates&gt;&lt;isbn&gt;2076-2615 (Print)&amp;#xD;2076-2615 (Electronic)&amp;#xD;2076-2615 (Linking)&lt;/isbn&gt;&lt;accession-num&gt;35565486&lt;/accession-num&gt;&lt;urls&gt;&lt;related-urls&gt;&lt;url&gt;https://www.ncbi.nlm.nih.gov/pubmed/35565486&lt;/url&gt;&lt;/related-urls&gt;&lt;/urls&gt;&lt;custom1&gt;The authors declare no conflict of interest.&lt;/custom1&gt;&lt;custom2&gt;PMC9105470&lt;/custom2&gt;&lt;electronic-resource-num&gt;10.3390/ani12091059&lt;/electronic-resource-num&gt;&lt;remote-database-name&gt;PubMed-not-MEDLINE&lt;/remote-database-name&gt;&lt;remote-database-provider&gt;NLM&lt;/remote-database-provider&gt;&lt;/record&gt;&lt;/Cite&gt;&lt;/EndNote&gt;</w:instrText>
      </w:r>
      <w:r>
        <w:rPr>
          <w:rFonts w:cs="Times New Roman"/>
          <w:highlight w:val="none"/>
        </w:rPr>
        <w:fldChar w:fldCharType="separate"/>
      </w:r>
      <w:r>
        <w:rPr>
          <w:rFonts w:cs="Times New Roman"/>
          <w:highlight w:val="none"/>
        </w:rPr>
        <w:t>(Jia et al., 2022)</w:t>
      </w:r>
      <w:r>
        <w:rPr>
          <w:rFonts w:cs="Times New Roman"/>
          <w:highlight w:val="none"/>
        </w:rPr>
        <w:fldChar w:fldCharType="end"/>
      </w:r>
      <w:r>
        <w:rPr>
          <w:rFonts w:cs="Times New Roman"/>
          <w:highlight w:val="none"/>
        </w:rPr>
        <w:t xml:space="preserve">. They function as </w:t>
      </w:r>
      <w:r>
        <w:rPr>
          <w:rFonts w:hint="eastAsia" w:cs="Times New Roman"/>
          <w:highlight w:val="none"/>
        </w:rPr>
        <w:t xml:space="preserve">key </w:t>
      </w:r>
      <w:r>
        <w:rPr>
          <w:rFonts w:cs="Times New Roman"/>
          <w:highlight w:val="none"/>
        </w:rPr>
        <w:t xml:space="preserve">regulators of gene expression through diverse mechanisms, such as chromatin remodeling, transcriptional modulation, and post-transcriptional regulation </w:t>
      </w:r>
      <w:r>
        <w:rPr>
          <w:rFonts w:cs="Times New Roman"/>
          <w:highlight w:val="none"/>
        </w:rPr>
        <w:fldChar w:fldCharType="begin">
          <w:fldData xml:space="preserve">PEVuZE5vdGU+PENpdGU+PEF1dGhvcj5KaWE8L0F1dGhvcj48WWVhcj4yMDIyPC9ZZWFyPjxSZWNO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PEVuZE5vdGU+PENpdGU+PEF1dGhvcj5KaWE8L0F1dGhvcj48WWVhcj4yMDIyPC9ZZWFyPjxSZWNO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(Jia et al., 2022, Mattick et al., 2023)</w:t>
      </w:r>
      <w:r>
        <w:rPr>
          <w:rFonts w:cs="Times New Roman"/>
          <w:highlight w:val="none"/>
        </w:rPr>
        <w:fldChar w:fldCharType="end"/>
      </w:r>
      <w:r>
        <w:rPr>
          <w:rFonts w:cs="Times New Roman"/>
          <w:highlight w:val="none"/>
        </w:rPr>
        <w:t xml:space="preserve">. </w:t>
      </w:r>
      <w:r>
        <w:rPr>
          <w:rFonts w:hint="eastAsia" w:cs="Times New Roman"/>
          <w:highlight w:val="none"/>
        </w:rPr>
        <w:t xml:space="preserve">lncRNAs participate in a wide range of cellular processes, such as chromatin organization, gene transcription, mRNA turnover, protein translation, and the assembly of macromolecular complexes </w:t>
      </w:r>
      <w:r>
        <w:rPr>
          <w:rFonts w:cs="Times New Roman"/>
          <w:highlight w:val="none"/>
        </w:rPr>
        <w:fldChar w:fldCharType="begin"/>
      </w:r>
      <w:r>
        <w:rPr>
          <w:rFonts w:cs="Times New Roman"/>
          <w:highlight w:val="none"/>
        </w:rPr>
        <w:instrText xml:space="preserve"> ADDIN EN.CITE &lt;EndNote&gt;&lt;Cite&gt;&lt;Author&gt;Kim&lt;/Author&gt;&lt;Year&gt;2017&lt;/Year&gt;&lt;RecNum&gt;298&lt;/RecNum&gt;&lt;DisplayText&gt;(Kim et al., 2017)&lt;/DisplayText&gt;&lt;record&gt;&lt;rec-number&gt;298&lt;/rec-number&gt;&lt;foreign-keys&gt;&lt;key app="EN" db-id="xwvtz5rea2fr2je0p0uppszgwft92rr5pxdp" timestamp="1740960368"&gt;298&lt;/key&gt;&lt;/foreign-keys&gt;&lt;ref-type name="Journal Article"&gt;17&lt;/ref-type&gt;&lt;contributors&gt;&lt;authors&gt;&lt;author&gt;Kim, Kyoung Mi&lt;/author&gt;&lt;author&gt;Abdelmohsen, Kotb&lt;/author&gt;&lt;author&gt;Mustapic, Maja&lt;/author&gt;&lt;author&gt;Kapogiannis, Dimitrios&lt;/author&gt;&lt;author&gt;Gorospe, Myriam&lt;/author&gt;&lt;/authors&gt;&lt;/contributors&gt;&lt;titles&gt;&lt;title&gt;RNA in extracellular vesicles&lt;/title&gt;&lt;secondary-title&gt;Wiley Interdisciplinary Reviews: RNA&lt;/secondary-title&gt;&lt;/titles&gt;&lt;periodical&gt;&lt;full-title&gt;Wiley Interdisciplinary Reviews: RNA&lt;/full-title&gt;&lt;/periodical&gt;&lt;pages&gt;e1413&lt;/pages&gt;&lt;volume&gt;8&lt;/volume&gt;&lt;number&gt;4&lt;/number&gt;&lt;dates&gt;&lt;year&gt;2017&lt;/year&gt;&lt;/dates&gt;&lt;isbn&gt;1757-7004&lt;/isbn&gt;&lt;urls&gt;&lt;/urls&gt;&lt;/record&gt;&lt;/Cite&gt;&lt;/EndNote&gt;</w:instrText>
      </w:r>
      <w:r>
        <w:rPr>
          <w:rFonts w:cs="Times New Roman"/>
          <w:highlight w:val="none"/>
        </w:rPr>
        <w:fldChar w:fldCharType="separate"/>
      </w:r>
      <w:r>
        <w:rPr>
          <w:rFonts w:cs="Times New Roman"/>
          <w:highlight w:val="none"/>
        </w:rPr>
        <w:t>(Kim et al., 2017)</w:t>
      </w:r>
      <w:r>
        <w:rPr>
          <w:rFonts w:cs="Times New Roman"/>
          <w:highlight w:val="none"/>
        </w:rPr>
        <w:fldChar w:fldCharType="end"/>
      </w:r>
      <w:r>
        <w:rPr>
          <w:rFonts w:hint="eastAsia" w:cs="Times New Roman"/>
          <w:highlight w:val="none"/>
        </w:rPr>
        <w:t>. This functional versatility allows lncRNAs to exert both activating and repressive effects on gene expression, positioning them as critical regulators in complex biological networks.</w:t>
      </w:r>
    </w:p>
    <w:p w14:paraId="03181282">
      <w:pPr>
        <w:rPr>
          <w:rFonts w:cs="Times New Roman"/>
          <w:b/>
          <w:bCs/>
          <w:highlight w:val="none"/>
        </w:rPr>
      </w:pPr>
      <w:r>
        <w:rPr>
          <w:rFonts w:cs="Times New Roman"/>
          <w:b/>
          <w:bCs/>
          <w:highlight w:val="none"/>
        </w:rPr>
        <w:t>Regulation of Inflammation</w:t>
      </w:r>
    </w:p>
    <w:p w14:paraId="4D8AB9D3">
      <w:pPr>
        <w:rPr>
          <w:rFonts w:cs="Times New Roman"/>
          <w:highlight w:val="none"/>
        </w:rPr>
      </w:pPr>
      <w:r>
        <w:rPr>
          <w:rFonts w:cs="Times New Roman"/>
          <w:highlight w:val="none"/>
        </w:rPr>
        <w:t xml:space="preserve">The role of lncRNAs in inflammation and immunity has been increasingly recognized, particularly through evidence from animal studies </w:t>
      </w:r>
      <w:r>
        <w:rPr>
          <w:rFonts w:cs="Times New Roman"/>
          <w:highlight w:val="none"/>
        </w:rPr>
        <w:fldChar w:fldCharType="begin">
          <w:fldData xml:space="preserve">PEVuZE5vdGU+PENpdGU+PEF1dGhvcj5YaWE8L0F1dGhvcj48WWVhcj4yMDIzPC9ZZWFyPjxSZWNO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PEVuZE5vdGU+PENpdGU+PEF1dGhvcj5YaWE8L0F1dGhvcj48WWVhcj4yMDIzPC9ZZWFyPjxSZWNO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(Xia et al., 2023, Feng et al., 2024)</w:t>
      </w:r>
      <w:r>
        <w:rPr>
          <w:rFonts w:cs="Times New Roman"/>
          <w:highlight w:val="none"/>
        </w:rPr>
        <w:fldChar w:fldCharType="end"/>
      </w:r>
      <w:r>
        <w:rPr>
          <w:rFonts w:cs="Times New Roman"/>
          <w:highlight w:val="none"/>
        </w:rPr>
        <w:t xml:space="preserve">. One example of a lncRNA involved in inflammation is lncRNA H19, which has been implicated in bovine mastitis. In bovine mammary gland tissue affected by mastitis, as well as in primary bovine mammary alveolar cells stimulated with lipoteichoic acid </w:t>
      </w:r>
      <w:r>
        <w:rPr>
          <w:rFonts w:cs="Times New Roman"/>
          <w:highlight w:val="none"/>
        </w:rPr>
        <w:fldChar w:fldCharType="begin">
          <w:fldData xml:space="preserve">PEVuZE5vdGU+PENpdGUgRXhjbHVkZVllYXI9IjEiPjxBdXRob3I+VGjDqXJ5PC9BdXRob3I+PFll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</w:fldData>
        </w:fldChar>
      </w:r>
      <w:r>
        <w:rPr>
          <w:rFonts w:cs="Times New Roman"/>
          <w:highlight w:val="none"/>
        </w:rPr>
        <w:instrText xml:space="preserve"> ADDIN EN.CITE </w:instrText>
      </w:r>
      <w:r>
        <w:rPr>
          <w:rFonts w:cs="Times New Roman"/>
          <w:highlight w:val="none"/>
        </w:rPr>
        <w:fldChar w:fldCharType="begin">
          <w:fldData xml:space="preserve">PEVuZE5vdGU+PENpdGUgRXhjbHVkZVllYXI9IjEiPjxBdXRob3I+VGjDqXJ5PC9BdXRob3I+PFll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(Théry et al.)</w:t>
      </w:r>
      <w:r>
        <w:rPr>
          <w:rFonts w:cs="Times New Roman"/>
          <w:highlight w:val="none"/>
        </w:rPr>
        <w:fldChar w:fldCharType="end"/>
      </w:r>
      <w:r>
        <w:rPr>
          <w:rFonts w:cs="Times New Roman"/>
          <w:highlight w:val="none"/>
        </w:rPr>
        <w:t xml:space="preserve">- or LPS, the PI3K-AKT signaling pathway has been shown to be activated, leading to increased H19 expression, which subsequently induced epithelial–mesenchymal transition and contributed to reduced milk production </w:t>
      </w:r>
      <w:r>
        <w:rPr>
          <w:rFonts w:cs="Times New Roman"/>
          <w:highlight w:val="none"/>
        </w:rPr>
        <w:fldChar w:fldCharType="begin"/>
      </w:r>
      <w:r>
        <w:rPr>
          <w:rFonts w:cs="Times New Roman"/>
          <w:highlight w:val="none"/>
        </w:rPr>
        <w:instrText xml:space="preserve"> ADDIN EN.CITE &lt;EndNote&gt;&lt;Cite&gt;&lt;Author&gt;Yang&lt;/Author&gt;&lt;Year&gt;2017&lt;/Year&gt;&lt;RecNum&gt;245&lt;/RecNum&gt;&lt;DisplayText&gt;(Yang et al., 2017)&lt;/DisplayText&gt;&lt;record&gt;&lt;rec-number&gt;245&lt;/rec-number&gt;&lt;foreign-keys&gt;&lt;key app="EN" db-id="xwvtz5rea2fr2je0p0uppszgwft92rr5pxdp" timestamp="1739291240"&gt;245&lt;/key&gt;&lt;/foreign-keys&gt;&lt;ref-type name="Journal Article"&gt;17&lt;/ref-type&gt;&lt;contributors&gt;&lt;authors&gt;&lt;author&gt;Yang, Wei&lt;/author&gt;&lt;author&gt;Li, Xuezhong&lt;/author&gt;&lt;author&gt;Qi, Shaopei&lt;/author&gt;&lt;author&gt;Li, Xueru&lt;/author&gt;&lt;author&gt;Zhou, Kun&lt;/author&gt;&lt;author&gt;Qing, Suzhu&lt;/author&gt;&lt;author&gt;Zhang, Yong&lt;/author&gt;&lt;author&gt;Gao, Ming-Qing&lt;/author&gt;&lt;/authors&gt;&lt;secondary-authors&gt;&lt;author&gt;Sun, Shao-Chen&lt;/author&gt;&lt;/secondary-authors&gt;&lt;/contributors&gt;&lt;titles&gt;&lt;title&gt;lncRNA H19 is involved in TGF-β1-induced epithelial to mesenchymal transition in bovine epithelial cells through PI3K/AKT Signaling Pathway&lt;/title&gt;&lt;secondary-title&gt;PeerJ&lt;/secondary-title&gt;&lt;alt-title&gt;PeerJ&lt;/alt-title&gt;&lt;/titles&gt;&lt;periodical&gt;&lt;full-title&gt;PeerJ&lt;/full-title&gt;&lt;abbr-1&gt;PeerJ&lt;/abbr-1&gt;&lt;/periodical&gt;&lt;alt-periodical&gt;&lt;full-title&gt;PeerJ&lt;/full-title&gt;&lt;abbr-1&gt;PeerJ&lt;/abbr-1&gt;&lt;/alt-periodical&gt;&lt;pages&gt;e3950&lt;/pages&gt;&lt;volume&gt;5&lt;/volume&gt;&lt;keywords&gt;&lt;keyword&gt;Mastitis&lt;/keyword&gt;&lt;keyword&gt;Epithelial cells&lt;/keyword&gt;&lt;keyword&gt;MAC-T&lt;/keyword&gt;&lt;keyword&gt;H19&lt;/keyword&gt;&lt;keyword&gt;TGF-β1&lt;/keyword&gt;&lt;keyword&gt;Bovine&lt;/keyword&gt;&lt;/keywords&gt;&lt;dates&gt;&lt;year&gt;2017&lt;/year&gt;&lt;pub-dates&gt;&lt;date&gt;2017/10/17&lt;/date&gt;&lt;/pub-dates&gt;&lt;/dates&gt;&lt;isbn&gt;2167-8359&lt;/isbn&gt;&lt;urls&gt;&lt;related-urls&gt;&lt;url&gt;https://doi.org/10.7717/peerj.3950&lt;/url&gt;&lt;/related-urls&gt;&lt;/urls&gt;&lt;electronic-resource-num&gt;10.7717/peerj.3950&lt;/electronic-resource-num&gt;&lt;/record&gt;&lt;/Cite&gt;&lt;/EndNote&gt;</w:instrText>
      </w:r>
      <w:r>
        <w:rPr>
          <w:rFonts w:cs="Times New Roman"/>
          <w:highlight w:val="none"/>
        </w:rPr>
        <w:fldChar w:fldCharType="separate"/>
      </w:r>
      <w:r>
        <w:rPr>
          <w:rFonts w:cs="Times New Roman"/>
          <w:highlight w:val="none"/>
        </w:rPr>
        <w:t>(Yang et al., 2017)</w:t>
      </w:r>
      <w:r>
        <w:rPr>
          <w:rFonts w:cs="Times New Roman"/>
          <w:highlight w:val="none"/>
        </w:rPr>
        <w:fldChar w:fldCharType="end"/>
      </w:r>
      <w:r>
        <w:rPr>
          <w:rFonts w:cs="Times New Roman"/>
          <w:highlight w:val="none"/>
        </w:rPr>
        <w:t xml:space="preserve">. H19 was however observed to play a protective role by promoting the proliferation of primary bovine mammary alveolar cells, enhancing β-casein synthesis and tight junction protein expression, and inhibiting </w:t>
      </w:r>
      <w:r>
        <w:rPr>
          <w:rFonts w:cs="Times New Roman"/>
          <w:i/>
          <w:iCs/>
          <w:highlight w:val="none"/>
        </w:rPr>
        <w:t>Staphylococcus aureus</w:t>
      </w:r>
      <w:r>
        <w:rPr>
          <w:rFonts w:cs="Times New Roman"/>
          <w:highlight w:val="none"/>
        </w:rPr>
        <w:t xml:space="preserve"> adhesion </w:t>
      </w:r>
      <w:r>
        <w:rPr>
          <w:rFonts w:cs="Times New Roman"/>
          <w:highlight w:val="none"/>
        </w:rPr>
        <w:fldChar w:fldCharType="begin"/>
      </w:r>
      <w:r>
        <w:rPr>
          <w:rFonts w:cs="Times New Roman"/>
          <w:highlight w:val="none"/>
        </w:rPr>
        <w:instrText xml:space="preserve"> ADDIN EN.CITE &lt;EndNote&gt;&lt;Cite&gt;&lt;Author&gt;Li&lt;/Author&gt;&lt;Year&gt;2019&lt;/Year&gt;&lt;RecNum&gt;246&lt;/RecNum&gt;&lt;DisplayText&gt;(Li et al., 2019)&lt;/DisplayText&gt;&lt;record&gt;&lt;rec-number&gt;246&lt;/rec-number&gt;&lt;foreign-keys&gt;&lt;key app="EN" db-id="xwvtz5rea2fr2je0p0uppszgwft92rr5pxdp" timestamp="1739291334"&gt;246&lt;/key&gt;&lt;/foreign-keys&gt;&lt;ref-type name="Journal Article"&gt;17&lt;/ref-type&gt;&lt;contributors&gt;&lt;authors&gt;&lt;author&gt;Li, Xuezhong&lt;/author&gt;&lt;author&gt;Wang, Hao&lt;/author&gt;&lt;author&gt;Zhang, Yanfen&lt;/author&gt;&lt;author&gt;Zhang, Jinjing&lt;/author&gt;&lt;author&gt;Qi, Shaopei&lt;/author&gt;&lt;author&gt;Zhang, Yong&lt;/author&gt;&lt;author&gt;Gao, Ming-Qing&lt;/author&gt;&lt;/authors&gt;&lt;secondary-authors&gt;&lt;author&gt;Tao, Shi-Cong&lt;/author&gt;&lt;/secondary-authors&gt;&lt;/contributors&gt;&lt;titles&gt;&lt;title&gt;Overexpression of lncRNA H19 changes basic characteristics and affects immune response of bovine mammary epithelial cells&lt;/title&gt;&lt;secondary-title&gt;PeerJ&lt;/secondary-title&gt;&lt;alt-title&gt;PeerJ&lt;/alt-title&gt;&lt;/titles&gt;&lt;periodical&gt;&lt;full-title&gt;PeerJ&lt;/full-title&gt;&lt;abbr-1&gt;PeerJ&lt;/abbr-1&gt;&lt;/periodical&gt;&lt;alt-periodical&gt;&lt;full-title&gt;PeerJ&lt;/full-title&gt;&lt;abbr-1&gt;PeerJ&lt;/abbr-1&gt;&lt;/alt-periodical&gt;&lt;pages&gt;e6715&lt;/pages&gt;&lt;volume&gt;7&lt;/volume&gt;&lt;keywords&gt;&lt;keyword&gt;Bovine mastitis&lt;/keyword&gt;&lt;keyword&gt;Epithelial cells&lt;/keyword&gt;&lt;keyword&gt;Long non-coding RNA H19&lt;/keyword&gt;&lt;keyword&gt;Lipopolysaccharide&lt;/keyword&gt;&lt;keyword&gt;Immnue response&lt;/keyword&gt;&lt;/keywords&gt;&lt;dates&gt;&lt;year&gt;2019&lt;/year&gt;&lt;pub-dates&gt;&lt;date&gt;2019/04/05&lt;/date&gt;&lt;/pub-dates&gt;&lt;/dates&gt;&lt;isbn&gt;2167-8359&lt;/isbn&gt;&lt;urls&gt;&lt;related-urls&gt;&lt;url&gt;https://doi.org/10.7717/peerj.6715&lt;/url&gt;&lt;/related-urls&gt;&lt;/urls&gt;&lt;electronic-resource-num&gt;10.7717/peerj.6715&lt;/electronic-resource-num&gt;&lt;/record&gt;&lt;/Cite&gt;&lt;/EndNote&gt;</w:instrText>
      </w:r>
      <w:r>
        <w:rPr>
          <w:rFonts w:cs="Times New Roman"/>
          <w:highlight w:val="none"/>
        </w:rPr>
        <w:fldChar w:fldCharType="separate"/>
      </w:r>
      <w:r>
        <w:rPr>
          <w:rFonts w:cs="Times New Roman"/>
          <w:highlight w:val="none"/>
        </w:rPr>
        <w:t>(Li et al., 2019)</w:t>
      </w:r>
      <w:r>
        <w:rPr>
          <w:rFonts w:cs="Times New Roman"/>
          <w:highlight w:val="none"/>
        </w:rPr>
        <w:fldChar w:fldCharType="end"/>
      </w:r>
      <w:r>
        <w:rPr>
          <w:rFonts w:cs="Times New Roman"/>
          <w:highlight w:val="none"/>
        </w:rPr>
        <w:t xml:space="preserve">. Furthermore, H19 overexpression was found to activate the NF-κB inflammatory pathway, promoting the release of inflammatory factors, which help clear pathogenic bacteria and restore tissue homeostasis </w:t>
      </w:r>
      <w:r>
        <w:rPr>
          <w:rFonts w:cs="Times New Roman"/>
          <w:highlight w:val="none"/>
        </w:rPr>
        <w:fldChar w:fldCharType="begin"/>
      </w:r>
      <w:r>
        <w:rPr>
          <w:rFonts w:cs="Times New Roman"/>
          <w:highlight w:val="none"/>
        </w:rPr>
        <w:instrText xml:space="preserve"> ADDIN EN.CITE &lt;EndNote&gt;&lt;Cite&gt;&lt;Author&gt;Li&lt;/Author&gt;&lt;Year&gt;2019&lt;/Year&gt;&lt;RecNum&gt;246&lt;/RecNum&gt;&lt;DisplayText&gt;(Li et al., 2019)&lt;/DisplayText&gt;&lt;record&gt;&lt;rec-number&gt;246&lt;/rec-number&gt;&lt;foreign-keys&gt;&lt;key app="EN" db-id="xwvtz5rea2fr2je0p0uppszgwft92rr5pxdp" timestamp="1739291334"&gt;246&lt;/key&gt;&lt;/foreign-keys&gt;&lt;ref-type name="Journal Article"&gt;17&lt;/ref-type&gt;&lt;contributors&gt;&lt;authors&gt;&lt;author&gt;Li, Xuezhong&lt;/author&gt;&lt;author&gt;Wang, Hao&lt;/author&gt;&lt;author&gt;Zhang, Yanfen&lt;/author&gt;&lt;author&gt;Zhang, Jinjing&lt;/author&gt;&lt;author&gt;Qi, Shaopei&lt;/author&gt;&lt;author&gt;Zhang, Yong&lt;/author&gt;&lt;author&gt;Gao, Ming-Qing&lt;/author&gt;&lt;/authors&gt;&lt;secondary-authors&gt;&lt;author&gt;Tao, Shi-Cong&lt;/author&gt;&lt;/secondary-authors&gt;&lt;/contributors&gt;&lt;titles&gt;&lt;title&gt;Overexpression of lncRNA H19 changes basic characteristics and affects immune response of bovine mammary epithelial cells&lt;/title&gt;&lt;secondary-title&gt;PeerJ&lt;/secondary-title&gt;&lt;alt-title&gt;PeerJ&lt;/alt-title&gt;&lt;/titles&gt;&lt;periodical&gt;&lt;full-title&gt;PeerJ&lt;/full-title&gt;&lt;abbr-1&gt;PeerJ&lt;/abbr-1&gt;&lt;/periodical&gt;&lt;alt-periodical&gt;&lt;full-title&gt;PeerJ&lt;/full-title&gt;&lt;abbr-1&gt;PeerJ&lt;/abbr-1&gt;&lt;/alt-periodical&gt;&lt;pages&gt;e6715&lt;/pages&gt;&lt;volume&gt;7&lt;/volume&gt;&lt;keywords&gt;&lt;keyword&gt;Bovine mastitis&lt;/keyword&gt;&lt;keyword&gt;Epithelial cells&lt;/keyword&gt;&lt;keyword&gt;Long non-coding RNA H19&lt;/keyword&gt;&lt;keyword&gt;Lipopolysaccharide&lt;/keyword&gt;&lt;keyword&gt;Immnue response&lt;/keyword&gt;&lt;/keywords&gt;&lt;dates&gt;&lt;year&gt;2019&lt;/year&gt;&lt;pub-dates&gt;&lt;date&gt;2019/04/05&lt;/date&gt;&lt;/pub-dates&gt;&lt;/dates&gt;&lt;isbn&gt;2167-8359&lt;/isbn&gt;&lt;urls&gt;&lt;related-urls&gt;&lt;url&gt;https://doi.org/10.7717/peerj.6715&lt;/url&gt;&lt;/related-urls&gt;&lt;/urls&gt;&lt;electronic-resource-num&gt;10.7717/peerj.6715&lt;/electronic-resource-num&gt;&lt;/record&gt;&lt;/Cite&gt;&lt;/EndNote&gt;</w:instrText>
      </w:r>
      <w:r>
        <w:rPr>
          <w:rFonts w:cs="Times New Roman"/>
          <w:highlight w:val="none"/>
        </w:rPr>
        <w:fldChar w:fldCharType="separate"/>
      </w:r>
      <w:r>
        <w:rPr>
          <w:rFonts w:cs="Times New Roman"/>
          <w:highlight w:val="none"/>
        </w:rPr>
        <w:t>(Li et al., 2019)</w:t>
      </w:r>
      <w:r>
        <w:rPr>
          <w:rFonts w:cs="Times New Roman"/>
          <w:highlight w:val="none"/>
        </w:rPr>
        <w:fldChar w:fldCharType="end"/>
      </w:r>
      <w:r>
        <w:rPr>
          <w:rFonts w:cs="Times New Roman"/>
          <w:highlight w:val="none"/>
        </w:rPr>
        <w:t>. These findings suggest that H19 has dual roles in inflammation, contributing to both fibrosis and bacterial defense, making it a potential target for therapeutic intervention in bovine mastitis and related inflammatory diseases.</w:t>
      </w:r>
    </w:p>
    <w:p w14:paraId="5E07C120">
      <w:pPr>
        <w:rPr>
          <w:rFonts w:cs="Times New Roman"/>
          <w:highlight w:val="none"/>
        </w:rPr>
      </w:pPr>
      <w:r>
        <w:rPr>
          <w:rFonts w:cs="Times New Roman"/>
          <w:highlight w:val="none"/>
        </w:rPr>
        <w:t xml:space="preserve">Beyond H19, many other lncRNAs are known to regulate inflammation. For example, lncRNA-TUB has been implicated in bovine mastitis and fibrosis. Identified in an </w:t>
      </w:r>
      <w:r>
        <w:rPr>
          <w:rFonts w:cs="Times New Roman"/>
          <w:i/>
          <w:iCs/>
          <w:highlight w:val="none"/>
        </w:rPr>
        <w:t>Escherichia coli</w:t>
      </w:r>
      <w:r>
        <w:rPr>
          <w:rFonts w:cs="Times New Roman"/>
          <w:highlight w:val="none"/>
        </w:rPr>
        <w:t xml:space="preserve">- and </w:t>
      </w:r>
      <w:r>
        <w:rPr>
          <w:rFonts w:cs="Times New Roman"/>
          <w:i/>
          <w:iCs/>
          <w:highlight w:val="none"/>
        </w:rPr>
        <w:t>Staphylococcus aureus</w:t>
      </w:r>
      <w:r>
        <w:rPr>
          <w:rFonts w:cs="Times New Roman"/>
          <w:highlight w:val="none"/>
        </w:rPr>
        <w:t xml:space="preserve">-induced primary bovine mammary alveolar cell inflammation model, lncRNA-TUB was found to be significantly upregulated in mastitis-affected cells </w:t>
      </w:r>
      <w:r>
        <w:rPr>
          <w:rFonts w:cs="Times New Roman"/>
          <w:highlight w:val="none"/>
        </w:rPr>
        <w:fldChar w:fldCharType="begin"/>
      </w:r>
      <w:r>
        <w:rPr>
          <w:rFonts w:cs="Times New Roman"/>
          <w:highlight w:val="none"/>
        </w:rPr>
        <w:instrText xml:space="preserve"> ADDIN EN.CITE &lt;EndNote&gt;&lt;Cite&gt;&lt;Author&gt;Wang&lt;/Author&gt;&lt;Year&gt;2019&lt;/Year&gt;&lt;RecNum&gt;247&lt;/RecNum&gt;&lt;DisplayText&gt;(Wang et al., 2019)&lt;/DisplayText&gt;&lt;record&gt;&lt;rec-number&gt;247&lt;/rec-number&gt;&lt;foreign-keys&gt;&lt;key app="EN" db-id="xwvtz5rea2fr2je0p0uppszgwft92rr5pxdp" timestamp="1739293614"&gt;247&lt;/key&gt;&lt;/foreign-keys&gt;&lt;ref-type name="Journal Article"&gt;17&lt;/ref-type&gt;&lt;contributors&gt;&lt;authors&gt;&lt;author&gt;Wang, Hao&lt;/author&gt;&lt;author&gt;Wang, Xixi&lt;/author&gt;&lt;author&gt;Li, Xueru&lt;/author&gt;&lt;author&gt;Wang, Qianwen&lt;/author&gt;&lt;author&gt;Qing, Suzhu&lt;/author&gt;&lt;author&gt;Zhang, Yong&lt;/author&gt;&lt;author&gt;Gao, Ming-Qing&lt;/author&gt;&lt;/authors&gt;&lt;/contributors&gt;&lt;titles&gt;&lt;title&gt;A novel long non-coding RNA regulates the immune response in MAC-T cells and contributes to bovine mastitis&lt;/title&gt;&lt;secondary-title&gt;The FEBS Journal&lt;/secondary-title&gt;&lt;/titles&gt;&lt;periodical&gt;&lt;full-title&gt;The FEBS Journal&lt;/full-title&gt;&lt;/periodical&gt;&lt;pages&gt;1780-1795&lt;/pages&gt;&lt;volume&gt;286&lt;/volume&gt;&lt;number&gt;9&lt;/number&gt;&lt;dates&gt;&lt;year&gt;2019&lt;/year&gt;&lt;/dates&gt;&lt;isbn&gt;1742-464X&lt;/isbn&gt;&lt;urls&gt;&lt;related-urls&gt;&lt;url&gt;https://febs.onlinelibrary.wiley.com/doi/abs/10.1111/febs.14783&lt;/url&gt;&lt;/related-urls&gt;&lt;/urls&gt;&lt;electronic-resource-num&gt;https://doi.org/10.1111/febs.14783&lt;/electronic-resource-num&gt;&lt;/record&gt;&lt;/Cite&gt;&lt;/EndNote&gt;</w:instrText>
      </w:r>
      <w:r>
        <w:rPr>
          <w:rFonts w:cs="Times New Roman"/>
          <w:highlight w:val="none"/>
        </w:rPr>
        <w:fldChar w:fldCharType="separate"/>
      </w:r>
      <w:r>
        <w:rPr>
          <w:rFonts w:cs="Times New Roman"/>
          <w:highlight w:val="none"/>
        </w:rPr>
        <w:t>(Wang et al., 2019</w:t>
      </w:r>
      <w:r>
        <w:rPr>
          <w:rFonts w:hint="eastAsia" w:cs="Times New Roman"/>
          <w:highlight w:val="none"/>
          <w:lang w:eastAsia="zh-CN"/>
        </w:rPr>
        <w:t>a</w:t>
      </w:r>
      <w:r>
        <w:rPr>
          <w:rFonts w:cs="Times New Roman"/>
          <w:highlight w:val="none"/>
        </w:rPr>
        <w:t>)</w:t>
      </w:r>
      <w:r>
        <w:rPr>
          <w:rFonts w:cs="Times New Roman"/>
          <w:highlight w:val="none"/>
        </w:rPr>
        <w:fldChar w:fldCharType="end"/>
      </w:r>
      <w:r>
        <w:rPr>
          <w:rFonts w:cs="Times New Roman"/>
          <w:highlight w:val="none"/>
        </w:rPr>
        <w:t xml:space="preserve">. lncRNA-TUB affected mammary alveolar cell (MAC-T) proliferation, migration, and β-casein secretion. It also altered cytokine levels, and activated the TGF-β1/Smad pathway through TUBA1C downregulation and TGF-β1 upregulation, ultimately inducing epithelial-mesenchymal transition </w:t>
      </w:r>
      <w:r>
        <w:rPr>
          <w:rFonts w:cs="Times New Roman"/>
          <w:highlight w:val="none"/>
        </w:rPr>
        <w:fldChar w:fldCharType="begin">
          <w:fldData xml:space="preserve">PEVuZE5vdGU+PENpdGU+PEF1dGhvcj5DaGVuPC9BdXRob3I+PFllYXI+MjAxNzwvWWVhcj48UmVj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</w:fldData>
        </w:fldChar>
      </w:r>
      <w:r>
        <w:rPr>
          <w:rFonts w:cs="Times New Roman"/>
          <w:highlight w:val="none"/>
        </w:rPr>
        <w:instrText xml:space="preserve"> ADDIN EN.CITE </w:instrText>
      </w:r>
      <w:r>
        <w:rPr>
          <w:rFonts w:cs="Times New Roman"/>
          <w:highlight w:val="none"/>
        </w:rPr>
        <w:fldChar w:fldCharType="begin">
          <w:fldData xml:space="preserve">PEVuZE5vdGU+PENpdGU+PEF1dGhvcj5DaGVuPC9BdXRob3I+PFllYXI+MjAxNzwvWWVhcj48UmVj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(Chen et al., 2017, Wang et al., 2019</w:t>
      </w:r>
      <w:r>
        <w:rPr>
          <w:rFonts w:hint="eastAsia" w:cs="Times New Roman"/>
          <w:highlight w:val="none"/>
          <w:lang w:eastAsia="zh-CN"/>
        </w:rPr>
        <w:t>a</w:t>
      </w:r>
      <w:r>
        <w:rPr>
          <w:rFonts w:cs="Times New Roman"/>
          <w:highlight w:val="none"/>
        </w:rPr>
        <w:t>)</w:t>
      </w:r>
      <w:r>
        <w:rPr>
          <w:rFonts w:cs="Times New Roman"/>
          <w:highlight w:val="none"/>
        </w:rPr>
        <w:fldChar w:fldCharType="end"/>
      </w:r>
      <w:r>
        <w:rPr>
          <w:rFonts w:cs="Times New Roman"/>
          <w:highlight w:val="none"/>
        </w:rPr>
        <w:t xml:space="preserve">. This epithelial-mesenchymal transition process contributes to excessive extracellular matrix accumulation, creating a feedback loop that amplifies inflammation and promotes mammary gland fibrosis </w:t>
      </w:r>
      <w:r>
        <w:rPr>
          <w:rFonts w:cs="Times New Roman"/>
          <w:highlight w:val="none"/>
        </w:rPr>
        <w:fldChar w:fldCharType="begin"/>
      </w:r>
      <w:r>
        <w:rPr>
          <w:rFonts w:cs="Times New Roman"/>
          <w:highlight w:val="none"/>
        </w:rPr>
        <w:instrText xml:space="preserve"> ADDIN EN.CITE &lt;EndNote&gt;&lt;Cite&gt;&lt;Author&gt;Zeisberg&lt;/Author&gt;&lt;Year&gt;2003&lt;/Year&gt;&lt;RecNum&gt;249&lt;/RecNum&gt;&lt;DisplayText&gt;(Zeisberg et al., 2003)&lt;/DisplayText&gt;&lt;record&gt;&lt;rec-number&gt;249&lt;/rec-number&gt;&lt;foreign-keys&gt;&lt;key app="EN" db-id="xwvtz5rea2fr2je0p0uppszgwft92rr5pxdp" timestamp="1739294055"&gt;249&lt;/key&gt;&lt;/foreign-keys&gt;&lt;ref-type name="Journal Article"&gt;17&lt;/ref-type&gt;&lt;contributors&gt;&lt;authors&gt;&lt;author&gt;Zeisberg, Michael&lt;/author&gt;&lt;author&gt;Hanai, Jun-ichi&lt;/author&gt;&lt;author&gt;Sugimoto, Hikaru&lt;/author&gt;&lt;author&gt;Mammoto, Tadanori&lt;/author&gt;&lt;author&gt;Charytan, David&lt;/author&gt;&lt;author&gt;Strutz, Frank&lt;/author&gt;&lt;author&gt;Kalluri, Raghu&lt;/author&gt;&lt;/authors&gt;&lt;/contributors&gt;&lt;titles&gt;&lt;title&gt;BMP-7 counteracts TGF-β1–induced epithelial-to-mesenchymal transition and reverses chronic renal injury&lt;/title&gt;&lt;secondary-title&gt;Nature Medicine&lt;/secondary-title&gt;&lt;/titles&gt;&lt;periodical&gt;&lt;full-title&gt;Nature Medicine&lt;/full-title&gt;&lt;/periodical&gt;&lt;pages&gt;964-968&lt;/pages&gt;&lt;volume&gt;9&lt;/volume&gt;&lt;number&gt;7&lt;/number&gt;&lt;dates&gt;&lt;year&gt;2003&lt;/year&gt;&lt;pub-dates&gt;&lt;date&gt;2003/07/01&lt;/date&gt;&lt;/pub-dates&gt;&lt;/dates&gt;&lt;isbn&gt;1546-170X&lt;/isbn&gt;&lt;urls&gt;&lt;related-urls&gt;&lt;url&gt;https://doi.org/10.1038/nm888&lt;/url&gt;&lt;/related-urls&gt;&lt;/urls&gt;&lt;electronic-resource-num&gt;10.1038/nm888&lt;/electronic-resource-num&gt;&lt;/record&gt;&lt;/Cite&gt;&lt;/EndNote&gt;</w:instrText>
      </w:r>
      <w:r>
        <w:rPr>
          <w:rFonts w:cs="Times New Roman"/>
          <w:highlight w:val="none"/>
        </w:rPr>
        <w:fldChar w:fldCharType="separate"/>
      </w:r>
      <w:r>
        <w:rPr>
          <w:rFonts w:cs="Times New Roman"/>
          <w:highlight w:val="none"/>
        </w:rPr>
        <w:t>(Zeisberg et al., 2003)</w:t>
      </w:r>
      <w:r>
        <w:rPr>
          <w:rFonts w:cs="Times New Roman"/>
          <w:highlight w:val="none"/>
        </w:rPr>
        <w:fldChar w:fldCharType="end"/>
      </w:r>
      <w:r>
        <w:rPr>
          <w:rFonts w:cs="Times New Roman"/>
          <w:highlight w:val="none"/>
        </w:rPr>
        <w:t>. These findings highlight lncRNA-TUB as a key regulator of mastitis-induced fibrosis, providing insights into the molecular mechanisms underlying bovine mammary gland inflammation and potential therapeutic targets for intervention.</w:t>
      </w:r>
    </w:p>
    <w:p w14:paraId="6A88C190">
      <w:pPr>
        <w:rPr>
          <w:rFonts w:cs="Times New Roman"/>
          <w:highlight w:val="none"/>
        </w:rPr>
      </w:pPr>
      <w:r>
        <w:rPr>
          <w:rFonts w:cs="Times New Roman"/>
          <w:highlight w:val="none"/>
        </w:rPr>
        <w:t>Collectively, this demonstrates that lncRNAs serve as critical regulators of inflammation and immunity, orchestrating various aspects of immune responses through their diverse mechanisms of action. Further research into their roles in immune-related diseases may pave the way for novel therapeutic interventions targeting specific lncRNAs. By manipulating the expression or activity of these lncRNAs, we can potentially control pathological inflammation while preserving beneficial immune functions, opening new avenues in the treatment of infections, and inflammatory disorders.</w:t>
      </w:r>
    </w:p>
    <w:p w14:paraId="4A2418B8">
      <w:pPr>
        <w:rPr>
          <w:rFonts w:cs="Times New Roman"/>
          <w:b/>
          <w:bCs/>
          <w:highlight w:val="none"/>
        </w:rPr>
      </w:pPr>
      <w:r>
        <w:rPr>
          <w:rFonts w:cs="Times New Roman"/>
          <w:b/>
          <w:bCs/>
          <w:highlight w:val="none"/>
        </w:rPr>
        <w:t>Regulation of cell communication</w:t>
      </w:r>
    </w:p>
    <w:p w14:paraId="43469334">
      <w:pPr>
        <w:rPr>
          <w:rStyle w:val="93"/>
          <w:rFonts w:cs="Times New Roman"/>
          <w:highlight w:val="none"/>
          <w:lang w:eastAsia="zh-CN"/>
        </w:rPr>
      </w:pPr>
      <w:r>
        <w:rPr>
          <w:rFonts w:cs="Times New Roman"/>
          <w:highlight w:val="none"/>
        </w:rPr>
        <w:t xml:space="preserve">In addition to immune regulation, lncRNAs also participate in cell-to-cell communication by influencing cellular proliferation and signaling pathways. For instance, a study on lnc000100 in cattle muscle cells revealed its role in promoting myoblast proliferation </w:t>
      </w:r>
      <w:r>
        <w:rPr>
          <w:rFonts w:cs="Times New Roman"/>
          <w:highlight w:val="none"/>
        </w:rPr>
        <w:fldChar w:fldCharType="begin"/>
      </w:r>
      <w:r>
        <w:rPr>
          <w:rFonts w:cs="Times New Roman"/>
          <w:highlight w:val="none"/>
        </w:rPr>
        <w:instrText xml:space="preserve"> ADDIN EN.CITE &lt;EndNote&gt;&lt;Cite&gt;&lt;Author&gt;Ma&lt;/Author&gt;&lt;Year&gt;2023&lt;/Year&gt;&lt;RecNum&gt;250&lt;/RecNum&gt;&lt;DisplayText&gt;(Ma et al., 2023)&lt;/DisplayText&gt;&lt;record&gt;&lt;rec-number&gt;250&lt;/rec-number&gt;&lt;foreign-keys&gt;&lt;key app="EN" db-id="xwvtz5rea2fr2je0p0uppszgwft92rr5pxdp" timestamp="1739372509"&gt;250&lt;/key&gt;&lt;/foreign-keys&gt;&lt;ref-type name="Journal Article"&gt;17&lt;/ref-type&gt;&lt;contributors&gt;&lt;authors&gt;&lt;author&gt;Ma, Mengke&lt;/author&gt;&lt;author&gt;Chen, Mengjie&lt;/author&gt;&lt;author&gt;Wu, Xiaoyun&lt;/author&gt;&lt;author&gt;Sooranna, Suren R.&lt;/author&gt;&lt;author&gt;Liu, Qingyou&lt;/author&gt;&lt;author&gt;Shi, Deshun&lt;/author&gt;&lt;author&gt;Wang, Jian&lt;/author&gt;&lt;author&gt;Li, Hui&lt;/author&gt;&lt;/authors&gt;&lt;/contributors&gt;&lt;titles&gt;&lt;title&gt;A newly identified lncRNA lnc000100 regulates proliferation and differentiation of cattle skeletal muscle cells&lt;/title&gt;&lt;secondary-title&gt;Epigenetics&lt;/secondary-title&gt;&lt;/titles&gt;&lt;periodical&gt;&lt;full-title&gt;Epigenetics&lt;/full-title&gt;&lt;/periodical&gt;&lt;pages&gt;2270864&lt;/pages&gt;&lt;volume&gt;18&lt;/volume&gt;&lt;number&gt;1&lt;/number&gt;&lt;dates&gt;&lt;year&gt;2023&lt;/year&gt;&lt;pub-dates&gt;&lt;date&gt;2023/12/31&lt;/date&gt;&lt;/pub-dates&gt;&lt;/dates&gt;&lt;publisher&gt;Taylor &amp;amp; Francis&lt;/publisher&gt;&lt;isbn&gt;1559-2294&lt;/isbn&gt;&lt;urls&gt;&lt;related-urls&gt;&lt;url&gt;https://doi.org/10.1080/15592294.2023.2270864&lt;/url&gt;&lt;/related-urls&gt;&lt;/urls&gt;&lt;electronic-resource-num&gt;10.1080/15592294.2023.2270864&lt;/electronic-resource-num&gt;&lt;/record&gt;&lt;/Cite&gt;&lt;/EndNote&gt;</w:instrText>
      </w:r>
      <w:r>
        <w:rPr>
          <w:rFonts w:cs="Times New Roman"/>
          <w:highlight w:val="none"/>
        </w:rPr>
        <w:fldChar w:fldCharType="separate"/>
      </w:r>
      <w:r>
        <w:rPr>
          <w:rFonts w:cs="Times New Roman"/>
          <w:highlight w:val="none"/>
        </w:rPr>
        <w:t>(Ma et al., 2023)</w:t>
      </w:r>
      <w:r>
        <w:rPr>
          <w:rFonts w:cs="Times New Roman"/>
          <w:highlight w:val="none"/>
        </w:rPr>
        <w:fldChar w:fldCharType="end"/>
      </w:r>
      <w:r>
        <w:rPr>
          <w:rFonts w:cs="Times New Roman"/>
          <w:highlight w:val="none"/>
        </w:rPr>
        <w:t xml:space="preserve">. Moreover, research on bovine milk EVs identified thousands of novel lncRNAs, which were found to be involved in immune function, reproduction, and cell proliferation </w:t>
      </w:r>
      <w:r>
        <w:rPr>
          <w:rFonts w:cs="Times New Roman"/>
          <w:highlight w:val="none"/>
        </w:rPr>
        <w:fldChar w:fldCharType="begin">
          <w:fldData xml:space="preserve">PEVuZE5vdGU+PENpdGU+PEF1dGhvcj5aZW5nPC9BdXRob3I+PFllYXI+MjAxOTwvWWVhcj48UmVj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==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PEVuZE5vdGU+PENpdGU+PEF1dGhvcj5aZW5nPC9BdXRob3I+PFllYXI+MjAxOTwvWWVhcj48UmVj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==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(Zeng et al., 2019)</w:t>
      </w:r>
      <w:r>
        <w:rPr>
          <w:rFonts w:cs="Times New Roman"/>
          <w:highlight w:val="none"/>
        </w:rPr>
        <w:fldChar w:fldCharType="end"/>
      </w:r>
      <w:r>
        <w:rPr>
          <w:rFonts w:cs="Times New Roman"/>
          <w:highlight w:val="none"/>
        </w:rPr>
        <w:t xml:space="preserve">. Notably, these EVs-derived lncRNAs remained stable during </w:t>
      </w:r>
      <w:r>
        <w:rPr>
          <w:rFonts w:cs="Times New Roman"/>
          <w:i/>
          <w:iCs/>
          <w:highlight w:val="none"/>
        </w:rPr>
        <w:t>in vitro</w:t>
      </w:r>
      <w:r>
        <w:rPr>
          <w:rFonts w:cs="Times New Roman"/>
          <w:highlight w:val="none"/>
        </w:rPr>
        <w:t xml:space="preserve"> digestion, suggesting their potential role in intercellular communication, even after ingestion. This indicates that lncRNAs not only mediate local cellular interactions by modulating cell proliferation and viability but can also exert biological effects across different tissues and even species through dietary intake, further highlighting their diverse regulatory roles in biological processes.</w:t>
      </w:r>
    </w:p>
    <w:p w14:paraId="54336D5A">
      <w:pPr>
        <w:pStyle w:val="5"/>
        <w:rPr>
          <w:highlight w:val="none"/>
          <w:lang w:val="en-US" w:eastAsia="fr-FR"/>
        </w:rPr>
      </w:pPr>
      <w:r>
        <w:rPr>
          <w:rFonts w:hint="eastAsia"/>
          <w:highlight w:val="none"/>
          <w:lang w:val="en-US" w:eastAsia="zh-CN"/>
        </w:rPr>
        <w:t>m</w:t>
      </w:r>
      <w:r>
        <w:rPr>
          <w:highlight w:val="none"/>
          <w:lang w:val="en-US" w:eastAsia="fr-FR"/>
        </w:rPr>
        <w:t>RNA</w:t>
      </w:r>
    </w:p>
    <w:p w14:paraId="16A1277B">
      <w:pPr>
        <w:rPr>
          <w:rStyle w:val="93"/>
          <w:rFonts w:cs="Times New Roman"/>
          <w:highlight w:val="none"/>
          <w:lang w:val="zh-CN"/>
        </w:rPr>
      </w:pPr>
      <w:r>
        <w:rPr>
          <w:rStyle w:val="93"/>
          <w:rFonts w:cs="Times New Roman"/>
          <w:highlight w:val="none"/>
          <w:lang w:val="zh-CN"/>
        </w:rPr>
        <w:t>mRNAs are a class of coding RNAs that serve as templates for protein translation and are typically transcribed in the nucleus before undergoing splicing, end modification, and export to the cytosol (Kim et al., 2017). mRNAs play a pivotal role in cellular processes by encoding proteins that regulate a variety of biological functions (Faure et al., 2017, O’Brien et al., 2020). Beyond their canonical role in protein synthesis, mRNAs are now recognized as critical regulators of biological processes, including immune responses and inflammation (Xia et al., 2023). Their stability, localization, and translation efficiency can be tightly regulated, allowing for rapid and dynamic responses to environmental cues, such as infection or injury (Valadi et al., 2007, Carvalho et al., 2019). Additionally, mRNA processing events, such as alternative splicing, RNA editing, and modifications like N6-methyladenosine methylation, can influence the diversity and functionality of the resulting proteins, thereby modulating different signaling pathways (Roundtree et al., 2017). These regulatory mechanisms enable mRNAs to fine-tune immune responses by affecting the expression of pro- and anti-inflammatory mediators, cytokines, and signaling molecules. Recent advances in animal studies have shed light on the diverse roles of mRNAs in modulating immune signaling pathways, particularly in inflammation (Mecocci et al., 2021, Xia et al., 2023). Understanding the mechanisms of mRNA regulation provides insights into the control of immune responses and the maintenance of metabolic homeostasis in animals. Notably, mRNAs are packaged into EVs and can be transferred between cells, where they are translated into functional proteins, thereby contributing to intercellular communication and the modulation of gene expression in recipient cells (Kim et al., 2017). This versatility highlights the importance of mRNAs as essential components in cellular regulation and the broader network of gene expression.</w:t>
      </w:r>
    </w:p>
    <w:p w14:paraId="766FA061">
      <w:pPr>
        <w:rPr>
          <w:rFonts w:cs="Times New Roman"/>
          <w:b/>
          <w:bCs/>
          <w:highlight w:val="none"/>
        </w:rPr>
      </w:pPr>
      <w:bookmarkStart w:id="41" w:name="OLE_LINK30"/>
      <w:r>
        <w:rPr>
          <w:rFonts w:cs="Times New Roman"/>
          <w:b/>
          <w:bCs/>
          <w:highlight w:val="none"/>
        </w:rPr>
        <w:t>mRNA-Mediated Regulation of Inflammatory Cytokines</w:t>
      </w:r>
    </w:p>
    <w:bookmarkEnd w:id="41"/>
    <w:p w14:paraId="33689BBB">
      <w:pPr>
        <w:rPr>
          <w:rFonts w:cs="Times New Roman"/>
          <w:highlight w:val="none"/>
        </w:rPr>
      </w:pPr>
      <w:r>
        <w:rPr>
          <w:rFonts w:cs="Times New Roman"/>
          <w:highlight w:val="none"/>
        </w:rPr>
        <w:t xml:space="preserve">One example is the regulation of inflammatory cytokines by specific mRNAs. For instance, TNF-α mRNA is known to undergo rapid degradation under normal conditions, but during inflammatory responses, its stability is increased through interactions with RNA-binding proteins, such as HuR </w:t>
      </w:r>
      <w:r>
        <w:rPr>
          <w:rFonts w:cs="Times New Roman"/>
          <w:highlight w:val="none"/>
        </w:rPr>
        <w:fldChar w:fldCharType="begin"/>
      </w:r>
      <w:r>
        <w:rPr>
          <w:rFonts w:cs="Times New Roman"/>
          <w:highlight w:val="none"/>
        </w:rPr>
        <w:instrText xml:space="preserve"> ADDIN EN.CITE &lt;EndNote&gt;&lt;Cite&gt;&lt;Author&gt;Dean&lt;/Author&gt;&lt;Year&gt;2001&lt;/Year&gt;&lt;RecNum&gt;254&lt;/RecNum&gt;&lt;DisplayText&gt;(Dean et al., 2001)&lt;/DisplayText&gt;&lt;record&gt;&lt;rec-number&gt;254&lt;/rec-number&gt;&lt;foreign-keys&gt;&lt;key app="EN" db-id="xwvtz5rea2fr2je0p0uppszgwft92rr5pxdp" timestamp="1739546690"&gt;254&lt;/key&gt;&lt;/foreign-keys&gt;&lt;ref-type name="Journal Article"&gt;17&lt;/ref-type&gt;&lt;contributors&gt;&lt;authors&gt;&lt;author&gt;Dean, Jonathan L. E.&lt;/author&gt;&lt;author&gt;Wait, Robin&lt;/author&gt;&lt;author&gt;Mahtani, Kamal R.&lt;/author&gt;&lt;author&gt;Sully, Gareth&lt;/author&gt;&lt;author&gt;Clark, Andrew R.&lt;/author&gt;&lt;author&gt;Saklatvala, Jeremy&lt;/author&gt;&lt;/authors&gt;&lt;/contributors&gt;&lt;titles&gt;&lt;title&gt;The 3′ Untranslated Region of Tumor Necrosis Factor Alpha mRNA Is a Target of the mRNA-Stabilizing Factor HuR&lt;/title&gt;&lt;secondary-title&gt;Molecular and Cellular Biology&lt;/secondary-title&gt;&lt;/titles&gt;&lt;periodical&gt;&lt;full-title&gt;Molecular and Cellular Biology&lt;/full-title&gt;&lt;/periodical&gt;&lt;pages&gt;721-730&lt;/pages&gt;&lt;volume&gt;21&lt;/volume&gt;&lt;number&gt;3&lt;/number&gt;&lt;dates&gt;&lt;year&gt;2001&lt;/year&gt;&lt;pub-dates&gt;&lt;date&gt;2001/02/01&lt;/date&gt;&lt;/pub-dates&gt;&lt;/dates&gt;&lt;publisher&gt;Taylor &amp;amp; Francis&lt;/publisher&gt;&lt;isbn&gt;null&lt;/isbn&gt;&lt;urls&gt;&lt;related-urls&gt;&lt;url&gt;https://doi.org/10.1128/MCB.21.3.721-730.2001&lt;/url&gt;&lt;/related-urls&gt;&lt;/urls&gt;&lt;electronic-resource-num&gt;10.1128/MCB.21.3.721-730.2001&lt;/electronic-resource-num&gt;&lt;/record&gt;&lt;/Cite&gt;&lt;/EndNote&gt;</w:instrText>
      </w:r>
      <w:r>
        <w:rPr>
          <w:rFonts w:cs="Times New Roman"/>
          <w:highlight w:val="none"/>
        </w:rPr>
        <w:fldChar w:fldCharType="separate"/>
      </w:r>
      <w:r>
        <w:rPr>
          <w:rFonts w:cs="Times New Roman"/>
          <w:highlight w:val="none"/>
        </w:rPr>
        <w:t>(Dean et al., 2001)</w:t>
      </w:r>
      <w:r>
        <w:rPr>
          <w:rFonts w:cs="Times New Roman"/>
          <w:highlight w:val="none"/>
        </w:rPr>
        <w:fldChar w:fldCharType="end"/>
      </w:r>
      <w:r>
        <w:rPr>
          <w:rFonts w:cs="Times New Roman"/>
          <w:highlight w:val="none"/>
        </w:rPr>
        <w:t xml:space="preserve">. Animal studies have demonstrated that this stabilization is critical for the sustained production of TNF-α, a key cytokine involved in acute and chronic inflammation </w:t>
      </w:r>
      <w:r>
        <w:rPr>
          <w:rFonts w:cs="Times New Roman"/>
          <w:highlight w:val="none"/>
        </w:rPr>
        <w:fldChar w:fldCharType="begin"/>
      </w:r>
      <w:r>
        <w:rPr>
          <w:rFonts w:cs="Times New Roman"/>
          <w:highlight w:val="none"/>
        </w:rPr>
        <w:instrText xml:space="preserve"> ADDIN EN.CITE &lt;EndNote&gt;&lt;Cite&gt;&lt;Author&gt;Anderson&lt;/Author&gt;&lt;Year&gt;2009&lt;/Year&gt;&lt;RecNum&gt;255&lt;/RecNum&gt;&lt;DisplayText&gt;(Anderson, 2009)&lt;/DisplayText&gt;&lt;record&gt;&lt;rec-number&gt;255&lt;/rec-number&gt;&lt;foreign-keys&gt;&lt;key app="EN" db-id="xwvtz5rea2fr2je0p0uppszgwft92rr5pxdp" timestamp="1739548269"&gt;255&lt;/key&gt;&lt;/foreign-keys&gt;&lt;ref-type name="Journal Article"&gt;17&lt;/ref-type&gt;&lt;contributors&gt;&lt;authors&gt;&lt;author&gt;Anderson, Paul&lt;/author&gt;&lt;/authors&gt;&lt;/contributors&gt;&lt;titles&gt;&lt;title&gt;Intrinsic mRNA stability helps compose the inflammatory symphony&lt;/title&gt;&lt;secondary-title&gt;Nature Immunology&lt;/secondary-title&gt;&lt;/titles&gt;&lt;periodical&gt;&lt;full-title&gt;Nature Immunology&lt;/full-title&gt;&lt;/periodical&gt;&lt;pages&gt;233-234&lt;/pages&gt;&lt;volume&gt;10&lt;/volume&gt;&lt;number&gt;3&lt;/number&gt;&lt;dates&gt;&lt;year&gt;2009&lt;/year&gt;&lt;pub-dates&gt;&lt;date&gt;2009/03/01&lt;/date&gt;&lt;/pub-dates&gt;&lt;/dates&gt;&lt;isbn&gt;1529-2916&lt;/isbn&gt;&lt;urls&gt;&lt;related-urls&gt;&lt;url&gt;https://doi.org/10.1038/ni0309-233&lt;/url&gt;&lt;/related-urls&gt;&lt;/urls&gt;&lt;electronic-resource-num&gt;10.1038/ni0309-233&lt;/electronic-resource-num&gt;&lt;/record&gt;&lt;/Cite&gt;&lt;/EndNote&gt;</w:instrText>
      </w:r>
      <w:r>
        <w:rPr>
          <w:rFonts w:cs="Times New Roman"/>
          <w:highlight w:val="none"/>
        </w:rPr>
        <w:fldChar w:fldCharType="separate"/>
      </w:r>
      <w:r>
        <w:rPr>
          <w:rFonts w:cs="Times New Roman"/>
          <w:highlight w:val="none"/>
        </w:rPr>
        <w:t>(Anderson, 2009)</w:t>
      </w:r>
      <w:r>
        <w:rPr>
          <w:rFonts w:cs="Times New Roman"/>
          <w:highlight w:val="none"/>
        </w:rPr>
        <w:fldChar w:fldCharType="end"/>
      </w:r>
      <w:r>
        <w:rPr>
          <w:rFonts w:cs="Times New Roman"/>
          <w:highlight w:val="none"/>
        </w:rPr>
        <w:t xml:space="preserve">. In mice, disruption of HuR binding to TNF-α mRNA reduces TNF-α expression and alleviates inflammation in conditions such as arthritis and colitis </w:t>
      </w:r>
      <w:r>
        <w:rPr>
          <w:rFonts w:cs="Times New Roman"/>
          <w:highlight w:val="none"/>
        </w:rPr>
        <w:fldChar w:fldCharType="begin">
          <w:fldData xml:space="preserve">PEVuZE5vdGU+PENpdGU+PEF1dGhvcj5Ib2xsZW5iYWNoPC9BdXRob3I+PFllYXI+MjAwNDwvWWVh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</w:fldData>
        </w:fldChar>
      </w:r>
      <w:r>
        <w:rPr>
          <w:rFonts w:cs="Times New Roman"/>
          <w:highlight w:val="none"/>
        </w:rPr>
        <w:instrText xml:space="preserve"> ADDIN EN.CITE </w:instrText>
      </w:r>
      <w:r>
        <w:rPr>
          <w:rFonts w:cs="Times New Roman"/>
          <w:highlight w:val="none"/>
        </w:rPr>
        <w:fldChar w:fldCharType="begin">
          <w:fldData xml:space="preserve">PEVuZE5vdGU+PENpdGU+PEF1dGhvcj5Ib2xsZW5iYWNoPC9BdXRob3I+PFllYXI+MjAwNDwvWWVh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(Hollenbach et al., 2004, Guma et al., 2012)</w:t>
      </w:r>
      <w:r>
        <w:rPr>
          <w:rFonts w:cs="Times New Roman"/>
          <w:highlight w:val="none"/>
        </w:rPr>
        <w:fldChar w:fldCharType="end"/>
      </w:r>
      <w:r>
        <w:rPr>
          <w:rFonts w:cs="Times New Roman"/>
          <w:highlight w:val="none"/>
        </w:rPr>
        <w:t>. In ruminants in vitro blockade of TNF-α by bovine TNF receptor decoy proteins (TNFR1-Ig, TNFR2-Ig) significantly reduces TNF-α and IL-1β mRNA expression in peripheral blood immune cells, underscoring the functional importance of cytokine mRNA control in bovine immunity</w:t>
      </w:r>
      <w:r>
        <w:rPr>
          <w:rFonts w:hint="eastAsia" w:cs="Times New Roman"/>
          <w:highlight w:val="none"/>
          <w:lang w:eastAsia="zh-CN"/>
        </w:rPr>
        <w:t xml:space="preserve"> (Fujisawa et al., 2019)</w:t>
      </w:r>
      <w:r>
        <w:rPr>
          <w:rFonts w:cs="Times New Roman"/>
          <w:highlight w:val="none"/>
        </w:rPr>
        <w:t>. Additionally, postpartum cows with endometritis display markedly elevated TNF-α mRNA levels in blood mononuclear cells, correlating with disease severity</w:t>
      </w:r>
      <w:r>
        <w:rPr>
          <w:rFonts w:hint="eastAsia" w:cs="Times New Roman"/>
          <w:highlight w:val="none"/>
          <w:lang w:eastAsia="zh-CN"/>
        </w:rPr>
        <w:t xml:space="preserve"> (Islam et al., 2021). </w:t>
      </w:r>
      <w:r>
        <w:rPr>
          <w:rFonts w:cs="Times New Roman"/>
          <w:highlight w:val="none"/>
        </w:rPr>
        <w:t>These findings highlight the importance of post-transcriptional regulation of mRNAs in controlling inflammatory responses.</w:t>
      </w:r>
    </w:p>
    <w:p w14:paraId="60FA0E8B">
      <w:pPr>
        <w:rPr>
          <w:rFonts w:cs="Times New Roman"/>
          <w:b/>
          <w:bCs/>
          <w:highlight w:val="none"/>
        </w:rPr>
      </w:pPr>
      <w:r>
        <w:rPr>
          <w:rFonts w:cs="Times New Roman"/>
          <w:b/>
          <w:bCs/>
          <w:highlight w:val="none"/>
        </w:rPr>
        <w:t>Post-Transcriptional Control of Inflammation via Adenine-uridine</w:t>
      </w:r>
      <w:r>
        <w:rPr>
          <w:rFonts w:hint="eastAsia" w:cs="Times New Roman"/>
          <w:b/>
          <w:bCs/>
          <w:highlight w:val="none"/>
          <w:lang w:eastAsia="zh-CN"/>
        </w:rPr>
        <w:t>-</w:t>
      </w:r>
      <w:r>
        <w:rPr>
          <w:rFonts w:cs="Times New Roman"/>
          <w:b/>
          <w:bCs/>
          <w:highlight w:val="none"/>
        </w:rPr>
        <w:t>Rich Elements</w:t>
      </w:r>
    </w:p>
    <w:p w14:paraId="1210AC06">
      <w:pPr>
        <w:rPr>
          <w:rStyle w:val="93"/>
          <w:rFonts w:cs="Times New Roman"/>
          <w:highlight w:val="none"/>
          <w:lang w:eastAsia="zh-CN"/>
        </w:rPr>
      </w:pPr>
      <w:r>
        <w:rPr>
          <w:rFonts w:cs="Times New Roman"/>
          <w:highlight w:val="none"/>
        </w:rPr>
        <w:t xml:space="preserve">Inflammation is a critical defense mechanism against infections and injuries. The expression of pro-inflammatory cytokines is tightly controlled at the mRNA level to prevent excessive inflammation </w:t>
      </w:r>
      <w:r>
        <w:rPr>
          <w:rFonts w:cs="Times New Roman"/>
          <w:highlight w:val="none"/>
        </w:rPr>
        <w:fldChar w:fldCharType="begin">
          <w:fldData xml:space="preserve">PEVuZE5vdGU+PENpdGU+PEF1dGhvcj5HYW5ndWx5PC9BdXRob3I+PFllYXI+MjAxNjwvWWVhcj48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</w:fldData>
        </w:fldChar>
      </w:r>
      <w:r>
        <w:rPr>
          <w:rFonts w:cs="Times New Roman"/>
          <w:highlight w:val="none"/>
        </w:rPr>
        <w:instrText xml:space="preserve"> ADDIN EN.CITE </w:instrText>
      </w:r>
      <w:r>
        <w:rPr>
          <w:rFonts w:cs="Times New Roman"/>
          <w:highlight w:val="none"/>
        </w:rPr>
        <w:fldChar w:fldCharType="begin">
          <w:fldData xml:space="preserve">PEVuZE5vdGU+PENpdGU+PEF1dGhvcj5HYW5ndWx5PC9BdXRob3I+PFllYXI+MjAxNjwvWWVhcj48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(Mino and Takeuchi, 2013, Ganguly et al., 2016)</w:t>
      </w:r>
      <w:r>
        <w:rPr>
          <w:rFonts w:cs="Times New Roman"/>
          <w:highlight w:val="none"/>
        </w:rPr>
        <w:fldChar w:fldCharType="end"/>
      </w:r>
      <w:r>
        <w:rPr>
          <w:rFonts w:cs="Times New Roman"/>
          <w:highlight w:val="none"/>
        </w:rPr>
        <w:t xml:space="preserve">. A key mechanism involves Adenine-uridine-rich elements in the 3' untranslated regions of cytokine mRNAs, which influence their stability </w:t>
      </w:r>
      <w:r>
        <w:rPr>
          <w:rFonts w:cs="Times New Roman"/>
          <w:highlight w:val="none"/>
        </w:rPr>
        <w:fldChar w:fldCharType="begin"/>
      </w:r>
      <w:r>
        <w:rPr>
          <w:rFonts w:cs="Times New Roman"/>
          <w:highlight w:val="none"/>
        </w:rPr>
        <w:instrText xml:space="preserve"> ADDIN EN.CITE &lt;EndNote&gt;&lt;Cite&gt;&lt;Author&gt;Mino&lt;/Author&gt;&lt;Year&gt;2013&lt;/Year&gt;&lt;RecNum&gt;260&lt;/RecNum&gt;&lt;DisplayText&gt;(Mino and Takeuchi, 2013)&lt;/DisplayText&gt;&lt;record&gt;&lt;rec-number&gt;260&lt;/rec-number&gt;&lt;foreign-keys&gt;&lt;key app="EN" db-id="xwvtz5rea2fr2je0p0uppszgwft92rr5pxdp" timestamp="1739745521"&gt;260&lt;/key&gt;&lt;/foreign-keys&gt;&lt;ref-type name="Journal Article"&gt;17&lt;/ref-type&gt;&lt;contributors&gt;&lt;authors&gt;&lt;author&gt;Mino, Takashi&lt;/author&gt;&lt;author&gt;Takeuchi, Osamu&lt;/author&gt;&lt;/authors&gt;&lt;/contributors&gt;&lt;titles&gt;&lt;title&gt;Post-transcriptional regulation of cytokine mRNA controls the initiation and resolution of inflammation&lt;/title&gt;&lt;secondary-title&gt;Biotechnology and Genetic Engineering Reviews&lt;/secondary-title&gt;&lt;/titles&gt;&lt;periodical&gt;&lt;full-title&gt;Biotechnology and Genetic Engineering Reviews&lt;/full-title&gt;&lt;/periodical&gt;&lt;pages&gt;49-60&lt;/pages&gt;&lt;volume&gt;29&lt;/volume&gt;&lt;number&gt;1&lt;/number&gt;&lt;dates&gt;&lt;year&gt;2013&lt;/year&gt;&lt;pub-dates&gt;&lt;date&gt;2013/04/01&lt;/date&gt;&lt;/pub-dates&gt;&lt;/dates&gt;&lt;publisher&gt;Taylor &amp;amp; Francis&lt;/publisher&gt;&lt;isbn&gt;0264-8725&lt;/isbn&gt;&lt;urls&gt;&lt;related-urls&gt;&lt;url&gt;https://doi.org/10.1080/02648725.2013.801236&lt;/url&gt;&lt;/related-urls&gt;&lt;/urls&gt;&lt;electronic-resource-num&gt;10.1080/02648725.2013.801236&lt;/electronic-resource-num&gt;&lt;/record&gt;&lt;/Cite&gt;&lt;/EndNote&gt;</w:instrText>
      </w:r>
      <w:r>
        <w:rPr>
          <w:rFonts w:cs="Times New Roman"/>
          <w:highlight w:val="none"/>
        </w:rPr>
        <w:fldChar w:fldCharType="separate"/>
      </w:r>
      <w:r>
        <w:rPr>
          <w:rFonts w:cs="Times New Roman"/>
          <w:highlight w:val="none"/>
        </w:rPr>
        <w:t>(Mino and Takeuchi, 2013)</w:t>
      </w:r>
      <w:r>
        <w:rPr>
          <w:rFonts w:cs="Times New Roman"/>
          <w:highlight w:val="none"/>
        </w:rPr>
        <w:fldChar w:fldCharType="end"/>
      </w:r>
      <w:r>
        <w:rPr>
          <w:rFonts w:cs="Times New Roman"/>
          <w:highlight w:val="none"/>
        </w:rPr>
        <w:t xml:space="preserve">. </w:t>
      </w:r>
      <w:r>
        <w:rPr>
          <w:highlight w:val="none"/>
          <w:lang w:val="en-US" w:eastAsia="zh-CN"/>
        </w:rPr>
        <w:t>Adenine-</w:t>
      </w:r>
      <w:r>
        <w:rPr>
          <w:rFonts w:hint="eastAsia"/>
          <w:highlight w:val="none"/>
          <w:lang w:val="en-US" w:eastAsia="zh-CN"/>
        </w:rPr>
        <w:t>u</w:t>
      </w:r>
      <w:r>
        <w:rPr>
          <w:highlight w:val="none"/>
          <w:lang w:val="en-US" w:eastAsia="zh-CN"/>
        </w:rPr>
        <w:t>ridine</w:t>
      </w:r>
      <w:r>
        <w:rPr>
          <w:rFonts w:cs="Times New Roman"/>
          <w:highlight w:val="none"/>
        </w:rPr>
        <w:t xml:space="preserve">-rich elements-binding proteins, such as tristetraprolin, bind to these regions and promote mRNA degradation, thereby reducing cytokine production </w:t>
      </w:r>
      <w:r>
        <w:rPr>
          <w:rFonts w:cs="Times New Roman"/>
          <w:highlight w:val="none"/>
        </w:rPr>
        <w:fldChar w:fldCharType="begin"/>
      </w:r>
      <w:r>
        <w:rPr>
          <w:rFonts w:cs="Times New Roman"/>
          <w:highlight w:val="none"/>
        </w:rPr>
        <w:instrText xml:space="preserve"> ADDIN EN.CITE &lt;EndNote&gt;&lt;Cite&gt;&lt;Author&gt;Mino&lt;/Author&gt;&lt;Year&gt;2013&lt;/Year&gt;&lt;RecNum&gt;260&lt;/RecNum&gt;&lt;DisplayText&gt;(Mino and Takeuchi, 2013)&lt;/DisplayText&gt;&lt;record&gt;&lt;rec-number&gt;260&lt;/rec-number&gt;&lt;foreign-keys&gt;&lt;key app="EN" db-id="xwvtz5rea2fr2je0p0uppszgwft92rr5pxdp" timestamp="1739745521"&gt;260&lt;/key&gt;&lt;/foreign-keys&gt;&lt;ref-type name="Journal Article"&gt;17&lt;/ref-type&gt;&lt;contributors&gt;&lt;authors&gt;&lt;author&gt;Mino, Takashi&lt;/author&gt;&lt;author&gt;Takeuchi, Osamu&lt;/author&gt;&lt;/authors&gt;&lt;/contributors&gt;&lt;titles&gt;&lt;title&gt;Post-transcriptional regulation of cytokine mRNA controls the initiation and resolution of inflammation&lt;/title&gt;&lt;secondary-title&gt;Biotechnology and Genetic Engineering Reviews&lt;/secondary-title&gt;&lt;/titles&gt;&lt;periodical&gt;&lt;full-title&gt;Biotechnology and Genetic Engineering Reviews&lt;/full-title&gt;&lt;/periodical&gt;&lt;pages&gt;49-60&lt;/pages&gt;&lt;volume&gt;29&lt;/volume&gt;&lt;number&gt;1&lt;/number&gt;&lt;dates&gt;&lt;year&gt;2013&lt;/year&gt;&lt;pub-dates&gt;&lt;date&gt;2013/04/01&lt;/date&gt;&lt;/pub-dates&gt;&lt;/dates&gt;&lt;publisher&gt;Taylor &amp;amp; Francis&lt;/publisher&gt;&lt;isbn&gt;0264-8725&lt;/isbn&gt;&lt;urls&gt;&lt;related-urls&gt;&lt;url&gt;https://doi.org/10.1080/02648725.2013.801236&lt;/url&gt;&lt;/related-urls&gt;&lt;/urls&gt;&lt;electronic-resource-num&gt;10.1080/02648725.2013.801236&lt;/electronic-resource-num&gt;&lt;/record&gt;&lt;/Cite&gt;&lt;/EndNote&gt;</w:instrText>
      </w:r>
      <w:r>
        <w:rPr>
          <w:rFonts w:cs="Times New Roman"/>
          <w:highlight w:val="none"/>
        </w:rPr>
        <w:fldChar w:fldCharType="separate"/>
      </w:r>
      <w:r>
        <w:rPr>
          <w:rFonts w:cs="Times New Roman"/>
          <w:highlight w:val="none"/>
        </w:rPr>
        <w:t>(Mino and Takeuchi, 2013)</w:t>
      </w:r>
      <w:r>
        <w:rPr>
          <w:rFonts w:cs="Times New Roman"/>
          <w:highlight w:val="none"/>
        </w:rPr>
        <w:fldChar w:fldCharType="end"/>
      </w:r>
      <w:r>
        <w:rPr>
          <w:rFonts w:cs="Times New Roman"/>
          <w:highlight w:val="none"/>
        </w:rPr>
        <w:t xml:space="preserve">. For instance, tristetraprolin-deficient mice exhibited increased levels of TNF-α due to impaired mRNA degradation, leading to systemic inflammation </w:t>
      </w:r>
      <w:r>
        <w:rPr>
          <w:rFonts w:cs="Times New Roman"/>
          <w:highlight w:val="none"/>
        </w:rPr>
        <w:fldChar w:fldCharType="begin"/>
      </w:r>
      <w:r>
        <w:rPr>
          <w:rFonts w:cs="Times New Roman"/>
          <w:highlight w:val="none"/>
        </w:rPr>
        <w:instrText xml:space="preserve"> ADDIN EN.CITE &lt;EndNote&gt;&lt;Cite&gt;&lt;Author&gt;Ganguly&lt;/Author&gt;&lt;Year&gt;2016&lt;/Year&gt;&lt;RecNum&gt;259&lt;/RecNum&gt;&lt;DisplayText&gt;(Ganguly et al., 2016)&lt;/DisplayText&gt;&lt;record&gt;&lt;rec-number&gt;259&lt;/rec-number&gt;&lt;foreign-keys&gt;&lt;key app="EN" db-id="xwvtz5rea2fr2je0p0uppszgwft92rr5pxdp" timestamp="1739745292"&gt;259&lt;/key&gt;&lt;/foreign-keys&gt;&lt;ref-type name="Journal Article"&gt;17&lt;/ref-type&gt;&lt;contributors&gt;&lt;authors&gt;&lt;author&gt;Ganguly, K.&lt;/author&gt;&lt;author&gt;Giddaluru, J.&lt;/author&gt;&lt;author&gt;August, A.&lt;/author&gt;&lt;author&gt;Khan, N.&lt;/author&gt;&lt;/authors&gt;&lt;/contributors&gt;&lt;auth-address&gt;Department of Biotechnology and Bioinformatics, School of Life Sciences, University of Hyderabad , Hyderabad , India.&amp;#xD;Department of Microbiology and Immunology, College of Veterinary Medicine, Cornell University , New York, NY , USA.&lt;/auth-address&gt;&lt;titles&gt;&lt;title&gt;Post-transcriptional Regulation of Immunological Responses through Riboclustering&lt;/title&gt;&lt;secondary-title&gt;Front Immunol&lt;/secondary-title&gt;&lt;/titles&gt;&lt;periodical&gt;&lt;full-title&gt;Front Immunol&lt;/full-title&gt;&lt;/periodical&gt;&lt;pages&gt;161&lt;/pages&gt;&lt;volume&gt;7&lt;/volume&gt;&lt;edition&gt;20160429&lt;/edition&gt;&lt;keywords&gt;&lt;keyword&gt;T cell maturation&lt;/keyword&gt;&lt;keyword&gt;inflammation&lt;/keyword&gt;&lt;keyword&gt;mRNA stability&lt;/keyword&gt;&lt;keyword&gt;polysomes&lt;/keyword&gt;&lt;keyword&gt;stress granules&lt;/keyword&gt;&lt;keyword&gt;thymic and peripheral tolerance&lt;/keyword&gt;&lt;/keywords&gt;&lt;dates&gt;&lt;year&gt;2016&lt;/year&gt;&lt;/dates&gt;&lt;isbn&gt;1664-3224 (Print)&amp;#xD;1664-3224&lt;/isbn&gt;&lt;accession-num&gt;27199986&lt;/accession-num&gt;&lt;urls&gt;&lt;/urls&gt;&lt;custom2&gt;PMC4850162&lt;/custom2&gt;&lt;electronic-resource-num&gt;10.3389/fimmu.2016.00161&lt;/electronic-resource-num&gt;&lt;remote-database-provider&gt;NLM&lt;/remote-database-provider&gt;&lt;language&gt;eng&lt;/language&gt;&lt;/record&gt;&lt;/Cite&gt;&lt;/EndNote&gt;</w:instrText>
      </w:r>
      <w:r>
        <w:rPr>
          <w:rFonts w:cs="Times New Roman"/>
          <w:highlight w:val="none"/>
        </w:rPr>
        <w:fldChar w:fldCharType="separate"/>
      </w:r>
      <w:r>
        <w:rPr>
          <w:rFonts w:cs="Times New Roman"/>
          <w:highlight w:val="none"/>
        </w:rPr>
        <w:t>(Ganguly et al., 2016)</w:t>
      </w:r>
      <w:r>
        <w:rPr>
          <w:rFonts w:cs="Times New Roman"/>
          <w:highlight w:val="none"/>
        </w:rPr>
        <w:fldChar w:fldCharType="end"/>
      </w:r>
      <w:r>
        <w:rPr>
          <w:rFonts w:cs="Times New Roman"/>
          <w:highlight w:val="none"/>
        </w:rPr>
        <w:t xml:space="preserve">. Interestingly, mRNAs also participate in the resolution of inflammation. For instance, the mRNA encoding for IL-10, an anti-inflammatory cytokine, is tightly regulated at both the transcriptional and post-transcriptional levels to ensure timely production during the later stages of inflammation </w:t>
      </w:r>
      <w:r>
        <w:rPr>
          <w:rFonts w:cs="Times New Roman"/>
          <w:highlight w:val="none"/>
        </w:rPr>
        <w:fldChar w:fldCharType="begin"/>
      </w:r>
      <w:r>
        <w:rPr>
          <w:rFonts w:cs="Times New Roman"/>
          <w:highlight w:val="none"/>
        </w:rPr>
        <w:instrText xml:space="preserve"> ADDIN EN.CITE &lt;EndNote&gt;&lt;Cite&gt;&lt;Author&gt;Saraiva&lt;/Author&gt;&lt;Year&gt;2010&lt;/Year&gt;&lt;RecNum&gt;261&lt;/RecNum&gt;&lt;DisplayText&gt;(Saraiva and O&amp;apos;Garra, 2010b)&lt;/DisplayText&gt;&lt;record&gt;&lt;rec-number&gt;261&lt;/rec-number&gt;&lt;foreign-keys&gt;&lt;key app="EN" db-id="xwvtz5rea2fr2je0p0uppszgwft92rr5pxdp" timestamp="1739747271"&gt;261&lt;/key&gt;&lt;/foreign-keys&gt;&lt;ref-type name="Journal Article"&gt;17&lt;/ref-type&gt;&lt;contributors&gt;&lt;authors&gt;&lt;author&gt;Saraiva, M.&lt;/author&gt;&lt;author&gt;O&amp;apos;Garra, A.&lt;/author&gt;&lt;/authors&gt;&lt;/contributors&gt;&lt;auth-address&gt;Life and Health Sciences Research Institute, University of Minho, Braga, Portugal.&lt;/auth-address&gt;&lt;titles&gt;&lt;title&gt;The regulation of IL-10 production by immune cells&lt;/title&gt;&lt;secondary-title&gt;Nat Rev Immunol&lt;/secondary-title&gt;&lt;/titles&gt;&lt;periodical&gt;&lt;full-title&gt;Nat Rev Immunol&lt;/full-title&gt;&lt;/periodical&gt;&lt;pages&gt;170-81&lt;/pages&gt;&lt;volume&gt;10&lt;/volume&gt;&lt;number&gt;3&lt;/number&gt;&lt;edition&gt;20100215&lt;/edition&gt;&lt;keywords&gt;&lt;keyword&gt;Animals&lt;/keyword&gt;&lt;keyword&gt;Gene Expression Regulation/*immunology&lt;/keyword&gt;&lt;keyword&gt;Humans&lt;/keyword&gt;&lt;keyword&gt;Immunity, Cellular/genetics/immunology/*physiology&lt;/keyword&gt;&lt;keyword&gt;Immunity, Innate/genetics/immunology/*physiology&lt;/keyword&gt;&lt;keyword&gt;Interleukin-10/*biosynthesis/genetics/immunology&lt;/keyword&gt;&lt;/keywords&gt;&lt;dates&gt;&lt;year&gt;2010&lt;/year&gt;&lt;pub-dates&gt;&lt;date&gt;Mar&lt;/date&gt;&lt;/pub-dates&gt;&lt;/dates&gt;&lt;isbn&gt;1474-1733&lt;/isbn&gt;&lt;accession-num&gt;20154735&lt;/accession-num&gt;&lt;urls&gt;&lt;/urls&gt;&lt;electronic-resource-num&gt;10.1038/nri2711&lt;/electronic-resource-num&gt;&lt;remote-database-provider&gt;NLM&lt;/remote-database-provider&gt;&lt;language&gt;eng&lt;/language&gt;&lt;/record&gt;&lt;/Cite&gt;&lt;/EndNote&gt;</w:instrText>
      </w:r>
      <w:r>
        <w:rPr>
          <w:rFonts w:cs="Times New Roman"/>
          <w:highlight w:val="none"/>
        </w:rPr>
        <w:fldChar w:fldCharType="separate"/>
      </w:r>
      <w:r>
        <w:rPr>
          <w:rFonts w:cs="Times New Roman"/>
          <w:highlight w:val="none"/>
        </w:rPr>
        <w:t>(Saraiva and O'Garra, 2010)</w:t>
      </w:r>
      <w:r>
        <w:rPr>
          <w:rFonts w:cs="Times New Roman"/>
          <w:highlight w:val="none"/>
        </w:rPr>
        <w:fldChar w:fldCharType="end"/>
      </w:r>
      <w:r>
        <w:rPr>
          <w:rFonts w:cs="Times New Roman"/>
          <w:highlight w:val="none"/>
        </w:rPr>
        <w:t xml:space="preserve">. The enhanced translation of IL-10 mRNA was shown to suppress pro-inflammatory cytokines such as IL-6 and TNF-α, reducing systemic inflammation and improving survival </w:t>
      </w:r>
      <w:r>
        <w:rPr>
          <w:rFonts w:cs="Times New Roman"/>
          <w:highlight w:val="none"/>
        </w:rPr>
        <w:fldChar w:fldCharType="begin"/>
      </w:r>
      <w:r>
        <w:rPr>
          <w:rFonts w:cs="Times New Roman"/>
          <w:highlight w:val="none"/>
        </w:rPr>
        <w:instrText xml:space="preserve"> ADDIN EN.CITE &lt;EndNote&gt;&lt;Cite&gt;&lt;Author&gt;Saraiva&lt;/Author&gt;&lt;Year&gt;2010&lt;/Year&gt;&lt;RecNum&gt;266&lt;/RecNum&gt;&lt;DisplayText&gt;(Saraiva and O&amp;apos;Garra, 2010a)&lt;/DisplayText&gt;&lt;record&gt;&lt;rec-number&gt;266&lt;/rec-number&gt;&lt;foreign-keys&gt;&lt;key app="EN" db-id="xwvtz5rea2fr2je0p0uppszgwft92rr5pxdp" timestamp="1739800439"&gt;266&lt;/key&gt;&lt;/foreign-keys&gt;&lt;ref-type name="Journal Article"&gt;17&lt;/ref-type&gt;&lt;contributors&gt;&lt;authors&gt;&lt;author&gt;Saraiva, Margarida&lt;/author&gt;&lt;author&gt;O&amp;apos;Garra, Anne&lt;/author&gt;&lt;/authors&gt;&lt;/contributors&gt;&lt;titles&gt;&lt;title&gt;The regulation of IL-10 production by immune cells&lt;/title&gt;&lt;secondary-title&gt;Nature Reviews Immunology&lt;/secondary-title&gt;&lt;/titles&gt;&lt;periodical&gt;&lt;full-title&gt;Nature Reviews Immunology&lt;/full-title&gt;&lt;/periodical&gt;&lt;pages&gt;170-181&lt;/pages&gt;&lt;volume&gt;10&lt;/volume&gt;&lt;number&gt;3&lt;/number&gt;&lt;dates&gt;&lt;year&gt;2010&lt;/year&gt;&lt;pub-dates&gt;&lt;date&gt;2010/03/01&lt;/date&gt;&lt;/pub-dates&gt;&lt;/dates&gt;&lt;isbn&gt;1474-1741&lt;/isbn&gt;&lt;urls&gt;&lt;related-urls&gt;&lt;url&gt;https://doi.org/10.1038/nri2711&lt;/url&gt;&lt;/related-urls&gt;&lt;/urls&gt;&lt;electronic-resource-num&gt;10.1038/nri2711&lt;/electronic-resource-num&gt;&lt;/record&gt;&lt;/Cite&gt;&lt;/EndNote&gt;</w:instrText>
      </w:r>
      <w:r>
        <w:rPr>
          <w:rFonts w:cs="Times New Roman"/>
          <w:highlight w:val="none"/>
        </w:rPr>
        <w:fldChar w:fldCharType="separate"/>
      </w:r>
      <w:r>
        <w:rPr>
          <w:rFonts w:cs="Times New Roman"/>
          <w:highlight w:val="none"/>
        </w:rPr>
        <w:t>(Saraiva and O'Garra, 2010)</w:t>
      </w:r>
      <w:r>
        <w:rPr>
          <w:rFonts w:cs="Times New Roman"/>
          <w:highlight w:val="none"/>
        </w:rPr>
        <w:fldChar w:fldCharType="end"/>
      </w:r>
      <w:r>
        <w:rPr>
          <w:rFonts w:cs="Times New Roman"/>
          <w:highlight w:val="none"/>
        </w:rPr>
        <w:t>. These findings demonstrate how mRNAs play a dual role, promoting inflammation when needed and facilitating its resolution to restore homeostasis.</w:t>
      </w:r>
    </w:p>
    <w:p w14:paraId="199280A3">
      <w:pPr>
        <w:pStyle w:val="5"/>
        <w:rPr>
          <w:highlight w:val="none"/>
          <w:lang w:val="en-US" w:eastAsia="fr-FR"/>
        </w:rPr>
      </w:pPr>
      <w:r>
        <w:rPr>
          <w:highlight w:val="none"/>
          <w:lang w:val="en-US" w:eastAsia="fr-FR"/>
        </w:rPr>
        <w:t>Regulatory Interactions Among RNAs</w:t>
      </w:r>
    </w:p>
    <w:p w14:paraId="42C272FB">
      <w:pPr>
        <w:rPr>
          <w:rFonts w:cs="Times New Roman"/>
          <w:b/>
          <w:bCs/>
          <w:highlight w:val="none"/>
        </w:rPr>
      </w:pPr>
      <w:r>
        <w:rPr>
          <w:rFonts w:cs="Times New Roman"/>
          <w:b/>
          <w:bCs/>
          <w:highlight w:val="none"/>
        </w:rPr>
        <w:t>lncRNA-miRNA Interactions</w:t>
      </w:r>
    </w:p>
    <w:p w14:paraId="38C1DF00">
      <w:pPr>
        <w:rPr>
          <w:rFonts w:cs="Times New Roman"/>
          <w:highlight w:val="none"/>
        </w:rPr>
      </w:pPr>
      <w:r>
        <w:rPr>
          <w:rFonts w:hint="eastAsia" w:cs="Times New Roman"/>
          <w:highlight w:val="none"/>
        </w:rPr>
        <w:t xml:space="preserve">lncRNAs play a crucial role in gene regulation by interacting with miRNAs through various mechanisms. One of the most well-characterized functions of lncRNAs is acting as competitive endogenous RNAs or molecular sponges, sequestering miRNAs and preventing them from binding to their target mRNAs. This interaction indirectly enhances the expression of miRNA-targeted genes, thereby influencing a wide range of biological processes, including metabolism, development, and immune responses </w:t>
      </w:r>
      <w:r>
        <w:rPr>
          <w:rFonts w:cs="Times New Roman"/>
          <w:highlight w:val="none"/>
        </w:rPr>
        <w:fldChar w:fldCharType="begin"/>
      </w:r>
      <w:r>
        <w:rPr>
          <w:rFonts w:cs="Times New Roman"/>
          <w:highlight w:val="none"/>
        </w:rPr>
        <w:instrText xml:space="preserve"> ADDIN EN.CITE &lt;EndNote&gt;&lt;Cite&gt;&lt;Author&gt;Dehghanian Reyhan&lt;/Author&gt;&lt;Year&gt;2023&lt;/Year&gt;&lt;RecNum&gt;251&lt;/RecNum&gt;&lt;DisplayText&gt;(Dehghanian Reyhan et al., 2023)&lt;/DisplayText&gt;&lt;record&gt;&lt;rec-number&gt;251&lt;/rec-number&gt;&lt;foreign-keys&gt;&lt;key app="EN" db-id="xwvtz5rea2fr2je0p0uppszgwft92rr5pxdp" timestamp="1739376571"&gt;251&lt;/key&gt;&lt;/foreign-keys&gt;&lt;ref-type name="Journal Article"&gt;17&lt;/ref-type&gt;&lt;contributors&gt;&lt;authors&gt;&lt;author&gt;Dehghanian Reyhan, Vahid&lt;/author&gt;&lt;author&gt;Ghafouri, Farzad&lt;/author&gt;&lt;author&gt;Sadeghi, Mostafa&lt;/author&gt;&lt;author&gt;Miraei-Ashtiani, Seyed Reza&lt;/author&gt;&lt;author&gt;Kastelic, John P.&lt;/author&gt;&lt;author&gt;Barkema, Herman W.&lt;/author&gt;&lt;author&gt;Shirali, Masoud&lt;/author&gt;&lt;/authors&gt;&lt;/contributors&gt;&lt;titles&gt;&lt;title&gt;Integrated Comparative Transcriptome and circRNA-lncRNA-miRNA-mRNA ceRNA Regulatory Network Analyses Identify Molecular Mechanisms Associated with Intramuscular Fat Content in Beef Cattle&lt;/title&gt;&lt;secondary-title&gt;Animals&lt;/secondary-title&gt;&lt;/titles&gt;&lt;periodical&gt;&lt;full-title&gt;Animals&lt;/full-title&gt;&lt;abbr-1&gt;Animals-Basel&lt;/abbr-1&gt;&lt;/periodical&gt;&lt;pages&gt;2598&lt;/pages&gt;&lt;volume&gt;13&lt;/volume&gt;&lt;number&gt;16&lt;/number&gt;&lt;dates&gt;&lt;year&gt;2023&lt;/year&gt;&lt;/dates&gt;&lt;isbn&gt;2076-2615&lt;/isbn&gt;&lt;accession-num&gt;doi:10.3390/ani13162598&lt;/accession-num&gt;&lt;urls&gt;&lt;related-urls&gt;&lt;url&gt;https://www.mdpi.com/2076-2615/13/16/2598&lt;/url&gt;&lt;/related-urls&gt;&lt;/urls&gt;&lt;/record&gt;&lt;/Cite&gt;&lt;/EndNote&gt;</w:instrText>
      </w:r>
      <w:r>
        <w:rPr>
          <w:rFonts w:cs="Times New Roman"/>
          <w:highlight w:val="none"/>
        </w:rPr>
        <w:fldChar w:fldCharType="separate"/>
      </w:r>
      <w:r>
        <w:rPr>
          <w:rFonts w:cs="Times New Roman"/>
          <w:highlight w:val="none"/>
        </w:rPr>
        <w:t>(Dehghanian Reyhan et al., 2023)</w:t>
      </w:r>
      <w:r>
        <w:rPr>
          <w:rFonts w:cs="Times New Roman"/>
          <w:highlight w:val="none"/>
        </w:rPr>
        <w:fldChar w:fldCharType="end"/>
      </w:r>
      <w:r>
        <w:rPr>
          <w:rFonts w:cs="Times New Roman"/>
          <w:highlight w:val="none"/>
        </w:rPr>
        <w:t>.</w:t>
      </w:r>
      <w:r>
        <w:rPr>
          <w:rFonts w:hint="eastAsia" w:cs="Times New Roman"/>
          <w:highlight w:val="none"/>
        </w:rPr>
        <w:t xml:space="preserve"> </w:t>
      </w:r>
    </w:p>
    <w:p w14:paraId="0094D859">
      <w:pPr>
        <w:rPr>
          <w:rFonts w:cs="Times New Roman"/>
          <w:highlight w:val="none"/>
        </w:rPr>
      </w:pPr>
      <w:r>
        <w:rPr>
          <w:rFonts w:hint="eastAsia" w:cs="Times New Roman"/>
          <w:highlight w:val="none"/>
        </w:rPr>
        <w:t>In livestock species, lncRNA-miRNA interaction</w:t>
      </w:r>
      <w:r>
        <w:rPr>
          <w:rFonts w:cs="Times New Roman"/>
          <w:highlight w:val="none"/>
        </w:rPr>
        <w:t>s</w:t>
      </w:r>
      <w:r>
        <w:rPr>
          <w:rFonts w:hint="eastAsia" w:cs="Times New Roman"/>
          <w:highlight w:val="none"/>
        </w:rPr>
        <w:t xml:space="preserve"> ha</w:t>
      </w:r>
      <w:r>
        <w:rPr>
          <w:rFonts w:cs="Times New Roman"/>
          <w:highlight w:val="none"/>
        </w:rPr>
        <w:t>ve</w:t>
      </w:r>
      <w:r>
        <w:rPr>
          <w:rFonts w:hint="eastAsia" w:cs="Times New Roman"/>
          <w:highlight w:val="none"/>
        </w:rPr>
        <w:t xml:space="preserve"> been implicated in key physiological and metabolic pathways. For example, in beef cattle, lncRNAs contribute to intramuscular fat deposition by sponging specific miRNAs that suppress genes involved in lipid metabolism, including those associated with the thyroid hormone and oxytocin signaling pathways</w:t>
      </w:r>
      <w:r>
        <w:rPr>
          <w:rFonts w:cs="Times New Roman"/>
          <w:highlight w:val="none"/>
        </w:rPr>
        <w:t xml:space="preserve"> </w:t>
      </w:r>
      <w:r>
        <w:rPr>
          <w:rFonts w:cs="Times New Roman"/>
          <w:highlight w:val="none"/>
        </w:rPr>
        <w:fldChar w:fldCharType="begin"/>
      </w:r>
      <w:r>
        <w:rPr>
          <w:rFonts w:cs="Times New Roman"/>
          <w:highlight w:val="none"/>
        </w:rPr>
        <w:instrText xml:space="preserve"> ADDIN EN.CITE &lt;EndNote&gt;&lt;Cite&gt;&lt;Author&gt;Dehghanian Reyhan&lt;/Author&gt;&lt;Year&gt;2023&lt;/Year&gt;&lt;RecNum&gt;251&lt;/RecNum&gt;&lt;DisplayText&gt;(Dehghanian Reyhan et al., 2023)&lt;/DisplayText&gt;&lt;record&gt;&lt;rec-number&gt;251&lt;/rec-number&gt;&lt;foreign-keys&gt;&lt;key app="EN" db-id="xwvtz5rea2fr2je0p0uppszgwft92rr5pxdp" timestamp="1739376571"&gt;251&lt;/key&gt;&lt;/foreign-keys&gt;&lt;ref-type name="Journal Article"&gt;17&lt;/ref-type&gt;&lt;contributors&gt;&lt;authors&gt;&lt;author&gt;Dehghanian Reyhan, Vahid&lt;/author&gt;&lt;author&gt;Ghafouri, Farzad&lt;/author&gt;&lt;author&gt;Sadeghi, Mostafa&lt;/author&gt;&lt;author&gt;Miraei-Ashtiani, Seyed Reza&lt;/author&gt;&lt;author&gt;Kastelic, John P.&lt;/author&gt;&lt;author&gt;Barkema, Herman W.&lt;/author&gt;&lt;author&gt;Shirali, Masoud&lt;/author&gt;&lt;/authors&gt;&lt;/contributors&gt;&lt;titles&gt;&lt;title&gt;Integrated Comparative Transcriptome and circRNA-lncRNA-miRNA-mRNA ceRNA Regulatory Network Analyses Identify Molecular Mechanisms Associated with Intramuscular Fat Content in Beef Cattle&lt;/title&gt;&lt;secondary-title&gt;Animals&lt;/secondary-title&gt;&lt;/titles&gt;&lt;periodical&gt;&lt;full-title&gt;Animals&lt;/full-title&gt;&lt;abbr-1&gt;Animals-Basel&lt;/abbr-1&gt;&lt;/periodical&gt;&lt;pages&gt;2598&lt;/pages&gt;&lt;volume&gt;13&lt;/volume&gt;&lt;number&gt;16&lt;/number&gt;&lt;dates&gt;&lt;year&gt;2023&lt;/year&gt;&lt;/dates&gt;&lt;isbn&gt;2076-2615&lt;/isbn&gt;&lt;accession-num&gt;doi:10.3390/ani13162598&lt;/accession-num&gt;&lt;urls&gt;&lt;related-urls&gt;&lt;url&gt;https://www.mdpi.com/2076-2615/13/16/2598&lt;/url&gt;&lt;/related-urls&gt;&lt;/urls&gt;&lt;/record&gt;&lt;/Cite&gt;&lt;/EndNote&gt;</w:instrText>
      </w:r>
      <w:r>
        <w:rPr>
          <w:rFonts w:cs="Times New Roman"/>
          <w:highlight w:val="none"/>
        </w:rPr>
        <w:fldChar w:fldCharType="separate"/>
      </w:r>
      <w:r>
        <w:rPr>
          <w:rFonts w:cs="Times New Roman"/>
          <w:highlight w:val="none"/>
        </w:rPr>
        <w:t>(Dehghanian Reyhan et al., 2023)</w:t>
      </w:r>
      <w:r>
        <w:rPr>
          <w:rFonts w:cs="Times New Roman"/>
          <w:highlight w:val="none"/>
        </w:rPr>
        <w:fldChar w:fldCharType="end"/>
      </w:r>
      <w:r>
        <w:rPr>
          <w:rFonts w:cs="Times New Roman"/>
          <w:highlight w:val="none"/>
        </w:rPr>
        <w:t xml:space="preserve">. </w:t>
      </w:r>
      <w:r>
        <w:rPr>
          <w:rFonts w:hint="eastAsia" w:cs="Times New Roman"/>
          <w:highlight w:val="none"/>
        </w:rPr>
        <w:t>This regulatory mechanism facilitates lipid accumulation, ultimately affecting meat quality traits.</w:t>
      </w:r>
    </w:p>
    <w:p w14:paraId="693C7D89">
      <w:pPr>
        <w:rPr>
          <w:rFonts w:cs="Times New Roman"/>
          <w:highlight w:val="none"/>
        </w:rPr>
      </w:pPr>
      <w:r>
        <w:rPr>
          <w:rFonts w:hint="eastAsia" w:cs="Times New Roman"/>
          <w:highlight w:val="none"/>
        </w:rPr>
        <w:t>Similarly, in bovine ovarian follicular development, lncRNA S100PBP has been identified as a key regulator of granulosa cell proliferation. It functions by acting as a sponge for miR-2285bc, which targets the bone morphogenetic protein receptor type 2 gene</w:t>
      </w:r>
      <w:r>
        <w:rPr>
          <w:rFonts w:cs="Times New Roman"/>
          <w:highlight w:val="none"/>
        </w:rPr>
        <w:t xml:space="preserve"> </w:t>
      </w:r>
      <w:r>
        <w:rPr>
          <w:rFonts w:cs="Times New Roman"/>
          <w:highlight w:val="none"/>
        </w:rPr>
        <w:fldChar w:fldCharType="begin"/>
      </w:r>
      <w:r>
        <w:rPr>
          <w:rFonts w:cs="Times New Roman"/>
          <w:highlight w:val="none"/>
        </w:rPr>
        <w:instrText xml:space="preserve"> ADDIN EN.CITE &lt;EndNote&gt;&lt;Cite&gt;&lt;Author&gt;Wang&lt;/Author&gt;&lt;Year&gt;2024&lt;/Year&gt;&lt;RecNum&gt;252&lt;/RecNum&gt;&lt;DisplayText&gt;(Wang et al., 2024)&lt;/DisplayText&gt;&lt;record&gt;&lt;rec-number&gt;252&lt;/rec-number&gt;&lt;foreign-keys&gt;&lt;key app="EN" db-id="xwvtz5rea2fr2je0p0uppszgwft92rr5pxdp" timestamp="1739376614"&gt;252&lt;/key&gt;&lt;/foreign-keys&gt;&lt;ref-type name="Journal Article"&gt;17&lt;/ref-type&gt;&lt;contributors&gt;&lt;authors&gt;&lt;author&gt;Wang, Kai&lt;/author&gt;&lt;author&gt;Cheng, Ying&lt;/author&gt;&lt;author&gt;Ren, Yongping&lt;/author&gt;&lt;author&gt;Xiu, Haoyu&lt;/author&gt;&lt;author&gt;Meng, Wenxiang&lt;/author&gt;&lt;author&gt;Guo, Tong&lt;/author&gt;&lt;author&gt;Ma, Xiaoyan&lt;/author&gt;&lt;author&gt;Kebreab, Ermias&lt;/author&gt;&lt;author&gt;Wang, Dong&lt;/author&gt;&lt;author&gt;Lyu, Lihua&lt;/author&gt;&lt;/authors&gt;&lt;/contributors&gt;&lt;titles&gt;&lt;title&gt;LncRNA S100PBP promotes proliferation and steroid hormone synthesis of granulosa cells by sponging MiR-2285bc-BMPR2 in bovine†&lt;/title&gt;&lt;secondary-title&gt;Biology of Reproduction&lt;/secondary-title&gt;&lt;/titles&gt;&lt;periodical&gt;&lt;full-title&gt;Biology of Reproduction&lt;/full-title&gt;&lt;abbr-1&gt;Biol Reprod&lt;/abbr-1&gt;&lt;/periodical&gt;&lt;pages&gt;92-109&lt;/pages&gt;&lt;volume&gt;111&lt;/volume&gt;&lt;number&gt;1&lt;/number&gt;&lt;dates&gt;&lt;year&gt;2024&lt;/year&gt;&lt;/dates&gt;&lt;isbn&gt;0006-3363&lt;/isbn&gt;&lt;urls&gt;&lt;related-urls&gt;&lt;url&gt;https://doi.org/10.1093/biolre/ioae033&lt;/url&gt;&lt;/related-urls&gt;&lt;/urls&gt;&lt;electronic-resource-num&gt;10.1093/biolre/ioae033&lt;/electronic-resource-num&gt;&lt;access-date&gt;2/12/2025&lt;/access-date&gt;&lt;/record&gt;&lt;/Cite&gt;&lt;/EndNote&gt;</w:instrText>
      </w:r>
      <w:r>
        <w:rPr>
          <w:rFonts w:cs="Times New Roman"/>
          <w:highlight w:val="none"/>
        </w:rPr>
        <w:fldChar w:fldCharType="separate"/>
      </w:r>
      <w:r>
        <w:rPr>
          <w:rFonts w:cs="Times New Roman"/>
          <w:highlight w:val="none"/>
        </w:rPr>
        <w:t>(Wang et al., 2024)</w:t>
      </w:r>
      <w:r>
        <w:rPr>
          <w:rFonts w:cs="Times New Roman"/>
          <w:highlight w:val="none"/>
        </w:rPr>
        <w:fldChar w:fldCharType="end"/>
      </w:r>
      <w:r>
        <w:rPr>
          <w:rFonts w:cs="Times New Roman"/>
          <w:highlight w:val="none"/>
        </w:rPr>
        <w:t xml:space="preserve">. This interaction promotes granulosa cell function, supporting follicular development, </w:t>
      </w:r>
      <w:r>
        <w:rPr>
          <w:rFonts w:hint="eastAsia" w:cs="Times New Roman"/>
          <w:highlight w:val="none"/>
        </w:rPr>
        <w:t>highlight</w:t>
      </w:r>
      <w:r>
        <w:rPr>
          <w:rFonts w:cs="Times New Roman"/>
          <w:highlight w:val="none"/>
        </w:rPr>
        <w:t>ing</w:t>
      </w:r>
      <w:r>
        <w:rPr>
          <w:rFonts w:hint="eastAsia" w:cs="Times New Roman"/>
          <w:highlight w:val="none"/>
        </w:rPr>
        <w:t xml:space="preserve"> the crucial role of lncRNA-miRNA networks in reproductive physiology.  </w:t>
      </w:r>
    </w:p>
    <w:p w14:paraId="50A8DB3E">
      <w:pPr>
        <w:rPr>
          <w:rFonts w:cs="Times New Roman"/>
          <w:highlight w:val="none"/>
        </w:rPr>
      </w:pPr>
      <w:r>
        <w:rPr>
          <w:rFonts w:hint="eastAsia" w:cs="Times New Roman"/>
          <w:highlight w:val="none"/>
        </w:rPr>
        <w:t xml:space="preserve">Beyond metabolism and reproduction, lncRNA-miRNA interactions have been implicated in immune regulation and disease resistance. In dairy cows, studies have shown that lncRNAs can modulate the inflammatory response by regulating miRNAs involved in cytokine signaling and immune cell activation. For instance, in </w:t>
      </w:r>
      <w:r>
        <w:rPr>
          <w:rFonts w:hint="eastAsia" w:cs="Times New Roman"/>
          <w:i/>
          <w:iCs/>
          <w:highlight w:val="none"/>
        </w:rPr>
        <w:t>S. aureus</w:t>
      </w:r>
      <w:r>
        <w:rPr>
          <w:rFonts w:hint="eastAsia" w:cs="Times New Roman"/>
          <w:highlight w:val="none"/>
        </w:rPr>
        <w:t xml:space="preserve">-induced mastitis, the lncRNA CMR acts as a sponge for miR-877, leading to the upregulation of FOXM1, which promotes epithelial cell proliferation and reduces apoptosis </w:t>
      </w:r>
      <w:r>
        <w:rPr>
          <w:rFonts w:cs="Times New Roman"/>
          <w:highlight w:val="none"/>
        </w:rPr>
        <w:fldChar w:fldCharType="begin"/>
      </w:r>
      <w:r>
        <w:rPr>
          <w:rFonts w:cs="Times New Roman"/>
          <w:highlight w:val="none"/>
        </w:rPr>
        <w:instrText xml:space="preserve"> ADDIN EN.CITE &lt;EndNote&gt;&lt;Cite&gt;&lt;Author&gt;Chu&lt;/Author&gt;&lt;Year&gt;2024&lt;/Year&gt;&lt;RecNum&gt;299&lt;/RecNum&gt;&lt;DisplayText&gt;(Chu et al., 2024)&lt;/DisplayText&gt;&lt;record&gt;&lt;rec-number&gt;299&lt;/rec-number&gt;&lt;foreign-keys&gt;&lt;key app="EN" db-id="xwvtz5rea2fr2je0p0uppszgwft92rr5pxdp" timestamp="1741011406"&gt;299&lt;/key&gt;&lt;/foreign-keys&gt;&lt;ref-type name="Journal Article"&gt;17&lt;/ref-type&gt;&lt;contributors&gt;&lt;authors&gt;&lt;author&gt;Chu, Shuangfeng&lt;/author&gt;&lt;author&gt;Zhao, Tianqi&lt;/author&gt;&lt;author&gt;Li, Mingxun&lt;/author&gt;&lt;author&gt;Sun, Yujia&lt;/author&gt;&lt;author&gt;Yang, Yi&lt;/author&gt;&lt;author&gt;Yang, Zhangping&lt;/author&gt;&lt;/authors&gt;&lt;/contributors&gt;&lt;titles&gt;&lt;title&gt;Long non-coding RNA (CMR) involved in autoprotection in S. aureus mastitis in dairy cows by regulating miR-877/FOXM1&lt;/title&gt;&lt;secondary-title&gt;Ecotoxicology and Environmental Safety&lt;/secondary-title&gt;&lt;/titles&gt;&lt;periodical&gt;&lt;full-title&gt;Ecotoxicology and Environmental Safety&lt;/full-title&gt;&lt;/periodical&gt;&lt;pages&gt;116456&lt;/pages&gt;&lt;volume&gt;278&lt;/volume&gt;&lt;keywords&gt;&lt;keyword&gt;LncRNA&lt;/keyword&gt;&lt;keyword&gt;Auto protection&lt;/keyword&gt;&lt;keyword&gt;S. aureus mastitis&lt;/keyword&gt;&lt;keyword&gt;MiR-877&lt;/keyword&gt;&lt;keyword&gt;FOXM1&lt;/keyword&gt;&lt;/keywords&gt;&lt;dates&gt;&lt;year&gt;2024&lt;/year&gt;&lt;pub-dates&gt;&lt;date&gt;2024/06/15/&lt;/date&gt;&lt;/pub-dates&gt;&lt;/dates&gt;&lt;isbn&gt;0147-6513&lt;/isbn&gt;&lt;urls&gt;&lt;related-urls&gt;&lt;url&gt;https://www.sciencedirect.com/science/article/pii/S0147651324005323&lt;/url&gt;&lt;/related-urls&gt;&lt;/urls&gt;&lt;electronic-resource-num&gt;https://doi.org/10.1016/j.ecoenv.2024.116456&lt;/electronic-resource-num&gt;&lt;/record&gt;&lt;/Cite&gt;&lt;/EndNote&gt;</w:instrText>
      </w:r>
      <w:r>
        <w:rPr>
          <w:rFonts w:cs="Times New Roman"/>
          <w:highlight w:val="none"/>
        </w:rPr>
        <w:fldChar w:fldCharType="separate"/>
      </w:r>
      <w:r>
        <w:rPr>
          <w:rFonts w:cs="Times New Roman"/>
          <w:highlight w:val="none"/>
        </w:rPr>
        <w:t>(Chu et al., 2024)</w:t>
      </w:r>
      <w:r>
        <w:rPr>
          <w:rFonts w:cs="Times New Roman"/>
          <w:highlight w:val="none"/>
        </w:rPr>
        <w:fldChar w:fldCharType="end"/>
      </w:r>
      <w:r>
        <w:rPr>
          <w:rFonts w:hint="eastAsia" w:cs="Times New Roman"/>
          <w:highlight w:val="none"/>
        </w:rPr>
        <w:t>. This regulation promote</w:t>
      </w:r>
      <w:r>
        <w:rPr>
          <w:rFonts w:cs="Times New Roman"/>
          <w:highlight w:val="none"/>
        </w:rPr>
        <w:t>s</w:t>
      </w:r>
      <w:r>
        <w:rPr>
          <w:rFonts w:hint="eastAsia" w:cs="Times New Roman"/>
          <w:highlight w:val="none"/>
        </w:rPr>
        <w:t xml:space="preserve"> tissue recovery and modulated inflammatory responses, highlighting the role of lncRNAs in mastitis resistance and potential therapeutic targets for disease control.</w:t>
      </w:r>
    </w:p>
    <w:p w14:paraId="78CEC31F">
      <w:pPr>
        <w:rPr>
          <w:rStyle w:val="93"/>
          <w:rFonts w:cs="Times New Roman"/>
          <w:highlight w:val="none"/>
          <w:lang w:val="zh-CN"/>
        </w:rPr>
      </w:pPr>
      <w:r>
        <w:rPr>
          <w:rFonts w:hint="eastAsia" w:cs="Times New Roman"/>
          <w:highlight w:val="none"/>
        </w:rPr>
        <w:t>Collectively, these findings underscore the importance of lncRNA-miRNA interactions in shaping gene expression and cellular function across multiple biological processes. Understanding these regulatory networks not only provides insights into fundamental molecular mechanisms but also holds potential for improving livestock health, productivity, and reproductive performance through targeted genetic and epigenetic interventions.</w:t>
      </w:r>
    </w:p>
    <w:p w14:paraId="721C92BD">
      <w:pPr>
        <w:rPr>
          <w:rFonts w:cs="Times New Roman"/>
          <w:b/>
          <w:bCs/>
          <w:highlight w:val="none"/>
        </w:rPr>
      </w:pPr>
      <w:r>
        <w:rPr>
          <w:rFonts w:cs="Times New Roman"/>
          <w:b/>
          <w:bCs/>
          <w:highlight w:val="none"/>
        </w:rPr>
        <w:t>mRNA-miRNA Interactions</w:t>
      </w:r>
    </w:p>
    <w:p w14:paraId="11A5A3CD">
      <w:pPr>
        <w:rPr>
          <w:rFonts w:cs="Times New Roman"/>
          <w:highlight w:val="none"/>
        </w:rPr>
      </w:pPr>
      <w:r>
        <w:rPr>
          <w:rFonts w:cs="Times New Roman"/>
          <w:highlight w:val="none"/>
        </w:rPr>
        <w:t>mRNAs also interact with miRNAs to fine-tune inflammatory responses</w:t>
      </w:r>
      <w:r>
        <w:rPr>
          <w:rFonts w:hint="eastAsia" w:cs="Times New Roman"/>
          <w:highlight w:val="none"/>
        </w:rPr>
        <w:t xml:space="preserve"> (Fig. </w:t>
      </w:r>
      <w:r>
        <w:rPr>
          <w:rFonts w:hint="eastAsia" w:cs="Times New Roman"/>
          <w:highlight w:val="none"/>
          <w:lang w:eastAsia="zh-CN"/>
        </w:rPr>
        <w:t>1-</w:t>
      </w:r>
      <w:r>
        <w:rPr>
          <w:rFonts w:hint="eastAsia" w:cs="Times New Roman"/>
          <w:highlight w:val="none"/>
        </w:rPr>
        <w:t>2)</w:t>
      </w:r>
      <w:r>
        <w:rPr>
          <w:rFonts w:cs="Times New Roman"/>
          <w:highlight w:val="none"/>
        </w:rPr>
        <w:t xml:space="preserve">. One mechanism through which this interaction occurs is the competitive endogenous RNA mechanism, where certain mRNAs contain sequences that can bind miRNAs, competing with other mRNA targets for miRNA binding </w:t>
      </w:r>
      <w:r>
        <w:rPr>
          <w:rFonts w:cs="Times New Roman"/>
          <w:highlight w:val="none"/>
        </w:rPr>
        <w:fldChar w:fldCharType="begin"/>
      </w:r>
      <w:r>
        <w:rPr>
          <w:rFonts w:cs="Times New Roman"/>
          <w:highlight w:val="none"/>
        </w:rPr>
        <w:instrText xml:space="preserve"> ADDIN EN.CITE &lt;EndNote&gt;&lt;Cite&gt;&lt;Author&gt;Salmena&lt;/Author&gt;&lt;Year&gt;2011&lt;/Year&gt;&lt;RecNum&gt;262&lt;/RecNum&gt;&lt;DisplayText&gt;(Salmena et al., 2011)&lt;/DisplayText&gt;&lt;record&gt;&lt;rec-number&gt;262&lt;/rec-number&gt;&lt;foreign-keys&gt;&lt;key app="EN" db-id="xwvtz5rea2fr2je0p0uppszgwft92rr5pxdp" timestamp="1739750590"&gt;262&lt;/key&gt;&lt;/foreign-keys&gt;&lt;ref-type name="Journal Article"&gt;17&lt;/ref-type&gt;&lt;contributors&gt;&lt;authors&gt;&lt;author&gt;Salmena, Leonardo&lt;/author&gt;&lt;author&gt;Poliseno, Laura&lt;/author&gt;&lt;author&gt;Tay, Yvonne&lt;/author&gt;&lt;author&gt;Kats, Lev&lt;/author&gt;&lt;author&gt;Pandolfi, Pier Paolo&lt;/author&gt;&lt;/authors&gt;&lt;/contributors&gt;&lt;titles&gt;&lt;title&gt;A &amp;lt;em&amp;gt;ceRNA&amp;lt;/em&amp;gt; Hypothesis: The Rosetta Stone of a Hidden RNA Language?&lt;/title&gt;&lt;secondary-title&gt;Cell&lt;/secondary-title&gt;&lt;/titles&gt;&lt;periodical&gt;&lt;full-title&gt;Cell&lt;/full-title&gt;&lt;/periodical&gt;&lt;pages&gt;353-358&lt;/pages&gt;&lt;volume&gt;146&lt;/volume&gt;&lt;number&gt;3&lt;/number&gt;&lt;dates&gt;&lt;year&gt;2011&lt;/year&gt;&lt;/dates&gt;&lt;publisher&gt;Elsevier&lt;/publisher&gt;&lt;isbn&gt;0092-8674&lt;/isbn&gt;&lt;urls&gt;&lt;related-urls&gt;&lt;url&gt;https://doi.org/10.1016/j.cell.2011.07.014&lt;/url&gt;&lt;/related-urls&gt;&lt;/urls&gt;&lt;electronic-resource-num&gt;10.1016/j.cell.2011.07.014&lt;/electronic-resource-num&gt;&lt;access-date&gt;2025/02/16&lt;/access-date&gt;&lt;/record&gt;&lt;/Cite&gt;&lt;/EndNote&gt;</w:instrText>
      </w:r>
      <w:r>
        <w:rPr>
          <w:rFonts w:cs="Times New Roman"/>
          <w:highlight w:val="none"/>
        </w:rPr>
        <w:fldChar w:fldCharType="separate"/>
      </w:r>
      <w:r>
        <w:rPr>
          <w:rFonts w:cs="Times New Roman"/>
          <w:highlight w:val="none"/>
        </w:rPr>
        <w:t>(Salmena et al., 2011)</w:t>
      </w:r>
      <w:r>
        <w:rPr>
          <w:rFonts w:cs="Times New Roman"/>
          <w:highlight w:val="none"/>
        </w:rPr>
        <w:fldChar w:fldCharType="end"/>
      </w:r>
      <w:r>
        <w:rPr>
          <w:rFonts w:cs="Times New Roman"/>
          <w:highlight w:val="none"/>
        </w:rPr>
        <w:t xml:space="preserve">. This competition modulates the availability of miRNAs and plays a crucial role in regulating the immune responses and metabolism </w:t>
      </w:r>
      <w:r>
        <w:rPr>
          <w:rFonts w:cs="Times New Roman"/>
          <w:highlight w:val="none"/>
        </w:rPr>
        <w:fldChar w:fldCharType="begin">
          <w:fldData xml:space="preserve">PEVuZE5vdGU+PENpdGU+PEF1dGhvcj5UaG9tYXM8L0F1dGhvcj48WWVhcj4yMDEwPC9ZZWFyPjxS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PEVuZE5vdGU+PENpdGU+PEF1dGhvcj5UaG9tYXM8L0F1dGhvcj48WWVhcj4yMDEwPC9ZZWFyPjxS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(Thomas et al., 2010, Xiao et al., 2022)</w:t>
      </w:r>
      <w:r>
        <w:rPr>
          <w:rFonts w:cs="Times New Roman"/>
          <w:highlight w:val="none"/>
        </w:rPr>
        <w:fldChar w:fldCharType="end"/>
      </w:r>
      <w:r>
        <w:rPr>
          <w:rFonts w:cs="Times New Roman"/>
          <w:highlight w:val="none"/>
        </w:rPr>
        <w:t xml:space="preserve">. Additionally, some mRNAs serve as precursors for miRNA generation, where mRNA processing machinery generates miRNAs that can then regulate other mRNAs involved in inflammation </w:t>
      </w:r>
      <w:r>
        <w:rPr>
          <w:rFonts w:cs="Times New Roman"/>
          <w:highlight w:val="none"/>
        </w:rPr>
        <w:fldChar w:fldCharType="begin"/>
      </w:r>
      <w:r>
        <w:rPr>
          <w:rFonts w:cs="Times New Roman"/>
          <w:highlight w:val="none"/>
        </w:rPr>
        <w:instrText xml:space="preserve"> ADDIN EN.CITE &lt;EndNote&gt;&lt;Cite&gt;&lt;Author&gt;Salmena&lt;/Author&gt;&lt;Year&gt;2011&lt;/Year&gt;&lt;RecNum&gt;262&lt;/RecNum&gt;&lt;DisplayText&gt;(Bartel, 2009, Salmena et al., 2011)&lt;/DisplayText&gt;&lt;record&gt;&lt;rec-number&gt;262&lt;/rec-number&gt;&lt;foreign-keys&gt;&lt;key app="EN" db-id="xwvtz5rea2fr2je0p0uppszgwft92rr5pxdp" timestamp="1739750590"&gt;262&lt;/key&gt;&lt;/foreign-keys&gt;&lt;ref-type name="Journal Article"&gt;17&lt;/ref-type&gt;&lt;contributors&gt;&lt;authors&gt;&lt;author&gt;Salmena, Leonardo&lt;/author&gt;&lt;author&gt;Poliseno, Laura&lt;/author&gt;&lt;author&gt;Tay, Yvonne&lt;/author&gt;&lt;author&gt;Kats, Lev&lt;/author&gt;&lt;author&gt;Pandolfi, Pier Paolo&lt;/author&gt;&lt;/authors&gt;&lt;/contributors&gt;&lt;titles&gt;&lt;title&gt;A &amp;lt;em&amp;gt;ceRNA&amp;lt;/em&amp;gt; Hypothesis: The Rosetta Stone of a Hidden RNA Language?&lt;/title&gt;&lt;secondary-title&gt;Cell&lt;/secondary-title&gt;&lt;/titles&gt;&lt;periodical&gt;&lt;full-title&gt;Cell&lt;/full-title&gt;&lt;/periodical&gt;&lt;pages&gt;353-358&lt;/pages&gt;&lt;volume&gt;146&lt;/volume&gt;&lt;number&gt;3&lt;/number&gt;&lt;dates&gt;&lt;year&gt;2011&lt;/year&gt;&lt;/dates&gt;&lt;publisher&gt;Elsevier&lt;/publisher&gt;&lt;isbn&gt;0092-8674&lt;/isbn&gt;&lt;urls&gt;&lt;related-urls&gt;&lt;url&gt;https://doi.org/10.1016/j.cell.2011.07.014&lt;/url&gt;&lt;/related-urls&gt;&lt;/urls&gt;&lt;electronic-resource-num&gt;10.1016/j.cell.2011.07.014&lt;/electronic-resource-num&gt;&lt;access-date&gt;2025/02/16&lt;/access-date&gt;&lt;/record&gt;&lt;/Cite&gt;&lt;Cite&gt;&lt;Author&gt;Bartel&lt;/Author&gt;&lt;Year&gt;2009&lt;/Year&gt;&lt;RecNum&gt;264&lt;/RecNum&gt;&lt;record&gt;&lt;rec-number&gt;264&lt;/rec-number&gt;&lt;foreign-keys&gt;&lt;key app="EN" db-id="xwvtz5rea2fr2je0p0uppszgwft92rr5pxdp" timestamp="1739753874"&gt;264&lt;/key&gt;&lt;/foreign-keys&gt;&lt;ref-type name="Journal Article"&gt;17&lt;/ref-type&gt;&lt;contributors&gt;&lt;authors&gt;&lt;author&gt;Bartel, David P.&lt;/author&gt;&lt;/authors&gt;&lt;/contributors&gt;&lt;titles&gt;&lt;title&gt;MicroRNAs: Target Recognition and Regulatory Functions&lt;/title&gt;&lt;secondary-title&gt;Cell&lt;/secondary-title&gt;&lt;/titles&gt;&lt;periodical&gt;&lt;full-title&gt;Cell&lt;/full-title&gt;&lt;/periodical&gt;&lt;pages&gt;215-233&lt;/pages&gt;&lt;volume&gt;136&lt;/volume&gt;&lt;number&gt;2&lt;/number&gt;&lt;dates&gt;&lt;year&gt;2009&lt;/year&gt;&lt;/dates&gt;&lt;publisher&gt;Elsevier&lt;/publisher&gt;&lt;isbn&gt;0092-8674&lt;/isbn&gt;&lt;urls&gt;&lt;related-urls&gt;&lt;url&gt;https://doi.org/10.1016/j.cell.2009.01.002&lt;/url&gt;&lt;/related-urls&gt;&lt;/urls&gt;&lt;electronic-resource-num&gt;10.1016/j.cell.2009.01.002&lt;/electronic-resource-num&gt;&lt;access-date&gt;2025/02/16&lt;/access-date&gt;&lt;/record&gt;&lt;/Cite&gt;&lt;/EndNote&gt;</w:instrText>
      </w:r>
      <w:r>
        <w:rPr>
          <w:rFonts w:cs="Times New Roman"/>
          <w:highlight w:val="none"/>
        </w:rPr>
        <w:fldChar w:fldCharType="separate"/>
      </w:r>
      <w:r>
        <w:rPr>
          <w:rFonts w:cs="Times New Roman"/>
          <w:highlight w:val="none"/>
        </w:rPr>
        <w:t>(Bartel, 2009, Salmena et al., 2011)</w:t>
      </w:r>
      <w:r>
        <w:rPr>
          <w:rFonts w:cs="Times New Roman"/>
          <w:highlight w:val="none"/>
        </w:rPr>
        <w:fldChar w:fldCharType="end"/>
      </w:r>
      <w:r>
        <w:rPr>
          <w:rFonts w:cs="Times New Roman"/>
          <w:highlight w:val="none"/>
        </w:rPr>
        <w:t xml:space="preserve">. Changes in mRNA translation and stability can influence the stability of miRNA-mRNA complexes, thus modulating the rate of miRNA degradation and their regulatory impact on immune signaling </w:t>
      </w:r>
      <w:r>
        <w:rPr>
          <w:rFonts w:cs="Times New Roman"/>
          <w:highlight w:val="none"/>
        </w:rPr>
        <w:fldChar w:fldCharType="begin"/>
      </w:r>
      <w:r>
        <w:rPr>
          <w:rFonts w:cs="Times New Roman"/>
          <w:highlight w:val="none"/>
        </w:rPr>
        <w:instrText xml:space="preserve"> ADDIN EN.CITE &lt;EndNote&gt;&lt;Cite&gt;&lt;Author&gt;Carpenter&lt;/Author&gt;&lt;Year&gt;2014&lt;/Year&gt;&lt;RecNum&gt;265&lt;/RecNum&gt;&lt;DisplayText&gt;(Carpenter et al., 2014)&lt;/DisplayText&gt;&lt;record&gt;&lt;rec-number&gt;265&lt;/rec-number&gt;&lt;foreign-keys&gt;&lt;key app="EN" db-id="xwvtz5rea2fr2je0p0uppszgwft92rr5pxdp" timestamp="1739754462"&gt;265&lt;/key&gt;&lt;/foreign-keys&gt;&lt;ref-type name="Journal Article"&gt;17&lt;/ref-type&gt;&lt;contributors&gt;&lt;authors&gt;&lt;author&gt;Carpenter, Susan&lt;/author&gt;&lt;author&gt;Ricci, Emiliano P.&lt;/author&gt;&lt;author&gt;Mercier, Blandine C.&lt;/author&gt;&lt;author&gt;Moore, Melissa J.&lt;/author&gt;&lt;author&gt;Fitzgerald, Katherine A.&lt;/author&gt;&lt;/authors&gt;&lt;/contributors&gt;&lt;titles&gt;&lt;title&gt;Post-transcriptional regulation of gene expression in innate immunity&lt;/title&gt;&lt;secondary-title&gt;Nature Reviews Immunology&lt;/secondary-title&gt;&lt;/titles&gt;&lt;periodical&gt;&lt;full-title&gt;Nature Reviews Immunology&lt;/full-title&gt;&lt;/periodical&gt;&lt;pages&gt;361-376&lt;/pages&gt;&lt;volume&gt;14&lt;/volume&gt;&lt;number&gt;6&lt;/number&gt;&lt;dates&gt;&lt;year&gt;2014&lt;/year&gt;&lt;pub-dates&gt;&lt;date&gt;2014/06/01&lt;/date&gt;&lt;/pub-dates&gt;&lt;/dates&gt;&lt;isbn&gt;1474-1741&lt;/isbn&gt;&lt;urls&gt;&lt;related-urls&gt;&lt;url&gt;https://doi.org/10.1038/nri3682&lt;/url&gt;&lt;/related-urls&gt;&lt;/urls&gt;&lt;electronic-resource-num&gt;10.1038/nri3682&lt;/electronic-resource-num&gt;&lt;/record&gt;&lt;/Cite&gt;&lt;/EndNote&gt;</w:instrText>
      </w:r>
      <w:r>
        <w:rPr>
          <w:rFonts w:cs="Times New Roman"/>
          <w:highlight w:val="none"/>
        </w:rPr>
        <w:fldChar w:fldCharType="separate"/>
      </w:r>
      <w:r>
        <w:rPr>
          <w:rFonts w:cs="Times New Roman"/>
          <w:highlight w:val="none"/>
        </w:rPr>
        <w:t>(Carpenter et al., 2014)</w:t>
      </w:r>
      <w:r>
        <w:rPr>
          <w:rFonts w:cs="Times New Roman"/>
          <w:highlight w:val="none"/>
        </w:rPr>
        <w:fldChar w:fldCharType="end"/>
      </w:r>
      <w:r>
        <w:rPr>
          <w:rFonts w:cs="Times New Roman"/>
          <w:highlight w:val="none"/>
        </w:rPr>
        <w:t xml:space="preserve">. Finally, an mRNA can regulate miRNA activity by either accelerating its degradation or sequestering it to prevent degradation, thereby fine-tuning gene expression </w:t>
      </w:r>
      <w:r>
        <w:rPr>
          <w:rFonts w:cs="Times New Roman"/>
          <w:highlight w:val="none"/>
        </w:rPr>
        <w:fldChar w:fldCharType="begin"/>
      </w:r>
      <w:r>
        <w:rPr>
          <w:rFonts w:cs="Times New Roman"/>
          <w:highlight w:val="none"/>
        </w:rPr>
        <w:instrText xml:space="preserve"> ADDIN EN.CITE &lt;EndNote&gt;&lt;Cite&gt;&lt;Author&gt;Tian&lt;/Author&gt;&lt;Year&gt;2016&lt;/Year&gt;&lt;RecNum&gt;267&lt;/RecNum&gt;&lt;DisplayText&gt;(Tian et al., 2016)&lt;/DisplayText&gt;&lt;record&gt;&lt;rec-number&gt;267&lt;/rec-number&gt;&lt;foreign-keys&gt;&lt;key app="EN" db-id="xwvtz5rea2fr2je0p0uppszgwft92rr5pxdp" timestamp="1739802192"&gt;267&lt;/key&gt;&lt;/foreign-keys&gt;&lt;ref-type name="Journal Article"&gt;17&lt;/ref-type&gt;&lt;contributors&gt;&lt;authors&gt;&lt;author&gt;Tian, Xiao-Jun&lt;/author&gt;&lt;author&gt;Zhang, Hang&lt;/author&gt;&lt;author&gt;Zhang, Jingyu&lt;/author&gt;&lt;author&gt;Xing, Jianhua&lt;/author&gt;&lt;/authors&gt;&lt;/contributors&gt;&lt;titles&gt;&lt;title&gt;Reciprocal regulation between mRNA and microRNA enables a bistable switch that directs cell fate decisions&lt;/title&gt;&lt;secondary-title&gt;FEBS Letters&lt;/secondary-title&gt;&lt;/titles&gt;&lt;periodical&gt;&lt;full-title&gt;FEBS Letters&lt;/full-title&gt;&lt;/periodical&gt;&lt;pages&gt;3443-3455&lt;/pages&gt;&lt;volume&gt;590&lt;/volume&gt;&lt;number&gt;19&lt;/number&gt;&lt;dates&gt;&lt;year&gt;2016&lt;/year&gt;&lt;/dates&gt;&lt;isbn&gt;0014-5793&lt;/isbn&gt;&lt;urls&gt;&lt;related-urls&gt;&lt;url&gt;https://febs.onlinelibrary.wiley.com/doi/abs/10.1002/1873-3468.12379&lt;/url&gt;&lt;/related-urls&gt;&lt;/urls&gt;&lt;electronic-resource-num&gt;https://doi.org/10.1002/1873-3468.12379&lt;/electronic-resource-num&gt;&lt;/record&gt;&lt;/Cite&gt;&lt;/EndNote&gt;</w:instrText>
      </w:r>
      <w:r>
        <w:rPr>
          <w:rFonts w:cs="Times New Roman"/>
          <w:highlight w:val="none"/>
        </w:rPr>
        <w:fldChar w:fldCharType="separate"/>
      </w:r>
      <w:r>
        <w:rPr>
          <w:rFonts w:cs="Times New Roman"/>
          <w:highlight w:val="none"/>
        </w:rPr>
        <w:t>(Tian et al., 2016)</w:t>
      </w:r>
      <w:r>
        <w:rPr>
          <w:rFonts w:cs="Times New Roman"/>
          <w:highlight w:val="none"/>
        </w:rPr>
        <w:fldChar w:fldCharType="end"/>
      </w:r>
      <w:r>
        <w:rPr>
          <w:rFonts w:cs="Times New Roman"/>
          <w:highlight w:val="none"/>
        </w:rPr>
        <w:t xml:space="preserve">. These interactions can create bistable regulatory switches that drive hypersensitive responses and state transitions, ultimately influencing cellular fate by modulating the stability and function of key signaling molecules </w:t>
      </w:r>
      <w:r>
        <w:rPr>
          <w:rFonts w:cs="Times New Roman"/>
          <w:highlight w:val="none"/>
        </w:rPr>
        <w:fldChar w:fldCharType="begin"/>
      </w:r>
      <w:r>
        <w:rPr>
          <w:rFonts w:cs="Times New Roman"/>
          <w:highlight w:val="none"/>
        </w:rPr>
        <w:instrText xml:space="preserve"> ADDIN EN.CITE &lt;EndNote&gt;&lt;Cite&gt;&lt;Author&gt;Tian&lt;/Author&gt;&lt;Year&gt;2016&lt;/Year&gt;&lt;RecNum&gt;267&lt;/RecNum&gt;&lt;DisplayText&gt;(Tian et al., 2016)&lt;/DisplayText&gt;&lt;record&gt;&lt;rec-number&gt;267&lt;/rec-number&gt;&lt;foreign-keys&gt;&lt;key app="EN" db-id="xwvtz5rea2fr2je0p0uppszgwft92rr5pxdp" timestamp="1739802192"&gt;267&lt;/key&gt;&lt;/foreign-keys&gt;&lt;ref-type name="Journal Article"&gt;17&lt;/ref-type&gt;&lt;contributors&gt;&lt;authors&gt;&lt;author&gt;Tian, Xiao-Jun&lt;/author&gt;&lt;author&gt;Zhang, Hang&lt;/author&gt;&lt;author&gt;Zhang, Jingyu&lt;/author&gt;&lt;author&gt;Xing, Jianhua&lt;/author&gt;&lt;/authors&gt;&lt;/contributors&gt;&lt;titles&gt;&lt;title&gt;Reciprocal regulation between mRNA and microRNA enables a bistable switch that directs cell fate decisions&lt;/title&gt;&lt;secondary-title&gt;FEBS Letters&lt;/secondary-title&gt;&lt;/titles&gt;&lt;periodical&gt;&lt;full-title&gt;FEBS Letters&lt;/full-title&gt;&lt;/periodical&gt;&lt;pages&gt;3443-3455&lt;/pages&gt;&lt;volume&gt;590&lt;/volume&gt;&lt;number&gt;19&lt;/number&gt;&lt;dates&gt;&lt;year&gt;2016&lt;/year&gt;&lt;/dates&gt;&lt;isbn&gt;0014-5793&lt;/isbn&gt;&lt;urls&gt;&lt;related-urls&gt;&lt;url&gt;https://febs.onlinelibrary.wiley.com/doi/abs/10.1002/1873-3468.12379&lt;/url&gt;&lt;/related-urls&gt;&lt;/urls&gt;&lt;electronic-resource-num&gt;https://doi.org/10.1002/1873-3468.12379&lt;/electronic-resource-num&gt;&lt;/record&gt;&lt;/Cite&gt;&lt;/EndNote&gt;</w:instrText>
      </w:r>
      <w:r>
        <w:rPr>
          <w:rFonts w:cs="Times New Roman"/>
          <w:highlight w:val="none"/>
        </w:rPr>
        <w:fldChar w:fldCharType="separate"/>
      </w:r>
      <w:r>
        <w:rPr>
          <w:rFonts w:cs="Times New Roman"/>
          <w:highlight w:val="none"/>
        </w:rPr>
        <w:t>(Tian et al., 2016)</w:t>
      </w:r>
      <w:r>
        <w:rPr>
          <w:rFonts w:cs="Times New Roman"/>
          <w:highlight w:val="none"/>
        </w:rPr>
        <w:fldChar w:fldCharType="end"/>
      </w:r>
      <w:r>
        <w:rPr>
          <w:rFonts w:cs="Times New Roman"/>
          <w:highlight w:val="none"/>
        </w:rPr>
        <w:t>.</w:t>
      </w:r>
    </w:p>
    <w:p w14:paraId="71CCFC40">
      <w:pPr>
        <w:rPr>
          <w:rStyle w:val="93"/>
          <w:rFonts w:cs="Times New Roman"/>
          <w:highlight w:val="none"/>
          <w:lang w:val="zh-CN" w:eastAsia="zh-CN"/>
        </w:rPr>
      </w:pPr>
      <w:r>
        <w:rPr>
          <w:rFonts w:cs="Times New Roman"/>
          <w:highlight w:val="none"/>
        </w:rPr>
        <w:drawing>
          <wp:inline distT="0" distB="0" distL="0" distR="0">
            <wp:extent cx="4752975" cy="1021715"/>
            <wp:effectExtent l="0" t="0" r="0" b="6985"/>
            <wp:docPr id="940425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25270" name="图片 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52975" cy="1022010"/>
                    </a:xfrm>
                    <a:prstGeom prst="rect">
                      <a:avLst/>
                    </a:prstGeom>
                  </pic:spPr>
                </pic:pic>
              </a:graphicData>
            </a:graphic>
          </wp:inline>
        </w:drawing>
      </w:r>
    </w:p>
    <w:p w14:paraId="47A235E6">
      <w:pPr>
        <w:pStyle w:val="11"/>
        <w:rPr>
          <w:highlight w:val="none"/>
          <w:lang w:val="en-US"/>
        </w:rPr>
      </w:pPr>
      <w:bookmarkStart w:id="42" w:name="_Toc207982990"/>
      <w:r>
        <w:rPr>
          <w:b/>
          <w:bCs w:val="0"/>
          <w:sz w:val="22"/>
          <w:szCs w:val="21"/>
          <w:highlight w:val="none"/>
          <w:lang w:val="en-US"/>
        </w:rPr>
        <w:t xml:space="preserve">Figure </w:t>
      </w:r>
      <w:r>
        <w:rPr>
          <w:b/>
          <w:bCs w:val="0"/>
          <w:sz w:val="22"/>
          <w:szCs w:val="21"/>
          <w:highlight w:val="none"/>
          <w:lang w:val="en-US"/>
        </w:rPr>
        <w:fldChar w:fldCharType="begin"/>
      </w:r>
      <w:r>
        <w:rPr>
          <w:b/>
          <w:bCs w:val="0"/>
          <w:sz w:val="22"/>
          <w:szCs w:val="21"/>
          <w:highlight w:val="none"/>
          <w:lang w:val="en-US"/>
        </w:rPr>
        <w:instrText xml:space="preserve"> STYLEREF 1 \s </w:instrText>
      </w:r>
      <w:r>
        <w:rPr>
          <w:b/>
          <w:bCs w:val="0"/>
          <w:sz w:val="22"/>
          <w:szCs w:val="21"/>
          <w:highlight w:val="none"/>
          <w:lang w:val="en-US"/>
        </w:rPr>
        <w:fldChar w:fldCharType="separate"/>
      </w:r>
      <w:r>
        <w:rPr>
          <w:b/>
          <w:bCs w:val="0"/>
          <w:sz w:val="22"/>
          <w:szCs w:val="21"/>
          <w:highlight w:val="none"/>
          <w:lang w:val="en-US"/>
        </w:rPr>
        <w:t>1</w:t>
      </w:r>
      <w:r>
        <w:rPr>
          <w:b/>
          <w:bCs w:val="0"/>
          <w:sz w:val="22"/>
          <w:szCs w:val="21"/>
          <w:highlight w:val="none"/>
          <w:lang w:val="en-US"/>
        </w:rPr>
        <w:fldChar w:fldCharType="end"/>
      </w:r>
      <w:r>
        <w:rPr>
          <w:b/>
          <w:bCs w:val="0"/>
          <w:sz w:val="22"/>
          <w:szCs w:val="21"/>
          <w:highlight w:val="none"/>
          <w:lang w:val="en-US"/>
        </w:rPr>
        <w:noBreakHyphen/>
      </w:r>
      <w:r>
        <w:rPr>
          <w:b/>
          <w:bCs w:val="0"/>
          <w:sz w:val="22"/>
          <w:szCs w:val="21"/>
          <w:highlight w:val="none"/>
          <w:lang w:val="en-US"/>
        </w:rPr>
        <w:fldChar w:fldCharType="begin"/>
      </w:r>
      <w:r>
        <w:rPr>
          <w:b/>
          <w:bCs w:val="0"/>
          <w:sz w:val="22"/>
          <w:szCs w:val="21"/>
          <w:highlight w:val="none"/>
          <w:lang w:val="en-US"/>
        </w:rPr>
        <w:instrText xml:space="preserve"> SEQ Figure \* ARABIC \s 1 </w:instrText>
      </w:r>
      <w:r>
        <w:rPr>
          <w:b/>
          <w:bCs w:val="0"/>
          <w:sz w:val="22"/>
          <w:szCs w:val="21"/>
          <w:highlight w:val="none"/>
          <w:lang w:val="en-US"/>
        </w:rPr>
        <w:fldChar w:fldCharType="separate"/>
      </w:r>
      <w:r>
        <w:rPr>
          <w:b/>
          <w:bCs w:val="0"/>
          <w:sz w:val="22"/>
          <w:szCs w:val="21"/>
          <w:highlight w:val="none"/>
          <w:lang w:val="en-US"/>
        </w:rPr>
        <w:t>2</w:t>
      </w:r>
      <w:r>
        <w:rPr>
          <w:b/>
          <w:bCs w:val="0"/>
          <w:sz w:val="22"/>
          <w:szCs w:val="21"/>
          <w:highlight w:val="none"/>
          <w:lang w:val="en-US"/>
        </w:rPr>
        <w:fldChar w:fldCharType="end"/>
      </w:r>
      <w:r>
        <w:rPr>
          <w:b/>
          <w:bCs w:val="0"/>
          <w:sz w:val="22"/>
          <w:szCs w:val="21"/>
          <w:highlight w:val="none"/>
          <w:lang w:val="en-US"/>
        </w:rPr>
        <w:t>:</w:t>
      </w:r>
      <w:r>
        <w:rPr>
          <w:highlight w:val="none"/>
          <w:lang w:val="en-US"/>
        </w:rPr>
        <w:t xml:space="preserve"> (A) mRNA-miRNA reciprocal regulations. miRNAs can suppress mRNA expression by binding to their 3' untranslated regions, leading to translational repression or degradation, or stimulate translation. Conversely, mRNA can regulate the levels of miRNAs through sequestration or degradation. (B) Regulatory network between miRNA, mRNA, and proteins. miRNAs bind to mRNA, leading to translational repression or mRNA degradation, thus reducing the synthesis of specific proteins. Meanwhile, proteins encoded by mRNAs can regulate miRNA expression through feedback mechanisms, typically by interacting with miRNA genes to influence miRNA transcription. These interactions form a complex regulatory network between miRNAs, mRNAs, and proteins, collectively contributing to the regulation of cellular functions. Adapted from Tian et al. </w:t>
      </w:r>
      <w:r>
        <w:rPr>
          <w:rFonts w:hint="eastAsia"/>
          <w:highlight w:val="none"/>
          <w:lang w:val="en-US" w:eastAsia="zh-CN"/>
        </w:rPr>
        <w:t>(</w:t>
      </w:r>
      <w:r>
        <w:rPr>
          <w:highlight w:val="none"/>
          <w:lang w:val="en-US"/>
        </w:rPr>
        <w:t>2016).</w:t>
      </w:r>
      <w:bookmarkEnd w:id="42"/>
      <w:r>
        <w:rPr>
          <w:highlight w:val="none"/>
          <w:lang w:val="en-US"/>
        </w:rPr>
        <w:t xml:space="preserve"> </w:t>
      </w:r>
    </w:p>
    <w:p w14:paraId="1E0FB623">
      <w:pPr>
        <w:rPr>
          <w:rStyle w:val="93"/>
          <w:rFonts w:cs="Times New Roman"/>
          <w:highlight w:val="none"/>
          <w:lang w:eastAsia="zh-CN"/>
        </w:rPr>
      </w:pPr>
      <w:r>
        <w:rPr>
          <w:rFonts w:cs="Times New Roman"/>
          <w:highlight w:val="none"/>
        </w:rPr>
        <w:t>Overall, mRNAs are not merely passive intermediates in the flow of genetic information but active regulators of immune and inflammatory processes. Their ability to respond dynamically to environmental changes, coupled with their regulatory interactions with noncoding RNAs, makes them indispensable for maintaining immune homeostasis. Understanding the intricate roles of mRNAs in immunity and metabolism offers new insights into disease mechanisms and opens up novel therapeutic avenues for inflammatory and immune-mediated diseases.</w:t>
      </w:r>
    </w:p>
    <w:p w14:paraId="4DCE7012">
      <w:pPr>
        <w:pStyle w:val="3"/>
        <w:rPr>
          <w:highlight w:val="none"/>
        </w:rPr>
      </w:pPr>
      <w:bookmarkStart w:id="43" w:name="_Toc207979746"/>
      <w:r>
        <w:rPr>
          <w:highlight w:val="none"/>
        </w:rPr>
        <w:t>Inulin and its applications in dairy cows</w:t>
      </w:r>
      <w:bookmarkEnd w:id="43"/>
    </w:p>
    <w:p w14:paraId="799FC840">
      <w:pPr>
        <w:pStyle w:val="4"/>
        <w:rPr>
          <w:highlight w:val="none"/>
        </w:rPr>
      </w:pPr>
      <w:bookmarkStart w:id="44" w:name="_Toc207979747"/>
      <w:r>
        <w:rPr>
          <w:highlight w:val="none"/>
        </w:rPr>
        <w:t>Source and structural characteristics of inulin</w:t>
      </w:r>
      <w:bookmarkEnd w:id="44"/>
    </w:p>
    <w:p w14:paraId="5388EABB">
      <w:pPr>
        <w:rPr>
          <w:rFonts w:cs="Times New Roman"/>
          <w:highlight w:val="none"/>
        </w:rPr>
      </w:pPr>
      <w:r>
        <w:rPr>
          <w:rFonts w:cs="Times New Roman"/>
          <w:highlight w:val="none"/>
        </w:rPr>
        <w:t xml:space="preserve">Inulin, a naturally occurring polysaccharide, is made up of fructose units linked by β-2,1-glycosidic bonds </w:t>
      </w:r>
      <w:r>
        <w:rPr>
          <w:rFonts w:cs="Times New Roman"/>
          <w:highlight w:val="none"/>
        </w:rPr>
        <w:fldChar w:fldCharType="begin"/>
      </w:r>
      <w:r>
        <w:rPr>
          <w:rFonts w:cs="Times New Roman"/>
          <w:highlight w:val="none"/>
        </w:rPr>
        <w:instrText xml:space="preserve"> ADDIN EN.CITE &lt;EndNote&gt;&lt;Cite&gt;&lt;Author&gt;Mensink&lt;/Author&gt;&lt;Year&gt;2015&lt;/Year&gt;&lt;RecNum&gt;216&lt;/RecNum&gt;&lt;DisplayText&gt;(Mensink et al., 2015)&lt;/DisplayText&gt;&lt;record&gt;&lt;rec-number&gt;216&lt;/rec-number&gt;&lt;foreign-keys&gt;&lt;key app="EN" db-id="xwvtz5rea2fr2je0p0uppszgwft92rr5pxdp" timestamp="1738679609"&gt;216&lt;/key&gt;&lt;/foreign-keys&gt;&lt;ref-type name="Journal Article"&gt;17&lt;/ref-type&gt;&lt;contributors&gt;&lt;authors&gt;&lt;author&gt;Mensink, Maarten A.&lt;/author&gt;&lt;author&gt;Frijlink, Henderik W.&lt;/author&gt;&lt;author&gt;van der Voort Maarschalk, Kees&lt;/author&gt;&lt;author&gt;Hinrichs, Wouter L. J.&lt;/author&gt;&lt;/authors&gt;&lt;/contributors&gt;&lt;titles&gt;&lt;title&gt;Inulin, a flexible oligosaccharide I: Review of its physicochemical characteristics&lt;/title&gt;&lt;secondary-title&gt;Carbohydrate Polymers&lt;/secondary-title&gt;&lt;/titles&gt;&lt;periodical&gt;&lt;full-title&gt;Carbohydrate Polymers&lt;/full-title&gt;&lt;abbr-1&gt;Carbohyd Polym&lt;/abbr-1&gt;&lt;/periodical&gt;&lt;pages&gt;405-419&lt;/pages&gt;&lt;volume&gt;130&lt;/volume&gt;&lt;keywords&gt;&lt;keyword&gt;Physical&lt;/keyword&gt;&lt;keyword&gt;Chemical&lt;/keyword&gt;&lt;keyword&gt;Carbohydrate&lt;/keyword&gt;&lt;keyword&gt;Polysaccharide&lt;/keyword&gt;&lt;keyword&gt;Oligofructose&lt;/keyword&gt;&lt;keyword&gt;Polymer&lt;/keyword&gt;&lt;/keywords&gt;&lt;dates&gt;&lt;year&gt;2015&lt;/year&gt;&lt;pub-dates&gt;&lt;date&gt;2015/10/05/&lt;/date&gt;&lt;/pub-dates&gt;&lt;/dates&gt;&lt;isbn&gt;0144-8617&lt;/isbn&gt;&lt;urls&gt;&lt;related-urls&gt;&lt;url&gt;https://www.sciencedirect.com/science/article/pii/S0144861715004257&lt;/url&gt;&lt;/related-urls&gt;&lt;/urls&gt;&lt;electronic-resource-num&gt;https://doi.org/10.1016/j.carbpol.2015.05.026&lt;/electronic-resource-num&gt;&lt;/record&gt;&lt;/Cite&gt;&lt;/EndNote&gt;</w:instrText>
      </w:r>
      <w:r>
        <w:rPr>
          <w:rFonts w:cs="Times New Roman"/>
          <w:highlight w:val="none"/>
        </w:rPr>
        <w:fldChar w:fldCharType="separate"/>
      </w:r>
      <w:r>
        <w:rPr>
          <w:rFonts w:cs="Times New Roman"/>
          <w:highlight w:val="none"/>
        </w:rPr>
        <w:t>(Mensink et al., 2015)</w:t>
      </w:r>
      <w:r>
        <w:rPr>
          <w:rFonts w:cs="Times New Roman"/>
          <w:highlight w:val="none"/>
        </w:rPr>
        <w:fldChar w:fldCharType="end"/>
      </w:r>
      <w:r>
        <w:rPr>
          <w:rFonts w:cs="Times New Roman"/>
          <w:highlight w:val="none"/>
        </w:rPr>
        <w:t xml:space="preserve">. It is predominantly found in plants of the Asteraceae family, including chicory, Jerusalem artichoke, and dandelion </w:t>
      </w:r>
      <w:r>
        <w:rPr>
          <w:rFonts w:cs="Times New Roman"/>
          <w:highlight w:val="none"/>
        </w:rPr>
        <w:fldChar w:fldCharType="begin">
          <w:fldData xml:space="preserve">PEVuZE5vdGU+PENpdGU+PEF1dGhvcj5LYW5nbzwvQXV0aG9yPjxZZWFyPjIwMDg8L1llYXI+PFJl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</w:fldData>
        </w:fldChar>
      </w:r>
      <w:r>
        <w:rPr>
          <w:rFonts w:cs="Times New Roman"/>
          <w:highlight w:val="none"/>
        </w:rPr>
        <w:instrText xml:space="preserve"> ADDIN EN.CITE </w:instrText>
      </w:r>
      <w:r>
        <w:rPr>
          <w:rFonts w:cs="Times New Roman"/>
          <w:highlight w:val="none"/>
        </w:rPr>
        <w:fldChar w:fldCharType="begin">
          <w:fldData xml:space="preserve">PEVuZE5vdGU+PENpdGU+PEF1dGhvcj5LYW5nbzwvQXV0aG9yPjxZZWFyPjIwMDg8L1llYXI+PFJl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(Kango, 2008, Karimi et al., 2025)</w:t>
      </w:r>
      <w:r>
        <w:rPr>
          <w:rFonts w:cs="Times New Roman"/>
          <w:highlight w:val="none"/>
        </w:rPr>
        <w:fldChar w:fldCharType="end"/>
      </w:r>
      <w:r>
        <w:rPr>
          <w:rFonts w:cs="Times New Roman"/>
          <w:highlight w:val="none"/>
        </w:rPr>
        <w:t xml:space="preserve">. Chicory and Jerusalem artichoke are considered among the richest sources of inulin and fructo-oligosaccharides, with concentrations reaching as high as 70.5 g/kg and 81.1 g/kg dry weight </w:t>
      </w:r>
      <w:r>
        <w:rPr>
          <w:rFonts w:cs="Times New Roman"/>
          <w:highlight w:val="none"/>
        </w:rPr>
        <w:fldChar w:fldCharType="begin"/>
      </w:r>
      <w:r>
        <w:rPr>
          <w:rFonts w:cs="Times New Roman"/>
          <w:highlight w:val="none"/>
        </w:rPr>
        <w:instrText xml:space="preserve"> ADDIN EN.CITE &lt;EndNote&gt;&lt;Cite&gt;&lt;Author&gt;Redondo-Cuenca&lt;/Author&gt;&lt;Year&gt;2021&lt;/Year&gt;&lt;RecNum&gt;272&lt;/RecNum&gt;&lt;DisplayText&gt;(Redondo-Cuenca et al., 2021)&lt;/DisplayText&gt;&lt;record&gt;&lt;rec-number&gt;272&lt;/rec-number&gt;&lt;foreign-keys&gt;&lt;key app="EN" db-id="xwvtz5rea2fr2je0p0uppszgwft92rr5pxdp" timestamp="1739805559"&gt;272&lt;/key&gt;&lt;/foreign-keys&gt;&lt;ref-type name="Journal Article"&gt;17&lt;/ref-type&gt;&lt;contributors&gt;&lt;authors&gt;&lt;author&gt;Redondo-Cuenca, Araceli&lt;/author&gt;&lt;author&gt;Herrera-Vázquez, Selene Elizabeth&lt;/author&gt;&lt;author&gt;Condezo-Hoyos, Luis&lt;/author&gt;&lt;author&gt;Gómez-Ordóñez, Eva&lt;/author&gt;&lt;author&gt;Rupérez, Pilar&lt;/author&gt;&lt;/authors&gt;&lt;/contributors&gt;&lt;titles&gt;&lt;title&gt;Inulin extraction from common inulin-containing plant sources&lt;/title&gt;&lt;secondary-title&gt;Industrial Crops and Products&lt;/secondary-title&gt;&lt;/titles&gt;&lt;periodical&gt;&lt;full-title&gt;Industrial Crops and Products&lt;/full-title&gt;&lt;/periodical&gt;&lt;pages&gt;113726&lt;/pages&gt;&lt;volume&gt;170&lt;/volume&gt;&lt;keywords&gt;&lt;keyword&gt;Inulin&lt;/keyword&gt;&lt;keyword&gt;RSM&lt;/keyword&gt;&lt;keyword&gt;Chicory&lt;/keyword&gt;&lt;keyword&gt;Jerusalem artichoke&lt;/keyword&gt;&lt;keyword&gt;Globe artichoke&lt;/keyword&gt;&lt;keyword&gt;By-product&lt;/keyword&gt;&lt;/keywords&gt;&lt;dates&gt;&lt;year&gt;2021&lt;/year&gt;&lt;pub-dates&gt;&lt;date&gt;2021/10/15/&lt;/date&gt;&lt;/pub-dates&gt;&lt;/dates&gt;&lt;isbn&gt;0926-6690&lt;/isbn&gt;&lt;urls&gt;&lt;related-urls&gt;&lt;url&gt;https://www.sciencedirect.com/science/article/pii/S0926669021004908&lt;/url&gt;&lt;/related-urls&gt;&lt;/urls&gt;&lt;electronic-resource-num&gt;https://doi.org/10.1016/j.indcrop.2021.113726&lt;/electronic-resource-num&gt;&lt;/record&gt;&lt;/Cite&gt;&lt;/EndNote&gt;</w:instrText>
      </w:r>
      <w:r>
        <w:rPr>
          <w:rFonts w:cs="Times New Roman"/>
          <w:highlight w:val="none"/>
        </w:rPr>
        <w:fldChar w:fldCharType="separate"/>
      </w:r>
      <w:r>
        <w:rPr>
          <w:rFonts w:cs="Times New Roman"/>
          <w:highlight w:val="none"/>
        </w:rPr>
        <w:t>(Redondo-Cuenca et al., 2021)</w:t>
      </w:r>
      <w:r>
        <w:rPr>
          <w:rFonts w:cs="Times New Roman"/>
          <w:highlight w:val="none"/>
        </w:rPr>
        <w:fldChar w:fldCharType="end"/>
      </w:r>
      <w:r>
        <w:rPr>
          <w:rFonts w:cs="Times New Roman"/>
          <w:highlight w:val="none"/>
        </w:rPr>
        <w:t xml:space="preserve">. </w:t>
      </w:r>
      <w:bookmarkStart w:id="45" w:name="OLE_LINK9"/>
      <w:r>
        <w:rPr>
          <w:rFonts w:cs="Times New Roman"/>
          <w:highlight w:val="none"/>
        </w:rPr>
        <w:t>Chicory (</w:t>
      </w:r>
      <w:r>
        <w:rPr>
          <w:rFonts w:cs="Times New Roman"/>
          <w:i/>
          <w:iCs/>
          <w:highlight w:val="none"/>
        </w:rPr>
        <w:t>Cichorium intybus</w:t>
      </w:r>
      <w:r>
        <w:rPr>
          <w:rFonts w:cs="Times New Roman"/>
          <w:highlight w:val="none"/>
        </w:rPr>
        <w:t xml:space="preserve"> L.) is one of the most widely cultivated inulin-rich crops in Europe. Belgium, in particular, is a major producer and consumer of chicory, where it is used both as a vegetable (Belgian endive) and as the primary industrial source of inulin for the food and feed industry</w:t>
      </w:r>
      <w:r>
        <w:rPr>
          <w:rFonts w:hint="eastAsia" w:cs="Times New Roman"/>
          <w:highlight w:val="none"/>
          <w:lang w:eastAsia="zh-CN"/>
        </w:rPr>
        <w:t xml:space="preserve"> </w:t>
      </w:r>
      <w:r>
        <w:rPr>
          <w:rFonts w:cs="Times New Roman"/>
          <w:highlight w:val="none"/>
        </w:rPr>
        <w:fldChar w:fldCharType="begin"/>
      </w:r>
      <w:r>
        <w:rPr>
          <w:rFonts w:cs="Times New Roman"/>
          <w:highlight w:val="none"/>
        </w:rPr>
        <w:instrText xml:space="preserve"> ADDIN EN.CITE &lt;EndNote&gt;&lt;Cite&gt;&lt;Author&gt;Rambaud&lt;/Author&gt;&lt;Year&gt;2025&lt;/Year&gt;&lt;RecNum&gt;373&lt;/RecNum&gt;&lt;DisplayText&gt;(Rambaud et al., 2025)&lt;/DisplayText&gt;&lt;record&gt;&lt;rec-number&gt;373&lt;/rec-number&gt;&lt;foreign-keys&gt;&lt;key app="EN" db-id="xwvtz5rea2fr2je0p0uppszgwft92rr5pxdp" timestamp="1756782250"&gt;373&lt;/key&gt;&lt;/foreign-keys&gt;&lt;ref-type name="Journal Article"&gt;17&lt;/ref-type&gt;&lt;contributors&gt;&lt;authors&gt;&lt;author&gt;Rambaud, Caroline&lt;/author&gt;&lt;author&gt;Croy, Magalie&lt;/author&gt;&lt;author&gt;Choque, Elodie&lt;/author&gt;&lt;/authors&gt;&lt;/contributors&gt;&lt;titles&gt;&lt;title&gt;The great diversity of products from Cichorium intybus L. culture: how to valorize chicory byproducts: a review&lt;/title&gt;&lt;secondary-title&gt;Discover Plants&lt;/secondary-title&gt;&lt;/titles&gt;&lt;periodical&gt;&lt;full-title&gt;Discover Plants&lt;/full-title&gt;&lt;/periodical&gt;&lt;volume&gt;2&lt;/volume&gt;&lt;dates&gt;&lt;year&gt;2025&lt;/year&gt;&lt;pub-dates&gt;&lt;date&gt;04/08&lt;/date&gt;&lt;/pub-dates&gt;&lt;/dates&gt;&lt;urls&gt;&lt;/urls&gt;&lt;electronic-resource-num&gt;10.1007/s44372-025-00195-3&lt;/electronic-resource-num&gt;&lt;/record&gt;&lt;/Cite&gt;&lt;/EndNote&gt;</w:instrText>
      </w:r>
      <w:r>
        <w:rPr>
          <w:rFonts w:cs="Times New Roman"/>
          <w:highlight w:val="none"/>
        </w:rPr>
        <w:fldChar w:fldCharType="separate"/>
      </w:r>
      <w:r>
        <w:rPr>
          <w:rFonts w:cs="Times New Roman"/>
          <w:highlight w:val="none"/>
        </w:rPr>
        <w:t>(Rambaud et al., 2025)</w:t>
      </w:r>
      <w:r>
        <w:rPr>
          <w:rFonts w:cs="Times New Roman"/>
          <w:highlight w:val="none"/>
        </w:rPr>
        <w:fldChar w:fldCharType="end"/>
      </w:r>
      <w:r>
        <w:rPr>
          <w:rFonts w:cs="Times New Roman"/>
          <w:highlight w:val="none"/>
        </w:rPr>
        <w:t>.</w:t>
      </w:r>
      <w:r>
        <w:rPr>
          <w:rFonts w:hint="eastAsia" w:cs="Times New Roman"/>
          <w:highlight w:val="none"/>
          <w:lang w:eastAsia="zh-CN"/>
        </w:rPr>
        <w:t xml:space="preserve"> C</w:t>
      </w:r>
      <w:r>
        <w:rPr>
          <w:rFonts w:cs="Times New Roman"/>
          <w:highlight w:val="none"/>
        </w:rPr>
        <w:t>hicory forage can be included in dairy cow diets. A meta-analysis of 15 studies with 597 cows showed that chicory increased milk yield compared with grass-based diets</w:t>
      </w:r>
      <w:r>
        <w:rPr>
          <w:rFonts w:hint="eastAsia" w:cs="Times New Roman"/>
          <w:highlight w:val="none"/>
          <w:lang w:eastAsia="zh-CN"/>
        </w:rPr>
        <w:t xml:space="preserve"> (Mangwe et al., 2024)</w:t>
      </w:r>
      <w:r>
        <w:rPr>
          <w:rFonts w:cs="Times New Roman"/>
          <w:highlight w:val="none"/>
        </w:rPr>
        <w:t>. It also improved milk solids production, particularly during mid-lactation. When chicory herbage accounted for 50% of dietary intake, it further modified rumen fermentation patterns, increasing polyunsaturated fatty acids and volatile fatty acids, and enhanced feed conversion efficiency</w:t>
      </w:r>
      <w:r>
        <w:rPr>
          <w:rFonts w:hint="eastAsia" w:cs="Times New Roman"/>
          <w:highlight w:val="none"/>
          <w:lang w:eastAsia="zh-CN"/>
        </w:rPr>
        <w:t xml:space="preserve"> (Mangwe et al., 2020)</w:t>
      </w:r>
      <w:r>
        <w:rPr>
          <w:rFonts w:cs="Times New Roman"/>
          <w:highlight w:val="none"/>
        </w:rPr>
        <w:t>. Besides its role as a forage crop for ruminants, chicory roots are also valued for their high and consistent inulin content, making them particularly suitable for industrial-scale extraction</w:t>
      </w:r>
      <w:r>
        <w:rPr>
          <w:rFonts w:hint="eastAsia" w:cs="Times New Roman"/>
          <w:highlight w:val="none"/>
          <w:lang w:eastAsia="zh-CN"/>
        </w:rPr>
        <w:t xml:space="preserve"> </w:t>
      </w:r>
      <w:r>
        <w:rPr>
          <w:rFonts w:cs="Times New Roman"/>
          <w:highlight w:val="none"/>
        </w:rPr>
        <w:fldChar w:fldCharType="begin"/>
      </w:r>
      <w:r>
        <w:rPr>
          <w:rFonts w:cs="Times New Roman"/>
          <w:highlight w:val="none"/>
        </w:rPr>
        <w:instrText xml:space="preserve"> ADDIN EN.CITE &lt;EndNote&gt;&lt;Cite&gt;&lt;Author&gt;Rambaud&lt;/Author&gt;&lt;Year&gt;2025&lt;/Year&gt;&lt;RecNum&gt;373&lt;/RecNum&gt;&lt;DisplayText&gt;(Rambaud et al., 2025)&lt;/DisplayText&gt;&lt;record&gt;&lt;rec-number&gt;373&lt;/rec-number&gt;&lt;foreign-keys&gt;&lt;key app="EN" db-id="xwvtz5rea2fr2je0p0uppszgwft92rr5pxdp" timestamp="1756782250"&gt;373&lt;/key&gt;&lt;/foreign-keys&gt;&lt;ref-type name="Journal Article"&gt;17&lt;/ref-type&gt;&lt;contributors&gt;&lt;authors&gt;&lt;author&gt;Rambaud, Caroline&lt;/author&gt;&lt;author&gt;Croy, Magalie&lt;/author&gt;&lt;author&gt;Choque, Elodie&lt;/author&gt;&lt;/authors&gt;&lt;/contributors&gt;&lt;titles&gt;&lt;title&gt;The great diversity of products from Cichorium intybus L. culture: how to valorize chicory byproducts: a review&lt;/title&gt;&lt;secondary-title&gt;Discover Plants&lt;/secondary-title&gt;&lt;/titles&gt;&lt;periodical&gt;&lt;full-title&gt;Discover Plants&lt;/full-title&gt;&lt;/periodical&gt;&lt;volume&gt;2&lt;/volume&gt;&lt;dates&gt;&lt;year&gt;2025&lt;/year&gt;&lt;pub-dates&gt;&lt;date&gt;04/08&lt;/date&gt;&lt;/pub-dates&gt;&lt;/dates&gt;&lt;urls&gt;&lt;/urls&gt;&lt;electronic-resource-num&gt;10.1007/s44372-025-00195-3&lt;/electronic-resource-num&gt;&lt;/record&gt;&lt;/Cite&gt;&lt;/EndNote&gt;</w:instrText>
      </w:r>
      <w:r>
        <w:rPr>
          <w:rFonts w:cs="Times New Roman"/>
          <w:highlight w:val="none"/>
        </w:rPr>
        <w:fldChar w:fldCharType="separate"/>
      </w:r>
      <w:r>
        <w:rPr>
          <w:rFonts w:cs="Times New Roman"/>
          <w:highlight w:val="none"/>
        </w:rPr>
        <w:t>(Rambaud et al., 2025)</w:t>
      </w:r>
      <w:r>
        <w:rPr>
          <w:rFonts w:cs="Times New Roman"/>
          <w:highlight w:val="none"/>
        </w:rPr>
        <w:fldChar w:fldCharType="end"/>
      </w:r>
      <w:r>
        <w:rPr>
          <w:rFonts w:hint="eastAsia" w:cs="Times New Roman"/>
          <w:highlight w:val="none"/>
          <w:lang w:eastAsia="zh-CN"/>
        </w:rPr>
        <w:t xml:space="preserve">. </w:t>
      </w:r>
      <w:r>
        <w:rPr>
          <w:rFonts w:cs="Times New Roman"/>
          <w:highlight w:val="none"/>
        </w:rPr>
        <w:t xml:space="preserve">The large-scale chicory industry in Belgium not only supports human nutrition but also provides sustainable raw material for animal feed applications, highlighting its dual role in agriculture and livestock production </w:t>
      </w:r>
      <w:r>
        <w:rPr>
          <w:rFonts w:cs="Times New Roman"/>
          <w:highlight w:val="none"/>
        </w:rPr>
        <w:fldChar w:fldCharType="begin"/>
      </w:r>
      <w:r>
        <w:rPr>
          <w:rFonts w:cs="Times New Roman"/>
          <w:highlight w:val="none"/>
        </w:rPr>
        <w:instrText xml:space="preserve"> ADDIN EN.CITE &lt;EndNote&gt;&lt;Cite&gt;&lt;Author&gt;Rambaud&lt;/Author&gt;&lt;Year&gt;2025&lt;/Year&gt;&lt;RecNum&gt;373&lt;/RecNum&gt;&lt;DisplayText&gt;(Rambaud et al., 2025)&lt;/DisplayText&gt;&lt;record&gt;&lt;rec-number&gt;373&lt;/rec-number&gt;&lt;foreign-keys&gt;&lt;key app="EN" db-id="xwvtz5rea2fr2je0p0uppszgwft92rr5pxdp" timestamp="1756782250"&gt;373&lt;/key&gt;&lt;/foreign-keys&gt;&lt;ref-type name="Journal Article"&gt;17&lt;/ref-type&gt;&lt;contributors&gt;&lt;authors&gt;&lt;author&gt;Rambaud, Caroline&lt;/author&gt;&lt;author&gt;Croy, Magalie&lt;/author&gt;&lt;author&gt;Choque, Elodie&lt;/author&gt;&lt;/authors&gt;&lt;/contributors&gt;&lt;titles&gt;&lt;title&gt;The great diversity of products from Cichorium intybus L. culture: how to valorize chicory byproducts: a review&lt;/title&gt;&lt;secondary-title&gt;Discover Plants&lt;/secondary-title&gt;&lt;/titles&gt;&lt;periodical&gt;&lt;full-title&gt;Discover Plants&lt;/full-title&gt;&lt;/periodical&gt;&lt;volume&gt;2&lt;/volume&gt;&lt;dates&gt;&lt;year&gt;2025&lt;/year&gt;&lt;pub-dates&gt;&lt;date&gt;04/08&lt;/date&gt;&lt;/pub-dates&gt;&lt;/dates&gt;&lt;urls&gt;&lt;/urls&gt;&lt;electronic-resource-num&gt;10.1007/s44372-025-00195-3&lt;/electronic-resource-num&gt;&lt;/record&gt;&lt;/Cite&gt;&lt;/EndNote&gt;</w:instrText>
      </w:r>
      <w:r>
        <w:rPr>
          <w:rFonts w:cs="Times New Roman"/>
          <w:highlight w:val="none"/>
        </w:rPr>
        <w:fldChar w:fldCharType="separate"/>
      </w:r>
      <w:r>
        <w:rPr>
          <w:rFonts w:cs="Times New Roman"/>
          <w:highlight w:val="none"/>
        </w:rPr>
        <w:t>(Rambaud et al., 2025)</w:t>
      </w:r>
      <w:r>
        <w:rPr>
          <w:rFonts w:cs="Times New Roman"/>
          <w:highlight w:val="none"/>
        </w:rPr>
        <w:fldChar w:fldCharType="end"/>
      </w:r>
      <w:r>
        <w:rPr>
          <w:rFonts w:cs="Times New Roman"/>
          <w:highlight w:val="none"/>
        </w:rPr>
        <w:t>.</w:t>
      </w:r>
      <w:bookmarkEnd w:id="45"/>
      <w:r>
        <w:rPr>
          <w:rFonts w:hint="eastAsia" w:cs="Times New Roman"/>
          <w:highlight w:val="none"/>
          <w:lang w:eastAsia="zh-CN"/>
        </w:rPr>
        <w:t xml:space="preserve"> </w:t>
      </w:r>
      <w:r>
        <w:rPr>
          <w:rFonts w:cs="Times New Roman"/>
          <w:highlight w:val="none"/>
        </w:rPr>
        <w:t xml:space="preserve">Moreover, other plants like garlic, onion, and asparagus also contain inulin, though generally in lower amounts </w:t>
      </w:r>
      <w:r>
        <w:rPr>
          <w:rFonts w:cs="Times New Roman"/>
          <w:highlight w:val="none"/>
        </w:rPr>
        <w:fldChar w:fldCharType="begin"/>
      </w:r>
      <w:r>
        <w:rPr>
          <w:rFonts w:cs="Times New Roman"/>
          <w:highlight w:val="none"/>
        </w:rPr>
        <w:instrText xml:space="preserve"> ADDIN EN.CITE &lt;EndNote&gt;&lt;Cite&gt;&lt;Author&gt;Karimi&lt;/Author&gt;&lt;Year&gt;2025&lt;/Year&gt;&lt;RecNum&gt;270&lt;/RecNum&gt;&lt;DisplayText&gt;(Karimi et al., 2025)&lt;/DisplayText&gt;&lt;record&gt;&lt;rec-number&gt;270&lt;/rec-number&gt;&lt;foreign-keys&gt;&lt;key app="EN" db-id="xwvtz5rea2fr2je0p0uppszgwft92rr5pxdp" timestamp="1739804519"&gt;270&lt;/key&gt;&lt;/foreign-keys&gt;&lt;ref-type name="Journal Article"&gt;17&lt;/ref-type&gt;&lt;contributors&gt;&lt;authors&gt;&lt;author&gt;Karimi, Isaac&lt;/author&gt;&lt;author&gt;Ghowsi, Mahnaz&lt;/author&gt;&lt;author&gt;Mohammed, Layth Jasim&lt;/author&gt;&lt;author&gt;Haidari, Zohreh&lt;/author&gt;&lt;author&gt;Nazari, Kosar&lt;/author&gt;&lt;author&gt;Schiöth, Helgi B.&lt;/author&gt;&lt;/authors&gt;&lt;/contributors&gt;&lt;titles&gt;&lt;title&gt;Inulin as a Biopolymer; Chemical Structure, Anticancer Effects, Nutraceutical Potential and Industrial Applications: A Comprehensive Review&lt;/title&gt;&lt;secondary-title&gt;Polymers&lt;/secondary-title&gt;&lt;/titles&gt;&lt;periodical&gt;&lt;full-title&gt;Polymers&lt;/full-title&gt;&lt;/periodical&gt;&lt;pages&gt;412&lt;/pages&gt;&lt;volume&gt;17&lt;/volume&gt;&lt;number&gt;3&lt;/number&gt;&lt;dates&gt;&lt;year&gt;2025&lt;/year&gt;&lt;/dates&gt;&lt;isbn&gt;2073-4360&lt;/isbn&gt;&lt;accession-num&gt;doi:10.3390/polym17030412&lt;/accession-num&gt;&lt;urls&gt;&lt;related-urls&gt;&lt;url&gt;https://www.mdpi.com/2073-4360/17/3/412&lt;/url&gt;&lt;/related-urls&gt;&lt;/urls&gt;&lt;/record&gt;&lt;/Cite&gt;&lt;/EndNote&gt;</w:instrText>
      </w:r>
      <w:r>
        <w:rPr>
          <w:rFonts w:cs="Times New Roman"/>
          <w:highlight w:val="none"/>
        </w:rPr>
        <w:fldChar w:fldCharType="separate"/>
      </w:r>
      <w:r>
        <w:rPr>
          <w:rFonts w:cs="Times New Roman"/>
          <w:highlight w:val="none"/>
        </w:rPr>
        <w:t>(Karimi et al., 2025)</w:t>
      </w:r>
      <w:r>
        <w:rPr>
          <w:rFonts w:cs="Times New Roman"/>
          <w:highlight w:val="none"/>
        </w:rPr>
        <w:fldChar w:fldCharType="end"/>
      </w:r>
      <w:r>
        <w:rPr>
          <w:rFonts w:cs="Times New Roman"/>
          <w:highlight w:val="none"/>
        </w:rPr>
        <w:t>. Their ability to thrive in different environments makes them suitable candidates for sustainable large-scale cultivation for inulin production.</w:t>
      </w:r>
    </w:p>
    <w:p w14:paraId="46A1E020">
      <w:pPr>
        <w:rPr>
          <w:rFonts w:cs="Times New Roman"/>
          <w:highlight w:val="none"/>
        </w:rPr>
      </w:pPr>
      <w:r>
        <w:rPr>
          <w:rFonts w:cs="Times New Roman"/>
          <w:highlight w:val="none"/>
        </w:rPr>
        <w:t xml:space="preserve">The molecular structure of inulin consists of a fructan chain with a terminal glucose residue, and its molecular weight ranges from several hundred to several thousand, depending on the source and degree of polymerization </w:t>
      </w:r>
      <w:r>
        <w:rPr>
          <w:rFonts w:cs="Times New Roman"/>
          <w:highlight w:val="none"/>
        </w:rPr>
        <w:fldChar w:fldCharType="begin"/>
      </w:r>
      <w:r>
        <w:rPr>
          <w:rFonts w:cs="Times New Roman"/>
          <w:highlight w:val="none"/>
        </w:rPr>
        <w:instrText xml:space="preserve"> ADDIN EN.CITE &lt;EndNote&gt;&lt;Cite&gt;&lt;Author&gt;Karimi&lt;/Author&gt;&lt;Year&gt;2025&lt;/Year&gt;&lt;RecNum&gt;270&lt;/RecNum&gt;&lt;DisplayText&gt;(Karimi et al., 2025)&lt;/DisplayText&gt;&lt;record&gt;&lt;rec-number&gt;270&lt;/rec-number&gt;&lt;foreign-keys&gt;&lt;key app="EN" db-id="xwvtz5rea2fr2je0p0uppszgwft92rr5pxdp" timestamp="1739804519"&gt;270&lt;/key&gt;&lt;/foreign-keys&gt;&lt;ref-type name="Journal Article"&gt;17&lt;/ref-type&gt;&lt;contributors&gt;&lt;authors&gt;&lt;author&gt;Karimi, Isaac&lt;/author&gt;&lt;author&gt;Ghowsi, Mahnaz&lt;/author&gt;&lt;author&gt;Mohammed, Layth Jasim&lt;/author&gt;&lt;author&gt;Haidari, Zohreh&lt;/author&gt;&lt;author&gt;Nazari, Kosar&lt;/author&gt;&lt;author&gt;Schiöth, Helgi B.&lt;/author&gt;&lt;/authors&gt;&lt;/contributors&gt;&lt;titles&gt;&lt;title&gt;Inulin as a Biopolymer; Chemical Structure, Anticancer Effects, Nutraceutical Potential and Industrial Applications: A Comprehensive Review&lt;/title&gt;&lt;secondary-title&gt;Polymers&lt;/secondary-title&gt;&lt;/titles&gt;&lt;periodical&gt;&lt;full-title&gt;Polymers&lt;/full-title&gt;&lt;/periodical&gt;&lt;pages&gt;412&lt;/pages&gt;&lt;volume&gt;17&lt;/volume&gt;&lt;number&gt;3&lt;/number&gt;&lt;dates&gt;&lt;year&gt;2025&lt;/year&gt;&lt;/dates&gt;&lt;isbn&gt;2073-4360&lt;/isbn&gt;&lt;accession-num&gt;doi:10.3390/polym17030412&lt;/accession-num&gt;&lt;urls&gt;&lt;related-urls&gt;&lt;url&gt;https://www.mdpi.com/2073-4360/17/3/412&lt;/url&gt;&lt;/related-urls&gt;&lt;/urls&gt;&lt;/record&gt;&lt;/Cite&gt;&lt;/EndNote&gt;</w:instrText>
      </w:r>
      <w:r>
        <w:rPr>
          <w:rFonts w:cs="Times New Roman"/>
          <w:highlight w:val="none"/>
        </w:rPr>
        <w:fldChar w:fldCharType="separate"/>
      </w:r>
      <w:r>
        <w:rPr>
          <w:rFonts w:cs="Times New Roman"/>
          <w:highlight w:val="none"/>
        </w:rPr>
        <w:t>(Karimi et al., 2025)</w:t>
      </w:r>
      <w:r>
        <w:rPr>
          <w:rFonts w:cs="Times New Roman"/>
          <w:highlight w:val="none"/>
        </w:rPr>
        <w:fldChar w:fldCharType="end"/>
      </w:r>
      <w:r>
        <w:rPr>
          <w:rFonts w:cs="Times New Roman"/>
          <w:highlight w:val="none"/>
        </w:rPr>
        <w:t>. A key characteristic of inulin is the stability of its β-2,1-glycosidic bonds, which prevents enzymatic hydrolysis by host digestive enzymes</w:t>
      </w:r>
      <w:r>
        <w:rPr>
          <w:rFonts w:hint="eastAsia" w:cs="Times New Roman"/>
          <w:highlight w:val="none"/>
          <w:lang w:eastAsia="zh-CN"/>
        </w:rPr>
        <w:t xml:space="preserve"> </w:t>
      </w:r>
      <w:r>
        <w:rPr>
          <w:rFonts w:cs="Times New Roman"/>
          <w:highlight w:val="none"/>
        </w:rPr>
        <w:fldChar w:fldCharType="begin"/>
      </w:r>
      <w:r>
        <w:rPr>
          <w:rFonts w:cs="Times New Roman"/>
          <w:highlight w:val="none"/>
        </w:rPr>
        <w:instrText xml:space="preserve"> ADDIN EN.CITE &lt;EndNote&gt;&lt;Cite&gt;&lt;Author&gt;Karimi&lt;/Author&gt;&lt;Year&gt;2025&lt;/Year&gt;&lt;RecNum&gt;270&lt;/RecNum&gt;&lt;DisplayText&gt;(Karimi et al., 2025)&lt;/DisplayText&gt;&lt;record&gt;&lt;rec-number&gt;270&lt;/rec-number&gt;&lt;foreign-keys&gt;&lt;key app="EN" db-id="xwvtz5rea2fr2je0p0uppszgwft92rr5pxdp" timestamp="1739804519"&gt;270&lt;/key&gt;&lt;/foreign-keys&gt;&lt;ref-type name="Journal Article"&gt;17&lt;/ref-type&gt;&lt;contributors&gt;&lt;authors&gt;&lt;author&gt;Karimi, Isaac&lt;/author&gt;&lt;author&gt;Ghowsi, Mahnaz&lt;/author&gt;&lt;author&gt;Mohammed, Layth Jasim&lt;/author&gt;&lt;author&gt;Haidari, Zohreh&lt;/author&gt;&lt;author&gt;Nazari, Kosar&lt;/author&gt;&lt;author&gt;Schiöth, Helgi B.&lt;/author&gt;&lt;/authors&gt;&lt;/contributors&gt;&lt;titles&gt;&lt;title&gt;Inulin as a Biopolymer; Chemical Structure, Anticancer Effects, Nutraceutical Potential and Industrial Applications: A Comprehensive Review&lt;/title&gt;&lt;secondary-title&gt;Polymers&lt;/secondary-title&gt;&lt;/titles&gt;&lt;periodical&gt;&lt;full-title&gt;Polymers&lt;/full-title&gt;&lt;/periodical&gt;&lt;pages&gt;412&lt;/pages&gt;&lt;volume&gt;17&lt;/volume&gt;&lt;number&gt;3&lt;/number&gt;&lt;dates&gt;&lt;year&gt;2025&lt;/year&gt;&lt;/dates&gt;&lt;isbn&gt;2073-4360&lt;/isbn&gt;&lt;accession-num&gt;doi:10.3390/polym17030412&lt;/accession-num&gt;&lt;urls&gt;&lt;related-urls&gt;&lt;url&gt;https://www.mdpi.com/2073-4360/17/3/412&lt;/url&gt;&lt;/related-urls&gt;&lt;/urls&gt;&lt;/record&gt;&lt;/Cite&gt;&lt;/EndNote&gt;</w:instrText>
      </w:r>
      <w:r>
        <w:rPr>
          <w:rFonts w:cs="Times New Roman"/>
          <w:highlight w:val="none"/>
        </w:rPr>
        <w:fldChar w:fldCharType="separate"/>
      </w:r>
      <w:r>
        <w:rPr>
          <w:rFonts w:cs="Times New Roman"/>
          <w:highlight w:val="none"/>
        </w:rPr>
        <w:t>(Karimi et al., 2025)</w:t>
      </w:r>
      <w:r>
        <w:rPr>
          <w:rFonts w:cs="Times New Roman"/>
          <w:highlight w:val="none"/>
        </w:rPr>
        <w:fldChar w:fldCharType="end"/>
      </w:r>
      <w:r>
        <w:rPr>
          <w:rFonts w:cs="Times New Roman"/>
          <w:highlight w:val="none"/>
        </w:rPr>
        <w:t>.</w:t>
      </w:r>
      <w:r>
        <w:rPr>
          <w:rFonts w:hint="eastAsia" w:cs="Times New Roman"/>
          <w:highlight w:val="none"/>
          <w:lang w:eastAsia="zh-CN"/>
        </w:rPr>
        <w:t xml:space="preserve"> </w:t>
      </w:r>
      <w:r>
        <w:rPr>
          <w:rFonts w:cs="Times New Roman"/>
          <w:highlight w:val="none"/>
          <w:lang w:eastAsia="zh-CN"/>
        </w:rPr>
        <w:t>In ruminants, this structural resistance allows inulin to reach the rumen intact, where it serves as a fermentable substrate for the resident microbiota</w:t>
      </w:r>
      <w:r>
        <w:rPr>
          <w:rFonts w:hint="eastAsia" w:cs="Times New Roman"/>
          <w:highlight w:val="none"/>
          <w:lang w:eastAsia="zh-CN"/>
        </w:rPr>
        <w:t xml:space="preserve"> (Tian et al., 2019).</w:t>
      </w:r>
      <w:r>
        <w:rPr>
          <w:rFonts w:cs="Times New Roman"/>
          <w:highlight w:val="none"/>
        </w:rPr>
        <w:t xml:space="preserve"> Furthermore, its β-glycosidic linkages also confer high resistance to heat and acidic conditions, ensuring that inulin remains functional during feed processing </w:t>
      </w:r>
      <w:r>
        <w:rPr>
          <w:rFonts w:cs="Times New Roman"/>
          <w:highlight w:val="none"/>
        </w:rPr>
        <w:fldChar w:fldCharType="begin"/>
      </w:r>
      <w:r>
        <w:rPr>
          <w:rFonts w:cs="Times New Roman"/>
          <w:highlight w:val="none"/>
        </w:rPr>
        <w:instrText xml:space="preserve"> ADDIN EN.CITE &lt;EndNote&gt;&lt;Cite&gt;&lt;Author&gt;Glibowski&lt;/Author&gt;&lt;Year&gt;2011&lt;/Year&gt;&lt;RecNum&gt;273&lt;/RecNum&gt;&lt;DisplayText&gt;(Glibowski and Bukowska, 2011)&lt;/DisplayText&gt;&lt;record&gt;&lt;rec-number&gt;273&lt;/rec-number&gt;&lt;foreign-keys&gt;&lt;key app="EN" db-id="xwvtz5rea2fr2je0p0uppszgwft92rr5pxdp" timestamp="1739806683"&gt;273&lt;/key&gt;&lt;/foreign-keys&gt;&lt;ref-type name="Journal Article"&gt;17&lt;/ref-type&gt;&lt;contributors&gt;&lt;authors&gt;&lt;author&gt;Paweł Glibowski&lt;/author&gt;&lt;author&gt;Anna Bukowska&lt;/author&gt;&lt;/authors&gt;&lt;/contributors&gt;&lt;titles&gt;&lt;title&gt;The effect of pH, temperature and heating time on inulin chemical stability&lt;/title&gt;&lt;secondary-title&gt;Acta Sci. Pol. Technol. Aliment&lt;/secondary-title&gt;&lt;/titles&gt;&lt;periodical&gt;&lt;full-title&gt;Acta Sci. Pol. Technol. Aliment&lt;/full-title&gt;&lt;/periodical&gt;&lt;pages&gt;189-196&lt;/pages&gt;&lt;volume&gt;10&lt;/volume&gt;&lt;number&gt;2&lt;/number&gt;&lt;keywords&gt;&lt;keyword&gt;inulin, hydrolysis, temperature, pH&lt;/keyword&gt;&lt;/keywords&gt;&lt;dates&gt;&lt;year&gt;2011&lt;/year&gt;&lt;/dates&gt;&lt;urls&gt;&lt;related-urls&gt;&lt;url&gt;https://www.food.actapol.net/volume10/issue2/5_2_2011.pdf&lt;/url&gt;&lt;/related-urls&gt;&lt;/urls&gt;&lt;/record&gt;&lt;/Cite&gt;&lt;/EndNote&gt;</w:instrText>
      </w:r>
      <w:r>
        <w:rPr>
          <w:rFonts w:cs="Times New Roman"/>
          <w:highlight w:val="none"/>
        </w:rPr>
        <w:fldChar w:fldCharType="separate"/>
      </w:r>
      <w:r>
        <w:rPr>
          <w:rFonts w:cs="Times New Roman"/>
          <w:highlight w:val="none"/>
        </w:rPr>
        <w:t>(Glibowski and Bukowska, 2011)</w:t>
      </w:r>
      <w:r>
        <w:rPr>
          <w:rFonts w:cs="Times New Roman"/>
          <w:highlight w:val="none"/>
        </w:rPr>
        <w:fldChar w:fldCharType="end"/>
      </w:r>
      <w:r>
        <w:rPr>
          <w:rFonts w:cs="Times New Roman"/>
          <w:highlight w:val="none"/>
        </w:rPr>
        <w:t>.</w:t>
      </w:r>
    </w:p>
    <w:p w14:paraId="4B1FFD72">
      <w:pPr>
        <w:rPr>
          <w:rFonts w:cs="Times New Roman"/>
          <w:highlight w:val="none"/>
        </w:rPr>
      </w:pPr>
      <w:r>
        <w:rPr>
          <w:rFonts w:cs="Times New Roman"/>
          <w:highlight w:val="none"/>
        </w:rPr>
        <w:t xml:space="preserve">In animal feed applications, inulin's low molecular weight makes it highly soluble and compatible with other feed components, while its strong hygroscopicity enhances the physical properties of feed, such as improving pellet stability and palatability </w:t>
      </w:r>
      <w:r>
        <w:rPr>
          <w:rFonts w:cs="Times New Roman"/>
          <w:highlight w:val="none"/>
        </w:rPr>
        <w:fldChar w:fldCharType="begin"/>
      </w:r>
      <w:r>
        <w:rPr>
          <w:rFonts w:cs="Times New Roman"/>
          <w:highlight w:val="none"/>
        </w:rPr>
        <w:instrText xml:space="preserve"> ADDIN EN.CITE &lt;EndNote&gt;&lt;Cite&gt;&lt;Author&gt;Franck&lt;/Author&gt;&lt;Year&gt;2002&lt;/Year&gt;&lt;RecNum&gt;274&lt;/RecNum&gt;&lt;DisplayText&gt;(Franck, 2002)&lt;/DisplayText&gt;&lt;record&gt;&lt;rec-number&gt;274&lt;/rec-number&gt;&lt;foreign-keys&gt;&lt;key app="EN" db-id="xwvtz5rea2fr2je0p0uppszgwft92rr5pxdp" timestamp="1739807431"&gt;274&lt;/key&gt;&lt;/foreign-keys&gt;&lt;ref-type name="Journal Article"&gt;17&lt;/ref-type&gt;&lt;contributors&gt;&lt;authors&gt;&lt;author&gt;Franck, A.&lt;/author&gt;&lt;/authors&gt;&lt;/contributors&gt;&lt;titles&gt;&lt;title&gt;Technological functionality of inulin and oligofructose&lt;/title&gt;&lt;secondary-title&gt;British Journal of Nutrition&lt;/secondary-title&gt;&lt;/titles&gt;&lt;periodical&gt;&lt;full-title&gt;British Journal of Nutrition&lt;/full-title&gt;&lt;/periodical&gt;&lt;pages&gt;S287-S291&lt;/pages&gt;&lt;volume&gt;87&lt;/volume&gt;&lt;number&gt;S2&lt;/number&gt;&lt;edition&gt;2007/03/09&lt;/edition&gt;&lt;keywords&gt;&lt;keyword&gt;Applications&lt;/keyword&gt;&lt;keyword&gt;Inulin&lt;/keyword&gt;&lt;keyword&gt;Oligofructose&lt;/keyword&gt;&lt;keyword&gt;Properties&lt;/keyword&gt;&lt;/keywords&gt;&lt;dates&gt;&lt;year&gt;2002&lt;/year&gt;&lt;/dates&gt;&lt;publisher&gt;Cambridge University Press&lt;/publisher&gt;&lt;isbn&gt;0007-1145&lt;/isbn&gt;&lt;urls&gt;&lt;related-urls&gt;&lt;url&gt;https://www.cambridge.org/core/product/EE7396DE95754439E07D70092B598746&lt;/url&gt;&lt;/related-urls&gt;&lt;/urls&gt;&lt;electronic-resource-num&gt;10.1079/BJN/2002550&lt;/electronic-resource-num&gt;&lt;remote-database-name&gt;Cambridge Core&lt;/remote-database-name&gt;&lt;remote-database-provider&gt;Cambridge University Press&lt;/remote-database-provider&gt;&lt;/record&gt;&lt;/Cite&gt;&lt;/EndNote&gt;</w:instrText>
      </w:r>
      <w:r>
        <w:rPr>
          <w:rFonts w:cs="Times New Roman"/>
          <w:highlight w:val="none"/>
        </w:rPr>
        <w:fldChar w:fldCharType="separate"/>
      </w:r>
      <w:r>
        <w:rPr>
          <w:rFonts w:cs="Times New Roman"/>
          <w:highlight w:val="none"/>
        </w:rPr>
        <w:t>(Franck, 2002)</w:t>
      </w:r>
      <w:r>
        <w:rPr>
          <w:rFonts w:cs="Times New Roman"/>
          <w:highlight w:val="none"/>
        </w:rPr>
        <w:fldChar w:fldCharType="end"/>
      </w:r>
      <w:r>
        <w:rPr>
          <w:rFonts w:cs="Times New Roman"/>
          <w:highlight w:val="none"/>
        </w:rPr>
        <w:t xml:space="preserve">. While few studies have specifically compared inulin fractions by chain length in bovine rumen, a body of evidence suggests that different </w:t>
      </w:r>
      <w:r>
        <w:rPr>
          <w:rFonts w:hint="eastAsia" w:cs="Times New Roman"/>
          <w:highlight w:val="none"/>
          <w:lang w:eastAsia="zh-CN"/>
        </w:rPr>
        <w:t>degree of polymerization</w:t>
      </w:r>
      <w:r>
        <w:rPr>
          <w:rFonts w:cs="Times New Roman"/>
          <w:highlight w:val="none"/>
        </w:rPr>
        <w:t xml:space="preserve"> classes ferment at distinct rates, leading to staggered volatile fatty acid production and sustained microbial support. For instance, dietary inulin significantly enhances the abundance of propionate- and butyrate-producing bacteria in dairy cows, while improving rumen fermentation profiles (Wang et al., 2021</w:t>
      </w:r>
      <w:r>
        <w:rPr>
          <w:rFonts w:hint="eastAsia" w:cs="Times New Roman"/>
          <w:highlight w:val="none"/>
          <w:lang w:eastAsia="zh-CN"/>
        </w:rPr>
        <w:t>a</w:t>
      </w:r>
      <w:r>
        <w:rPr>
          <w:rFonts w:cs="Times New Roman"/>
          <w:highlight w:val="none"/>
        </w:rPr>
        <w:t xml:space="preserve">; Tian et al., 2019). Moreover, in vitro studies demonstrate that </w:t>
      </w:r>
      <w:r>
        <w:rPr>
          <w:rFonts w:hint="eastAsia" w:cs="Times New Roman"/>
          <w:highlight w:val="none"/>
          <w:lang w:eastAsia="zh-CN"/>
        </w:rPr>
        <w:t>high and low degree of polymerization</w:t>
      </w:r>
      <w:r>
        <w:rPr>
          <w:rFonts w:cs="Times New Roman"/>
          <w:highlight w:val="none"/>
        </w:rPr>
        <w:t xml:space="preserve"> inulin differ in fermentation kinetics and organic acid output (</w:t>
      </w:r>
      <w:r>
        <w:rPr>
          <w:rFonts w:hint="eastAsia" w:cs="Times New Roman"/>
          <w:highlight w:val="none"/>
          <w:lang w:eastAsia="zh-CN"/>
        </w:rPr>
        <w:t>O</w:t>
      </w:r>
      <w:r>
        <w:rPr>
          <w:rFonts w:cs="Times New Roman"/>
          <w:highlight w:val="none"/>
        </w:rPr>
        <w:t>zt</w:t>
      </w:r>
      <w:r>
        <w:rPr>
          <w:rFonts w:hint="eastAsia" w:cs="Times New Roman"/>
          <w:highlight w:val="none"/>
          <w:lang w:eastAsia="zh-CN"/>
        </w:rPr>
        <w:t>u</w:t>
      </w:r>
      <w:r>
        <w:rPr>
          <w:rFonts w:cs="Times New Roman"/>
          <w:highlight w:val="none"/>
        </w:rPr>
        <w:t>rko</w:t>
      </w:r>
      <w:r>
        <w:rPr>
          <w:rFonts w:hint="eastAsia" w:cs="Times New Roman"/>
          <w:highlight w:val="none"/>
          <w:lang w:eastAsia="zh-CN"/>
        </w:rPr>
        <w:t>g</w:t>
      </w:r>
      <w:r>
        <w:rPr>
          <w:rFonts w:cs="Times New Roman"/>
          <w:highlight w:val="none"/>
        </w:rPr>
        <w:t xml:space="preserve">lu-Budak et al., 2019). These findings together imply that chain-length variation in inulin can regulate the temporal dynamics of fermentation in the bovine rumen. As a natural, safe, and environmentally friendly polysaccharide, inulin's structural properties enable it to maintain stability under high-temperature and high-humidity conditions, making it ideal for livestock feed formulations </w:t>
      </w:r>
      <w:r>
        <w:rPr>
          <w:rFonts w:cs="Times New Roman"/>
          <w:highlight w:val="none"/>
        </w:rPr>
        <w:fldChar w:fldCharType="begin">
          <w:fldData xml:space="preserve">PEVuZE5vdGU+PENpdGU+PEF1dGhvcj5HbGlib3dza2k8L0F1dGhvcj48WWVhcj4yMDExPC9ZZWFy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</w:fldData>
        </w:fldChar>
      </w:r>
      <w:r>
        <w:rPr>
          <w:rFonts w:cs="Times New Roman"/>
          <w:highlight w:val="none"/>
        </w:rPr>
        <w:instrText xml:space="preserve"> ADDIN EN.CITE </w:instrText>
      </w:r>
      <w:r>
        <w:rPr>
          <w:rFonts w:cs="Times New Roman"/>
          <w:highlight w:val="none"/>
        </w:rPr>
        <w:fldChar w:fldCharType="begin">
          <w:fldData xml:space="preserve">PEVuZE5vdGU+PENpdGU+PEF1dGhvcj5HbGlib3dza2k8L0F1dGhvcj48WWVhcj4yMDExPC9ZZWFy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(Glibowski and Bukowska, 2011, Karimi et al., 2025)</w:t>
      </w:r>
      <w:r>
        <w:rPr>
          <w:rFonts w:cs="Times New Roman"/>
          <w:highlight w:val="none"/>
        </w:rPr>
        <w:fldChar w:fldCharType="end"/>
      </w:r>
      <w:r>
        <w:rPr>
          <w:rFonts w:cs="Times New Roman"/>
          <w:highlight w:val="none"/>
        </w:rPr>
        <w:t xml:space="preserve">. In recent years, inulin has emerged as a functional ingredient in animal feed, contributing to enhanced feed quality and improved production performance across various animal species </w:t>
      </w:r>
      <w:r>
        <w:rPr>
          <w:rFonts w:cs="Times New Roman"/>
          <w:highlight w:val="none"/>
        </w:rPr>
        <w:fldChar w:fldCharType="begin">
          <w:fldData xml:space="preserve">PEVuZE5vdGU+PENpdGU+PEF1dGhvcj5NYXNhbmV0ejwvQXV0aG9yPjxZZWFyPjIwMTE8L1llYXI+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</w:fldData>
        </w:fldChar>
      </w:r>
      <w:r>
        <w:rPr>
          <w:rFonts w:cs="Times New Roman"/>
          <w:highlight w:val="none"/>
        </w:rPr>
        <w:instrText xml:space="preserve"> ADDIN EN.CITE </w:instrText>
      </w:r>
      <w:r>
        <w:rPr>
          <w:rFonts w:cs="Times New Roman"/>
          <w:highlight w:val="none"/>
        </w:rPr>
        <w:fldChar w:fldCharType="begin">
          <w:fldData xml:space="preserve">PEVuZE5vdGU+PENpdGU+PEF1dGhvcj5NYXNhbmV0ejwvQXV0aG9yPjxZZWFyPjIwMTE8L1llYXI+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(Masanetz et al., 2011, Wang et al., 2022)</w:t>
      </w:r>
      <w:r>
        <w:rPr>
          <w:rFonts w:cs="Times New Roman"/>
          <w:highlight w:val="none"/>
        </w:rPr>
        <w:fldChar w:fldCharType="end"/>
      </w:r>
      <w:r>
        <w:rPr>
          <w:rFonts w:cs="Times New Roman"/>
          <w:highlight w:val="none"/>
        </w:rPr>
        <w:t>. Its adaptability and functional benefits make it an attractive component in modern, sustainable feed practices.</w:t>
      </w:r>
    </w:p>
    <w:p w14:paraId="174B57D7">
      <w:pPr>
        <w:pStyle w:val="4"/>
        <w:rPr>
          <w:highlight w:val="none"/>
        </w:rPr>
      </w:pPr>
      <w:bookmarkStart w:id="46" w:name="_Toc207979748"/>
      <w:r>
        <w:rPr>
          <w:highlight w:val="none"/>
        </w:rPr>
        <w:t>Application prospects of inulin in dairy farming</w:t>
      </w:r>
      <w:bookmarkEnd w:id="46"/>
    </w:p>
    <w:p w14:paraId="245CC56A">
      <w:pPr>
        <w:rPr>
          <w:rFonts w:cs="Times New Roman"/>
          <w:highlight w:val="none"/>
        </w:rPr>
      </w:pPr>
      <w:r>
        <w:rPr>
          <w:rFonts w:cs="Times New Roman"/>
          <w:highlight w:val="none"/>
        </w:rPr>
        <w:t xml:space="preserve">Inulin has gained increasing attention for its potential applications as a functional prebiotic in livestock production. By selectively stimulating beneficial gut microbiota, inulin contributes to improved nutrient utilization, enhanced digestive efficiency, and overall better animal health and performance </w:t>
      </w:r>
      <w:r>
        <w:rPr>
          <w:rFonts w:cs="Times New Roman"/>
          <w:highlight w:val="none"/>
        </w:rPr>
        <w:fldChar w:fldCharType="begin">
          <w:fldData xml:space="preserve">PEVuZE5vdGU+PENpdGU+PEF1dGhvcj5NYXNhbmV0ejwvQXV0aG9yPjxZZWFyPjIwMTE8L1llYXI+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PEVuZE5vdGU+PENpdGU+PEF1dGhvcj5NYXNhbmV0ejwvQXV0aG9yPjxZZWFyPjIwMTE8L1llYXI+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(Tian et al., 2019</w:t>
      </w:r>
      <w:bookmarkStart w:id="47" w:name="_Hlk207869517"/>
      <w:r>
        <w:rPr>
          <w:rFonts w:hint="eastAsia" w:cs="Times New Roman"/>
          <w:highlight w:val="none"/>
          <w:lang w:eastAsia="zh-CN"/>
        </w:rPr>
        <w:t>;</w:t>
      </w:r>
      <w:bookmarkEnd w:id="47"/>
      <w:r>
        <w:rPr>
          <w:rFonts w:hint="eastAsia" w:cs="Times New Roman"/>
          <w:highlight w:val="none"/>
          <w:lang w:eastAsia="zh-CN"/>
        </w:rPr>
        <w:t xml:space="preserve"> Wang et al., 2021a</w:t>
      </w:r>
      <w:r>
        <w:rPr>
          <w:rFonts w:cs="Times New Roman"/>
          <w:highlight w:val="none"/>
        </w:rPr>
        <w:t>)</w:t>
      </w:r>
      <w:r>
        <w:rPr>
          <w:rFonts w:cs="Times New Roman"/>
          <w:highlight w:val="none"/>
        </w:rPr>
        <w:fldChar w:fldCharType="end"/>
      </w:r>
      <w:r>
        <w:rPr>
          <w:rFonts w:cs="Times New Roman"/>
          <w:highlight w:val="none"/>
        </w:rPr>
        <w:t xml:space="preserve">. In dairy cows, it plays a crucial role in optimizing the rumen microbiome, leading to improved milk yield and quality </w:t>
      </w:r>
      <w:r>
        <w:rPr>
          <w:rFonts w:cs="Times New Roman"/>
          <w:highlight w:val="none"/>
        </w:rPr>
        <w:fldChar w:fldCharType="begin">
          <w:fldData xml:space="preserve">PEVuZE5vdGU+PENpdGU+PEF1dGhvcj5XYW5nPC9BdXRob3I+PFllYXI+MjAyMTwvWWVhcj48UmVj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</w:fldData>
        </w:fldChar>
      </w:r>
      <w:r>
        <w:rPr>
          <w:rFonts w:cs="Times New Roman"/>
          <w:highlight w:val="none"/>
        </w:rPr>
        <w:instrText xml:space="preserve"> ADDIN EN.CITE </w:instrText>
      </w:r>
      <w:r>
        <w:rPr>
          <w:rFonts w:cs="Times New Roman"/>
          <w:highlight w:val="none"/>
        </w:rPr>
        <w:fldChar w:fldCharType="begin">
          <w:fldData xml:space="preserve">PEVuZE5vdGU+PENpdGU+PEF1dGhvcj5XYW5nPC9BdXRob3I+PFllYXI+MjAyMTwvWWVhcj48UmVj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(Wang et al., 2021b</w:t>
      </w:r>
      <w:r>
        <w:rPr>
          <w:rFonts w:cs="Times New Roman"/>
          <w:highlight w:val="none"/>
        </w:rPr>
        <w:fldChar w:fldCharType="end"/>
      </w:r>
      <w:r>
        <w:rPr>
          <w:rFonts w:hint="eastAsia" w:cs="Times New Roman"/>
          <w:highlight w:val="none"/>
        </w:rPr>
        <w:t>;</w:t>
      </w:r>
      <w:r>
        <w:rPr>
          <w:rFonts w:cs="Times New Roman"/>
          <w:highlight w:val="none"/>
        </w:rPr>
        <w:t xml:space="preserve"> </w:t>
      </w:r>
      <w:r>
        <w:rPr>
          <w:rFonts w:cs="Times New Roman"/>
          <w:highlight w:val="none"/>
        </w:rPr>
        <w:fldChar w:fldCharType="begin">
          <w:fldData xml:space="preserve">PEVuZE5vdGU+PENpdGU+PEF1dGhvcj5aaGFvPC9BdXRob3I+PFllYXI+MjAyMjwvWWVhcj48UmVj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PEVuZE5vdGU+PENpdGU+PEF1dGhvcj5aaGFvPC9BdXRob3I+PFllYXI+MjAyMjwvWWVhcj48UmVj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Zhao et al., 2022)</w:t>
      </w:r>
      <w:r>
        <w:rPr>
          <w:rFonts w:cs="Times New Roman"/>
          <w:highlight w:val="none"/>
        </w:rPr>
        <w:fldChar w:fldCharType="end"/>
      </w:r>
      <w:r>
        <w:rPr>
          <w:rFonts w:cs="Times New Roman"/>
          <w:highlight w:val="none"/>
        </w:rPr>
        <w:t>. From an economic and sustainability perspective, inulin enhances feed conversion efficiency, lowers feed costs, and reduces reliance on antibiotics, aligning with the growing demand for sustainable and responsible livestock production practices</w:t>
      </w:r>
      <w:r>
        <w:rPr>
          <w:rFonts w:hint="eastAsia" w:cs="Times New Roman"/>
          <w:highlight w:val="none"/>
          <w:lang w:eastAsia="zh-CN"/>
        </w:rPr>
        <w:t xml:space="preserve"> (Tian et al., 2019)</w:t>
      </w:r>
      <w:r>
        <w:rPr>
          <w:rFonts w:cs="Times New Roman"/>
          <w:highlight w:val="none"/>
        </w:rPr>
        <w:t>. Given its multifaceted benefits, inulin represents a promising feed additive with the potential to improve both productivity and animal welfare in modern dairy farming.</w:t>
      </w:r>
    </w:p>
    <w:p w14:paraId="3CC3D530">
      <w:pPr>
        <w:pStyle w:val="5"/>
        <w:rPr>
          <w:highlight w:val="none"/>
          <w:lang w:val="en-US" w:eastAsia="fr-FR"/>
        </w:rPr>
      </w:pPr>
      <w:r>
        <w:rPr>
          <w:highlight w:val="none"/>
          <w:lang w:val="en-US" w:eastAsia="fr-FR"/>
        </w:rPr>
        <w:t>The regulatory mechanism of inulin</w:t>
      </w:r>
    </w:p>
    <w:p w14:paraId="3F7EB8A6">
      <w:pPr>
        <w:rPr>
          <w:rFonts w:cs="Times New Roman"/>
          <w:highlight w:val="none"/>
          <w:lang w:eastAsia="zh-CN"/>
        </w:rPr>
      </w:pPr>
      <w:r>
        <w:rPr>
          <w:rFonts w:cs="Times New Roman"/>
          <w:highlight w:val="none"/>
        </w:rPr>
        <w:t>Inulin plays a crucial role in</w:t>
      </w:r>
      <w:r>
        <w:rPr>
          <w:rFonts w:hint="eastAsia" w:cs="Times New Roman"/>
          <w:highlight w:val="none"/>
          <w:lang w:eastAsia="zh-CN"/>
        </w:rPr>
        <w:t xml:space="preserve"> regulating both</w:t>
      </w:r>
      <w:r>
        <w:rPr>
          <w:rFonts w:cs="Times New Roman"/>
          <w:highlight w:val="none"/>
        </w:rPr>
        <w:t xml:space="preserve"> immune</w:t>
      </w:r>
      <w:r>
        <w:rPr>
          <w:rFonts w:hint="eastAsia" w:cs="Times New Roman"/>
          <w:highlight w:val="none"/>
          <w:lang w:eastAsia="zh-CN"/>
        </w:rPr>
        <w:t xml:space="preserve"> and metabolic processes</w:t>
      </w:r>
      <w:r>
        <w:rPr>
          <w:rFonts w:cs="Times New Roman"/>
          <w:highlight w:val="none"/>
        </w:rPr>
        <w:t xml:space="preserve">, primarily through its effects on </w:t>
      </w:r>
      <w:r>
        <w:rPr>
          <w:rFonts w:hint="eastAsia" w:cs="Times New Roman"/>
          <w:highlight w:val="none"/>
          <w:lang w:eastAsia="zh-CN"/>
        </w:rPr>
        <w:t>digestive treat</w:t>
      </w:r>
      <w:r>
        <w:rPr>
          <w:rFonts w:cs="Times New Roman"/>
          <w:highlight w:val="none"/>
        </w:rPr>
        <w:t xml:space="preserve"> microbiota composition and metabolic byproducts such as SCFAs</w:t>
      </w:r>
      <w:r>
        <w:rPr>
          <w:rFonts w:hint="eastAsia" w:cs="Times New Roman"/>
          <w:highlight w:val="none"/>
          <w:lang w:eastAsia="zh-CN"/>
        </w:rPr>
        <w:t xml:space="preserve"> (Akhtar et al., 2022; Zhu et al., 2025)</w:t>
      </w:r>
      <w:r>
        <w:rPr>
          <w:rFonts w:cs="Times New Roman"/>
          <w:highlight w:val="none"/>
        </w:rPr>
        <w:t xml:space="preserve">. </w:t>
      </w:r>
      <w:bookmarkStart w:id="48" w:name="OLE_LINK14"/>
      <w:r>
        <w:rPr>
          <w:rFonts w:cs="Times New Roman"/>
          <w:highlight w:val="none"/>
        </w:rPr>
        <w:t xml:space="preserve">As a prebiotic, it promotes the growth of beneficial microbes, </w:t>
      </w:r>
      <w:bookmarkStart w:id="49" w:name="OLE_LINK13"/>
      <w:r>
        <w:rPr>
          <w:rFonts w:cs="Times New Roman"/>
          <w:highlight w:val="none"/>
        </w:rPr>
        <w:t xml:space="preserve">alleviating </w:t>
      </w:r>
      <w:r>
        <w:rPr>
          <w:rFonts w:hint="eastAsia" w:cs="Times New Roman"/>
          <w:highlight w:val="none"/>
          <w:lang w:eastAsia="zh-CN"/>
        </w:rPr>
        <w:t>digestive treat-</w:t>
      </w:r>
      <w:r>
        <w:rPr>
          <w:rFonts w:cs="Times New Roman"/>
          <w:highlight w:val="none"/>
        </w:rPr>
        <w:t xml:space="preserve">mammary microbial dysbiosis, </w:t>
      </w:r>
      <w:bookmarkEnd w:id="49"/>
      <w:r>
        <w:rPr>
          <w:rFonts w:cs="Times New Roman"/>
          <w:highlight w:val="none"/>
        </w:rPr>
        <w:t>preserving the integrity of the blood</w:t>
      </w:r>
      <w:r>
        <w:rPr>
          <w:rFonts w:hint="eastAsia" w:cs="Times New Roman"/>
          <w:highlight w:val="none"/>
          <w:lang w:eastAsia="zh-CN"/>
        </w:rPr>
        <w:t>-</w:t>
      </w:r>
      <w:r>
        <w:rPr>
          <w:rFonts w:cs="Times New Roman"/>
          <w:highlight w:val="none"/>
        </w:rPr>
        <w:t>milk barrier,</w:t>
      </w:r>
      <w:r>
        <w:rPr>
          <w:rFonts w:hint="eastAsia"/>
          <w:highlight w:val="none"/>
          <w:lang w:eastAsia="zh-CN"/>
        </w:rPr>
        <w:t xml:space="preserve"> </w:t>
      </w:r>
      <w:r>
        <w:rPr>
          <w:rFonts w:cs="Times New Roman"/>
          <w:highlight w:val="none"/>
        </w:rPr>
        <w:t xml:space="preserve">modulating immune homeostasis </w:t>
      </w:r>
      <w:r>
        <w:rPr>
          <w:rFonts w:hint="eastAsia" w:cs="Times New Roman"/>
          <w:highlight w:val="none"/>
          <w:lang w:eastAsia="zh-CN"/>
        </w:rPr>
        <w:t>via</w:t>
      </w:r>
      <w:r>
        <w:rPr>
          <w:rFonts w:cs="Times New Roman"/>
          <w:highlight w:val="none"/>
        </w:rPr>
        <w:t xml:space="preserve"> SCFAs</w:t>
      </w:r>
      <w:bookmarkEnd w:id="48"/>
      <w:r>
        <w:rPr>
          <w:rFonts w:cs="Times New Roman"/>
          <w:highlight w:val="none"/>
        </w:rPr>
        <w:t>, and contributing to host metabolic regulation by influencing energy balance, lipid metabolism, and gluconeogenesi</w:t>
      </w:r>
      <w:r>
        <w:rPr>
          <w:rFonts w:hint="eastAsia" w:cs="Times New Roman"/>
          <w:highlight w:val="none"/>
          <w:lang w:eastAsia="zh-CN"/>
        </w:rPr>
        <w:t>s (Huang et al., 2024; Paya et al., 2024; Zhu et al., 2025)</w:t>
      </w:r>
      <w:r>
        <w:rPr>
          <w:rFonts w:cs="Times New Roman"/>
          <w:highlight w:val="none"/>
        </w:rPr>
        <w:t>.</w:t>
      </w:r>
      <w:r>
        <w:rPr>
          <w:rFonts w:hint="eastAsia" w:cs="Times New Roman"/>
          <w:highlight w:val="none"/>
          <w:lang w:eastAsia="zh-CN"/>
        </w:rPr>
        <w:t xml:space="preserve"> </w:t>
      </w:r>
      <w:r>
        <w:rPr>
          <w:rFonts w:cs="Times New Roman"/>
          <w:highlight w:val="none"/>
          <w:lang w:eastAsia="zh-CN"/>
        </w:rPr>
        <w:t>Inulin-mediated regulation of SCFA</w:t>
      </w:r>
      <w:r>
        <w:rPr>
          <w:rFonts w:hint="eastAsia" w:cs="Times New Roman"/>
          <w:highlight w:val="none"/>
          <w:lang w:eastAsia="zh-CN"/>
        </w:rPr>
        <w:t>s</w:t>
      </w:r>
      <w:r>
        <w:rPr>
          <w:rFonts w:cs="Times New Roman"/>
          <w:highlight w:val="none"/>
          <w:lang w:eastAsia="zh-CN"/>
        </w:rPr>
        <w:t xml:space="preserve"> production and their downstream effects on immune and metabolic pathways may vary between monogastric animals and ruminants due to fundamental differences in their digestive physiology. In monogastric animals, fermentation occurs primarily in the hindgut, where SCFAs directly influence local gut immunity and systemic metabolism</w:t>
      </w:r>
      <w:r>
        <w:rPr>
          <w:rFonts w:hint="eastAsia" w:cs="Times New Roman"/>
          <w:highlight w:val="none"/>
          <w:lang w:eastAsia="zh-CN"/>
        </w:rPr>
        <w:t xml:space="preserve"> (Sheng et al., 2023)</w:t>
      </w:r>
      <w:r>
        <w:rPr>
          <w:rFonts w:cs="Times New Roman"/>
          <w:highlight w:val="none"/>
          <w:lang w:eastAsia="zh-CN"/>
        </w:rPr>
        <w:t>. In contrast, in ruminants, inulin is fermented in the rumen, and the generated SCFAs not only contribute to host energy metabolism but may also exert systemic immunometabolic effects via cross-organ communication, such as the rumen</w:t>
      </w:r>
      <w:r>
        <w:rPr>
          <w:rFonts w:hint="eastAsia" w:cs="Times New Roman"/>
          <w:highlight w:val="none"/>
          <w:lang w:eastAsia="zh-CN"/>
        </w:rPr>
        <w:t>-</w:t>
      </w:r>
      <w:r>
        <w:rPr>
          <w:rFonts w:cs="Times New Roman"/>
          <w:highlight w:val="none"/>
          <w:lang w:eastAsia="zh-CN"/>
        </w:rPr>
        <w:t>mammary axis</w:t>
      </w:r>
      <w:r>
        <w:rPr>
          <w:rFonts w:hint="eastAsia" w:cs="Times New Roman"/>
          <w:highlight w:val="none"/>
          <w:lang w:eastAsia="zh-CN"/>
        </w:rPr>
        <w:t xml:space="preserve"> (Huang et al., 2024)</w:t>
      </w:r>
      <w:r>
        <w:rPr>
          <w:rFonts w:cs="Times New Roman"/>
          <w:highlight w:val="none"/>
          <w:lang w:eastAsia="zh-CN"/>
        </w:rPr>
        <w:t>. Therefore, the following sections will separately discuss the immunometabolic regulatory mechanisms of inulin through SCFAs in monogastric and ruminant animals.</w:t>
      </w:r>
    </w:p>
    <w:p w14:paraId="630E9CA3">
      <w:pPr>
        <w:rPr>
          <w:rFonts w:cs="Times New Roman"/>
          <w:b/>
          <w:bCs/>
          <w:highlight w:val="none"/>
          <w:lang w:eastAsia="zh-CN"/>
        </w:rPr>
      </w:pPr>
      <w:r>
        <w:rPr>
          <w:rFonts w:cs="Times New Roman"/>
          <w:b/>
          <w:bCs/>
          <w:highlight w:val="none"/>
          <w:lang w:eastAsia="zh-CN"/>
        </w:rPr>
        <w:t>Inulin</w:t>
      </w:r>
      <w:r>
        <w:rPr>
          <w:rFonts w:hint="eastAsia" w:cs="Times New Roman"/>
          <w:b/>
          <w:bCs/>
          <w:highlight w:val="none"/>
          <w:lang w:eastAsia="zh-CN"/>
        </w:rPr>
        <w:t>-</w:t>
      </w:r>
      <w:r>
        <w:rPr>
          <w:rFonts w:cs="Times New Roman"/>
          <w:b/>
          <w:bCs/>
          <w:highlight w:val="none"/>
          <w:lang w:eastAsia="zh-CN"/>
        </w:rPr>
        <w:t>mediated immunometabolic regulation via SCFAs in monogastric animals</w:t>
      </w:r>
    </w:p>
    <w:p w14:paraId="7CABFB66">
      <w:pPr>
        <w:rPr>
          <w:rStyle w:val="93"/>
          <w:rFonts w:cs="Times New Roman"/>
          <w:bCs/>
          <w:highlight w:val="none"/>
        </w:rPr>
      </w:pPr>
      <w:r>
        <w:rPr>
          <w:rFonts w:cs="Times New Roman"/>
          <w:highlight w:val="none"/>
        </w:rPr>
        <w:t xml:space="preserve">Inulin selectively stimulates the growth and activity of beneficial gut bacteria, such as </w:t>
      </w:r>
      <w:r>
        <w:rPr>
          <w:rFonts w:cs="Times New Roman"/>
          <w:i/>
          <w:iCs/>
          <w:highlight w:val="none"/>
        </w:rPr>
        <w:t>Bifidobacterium</w:t>
      </w:r>
      <w:r>
        <w:rPr>
          <w:rFonts w:cs="Times New Roman"/>
          <w:highlight w:val="none"/>
        </w:rPr>
        <w:t xml:space="preserve"> and </w:t>
      </w:r>
      <w:r>
        <w:rPr>
          <w:rFonts w:cs="Times New Roman"/>
          <w:i/>
          <w:iCs/>
          <w:highlight w:val="none"/>
        </w:rPr>
        <w:t>Lactobacillus</w:t>
      </w:r>
      <w:r>
        <w:rPr>
          <w:rFonts w:cs="Times New Roman"/>
          <w:highlight w:val="none"/>
        </w:rPr>
        <w:t xml:space="preserve"> species, while suppressing the proliferation of pathogenic bacteria like </w:t>
      </w:r>
      <w:r>
        <w:rPr>
          <w:rFonts w:cs="Times New Roman"/>
          <w:i/>
          <w:iCs/>
          <w:highlight w:val="none"/>
        </w:rPr>
        <w:t>Escherichia coli</w:t>
      </w:r>
      <w:r>
        <w:rPr>
          <w:rFonts w:cs="Times New Roman"/>
          <w:highlight w:val="none"/>
        </w:rPr>
        <w:t xml:space="preserve"> and </w:t>
      </w:r>
      <w:r>
        <w:rPr>
          <w:rFonts w:cs="Times New Roman"/>
          <w:i/>
          <w:iCs/>
          <w:highlight w:val="none"/>
        </w:rPr>
        <w:t>Clostridium</w:t>
      </w:r>
      <w:r>
        <w:rPr>
          <w:rFonts w:cs="Times New Roman"/>
          <w:highlight w:val="none"/>
        </w:rPr>
        <w:t xml:space="preserve"> </w:t>
      </w:r>
      <w:r>
        <w:rPr>
          <w:rFonts w:cs="Times New Roman"/>
          <w:highlight w:val="none"/>
        </w:rPr>
        <w:fldChar w:fldCharType="begin">
          <w:fldData xml:space="preserve">PEVuZE5vdGU+PENpdGU+PEF1dGhvcj5TaGVuZzwvQXV0aG9yPjxZZWFyPjIwMjM8L1llYXI+PFJl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</w:fldData>
        </w:fldChar>
      </w:r>
      <w:r>
        <w:rPr>
          <w:rFonts w:cs="Times New Roman"/>
          <w:highlight w:val="none"/>
        </w:rPr>
        <w:instrText xml:space="preserve"> ADDIN EN.CITE </w:instrText>
      </w:r>
      <w:r>
        <w:rPr>
          <w:rFonts w:cs="Times New Roman"/>
          <w:highlight w:val="none"/>
        </w:rPr>
        <w:fldChar w:fldCharType="begin">
          <w:fldData xml:space="preserve">PEVuZE5vdGU+PENpdGU+PEF1dGhvcj5TaGVuZzwvQXV0aG9yPjxZZWFyPjIwMjM8L1llYXI+PFJl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(Wang et al., 2021a;</w:t>
      </w:r>
      <w:r>
        <w:rPr>
          <w:rFonts w:hint="eastAsia" w:cs="Times New Roman"/>
          <w:highlight w:val="none"/>
          <w:lang w:eastAsia="zh-CN"/>
        </w:rPr>
        <w:t xml:space="preserve"> </w:t>
      </w:r>
      <w:r>
        <w:rPr>
          <w:rFonts w:cs="Times New Roman"/>
          <w:highlight w:val="none"/>
        </w:rPr>
        <w:t>Sheng et al., 2023)</w:t>
      </w:r>
      <w:r>
        <w:rPr>
          <w:rFonts w:cs="Times New Roman"/>
          <w:highlight w:val="none"/>
        </w:rPr>
        <w:fldChar w:fldCharType="end"/>
      </w:r>
      <w:r>
        <w:rPr>
          <w:rFonts w:cs="Times New Roman"/>
          <w:highlight w:val="none"/>
        </w:rPr>
        <w:t>. This selective fermentation produces SCFAs, including acetate, propionate, and butyrate</w:t>
      </w:r>
      <w:r>
        <w:rPr>
          <w:rFonts w:hint="eastAsia" w:cs="Times New Roman"/>
          <w:highlight w:val="none"/>
          <w:lang w:eastAsia="zh-CN"/>
        </w:rPr>
        <w:t>.</w:t>
      </w:r>
      <w:r>
        <w:rPr>
          <w:rFonts w:cs="Times New Roman"/>
          <w:highlight w:val="none"/>
        </w:rPr>
        <w:t xml:space="preserve"> These metabolites exert local effects by strengthening gut barrier integrity, regulating mucosal immune responses, and alleviating intestinal inflammation</w:t>
      </w:r>
      <w:r>
        <w:rPr>
          <w:rFonts w:hint="eastAsia" w:cs="Times New Roman"/>
          <w:highlight w:val="none"/>
          <w:lang w:eastAsia="zh-CN"/>
        </w:rPr>
        <w:t xml:space="preserve"> </w:t>
      </w:r>
      <w:r>
        <w:rPr>
          <w:rFonts w:cs="Times New Roman"/>
          <w:highlight w:val="none"/>
        </w:rPr>
        <w:fldChar w:fldCharType="begin"/>
      </w:r>
      <w:r>
        <w:rPr>
          <w:rFonts w:cs="Times New Roman"/>
          <w:highlight w:val="none"/>
        </w:rPr>
        <w:instrText xml:space="preserve"> ADDIN EN.CITE &lt;EndNote&gt;&lt;Cite&gt;&lt;Author&gt;Sheng&lt;/Author&gt;&lt;Year&gt;2023&lt;/Year&gt;&lt;RecNum&gt;276&lt;/RecNum&gt;&lt;DisplayText&gt;(Sheng et al., 2023)&lt;/DisplayText&gt;&lt;record&gt;&lt;rec-number&gt;276&lt;/rec-number&gt;&lt;foreign-keys&gt;&lt;key app="EN" db-id="xwvtz5rea2fr2je0p0uppszgwft92rr5pxdp" timestamp="1739832447"&gt;276&lt;/key&gt;&lt;/foreign-keys&gt;&lt;ref-type name="Journal Article"&gt;17&lt;/ref-type&gt;&lt;contributors&gt;&lt;authors&gt;&lt;author&gt;Sheng, W.&lt;/author&gt;&lt;author&gt;Ji, G.&lt;/author&gt;&lt;author&gt;Zhang, L.&lt;/author&gt;&lt;/authors&gt;&lt;/contributors&gt;&lt;auth-address&gt;Institute of Digestive Diseases, Longhua Hospital, Shanghai University of Traditional Chinese Medicine, Shanghai, China.&lt;/auth-address&gt;&lt;titles&gt;&lt;title&gt;Immunomodulatory effects of inulin and its intestinal metabolites&lt;/title&gt;&lt;secondary-title&gt;Front Immunol&lt;/secondary-title&gt;&lt;/titles&gt;&lt;periodical&gt;&lt;full-title&gt;Front Immunol&lt;/full-title&gt;&lt;/periodical&gt;&lt;pages&gt;1224092&lt;/pages&gt;&lt;volume&gt;14&lt;/volume&gt;&lt;edition&gt;20230810&lt;/edition&gt;&lt;keywords&gt;&lt;keyword&gt;Humans&lt;/keyword&gt;&lt;keyword&gt;*Inulin/pharmacology&lt;/keyword&gt;&lt;keyword&gt;*Diabetes Mellitus, Type 2&lt;/keyword&gt;&lt;keyword&gt;Intestines&lt;/keyword&gt;&lt;keyword&gt;Colon&lt;/keyword&gt;&lt;keyword&gt;Dietary Fiber&lt;/keyword&gt;&lt;keyword&gt;intestinal epithelial cells&lt;/keyword&gt;&lt;keyword&gt;intestinal immune cells&lt;/keyword&gt;&lt;keyword&gt;intestinal immunity&lt;/keyword&gt;&lt;keyword&gt;intestinal microbiota&lt;/keyword&gt;&lt;keyword&gt;inulin&lt;/keyword&gt;&lt;keyword&gt;short-chain fatty acids&lt;/keyword&gt;&lt;/keywords&gt;&lt;dates&gt;&lt;year&gt;2023&lt;/year&gt;&lt;/dates&gt;&lt;isbn&gt;1664-3224&lt;/isbn&gt;&lt;accession-num&gt;37638034&lt;/accession-num&gt;&lt;urls&gt;&lt;/urls&gt;&lt;custom1&gt;The authors declare that the research was conducted in the absence of any commercial or financial relationships that could be construed as a potential conflict of interest.&lt;/custom1&gt;&lt;custom2&gt;PMC10449545&lt;/custom2&gt;&lt;electronic-resource-num&gt;10.3389/fimmu.2023.1224092&lt;/electronic-resource-num&gt;&lt;remote-database-provider&gt;NLM&lt;/remote-database-provider&gt;&lt;language&gt;eng&lt;/language&gt;&lt;/record&gt;&lt;/Cite&gt;&lt;/EndNote&gt;</w:instrText>
      </w:r>
      <w:r>
        <w:rPr>
          <w:rFonts w:cs="Times New Roman"/>
          <w:highlight w:val="none"/>
        </w:rPr>
        <w:fldChar w:fldCharType="separate"/>
      </w:r>
      <w:r>
        <w:rPr>
          <w:rFonts w:cs="Times New Roman"/>
          <w:highlight w:val="none"/>
        </w:rPr>
        <w:t>(Sheng et al., 2023)</w:t>
      </w:r>
      <w:r>
        <w:rPr>
          <w:rFonts w:cs="Times New Roman"/>
          <w:highlight w:val="none"/>
        </w:rPr>
        <w:fldChar w:fldCharType="end"/>
      </w:r>
      <w:r>
        <w:rPr>
          <w:rFonts w:cs="Times New Roman"/>
          <w:highlight w:val="none"/>
        </w:rPr>
        <w:t>.</w:t>
      </w:r>
      <w:r>
        <w:rPr>
          <w:rFonts w:hint="eastAsia" w:cs="Times New Roman"/>
          <w:highlight w:val="none"/>
          <w:lang w:eastAsia="zh-CN"/>
        </w:rPr>
        <w:t xml:space="preserve"> </w:t>
      </w:r>
      <w:r>
        <w:rPr>
          <w:rStyle w:val="93"/>
          <w:rFonts w:cs="Times New Roman"/>
          <w:bCs/>
          <w:highlight w:val="none"/>
        </w:rPr>
        <w:t xml:space="preserve">Butyrate, in particular, has been shown to inhibit NF-κB activation, a key pathway involved in the expression of pro-inflammatory cytokines, thereby mitigating excessive immune responses (Lee et al., 2017). </w:t>
      </w:r>
      <w:r>
        <w:rPr>
          <w:rFonts w:cs="Times New Roman"/>
          <w:highlight w:val="none"/>
        </w:rPr>
        <w:t xml:space="preserve">Additionally, butyrate, one of the primary SCFAs produced through inulin fermentation, has been shown to induce regulatory T cell differentiation, suppress pro-inflammatory cytokine production (e.g., TNF-α and IL-6), and enhance gut barrier function </w:t>
      </w:r>
      <w:r>
        <w:rPr>
          <w:rFonts w:cs="Times New Roman"/>
          <w:highlight w:val="none"/>
        </w:rPr>
        <w:fldChar w:fldCharType="begin"/>
      </w:r>
      <w:r>
        <w:rPr>
          <w:rFonts w:cs="Times New Roman"/>
          <w:highlight w:val="none"/>
        </w:rPr>
        <w:instrText xml:space="preserve"> ADDIN EN.CITE &lt;EndNote&gt;&lt;Cite&gt;&lt;Author&gt;Kim&lt;/Author&gt;&lt;Year&gt;2014&lt;/Year&gt;&lt;RecNum&gt;277&lt;/RecNum&gt;&lt;DisplayText&gt;(Kim et al., 2014)&lt;/DisplayText&gt;&lt;record&gt;&lt;rec-number&gt;277&lt;/rec-number&gt;&lt;foreign-keys&gt;&lt;key app="EN" db-id="xwvtz5rea2fr2je0p0uppszgwft92rr5pxdp" timestamp="1739833653"&gt;277&lt;/key&gt;&lt;/foreign-keys&gt;&lt;ref-type name="Journal Article"&gt;17&lt;/ref-type&gt;&lt;contributors&gt;&lt;authors&gt;&lt;author&gt;Kim, Chang H.&lt;/author&gt;&lt;author&gt;Park, Jeongho&lt;/author&gt;&lt;author&gt;Kim, Myunghoo&lt;/author&gt;&lt;/authors&gt;&lt;/contributors&gt;&lt;titles&gt;&lt;title&gt;Gut Microbiota-Derived Short-Chain Fatty Acids, T Cells, and Inflammation&lt;/title&gt;&lt;secondary-title&gt;Immune Netw&lt;/secondary-title&gt;&lt;/titles&gt;&lt;periodical&gt;&lt;full-title&gt;Immune Netw&lt;/full-title&gt;&lt;/periodical&gt;&lt;pages&gt;277-288&lt;/pages&gt;&lt;volume&gt;14&lt;/volume&gt;&lt;number&gt;6&lt;/number&gt;&lt;keywords&gt;&lt;keyword&gt;Short-chain fatty acids&lt;/keyword&gt;&lt;keyword&gt;Th1&lt;/keyword&gt;&lt;keyword&gt;Th17&lt;/keyword&gt;&lt;keyword&gt;IL-10&lt;/keyword&gt;&lt;keyword&gt;FOXP3&lt;/keyword&gt;&lt;keyword&gt;Microbiota&lt;/keyword&gt;&lt;keyword&gt;inflammation&lt;/keyword&gt;&lt;keyword&gt;Colitis&lt;/keyword&gt;&lt;keyword&gt;Microbial metabolites&lt;/keyword&gt;&lt;/keywords&gt;&lt;dates&gt;&lt;year&gt;2014&lt;/year&gt;&lt;pub-dates&gt;&lt;date&gt;12/&lt;/date&gt;&lt;/pub-dates&gt;&lt;/dates&gt;&lt;publisher&gt;The Korean Association of Immunobiologists&lt;/publisher&gt;&lt;isbn&gt;1598-2629&lt;/isbn&gt;&lt;urls&gt;&lt;related-urls&gt;&lt;url&gt;https://doi.org/10.4110/in.2014.14.6.277&lt;/url&gt;&lt;/related-urls&gt;&lt;/urls&gt;&lt;/record&gt;&lt;/Cite&gt;&lt;/EndNote&gt;</w:instrText>
      </w:r>
      <w:r>
        <w:rPr>
          <w:rFonts w:cs="Times New Roman"/>
          <w:highlight w:val="none"/>
        </w:rPr>
        <w:fldChar w:fldCharType="separate"/>
      </w:r>
      <w:r>
        <w:rPr>
          <w:rFonts w:cs="Times New Roman"/>
          <w:highlight w:val="none"/>
        </w:rPr>
        <w:t>(Kim et al., 2014)</w:t>
      </w:r>
      <w:r>
        <w:rPr>
          <w:rFonts w:cs="Times New Roman"/>
          <w:highlight w:val="none"/>
        </w:rPr>
        <w:fldChar w:fldCharType="end"/>
      </w:r>
      <w:r>
        <w:rPr>
          <w:rFonts w:cs="Times New Roman"/>
          <w:highlight w:val="none"/>
        </w:rPr>
        <w:t>. Propionate and acetate also contribute to gut immune regulation by reducing inflammatory responses and promoting microbial homeostasis</w:t>
      </w:r>
      <w:r>
        <w:rPr>
          <w:rFonts w:hint="eastAsia" w:cs="Times New Roman"/>
          <w:highlight w:val="none"/>
          <w:lang w:eastAsia="zh-CN"/>
        </w:rPr>
        <w:t xml:space="preserve"> (Kim, 2023)</w:t>
      </w:r>
      <w:r>
        <w:rPr>
          <w:rFonts w:cs="Times New Roman"/>
          <w:highlight w:val="none"/>
        </w:rPr>
        <w:t xml:space="preserve">. </w:t>
      </w:r>
      <w:r>
        <w:rPr>
          <w:rFonts w:hint="eastAsia" w:cs="Times New Roman"/>
          <w:highlight w:val="none"/>
          <w:lang w:eastAsia="zh-CN"/>
        </w:rPr>
        <w:t>I</w:t>
      </w:r>
      <w:r>
        <w:rPr>
          <w:rFonts w:cs="Times New Roman"/>
          <w:highlight w:val="none"/>
        </w:rPr>
        <w:t>n broilers, dietary inulin increased intestinal CD4⁺ T cells, IgA levels, and mucin expression, while reducing IL‑6 and IFN‑γ, indicating enhanced early gut immune function (</w:t>
      </w:r>
      <w:r>
        <w:rPr>
          <w:rFonts w:hint="eastAsia" w:cs="Times New Roman"/>
          <w:highlight w:val="none"/>
          <w:lang w:eastAsia="zh-CN"/>
        </w:rPr>
        <w:t>Huang et al., 2015</w:t>
      </w:r>
      <w:r>
        <w:rPr>
          <w:rFonts w:cs="Times New Roman"/>
          <w:highlight w:val="none"/>
        </w:rPr>
        <w:t>).</w:t>
      </w:r>
      <w:r>
        <w:rPr>
          <w:rFonts w:hint="eastAsia" w:cs="Times New Roman"/>
          <w:highlight w:val="none"/>
          <w:lang w:eastAsia="zh-CN"/>
        </w:rPr>
        <w:t xml:space="preserve"> </w:t>
      </w:r>
      <w:r>
        <w:rPr>
          <w:rFonts w:cs="Times New Roman"/>
          <w:highlight w:val="none"/>
          <w:lang w:eastAsia="zh-CN"/>
        </w:rPr>
        <w:t>In calves, dietary inulin improved gut health by modulating intestinal immune and inflammatory markers and increasing hemoglobin, hematocrit, and ileal proliferation</w:t>
      </w:r>
      <w:r>
        <w:rPr>
          <w:rFonts w:hint="eastAsia" w:cs="Times New Roman"/>
          <w:highlight w:val="none"/>
          <w:lang w:eastAsia="zh-CN"/>
        </w:rPr>
        <w:t xml:space="preserve"> (Masanetz et al., 2011). </w:t>
      </w:r>
      <w:r>
        <w:rPr>
          <w:rStyle w:val="93"/>
          <w:rFonts w:cs="Times New Roman"/>
          <w:bCs/>
          <w:highlight w:val="none"/>
        </w:rPr>
        <w:t xml:space="preserve">A compromised intestinal barrier can lead to increased gut permeability, allowing harmful microbes and endotoxins, such as LPS, to enter the bloodstream and trigger systemic inflammation (Kim et al., 2014, Zhang et al., 2018). </w:t>
      </w:r>
      <w:r>
        <w:rPr>
          <w:rFonts w:cs="Times New Roman"/>
          <w:highlight w:val="none"/>
        </w:rPr>
        <w:t xml:space="preserve">By fostering a more stable and resilient gut microbiome, inulin indirectly limits the colonization of pathogenic bacteria, thereby lowering the risk of infections and systemic inflammation </w:t>
      </w:r>
      <w:r>
        <w:rPr>
          <w:rFonts w:cs="Times New Roman"/>
          <w:highlight w:val="none"/>
        </w:rPr>
        <w:fldChar w:fldCharType="begin"/>
      </w:r>
      <w:r>
        <w:rPr>
          <w:rFonts w:cs="Times New Roman"/>
          <w:highlight w:val="none"/>
        </w:rPr>
        <w:instrText xml:space="preserve"> ADDIN EN.CITE &lt;EndNote&gt;&lt;Cite&gt;&lt;Author&gt;Sheng&lt;/Author&gt;&lt;Year&gt;2023&lt;/Year&gt;&lt;RecNum&gt;276&lt;/RecNum&gt;&lt;DisplayText&gt;(Sheng et al., 2023)&lt;/DisplayText&gt;&lt;record&gt;&lt;rec-number&gt;276&lt;/rec-number&gt;&lt;foreign-keys&gt;&lt;key app="EN" db-id="xwvtz5rea2fr2je0p0uppszgwft92rr5pxdp" timestamp="1739832447"&gt;276&lt;/key&gt;&lt;/foreign-keys&gt;&lt;ref-type name="Journal Article"&gt;17&lt;/ref-type&gt;&lt;contributors&gt;&lt;authors&gt;&lt;author&gt;Sheng, W.&lt;/author&gt;&lt;author&gt;Ji, G.&lt;/author&gt;&lt;author&gt;Zhang, L.&lt;/author&gt;&lt;/authors&gt;&lt;/contributors&gt;&lt;auth-address&gt;Institute of Digestive Diseases, Longhua Hospital, Shanghai University of Traditional Chinese Medicine, Shanghai, China.&lt;/auth-address&gt;&lt;titles&gt;&lt;title&gt;Immunomodulatory effects of inulin and its intestinal metabolites&lt;/title&gt;&lt;secondary-title&gt;Front Immunol&lt;/secondary-title&gt;&lt;/titles&gt;&lt;periodical&gt;&lt;full-title&gt;Front Immunol&lt;/full-title&gt;&lt;/periodical&gt;&lt;pages&gt;1224092&lt;/pages&gt;&lt;volume&gt;14&lt;/volume&gt;&lt;edition&gt;20230810&lt;/edition&gt;&lt;keywords&gt;&lt;keyword&gt;Humans&lt;/keyword&gt;&lt;keyword&gt;*Inulin/pharmacology&lt;/keyword&gt;&lt;keyword&gt;*Diabetes Mellitus, Type 2&lt;/keyword&gt;&lt;keyword&gt;Intestines&lt;/keyword&gt;&lt;keyword&gt;Colon&lt;/keyword&gt;&lt;keyword&gt;Dietary Fiber&lt;/keyword&gt;&lt;keyword&gt;intestinal epithelial cells&lt;/keyword&gt;&lt;keyword&gt;intestinal immune cells&lt;/keyword&gt;&lt;keyword&gt;intestinal immunity&lt;/keyword&gt;&lt;keyword&gt;intestinal microbiota&lt;/keyword&gt;&lt;keyword&gt;inulin&lt;/keyword&gt;&lt;keyword&gt;short-chain fatty acids&lt;/keyword&gt;&lt;/keywords&gt;&lt;dates&gt;&lt;year&gt;2023&lt;/year&gt;&lt;/dates&gt;&lt;isbn&gt;1664-3224&lt;/isbn&gt;&lt;accession-num&gt;37638034&lt;/accession-num&gt;&lt;urls&gt;&lt;/urls&gt;&lt;custom1&gt;The authors declare that the research was conducted in the absence of any commercial or financial relationships that could be construed as a potential conflict of interest.&lt;/custom1&gt;&lt;custom2&gt;PMC10449545&lt;/custom2&gt;&lt;electronic-resource-num&gt;10.3389/fimmu.2023.1224092&lt;/electronic-resource-num&gt;&lt;remote-database-provider&gt;NLM&lt;/remote-database-provider&gt;&lt;language&gt;eng&lt;/language&gt;&lt;/record&gt;&lt;/Cite&gt;&lt;/EndNote&gt;</w:instrText>
      </w:r>
      <w:r>
        <w:rPr>
          <w:rFonts w:cs="Times New Roman"/>
          <w:highlight w:val="none"/>
        </w:rPr>
        <w:fldChar w:fldCharType="separate"/>
      </w:r>
      <w:r>
        <w:rPr>
          <w:rFonts w:cs="Times New Roman"/>
          <w:highlight w:val="none"/>
        </w:rPr>
        <w:t>(Sheng et al., 2023)</w:t>
      </w:r>
      <w:r>
        <w:rPr>
          <w:rFonts w:cs="Times New Roman"/>
          <w:highlight w:val="none"/>
        </w:rPr>
        <w:fldChar w:fldCharType="end"/>
      </w:r>
      <w:r>
        <w:rPr>
          <w:rFonts w:cs="Times New Roman"/>
          <w:highlight w:val="none"/>
        </w:rPr>
        <w:t>.</w:t>
      </w:r>
      <w:r>
        <w:rPr>
          <w:rFonts w:hint="eastAsia" w:cs="Times New Roman"/>
          <w:highlight w:val="none"/>
          <w:lang w:eastAsia="zh-CN"/>
        </w:rPr>
        <w:t xml:space="preserve"> </w:t>
      </w:r>
      <w:r>
        <w:rPr>
          <w:rStyle w:val="93"/>
          <w:rFonts w:cs="Times New Roman"/>
          <w:bCs/>
          <w:highlight w:val="none"/>
        </w:rPr>
        <w:t>Additionally, inulin-derived SCFAs help promote intestinal homeostasis by shifting macrophage polarization toward an anti-inflammatory M2 phenotype, further reducing gut-derived inflammation (Liu et al., 2023).</w:t>
      </w:r>
    </w:p>
    <w:p w14:paraId="41EF8CD6">
      <w:pPr>
        <w:rPr>
          <w:rFonts w:cs="Times New Roman"/>
          <w:highlight w:val="none"/>
          <w:lang w:eastAsia="zh-CN"/>
        </w:rPr>
      </w:pPr>
      <w:bookmarkStart w:id="50" w:name="OLE_LINK17"/>
      <w:bookmarkStart w:id="51" w:name="OLE_LINK16"/>
      <w:r>
        <w:rPr>
          <w:rFonts w:cs="Times New Roman"/>
          <w:highlight w:val="none"/>
          <w:lang w:eastAsia="zh-CN"/>
        </w:rPr>
        <w:t>Beyond the gut, SCFAs also enter systemic circulation, where they modulate immune cell activity and metabolic pathways, thereby improving glucose and lipid metabolism while maintaining immune homeostasis.</w:t>
      </w:r>
      <w:bookmarkEnd w:id="50"/>
      <w:r>
        <w:rPr>
          <w:rFonts w:hint="eastAsia" w:cs="Times New Roman"/>
          <w:highlight w:val="none"/>
          <w:lang w:eastAsia="zh-CN"/>
        </w:rPr>
        <w:t xml:space="preserve"> </w:t>
      </w:r>
      <w:r>
        <w:rPr>
          <w:rFonts w:cs="Times New Roman"/>
          <w:highlight w:val="none"/>
          <w:lang w:eastAsia="zh-CN"/>
        </w:rPr>
        <w:t>In particular, propionate produced from inulin fermentation can reduce hepatic lipogenesis and triglyceride secretion, lower plasma cholesterol, and protect against hepatic steatosis, highlighting a key role of SCFAs in systemic lipid regulation</w:t>
      </w:r>
      <w:r>
        <w:rPr>
          <w:rFonts w:hint="eastAsia" w:cs="Times New Roman"/>
          <w:highlight w:val="none"/>
          <w:lang w:eastAsia="zh-CN"/>
        </w:rPr>
        <w:t xml:space="preserve"> (Beylot, 2005). </w:t>
      </w:r>
      <w:r>
        <w:rPr>
          <w:rFonts w:cs="Times New Roman"/>
          <w:highlight w:val="none"/>
          <w:lang w:eastAsia="zh-CN"/>
        </w:rPr>
        <w:t>In growing</w:t>
      </w:r>
      <w:r>
        <w:rPr>
          <w:rFonts w:hint="eastAsia" w:cs="Times New Roman"/>
          <w:highlight w:val="none"/>
          <w:lang w:eastAsia="zh-CN"/>
        </w:rPr>
        <w:t>-</w:t>
      </w:r>
      <w:r>
        <w:rPr>
          <w:rFonts w:cs="Times New Roman"/>
          <w:highlight w:val="none"/>
          <w:lang w:eastAsia="zh-CN"/>
        </w:rPr>
        <w:t>finishing pigs, dietary inulin improved growth performance and carcass traits, dressing percentage, serum insulin and IGF</w:t>
      </w:r>
      <w:r>
        <w:rPr>
          <w:rFonts w:hint="eastAsia" w:cs="Times New Roman"/>
          <w:highlight w:val="none"/>
          <w:lang w:eastAsia="zh-CN"/>
        </w:rPr>
        <w:t>-</w:t>
      </w:r>
      <w:r>
        <w:rPr>
          <w:rFonts w:cs="Times New Roman"/>
          <w:highlight w:val="none"/>
          <w:lang w:eastAsia="zh-CN"/>
        </w:rPr>
        <w:t>I levels, and modulating muscle growth</w:t>
      </w:r>
      <w:r>
        <w:rPr>
          <w:rFonts w:hint="eastAsia" w:cs="Times New Roman"/>
          <w:highlight w:val="none"/>
          <w:lang w:eastAsia="zh-CN"/>
        </w:rPr>
        <w:t>-</w:t>
      </w:r>
      <w:r>
        <w:rPr>
          <w:rFonts w:cs="Times New Roman"/>
          <w:highlight w:val="none"/>
          <w:lang w:eastAsia="zh-CN"/>
        </w:rPr>
        <w:t>related genes such as mTOR and MuRF‑1, indicating beneficial effects on metabolism and muscle development</w:t>
      </w:r>
      <w:r>
        <w:rPr>
          <w:rFonts w:hint="eastAsia" w:cs="Times New Roman"/>
          <w:highlight w:val="none"/>
          <w:lang w:eastAsia="zh-CN"/>
        </w:rPr>
        <w:t xml:space="preserve"> (Wang et al., 2019b). </w:t>
      </w:r>
      <w:r>
        <w:rPr>
          <w:rFonts w:cs="Times New Roman"/>
          <w:highlight w:val="none"/>
          <w:lang w:eastAsia="zh-CN"/>
        </w:rPr>
        <w:t>Collectively, inulin-derived SCFAs contribute to both enhanced immune regulation and improved metabolic health in monogastric animals.</w:t>
      </w:r>
    </w:p>
    <w:bookmarkEnd w:id="51"/>
    <w:p w14:paraId="471FF295">
      <w:pPr>
        <w:rPr>
          <w:rFonts w:cs="Times New Roman"/>
          <w:b/>
          <w:bCs/>
          <w:highlight w:val="none"/>
          <w:lang w:eastAsia="zh-CN"/>
        </w:rPr>
      </w:pPr>
      <w:r>
        <w:rPr>
          <w:rFonts w:cs="Times New Roman"/>
          <w:b/>
          <w:bCs/>
          <w:highlight w:val="none"/>
          <w:lang w:eastAsia="zh-CN"/>
        </w:rPr>
        <w:t>Inulin-mediated immunometabolic regulation via SCFAs in ruminants</w:t>
      </w:r>
    </w:p>
    <w:p w14:paraId="37853BAB">
      <w:pPr>
        <w:rPr>
          <w:rFonts w:cs="Times New Roman"/>
          <w:b/>
          <w:bCs/>
          <w:highlight w:val="none"/>
          <w:lang w:eastAsia="zh-CN"/>
        </w:rPr>
      </w:pPr>
      <w:bookmarkStart w:id="52" w:name="OLE_LINK18"/>
      <w:r>
        <w:rPr>
          <w:rStyle w:val="93"/>
          <w:rFonts w:cs="Times New Roman"/>
          <w:bCs/>
          <w:highlight w:val="none"/>
        </w:rPr>
        <w:t>In ruminant animals such as dairy cows, inulin undergoes extensive fermentation in the rumen, resulting in high yields of SCFAs that serve as key energy substrates and signaling molecules. These SCFAs not only support rumen epithelial health and systemic energy metabolism but also participate in immune regulation by influencing leukocyte activity, cytokine production, and cross-organ communication</w:t>
      </w:r>
      <w:r>
        <w:rPr>
          <w:rStyle w:val="93"/>
          <w:rFonts w:hint="eastAsia" w:cs="Times New Roman"/>
          <w:bCs/>
          <w:highlight w:val="none"/>
          <w:lang w:eastAsia="zh-CN"/>
        </w:rPr>
        <w:t xml:space="preserve"> (Huang et al., 2024)</w:t>
      </w:r>
      <w:r>
        <w:rPr>
          <w:rStyle w:val="93"/>
          <w:rFonts w:cs="Times New Roman"/>
          <w:bCs/>
          <w:highlight w:val="none"/>
        </w:rPr>
        <w:t>. Emerging evidence further highlights the rumen</w:t>
      </w:r>
      <w:r>
        <w:rPr>
          <w:rStyle w:val="93"/>
          <w:rFonts w:hint="eastAsia" w:cs="Times New Roman"/>
          <w:bCs/>
          <w:highlight w:val="none"/>
          <w:lang w:eastAsia="zh-CN"/>
        </w:rPr>
        <w:t>-</w:t>
      </w:r>
      <w:r>
        <w:rPr>
          <w:rStyle w:val="93"/>
          <w:rFonts w:cs="Times New Roman"/>
          <w:bCs/>
          <w:highlight w:val="none"/>
        </w:rPr>
        <w:t>mammary axis, where SCFAs and microbiota-derived extracellular vesicles may modulate mammary gland immunity and metabolic status</w:t>
      </w:r>
      <w:r>
        <w:rPr>
          <w:rStyle w:val="93"/>
          <w:rFonts w:hint="eastAsia" w:cs="Times New Roman"/>
          <w:bCs/>
          <w:highlight w:val="none"/>
          <w:lang w:eastAsia="zh-CN"/>
        </w:rPr>
        <w:t xml:space="preserve"> (Huang et al., 2024)</w:t>
      </w:r>
      <w:r>
        <w:rPr>
          <w:rStyle w:val="93"/>
          <w:rFonts w:cs="Times New Roman"/>
          <w:bCs/>
          <w:highlight w:val="none"/>
        </w:rPr>
        <w:t>.</w:t>
      </w:r>
      <w:r>
        <w:rPr>
          <w:rStyle w:val="93"/>
          <w:rFonts w:hint="eastAsia" w:cs="Times New Roman"/>
          <w:bCs/>
          <w:highlight w:val="none"/>
          <w:lang w:eastAsia="zh-CN"/>
        </w:rPr>
        <w:t xml:space="preserve"> </w:t>
      </w:r>
      <w:r>
        <w:rPr>
          <w:rStyle w:val="93"/>
          <w:rFonts w:cs="Times New Roman"/>
          <w:bCs/>
          <w:highlight w:val="none"/>
          <w:lang w:eastAsia="zh-CN"/>
        </w:rPr>
        <w:t>The rumen</w:t>
      </w:r>
      <w:r>
        <w:rPr>
          <w:rStyle w:val="93"/>
          <w:rFonts w:hint="eastAsia" w:cs="Times New Roman"/>
          <w:bCs/>
          <w:highlight w:val="none"/>
          <w:lang w:eastAsia="zh-CN"/>
        </w:rPr>
        <w:t>-</w:t>
      </w:r>
      <w:r>
        <w:rPr>
          <w:rStyle w:val="93"/>
          <w:rFonts w:cs="Times New Roman"/>
          <w:bCs/>
          <w:highlight w:val="none"/>
          <w:lang w:eastAsia="zh-CN"/>
        </w:rPr>
        <w:t xml:space="preserve">mammary gland axis refers to a functional cross-organ pathway in dairy cows through which the rumen microbiota and their metabolic products influence mammary gland function. Metabolites generated during rumen fermentation, such as </w:t>
      </w:r>
      <w:r>
        <w:rPr>
          <w:rStyle w:val="93"/>
          <w:rFonts w:hint="eastAsia" w:cs="Times New Roman"/>
          <w:bCs/>
          <w:highlight w:val="none"/>
          <w:lang w:eastAsia="zh-CN"/>
        </w:rPr>
        <w:t>SCFAs</w:t>
      </w:r>
      <w:r>
        <w:rPr>
          <w:rStyle w:val="93"/>
          <w:rFonts w:cs="Times New Roman"/>
          <w:bCs/>
          <w:highlight w:val="none"/>
          <w:lang w:eastAsia="zh-CN"/>
        </w:rPr>
        <w:t xml:space="preserve"> and lactate, can enter the bloodstream and serve both as energy substrates and as signaling molecules that modulate immune responses and metabolic processes in the mammary gland</w:t>
      </w:r>
      <w:r>
        <w:rPr>
          <w:rStyle w:val="93"/>
          <w:rFonts w:hint="eastAsia" w:cs="Times New Roman"/>
          <w:bCs/>
          <w:highlight w:val="none"/>
          <w:lang w:eastAsia="zh-CN"/>
        </w:rPr>
        <w:t xml:space="preserve"> (Huang et al., 2024)</w:t>
      </w:r>
      <w:r>
        <w:rPr>
          <w:rStyle w:val="93"/>
          <w:rFonts w:cs="Times New Roman"/>
          <w:bCs/>
          <w:highlight w:val="none"/>
          <w:lang w:eastAsia="zh-CN"/>
        </w:rPr>
        <w:t xml:space="preserve">. In addition, </w:t>
      </w:r>
      <w:r>
        <w:rPr>
          <w:rStyle w:val="93"/>
          <w:rFonts w:hint="eastAsia" w:cs="Times New Roman"/>
          <w:bCs/>
          <w:highlight w:val="none"/>
          <w:lang w:eastAsia="zh-CN"/>
        </w:rPr>
        <w:t>EVs</w:t>
      </w:r>
      <w:r>
        <w:rPr>
          <w:rStyle w:val="93"/>
          <w:rFonts w:cs="Times New Roman"/>
          <w:bCs/>
          <w:highlight w:val="none"/>
          <w:lang w:eastAsia="zh-CN"/>
        </w:rPr>
        <w:t xml:space="preserve"> secreted by rumen microbes carry bioactive molecules including miRNAs, proteins, and metabolites, which can also reach the mammary gland and regulate cellular functions such as cytokine production, barrier integrity, and metabolic activity</w:t>
      </w:r>
      <w:r>
        <w:rPr>
          <w:rStyle w:val="93"/>
          <w:rFonts w:hint="eastAsia" w:cs="Times New Roman"/>
          <w:bCs/>
          <w:highlight w:val="none"/>
          <w:lang w:eastAsia="zh-CN"/>
        </w:rPr>
        <w:t xml:space="preserve"> (Huang et al., 2024)</w:t>
      </w:r>
      <w:r>
        <w:rPr>
          <w:rStyle w:val="93"/>
          <w:rFonts w:cs="Times New Roman"/>
          <w:bCs/>
          <w:highlight w:val="none"/>
          <w:lang w:eastAsia="zh-CN"/>
        </w:rPr>
        <w:t xml:space="preserve">. This axis therefore provides a mechanistic link between gut microbial activity and mammary health, and its regulation has implications for improving milk production, enhancing immune homeostasis, and mitigating adverse effects such as those caused by </w:t>
      </w:r>
      <w:r>
        <w:rPr>
          <w:rStyle w:val="93"/>
          <w:rFonts w:hint="eastAsia" w:cs="Times New Roman"/>
          <w:bCs/>
          <w:highlight w:val="none"/>
          <w:lang w:eastAsia="zh-CN"/>
        </w:rPr>
        <w:t>mastitis</w:t>
      </w:r>
      <w:r>
        <w:rPr>
          <w:rStyle w:val="93"/>
          <w:rFonts w:cs="Times New Roman"/>
          <w:bCs/>
          <w:highlight w:val="none"/>
          <w:lang w:eastAsia="zh-CN"/>
        </w:rPr>
        <w:t>.</w:t>
      </w:r>
      <w:r>
        <w:rPr>
          <w:rStyle w:val="93"/>
          <w:rFonts w:cs="Times New Roman"/>
          <w:bCs/>
          <w:highlight w:val="none"/>
        </w:rPr>
        <w:t xml:space="preserve"> Thus, inulin-derived SCFAs in ruminants play a dual role in sustaining metabolic efficiency and enhancing host immune resilience.</w:t>
      </w:r>
      <w:r>
        <w:rPr>
          <w:rStyle w:val="93"/>
          <w:rFonts w:hint="eastAsia" w:cs="Times New Roman"/>
          <w:bCs/>
          <w:highlight w:val="none"/>
          <w:lang w:eastAsia="zh-CN"/>
        </w:rPr>
        <w:t xml:space="preserve"> </w:t>
      </w:r>
      <w:r>
        <w:rPr>
          <w:rStyle w:val="93"/>
          <w:rFonts w:cs="Times New Roman"/>
          <w:bCs/>
          <w:highlight w:val="none"/>
          <w:lang w:eastAsia="zh-CN"/>
        </w:rPr>
        <w:t>In lactating ewes, dietary inulin improved rumen fermentation by increasing acetate, and butyrate, enhanced dry matter and fiber digestibility, and elevated milk fat and protein while reducing milk urea nitrogen and unsaturated fatty acids, indicating beneficial effects on both rumen metabolism and milk composition</w:t>
      </w:r>
      <w:r>
        <w:rPr>
          <w:rStyle w:val="93"/>
          <w:rFonts w:hint="eastAsia" w:cs="Times New Roman"/>
          <w:bCs/>
          <w:highlight w:val="none"/>
          <w:lang w:eastAsia="zh-CN"/>
        </w:rPr>
        <w:t xml:space="preserve"> (Paya et al., 2022). </w:t>
      </w:r>
      <w:r>
        <w:rPr>
          <w:rStyle w:val="93"/>
          <w:rFonts w:cs="Times New Roman"/>
          <w:bCs/>
          <w:highlight w:val="none"/>
          <w:lang w:eastAsia="zh-CN"/>
        </w:rPr>
        <w:t xml:space="preserve">In finishing beef steers, inulin supplementation altered ruminal fermentation and improved bacterial microbiota, increasing propionate, butyrate, and enhanced growth performance, </w:t>
      </w:r>
      <w:r>
        <w:rPr>
          <w:rStyle w:val="93"/>
          <w:rFonts w:hint="eastAsia" w:cs="Times New Roman"/>
          <w:bCs/>
          <w:highlight w:val="none"/>
          <w:lang w:eastAsia="zh-CN"/>
        </w:rPr>
        <w:t>however,</w:t>
      </w:r>
      <w:r>
        <w:rPr>
          <w:rStyle w:val="93"/>
          <w:rFonts w:cs="Times New Roman"/>
          <w:bCs/>
          <w:highlight w:val="none"/>
          <w:lang w:eastAsia="zh-CN"/>
        </w:rPr>
        <w:t xml:space="preserve"> it did not suppress systemic inflammation induced by high-concentrate diets</w:t>
      </w:r>
      <w:r>
        <w:rPr>
          <w:rStyle w:val="93"/>
          <w:rFonts w:hint="eastAsia" w:cs="Times New Roman"/>
          <w:bCs/>
          <w:highlight w:val="none"/>
          <w:lang w:eastAsia="zh-CN"/>
        </w:rPr>
        <w:t xml:space="preserve"> (Tian et al., 2019). Moreover, inulin</w:t>
      </w:r>
      <w:r>
        <w:rPr>
          <w:rStyle w:val="93"/>
          <w:rFonts w:cs="Times New Roman"/>
          <w:bCs/>
          <w:highlight w:val="none"/>
          <w:lang w:eastAsia="zh-CN"/>
        </w:rPr>
        <w:t xml:space="preserve"> enhanced ruminal fermentation by increasing propionate </w:t>
      </w:r>
      <w:r>
        <w:rPr>
          <w:rStyle w:val="93"/>
          <w:rFonts w:hint="eastAsia" w:cs="Times New Roman"/>
          <w:bCs/>
          <w:highlight w:val="none"/>
          <w:lang w:eastAsia="zh-CN"/>
        </w:rPr>
        <w:t xml:space="preserve">and total </w:t>
      </w:r>
      <w:r>
        <w:rPr>
          <w:rStyle w:val="93"/>
          <w:rFonts w:cs="Times New Roman"/>
          <w:bCs/>
          <w:highlight w:val="none"/>
          <w:lang w:eastAsia="zh-CN"/>
        </w:rPr>
        <w:t>volatile fatty acids, reduced ammonia</w:t>
      </w:r>
      <w:r>
        <w:rPr>
          <w:rStyle w:val="93"/>
          <w:rFonts w:hint="eastAsia" w:cs="Times New Roman"/>
          <w:bCs/>
          <w:highlight w:val="none"/>
          <w:lang w:eastAsia="zh-CN"/>
        </w:rPr>
        <w:t>-</w:t>
      </w:r>
      <w:r>
        <w:rPr>
          <w:rStyle w:val="93"/>
          <w:rFonts w:cs="Times New Roman"/>
          <w:bCs/>
          <w:highlight w:val="none"/>
          <w:lang w:eastAsia="zh-CN"/>
        </w:rPr>
        <w:t>nitrogen and lactic acid levels, improved dry matter and organic matter digestibility, and decreased methane production</w:t>
      </w:r>
      <w:r>
        <w:rPr>
          <w:rStyle w:val="93"/>
          <w:rFonts w:hint="eastAsia" w:cs="Times New Roman"/>
          <w:bCs/>
          <w:highlight w:val="none"/>
          <w:lang w:eastAsia="zh-CN"/>
        </w:rPr>
        <w:t xml:space="preserve"> (). In goats, </w:t>
      </w:r>
      <w:r>
        <w:rPr>
          <w:rStyle w:val="93"/>
          <w:rFonts w:cs="Times New Roman"/>
          <w:bCs/>
          <w:highlight w:val="none"/>
          <w:lang w:eastAsia="zh-CN"/>
        </w:rPr>
        <w:t>dietary inulin enhanced hepatic gluconeogenesis by upregulating PEPCK, G6Pase, and FoxO1, while reducing serum insulin, associated with increased SCFA-producing bacteria and propionate levels in the rumen and elevated metabolites in the TCA cycle and amino acid metabolism</w:t>
      </w:r>
      <w:r>
        <w:rPr>
          <w:rStyle w:val="93"/>
          <w:rFonts w:hint="eastAsia" w:cs="Times New Roman"/>
          <w:bCs/>
          <w:highlight w:val="none"/>
          <w:lang w:eastAsia="zh-CN"/>
        </w:rPr>
        <w:t xml:space="preserve"> (Zhu et al., 2025). Additionally</w:t>
      </w:r>
      <w:r>
        <w:rPr>
          <w:rStyle w:val="93"/>
          <w:rFonts w:cs="Times New Roman"/>
          <w:bCs/>
          <w:highlight w:val="none"/>
        </w:rPr>
        <w:t xml:space="preserve">, dietary SCFAs influence the rumen barriers by promoting microbial diversity and maintaining epithelial integrity, thereby supporting host-microbe homeostasis and immune function, with varying effects depending on diet composition (Shen et al., 2019). </w:t>
      </w:r>
    </w:p>
    <w:bookmarkEnd w:id="52"/>
    <w:p w14:paraId="3371D2F2">
      <w:pPr>
        <w:rPr>
          <w:rStyle w:val="93"/>
          <w:rFonts w:cs="Times New Roman"/>
          <w:bCs/>
          <w:highlight w:val="none"/>
          <w:lang w:eastAsia="zh-CN"/>
        </w:rPr>
      </w:pPr>
      <w:bookmarkStart w:id="53" w:name="OLE_LINK20"/>
      <w:r>
        <w:rPr>
          <w:rStyle w:val="93"/>
          <w:rFonts w:cs="Times New Roman"/>
          <w:bCs/>
          <w:highlight w:val="none"/>
        </w:rPr>
        <w:t xml:space="preserve">Despite existing studies on the benefits of inulin in improving gut health, modulating inflammation, and influencing metabolism, the specific mechanisms through which inulin affects EVs in the context of </w:t>
      </w:r>
      <w:r>
        <w:rPr>
          <w:rStyle w:val="93"/>
          <w:rFonts w:hint="eastAsia" w:cs="Times New Roman"/>
          <w:bCs/>
          <w:highlight w:val="none"/>
          <w:lang w:eastAsia="zh-CN"/>
        </w:rPr>
        <w:t>SCM</w:t>
      </w:r>
      <w:r>
        <w:rPr>
          <w:rStyle w:val="93"/>
          <w:rFonts w:cs="Times New Roman"/>
          <w:bCs/>
          <w:highlight w:val="none"/>
        </w:rPr>
        <w:t xml:space="preserve"> remain unclear. It is important to understand how inulin supplementation alters EVs cargo, particularly regarding immune modulation, inflammation resolution, and metabolic processes. This knowledge gap serves as the foundation of this PhD project, where we aim to investigate how inulin supplementation influences sEVs during the alleviation of </w:t>
      </w:r>
      <w:r>
        <w:rPr>
          <w:rStyle w:val="93"/>
          <w:rFonts w:hint="eastAsia" w:cs="Times New Roman"/>
          <w:bCs/>
          <w:highlight w:val="none"/>
          <w:lang w:eastAsia="zh-CN"/>
        </w:rPr>
        <w:t>SCM</w:t>
      </w:r>
      <w:r>
        <w:rPr>
          <w:rStyle w:val="93"/>
          <w:rFonts w:cs="Times New Roman"/>
          <w:bCs/>
          <w:highlight w:val="none"/>
        </w:rPr>
        <w:t>, with a focus on immune responses and metabolic regulation. In the following chapters, we will explore the impact of inulin on sEVs cargo and its potential role in regulating both immune responses and metabolic pathways.</w:t>
      </w:r>
      <w:r>
        <w:rPr>
          <w:rStyle w:val="93"/>
          <w:rFonts w:hint="eastAsia" w:cs="Times New Roman"/>
          <w:bCs/>
          <w:highlight w:val="none"/>
          <w:lang w:eastAsia="zh-CN"/>
        </w:rPr>
        <w:t xml:space="preserve"> </w:t>
      </w:r>
      <w:r>
        <w:rPr>
          <w:rStyle w:val="93"/>
          <w:rFonts w:cs="Times New Roman"/>
          <w:bCs/>
          <w:highlight w:val="none"/>
          <w:lang w:eastAsia="zh-CN"/>
        </w:rPr>
        <w:t xml:space="preserve">Based on previous reports on effective inulin dosages in ruminants (Table </w:t>
      </w:r>
      <w:r>
        <w:rPr>
          <w:rStyle w:val="93"/>
          <w:rFonts w:hint="eastAsia" w:cs="Times New Roman"/>
          <w:bCs/>
          <w:highlight w:val="none"/>
          <w:lang w:eastAsia="zh-CN"/>
        </w:rPr>
        <w:t>1-2</w:t>
      </w:r>
      <w:r>
        <w:rPr>
          <w:rStyle w:val="93"/>
          <w:rFonts w:cs="Times New Roman"/>
          <w:bCs/>
          <w:highlight w:val="none"/>
          <w:lang w:eastAsia="zh-CN"/>
        </w:rPr>
        <w:t>), we selected 300 g/d as the supplementation level for this study to balance efficacy and practical feasibility.</w:t>
      </w:r>
    </w:p>
    <w:p w14:paraId="0796196F">
      <w:pPr>
        <w:spacing w:after="200" w:line="276" w:lineRule="auto"/>
        <w:ind w:firstLine="0"/>
        <w:jc w:val="left"/>
        <w:rPr>
          <w:rStyle w:val="93"/>
          <w:rFonts w:cs="Times New Roman"/>
          <w:bCs/>
          <w:highlight w:val="none"/>
          <w:lang w:eastAsia="zh-CN"/>
        </w:rPr>
      </w:pPr>
      <w:r>
        <w:rPr>
          <w:rStyle w:val="93"/>
          <w:rFonts w:cs="Times New Roman"/>
          <w:bCs/>
          <w:highlight w:val="none"/>
          <w:lang w:eastAsia="zh-CN"/>
        </w:rPr>
        <w:br w:type="page"/>
      </w:r>
    </w:p>
    <w:p w14:paraId="414ED3BF">
      <w:pPr>
        <w:rPr>
          <w:rStyle w:val="93"/>
          <w:rFonts w:cs="Times New Roman"/>
          <w:bCs/>
          <w:highlight w:val="none"/>
          <w:lang w:eastAsia="zh-CN"/>
        </w:rPr>
      </w:pPr>
    </w:p>
    <w:p w14:paraId="391C6F4C">
      <w:pPr>
        <w:pStyle w:val="11"/>
        <w:keepNext/>
        <w:rPr>
          <w:highlight w:val="none"/>
          <w:lang w:eastAsia="zh-CN"/>
        </w:rPr>
      </w:pPr>
      <w:r>
        <w:rPr>
          <w:b/>
          <w:bCs w:val="0"/>
          <w:sz w:val="22"/>
          <w:szCs w:val="21"/>
          <w:highlight w:val="none"/>
          <w:lang w:val="en-US"/>
        </w:rPr>
        <w:t xml:space="preserve">Table </w:t>
      </w:r>
      <w:r>
        <w:rPr>
          <w:b/>
          <w:bCs w:val="0"/>
          <w:sz w:val="22"/>
          <w:szCs w:val="21"/>
          <w:highlight w:val="none"/>
          <w:lang w:val="en-US"/>
        </w:rPr>
        <w:fldChar w:fldCharType="begin"/>
      </w:r>
      <w:r>
        <w:rPr>
          <w:b/>
          <w:bCs w:val="0"/>
          <w:sz w:val="22"/>
          <w:szCs w:val="21"/>
          <w:highlight w:val="none"/>
          <w:lang w:val="en-US"/>
        </w:rPr>
        <w:instrText xml:space="preserve"> STYLEREF 1 \s </w:instrText>
      </w:r>
      <w:r>
        <w:rPr>
          <w:b/>
          <w:bCs w:val="0"/>
          <w:sz w:val="22"/>
          <w:szCs w:val="21"/>
          <w:highlight w:val="none"/>
          <w:lang w:val="en-US"/>
        </w:rPr>
        <w:fldChar w:fldCharType="separate"/>
      </w:r>
      <w:r>
        <w:rPr>
          <w:b/>
          <w:bCs w:val="0"/>
          <w:sz w:val="22"/>
          <w:szCs w:val="21"/>
          <w:highlight w:val="none"/>
          <w:lang w:val="en-US"/>
        </w:rPr>
        <w:t>1</w:t>
      </w:r>
      <w:r>
        <w:rPr>
          <w:b/>
          <w:bCs w:val="0"/>
          <w:sz w:val="22"/>
          <w:szCs w:val="21"/>
          <w:highlight w:val="none"/>
          <w:lang w:val="en-US"/>
        </w:rPr>
        <w:fldChar w:fldCharType="end"/>
      </w:r>
      <w:r>
        <w:rPr>
          <w:b/>
          <w:bCs w:val="0"/>
          <w:sz w:val="22"/>
          <w:szCs w:val="21"/>
          <w:highlight w:val="none"/>
          <w:lang w:val="en-US"/>
        </w:rPr>
        <w:noBreakHyphen/>
      </w:r>
      <w:r>
        <w:rPr>
          <w:rFonts w:hint="eastAsia"/>
          <w:b/>
          <w:bCs w:val="0"/>
          <w:sz w:val="22"/>
          <w:szCs w:val="21"/>
          <w:highlight w:val="none"/>
          <w:lang w:val="en-US" w:eastAsia="zh-CN"/>
        </w:rPr>
        <w:t>2</w:t>
      </w:r>
      <w:r>
        <w:rPr>
          <w:b/>
          <w:bCs w:val="0"/>
          <w:sz w:val="22"/>
          <w:szCs w:val="21"/>
          <w:highlight w:val="none"/>
          <w:lang w:val="en-US"/>
        </w:rPr>
        <w:t>:</w:t>
      </w:r>
      <w:r>
        <w:rPr>
          <w:highlight w:val="none"/>
          <w:lang w:val="en-US"/>
        </w:rPr>
        <w:t xml:space="preserve"> </w:t>
      </w:r>
      <w:r>
        <w:rPr>
          <w:rFonts w:hint="eastAsia"/>
          <w:highlight w:val="none"/>
          <w:lang w:eastAsia="zh-CN"/>
        </w:rPr>
        <w:t>Effect of inulin supplementation on milk compositions and performance in dairy cows with subclinical mastitis</w:t>
      </w:r>
    </w:p>
    <w:tbl>
      <w:tblPr>
        <w:tblStyle w:val="9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76"/>
        <w:gridCol w:w="787"/>
        <w:gridCol w:w="927"/>
        <w:gridCol w:w="927"/>
        <w:gridCol w:w="929"/>
        <w:gridCol w:w="927"/>
        <w:gridCol w:w="928"/>
      </w:tblGrid>
      <w:tr w14:paraId="2FD37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1478" w:type="pct"/>
            <w:vMerge w:val="restart"/>
            <w:tcBorders>
              <w:top w:val="single" w:color="000000" w:sz="8" w:space="0"/>
              <w:left w:val="nil"/>
              <w:right w:val="nil"/>
            </w:tcBorders>
            <w:vAlign w:val="center"/>
          </w:tcPr>
          <w:p w14:paraId="58EA0860">
            <w:pPr>
              <w:widowControl w:val="0"/>
              <w:spacing w:after="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Item</w:t>
            </w:r>
          </w:p>
        </w:tc>
        <w:tc>
          <w:tcPr>
            <w:tcW w:w="2318" w:type="pct"/>
            <w:gridSpan w:val="4"/>
            <w:tcBorders>
              <w:top w:val="single" w:color="000000" w:sz="8" w:space="0"/>
              <w:left w:val="nil"/>
              <w:bottom w:val="single" w:color="000000" w:sz="4" w:space="0"/>
              <w:right w:val="nil"/>
            </w:tcBorders>
            <w:vAlign w:val="center"/>
          </w:tcPr>
          <w:p w14:paraId="1FB9A3F4">
            <w:pPr>
              <w:widowControl w:val="0"/>
              <w:spacing w:after="0"/>
              <w:ind w:firstLine="0"/>
              <w:jc w:val="left"/>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Data for groups (n=8)</w:t>
            </w:r>
          </w:p>
        </w:tc>
        <w:tc>
          <w:tcPr>
            <w:tcW w:w="602" w:type="pct"/>
            <w:tcBorders>
              <w:top w:val="single" w:color="000000" w:sz="8" w:space="0"/>
              <w:left w:val="nil"/>
              <w:bottom w:val="single" w:color="000000" w:sz="4" w:space="0"/>
              <w:right w:val="nil"/>
            </w:tcBorders>
            <w:vAlign w:val="center"/>
          </w:tcPr>
          <w:p w14:paraId="29EEAC9F">
            <w:pPr>
              <w:widowControl w:val="0"/>
              <w:spacing w:after="0"/>
              <w:ind w:firstLine="0"/>
              <w:jc w:val="left"/>
              <w:rPr>
                <w:rFonts w:eastAsia="等线" w:cs="Times New Roman"/>
                <w:kern w:val="2"/>
                <w:sz w:val="20"/>
                <w:szCs w:val="20"/>
                <w:highlight w:val="none"/>
                <w:lang w:val="en-US" w:eastAsia="zh-CN"/>
              </w:rPr>
            </w:pPr>
          </w:p>
        </w:tc>
        <w:tc>
          <w:tcPr>
            <w:tcW w:w="602" w:type="pct"/>
            <w:tcBorders>
              <w:top w:val="single" w:color="000000" w:sz="8" w:space="0"/>
              <w:left w:val="nil"/>
              <w:bottom w:val="single" w:color="000000" w:sz="4" w:space="0"/>
              <w:right w:val="nil"/>
            </w:tcBorders>
            <w:vAlign w:val="center"/>
          </w:tcPr>
          <w:p w14:paraId="47F6CE7B">
            <w:pPr>
              <w:widowControl w:val="0"/>
              <w:spacing w:after="0"/>
              <w:ind w:firstLine="0"/>
              <w:jc w:val="left"/>
              <w:rPr>
                <w:rFonts w:eastAsia="等线" w:cs="Times New Roman"/>
                <w:kern w:val="2"/>
                <w:sz w:val="20"/>
                <w:szCs w:val="20"/>
                <w:highlight w:val="none"/>
                <w:lang w:val="en-US" w:eastAsia="zh-CN"/>
              </w:rPr>
            </w:pPr>
          </w:p>
        </w:tc>
      </w:tr>
      <w:tr w14:paraId="27C88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1478" w:type="pct"/>
            <w:vMerge w:val="continue"/>
            <w:tcBorders>
              <w:left w:val="nil"/>
              <w:bottom w:val="single" w:color="000000" w:sz="4" w:space="0"/>
              <w:right w:val="nil"/>
            </w:tcBorders>
            <w:vAlign w:val="center"/>
          </w:tcPr>
          <w:p w14:paraId="12E69878">
            <w:pPr>
              <w:widowControl w:val="0"/>
              <w:spacing w:after="0"/>
              <w:ind w:firstLine="0"/>
              <w:rPr>
                <w:rFonts w:eastAsia="等线" w:cs="Times New Roman"/>
                <w:kern w:val="2"/>
                <w:sz w:val="20"/>
                <w:szCs w:val="20"/>
                <w:highlight w:val="none"/>
                <w:lang w:val="en-US" w:eastAsia="zh-CN"/>
              </w:rPr>
            </w:pPr>
          </w:p>
        </w:tc>
        <w:tc>
          <w:tcPr>
            <w:tcW w:w="511" w:type="pct"/>
            <w:tcBorders>
              <w:top w:val="single" w:color="000000" w:sz="8" w:space="0"/>
              <w:left w:val="nil"/>
              <w:bottom w:val="single" w:color="000000" w:sz="4" w:space="0"/>
              <w:right w:val="nil"/>
            </w:tcBorders>
            <w:vAlign w:val="center"/>
          </w:tcPr>
          <w:p w14:paraId="3373EF9D">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Con</w:t>
            </w:r>
          </w:p>
        </w:tc>
        <w:tc>
          <w:tcPr>
            <w:tcW w:w="602" w:type="pct"/>
            <w:tcBorders>
              <w:top w:val="single" w:color="000000" w:sz="8" w:space="0"/>
              <w:left w:val="nil"/>
              <w:bottom w:val="single" w:color="000000" w:sz="4" w:space="0"/>
              <w:right w:val="nil"/>
            </w:tcBorders>
            <w:vAlign w:val="center"/>
          </w:tcPr>
          <w:p w14:paraId="60468424">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I-100</w:t>
            </w:r>
          </w:p>
        </w:tc>
        <w:tc>
          <w:tcPr>
            <w:tcW w:w="602" w:type="pct"/>
            <w:tcBorders>
              <w:top w:val="single" w:color="000000" w:sz="8" w:space="0"/>
              <w:left w:val="nil"/>
              <w:bottom w:val="single" w:color="000000" w:sz="4" w:space="0"/>
              <w:right w:val="nil"/>
            </w:tcBorders>
            <w:vAlign w:val="center"/>
          </w:tcPr>
          <w:p w14:paraId="30863B34">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I-200</w:t>
            </w:r>
          </w:p>
        </w:tc>
        <w:tc>
          <w:tcPr>
            <w:tcW w:w="603" w:type="pct"/>
            <w:tcBorders>
              <w:top w:val="single" w:color="000000" w:sz="8" w:space="0"/>
              <w:left w:val="nil"/>
              <w:bottom w:val="single" w:color="000000" w:sz="4" w:space="0"/>
              <w:right w:val="nil"/>
            </w:tcBorders>
            <w:vAlign w:val="center"/>
          </w:tcPr>
          <w:p w14:paraId="29366B8B">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I-300</w:t>
            </w:r>
          </w:p>
        </w:tc>
        <w:tc>
          <w:tcPr>
            <w:tcW w:w="602" w:type="pct"/>
            <w:tcBorders>
              <w:top w:val="single" w:color="000000" w:sz="8" w:space="0"/>
              <w:left w:val="nil"/>
              <w:bottom w:val="single" w:color="000000" w:sz="4" w:space="0"/>
              <w:right w:val="nil"/>
            </w:tcBorders>
            <w:vAlign w:val="center"/>
          </w:tcPr>
          <w:p w14:paraId="5C63A330">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I-400</w:t>
            </w:r>
          </w:p>
        </w:tc>
        <w:tc>
          <w:tcPr>
            <w:tcW w:w="602" w:type="pct"/>
            <w:tcBorders>
              <w:top w:val="single" w:color="000000" w:sz="8" w:space="0"/>
              <w:left w:val="nil"/>
              <w:bottom w:val="single" w:color="000000" w:sz="4" w:space="0"/>
              <w:right w:val="nil"/>
            </w:tcBorders>
            <w:vAlign w:val="center"/>
          </w:tcPr>
          <w:p w14:paraId="05E02BC4">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P value</w:t>
            </w:r>
          </w:p>
        </w:tc>
      </w:tr>
      <w:tr w14:paraId="233F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1478" w:type="pct"/>
            <w:tcBorders>
              <w:top w:val="single" w:color="000000" w:sz="4" w:space="0"/>
              <w:left w:val="nil"/>
              <w:bottom w:val="nil"/>
              <w:right w:val="nil"/>
            </w:tcBorders>
            <w:vAlign w:val="center"/>
          </w:tcPr>
          <w:p w14:paraId="52CC3176">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Milk yield (kg/d)</w:t>
            </w:r>
          </w:p>
        </w:tc>
        <w:tc>
          <w:tcPr>
            <w:tcW w:w="511" w:type="pct"/>
            <w:tcBorders>
              <w:top w:val="single" w:color="000000" w:sz="4" w:space="0"/>
              <w:left w:val="nil"/>
              <w:bottom w:val="nil"/>
              <w:right w:val="nil"/>
            </w:tcBorders>
            <w:vAlign w:val="center"/>
          </w:tcPr>
          <w:p w14:paraId="7E925C4C">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31.2 C</w:t>
            </w:r>
          </w:p>
        </w:tc>
        <w:tc>
          <w:tcPr>
            <w:tcW w:w="602" w:type="pct"/>
            <w:tcBorders>
              <w:top w:val="single" w:color="000000" w:sz="4" w:space="0"/>
              <w:left w:val="nil"/>
              <w:bottom w:val="nil"/>
              <w:right w:val="nil"/>
            </w:tcBorders>
            <w:vAlign w:val="center"/>
          </w:tcPr>
          <w:p w14:paraId="4D28E141">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31.7 C</w:t>
            </w:r>
          </w:p>
        </w:tc>
        <w:tc>
          <w:tcPr>
            <w:tcW w:w="602" w:type="pct"/>
            <w:tcBorders>
              <w:top w:val="single" w:color="000000" w:sz="4" w:space="0"/>
              <w:left w:val="nil"/>
              <w:bottom w:val="nil"/>
              <w:right w:val="nil"/>
            </w:tcBorders>
            <w:vAlign w:val="center"/>
          </w:tcPr>
          <w:p w14:paraId="398F2322">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33.7 B</w:t>
            </w:r>
          </w:p>
        </w:tc>
        <w:tc>
          <w:tcPr>
            <w:tcW w:w="603" w:type="pct"/>
            <w:tcBorders>
              <w:top w:val="single" w:color="000000" w:sz="4" w:space="0"/>
              <w:left w:val="nil"/>
              <w:bottom w:val="nil"/>
              <w:right w:val="nil"/>
            </w:tcBorders>
            <w:vAlign w:val="center"/>
          </w:tcPr>
          <w:p w14:paraId="4FEBC70B">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34.2 A</w:t>
            </w:r>
          </w:p>
        </w:tc>
        <w:tc>
          <w:tcPr>
            <w:tcW w:w="602" w:type="pct"/>
            <w:tcBorders>
              <w:top w:val="single" w:color="000000" w:sz="4" w:space="0"/>
              <w:left w:val="nil"/>
              <w:bottom w:val="nil"/>
              <w:right w:val="nil"/>
            </w:tcBorders>
            <w:vAlign w:val="center"/>
          </w:tcPr>
          <w:p w14:paraId="23DDD516">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33.6 B</w:t>
            </w:r>
          </w:p>
        </w:tc>
        <w:tc>
          <w:tcPr>
            <w:tcW w:w="602" w:type="pct"/>
            <w:tcBorders>
              <w:top w:val="single" w:color="000000" w:sz="4" w:space="0"/>
              <w:left w:val="nil"/>
              <w:bottom w:val="nil"/>
              <w:right w:val="nil"/>
            </w:tcBorders>
            <w:vAlign w:val="center"/>
          </w:tcPr>
          <w:p w14:paraId="69637750">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0.031</w:t>
            </w:r>
          </w:p>
        </w:tc>
      </w:tr>
      <w:tr w14:paraId="0D2D3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1478" w:type="pct"/>
            <w:vAlign w:val="center"/>
          </w:tcPr>
          <w:p w14:paraId="646EA1B8">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Milk fat (%)</w:t>
            </w:r>
          </w:p>
        </w:tc>
        <w:tc>
          <w:tcPr>
            <w:tcW w:w="511" w:type="pct"/>
            <w:vAlign w:val="center"/>
          </w:tcPr>
          <w:p w14:paraId="033EF6B9">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3.95</w:t>
            </w:r>
          </w:p>
        </w:tc>
        <w:tc>
          <w:tcPr>
            <w:tcW w:w="602" w:type="pct"/>
            <w:vAlign w:val="center"/>
          </w:tcPr>
          <w:p w14:paraId="6CD37041">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3.93</w:t>
            </w:r>
          </w:p>
        </w:tc>
        <w:tc>
          <w:tcPr>
            <w:tcW w:w="602" w:type="pct"/>
            <w:vAlign w:val="center"/>
          </w:tcPr>
          <w:p w14:paraId="144BBF29">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3.71</w:t>
            </w:r>
          </w:p>
        </w:tc>
        <w:tc>
          <w:tcPr>
            <w:tcW w:w="603" w:type="pct"/>
            <w:vAlign w:val="center"/>
          </w:tcPr>
          <w:p w14:paraId="218BD9BF">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3.73</w:t>
            </w:r>
          </w:p>
        </w:tc>
        <w:tc>
          <w:tcPr>
            <w:tcW w:w="602" w:type="pct"/>
            <w:vAlign w:val="center"/>
          </w:tcPr>
          <w:p w14:paraId="2AA8A818">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3.84</w:t>
            </w:r>
          </w:p>
        </w:tc>
        <w:tc>
          <w:tcPr>
            <w:tcW w:w="602" w:type="pct"/>
            <w:vAlign w:val="center"/>
          </w:tcPr>
          <w:p w14:paraId="1CCC7B7C">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0.073</w:t>
            </w:r>
          </w:p>
        </w:tc>
      </w:tr>
      <w:tr w14:paraId="135FD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1478" w:type="pct"/>
            <w:vAlign w:val="center"/>
          </w:tcPr>
          <w:p w14:paraId="1A141E4E">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Milk protein (%)</w:t>
            </w:r>
          </w:p>
        </w:tc>
        <w:tc>
          <w:tcPr>
            <w:tcW w:w="511" w:type="pct"/>
            <w:vAlign w:val="center"/>
          </w:tcPr>
          <w:p w14:paraId="10DB5A13">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3.03 C</w:t>
            </w:r>
          </w:p>
        </w:tc>
        <w:tc>
          <w:tcPr>
            <w:tcW w:w="602" w:type="pct"/>
            <w:vAlign w:val="center"/>
          </w:tcPr>
          <w:p w14:paraId="6A1C4B8A">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3.05 C</w:t>
            </w:r>
          </w:p>
        </w:tc>
        <w:tc>
          <w:tcPr>
            <w:tcW w:w="602" w:type="pct"/>
            <w:vAlign w:val="center"/>
          </w:tcPr>
          <w:p w14:paraId="189C6767">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3.32 A</w:t>
            </w:r>
          </w:p>
        </w:tc>
        <w:tc>
          <w:tcPr>
            <w:tcW w:w="603" w:type="pct"/>
            <w:vAlign w:val="center"/>
          </w:tcPr>
          <w:p w14:paraId="4A1B462C">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3.38 A</w:t>
            </w:r>
          </w:p>
        </w:tc>
        <w:tc>
          <w:tcPr>
            <w:tcW w:w="602" w:type="pct"/>
            <w:vAlign w:val="center"/>
          </w:tcPr>
          <w:p w14:paraId="39B5660E">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3.27 B</w:t>
            </w:r>
          </w:p>
        </w:tc>
        <w:tc>
          <w:tcPr>
            <w:tcW w:w="602" w:type="pct"/>
            <w:vAlign w:val="center"/>
          </w:tcPr>
          <w:p w14:paraId="75584104">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0.034</w:t>
            </w:r>
          </w:p>
        </w:tc>
      </w:tr>
      <w:tr w14:paraId="6ADD1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1478" w:type="pct"/>
            <w:vAlign w:val="center"/>
          </w:tcPr>
          <w:p w14:paraId="5E4028A9">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Milk lactose (%)</w:t>
            </w:r>
          </w:p>
        </w:tc>
        <w:tc>
          <w:tcPr>
            <w:tcW w:w="511" w:type="pct"/>
            <w:vAlign w:val="center"/>
          </w:tcPr>
          <w:p w14:paraId="5E64D095">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4.01 C</w:t>
            </w:r>
          </w:p>
        </w:tc>
        <w:tc>
          <w:tcPr>
            <w:tcW w:w="602" w:type="pct"/>
            <w:vAlign w:val="center"/>
          </w:tcPr>
          <w:p w14:paraId="1EA5EF15">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4.02 C</w:t>
            </w:r>
          </w:p>
        </w:tc>
        <w:tc>
          <w:tcPr>
            <w:tcW w:w="602" w:type="pct"/>
            <w:vAlign w:val="center"/>
          </w:tcPr>
          <w:p w14:paraId="4805DC70">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4.28 A</w:t>
            </w:r>
          </w:p>
        </w:tc>
        <w:tc>
          <w:tcPr>
            <w:tcW w:w="603" w:type="pct"/>
            <w:vAlign w:val="center"/>
          </w:tcPr>
          <w:p w14:paraId="5CA2C143">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4.31 A</w:t>
            </w:r>
          </w:p>
        </w:tc>
        <w:tc>
          <w:tcPr>
            <w:tcW w:w="602" w:type="pct"/>
            <w:vAlign w:val="center"/>
          </w:tcPr>
          <w:p w14:paraId="7D0BD85A">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4.22 B</w:t>
            </w:r>
          </w:p>
        </w:tc>
        <w:tc>
          <w:tcPr>
            <w:tcW w:w="602" w:type="pct"/>
            <w:vAlign w:val="center"/>
          </w:tcPr>
          <w:p w14:paraId="3DD813FC">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0.027</w:t>
            </w:r>
          </w:p>
        </w:tc>
      </w:tr>
      <w:tr w14:paraId="19F1D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1478" w:type="pct"/>
            <w:tcBorders>
              <w:top w:val="nil"/>
              <w:left w:val="nil"/>
              <w:bottom w:val="single" w:color="000000" w:sz="8" w:space="0"/>
              <w:right w:val="nil"/>
            </w:tcBorders>
            <w:vAlign w:val="center"/>
          </w:tcPr>
          <w:p w14:paraId="3FFDFFC8">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SCC (×10</w:t>
            </w:r>
            <w:r>
              <w:rPr>
                <w:rFonts w:hint="eastAsia" w:eastAsia="等线" w:cs="Times New Roman"/>
                <w:kern w:val="2"/>
                <w:sz w:val="20"/>
                <w:szCs w:val="20"/>
                <w:highlight w:val="none"/>
                <w:vertAlign w:val="superscript"/>
                <w:lang w:val="en-US" w:eastAsia="zh-CN"/>
              </w:rPr>
              <w:t>3</w:t>
            </w:r>
            <w:r>
              <w:rPr>
                <w:rFonts w:hint="eastAsia" w:eastAsia="等线" w:cs="Times New Roman"/>
                <w:kern w:val="2"/>
                <w:sz w:val="20"/>
                <w:szCs w:val="20"/>
                <w:highlight w:val="none"/>
                <w:lang w:val="en-US" w:eastAsia="zh-CN"/>
              </w:rPr>
              <w:t>/mL)</w:t>
            </w:r>
          </w:p>
        </w:tc>
        <w:tc>
          <w:tcPr>
            <w:tcW w:w="511" w:type="pct"/>
            <w:tcBorders>
              <w:top w:val="nil"/>
              <w:left w:val="nil"/>
              <w:bottom w:val="single" w:color="000000" w:sz="8" w:space="0"/>
              <w:right w:val="nil"/>
            </w:tcBorders>
            <w:vAlign w:val="center"/>
          </w:tcPr>
          <w:p w14:paraId="0E4A7A72">
            <w:pPr>
              <w:widowControl w:val="0"/>
              <w:spacing w:after="0"/>
              <w:ind w:firstLine="0"/>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716 A</w:t>
            </w:r>
          </w:p>
        </w:tc>
        <w:tc>
          <w:tcPr>
            <w:tcW w:w="602" w:type="pct"/>
            <w:tcBorders>
              <w:top w:val="nil"/>
              <w:left w:val="nil"/>
              <w:bottom w:val="single" w:color="000000" w:sz="8" w:space="0"/>
              <w:right w:val="nil"/>
            </w:tcBorders>
            <w:vAlign w:val="center"/>
          </w:tcPr>
          <w:p w14:paraId="2C823C75">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706 A</w:t>
            </w:r>
          </w:p>
        </w:tc>
        <w:tc>
          <w:tcPr>
            <w:tcW w:w="602" w:type="pct"/>
            <w:tcBorders>
              <w:top w:val="nil"/>
              <w:left w:val="nil"/>
              <w:bottom w:val="single" w:color="000000" w:sz="8" w:space="0"/>
              <w:right w:val="nil"/>
            </w:tcBorders>
            <w:vAlign w:val="center"/>
          </w:tcPr>
          <w:p w14:paraId="5E4D0A58">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593 BC</w:t>
            </w:r>
          </w:p>
        </w:tc>
        <w:tc>
          <w:tcPr>
            <w:tcW w:w="603" w:type="pct"/>
            <w:tcBorders>
              <w:top w:val="nil"/>
              <w:left w:val="nil"/>
              <w:bottom w:val="single" w:color="000000" w:sz="8" w:space="0"/>
              <w:right w:val="nil"/>
            </w:tcBorders>
            <w:vAlign w:val="center"/>
          </w:tcPr>
          <w:p w14:paraId="5A481246">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541 C</w:t>
            </w:r>
          </w:p>
        </w:tc>
        <w:tc>
          <w:tcPr>
            <w:tcW w:w="602" w:type="pct"/>
            <w:tcBorders>
              <w:top w:val="nil"/>
              <w:left w:val="nil"/>
              <w:bottom w:val="single" w:color="000000" w:sz="8" w:space="0"/>
              <w:right w:val="nil"/>
            </w:tcBorders>
            <w:vAlign w:val="center"/>
          </w:tcPr>
          <w:p w14:paraId="77C9E3FD">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647 B</w:t>
            </w:r>
          </w:p>
        </w:tc>
        <w:tc>
          <w:tcPr>
            <w:tcW w:w="602" w:type="pct"/>
            <w:tcBorders>
              <w:top w:val="nil"/>
              <w:left w:val="nil"/>
              <w:bottom w:val="single" w:color="000000" w:sz="8" w:space="0"/>
              <w:right w:val="nil"/>
            </w:tcBorders>
            <w:vAlign w:val="center"/>
          </w:tcPr>
          <w:p w14:paraId="40B4448F">
            <w:pPr>
              <w:widowControl w:val="0"/>
              <w:spacing w:after="0"/>
              <w:ind w:firstLine="0"/>
              <w:jc w:val="center"/>
              <w:rPr>
                <w:rFonts w:eastAsia="等线" w:cs="Times New Roman"/>
                <w:kern w:val="2"/>
                <w:sz w:val="20"/>
                <w:szCs w:val="20"/>
                <w:highlight w:val="none"/>
                <w:lang w:val="en-US" w:eastAsia="zh-CN"/>
              </w:rPr>
            </w:pPr>
            <w:r>
              <w:rPr>
                <w:rFonts w:hint="eastAsia" w:eastAsia="等线" w:cs="Times New Roman"/>
                <w:kern w:val="2"/>
                <w:sz w:val="20"/>
                <w:szCs w:val="20"/>
                <w:highlight w:val="none"/>
                <w:lang w:val="en-US" w:eastAsia="zh-CN"/>
              </w:rPr>
              <w:t>&lt;0.01</w:t>
            </w:r>
          </w:p>
        </w:tc>
      </w:tr>
      <w:bookmarkEnd w:id="53"/>
    </w:tbl>
    <w:p w14:paraId="6E804656">
      <w:pPr>
        <w:pStyle w:val="3"/>
        <w:rPr>
          <w:highlight w:val="none"/>
          <w:lang w:eastAsia="fr-FR"/>
        </w:rPr>
      </w:pPr>
      <w:bookmarkStart w:id="54" w:name="OLE_LINK31"/>
      <w:bookmarkStart w:id="55" w:name="_Toc207979749"/>
      <w:r>
        <w:rPr>
          <w:highlight w:val="none"/>
          <w:lang w:eastAsia="fr-FR"/>
        </w:rPr>
        <w:t>Hypothesis and objective</w:t>
      </w:r>
      <w:bookmarkEnd w:id="54"/>
      <w:r>
        <w:rPr>
          <w:highlight w:val="none"/>
          <w:lang w:eastAsia="fr-FR"/>
        </w:rPr>
        <w:t>s</w:t>
      </w:r>
      <w:bookmarkEnd w:id="55"/>
    </w:p>
    <w:p w14:paraId="6A54647A">
      <w:pPr>
        <w:rPr>
          <w:rFonts w:cs="Times New Roman"/>
          <w:highlight w:val="none"/>
        </w:rPr>
      </w:pPr>
      <w:r>
        <w:rPr>
          <w:rFonts w:cs="Times New Roman"/>
          <w:highlight w:val="none"/>
        </w:rPr>
        <w:t xml:space="preserve">Previous studies have demonstrated that inulin supplementation can alter the rumen and mammary gland microbiota by promoting the growth of beneficial bacteria while suppressing harmful ones </w:t>
      </w:r>
      <w:r>
        <w:rPr>
          <w:rFonts w:cs="Times New Roman"/>
          <w:highlight w:val="none"/>
        </w:rPr>
        <w:fldChar w:fldCharType="begin">
          <w:fldData xml:space="preserve">PEVuZE5vdGU+PENpdGU+PEF1dGhvcj5XYW5nPC9BdXRob3I+PFllYXI+MjAyMTwvWWVhcj48UmVj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PEVuZE5vdGU+PENpdGU+PEF1dGhvcj5XYW5nPC9BdXRob3I+PFllYXI+MjAyMTwvWWVhcj48UmVj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(Wang et al., 2021a, Wang et al., 2022)</w:t>
      </w:r>
      <w:r>
        <w:rPr>
          <w:rFonts w:cs="Times New Roman"/>
          <w:highlight w:val="none"/>
        </w:rPr>
        <w:fldChar w:fldCharType="end"/>
      </w:r>
      <w:r>
        <w:rPr>
          <w:rFonts w:cs="Times New Roman"/>
          <w:highlight w:val="none"/>
        </w:rPr>
        <w:t xml:space="preserve">. It also influences metabolic profiles, particularly the composition of SCFAs, and enhances antioxidant and immunity functions, ultimately improving </w:t>
      </w:r>
      <w:r>
        <w:rPr>
          <w:rFonts w:hint="eastAsia" w:cs="Times New Roman"/>
          <w:highlight w:val="none"/>
          <w:lang w:eastAsia="zh-CN"/>
        </w:rPr>
        <w:t>SCM</w:t>
      </w:r>
      <w:r>
        <w:rPr>
          <w:rFonts w:cs="Times New Roman"/>
          <w:highlight w:val="none"/>
        </w:rPr>
        <w:t xml:space="preserve"> in dairy cows </w:t>
      </w:r>
      <w:r>
        <w:rPr>
          <w:rFonts w:cs="Times New Roman"/>
          <w:highlight w:val="none"/>
        </w:rPr>
        <w:fldChar w:fldCharType="begin">
          <w:fldData xml:space="preserve">PEVuZE5vdGU+PENpdGU+PEF1dGhvcj5aaGFvPC9BdXRob3I+PFllYXI+MjAyMjwvWWVhcj48UmVj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</w:fldData>
        </w:fldChar>
      </w:r>
      <w:r>
        <w:rPr>
          <w:rFonts w:cs="Times New Roman"/>
          <w:highlight w:val="none"/>
        </w:rPr>
        <w:instrText xml:space="preserve"> ADDIN EN.CITE </w:instrText>
      </w:r>
      <w:r>
        <w:rPr>
          <w:rFonts w:cs="Times New Roman"/>
          <w:highlight w:val="none"/>
        </w:rPr>
        <w:fldChar w:fldCharType="begin">
          <w:fldData xml:space="preserve">PEVuZE5vdGU+PENpdGU+PEF1dGhvcj5aaGFvPC9BdXRob3I+PFllYXI+MjAyMjwvWWVhcj48UmVj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</w:fldData>
        </w:fldChar>
      </w:r>
      <w:r>
        <w:rPr>
          <w:rFonts w:cs="Times New Roman"/>
          <w:highlight w:val="none"/>
        </w:rPr>
        <w:instrText xml:space="preserve"> ADDIN EN.CITE.DATA </w:instrText>
      </w:r>
      <w:r>
        <w:rPr>
          <w:rFonts w:cs="Times New Roman"/>
          <w:highlight w:val="none"/>
        </w:rPr>
        <w:fldChar w:fldCharType="end"/>
      </w:r>
      <w:r>
        <w:rPr>
          <w:rFonts w:cs="Times New Roman"/>
          <w:highlight w:val="none"/>
        </w:rPr>
        <w:fldChar w:fldCharType="separate"/>
      </w:r>
      <w:r>
        <w:rPr>
          <w:rFonts w:cs="Times New Roman"/>
          <w:highlight w:val="none"/>
        </w:rPr>
        <w:t>(Zhao et al., 2022)</w:t>
      </w:r>
      <w:r>
        <w:rPr>
          <w:rFonts w:cs="Times New Roman"/>
          <w:highlight w:val="none"/>
        </w:rPr>
        <w:fldChar w:fldCharType="end"/>
      </w:r>
      <w:r>
        <w:rPr>
          <w:rFonts w:cs="Times New Roman"/>
          <w:highlight w:val="none"/>
        </w:rPr>
        <w:t>. However, the role of EV-RNA in this process remains unclear. We hypothesize that inulin influences EV-RNA profiles in both serum and milk through distinct mechanisms</w:t>
      </w:r>
      <w:r>
        <w:rPr>
          <w:rFonts w:hint="eastAsia" w:cs="Times New Roman"/>
          <w:highlight w:val="none"/>
          <w:lang w:eastAsia="zh-CN"/>
        </w:rPr>
        <w:t xml:space="preserve"> </w:t>
      </w:r>
      <w:r>
        <w:rPr>
          <w:rFonts w:cs="Times New Roman"/>
          <w:highlight w:val="none"/>
        </w:rPr>
        <w:t>:</w:t>
      </w:r>
    </w:p>
    <w:p w14:paraId="429F7AF4">
      <w:pPr>
        <w:rPr>
          <w:rFonts w:cs="Times New Roman"/>
          <w:b/>
          <w:bCs/>
          <w:highlight w:val="none"/>
        </w:rPr>
      </w:pPr>
      <w:r>
        <w:rPr>
          <w:rFonts w:cs="Times New Roman"/>
          <w:b/>
          <w:bCs/>
          <w:highlight w:val="none"/>
        </w:rPr>
        <w:t>Effects on Serum EV-RNA</w:t>
      </w:r>
    </w:p>
    <w:p w14:paraId="7B3CCC49">
      <w:pPr>
        <w:rPr>
          <w:rFonts w:cs="Times New Roman"/>
          <w:highlight w:val="none"/>
        </w:rPr>
      </w:pPr>
      <w:r>
        <w:rPr>
          <w:rFonts w:cs="Times New Roman"/>
          <w:highlight w:val="none"/>
        </w:rPr>
        <w:t xml:space="preserve">Inulin-induced modulation of the </w:t>
      </w:r>
      <w:r>
        <w:rPr>
          <w:rFonts w:hint="eastAsia" w:cs="Times New Roman"/>
          <w:highlight w:val="none"/>
          <w:lang w:eastAsia="zh-CN"/>
        </w:rPr>
        <w:t>rumen</w:t>
      </w:r>
      <w:r>
        <w:rPr>
          <w:rFonts w:cs="Times New Roman"/>
          <w:highlight w:val="none"/>
        </w:rPr>
        <w:t xml:space="preserve"> microbiota may alter the production of microbial metabolites, such as SCFAs, which are known to regulate immune function. These metabolic changes could influence immune cell activity, leading to modifications in the secretion and composition of circulating EVs. Specifically, we speculate that inulin may enhance the release of EVs carrying anti-inflammatory miRNAs that regulate immune signaling pathways and systemic inflammation. Moreover, beyond host-derived EVs, microorganisms themselves can secrete EVs that may translocate into the bloodstream. An increased abundance of beneficial microbes could thus alter the profile of microbe-derived EVs, which may further contribute to the regulation of immune responses and metabolic processes.</w:t>
      </w:r>
      <w:r>
        <w:rPr>
          <w:rFonts w:hint="eastAsia" w:cs="Times New Roman"/>
          <w:highlight w:val="none"/>
          <w:lang w:eastAsia="zh-CN"/>
        </w:rPr>
        <w:t xml:space="preserve"> </w:t>
      </w:r>
      <w:r>
        <w:rPr>
          <w:rFonts w:cs="Times New Roman"/>
          <w:highlight w:val="none"/>
        </w:rPr>
        <w:t>T</w:t>
      </w:r>
      <w:r>
        <w:rPr>
          <w:rFonts w:hint="eastAsia" w:cs="Times New Roman"/>
          <w:highlight w:val="none"/>
          <w:lang w:eastAsia="zh-CN"/>
        </w:rPr>
        <w:t xml:space="preserve">ogether, </w:t>
      </w:r>
      <w:r>
        <w:rPr>
          <w:rFonts w:cs="Times New Roman"/>
          <w:highlight w:val="none"/>
          <w:lang w:eastAsia="zh-CN"/>
        </w:rPr>
        <w:t>these mechanisms may help maintain immune homeostasis and reduce inflammation associated with</w:t>
      </w:r>
      <w:r>
        <w:rPr>
          <w:rFonts w:cs="Times New Roman"/>
          <w:highlight w:val="none"/>
        </w:rPr>
        <w:t xml:space="preserve"> </w:t>
      </w:r>
      <w:r>
        <w:rPr>
          <w:rFonts w:hint="eastAsia" w:cs="Times New Roman"/>
          <w:highlight w:val="none"/>
          <w:lang w:eastAsia="zh-CN"/>
        </w:rPr>
        <w:t>SCM</w:t>
      </w:r>
      <w:r>
        <w:rPr>
          <w:rFonts w:cs="Times New Roman"/>
          <w:highlight w:val="none"/>
        </w:rPr>
        <w:t>s.</w:t>
      </w:r>
    </w:p>
    <w:p w14:paraId="66761111">
      <w:pPr>
        <w:rPr>
          <w:rFonts w:cs="Times New Roman"/>
          <w:b/>
          <w:bCs/>
          <w:highlight w:val="none"/>
        </w:rPr>
      </w:pPr>
      <w:r>
        <w:rPr>
          <w:rFonts w:cs="Times New Roman"/>
          <w:b/>
          <w:bCs/>
          <w:highlight w:val="none"/>
        </w:rPr>
        <w:t>Effects on Milk EV-RNA</w:t>
      </w:r>
    </w:p>
    <w:p w14:paraId="5A799F74">
      <w:pPr>
        <w:rPr>
          <w:rFonts w:cs="Times New Roman"/>
          <w:highlight w:val="none"/>
        </w:rPr>
      </w:pPr>
      <w:r>
        <w:rPr>
          <w:rFonts w:cs="Times New Roman"/>
          <w:highlight w:val="none"/>
        </w:rPr>
        <w:t xml:space="preserve">Inulin may also influence EV-RNA profiles within milk by modulating the mammary gland microbiota and local immune responses. Changes in microbial composition within the mammary gland could affect the types of RNAs packaged into milk-derived EVs, potentially leading to shifts in miRNA expression that promote mammary tissue repair and inflammation resolution. Furthermore, systemic effects from inulin, such as improved immune regulation via serum EVs, may secondarily impact mammary epithelial cells and their EV-RNA cargo, contributing to enhanced mammary gland health.  </w:t>
      </w:r>
    </w:p>
    <w:p w14:paraId="3BD4B0A7">
      <w:pPr>
        <w:rPr>
          <w:highlight w:val="none"/>
          <w:lang w:val="en-US" w:eastAsia="zh-CN"/>
        </w:rPr>
      </w:pPr>
      <w:r>
        <w:rPr>
          <w:rFonts w:cs="Times New Roman"/>
          <w:highlight w:val="none"/>
        </w:rPr>
        <w:t xml:space="preserve">This study aims to investigate the changes and functions of EV-RNA in both serum and milk during inulin-mediated regulation of </w:t>
      </w:r>
      <w:r>
        <w:rPr>
          <w:rFonts w:hint="eastAsia" w:cs="Times New Roman"/>
          <w:highlight w:val="none"/>
          <w:lang w:eastAsia="zh-CN"/>
        </w:rPr>
        <w:t>SCM</w:t>
      </w:r>
      <w:r>
        <w:rPr>
          <w:rFonts w:cs="Times New Roman"/>
          <w:highlight w:val="none"/>
        </w:rPr>
        <w:t>. By analyzing how inulin influences EV-RNA profiles and their potential involvement in inflammatory pathways, we hope to provide new insights into the molecular mechanisms underlying inulin’s anti-inflammatory effects. Our findings could offer a scientific basis for utilizing inulin as a natural and sustainable dietary strategy for preventing and managing mastitis in dairy cows, contributing to improved animal health and dairy production efficiency.</w:t>
      </w:r>
      <w:r>
        <w:rPr>
          <w:highlight w:val="none"/>
          <w:lang w:val="en-US" w:eastAsia="fr-FR"/>
        </w:rPr>
        <w:t xml:space="preserve"> </w:t>
      </w:r>
    </w:p>
    <w:p w14:paraId="2CD4908D">
      <w:pPr>
        <w:spacing w:after="200" w:line="276" w:lineRule="auto"/>
        <w:ind w:firstLine="0"/>
        <w:jc w:val="left"/>
        <w:rPr>
          <w:highlight w:val="none"/>
          <w:lang w:val="en-US" w:eastAsia="zh-CN"/>
        </w:rPr>
        <w:sectPr>
          <w:headerReference r:id="rId26" w:type="default"/>
          <w:footerReference r:id="rId28" w:type="default"/>
          <w:headerReference r:id="rId27" w:type="even"/>
          <w:footerReference r:id="rId29" w:type="even"/>
          <w:pgSz w:w="9639" w:h="13608"/>
          <w:pgMar w:top="1361" w:right="907" w:bottom="1021" w:left="1247" w:header="709" w:footer="312" w:gutter="0"/>
          <w:cols w:space="708" w:num="1"/>
          <w:docGrid w:linePitch="360" w:charSpace="0"/>
        </w:sectPr>
      </w:pPr>
      <w:r>
        <w:rPr>
          <w:highlight w:val="none"/>
          <w:lang w:val="en-US" w:eastAsia="zh-CN"/>
        </w:rPr>
        <w:br w:type="page"/>
      </w:r>
    </w:p>
    <w:p w14:paraId="701E0D96">
      <w:pPr>
        <w:pStyle w:val="2"/>
        <w:rPr>
          <w:highlight w:val="none"/>
          <w:lang w:val="en-US" w:eastAsia="fr-FR"/>
        </w:rPr>
      </w:pPr>
      <w:bookmarkStart w:id="56" w:name="_Toc207979750"/>
      <w:bookmarkEnd w:id="56"/>
    </w:p>
    <w:p w14:paraId="4BFC2036">
      <w:pPr>
        <w:spacing w:after="200" w:line="276" w:lineRule="auto"/>
        <w:ind w:firstLine="0"/>
        <w:jc w:val="left"/>
        <w:rPr>
          <w:highlight w:val="none"/>
          <w:lang w:val="en-US"/>
        </w:rPr>
      </w:pPr>
      <w:r>
        <w:rPr>
          <w:highlight w:val="none"/>
          <w:lang w:val="en-US" w:eastAsia="fr-FR"/>
        </w:rPr>
        <w:pict>
          <v:rect id="_x0000_i1026" o:spt="1" style="height:1pt;width:313.25pt;" fillcolor="#000000" filled="t" stroked="f" coordsize="21600,21600" o:hr="t" o:hrstd="t" o:hrnoshade="t" o:hralign="center">
            <v:path/>
            <v:fill on="t" focussize="0,0"/>
            <v:stroke on="f"/>
            <v:imagedata o:title=""/>
            <o:lock v:ext="edit"/>
            <w10:wrap type="none"/>
            <w10:anchorlock/>
          </v:rect>
        </w:pict>
      </w:r>
    </w:p>
    <w:p w14:paraId="381FF20F">
      <w:pPr>
        <w:ind w:firstLine="0"/>
        <w:jc w:val="right"/>
        <w:rPr>
          <w:b/>
          <w:sz w:val="40"/>
          <w:szCs w:val="40"/>
          <w:highlight w:val="none"/>
          <w:lang w:val="en-US" w:eastAsia="fr-FR"/>
        </w:rPr>
      </w:pPr>
      <w:r>
        <w:rPr>
          <w:b/>
          <w:sz w:val="40"/>
          <w:szCs w:val="40"/>
          <w:highlight w:val="none"/>
          <w:lang w:val="en-US" w:eastAsia="fr-FR"/>
        </w:rPr>
        <w:t>Effects of inulin on serum-derived small extracellular vesicles miRNA from dairy cows with subclinical mastitis</w:t>
      </w:r>
    </w:p>
    <w:p w14:paraId="5E826829">
      <w:pPr>
        <w:ind w:firstLine="0"/>
        <w:jc w:val="right"/>
        <w:rPr>
          <w:b/>
          <w:sz w:val="40"/>
          <w:szCs w:val="40"/>
          <w:highlight w:val="none"/>
          <w:lang w:val="en-US" w:eastAsia="fr-FR"/>
        </w:rPr>
      </w:pPr>
    </w:p>
    <w:p w14:paraId="5A10BC60">
      <w:pPr>
        <w:ind w:firstLine="0"/>
        <w:jc w:val="right"/>
        <w:rPr>
          <w:b/>
          <w:sz w:val="40"/>
          <w:szCs w:val="40"/>
          <w:highlight w:val="none"/>
          <w:lang w:val="en-US" w:eastAsia="fr-FR"/>
        </w:rPr>
      </w:pPr>
    </w:p>
    <w:p w14:paraId="578547E4">
      <w:pPr>
        <w:ind w:firstLine="0"/>
        <w:jc w:val="right"/>
        <w:rPr>
          <w:b/>
          <w:sz w:val="40"/>
          <w:szCs w:val="40"/>
          <w:highlight w:val="none"/>
          <w:lang w:val="en-US" w:eastAsia="fr-FR"/>
        </w:rPr>
      </w:pPr>
    </w:p>
    <w:p w14:paraId="0B082EA0">
      <w:pPr>
        <w:ind w:firstLine="0"/>
        <w:jc w:val="right"/>
        <w:rPr>
          <w:b/>
          <w:sz w:val="40"/>
          <w:szCs w:val="40"/>
          <w:highlight w:val="none"/>
          <w:lang w:val="en-US" w:eastAsia="fr-FR"/>
        </w:rPr>
      </w:pPr>
    </w:p>
    <w:p w14:paraId="6F671287">
      <w:pPr>
        <w:ind w:firstLine="0"/>
        <w:jc w:val="right"/>
        <w:rPr>
          <w:b/>
          <w:sz w:val="40"/>
          <w:szCs w:val="40"/>
          <w:highlight w:val="none"/>
          <w:lang w:val="en-US" w:eastAsia="fr-FR"/>
        </w:rPr>
      </w:pPr>
    </w:p>
    <w:p w14:paraId="60E2ED7F">
      <w:pPr>
        <w:ind w:firstLine="0"/>
        <w:jc w:val="right"/>
        <w:rPr>
          <w:b/>
          <w:sz w:val="40"/>
          <w:szCs w:val="40"/>
          <w:highlight w:val="none"/>
          <w:lang w:val="en-US" w:eastAsia="fr-FR"/>
        </w:rPr>
      </w:pPr>
    </w:p>
    <w:p w14:paraId="23150F2C">
      <w:pPr>
        <w:ind w:firstLine="0"/>
        <w:jc w:val="right"/>
        <w:rPr>
          <w:b/>
          <w:sz w:val="40"/>
          <w:szCs w:val="40"/>
          <w:highlight w:val="none"/>
          <w:lang w:val="en-US" w:eastAsia="fr-FR"/>
        </w:rPr>
      </w:pPr>
    </w:p>
    <w:p w14:paraId="58ACCFBF">
      <w:pPr>
        <w:ind w:firstLine="0"/>
        <w:jc w:val="right"/>
        <w:rPr>
          <w:b/>
          <w:sz w:val="40"/>
          <w:szCs w:val="40"/>
          <w:highlight w:val="none"/>
          <w:lang w:val="en-US" w:eastAsia="fr-FR"/>
        </w:rPr>
      </w:pPr>
    </w:p>
    <w:p w14:paraId="4AD3EE3F">
      <w:pPr>
        <w:ind w:firstLine="0"/>
        <w:jc w:val="right"/>
        <w:rPr>
          <w:b/>
          <w:sz w:val="40"/>
          <w:szCs w:val="40"/>
          <w:highlight w:val="none"/>
          <w:lang w:val="en-US" w:eastAsia="fr-FR"/>
        </w:rPr>
      </w:pPr>
    </w:p>
    <w:p w14:paraId="08AA44A5">
      <w:pPr>
        <w:ind w:firstLine="0"/>
        <w:jc w:val="right"/>
        <w:rPr>
          <w:b/>
          <w:sz w:val="40"/>
          <w:szCs w:val="40"/>
          <w:highlight w:val="none"/>
          <w:lang w:val="en-US" w:eastAsia="zh-CN"/>
        </w:rPr>
      </w:pPr>
    </w:p>
    <w:p w14:paraId="03746F59">
      <w:pPr>
        <w:ind w:firstLine="0"/>
        <w:jc w:val="right"/>
        <w:rPr>
          <w:b/>
          <w:sz w:val="40"/>
          <w:szCs w:val="40"/>
          <w:highlight w:val="none"/>
          <w:lang w:val="en-US" w:eastAsia="zh-CN"/>
        </w:rPr>
      </w:pPr>
    </w:p>
    <w:p w14:paraId="3DBD1033">
      <w:pPr>
        <w:ind w:firstLine="0"/>
        <w:jc w:val="right"/>
        <w:rPr>
          <w:b/>
          <w:sz w:val="40"/>
          <w:szCs w:val="40"/>
          <w:highlight w:val="none"/>
          <w:lang w:val="en-US" w:eastAsia="fr-FR"/>
        </w:rPr>
      </w:pPr>
    </w:p>
    <w:p w14:paraId="78EA102E">
      <w:pPr>
        <w:ind w:firstLine="0"/>
        <w:jc w:val="right"/>
        <w:rPr>
          <w:b/>
          <w:sz w:val="40"/>
          <w:szCs w:val="40"/>
          <w:highlight w:val="none"/>
          <w:lang w:val="en-US" w:eastAsia="fr-FR"/>
        </w:rPr>
      </w:pPr>
    </w:p>
    <w:p w14:paraId="226CA70A">
      <w:pPr>
        <w:pStyle w:val="92"/>
        <w:rPr>
          <w:rFonts w:ascii="Times New Roman" w:hAnsi="Times New Roman" w:cs="Times New Roman" w:eastAsiaTheme="minorEastAsia"/>
          <w:color w:val="auto"/>
          <w:sz w:val="22"/>
          <w:szCs w:val="22"/>
          <w:highlight w:val="none"/>
          <w:lang w:val="en-US" w:eastAsia="zh-CN" w:bidi="ar-SA"/>
        </w:rPr>
      </w:pPr>
      <w:r>
        <w:rPr>
          <w:rFonts w:hint="eastAsia" w:ascii="Times New Roman" w:hAnsi="Times New Roman" w:cs="Times New Roman" w:eastAsiaTheme="minorEastAsia"/>
          <w:color w:val="auto"/>
          <w:sz w:val="22"/>
          <w:szCs w:val="22"/>
          <w:highlight w:val="none"/>
          <w:lang w:val="en-US" w:eastAsia="zh-CN" w:bidi="ar-SA"/>
        </w:rPr>
        <w:t>Adapted from:</w:t>
      </w:r>
    </w:p>
    <w:p w14:paraId="3E5DB037">
      <w:pPr>
        <w:pStyle w:val="84"/>
        <w:rPr>
          <w:rFonts w:eastAsiaTheme="minorEastAsia"/>
          <w:highlight w:val="none"/>
          <w:lang w:eastAsia="zh-CN"/>
        </w:rPr>
      </w:pPr>
      <w:r>
        <w:rPr>
          <w:rFonts w:eastAsiaTheme="minorEastAsia"/>
          <w:highlight w:val="none"/>
          <w:lang w:eastAsia="zh-CN"/>
        </w:rPr>
        <w:t>Yu, W., Nan, X., Schroyen, M., Wang, Y., &amp; Xiong, B. (2023). Inulin-induced differences on serum extracellular vesicles derived miRNAs in dairy cows suffering from subclinical mastitis. animal, 17(9), 100954.</w:t>
      </w:r>
    </w:p>
    <w:p w14:paraId="3D50E1EE">
      <w:pPr>
        <w:rPr>
          <w:highlight w:val="none"/>
          <w:lang w:val="en-US" w:eastAsia="fr-FR"/>
        </w:rPr>
      </w:pPr>
    </w:p>
    <w:p w14:paraId="62F8433F">
      <w:pPr>
        <w:ind w:firstLine="0"/>
        <w:rPr>
          <w:highlight w:val="none"/>
          <w:lang w:val="en-US" w:eastAsia="fr-FR"/>
        </w:rPr>
        <w:sectPr>
          <w:headerReference r:id="rId30" w:type="default"/>
          <w:pgSz w:w="9639" w:h="13608"/>
          <w:pgMar w:top="1361" w:right="907" w:bottom="1021" w:left="1247" w:header="709" w:footer="312" w:gutter="0"/>
          <w:cols w:space="708" w:num="1"/>
          <w:docGrid w:linePitch="360" w:charSpace="0"/>
        </w:sectPr>
      </w:pPr>
    </w:p>
    <w:p w14:paraId="29F35A3D">
      <w:pPr>
        <w:spacing w:after="200" w:line="276" w:lineRule="auto"/>
        <w:ind w:firstLine="0"/>
        <w:jc w:val="left"/>
        <w:rPr>
          <w:highlight w:val="none"/>
          <w:lang w:val="en-US"/>
        </w:rPr>
        <w:sectPr>
          <w:headerReference r:id="rId31" w:type="default"/>
          <w:footerReference r:id="rId33" w:type="default"/>
          <w:headerReference r:id="rId32" w:type="even"/>
          <w:footerReference r:id="rId34" w:type="even"/>
          <w:pgSz w:w="9639" w:h="13608"/>
          <w:pgMar w:top="1361" w:right="907" w:bottom="1021" w:left="1247" w:header="709" w:footer="312" w:gutter="0"/>
          <w:cols w:space="708" w:num="1"/>
          <w:docGrid w:linePitch="360" w:charSpace="0"/>
        </w:sectPr>
      </w:pPr>
      <w:r>
        <w:rPr>
          <w:highlight w:val="none"/>
          <w:lang w:val="en-US"/>
        </w:rPr>
        <w:br w:type="page"/>
      </w:r>
    </w:p>
    <w:p w14:paraId="7C41CF5F">
      <w:pPr>
        <w:pStyle w:val="3"/>
        <w:rPr>
          <w:highlight w:val="none"/>
          <w:lang w:eastAsia="fr-FR"/>
        </w:rPr>
      </w:pPr>
      <w:bookmarkStart w:id="57" w:name="_Toc207979751"/>
      <w:r>
        <w:rPr>
          <w:rFonts w:hint="eastAsia"/>
          <w:highlight w:val="none"/>
          <w:lang w:eastAsia="zh-CN"/>
        </w:rPr>
        <w:t>Abstract</w:t>
      </w:r>
      <w:bookmarkEnd w:id="57"/>
    </w:p>
    <w:p w14:paraId="26C574CC">
      <w:pPr>
        <w:rPr>
          <w:rStyle w:val="93"/>
          <w:rFonts w:cs="Times New Roman"/>
          <w:bCs/>
          <w:highlight w:val="none"/>
          <w:lang w:eastAsia="zh-CN"/>
        </w:rPr>
      </w:pPr>
      <w:r>
        <w:rPr>
          <w:rStyle w:val="93"/>
          <w:rFonts w:cs="Times New Roman"/>
          <w:bCs/>
          <w:highlight w:val="none"/>
        </w:rPr>
        <w:t>MicroRNA (miRNA) profiles vary with nutritional and pathological conditions of cattle. In this study, we aimed to investigate the effects of inulin supplement on miRNA profiles derived from serum small extracellular vesicles (sEVs). Our goal was to determine the differences in miRNA expressions and analyses the pathways in which they are involved. Based on the results of California mastitis test and milk somatic cell counts, ten lactating cows with subclinical mastitis</w:t>
      </w:r>
      <w:r>
        <w:rPr>
          <w:rStyle w:val="93"/>
          <w:rFonts w:hint="eastAsia" w:cs="Times New Roman"/>
          <w:bCs/>
          <w:highlight w:val="none"/>
          <w:lang w:eastAsia="zh-CN"/>
        </w:rPr>
        <w:t xml:space="preserve"> (SCM)</w:t>
      </w:r>
      <w:r>
        <w:rPr>
          <w:rStyle w:val="93"/>
          <w:rFonts w:cs="Times New Roman"/>
          <w:bCs/>
          <w:highlight w:val="none"/>
        </w:rPr>
        <w:t xml:space="preserve"> were randomly divided into two groups: an inulin group and a control group (n = 5 in each group). The inulin group received a daily supplement of 300g of inulin while the control group did not receive any supplementation. After a 5-week treatment period, serum-derived sEVs-miRNAs from each cow were isolated. High-throughput sequencing was conducted to identify differentially expressed miRNAs. Gene ontology (GO) and Kyoto Encyclopedia of Genes and Genomes (KEGG) bioinformatics analysis was performed to examine the target genes of these differentially expressed miRNAs. The sEVs-RNA concentration and small RNA content were not affected by the inulin treatment. A total of 162 known miRNAs and 180 novel miRNAs were identified from 10 samples in the two groups. Among the known miRNAs, 23 miRNAs were found to be differentially expressed between the two groups, with 18 upregulated and 5 downregulated in the inulin group compared to the control group. Pathway analysis revealed the involvement of these differentially expressed miRNAs in the regulation of cell structure and function, lipid oxidation and metabolism, immunity and inflammation, as well as digestion and absorption of nutrients. Overall, our study provides a molecular-level explanation for the reported beneficial health effects of inulin supplementation in cows with </w:t>
      </w:r>
      <w:r>
        <w:rPr>
          <w:rStyle w:val="93"/>
          <w:rFonts w:hint="eastAsia" w:cs="Times New Roman"/>
          <w:bCs/>
          <w:highlight w:val="none"/>
          <w:lang w:eastAsia="zh-CN"/>
        </w:rPr>
        <w:t>SCM</w:t>
      </w:r>
      <w:r>
        <w:rPr>
          <w:rStyle w:val="93"/>
          <w:rFonts w:cs="Times New Roman"/>
          <w:bCs/>
          <w:highlight w:val="none"/>
        </w:rPr>
        <w:t>.</w:t>
      </w:r>
    </w:p>
    <w:p w14:paraId="001E8B02">
      <w:pPr>
        <w:pStyle w:val="3"/>
        <w:rPr>
          <w:highlight w:val="none"/>
          <w:lang w:eastAsia="fr-FR"/>
        </w:rPr>
      </w:pPr>
      <w:bookmarkStart w:id="58" w:name="_Toc207979752"/>
      <w:r>
        <w:rPr>
          <w:highlight w:val="none"/>
          <w:lang w:eastAsia="fr-FR"/>
        </w:rPr>
        <w:t>Introduction</w:t>
      </w:r>
      <w:bookmarkEnd w:id="58"/>
    </w:p>
    <w:p w14:paraId="73602B33">
      <w:pPr>
        <w:rPr>
          <w:highlight w:val="none"/>
          <w:lang w:val="en-US" w:eastAsia="zh-CN"/>
        </w:rPr>
      </w:pPr>
      <w:r>
        <w:rPr>
          <w:highlight w:val="none"/>
          <w:lang w:val="en-US" w:eastAsia="zh-CN"/>
        </w:rPr>
        <w:t>Small extracellular vesicles (sEVs) are extracellular vesicles with a diameter of 30-150 nm, that contain lipids, proteins, RNAs, and DNA inside, and are protected by a lipid bilayer membrane (van Niel et al., 2022). They are released by cells into the extracellular space (Yun et al., 2021). By binding to surface receptors, their cargos can be transferred from donor cells to recipient cells for achieving cell to cell communication (Stoorvogel et al., 2002). sEVs can be secreted by most cultured cell types in both physiological and pathological conditions and naturally exist in practically all body fluids including blood (Stoorvogel et al., 2002). Following blood circulation, sEVs can accumulate in different organs or tissues, such as liver, spleen, pancreas, kidney, lung, intestinal mucosa, and brain (Munagala et al., 2016; Manca et al., 2018), and exert an influence on the proportion of sEVs of the original cells, resulting in body condition changes. Beninson and Fleshner (2015) found that sEVs derived from fetal bovine serum may offer immunosuppressive by influencing macrophage IL-1β and pro-inflammatory protein responses, and even cross-species protection to cultured cells, altering the immunological activity of these cells (Beninson and Fleshner, 2015). Exogenous sEVs could accumulate in several organs, release their cargos to affect the protein expression of recipient cells, and participate in the immune response (Manca et al., 2018). They exhibit anti-inflammatory activities, promote the colonization of healthy gut microbiota (He et al., 2021), and contribute to enhancing cell proliferation and viability (Hock et al., 2017). However, it should be noted that sEVs are also implicated in the development and progression of various diseases through the transfer of certain miRNAs (Samuel et al., 2021).</w:t>
      </w:r>
    </w:p>
    <w:p w14:paraId="4B663EC9">
      <w:pPr>
        <w:rPr>
          <w:highlight w:val="none"/>
          <w:lang w:val="en-US" w:eastAsia="zh-CN"/>
        </w:rPr>
      </w:pPr>
      <w:r>
        <w:rPr>
          <w:highlight w:val="none"/>
          <w:lang w:val="en-US" w:eastAsia="zh-CN"/>
        </w:rPr>
        <w:t xml:space="preserve">sEVs contain a substantial number of microRNA (miRNA), which are bioactive molecules that play a vital role in immune responses and gene regulation (Zempleni et al., 2017; Wu et al., 2019; Gao et al., 2021). Among the mechanisms involved, miRNAs can modulate the expression of target genes by binding to complementary sequences, primarily located in the 3’ or 5’ untranslated regions of mRNAs (Stoorvogel et al., 2002). Since sEVs are covered with a bilayer membrane, miRNAs in sEVs are relatively stable and bioactive even in acid condition or enduring an RNase rich environment (Kosaka et al., 2010). </w:t>
      </w:r>
    </w:p>
    <w:p w14:paraId="2C837738">
      <w:pPr>
        <w:rPr>
          <w:highlight w:val="none"/>
          <w:lang w:val="en-US" w:eastAsia="zh-CN"/>
        </w:rPr>
      </w:pPr>
      <w:r>
        <w:rPr>
          <w:highlight w:val="none"/>
          <w:lang w:val="en-US" w:eastAsia="zh-CN"/>
        </w:rPr>
        <w:t xml:space="preserve">miRNAs vary among different species, breeds, conditions, lactation periods, etc. (Gu et al., 2012; Yun et al., 2021), and various factors can influence the expression profiles of miRNAs. A pathogen infection or being in a disease state could lead to the alterations in the composition and expression levels of miRNAs (Cai et al., 2021). Abnormal expression of miRNAs has been associated with numerous cancers (Colitti et al., 2020). Likewise, in cows with pathological conditions including inflammatory diseases such as </w:t>
      </w:r>
      <w:r>
        <w:rPr>
          <w:rFonts w:hint="eastAsia"/>
          <w:highlight w:val="none"/>
          <w:lang w:val="en-US" w:eastAsia="zh-CN"/>
        </w:rPr>
        <w:t>SCM</w:t>
      </w:r>
      <w:r>
        <w:rPr>
          <w:highlight w:val="none"/>
          <w:lang w:val="en-US" w:eastAsia="zh-CN"/>
        </w:rPr>
        <w:t xml:space="preserve"> (Lai et al., 2017; Cai et al., 2021) and metritis (Kasimanickam and Kastelic, 2016), the expression levels of certain miRNAs differ compared to those in healthy animals. For example, in Streptococcus uberis infected tissue, three miRNAs were downregulated 3- to 5-fold, and one miRNA was upregulated 2.5-fold and these miRNAs play roles in the regulation of metabolic, immune/oxidative stress, and cellular proliferation/differentiation (Naeem et al., 2012). The changes in certain miRNAs in a pathological state provide insights into the potential use of sEVs as disease biomarkers for monitoring metabolic conditions and immune response, as well as their roles in transmitting disease information through long-range regulation (Colitti et al., 2020). </w:t>
      </w:r>
    </w:p>
    <w:p w14:paraId="4A815CC9">
      <w:pPr>
        <w:rPr>
          <w:highlight w:val="none"/>
          <w:lang w:val="en-US" w:eastAsia="zh-CN"/>
        </w:rPr>
      </w:pPr>
      <w:bookmarkStart w:id="59" w:name="OLE_LINK29"/>
      <w:r>
        <w:rPr>
          <w:highlight w:val="none"/>
          <w:lang w:val="en-US" w:eastAsia="zh-CN"/>
        </w:rPr>
        <w:t>Different feed components can alter rumen microbial fermentation, thereby affecting the composition of microbial metabolites. These changes may influence immune- and metabolism-related signaling pathways in the host. Quan et al. (2019) found that 15 immune-related miRNAs derived from bovine serum sEVs were changed when whole cotton seed and soybean hull in feed were substituted partly with alfalfa hay (Quan et al., 2019). The miRNA expressions may very among different adipose depots (Romao et al., 2012). High levels of dietary fat result with a dysregulated miRNA profile, which affected the regulations of lipid metabolic processes, lipid biosynthetic, and Ras protein signal transduction (Sui et al., 2021). Therefore, the differences in miRNA composition and expression levels influenced by variations in feed composition need further attention.</w:t>
      </w:r>
    </w:p>
    <w:bookmarkEnd w:id="59"/>
    <w:p w14:paraId="5A41319A">
      <w:pPr>
        <w:rPr>
          <w:highlight w:val="none"/>
          <w:lang w:val="en-US" w:eastAsia="zh-CN"/>
        </w:rPr>
      </w:pPr>
      <w:r>
        <w:rPr>
          <w:highlight w:val="none"/>
          <w:lang w:val="en-US" w:eastAsia="zh-CN"/>
        </w:rPr>
        <w:t>Inulin, a type of fructo-oligosaccharide, can be efficiently fermented by the microbial community in the rumen</w:t>
      </w:r>
      <w:r>
        <w:rPr>
          <w:rFonts w:hint="eastAsia"/>
          <w:highlight w:val="none"/>
          <w:lang w:val="en-US" w:eastAsia="zh-CN"/>
        </w:rPr>
        <w:t xml:space="preserve"> (Tian et al., 2019)</w:t>
      </w:r>
      <w:r>
        <w:rPr>
          <w:highlight w:val="none"/>
          <w:lang w:val="en-US" w:eastAsia="zh-CN"/>
        </w:rPr>
        <w:t xml:space="preserve">. It is commonly used as a prebiotic to promote the growth of healthy bacteria (Usman et al., 2021). In addition, along with the ban of antibiotics in animal feed, the use of inulin in the treatment of mastitis has gained increasing attention. It has been confirmed that inulin, as a feed additive or active substance, has positive effects on promoting production performance, enhancing antioxidant activity as well as improving immunity function in dairy cows (Wang et al., 2021; Zhao et al., 2022). According to the previous research, a dosage of 300 g/d of inulin reduced mastitis-causing pathogens, upregulated the levels of anti-inflammatory metabolites, and potentially help restore milk production losses under </w:t>
      </w:r>
      <w:r>
        <w:rPr>
          <w:rFonts w:hint="eastAsia"/>
          <w:highlight w:val="none"/>
          <w:lang w:val="en-US" w:eastAsia="zh-CN"/>
        </w:rPr>
        <w:t>SCM</w:t>
      </w:r>
      <w:r>
        <w:rPr>
          <w:highlight w:val="none"/>
          <w:lang w:val="en-US" w:eastAsia="zh-CN"/>
        </w:rPr>
        <w:t xml:space="preserve"> (Wang et al., 2022). However, the cellular and molecular mechanisms underlying these effects remain unknown. Thus, in this study, we hypothesized that inulin supplementation could induce changes in bovine sEVs-miRNA profiles. Since serum represents the aggregation of information released by multiple cells, analyzing the changes in sEVs composition is conducive to understand the mitigating process of mastitis induced by inulin. In the current study, we aim to provide new insights into inulin-induced changes in miRNA expression in cases of bovine </w:t>
      </w:r>
      <w:r>
        <w:rPr>
          <w:rFonts w:hint="eastAsia"/>
          <w:highlight w:val="none"/>
          <w:lang w:val="en-US" w:eastAsia="zh-CN"/>
        </w:rPr>
        <w:t>SCM</w:t>
      </w:r>
      <w:r>
        <w:rPr>
          <w:highlight w:val="none"/>
          <w:lang w:val="en-US" w:eastAsia="zh-CN"/>
        </w:rPr>
        <w:t>.</w:t>
      </w:r>
    </w:p>
    <w:p w14:paraId="5ACA36A8">
      <w:pPr>
        <w:pStyle w:val="3"/>
        <w:rPr>
          <w:highlight w:val="none"/>
          <w:lang w:eastAsia="fr-FR"/>
        </w:rPr>
      </w:pPr>
      <w:bookmarkStart w:id="60" w:name="_Toc207979753"/>
      <w:r>
        <w:rPr>
          <w:highlight w:val="none"/>
          <w:lang w:eastAsia="fr-FR"/>
        </w:rPr>
        <w:t>Materials and methods</w:t>
      </w:r>
      <w:bookmarkEnd w:id="60"/>
    </w:p>
    <w:p w14:paraId="11C2F9E7">
      <w:pPr>
        <w:pStyle w:val="4"/>
        <w:rPr>
          <w:highlight w:val="none"/>
          <w:lang w:val="en-US" w:eastAsia="fr-FR"/>
        </w:rPr>
      </w:pPr>
      <w:bookmarkStart w:id="61" w:name="_Toc207979754"/>
      <w:r>
        <w:rPr>
          <w:highlight w:val="none"/>
          <w:lang w:val="en-US" w:eastAsia="fr-FR"/>
        </w:rPr>
        <w:t>Animal experiment and sample collection</w:t>
      </w:r>
      <w:bookmarkEnd w:id="61"/>
    </w:p>
    <w:p w14:paraId="4DF4EB56">
      <w:pPr>
        <w:rPr>
          <w:highlight w:val="none"/>
          <w:lang w:val="en-US" w:eastAsia="fr-FR"/>
        </w:rPr>
      </w:pPr>
      <w:bookmarkStart w:id="62" w:name="_Ref312400727"/>
      <w:r>
        <w:rPr>
          <w:highlight w:val="none"/>
          <w:lang w:val="en-US" w:eastAsia="fr-FR"/>
        </w:rPr>
        <w:t xml:space="preserve">The experimental animal management, experimental operation, animal welfare and ethics protocol of the current study were in accordance with the academy’s guidelines for animal research and approved by the Animal Ethics Committee of the Chinese Academy of Agricultural Sciences (Beijing, China; approval number IAS-2020-92). </w:t>
      </w:r>
    </w:p>
    <w:p w14:paraId="3D368187">
      <w:pPr>
        <w:pStyle w:val="5"/>
        <w:rPr>
          <w:highlight w:val="none"/>
          <w:lang w:val="en-US" w:eastAsia="fr-FR"/>
        </w:rPr>
      </w:pPr>
      <w:r>
        <w:rPr>
          <w:highlight w:val="none"/>
          <w:lang w:val="en-US" w:eastAsia="fr-FR"/>
        </w:rPr>
        <w:t>Experimental animals</w:t>
      </w:r>
    </w:p>
    <w:p w14:paraId="5C180DDD">
      <w:pPr>
        <w:rPr>
          <w:highlight w:val="none"/>
          <w:lang w:val="en-US" w:eastAsia="fr-FR"/>
        </w:rPr>
      </w:pPr>
      <w:r>
        <w:rPr>
          <w:highlight w:val="none"/>
          <w:lang w:val="en-US" w:eastAsia="fr-FR"/>
        </w:rPr>
        <w:t>This study was carried out at a large-scale dairy farm from July to August in 2020 in Beijing, China. California mastitis test (CMT) was conducted by mixing an equal volume of milk with reagent. Based on the colour changes and vascular gel formation of milk, the results were graded as negative (-), suspected (±), weakly positive (+), positive (++), and strongly positive (+++) (Wang et al., 2020). Ten Holstein dairy cows, suffering from</w:t>
      </w:r>
      <w:r>
        <w:rPr>
          <w:rFonts w:hint="eastAsia"/>
          <w:highlight w:val="none"/>
          <w:lang w:val="en-US" w:eastAsia="zh-CN"/>
        </w:rPr>
        <w:t xml:space="preserve"> SCM</w:t>
      </w:r>
      <w:r>
        <w:rPr>
          <w:highlight w:val="none"/>
          <w:lang w:val="en-US" w:eastAsia="fr-FR"/>
        </w:rPr>
        <w:t>, were selected (days in milk = 143 ± 3</w:t>
      </w:r>
      <w:r>
        <w:rPr>
          <w:rFonts w:hint="eastAsia"/>
          <w:highlight w:val="none"/>
          <w:lang w:val="en-US" w:eastAsia="zh-CN"/>
        </w:rPr>
        <w:t>2</w:t>
      </w:r>
      <w:r>
        <w:rPr>
          <w:highlight w:val="none"/>
          <w:lang w:val="en-US" w:eastAsia="fr-FR"/>
        </w:rPr>
        <w:t xml:space="preserve"> d; parity = 3.6 ± 1.7; milk yield = 32.</w:t>
      </w:r>
      <w:r>
        <w:rPr>
          <w:rFonts w:hint="eastAsia"/>
          <w:highlight w:val="none"/>
          <w:lang w:val="en-US" w:eastAsia="zh-CN"/>
        </w:rPr>
        <w:t>1</w:t>
      </w:r>
      <w:r>
        <w:rPr>
          <w:highlight w:val="none"/>
          <w:lang w:val="en-US" w:eastAsia="fr-FR"/>
        </w:rPr>
        <w:t xml:space="preserve"> ± 16.9 kg/d; milk somatic cell counts = 70</w:t>
      </w:r>
      <w:r>
        <w:rPr>
          <w:rFonts w:hint="eastAsia"/>
          <w:highlight w:val="none"/>
          <w:lang w:val="en-US" w:eastAsia="zh-CN"/>
        </w:rPr>
        <w:t>2</w:t>
      </w:r>
      <w:r>
        <w:rPr>
          <w:highlight w:val="none"/>
          <w:lang w:val="en-US" w:eastAsia="fr-FR"/>
        </w:rPr>
        <w:t xml:space="preserve"> ± 100×10</w:t>
      </w:r>
      <w:r>
        <w:rPr>
          <w:highlight w:val="none"/>
          <w:vertAlign w:val="superscript"/>
          <w:lang w:val="en-US" w:eastAsia="fr-FR"/>
        </w:rPr>
        <w:t>3</w:t>
      </w:r>
      <w:r>
        <w:rPr>
          <w:highlight w:val="none"/>
          <w:lang w:val="en-US" w:eastAsia="fr-FR"/>
        </w:rPr>
        <w:t xml:space="preserve"> cells/mL, Table </w:t>
      </w:r>
      <w:r>
        <w:rPr>
          <w:rFonts w:hint="eastAsia"/>
          <w:highlight w:val="none"/>
          <w:lang w:val="en-US" w:eastAsia="zh-CN"/>
        </w:rPr>
        <w:t>2-</w:t>
      </w:r>
      <w:r>
        <w:rPr>
          <w:highlight w:val="none"/>
          <w:lang w:val="en-US" w:eastAsia="fr-FR"/>
        </w:rPr>
        <w:t>1; with weakly positive or positive CMT results; without clinical symptoms in udders) and randomly divided into two groups (control and inulin group, respectively; n = 5). The control group was fed with total mixed rations (TMR) (concentrate: forage ratio = 40:60, Supplemental Table S1), while the inulin group was fed with TMR supplemented with inulin in a powder form at 300 g/d per cow.</w:t>
      </w:r>
      <w:r>
        <w:rPr>
          <w:rFonts w:hint="eastAsia"/>
          <w:highlight w:val="none"/>
          <w:lang w:val="en-US" w:eastAsia="zh-CN"/>
        </w:rPr>
        <w:t xml:space="preserve"> </w:t>
      </w:r>
      <w:r>
        <w:rPr>
          <w:highlight w:val="none"/>
          <w:lang w:val="en-US" w:eastAsia="fr-FR"/>
        </w:rPr>
        <w:t>The inulin (&gt;85% purity, other sugars containing fructose, sucrose and glucose) was supplied by the Langfang Academy of Agriculture and Forestry Sciences (Langfang, Hebei, China). Cows were individually housed and fed diets three times daily (08h00, 14h00, and 20h00), with ad libitum intake and free access to water. The experiment was conducted for 6 weeks, including 1 week adaptation and 5 weeks treatment.</w:t>
      </w:r>
    </w:p>
    <w:p w14:paraId="30067A74">
      <w:pPr>
        <w:pStyle w:val="11"/>
        <w:rPr>
          <w:highlight w:val="none"/>
          <w:lang w:val="en-US"/>
        </w:rPr>
      </w:pPr>
      <w:bookmarkStart w:id="63" w:name="_Hlk195021187"/>
      <w:bookmarkStart w:id="64" w:name="_Toc207979952"/>
      <w:r>
        <w:rPr>
          <w:b/>
          <w:bCs w:val="0"/>
          <w:sz w:val="22"/>
          <w:szCs w:val="21"/>
          <w:highlight w:val="none"/>
          <w:lang w:val="en-US"/>
        </w:rPr>
        <w:t xml:space="preserve">Table </w:t>
      </w:r>
      <w:r>
        <w:rPr>
          <w:rFonts w:hint="eastAsia"/>
          <w:b/>
          <w:bCs w:val="0"/>
          <w:sz w:val="22"/>
          <w:szCs w:val="21"/>
          <w:highlight w:val="none"/>
          <w:lang w:val="en-US" w:eastAsia="zh-CN"/>
        </w:rPr>
        <w:t>2</w:t>
      </w:r>
      <w:r>
        <w:rPr>
          <w:b/>
          <w:bCs w:val="0"/>
          <w:sz w:val="22"/>
          <w:szCs w:val="21"/>
          <w:highlight w:val="none"/>
          <w:lang w:val="en-US"/>
        </w:rPr>
        <w:noBreakHyphen/>
      </w:r>
      <w:r>
        <w:rPr>
          <w:b/>
          <w:bCs w:val="0"/>
          <w:sz w:val="22"/>
          <w:szCs w:val="21"/>
          <w:highlight w:val="none"/>
          <w:lang w:val="en-US"/>
        </w:rPr>
        <w:fldChar w:fldCharType="begin"/>
      </w:r>
      <w:r>
        <w:rPr>
          <w:b/>
          <w:bCs w:val="0"/>
          <w:sz w:val="22"/>
          <w:szCs w:val="21"/>
          <w:highlight w:val="none"/>
          <w:lang w:val="en-US"/>
        </w:rPr>
        <w:instrText xml:space="preserve"> SEQ Table \* ARABIC \s 1 </w:instrText>
      </w:r>
      <w:r>
        <w:rPr>
          <w:b/>
          <w:bCs w:val="0"/>
          <w:sz w:val="22"/>
          <w:szCs w:val="21"/>
          <w:highlight w:val="none"/>
          <w:lang w:val="en-US"/>
        </w:rPr>
        <w:fldChar w:fldCharType="separate"/>
      </w:r>
      <w:r>
        <w:rPr>
          <w:b/>
          <w:bCs w:val="0"/>
          <w:sz w:val="22"/>
          <w:szCs w:val="21"/>
          <w:highlight w:val="none"/>
          <w:lang w:val="en-US"/>
        </w:rPr>
        <w:t>1</w:t>
      </w:r>
      <w:r>
        <w:rPr>
          <w:b/>
          <w:bCs w:val="0"/>
          <w:sz w:val="22"/>
          <w:szCs w:val="21"/>
          <w:highlight w:val="none"/>
          <w:lang w:val="en-US"/>
        </w:rPr>
        <w:fldChar w:fldCharType="end"/>
      </w:r>
      <w:r>
        <w:rPr>
          <w:b/>
          <w:bCs w:val="0"/>
          <w:sz w:val="22"/>
          <w:szCs w:val="21"/>
          <w:highlight w:val="none"/>
          <w:lang w:val="en-US"/>
        </w:rPr>
        <w:t>:</w:t>
      </w:r>
      <w:r>
        <w:rPr>
          <w:highlight w:val="none"/>
          <w:lang w:val="en-US"/>
        </w:rPr>
        <w:t xml:space="preserve"> Basic information of dairy cows suffering from subclinical mastitis in control </w:t>
      </w:r>
      <w:bookmarkEnd w:id="63"/>
      <w:r>
        <w:rPr>
          <w:highlight w:val="none"/>
          <w:lang w:val="en-US"/>
        </w:rPr>
        <w:t>and inulin groups</w:t>
      </w:r>
      <w:bookmarkEnd w:id="64"/>
    </w:p>
    <w:tbl>
      <w:tblPr>
        <w:tblStyle w:val="29"/>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01"/>
        <w:gridCol w:w="1560"/>
        <w:gridCol w:w="1275"/>
        <w:gridCol w:w="1385"/>
        <w:gridCol w:w="741"/>
        <w:gridCol w:w="1639"/>
      </w:tblGrid>
      <w:tr w14:paraId="4873C0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5" w:type="pct"/>
            <w:tcBorders>
              <w:top w:val="single" w:color="auto" w:sz="4" w:space="0"/>
              <w:bottom w:val="single" w:color="auto" w:sz="4" w:space="0"/>
            </w:tcBorders>
            <w:vAlign w:val="center"/>
          </w:tcPr>
          <w:p w14:paraId="2D914B71">
            <w:pPr>
              <w:pStyle w:val="95"/>
              <w:jc w:val="both"/>
              <w:rPr>
                <w:rFonts w:ascii="Times New Roman" w:hAnsi="Times New Roman" w:eastAsia="Calibri"/>
                <w:sz w:val="20"/>
                <w:szCs w:val="20"/>
                <w:highlight w:val="none"/>
              </w:rPr>
            </w:pPr>
          </w:p>
        </w:tc>
        <w:tc>
          <w:tcPr>
            <w:tcW w:w="1013" w:type="pct"/>
            <w:tcBorders>
              <w:top w:val="single" w:color="auto" w:sz="4" w:space="0"/>
              <w:bottom w:val="single" w:color="auto" w:sz="4" w:space="0"/>
            </w:tcBorders>
            <w:vAlign w:val="center"/>
          </w:tcPr>
          <w:p w14:paraId="3A08045E">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DIM</w:t>
            </w:r>
          </w:p>
        </w:tc>
        <w:tc>
          <w:tcPr>
            <w:tcW w:w="828" w:type="pct"/>
            <w:tcBorders>
              <w:top w:val="single" w:color="auto" w:sz="4" w:space="0"/>
              <w:bottom w:val="single" w:color="auto" w:sz="4" w:space="0"/>
            </w:tcBorders>
            <w:vAlign w:val="center"/>
          </w:tcPr>
          <w:p w14:paraId="609C6D94">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Parity</w:t>
            </w:r>
          </w:p>
        </w:tc>
        <w:tc>
          <w:tcPr>
            <w:tcW w:w="899" w:type="pct"/>
            <w:tcBorders>
              <w:top w:val="single" w:color="auto" w:sz="4" w:space="0"/>
              <w:bottom w:val="single" w:color="auto" w:sz="4" w:space="0"/>
            </w:tcBorders>
            <w:vAlign w:val="center"/>
          </w:tcPr>
          <w:p w14:paraId="6C24A207">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Milk yield</w:t>
            </w:r>
          </w:p>
          <w:p w14:paraId="5468C986">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kg/d</w:t>
            </w:r>
          </w:p>
        </w:tc>
        <w:tc>
          <w:tcPr>
            <w:tcW w:w="481" w:type="pct"/>
            <w:tcBorders>
              <w:top w:val="single" w:color="auto" w:sz="4" w:space="0"/>
              <w:bottom w:val="single" w:color="auto" w:sz="4" w:space="0"/>
            </w:tcBorders>
            <w:vAlign w:val="center"/>
          </w:tcPr>
          <w:p w14:paraId="5307F192">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CMT results</w:t>
            </w:r>
          </w:p>
        </w:tc>
        <w:tc>
          <w:tcPr>
            <w:tcW w:w="1064" w:type="pct"/>
            <w:tcBorders>
              <w:top w:val="single" w:color="auto" w:sz="4" w:space="0"/>
              <w:bottom w:val="single" w:color="auto" w:sz="4" w:space="0"/>
            </w:tcBorders>
            <w:vAlign w:val="center"/>
          </w:tcPr>
          <w:p w14:paraId="72CB4A59">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Milk SCC</w:t>
            </w:r>
          </w:p>
          <w:p w14:paraId="7BF03024">
            <w:pPr>
              <w:pStyle w:val="95"/>
              <w:jc w:val="both"/>
              <w:rPr>
                <w:rFonts w:ascii="Times New Roman" w:hAnsi="Times New Roman" w:eastAsia="Calibri"/>
                <w:sz w:val="20"/>
                <w:szCs w:val="20"/>
                <w:highlight w:val="none"/>
              </w:rPr>
            </w:pPr>
            <w:r>
              <w:rPr>
                <w:rFonts w:ascii="Times New Roman" w:hAnsi="Times New Roman" w:eastAsiaTheme="minorEastAsia"/>
                <w:sz w:val="20"/>
                <w:szCs w:val="20"/>
                <w:highlight w:val="none"/>
                <w:lang w:eastAsia="zh-CN"/>
              </w:rPr>
              <w:t>×</w:t>
            </w:r>
            <w:r>
              <w:rPr>
                <w:rFonts w:ascii="Times New Roman" w:hAnsi="Times New Roman" w:eastAsia="Calibri"/>
                <w:sz w:val="20"/>
                <w:szCs w:val="20"/>
                <w:highlight w:val="none"/>
              </w:rPr>
              <w:t>10</w:t>
            </w:r>
            <w:r>
              <w:rPr>
                <w:rFonts w:ascii="Times New Roman" w:hAnsi="Times New Roman" w:eastAsia="Calibri"/>
                <w:sz w:val="20"/>
                <w:szCs w:val="20"/>
                <w:highlight w:val="none"/>
                <w:vertAlign w:val="superscript"/>
              </w:rPr>
              <w:t>3</w:t>
            </w:r>
            <w:r>
              <w:rPr>
                <w:rFonts w:ascii="Times New Roman" w:hAnsi="Times New Roman" w:eastAsia="Calibri"/>
                <w:sz w:val="20"/>
                <w:szCs w:val="20"/>
                <w:highlight w:val="none"/>
              </w:rPr>
              <w:t xml:space="preserve"> cells/mL</w:t>
            </w:r>
          </w:p>
        </w:tc>
      </w:tr>
      <w:tr w14:paraId="6F3F1E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5" w:type="pct"/>
            <w:tcBorders>
              <w:top w:val="single" w:color="auto" w:sz="4" w:space="0"/>
            </w:tcBorders>
            <w:vAlign w:val="center"/>
          </w:tcPr>
          <w:p w14:paraId="1B99A1A2">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Control Group</w:t>
            </w:r>
          </w:p>
        </w:tc>
        <w:tc>
          <w:tcPr>
            <w:tcW w:w="1013" w:type="pct"/>
            <w:tcBorders>
              <w:top w:val="single" w:color="auto" w:sz="4" w:space="0"/>
            </w:tcBorders>
            <w:vAlign w:val="center"/>
          </w:tcPr>
          <w:p w14:paraId="6FDA9153">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162 ± 34</w:t>
            </w:r>
          </w:p>
        </w:tc>
        <w:tc>
          <w:tcPr>
            <w:tcW w:w="828" w:type="pct"/>
            <w:tcBorders>
              <w:top w:val="single" w:color="auto" w:sz="4" w:space="0"/>
            </w:tcBorders>
            <w:vAlign w:val="center"/>
          </w:tcPr>
          <w:p w14:paraId="2F061650">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4.4 ± 1.1</w:t>
            </w:r>
          </w:p>
        </w:tc>
        <w:tc>
          <w:tcPr>
            <w:tcW w:w="899" w:type="pct"/>
            <w:tcBorders>
              <w:top w:val="single" w:color="auto" w:sz="4" w:space="0"/>
            </w:tcBorders>
            <w:vAlign w:val="center"/>
          </w:tcPr>
          <w:p w14:paraId="1792C9F7">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43.</w:t>
            </w:r>
            <w:r>
              <w:rPr>
                <w:rFonts w:hint="eastAsia" w:ascii="Times New Roman" w:hAnsi="Times New Roman" w:eastAsiaTheme="minorEastAsia"/>
                <w:sz w:val="20"/>
                <w:szCs w:val="20"/>
                <w:highlight w:val="none"/>
                <w:lang w:eastAsia="zh-CN"/>
              </w:rPr>
              <w:t>1</w:t>
            </w:r>
            <w:r>
              <w:rPr>
                <w:rFonts w:ascii="Times New Roman" w:hAnsi="Times New Roman" w:eastAsia="Calibri"/>
                <w:sz w:val="20"/>
                <w:szCs w:val="20"/>
                <w:highlight w:val="none"/>
              </w:rPr>
              <w:t xml:space="preserve"> ± 18.1</w:t>
            </w:r>
          </w:p>
        </w:tc>
        <w:tc>
          <w:tcPr>
            <w:tcW w:w="481" w:type="pct"/>
            <w:tcBorders>
              <w:top w:val="single" w:color="auto" w:sz="4" w:space="0"/>
            </w:tcBorders>
            <w:vAlign w:val="center"/>
          </w:tcPr>
          <w:p w14:paraId="755AC678">
            <w:pPr>
              <w:pStyle w:val="95"/>
              <w:jc w:val="both"/>
              <w:rPr>
                <w:rFonts w:ascii="Times New Roman" w:hAnsi="Times New Roman" w:eastAsia="Calibri"/>
                <w:sz w:val="20"/>
                <w:szCs w:val="20"/>
                <w:highlight w:val="none"/>
                <w:vertAlign w:val="superscript"/>
              </w:rPr>
            </w:pPr>
            <w:r>
              <w:rPr>
                <w:rFonts w:ascii="Times New Roman" w:hAnsi="Times New Roman" w:eastAsia="Calibri"/>
                <w:sz w:val="20"/>
                <w:szCs w:val="20"/>
                <w:highlight w:val="none"/>
              </w:rPr>
              <w:t>+/++</w:t>
            </w:r>
          </w:p>
        </w:tc>
        <w:tc>
          <w:tcPr>
            <w:tcW w:w="1064" w:type="pct"/>
            <w:tcBorders>
              <w:top w:val="single" w:color="auto" w:sz="4" w:space="0"/>
            </w:tcBorders>
            <w:vAlign w:val="center"/>
          </w:tcPr>
          <w:p w14:paraId="367CDD36">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64</w:t>
            </w:r>
            <w:r>
              <w:rPr>
                <w:rFonts w:hint="eastAsia" w:ascii="Times New Roman" w:hAnsi="Times New Roman" w:eastAsiaTheme="minorEastAsia"/>
                <w:sz w:val="20"/>
                <w:szCs w:val="20"/>
                <w:highlight w:val="none"/>
                <w:lang w:eastAsia="zh-CN"/>
              </w:rPr>
              <w:t>8</w:t>
            </w:r>
            <w:r>
              <w:rPr>
                <w:rFonts w:ascii="Times New Roman" w:hAnsi="Times New Roman" w:eastAsia="Calibri"/>
                <w:sz w:val="20"/>
                <w:szCs w:val="20"/>
                <w:highlight w:val="none"/>
              </w:rPr>
              <w:t xml:space="preserve"> ± 8</w:t>
            </w:r>
            <w:r>
              <w:rPr>
                <w:rFonts w:hint="eastAsia" w:ascii="Times New Roman" w:hAnsi="Times New Roman" w:eastAsiaTheme="minorEastAsia"/>
                <w:sz w:val="20"/>
                <w:szCs w:val="20"/>
                <w:highlight w:val="none"/>
                <w:lang w:eastAsia="zh-CN"/>
              </w:rPr>
              <w:t>9</w:t>
            </w:r>
          </w:p>
        </w:tc>
      </w:tr>
      <w:tr w14:paraId="72AF526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5" w:type="pct"/>
            <w:vAlign w:val="center"/>
          </w:tcPr>
          <w:p w14:paraId="63851C48">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Inulin Group</w:t>
            </w:r>
          </w:p>
        </w:tc>
        <w:tc>
          <w:tcPr>
            <w:tcW w:w="1013" w:type="pct"/>
            <w:vAlign w:val="center"/>
          </w:tcPr>
          <w:p w14:paraId="049AF490">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12</w:t>
            </w:r>
            <w:r>
              <w:rPr>
                <w:rFonts w:hint="eastAsia" w:ascii="Times New Roman" w:hAnsi="Times New Roman" w:eastAsiaTheme="minorEastAsia"/>
                <w:sz w:val="20"/>
                <w:szCs w:val="20"/>
                <w:highlight w:val="none"/>
                <w:lang w:eastAsia="zh-CN"/>
              </w:rPr>
              <w:t>4</w:t>
            </w:r>
            <w:r>
              <w:rPr>
                <w:rFonts w:ascii="Times New Roman" w:hAnsi="Times New Roman" w:eastAsia="Calibri"/>
                <w:sz w:val="20"/>
                <w:szCs w:val="20"/>
                <w:highlight w:val="none"/>
              </w:rPr>
              <w:t xml:space="preserve"> ± 13</w:t>
            </w:r>
          </w:p>
        </w:tc>
        <w:tc>
          <w:tcPr>
            <w:tcW w:w="828" w:type="pct"/>
            <w:vAlign w:val="center"/>
          </w:tcPr>
          <w:p w14:paraId="47A4FC33">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2.8 ± 1.9</w:t>
            </w:r>
          </w:p>
        </w:tc>
        <w:tc>
          <w:tcPr>
            <w:tcW w:w="899" w:type="pct"/>
            <w:vAlign w:val="center"/>
          </w:tcPr>
          <w:p w14:paraId="1F6BF9BC">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21.0 ± 3.6</w:t>
            </w:r>
          </w:p>
        </w:tc>
        <w:tc>
          <w:tcPr>
            <w:tcW w:w="481" w:type="pct"/>
            <w:vAlign w:val="center"/>
          </w:tcPr>
          <w:p w14:paraId="0C586689">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w:t>
            </w:r>
            <w:r>
              <w:rPr>
                <w:rFonts w:ascii="Times New Roman" w:hAnsi="Times New Roman" w:eastAsia="Calibri"/>
                <w:sz w:val="20"/>
                <w:szCs w:val="20"/>
                <w:highlight w:val="none"/>
                <w:vertAlign w:val="superscript"/>
              </w:rPr>
              <w:t>1</w:t>
            </w:r>
          </w:p>
        </w:tc>
        <w:tc>
          <w:tcPr>
            <w:tcW w:w="1064" w:type="pct"/>
            <w:vAlign w:val="center"/>
          </w:tcPr>
          <w:p w14:paraId="366242F4">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754 ± 88</w:t>
            </w:r>
          </w:p>
        </w:tc>
      </w:tr>
      <w:tr w14:paraId="7179D8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15" w:type="pct"/>
            <w:vAlign w:val="center"/>
          </w:tcPr>
          <w:p w14:paraId="4AF9D386">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Average </w:t>
            </w:r>
          </w:p>
        </w:tc>
        <w:tc>
          <w:tcPr>
            <w:tcW w:w="1013" w:type="pct"/>
            <w:vAlign w:val="center"/>
          </w:tcPr>
          <w:p w14:paraId="6D3490DF">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143 ± 3</w:t>
            </w:r>
            <w:r>
              <w:rPr>
                <w:rFonts w:hint="eastAsia" w:ascii="Times New Roman" w:hAnsi="Times New Roman" w:eastAsiaTheme="minorEastAsia"/>
                <w:sz w:val="20"/>
                <w:szCs w:val="20"/>
                <w:highlight w:val="none"/>
                <w:lang w:eastAsia="zh-CN"/>
              </w:rPr>
              <w:t>2</w:t>
            </w:r>
          </w:p>
        </w:tc>
        <w:tc>
          <w:tcPr>
            <w:tcW w:w="828" w:type="pct"/>
            <w:vAlign w:val="center"/>
          </w:tcPr>
          <w:p w14:paraId="14A6A902">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3.6 ± 1.7</w:t>
            </w:r>
          </w:p>
        </w:tc>
        <w:tc>
          <w:tcPr>
            <w:tcW w:w="899" w:type="pct"/>
            <w:vAlign w:val="center"/>
          </w:tcPr>
          <w:p w14:paraId="58AE7E14">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32.</w:t>
            </w:r>
            <w:r>
              <w:rPr>
                <w:rFonts w:hint="eastAsia" w:ascii="Times New Roman" w:hAnsi="Times New Roman" w:eastAsiaTheme="minorEastAsia"/>
                <w:sz w:val="20"/>
                <w:szCs w:val="20"/>
                <w:highlight w:val="none"/>
                <w:lang w:eastAsia="zh-CN"/>
              </w:rPr>
              <w:t>1</w:t>
            </w:r>
            <w:r>
              <w:rPr>
                <w:rFonts w:ascii="Times New Roman" w:hAnsi="Times New Roman" w:eastAsia="Calibri"/>
                <w:sz w:val="20"/>
                <w:szCs w:val="20"/>
                <w:highlight w:val="none"/>
              </w:rPr>
              <w:t xml:space="preserve"> ± 16.9</w:t>
            </w:r>
          </w:p>
        </w:tc>
        <w:tc>
          <w:tcPr>
            <w:tcW w:w="481" w:type="pct"/>
            <w:vAlign w:val="center"/>
          </w:tcPr>
          <w:p w14:paraId="3927A2A1">
            <w:pPr>
              <w:pStyle w:val="95"/>
              <w:jc w:val="both"/>
              <w:rPr>
                <w:rFonts w:ascii="Times New Roman" w:hAnsi="Times New Roman" w:eastAsia="Calibri"/>
                <w:sz w:val="20"/>
                <w:szCs w:val="20"/>
                <w:highlight w:val="none"/>
              </w:rPr>
            </w:pPr>
            <w:r>
              <w:rPr>
                <w:rFonts w:ascii="Times New Roman" w:hAnsi="Times New Roman" w:eastAsia="Calibri"/>
                <w:sz w:val="20"/>
                <w:szCs w:val="20"/>
                <w:highlight w:val="none"/>
              </w:rPr>
              <w:t>/</w:t>
            </w:r>
          </w:p>
        </w:tc>
        <w:tc>
          <w:tcPr>
            <w:tcW w:w="1064" w:type="pct"/>
            <w:vAlign w:val="center"/>
          </w:tcPr>
          <w:p w14:paraId="4096BA67">
            <w:pPr>
              <w:pStyle w:val="95"/>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70</w:t>
            </w:r>
            <w:r>
              <w:rPr>
                <w:rFonts w:hint="eastAsia" w:ascii="Times New Roman" w:hAnsi="Times New Roman" w:eastAsiaTheme="minorEastAsia"/>
                <w:sz w:val="20"/>
                <w:szCs w:val="20"/>
                <w:highlight w:val="none"/>
                <w:lang w:eastAsia="zh-CN"/>
              </w:rPr>
              <w:t>2</w:t>
            </w:r>
            <w:r>
              <w:rPr>
                <w:rFonts w:ascii="Times New Roman" w:hAnsi="Times New Roman" w:eastAsia="Calibri"/>
                <w:sz w:val="20"/>
                <w:szCs w:val="20"/>
                <w:highlight w:val="none"/>
              </w:rPr>
              <w:t xml:space="preserve"> ± 100</w:t>
            </w:r>
          </w:p>
        </w:tc>
      </w:tr>
    </w:tbl>
    <w:p w14:paraId="1458FE57">
      <w:pPr>
        <w:rPr>
          <w:sz w:val="20"/>
          <w:szCs w:val="20"/>
          <w:highlight w:val="none"/>
          <w:lang w:val="en-US" w:eastAsia="fr-FR"/>
        </w:rPr>
      </w:pPr>
      <w:r>
        <w:rPr>
          <w:sz w:val="20"/>
          <w:szCs w:val="20"/>
          <w:highlight w:val="none"/>
          <w:lang w:val="en-US" w:eastAsia="fr-FR"/>
        </w:rPr>
        <w:t>Abbreviations: DIM</w:t>
      </w:r>
      <w:r>
        <w:rPr>
          <w:rFonts w:hint="eastAsia"/>
          <w:sz w:val="20"/>
          <w:szCs w:val="20"/>
          <w:highlight w:val="none"/>
          <w:lang w:val="en-US" w:eastAsia="zh-CN"/>
        </w:rPr>
        <w:t>:</w:t>
      </w:r>
      <w:r>
        <w:rPr>
          <w:sz w:val="20"/>
          <w:szCs w:val="20"/>
          <w:highlight w:val="none"/>
          <w:lang w:val="en-US" w:eastAsia="fr-FR"/>
        </w:rPr>
        <w:t xml:space="preserve"> days in milk; CMT</w:t>
      </w:r>
      <w:r>
        <w:rPr>
          <w:rFonts w:hint="eastAsia"/>
          <w:sz w:val="20"/>
          <w:szCs w:val="20"/>
          <w:highlight w:val="none"/>
          <w:lang w:val="en-US" w:eastAsia="zh-CN"/>
        </w:rPr>
        <w:t>:</w:t>
      </w:r>
      <w:r>
        <w:rPr>
          <w:sz w:val="20"/>
          <w:szCs w:val="20"/>
          <w:highlight w:val="none"/>
          <w:lang w:val="en-US" w:eastAsia="fr-FR"/>
        </w:rPr>
        <w:t xml:space="preserve"> California mastitis test; SCC</w:t>
      </w:r>
      <w:r>
        <w:rPr>
          <w:rFonts w:hint="eastAsia"/>
          <w:sz w:val="20"/>
          <w:szCs w:val="20"/>
          <w:highlight w:val="none"/>
          <w:lang w:val="en-US" w:eastAsia="zh-CN"/>
        </w:rPr>
        <w:t>:</w:t>
      </w:r>
      <w:r>
        <w:rPr>
          <w:sz w:val="20"/>
          <w:szCs w:val="20"/>
          <w:highlight w:val="none"/>
          <w:lang w:val="en-US" w:eastAsia="fr-FR"/>
        </w:rPr>
        <w:t xml:space="preserve"> somatic cell counts.</w:t>
      </w:r>
    </w:p>
    <w:p w14:paraId="36653B73">
      <w:pPr>
        <w:rPr>
          <w:sz w:val="20"/>
          <w:szCs w:val="20"/>
          <w:highlight w:val="none"/>
          <w:lang w:val="en-US" w:eastAsia="fr-FR"/>
        </w:rPr>
      </w:pPr>
      <w:r>
        <w:rPr>
          <w:sz w:val="20"/>
          <w:szCs w:val="20"/>
          <w:highlight w:val="none"/>
          <w:vertAlign w:val="superscript"/>
          <w:lang w:val="en-US" w:eastAsia="fr-FR"/>
        </w:rPr>
        <w:t>1</w:t>
      </w:r>
      <w:r>
        <w:rPr>
          <w:sz w:val="20"/>
          <w:szCs w:val="20"/>
          <w:highlight w:val="none"/>
          <w:lang w:val="en-US" w:eastAsia="fr-FR"/>
        </w:rPr>
        <w:t>+, ++ represent weakly positive and positive, respectively.</w:t>
      </w:r>
    </w:p>
    <w:bookmarkEnd w:id="62"/>
    <w:p w14:paraId="75F0EC5A">
      <w:pPr>
        <w:pStyle w:val="5"/>
        <w:rPr>
          <w:highlight w:val="none"/>
          <w:lang w:val="en-US" w:eastAsia="fr-FR"/>
        </w:rPr>
      </w:pPr>
      <w:r>
        <w:rPr>
          <w:highlight w:val="none"/>
          <w:lang w:val="en-US" w:eastAsia="fr-FR"/>
        </w:rPr>
        <w:t>Sample collection</w:t>
      </w:r>
    </w:p>
    <w:p w14:paraId="6EFD5CE7">
      <w:pPr>
        <w:rPr>
          <w:highlight w:val="none"/>
          <w:lang w:val="en-US" w:eastAsia="zh-CN"/>
        </w:rPr>
      </w:pPr>
      <w:r>
        <w:rPr>
          <w:highlight w:val="none"/>
          <w:lang w:val="en-US" w:eastAsia="zh-CN"/>
        </w:rPr>
        <w:t>Blood samples were collected from the caudal vein of each cow at 07h00 before morning feeding on the last day of the experiment. Serum of each cow was isolated at 3,000×g for 15 min at room temperature, and subsequently stored at -80°C for further analysis.</w:t>
      </w:r>
    </w:p>
    <w:p w14:paraId="47F52380">
      <w:pPr>
        <w:pStyle w:val="4"/>
        <w:rPr>
          <w:highlight w:val="none"/>
          <w:lang w:val="en-US" w:eastAsia="fr-FR"/>
        </w:rPr>
      </w:pPr>
      <w:bookmarkStart w:id="65" w:name="_Toc207979755"/>
      <w:r>
        <w:rPr>
          <w:highlight w:val="none"/>
          <w:lang w:val="en-US" w:eastAsia="fr-FR"/>
        </w:rPr>
        <w:t>Separation of small extracellular vesicles</w:t>
      </w:r>
      <w:bookmarkEnd w:id="65"/>
    </w:p>
    <w:p w14:paraId="43C90885">
      <w:pPr>
        <w:rPr>
          <w:rStyle w:val="93"/>
          <w:rFonts w:cs="Times New Roman"/>
          <w:bCs/>
          <w:highlight w:val="none"/>
        </w:rPr>
      </w:pPr>
      <w:r>
        <w:rPr>
          <w:rStyle w:val="93"/>
          <w:rFonts w:cs="Times New Roman"/>
          <w:bCs/>
          <w:highlight w:val="none"/>
        </w:rPr>
        <w:t>The Capturem Extracellular Vesicle Isolation Kit (Maxi) (Cat. No. 635748, TAKARA, Japan) was used to isolate sEVs from serum according to the manufacturer’s protocol. In summary, the serum sample was thawed in a water bath at room temperature. One mL of serum was centrifuged at 3,000×g for 10 min to remove any cellular debris. The supernatant was mixed with 3mL PBS, and pre-cleared by centrifuging at 3,000×g for 2 min using a pre-clearing column to remove all large membrane fragments, apoptotic bodies, smaller cell fragments, etc. The flowthrough thereafter was loaded on a centrifugal filter unit and centrifuged at 3,000×g until the retentate volume reached 300uL or less. This step further eliminated nonspecific protein aggregates, lipoproteins, cytokines, etc., resulting in higher purity of the sEVs. The retentate was collected and the filter was further rinsed with PBS to wash off any remaining sEVs. After this step, the total sample volume was adjusted to 20 mL with PBS. Then, the samples were loaded into an isolation column, and sEVs were bound to the membrane after centrifugation at 500×g for 60 min. Next, the sEVs were washed out by centrifuged at 500×g for 2 min using a wash buffer, and eluted in a final volume of 1mL. The final eluate was collected and stored at -80°C for further analysis.</w:t>
      </w:r>
    </w:p>
    <w:p w14:paraId="1258AD29">
      <w:pPr>
        <w:rPr>
          <w:rStyle w:val="93"/>
          <w:rFonts w:cs="Times New Roman"/>
          <w:bCs/>
          <w:highlight w:val="none"/>
        </w:rPr>
      </w:pPr>
      <w:r>
        <w:rPr>
          <w:rStyle w:val="93"/>
          <w:rFonts w:cs="Times New Roman"/>
          <w:bCs/>
          <w:highlight w:val="none"/>
        </w:rPr>
        <w:t>The nanoparticle tracking analysis was conducted to determine the concentration and size distribution of sEVs. The physical characteristics of the isolated sEVs was identified using ZetaView Electrophoresis, followed by Brownian Motion Video Analysis Laser Scattering Microscopy (S/N 252, Particle Metrix, Germany). The sEVs were diluted in PBS with a dilution factor of 200. The size distribution of particles was analyzed using ZetaView software, 8.04.02 SP2, with a camera resolution of 0.703 µm/px.</w:t>
      </w:r>
    </w:p>
    <w:p w14:paraId="4CE90D8A">
      <w:pPr>
        <w:rPr>
          <w:rFonts w:cs="Times New Roman"/>
          <w:bCs/>
          <w:highlight w:val="none"/>
          <w:lang w:eastAsia="zh-CN"/>
        </w:rPr>
      </w:pPr>
      <w:r>
        <w:rPr>
          <w:rStyle w:val="93"/>
          <w:rFonts w:cs="Times New Roman"/>
          <w:bCs/>
          <w:highlight w:val="none"/>
        </w:rPr>
        <w:t>Twenty µL of the sEVs suspension was dropped onto a copper wire and left for over 1 min. Subsequently, the sample was fixed with uranyl acetate solution (GZ02625, EMCN, China) for negative staining for 1-10 mins. After drying at room temperature, the sEVs were observed using Transmission Electron Microscopy (Griffiths-Jones et al., 2003) (HT-7700, Hitachi, Japan).</w:t>
      </w:r>
    </w:p>
    <w:p w14:paraId="66B8402E">
      <w:pPr>
        <w:pStyle w:val="4"/>
        <w:rPr>
          <w:highlight w:val="none"/>
          <w:lang w:val="en-US" w:eastAsia="fr-FR"/>
        </w:rPr>
      </w:pPr>
      <w:bookmarkStart w:id="66" w:name="_Toc207979756"/>
      <w:r>
        <w:rPr>
          <w:highlight w:val="none"/>
          <w:lang w:val="en-US" w:eastAsia="fr-FR"/>
        </w:rPr>
        <w:t>Small RNA library construction and sequencing</w:t>
      </w:r>
      <w:bookmarkEnd w:id="66"/>
    </w:p>
    <w:p w14:paraId="292095FF">
      <w:pPr>
        <w:rPr>
          <w:rStyle w:val="93"/>
          <w:rFonts w:cs="Times New Roman"/>
          <w:bCs/>
          <w:highlight w:val="none"/>
          <w:lang w:val="zh-CN"/>
        </w:rPr>
      </w:pPr>
      <w:r>
        <w:rPr>
          <w:rStyle w:val="93"/>
          <w:rFonts w:cs="Times New Roman"/>
          <w:bCs/>
          <w:highlight w:val="none"/>
          <w:lang w:val="zh-CN"/>
        </w:rPr>
        <w:t>The RNeasy Mini Kit (cat. No. 74104, QIAGEN, Germany) was used to isolate RNAs from the serum sEVs. The small RNA sequencing was conducted by OE biotech Co., Ltd. (Shanghai, China), using the Illumina Hiseq X Ten, PE150. Briefly, 3’ and 5’ adapters were ligated to the end of the RNA molecules with T4 RNA Ligase (catalog no. LR2D1132K, Epicentre, US). Then, the libraries were subjected to reverse transcription by the SuperScript II Reverse Transcriptase kit (catalog no.18064-014, Invitrogen, US), followed by amplification through polymerase chain reaction. The cDNA constructs were purified and recovered, and the libraries were checked using the Agilent Technologies 2100 Bioanalyzer and eventually normalized.</w:t>
      </w:r>
    </w:p>
    <w:p w14:paraId="664FA968">
      <w:pPr>
        <w:pStyle w:val="4"/>
        <w:rPr>
          <w:highlight w:val="none"/>
          <w:lang w:val="en-US" w:eastAsia="fr-FR"/>
        </w:rPr>
      </w:pPr>
      <w:bookmarkStart w:id="67" w:name="_Toc207979757"/>
      <w:r>
        <w:rPr>
          <w:highlight w:val="none"/>
          <w:lang w:val="en-US" w:eastAsia="fr-FR"/>
        </w:rPr>
        <w:t>Bioinformatics analysis</w:t>
      </w:r>
      <w:bookmarkEnd w:id="67"/>
    </w:p>
    <w:p w14:paraId="65A782BE">
      <w:pPr>
        <w:rPr>
          <w:rStyle w:val="93"/>
          <w:rFonts w:cs="Times New Roman"/>
          <w:bCs/>
          <w:highlight w:val="none"/>
          <w:lang w:val="zh-CN"/>
        </w:rPr>
      </w:pPr>
      <w:r>
        <w:rPr>
          <w:rStyle w:val="93"/>
          <w:rFonts w:cs="Times New Roman"/>
          <w:bCs/>
          <w:highlight w:val="none"/>
          <w:lang w:val="zh-CN"/>
        </w:rPr>
        <w:t>The bioinformatics analysis was conducted by OE biotech Co., Ltd. (Shanghai, China). The basic reads were converted into raw data by base calling. The clean reads were obtained by filtering out those reads without 3’adapters and insert tags, reads with 5’ primer contaminants and poly (A), low-quality reads, as well as reads shorter than 15 nt and longer than 41nt. The Fastx_toolkit (version 0.0.13) was used for quality control (Gordon and Hannon, 2010). The reads containing N bases were filtered by the NGSQC Toolkit (version 2.3.2) (Patel and Jain, 2012). The length distribution of the clean sequences in the reference genome was determined for primary analysis. Non-coding RNAs were annotated as rRNAs, tRNAs, small nuclear RNAs (snRNAs), and small nucleolar RNAs and subjected to the BLAST (Altschul et al., 1990) search against the Rfam (v.10.1) (Griffiths-Jones et al., 2003) and GenBank databases. The known miRNAs were identified by aligning them against the miRBase v.21 database (Kozomara et al., 2019), and their expression patterns were analyzed. Novel miRNAs were predicted using mirdeep2 (Friedlander et al., 2012) and RNAfold (http://rna.tbi.univie.ac.at/cgi-bin/RNAWebSuite/RNAfold.cgi). Based on the hairpin structure of a pre-miRNA and the miRBase database,</w:t>
      </w:r>
      <w:r>
        <w:rPr>
          <w:rStyle w:val="93"/>
          <w:rFonts w:hint="eastAsia" w:cs="Times New Roman"/>
          <w:bCs/>
          <w:highlight w:val="none"/>
          <w:lang w:val="zh-CN"/>
        </w:rPr>
        <w:t xml:space="preserve"> the corresponding miRNA star sequence was also identified. The targets of differentially expressed miRNAs were predicted using the miranda software (Enright et al., 2003), with the following parameters: S ≥ 150 ΔG ≤ -30 kcal/mol, and a strict 5’ seed pair</w:t>
      </w:r>
      <w:r>
        <w:rPr>
          <w:rStyle w:val="93"/>
          <w:rFonts w:cs="Times New Roman"/>
          <w:bCs/>
          <w:highlight w:val="none"/>
          <w:lang w:val="zh-CN"/>
        </w:rPr>
        <w:t>ing demand. Gene ontology (GO) enrichment and Kyoto Encyclopedia of Genes and Genomes (KEGG) pathway analyses were performed using the predicted target genes.</w:t>
      </w:r>
    </w:p>
    <w:p w14:paraId="76506DE7">
      <w:pPr>
        <w:pStyle w:val="4"/>
        <w:rPr>
          <w:highlight w:val="none"/>
          <w:lang w:val="en-US" w:eastAsia="fr-FR"/>
        </w:rPr>
      </w:pPr>
      <w:bookmarkStart w:id="68" w:name="_Toc207979758"/>
      <w:r>
        <w:rPr>
          <w:highlight w:val="none"/>
          <w:lang w:val="en-US" w:eastAsia="fr-FR"/>
        </w:rPr>
        <w:t>Statistical analysis of data</w:t>
      </w:r>
      <w:bookmarkEnd w:id="68"/>
    </w:p>
    <w:p w14:paraId="4617ACD7">
      <w:pPr>
        <w:rPr>
          <w:highlight w:val="none"/>
          <w:lang w:val="en-GB" w:eastAsia="zh-CN"/>
        </w:rPr>
      </w:pPr>
      <w:r>
        <w:rPr>
          <w:highlight w:val="none"/>
          <w:lang w:val="en-GB" w:eastAsia="zh-CN"/>
        </w:rPr>
        <w:t xml:space="preserve">Differentially expressed miRNAs were identified based on a threshold of an adjusted p-value &lt; 0.05. The p-value was calculated using Audic-Claverie statistics in the R package and adjusted using the Benjamin-Hochberg correction for multiple testing </w:t>
      </w:r>
      <w:r>
        <w:rPr>
          <w:highlight w:val="none"/>
          <w:lang w:val="en-GB" w:eastAsia="zh-CN"/>
        </w:rPr>
        <w:fldChar w:fldCharType="begin"/>
      </w:r>
      <w:r>
        <w:rPr>
          <w:highlight w:val="none"/>
          <w:lang w:val="en-GB" w:eastAsia="zh-CN"/>
        </w:rPr>
        <w:instrText xml:space="preserve"> ADDIN EN.CITE &lt;EndNote&gt;&lt;Cite&gt;&lt;Author&gt;Tino&lt;/Author&gt;&lt;Year&gt;2009&lt;/Year&gt;&lt;RecNum&gt;67&lt;/RecNum&gt;&lt;DisplayText&gt;(Tino, 2009)&lt;/DisplayText&gt;&lt;record&gt;&lt;rec-number&gt;67&lt;/rec-number&gt;&lt;foreign-keys&gt;&lt;key app="EN" db-id="xwvtz5rea2fr2je0p0uppszgwft92rr5pxdp" timestamp="1670495890"&gt;67&lt;/key&gt;&lt;/foreign-keys&gt;&lt;ref-type name="Journal Article"&gt;17&lt;/ref-type&gt;&lt;contributors&gt;&lt;authors&gt;&lt;author&gt;Tino, P.&lt;/author&gt;&lt;/authors&gt;&lt;/contributors&gt;&lt;auth-address&gt;School of Computer Science, The University of Birmingham, Birmingham, B15 2TT, UK. P.Tino@cs.bham.ac.uk&lt;/auth-address&gt;&lt;titles&gt;&lt;title&gt;Basic properties and information theory of Audic-Claverie statistic for analyzing cDNA arrays&lt;/title&gt;&lt;secondary-title&gt;BMC Bioinformatics&lt;/secondary-title&gt;&lt;/titles&gt;&lt;periodical&gt;&lt;full-title&gt;BMC Bioinformatics&lt;/full-title&gt;&lt;/periodical&gt;&lt;pages&gt;310&lt;/pages&gt;&lt;volume&gt;10&lt;/volume&gt;&lt;edition&gt;20090923&lt;/edition&gt;&lt;keywords&gt;&lt;keyword&gt;*Algorithms&lt;/keyword&gt;&lt;keyword&gt;Computational Biology/*methods&lt;/keyword&gt;&lt;keyword&gt;Databases, Genetic&lt;/keyword&gt;&lt;keyword&gt;Gene Expression Profiling/methods&lt;/keyword&gt;&lt;keyword&gt;Models, Statistical&lt;/keyword&gt;&lt;keyword&gt;*Oligonucleotide Array Sequence Analysis&lt;/keyword&gt;&lt;keyword&gt;Poisson Distribution&lt;/keyword&gt;&lt;/keywords&gt;&lt;dates&gt;&lt;year&gt;2009&lt;/year&gt;&lt;pub-dates&gt;&lt;date&gt;Sep 23&lt;/date&gt;&lt;/pub-dates&gt;&lt;/dates&gt;&lt;isbn&gt;1471-2105 (Electronic)&amp;#xD;1471-2105 (Linking)&lt;/isbn&gt;&lt;accession-num&gt;19775462&lt;/accession-num&gt;&lt;urls&gt;&lt;related-urls&gt;&lt;url&gt;https://www.ncbi.nlm.nih.gov/pubmed/19775462&lt;/url&gt;&lt;/related-urls&gt;&lt;/urls&gt;&lt;custom2&gt;PMC2761412&lt;/custom2&gt;&lt;electronic-resource-num&gt;10.1186/1471-2105-10-310&lt;/electronic-resource-num&gt;&lt;remote-database-name&gt;Medline&lt;/remote-database-name&gt;&lt;remote-database-provider&gt;NLM&lt;/remote-database-provider&gt;&lt;/record&gt;&lt;/Cite&gt;&lt;/EndNote&gt;</w:instrText>
      </w:r>
      <w:r>
        <w:rPr>
          <w:highlight w:val="none"/>
          <w:lang w:val="en-GB" w:eastAsia="zh-CN"/>
        </w:rPr>
        <w:fldChar w:fldCharType="separate"/>
      </w:r>
      <w:r>
        <w:rPr>
          <w:highlight w:val="none"/>
          <w:lang w:val="en-GB" w:eastAsia="zh-CN"/>
        </w:rPr>
        <w:t>(Tino, 2009)</w:t>
      </w:r>
      <w:r>
        <w:rPr>
          <w:highlight w:val="none"/>
          <w:lang w:val="en-GB" w:eastAsia="zh-CN"/>
        </w:rPr>
        <w:fldChar w:fldCharType="end"/>
      </w:r>
      <w:r>
        <w:rPr>
          <w:highlight w:val="none"/>
          <w:lang w:val="en-GB" w:eastAsia="zh-CN"/>
        </w:rPr>
        <w:t>. GO enrichment and KEGG pathway enrichment analysis of differentially expressed miRNA target genes were respectively performed using R (version R3.5.1) based on the hypergeometric distribution.</w:t>
      </w:r>
    </w:p>
    <w:p w14:paraId="0D40FD8A">
      <w:pPr>
        <w:pStyle w:val="3"/>
        <w:rPr>
          <w:highlight w:val="none"/>
        </w:rPr>
      </w:pPr>
      <w:bookmarkStart w:id="69" w:name="_Toc207979759"/>
      <w:r>
        <w:rPr>
          <w:highlight w:val="none"/>
        </w:rPr>
        <w:t>Results</w:t>
      </w:r>
      <w:bookmarkEnd w:id="69"/>
    </w:p>
    <w:p w14:paraId="114B5088">
      <w:pPr>
        <w:pStyle w:val="4"/>
        <w:rPr>
          <w:highlight w:val="none"/>
          <w:lang w:val="en-US" w:eastAsia="fr-FR"/>
        </w:rPr>
      </w:pPr>
      <w:bookmarkStart w:id="70" w:name="_Toc207979760"/>
      <w:r>
        <w:rPr>
          <w:highlight w:val="none"/>
          <w:lang w:val="en-US" w:eastAsia="fr-FR"/>
        </w:rPr>
        <w:t>Identification of Bovine Serum small extracellular vesicles</w:t>
      </w:r>
      <w:bookmarkEnd w:id="70"/>
    </w:p>
    <w:p w14:paraId="19FF7F8E">
      <w:pPr>
        <w:rPr>
          <w:highlight w:val="none"/>
          <w:lang w:val="en-GB" w:eastAsia="zh-CN"/>
        </w:rPr>
      </w:pPr>
      <w:r>
        <w:rPr>
          <w:highlight w:val="none"/>
          <w:lang w:val="en-GB" w:eastAsia="zh-CN"/>
        </w:rPr>
        <w:t>The Transmission Electron Microscopy analysis showed the morphology of the sEVs (Fig.</w:t>
      </w:r>
      <w:r>
        <w:rPr>
          <w:rFonts w:hint="eastAsia"/>
          <w:highlight w:val="none"/>
          <w:lang w:val="en-GB" w:eastAsia="zh-CN"/>
        </w:rPr>
        <w:t>2-</w:t>
      </w:r>
      <w:r>
        <w:rPr>
          <w:highlight w:val="none"/>
          <w:lang w:val="en-GB" w:eastAsia="zh-CN"/>
        </w:rPr>
        <w:t>1A). The sEVs were observed to be round in shape, covered by double-layer membranes. The nanoparticle tracking analysis showed the particle size distribution of sEVs (Fig.</w:t>
      </w:r>
      <w:r>
        <w:rPr>
          <w:rFonts w:hint="eastAsia"/>
          <w:highlight w:val="none"/>
          <w:lang w:val="en-GB" w:eastAsia="zh-CN"/>
        </w:rPr>
        <w:t>2-</w:t>
      </w:r>
      <w:r>
        <w:rPr>
          <w:highlight w:val="none"/>
          <w:lang w:val="en-GB" w:eastAsia="zh-CN"/>
        </w:rPr>
        <w:t>1B). The diameter of sEVs peaked at 111.0 nm, with particle diameters ranging from 30 nm to 150 nm accounting for 98.1 % of all particles.</w:t>
      </w:r>
    </w:p>
    <w:p w14:paraId="1A29BCC7">
      <w:pPr>
        <w:rPr>
          <w:highlight w:val="none"/>
          <w:lang w:val="en-GB" w:eastAsia="zh-CN"/>
        </w:rPr>
      </w:pPr>
      <w:r>
        <w:rPr>
          <w:rFonts w:cs="Times New Roman"/>
          <w:highlight w:val="none"/>
          <w:lang w:val="en-GB"/>
        </w:rPr>
        <w:drawing>
          <wp:inline distT="0" distB="0" distL="0" distR="0">
            <wp:extent cx="4752975" cy="1675765"/>
            <wp:effectExtent l="0" t="0" r="0" b="635"/>
            <wp:docPr id="18863549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54912" name="图片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752975" cy="1676070"/>
                    </a:xfrm>
                    <a:prstGeom prst="rect">
                      <a:avLst/>
                    </a:prstGeom>
                    <a:noFill/>
                    <a:ln>
                      <a:noFill/>
                    </a:ln>
                  </pic:spPr>
                </pic:pic>
              </a:graphicData>
            </a:graphic>
          </wp:inline>
        </w:drawing>
      </w:r>
    </w:p>
    <w:p w14:paraId="127C70BB">
      <w:pPr>
        <w:rPr>
          <w:highlight w:val="none"/>
          <w:lang w:val="en-US"/>
        </w:rPr>
      </w:pPr>
      <w:bookmarkStart w:id="71" w:name="_Toc207982991"/>
      <w:r>
        <w:rPr>
          <w:b/>
          <w:bCs/>
          <w:highlight w:val="none"/>
          <w:lang w:val="en-US"/>
        </w:rPr>
        <w:t xml:space="preserve">Figure </w:t>
      </w:r>
      <w:r>
        <w:rPr>
          <w:rFonts w:hint="eastAsia"/>
          <w:b/>
          <w:bCs/>
          <w:highlight w:val="none"/>
          <w:lang w:val="en-US" w:eastAsia="zh-CN"/>
        </w:rPr>
        <w:t>2</w:t>
      </w:r>
      <w:r>
        <w:rPr>
          <w:b/>
          <w:bCs/>
          <w:highlight w:val="none"/>
          <w:lang w:val="en-US"/>
        </w:rPr>
        <w:noBreakHyphen/>
      </w:r>
      <w:r>
        <w:rPr>
          <w:b/>
          <w:bCs/>
          <w:highlight w:val="none"/>
          <w:lang w:val="en-US"/>
        </w:rPr>
        <w:fldChar w:fldCharType="begin"/>
      </w:r>
      <w:r>
        <w:rPr>
          <w:b/>
          <w:bCs/>
          <w:highlight w:val="none"/>
          <w:lang w:val="en-US"/>
        </w:rPr>
        <w:instrText xml:space="preserve"> SEQ Figure \* ARABIC \s 1 </w:instrText>
      </w:r>
      <w:r>
        <w:rPr>
          <w:b/>
          <w:bCs/>
          <w:highlight w:val="none"/>
          <w:lang w:val="en-US"/>
        </w:rPr>
        <w:fldChar w:fldCharType="separate"/>
      </w:r>
      <w:r>
        <w:rPr>
          <w:b/>
          <w:bCs/>
          <w:highlight w:val="none"/>
          <w:lang w:val="en-US"/>
        </w:rPr>
        <w:t>1</w:t>
      </w:r>
      <w:r>
        <w:rPr>
          <w:b/>
          <w:bCs/>
          <w:highlight w:val="none"/>
          <w:lang w:val="en-US"/>
        </w:rPr>
        <w:fldChar w:fldCharType="end"/>
      </w:r>
      <w:r>
        <w:rPr>
          <w:b/>
          <w:bCs/>
          <w:highlight w:val="none"/>
          <w:lang w:val="en-US"/>
        </w:rPr>
        <w:t>:</w:t>
      </w:r>
      <w:r>
        <w:rPr>
          <w:highlight w:val="none"/>
          <w:lang w:val="en-US"/>
        </w:rPr>
        <w:t xml:space="preserve"> </w:t>
      </w:r>
      <w:r>
        <w:rPr>
          <w:sz w:val="20"/>
          <w:szCs w:val="20"/>
          <w:highlight w:val="none"/>
          <w:lang w:val="en-US"/>
        </w:rPr>
        <w:t>Characterization of the isolated serum-derived small extracellular vesicles from cows suffering from subclinical mastitis. (A)</w:t>
      </w:r>
      <w:r>
        <w:rPr>
          <w:rFonts w:hint="eastAsia"/>
          <w:sz w:val="20"/>
          <w:szCs w:val="20"/>
          <w:highlight w:val="none"/>
          <w:lang w:val="en-US" w:eastAsia="zh-CN"/>
        </w:rPr>
        <w:t xml:space="preserve"> </w:t>
      </w:r>
      <w:r>
        <w:rPr>
          <w:sz w:val="20"/>
          <w:szCs w:val="20"/>
          <w:highlight w:val="none"/>
          <w:lang w:val="en-US"/>
        </w:rPr>
        <w:t>Micrograph of bovine serum-derived small extracellular vesicles captured using Transmission Electron Microscopy. (B) Particle size distribution of bovine serum-derived small extracellular vesicles.</w:t>
      </w:r>
      <w:bookmarkEnd w:id="71"/>
    </w:p>
    <w:p w14:paraId="454E2F51">
      <w:pPr>
        <w:pStyle w:val="4"/>
        <w:rPr>
          <w:highlight w:val="none"/>
          <w:lang w:val="en-US" w:eastAsia="fr-FR"/>
        </w:rPr>
      </w:pPr>
      <w:bookmarkStart w:id="72" w:name="_Toc207979761"/>
      <w:r>
        <w:rPr>
          <w:highlight w:val="none"/>
          <w:lang w:val="en-US" w:eastAsia="fr-FR"/>
        </w:rPr>
        <w:t>Small RNA profiling of serum small extracellular vesicles</w:t>
      </w:r>
      <w:bookmarkEnd w:id="72"/>
    </w:p>
    <w:p w14:paraId="2365E733">
      <w:pPr>
        <w:rPr>
          <w:highlight w:val="none"/>
          <w:lang w:val="en-US" w:eastAsia="zh-CN"/>
        </w:rPr>
      </w:pPr>
      <w:r>
        <w:rPr>
          <w:highlight w:val="none"/>
          <w:lang w:val="en-US" w:eastAsia="zh-CN"/>
        </w:rPr>
        <w:t>The amount of annotated small RNAs is shown in Fig.</w:t>
      </w:r>
      <w:r>
        <w:rPr>
          <w:rFonts w:hint="eastAsia"/>
          <w:highlight w:val="none"/>
          <w:lang w:val="en-US" w:eastAsia="zh-CN"/>
        </w:rPr>
        <w:t>2-</w:t>
      </w:r>
      <w:r>
        <w:rPr>
          <w:highlight w:val="none"/>
          <w:lang w:val="en-US" w:eastAsia="zh-CN"/>
        </w:rPr>
        <w:t>2</w:t>
      </w:r>
      <w:r>
        <w:rPr>
          <w:rFonts w:hint="eastAsia"/>
          <w:highlight w:val="none"/>
          <w:lang w:val="en-US" w:eastAsia="zh-CN"/>
        </w:rPr>
        <w:t>A</w:t>
      </w:r>
      <w:r>
        <w:rPr>
          <w:highlight w:val="none"/>
          <w:lang w:val="en-US" w:eastAsia="zh-CN"/>
        </w:rPr>
        <w:t>, including cis-regulatory elements, rRNAs, snRNAs, tRNAs, miRNAs, and other RNAs. The length of the miRNAs ranged from 18 to 25 nt, with most lengths concentrated on 22 nt (59.21% and 92.91% for control and inulin group, respectively).</w:t>
      </w:r>
    </w:p>
    <w:p w14:paraId="2113A881">
      <w:pPr>
        <w:rPr>
          <w:highlight w:val="none"/>
          <w:lang w:val="en-GB" w:eastAsia="zh-CN"/>
        </w:rPr>
      </w:pPr>
      <w:r>
        <w:rPr>
          <w:highlight w:val="none"/>
          <w:lang w:val="en-GB" w:eastAsia="zh-CN"/>
        </w:rPr>
        <w:t>The number of clean reads obtained from all samples ranged from 1.47 to 25.38 M. The distribution of genome alignment rates ranged from 21.07% to 61.79%, with a miRNA alignment rates distribution from 0.01% to 0.61%. A total of 162 known miRNAs and 180 novel miRNAs were identified from all samples in the two groups. As shown in Fig.</w:t>
      </w:r>
      <w:r>
        <w:rPr>
          <w:rFonts w:hint="eastAsia"/>
          <w:highlight w:val="none"/>
          <w:lang w:val="en-GB" w:eastAsia="zh-CN"/>
        </w:rPr>
        <w:t>2-2B</w:t>
      </w:r>
      <w:r>
        <w:rPr>
          <w:highlight w:val="none"/>
          <w:lang w:val="en-GB" w:eastAsia="zh-CN"/>
        </w:rPr>
        <w:t>, there were 148 known miRNAs and 67 novel miRNAs found in the control group, while 123 known miRNAs and 67 novel miRNAs were found in the inulin group.</w:t>
      </w:r>
    </w:p>
    <w:p w14:paraId="7F6398D3">
      <w:pPr>
        <w:jc w:val="center"/>
        <w:rPr>
          <w:highlight w:val="none"/>
          <w:lang w:val="en-GB" w:eastAsia="zh-CN"/>
        </w:rPr>
      </w:pPr>
      <w:r>
        <w:rPr>
          <w:highlight w:val="none"/>
        </w:rPr>
        <w:drawing>
          <wp:inline distT="0" distB="0" distL="0" distR="0">
            <wp:extent cx="4752975" cy="1874520"/>
            <wp:effectExtent l="0" t="0" r="9525" b="0"/>
            <wp:docPr id="20604359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35968" name="图片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752975" cy="1874520"/>
                    </a:xfrm>
                    <a:prstGeom prst="rect">
                      <a:avLst/>
                    </a:prstGeom>
                    <a:noFill/>
                    <a:ln>
                      <a:noFill/>
                    </a:ln>
                  </pic:spPr>
                </pic:pic>
              </a:graphicData>
            </a:graphic>
          </wp:inline>
        </w:drawing>
      </w:r>
    </w:p>
    <w:p w14:paraId="5E805604">
      <w:pPr>
        <w:rPr>
          <w:highlight w:val="none"/>
          <w:lang w:val="en-US"/>
        </w:rPr>
      </w:pPr>
      <w:bookmarkStart w:id="73" w:name="_Toc207982992"/>
      <w:r>
        <w:rPr>
          <w:b/>
          <w:bCs/>
          <w:highlight w:val="none"/>
          <w:lang w:val="en-US"/>
        </w:rPr>
        <w:t xml:space="preserve">Figure </w:t>
      </w:r>
      <w:r>
        <w:rPr>
          <w:rFonts w:hint="eastAsia"/>
          <w:b/>
          <w:bCs/>
          <w:highlight w:val="none"/>
          <w:lang w:val="en-US" w:eastAsia="zh-CN"/>
        </w:rPr>
        <w:t>2</w:t>
      </w:r>
      <w:r>
        <w:rPr>
          <w:b/>
          <w:bCs/>
          <w:highlight w:val="none"/>
          <w:lang w:val="en-US"/>
        </w:rPr>
        <w:noBreakHyphen/>
      </w:r>
      <w:r>
        <w:rPr>
          <w:b/>
          <w:bCs/>
          <w:highlight w:val="none"/>
          <w:lang w:val="en-US"/>
        </w:rPr>
        <w:fldChar w:fldCharType="begin"/>
      </w:r>
      <w:r>
        <w:rPr>
          <w:b/>
          <w:bCs/>
          <w:highlight w:val="none"/>
          <w:lang w:val="en-US"/>
        </w:rPr>
        <w:instrText xml:space="preserve"> SEQ Figure \* ARABIC \s 1 </w:instrText>
      </w:r>
      <w:r>
        <w:rPr>
          <w:b/>
          <w:bCs/>
          <w:highlight w:val="none"/>
          <w:lang w:val="en-US"/>
        </w:rPr>
        <w:fldChar w:fldCharType="separate"/>
      </w:r>
      <w:r>
        <w:rPr>
          <w:b/>
          <w:bCs/>
          <w:highlight w:val="none"/>
          <w:lang w:val="en-US"/>
        </w:rPr>
        <w:t>2</w:t>
      </w:r>
      <w:r>
        <w:rPr>
          <w:b/>
          <w:bCs/>
          <w:highlight w:val="none"/>
          <w:lang w:val="en-US"/>
        </w:rPr>
        <w:fldChar w:fldCharType="end"/>
      </w:r>
      <w:r>
        <w:rPr>
          <w:b/>
          <w:bCs/>
          <w:highlight w:val="none"/>
          <w:lang w:val="en-US"/>
        </w:rPr>
        <w:t>:</w:t>
      </w:r>
      <w:r>
        <w:rPr>
          <w:highlight w:val="none"/>
          <w:lang w:val="en-US"/>
        </w:rPr>
        <w:t xml:space="preserve"> </w:t>
      </w:r>
      <w:r>
        <w:rPr>
          <w:rFonts w:hint="eastAsia"/>
          <w:sz w:val="20"/>
          <w:szCs w:val="20"/>
          <w:highlight w:val="none"/>
          <w:lang w:val="en-US" w:eastAsia="zh-CN"/>
        </w:rPr>
        <w:t xml:space="preserve">(A) </w:t>
      </w:r>
      <w:r>
        <w:rPr>
          <w:sz w:val="20"/>
          <w:szCs w:val="20"/>
          <w:highlight w:val="none"/>
          <w:lang w:val="en-US"/>
        </w:rPr>
        <w:t xml:space="preserve">Annotated small RNA profiling with classification of cis-regulatory elements, other Rfam RNA, ribosomal RNA, small nuclear RNA, transfer RNA, and microRNA derived from serum small extracellular vesicles in dairy cows suffering from subclinical mastitis in control and inulin groups. </w:t>
      </w:r>
      <w:r>
        <w:rPr>
          <w:rFonts w:hint="eastAsia"/>
          <w:sz w:val="20"/>
          <w:szCs w:val="20"/>
          <w:highlight w:val="none"/>
          <w:lang w:val="en-US" w:eastAsia="zh-CN"/>
        </w:rPr>
        <w:t xml:space="preserve">(B) </w:t>
      </w:r>
      <w:r>
        <w:rPr>
          <w:sz w:val="20"/>
          <w:szCs w:val="20"/>
          <w:highlight w:val="none"/>
          <w:lang w:val="en-US"/>
        </w:rPr>
        <w:t>Numbers of the serum-derived small extracellular vesicles microRNAs identified from cows suffering from subclinical mastitis in control and inulin groups.</w:t>
      </w:r>
      <w:bookmarkEnd w:id="73"/>
    </w:p>
    <w:p w14:paraId="01A5C737">
      <w:pPr>
        <w:jc w:val="center"/>
        <w:rPr>
          <w:highlight w:val="none"/>
          <w:lang w:val="en-GB" w:eastAsia="zh-CN"/>
        </w:rPr>
      </w:pPr>
    </w:p>
    <w:p w14:paraId="3A95013E">
      <w:pPr>
        <w:pStyle w:val="4"/>
        <w:rPr>
          <w:highlight w:val="none"/>
          <w:lang w:val="en-US" w:eastAsia="fr-FR"/>
        </w:rPr>
      </w:pPr>
      <w:bookmarkStart w:id="74" w:name="_Toc207979762"/>
      <w:r>
        <w:rPr>
          <w:highlight w:val="none"/>
          <w:lang w:val="en-US" w:eastAsia="fr-FR"/>
        </w:rPr>
        <w:t>Most abundant microRNAs in bovine serum-derived extracellular vesicle microRNAs</w:t>
      </w:r>
      <w:bookmarkEnd w:id="74"/>
    </w:p>
    <w:p w14:paraId="0EF10466">
      <w:pPr>
        <w:rPr>
          <w:highlight w:val="none"/>
          <w:lang w:val="en-US" w:eastAsia="zh-CN"/>
        </w:rPr>
      </w:pPr>
      <w:r>
        <w:rPr>
          <w:highlight w:val="none"/>
          <w:lang w:val="en-US" w:eastAsia="zh-CN"/>
        </w:rPr>
        <w:t xml:space="preserve">The top 20 of highly expressed miRNAs in the two groups are displayed in Table </w:t>
      </w:r>
      <w:r>
        <w:rPr>
          <w:rFonts w:hint="eastAsia"/>
          <w:highlight w:val="none"/>
          <w:lang w:val="en-US" w:eastAsia="zh-CN"/>
        </w:rPr>
        <w:t>2-2</w:t>
      </w:r>
      <w:r>
        <w:rPr>
          <w:highlight w:val="none"/>
          <w:lang w:val="en-US" w:eastAsia="zh-CN"/>
        </w:rPr>
        <w:t>. These miRNAs account for 79.92% and 96.62% in the control and inulin groups, respectively. Among these 20 highly expressed miRNAs, 10 of them (miR-148a, miR-122, miR-184, let-7b, let-7a-5p, miR-21-5p, miR-26a, miR-3596, let-7f, let-7i) were highly expressed in both groups.</w:t>
      </w:r>
    </w:p>
    <w:p w14:paraId="5A944F0F">
      <w:pPr>
        <w:spacing w:after="200" w:line="276" w:lineRule="auto"/>
        <w:ind w:firstLine="0"/>
        <w:jc w:val="left"/>
        <w:rPr>
          <w:b/>
          <w:bCs/>
          <w:highlight w:val="none"/>
          <w:lang w:val="en-US"/>
        </w:rPr>
      </w:pPr>
      <w:r>
        <w:rPr>
          <w:b/>
          <w:bCs/>
          <w:highlight w:val="none"/>
          <w:lang w:val="en-US"/>
        </w:rPr>
        <w:br w:type="page"/>
      </w:r>
    </w:p>
    <w:p w14:paraId="308D24AF">
      <w:pPr>
        <w:rPr>
          <w:sz w:val="20"/>
          <w:szCs w:val="20"/>
          <w:highlight w:val="none"/>
          <w:lang w:val="en-US"/>
        </w:rPr>
      </w:pPr>
      <w:bookmarkStart w:id="75" w:name="_Toc207979953"/>
      <w:r>
        <w:rPr>
          <w:b/>
          <w:bCs/>
          <w:highlight w:val="none"/>
          <w:lang w:val="en-US"/>
        </w:rPr>
        <w:t xml:space="preserve">Table </w:t>
      </w:r>
      <w:r>
        <w:rPr>
          <w:rFonts w:hint="eastAsia"/>
          <w:b/>
          <w:bCs/>
          <w:highlight w:val="none"/>
          <w:lang w:val="en-US" w:eastAsia="zh-CN"/>
        </w:rPr>
        <w:t>2</w:t>
      </w:r>
      <w:r>
        <w:rPr>
          <w:b/>
          <w:bCs/>
          <w:highlight w:val="none"/>
          <w:lang w:val="en-US"/>
        </w:rPr>
        <w:noBreakHyphen/>
      </w:r>
      <w:r>
        <w:rPr>
          <w:rFonts w:hint="eastAsia"/>
          <w:b/>
          <w:bCs/>
          <w:highlight w:val="none"/>
          <w:lang w:val="en-US" w:eastAsia="zh-CN"/>
        </w:rPr>
        <w:t>2</w:t>
      </w:r>
      <w:r>
        <w:rPr>
          <w:b/>
          <w:bCs/>
          <w:highlight w:val="none"/>
          <w:lang w:val="en-US"/>
        </w:rPr>
        <w:t>:</w:t>
      </w:r>
      <w:r>
        <w:rPr>
          <w:highlight w:val="none"/>
          <w:lang w:val="en-US"/>
        </w:rPr>
        <w:t xml:space="preserve"> </w:t>
      </w:r>
      <w:r>
        <w:rPr>
          <w:sz w:val="20"/>
          <w:szCs w:val="20"/>
          <w:highlight w:val="none"/>
          <w:lang w:val="en-US"/>
        </w:rPr>
        <w:t>Top 20 highly expressed microRNAs derived from serum small extracellular vesicles in dairy cows suffering from subclinical mastitis in the experiment</w:t>
      </w:r>
      <w:bookmarkEnd w:id="75"/>
    </w:p>
    <w:tbl>
      <w:tblPr>
        <w:tblStyle w:val="2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5"/>
        <w:gridCol w:w="1688"/>
        <w:gridCol w:w="1499"/>
        <w:gridCol w:w="1298"/>
        <w:gridCol w:w="1474"/>
        <w:gridCol w:w="1297"/>
      </w:tblGrid>
      <w:tr w14:paraId="1C7186A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Borders>
              <w:top w:val="single" w:color="auto" w:sz="4" w:space="0"/>
              <w:bottom w:val="single" w:color="auto" w:sz="4" w:space="0"/>
            </w:tcBorders>
          </w:tcPr>
          <w:p w14:paraId="2DF9DFFF">
            <w:pPr>
              <w:pStyle w:val="95"/>
              <w:spacing w:line="276" w:lineRule="auto"/>
              <w:jc w:val="both"/>
              <w:rPr>
                <w:rFonts w:ascii="Times New Roman" w:hAnsi="Times New Roman" w:eastAsia="Calibri"/>
                <w:sz w:val="20"/>
                <w:szCs w:val="20"/>
                <w:highlight w:val="none"/>
              </w:rPr>
            </w:pPr>
          </w:p>
        </w:tc>
        <w:tc>
          <w:tcPr>
            <w:tcW w:w="1096" w:type="pct"/>
            <w:tcBorders>
              <w:top w:val="single" w:color="auto" w:sz="4" w:space="0"/>
              <w:bottom w:val="single" w:color="auto" w:sz="4" w:space="0"/>
            </w:tcBorders>
          </w:tcPr>
          <w:p w14:paraId="6613067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miRNAs</w:t>
            </w:r>
          </w:p>
        </w:tc>
        <w:tc>
          <w:tcPr>
            <w:tcW w:w="973" w:type="pct"/>
            <w:tcBorders>
              <w:top w:val="single" w:color="auto" w:sz="4" w:space="0"/>
              <w:bottom w:val="single" w:color="auto" w:sz="4" w:space="0"/>
            </w:tcBorders>
          </w:tcPr>
          <w:p w14:paraId="02EAD78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Control group</w:t>
            </w:r>
          </w:p>
          <w:p w14:paraId="0659F0B1">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(Mean reads)</w:t>
            </w:r>
          </w:p>
        </w:tc>
        <w:tc>
          <w:tcPr>
            <w:tcW w:w="843" w:type="pct"/>
            <w:tcBorders>
              <w:top w:val="single" w:color="auto" w:sz="4" w:space="0"/>
              <w:bottom w:val="single" w:color="auto" w:sz="4" w:space="0"/>
            </w:tcBorders>
          </w:tcPr>
          <w:p w14:paraId="437369B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Percentage</w:t>
            </w:r>
          </w:p>
          <w:p w14:paraId="3DAB001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w:t>
            </w:r>
          </w:p>
        </w:tc>
        <w:tc>
          <w:tcPr>
            <w:tcW w:w="957" w:type="pct"/>
            <w:tcBorders>
              <w:top w:val="single" w:color="auto" w:sz="4" w:space="0"/>
              <w:bottom w:val="single" w:color="auto" w:sz="4" w:space="0"/>
            </w:tcBorders>
          </w:tcPr>
          <w:p w14:paraId="642F3783">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Inulin group</w:t>
            </w:r>
          </w:p>
          <w:p w14:paraId="02718F8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(Mean reads)</w:t>
            </w:r>
          </w:p>
        </w:tc>
        <w:tc>
          <w:tcPr>
            <w:tcW w:w="842" w:type="pct"/>
            <w:tcBorders>
              <w:top w:val="single" w:color="auto" w:sz="4" w:space="0"/>
              <w:bottom w:val="single" w:color="auto" w:sz="4" w:space="0"/>
            </w:tcBorders>
          </w:tcPr>
          <w:p w14:paraId="599C204F">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Percentage</w:t>
            </w:r>
          </w:p>
          <w:p w14:paraId="5590509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w:t>
            </w:r>
          </w:p>
        </w:tc>
      </w:tr>
      <w:tr w14:paraId="53E5206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Borders>
              <w:top w:val="single" w:color="auto" w:sz="4" w:space="0"/>
            </w:tcBorders>
          </w:tcPr>
          <w:p w14:paraId="4A488D6A">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w:t>
            </w:r>
          </w:p>
        </w:tc>
        <w:tc>
          <w:tcPr>
            <w:tcW w:w="1096" w:type="pct"/>
            <w:tcBorders>
              <w:top w:val="single" w:color="auto" w:sz="4" w:space="0"/>
            </w:tcBorders>
            <w:vAlign w:val="center"/>
          </w:tcPr>
          <w:p w14:paraId="5C65EAEE">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miR-148a</w:t>
            </w:r>
          </w:p>
        </w:tc>
        <w:tc>
          <w:tcPr>
            <w:tcW w:w="973" w:type="pct"/>
            <w:tcBorders>
              <w:top w:val="single" w:color="auto" w:sz="4" w:space="0"/>
            </w:tcBorders>
            <w:vAlign w:val="center"/>
          </w:tcPr>
          <w:p w14:paraId="4CF29AF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775.20</w:t>
            </w:r>
          </w:p>
        </w:tc>
        <w:tc>
          <w:tcPr>
            <w:tcW w:w="843" w:type="pct"/>
            <w:tcBorders>
              <w:top w:val="single" w:color="auto" w:sz="4" w:space="0"/>
            </w:tcBorders>
          </w:tcPr>
          <w:p w14:paraId="123065F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7.58</w:t>
            </w:r>
          </w:p>
        </w:tc>
        <w:tc>
          <w:tcPr>
            <w:tcW w:w="957" w:type="pct"/>
            <w:tcBorders>
              <w:top w:val="single" w:color="auto" w:sz="4" w:space="0"/>
            </w:tcBorders>
            <w:vAlign w:val="center"/>
          </w:tcPr>
          <w:p w14:paraId="65C4022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23</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808.00</w:t>
            </w:r>
          </w:p>
        </w:tc>
        <w:tc>
          <w:tcPr>
            <w:tcW w:w="842" w:type="pct"/>
            <w:tcBorders>
              <w:top w:val="single" w:color="auto" w:sz="4" w:space="0"/>
            </w:tcBorders>
            <w:vAlign w:val="bottom"/>
          </w:tcPr>
          <w:p w14:paraId="2B937B1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44.42</w:t>
            </w:r>
          </w:p>
        </w:tc>
      </w:tr>
      <w:tr w14:paraId="2485CF0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1818F878">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2</w:t>
            </w:r>
          </w:p>
        </w:tc>
        <w:tc>
          <w:tcPr>
            <w:tcW w:w="1096" w:type="pct"/>
            <w:vAlign w:val="center"/>
          </w:tcPr>
          <w:p w14:paraId="1100E06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miR-122</w:t>
            </w:r>
          </w:p>
        </w:tc>
        <w:tc>
          <w:tcPr>
            <w:tcW w:w="973" w:type="pct"/>
            <w:vAlign w:val="center"/>
          </w:tcPr>
          <w:p w14:paraId="69AD637F">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929.40</w:t>
            </w:r>
          </w:p>
        </w:tc>
        <w:tc>
          <w:tcPr>
            <w:tcW w:w="843" w:type="pct"/>
          </w:tcPr>
          <w:p w14:paraId="3BCEF30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9.09</w:t>
            </w:r>
          </w:p>
        </w:tc>
        <w:tc>
          <w:tcPr>
            <w:tcW w:w="957" w:type="pct"/>
            <w:vAlign w:val="center"/>
          </w:tcPr>
          <w:p w14:paraId="0D4F137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14</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389.80</w:t>
            </w:r>
          </w:p>
        </w:tc>
        <w:tc>
          <w:tcPr>
            <w:tcW w:w="842" w:type="pct"/>
            <w:vAlign w:val="bottom"/>
          </w:tcPr>
          <w:p w14:paraId="2DAB6D1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26.85</w:t>
            </w:r>
          </w:p>
        </w:tc>
      </w:tr>
      <w:tr w14:paraId="4F1D91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3C64CD36">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3</w:t>
            </w:r>
          </w:p>
        </w:tc>
        <w:tc>
          <w:tcPr>
            <w:tcW w:w="1096" w:type="pct"/>
            <w:vAlign w:val="center"/>
          </w:tcPr>
          <w:p w14:paraId="02215FE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miR-184</w:t>
            </w:r>
          </w:p>
        </w:tc>
        <w:tc>
          <w:tcPr>
            <w:tcW w:w="973" w:type="pct"/>
            <w:vAlign w:val="center"/>
          </w:tcPr>
          <w:p w14:paraId="55688E6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437.00</w:t>
            </w:r>
          </w:p>
        </w:tc>
        <w:tc>
          <w:tcPr>
            <w:tcW w:w="843" w:type="pct"/>
          </w:tcPr>
          <w:p w14:paraId="272C3128">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4.27</w:t>
            </w:r>
          </w:p>
        </w:tc>
        <w:tc>
          <w:tcPr>
            <w:tcW w:w="957" w:type="pct"/>
            <w:vAlign w:val="center"/>
          </w:tcPr>
          <w:p w14:paraId="6566A24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039.80</w:t>
            </w:r>
          </w:p>
        </w:tc>
        <w:tc>
          <w:tcPr>
            <w:tcW w:w="842" w:type="pct"/>
            <w:vAlign w:val="bottom"/>
          </w:tcPr>
          <w:p w14:paraId="2D6D247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5.67</w:t>
            </w:r>
          </w:p>
        </w:tc>
      </w:tr>
      <w:tr w14:paraId="2E8EBC9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3C74D625">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4</w:t>
            </w:r>
          </w:p>
        </w:tc>
        <w:tc>
          <w:tcPr>
            <w:tcW w:w="1096" w:type="pct"/>
            <w:vAlign w:val="center"/>
          </w:tcPr>
          <w:p w14:paraId="69480C2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let-7b</w:t>
            </w:r>
          </w:p>
        </w:tc>
        <w:tc>
          <w:tcPr>
            <w:tcW w:w="973" w:type="pct"/>
            <w:vAlign w:val="center"/>
          </w:tcPr>
          <w:p w14:paraId="0C061AC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318.60</w:t>
            </w:r>
          </w:p>
        </w:tc>
        <w:tc>
          <w:tcPr>
            <w:tcW w:w="843" w:type="pct"/>
          </w:tcPr>
          <w:p w14:paraId="613E983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12.90</w:t>
            </w:r>
          </w:p>
        </w:tc>
        <w:tc>
          <w:tcPr>
            <w:tcW w:w="957" w:type="pct"/>
            <w:vAlign w:val="center"/>
          </w:tcPr>
          <w:p w14:paraId="39615D5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009.40</w:t>
            </w:r>
          </w:p>
        </w:tc>
        <w:tc>
          <w:tcPr>
            <w:tcW w:w="842" w:type="pct"/>
            <w:vAlign w:val="bottom"/>
          </w:tcPr>
          <w:p w14:paraId="67471F7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3.75</w:t>
            </w:r>
          </w:p>
        </w:tc>
      </w:tr>
      <w:tr w14:paraId="59A54BC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34E50A8D">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5</w:t>
            </w:r>
          </w:p>
        </w:tc>
        <w:tc>
          <w:tcPr>
            <w:tcW w:w="1096" w:type="pct"/>
            <w:vAlign w:val="center"/>
          </w:tcPr>
          <w:p w14:paraId="51D29113">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miR-143</w:t>
            </w:r>
          </w:p>
        </w:tc>
        <w:tc>
          <w:tcPr>
            <w:tcW w:w="973" w:type="pct"/>
            <w:vAlign w:val="center"/>
          </w:tcPr>
          <w:p w14:paraId="1614552E">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45.20</w:t>
            </w:r>
          </w:p>
        </w:tc>
        <w:tc>
          <w:tcPr>
            <w:tcW w:w="843" w:type="pct"/>
          </w:tcPr>
          <w:p w14:paraId="25147FEF">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0.44</w:t>
            </w:r>
          </w:p>
        </w:tc>
        <w:tc>
          <w:tcPr>
            <w:tcW w:w="957" w:type="pct"/>
            <w:vAlign w:val="center"/>
          </w:tcPr>
          <w:p w14:paraId="1E7CAC7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798.40</w:t>
            </w:r>
          </w:p>
        </w:tc>
        <w:tc>
          <w:tcPr>
            <w:tcW w:w="842" w:type="pct"/>
            <w:vAlign w:val="bottom"/>
          </w:tcPr>
          <w:p w14:paraId="2FF15DB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3.36</w:t>
            </w:r>
          </w:p>
        </w:tc>
      </w:tr>
      <w:tr w14:paraId="0D9EDA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35594619">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6</w:t>
            </w:r>
          </w:p>
        </w:tc>
        <w:tc>
          <w:tcPr>
            <w:tcW w:w="1096" w:type="pct"/>
            <w:vAlign w:val="center"/>
          </w:tcPr>
          <w:p w14:paraId="3CE2EC0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miR-206</w:t>
            </w:r>
          </w:p>
        </w:tc>
        <w:tc>
          <w:tcPr>
            <w:tcW w:w="973" w:type="pct"/>
            <w:vAlign w:val="center"/>
          </w:tcPr>
          <w:p w14:paraId="68856BD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0.00</w:t>
            </w:r>
          </w:p>
        </w:tc>
        <w:tc>
          <w:tcPr>
            <w:tcW w:w="843" w:type="pct"/>
          </w:tcPr>
          <w:p w14:paraId="6186B96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0.00</w:t>
            </w:r>
          </w:p>
        </w:tc>
        <w:tc>
          <w:tcPr>
            <w:tcW w:w="957" w:type="pct"/>
            <w:vAlign w:val="center"/>
          </w:tcPr>
          <w:p w14:paraId="0884456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725.80</w:t>
            </w:r>
          </w:p>
        </w:tc>
        <w:tc>
          <w:tcPr>
            <w:tcW w:w="842" w:type="pct"/>
            <w:vAlign w:val="bottom"/>
          </w:tcPr>
          <w:p w14:paraId="5567E3E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3.22</w:t>
            </w:r>
          </w:p>
        </w:tc>
      </w:tr>
      <w:tr w14:paraId="09C6F24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2220FDD8">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7</w:t>
            </w:r>
          </w:p>
        </w:tc>
        <w:tc>
          <w:tcPr>
            <w:tcW w:w="1096" w:type="pct"/>
            <w:vAlign w:val="center"/>
          </w:tcPr>
          <w:p w14:paraId="66B7135E">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let-7a-5p</w:t>
            </w:r>
          </w:p>
        </w:tc>
        <w:tc>
          <w:tcPr>
            <w:tcW w:w="973" w:type="pct"/>
            <w:vAlign w:val="center"/>
          </w:tcPr>
          <w:p w14:paraId="186EFD6E">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736.60</w:t>
            </w:r>
          </w:p>
        </w:tc>
        <w:tc>
          <w:tcPr>
            <w:tcW w:w="843" w:type="pct"/>
          </w:tcPr>
          <w:p w14:paraId="74FD173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7.20</w:t>
            </w:r>
          </w:p>
        </w:tc>
        <w:tc>
          <w:tcPr>
            <w:tcW w:w="957" w:type="pct"/>
            <w:vAlign w:val="center"/>
          </w:tcPr>
          <w:p w14:paraId="2C71546E">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642.00</w:t>
            </w:r>
          </w:p>
        </w:tc>
        <w:tc>
          <w:tcPr>
            <w:tcW w:w="842" w:type="pct"/>
            <w:vAlign w:val="bottom"/>
          </w:tcPr>
          <w:p w14:paraId="12C0CEB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1.20</w:t>
            </w:r>
          </w:p>
        </w:tc>
      </w:tr>
      <w:tr w14:paraId="66A8DC4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3049B004">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8</w:t>
            </w:r>
          </w:p>
        </w:tc>
        <w:tc>
          <w:tcPr>
            <w:tcW w:w="1096" w:type="pct"/>
            <w:vAlign w:val="center"/>
          </w:tcPr>
          <w:p w14:paraId="15F2469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miR-10a</w:t>
            </w:r>
          </w:p>
        </w:tc>
        <w:tc>
          <w:tcPr>
            <w:tcW w:w="973" w:type="pct"/>
            <w:vAlign w:val="center"/>
          </w:tcPr>
          <w:p w14:paraId="0A8B177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7.00</w:t>
            </w:r>
          </w:p>
        </w:tc>
        <w:tc>
          <w:tcPr>
            <w:tcW w:w="843" w:type="pct"/>
          </w:tcPr>
          <w:p w14:paraId="150F75A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0.07</w:t>
            </w:r>
          </w:p>
        </w:tc>
        <w:tc>
          <w:tcPr>
            <w:tcW w:w="957" w:type="pct"/>
            <w:vAlign w:val="center"/>
          </w:tcPr>
          <w:p w14:paraId="0D20C66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167.00</w:t>
            </w:r>
          </w:p>
        </w:tc>
        <w:tc>
          <w:tcPr>
            <w:tcW w:w="842" w:type="pct"/>
            <w:vAlign w:val="bottom"/>
          </w:tcPr>
          <w:p w14:paraId="3D68559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2.18</w:t>
            </w:r>
          </w:p>
        </w:tc>
      </w:tr>
      <w:tr w14:paraId="40BF986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77172F69">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9</w:t>
            </w:r>
          </w:p>
        </w:tc>
        <w:tc>
          <w:tcPr>
            <w:tcW w:w="1096" w:type="pct"/>
            <w:vAlign w:val="center"/>
          </w:tcPr>
          <w:p w14:paraId="4F82C20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miR-21-5p</w:t>
            </w:r>
          </w:p>
        </w:tc>
        <w:tc>
          <w:tcPr>
            <w:tcW w:w="973" w:type="pct"/>
            <w:vAlign w:val="center"/>
          </w:tcPr>
          <w:p w14:paraId="6659B21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586.00</w:t>
            </w:r>
          </w:p>
        </w:tc>
        <w:tc>
          <w:tcPr>
            <w:tcW w:w="843" w:type="pct"/>
          </w:tcPr>
          <w:p w14:paraId="1A124E1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5.73</w:t>
            </w:r>
          </w:p>
        </w:tc>
        <w:tc>
          <w:tcPr>
            <w:tcW w:w="957" w:type="pct"/>
            <w:vAlign w:val="center"/>
          </w:tcPr>
          <w:p w14:paraId="4B4A7623">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240.00</w:t>
            </w:r>
          </w:p>
        </w:tc>
        <w:tc>
          <w:tcPr>
            <w:tcW w:w="842" w:type="pct"/>
            <w:vAlign w:val="bottom"/>
          </w:tcPr>
          <w:p w14:paraId="02A2F5E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0.45</w:t>
            </w:r>
          </w:p>
        </w:tc>
      </w:tr>
      <w:tr w14:paraId="7A981C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11473F5B">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10</w:t>
            </w:r>
          </w:p>
        </w:tc>
        <w:tc>
          <w:tcPr>
            <w:tcW w:w="1096" w:type="pct"/>
            <w:vAlign w:val="center"/>
          </w:tcPr>
          <w:p w14:paraId="7556418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miR-26a</w:t>
            </w:r>
          </w:p>
        </w:tc>
        <w:tc>
          <w:tcPr>
            <w:tcW w:w="973" w:type="pct"/>
            <w:vAlign w:val="center"/>
          </w:tcPr>
          <w:p w14:paraId="091DA09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394.80</w:t>
            </w:r>
          </w:p>
        </w:tc>
        <w:tc>
          <w:tcPr>
            <w:tcW w:w="843" w:type="pct"/>
          </w:tcPr>
          <w:p w14:paraId="50A720D1">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3.86</w:t>
            </w:r>
          </w:p>
        </w:tc>
        <w:tc>
          <w:tcPr>
            <w:tcW w:w="957" w:type="pct"/>
            <w:vAlign w:val="center"/>
          </w:tcPr>
          <w:p w14:paraId="36A2C8D8">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412.00</w:t>
            </w:r>
          </w:p>
        </w:tc>
        <w:tc>
          <w:tcPr>
            <w:tcW w:w="842" w:type="pct"/>
            <w:vAlign w:val="bottom"/>
          </w:tcPr>
          <w:p w14:paraId="1DFFD4E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0.77</w:t>
            </w:r>
          </w:p>
        </w:tc>
      </w:tr>
      <w:tr w14:paraId="0EEE66C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38781E85">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11</w:t>
            </w:r>
          </w:p>
        </w:tc>
        <w:tc>
          <w:tcPr>
            <w:tcW w:w="1096" w:type="pct"/>
            <w:vAlign w:val="center"/>
          </w:tcPr>
          <w:p w14:paraId="7337B66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miR-100</w:t>
            </w:r>
          </w:p>
        </w:tc>
        <w:tc>
          <w:tcPr>
            <w:tcW w:w="973" w:type="pct"/>
            <w:vAlign w:val="center"/>
          </w:tcPr>
          <w:p w14:paraId="3B5D37F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8.40</w:t>
            </w:r>
          </w:p>
        </w:tc>
        <w:tc>
          <w:tcPr>
            <w:tcW w:w="843" w:type="pct"/>
          </w:tcPr>
          <w:p w14:paraId="0239524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0.08</w:t>
            </w:r>
          </w:p>
        </w:tc>
        <w:tc>
          <w:tcPr>
            <w:tcW w:w="957" w:type="pct"/>
            <w:vAlign w:val="center"/>
          </w:tcPr>
          <w:p w14:paraId="6C1558AF">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721.20</w:t>
            </w:r>
          </w:p>
        </w:tc>
        <w:tc>
          <w:tcPr>
            <w:tcW w:w="842" w:type="pct"/>
            <w:vAlign w:val="bottom"/>
          </w:tcPr>
          <w:p w14:paraId="09F81FF3">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1.35</w:t>
            </w:r>
          </w:p>
        </w:tc>
      </w:tr>
      <w:tr w14:paraId="6BACDDA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6AE89370">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12</w:t>
            </w:r>
          </w:p>
        </w:tc>
        <w:tc>
          <w:tcPr>
            <w:tcW w:w="1096" w:type="pct"/>
            <w:vAlign w:val="center"/>
          </w:tcPr>
          <w:p w14:paraId="776D18A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miR-23a</w:t>
            </w:r>
          </w:p>
        </w:tc>
        <w:tc>
          <w:tcPr>
            <w:tcW w:w="973" w:type="pct"/>
            <w:vAlign w:val="center"/>
          </w:tcPr>
          <w:p w14:paraId="2F57F7A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719.00</w:t>
            </w:r>
          </w:p>
        </w:tc>
        <w:tc>
          <w:tcPr>
            <w:tcW w:w="843" w:type="pct"/>
          </w:tcPr>
          <w:p w14:paraId="5CC520B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7.03</w:t>
            </w:r>
          </w:p>
        </w:tc>
        <w:tc>
          <w:tcPr>
            <w:tcW w:w="957" w:type="pct"/>
            <w:vAlign w:val="center"/>
          </w:tcPr>
          <w:p w14:paraId="118575F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0.00</w:t>
            </w:r>
          </w:p>
        </w:tc>
        <w:tc>
          <w:tcPr>
            <w:tcW w:w="842" w:type="pct"/>
            <w:vAlign w:val="bottom"/>
          </w:tcPr>
          <w:p w14:paraId="480B118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0.00</w:t>
            </w:r>
          </w:p>
        </w:tc>
      </w:tr>
      <w:tr w14:paraId="571FA8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61C05FE7">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13</w:t>
            </w:r>
          </w:p>
        </w:tc>
        <w:tc>
          <w:tcPr>
            <w:tcW w:w="1096" w:type="pct"/>
            <w:vAlign w:val="center"/>
          </w:tcPr>
          <w:p w14:paraId="2C2C141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miR-3596</w:t>
            </w:r>
          </w:p>
        </w:tc>
        <w:tc>
          <w:tcPr>
            <w:tcW w:w="973" w:type="pct"/>
            <w:vAlign w:val="center"/>
          </w:tcPr>
          <w:p w14:paraId="320B4A7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421.80</w:t>
            </w:r>
          </w:p>
        </w:tc>
        <w:tc>
          <w:tcPr>
            <w:tcW w:w="843" w:type="pct"/>
          </w:tcPr>
          <w:p w14:paraId="7633783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4.13</w:t>
            </w:r>
          </w:p>
        </w:tc>
        <w:tc>
          <w:tcPr>
            <w:tcW w:w="957" w:type="pct"/>
            <w:vAlign w:val="center"/>
          </w:tcPr>
          <w:p w14:paraId="2F9895E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253.00</w:t>
            </w:r>
          </w:p>
        </w:tc>
        <w:tc>
          <w:tcPr>
            <w:tcW w:w="842" w:type="pct"/>
            <w:vAlign w:val="bottom"/>
          </w:tcPr>
          <w:p w14:paraId="0BBC6FF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0.47</w:t>
            </w:r>
          </w:p>
        </w:tc>
      </w:tr>
      <w:tr w14:paraId="038D91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7498AD2D">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14</w:t>
            </w:r>
          </w:p>
        </w:tc>
        <w:tc>
          <w:tcPr>
            <w:tcW w:w="1096" w:type="pct"/>
            <w:vAlign w:val="center"/>
          </w:tcPr>
          <w:p w14:paraId="20388DB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let-7f</w:t>
            </w:r>
          </w:p>
        </w:tc>
        <w:tc>
          <w:tcPr>
            <w:tcW w:w="973" w:type="pct"/>
            <w:vAlign w:val="center"/>
          </w:tcPr>
          <w:p w14:paraId="34A23ED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267.40</w:t>
            </w:r>
          </w:p>
        </w:tc>
        <w:tc>
          <w:tcPr>
            <w:tcW w:w="843" w:type="pct"/>
          </w:tcPr>
          <w:p w14:paraId="4F5173E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2.62</w:t>
            </w:r>
          </w:p>
        </w:tc>
        <w:tc>
          <w:tcPr>
            <w:tcW w:w="957" w:type="pct"/>
            <w:vAlign w:val="center"/>
          </w:tcPr>
          <w:p w14:paraId="02D84EC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383.20</w:t>
            </w:r>
          </w:p>
        </w:tc>
        <w:tc>
          <w:tcPr>
            <w:tcW w:w="842" w:type="pct"/>
            <w:vAlign w:val="bottom"/>
          </w:tcPr>
          <w:p w14:paraId="3F538E7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0.71</w:t>
            </w:r>
          </w:p>
        </w:tc>
      </w:tr>
      <w:tr w14:paraId="720040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691F27C8">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15</w:t>
            </w:r>
          </w:p>
        </w:tc>
        <w:tc>
          <w:tcPr>
            <w:tcW w:w="1096" w:type="pct"/>
            <w:vAlign w:val="center"/>
          </w:tcPr>
          <w:p w14:paraId="6B461A5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let-7i</w:t>
            </w:r>
          </w:p>
        </w:tc>
        <w:tc>
          <w:tcPr>
            <w:tcW w:w="973" w:type="pct"/>
            <w:vAlign w:val="center"/>
          </w:tcPr>
          <w:p w14:paraId="7B6D710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143.80</w:t>
            </w:r>
          </w:p>
        </w:tc>
        <w:tc>
          <w:tcPr>
            <w:tcW w:w="843" w:type="pct"/>
          </w:tcPr>
          <w:p w14:paraId="3095989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1.41</w:t>
            </w:r>
          </w:p>
        </w:tc>
        <w:tc>
          <w:tcPr>
            <w:tcW w:w="957" w:type="pct"/>
            <w:vAlign w:val="center"/>
          </w:tcPr>
          <w:p w14:paraId="760AE51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464.40</w:t>
            </w:r>
          </w:p>
        </w:tc>
        <w:tc>
          <w:tcPr>
            <w:tcW w:w="842" w:type="pct"/>
            <w:vAlign w:val="bottom"/>
          </w:tcPr>
          <w:p w14:paraId="1B038B3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0.87</w:t>
            </w:r>
          </w:p>
        </w:tc>
      </w:tr>
      <w:tr w14:paraId="64086C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0EC2DC6E">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16</w:t>
            </w:r>
          </w:p>
        </w:tc>
        <w:tc>
          <w:tcPr>
            <w:tcW w:w="1096" w:type="pct"/>
            <w:vAlign w:val="center"/>
          </w:tcPr>
          <w:p w14:paraId="648F276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miR-10b</w:t>
            </w:r>
          </w:p>
        </w:tc>
        <w:tc>
          <w:tcPr>
            <w:tcW w:w="973" w:type="pct"/>
            <w:vAlign w:val="center"/>
          </w:tcPr>
          <w:p w14:paraId="62E854A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2.00</w:t>
            </w:r>
          </w:p>
        </w:tc>
        <w:tc>
          <w:tcPr>
            <w:tcW w:w="843" w:type="pct"/>
          </w:tcPr>
          <w:p w14:paraId="0604F65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0.02</w:t>
            </w:r>
          </w:p>
        </w:tc>
        <w:tc>
          <w:tcPr>
            <w:tcW w:w="957" w:type="pct"/>
            <w:vAlign w:val="center"/>
          </w:tcPr>
          <w:p w14:paraId="076A653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501.80</w:t>
            </w:r>
          </w:p>
        </w:tc>
        <w:tc>
          <w:tcPr>
            <w:tcW w:w="842" w:type="pct"/>
            <w:vAlign w:val="bottom"/>
          </w:tcPr>
          <w:p w14:paraId="17BA602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0.94</w:t>
            </w:r>
          </w:p>
        </w:tc>
      </w:tr>
      <w:tr w14:paraId="175A80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323FCEE6">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17</w:t>
            </w:r>
          </w:p>
        </w:tc>
        <w:tc>
          <w:tcPr>
            <w:tcW w:w="1096" w:type="pct"/>
            <w:vAlign w:val="center"/>
          </w:tcPr>
          <w:p w14:paraId="54F1114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let-7g</w:t>
            </w:r>
          </w:p>
        </w:tc>
        <w:tc>
          <w:tcPr>
            <w:tcW w:w="973" w:type="pct"/>
            <w:vAlign w:val="center"/>
          </w:tcPr>
          <w:p w14:paraId="3F31258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408.00</w:t>
            </w:r>
          </w:p>
        </w:tc>
        <w:tc>
          <w:tcPr>
            <w:tcW w:w="843" w:type="pct"/>
          </w:tcPr>
          <w:p w14:paraId="5B79066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3.99</w:t>
            </w:r>
          </w:p>
        </w:tc>
        <w:tc>
          <w:tcPr>
            <w:tcW w:w="957" w:type="pct"/>
            <w:vAlign w:val="center"/>
          </w:tcPr>
          <w:p w14:paraId="4CF87CC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81.40</w:t>
            </w:r>
          </w:p>
        </w:tc>
        <w:tc>
          <w:tcPr>
            <w:tcW w:w="842" w:type="pct"/>
            <w:vAlign w:val="bottom"/>
          </w:tcPr>
          <w:p w14:paraId="73D6ED4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0.15</w:t>
            </w:r>
          </w:p>
        </w:tc>
      </w:tr>
      <w:tr w14:paraId="4AA7133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05F1839F">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18</w:t>
            </w:r>
          </w:p>
        </w:tc>
        <w:tc>
          <w:tcPr>
            <w:tcW w:w="1096" w:type="pct"/>
            <w:vAlign w:val="center"/>
          </w:tcPr>
          <w:p w14:paraId="1D532F4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miR-99a-5p</w:t>
            </w:r>
          </w:p>
        </w:tc>
        <w:tc>
          <w:tcPr>
            <w:tcW w:w="973" w:type="pct"/>
            <w:vAlign w:val="center"/>
          </w:tcPr>
          <w:p w14:paraId="1B485E7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424.40</w:t>
            </w:r>
          </w:p>
        </w:tc>
        <w:tc>
          <w:tcPr>
            <w:tcW w:w="843" w:type="pct"/>
          </w:tcPr>
          <w:p w14:paraId="425D38F3">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4.15</w:t>
            </w:r>
          </w:p>
        </w:tc>
        <w:tc>
          <w:tcPr>
            <w:tcW w:w="957" w:type="pct"/>
            <w:vAlign w:val="center"/>
          </w:tcPr>
          <w:p w14:paraId="0D5E98D3">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4.80</w:t>
            </w:r>
          </w:p>
        </w:tc>
        <w:tc>
          <w:tcPr>
            <w:tcW w:w="842" w:type="pct"/>
            <w:vAlign w:val="bottom"/>
          </w:tcPr>
          <w:p w14:paraId="0119824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0.01</w:t>
            </w:r>
          </w:p>
        </w:tc>
      </w:tr>
      <w:tr w14:paraId="7A95AF6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289" w:type="pct"/>
          </w:tcPr>
          <w:p w14:paraId="0699EF45">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19</w:t>
            </w:r>
          </w:p>
        </w:tc>
        <w:tc>
          <w:tcPr>
            <w:tcW w:w="1096" w:type="pct"/>
            <w:vAlign w:val="center"/>
          </w:tcPr>
          <w:p w14:paraId="5A7CDC6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miR-423-5p</w:t>
            </w:r>
          </w:p>
        </w:tc>
        <w:tc>
          <w:tcPr>
            <w:tcW w:w="973" w:type="pct"/>
            <w:vAlign w:val="center"/>
          </w:tcPr>
          <w:p w14:paraId="0320D11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290.60</w:t>
            </w:r>
          </w:p>
        </w:tc>
        <w:tc>
          <w:tcPr>
            <w:tcW w:w="843" w:type="pct"/>
          </w:tcPr>
          <w:p w14:paraId="1D02E9A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2.84</w:t>
            </w:r>
          </w:p>
        </w:tc>
        <w:tc>
          <w:tcPr>
            <w:tcW w:w="957" w:type="pct"/>
            <w:vAlign w:val="center"/>
          </w:tcPr>
          <w:p w14:paraId="13CA744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61.80</w:t>
            </w:r>
          </w:p>
        </w:tc>
        <w:tc>
          <w:tcPr>
            <w:tcW w:w="842" w:type="pct"/>
            <w:vAlign w:val="bottom"/>
          </w:tcPr>
          <w:p w14:paraId="58DB92A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0.12</w:t>
            </w:r>
          </w:p>
        </w:tc>
      </w:tr>
      <w:tr w14:paraId="2FB0D6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5B7654EF">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20</w:t>
            </w:r>
          </w:p>
        </w:tc>
        <w:tc>
          <w:tcPr>
            <w:tcW w:w="1096" w:type="pct"/>
            <w:vAlign w:val="center"/>
          </w:tcPr>
          <w:p w14:paraId="65A54B4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miR-375</w:t>
            </w:r>
          </w:p>
        </w:tc>
        <w:tc>
          <w:tcPr>
            <w:tcW w:w="973" w:type="pct"/>
            <w:vAlign w:val="center"/>
          </w:tcPr>
          <w:p w14:paraId="11461008">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257.20</w:t>
            </w:r>
          </w:p>
        </w:tc>
        <w:tc>
          <w:tcPr>
            <w:tcW w:w="843" w:type="pct"/>
          </w:tcPr>
          <w:p w14:paraId="47E1B49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2.52</w:t>
            </w:r>
          </w:p>
        </w:tc>
        <w:tc>
          <w:tcPr>
            <w:tcW w:w="957" w:type="pct"/>
            <w:vAlign w:val="center"/>
          </w:tcPr>
          <w:p w14:paraId="38D9A261">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83.20</w:t>
            </w:r>
          </w:p>
        </w:tc>
        <w:tc>
          <w:tcPr>
            <w:tcW w:w="842" w:type="pct"/>
            <w:vAlign w:val="bottom"/>
          </w:tcPr>
          <w:p w14:paraId="10372C7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0.16</w:t>
            </w:r>
          </w:p>
        </w:tc>
      </w:tr>
      <w:tr w14:paraId="43B5C6E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 w:type="pct"/>
          </w:tcPr>
          <w:p w14:paraId="2E2771DA">
            <w:pPr>
              <w:pStyle w:val="95"/>
              <w:spacing w:line="276" w:lineRule="auto"/>
              <w:jc w:val="both"/>
              <w:rPr>
                <w:rFonts w:ascii="Times New Roman" w:hAnsi="Times New Roman" w:eastAsia="Calibri"/>
                <w:sz w:val="20"/>
                <w:szCs w:val="20"/>
                <w:highlight w:val="none"/>
              </w:rPr>
            </w:pPr>
          </w:p>
        </w:tc>
        <w:tc>
          <w:tcPr>
            <w:tcW w:w="1096" w:type="pct"/>
          </w:tcPr>
          <w:p w14:paraId="3A477FF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Total</w:t>
            </w:r>
          </w:p>
        </w:tc>
        <w:tc>
          <w:tcPr>
            <w:tcW w:w="973" w:type="pct"/>
            <w:vAlign w:val="bottom"/>
          </w:tcPr>
          <w:p w14:paraId="6405741B">
            <w:pPr>
              <w:pStyle w:val="95"/>
              <w:spacing w:line="276" w:lineRule="auto"/>
              <w:jc w:val="both"/>
              <w:rPr>
                <w:rFonts w:ascii="Times New Roman" w:hAnsi="Times New Roman" w:eastAsia="Calibri"/>
                <w:sz w:val="20"/>
                <w:szCs w:val="20"/>
                <w:highlight w:val="none"/>
              </w:rPr>
            </w:pPr>
          </w:p>
        </w:tc>
        <w:tc>
          <w:tcPr>
            <w:tcW w:w="843" w:type="pct"/>
          </w:tcPr>
          <w:p w14:paraId="40442B4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79.92</w:t>
            </w:r>
          </w:p>
        </w:tc>
        <w:tc>
          <w:tcPr>
            <w:tcW w:w="957" w:type="pct"/>
            <w:vAlign w:val="bottom"/>
          </w:tcPr>
          <w:p w14:paraId="123D9CEA">
            <w:pPr>
              <w:pStyle w:val="95"/>
              <w:spacing w:line="276" w:lineRule="auto"/>
              <w:jc w:val="both"/>
              <w:rPr>
                <w:rFonts w:ascii="Times New Roman" w:hAnsi="Times New Roman" w:eastAsia="Calibri"/>
                <w:sz w:val="20"/>
                <w:szCs w:val="20"/>
                <w:highlight w:val="none"/>
              </w:rPr>
            </w:pPr>
          </w:p>
        </w:tc>
        <w:tc>
          <w:tcPr>
            <w:tcW w:w="842" w:type="pct"/>
            <w:vAlign w:val="bottom"/>
          </w:tcPr>
          <w:p w14:paraId="60B9671E">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96.62</w:t>
            </w:r>
          </w:p>
        </w:tc>
      </w:tr>
    </w:tbl>
    <w:p w14:paraId="540469C5">
      <w:pPr>
        <w:pStyle w:val="4"/>
        <w:rPr>
          <w:highlight w:val="none"/>
          <w:lang w:val="en-US" w:eastAsia="fr-FR"/>
        </w:rPr>
      </w:pPr>
      <w:bookmarkStart w:id="76" w:name="_Toc207979763"/>
      <w:r>
        <w:rPr>
          <w:highlight w:val="none"/>
          <w:lang w:val="en-US" w:eastAsia="fr-FR"/>
        </w:rPr>
        <w:t>Effects of inulin supplementation on the expression of microRNAs in bovine serum-derived small extracellular vesicles</w:t>
      </w:r>
      <w:bookmarkEnd w:id="76"/>
    </w:p>
    <w:p w14:paraId="46CF1C76">
      <w:pPr>
        <w:rPr>
          <w:highlight w:val="none"/>
          <w:lang w:val="en-GB" w:eastAsia="zh-CN"/>
        </w:rPr>
      </w:pPr>
      <w:r>
        <w:rPr>
          <w:highlight w:val="none"/>
          <w:lang w:val="en-GB" w:eastAsia="zh-CN"/>
        </w:rPr>
        <w:t xml:space="preserve">A total of 44 miRNAs were differently expressed between the two groups. Among these, 23 were identified as known miRNAs. In the inulin group, 18 miRNAs were up-regulated, while 5 miRNAs were down-regulated compared to the control group (Table </w:t>
      </w:r>
      <w:r>
        <w:rPr>
          <w:rFonts w:hint="eastAsia"/>
          <w:highlight w:val="none"/>
          <w:lang w:val="en-GB" w:eastAsia="zh-CN"/>
        </w:rPr>
        <w:t>2-3</w:t>
      </w:r>
      <w:r>
        <w:rPr>
          <w:highlight w:val="none"/>
          <w:lang w:val="en-GB" w:eastAsia="zh-CN"/>
        </w:rPr>
        <w:t xml:space="preserve">). Besides, miR-499 and miR-6529a were particularly expressed in the control group, while miR-206 and miR-3432a were particularly expressed in the inulin group (Table </w:t>
      </w:r>
      <w:r>
        <w:rPr>
          <w:rFonts w:hint="eastAsia"/>
          <w:highlight w:val="none"/>
          <w:lang w:val="en-GB" w:eastAsia="zh-CN"/>
        </w:rPr>
        <w:t>2-4</w:t>
      </w:r>
      <w:r>
        <w:rPr>
          <w:highlight w:val="none"/>
          <w:lang w:val="en-GB" w:eastAsia="zh-CN"/>
        </w:rPr>
        <w:t>). Out of the top 20 highly expressed miRNAs, 13 of them (miR-148a, miR-122, miR-184, miR-143, miR-206, miR-10a, miR-26a, miR-100, miR-23a, let-7f, let-7i, miR-10b, miR-99a-5p) were differentially expressed between the two groups.</w:t>
      </w:r>
    </w:p>
    <w:p w14:paraId="3DD7E47B">
      <w:pPr>
        <w:spacing w:after="200" w:line="276" w:lineRule="auto"/>
        <w:ind w:firstLine="0"/>
        <w:jc w:val="left"/>
        <w:rPr>
          <w:b/>
          <w:bCs/>
          <w:highlight w:val="none"/>
          <w:lang w:val="en-US"/>
        </w:rPr>
      </w:pPr>
      <w:r>
        <w:rPr>
          <w:b/>
          <w:bCs/>
          <w:highlight w:val="none"/>
          <w:lang w:val="en-US"/>
        </w:rPr>
        <w:br w:type="page"/>
      </w:r>
    </w:p>
    <w:p w14:paraId="3DF848E4">
      <w:pPr>
        <w:rPr>
          <w:highlight w:val="none"/>
          <w:lang w:val="en-US"/>
        </w:rPr>
      </w:pPr>
      <w:bookmarkStart w:id="77" w:name="_Toc207979954"/>
      <w:r>
        <w:rPr>
          <w:b/>
          <w:bCs/>
          <w:highlight w:val="none"/>
          <w:lang w:val="en-US"/>
        </w:rPr>
        <w:t xml:space="preserve">Table </w:t>
      </w:r>
      <w:r>
        <w:rPr>
          <w:rFonts w:hint="eastAsia"/>
          <w:b/>
          <w:bCs/>
          <w:highlight w:val="none"/>
          <w:lang w:val="en-US" w:eastAsia="zh-CN"/>
        </w:rPr>
        <w:t>2</w:t>
      </w:r>
      <w:r>
        <w:rPr>
          <w:b/>
          <w:bCs/>
          <w:highlight w:val="none"/>
          <w:lang w:val="en-US"/>
        </w:rPr>
        <w:noBreakHyphen/>
      </w:r>
      <w:r>
        <w:rPr>
          <w:b/>
          <w:bCs/>
          <w:highlight w:val="none"/>
          <w:lang w:val="en-US"/>
        </w:rPr>
        <w:fldChar w:fldCharType="begin"/>
      </w:r>
      <w:r>
        <w:rPr>
          <w:b/>
          <w:bCs/>
          <w:highlight w:val="none"/>
          <w:lang w:val="en-US"/>
        </w:rPr>
        <w:instrText xml:space="preserve"> SEQ Table \* ARABIC \s 1 </w:instrText>
      </w:r>
      <w:r>
        <w:rPr>
          <w:b/>
          <w:bCs/>
          <w:highlight w:val="none"/>
          <w:lang w:val="en-US"/>
        </w:rPr>
        <w:fldChar w:fldCharType="separate"/>
      </w:r>
      <w:r>
        <w:rPr>
          <w:b/>
          <w:bCs/>
          <w:highlight w:val="none"/>
          <w:lang w:val="en-US"/>
        </w:rPr>
        <w:t>3</w:t>
      </w:r>
      <w:r>
        <w:rPr>
          <w:b/>
          <w:bCs/>
          <w:highlight w:val="none"/>
          <w:lang w:val="en-US"/>
        </w:rPr>
        <w:fldChar w:fldCharType="end"/>
      </w:r>
      <w:r>
        <w:rPr>
          <w:b/>
          <w:bCs/>
          <w:highlight w:val="none"/>
          <w:lang w:val="en-US"/>
        </w:rPr>
        <w:t>:</w:t>
      </w:r>
      <w:r>
        <w:rPr>
          <w:highlight w:val="none"/>
          <w:lang w:val="en-US"/>
        </w:rPr>
        <w:t xml:space="preserve"> </w:t>
      </w:r>
      <w:r>
        <w:rPr>
          <w:sz w:val="20"/>
          <w:szCs w:val="20"/>
          <w:highlight w:val="none"/>
          <w:lang w:val="en-US"/>
        </w:rPr>
        <w:t>Identification of differentially expressed known microRNAs derived from serum small extracellular vesicles in dairy cows suffering from subclinical mastitis when comparing the control group with the inulin group</w:t>
      </w:r>
      <w:bookmarkEnd w:id="77"/>
    </w:p>
    <w:tbl>
      <w:tblPr>
        <w:tblStyle w:val="29"/>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
        <w:gridCol w:w="1685"/>
        <w:gridCol w:w="1358"/>
        <w:gridCol w:w="1300"/>
        <w:gridCol w:w="1568"/>
        <w:gridCol w:w="1343"/>
      </w:tblGrid>
      <w:tr w14:paraId="4B6439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Borders>
              <w:top w:val="single" w:color="auto" w:sz="6" w:space="0"/>
              <w:bottom w:val="single" w:color="auto" w:sz="4" w:space="0"/>
            </w:tcBorders>
          </w:tcPr>
          <w:p w14:paraId="1EAFA906">
            <w:pPr>
              <w:pStyle w:val="95"/>
              <w:spacing w:line="276" w:lineRule="auto"/>
              <w:jc w:val="both"/>
              <w:rPr>
                <w:rFonts w:ascii="Times New Roman" w:hAnsi="Times New Roman" w:eastAsia="Calibri"/>
                <w:sz w:val="20"/>
                <w:szCs w:val="20"/>
                <w:highlight w:val="none"/>
              </w:rPr>
            </w:pPr>
          </w:p>
        </w:tc>
        <w:tc>
          <w:tcPr>
            <w:tcW w:w="1094" w:type="pct"/>
            <w:tcBorders>
              <w:top w:val="single" w:color="auto" w:sz="6" w:space="0"/>
              <w:bottom w:val="single" w:color="auto" w:sz="4" w:space="0"/>
            </w:tcBorders>
            <w:vAlign w:val="center"/>
          </w:tcPr>
          <w:p w14:paraId="53F4062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miRNAs</w:t>
            </w:r>
          </w:p>
        </w:tc>
        <w:tc>
          <w:tcPr>
            <w:tcW w:w="882" w:type="pct"/>
            <w:tcBorders>
              <w:top w:val="single" w:color="auto" w:sz="6" w:space="0"/>
              <w:bottom w:val="single" w:color="auto" w:sz="4" w:space="0"/>
            </w:tcBorders>
            <w:vAlign w:val="center"/>
          </w:tcPr>
          <w:p w14:paraId="539CB7C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Base mean</w:t>
            </w:r>
            <w:r>
              <w:rPr>
                <w:rFonts w:ascii="Times New Roman" w:hAnsi="Times New Roman" w:eastAsia="Calibri"/>
                <w:sz w:val="20"/>
                <w:szCs w:val="20"/>
                <w:highlight w:val="none"/>
                <w:vertAlign w:val="superscript"/>
              </w:rPr>
              <w:t>1</w:t>
            </w:r>
          </w:p>
        </w:tc>
        <w:tc>
          <w:tcPr>
            <w:tcW w:w="844" w:type="pct"/>
            <w:tcBorders>
              <w:top w:val="single" w:color="auto" w:sz="6" w:space="0"/>
              <w:bottom w:val="single" w:color="auto" w:sz="4" w:space="0"/>
            </w:tcBorders>
            <w:vAlign w:val="center"/>
          </w:tcPr>
          <w:p w14:paraId="3E42E3D9">
            <w:pPr>
              <w:pStyle w:val="95"/>
              <w:spacing w:line="276" w:lineRule="auto"/>
              <w:jc w:val="both"/>
              <w:rPr>
                <w:rFonts w:ascii="Times New Roman" w:hAnsi="Times New Roman" w:eastAsia="Calibri"/>
                <w:sz w:val="20"/>
                <w:szCs w:val="20"/>
                <w:highlight w:val="none"/>
                <w:vertAlign w:val="superscript"/>
              </w:rPr>
            </w:pPr>
            <w:r>
              <w:rPr>
                <w:rFonts w:ascii="Times New Roman" w:hAnsi="Times New Roman" w:eastAsia="Calibri"/>
                <w:sz w:val="20"/>
                <w:szCs w:val="20"/>
                <w:highlight w:val="none"/>
              </w:rPr>
              <w:t>Regulation</w:t>
            </w:r>
            <w:r>
              <w:rPr>
                <w:rFonts w:ascii="Times New Roman" w:hAnsi="Times New Roman" w:eastAsia="Calibri"/>
                <w:sz w:val="20"/>
                <w:szCs w:val="20"/>
                <w:highlight w:val="none"/>
                <w:vertAlign w:val="superscript"/>
              </w:rPr>
              <w:t>2</w:t>
            </w:r>
          </w:p>
        </w:tc>
        <w:tc>
          <w:tcPr>
            <w:tcW w:w="1018" w:type="pct"/>
            <w:tcBorders>
              <w:top w:val="single" w:color="auto" w:sz="6" w:space="0"/>
              <w:bottom w:val="single" w:color="auto" w:sz="4" w:space="0"/>
            </w:tcBorders>
            <w:vAlign w:val="center"/>
          </w:tcPr>
          <w:p w14:paraId="272BC929">
            <w:pPr>
              <w:pStyle w:val="95"/>
              <w:spacing w:line="276" w:lineRule="auto"/>
              <w:jc w:val="both"/>
              <w:rPr>
                <w:rFonts w:ascii="Times New Roman" w:hAnsi="Times New Roman" w:eastAsia="Calibri"/>
                <w:sz w:val="20"/>
                <w:szCs w:val="20"/>
                <w:highlight w:val="none"/>
                <w:vertAlign w:val="superscript"/>
              </w:rPr>
            </w:pPr>
            <w:r>
              <w:rPr>
                <w:rFonts w:ascii="Times New Roman" w:hAnsi="Times New Roman" w:eastAsia="Calibri"/>
                <w:sz w:val="20"/>
                <w:szCs w:val="20"/>
                <w:highlight w:val="none"/>
              </w:rPr>
              <w:t>Fold Change</w:t>
            </w:r>
            <w:r>
              <w:rPr>
                <w:rFonts w:ascii="Times New Roman" w:hAnsi="Times New Roman" w:eastAsia="Calibri"/>
                <w:sz w:val="20"/>
                <w:szCs w:val="20"/>
                <w:highlight w:val="none"/>
                <w:vertAlign w:val="superscript"/>
              </w:rPr>
              <w:t>3</w:t>
            </w:r>
          </w:p>
        </w:tc>
        <w:tc>
          <w:tcPr>
            <w:tcW w:w="872" w:type="pct"/>
            <w:tcBorders>
              <w:top w:val="single" w:color="auto" w:sz="6" w:space="0"/>
              <w:bottom w:val="single" w:color="auto" w:sz="4" w:space="0"/>
            </w:tcBorders>
            <w:vAlign w:val="center"/>
          </w:tcPr>
          <w:p w14:paraId="55D0EEC1">
            <w:pPr>
              <w:pStyle w:val="95"/>
              <w:spacing w:line="276" w:lineRule="auto"/>
              <w:jc w:val="both"/>
              <w:rPr>
                <w:rFonts w:ascii="Times New Roman" w:hAnsi="Times New Roman" w:eastAsia="Calibri"/>
                <w:sz w:val="20"/>
                <w:szCs w:val="20"/>
                <w:highlight w:val="none"/>
                <w:vertAlign w:val="superscript"/>
              </w:rPr>
            </w:pPr>
            <w:r>
              <w:rPr>
                <w:rFonts w:ascii="Times New Roman" w:hAnsi="Times New Roman" w:eastAsia="Calibri"/>
                <w:sz w:val="20"/>
                <w:szCs w:val="20"/>
                <w:highlight w:val="none"/>
              </w:rPr>
              <w:t>Adj p-value</w:t>
            </w:r>
            <w:r>
              <w:rPr>
                <w:rFonts w:ascii="Times New Roman" w:hAnsi="Times New Roman" w:eastAsia="Calibri"/>
                <w:sz w:val="20"/>
                <w:szCs w:val="20"/>
                <w:highlight w:val="none"/>
                <w:vertAlign w:val="superscript"/>
              </w:rPr>
              <w:t>4</w:t>
            </w:r>
          </w:p>
        </w:tc>
      </w:tr>
      <w:tr w14:paraId="08F23A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Borders>
              <w:top w:val="single" w:color="auto" w:sz="4" w:space="0"/>
            </w:tcBorders>
          </w:tcPr>
          <w:p w14:paraId="5EF27619">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w:t>
            </w:r>
          </w:p>
        </w:tc>
        <w:tc>
          <w:tcPr>
            <w:tcW w:w="1094" w:type="pct"/>
            <w:tcBorders>
              <w:top w:val="single" w:color="auto" w:sz="4" w:space="0"/>
            </w:tcBorders>
            <w:vAlign w:val="center"/>
          </w:tcPr>
          <w:p w14:paraId="16A9758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let-7c</w:t>
            </w:r>
          </w:p>
        </w:tc>
        <w:tc>
          <w:tcPr>
            <w:tcW w:w="882" w:type="pct"/>
            <w:tcBorders>
              <w:top w:val="single" w:color="auto" w:sz="4" w:space="0"/>
            </w:tcBorders>
            <w:vAlign w:val="center"/>
          </w:tcPr>
          <w:p w14:paraId="7E0D6FDC">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110.52</w:t>
            </w:r>
          </w:p>
        </w:tc>
        <w:tc>
          <w:tcPr>
            <w:tcW w:w="844" w:type="pct"/>
            <w:tcBorders>
              <w:top w:val="single" w:color="auto" w:sz="4" w:space="0"/>
            </w:tcBorders>
            <w:vAlign w:val="center"/>
          </w:tcPr>
          <w:p w14:paraId="64894C3F">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tcBorders>
              <w:top w:val="single" w:color="auto" w:sz="4" w:space="0"/>
            </w:tcBorders>
            <w:vAlign w:val="center"/>
          </w:tcPr>
          <w:p w14:paraId="023EFA83">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43.66</w:t>
            </w:r>
          </w:p>
        </w:tc>
        <w:tc>
          <w:tcPr>
            <w:tcW w:w="872" w:type="pct"/>
            <w:tcBorders>
              <w:top w:val="single" w:color="auto" w:sz="4" w:space="0"/>
            </w:tcBorders>
            <w:vAlign w:val="center"/>
          </w:tcPr>
          <w:p w14:paraId="451D1D1A">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13E19A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4FA9D9C4">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2</w:t>
            </w:r>
          </w:p>
        </w:tc>
        <w:tc>
          <w:tcPr>
            <w:tcW w:w="1094" w:type="pct"/>
            <w:vAlign w:val="center"/>
          </w:tcPr>
          <w:p w14:paraId="42141443">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let-7f</w:t>
            </w:r>
          </w:p>
        </w:tc>
        <w:tc>
          <w:tcPr>
            <w:tcW w:w="882" w:type="pct"/>
            <w:vAlign w:val="center"/>
          </w:tcPr>
          <w:p w14:paraId="175A22F0">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396.09</w:t>
            </w:r>
          </w:p>
        </w:tc>
        <w:tc>
          <w:tcPr>
            <w:tcW w:w="844" w:type="pct"/>
            <w:vAlign w:val="center"/>
          </w:tcPr>
          <w:p w14:paraId="77FB076F">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74591AA4">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5.24</w:t>
            </w:r>
          </w:p>
        </w:tc>
        <w:tc>
          <w:tcPr>
            <w:tcW w:w="872" w:type="pct"/>
            <w:vAlign w:val="center"/>
          </w:tcPr>
          <w:p w14:paraId="19600662">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0.01</w:t>
            </w:r>
          </w:p>
        </w:tc>
      </w:tr>
      <w:tr w14:paraId="30CE02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50EBEDE6">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3</w:t>
            </w:r>
          </w:p>
        </w:tc>
        <w:tc>
          <w:tcPr>
            <w:tcW w:w="1094" w:type="pct"/>
            <w:vAlign w:val="center"/>
          </w:tcPr>
          <w:p w14:paraId="0612840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let-7i</w:t>
            </w:r>
          </w:p>
        </w:tc>
        <w:tc>
          <w:tcPr>
            <w:tcW w:w="882" w:type="pct"/>
            <w:vAlign w:val="center"/>
          </w:tcPr>
          <w:p w14:paraId="0F5F8A23">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415.12</w:t>
            </w:r>
          </w:p>
        </w:tc>
        <w:tc>
          <w:tcPr>
            <w:tcW w:w="844" w:type="pct"/>
            <w:vAlign w:val="center"/>
          </w:tcPr>
          <w:p w14:paraId="5F431DC8">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2CDA5CEC">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11.13</w:t>
            </w:r>
          </w:p>
        </w:tc>
        <w:tc>
          <w:tcPr>
            <w:tcW w:w="872" w:type="pct"/>
            <w:vAlign w:val="center"/>
          </w:tcPr>
          <w:p w14:paraId="502B865A">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391596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6A4330EE">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4</w:t>
            </w:r>
          </w:p>
        </w:tc>
        <w:tc>
          <w:tcPr>
            <w:tcW w:w="1094" w:type="pct"/>
            <w:vAlign w:val="center"/>
          </w:tcPr>
          <w:p w14:paraId="2EB9166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miR-100</w:t>
            </w:r>
          </w:p>
        </w:tc>
        <w:tc>
          <w:tcPr>
            <w:tcW w:w="882" w:type="pct"/>
            <w:vAlign w:val="center"/>
          </w:tcPr>
          <w:p w14:paraId="0D9CE4CE">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584.04</w:t>
            </w:r>
          </w:p>
        </w:tc>
        <w:tc>
          <w:tcPr>
            <w:tcW w:w="844" w:type="pct"/>
            <w:vAlign w:val="center"/>
          </w:tcPr>
          <w:p w14:paraId="57026A9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12BFB55E">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231.48</w:t>
            </w:r>
          </w:p>
        </w:tc>
        <w:tc>
          <w:tcPr>
            <w:tcW w:w="872" w:type="pct"/>
            <w:vAlign w:val="center"/>
          </w:tcPr>
          <w:p w14:paraId="5F9D8574">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6BF26C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0C43FA0C">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5</w:t>
            </w:r>
          </w:p>
        </w:tc>
        <w:tc>
          <w:tcPr>
            <w:tcW w:w="1094" w:type="pct"/>
            <w:vAlign w:val="center"/>
          </w:tcPr>
          <w:p w14:paraId="26DC52B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miR-10a</w:t>
            </w:r>
          </w:p>
        </w:tc>
        <w:tc>
          <w:tcPr>
            <w:tcW w:w="882" w:type="pct"/>
            <w:vAlign w:val="center"/>
          </w:tcPr>
          <w:p w14:paraId="6D5ECEDC">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946.24</w:t>
            </w:r>
          </w:p>
        </w:tc>
        <w:tc>
          <w:tcPr>
            <w:tcW w:w="844" w:type="pct"/>
            <w:vAlign w:val="center"/>
          </w:tcPr>
          <w:p w14:paraId="6932C29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5B5FC749">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514.04</w:t>
            </w:r>
          </w:p>
        </w:tc>
        <w:tc>
          <w:tcPr>
            <w:tcW w:w="872" w:type="pct"/>
            <w:vAlign w:val="center"/>
          </w:tcPr>
          <w:p w14:paraId="046D30B6">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1EE6FD4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4E483833">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6</w:t>
            </w:r>
          </w:p>
        </w:tc>
        <w:tc>
          <w:tcPr>
            <w:tcW w:w="1094" w:type="pct"/>
            <w:vAlign w:val="center"/>
          </w:tcPr>
          <w:p w14:paraId="43A0E08F">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miR-10b</w:t>
            </w:r>
          </w:p>
        </w:tc>
        <w:tc>
          <w:tcPr>
            <w:tcW w:w="882" w:type="pct"/>
            <w:vAlign w:val="center"/>
          </w:tcPr>
          <w:p w14:paraId="0DD3943C">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427.56</w:t>
            </w:r>
          </w:p>
        </w:tc>
        <w:tc>
          <w:tcPr>
            <w:tcW w:w="844" w:type="pct"/>
            <w:vAlign w:val="center"/>
          </w:tcPr>
          <w:p w14:paraId="08EA83D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27CF7704">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663.13</w:t>
            </w:r>
          </w:p>
        </w:tc>
        <w:tc>
          <w:tcPr>
            <w:tcW w:w="872" w:type="pct"/>
            <w:vAlign w:val="center"/>
          </w:tcPr>
          <w:p w14:paraId="5D158D9F">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729849B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1E906C6F">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7</w:t>
            </w:r>
          </w:p>
        </w:tc>
        <w:tc>
          <w:tcPr>
            <w:tcW w:w="1094" w:type="pct"/>
            <w:vAlign w:val="center"/>
          </w:tcPr>
          <w:p w14:paraId="259CA2A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miR-122</w:t>
            </w:r>
          </w:p>
        </w:tc>
        <w:tc>
          <w:tcPr>
            <w:tcW w:w="882" w:type="pct"/>
            <w:vAlign w:val="center"/>
          </w:tcPr>
          <w:p w14:paraId="0518FA0D">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12</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562.51</w:t>
            </w:r>
          </w:p>
        </w:tc>
        <w:tc>
          <w:tcPr>
            <w:tcW w:w="844" w:type="pct"/>
            <w:vAlign w:val="center"/>
          </w:tcPr>
          <w:p w14:paraId="2A3D713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122DBA3B">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55.70</w:t>
            </w:r>
          </w:p>
        </w:tc>
        <w:tc>
          <w:tcPr>
            <w:tcW w:w="872" w:type="pct"/>
            <w:vAlign w:val="center"/>
          </w:tcPr>
          <w:p w14:paraId="7F4E1C15">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68A64E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5751B817">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8</w:t>
            </w:r>
          </w:p>
        </w:tc>
        <w:tc>
          <w:tcPr>
            <w:tcW w:w="1094" w:type="pct"/>
            <w:vAlign w:val="center"/>
          </w:tcPr>
          <w:p w14:paraId="751041D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miR-128</w:t>
            </w:r>
          </w:p>
        </w:tc>
        <w:tc>
          <w:tcPr>
            <w:tcW w:w="882" w:type="pct"/>
            <w:vAlign w:val="center"/>
          </w:tcPr>
          <w:p w14:paraId="0BBBB0A0">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198.59</w:t>
            </w:r>
          </w:p>
        </w:tc>
        <w:tc>
          <w:tcPr>
            <w:tcW w:w="844" w:type="pct"/>
            <w:vAlign w:val="center"/>
          </w:tcPr>
          <w:p w14:paraId="3A73AEF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030CD09E">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87.11</w:t>
            </w:r>
          </w:p>
        </w:tc>
        <w:tc>
          <w:tcPr>
            <w:tcW w:w="872" w:type="pct"/>
            <w:vAlign w:val="center"/>
          </w:tcPr>
          <w:p w14:paraId="1DABF36D">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5E8335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4F243409">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9</w:t>
            </w:r>
          </w:p>
        </w:tc>
        <w:tc>
          <w:tcPr>
            <w:tcW w:w="1094" w:type="pct"/>
            <w:vAlign w:val="center"/>
          </w:tcPr>
          <w:p w14:paraId="3AED0F2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miR-143</w:t>
            </w:r>
          </w:p>
        </w:tc>
        <w:tc>
          <w:tcPr>
            <w:tcW w:w="882" w:type="pct"/>
            <w:vAlign w:val="center"/>
          </w:tcPr>
          <w:p w14:paraId="336BAC8E">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448.97</w:t>
            </w:r>
          </w:p>
        </w:tc>
        <w:tc>
          <w:tcPr>
            <w:tcW w:w="844" w:type="pct"/>
            <w:vAlign w:val="center"/>
          </w:tcPr>
          <w:p w14:paraId="44C78573">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355759A8">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98.94</w:t>
            </w:r>
          </w:p>
        </w:tc>
        <w:tc>
          <w:tcPr>
            <w:tcW w:w="872" w:type="pct"/>
            <w:vAlign w:val="center"/>
          </w:tcPr>
          <w:p w14:paraId="73174371">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707CF17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6AB5799B">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10</w:t>
            </w:r>
          </w:p>
        </w:tc>
        <w:tc>
          <w:tcPr>
            <w:tcW w:w="1094" w:type="pct"/>
            <w:vAlign w:val="center"/>
          </w:tcPr>
          <w:p w14:paraId="4F071CD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miR-148a</w:t>
            </w:r>
          </w:p>
        </w:tc>
        <w:tc>
          <w:tcPr>
            <w:tcW w:w="882" w:type="pct"/>
            <w:vAlign w:val="center"/>
          </w:tcPr>
          <w:p w14:paraId="5EEAC676">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19</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568.12</w:t>
            </w:r>
          </w:p>
        </w:tc>
        <w:tc>
          <w:tcPr>
            <w:tcW w:w="844" w:type="pct"/>
            <w:vAlign w:val="center"/>
          </w:tcPr>
          <w:p w14:paraId="6FCC92F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162E7EAC">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99.82</w:t>
            </w:r>
          </w:p>
        </w:tc>
        <w:tc>
          <w:tcPr>
            <w:tcW w:w="872" w:type="pct"/>
            <w:vAlign w:val="center"/>
          </w:tcPr>
          <w:p w14:paraId="10BE52D8">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4607061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04479F79">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11</w:t>
            </w:r>
          </w:p>
        </w:tc>
        <w:tc>
          <w:tcPr>
            <w:tcW w:w="1094" w:type="pct"/>
            <w:vAlign w:val="center"/>
          </w:tcPr>
          <w:p w14:paraId="4ABD9E9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miR-148b</w:t>
            </w:r>
          </w:p>
        </w:tc>
        <w:tc>
          <w:tcPr>
            <w:tcW w:w="882" w:type="pct"/>
            <w:vAlign w:val="center"/>
          </w:tcPr>
          <w:p w14:paraId="67796164">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53.72</w:t>
            </w:r>
          </w:p>
        </w:tc>
        <w:tc>
          <w:tcPr>
            <w:tcW w:w="844" w:type="pct"/>
            <w:vAlign w:val="center"/>
          </w:tcPr>
          <w:p w14:paraId="369A1A1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50E69E65">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14.94</w:t>
            </w:r>
          </w:p>
        </w:tc>
        <w:tc>
          <w:tcPr>
            <w:tcW w:w="872" w:type="pct"/>
            <w:vAlign w:val="center"/>
          </w:tcPr>
          <w:p w14:paraId="3A576694">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3702F5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1681A7C1">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12</w:t>
            </w:r>
          </w:p>
        </w:tc>
        <w:tc>
          <w:tcPr>
            <w:tcW w:w="1094" w:type="pct"/>
            <w:vAlign w:val="center"/>
          </w:tcPr>
          <w:p w14:paraId="070D533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miR-184</w:t>
            </w:r>
          </w:p>
        </w:tc>
        <w:tc>
          <w:tcPr>
            <w:tcW w:w="882" w:type="pct"/>
            <w:vAlign w:val="center"/>
          </w:tcPr>
          <w:p w14:paraId="253DE5A8">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2</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606.03</w:t>
            </w:r>
          </w:p>
        </w:tc>
        <w:tc>
          <w:tcPr>
            <w:tcW w:w="844" w:type="pct"/>
            <w:vAlign w:val="center"/>
          </w:tcPr>
          <w:p w14:paraId="52A029D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6572AFDE">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31.50</w:t>
            </w:r>
          </w:p>
        </w:tc>
        <w:tc>
          <w:tcPr>
            <w:tcW w:w="872" w:type="pct"/>
            <w:vAlign w:val="center"/>
          </w:tcPr>
          <w:p w14:paraId="7BD1B468">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0.01</w:t>
            </w:r>
          </w:p>
        </w:tc>
      </w:tr>
      <w:tr w14:paraId="435D9E4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077F52D5">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13</w:t>
            </w:r>
          </w:p>
        </w:tc>
        <w:tc>
          <w:tcPr>
            <w:tcW w:w="1094" w:type="pct"/>
            <w:vAlign w:val="center"/>
          </w:tcPr>
          <w:p w14:paraId="3A9972D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miR-206</w:t>
            </w:r>
          </w:p>
        </w:tc>
        <w:tc>
          <w:tcPr>
            <w:tcW w:w="882" w:type="pct"/>
            <w:vAlign w:val="center"/>
          </w:tcPr>
          <w:p w14:paraId="2BD6BA08">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461.41</w:t>
            </w:r>
          </w:p>
        </w:tc>
        <w:tc>
          <w:tcPr>
            <w:tcW w:w="844" w:type="pct"/>
            <w:vAlign w:val="center"/>
          </w:tcPr>
          <w:p w14:paraId="67AB934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3C3E0AD9">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460</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869</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393.90</w:t>
            </w:r>
          </w:p>
        </w:tc>
        <w:tc>
          <w:tcPr>
            <w:tcW w:w="872" w:type="pct"/>
            <w:vAlign w:val="center"/>
          </w:tcPr>
          <w:p w14:paraId="3332EA91">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305BA9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798F0A2C">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14</w:t>
            </w:r>
          </w:p>
        </w:tc>
        <w:tc>
          <w:tcPr>
            <w:tcW w:w="1094" w:type="pct"/>
            <w:vAlign w:val="center"/>
          </w:tcPr>
          <w:p w14:paraId="7F86332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miR-215</w:t>
            </w:r>
          </w:p>
        </w:tc>
        <w:tc>
          <w:tcPr>
            <w:tcW w:w="882" w:type="pct"/>
            <w:vAlign w:val="center"/>
          </w:tcPr>
          <w:p w14:paraId="5A64E157">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147.32</w:t>
            </w:r>
          </w:p>
        </w:tc>
        <w:tc>
          <w:tcPr>
            <w:tcW w:w="844" w:type="pct"/>
            <w:vAlign w:val="center"/>
          </w:tcPr>
          <w:p w14:paraId="6B25AAC8">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1F15B53E">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3</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515.50</w:t>
            </w:r>
          </w:p>
        </w:tc>
        <w:tc>
          <w:tcPr>
            <w:tcW w:w="872" w:type="pct"/>
            <w:vAlign w:val="center"/>
          </w:tcPr>
          <w:p w14:paraId="1ED6C54C">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69BC4A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478E42B0">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15</w:t>
            </w:r>
          </w:p>
        </w:tc>
        <w:tc>
          <w:tcPr>
            <w:tcW w:w="1094" w:type="pct"/>
            <w:vAlign w:val="center"/>
          </w:tcPr>
          <w:p w14:paraId="37A147A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miR-218</w:t>
            </w:r>
          </w:p>
        </w:tc>
        <w:tc>
          <w:tcPr>
            <w:tcW w:w="882" w:type="pct"/>
            <w:vAlign w:val="center"/>
          </w:tcPr>
          <w:p w14:paraId="4145E8B2">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86.65</w:t>
            </w:r>
          </w:p>
        </w:tc>
        <w:tc>
          <w:tcPr>
            <w:tcW w:w="844" w:type="pct"/>
            <w:vAlign w:val="center"/>
          </w:tcPr>
          <w:p w14:paraId="31FCBC2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47CABC38">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311.18</w:t>
            </w:r>
          </w:p>
        </w:tc>
        <w:tc>
          <w:tcPr>
            <w:tcW w:w="872" w:type="pct"/>
            <w:vAlign w:val="center"/>
          </w:tcPr>
          <w:p w14:paraId="47A395F2">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2B6D19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7780AF9B">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16</w:t>
            </w:r>
          </w:p>
        </w:tc>
        <w:tc>
          <w:tcPr>
            <w:tcW w:w="1094" w:type="pct"/>
            <w:vAlign w:val="center"/>
          </w:tcPr>
          <w:p w14:paraId="1EDDD65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miR-23a</w:t>
            </w:r>
          </w:p>
        </w:tc>
        <w:tc>
          <w:tcPr>
            <w:tcW w:w="882" w:type="pct"/>
            <w:vAlign w:val="center"/>
          </w:tcPr>
          <w:p w14:paraId="3F751D14">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293.23</w:t>
            </w:r>
          </w:p>
        </w:tc>
        <w:tc>
          <w:tcPr>
            <w:tcW w:w="844" w:type="pct"/>
            <w:vAlign w:val="center"/>
          </w:tcPr>
          <w:p w14:paraId="0AE94EB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Down</w:t>
            </w:r>
          </w:p>
        </w:tc>
        <w:tc>
          <w:tcPr>
            <w:tcW w:w="1018" w:type="pct"/>
            <w:vAlign w:val="center"/>
          </w:tcPr>
          <w:p w14:paraId="337CF8FA">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c>
          <w:tcPr>
            <w:tcW w:w="872" w:type="pct"/>
            <w:vAlign w:val="center"/>
          </w:tcPr>
          <w:p w14:paraId="5C686164">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42911C6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137C5F2D">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17</w:t>
            </w:r>
          </w:p>
        </w:tc>
        <w:tc>
          <w:tcPr>
            <w:tcW w:w="1094" w:type="pct"/>
            <w:vAlign w:val="center"/>
          </w:tcPr>
          <w:p w14:paraId="255BEB3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miR-26a</w:t>
            </w:r>
          </w:p>
        </w:tc>
        <w:tc>
          <w:tcPr>
            <w:tcW w:w="882" w:type="pct"/>
            <w:vAlign w:val="center"/>
          </w:tcPr>
          <w:p w14:paraId="525C24E1">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544.95</w:t>
            </w:r>
          </w:p>
        </w:tc>
        <w:tc>
          <w:tcPr>
            <w:tcW w:w="844" w:type="pct"/>
            <w:vAlign w:val="center"/>
          </w:tcPr>
          <w:p w14:paraId="33FF9B8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6FFEC1C4">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4.84</w:t>
            </w:r>
          </w:p>
        </w:tc>
        <w:tc>
          <w:tcPr>
            <w:tcW w:w="872" w:type="pct"/>
            <w:vAlign w:val="center"/>
          </w:tcPr>
          <w:p w14:paraId="1B5C64BB">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0.01</w:t>
            </w:r>
          </w:p>
        </w:tc>
      </w:tr>
      <w:tr w14:paraId="402B3EF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53FB2CF3">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18</w:t>
            </w:r>
          </w:p>
        </w:tc>
        <w:tc>
          <w:tcPr>
            <w:tcW w:w="1094" w:type="pct"/>
            <w:vAlign w:val="center"/>
          </w:tcPr>
          <w:p w14:paraId="65F8537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miR-30b-5p</w:t>
            </w:r>
          </w:p>
        </w:tc>
        <w:tc>
          <w:tcPr>
            <w:tcW w:w="882" w:type="pct"/>
            <w:vAlign w:val="center"/>
          </w:tcPr>
          <w:p w14:paraId="02A62F35">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179.37</w:t>
            </w:r>
          </w:p>
        </w:tc>
        <w:tc>
          <w:tcPr>
            <w:tcW w:w="844" w:type="pct"/>
            <w:vAlign w:val="center"/>
          </w:tcPr>
          <w:p w14:paraId="3C6DC238">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59C0C080">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124.77</w:t>
            </w:r>
          </w:p>
        </w:tc>
        <w:tc>
          <w:tcPr>
            <w:tcW w:w="872" w:type="pct"/>
            <w:vAlign w:val="center"/>
          </w:tcPr>
          <w:p w14:paraId="52A5DD65">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24D4D2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561A4F75">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19</w:t>
            </w:r>
          </w:p>
        </w:tc>
        <w:tc>
          <w:tcPr>
            <w:tcW w:w="1094" w:type="pct"/>
            <w:vAlign w:val="center"/>
          </w:tcPr>
          <w:p w14:paraId="4A672647">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miR-3432a</w:t>
            </w:r>
          </w:p>
        </w:tc>
        <w:tc>
          <w:tcPr>
            <w:tcW w:w="882" w:type="pct"/>
            <w:vAlign w:val="center"/>
          </w:tcPr>
          <w:p w14:paraId="72344569">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80.71</w:t>
            </w:r>
          </w:p>
        </w:tc>
        <w:tc>
          <w:tcPr>
            <w:tcW w:w="844" w:type="pct"/>
            <w:vAlign w:val="center"/>
          </w:tcPr>
          <w:p w14:paraId="5A57C24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Up</w:t>
            </w:r>
          </w:p>
        </w:tc>
        <w:tc>
          <w:tcPr>
            <w:tcW w:w="1018" w:type="pct"/>
            <w:vAlign w:val="center"/>
          </w:tcPr>
          <w:p w14:paraId="73C43437">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27</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784</w:t>
            </w:r>
            <w:r>
              <w:rPr>
                <w:rFonts w:ascii="Times New Roman" w:hAnsi="Times New Roman" w:eastAsia="等线"/>
                <w:color w:val="000000"/>
                <w:sz w:val="20"/>
                <w:szCs w:val="20"/>
                <w:highlight w:val="none"/>
                <w:lang w:eastAsia="zh-CN"/>
              </w:rPr>
              <w:t>,</w:t>
            </w:r>
            <w:r>
              <w:rPr>
                <w:rFonts w:ascii="Times New Roman" w:hAnsi="Times New Roman" w:eastAsia="等线"/>
                <w:color w:val="000000"/>
                <w:sz w:val="20"/>
                <w:szCs w:val="20"/>
                <w:highlight w:val="none"/>
              </w:rPr>
              <w:t>329.49</w:t>
            </w:r>
          </w:p>
        </w:tc>
        <w:tc>
          <w:tcPr>
            <w:tcW w:w="872" w:type="pct"/>
            <w:vAlign w:val="center"/>
          </w:tcPr>
          <w:p w14:paraId="491424CE">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5EBB70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139750B2">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20</w:t>
            </w:r>
          </w:p>
        </w:tc>
        <w:tc>
          <w:tcPr>
            <w:tcW w:w="1094" w:type="pct"/>
            <w:vAlign w:val="center"/>
          </w:tcPr>
          <w:p w14:paraId="2EFF6966">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miR-486</w:t>
            </w:r>
          </w:p>
        </w:tc>
        <w:tc>
          <w:tcPr>
            <w:tcW w:w="882" w:type="pct"/>
            <w:vAlign w:val="center"/>
          </w:tcPr>
          <w:p w14:paraId="177B3264">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98.50</w:t>
            </w:r>
          </w:p>
        </w:tc>
        <w:tc>
          <w:tcPr>
            <w:tcW w:w="844" w:type="pct"/>
            <w:vAlign w:val="center"/>
          </w:tcPr>
          <w:p w14:paraId="6C48F2F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Down</w:t>
            </w:r>
          </w:p>
        </w:tc>
        <w:tc>
          <w:tcPr>
            <w:tcW w:w="1018" w:type="pct"/>
            <w:vAlign w:val="center"/>
          </w:tcPr>
          <w:p w14:paraId="459E5A0E">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0.01</w:t>
            </w:r>
          </w:p>
        </w:tc>
        <w:tc>
          <w:tcPr>
            <w:tcW w:w="872" w:type="pct"/>
            <w:vAlign w:val="center"/>
          </w:tcPr>
          <w:p w14:paraId="66F1A107">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0DC711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57D781A4">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21</w:t>
            </w:r>
          </w:p>
        </w:tc>
        <w:tc>
          <w:tcPr>
            <w:tcW w:w="1094" w:type="pct"/>
            <w:vAlign w:val="center"/>
          </w:tcPr>
          <w:p w14:paraId="019551B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miR-499</w:t>
            </w:r>
          </w:p>
        </w:tc>
        <w:tc>
          <w:tcPr>
            <w:tcW w:w="882" w:type="pct"/>
            <w:vAlign w:val="center"/>
          </w:tcPr>
          <w:p w14:paraId="586B8FFF">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5.10</w:t>
            </w:r>
          </w:p>
        </w:tc>
        <w:tc>
          <w:tcPr>
            <w:tcW w:w="844" w:type="pct"/>
            <w:vAlign w:val="center"/>
          </w:tcPr>
          <w:p w14:paraId="31801948">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Down</w:t>
            </w:r>
          </w:p>
        </w:tc>
        <w:tc>
          <w:tcPr>
            <w:tcW w:w="1018" w:type="pct"/>
            <w:vAlign w:val="center"/>
          </w:tcPr>
          <w:p w14:paraId="1A56B6D3">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0.04</w:t>
            </w:r>
          </w:p>
        </w:tc>
        <w:tc>
          <w:tcPr>
            <w:tcW w:w="872" w:type="pct"/>
            <w:vAlign w:val="center"/>
          </w:tcPr>
          <w:p w14:paraId="0BB08410">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719CE76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Pr>
          <w:p w14:paraId="28EDFAB4">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22</w:t>
            </w:r>
          </w:p>
        </w:tc>
        <w:tc>
          <w:tcPr>
            <w:tcW w:w="1094" w:type="pct"/>
            <w:vAlign w:val="center"/>
          </w:tcPr>
          <w:p w14:paraId="4CB78A2E">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miR-6529a</w:t>
            </w:r>
          </w:p>
        </w:tc>
        <w:tc>
          <w:tcPr>
            <w:tcW w:w="882" w:type="pct"/>
            <w:vAlign w:val="center"/>
          </w:tcPr>
          <w:p w14:paraId="383CE8CB">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115.94</w:t>
            </w:r>
          </w:p>
        </w:tc>
        <w:tc>
          <w:tcPr>
            <w:tcW w:w="844" w:type="pct"/>
            <w:vAlign w:val="center"/>
          </w:tcPr>
          <w:p w14:paraId="13BB84A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Down</w:t>
            </w:r>
          </w:p>
        </w:tc>
        <w:tc>
          <w:tcPr>
            <w:tcW w:w="1018" w:type="pct"/>
            <w:vAlign w:val="center"/>
          </w:tcPr>
          <w:p w14:paraId="1BDD748E">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c>
          <w:tcPr>
            <w:tcW w:w="872" w:type="pct"/>
            <w:vAlign w:val="center"/>
          </w:tcPr>
          <w:p w14:paraId="19CD3CA9">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0.00</w:t>
            </w:r>
          </w:p>
        </w:tc>
      </w:tr>
      <w:tr w14:paraId="0E275F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0" w:type="pct"/>
            <w:tcBorders>
              <w:bottom w:val="single" w:color="auto" w:sz="4" w:space="0"/>
            </w:tcBorders>
          </w:tcPr>
          <w:p w14:paraId="2B662340">
            <w:pPr>
              <w:pStyle w:val="95"/>
              <w:spacing w:line="276"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23</w:t>
            </w:r>
          </w:p>
        </w:tc>
        <w:tc>
          <w:tcPr>
            <w:tcW w:w="1094" w:type="pct"/>
            <w:tcBorders>
              <w:bottom w:val="single" w:color="auto" w:sz="4" w:space="0"/>
            </w:tcBorders>
            <w:vAlign w:val="center"/>
          </w:tcPr>
          <w:p w14:paraId="08631702">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miR-99a-5p</w:t>
            </w:r>
          </w:p>
        </w:tc>
        <w:tc>
          <w:tcPr>
            <w:tcW w:w="882" w:type="pct"/>
            <w:tcBorders>
              <w:bottom w:val="single" w:color="auto" w:sz="4" w:space="0"/>
            </w:tcBorders>
            <w:vAlign w:val="center"/>
          </w:tcPr>
          <w:p w14:paraId="5C766983">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156.95</w:t>
            </w:r>
          </w:p>
        </w:tc>
        <w:tc>
          <w:tcPr>
            <w:tcW w:w="844" w:type="pct"/>
            <w:tcBorders>
              <w:bottom w:val="single" w:color="auto" w:sz="4" w:space="0"/>
            </w:tcBorders>
            <w:vAlign w:val="center"/>
          </w:tcPr>
          <w:p w14:paraId="45BAB2DC">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Down</w:t>
            </w:r>
          </w:p>
        </w:tc>
        <w:tc>
          <w:tcPr>
            <w:tcW w:w="1018" w:type="pct"/>
            <w:tcBorders>
              <w:bottom w:val="single" w:color="auto" w:sz="4" w:space="0"/>
            </w:tcBorders>
            <w:vAlign w:val="center"/>
          </w:tcPr>
          <w:p w14:paraId="266C8DD2">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0.04</w:t>
            </w:r>
          </w:p>
        </w:tc>
        <w:tc>
          <w:tcPr>
            <w:tcW w:w="872" w:type="pct"/>
            <w:tcBorders>
              <w:bottom w:val="single" w:color="auto" w:sz="4" w:space="0"/>
            </w:tcBorders>
            <w:vAlign w:val="center"/>
          </w:tcPr>
          <w:p w14:paraId="2D897A58">
            <w:pPr>
              <w:pStyle w:val="95"/>
              <w:spacing w:line="276" w:lineRule="auto"/>
              <w:jc w:val="both"/>
              <w:rPr>
                <w:rFonts w:ascii="Times New Roman" w:hAnsi="Times New Roman" w:eastAsia="Calibri"/>
                <w:sz w:val="20"/>
                <w:szCs w:val="20"/>
                <w:highlight w:val="none"/>
              </w:rPr>
            </w:pPr>
            <w:r>
              <w:rPr>
                <w:rFonts w:ascii="Times New Roman" w:hAnsi="Times New Roman" w:eastAsia="等线"/>
                <w:color w:val="000000"/>
                <w:sz w:val="20"/>
                <w:szCs w:val="20"/>
                <w:highlight w:val="none"/>
              </w:rPr>
              <w:t>0.01</w:t>
            </w:r>
          </w:p>
        </w:tc>
      </w:tr>
    </w:tbl>
    <w:p w14:paraId="307A663A">
      <w:pPr>
        <w:rPr>
          <w:sz w:val="20"/>
          <w:szCs w:val="20"/>
          <w:highlight w:val="none"/>
          <w:lang w:val="en-US" w:eastAsia="zh-CN"/>
        </w:rPr>
      </w:pPr>
      <w:r>
        <w:rPr>
          <w:sz w:val="20"/>
          <w:szCs w:val="20"/>
          <w:highlight w:val="none"/>
          <w:vertAlign w:val="superscript"/>
          <w:lang w:val="en-US" w:eastAsia="zh-CN"/>
        </w:rPr>
        <w:t>1</w:t>
      </w:r>
      <w:r>
        <w:rPr>
          <w:sz w:val="20"/>
          <w:szCs w:val="20"/>
          <w:highlight w:val="none"/>
          <w:lang w:val="en-US" w:eastAsia="zh-CN"/>
        </w:rPr>
        <w:t xml:space="preserve">Base mean: the standard read counts of all samples. </w:t>
      </w:r>
    </w:p>
    <w:p w14:paraId="62B08CEB">
      <w:pPr>
        <w:rPr>
          <w:sz w:val="20"/>
          <w:szCs w:val="20"/>
          <w:highlight w:val="none"/>
          <w:lang w:val="en-US" w:eastAsia="zh-CN"/>
        </w:rPr>
      </w:pPr>
      <w:r>
        <w:rPr>
          <w:sz w:val="20"/>
          <w:szCs w:val="20"/>
          <w:highlight w:val="none"/>
          <w:vertAlign w:val="superscript"/>
          <w:lang w:val="en-US" w:eastAsia="zh-CN"/>
        </w:rPr>
        <w:t>2</w:t>
      </w:r>
      <w:r>
        <w:rPr>
          <w:sz w:val="20"/>
          <w:szCs w:val="20"/>
          <w:highlight w:val="none"/>
          <w:lang w:val="en-US" w:eastAsia="zh-CN"/>
        </w:rPr>
        <w:t xml:space="preserve">Regulation: compared the control group, the miRNAs were either up-regulated or down-regulated in the inulin group. </w:t>
      </w:r>
    </w:p>
    <w:p w14:paraId="2A1B0903">
      <w:pPr>
        <w:rPr>
          <w:sz w:val="20"/>
          <w:szCs w:val="20"/>
          <w:highlight w:val="none"/>
          <w:lang w:val="en-US" w:eastAsia="zh-CN"/>
        </w:rPr>
      </w:pPr>
      <w:r>
        <w:rPr>
          <w:sz w:val="20"/>
          <w:szCs w:val="20"/>
          <w:highlight w:val="none"/>
          <w:vertAlign w:val="superscript"/>
          <w:lang w:val="en-US" w:eastAsia="zh-CN"/>
        </w:rPr>
        <w:t>3</w:t>
      </w:r>
      <w:r>
        <w:rPr>
          <w:sz w:val="20"/>
          <w:szCs w:val="20"/>
          <w:highlight w:val="none"/>
          <w:lang w:val="en-US" w:eastAsia="zh-CN"/>
        </w:rPr>
        <w:t xml:space="preserve">Fold change: the ratio of miRNA expression in the inulin group versus the control group. </w:t>
      </w:r>
    </w:p>
    <w:p w14:paraId="09851658">
      <w:pPr>
        <w:rPr>
          <w:sz w:val="20"/>
          <w:szCs w:val="20"/>
          <w:highlight w:val="none"/>
          <w:lang w:val="en-US" w:eastAsia="zh-CN"/>
        </w:rPr>
      </w:pPr>
      <w:r>
        <w:rPr>
          <w:sz w:val="20"/>
          <w:szCs w:val="20"/>
          <w:highlight w:val="none"/>
          <w:vertAlign w:val="superscript"/>
          <w:lang w:val="en-US" w:eastAsia="zh-CN"/>
        </w:rPr>
        <w:t>4</w:t>
      </w:r>
      <w:r>
        <w:rPr>
          <w:sz w:val="20"/>
          <w:szCs w:val="20"/>
          <w:highlight w:val="none"/>
          <w:lang w:val="en-US" w:eastAsia="zh-CN"/>
        </w:rPr>
        <w:t>Adj p-value was adjusted for multiple testing.</w:t>
      </w:r>
    </w:p>
    <w:p w14:paraId="2688DB1B">
      <w:pPr>
        <w:rPr>
          <w:highlight w:val="none"/>
          <w:lang w:val="en-US"/>
        </w:rPr>
      </w:pPr>
      <w:bookmarkStart w:id="78" w:name="_Hlk195036200"/>
      <w:bookmarkStart w:id="79" w:name="_Toc207979955"/>
      <w:r>
        <w:rPr>
          <w:b/>
          <w:bCs/>
          <w:highlight w:val="none"/>
          <w:lang w:val="en-US"/>
        </w:rPr>
        <w:t xml:space="preserve">Table </w:t>
      </w:r>
      <w:r>
        <w:rPr>
          <w:rFonts w:hint="eastAsia"/>
          <w:b/>
          <w:bCs/>
          <w:highlight w:val="none"/>
          <w:lang w:val="en-US" w:eastAsia="zh-CN"/>
        </w:rPr>
        <w:t>2</w:t>
      </w:r>
      <w:r>
        <w:rPr>
          <w:b/>
          <w:bCs/>
          <w:highlight w:val="none"/>
          <w:lang w:val="en-US"/>
        </w:rPr>
        <w:noBreakHyphen/>
      </w:r>
      <w:r>
        <w:rPr>
          <w:b/>
          <w:bCs/>
          <w:highlight w:val="none"/>
          <w:lang w:val="en-US"/>
        </w:rPr>
        <w:fldChar w:fldCharType="begin"/>
      </w:r>
      <w:r>
        <w:rPr>
          <w:b/>
          <w:bCs/>
          <w:highlight w:val="none"/>
          <w:lang w:val="en-US"/>
        </w:rPr>
        <w:instrText xml:space="preserve"> SEQ Table \* ARABIC \s 1 </w:instrText>
      </w:r>
      <w:r>
        <w:rPr>
          <w:b/>
          <w:bCs/>
          <w:highlight w:val="none"/>
          <w:lang w:val="en-US"/>
        </w:rPr>
        <w:fldChar w:fldCharType="separate"/>
      </w:r>
      <w:r>
        <w:rPr>
          <w:b/>
          <w:bCs/>
          <w:highlight w:val="none"/>
          <w:lang w:val="en-US"/>
        </w:rPr>
        <w:t>4</w:t>
      </w:r>
      <w:r>
        <w:rPr>
          <w:b/>
          <w:bCs/>
          <w:highlight w:val="none"/>
          <w:lang w:val="en-US"/>
        </w:rPr>
        <w:fldChar w:fldCharType="end"/>
      </w:r>
      <w:r>
        <w:rPr>
          <w:b/>
          <w:bCs/>
          <w:highlight w:val="none"/>
          <w:lang w:val="en-US"/>
        </w:rPr>
        <w:t>:</w:t>
      </w:r>
      <w:r>
        <w:rPr>
          <w:highlight w:val="none"/>
          <w:lang w:val="en-US"/>
        </w:rPr>
        <w:t xml:space="preserve"> </w:t>
      </w:r>
      <w:r>
        <w:rPr>
          <w:sz w:val="20"/>
          <w:szCs w:val="20"/>
          <w:highlight w:val="none"/>
          <w:lang w:val="en-US"/>
        </w:rPr>
        <w:t xml:space="preserve">Differentially expressed serum-derived small extracellular vesicles </w:t>
      </w:r>
      <w:bookmarkEnd w:id="78"/>
      <w:r>
        <w:rPr>
          <w:sz w:val="20"/>
          <w:szCs w:val="20"/>
          <w:highlight w:val="none"/>
          <w:lang w:val="en-US"/>
        </w:rPr>
        <w:t>microRNAs exclusively expressed in either the control or inulin group of dairy cows suffering from subclinical mastitis</w:t>
      </w:r>
      <w:bookmarkEnd w:id="79"/>
    </w:p>
    <w:tbl>
      <w:tblPr>
        <w:tblStyle w:val="29"/>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66"/>
        <w:gridCol w:w="2567"/>
        <w:gridCol w:w="2568"/>
      </w:tblGrid>
      <w:tr w14:paraId="4193A27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6" w:type="pct"/>
            <w:tcBorders>
              <w:top w:val="single" w:color="auto" w:sz="4" w:space="0"/>
              <w:bottom w:val="single" w:color="auto" w:sz="4" w:space="0"/>
            </w:tcBorders>
            <w:vAlign w:val="center"/>
          </w:tcPr>
          <w:p w14:paraId="0494FC85">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miRNAs</w:t>
            </w:r>
          </w:p>
        </w:tc>
        <w:tc>
          <w:tcPr>
            <w:tcW w:w="1666" w:type="pct"/>
            <w:tcBorders>
              <w:top w:val="single" w:color="auto" w:sz="4" w:space="0"/>
              <w:bottom w:val="single" w:color="auto" w:sz="4" w:space="0"/>
            </w:tcBorders>
            <w:vAlign w:val="center"/>
          </w:tcPr>
          <w:p w14:paraId="62A81A4F">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Control Group</w:t>
            </w:r>
          </w:p>
          <w:p w14:paraId="6606380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(Mean reads)</w:t>
            </w:r>
          </w:p>
        </w:tc>
        <w:tc>
          <w:tcPr>
            <w:tcW w:w="1667" w:type="pct"/>
            <w:tcBorders>
              <w:top w:val="single" w:color="auto" w:sz="4" w:space="0"/>
              <w:bottom w:val="single" w:color="auto" w:sz="4" w:space="0"/>
            </w:tcBorders>
            <w:vAlign w:val="center"/>
          </w:tcPr>
          <w:p w14:paraId="17A0D4B1">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Inulin Group</w:t>
            </w:r>
          </w:p>
          <w:p w14:paraId="100C43D9">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(Mean reads)</w:t>
            </w:r>
          </w:p>
        </w:tc>
      </w:tr>
      <w:tr w14:paraId="22AC75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6" w:type="pct"/>
            <w:tcBorders>
              <w:top w:val="single" w:color="auto" w:sz="4" w:space="0"/>
            </w:tcBorders>
            <w:vAlign w:val="center"/>
          </w:tcPr>
          <w:p w14:paraId="57CD7A43">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miR-206</w:t>
            </w:r>
          </w:p>
        </w:tc>
        <w:tc>
          <w:tcPr>
            <w:tcW w:w="1666" w:type="pct"/>
            <w:tcBorders>
              <w:top w:val="single" w:color="auto" w:sz="4" w:space="0"/>
            </w:tcBorders>
            <w:vAlign w:val="center"/>
          </w:tcPr>
          <w:p w14:paraId="00D848E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w:t>
            </w:r>
          </w:p>
        </w:tc>
        <w:tc>
          <w:tcPr>
            <w:tcW w:w="1667" w:type="pct"/>
            <w:tcBorders>
              <w:top w:val="single" w:color="auto" w:sz="4" w:space="0"/>
            </w:tcBorders>
            <w:vAlign w:val="center"/>
          </w:tcPr>
          <w:p w14:paraId="0471F40E">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725.80</w:t>
            </w:r>
          </w:p>
        </w:tc>
      </w:tr>
      <w:tr w14:paraId="2A80E7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6" w:type="pct"/>
            <w:vAlign w:val="center"/>
          </w:tcPr>
          <w:p w14:paraId="4D2A98B0">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miR-3432a</w:t>
            </w:r>
          </w:p>
        </w:tc>
        <w:tc>
          <w:tcPr>
            <w:tcW w:w="1666" w:type="pct"/>
            <w:vAlign w:val="center"/>
          </w:tcPr>
          <w:p w14:paraId="76306CA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w:t>
            </w:r>
          </w:p>
        </w:tc>
        <w:tc>
          <w:tcPr>
            <w:tcW w:w="1667" w:type="pct"/>
            <w:vAlign w:val="center"/>
          </w:tcPr>
          <w:p w14:paraId="3AC4C9D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94.60</w:t>
            </w:r>
          </w:p>
        </w:tc>
      </w:tr>
      <w:tr w14:paraId="78888B8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6" w:type="pct"/>
            <w:vAlign w:val="center"/>
          </w:tcPr>
          <w:p w14:paraId="2E3FAB8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miR-499</w:t>
            </w:r>
          </w:p>
        </w:tc>
        <w:tc>
          <w:tcPr>
            <w:tcW w:w="1666" w:type="pct"/>
            <w:vAlign w:val="center"/>
          </w:tcPr>
          <w:p w14:paraId="5BA4CA7D">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14.60</w:t>
            </w:r>
          </w:p>
        </w:tc>
        <w:tc>
          <w:tcPr>
            <w:tcW w:w="1667" w:type="pct"/>
            <w:vAlign w:val="center"/>
          </w:tcPr>
          <w:p w14:paraId="5BF8F2D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w:t>
            </w:r>
          </w:p>
        </w:tc>
      </w:tr>
      <w:tr w14:paraId="52E7438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6" w:type="pct"/>
            <w:tcBorders>
              <w:bottom w:val="single" w:color="auto" w:sz="4" w:space="0"/>
            </w:tcBorders>
            <w:vAlign w:val="center"/>
          </w:tcPr>
          <w:p w14:paraId="295E8694">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miR-6529a</w:t>
            </w:r>
          </w:p>
        </w:tc>
        <w:tc>
          <w:tcPr>
            <w:tcW w:w="1666" w:type="pct"/>
            <w:tcBorders>
              <w:bottom w:val="single" w:color="auto" w:sz="4" w:space="0"/>
            </w:tcBorders>
            <w:vAlign w:val="center"/>
          </w:tcPr>
          <w:p w14:paraId="2A5D940A">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283.80</w:t>
            </w:r>
          </w:p>
        </w:tc>
        <w:tc>
          <w:tcPr>
            <w:tcW w:w="1667" w:type="pct"/>
            <w:tcBorders>
              <w:bottom w:val="single" w:color="auto" w:sz="4" w:space="0"/>
            </w:tcBorders>
            <w:vAlign w:val="center"/>
          </w:tcPr>
          <w:p w14:paraId="630506EB">
            <w:pPr>
              <w:pStyle w:val="95"/>
              <w:spacing w:line="276"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0</w:t>
            </w:r>
          </w:p>
        </w:tc>
      </w:tr>
    </w:tbl>
    <w:p w14:paraId="58886B9B">
      <w:pPr>
        <w:rPr>
          <w:highlight w:val="none"/>
          <w:lang w:val="en-GB" w:eastAsia="zh-CN"/>
        </w:rPr>
      </w:pPr>
      <w:r>
        <w:rPr>
          <w:highlight w:val="none"/>
          <w:lang w:val="en-GB" w:eastAsia="zh-CN"/>
        </w:rPr>
        <w:t>The GO enrichment analysis result of top 10 functional categories of target genes from the differentially expressed miRNA is shown in Fig.</w:t>
      </w:r>
      <w:r>
        <w:rPr>
          <w:rFonts w:hint="eastAsia"/>
          <w:highlight w:val="none"/>
          <w:lang w:val="en-GB" w:eastAsia="zh-CN"/>
        </w:rPr>
        <w:t>2-3A</w:t>
      </w:r>
      <w:r>
        <w:rPr>
          <w:highlight w:val="none"/>
          <w:lang w:val="en-GB" w:eastAsia="zh-CN"/>
        </w:rPr>
        <w:t>. The categories of biological process, cellular component, and molecular function were influenced by inulin supplementation. The biological process mainly included positive and negative regulation of transcription by RNA polymerase II, cell differentiation, adhesion and apoptotic, regulation of transcription, and signal transduction. The cellular component included nucleus, cytoplasm, cytosol, plasma membrane, etc. The molecular function included binding of metal ion, ATP, DNA, and RNA. KEGG pathway analysis revealed 20 top pathways that were influenced by differentially expressed miRNAs (Fig.</w:t>
      </w:r>
      <w:r>
        <w:rPr>
          <w:rFonts w:hint="eastAsia"/>
          <w:highlight w:val="none"/>
          <w:lang w:val="en-GB" w:eastAsia="zh-CN"/>
        </w:rPr>
        <w:t>2-3B</w:t>
      </w:r>
      <w:r>
        <w:rPr>
          <w:highlight w:val="none"/>
          <w:lang w:val="en-GB" w:eastAsia="zh-CN"/>
        </w:rPr>
        <w:t>). These pathways include signal transduction, transport and catabolism, cellular community-eukaryotes, signaling molecules and interaction, endocrine system, immune system, digestive system, excretory system, development and regeneration, and replication and repair, cell motility.</w:t>
      </w:r>
    </w:p>
    <w:p w14:paraId="5B54C5B8">
      <w:pPr>
        <w:rPr>
          <w:highlight w:val="none"/>
          <w:lang w:val="en-GB" w:eastAsia="zh-CN"/>
        </w:rPr>
      </w:pPr>
      <w:r>
        <w:rPr>
          <w:highlight w:val="none"/>
        </w:rPr>
        <w:drawing>
          <wp:inline distT="0" distB="0" distL="0" distR="0">
            <wp:extent cx="4752975" cy="1948815"/>
            <wp:effectExtent l="0" t="0" r="9525" b="0"/>
            <wp:docPr id="12642428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42830" name="图片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752975" cy="1948815"/>
                    </a:xfrm>
                    <a:prstGeom prst="rect">
                      <a:avLst/>
                    </a:prstGeom>
                    <a:noFill/>
                    <a:ln>
                      <a:noFill/>
                    </a:ln>
                  </pic:spPr>
                </pic:pic>
              </a:graphicData>
            </a:graphic>
          </wp:inline>
        </w:drawing>
      </w:r>
    </w:p>
    <w:p w14:paraId="32D27FBB">
      <w:pPr>
        <w:spacing w:after="200" w:line="276" w:lineRule="auto"/>
        <w:ind w:firstLine="0"/>
        <w:jc w:val="center"/>
        <w:rPr>
          <w:highlight w:val="none"/>
          <w:lang w:val="en-US"/>
        </w:rPr>
      </w:pPr>
      <w:bookmarkStart w:id="80" w:name="_Toc207982993"/>
      <w:r>
        <w:rPr>
          <w:b/>
          <w:bCs/>
          <w:highlight w:val="none"/>
          <w:lang w:val="en-US"/>
        </w:rPr>
        <w:t xml:space="preserve">Figure </w:t>
      </w:r>
      <w:r>
        <w:rPr>
          <w:rFonts w:hint="eastAsia"/>
          <w:b/>
          <w:bCs/>
          <w:highlight w:val="none"/>
          <w:lang w:val="en-US" w:eastAsia="zh-CN"/>
        </w:rPr>
        <w:t>2</w:t>
      </w:r>
      <w:r>
        <w:rPr>
          <w:b/>
          <w:bCs/>
          <w:highlight w:val="none"/>
          <w:lang w:val="en-US"/>
        </w:rPr>
        <w:noBreakHyphen/>
      </w:r>
      <w:r>
        <w:rPr>
          <w:b/>
          <w:bCs/>
          <w:highlight w:val="none"/>
          <w:lang w:val="en-US"/>
        </w:rPr>
        <w:fldChar w:fldCharType="begin"/>
      </w:r>
      <w:r>
        <w:rPr>
          <w:b/>
          <w:bCs/>
          <w:highlight w:val="none"/>
          <w:lang w:val="en-US"/>
        </w:rPr>
        <w:instrText xml:space="preserve"> SEQ Figure \* ARABIC \s 1 </w:instrText>
      </w:r>
      <w:r>
        <w:rPr>
          <w:b/>
          <w:bCs/>
          <w:highlight w:val="none"/>
          <w:lang w:val="en-US"/>
        </w:rPr>
        <w:fldChar w:fldCharType="separate"/>
      </w:r>
      <w:r>
        <w:rPr>
          <w:b/>
          <w:bCs/>
          <w:highlight w:val="none"/>
          <w:lang w:val="en-US"/>
        </w:rPr>
        <w:t>3</w:t>
      </w:r>
      <w:r>
        <w:rPr>
          <w:b/>
          <w:bCs/>
          <w:highlight w:val="none"/>
          <w:lang w:val="en-US"/>
        </w:rPr>
        <w:fldChar w:fldCharType="end"/>
      </w:r>
      <w:r>
        <w:rPr>
          <w:b/>
          <w:bCs/>
          <w:highlight w:val="none"/>
          <w:lang w:val="en-US"/>
        </w:rPr>
        <w:t>:</w:t>
      </w:r>
      <w:r>
        <w:rPr>
          <w:highlight w:val="none"/>
          <w:lang w:val="en-US"/>
        </w:rPr>
        <w:t xml:space="preserve"> </w:t>
      </w:r>
      <w:r>
        <w:rPr>
          <w:rFonts w:hint="eastAsia"/>
          <w:sz w:val="20"/>
          <w:szCs w:val="20"/>
          <w:highlight w:val="none"/>
          <w:lang w:val="en-US" w:eastAsia="zh-CN"/>
        </w:rPr>
        <w:t xml:space="preserve">(A) </w:t>
      </w:r>
      <w:r>
        <w:rPr>
          <w:sz w:val="20"/>
          <w:szCs w:val="20"/>
          <w:highlight w:val="none"/>
          <w:lang w:val="en-US"/>
        </w:rPr>
        <w:t>Gene ontology enrichment analysis for the genes of the top 10 differentially expressed serum-derived small extracellular vesicles microRNAs from cows suffering from subclinical mastitis in three categories.</w:t>
      </w:r>
      <w:r>
        <w:rPr>
          <w:rFonts w:hint="eastAsia"/>
          <w:sz w:val="20"/>
          <w:szCs w:val="20"/>
          <w:highlight w:val="none"/>
          <w:lang w:val="en-US" w:eastAsia="zh-CN"/>
        </w:rPr>
        <w:t xml:space="preserve"> (B) </w:t>
      </w:r>
      <w:r>
        <w:rPr>
          <w:sz w:val="20"/>
          <w:szCs w:val="20"/>
          <w:highlight w:val="none"/>
          <w:lang w:val="en-US"/>
        </w:rPr>
        <w:t>Kyoto Encyclopedia of Genes and Genomes pathway analysis for target genes of the top 20 differentially expressed serum-derived small extracellular vesicles microRNAs in cows suffering from subclinical mastitis.</w:t>
      </w:r>
      <w:bookmarkEnd w:id="80"/>
    </w:p>
    <w:p w14:paraId="1361E550">
      <w:pPr>
        <w:pStyle w:val="3"/>
        <w:rPr>
          <w:highlight w:val="none"/>
        </w:rPr>
      </w:pPr>
      <w:bookmarkStart w:id="81" w:name="_Toc207979764"/>
      <w:r>
        <w:rPr>
          <w:highlight w:val="none"/>
        </w:rPr>
        <w:t>Discussion</w:t>
      </w:r>
      <w:bookmarkEnd w:id="81"/>
    </w:p>
    <w:p w14:paraId="2BABFC36">
      <w:pPr>
        <w:rPr>
          <w:rFonts w:cs="Times New Roman"/>
          <w:highlight w:val="none"/>
        </w:rPr>
      </w:pPr>
      <w:r>
        <w:rPr>
          <w:rFonts w:cs="Times New Roman"/>
          <w:highlight w:val="none"/>
        </w:rPr>
        <w:t xml:space="preserve">Bovine mastitis is an inflammatory reaction of breast parenchyma due to the invasion of pathogenic bacteria or caused by physical and chemical factors. The disease occurs frequently in summer (Dahl and McFadden, 2022). Mastitis has adverse impacts on animal welfare and the economic viability of dairy farms, as it increases the culling and mortality rates of dairy cows. </w:t>
      </w:r>
      <w:r>
        <w:rPr>
          <w:rFonts w:hint="eastAsia" w:cs="Times New Roman"/>
          <w:highlight w:val="none"/>
          <w:lang w:eastAsia="zh-CN"/>
        </w:rPr>
        <w:t>SCM</w:t>
      </w:r>
      <w:r>
        <w:rPr>
          <w:rFonts w:cs="Times New Roman"/>
          <w:highlight w:val="none"/>
        </w:rPr>
        <w:t xml:space="preserve">, which lacks apparent physical symptoms, is the most prevalent form of mastitis and causes more severe than clinical mastitis. Given the potential risks associated with the use of conventional antibiotics, it is imperative to find new solutions to prevent mastitis in dairy cows. In recent years, plant-derived bioactive compounds have gained considerable attention in the field of cow mastitis prevention and treatment. These compounds possess the abilities of inhibiting pathogenic microorganisms responsible for mastitis, alleviating inflammatory reactions, and improving lactation function (Khan et al., 2018; Olagaray et al., 2019). </w:t>
      </w:r>
    </w:p>
    <w:p w14:paraId="7FF77270">
      <w:pPr>
        <w:rPr>
          <w:rFonts w:cs="Times New Roman"/>
          <w:highlight w:val="none"/>
        </w:rPr>
      </w:pPr>
      <w:r>
        <w:rPr>
          <w:rFonts w:cs="Times New Roman"/>
          <w:highlight w:val="none"/>
        </w:rPr>
        <w:t xml:space="preserve">As one of the plant-derived bioactive compounds, inulin is wildly used as prebiotic to regulate the structure of intestinal microflora (Zhu et al., 2020). Moreover, it has been reported that inulin has multiple nutritional and health promoting functions. Previous studies have demonstrated that inulin supplementation in dairy cows leads to increased milk production and volatile fatty acid concentration, which benefitted their antioxidant and immune function (Zhao et al., 2022). Likewise, inulin supplementation modulated the abundance of microbiota and downregulated lipid metabolism in the rumen, as well as improved milk performance (Wang et al., 2021). Besides, inulin intake could modulate the microflora and metabolites in the mammary gland, upregulating beneficial bacteria, and downregulating mastitis-causing and proinflammatory microbiota in the milk (Wang et al., 2022). Based on these findings, the current study focused on exploring the changes of miRNA profile derived from the serum sEVs in dairy cows with </w:t>
      </w:r>
      <w:r>
        <w:rPr>
          <w:rFonts w:hint="eastAsia" w:cs="Times New Roman"/>
          <w:highlight w:val="none"/>
          <w:lang w:eastAsia="zh-CN"/>
        </w:rPr>
        <w:t>SCM</w:t>
      </w:r>
      <w:r>
        <w:rPr>
          <w:rFonts w:cs="Times New Roman"/>
          <w:highlight w:val="none"/>
        </w:rPr>
        <w:t xml:space="preserve"> following inulin supplementation. Serum transports substances released by all organs and tissues, thereby reflecting the overall status of the body. Consequently, exploring the transformation of serum sEVs profiles will provide valuable insights into the mechanisms underlying the mitigation of inflammation induced by inulin supplementation.</w:t>
      </w:r>
    </w:p>
    <w:p w14:paraId="52EE3630">
      <w:pPr>
        <w:rPr>
          <w:rFonts w:cs="Times New Roman"/>
          <w:highlight w:val="none"/>
        </w:rPr>
      </w:pPr>
      <w:r>
        <w:rPr>
          <w:rFonts w:cs="Times New Roman"/>
          <w:highlight w:val="none"/>
        </w:rPr>
        <w:t>sEVs are bilayer membrane particles that are released into extracellular space by cells (van Niel et al., 2022). The results of the nanoparticle tracking analysis showed that the particles derived from serum were within the range of particle size of sEVs. Moreover, the observed double-layer structure of the particles, as observed through Transmission Electron Microscopy, provides further evidence that the particles were indeed sEVs.</w:t>
      </w:r>
    </w:p>
    <w:p w14:paraId="17A1A0E3">
      <w:pPr>
        <w:rPr>
          <w:rFonts w:cs="Times New Roman"/>
          <w:highlight w:val="none"/>
        </w:rPr>
      </w:pPr>
      <w:r>
        <w:rPr>
          <w:rFonts w:cs="Times New Roman"/>
          <w:highlight w:val="none"/>
        </w:rPr>
        <w:t xml:space="preserve">A total of 162 known miRNAs were identified in the current study, which is a lower number compared to other studies such as Quan et al. (2019), who found 359 miRNAs in bovine serum sEVs, and by Zhao et al. (2016), who reported 282 miRNAs in serum exosomes. The inulin supplementation had no effect on the RNA concentration. The read number of miRNAs had no significant difference between the two groups. However, the known miRNA number in the control group was higher than that in the inulin group (p&lt;0.01). Since miRNA could pass through the digestive track and absorbed by the animal, which may lead to the release of cargos that can affect the original miRNA profiles (Kosaka et al., 2010; Manca et al., 2018). It can be speculated that some of the novel miRNAs found in our study may be caused by the plant sources in the feed, and the differences in number of novel miRNAs between the two groups may thus have been mainly induced by the inulin supplementation. Among the top 20 highly expressed miRNAs, 10 of them (miR-148a, let-7b, miR-143, let-7a-5p, miR-21-5p, miR-26a, let-7f, miR-10b, miR99a-5p, and miR-423-5p) were also found in the highly expressed serum sEVs-derived miRNAs from healthy cows (Zhao et al., 2016; Quan et al., 2019), suggesting their fundamental function in the growth, development, and lactation of dairy cows. Except for the miRNAs that present in healthy animals, some of the highly expressed miRNAs may be involved in the regulation of inflammation. For instance, miR-122 and miR-21-5p were found to be upregulated in mastitis milk, and breed disparity led to a different change in miRNA profiles </w:t>
      </w:r>
      <w:r>
        <w:rPr>
          <w:rFonts w:cs="Times New Roman"/>
          <w:highlight w:val="none"/>
        </w:rPr>
        <w:fldChar w:fldCharType="begin"/>
      </w:r>
      <w:r>
        <w:rPr>
          <w:rFonts w:cs="Times New Roman"/>
          <w:highlight w:val="none"/>
        </w:rPr>
        <w:instrText xml:space="preserve"> ADDIN EN.CITE &lt;EndNote&gt;&lt;Cite&gt;&lt;Author&gt;Ozdemir&lt;/Author&gt;&lt;Year&gt;2020&lt;/Year&gt;&lt;RecNum&gt;7&lt;/RecNum&gt;&lt;DisplayText&gt;(Ozdemir, 2020)&lt;/DisplayText&gt;&lt;record&gt;&lt;rec-number&gt;7&lt;/rec-number&gt;&lt;foreign-keys&gt;&lt;key app="EN" db-id="xwvtz5rea2fr2je0p0uppszgwft92rr5pxdp" timestamp="1664365614"&gt;7&lt;/key&gt;&lt;/foreign-keys&gt;&lt;ref-type name="Journal Article"&gt;17&lt;/ref-type&gt;&lt;contributors&gt;&lt;authors&gt;&lt;author&gt;Ozdemir, S.&lt;/author&gt;&lt;/authors&gt;&lt;/contributors&gt;&lt;auth-address&gt;Ataturk Univ, Fac Vet Med, Dept Genet, Erzurum, Turkey&lt;/auth-address&gt;&lt;titles&gt;&lt;title&gt;Expression Profiles of Inflammation-related MicroRNAs in Mycoplasma bovis Infected Milk of Holstein-Friesian and Dogu Anadolu Kirmizisi Cows&lt;/title&gt;&lt;secondary-title&gt;Ksu Tarim Ve Doga Dergisi-Ksu Journal of Agriculture and Nature&lt;/secondary-title&gt;&lt;alt-title&gt;Ksu Tarim Doga Derg&lt;/alt-title&gt;&lt;/titles&gt;&lt;periodical&gt;&lt;full-title&gt;Ksu Tarim Ve Doga Dergisi-Ksu Journal of Agriculture and Nature&lt;/full-title&gt;&lt;abbr-1&gt;Ksu Tarim Doga Derg&lt;/abbr-1&gt;&lt;/periodical&gt;&lt;alt-periodical&gt;&lt;full-title&gt;Ksu Tarim Ve Doga Dergisi-Ksu Journal of Agriculture and Nature&lt;/full-title&gt;&lt;abbr-1&gt;Ksu Tarim Doga Derg&lt;/abbr-1&gt;&lt;/alt-periodical&gt;&lt;pages&gt;762-771&lt;/pages&gt;&lt;volume&gt;23&lt;/volume&gt;&lt;number&gt;3&lt;/number&gt;&lt;keywords&gt;&lt;keyword&gt;microrna&lt;/keyword&gt;&lt;keyword&gt;biomarker&lt;/keyword&gt;&lt;keyword&gt;mycoplasma bovis&lt;/keyword&gt;&lt;keyword&gt;subclinic mastitis&lt;/keyword&gt;&lt;keyword&gt;milk&lt;/keyword&gt;&lt;keyword&gt;real-time pcr&lt;/keyword&gt;&lt;keyword&gt;digital pcr&lt;/keyword&gt;&lt;keyword&gt;mastitis&lt;/keyword&gt;&lt;keyword&gt;quantification&lt;/keyword&gt;&lt;keyword&gt;diagnosis&lt;/keyword&gt;&lt;keyword&gt;mirnas&lt;/keyword&gt;&lt;/keywords&gt;&lt;dates&gt;&lt;year&gt;2020&lt;/year&gt;&lt;/dates&gt;&lt;accession-num&gt;WOS:000536043600028&lt;/accession-num&gt;&lt;urls&gt;&lt;related-urls&gt;&lt;url&gt;&amp;lt;Go to ISI&amp;gt;://WOS:000536043600028&lt;/url&gt;&lt;/related-urls&gt;&lt;/urls&gt;&lt;electronic-resource-num&gt;10.18016/ksutarimdoga.vi.661708&lt;/electronic-resource-num&gt;&lt;language&gt;English&lt;/language&gt;&lt;/record&gt;&lt;/Cite&gt;&lt;/EndNote&gt;</w:instrText>
      </w:r>
      <w:r>
        <w:rPr>
          <w:rFonts w:cs="Times New Roman"/>
          <w:highlight w:val="none"/>
        </w:rPr>
        <w:fldChar w:fldCharType="separate"/>
      </w:r>
      <w:r>
        <w:rPr>
          <w:rFonts w:cs="Times New Roman"/>
          <w:highlight w:val="none"/>
        </w:rPr>
        <w:t>(Ozdemir, 2020)</w:t>
      </w:r>
      <w:r>
        <w:rPr>
          <w:rFonts w:cs="Times New Roman"/>
          <w:highlight w:val="none"/>
        </w:rPr>
        <w:fldChar w:fldCharType="end"/>
      </w:r>
      <w:r>
        <w:rPr>
          <w:rFonts w:cs="Times New Roman"/>
          <w:highlight w:val="none"/>
        </w:rPr>
        <w:t xml:space="preserve">. Lai et al. (2021) also observed an increased expression of miR-21 in the serum of mastitis cows, which have a potential for the use as a biomarker for mastitis (Lai et al., 2021). Similarly, miR-23a was highly expressed in the inflammatory responses (Cai et al., 2021), implying their function in responding and regulating inflammation. Although, in our results, miR-21-5p showed no significant changes between the two groups, it was numerically decreased by half in the inulin group, potentially indicating the alleviation of mastitis. In addition, miR-23a was significantly decreased in the inulin group, which hints towards a potential suppression of inflammation mediated through miRNAs. </w:t>
      </w:r>
    </w:p>
    <w:p w14:paraId="2EA5E8F3">
      <w:pPr>
        <w:rPr>
          <w:rFonts w:cs="Times New Roman"/>
          <w:highlight w:val="none"/>
        </w:rPr>
      </w:pPr>
      <w:r>
        <w:rPr>
          <w:rFonts w:cs="Times New Roman"/>
          <w:highlight w:val="none"/>
        </w:rPr>
        <w:t>The samples from individuals within the same group varied immensely, which could be explained by the different background of the animals. The patented high immune response technology revealed that dairy cows have distinct levels of immune responses (Ross et al., 2021), which can lead to or be caused by diverse miRNA expression levels. Despite these individual differences, the differences between the two groups in our study could be attributed to the supplementation of inulin in the diet. Moreover, the inulin intake shifts the pattern of rumen fermentation, modulates the structure of the microbiota, which might also have had an influence on the miRNA profiles in the exosomes and might have affected the results.</w:t>
      </w:r>
    </w:p>
    <w:p w14:paraId="2DE68CDE">
      <w:pPr>
        <w:rPr>
          <w:rFonts w:cs="Times New Roman"/>
          <w:highlight w:val="none"/>
        </w:rPr>
      </w:pPr>
      <w:r>
        <w:rPr>
          <w:rFonts w:cs="Times New Roman"/>
          <w:highlight w:val="none"/>
        </w:rPr>
        <w:t>In this study, a total of 44 differentially expressed miRNAs were detected, including 23 known miRNAs and 21 novel miRNAs. The inulin group had 18 known miRNAs upregulated and 5 known miRNAs downregulated compared to the control group. Among the upregulated miRNAs, let-7c, let-7f, let-7i, miR-10, miR-128, miR-148a, and miR-143 have been associated with anti-inflammatory effects and shown to suppress proliferation and migration of cancer cells in various diseases (Wu et al., 2013; Xie et al., 2014; Yu et al., 2016; Wang et al., 2018; Zhao et al., 2019; Egea et al., 2021; Yang et al., 2021). For example, let-7c in alveolar macrophages inhibited LPS-induced inflammatory responses by targeting STAT3 (Yu et al., 2016). Similarly, let-7i regulated NFκB activation through modification of the SIRT1 protein expression, playing a role in immune response (Xie et al., 2014). miR-128 inhibited LPS-induced inflammation and apoptosis by targeting TGFBR2 in HK2 cells (Yang et al., 2021). miR-143 exhibited a tumor suppressive effect in gastric cancer by regulating the target of COX-2 (Wu et al., 2013). Additionally, miR-122 (Hu et al., 2012), miR-10 (Wang et al., 2018), miR-100 (Huang et al., 2017) have been associated with regulating cell proliferation and differentiation. The inhibition of miR-10 suppressed the proliferation of microglia cells by regulating NgR (Wang et al., 2018). miR-122, which is abundant in the liver, plays a role in lipid metabolism regulation (Hu et al., 2012) by negatively regulating forkhead box O3 (Duckett and Greene, 2022). This may provide an explanation for the previously observed down-regulation of lipid metabolism following inulin supplementation (Wang et al., 2021). In this study, miR-206 was exclusively found in the inulin group, and has been reported to have a positive correlation with bone mineral density and regulation of cell proliferation (Lu et al., 2021). On the other hand, 4 out of the 5 downregulated miRNAs (miR-23a, miR-486, miR-499, miR-99a-5p) have been found to be highly expressed in various diseases, promoting the migration and proliferation of cancer cells, and have been used as biomarkers for potential diagnostic or unfavorable prognostics (Tang et al., 2019; Gao et al., 2020; Garrido-Cano et al., 2021; Mao et al., 2022). For instance, miR-23a was highly expressed in mice with acute lung injury, and was involved in the modulation of LPS-induced inflammation and oxidative stress (Chen et al., 2021). The silencing of miR-486 could mediate the SIRT1 expression and alleviate inflammatory responses induced by LPS (Huang et al., 2019). The inhibition of miR-6529a could promote the proliferation and differentiation of preadipocytes by up-regulating TRIM21 expression in yaks (Ran et al., 2022).</w:t>
      </w:r>
    </w:p>
    <w:p w14:paraId="00B6EB48">
      <w:pPr>
        <w:rPr>
          <w:rFonts w:cs="Times New Roman"/>
          <w:highlight w:val="none"/>
        </w:rPr>
      </w:pPr>
      <w:r>
        <w:rPr>
          <w:rFonts w:cs="Times New Roman"/>
          <w:highlight w:val="none"/>
        </w:rPr>
        <w:t xml:space="preserve">According to the KEGG analysis, the differentially expressed miRNAs in our study are involved in the maintenance of cell and tissue structure and function (including cell adhesion, proliferation, survival, growth, migration, differentiation and apoptosis), lipid oxidation and metabolism, cellular processes (membrane trafficking, intracellular signal transduction), immunity and inflammation, etc. These findings are consistent with previous studies that have shown the ability of inulin, as a probiotic, to modulate the activations of MAPK and NFκB, leading to a dampening of inflammatory responses (Wu et al., 2017). Another study demonstrated that inulin supplementation elevated the level of prostaglandin A1, which exhibits anti-inflammatory properties by preventing the degradation of the NFκB inhibitor (Wang et al., 2022). Furthermore, our results indicate that endocytosis was the most affected pathway, suggesting that the process of sEVs entering the cell was influenced by the inulin supplementation. This can explain the observed changes in miRNA profiles. In addition, the pathways related to the digestion and absorption of nutrients such as carbohydrates, vitamins and calcium were affected by the inulin supplementation. This suggests that the nutrient digestibility should be considered when supplementing diets with inulin. </w:t>
      </w:r>
    </w:p>
    <w:p w14:paraId="5BECB5D5">
      <w:pPr>
        <w:pStyle w:val="3"/>
        <w:rPr>
          <w:highlight w:val="none"/>
        </w:rPr>
      </w:pPr>
      <w:bookmarkStart w:id="82" w:name="_Toc207979765"/>
      <w:r>
        <w:rPr>
          <w:highlight w:val="none"/>
        </w:rPr>
        <w:t>Conclusion</w:t>
      </w:r>
      <w:bookmarkEnd w:id="82"/>
    </w:p>
    <w:p w14:paraId="0E797339">
      <w:pPr>
        <w:rPr>
          <w:highlight w:val="none"/>
          <w:lang w:val="en-US" w:eastAsia="zh-CN"/>
        </w:rPr>
      </w:pPr>
      <w:r>
        <w:rPr>
          <w:highlight w:val="none"/>
          <w:lang w:val="en-US" w:eastAsia="zh-CN"/>
        </w:rPr>
        <w:t>Inulin supplementation affected the expressions of bovine serum-derived sEVs-miRNAs, influencing the processes such as the regulation of cell structure and function, lipid oxidation and metabolism, cellular processes, immunity and inflammation, as well as digestion and absorption of nutrients. This study provides insights into the molecular-level mechanisms through which inulin supplementation exerts its effects, offering a possible explanation for the observed outcomes at the molecular level.</w:t>
      </w:r>
    </w:p>
    <w:p w14:paraId="06352AB8">
      <w:pPr>
        <w:spacing w:after="200" w:line="276" w:lineRule="auto"/>
        <w:ind w:firstLine="0"/>
        <w:jc w:val="left"/>
        <w:rPr>
          <w:highlight w:val="none"/>
          <w:lang w:val="en-US" w:eastAsia="fr-FR"/>
        </w:rPr>
      </w:pPr>
      <w:r>
        <w:rPr>
          <w:highlight w:val="none"/>
          <w:lang w:val="en-US" w:eastAsia="fr-FR"/>
        </w:rPr>
        <w:br w:type="page"/>
      </w:r>
    </w:p>
    <w:p w14:paraId="0E8DBB93">
      <w:pPr>
        <w:spacing w:after="200" w:line="276" w:lineRule="auto"/>
        <w:ind w:firstLine="0"/>
        <w:jc w:val="left"/>
        <w:rPr>
          <w:highlight w:val="none"/>
          <w:lang w:val="en-US" w:eastAsia="fr-FR"/>
        </w:rPr>
        <w:sectPr>
          <w:headerReference r:id="rId35" w:type="default"/>
          <w:headerReference r:id="rId36" w:type="even"/>
          <w:pgSz w:w="9639" w:h="13608"/>
          <w:pgMar w:top="1361" w:right="907" w:bottom="1021" w:left="1247" w:header="709" w:footer="312" w:gutter="0"/>
          <w:cols w:space="708" w:num="1"/>
          <w:docGrid w:linePitch="360" w:charSpace="0"/>
        </w:sectPr>
      </w:pPr>
      <w:r>
        <w:rPr>
          <w:highlight w:val="none"/>
          <w:lang w:val="en-US" w:eastAsia="fr-FR"/>
        </w:rPr>
        <w:br w:type="page"/>
      </w:r>
    </w:p>
    <w:p w14:paraId="138553CC">
      <w:pPr>
        <w:pStyle w:val="2"/>
        <w:rPr>
          <w:highlight w:val="none"/>
          <w:lang w:val="en-US" w:eastAsia="fr-FR"/>
        </w:rPr>
      </w:pPr>
      <w:bookmarkStart w:id="83" w:name="_Toc207979766"/>
      <w:bookmarkEnd w:id="83"/>
    </w:p>
    <w:p w14:paraId="7CEC847C">
      <w:pPr>
        <w:spacing w:after="200" w:line="276" w:lineRule="auto"/>
        <w:ind w:firstLine="0"/>
        <w:jc w:val="left"/>
        <w:rPr>
          <w:highlight w:val="none"/>
          <w:lang w:val="en-US" w:eastAsia="fr-FR"/>
        </w:rPr>
      </w:pPr>
      <w:r>
        <w:rPr>
          <w:highlight w:val="none"/>
          <w:lang w:val="en-US" w:eastAsia="fr-FR"/>
        </w:rPr>
        <w:pict>
          <v:rect id="_x0000_i1027" o:spt="1" style="height:1pt;width:313.25pt;" fillcolor="#000000" filled="t" stroked="f" coordsize="21600,21600" o:hr="t" o:hrstd="t" o:hrnoshade="t" o:hralign="center">
            <v:path/>
            <v:fill on="t" focussize="0,0"/>
            <v:stroke on="f"/>
            <v:imagedata o:title=""/>
            <o:lock v:ext="edit"/>
            <w10:wrap type="none"/>
            <w10:anchorlock/>
          </v:rect>
        </w:pict>
      </w:r>
    </w:p>
    <w:p w14:paraId="0A81F8CB">
      <w:pPr>
        <w:ind w:firstLine="0"/>
        <w:jc w:val="right"/>
        <w:rPr>
          <w:b/>
          <w:sz w:val="40"/>
          <w:szCs w:val="40"/>
          <w:highlight w:val="none"/>
          <w:lang w:val="en-US" w:eastAsia="fr-FR"/>
        </w:rPr>
      </w:pPr>
      <w:r>
        <w:rPr>
          <w:b/>
          <w:sz w:val="40"/>
          <w:szCs w:val="40"/>
          <w:highlight w:val="none"/>
          <w:lang w:val="en-US" w:eastAsia="fr-FR"/>
        </w:rPr>
        <w:t>Effects of inulin on milk-derived small extracellular vesicles RNA</w:t>
      </w:r>
      <w:r>
        <w:rPr>
          <w:rFonts w:hint="eastAsia"/>
          <w:b/>
          <w:sz w:val="40"/>
          <w:szCs w:val="40"/>
          <w:highlight w:val="none"/>
          <w:lang w:val="en-US" w:eastAsia="zh-CN"/>
        </w:rPr>
        <w:t>s</w:t>
      </w:r>
      <w:r>
        <w:rPr>
          <w:b/>
          <w:sz w:val="40"/>
          <w:szCs w:val="40"/>
          <w:highlight w:val="none"/>
          <w:lang w:val="en-US" w:eastAsia="fr-FR"/>
        </w:rPr>
        <w:t xml:space="preserve"> from dairy cows with subclinical mastitis</w:t>
      </w:r>
    </w:p>
    <w:p w14:paraId="373248AE">
      <w:pPr>
        <w:ind w:firstLine="0"/>
        <w:jc w:val="right"/>
        <w:rPr>
          <w:b/>
          <w:sz w:val="40"/>
          <w:szCs w:val="40"/>
          <w:highlight w:val="none"/>
          <w:lang w:val="en-US" w:eastAsia="fr-FR"/>
        </w:rPr>
      </w:pPr>
    </w:p>
    <w:p w14:paraId="1F1B1940">
      <w:pPr>
        <w:ind w:firstLine="0"/>
        <w:jc w:val="right"/>
        <w:rPr>
          <w:b/>
          <w:sz w:val="40"/>
          <w:szCs w:val="40"/>
          <w:highlight w:val="none"/>
          <w:lang w:val="en-US" w:eastAsia="fr-FR"/>
        </w:rPr>
      </w:pPr>
    </w:p>
    <w:p w14:paraId="6DA45E26">
      <w:pPr>
        <w:ind w:firstLine="0"/>
        <w:jc w:val="right"/>
        <w:rPr>
          <w:b/>
          <w:sz w:val="40"/>
          <w:szCs w:val="40"/>
          <w:highlight w:val="none"/>
          <w:lang w:val="en-US" w:eastAsia="fr-FR"/>
        </w:rPr>
      </w:pPr>
    </w:p>
    <w:p w14:paraId="55BCD6F5">
      <w:pPr>
        <w:ind w:firstLine="0"/>
        <w:jc w:val="right"/>
        <w:rPr>
          <w:b/>
          <w:sz w:val="40"/>
          <w:szCs w:val="40"/>
          <w:highlight w:val="none"/>
          <w:lang w:val="en-US" w:eastAsia="fr-FR"/>
        </w:rPr>
      </w:pPr>
    </w:p>
    <w:p w14:paraId="488F5849">
      <w:pPr>
        <w:ind w:firstLine="0"/>
        <w:jc w:val="right"/>
        <w:rPr>
          <w:b/>
          <w:sz w:val="40"/>
          <w:szCs w:val="40"/>
          <w:highlight w:val="none"/>
          <w:lang w:val="en-US" w:eastAsia="fr-FR"/>
        </w:rPr>
      </w:pPr>
    </w:p>
    <w:p w14:paraId="3E3AB5D9">
      <w:pPr>
        <w:ind w:firstLine="0"/>
        <w:jc w:val="right"/>
        <w:rPr>
          <w:b/>
          <w:sz w:val="40"/>
          <w:szCs w:val="40"/>
          <w:highlight w:val="none"/>
          <w:lang w:val="en-US" w:eastAsia="fr-FR"/>
        </w:rPr>
      </w:pPr>
    </w:p>
    <w:p w14:paraId="6D5F0AB0">
      <w:pPr>
        <w:ind w:firstLine="0"/>
        <w:jc w:val="right"/>
        <w:rPr>
          <w:b/>
          <w:sz w:val="40"/>
          <w:szCs w:val="40"/>
          <w:highlight w:val="none"/>
          <w:lang w:val="en-US" w:eastAsia="fr-FR"/>
        </w:rPr>
      </w:pPr>
    </w:p>
    <w:p w14:paraId="7229FF5D">
      <w:pPr>
        <w:ind w:firstLine="0"/>
        <w:jc w:val="right"/>
        <w:rPr>
          <w:b/>
          <w:sz w:val="40"/>
          <w:szCs w:val="40"/>
          <w:highlight w:val="none"/>
          <w:lang w:val="en-US" w:eastAsia="fr-FR"/>
        </w:rPr>
      </w:pPr>
    </w:p>
    <w:p w14:paraId="503695AF">
      <w:pPr>
        <w:ind w:firstLine="0"/>
        <w:jc w:val="right"/>
        <w:rPr>
          <w:b/>
          <w:sz w:val="40"/>
          <w:szCs w:val="40"/>
          <w:highlight w:val="none"/>
          <w:lang w:val="en-US" w:eastAsia="fr-FR"/>
        </w:rPr>
      </w:pPr>
    </w:p>
    <w:p w14:paraId="59194100">
      <w:pPr>
        <w:ind w:firstLine="0"/>
        <w:jc w:val="right"/>
        <w:rPr>
          <w:b/>
          <w:sz w:val="40"/>
          <w:szCs w:val="40"/>
          <w:highlight w:val="none"/>
          <w:lang w:val="en-US" w:eastAsia="fr-FR"/>
        </w:rPr>
      </w:pPr>
    </w:p>
    <w:p w14:paraId="38DF8274">
      <w:pPr>
        <w:ind w:firstLine="0"/>
        <w:jc w:val="right"/>
        <w:rPr>
          <w:b/>
          <w:sz w:val="40"/>
          <w:szCs w:val="40"/>
          <w:highlight w:val="none"/>
          <w:lang w:val="en-US" w:eastAsia="fr-FR"/>
        </w:rPr>
      </w:pPr>
    </w:p>
    <w:p w14:paraId="719C73BB">
      <w:pPr>
        <w:ind w:firstLine="0"/>
        <w:jc w:val="right"/>
        <w:rPr>
          <w:b/>
          <w:sz w:val="40"/>
          <w:szCs w:val="40"/>
          <w:highlight w:val="none"/>
          <w:lang w:val="en-US" w:eastAsia="fr-FR"/>
        </w:rPr>
      </w:pPr>
    </w:p>
    <w:p w14:paraId="1A10B3BD">
      <w:pPr>
        <w:ind w:firstLine="0"/>
        <w:jc w:val="right"/>
        <w:rPr>
          <w:b/>
          <w:sz w:val="40"/>
          <w:szCs w:val="40"/>
          <w:highlight w:val="none"/>
          <w:lang w:val="en-US" w:eastAsia="fr-FR"/>
        </w:rPr>
      </w:pPr>
    </w:p>
    <w:p w14:paraId="0DCC153B">
      <w:pPr>
        <w:ind w:firstLine="0"/>
        <w:jc w:val="right"/>
        <w:rPr>
          <w:b/>
          <w:sz w:val="40"/>
          <w:szCs w:val="40"/>
          <w:highlight w:val="none"/>
          <w:lang w:val="en-US" w:eastAsia="fr-FR"/>
        </w:rPr>
      </w:pPr>
    </w:p>
    <w:p w14:paraId="69573B6B">
      <w:pPr>
        <w:pStyle w:val="92"/>
        <w:rPr>
          <w:rFonts w:hint="default" w:ascii="Times New Roman" w:hAnsi="Times New Roman" w:cs="Times New Roman" w:eastAsiaTheme="minorEastAsia"/>
          <w:color w:val="auto"/>
          <w:sz w:val="22"/>
          <w:szCs w:val="22"/>
          <w:highlight w:val="none"/>
          <w:lang w:val="en-US" w:eastAsia="zh-CN" w:bidi="ar-SA"/>
        </w:rPr>
      </w:pPr>
      <w:r>
        <w:rPr>
          <w:rFonts w:hint="eastAsia" w:ascii="Times New Roman" w:hAnsi="Times New Roman" w:cs="Times New Roman" w:eastAsiaTheme="minorEastAsia"/>
          <w:color w:val="auto"/>
          <w:sz w:val="22"/>
          <w:szCs w:val="22"/>
          <w:highlight w:val="none"/>
          <w:lang w:val="fr-BE" w:eastAsia="zh-CN" w:bidi="ar-SA"/>
        </w:rPr>
        <w:t>Adapted from</w:t>
      </w:r>
      <w:r>
        <w:rPr>
          <w:rFonts w:hint="default" w:ascii="Times New Roman" w:hAnsi="Times New Roman" w:cs="Times New Roman" w:eastAsiaTheme="minorEastAsia"/>
          <w:color w:val="auto"/>
          <w:sz w:val="22"/>
          <w:szCs w:val="22"/>
          <w:highlight w:val="none"/>
          <w:lang w:val="en-US" w:eastAsia="zh-CN" w:bidi="ar-SA"/>
        </w:rPr>
        <w:t>:</w:t>
      </w:r>
    </w:p>
    <w:p w14:paraId="4DC58956">
      <w:pPr>
        <w:spacing w:line="276" w:lineRule="auto"/>
        <w:ind w:firstLine="0"/>
        <w:rPr>
          <w:rFonts w:ascii="Times New Roman" w:hAnsi="Times New Roman" w:cs="Times New Roman" w:eastAsiaTheme="minorEastAsia"/>
          <w:color w:val="auto"/>
          <w:sz w:val="22"/>
          <w:szCs w:val="22"/>
          <w:highlight w:val="none"/>
          <w:lang w:val="en-US" w:eastAsia="zh-CN" w:bidi="ar-SA"/>
        </w:rPr>
      </w:pPr>
      <w:r>
        <w:rPr>
          <w:rFonts w:hint="eastAsia" w:ascii="Times New Roman" w:hAnsi="Times New Roman" w:cs="Times New Roman" w:eastAsiaTheme="minorEastAsia"/>
          <w:color w:val="auto"/>
          <w:sz w:val="22"/>
          <w:szCs w:val="22"/>
          <w:highlight w:val="none"/>
          <w:lang w:val="en-US" w:eastAsia="zh-CN" w:bidi="ar-SA"/>
        </w:rPr>
        <w:t>Yu, W., Nan, X., Schroyen, M., Wang, Y., Zhou, M., Tang, X., &amp; Xiong, B. (2024). Effect of inulin on small extracellular vesicles microRNAs in milk from dairy cows with sub-clinical mastitis. Journal of Animal Science, skae366.</w:t>
      </w:r>
    </w:p>
    <w:p w14:paraId="18A37EE9">
      <w:pPr>
        <w:rPr>
          <w:highlight w:val="none"/>
          <w:lang w:val="en-US" w:eastAsia="fr-FR"/>
        </w:rPr>
      </w:pPr>
    </w:p>
    <w:p w14:paraId="53487FD8">
      <w:pPr>
        <w:rPr>
          <w:highlight w:val="none"/>
          <w:lang w:val="en-US" w:eastAsia="fr-FR"/>
        </w:rPr>
        <w:sectPr>
          <w:headerReference r:id="rId37" w:type="default"/>
          <w:pgSz w:w="9639" w:h="13608"/>
          <w:pgMar w:top="1361" w:right="907" w:bottom="1021" w:left="1247" w:header="709" w:footer="312" w:gutter="0"/>
          <w:cols w:space="708" w:num="1"/>
          <w:docGrid w:linePitch="360" w:charSpace="0"/>
        </w:sectPr>
      </w:pPr>
    </w:p>
    <w:p w14:paraId="1F5D5B16">
      <w:pPr>
        <w:spacing w:after="200" w:line="276" w:lineRule="auto"/>
        <w:ind w:firstLine="0"/>
        <w:jc w:val="left"/>
        <w:rPr>
          <w:highlight w:val="none"/>
          <w:lang w:val="en-US" w:eastAsia="fr-FR"/>
        </w:rPr>
      </w:pPr>
    </w:p>
    <w:p w14:paraId="6F7210A5">
      <w:pPr>
        <w:spacing w:after="200" w:line="276" w:lineRule="auto"/>
        <w:ind w:firstLine="0"/>
        <w:jc w:val="left"/>
        <w:rPr>
          <w:highlight w:val="none"/>
          <w:lang w:val="en-US" w:eastAsia="fr-FR"/>
        </w:rPr>
        <w:sectPr>
          <w:headerReference r:id="rId38" w:type="default"/>
          <w:headerReference r:id="rId39" w:type="even"/>
          <w:pgSz w:w="9639" w:h="13608"/>
          <w:pgMar w:top="1361" w:right="907" w:bottom="1021" w:left="1247" w:header="709" w:footer="312" w:gutter="0"/>
          <w:cols w:space="708" w:num="1"/>
          <w:docGrid w:linePitch="360" w:charSpace="0"/>
        </w:sectPr>
      </w:pPr>
      <w:r>
        <w:rPr>
          <w:highlight w:val="none"/>
          <w:lang w:val="en-US" w:eastAsia="fr-FR"/>
        </w:rPr>
        <w:br w:type="page"/>
      </w:r>
    </w:p>
    <w:p w14:paraId="2CD01EF7">
      <w:pPr>
        <w:rPr>
          <w:highlight w:val="none"/>
          <w:lang w:val="en-US" w:eastAsia="fr-FR"/>
        </w:rPr>
      </w:pPr>
      <w:r>
        <w:rPr>
          <w:highlight w:val="none"/>
          <w:lang w:val="en-US" w:eastAsia="fr-FR"/>
        </w:rPr>
        <w:t xml:space="preserve">In the previous chapter, through the detection and analysis of </w:t>
      </w:r>
      <w:r>
        <w:rPr>
          <w:rFonts w:hint="eastAsia"/>
          <w:highlight w:val="none"/>
          <w:lang w:val="en-US" w:eastAsia="zh-CN"/>
        </w:rPr>
        <w:t xml:space="preserve">small </w:t>
      </w:r>
      <w:r>
        <w:rPr>
          <w:highlight w:val="none"/>
          <w:lang w:val="en-US" w:eastAsia="fr-FR"/>
        </w:rPr>
        <w:t>extracellular vesicle-derived microRNAs (</w:t>
      </w:r>
      <w:r>
        <w:rPr>
          <w:rFonts w:hint="eastAsia"/>
          <w:highlight w:val="none"/>
          <w:lang w:val="en-US" w:eastAsia="zh-CN"/>
        </w:rPr>
        <w:t>s</w:t>
      </w:r>
      <w:r>
        <w:rPr>
          <w:highlight w:val="none"/>
          <w:lang w:val="en-US" w:eastAsia="fr-FR"/>
        </w:rPr>
        <w:t xml:space="preserve">EVs-miRNAs) in serum, differentially expressed </w:t>
      </w:r>
      <w:r>
        <w:rPr>
          <w:rFonts w:hint="eastAsia"/>
          <w:highlight w:val="none"/>
          <w:lang w:val="en-US" w:eastAsia="zh-CN"/>
        </w:rPr>
        <w:t xml:space="preserve">(DE) </w:t>
      </w:r>
      <w:r>
        <w:rPr>
          <w:highlight w:val="none"/>
          <w:lang w:val="en-US" w:eastAsia="fr-FR"/>
        </w:rPr>
        <w:t xml:space="preserve">miRNA molecules were successfully </w:t>
      </w:r>
      <w:r>
        <w:rPr>
          <w:rFonts w:hint="eastAsia"/>
          <w:highlight w:val="none"/>
          <w:lang w:val="en-US" w:eastAsia="zh-CN"/>
        </w:rPr>
        <w:t>identified</w:t>
      </w:r>
      <w:r>
        <w:rPr>
          <w:highlight w:val="none"/>
          <w:lang w:val="en-US" w:eastAsia="fr-FR"/>
        </w:rPr>
        <w:t xml:space="preserve">. Functional enrichment results showed that these </w:t>
      </w:r>
      <w:r>
        <w:rPr>
          <w:rFonts w:hint="eastAsia"/>
          <w:highlight w:val="none"/>
          <w:lang w:val="en-US" w:eastAsia="zh-CN"/>
        </w:rPr>
        <w:t>DE</w:t>
      </w:r>
      <w:r>
        <w:rPr>
          <w:highlight w:val="none"/>
          <w:lang w:val="en-US" w:eastAsia="fr-FR"/>
        </w:rPr>
        <w:t xml:space="preserve"> miRNAs participate in the physiological regulation of dairy cows mainly by regulating immune and metabolic pathways, providing </w:t>
      </w:r>
      <w:r>
        <w:rPr>
          <w:rFonts w:hint="eastAsia"/>
          <w:highlight w:val="none"/>
          <w:lang w:val="en-US" w:eastAsia="zh-CN"/>
        </w:rPr>
        <w:t>evidences</w:t>
      </w:r>
      <w:r>
        <w:rPr>
          <w:highlight w:val="none"/>
          <w:lang w:val="en-US" w:eastAsia="fr-FR"/>
        </w:rPr>
        <w:t xml:space="preserve"> at the serum level for revealing the molecular regulatory mechanisms of dairy cows under stressed states.</w:t>
      </w:r>
    </w:p>
    <w:p w14:paraId="4740A7D9">
      <w:pPr>
        <w:rPr>
          <w:highlight w:val="none"/>
          <w:lang w:val="en-US" w:eastAsia="fr-FR"/>
        </w:rPr>
      </w:pPr>
      <w:r>
        <w:rPr>
          <w:highlight w:val="none"/>
          <w:lang w:val="en-US" w:eastAsia="fr-FR"/>
        </w:rPr>
        <w:t xml:space="preserve">However, as an important product secreted by the mammary glands of dairy cows, milk contains </w:t>
      </w:r>
      <w:r>
        <w:rPr>
          <w:rFonts w:hint="eastAsia"/>
          <w:highlight w:val="none"/>
          <w:lang w:val="en-US" w:eastAsia="zh-CN"/>
        </w:rPr>
        <w:t>sEV</w:t>
      </w:r>
      <w:r>
        <w:rPr>
          <w:highlight w:val="none"/>
          <w:lang w:val="en-US" w:eastAsia="zh-CN"/>
        </w:rPr>
        <w:t>s</w:t>
      </w:r>
      <w:r>
        <w:rPr>
          <w:rFonts w:hint="eastAsia"/>
          <w:highlight w:val="none"/>
          <w:lang w:val="en-US" w:eastAsia="zh-CN"/>
        </w:rPr>
        <w:t>-</w:t>
      </w:r>
      <w:r>
        <w:rPr>
          <w:highlight w:val="none"/>
          <w:lang w:val="en-US" w:eastAsia="fr-FR"/>
        </w:rPr>
        <w:t>RNA molecules (including miRNAs, messenger RNAs (mRNAs), and long non-coding RNAs (lncRNAs)) that not only reflect mammary gland health but may also be closely related to milk quality and maternal-offspring signal transmission. At present, it remains unclear whether there are differences in expression characteristics and pathway regulation between these milk</w:t>
      </w:r>
      <w:r>
        <w:rPr>
          <w:rFonts w:hint="eastAsia"/>
          <w:highlight w:val="none"/>
          <w:lang w:val="en-US" w:eastAsia="zh-CN"/>
        </w:rPr>
        <w:t xml:space="preserve"> sEV</w:t>
      </w:r>
      <w:r>
        <w:rPr>
          <w:highlight w:val="none"/>
          <w:lang w:val="en-US" w:eastAsia="zh-CN"/>
        </w:rPr>
        <w:t>s</w:t>
      </w:r>
      <w:r>
        <w:rPr>
          <w:rFonts w:hint="eastAsia"/>
          <w:highlight w:val="none"/>
          <w:lang w:val="en-US" w:eastAsia="zh-CN"/>
        </w:rPr>
        <w:t>-</w:t>
      </w:r>
      <w:r>
        <w:rPr>
          <w:highlight w:val="none"/>
          <w:lang w:val="en-US" w:eastAsia="fr-FR"/>
        </w:rPr>
        <w:t xml:space="preserve">RNAs and serum </w:t>
      </w:r>
      <w:r>
        <w:rPr>
          <w:rFonts w:hint="eastAsia"/>
          <w:highlight w:val="none"/>
          <w:lang w:val="en-US" w:eastAsia="zh-CN"/>
        </w:rPr>
        <w:t>s</w:t>
      </w:r>
      <w:r>
        <w:rPr>
          <w:highlight w:val="none"/>
          <w:lang w:val="en-US" w:eastAsia="fr-FR"/>
        </w:rPr>
        <w:t>EVs-miRNAs.</w:t>
      </w:r>
    </w:p>
    <w:p w14:paraId="42A8533B">
      <w:pPr>
        <w:rPr>
          <w:highlight w:val="none"/>
          <w:lang w:val="en-US" w:eastAsia="fr-FR"/>
        </w:rPr>
      </w:pPr>
      <w:r>
        <w:rPr>
          <w:highlight w:val="none"/>
          <w:lang w:val="en-US" w:eastAsia="fr-FR"/>
        </w:rPr>
        <w:t xml:space="preserve">Therefore, this chapter will focus on milk samples, systematically detect the expression profiles of miRNAs, mRNAs, and lncRNAs therein, </w:t>
      </w:r>
      <w:r>
        <w:rPr>
          <w:rFonts w:hint="eastAsia"/>
          <w:highlight w:val="none"/>
          <w:lang w:val="en-US" w:eastAsia="zh-CN"/>
        </w:rPr>
        <w:t>identified</w:t>
      </w:r>
      <w:r>
        <w:rPr>
          <w:highlight w:val="none"/>
          <w:lang w:val="en-US" w:eastAsia="fr-FR"/>
        </w:rPr>
        <w:t xml:space="preserve"> RNA molecules with significant differential expression through differential expression analysis, and further explore the biological pathways mainly affected by these milk-derived sEVs-RNAs (such as pathways related to mammary gland development, milk component synthesis, and immune defense) by combining functional enrichment analysis. This will allow a comparison of the similarities and differences between sEVs-RNA regulatory networks in serum and milk, thereby providing a more complete evidence chain for comprehensively deciphering the RNA-mediated molecular regulatory mechanisms in dairy cows.</w:t>
      </w:r>
    </w:p>
    <w:p w14:paraId="2D7B1071">
      <w:pPr>
        <w:pStyle w:val="3"/>
        <w:rPr>
          <w:highlight w:val="none"/>
        </w:rPr>
      </w:pPr>
      <w:bookmarkStart w:id="84" w:name="_Toc207979767"/>
      <w:r>
        <w:rPr>
          <w:highlight w:val="none"/>
          <w:lang w:eastAsia="zh-CN"/>
        </w:rPr>
        <w:t>A</w:t>
      </w:r>
      <w:r>
        <w:rPr>
          <w:rFonts w:hint="eastAsia"/>
          <w:highlight w:val="none"/>
          <w:lang w:eastAsia="zh-CN"/>
        </w:rPr>
        <w:t>bstract</w:t>
      </w:r>
      <w:bookmarkEnd w:id="84"/>
    </w:p>
    <w:p w14:paraId="2917051E">
      <w:pPr>
        <w:rPr>
          <w:highlight w:val="none"/>
          <w:lang w:val="en-US" w:eastAsia="zh-CN"/>
        </w:rPr>
      </w:pPr>
      <w:r>
        <w:rPr>
          <w:highlight w:val="none"/>
          <w:lang w:val="en-US" w:eastAsia="fr-FR"/>
        </w:rPr>
        <w:t xml:space="preserve">Milk contains small RNAs (miRNA, mRNA, lncRNA) that are shielded by small extracellular vesicles (sEVs). Beyond variations among individuals, many factors, including nutrition, play a role in shaping miRNA expression profiles. Inulin has the potential to regulate milk composition and reduce inflammation in bovine subclinical mastitis (SCM). This study is to explore milk-derived sEVs-RNAs variations induced by inulin supplementation in </w:t>
      </w:r>
      <w:r>
        <w:rPr>
          <w:rFonts w:hint="eastAsia"/>
          <w:highlight w:val="none"/>
          <w:lang w:val="en-US" w:eastAsia="zh-CN"/>
        </w:rPr>
        <w:t>SCM</w:t>
      </w:r>
      <w:r>
        <w:rPr>
          <w:highlight w:val="none"/>
          <w:lang w:val="en-US" w:eastAsia="fr-FR"/>
        </w:rPr>
        <w:t>-suffering cows. Fourteen lactating cows diagnosed with SCM were equally assigned to either an inulin or a control group. Apart from total mixed rations, cows in the inulin group were provided with 300 g/d inulin during the morning feeding, while the control group did not receive any supplement. Following 1 week of adaptation and 5 weeks of treatment, sEVs-miRNA, sEVs-mRNA, lncRNA, and sEVs-circRNA were isolated from the milk of each cow. RNAs were subje</w:t>
      </w:r>
      <w:r>
        <w:rPr>
          <w:rFonts w:hint="eastAsia"/>
          <w:highlight w:val="none"/>
          <w:lang w:val="en-US" w:eastAsia="fr-FR"/>
        </w:rPr>
        <w:t>cted to high-throughput sequencing and differentially expressed (DE) miRNAs (p &lt; 0.05 and ∣log2FC∣&gt; 1) were detected through bioinformatics analysis. Gene Ontology (GO) enrichment and Kyoto Encyclopedia of Genes and Genomes (KEGG) pathway analyses were con</w:t>
      </w:r>
      <w:r>
        <w:rPr>
          <w:highlight w:val="none"/>
          <w:lang w:val="en-US" w:eastAsia="fr-FR"/>
        </w:rPr>
        <w:t xml:space="preserve">ducted to examine the target genes of DE RNAs. A </w:t>
      </w:r>
      <w:r>
        <w:rPr>
          <w:rFonts w:hint="eastAsia"/>
          <w:highlight w:val="none"/>
          <w:lang w:val="en-US" w:eastAsia="zh-CN"/>
        </w:rPr>
        <w:t>total</w:t>
      </w:r>
      <w:r>
        <w:rPr>
          <w:highlight w:val="none"/>
          <w:lang w:val="en-US" w:eastAsia="fr-FR"/>
        </w:rPr>
        <w:t xml:space="preserve"> of 350 miRNAs, 10,187 lncRNAs and 19,861 mRNAs were </w:t>
      </w:r>
      <w:r>
        <w:rPr>
          <w:rFonts w:hint="eastAsia"/>
          <w:highlight w:val="none"/>
          <w:lang w:val="en-US" w:eastAsia="zh-CN"/>
        </w:rPr>
        <w:t>identified in the study. Among these molecules,</w:t>
      </w:r>
      <w:r>
        <w:rPr>
          <w:highlight w:val="none"/>
          <w:lang w:val="en-US" w:eastAsia="fr-FR"/>
        </w:rPr>
        <w:t xml:space="preserve"> </w:t>
      </w:r>
      <w:r>
        <w:rPr>
          <w:rFonts w:hint="eastAsia"/>
          <w:highlight w:val="none"/>
          <w:lang w:val="en-US" w:eastAsia="zh-CN"/>
        </w:rPr>
        <w:t xml:space="preserve">comparative analysis between the two groups revealed </w:t>
      </w:r>
      <w:r>
        <w:rPr>
          <w:highlight w:val="none"/>
          <w:lang w:val="en-US" w:eastAsia="fr-FR"/>
        </w:rPr>
        <w:t>9 DE miRNAs, 542 DE lncRNAs and 1,300 DE mRNAs. The target genes of DE RNAs influence organismal systems,</w:t>
      </w:r>
      <w:r>
        <w:rPr>
          <w:rFonts w:hint="eastAsia"/>
          <w:highlight w:val="none"/>
          <w:lang w:val="en-US" w:eastAsia="zh-CN"/>
        </w:rPr>
        <w:t xml:space="preserve"> </w:t>
      </w:r>
      <w:r>
        <w:rPr>
          <w:highlight w:val="none"/>
          <w:lang w:val="en-US" w:eastAsia="fr-FR"/>
        </w:rPr>
        <w:t>cellular processes, signal transduction, metabolism, potentially affecting inflammatory response and milk production.</w:t>
      </w:r>
      <w:r>
        <w:rPr>
          <w:rFonts w:hint="eastAsia"/>
          <w:highlight w:val="none"/>
          <w:lang w:val="en-US" w:eastAsia="zh-CN"/>
        </w:rPr>
        <w:t xml:space="preserve"> </w:t>
      </w:r>
      <w:r>
        <w:rPr>
          <w:highlight w:val="none"/>
          <w:lang w:val="en-US" w:eastAsia="fr-FR"/>
        </w:rPr>
        <w:t xml:space="preserve">Overall, </w:t>
      </w:r>
      <w:r>
        <w:rPr>
          <w:rFonts w:hint="eastAsia"/>
          <w:highlight w:val="none"/>
          <w:lang w:val="en-US" w:eastAsia="zh-CN"/>
        </w:rPr>
        <w:t>o</w:t>
      </w:r>
      <w:r>
        <w:rPr>
          <w:highlight w:val="none"/>
          <w:lang w:val="en-US" w:eastAsia="fr-FR"/>
        </w:rPr>
        <w:t>ur results provide evidences for the finding of changes in milk composition and mitigation in bovine SCM.</w:t>
      </w:r>
    </w:p>
    <w:p w14:paraId="732C27B6">
      <w:pPr>
        <w:pStyle w:val="3"/>
        <w:rPr>
          <w:highlight w:val="none"/>
        </w:rPr>
      </w:pPr>
      <w:bookmarkStart w:id="85" w:name="_Toc207979768"/>
      <w:r>
        <w:rPr>
          <w:highlight w:val="none"/>
        </w:rPr>
        <w:t>Introduction</w:t>
      </w:r>
      <w:bookmarkEnd w:id="85"/>
    </w:p>
    <w:p w14:paraId="008C09AC">
      <w:pPr>
        <w:rPr>
          <w:highlight w:val="none"/>
          <w:lang w:val="en-US" w:eastAsia="zh-CN"/>
        </w:rPr>
      </w:pPr>
      <w:r>
        <w:rPr>
          <w:highlight w:val="none"/>
          <w:lang w:val="en-US" w:eastAsia="zh-CN"/>
        </w:rPr>
        <w:t>Milk contains abundant nutrients and bioactive substances, providing a comprehensive source of essential nutrients and immune protection for newborns and juvenile animals. Bioactive substances in milk have shown regulatory potential in immunity, infection, and inflammation control (Hill and Newburg, 2015). In recent decades, extracellular vesicles, particularly small extracellular vesicles (sEVs) with a size range of 30-150 nm, have been widely studied as bioactive compounds for their biological functions (Gao et al., 2021).</w:t>
      </w:r>
    </w:p>
    <w:p w14:paraId="175BBC44">
      <w:pPr>
        <w:rPr>
          <w:highlight w:val="none"/>
          <w:lang w:val="en-US" w:eastAsia="zh-CN"/>
        </w:rPr>
      </w:pPr>
      <w:r>
        <w:rPr>
          <w:highlight w:val="none"/>
          <w:lang w:val="en-US" w:eastAsia="zh-CN"/>
        </w:rPr>
        <w:t>Exogenous sEVs have a double-layer structure and are resistant to acidic conditions and RNases (Izumi et al., 2015). They protect their cargo from harsh conditions, allowing passage through the gastrointestinal tract and absorption in the small intestine (Stoorvogel et al., 2002). These vesicles carry a diverse array of bioactive molecules known as cargos, including proteins, lipids, and various types of RNAs (Stoorvogel et al., 2002). Among the RNA species inside sEVs, messenger RNA (mRNA), long non-coding RNA (lncRNA), and circular RNA (circRNA) are of particular interest due to their heterogeneous and significant biological functions.</w:t>
      </w:r>
      <w:r>
        <w:rPr>
          <w:rFonts w:hint="eastAsia"/>
          <w:highlight w:val="none"/>
          <w:lang w:val="en-US" w:eastAsia="zh-CN"/>
        </w:rPr>
        <w:t xml:space="preserve"> </w:t>
      </w:r>
      <w:r>
        <w:rPr>
          <w:highlight w:val="none"/>
          <w:lang w:val="en-US" w:eastAsia="zh-CN"/>
        </w:rPr>
        <w:t>A study examining miRNA profiles prior to and after a Staphylococcus aureus infection in cattle identified 22 mammary-expressed objective genes from the revealed differentially expressed (DE) miRNAs. These objective genes participate in modulating immune processes and inflammation responses (Sun et al., 2015). Milk-derived sEVs can also regulate tumor occurrence and transition, mediating apoptosis and inflammation (Samuel et al., 2017; El-kattawy et al., 2021). Bovine milk-derived sEVs have revealed protective effects from oxidative stress, affected metabolism processes, and improved energy status (Chen et al., 2020; Wang et al., 2021a). Additionally, they were shown to alter microbial communities in mice through milk intake containing sEVs (Zhou et al., 2019). Conversely, sEVs can also have negative effects in certain situations. For instance, despite reducing tumor growth, milk sEVs can also accelerate cancer metastasis by inducing epithelial-to-mesenchymal transition in cancer cells (Samuel et al., 2021).</w:t>
      </w:r>
    </w:p>
    <w:p w14:paraId="355239B2">
      <w:pPr>
        <w:rPr>
          <w:highlight w:val="none"/>
          <w:lang w:val="en-US" w:eastAsia="zh-CN"/>
        </w:rPr>
      </w:pPr>
      <w:r>
        <w:rPr>
          <w:highlight w:val="none"/>
          <w:lang w:val="en-US" w:eastAsia="zh-CN"/>
        </w:rPr>
        <w:t xml:space="preserve">As the key cargo of sEVs, miRNAs modulate genes expression at the post-transcriptional level by base-pairing with complementary messenger RNA targets, influencing protein synthesis (Kuokkanen et al., 2010; Ong et al., 2021). They play vital roles in biological processes, cellular components, and molecular functions by modifying gene expression (Zhang et al., 2022b) and influencing numerous pathways, including signal transduction, diseases, and cellular processes (Quan et al., 2020). The miRNA expressions vary widely in different studies, influenced by factors such as breed, environment, and lactation period (Fan et al., 2021a; Yun et al., 2021). Furthermore, miRNAs are significantly altered during different lactation periods, abundant miRNAs regulate basic metabolic, cellular and immunological functions (Do et al., 2017). And 7 milk-specific miRNAs consistently expressed, offering the potential for quality control (Chen et al., 2010). </w:t>
      </w:r>
    </w:p>
    <w:p w14:paraId="2E7C4176">
      <w:pPr>
        <w:rPr>
          <w:highlight w:val="none"/>
          <w:lang w:val="en-US" w:eastAsia="zh-CN"/>
        </w:rPr>
      </w:pPr>
      <w:r>
        <w:rPr>
          <w:highlight w:val="none"/>
          <w:lang w:val="en-US" w:eastAsia="zh-CN"/>
        </w:rPr>
        <w:t xml:space="preserve">Moreover, variations in sEVs-miRNAs may reflect the health conditions of animals. Abnormal miRNA expression can contribute to disease pathogenesis (Do et al., 2021). The expression levels of miR-142-5p and miR-223 were increased after Streptococcus uberis infection (Sun et al., 2015). Similarly, lipoteichoic acid can activate inflammatory responses and increase miR-23a targeting of PI3K to regulate inflammation (Cai et al., 2021). Uterine infections in dairy cow result in 30 DE miRNAs compared to healthy cows. These miRNAs play a crucial role in combating pathogen infestation and regulating inflammation (Kasimanickam and Kastelic, 2016). The above studies suggest the capability of miRNA profiles as disease biomarkers and metabolic condition detection (Colitti et al., 2020). Different feed compositions also lead to variations in miRNA expression. Feed restrictions affected the abundance of miRNAs in milk sEVs (Leduc et al., 2023). Similarly, substituting a portion of alfalfa hay with a mixture of byproducts in cattle feed resulted in 9 DE miRNAs in milk (Quan et al., 2020). These miRNAs are shown to participate in processes such as fat metabolism, taurine and hypotaurine metabolism, and glycosphingolipid biosynthesis. The diversity of miRNA composition and expression under various nutritional and health conditions warrants further attention. </w:t>
      </w:r>
    </w:p>
    <w:p w14:paraId="0406B399">
      <w:pPr>
        <w:rPr>
          <w:highlight w:val="none"/>
          <w:lang w:val="en-US" w:eastAsia="zh-CN"/>
        </w:rPr>
      </w:pPr>
      <w:r>
        <w:rPr>
          <w:highlight w:val="none"/>
          <w:lang w:val="en-US" w:eastAsia="zh-CN"/>
        </w:rPr>
        <w:t>mRNAs are a type of RNA that serve as a template for protein synthesis in cells (Faure et al., 2017). They can be delivered into recipient cells, and can be translated into proteins, thus influencing cellular functions and phenotypes (Valadi et al., 2007). The mRNA cargo within sEVs reflects the physiological state of the parent cell, and their transfer can modulate gene expression patterns in target cells (Valadi et al., 2007). This process is critical in various biological contexts. It can influence histone modification, lipid catabolism, oxidative stress, and transcriptional regulation in response to stress in different species (Mecocci et al., 2021).</w:t>
      </w:r>
    </w:p>
    <w:p w14:paraId="102494CE">
      <w:pPr>
        <w:rPr>
          <w:highlight w:val="none"/>
          <w:lang w:val="en-US" w:eastAsia="zh-CN"/>
        </w:rPr>
      </w:pPr>
      <w:r>
        <w:rPr>
          <w:highlight w:val="none"/>
          <w:lang w:val="en-US" w:eastAsia="zh-CN"/>
        </w:rPr>
        <w:t>LncRNAs are a type of non-coding RNA that exceeds 200 nucleotides in length (Beermann et al., 2016). They do not encode proteins, but they do play essential roles in regulating cellular functions and gene expression at transcriptional and post-transcriptional stages (Jia et al., 2022). lncRNA influence the expression level of mRNA, and thus affects the translation process (Chen et al., 2022; Feng et al., 2024). sEVs-lncRNAs are involved in various physiological and pathological processes, including anti-apoptotic effects, inflammation and immune response (Lin et al., 2021; Wang et al., 2021b; Chen et al., 2022). Moreover, lncRNAs were shown to influence the fundamental biological properties and functions of bovine mammary epithelial cells under inflammatory conditions (Wang et al., 2019</w:t>
      </w:r>
      <w:r>
        <w:rPr>
          <w:rFonts w:hint="eastAsia"/>
          <w:highlight w:val="none"/>
          <w:lang w:val="en-US" w:eastAsia="zh-CN"/>
        </w:rPr>
        <w:t>a</w:t>
      </w:r>
      <w:r>
        <w:rPr>
          <w:highlight w:val="none"/>
          <w:lang w:val="en-US" w:eastAsia="zh-CN"/>
        </w:rPr>
        <w:t>).</w:t>
      </w:r>
    </w:p>
    <w:p w14:paraId="4A70B13C">
      <w:pPr>
        <w:rPr>
          <w:highlight w:val="none"/>
          <w:lang w:val="en-US" w:eastAsia="zh-CN"/>
        </w:rPr>
      </w:pPr>
      <w:r>
        <w:rPr>
          <w:highlight w:val="none"/>
          <w:lang w:val="en-US" w:eastAsia="zh-CN"/>
        </w:rPr>
        <w:t>CircRNAs are a type of non-coding RNAs characterized by a covalently closed circular structure, making them stable and resistant to exonucleases (Bai et al., 2023b). They regulate cellular events by binding microRNAs, interacting with RNA-binding proteins, or being translated into polypeptides (Sadhukhan et al., 2024). CircRNAs contribute to various biological processes such as cell dynamics and inflammatory responses and may regulate bovine mastitis through the modulation of inflammation-related microRNAs (Wang et al., 2022a).</w:t>
      </w:r>
    </w:p>
    <w:p w14:paraId="6FE81B40">
      <w:pPr>
        <w:rPr>
          <w:highlight w:val="none"/>
          <w:lang w:val="en-US" w:eastAsia="zh-CN"/>
        </w:rPr>
      </w:pPr>
      <w:r>
        <w:rPr>
          <w:highlight w:val="none"/>
          <w:lang w:val="en-US" w:eastAsia="zh-CN"/>
        </w:rPr>
        <w:t>Mastitis refers to inflammation on the mammary gland caused by various pathogens, including bacteria such as Staphylococcus aureus and Escherichia coli (Ali et al., 2022). Mastitis is an economically significant disease in dairy cows, affecting both animal welfare and milk production (Antanaitis et al., 2021). It commonly occurs in summer and autumn, and is classified into clinical or subclinical forms (Antanaitis et al., 2021). While clinical mastitis presents evident symptoms, subclinical mastitis (SCM) often goes undetected due to the absence of observable signs, thereby posing a persistent challenge in dairy herd management (Ali et al., 2021). Bovine SCM negatively affects production quality and cow health (Antanaitis et al., 2021). The milk from cows with SCM has a lower fat and protein percentage, a lower concentration in lactose, and a higher somatic cell count (Antanaitis et al., 2021; Ali et al., 2022). Moreover, the udder health status affects the composition of milk microbiota (Kaczorowski et al., 2022; Steinberg et al., 2022). Since the milk can be infected with diverse microbiota, the SCM milk may be harmful for the descendants or other consumer (Antanaitis et al., 2021).</w:t>
      </w:r>
      <w:r>
        <w:rPr>
          <w:rFonts w:hint="eastAsia"/>
          <w:highlight w:val="none"/>
          <w:lang w:val="en-US" w:eastAsia="zh-CN"/>
        </w:rPr>
        <w:t xml:space="preserve"> </w:t>
      </w:r>
      <w:r>
        <w:rPr>
          <w:highlight w:val="none"/>
          <w:lang w:val="en-US" w:eastAsia="zh-CN"/>
        </w:rPr>
        <w:t>T</w:t>
      </w:r>
      <w:r>
        <w:rPr>
          <w:rFonts w:hint="eastAsia"/>
          <w:highlight w:val="none"/>
          <w:lang w:val="en-US" w:eastAsia="zh-CN"/>
        </w:rPr>
        <w:t>h</w:t>
      </w:r>
      <w:r>
        <w:rPr>
          <w:highlight w:val="none"/>
          <w:lang w:val="en-US" w:eastAsia="zh-CN"/>
        </w:rPr>
        <w:t xml:space="preserve">e health conditions of the mammary gland affect miRNA profiles, leading to DE miRNAs between healthy and </w:t>
      </w:r>
      <w:r>
        <w:rPr>
          <w:rFonts w:hint="eastAsia"/>
          <w:highlight w:val="none"/>
          <w:lang w:val="en-US" w:eastAsia="zh-CN"/>
        </w:rPr>
        <w:t>SCM</w:t>
      </w:r>
      <w:r>
        <w:rPr>
          <w:highlight w:val="none"/>
          <w:lang w:val="en-US" w:eastAsia="zh-CN"/>
        </w:rPr>
        <w:t xml:space="preserve"> cows (Stefanon et al., 2023).</w:t>
      </w:r>
    </w:p>
    <w:p w14:paraId="366A6478">
      <w:pPr>
        <w:rPr>
          <w:highlight w:val="none"/>
          <w:lang w:val="en-US" w:eastAsia="zh-CN"/>
        </w:rPr>
      </w:pPr>
      <w:r>
        <w:rPr>
          <w:highlight w:val="none"/>
          <w:lang w:val="en-US" w:eastAsia="zh-CN"/>
        </w:rPr>
        <w:t xml:space="preserve">Plant components are widely used in preventing and treating inflammations to reduce the use of antibiotics during farming (Khan et al., 2023). Inulin is often utilized for its prebiotic properties, given its capability to promote the growth of microorganisms in the hindgut (Usman et al., 2021). Additionally, it can promote the health condition of the animal. Studies have shown that both antioxidant and immune functions are enhanced in cows when their feed is supplemented with inulin (Zhao et al., 2022). Similarly, inulin supplementation may help mitigate </w:t>
      </w:r>
      <w:r>
        <w:rPr>
          <w:rFonts w:hint="eastAsia"/>
          <w:highlight w:val="none"/>
          <w:lang w:val="en-US" w:eastAsia="zh-CN"/>
        </w:rPr>
        <w:t>SCM</w:t>
      </w:r>
      <w:r>
        <w:rPr>
          <w:highlight w:val="none"/>
          <w:lang w:val="en-US" w:eastAsia="zh-CN"/>
        </w:rPr>
        <w:t xml:space="preserve"> by regulating microbial communities and metabolites within the mammary tissue (Wang et al., 2022). Moreover, supplementing with inulin has been shown to increase milk production and to improve the milk fatty acid profile (Zhao et al., 2022). However, the molecular-level changes behind these results are unclear. We hypothesize that supplementing inulin in the diet could alter bovine milk-derived sEVs-miRNA profiles.</w:t>
      </w:r>
    </w:p>
    <w:p w14:paraId="4A93A5A6">
      <w:pPr>
        <w:rPr>
          <w:highlight w:val="none"/>
          <w:lang w:val="en-US" w:eastAsia="zh-CN"/>
        </w:rPr>
      </w:pPr>
      <w:r>
        <w:rPr>
          <w:highlight w:val="none"/>
          <w:lang w:val="en-US" w:eastAsia="zh-CN"/>
        </w:rPr>
        <w:t>Based on a previous study, a supplementation with inulin at 300 g/d showed the best results in reducing pathogenic bacteria in the mammary tissue (Wang et al., 2022). Therefore, we have chosen the same dose of inulin for this study. The health condition of the mammary tissue can be reflected in milk. Analyzing changes in milk-derived sEVs-RNA profiles induced by inulin may help understand the mitigation process of inflammation due to inulin by identifying involved pathways. The objective of this study is to supply new evidence for differences in miRNA</w:t>
      </w:r>
      <w:r>
        <w:rPr>
          <w:rFonts w:hint="eastAsia"/>
          <w:highlight w:val="none"/>
          <w:lang w:val="en-US" w:eastAsia="zh-CN"/>
        </w:rPr>
        <w:t>, mRNA, lncRNA, and circRNA</w:t>
      </w:r>
      <w:r>
        <w:rPr>
          <w:highlight w:val="none"/>
          <w:lang w:val="en-US" w:eastAsia="zh-CN"/>
        </w:rPr>
        <w:t xml:space="preserve"> expression induced by inulin in </w:t>
      </w:r>
      <w:r>
        <w:rPr>
          <w:rFonts w:hint="eastAsia"/>
          <w:highlight w:val="none"/>
          <w:lang w:val="en-US" w:eastAsia="zh-CN"/>
        </w:rPr>
        <w:t>SCM</w:t>
      </w:r>
      <w:r>
        <w:rPr>
          <w:highlight w:val="none"/>
          <w:lang w:val="en-US" w:eastAsia="zh-CN"/>
        </w:rPr>
        <w:t>-suffering cows.</w:t>
      </w:r>
    </w:p>
    <w:p w14:paraId="5A60F2D4">
      <w:pPr>
        <w:pStyle w:val="3"/>
        <w:rPr>
          <w:highlight w:val="none"/>
        </w:rPr>
      </w:pPr>
      <w:bookmarkStart w:id="86" w:name="_Toc207979769"/>
      <w:r>
        <w:rPr>
          <w:highlight w:val="none"/>
        </w:rPr>
        <w:t>Materials and methods</w:t>
      </w:r>
      <w:bookmarkEnd w:id="86"/>
    </w:p>
    <w:p w14:paraId="7FFC6CD2">
      <w:pPr>
        <w:pStyle w:val="4"/>
        <w:rPr>
          <w:highlight w:val="none"/>
          <w:lang w:val="en-US" w:eastAsia="fr-FR"/>
        </w:rPr>
      </w:pPr>
      <w:bookmarkStart w:id="87" w:name="_Toc207979770"/>
      <w:r>
        <w:rPr>
          <w:highlight w:val="none"/>
          <w:lang w:val="en-US" w:eastAsia="fr-FR"/>
        </w:rPr>
        <w:t>Animal experiment and sample collection</w:t>
      </w:r>
      <w:bookmarkEnd w:id="87"/>
    </w:p>
    <w:p w14:paraId="759FFFCB">
      <w:pPr>
        <w:rPr>
          <w:highlight w:val="none"/>
          <w:lang w:val="en-US" w:eastAsia="fr-FR"/>
        </w:rPr>
      </w:pPr>
      <w:r>
        <w:rPr>
          <w:highlight w:val="none"/>
          <w:lang w:val="en-US" w:eastAsia="fr-FR"/>
        </w:rPr>
        <w:t>The animal management, experimental procedures, animal welfare and ethics protocol of this study were in compliance with the academy’s guidelines for animal research and approved by the Animal Ethics Committee of the Chinese Academy of Agricultural Sciences (Beijing, China; approval number IAS-2020-92).</w:t>
      </w:r>
    </w:p>
    <w:p w14:paraId="2D44D950">
      <w:pPr>
        <w:pStyle w:val="5"/>
        <w:rPr>
          <w:highlight w:val="none"/>
          <w:lang w:val="en-US" w:eastAsia="fr-FR"/>
        </w:rPr>
      </w:pPr>
      <w:r>
        <w:rPr>
          <w:highlight w:val="none"/>
          <w:lang w:val="en-US" w:eastAsia="fr-FR"/>
        </w:rPr>
        <w:t>Experimental animals</w:t>
      </w:r>
    </w:p>
    <w:p w14:paraId="7D1618A8">
      <w:pPr>
        <w:rPr>
          <w:highlight w:val="none"/>
          <w:lang w:val="en-US" w:eastAsia="zh-CN"/>
        </w:rPr>
      </w:pPr>
      <w:r>
        <w:rPr>
          <w:highlight w:val="none"/>
          <w:lang w:val="en-US" w:eastAsia="zh-CN"/>
        </w:rPr>
        <w:t xml:space="preserve">The current study was performed in July and August 2020 at a commercial dairy farm in Beijing, China. The selection of the animals was according to the outcomes of California mastitis test (CMT), milk cell count data, and clinical features. Briefly, milk was mixed with an equal volume of reacting solution of the CMT, and four levels were graded according to milk color and form (Wang et al., 2020). The cows that tested positive or weakly positive in CMT and showed no diagnostic signs in their udders were defined as </w:t>
      </w:r>
      <w:r>
        <w:rPr>
          <w:rFonts w:hint="eastAsia"/>
          <w:highlight w:val="none"/>
          <w:lang w:val="en-US" w:eastAsia="zh-CN"/>
        </w:rPr>
        <w:t>SCM</w:t>
      </w:r>
      <w:r>
        <w:rPr>
          <w:highlight w:val="none"/>
          <w:lang w:val="en-US" w:eastAsia="zh-CN"/>
        </w:rPr>
        <w:t xml:space="preserve">-suffering cows. Fourteen </w:t>
      </w:r>
      <w:r>
        <w:rPr>
          <w:rFonts w:hint="eastAsia"/>
          <w:highlight w:val="none"/>
          <w:lang w:val="en-US" w:eastAsia="zh-CN"/>
        </w:rPr>
        <w:t>SCM</w:t>
      </w:r>
      <w:r>
        <w:rPr>
          <w:highlight w:val="none"/>
          <w:lang w:val="en-US" w:eastAsia="zh-CN"/>
        </w:rPr>
        <w:t>-suffering Holstein dairy cows (days in milk = 161 ± 28 d; parity = 2.</w:t>
      </w:r>
      <w:r>
        <w:rPr>
          <w:rFonts w:hint="eastAsia"/>
          <w:highlight w:val="none"/>
          <w:lang w:val="en-US" w:eastAsia="zh-CN"/>
        </w:rPr>
        <w:t>9</w:t>
      </w:r>
      <w:r>
        <w:rPr>
          <w:highlight w:val="none"/>
          <w:lang w:val="en-US" w:eastAsia="zh-CN"/>
        </w:rPr>
        <w:t xml:space="preserve"> ± 1.</w:t>
      </w:r>
      <w:r>
        <w:rPr>
          <w:rFonts w:hint="eastAsia"/>
          <w:highlight w:val="none"/>
          <w:lang w:val="en-US" w:eastAsia="zh-CN"/>
        </w:rPr>
        <w:t>3</w:t>
      </w:r>
      <w:r>
        <w:rPr>
          <w:highlight w:val="none"/>
          <w:lang w:val="en-US" w:eastAsia="zh-CN"/>
        </w:rPr>
        <w:t>; milk yield = 28.</w:t>
      </w:r>
      <w:r>
        <w:rPr>
          <w:rFonts w:hint="eastAsia"/>
          <w:highlight w:val="none"/>
          <w:lang w:val="en-US" w:eastAsia="zh-CN"/>
        </w:rPr>
        <w:t>3</w:t>
      </w:r>
      <w:r>
        <w:rPr>
          <w:highlight w:val="none"/>
          <w:lang w:val="en-US" w:eastAsia="zh-CN"/>
        </w:rPr>
        <w:t xml:space="preserve"> ± 5.</w:t>
      </w:r>
      <w:r>
        <w:rPr>
          <w:rFonts w:hint="eastAsia"/>
          <w:highlight w:val="none"/>
          <w:lang w:val="en-US" w:eastAsia="zh-CN"/>
        </w:rPr>
        <w:t>4</w:t>
      </w:r>
      <w:r>
        <w:rPr>
          <w:highlight w:val="none"/>
          <w:lang w:val="en-US" w:eastAsia="zh-CN"/>
        </w:rPr>
        <w:t xml:space="preserve"> kg/d; milk somatic cell counts = 659 ± 97 ×10</w:t>
      </w:r>
      <w:r>
        <w:rPr>
          <w:highlight w:val="none"/>
          <w:vertAlign w:val="superscript"/>
          <w:lang w:val="en-US" w:eastAsia="zh-CN"/>
        </w:rPr>
        <w:t>3</w:t>
      </w:r>
      <w:r>
        <w:rPr>
          <w:highlight w:val="none"/>
          <w:lang w:val="en-US" w:eastAsia="zh-CN"/>
        </w:rPr>
        <w:t xml:space="preserve"> cells/mL, Table </w:t>
      </w:r>
      <w:r>
        <w:rPr>
          <w:rFonts w:hint="eastAsia"/>
          <w:highlight w:val="none"/>
          <w:lang w:val="en-US" w:eastAsia="zh-CN"/>
        </w:rPr>
        <w:t>3-1</w:t>
      </w:r>
      <w:r>
        <w:rPr>
          <w:highlight w:val="none"/>
          <w:lang w:val="en-US" w:eastAsia="zh-CN"/>
        </w:rPr>
        <w:t>) were divided into a control and an inulin group at random (n = 7 each). The feeding regimen remained consistent with our previous research (Yu et al., 2023b). Cows were individually housed and received total mixed rations (Supplemental Table S1) with or without 300 g/d of inulin supplement for the inulin and control group, respectively (Wang et al., 2022). Total mixed rations were provided at 08.00, 14.00, and 20.00 h, with unrestricted access to water. Inulin with the purity over 85% was supplemented to each cow in inulin group through oral administration using a feeder (Boehringer-Ingelheim, Biblach, Germany) during morning feeding (Wang et al., 2022). The experiment constituted of a 1-week adaptation phase followed by a 5-week treatment phase.</w:t>
      </w:r>
    </w:p>
    <w:p w14:paraId="73478842">
      <w:pPr>
        <w:rPr>
          <w:highlight w:val="none"/>
          <w:lang w:val="en-US"/>
        </w:rPr>
      </w:pPr>
      <w:bookmarkStart w:id="88" w:name="_Toc207979956"/>
      <w:r>
        <w:rPr>
          <w:b/>
          <w:bCs/>
          <w:highlight w:val="none"/>
          <w:lang w:val="en-US"/>
        </w:rPr>
        <w:t xml:space="preserve">Table </w:t>
      </w:r>
      <w:r>
        <w:rPr>
          <w:rFonts w:hint="eastAsia"/>
          <w:b/>
          <w:bCs/>
          <w:highlight w:val="none"/>
          <w:lang w:val="en-US" w:eastAsia="zh-CN"/>
        </w:rPr>
        <w:t>3</w:t>
      </w:r>
      <w:r>
        <w:rPr>
          <w:b/>
          <w:bCs/>
          <w:highlight w:val="none"/>
          <w:lang w:val="en-US"/>
        </w:rPr>
        <w:noBreakHyphen/>
      </w:r>
      <w:r>
        <w:rPr>
          <w:b/>
          <w:bCs/>
          <w:highlight w:val="none"/>
          <w:lang w:val="en-US"/>
        </w:rPr>
        <w:fldChar w:fldCharType="begin"/>
      </w:r>
      <w:r>
        <w:rPr>
          <w:b/>
          <w:bCs/>
          <w:highlight w:val="none"/>
          <w:lang w:val="en-US"/>
        </w:rPr>
        <w:instrText xml:space="preserve"> SEQ Table \* ARABIC \s 1 </w:instrText>
      </w:r>
      <w:r>
        <w:rPr>
          <w:b/>
          <w:bCs/>
          <w:highlight w:val="none"/>
          <w:lang w:val="en-US"/>
        </w:rPr>
        <w:fldChar w:fldCharType="separate"/>
      </w:r>
      <w:r>
        <w:rPr>
          <w:b/>
          <w:bCs/>
          <w:highlight w:val="none"/>
          <w:lang w:val="en-US"/>
        </w:rPr>
        <w:t>1</w:t>
      </w:r>
      <w:r>
        <w:rPr>
          <w:b/>
          <w:bCs/>
          <w:highlight w:val="none"/>
          <w:lang w:val="en-US"/>
        </w:rPr>
        <w:fldChar w:fldCharType="end"/>
      </w:r>
      <w:r>
        <w:rPr>
          <w:b/>
          <w:bCs/>
          <w:highlight w:val="none"/>
          <w:lang w:val="en-US"/>
        </w:rPr>
        <w:t>:</w:t>
      </w:r>
      <w:r>
        <w:rPr>
          <w:highlight w:val="none"/>
          <w:lang w:val="en-US"/>
        </w:rPr>
        <w:t xml:space="preserve"> </w:t>
      </w:r>
      <w:r>
        <w:rPr>
          <w:sz w:val="20"/>
          <w:szCs w:val="20"/>
          <w:highlight w:val="none"/>
          <w:lang w:val="en-US"/>
        </w:rPr>
        <w:t>Basic information (Mean) on dairy cows with subclinical mastitis in control (n = 7) and inulin group (n = 7)</w:t>
      </w:r>
      <w:bookmarkEnd w:id="88"/>
    </w:p>
    <w:tbl>
      <w:tblPr>
        <w:tblStyle w:val="29"/>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3"/>
        <w:gridCol w:w="1434"/>
        <w:gridCol w:w="1292"/>
        <w:gridCol w:w="953"/>
        <w:gridCol w:w="739"/>
        <w:gridCol w:w="950"/>
      </w:tblGrid>
      <w:tr w14:paraId="2648EF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jc w:val="center"/>
        </w:trPr>
        <w:tc>
          <w:tcPr>
            <w:tcW w:w="1515" w:type="pct"/>
            <w:tcBorders>
              <w:top w:val="single" w:color="auto" w:sz="4" w:space="0"/>
              <w:bottom w:val="single" w:color="auto" w:sz="4" w:space="0"/>
            </w:tcBorders>
            <w:vAlign w:val="center"/>
          </w:tcPr>
          <w:p w14:paraId="1A91D664">
            <w:pPr>
              <w:pStyle w:val="95"/>
              <w:spacing w:line="240" w:lineRule="auto"/>
              <w:jc w:val="both"/>
              <w:rPr>
                <w:rFonts w:ascii="Times New Roman" w:hAnsi="Times New Roman" w:eastAsia="Calibri"/>
                <w:sz w:val="20"/>
                <w:szCs w:val="20"/>
                <w:highlight w:val="none"/>
              </w:rPr>
            </w:pPr>
          </w:p>
        </w:tc>
        <w:tc>
          <w:tcPr>
            <w:tcW w:w="931" w:type="pct"/>
            <w:tcBorders>
              <w:top w:val="single" w:color="auto" w:sz="4" w:space="0"/>
              <w:bottom w:val="single" w:color="auto" w:sz="4" w:space="0"/>
            </w:tcBorders>
            <w:vAlign w:val="center"/>
          </w:tcPr>
          <w:p w14:paraId="67DA81E2">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Control group</w:t>
            </w:r>
          </w:p>
        </w:tc>
        <w:tc>
          <w:tcPr>
            <w:tcW w:w="839" w:type="pct"/>
            <w:tcBorders>
              <w:top w:val="single" w:color="auto" w:sz="4" w:space="0"/>
              <w:bottom w:val="single" w:color="auto" w:sz="4" w:space="0"/>
            </w:tcBorders>
            <w:vAlign w:val="center"/>
          </w:tcPr>
          <w:p w14:paraId="44B5A6D9">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Inulin group</w:t>
            </w:r>
          </w:p>
        </w:tc>
        <w:tc>
          <w:tcPr>
            <w:tcW w:w="619" w:type="pct"/>
            <w:tcBorders>
              <w:top w:val="single" w:color="auto" w:sz="4" w:space="0"/>
              <w:bottom w:val="single" w:color="auto" w:sz="4" w:space="0"/>
            </w:tcBorders>
            <w:vAlign w:val="center"/>
          </w:tcPr>
          <w:p w14:paraId="07CEB451">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Average</w:t>
            </w:r>
          </w:p>
        </w:tc>
        <w:tc>
          <w:tcPr>
            <w:tcW w:w="480" w:type="pct"/>
            <w:tcBorders>
              <w:top w:val="single" w:color="auto" w:sz="4" w:space="0"/>
              <w:bottom w:val="single" w:color="auto" w:sz="4" w:space="0"/>
            </w:tcBorders>
            <w:vAlign w:val="center"/>
          </w:tcPr>
          <w:p w14:paraId="1FE846F8">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SEM</w:t>
            </w:r>
            <w:r>
              <w:rPr>
                <w:rFonts w:ascii="Times New Roman" w:hAnsi="Times New Roman" w:eastAsia="Calibri"/>
                <w:sz w:val="20"/>
                <w:szCs w:val="20"/>
                <w:highlight w:val="none"/>
                <w:vertAlign w:val="superscript"/>
                <w:lang w:eastAsia="zh-CN"/>
              </w:rPr>
              <w:t>1</w:t>
            </w:r>
          </w:p>
        </w:tc>
        <w:tc>
          <w:tcPr>
            <w:tcW w:w="616" w:type="pct"/>
            <w:tcBorders>
              <w:top w:val="single" w:color="auto" w:sz="4" w:space="0"/>
              <w:bottom w:val="single" w:color="auto" w:sz="4" w:space="0"/>
            </w:tcBorders>
            <w:vAlign w:val="center"/>
          </w:tcPr>
          <w:p w14:paraId="2CF74CC5">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P values</w:t>
            </w:r>
          </w:p>
        </w:tc>
      </w:tr>
      <w:tr w14:paraId="56E4D80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5" w:type="pct"/>
            <w:tcBorders>
              <w:top w:val="single" w:color="auto" w:sz="4" w:space="0"/>
            </w:tcBorders>
            <w:vAlign w:val="center"/>
          </w:tcPr>
          <w:p w14:paraId="571E4AC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lang w:eastAsia="zh-CN"/>
              </w:rPr>
              <w:t>D</w:t>
            </w:r>
            <w:r>
              <w:rPr>
                <w:rFonts w:ascii="Times New Roman" w:hAnsi="Times New Roman" w:eastAsia="Calibri"/>
                <w:sz w:val="20"/>
                <w:szCs w:val="20"/>
                <w:highlight w:val="none"/>
              </w:rPr>
              <w:t>ays in milk</w:t>
            </w:r>
          </w:p>
        </w:tc>
        <w:tc>
          <w:tcPr>
            <w:tcW w:w="931" w:type="pct"/>
            <w:tcBorders>
              <w:top w:val="single" w:color="auto" w:sz="4" w:space="0"/>
            </w:tcBorders>
            <w:vAlign w:val="center"/>
          </w:tcPr>
          <w:p w14:paraId="4026C8B2">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174</w:t>
            </w:r>
          </w:p>
        </w:tc>
        <w:tc>
          <w:tcPr>
            <w:tcW w:w="839" w:type="pct"/>
            <w:tcBorders>
              <w:top w:val="single" w:color="auto" w:sz="4" w:space="0"/>
            </w:tcBorders>
            <w:vAlign w:val="center"/>
          </w:tcPr>
          <w:p w14:paraId="2AEE34CC">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14</w:t>
            </w:r>
            <w:r>
              <w:rPr>
                <w:rFonts w:hint="eastAsia" w:ascii="Times New Roman" w:hAnsi="Times New Roman" w:eastAsiaTheme="minorEastAsia"/>
                <w:sz w:val="20"/>
                <w:szCs w:val="20"/>
                <w:highlight w:val="none"/>
                <w:lang w:eastAsia="zh-CN"/>
              </w:rPr>
              <w:t>9</w:t>
            </w:r>
          </w:p>
        </w:tc>
        <w:tc>
          <w:tcPr>
            <w:tcW w:w="619" w:type="pct"/>
            <w:tcBorders>
              <w:top w:val="single" w:color="auto" w:sz="4" w:space="0"/>
            </w:tcBorders>
            <w:vAlign w:val="center"/>
          </w:tcPr>
          <w:p w14:paraId="0F6C51AD">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161</w:t>
            </w:r>
          </w:p>
        </w:tc>
        <w:tc>
          <w:tcPr>
            <w:tcW w:w="480" w:type="pct"/>
            <w:tcBorders>
              <w:top w:val="single" w:color="auto" w:sz="4" w:space="0"/>
            </w:tcBorders>
            <w:vAlign w:val="center"/>
          </w:tcPr>
          <w:p w14:paraId="49860BF9">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7.51</w:t>
            </w:r>
          </w:p>
        </w:tc>
        <w:tc>
          <w:tcPr>
            <w:tcW w:w="616" w:type="pct"/>
            <w:tcBorders>
              <w:top w:val="single" w:color="auto" w:sz="4" w:space="0"/>
            </w:tcBorders>
            <w:vAlign w:val="center"/>
          </w:tcPr>
          <w:p w14:paraId="36863D27">
            <w:pPr>
              <w:pStyle w:val="95"/>
              <w:spacing w:line="240" w:lineRule="auto"/>
              <w:jc w:val="both"/>
              <w:rPr>
                <w:rFonts w:hint="eastAsia" w:ascii="Times New Roman" w:hAnsi="Times New Roman" w:eastAsiaTheme="minorEastAsia"/>
                <w:sz w:val="20"/>
                <w:szCs w:val="20"/>
                <w:highlight w:val="none"/>
              </w:rPr>
            </w:pPr>
            <w:r>
              <w:rPr>
                <w:rFonts w:ascii="Times New Roman" w:hAnsi="Times New Roman" w:eastAsia="Calibri"/>
                <w:sz w:val="20"/>
                <w:szCs w:val="20"/>
                <w:highlight w:val="none"/>
                <w:lang w:eastAsia="zh-CN"/>
              </w:rPr>
              <w:t>0.0</w:t>
            </w:r>
            <w:r>
              <w:rPr>
                <w:rFonts w:hint="eastAsia" w:ascii="Times New Roman" w:hAnsi="Times New Roman" w:eastAsiaTheme="minorEastAsia"/>
                <w:sz w:val="20"/>
                <w:szCs w:val="20"/>
                <w:highlight w:val="none"/>
                <w:lang w:eastAsia="zh-CN"/>
              </w:rPr>
              <w:t>9</w:t>
            </w:r>
          </w:p>
        </w:tc>
      </w:tr>
      <w:tr w14:paraId="32D8BD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5" w:type="pct"/>
            <w:vAlign w:val="center"/>
          </w:tcPr>
          <w:p w14:paraId="243FB29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Parity</w:t>
            </w:r>
          </w:p>
        </w:tc>
        <w:tc>
          <w:tcPr>
            <w:tcW w:w="931" w:type="pct"/>
            <w:vAlign w:val="center"/>
          </w:tcPr>
          <w:p w14:paraId="3AB26FD1">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2.</w:t>
            </w:r>
            <w:r>
              <w:rPr>
                <w:rFonts w:hint="eastAsia" w:ascii="Times New Roman" w:hAnsi="Times New Roman" w:eastAsiaTheme="minorEastAsia"/>
                <w:sz w:val="20"/>
                <w:szCs w:val="20"/>
                <w:highlight w:val="none"/>
                <w:lang w:eastAsia="zh-CN"/>
              </w:rPr>
              <w:t>6</w:t>
            </w:r>
          </w:p>
        </w:tc>
        <w:tc>
          <w:tcPr>
            <w:tcW w:w="839" w:type="pct"/>
            <w:vAlign w:val="center"/>
          </w:tcPr>
          <w:p w14:paraId="6A788A87">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3.1</w:t>
            </w:r>
          </w:p>
        </w:tc>
        <w:tc>
          <w:tcPr>
            <w:tcW w:w="619" w:type="pct"/>
            <w:vAlign w:val="center"/>
          </w:tcPr>
          <w:p w14:paraId="2D674292">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2.</w:t>
            </w:r>
            <w:r>
              <w:rPr>
                <w:rFonts w:hint="eastAsia" w:ascii="Times New Roman" w:hAnsi="Times New Roman" w:eastAsiaTheme="minorEastAsia"/>
                <w:sz w:val="20"/>
                <w:szCs w:val="20"/>
                <w:highlight w:val="none"/>
                <w:lang w:eastAsia="zh-CN"/>
              </w:rPr>
              <w:t>9</w:t>
            </w:r>
          </w:p>
        </w:tc>
        <w:tc>
          <w:tcPr>
            <w:tcW w:w="480" w:type="pct"/>
            <w:vAlign w:val="center"/>
          </w:tcPr>
          <w:p w14:paraId="6D71B999">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0.35</w:t>
            </w:r>
          </w:p>
        </w:tc>
        <w:tc>
          <w:tcPr>
            <w:tcW w:w="616" w:type="pct"/>
            <w:vAlign w:val="center"/>
          </w:tcPr>
          <w:p w14:paraId="3EEA0543">
            <w:pPr>
              <w:pStyle w:val="95"/>
              <w:spacing w:line="240" w:lineRule="auto"/>
              <w:jc w:val="both"/>
              <w:rPr>
                <w:rFonts w:hint="eastAsia" w:ascii="Times New Roman" w:hAnsi="Times New Roman" w:eastAsiaTheme="minorEastAsia"/>
                <w:sz w:val="20"/>
                <w:szCs w:val="20"/>
                <w:highlight w:val="none"/>
              </w:rPr>
            </w:pPr>
            <w:r>
              <w:rPr>
                <w:rFonts w:ascii="Times New Roman" w:hAnsi="Times New Roman" w:eastAsia="Calibri"/>
                <w:sz w:val="20"/>
                <w:szCs w:val="20"/>
                <w:highlight w:val="none"/>
                <w:lang w:eastAsia="zh-CN"/>
              </w:rPr>
              <w:t>0.43</w:t>
            </w:r>
          </w:p>
        </w:tc>
      </w:tr>
      <w:tr w14:paraId="4E33DDD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5" w:type="pct"/>
            <w:vAlign w:val="center"/>
          </w:tcPr>
          <w:p w14:paraId="3FF328A4">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Milk yield</w:t>
            </w:r>
            <w:r>
              <w:rPr>
                <w:rFonts w:ascii="Times New Roman" w:hAnsi="Times New Roman" w:eastAsia="Calibri"/>
                <w:sz w:val="20"/>
                <w:szCs w:val="20"/>
                <w:highlight w:val="none"/>
                <w:lang w:eastAsia="zh-CN"/>
              </w:rPr>
              <w:t xml:space="preserve"> (</w:t>
            </w:r>
            <w:r>
              <w:rPr>
                <w:rFonts w:ascii="Times New Roman" w:hAnsi="Times New Roman" w:eastAsia="Calibri"/>
                <w:sz w:val="20"/>
                <w:szCs w:val="20"/>
                <w:highlight w:val="none"/>
              </w:rPr>
              <w:t>kg/d</w:t>
            </w:r>
            <w:r>
              <w:rPr>
                <w:rFonts w:ascii="Times New Roman" w:hAnsi="Times New Roman" w:eastAsia="Calibri"/>
                <w:sz w:val="20"/>
                <w:szCs w:val="20"/>
                <w:highlight w:val="none"/>
                <w:lang w:eastAsia="zh-CN"/>
              </w:rPr>
              <w:t>)</w:t>
            </w:r>
          </w:p>
        </w:tc>
        <w:tc>
          <w:tcPr>
            <w:tcW w:w="931" w:type="pct"/>
            <w:vAlign w:val="center"/>
          </w:tcPr>
          <w:p w14:paraId="6E6AEB86">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30.7</w:t>
            </w:r>
          </w:p>
        </w:tc>
        <w:tc>
          <w:tcPr>
            <w:tcW w:w="839" w:type="pct"/>
            <w:vAlign w:val="center"/>
          </w:tcPr>
          <w:p w14:paraId="16DA6C9E">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25.8</w:t>
            </w:r>
          </w:p>
        </w:tc>
        <w:tc>
          <w:tcPr>
            <w:tcW w:w="619" w:type="pct"/>
            <w:vAlign w:val="center"/>
          </w:tcPr>
          <w:p w14:paraId="5485A378">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28.</w:t>
            </w:r>
            <w:r>
              <w:rPr>
                <w:rFonts w:hint="eastAsia" w:ascii="Times New Roman" w:hAnsi="Times New Roman" w:eastAsiaTheme="minorEastAsia"/>
                <w:sz w:val="20"/>
                <w:szCs w:val="20"/>
                <w:highlight w:val="none"/>
                <w:lang w:eastAsia="zh-CN"/>
              </w:rPr>
              <w:t>3</w:t>
            </w:r>
          </w:p>
        </w:tc>
        <w:tc>
          <w:tcPr>
            <w:tcW w:w="480" w:type="pct"/>
            <w:vAlign w:val="center"/>
          </w:tcPr>
          <w:p w14:paraId="25DD03AB">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1.43</w:t>
            </w:r>
          </w:p>
        </w:tc>
        <w:tc>
          <w:tcPr>
            <w:tcW w:w="616" w:type="pct"/>
            <w:vAlign w:val="center"/>
          </w:tcPr>
          <w:p w14:paraId="2AE27F21">
            <w:pPr>
              <w:pStyle w:val="95"/>
              <w:spacing w:line="240" w:lineRule="auto"/>
              <w:jc w:val="both"/>
              <w:rPr>
                <w:rFonts w:hint="eastAsia" w:ascii="Times New Roman" w:hAnsi="Times New Roman" w:eastAsiaTheme="minorEastAsia"/>
                <w:sz w:val="20"/>
                <w:szCs w:val="20"/>
                <w:highlight w:val="none"/>
              </w:rPr>
            </w:pPr>
            <w:r>
              <w:rPr>
                <w:rFonts w:ascii="Times New Roman" w:hAnsi="Times New Roman" w:eastAsia="Calibri"/>
                <w:sz w:val="20"/>
                <w:szCs w:val="20"/>
                <w:highlight w:val="none"/>
                <w:lang w:eastAsia="zh-CN"/>
              </w:rPr>
              <w:t>0.0</w:t>
            </w:r>
            <w:r>
              <w:rPr>
                <w:rFonts w:hint="eastAsia" w:ascii="Times New Roman" w:hAnsi="Times New Roman" w:eastAsiaTheme="minorEastAsia"/>
                <w:sz w:val="20"/>
                <w:szCs w:val="20"/>
                <w:highlight w:val="none"/>
                <w:lang w:eastAsia="zh-CN"/>
              </w:rPr>
              <w:t>9</w:t>
            </w:r>
          </w:p>
        </w:tc>
      </w:tr>
      <w:tr w14:paraId="078B13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5" w:type="pct"/>
            <w:vAlign w:val="center"/>
          </w:tcPr>
          <w:p w14:paraId="36D18A0C">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Milk somatic cell counts</w:t>
            </w:r>
          </w:p>
          <w:p w14:paraId="1FA9B026">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×10</w:t>
            </w:r>
            <w:r>
              <w:rPr>
                <w:rFonts w:ascii="Times New Roman" w:hAnsi="Times New Roman" w:eastAsia="Calibri"/>
                <w:sz w:val="20"/>
                <w:szCs w:val="20"/>
                <w:highlight w:val="none"/>
                <w:vertAlign w:val="superscript"/>
              </w:rPr>
              <w:t>3</w:t>
            </w:r>
            <w:r>
              <w:rPr>
                <w:rFonts w:ascii="Times New Roman" w:hAnsi="Times New Roman" w:eastAsia="Calibri"/>
                <w:sz w:val="20"/>
                <w:szCs w:val="20"/>
                <w:highlight w:val="none"/>
              </w:rPr>
              <w:t xml:space="preserve"> cells/mL</w:t>
            </w:r>
            <w:r>
              <w:rPr>
                <w:rFonts w:ascii="Times New Roman" w:hAnsi="Times New Roman" w:eastAsia="Calibri"/>
                <w:sz w:val="20"/>
                <w:szCs w:val="20"/>
                <w:highlight w:val="none"/>
                <w:lang w:eastAsia="zh-CN"/>
              </w:rPr>
              <w:t>)</w:t>
            </w:r>
          </w:p>
        </w:tc>
        <w:tc>
          <w:tcPr>
            <w:tcW w:w="931" w:type="pct"/>
            <w:vAlign w:val="center"/>
          </w:tcPr>
          <w:p w14:paraId="4BD767B6">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641</w:t>
            </w:r>
          </w:p>
        </w:tc>
        <w:tc>
          <w:tcPr>
            <w:tcW w:w="839" w:type="pct"/>
            <w:vAlign w:val="center"/>
          </w:tcPr>
          <w:p w14:paraId="21B29D04">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677</w:t>
            </w:r>
          </w:p>
        </w:tc>
        <w:tc>
          <w:tcPr>
            <w:tcW w:w="619" w:type="pct"/>
            <w:vAlign w:val="center"/>
          </w:tcPr>
          <w:p w14:paraId="5C3E6B82">
            <w:pPr>
              <w:pStyle w:val="95"/>
              <w:spacing w:line="240" w:lineRule="auto"/>
              <w:jc w:val="both"/>
              <w:rPr>
                <w:rFonts w:hint="eastAsia" w:ascii="Times New Roman" w:hAnsi="Times New Roman" w:eastAsiaTheme="minorEastAsia"/>
                <w:sz w:val="20"/>
                <w:szCs w:val="20"/>
                <w:highlight w:val="none"/>
                <w:lang w:eastAsia="zh-CN"/>
              </w:rPr>
            </w:pPr>
            <w:r>
              <w:rPr>
                <w:rFonts w:ascii="Times New Roman" w:hAnsi="Times New Roman" w:eastAsia="Calibri"/>
                <w:sz w:val="20"/>
                <w:szCs w:val="20"/>
                <w:highlight w:val="none"/>
              </w:rPr>
              <w:t>659</w:t>
            </w:r>
          </w:p>
        </w:tc>
        <w:tc>
          <w:tcPr>
            <w:tcW w:w="480" w:type="pct"/>
            <w:vAlign w:val="center"/>
          </w:tcPr>
          <w:p w14:paraId="61AF37E3">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26.01</w:t>
            </w:r>
          </w:p>
        </w:tc>
        <w:tc>
          <w:tcPr>
            <w:tcW w:w="616" w:type="pct"/>
            <w:vAlign w:val="center"/>
          </w:tcPr>
          <w:p w14:paraId="19FFDB41">
            <w:pPr>
              <w:pStyle w:val="95"/>
              <w:spacing w:line="240" w:lineRule="auto"/>
              <w:jc w:val="both"/>
              <w:rPr>
                <w:rFonts w:hint="eastAsia" w:ascii="Times New Roman" w:hAnsi="Times New Roman" w:eastAsiaTheme="minorEastAsia"/>
                <w:sz w:val="20"/>
                <w:szCs w:val="20"/>
                <w:highlight w:val="none"/>
              </w:rPr>
            </w:pPr>
            <w:r>
              <w:rPr>
                <w:rFonts w:ascii="Times New Roman" w:hAnsi="Times New Roman" w:eastAsia="Calibri"/>
                <w:sz w:val="20"/>
                <w:szCs w:val="20"/>
                <w:highlight w:val="none"/>
                <w:lang w:eastAsia="zh-CN"/>
              </w:rPr>
              <w:t>0.51</w:t>
            </w:r>
          </w:p>
        </w:tc>
      </w:tr>
      <w:tr w14:paraId="2C1B43F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5" w:type="pct"/>
            <w:vAlign w:val="center"/>
          </w:tcPr>
          <w:p w14:paraId="7D7D8245">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CMT</w:t>
            </w:r>
            <w:r>
              <w:rPr>
                <w:rFonts w:ascii="Times New Roman" w:hAnsi="Times New Roman" w:eastAsia="Calibri"/>
                <w:sz w:val="20"/>
                <w:szCs w:val="20"/>
                <w:highlight w:val="none"/>
                <w:vertAlign w:val="superscript"/>
                <w:lang w:eastAsia="zh-CN"/>
              </w:rPr>
              <w:t>2</w:t>
            </w:r>
            <w:r>
              <w:rPr>
                <w:rFonts w:ascii="Times New Roman" w:hAnsi="Times New Roman" w:eastAsia="Calibri"/>
                <w:sz w:val="20"/>
                <w:szCs w:val="20"/>
                <w:highlight w:val="none"/>
              </w:rPr>
              <w:t xml:space="preserve"> results</w:t>
            </w:r>
          </w:p>
        </w:tc>
        <w:tc>
          <w:tcPr>
            <w:tcW w:w="931" w:type="pct"/>
            <w:vAlign w:val="center"/>
          </w:tcPr>
          <w:p w14:paraId="52FB8F65">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w:t>
            </w:r>
            <w:r>
              <w:rPr>
                <w:rFonts w:ascii="Times New Roman" w:hAnsi="Times New Roman" w:eastAsia="Calibri"/>
                <w:sz w:val="20"/>
                <w:szCs w:val="20"/>
                <w:highlight w:val="none"/>
                <w:vertAlign w:val="superscript"/>
                <w:lang w:eastAsia="zh-CN"/>
              </w:rPr>
              <w:t>3</w:t>
            </w:r>
          </w:p>
        </w:tc>
        <w:tc>
          <w:tcPr>
            <w:tcW w:w="839" w:type="pct"/>
            <w:vAlign w:val="center"/>
          </w:tcPr>
          <w:p w14:paraId="17B8F920">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w:t>
            </w:r>
          </w:p>
        </w:tc>
        <w:tc>
          <w:tcPr>
            <w:tcW w:w="619" w:type="pct"/>
            <w:vAlign w:val="center"/>
          </w:tcPr>
          <w:p w14:paraId="2E39F587">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w:t>
            </w:r>
          </w:p>
        </w:tc>
        <w:tc>
          <w:tcPr>
            <w:tcW w:w="480" w:type="pct"/>
          </w:tcPr>
          <w:p w14:paraId="008CF8AA">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w:t>
            </w:r>
          </w:p>
        </w:tc>
        <w:tc>
          <w:tcPr>
            <w:tcW w:w="616" w:type="pct"/>
            <w:vAlign w:val="center"/>
          </w:tcPr>
          <w:p w14:paraId="3B2C4336">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w:t>
            </w:r>
          </w:p>
        </w:tc>
      </w:tr>
    </w:tbl>
    <w:p w14:paraId="3FB24303">
      <w:pPr>
        <w:rPr>
          <w:sz w:val="20"/>
          <w:szCs w:val="20"/>
          <w:highlight w:val="none"/>
          <w:lang w:val="en-GB" w:eastAsia="zh-CN"/>
        </w:rPr>
      </w:pPr>
      <w:r>
        <w:rPr>
          <w:sz w:val="20"/>
          <w:szCs w:val="20"/>
          <w:highlight w:val="none"/>
          <w:vertAlign w:val="superscript"/>
          <w:lang w:val="en-GB" w:eastAsia="zh-CN"/>
        </w:rPr>
        <w:t>1</w:t>
      </w:r>
      <w:r>
        <w:rPr>
          <w:sz w:val="20"/>
          <w:szCs w:val="20"/>
          <w:highlight w:val="none"/>
          <w:lang w:val="en-GB" w:eastAsia="zh-CN"/>
        </w:rPr>
        <w:t>SEM = standard error of the mean.</w:t>
      </w:r>
    </w:p>
    <w:p w14:paraId="34C18E33">
      <w:pPr>
        <w:rPr>
          <w:sz w:val="20"/>
          <w:szCs w:val="20"/>
          <w:highlight w:val="none"/>
          <w:lang w:val="en-GB" w:eastAsia="zh-CN"/>
        </w:rPr>
      </w:pPr>
      <w:r>
        <w:rPr>
          <w:sz w:val="20"/>
          <w:szCs w:val="20"/>
          <w:highlight w:val="none"/>
          <w:vertAlign w:val="superscript"/>
          <w:lang w:val="en-GB" w:eastAsia="zh-CN"/>
        </w:rPr>
        <w:t>2</w:t>
      </w:r>
      <w:r>
        <w:rPr>
          <w:sz w:val="20"/>
          <w:szCs w:val="20"/>
          <w:highlight w:val="none"/>
          <w:lang w:val="en-GB" w:eastAsia="zh-CN"/>
        </w:rPr>
        <w:t>CMT = California mastitis test.</w:t>
      </w:r>
    </w:p>
    <w:p w14:paraId="31165014">
      <w:pPr>
        <w:rPr>
          <w:sz w:val="20"/>
          <w:szCs w:val="20"/>
          <w:highlight w:val="none"/>
          <w:lang w:val="en-GB" w:eastAsia="zh-CN"/>
        </w:rPr>
      </w:pPr>
      <w:r>
        <w:rPr>
          <w:sz w:val="20"/>
          <w:szCs w:val="20"/>
          <w:highlight w:val="none"/>
          <w:vertAlign w:val="superscript"/>
          <w:lang w:val="en-GB" w:eastAsia="zh-CN"/>
        </w:rPr>
        <w:t>3</w:t>
      </w:r>
      <w:r>
        <w:rPr>
          <w:sz w:val="20"/>
          <w:szCs w:val="20"/>
          <w:highlight w:val="none"/>
          <w:lang w:val="en-GB" w:eastAsia="zh-CN"/>
        </w:rPr>
        <w:t>+ = weakly positive, ++ = positive.</w:t>
      </w:r>
    </w:p>
    <w:p w14:paraId="4F7A839F">
      <w:pPr>
        <w:pStyle w:val="5"/>
        <w:rPr>
          <w:highlight w:val="none"/>
          <w:lang w:val="en-GB" w:eastAsia="zh-CN"/>
        </w:rPr>
      </w:pPr>
      <w:r>
        <w:rPr>
          <w:highlight w:val="none"/>
          <w:lang w:val="en-GB" w:eastAsia="zh-CN"/>
        </w:rPr>
        <w:t>Sample collection</w:t>
      </w:r>
    </w:p>
    <w:p w14:paraId="1D458132">
      <w:pPr>
        <w:rPr>
          <w:highlight w:val="none"/>
          <w:lang w:val="en-GB" w:eastAsia="zh-CN"/>
        </w:rPr>
      </w:pPr>
      <w:r>
        <w:rPr>
          <w:highlight w:val="none"/>
          <w:lang w:val="en-GB" w:eastAsia="zh-CN"/>
        </w:rPr>
        <w:t>Milk samples were obtained from a bottle connected to the automatic milking system at 06.00, 12.00, and 18.00 h at the last day of the experiment. The samples were mixed at a ratio of 4:3:3, and preserved at -80 °C for subsequent procedures.</w:t>
      </w:r>
    </w:p>
    <w:p w14:paraId="1625109A">
      <w:pPr>
        <w:pStyle w:val="4"/>
        <w:rPr>
          <w:highlight w:val="none"/>
          <w:lang w:val="en-US" w:eastAsia="fr-FR"/>
        </w:rPr>
      </w:pPr>
      <w:bookmarkStart w:id="89" w:name="_Toc207979771"/>
      <w:r>
        <w:rPr>
          <w:highlight w:val="none"/>
          <w:lang w:val="en-US" w:eastAsia="fr-FR"/>
        </w:rPr>
        <w:t xml:space="preserve">Separation of </w:t>
      </w:r>
      <w:r>
        <w:rPr>
          <w:rFonts w:hint="eastAsia"/>
          <w:highlight w:val="none"/>
          <w:lang w:val="en-US" w:eastAsia="zh-CN"/>
        </w:rPr>
        <w:t xml:space="preserve">milk </w:t>
      </w:r>
      <w:r>
        <w:rPr>
          <w:highlight w:val="none"/>
          <w:lang w:val="en-US" w:eastAsia="fr-FR"/>
        </w:rPr>
        <w:t>small extracellular vesicles</w:t>
      </w:r>
      <w:bookmarkEnd w:id="89"/>
    </w:p>
    <w:p w14:paraId="037BB1DA">
      <w:pPr>
        <w:rPr>
          <w:highlight w:val="none"/>
          <w:lang w:val="en-US" w:eastAsia="zh-CN"/>
        </w:rPr>
      </w:pPr>
      <w:r>
        <w:rPr>
          <w:highlight w:val="none"/>
          <w:lang w:val="en-US" w:eastAsia="zh-CN"/>
        </w:rPr>
        <w:t>Milk samples were defrosted in a room temperature water bath. Five mL of milk sample was centrifuged for 10 min at 1,200×g at 4 °C two times to eliminate fat and large debris. Collecting the clarified supernatant and centrifuged at 21,500×g at 4 °C for 50 min to eliminate casein and remnant fat. sEVs were isolated following the previously described protocol (Yu et al., 2023b). In summary, the supernatant was balanced to 15 mL by mixing with PBS, transferred into the pre-cleaning column, and centrifuged to eliminate the cellular debris. Nonspecific protein aggregates, lipoproteins, and cytokines were eliminated by repeatedly centrifuging the flow-through in an Amicon Ultra-15 filter. Then, an isolation column was used to isolate sEVs. Equilibration buffer (5 mL) was incorporated into the column and centrifuged at 3,000×g for 2 min. After replacing the tube, the sample was loaded into the same column and centrifuged to make sEVs bound with the membrane. sEVs were washed out by the wash buffer. The ultimate eluate was obtained and preserved at -80 °C.</w:t>
      </w:r>
    </w:p>
    <w:p w14:paraId="38C44D34">
      <w:pPr>
        <w:rPr>
          <w:highlight w:val="none"/>
          <w:lang w:val="en-US" w:eastAsia="zh-CN"/>
        </w:rPr>
      </w:pPr>
      <w:r>
        <w:rPr>
          <w:highlight w:val="none"/>
          <w:lang w:val="en-US" w:eastAsia="zh-CN"/>
        </w:rPr>
        <w:t>Nanoparticle tracking analysis was conducted using ZetaView (S/N 252, Particle Metrix, Germany) with resolution of 0.703 µm/px, to identify the concentration and particle size of sEVs. The dilution factor was 500 with PBS.</w:t>
      </w:r>
    </w:p>
    <w:p w14:paraId="37025DE9">
      <w:pPr>
        <w:pStyle w:val="4"/>
        <w:rPr>
          <w:highlight w:val="none"/>
          <w:lang w:val="en-US" w:eastAsia="fr-FR"/>
        </w:rPr>
      </w:pPr>
      <w:bookmarkStart w:id="90" w:name="_Toc207979772"/>
      <w:r>
        <w:rPr>
          <w:highlight w:val="none"/>
          <w:lang w:val="en-US" w:eastAsia="fr-FR"/>
        </w:rPr>
        <w:t>RNA library construction and sequencing</w:t>
      </w:r>
      <w:bookmarkEnd w:id="90"/>
    </w:p>
    <w:p w14:paraId="4FEB51F1">
      <w:pPr>
        <w:rPr>
          <w:highlight w:val="none"/>
          <w:lang w:eastAsia="zh-CN"/>
        </w:rPr>
      </w:pPr>
      <w:r>
        <w:rPr>
          <w:highlight w:val="none"/>
          <w:lang w:eastAsia="zh-CN"/>
        </w:rPr>
        <w:t>The isolation of small RNAs followed the protocol of miRNeasy Mini Kit (cat. No. 217004, QIAGEN, Germany). Concisely, sEVs samples were initially lysed and homogenized in a highly denaturing buffer, effectively deactivating RNases and ensuring the preservation of intact RNA during purification. By mixing with ethanol, the samples were loaded into the column. The contaminants were pass through the membrane and washed away. The eluted, high-quality RNAs were acquired for subsequent examination.</w:t>
      </w:r>
    </w:p>
    <w:p w14:paraId="5C72B122">
      <w:pPr>
        <w:rPr>
          <w:highlight w:val="none"/>
          <w:lang w:eastAsia="zh-CN"/>
        </w:rPr>
      </w:pPr>
      <w:r>
        <w:rPr>
          <w:highlight w:val="none"/>
          <w:lang w:eastAsia="zh-CN"/>
        </w:rPr>
        <w:t>The small RNA sequencing was executed by VivaCell (Shanghai, China) using the Illumina NovaSeq 6000, PE150. Briefly, T4 RNA Ligase connected 3’ and 5’ adapters to the ends of RNA molecules, and the library was reverse transcribed and then amplified. The purified and recovered cDNA constructs were subjected to library checking and normalization.</w:t>
      </w:r>
      <w:r>
        <w:rPr>
          <w:rFonts w:hint="eastAsia"/>
          <w:highlight w:val="none"/>
          <w:lang w:eastAsia="zh-CN"/>
        </w:rPr>
        <w:t xml:space="preserve"> </w:t>
      </w:r>
      <w:r>
        <w:rPr>
          <w:highlight w:val="none"/>
          <w:lang w:eastAsia="zh-CN"/>
        </w:rPr>
        <w:t>mRNAs and non-coding RNAs were retained by removing rRNA. The RNA samples were micro amplificated following the instructions of the RNAlib Single cell WTA Kit (cat. No. A5001, Lifeint, Fujian, China). Following the instructions of the Lifeint Transpose DNA Library Prep Kit (cat. No. A5005, Lifeint, Fujian, China) for Illumina, the RNAs were convert to cDNA and connected to adapters to form libraries.</w:t>
      </w:r>
    </w:p>
    <w:p w14:paraId="586769EC">
      <w:pPr>
        <w:pStyle w:val="4"/>
        <w:rPr>
          <w:highlight w:val="none"/>
          <w:lang w:eastAsia="zh-CN"/>
        </w:rPr>
      </w:pPr>
      <w:bookmarkStart w:id="91" w:name="_Toc207979773"/>
      <w:r>
        <w:rPr>
          <w:highlight w:val="none"/>
          <w:lang w:eastAsia="zh-CN"/>
        </w:rPr>
        <w:t>Bioinformatics analysis</w:t>
      </w:r>
      <w:bookmarkEnd w:id="91"/>
    </w:p>
    <w:p w14:paraId="0A5DCB65">
      <w:pPr>
        <w:rPr>
          <w:highlight w:val="none"/>
          <w:lang w:val="en-US" w:eastAsia="zh-CN"/>
        </w:rPr>
      </w:pPr>
      <w:r>
        <w:rPr>
          <w:highlight w:val="none"/>
          <w:lang w:val="en-US" w:eastAsia="zh-CN"/>
        </w:rPr>
        <w:t>The bioinformatics analysis was executed by VivaCell (Shanghai, China). In brief, raw data were converted from basic reads by base calling. Reads with 3’ adapters, without 5’ primer contaminants, and ranging between 15 nt and 41 nt were kept. The quality of the read was controlled by Fastx_toolkit (version 0.0.13) (Gordon and Hannon, 2010). The clean reads were acquired by filtering reads containing N bases using Fastq (Patel and Jain, 2012). Non-coding RNAs, including</w:t>
      </w:r>
      <w:r>
        <w:rPr>
          <w:rFonts w:hint="eastAsia"/>
          <w:highlight w:val="none"/>
          <w:lang w:val="en-US" w:eastAsia="zh-CN"/>
        </w:rPr>
        <w:t xml:space="preserve"> miRNAs,</w:t>
      </w:r>
      <w:r>
        <w:rPr>
          <w:highlight w:val="none"/>
          <w:lang w:val="en-US" w:eastAsia="zh-CN"/>
        </w:rPr>
        <w:t xml:space="preserve"> long non-coding RNAs, other small RNAs, ribosomal RNAs, and small nucleolar RNAs, were annotated by searching through the Rfam (v.10.1) database using bowtie (Griffiths-Jones et al., 2003). The miRBase (v.21) database was used to recognize miRNAs and investigate their expression modes (Kozomara et al., 2019). The miRDeep2 was used for quantitative statistical analysis of small RNAs and for predicting potential miRNA precursors and mature miRNA sequences (Friedländer et al., 2011). The analyses of Gene ontology (GO) enrichment and the Kyoto Encyclopedia of Genes and Genomes (KEGG) pathway were conducted according to the forecasted DE RNA target genes.</w:t>
      </w:r>
    </w:p>
    <w:p w14:paraId="4BD44169">
      <w:pPr>
        <w:pStyle w:val="4"/>
        <w:rPr>
          <w:highlight w:val="none"/>
          <w:lang w:val="en-US" w:eastAsia="fr-FR"/>
        </w:rPr>
      </w:pPr>
      <w:bookmarkStart w:id="92" w:name="_Toc207979774"/>
      <w:r>
        <w:rPr>
          <w:highlight w:val="none"/>
          <w:lang w:val="en-US" w:eastAsia="fr-FR"/>
        </w:rPr>
        <w:t>Statistical analysis of data</w:t>
      </w:r>
      <w:bookmarkEnd w:id="92"/>
    </w:p>
    <w:p w14:paraId="7406D349">
      <w:pPr>
        <w:rPr>
          <w:highlight w:val="none"/>
          <w:lang w:val="en-GB" w:eastAsia="zh-CN"/>
        </w:rPr>
      </w:pPr>
      <w:r>
        <w:rPr>
          <w:highlight w:val="none"/>
          <w:lang w:val="en-GB" w:eastAsia="zh-CN"/>
        </w:rPr>
        <w:t>Bacic information, annotated small RNAs, length distribution of miRNAs, and the number of known miRNAs were analysed for differences using a T-test with SPSS 26, with p &lt; 0.05 considered as significant difference. The DE miRNAs</w:t>
      </w:r>
      <w:r>
        <w:rPr>
          <w:rFonts w:hint="eastAsia"/>
          <w:highlight w:val="none"/>
          <w:lang w:val="en-GB" w:eastAsia="zh-CN"/>
        </w:rPr>
        <w:t>, mRNAs, lncRNAs, and circRNAs</w:t>
      </w:r>
      <w:r>
        <w:rPr>
          <w:highlight w:val="none"/>
          <w:lang w:val="en-GB" w:eastAsia="zh-CN"/>
        </w:rPr>
        <w:t xml:space="preserve"> were analysed using the R pa</w:t>
      </w:r>
      <w:r>
        <w:rPr>
          <w:rFonts w:hint="eastAsia"/>
          <w:highlight w:val="none"/>
          <w:lang w:val="en-GB" w:eastAsia="zh-CN"/>
        </w:rPr>
        <w:t xml:space="preserve">ckages “DESeq2” (Au - Liu et al., 2021) and selected based on p &lt; 0.05 and ∣log2FC∣&gt; 1. The miRNA names were present as miRNA/precursor. The padj was obtained for multiple testing by adjusting p-value using the Benjamin-Hochberg correction </w:t>
      </w:r>
      <w:r>
        <w:rPr>
          <w:highlight w:val="none"/>
          <w:lang w:val="en-GB" w:eastAsia="zh-CN"/>
        </w:rPr>
        <w:fldChar w:fldCharType="begin"/>
      </w:r>
      <w:r>
        <w:rPr>
          <w:highlight w:val="none"/>
          <w:lang w:val="en-GB" w:eastAsia="zh-CN"/>
        </w:rPr>
        <w:instrText xml:space="preserve"> ADDIN EN.CITE &lt;EndNote&gt;&lt;Cite&gt;&lt;Author&gt;Tino&lt;/Author&gt;&lt;Year&gt;2009&lt;/Year&gt;&lt;RecNum&gt;67&lt;/RecNum&gt;&lt;DisplayText&gt;(Tino, 2009)&lt;/DisplayText&gt;&lt;record&gt;&lt;rec-number&gt;67&lt;/rec-number&gt;&lt;foreign-keys&gt;&lt;key app="EN" db-id="xwvtz5rea2fr2je0p0uppszgwft92rr5pxdp" timestamp="1670495890"&gt;67&lt;/key&gt;&lt;/foreign-keys&gt;&lt;ref-type name="Journal Article"&gt;17&lt;/ref-type&gt;&lt;contributors&gt;&lt;authors&gt;&lt;author&gt;Tino, P.&lt;/author&gt;&lt;/authors&gt;&lt;/contributors&gt;&lt;auth-address&gt;School of Computer Science, The University of Birmingham, Birmingham, B15 2TT, UK. P.Tino@cs.bham.ac.uk&lt;/auth-address&gt;&lt;titles&gt;&lt;title&gt;Basic properties and information theory of Audic-Claverie statistic for analyzing cDNA arrays&lt;/title&gt;&lt;secondary-title&gt;BMC Bioinformatics&lt;/secondary-title&gt;&lt;/titles&gt;&lt;periodical&gt;&lt;full-title&gt;BMC Bioinformatics&lt;/full-title&gt;&lt;/periodical&gt;&lt;pages&gt;310&lt;/pages&gt;&lt;volume&gt;10&lt;/volume&gt;&lt;edition&gt;20090923&lt;/edition&gt;&lt;keywords&gt;&lt;keyword&gt;*Algorithms&lt;/keyword&gt;&lt;keyword&gt;Computational Biology/*methods&lt;/keyword&gt;&lt;keyword&gt;Databases, Genetic&lt;/keyword&gt;&lt;keyword&gt;Gene Expression Profiling/methods&lt;/keyword&gt;&lt;keyword&gt;Models, Statistical&lt;/keyword&gt;&lt;keyword&gt;*Oligonucleotide Array Sequence Analysis&lt;/keyword&gt;&lt;keyword&gt;Poisson Distribution&lt;/keyword&gt;&lt;/keywords&gt;&lt;dates&gt;&lt;year&gt;2009&lt;/year&gt;&lt;pub-dates&gt;&lt;date&gt;Sep 23&lt;/date&gt;&lt;/pub-dates&gt;&lt;/dates&gt;&lt;isbn&gt;1471-2105 (Electronic)&amp;#xD;1471-2105 (Linking)&lt;/isbn&gt;&lt;accession-num&gt;19775462&lt;/accession-num&gt;&lt;urls&gt;&lt;related-urls&gt;&lt;url&gt;https://www.ncbi.nlm.nih.gov/pubmed/19775462&lt;/url&gt;&lt;/related-urls&gt;&lt;/urls&gt;&lt;custom2&gt;PMC2761412&lt;/custom2&gt;&lt;electronic-resource-num&gt;10.1186/1471-2105-10-310&lt;/electronic-resource-num&gt;&lt;remote-database-name&gt;Medline&lt;/remote-database-name&gt;&lt;remote-database-provider&gt;NLM&lt;/remote-database-provider&gt;&lt;/record&gt;&lt;/Cite&gt;&lt;/EndNote&gt;</w:instrText>
      </w:r>
      <w:r>
        <w:rPr>
          <w:highlight w:val="none"/>
          <w:lang w:val="en-GB" w:eastAsia="zh-CN"/>
        </w:rPr>
        <w:fldChar w:fldCharType="separate"/>
      </w:r>
      <w:r>
        <w:rPr>
          <w:highlight w:val="none"/>
          <w:lang w:val="en-GB" w:eastAsia="zh-CN"/>
        </w:rPr>
        <w:t>(Tino, 2009)</w:t>
      </w:r>
      <w:r>
        <w:rPr>
          <w:highlight w:val="none"/>
          <w:lang w:val="en-GB" w:eastAsia="zh-CN"/>
        </w:rPr>
        <w:fldChar w:fldCharType="end"/>
      </w:r>
      <w:r>
        <w:rPr>
          <w:rFonts w:hint="eastAsia"/>
          <w:highlight w:val="none"/>
          <w:lang w:val="en-GB" w:eastAsia="zh-CN"/>
        </w:rPr>
        <w:t>. GO</w:t>
      </w:r>
      <w:r>
        <w:rPr>
          <w:highlight w:val="none"/>
          <w:lang w:val="en-GB" w:eastAsia="zh-CN"/>
        </w:rPr>
        <w:t xml:space="preserve"> and KEGG analysis was carried out by hypergeometric distribution with R (version R3.5.1), and taking padj &lt; 0.05 as the significant enrichment standard.</w:t>
      </w:r>
    </w:p>
    <w:p w14:paraId="142EE102">
      <w:pPr>
        <w:pStyle w:val="3"/>
        <w:rPr>
          <w:highlight w:val="none"/>
        </w:rPr>
      </w:pPr>
      <w:bookmarkStart w:id="93" w:name="_Toc207979775"/>
      <w:r>
        <w:rPr>
          <w:highlight w:val="none"/>
        </w:rPr>
        <w:t>Results</w:t>
      </w:r>
      <w:bookmarkEnd w:id="93"/>
    </w:p>
    <w:p w14:paraId="657AD0E8">
      <w:pPr>
        <w:pStyle w:val="4"/>
        <w:rPr>
          <w:highlight w:val="none"/>
          <w:lang w:val="en-US" w:eastAsia="fr-FR"/>
        </w:rPr>
      </w:pPr>
      <w:bookmarkStart w:id="94" w:name="_Toc207979776"/>
      <w:r>
        <w:rPr>
          <w:highlight w:val="none"/>
          <w:lang w:val="en-US" w:eastAsia="fr-FR"/>
        </w:rPr>
        <w:t>Confirmation of Bovine Milk Small Extracellular Vesicles</w:t>
      </w:r>
      <w:bookmarkEnd w:id="94"/>
    </w:p>
    <w:p w14:paraId="509C3876">
      <w:pPr>
        <w:rPr>
          <w:highlight w:val="none"/>
          <w:lang w:val="en-GB" w:eastAsia="zh-CN"/>
        </w:rPr>
      </w:pPr>
      <w:r>
        <w:rPr>
          <w:highlight w:val="none"/>
          <w:lang w:val="en-GB" w:eastAsia="zh-CN"/>
        </w:rPr>
        <w:t>The sEVs particle size distribution was analyzed by nanoparticle tracking (Fig.</w:t>
      </w:r>
      <w:r>
        <w:rPr>
          <w:rFonts w:hint="eastAsia"/>
          <w:highlight w:val="none"/>
          <w:lang w:val="en-GB" w:eastAsia="zh-CN"/>
        </w:rPr>
        <w:t>3-1A</w:t>
      </w:r>
      <w:r>
        <w:rPr>
          <w:highlight w:val="none"/>
          <w:lang w:val="en-GB" w:eastAsia="zh-CN"/>
        </w:rPr>
        <w:t>). The diameter of sEVs reached its peak at 102.2 nm, with 97.7% of all particles falling within the range of 30 to 150 nm.</w:t>
      </w:r>
    </w:p>
    <w:p w14:paraId="5433A7AE">
      <w:pPr>
        <w:jc w:val="center"/>
        <w:rPr>
          <w:highlight w:val="none"/>
          <w:lang w:val="en-GB" w:eastAsia="zh-CN"/>
        </w:rPr>
      </w:pPr>
      <w:r>
        <w:rPr>
          <w:highlight w:val="none"/>
        </w:rPr>
        <w:drawing>
          <wp:inline distT="0" distB="0" distL="0" distR="0">
            <wp:extent cx="4358640" cy="3193415"/>
            <wp:effectExtent l="0" t="0" r="3810" b="6985"/>
            <wp:docPr id="9609910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91049" name="图片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374439" cy="3204999"/>
                    </a:xfrm>
                    <a:prstGeom prst="rect">
                      <a:avLst/>
                    </a:prstGeom>
                    <a:noFill/>
                    <a:ln>
                      <a:noFill/>
                    </a:ln>
                  </pic:spPr>
                </pic:pic>
              </a:graphicData>
            </a:graphic>
          </wp:inline>
        </w:drawing>
      </w:r>
    </w:p>
    <w:p w14:paraId="2E3086AF">
      <w:pPr>
        <w:jc w:val="center"/>
        <w:rPr>
          <w:highlight w:val="none"/>
          <w:lang w:val="en-US"/>
        </w:rPr>
      </w:pPr>
      <w:bookmarkStart w:id="95" w:name="_Toc207982994"/>
      <w:r>
        <w:rPr>
          <w:b/>
          <w:bCs/>
          <w:highlight w:val="none"/>
          <w:lang w:val="en-US"/>
        </w:rPr>
        <w:t xml:space="preserve">Figure </w:t>
      </w:r>
      <w:r>
        <w:rPr>
          <w:rFonts w:hint="eastAsia"/>
          <w:b/>
          <w:bCs/>
          <w:highlight w:val="none"/>
          <w:lang w:val="en-US" w:eastAsia="zh-CN"/>
        </w:rPr>
        <w:t>3</w:t>
      </w:r>
      <w:r>
        <w:rPr>
          <w:b/>
          <w:bCs/>
          <w:highlight w:val="none"/>
          <w:lang w:val="en-US"/>
        </w:rPr>
        <w:noBreakHyphen/>
      </w:r>
      <w:r>
        <w:rPr>
          <w:b/>
          <w:bCs/>
          <w:highlight w:val="none"/>
          <w:lang w:val="en-US"/>
        </w:rPr>
        <w:fldChar w:fldCharType="begin"/>
      </w:r>
      <w:r>
        <w:rPr>
          <w:b/>
          <w:bCs/>
          <w:highlight w:val="none"/>
          <w:lang w:val="en-US"/>
        </w:rPr>
        <w:instrText xml:space="preserve"> SEQ Figure \* ARABIC \s 1 </w:instrText>
      </w:r>
      <w:r>
        <w:rPr>
          <w:b/>
          <w:bCs/>
          <w:highlight w:val="none"/>
          <w:lang w:val="en-US"/>
        </w:rPr>
        <w:fldChar w:fldCharType="separate"/>
      </w:r>
      <w:r>
        <w:rPr>
          <w:b/>
          <w:bCs/>
          <w:highlight w:val="none"/>
          <w:lang w:val="en-US"/>
        </w:rPr>
        <w:t>1</w:t>
      </w:r>
      <w:r>
        <w:rPr>
          <w:b/>
          <w:bCs/>
          <w:highlight w:val="none"/>
          <w:lang w:val="en-US"/>
        </w:rPr>
        <w:fldChar w:fldCharType="end"/>
      </w:r>
      <w:r>
        <w:rPr>
          <w:b/>
          <w:bCs/>
          <w:highlight w:val="none"/>
          <w:lang w:val="en-US"/>
        </w:rPr>
        <w:t>:</w:t>
      </w:r>
      <w:r>
        <w:rPr>
          <w:highlight w:val="none"/>
          <w:lang w:val="en-US"/>
        </w:rPr>
        <w:t xml:space="preserve"> </w:t>
      </w:r>
      <w:r>
        <w:rPr>
          <w:rFonts w:hint="eastAsia"/>
          <w:sz w:val="20"/>
          <w:szCs w:val="20"/>
          <w:highlight w:val="none"/>
          <w:lang w:val="en-US" w:eastAsia="zh-CN"/>
        </w:rPr>
        <w:t xml:space="preserve">(A) </w:t>
      </w:r>
      <w:r>
        <w:rPr>
          <w:sz w:val="20"/>
          <w:szCs w:val="20"/>
          <w:highlight w:val="none"/>
          <w:lang w:val="en-US"/>
        </w:rPr>
        <w:t>Particle size distribution of bovine milk-derived small extracellular vesicles from cows with subclinical mastitis. (</w:t>
      </w:r>
      <w:r>
        <w:rPr>
          <w:rFonts w:hint="eastAsia"/>
          <w:sz w:val="20"/>
          <w:szCs w:val="20"/>
          <w:highlight w:val="none"/>
          <w:lang w:val="en-US" w:eastAsia="zh-CN"/>
        </w:rPr>
        <w:t>B</w:t>
      </w:r>
      <w:r>
        <w:rPr>
          <w:sz w:val="20"/>
          <w:szCs w:val="20"/>
          <w:highlight w:val="none"/>
          <w:lang w:val="en-US"/>
        </w:rPr>
        <w:t>) Profiling of annotated small RNAs derived from milk small extracellular vesicles in dairy cows with subclinical mastitis in the control and inulin group. (</w:t>
      </w:r>
      <w:r>
        <w:rPr>
          <w:rFonts w:hint="eastAsia"/>
          <w:sz w:val="20"/>
          <w:szCs w:val="20"/>
          <w:highlight w:val="none"/>
          <w:lang w:val="en-US" w:eastAsia="zh-CN"/>
        </w:rPr>
        <w:t>C</w:t>
      </w:r>
      <w:r>
        <w:rPr>
          <w:sz w:val="20"/>
          <w:szCs w:val="20"/>
          <w:highlight w:val="none"/>
          <w:lang w:val="en-US"/>
        </w:rPr>
        <w:t>) The length distribution of microRNAs derived from milk small extracellular vesicles in dairy cows with subclinical mastitis in the control and inulin group.</w:t>
      </w:r>
      <w:r>
        <w:rPr>
          <w:rFonts w:hint="eastAsia"/>
          <w:sz w:val="20"/>
          <w:szCs w:val="20"/>
          <w:highlight w:val="none"/>
          <w:lang w:val="en-US" w:eastAsia="zh-CN"/>
        </w:rPr>
        <w:t xml:space="preserve"> (D) </w:t>
      </w:r>
      <w:r>
        <w:rPr>
          <w:sz w:val="20"/>
          <w:szCs w:val="20"/>
          <w:highlight w:val="none"/>
          <w:lang w:val="en-US"/>
        </w:rPr>
        <w:t>The number of known milk small extracellular vesicles derived microRNAs in the control and inulin group.</w:t>
      </w:r>
      <w:bookmarkEnd w:id="95"/>
    </w:p>
    <w:p w14:paraId="3F25ED70">
      <w:pPr>
        <w:pStyle w:val="4"/>
        <w:rPr>
          <w:highlight w:val="none"/>
          <w:lang w:val="en-GB" w:eastAsia="zh-CN"/>
        </w:rPr>
      </w:pPr>
      <w:bookmarkStart w:id="96" w:name="_Toc207979777"/>
      <w:r>
        <w:rPr>
          <w:rFonts w:hint="eastAsia"/>
          <w:highlight w:val="none"/>
          <w:lang w:val="en-GB" w:eastAsia="zh-CN"/>
        </w:rPr>
        <w:t>miRNA analysis</w:t>
      </w:r>
      <w:bookmarkEnd w:id="96"/>
    </w:p>
    <w:p w14:paraId="778AC067">
      <w:pPr>
        <w:pStyle w:val="5"/>
        <w:rPr>
          <w:highlight w:val="none"/>
          <w:lang w:val="en-GB" w:eastAsia="zh-CN"/>
        </w:rPr>
      </w:pPr>
      <w:r>
        <w:rPr>
          <w:highlight w:val="none"/>
          <w:lang w:val="en-GB" w:eastAsia="zh-CN"/>
        </w:rPr>
        <w:t>Profiling of small extracellular vesicles-RNA in bovine milk</w:t>
      </w:r>
    </w:p>
    <w:p w14:paraId="527854A2">
      <w:pPr>
        <w:rPr>
          <w:highlight w:val="none"/>
          <w:lang w:eastAsia="zh-CN"/>
        </w:rPr>
      </w:pPr>
      <w:r>
        <w:rPr>
          <w:highlight w:val="none"/>
          <w:lang w:eastAsia="zh-CN"/>
        </w:rPr>
        <w:t>The total numbers of annotated RNAs, including cis-regulatory elements, long non-coding RNAs, other small RNAs, ribosomal RNAs, small nucleolar RNAs, and miRNAs, are shown in Fig.</w:t>
      </w:r>
      <w:r>
        <w:rPr>
          <w:rFonts w:hint="eastAsia"/>
          <w:highlight w:val="none"/>
          <w:lang w:eastAsia="zh-CN"/>
        </w:rPr>
        <w:t>3-1B</w:t>
      </w:r>
      <w:r>
        <w:rPr>
          <w:highlight w:val="none"/>
          <w:lang w:eastAsia="zh-CN"/>
        </w:rPr>
        <w:t>. The miRNAs (Fig.</w:t>
      </w:r>
      <w:r>
        <w:rPr>
          <w:rFonts w:hint="eastAsia"/>
          <w:highlight w:val="none"/>
          <w:lang w:eastAsia="zh-CN"/>
        </w:rPr>
        <w:t>3-1C</w:t>
      </w:r>
      <w:r>
        <w:rPr>
          <w:highlight w:val="none"/>
          <w:lang w:eastAsia="zh-CN"/>
        </w:rPr>
        <w:t>) varied in length from 18 to 25 nt, and the most were 22 nt long (45.49% and 43.72% for the control and inulin groups, respectively).</w:t>
      </w:r>
    </w:p>
    <w:p w14:paraId="4E98614E">
      <w:pPr>
        <w:rPr>
          <w:highlight w:val="none"/>
          <w:lang w:eastAsia="zh-CN"/>
        </w:rPr>
      </w:pPr>
      <w:r>
        <w:rPr>
          <w:highlight w:val="none"/>
          <w:lang w:eastAsia="zh-CN"/>
        </w:rPr>
        <w:t>A combined total of 350 miRNAs were detected among all samples. There were 332 miRNAs in control group and 249 miRNAs in inulin group (Fig.</w:t>
      </w:r>
      <w:r>
        <w:rPr>
          <w:rFonts w:hint="eastAsia"/>
          <w:highlight w:val="none"/>
          <w:lang w:eastAsia="zh-CN"/>
        </w:rPr>
        <w:t>3-1D</w:t>
      </w:r>
      <w:r>
        <w:rPr>
          <w:highlight w:val="none"/>
          <w:lang w:eastAsia="zh-CN"/>
        </w:rPr>
        <w:t>).</w:t>
      </w:r>
    </w:p>
    <w:p w14:paraId="1EBE68BB">
      <w:pPr>
        <w:pStyle w:val="5"/>
        <w:rPr>
          <w:highlight w:val="none"/>
          <w:lang w:val="en-GB" w:eastAsia="zh-CN"/>
        </w:rPr>
      </w:pPr>
      <w:r>
        <w:rPr>
          <w:highlight w:val="none"/>
          <w:lang w:val="en-GB" w:eastAsia="zh-CN"/>
        </w:rPr>
        <w:t>Most abundant small extracellular vesicles-microRNA in bovine milk</w:t>
      </w:r>
    </w:p>
    <w:p w14:paraId="4843A682">
      <w:pPr>
        <w:rPr>
          <w:highlight w:val="none"/>
          <w:lang w:eastAsia="zh-CN"/>
        </w:rPr>
      </w:pPr>
      <w:r>
        <w:rPr>
          <w:highlight w:val="none"/>
          <w:lang w:eastAsia="zh-CN"/>
        </w:rPr>
        <w:t xml:space="preserve">Table </w:t>
      </w:r>
      <w:r>
        <w:rPr>
          <w:rFonts w:hint="eastAsia"/>
          <w:highlight w:val="none"/>
          <w:lang w:eastAsia="zh-CN"/>
        </w:rPr>
        <w:t>3-2</w:t>
      </w:r>
      <w:r>
        <w:rPr>
          <w:highlight w:val="none"/>
          <w:lang w:eastAsia="zh-CN"/>
        </w:rPr>
        <w:t xml:space="preserve"> displays the top 20 miRNAs with the highest expression levels in both groups. Among them, 18 miRNAs (let-7b/let-7b, let-7a-5p/let7a-1, let-7a-5p/let7a-2, let-7a-5p/let7a-3, miR-1246/mir-1246, miR-423-5p/mir-423, let-7f/let-7f-1, let-7f/let-7f-2, let-7c/let-7c, let-7g/let-7g, miR-16a/mir-16a, miR-26a/mir-26a-1, miR-26a/mir-26a-2, miR-320a/mir-320a-1, miR-320a/mir-320a-2, miR-200c/mir-200c, miR-191/mir-191, miR-151-5p/mir-151) were expressed at high levels in both groups.</w:t>
      </w:r>
    </w:p>
    <w:p w14:paraId="112F5463">
      <w:pPr>
        <w:rPr>
          <w:highlight w:val="none"/>
          <w:lang w:val="en-US"/>
        </w:rPr>
      </w:pPr>
      <w:bookmarkStart w:id="97" w:name="_Toc207979957"/>
      <w:bookmarkStart w:id="98" w:name="_Hlk208211753"/>
      <w:r>
        <w:rPr>
          <w:b/>
          <w:bCs/>
          <w:highlight w:val="none"/>
          <w:lang w:val="en-US"/>
        </w:rPr>
        <w:t xml:space="preserve">Table </w:t>
      </w:r>
      <w:r>
        <w:rPr>
          <w:rFonts w:hint="eastAsia"/>
          <w:b/>
          <w:bCs/>
          <w:highlight w:val="none"/>
          <w:lang w:val="en-US" w:eastAsia="zh-CN"/>
        </w:rPr>
        <w:t>3</w:t>
      </w:r>
      <w:r>
        <w:rPr>
          <w:b/>
          <w:bCs/>
          <w:highlight w:val="none"/>
          <w:lang w:val="en-US"/>
        </w:rPr>
        <w:noBreakHyphen/>
      </w:r>
      <w:r>
        <w:rPr>
          <w:b/>
          <w:bCs/>
          <w:highlight w:val="none"/>
          <w:lang w:val="en-US"/>
        </w:rPr>
        <w:fldChar w:fldCharType="begin"/>
      </w:r>
      <w:r>
        <w:rPr>
          <w:b/>
          <w:bCs/>
          <w:highlight w:val="none"/>
          <w:lang w:val="en-US"/>
        </w:rPr>
        <w:instrText xml:space="preserve"> SEQ Table \* ARABIC \s 1 </w:instrText>
      </w:r>
      <w:r>
        <w:rPr>
          <w:b/>
          <w:bCs/>
          <w:highlight w:val="none"/>
          <w:lang w:val="en-US"/>
        </w:rPr>
        <w:fldChar w:fldCharType="separate"/>
      </w:r>
      <w:r>
        <w:rPr>
          <w:b/>
          <w:bCs/>
          <w:highlight w:val="none"/>
          <w:lang w:val="en-US"/>
        </w:rPr>
        <w:t>2</w:t>
      </w:r>
      <w:r>
        <w:rPr>
          <w:b/>
          <w:bCs/>
          <w:highlight w:val="none"/>
          <w:lang w:val="en-US"/>
        </w:rPr>
        <w:fldChar w:fldCharType="end"/>
      </w:r>
      <w:r>
        <w:rPr>
          <w:b/>
          <w:bCs/>
          <w:highlight w:val="none"/>
          <w:lang w:val="en-US"/>
        </w:rPr>
        <w:t>:</w:t>
      </w:r>
      <w:r>
        <w:rPr>
          <w:highlight w:val="none"/>
          <w:lang w:val="en-US"/>
        </w:rPr>
        <w:t xml:space="preserve"> </w:t>
      </w:r>
      <w:r>
        <w:rPr>
          <w:sz w:val="20"/>
          <w:szCs w:val="20"/>
          <w:highlight w:val="none"/>
          <w:lang w:val="en-US"/>
        </w:rPr>
        <w:t>Top 20 highly expressed s</w:t>
      </w:r>
      <w:r>
        <w:rPr>
          <w:rFonts w:hint="eastAsia"/>
          <w:sz w:val="20"/>
          <w:szCs w:val="20"/>
          <w:highlight w:val="none"/>
          <w:lang w:val="en-US" w:eastAsia="zh-CN"/>
        </w:rPr>
        <w:t>EV</w:t>
      </w:r>
      <w:r>
        <w:rPr>
          <w:sz w:val="20"/>
          <w:szCs w:val="20"/>
          <w:highlight w:val="none"/>
          <w:lang w:val="en-US"/>
        </w:rPr>
        <w:t>s derived miRNAs in milk from dairy cows with subclinical mastitis in two groups</w:t>
      </w:r>
      <w:bookmarkEnd w:id="97"/>
    </w:p>
    <w:bookmarkEnd w:id="98"/>
    <w:tbl>
      <w:tblPr>
        <w:tblStyle w:val="29"/>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
        <w:gridCol w:w="2078"/>
        <w:gridCol w:w="1070"/>
        <w:gridCol w:w="1522"/>
        <w:gridCol w:w="1070"/>
        <w:gridCol w:w="1522"/>
      </w:tblGrid>
      <w:tr w14:paraId="6B0CABC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1634" w:type="pct"/>
            <w:gridSpan w:val="2"/>
            <w:tcBorders>
              <w:top w:val="single" w:color="auto" w:sz="4" w:space="0"/>
              <w:bottom w:val="nil"/>
            </w:tcBorders>
            <w:vAlign w:val="center"/>
          </w:tcPr>
          <w:p w14:paraId="4CDB2FEE">
            <w:pPr>
              <w:pStyle w:val="95"/>
              <w:spacing w:line="240" w:lineRule="auto"/>
              <w:jc w:val="both"/>
              <w:rPr>
                <w:rFonts w:ascii="Times New Roman" w:hAnsi="Times New Roman" w:eastAsia="Calibri"/>
                <w:sz w:val="20"/>
                <w:szCs w:val="20"/>
                <w:highlight w:val="none"/>
              </w:rPr>
            </w:pPr>
          </w:p>
        </w:tc>
        <w:tc>
          <w:tcPr>
            <w:tcW w:w="3366" w:type="pct"/>
            <w:gridSpan w:val="4"/>
            <w:tcBorders>
              <w:top w:val="single" w:color="auto" w:sz="4" w:space="0"/>
              <w:bottom w:val="nil"/>
            </w:tcBorders>
            <w:vAlign w:val="center"/>
          </w:tcPr>
          <w:p w14:paraId="0FCA9D99">
            <w:pPr>
              <w:pStyle w:val="96"/>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lang w:eastAsia="zh-CN"/>
              </w:rPr>
              <w:t>Group</w:t>
            </w:r>
          </w:p>
        </w:tc>
      </w:tr>
      <w:tr w14:paraId="5630F1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1634" w:type="pct"/>
            <w:gridSpan w:val="2"/>
            <w:tcBorders>
              <w:top w:val="nil"/>
            </w:tcBorders>
            <w:vAlign w:val="center"/>
          </w:tcPr>
          <w:p w14:paraId="6026F025">
            <w:pPr>
              <w:pStyle w:val="95"/>
              <w:spacing w:line="240" w:lineRule="auto"/>
              <w:jc w:val="both"/>
              <w:rPr>
                <w:rFonts w:ascii="Times New Roman" w:hAnsi="Times New Roman" w:eastAsia="Calibri"/>
                <w:sz w:val="20"/>
                <w:szCs w:val="20"/>
                <w:highlight w:val="none"/>
              </w:rPr>
            </w:pPr>
          </w:p>
        </w:tc>
        <w:tc>
          <w:tcPr>
            <w:tcW w:w="1683" w:type="pct"/>
            <w:gridSpan w:val="2"/>
            <w:tcBorders>
              <w:top w:val="nil"/>
            </w:tcBorders>
            <w:vAlign w:val="center"/>
          </w:tcPr>
          <w:p w14:paraId="50D7A936">
            <w:pPr>
              <w:pStyle w:val="96"/>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 xml:space="preserve">Control </w:t>
            </w:r>
            <w:r>
              <w:rPr>
                <w:rFonts w:ascii="Times New Roman" w:hAnsi="Times New Roman" w:eastAsia="Calibri"/>
                <w:sz w:val="20"/>
                <w:szCs w:val="20"/>
                <w:highlight w:val="none"/>
                <w:lang w:eastAsia="zh-CN"/>
              </w:rPr>
              <w:t>(n = 7)</w:t>
            </w:r>
          </w:p>
        </w:tc>
        <w:tc>
          <w:tcPr>
            <w:tcW w:w="1683" w:type="pct"/>
            <w:gridSpan w:val="2"/>
            <w:tcBorders>
              <w:top w:val="nil"/>
            </w:tcBorders>
            <w:vAlign w:val="center"/>
          </w:tcPr>
          <w:p w14:paraId="7C835A6D">
            <w:pPr>
              <w:pStyle w:val="96"/>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Inulin</w:t>
            </w:r>
            <w:r>
              <w:rPr>
                <w:rFonts w:ascii="Times New Roman" w:hAnsi="Times New Roman" w:eastAsia="Calibri"/>
                <w:sz w:val="20"/>
                <w:szCs w:val="20"/>
                <w:highlight w:val="none"/>
                <w:lang w:eastAsia="zh-CN"/>
              </w:rPr>
              <w:t xml:space="preserve"> (n = 7)</w:t>
            </w:r>
          </w:p>
        </w:tc>
      </w:tr>
      <w:tr w14:paraId="62896FD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4" w:type="pct"/>
            <w:gridSpan w:val="2"/>
            <w:tcBorders>
              <w:bottom w:val="single" w:color="auto" w:sz="4" w:space="0"/>
            </w:tcBorders>
            <w:vAlign w:val="center"/>
          </w:tcPr>
          <w:p w14:paraId="2EA6BC05">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miRNAs</w:t>
            </w:r>
          </w:p>
        </w:tc>
        <w:tc>
          <w:tcPr>
            <w:tcW w:w="695" w:type="pct"/>
            <w:tcBorders>
              <w:top w:val="nil"/>
              <w:bottom w:val="single" w:color="auto" w:sz="4" w:space="0"/>
            </w:tcBorders>
            <w:vAlign w:val="center"/>
          </w:tcPr>
          <w:p w14:paraId="4D87CE81">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lang w:eastAsia="zh-CN"/>
              </w:rPr>
              <w:t>Mean</w:t>
            </w:r>
          </w:p>
        </w:tc>
        <w:tc>
          <w:tcPr>
            <w:tcW w:w="988" w:type="pct"/>
            <w:tcBorders>
              <w:top w:val="nil"/>
              <w:bottom w:val="single" w:color="auto" w:sz="4" w:space="0"/>
            </w:tcBorders>
            <w:vAlign w:val="center"/>
          </w:tcPr>
          <w:p w14:paraId="6E09F7AA">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Percentage</w:t>
            </w:r>
            <w:r>
              <w:rPr>
                <w:rFonts w:ascii="Times New Roman" w:hAnsi="Times New Roman" w:eastAsia="Calibri"/>
                <w:sz w:val="20"/>
                <w:szCs w:val="20"/>
                <w:highlight w:val="none"/>
                <w:lang w:eastAsia="zh-CN"/>
              </w:rPr>
              <w:t xml:space="preserve"> (%)</w:t>
            </w:r>
          </w:p>
        </w:tc>
        <w:tc>
          <w:tcPr>
            <w:tcW w:w="695" w:type="pct"/>
            <w:tcBorders>
              <w:top w:val="nil"/>
              <w:bottom w:val="single" w:color="auto" w:sz="4" w:space="0"/>
            </w:tcBorders>
            <w:vAlign w:val="center"/>
          </w:tcPr>
          <w:p w14:paraId="0F6F159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lang w:eastAsia="zh-CN"/>
              </w:rPr>
              <w:t>Mean</w:t>
            </w:r>
          </w:p>
        </w:tc>
        <w:tc>
          <w:tcPr>
            <w:tcW w:w="988" w:type="pct"/>
            <w:tcBorders>
              <w:top w:val="nil"/>
              <w:bottom w:val="single" w:color="auto" w:sz="4" w:space="0"/>
            </w:tcBorders>
            <w:vAlign w:val="center"/>
          </w:tcPr>
          <w:p w14:paraId="339B293A">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Percentage</w:t>
            </w:r>
            <w:r>
              <w:rPr>
                <w:rFonts w:ascii="Times New Roman" w:hAnsi="Times New Roman" w:eastAsia="Calibri"/>
                <w:sz w:val="20"/>
                <w:szCs w:val="20"/>
                <w:highlight w:val="none"/>
                <w:lang w:eastAsia="zh-CN"/>
              </w:rPr>
              <w:t xml:space="preserve"> (%)</w:t>
            </w:r>
          </w:p>
        </w:tc>
      </w:tr>
      <w:tr w14:paraId="532F959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tcBorders>
              <w:top w:val="single" w:color="auto" w:sz="4" w:space="0"/>
            </w:tcBorders>
            <w:vAlign w:val="center"/>
          </w:tcPr>
          <w:p w14:paraId="4D942F7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p>
        </w:tc>
        <w:tc>
          <w:tcPr>
            <w:tcW w:w="1349" w:type="pct"/>
            <w:tcBorders>
              <w:top w:val="single" w:color="auto" w:sz="4" w:space="0"/>
            </w:tcBorders>
            <w:vAlign w:val="center"/>
          </w:tcPr>
          <w:p w14:paraId="48ED05E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let-7b/let-7b</w:t>
            </w:r>
          </w:p>
        </w:tc>
        <w:tc>
          <w:tcPr>
            <w:tcW w:w="695" w:type="pct"/>
            <w:tcBorders>
              <w:top w:val="single" w:color="auto" w:sz="4" w:space="0"/>
            </w:tcBorders>
            <w:vAlign w:val="center"/>
          </w:tcPr>
          <w:p w14:paraId="480922F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17</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004.86</w:t>
            </w:r>
          </w:p>
        </w:tc>
        <w:tc>
          <w:tcPr>
            <w:tcW w:w="988" w:type="pct"/>
            <w:tcBorders>
              <w:top w:val="single" w:color="auto" w:sz="4" w:space="0"/>
            </w:tcBorders>
            <w:vAlign w:val="center"/>
          </w:tcPr>
          <w:p w14:paraId="218E938E">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14.95 </w:t>
            </w:r>
          </w:p>
        </w:tc>
        <w:tc>
          <w:tcPr>
            <w:tcW w:w="695" w:type="pct"/>
            <w:tcBorders>
              <w:top w:val="single" w:color="auto" w:sz="4" w:space="0"/>
            </w:tcBorders>
            <w:vAlign w:val="center"/>
          </w:tcPr>
          <w:p w14:paraId="75BF68C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24</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012.14</w:t>
            </w:r>
          </w:p>
        </w:tc>
        <w:tc>
          <w:tcPr>
            <w:tcW w:w="988" w:type="pct"/>
            <w:tcBorders>
              <w:top w:val="single" w:color="auto" w:sz="4" w:space="0"/>
            </w:tcBorders>
            <w:vAlign w:val="center"/>
          </w:tcPr>
          <w:p w14:paraId="4B2485D8">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19.34 </w:t>
            </w:r>
          </w:p>
        </w:tc>
      </w:tr>
      <w:tr w14:paraId="3CC0994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638AD829">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w:t>
            </w:r>
          </w:p>
        </w:tc>
        <w:tc>
          <w:tcPr>
            <w:tcW w:w="1349" w:type="pct"/>
            <w:vAlign w:val="center"/>
          </w:tcPr>
          <w:p w14:paraId="609384F8">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let-7a-5p/let-7a-3</w:t>
            </w:r>
          </w:p>
        </w:tc>
        <w:tc>
          <w:tcPr>
            <w:tcW w:w="695" w:type="pct"/>
            <w:vAlign w:val="center"/>
          </w:tcPr>
          <w:p w14:paraId="16610366">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17</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868.43</w:t>
            </w:r>
          </w:p>
        </w:tc>
        <w:tc>
          <w:tcPr>
            <w:tcW w:w="988" w:type="pct"/>
            <w:vAlign w:val="center"/>
          </w:tcPr>
          <w:p w14:paraId="22CC29B6">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15.71 </w:t>
            </w:r>
          </w:p>
        </w:tc>
        <w:tc>
          <w:tcPr>
            <w:tcW w:w="695" w:type="pct"/>
            <w:vAlign w:val="center"/>
          </w:tcPr>
          <w:p w14:paraId="0D68F3C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22</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381.71</w:t>
            </w:r>
          </w:p>
        </w:tc>
        <w:tc>
          <w:tcPr>
            <w:tcW w:w="988" w:type="pct"/>
            <w:vAlign w:val="center"/>
          </w:tcPr>
          <w:p w14:paraId="0E5DBA4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18.03 </w:t>
            </w:r>
          </w:p>
        </w:tc>
      </w:tr>
      <w:tr w14:paraId="004C9F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43C4FDF4">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w:t>
            </w:r>
          </w:p>
        </w:tc>
        <w:tc>
          <w:tcPr>
            <w:tcW w:w="1349" w:type="pct"/>
            <w:vAlign w:val="center"/>
          </w:tcPr>
          <w:p w14:paraId="774F463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let-7a-5p/let-7a-1</w:t>
            </w:r>
          </w:p>
        </w:tc>
        <w:tc>
          <w:tcPr>
            <w:tcW w:w="695" w:type="pct"/>
            <w:vAlign w:val="center"/>
          </w:tcPr>
          <w:p w14:paraId="37459E3F">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17</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862.43</w:t>
            </w:r>
          </w:p>
        </w:tc>
        <w:tc>
          <w:tcPr>
            <w:tcW w:w="988" w:type="pct"/>
            <w:vAlign w:val="center"/>
          </w:tcPr>
          <w:p w14:paraId="04D4B0E1">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15.70 </w:t>
            </w:r>
          </w:p>
        </w:tc>
        <w:tc>
          <w:tcPr>
            <w:tcW w:w="695" w:type="pct"/>
            <w:vAlign w:val="center"/>
          </w:tcPr>
          <w:p w14:paraId="6E9260F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22</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384.71</w:t>
            </w:r>
          </w:p>
        </w:tc>
        <w:tc>
          <w:tcPr>
            <w:tcW w:w="988" w:type="pct"/>
            <w:vAlign w:val="center"/>
          </w:tcPr>
          <w:p w14:paraId="009F74B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18.03 </w:t>
            </w:r>
          </w:p>
        </w:tc>
      </w:tr>
      <w:tr w14:paraId="0BB2C38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1697FB29">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w:t>
            </w:r>
          </w:p>
        </w:tc>
        <w:tc>
          <w:tcPr>
            <w:tcW w:w="1349" w:type="pct"/>
            <w:vAlign w:val="center"/>
          </w:tcPr>
          <w:p w14:paraId="5F8B246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let-7a-5p/let-7a-2</w:t>
            </w:r>
          </w:p>
        </w:tc>
        <w:tc>
          <w:tcPr>
            <w:tcW w:w="695" w:type="pct"/>
            <w:vAlign w:val="center"/>
          </w:tcPr>
          <w:p w14:paraId="780062F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17</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859.71</w:t>
            </w:r>
          </w:p>
        </w:tc>
        <w:tc>
          <w:tcPr>
            <w:tcW w:w="988" w:type="pct"/>
            <w:vAlign w:val="center"/>
          </w:tcPr>
          <w:p w14:paraId="41E0F4D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15.70 </w:t>
            </w:r>
          </w:p>
        </w:tc>
        <w:tc>
          <w:tcPr>
            <w:tcW w:w="695" w:type="pct"/>
            <w:vAlign w:val="center"/>
          </w:tcPr>
          <w:p w14:paraId="6E1CEF88">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22</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377.43</w:t>
            </w:r>
          </w:p>
        </w:tc>
        <w:tc>
          <w:tcPr>
            <w:tcW w:w="988" w:type="pct"/>
            <w:vAlign w:val="center"/>
          </w:tcPr>
          <w:p w14:paraId="671E2D0A">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18.02 </w:t>
            </w:r>
          </w:p>
        </w:tc>
      </w:tr>
      <w:tr w14:paraId="6C222AD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64050024">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5</w:t>
            </w:r>
          </w:p>
        </w:tc>
        <w:tc>
          <w:tcPr>
            <w:tcW w:w="1349" w:type="pct"/>
            <w:vAlign w:val="center"/>
          </w:tcPr>
          <w:p w14:paraId="2EE351F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miR-1246/mir-1246</w:t>
            </w:r>
          </w:p>
        </w:tc>
        <w:tc>
          <w:tcPr>
            <w:tcW w:w="695" w:type="pct"/>
            <w:vAlign w:val="center"/>
          </w:tcPr>
          <w:p w14:paraId="61CBAE31">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12</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212.71</w:t>
            </w:r>
          </w:p>
        </w:tc>
        <w:tc>
          <w:tcPr>
            <w:tcW w:w="988" w:type="pct"/>
            <w:vAlign w:val="center"/>
          </w:tcPr>
          <w:p w14:paraId="5DE6829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10.74 </w:t>
            </w:r>
          </w:p>
        </w:tc>
        <w:tc>
          <w:tcPr>
            <w:tcW w:w="695" w:type="pct"/>
            <w:vAlign w:val="center"/>
          </w:tcPr>
          <w:p w14:paraId="6F2DA1B1">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6</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965.57</w:t>
            </w:r>
          </w:p>
        </w:tc>
        <w:tc>
          <w:tcPr>
            <w:tcW w:w="988" w:type="pct"/>
            <w:vAlign w:val="center"/>
          </w:tcPr>
          <w:p w14:paraId="44A0E94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5.61 </w:t>
            </w:r>
          </w:p>
        </w:tc>
      </w:tr>
      <w:tr w14:paraId="4BCA279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75D3A44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6</w:t>
            </w:r>
          </w:p>
        </w:tc>
        <w:tc>
          <w:tcPr>
            <w:tcW w:w="1349" w:type="pct"/>
            <w:vAlign w:val="center"/>
          </w:tcPr>
          <w:p w14:paraId="5352D80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miR-423-5p/mir-423</w:t>
            </w:r>
          </w:p>
        </w:tc>
        <w:tc>
          <w:tcPr>
            <w:tcW w:w="695" w:type="pct"/>
            <w:vAlign w:val="center"/>
          </w:tcPr>
          <w:p w14:paraId="2C36EF25">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105.71</w:t>
            </w:r>
          </w:p>
        </w:tc>
        <w:tc>
          <w:tcPr>
            <w:tcW w:w="988" w:type="pct"/>
            <w:vAlign w:val="center"/>
          </w:tcPr>
          <w:p w14:paraId="52812D6A">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6.25 </w:t>
            </w:r>
          </w:p>
        </w:tc>
        <w:tc>
          <w:tcPr>
            <w:tcW w:w="695" w:type="pct"/>
            <w:vAlign w:val="center"/>
          </w:tcPr>
          <w:p w14:paraId="40B82695">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811.00</w:t>
            </w:r>
          </w:p>
        </w:tc>
        <w:tc>
          <w:tcPr>
            <w:tcW w:w="988" w:type="pct"/>
            <w:vAlign w:val="center"/>
          </w:tcPr>
          <w:p w14:paraId="73ACEB4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3.07 </w:t>
            </w:r>
          </w:p>
        </w:tc>
      </w:tr>
      <w:tr w14:paraId="05CF0EA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255E3D0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w:t>
            </w:r>
          </w:p>
        </w:tc>
        <w:tc>
          <w:tcPr>
            <w:tcW w:w="1349" w:type="pct"/>
            <w:vAlign w:val="center"/>
          </w:tcPr>
          <w:p w14:paraId="2B58EA19">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let-7f/let-7f-2</w:t>
            </w:r>
          </w:p>
        </w:tc>
        <w:tc>
          <w:tcPr>
            <w:tcW w:w="695" w:type="pct"/>
            <w:vAlign w:val="center"/>
          </w:tcPr>
          <w:p w14:paraId="0D199AC6">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107.14</w:t>
            </w:r>
          </w:p>
        </w:tc>
        <w:tc>
          <w:tcPr>
            <w:tcW w:w="988" w:type="pct"/>
            <w:vAlign w:val="center"/>
          </w:tcPr>
          <w:p w14:paraId="2A5361A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2.73 </w:t>
            </w:r>
          </w:p>
        </w:tc>
        <w:tc>
          <w:tcPr>
            <w:tcW w:w="695" w:type="pct"/>
            <w:vAlign w:val="center"/>
          </w:tcPr>
          <w:p w14:paraId="5BD6986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894.43</w:t>
            </w:r>
          </w:p>
        </w:tc>
        <w:tc>
          <w:tcPr>
            <w:tcW w:w="988" w:type="pct"/>
            <w:vAlign w:val="center"/>
          </w:tcPr>
          <w:p w14:paraId="52A101CE">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2.33 </w:t>
            </w:r>
          </w:p>
        </w:tc>
      </w:tr>
      <w:tr w14:paraId="1A8983F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73712BAC">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8</w:t>
            </w:r>
          </w:p>
        </w:tc>
        <w:tc>
          <w:tcPr>
            <w:tcW w:w="1349" w:type="pct"/>
            <w:vAlign w:val="center"/>
          </w:tcPr>
          <w:p w14:paraId="57A568F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let-7f/let-7f-1</w:t>
            </w:r>
          </w:p>
        </w:tc>
        <w:tc>
          <w:tcPr>
            <w:tcW w:w="695" w:type="pct"/>
            <w:vAlign w:val="center"/>
          </w:tcPr>
          <w:p w14:paraId="7FB95CFE">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011.57</w:t>
            </w:r>
          </w:p>
        </w:tc>
        <w:tc>
          <w:tcPr>
            <w:tcW w:w="988" w:type="pct"/>
            <w:vAlign w:val="center"/>
          </w:tcPr>
          <w:p w14:paraId="05316720">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2.65 </w:t>
            </w:r>
          </w:p>
        </w:tc>
        <w:tc>
          <w:tcPr>
            <w:tcW w:w="695" w:type="pct"/>
            <w:vAlign w:val="center"/>
          </w:tcPr>
          <w:p w14:paraId="534DEB00">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2</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801.57</w:t>
            </w:r>
          </w:p>
        </w:tc>
        <w:tc>
          <w:tcPr>
            <w:tcW w:w="988" w:type="pct"/>
            <w:vAlign w:val="center"/>
          </w:tcPr>
          <w:p w14:paraId="6F3D3790">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2.26 </w:t>
            </w:r>
          </w:p>
        </w:tc>
      </w:tr>
      <w:tr w14:paraId="342969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2898E09E">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9</w:t>
            </w:r>
          </w:p>
        </w:tc>
        <w:tc>
          <w:tcPr>
            <w:tcW w:w="1349" w:type="pct"/>
            <w:vAlign w:val="center"/>
          </w:tcPr>
          <w:p w14:paraId="0BEDDC3A">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let-7c/let-7c</w:t>
            </w:r>
          </w:p>
        </w:tc>
        <w:tc>
          <w:tcPr>
            <w:tcW w:w="695" w:type="pct"/>
            <w:vAlign w:val="center"/>
          </w:tcPr>
          <w:p w14:paraId="3F2653D8">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080.14</w:t>
            </w:r>
          </w:p>
        </w:tc>
        <w:tc>
          <w:tcPr>
            <w:tcW w:w="988" w:type="pct"/>
            <w:vAlign w:val="center"/>
          </w:tcPr>
          <w:p w14:paraId="3C6B56D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1.83 </w:t>
            </w:r>
          </w:p>
        </w:tc>
        <w:tc>
          <w:tcPr>
            <w:tcW w:w="695" w:type="pct"/>
            <w:vAlign w:val="center"/>
          </w:tcPr>
          <w:p w14:paraId="7CEF59FB">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3</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360.86</w:t>
            </w:r>
          </w:p>
        </w:tc>
        <w:tc>
          <w:tcPr>
            <w:tcW w:w="988" w:type="pct"/>
            <w:vAlign w:val="center"/>
          </w:tcPr>
          <w:p w14:paraId="055BF74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2.71 </w:t>
            </w:r>
          </w:p>
        </w:tc>
      </w:tr>
      <w:tr w14:paraId="40A97F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33B6D680">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10</w:t>
            </w:r>
          </w:p>
        </w:tc>
        <w:tc>
          <w:tcPr>
            <w:tcW w:w="1349" w:type="pct"/>
            <w:vAlign w:val="center"/>
          </w:tcPr>
          <w:p w14:paraId="084FACB8">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let-7g/let-7g</w:t>
            </w:r>
          </w:p>
        </w:tc>
        <w:tc>
          <w:tcPr>
            <w:tcW w:w="695" w:type="pct"/>
            <w:vAlign w:val="center"/>
          </w:tcPr>
          <w:p w14:paraId="73A1B581">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283.86</w:t>
            </w:r>
          </w:p>
        </w:tc>
        <w:tc>
          <w:tcPr>
            <w:tcW w:w="988" w:type="pct"/>
            <w:vAlign w:val="center"/>
          </w:tcPr>
          <w:p w14:paraId="1DBD0B94">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1.13 </w:t>
            </w:r>
          </w:p>
        </w:tc>
        <w:tc>
          <w:tcPr>
            <w:tcW w:w="695" w:type="pct"/>
            <w:vAlign w:val="center"/>
          </w:tcPr>
          <w:p w14:paraId="7871EE06">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037.71</w:t>
            </w:r>
          </w:p>
        </w:tc>
        <w:tc>
          <w:tcPr>
            <w:tcW w:w="988" w:type="pct"/>
            <w:vAlign w:val="center"/>
          </w:tcPr>
          <w:p w14:paraId="45C56466">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0.84 </w:t>
            </w:r>
          </w:p>
        </w:tc>
      </w:tr>
      <w:tr w14:paraId="1621F4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419071D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11</w:t>
            </w:r>
          </w:p>
        </w:tc>
        <w:tc>
          <w:tcPr>
            <w:tcW w:w="1349" w:type="pct"/>
            <w:vAlign w:val="center"/>
          </w:tcPr>
          <w:p w14:paraId="5D6CF2F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miR-16a/mir16a</w:t>
            </w:r>
          </w:p>
        </w:tc>
        <w:tc>
          <w:tcPr>
            <w:tcW w:w="695" w:type="pct"/>
            <w:vAlign w:val="center"/>
          </w:tcPr>
          <w:p w14:paraId="37B2CD98">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366.14</w:t>
            </w:r>
          </w:p>
        </w:tc>
        <w:tc>
          <w:tcPr>
            <w:tcW w:w="988" w:type="pct"/>
            <w:vAlign w:val="center"/>
          </w:tcPr>
          <w:p w14:paraId="61861975">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1.20 </w:t>
            </w:r>
          </w:p>
        </w:tc>
        <w:tc>
          <w:tcPr>
            <w:tcW w:w="695" w:type="pct"/>
            <w:vAlign w:val="center"/>
          </w:tcPr>
          <w:p w14:paraId="708B842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785.71</w:t>
            </w:r>
          </w:p>
        </w:tc>
        <w:tc>
          <w:tcPr>
            <w:tcW w:w="988" w:type="pct"/>
            <w:vAlign w:val="center"/>
          </w:tcPr>
          <w:p w14:paraId="3359C68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0.63 </w:t>
            </w:r>
          </w:p>
        </w:tc>
      </w:tr>
      <w:tr w14:paraId="6ABD1CD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2FA7C2D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12</w:t>
            </w:r>
          </w:p>
        </w:tc>
        <w:tc>
          <w:tcPr>
            <w:tcW w:w="1349" w:type="pct"/>
            <w:vAlign w:val="center"/>
          </w:tcPr>
          <w:p w14:paraId="51EB6B88">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miR-26a/mir26a-2</w:t>
            </w:r>
          </w:p>
        </w:tc>
        <w:tc>
          <w:tcPr>
            <w:tcW w:w="695" w:type="pct"/>
            <w:vAlign w:val="center"/>
          </w:tcPr>
          <w:p w14:paraId="4F8912A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366.14</w:t>
            </w:r>
          </w:p>
        </w:tc>
        <w:tc>
          <w:tcPr>
            <w:tcW w:w="988" w:type="pct"/>
            <w:vAlign w:val="center"/>
          </w:tcPr>
          <w:p w14:paraId="589E619F">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1.20 </w:t>
            </w:r>
          </w:p>
        </w:tc>
        <w:tc>
          <w:tcPr>
            <w:tcW w:w="695" w:type="pct"/>
            <w:vAlign w:val="center"/>
          </w:tcPr>
          <w:p w14:paraId="4F13E46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779.00</w:t>
            </w:r>
          </w:p>
        </w:tc>
        <w:tc>
          <w:tcPr>
            <w:tcW w:w="988" w:type="pct"/>
            <w:vAlign w:val="center"/>
          </w:tcPr>
          <w:p w14:paraId="492D525A">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0.63 </w:t>
            </w:r>
          </w:p>
        </w:tc>
      </w:tr>
      <w:tr w14:paraId="4FFE06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74091FC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13</w:t>
            </w:r>
          </w:p>
        </w:tc>
        <w:tc>
          <w:tcPr>
            <w:tcW w:w="1349" w:type="pct"/>
            <w:vAlign w:val="center"/>
          </w:tcPr>
          <w:p w14:paraId="1D14F8C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miR-26a/mir-26a-1</w:t>
            </w:r>
          </w:p>
        </w:tc>
        <w:tc>
          <w:tcPr>
            <w:tcW w:w="695" w:type="pct"/>
            <w:vAlign w:val="center"/>
          </w:tcPr>
          <w:p w14:paraId="48998C5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w:t>
            </w:r>
            <w:r>
              <w:rPr>
                <w:rFonts w:ascii="Times New Roman" w:hAnsi="Times New Roman" w:eastAsia="Calibri"/>
                <w:sz w:val="20"/>
                <w:szCs w:val="20"/>
                <w:highlight w:val="none"/>
                <w:lang w:eastAsia="zh-CN"/>
              </w:rPr>
              <w:t>,</w:t>
            </w:r>
            <w:r>
              <w:rPr>
                <w:rFonts w:ascii="Times New Roman" w:hAnsi="Times New Roman" w:eastAsia="Calibri"/>
                <w:sz w:val="20"/>
                <w:szCs w:val="20"/>
                <w:highlight w:val="none"/>
              </w:rPr>
              <w:t>365.71</w:t>
            </w:r>
          </w:p>
        </w:tc>
        <w:tc>
          <w:tcPr>
            <w:tcW w:w="988" w:type="pct"/>
            <w:vAlign w:val="center"/>
          </w:tcPr>
          <w:p w14:paraId="45A9C47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1.20 </w:t>
            </w:r>
          </w:p>
        </w:tc>
        <w:tc>
          <w:tcPr>
            <w:tcW w:w="695" w:type="pct"/>
            <w:vAlign w:val="center"/>
          </w:tcPr>
          <w:p w14:paraId="1CE2E16C">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778.86</w:t>
            </w:r>
          </w:p>
        </w:tc>
        <w:tc>
          <w:tcPr>
            <w:tcW w:w="988" w:type="pct"/>
            <w:vAlign w:val="center"/>
          </w:tcPr>
          <w:p w14:paraId="46EEBE0E">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0.63 </w:t>
            </w:r>
          </w:p>
        </w:tc>
      </w:tr>
      <w:tr w14:paraId="7C1C52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5F48D67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14</w:t>
            </w:r>
          </w:p>
        </w:tc>
        <w:tc>
          <w:tcPr>
            <w:tcW w:w="1349" w:type="pct"/>
            <w:vAlign w:val="center"/>
          </w:tcPr>
          <w:p w14:paraId="08596C4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miR-320a/mir-320a-1</w:t>
            </w:r>
          </w:p>
        </w:tc>
        <w:tc>
          <w:tcPr>
            <w:tcW w:w="695" w:type="pct"/>
            <w:vAlign w:val="center"/>
          </w:tcPr>
          <w:p w14:paraId="699BA4BA">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819.57</w:t>
            </w:r>
          </w:p>
        </w:tc>
        <w:tc>
          <w:tcPr>
            <w:tcW w:w="988" w:type="pct"/>
            <w:vAlign w:val="center"/>
          </w:tcPr>
          <w:p w14:paraId="130B519C">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0.72 </w:t>
            </w:r>
          </w:p>
        </w:tc>
        <w:tc>
          <w:tcPr>
            <w:tcW w:w="695" w:type="pct"/>
            <w:vAlign w:val="center"/>
          </w:tcPr>
          <w:p w14:paraId="34467F9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869.43</w:t>
            </w:r>
          </w:p>
        </w:tc>
        <w:tc>
          <w:tcPr>
            <w:tcW w:w="988" w:type="pct"/>
            <w:vAlign w:val="center"/>
          </w:tcPr>
          <w:p w14:paraId="0F99033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0.70 </w:t>
            </w:r>
          </w:p>
        </w:tc>
      </w:tr>
      <w:tr w14:paraId="47BA712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6582DD15">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15</w:t>
            </w:r>
          </w:p>
        </w:tc>
        <w:tc>
          <w:tcPr>
            <w:tcW w:w="1349" w:type="pct"/>
            <w:vAlign w:val="center"/>
          </w:tcPr>
          <w:p w14:paraId="68685E0C">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miR-320a/mir-320a-2</w:t>
            </w:r>
          </w:p>
        </w:tc>
        <w:tc>
          <w:tcPr>
            <w:tcW w:w="695" w:type="pct"/>
            <w:vAlign w:val="center"/>
          </w:tcPr>
          <w:p w14:paraId="06ECD006">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819.57</w:t>
            </w:r>
          </w:p>
        </w:tc>
        <w:tc>
          <w:tcPr>
            <w:tcW w:w="988" w:type="pct"/>
            <w:vAlign w:val="center"/>
          </w:tcPr>
          <w:p w14:paraId="45F52B9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0.72 </w:t>
            </w:r>
          </w:p>
        </w:tc>
        <w:tc>
          <w:tcPr>
            <w:tcW w:w="695" w:type="pct"/>
            <w:vAlign w:val="center"/>
          </w:tcPr>
          <w:p w14:paraId="6996A057">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869.43</w:t>
            </w:r>
          </w:p>
        </w:tc>
        <w:tc>
          <w:tcPr>
            <w:tcW w:w="988" w:type="pct"/>
            <w:vAlign w:val="center"/>
          </w:tcPr>
          <w:p w14:paraId="52920AF0">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0.70 </w:t>
            </w:r>
          </w:p>
        </w:tc>
      </w:tr>
      <w:tr w14:paraId="16FF331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5693C87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16</w:t>
            </w:r>
          </w:p>
        </w:tc>
        <w:tc>
          <w:tcPr>
            <w:tcW w:w="1349" w:type="pct"/>
            <w:vAlign w:val="center"/>
          </w:tcPr>
          <w:p w14:paraId="7E7DB11A">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miR-200c/mir-200c</w:t>
            </w:r>
          </w:p>
        </w:tc>
        <w:tc>
          <w:tcPr>
            <w:tcW w:w="695" w:type="pct"/>
            <w:vAlign w:val="center"/>
          </w:tcPr>
          <w:p w14:paraId="37001DA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858.43</w:t>
            </w:r>
          </w:p>
        </w:tc>
        <w:tc>
          <w:tcPr>
            <w:tcW w:w="988" w:type="pct"/>
            <w:vAlign w:val="center"/>
          </w:tcPr>
          <w:p w14:paraId="1A7F0044">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0.75 </w:t>
            </w:r>
          </w:p>
        </w:tc>
        <w:tc>
          <w:tcPr>
            <w:tcW w:w="695" w:type="pct"/>
            <w:vAlign w:val="center"/>
          </w:tcPr>
          <w:p w14:paraId="1539EDB3">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760.57</w:t>
            </w:r>
          </w:p>
        </w:tc>
        <w:tc>
          <w:tcPr>
            <w:tcW w:w="988" w:type="pct"/>
            <w:vAlign w:val="center"/>
          </w:tcPr>
          <w:p w14:paraId="6A6099F5">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0.61 </w:t>
            </w:r>
          </w:p>
        </w:tc>
      </w:tr>
      <w:tr w14:paraId="66AECFB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57586A40">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17</w:t>
            </w:r>
          </w:p>
        </w:tc>
        <w:tc>
          <w:tcPr>
            <w:tcW w:w="1349" w:type="pct"/>
            <w:vAlign w:val="center"/>
          </w:tcPr>
          <w:p w14:paraId="75F0F21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miR-191/mir-191</w:t>
            </w:r>
          </w:p>
        </w:tc>
        <w:tc>
          <w:tcPr>
            <w:tcW w:w="695" w:type="pct"/>
            <w:vAlign w:val="center"/>
          </w:tcPr>
          <w:p w14:paraId="37852CB6">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821.57</w:t>
            </w:r>
          </w:p>
        </w:tc>
        <w:tc>
          <w:tcPr>
            <w:tcW w:w="988" w:type="pct"/>
            <w:vAlign w:val="center"/>
          </w:tcPr>
          <w:p w14:paraId="0B11046F">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0.72 </w:t>
            </w:r>
          </w:p>
        </w:tc>
        <w:tc>
          <w:tcPr>
            <w:tcW w:w="695" w:type="pct"/>
            <w:vAlign w:val="center"/>
          </w:tcPr>
          <w:p w14:paraId="26E3C049">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355.14</w:t>
            </w:r>
          </w:p>
        </w:tc>
        <w:tc>
          <w:tcPr>
            <w:tcW w:w="988" w:type="pct"/>
            <w:vAlign w:val="center"/>
          </w:tcPr>
          <w:p w14:paraId="0A547F9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0.29 </w:t>
            </w:r>
          </w:p>
        </w:tc>
      </w:tr>
      <w:tr w14:paraId="283AF9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5B638ADA">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18</w:t>
            </w:r>
          </w:p>
        </w:tc>
        <w:tc>
          <w:tcPr>
            <w:tcW w:w="1349" w:type="pct"/>
            <w:vAlign w:val="center"/>
          </w:tcPr>
          <w:p w14:paraId="14D2B234">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miR-151-5p/mir-151</w:t>
            </w:r>
          </w:p>
        </w:tc>
        <w:tc>
          <w:tcPr>
            <w:tcW w:w="695" w:type="pct"/>
            <w:vAlign w:val="center"/>
          </w:tcPr>
          <w:p w14:paraId="720B22A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439.14</w:t>
            </w:r>
          </w:p>
        </w:tc>
        <w:tc>
          <w:tcPr>
            <w:tcW w:w="988" w:type="pct"/>
            <w:vAlign w:val="center"/>
          </w:tcPr>
          <w:p w14:paraId="303DF9A6">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0.39 </w:t>
            </w:r>
          </w:p>
        </w:tc>
        <w:tc>
          <w:tcPr>
            <w:tcW w:w="695" w:type="pct"/>
            <w:vAlign w:val="center"/>
          </w:tcPr>
          <w:p w14:paraId="549F3523">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706.14</w:t>
            </w:r>
          </w:p>
        </w:tc>
        <w:tc>
          <w:tcPr>
            <w:tcW w:w="988" w:type="pct"/>
            <w:vAlign w:val="center"/>
          </w:tcPr>
          <w:p w14:paraId="7AC665C4">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0.57 </w:t>
            </w:r>
          </w:p>
        </w:tc>
      </w:tr>
      <w:tr w14:paraId="52F1F7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79761F9E">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19</w:t>
            </w:r>
          </w:p>
        </w:tc>
        <w:tc>
          <w:tcPr>
            <w:tcW w:w="1349" w:type="pct"/>
            <w:vAlign w:val="center"/>
          </w:tcPr>
          <w:p w14:paraId="43A7DC4C">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miR-30a-5p/mir-30a</w:t>
            </w:r>
          </w:p>
        </w:tc>
        <w:tc>
          <w:tcPr>
            <w:tcW w:w="695" w:type="pct"/>
            <w:vAlign w:val="center"/>
          </w:tcPr>
          <w:p w14:paraId="19BB18A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583.71</w:t>
            </w:r>
          </w:p>
        </w:tc>
        <w:tc>
          <w:tcPr>
            <w:tcW w:w="988" w:type="pct"/>
            <w:vAlign w:val="center"/>
          </w:tcPr>
          <w:p w14:paraId="39AE0F6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0.51 </w:t>
            </w:r>
          </w:p>
        </w:tc>
        <w:tc>
          <w:tcPr>
            <w:tcW w:w="695" w:type="pct"/>
            <w:vAlign w:val="center"/>
          </w:tcPr>
          <w:p w14:paraId="659257A8">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316.43</w:t>
            </w:r>
          </w:p>
        </w:tc>
        <w:tc>
          <w:tcPr>
            <w:tcW w:w="988" w:type="pct"/>
            <w:vAlign w:val="center"/>
          </w:tcPr>
          <w:p w14:paraId="3A39B56D">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0.25 </w:t>
            </w:r>
          </w:p>
        </w:tc>
      </w:tr>
      <w:tr w14:paraId="4B1B02F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vAlign w:val="center"/>
          </w:tcPr>
          <w:p w14:paraId="27C13D6E">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20</w:t>
            </w:r>
          </w:p>
        </w:tc>
        <w:tc>
          <w:tcPr>
            <w:tcW w:w="1349" w:type="pct"/>
            <w:vAlign w:val="center"/>
          </w:tcPr>
          <w:p w14:paraId="3B5E61E1">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let-7i/let-7i</w:t>
            </w:r>
          </w:p>
        </w:tc>
        <w:tc>
          <w:tcPr>
            <w:tcW w:w="695" w:type="pct"/>
            <w:vAlign w:val="center"/>
          </w:tcPr>
          <w:p w14:paraId="2EDDC211">
            <w:pPr>
              <w:pStyle w:val="95"/>
              <w:spacing w:line="240" w:lineRule="auto"/>
              <w:jc w:val="both"/>
              <w:rPr>
                <w:rFonts w:ascii="Times New Roman" w:hAnsi="Times New Roman" w:eastAsia="Calibri"/>
                <w:sz w:val="20"/>
                <w:szCs w:val="20"/>
                <w:highlight w:val="none"/>
                <w:lang w:eastAsia="zh-CN"/>
              </w:rPr>
            </w:pPr>
            <w:r>
              <w:rPr>
                <w:rFonts w:ascii="Times New Roman" w:hAnsi="Times New Roman" w:eastAsia="Calibri"/>
                <w:sz w:val="20"/>
                <w:szCs w:val="20"/>
                <w:highlight w:val="none"/>
              </w:rPr>
              <w:t>384.29</w:t>
            </w:r>
          </w:p>
        </w:tc>
        <w:tc>
          <w:tcPr>
            <w:tcW w:w="988" w:type="pct"/>
            <w:vAlign w:val="center"/>
          </w:tcPr>
          <w:p w14:paraId="0C6ACB0A">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0.34 </w:t>
            </w:r>
          </w:p>
        </w:tc>
        <w:tc>
          <w:tcPr>
            <w:tcW w:w="695" w:type="pct"/>
            <w:vAlign w:val="center"/>
          </w:tcPr>
          <w:p w14:paraId="77FBEF55">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380.00</w:t>
            </w:r>
          </w:p>
        </w:tc>
        <w:tc>
          <w:tcPr>
            <w:tcW w:w="988" w:type="pct"/>
            <w:vAlign w:val="center"/>
          </w:tcPr>
          <w:p w14:paraId="171992A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0.31 </w:t>
            </w:r>
          </w:p>
        </w:tc>
      </w:tr>
      <w:tr w14:paraId="30634BA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 w:type="pct"/>
            <w:tcBorders>
              <w:bottom w:val="single" w:color="auto" w:sz="4" w:space="0"/>
            </w:tcBorders>
            <w:vAlign w:val="center"/>
          </w:tcPr>
          <w:p w14:paraId="664E1E83">
            <w:pPr>
              <w:pStyle w:val="95"/>
              <w:spacing w:line="240" w:lineRule="auto"/>
              <w:jc w:val="both"/>
              <w:rPr>
                <w:rFonts w:ascii="Times New Roman" w:hAnsi="Times New Roman" w:eastAsia="Calibri"/>
                <w:sz w:val="20"/>
                <w:szCs w:val="20"/>
                <w:highlight w:val="none"/>
              </w:rPr>
            </w:pPr>
          </w:p>
        </w:tc>
        <w:tc>
          <w:tcPr>
            <w:tcW w:w="1349" w:type="pct"/>
            <w:tcBorders>
              <w:bottom w:val="single" w:color="auto" w:sz="4" w:space="0"/>
            </w:tcBorders>
            <w:vAlign w:val="center"/>
          </w:tcPr>
          <w:p w14:paraId="5DF584CB">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Total</w:t>
            </w:r>
          </w:p>
        </w:tc>
        <w:tc>
          <w:tcPr>
            <w:tcW w:w="695" w:type="pct"/>
            <w:tcBorders>
              <w:bottom w:val="single" w:color="auto" w:sz="4" w:space="0"/>
            </w:tcBorders>
            <w:vAlign w:val="center"/>
          </w:tcPr>
          <w:p w14:paraId="2EF44D98">
            <w:pPr>
              <w:pStyle w:val="95"/>
              <w:spacing w:line="240" w:lineRule="auto"/>
              <w:jc w:val="both"/>
              <w:rPr>
                <w:rFonts w:ascii="Times New Roman" w:hAnsi="Times New Roman" w:eastAsia="Calibri"/>
                <w:sz w:val="20"/>
                <w:szCs w:val="20"/>
                <w:highlight w:val="none"/>
              </w:rPr>
            </w:pPr>
          </w:p>
        </w:tc>
        <w:tc>
          <w:tcPr>
            <w:tcW w:w="988" w:type="pct"/>
            <w:tcBorders>
              <w:bottom w:val="single" w:color="auto" w:sz="4" w:space="0"/>
            </w:tcBorders>
            <w:vAlign w:val="center"/>
          </w:tcPr>
          <w:p w14:paraId="6D517EA2">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95.13 </w:t>
            </w:r>
          </w:p>
        </w:tc>
        <w:tc>
          <w:tcPr>
            <w:tcW w:w="695" w:type="pct"/>
            <w:tcBorders>
              <w:bottom w:val="single" w:color="auto" w:sz="4" w:space="0"/>
            </w:tcBorders>
            <w:vAlign w:val="center"/>
          </w:tcPr>
          <w:p w14:paraId="6A73F274">
            <w:pPr>
              <w:pStyle w:val="95"/>
              <w:spacing w:line="240" w:lineRule="auto"/>
              <w:jc w:val="both"/>
              <w:rPr>
                <w:rFonts w:ascii="Times New Roman" w:hAnsi="Times New Roman" w:eastAsia="Calibri"/>
                <w:sz w:val="20"/>
                <w:szCs w:val="20"/>
                <w:highlight w:val="none"/>
              </w:rPr>
            </w:pPr>
          </w:p>
        </w:tc>
        <w:tc>
          <w:tcPr>
            <w:tcW w:w="988" w:type="pct"/>
            <w:tcBorders>
              <w:bottom w:val="single" w:color="auto" w:sz="4" w:space="0"/>
            </w:tcBorders>
            <w:vAlign w:val="center"/>
          </w:tcPr>
          <w:p w14:paraId="7D2931AA">
            <w:pPr>
              <w:pStyle w:val="95"/>
              <w:spacing w:line="240" w:lineRule="auto"/>
              <w:jc w:val="both"/>
              <w:rPr>
                <w:rFonts w:ascii="Times New Roman" w:hAnsi="Times New Roman" w:eastAsia="Calibri"/>
                <w:sz w:val="20"/>
                <w:szCs w:val="20"/>
                <w:highlight w:val="none"/>
              </w:rPr>
            </w:pPr>
            <w:r>
              <w:rPr>
                <w:rFonts w:ascii="Times New Roman" w:hAnsi="Times New Roman" w:eastAsia="Calibri"/>
                <w:sz w:val="20"/>
                <w:szCs w:val="20"/>
                <w:highlight w:val="none"/>
              </w:rPr>
              <w:t xml:space="preserve">95.55 </w:t>
            </w:r>
          </w:p>
        </w:tc>
      </w:tr>
    </w:tbl>
    <w:p w14:paraId="3D8D6ED3">
      <w:pPr>
        <w:pStyle w:val="5"/>
        <w:rPr>
          <w:highlight w:val="none"/>
          <w:lang w:val="en-GB" w:eastAsia="zh-CN"/>
        </w:rPr>
      </w:pPr>
      <w:r>
        <w:rPr>
          <w:highlight w:val="none"/>
          <w:lang w:val="en-GB" w:eastAsia="zh-CN"/>
        </w:rPr>
        <w:t>Differentially expressed small extracellular vesicles-microRNAs in bovine milk</w:t>
      </w:r>
    </w:p>
    <w:p w14:paraId="44740AC5">
      <w:pPr>
        <w:rPr>
          <w:highlight w:val="none"/>
          <w:lang w:val="en-GB" w:eastAsia="zh-CN"/>
        </w:rPr>
      </w:pPr>
      <w:r>
        <w:rPr>
          <w:highlight w:val="none"/>
          <w:lang w:val="en-GB" w:eastAsia="zh-CN"/>
        </w:rPr>
        <w:t>Between the two groups, there were 9 miRNAs that demonstrated differential expression. Compared to control group, miR-7/mir-7-3, miR-7/mir-7-2, and miR-7/mir-7-1 were upregulated, while miR-6529a/mir-6529a, miR-423-5p/mir-423, miR-339b/mir-339a, miR-339b/mir-339b, miR-339a/mir-339a, miR-22-3p/mir-22 were downregulated in the inulin group (Fig.</w:t>
      </w:r>
      <w:r>
        <w:rPr>
          <w:rFonts w:hint="eastAsia"/>
          <w:highlight w:val="none"/>
          <w:lang w:val="en-GB" w:eastAsia="zh-CN"/>
        </w:rPr>
        <w:t>3-2</w:t>
      </w:r>
      <w:r>
        <w:rPr>
          <w:highlight w:val="none"/>
          <w:lang w:val="en-GB" w:eastAsia="zh-CN"/>
        </w:rPr>
        <w:t>A). One of the DE miRNAs (miR-423-5p) was also found to be highly expressed.</w:t>
      </w:r>
    </w:p>
    <w:p w14:paraId="5115383B">
      <w:pPr>
        <w:rPr>
          <w:highlight w:val="none"/>
          <w:lang w:val="en-GB" w:eastAsia="zh-CN"/>
        </w:rPr>
      </w:pPr>
      <w:r>
        <w:rPr>
          <w:highlight w:val="none"/>
          <w:lang w:val="en-GB" w:eastAsia="zh-CN"/>
        </w:rPr>
        <w:t>The predicted target genes of DE miRNAs were applied for a GO enrichment analysis. The top 20 functional categories are shown in Fig.</w:t>
      </w:r>
      <w:r>
        <w:rPr>
          <w:rFonts w:hint="eastAsia"/>
          <w:highlight w:val="none"/>
          <w:lang w:val="en-GB" w:eastAsia="zh-CN"/>
        </w:rPr>
        <w:t>3-2</w:t>
      </w:r>
      <w:r>
        <w:rPr>
          <w:highlight w:val="none"/>
          <w:lang w:val="en-GB" w:eastAsia="zh-CN"/>
        </w:rPr>
        <w:t>B. A total of 16 target genes were significantly enriched in the categories of molecular function and cellular component. In the KEGG pathway analysis, 111 target genes were significantly enriched, with the top 20 pathways displayed in Fig.</w:t>
      </w:r>
      <w:r>
        <w:rPr>
          <w:rFonts w:hint="eastAsia"/>
          <w:highlight w:val="none"/>
          <w:lang w:val="en-GB" w:eastAsia="zh-CN"/>
        </w:rPr>
        <w:t>3-2</w:t>
      </w:r>
      <w:r>
        <w:rPr>
          <w:highlight w:val="none"/>
          <w:lang w:val="en-GB" w:eastAsia="zh-CN"/>
        </w:rPr>
        <w:t>C. These include organismal systems (sensory system, endocrine system, development and regeneration), cellular processes (cell motility, cellular community), signal transduction, and human diseases (cancer, drug resistance, cardiovascular disease).</w:t>
      </w:r>
    </w:p>
    <w:p w14:paraId="55DF31E9">
      <w:pPr>
        <w:jc w:val="center"/>
        <w:rPr>
          <w:highlight w:val="none"/>
          <w:lang w:val="en-GB" w:eastAsia="zh-CN"/>
        </w:rPr>
      </w:pPr>
      <w:r>
        <w:rPr>
          <w:rFonts w:cs="Times New Roman"/>
          <w:highlight w:val="none"/>
          <w:lang w:val="en-GB"/>
        </w:rPr>
        <w:drawing>
          <wp:inline distT="0" distB="0" distL="0" distR="0">
            <wp:extent cx="4069080" cy="5775960"/>
            <wp:effectExtent l="0" t="0" r="7620" b="0"/>
            <wp:docPr id="12526034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03412" name="图片 13"/>
                    <pic:cNvPicPr>
                      <a:picLocks noChangeAspect="1" noChangeArrowheads="1"/>
                    </pic:cNvPicPr>
                  </pic:nvPicPr>
                  <pic:blipFill>
                    <a:blip r:embed="rId61" cstate="print">
                      <a:extLst>
                        <a:ext uri="{28A0092B-C50C-407E-A947-70E740481C1C}">
                          <a14:useLocalDpi xmlns:a14="http://schemas.microsoft.com/office/drawing/2010/main" val="0"/>
                        </a:ext>
                      </a:extLst>
                    </a:blip>
                    <a:srcRect b="1357"/>
                    <a:stretch>
                      <a:fillRect/>
                    </a:stretch>
                  </pic:blipFill>
                  <pic:spPr>
                    <a:xfrm>
                      <a:off x="0" y="0"/>
                      <a:ext cx="4085328" cy="5799024"/>
                    </a:xfrm>
                    <a:prstGeom prst="rect">
                      <a:avLst/>
                    </a:prstGeom>
                    <a:noFill/>
                    <a:ln>
                      <a:noFill/>
                    </a:ln>
                  </pic:spPr>
                </pic:pic>
              </a:graphicData>
            </a:graphic>
          </wp:inline>
        </w:drawing>
      </w:r>
    </w:p>
    <w:p w14:paraId="326DB2AD">
      <w:pPr>
        <w:jc w:val="center"/>
        <w:rPr>
          <w:sz w:val="20"/>
          <w:szCs w:val="20"/>
          <w:highlight w:val="none"/>
          <w:lang w:val="en-US"/>
        </w:rPr>
      </w:pPr>
      <w:bookmarkStart w:id="99" w:name="_Toc207982995"/>
      <w:r>
        <w:rPr>
          <w:b/>
          <w:bCs/>
          <w:highlight w:val="none"/>
          <w:lang w:val="en-US"/>
        </w:rPr>
        <w:t xml:space="preserve">Figure </w:t>
      </w:r>
      <w:r>
        <w:rPr>
          <w:rFonts w:hint="eastAsia"/>
          <w:b/>
          <w:bCs/>
          <w:highlight w:val="none"/>
          <w:lang w:val="en-US" w:eastAsia="zh-CN"/>
        </w:rPr>
        <w:t>3</w:t>
      </w:r>
      <w:r>
        <w:rPr>
          <w:b/>
          <w:bCs/>
          <w:highlight w:val="none"/>
          <w:lang w:val="en-US"/>
        </w:rPr>
        <w:noBreakHyphen/>
      </w:r>
      <w:r>
        <w:rPr>
          <w:b/>
          <w:bCs/>
          <w:highlight w:val="none"/>
          <w:lang w:val="en-US"/>
        </w:rPr>
        <w:fldChar w:fldCharType="begin"/>
      </w:r>
      <w:r>
        <w:rPr>
          <w:b/>
          <w:bCs/>
          <w:highlight w:val="none"/>
          <w:lang w:val="en-US"/>
        </w:rPr>
        <w:instrText xml:space="preserve"> SEQ Figure \* ARABIC \s 1 </w:instrText>
      </w:r>
      <w:r>
        <w:rPr>
          <w:b/>
          <w:bCs/>
          <w:highlight w:val="none"/>
          <w:lang w:val="en-US"/>
        </w:rPr>
        <w:fldChar w:fldCharType="separate"/>
      </w:r>
      <w:r>
        <w:rPr>
          <w:b/>
          <w:bCs/>
          <w:highlight w:val="none"/>
          <w:lang w:val="en-US"/>
        </w:rPr>
        <w:t>2</w:t>
      </w:r>
      <w:r>
        <w:rPr>
          <w:b/>
          <w:bCs/>
          <w:highlight w:val="none"/>
          <w:lang w:val="en-US"/>
        </w:rPr>
        <w:fldChar w:fldCharType="end"/>
      </w:r>
      <w:r>
        <w:rPr>
          <w:b/>
          <w:bCs/>
          <w:highlight w:val="none"/>
          <w:lang w:val="en-US"/>
        </w:rPr>
        <w:t>:</w:t>
      </w:r>
      <w:r>
        <w:rPr>
          <w:highlight w:val="none"/>
          <w:lang w:val="en-US"/>
        </w:rPr>
        <w:t xml:space="preserve"> </w:t>
      </w:r>
      <w:r>
        <w:rPr>
          <w:sz w:val="20"/>
          <w:szCs w:val="20"/>
          <w:highlight w:val="none"/>
          <w:lang w:val="en-US"/>
        </w:rPr>
        <w:t>Differentially expressed milk-derived small extracellular vesicle microRNAs and functional analysis of their target genes in cows with subclinical mastitis between the control and inulin group. (A) Differentially expressed milk-derived small extracellular vesicles microRNAs from cows with subclinical mastitis between the control and inulin group. (B) Gene ontology enrichment analysis for the top 20 functions of target genes related to differentially expressed milk-derived small extracellular vesicles microRNAs from cows with subclinical mastitis. (C) Kyoto Encyclopedia of Genes and Genomes analysis for the top 20 pathways influenced by target genes from differentially expressed milk-derived small extracellular vesicles microRNAs in cows with subclinical mastitis.</w:t>
      </w:r>
      <w:bookmarkEnd w:id="99"/>
    </w:p>
    <w:p w14:paraId="1A0C48EA">
      <w:pPr>
        <w:pStyle w:val="4"/>
        <w:rPr>
          <w:highlight w:val="none"/>
          <w:lang w:val="en-GB" w:eastAsia="zh-CN"/>
        </w:rPr>
      </w:pPr>
      <w:bookmarkStart w:id="100" w:name="_Toc207979778"/>
      <w:r>
        <w:rPr>
          <w:rFonts w:hint="eastAsia"/>
          <w:highlight w:val="none"/>
          <w:lang w:val="en-GB" w:eastAsia="zh-CN"/>
        </w:rPr>
        <w:t>lncRNA analysis</w:t>
      </w:r>
      <w:bookmarkEnd w:id="100"/>
    </w:p>
    <w:p w14:paraId="6685FF94">
      <w:pPr>
        <w:rPr>
          <w:highlight w:val="none"/>
          <w:lang w:val="en-US" w:eastAsia="zh-CN"/>
        </w:rPr>
      </w:pPr>
      <w:r>
        <w:rPr>
          <w:highlight w:val="none"/>
          <w:lang w:val="en-US" w:eastAsia="zh-CN"/>
        </w:rPr>
        <w:t>Taken all animals together, there were 3,888 known lncRNAs and 6,299 novel lncRNAs identified (Fig.</w:t>
      </w:r>
      <w:r>
        <w:rPr>
          <w:rFonts w:hint="eastAsia"/>
          <w:highlight w:val="none"/>
          <w:lang w:val="en-US" w:eastAsia="zh-CN"/>
        </w:rPr>
        <w:t>3-3</w:t>
      </w:r>
      <w:r>
        <w:rPr>
          <w:highlight w:val="none"/>
          <w:lang w:val="en-US" w:eastAsia="zh-CN"/>
        </w:rPr>
        <w:t>). The DE lncRNAs are shown in Fig.</w:t>
      </w:r>
      <w:r>
        <w:rPr>
          <w:rFonts w:hint="eastAsia"/>
          <w:highlight w:val="none"/>
          <w:lang w:val="en-US" w:eastAsia="zh-CN"/>
        </w:rPr>
        <w:t>3-4</w:t>
      </w:r>
      <w:r>
        <w:rPr>
          <w:highlight w:val="none"/>
          <w:lang w:val="en-US" w:eastAsia="zh-CN"/>
        </w:rPr>
        <w:t>. There were 190 known and 352 novel lncRNAs differentially expressed between the two groups (Fig.</w:t>
      </w:r>
      <w:r>
        <w:rPr>
          <w:rFonts w:hint="eastAsia"/>
          <w:highlight w:val="none"/>
          <w:lang w:val="en-US" w:eastAsia="zh-CN"/>
        </w:rPr>
        <w:t>3-4</w:t>
      </w:r>
      <w:r>
        <w:rPr>
          <w:highlight w:val="none"/>
          <w:lang w:val="en-US" w:eastAsia="zh-CN"/>
        </w:rPr>
        <w:t>A). A total of 226 lncRNAs were up-regulated, of which 72 known lncRNAs. A total of 316 lncRNAs were down-regulated, of which 118 known lncRNAs (Fig.</w:t>
      </w:r>
      <w:r>
        <w:rPr>
          <w:rFonts w:hint="eastAsia"/>
          <w:highlight w:val="none"/>
          <w:lang w:val="en-US" w:eastAsia="zh-CN"/>
        </w:rPr>
        <w:t>3-4</w:t>
      </w:r>
      <w:r>
        <w:rPr>
          <w:highlight w:val="none"/>
          <w:lang w:val="en-US" w:eastAsia="zh-CN"/>
        </w:rPr>
        <w:t>B).</w:t>
      </w:r>
    </w:p>
    <w:p w14:paraId="3DAAB7A5">
      <w:pPr>
        <w:jc w:val="center"/>
        <w:rPr>
          <w:highlight w:val="none"/>
          <w:lang w:val="en-US" w:eastAsia="zh-CN"/>
        </w:rPr>
      </w:pPr>
      <w:r>
        <w:rPr>
          <w:rFonts w:cs="Times New Roman"/>
          <w:highlight w:val="none"/>
        </w:rPr>
        <w:drawing>
          <wp:inline distT="0" distB="0" distL="0" distR="0">
            <wp:extent cx="3058160" cy="2073275"/>
            <wp:effectExtent l="0" t="0" r="8890" b="3175"/>
            <wp:docPr id="17741583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58329" name="图片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058506" cy="2073729"/>
                    </a:xfrm>
                    <a:prstGeom prst="rect">
                      <a:avLst/>
                    </a:prstGeom>
                    <a:noFill/>
                    <a:ln>
                      <a:noFill/>
                    </a:ln>
                  </pic:spPr>
                </pic:pic>
              </a:graphicData>
            </a:graphic>
          </wp:inline>
        </w:drawing>
      </w:r>
    </w:p>
    <w:p w14:paraId="5953F77A">
      <w:pPr>
        <w:jc w:val="center"/>
        <w:rPr>
          <w:highlight w:val="none"/>
          <w:lang w:val="en-US"/>
        </w:rPr>
      </w:pPr>
      <w:r>
        <w:rPr>
          <w:highlight w:val="none"/>
          <w:lang w:val="en-US"/>
        </w:rPr>
        <w:t xml:space="preserve">Figure </w:t>
      </w:r>
      <w:r>
        <w:rPr>
          <w:rFonts w:hint="eastAsia"/>
          <w:highlight w:val="none"/>
          <w:lang w:val="en-US" w:eastAsia="zh-CN"/>
        </w:rPr>
        <w:t>3</w:t>
      </w:r>
      <w:r>
        <w:rPr>
          <w:highlight w:val="none"/>
          <w:lang w:val="en-US"/>
        </w:rPr>
        <w:noBreakHyphen/>
      </w:r>
      <w:r>
        <w:rPr>
          <w:rFonts w:hint="eastAsia"/>
          <w:highlight w:val="none"/>
          <w:lang w:val="en-US" w:eastAsia="zh-CN"/>
        </w:rPr>
        <w:t>3</w:t>
      </w:r>
      <w:r>
        <w:rPr>
          <w:highlight w:val="none"/>
          <w:lang w:val="en-US"/>
        </w:rPr>
        <w:t>: Number of lncRNA genes identified in bovine milk derived EVs with subclinical mastitis.</w:t>
      </w:r>
    </w:p>
    <w:p w14:paraId="0549E88D">
      <w:pPr>
        <w:rPr>
          <w:highlight w:val="none"/>
          <w:lang w:val="en-US"/>
        </w:rPr>
      </w:pPr>
      <w:r>
        <w:rPr>
          <w:rFonts w:cs="Times New Roman"/>
          <w:highlight w:val="none"/>
        </w:rPr>
        <w:drawing>
          <wp:inline distT="0" distB="0" distL="0" distR="0">
            <wp:extent cx="4752975" cy="3091180"/>
            <wp:effectExtent l="0" t="0" r="0" b="0"/>
            <wp:docPr id="9296372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37291"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752975" cy="3091240"/>
                    </a:xfrm>
                    <a:prstGeom prst="rect">
                      <a:avLst/>
                    </a:prstGeom>
                    <a:noFill/>
                    <a:ln>
                      <a:noFill/>
                    </a:ln>
                  </pic:spPr>
                </pic:pic>
              </a:graphicData>
            </a:graphic>
          </wp:inline>
        </w:drawing>
      </w:r>
    </w:p>
    <w:p w14:paraId="7F6B2BE8">
      <w:pPr>
        <w:jc w:val="center"/>
        <w:rPr>
          <w:highlight w:val="none"/>
          <w:lang w:val="en-US"/>
        </w:rPr>
      </w:pPr>
      <w:r>
        <w:rPr>
          <w:highlight w:val="none"/>
          <w:lang w:val="en-US"/>
        </w:rPr>
        <w:t xml:space="preserve">Figure </w:t>
      </w:r>
      <w:r>
        <w:rPr>
          <w:rFonts w:hint="eastAsia"/>
          <w:highlight w:val="none"/>
          <w:lang w:val="en-US" w:eastAsia="zh-CN"/>
        </w:rPr>
        <w:t>3</w:t>
      </w:r>
      <w:r>
        <w:rPr>
          <w:highlight w:val="none"/>
          <w:lang w:val="en-US"/>
        </w:rPr>
        <w:noBreakHyphen/>
      </w:r>
      <w:r>
        <w:rPr>
          <w:rFonts w:hint="eastAsia"/>
          <w:highlight w:val="none"/>
          <w:lang w:val="en-US" w:eastAsia="zh-CN"/>
        </w:rPr>
        <w:t>4</w:t>
      </w:r>
      <w:r>
        <w:rPr>
          <w:highlight w:val="none"/>
          <w:lang w:val="en-US"/>
        </w:rPr>
        <w:t>: Differential expression of milk-derived small extracellular vesicles lncRNA genes from cows with subclinical mastitis between the control and inulin group. (A) The number of known and novel differentially expressed lncRNAs. (B) Volcano plot of up-regulated and down-regulated known lncRNAs between the two groups.</w:t>
      </w:r>
    </w:p>
    <w:p w14:paraId="4D805672">
      <w:pPr>
        <w:rPr>
          <w:highlight w:val="none"/>
          <w:lang w:eastAsia="zh-CN"/>
        </w:rPr>
      </w:pPr>
      <w:r>
        <w:rPr>
          <w:highlight w:val="none"/>
          <w:lang w:eastAsia="zh-CN"/>
        </w:rPr>
        <w:t>The top 20 functions of DE lncRNAs cis target genes are shown in Fig.</w:t>
      </w:r>
      <w:r>
        <w:rPr>
          <w:rFonts w:hint="eastAsia"/>
          <w:highlight w:val="none"/>
          <w:lang w:eastAsia="zh-CN"/>
        </w:rPr>
        <w:t>3-5</w:t>
      </w:r>
      <w:r>
        <w:rPr>
          <w:highlight w:val="none"/>
          <w:lang w:eastAsia="zh-CN"/>
        </w:rPr>
        <w:t>A. There were 64 cis targets identified, participating in tRNA binding, peptide binding, nuclear receptor binding, isomerase activity, exonuclease activity, DNA-binding transcription re</w:t>
      </w:r>
      <w:r>
        <w:rPr>
          <w:rFonts w:hint="eastAsia"/>
          <w:highlight w:val="none"/>
          <w:lang w:eastAsia="zh-CN"/>
        </w:rPr>
        <w:t>pressor activity, DNA-binding transcription factor activity, RNA polymerase Ⅱ-specific, cysteine-type deubiquitinase activity, cyclosporin A binding, chromatin DNA binding, chromatin binding, catalytic activity, acting on a protein, cargo receptor activity</w:t>
      </w:r>
      <w:r>
        <w:rPr>
          <w:highlight w:val="none"/>
          <w:lang w:eastAsia="zh-CN"/>
        </w:rPr>
        <w:t>, and amide binding, 3’-5’ exonuclease activity, etc.</w:t>
      </w:r>
    </w:p>
    <w:p w14:paraId="4F81344C">
      <w:pPr>
        <w:rPr>
          <w:highlight w:val="none"/>
          <w:lang w:eastAsia="zh-CN"/>
        </w:rPr>
      </w:pPr>
      <w:r>
        <w:rPr>
          <w:highlight w:val="none"/>
          <w:lang w:eastAsia="zh-CN"/>
        </w:rPr>
        <w:t>The top 20 KEGG pathways influenced by DE lncRNA cis target genes are shown in Fig.</w:t>
      </w:r>
      <w:r>
        <w:rPr>
          <w:rFonts w:hint="eastAsia"/>
          <w:highlight w:val="none"/>
          <w:lang w:eastAsia="zh-CN"/>
        </w:rPr>
        <w:t>3-5</w:t>
      </w:r>
      <w:r>
        <w:rPr>
          <w:highlight w:val="none"/>
          <w:lang w:eastAsia="zh-CN"/>
        </w:rPr>
        <w:t>B, including VEGF signaling pathway, sphingolipid metabolism, retinol metabolism, protein processing in endoplasmic reticulum, primary immunodeficiency, mucin type O-glycan biosynthesis, lysosome, lipid and atherosclerosis, hedgehog signaling pathway, endometrial cancer, apoptosis-multiple species, etc.</w:t>
      </w:r>
    </w:p>
    <w:p w14:paraId="2AC01C21">
      <w:pPr>
        <w:rPr>
          <w:highlight w:val="none"/>
          <w:lang w:eastAsia="zh-CN"/>
        </w:rPr>
      </w:pPr>
      <w:r>
        <w:rPr>
          <w:rFonts w:cs="Times New Roman"/>
          <w:highlight w:val="none"/>
        </w:rPr>
        <w:drawing>
          <wp:inline distT="0" distB="0" distL="0" distR="0">
            <wp:extent cx="4752975" cy="2194560"/>
            <wp:effectExtent l="0" t="0" r="0" b="0"/>
            <wp:docPr id="13361798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79878" name="图片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752975" cy="2194606"/>
                    </a:xfrm>
                    <a:prstGeom prst="rect">
                      <a:avLst/>
                    </a:prstGeom>
                    <a:noFill/>
                    <a:ln>
                      <a:noFill/>
                    </a:ln>
                  </pic:spPr>
                </pic:pic>
              </a:graphicData>
            </a:graphic>
          </wp:inline>
        </w:drawing>
      </w:r>
    </w:p>
    <w:p w14:paraId="2703F3A2">
      <w:pPr>
        <w:jc w:val="center"/>
        <w:rPr>
          <w:highlight w:val="none"/>
          <w:lang w:val="en-US" w:eastAsia="zh-CN"/>
        </w:rPr>
      </w:pPr>
      <w:r>
        <w:rPr>
          <w:highlight w:val="none"/>
          <w:lang w:val="en-US"/>
        </w:rPr>
        <w:t xml:space="preserve">Figure </w:t>
      </w:r>
      <w:r>
        <w:rPr>
          <w:rFonts w:hint="eastAsia"/>
          <w:highlight w:val="none"/>
          <w:lang w:val="en-US" w:eastAsia="zh-CN"/>
        </w:rPr>
        <w:t>3</w:t>
      </w:r>
      <w:r>
        <w:rPr>
          <w:highlight w:val="none"/>
          <w:lang w:val="en-US"/>
        </w:rPr>
        <w:noBreakHyphen/>
      </w:r>
      <w:r>
        <w:rPr>
          <w:rFonts w:hint="eastAsia"/>
          <w:highlight w:val="none"/>
          <w:lang w:val="en-US" w:eastAsia="zh-CN"/>
        </w:rPr>
        <w:t>5</w:t>
      </w:r>
      <w:r>
        <w:rPr>
          <w:highlight w:val="none"/>
          <w:lang w:val="en-US"/>
        </w:rPr>
        <w:t>: Functional analysis of cis target genes associated with differentially expressed milk-derived extracellular vesicle lncRNAs in cows with subclinical mastitis. (A) Gene ontology (GO) enrichment analysis for the top 20 functions. (B) Kyoto Encyclopedia of Genes and Genomes (KEGG) analysis for the top 20 pathways.</w:t>
      </w:r>
    </w:p>
    <w:p w14:paraId="5DA658EE">
      <w:pPr>
        <w:pStyle w:val="4"/>
        <w:rPr>
          <w:highlight w:val="none"/>
          <w:lang w:val="en-US"/>
        </w:rPr>
      </w:pPr>
      <w:bookmarkStart w:id="101" w:name="_Toc207979779"/>
      <w:r>
        <w:rPr>
          <w:highlight w:val="none"/>
          <w:lang w:val="en-US"/>
        </w:rPr>
        <w:t>mRNA analysis</w:t>
      </w:r>
      <w:bookmarkEnd w:id="101"/>
    </w:p>
    <w:p w14:paraId="51AE7C73">
      <w:pPr>
        <w:rPr>
          <w:highlight w:val="none"/>
          <w:lang w:val="en-US" w:eastAsia="zh-CN"/>
        </w:rPr>
      </w:pPr>
      <w:r>
        <w:rPr>
          <w:highlight w:val="none"/>
          <w:lang w:val="en-US" w:eastAsia="zh-CN"/>
        </w:rPr>
        <w:t>A total of 19,861 mRNAs were identified in the experiment, with 578 out of 1,300 DE mRNAs up-regulated and 722 down-regulated (Fig.</w:t>
      </w:r>
      <w:r>
        <w:rPr>
          <w:rFonts w:hint="eastAsia"/>
          <w:highlight w:val="none"/>
          <w:lang w:val="en-US" w:eastAsia="zh-CN"/>
        </w:rPr>
        <w:t>3-6</w:t>
      </w:r>
      <w:r>
        <w:rPr>
          <w:highlight w:val="none"/>
          <w:lang w:val="en-US" w:eastAsia="zh-CN"/>
        </w:rPr>
        <w:t>). The top 20 functions of DE mRNAs are shown in Fig.</w:t>
      </w:r>
      <w:r>
        <w:rPr>
          <w:rFonts w:hint="eastAsia"/>
          <w:highlight w:val="none"/>
          <w:lang w:val="en-US" w:eastAsia="zh-CN"/>
        </w:rPr>
        <w:t>3-7</w:t>
      </w:r>
      <w:r>
        <w:rPr>
          <w:highlight w:val="none"/>
          <w:lang w:val="en-US" w:eastAsia="zh-CN"/>
        </w:rPr>
        <w:t>A. These DE mRNAs participated in U2-type precatalytic spliceosome, transcription repressor complex, spliceosomal complex, regulation of triglyceride biosynthetic process, regulation of DNA replication, regulation of cell growth, nucleotide-sugar metabolic process, mRNA metabolic process, early endosome, chromatin organization, etc.</w:t>
      </w:r>
    </w:p>
    <w:p w14:paraId="2DE92763">
      <w:pPr>
        <w:rPr>
          <w:highlight w:val="none"/>
          <w:lang w:val="en-US" w:eastAsia="zh-CN"/>
        </w:rPr>
      </w:pPr>
      <w:r>
        <w:rPr>
          <w:highlight w:val="none"/>
          <w:lang w:val="en-US" w:eastAsia="zh-CN"/>
        </w:rPr>
        <w:t>The top 20 pathways influenced by DE mRNAs including taurine and hypotaurine metabolism, osteoclast differentiation, NF-kappa B signaling pathway, inositol phosphate metabolism, herpes simplex virus 1 infection, endocrine resistance, cell cycle, breast cancer, biosynthesis of nucleotide sugars, amino sugar and nucleotide sugar metabolism, etc. (Fig.</w:t>
      </w:r>
      <w:r>
        <w:rPr>
          <w:rFonts w:hint="eastAsia"/>
          <w:highlight w:val="none"/>
          <w:lang w:val="en-US" w:eastAsia="zh-CN"/>
        </w:rPr>
        <w:t>3-7</w:t>
      </w:r>
      <w:r>
        <w:rPr>
          <w:highlight w:val="none"/>
          <w:lang w:val="en-US" w:eastAsia="zh-CN"/>
        </w:rPr>
        <w:t>B).</w:t>
      </w:r>
    </w:p>
    <w:p w14:paraId="6498D21C">
      <w:pPr>
        <w:jc w:val="center"/>
        <w:rPr>
          <w:highlight w:val="none"/>
          <w:lang w:val="en-US" w:eastAsia="zh-CN"/>
        </w:rPr>
      </w:pPr>
      <w:r>
        <w:rPr>
          <w:rFonts w:cs="Times New Roman"/>
          <w:highlight w:val="none"/>
        </w:rPr>
        <w:drawing>
          <wp:inline distT="0" distB="0" distL="0" distR="0">
            <wp:extent cx="2867025" cy="2929255"/>
            <wp:effectExtent l="0" t="0" r="0" b="4445"/>
            <wp:docPr id="18641156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15650" name="图片 1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76501" cy="2939531"/>
                    </a:xfrm>
                    <a:prstGeom prst="rect">
                      <a:avLst/>
                    </a:prstGeom>
                  </pic:spPr>
                </pic:pic>
              </a:graphicData>
            </a:graphic>
          </wp:inline>
        </w:drawing>
      </w:r>
    </w:p>
    <w:p w14:paraId="55C17182">
      <w:pPr>
        <w:jc w:val="center"/>
        <w:rPr>
          <w:highlight w:val="none"/>
          <w:lang w:val="en-US"/>
        </w:rPr>
      </w:pPr>
      <w:r>
        <w:rPr>
          <w:highlight w:val="none"/>
          <w:lang w:val="en-US"/>
        </w:rPr>
        <w:t xml:space="preserve">Figure </w:t>
      </w:r>
      <w:r>
        <w:rPr>
          <w:rFonts w:hint="eastAsia"/>
          <w:highlight w:val="none"/>
          <w:lang w:val="en-US" w:eastAsia="zh-CN"/>
        </w:rPr>
        <w:t>3</w:t>
      </w:r>
      <w:r>
        <w:rPr>
          <w:highlight w:val="none"/>
          <w:lang w:val="en-US"/>
        </w:rPr>
        <w:noBreakHyphen/>
      </w:r>
      <w:r>
        <w:rPr>
          <w:rFonts w:hint="eastAsia"/>
          <w:highlight w:val="none"/>
          <w:lang w:val="en-US" w:eastAsia="zh-CN"/>
        </w:rPr>
        <w:t>6</w:t>
      </w:r>
      <w:r>
        <w:rPr>
          <w:highlight w:val="none"/>
          <w:lang w:val="en-US"/>
        </w:rPr>
        <w:t>: Number of differentially expressed milk-derived small extracellular vesicles mRNAs from cows with subclinical mastitis between the control and inulin group.</w:t>
      </w:r>
    </w:p>
    <w:p w14:paraId="792C734C">
      <w:pPr>
        <w:rPr>
          <w:highlight w:val="none"/>
          <w:lang w:val="en-US" w:eastAsia="zh-CN"/>
        </w:rPr>
      </w:pPr>
      <w:r>
        <w:rPr>
          <w:rFonts w:cs="Times New Roman"/>
          <w:highlight w:val="none"/>
        </w:rPr>
        <w:drawing>
          <wp:inline distT="0" distB="0" distL="0" distR="0">
            <wp:extent cx="4752975" cy="2754630"/>
            <wp:effectExtent l="0" t="0" r="0" b="7620"/>
            <wp:docPr id="6849575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57562" name="图片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752975" cy="2754858"/>
                    </a:xfrm>
                    <a:prstGeom prst="rect">
                      <a:avLst/>
                    </a:prstGeom>
                    <a:noFill/>
                    <a:ln>
                      <a:noFill/>
                    </a:ln>
                  </pic:spPr>
                </pic:pic>
              </a:graphicData>
            </a:graphic>
          </wp:inline>
        </w:drawing>
      </w:r>
    </w:p>
    <w:p w14:paraId="39501A1A">
      <w:pPr>
        <w:jc w:val="center"/>
        <w:rPr>
          <w:highlight w:val="none"/>
          <w:lang w:val="en-US" w:eastAsia="zh-CN"/>
        </w:rPr>
      </w:pPr>
      <w:r>
        <w:rPr>
          <w:highlight w:val="none"/>
          <w:lang w:val="en-US"/>
        </w:rPr>
        <w:t xml:space="preserve">Figure </w:t>
      </w:r>
      <w:r>
        <w:rPr>
          <w:rFonts w:hint="eastAsia"/>
          <w:highlight w:val="none"/>
          <w:lang w:val="en-US" w:eastAsia="zh-CN"/>
        </w:rPr>
        <w:t>3</w:t>
      </w:r>
      <w:r>
        <w:rPr>
          <w:highlight w:val="none"/>
          <w:lang w:val="en-US"/>
        </w:rPr>
        <w:noBreakHyphen/>
      </w:r>
      <w:r>
        <w:rPr>
          <w:rFonts w:hint="eastAsia"/>
          <w:highlight w:val="none"/>
          <w:lang w:val="en-US" w:eastAsia="zh-CN"/>
        </w:rPr>
        <w:t>7</w:t>
      </w:r>
      <w:r>
        <w:rPr>
          <w:highlight w:val="none"/>
          <w:lang w:val="en-US"/>
        </w:rPr>
        <w:t>: Functional analysis of target genes associated with differentially expressed milk-derived extracellular vesicle mRNAs in cows with subclinical mastitis. (A) Gene ontology (GO) enrichment analysis for the top 20 functions. (B) Kyoto Encyclopedia of Genes and Genomes (KEGG) analysis for the top 20 pathways.</w:t>
      </w:r>
    </w:p>
    <w:p w14:paraId="51063C13">
      <w:pPr>
        <w:pStyle w:val="4"/>
        <w:rPr>
          <w:highlight w:val="none"/>
          <w:lang w:val="en-US"/>
        </w:rPr>
      </w:pPr>
      <w:bookmarkStart w:id="102" w:name="_Toc207979780"/>
      <w:r>
        <w:rPr>
          <w:highlight w:val="none"/>
          <w:lang w:val="en-US"/>
        </w:rPr>
        <w:t>circRNA analysis</w:t>
      </w:r>
      <w:bookmarkEnd w:id="102"/>
    </w:p>
    <w:p w14:paraId="773B7C91">
      <w:pPr>
        <w:rPr>
          <w:highlight w:val="none"/>
          <w:lang w:eastAsia="zh-CN"/>
        </w:rPr>
      </w:pPr>
      <w:r>
        <w:rPr>
          <w:highlight w:val="none"/>
          <w:lang w:eastAsia="zh-CN"/>
        </w:rPr>
        <w:t>The number of different types of circRNAs are shown in Fig.</w:t>
      </w:r>
      <w:r>
        <w:rPr>
          <w:rFonts w:hint="eastAsia"/>
          <w:highlight w:val="none"/>
          <w:lang w:eastAsia="zh-CN"/>
        </w:rPr>
        <w:t>3-8</w:t>
      </w:r>
      <w:r>
        <w:rPr>
          <w:highlight w:val="none"/>
          <w:lang w:eastAsia="zh-CN"/>
        </w:rPr>
        <w:t xml:space="preserve"> There were no significant differences in the abundance of circRNA between the two groups in this study (Fig.</w:t>
      </w:r>
      <w:r>
        <w:rPr>
          <w:rFonts w:hint="eastAsia"/>
          <w:highlight w:val="none"/>
          <w:lang w:eastAsia="zh-CN"/>
        </w:rPr>
        <w:t>3-9</w:t>
      </w:r>
      <w:r>
        <w:rPr>
          <w:highlight w:val="none"/>
          <w:lang w:eastAsia="zh-CN"/>
        </w:rPr>
        <w:t>).</w:t>
      </w:r>
    </w:p>
    <w:p w14:paraId="4026B472">
      <w:pPr>
        <w:jc w:val="center"/>
        <w:rPr>
          <w:highlight w:val="none"/>
          <w:lang w:eastAsia="zh-CN"/>
        </w:rPr>
      </w:pPr>
      <w:r>
        <w:rPr>
          <w:rFonts w:cs="Times New Roman"/>
          <w:highlight w:val="none"/>
        </w:rPr>
        <w:drawing>
          <wp:inline distT="0" distB="0" distL="0" distR="0">
            <wp:extent cx="2694940" cy="2587625"/>
            <wp:effectExtent l="0" t="0" r="2540" b="3175"/>
            <wp:docPr id="11271420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42015" name="图片 2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94940" cy="2587625"/>
                    </a:xfrm>
                    <a:prstGeom prst="rect">
                      <a:avLst/>
                    </a:prstGeom>
                  </pic:spPr>
                </pic:pic>
              </a:graphicData>
            </a:graphic>
          </wp:inline>
        </w:drawing>
      </w:r>
    </w:p>
    <w:p w14:paraId="27E5574D">
      <w:pPr>
        <w:jc w:val="center"/>
        <w:rPr>
          <w:highlight w:val="none"/>
          <w:lang w:val="en-US" w:eastAsia="zh-CN"/>
        </w:rPr>
      </w:pPr>
      <w:r>
        <w:rPr>
          <w:highlight w:val="none"/>
          <w:lang w:val="en-US"/>
        </w:rPr>
        <w:t xml:space="preserve">Figure </w:t>
      </w:r>
      <w:r>
        <w:rPr>
          <w:rFonts w:hint="eastAsia"/>
          <w:highlight w:val="none"/>
          <w:lang w:val="en-US" w:eastAsia="zh-CN"/>
        </w:rPr>
        <w:t>3</w:t>
      </w:r>
      <w:r>
        <w:rPr>
          <w:highlight w:val="none"/>
          <w:lang w:val="en-US"/>
        </w:rPr>
        <w:noBreakHyphen/>
      </w:r>
      <w:r>
        <w:rPr>
          <w:rFonts w:hint="eastAsia"/>
          <w:highlight w:val="none"/>
          <w:lang w:val="en-US" w:eastAsia="zh-CN"/>
        </w:rPr>
        <w:t>8</w:t>
      </w:r>
      <w:r>
        <w:rPr>
          <w:highlight w:val="none"/>
          <w:lang w:val="en-US"/>
        </w:rPr>
        <w:t>: Statistical distribution of source characteristics of milk-derived small extracellular vesicles circRNAs in cows with subclinical mastitis</w:t>
      </w:r>
      <w:r>
        <w:rPr>
          <w:rFonts w:hint="eastAsia"/>
          <w:highlight w:val="none"/>
          <w:lang w:val="en-US" w:eastAsia="zh-CN"/>
        </w:rPr>
        <w:t>.</w:t>
      </w:r>
    </w:p>
    <w:p w14:paraId="2452EF4E">
      <w:pPr>
        <w:jc w:val="center"/>
        <w:rPr>
          <w:highlight w:val="none"/>
          <w:lang w:val="en-US" w:eastAsia="zh-CN"/>
        </w:rPr>
      </w:pPr>
      <w:r>
        <w:rPr>
          <w:rFonts w:cs="Times New Roman"/>
          <w:highlight w:val="none"/>
        </w:rPr>
        <w:drawing>
          <wp:inline distT="0" distB="0" distL="0" distR="0">
            <wp:extent cx="2614295" cy="2567305"/>
            <wp:effectExtent l="0" t="0" r="6985" b="8255"/>
            <wp:docPr id="5482440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44080" name="图片 22"/>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14295" cy="2567305"/>
                    </a:xfrm>
                    <a:prstGeom prst="rect">
                      <a:avLst/>
                    </a:prstGeom>
                  </pic:spPr>
                </pic:pic>
              </a:graphicData>
            </a:graphic>
          </wp:inline>
        </w:drawing>
      </w:r>
    </w:p>
    <w:p w14:paraId="1DA1DF08">
      <w:pPr>
        <w:jc w:val="center"/>
        <w:rPr>
          <w:highlight w:val="none"/>
          <w:lang w:val="en-US" w:eastAsia="zh-CN"/>
        </w:rPr>
      </w:pPr>
      <w:r>
        <w:rPr>
          <w:highlight w:val="none"/>
          <w:lang w:val="en-US"/>
        </w:rPr>
        <w:t xml:space="preserve">Figure </w:t>
      </w:r>
      <w:r>
        <w:rPr>
          <w:rFonts w:hint="eastAsia"/>
          <w:highlight w:val="none"/>
          <w:lang w:val="en-US" w:eastAsia="zh-CN"/>
        </w:rPr>
        <w:t>3</w:t>
      </w:r>
      <w:r>
        <w:rPr>
          <w:highlight w:val="none"/>
          <w:lang w:val="en-US"/>
        </w:rPr>
        <w:noBreakHyphen/>
      </w:r>
      <w:r>
        <w:rPr>
          <w:rFonts w:hint="eastAsia"/>
          <w:highlight w:val="none"/>
          <w:lang w:val="en-US" w:eastAsia="zh-CN"/>
        </w:rPr>
        <w:t>9</w:t>
      </w:r>
      <w:r>
        <w:rPr>
          <w:highlight w:val="none"/>
          <w:lang w:val="en-US"/>
        </w:rPr>
        <w:t>: Volcano plot of Volcano plot of differentially expressed milk-derived small extracellular vesicles circRNAs in cows with subclinical mastitis between the control and inulin group.</w:t>
      </w:r>
    </w:p>
    <w:p w14:paraId="03BA8964">
      <w:pPr>
        <w:pStyle w:val="3"/>
        <w:rPr>
          <w:highlight w:val="none"/>
        </w:rPr>
      </w:pPr>
      <w:bookmarkStart w:id="103" w:name="_Toc207979781"/>
      <w:r>
        <w:rPr>
          <w:highlight w:val="none"/>
        </w:rPr>
        <w:t>Discussion</w:t>
      </w:r>
      <w:bookmarkEnd w:id="103"/>
    </w:p>
    <w:p w14:paraId="381A8479">
      <w:pPr>
        <w:rPr>
          <w:highlight w:val="none"/>
          <w:lang w:eastAsia="zh-CN"/>
        </w:rPr>
      </w:pPr>
      <w:r>
        <w:rPr>
          <w:highlight w:val="none"/>
          <w:lang w:eastAsia="zh-CN"/>
        </w:rPr>
        <w:t xml:space="preserve">Daily milk production and its fluctuations are indicators of the health of dairy cows (Kok et al., 2021). Mastitis, including </w:t>
      </w:r>
      <w:r>
        <w:rPr>
          <w:rFonts w:hint="eastAsia"/>
          <w:highlight w:val="none"/>
          <w:lang w:eastAsia="zh-CN"/>
        </w:rPr>
        <w:t>SCM</w:t>
      </w:r>
      <w:r>
        <w:rPr>
          <w:highlight w:val="none"/>
          <w:lang w:eastAsia="zh-CN"/>
        </w:rPr>
        <w:t>, is mammary inflammation in lactating cows caused by bacterial infections and physical factors such as excessive milking settings and improper operation (Cai et al., 2021; Gasparik et al., 2022). S</w:t>
      </w:r>
      <w:r>
        <w:rPr>
          <w:rFonts w:hint="eastAsia"/>
          <w:highlight w:val="none"/>
          <w:lang w:eastAsia="zh-CN"/>
        </w:rPr>
        <w:t>CM</w:t>
      </w:r>
      <w:r>
        <w:rPr>
          <w:highlight w:val="none"/>
          <w:lang w:eastAsia="zh-CN"/>
        </w:rPr>
        <w:t>, like clinical mastitis, negatively impacts animal welfare and the farm economy but is more challenging to detect due to the absence of significant changes in milk and clear clinical signs in the udder (Ibrahim et al., 2023; Cai et al., 2021).</w:t>
      </w:r>
    </w:p>
    <w:p w14:paraId="6C58F0FE">
      <w:pPr>
        <w:rPr>
          <w:highlight w:val="none"/>
          <w:lang w:eastAsia="zh-CN"/>
        </w:rPr>
      </w:pPr>
      <w:r>
        <w:rPr>
          <w:highlight w:val="none"/>
          <w:lang w:eastAsia="zh-CN"/>
        </w:rPr>
        <w:t>Currently, antimicrobials are widely employed as an effective treatment for mastitis (Smulski et al., 2020). However, their overuse has led to antibiotic resistance, reducing drug efficacy. It is often unnecessary to treat non-severe mastitis in dairy cows (Nobrega et al., 2020). With the prohibition of feed antibiotics and a trend toward reducing antimicrobials in farming, plant extracts are gathering considerable interest in contemporary research. These extracts contain various bioactive components, including polyphenols, polysaccharides, and essential oils. Numerous studies have focused on their potential for disease prevention and antibacterial activity against multiple microorganisms. Several plant compounds have been found to have antimicrobial potential and to improve antioxidant and immune functions, suggesting that plant extracts can reduce inflammation, enhance production performance, and benefit animal health (Blaxland et al., 2022; Cao et al., 2023; Guo et al., 2023). Furthermore, plant extracts can impact the microbiota structure (Su et al., 2023; Yu et al., 2023a).</w:t>
      </w:r>
    </w:p>
    <w:p w14:paraId="2B2234B7">
      <w:pPr>
        <w:rPr>
          <w:highlight w:val="none"/>
          <w:lang w:eastAsia="zh-CN"/>
        </w:rPr>
      </w:pPr>
      <w:r>
        <w:rPr>
          <w:highlight w:val="none"/>
          <w:lang w:eastAsia="zh-CN"/>
        </w:rPr>
        <w:t>Inulin, a plant extract, is often used as a prebiotic supplement to modulate digestive tract microbiota (Zhu et al., 2020; Wang et al., 2021b). Inulin also increases milk production, reduces inflammatory factors, and alleviates bovine mastitis symptoms (Wang et al., 2021b; Zhao et al., 2022). Recently, inulin has been used in bovine mastitis therapy. To understand its molecular impact on bovine mastitis, in this study, we monitored differences in mastitis mitigation and investigated inulin's anti-inflammatory mechanism.</w:t>
      </w:r>
    </w:p>
    <w:p w14:paraId="1550E1F7">
      <w:pPr>
        <w:rPr>
          <w:highlight w:val="none"/>
          <w:lang w:eastAsia="zh-CN"/>
        </w:rPr>
      </w:pPr>
      <w:r>
        <w:rPr>
          <w:highlight w:val="none"/>
          <w:lang w:eastAsia="zh-CN"/>
        </w:rPr>
        <w:t>The extracellular vesicles are small nanovesicles, classified into sEVs and ectosomes, based on particle size, cargo sorting and biogenesis (Gao et al., 2021). According to nanoparticle tracking analysis, 97.7% of milk-derived particles are sEVs.</w:t>
      </w:r>
      <w:r>
        <w:rPr>
          <w:rFonts w:hint="eastAsia"/>
          <w:highlight w:val="none"/>
          <w:lang w:eastAsia="zh-CN"/>
        </w:rPr>
        <w:t xml:space="preserve"> </w:t>
      </w:r>
      <w:r>
        <w:rPr>
          <w:highlight w:val="none"/>
          <w:lang w:eastAsia="zh-CN"/>
        </w:rPr>
        <w:t>sEVs-RNAs, including microRNAs, mRNAs, lncRNAs, and circRNAs, forms complex regulation networks that contribute to the maintenance of cellular functions and metabolism (Liu et al., 2023; Xiao et al., 2022). They have diverse functions, which are all interconnected with each other</w:t>
      </w:r>
      <w:r>
        <w:rPr>
          <w:rFonts w:hint="eastAsia"/>
          <w:highlight w:val="none"/>
          <w:lang w:eastAsia="zh-CN"/>
        </w:rPr>
        <w:t>.</w:t>
      </w:r>
      <w:r>
        <w:rPr>
          <w:highlight w:val="none"/>
          <w:lang w:eastAsia="zh-CN"/>
        </w:rPr>
        <w:t xml:space="preserve"> By the interaction with microRNA, mRNA could be degraded or inhibited, thereby affecting protein synthesis (Schnall-Levin et al., 2011). Both lncRNA and circRNA could act as a miRNA sponge, influencing the gene expression and cellular processes (Zhou et al., 2023).</w:t>
      </w:r>
    </w:p>
    <w:p w14:paraId="5A4D0E72">
      <w:pPr>
        <w:rPr>
          <w:highlight w:val="none"/>
          <w:lang w:eastAsia="zh-CN"/>
        </w:rPr>
      </w:pPr>
      <w:r>
        <w:rPr>
          <w:highlight w:val="none"/>
          <w:lang w:eastAsia="zh-CN"/>
        </w:rPr>
        <w:t>This study identified 350 miRNAs, with 332 in the control group and 249 in the inulin group. These numbers align with previous findings by Tsukada et al. (Tsukada et al.) who found 277 miRNAs in milk-derived sEVs from healthy cows (Tsukada et al., 2022), along with the findings of Quan et al. (2020b) who illustrated the presence of 276 miRNAs in milk-derived sEVs (Quan et al., 2020). We found that inulin supplementation did not significantly affect miRNA length, known miRNA numbers, or small RNA read numbers (including cis-regulatory elements, long non-coding RNAs, other small RNAs, ribosomal RNAs, small nucleolar RNAs, and miRNAs). Nineteen out of the top 20 miRNAs with high expression levels in this study, excluding miR-1246, were earlier reported in milk sEVs from healthy cattle (Quan et al., 2020; Li et al., 2022). These miRNAs may influence milk's basic functions in growth, development, and immunity. For instance, the let-7 family, including let-7a-5p, let-7b, let-7c, let-7f, and let-7g in this study, is known for regulating cell proliferation, differentiation, apoptosis, invasion, and migration (Liu and Jiang, 2020; Egea et al., 2021). These miRNAs likely contribute to regulating breast tissue growth and lactation process (Quan et al., 2020). Besides, miR-16a can target large tumor suppressor kinase 1 and has been demonstrated to manipulate milk lipid metabolism in the epithelial cells of bovine breast tissue (Chen et al., 2019). In addition, miR-423-5p, miR-26a, let-7a-5p, let-7c, and let-7f may modulate inflammation (Kreuzer-Redmer et al., 2016; Zhang et al., 2021; Yu et al., 2022). These miRNAs highlight the fundamental mechanism of the immune response in milk. The highly expressed miR-1246 was found upregulated in cows suffering from mastitis (Lai et al., 2020) or those challenged with LPS (Sullivan et al., 2022). Although we found no significant changes in miR-1246 between the two groups, the normalized mean reads decreased numerically from 12,212.71 to 6,965.57, suggesting the potential alleviation of mastitis.</w:t>
      </w:r>
    </w:p>
    <w:p w14:paraId="59300D92">
      <w:pPr>
        <w:rPr>
          <w:highlight w:val="none"/>
          <w:lang w:eastAsia="zh-CN"/>
        </w:rPr>
      </w:pPr>
      <w:r>
        <w:rPr>
          <w:highlight w:val="none"/>
          <w:lang w:eastAsia="zh-CN"/>
        </w:rPr>
        <w:t>Individual differences are one of the factors that induce variations in miRNA profiles. Dairy cows show distinct levels of immunoglobulin and specific antibody concentrations in milk, which reflects their diverse immune response levels (Ross et al., 2021). The current study demonstrated significant individual differences within each group due to the animals' diverse backgrounds. Furthermore, the variations between the control and inulin group might be associated with changes in nutritional factors. Moreover, inulin, as a prebiotic, not only alters the microbiota profile in the gastrointestinal tract but can also modulate the microbiota and metabolite levels in mammary organ (Wang et al., 2022). Therefore, consuming inulin may affect the miRNA profile directly through cell communication or indirectly by modulating the microbiota composition. Among the DE miRNAs, the upregulated miR-7 is known to targeting FAK through the ERK/MAPK signaling pathway which suppress cellular activities (Cao et al., 2016). The downregulation of miR-6529a promotes preadipocyte multiplication, differentiation, and lipid deposition (Ran et al., 2022). This lipid deposition also explains the suppression of lipid metabolism in another inulin supplement study (Wang et al., 2021b). The inhibition of miR-423-5p targets GRIM-19 and suppresses prostate cancer (Lin et al., 2019). miR-339 and miR-22, can regulate cell motility, inflammation, and apoptosis, suggesting their roles in alleviating mastitis (Xie et al., 2020; Fan et al., 2021b).</w:t>
      </w:r>
    </w:p>
    <w:p w14:paraId="238571EF">
      <w:pPr>
        <w:rPr>
          <w:highlight w:val="none"/>
          <w:lang w:eastAsia="zh-CN"/>
        </w:rPr>
      </w:pPr>
      <w:r>
        <w:rPr>
          <w:highlight w:val="none"/>
          <w:lang w:eastAsia="zh-CN"/>
        </w:rPr>
        <w:t>The GO enrichment analysis revealed that DE miRNAs target genes affect key (top 20) molecular functions and cellular components. They primarily participate in maintaining cell and tissue structure and function, as well as in signal transduction. The KEGG analysis of DE miRNA target genes suggests that inulin may regulate signaling pathways, including MAPK, cAMP, Ras and Rap1. These signaling pathways influence cellular processes such as cell proliferation, migration, apoptosis, etc (Olson and Marais, 2000). The activation of the MAPK pathway can accelerate the inflammation process by stimulating the secretion of inflammatory factors (Zhang et al., 2022a). Rap1 can regulate MAPK activity and plays a role in immune regulation (Minato et al., 2007). In a like manner, another study found that inulin acts as a potent modulator of inflammation through MAPK activation (Wu et al., 2017). The activation of TRP channels influences the MAPK signaling pathway, consequently inducing an inflammatory response (Zhang et al., 2023). Moreover, thyroid hormone regulates growth, development, and metabolism, and is essential for maintaining immune function and response (Lasa and Contreras-Jurado, 2022). Additionally, DE miRNAs target genes may influence milk production. The cAMP signaling pathway participates in the regulation of lipolysis by influencing protein expression levels (Ikoma-Seki et al., 2015). The growth hormone and oxytocin signaling pathway stimulate milk secretion and influence milk composition (Sadiq and Tadi, 2024). These findings may explain the effect of inulin on mitigating inflammation and improving milk production in cows with mastitis.</w:t>
      </w:r>
    </w:p>
    <w:p w14:paraId="643F65D0">
      <w:pPr>
        <w:rPr>
          <w:highlight w:val="none"/>
          <w:lang w:eastAsia="zh-CN"/>
        </w:rPr>
      </w:pPr>
      <w:r>
        <w:rPr>
          <w:highlight w:val="none"/>
          <w:lang w:eastAsia="zh-CN"/>
        </w:rPr>
        <w:t>In healthy bovine milk sEVs, there were 3,475 novel and 6 annotated lncRNAs identified, and their expression levels showed significant variation across lactating stages (Zeng et al., 2019). The number of lncRNA identified in our study differs from their findings, which may be attributed to variations in the environment, origin of lncRNA, lactating period, feed structure, health condition, and inulin supplement.</w:t>
      </w:r>
    </w:p>
    <w:p w14:paraId="6F31B653">
      <w:pPr>
        <w:rPr>
          <w:highlight w:val="none"/>
          <w:lang w:eastAsia="zh-CN"/>
        </w:rPr>
      </w:pPr>
      <w:r>
        <w:rPr>
          <w:highlight w:val="none"/>
          <w:lang w:eastAsia="zh-CN"/>
        </w:rPr>
        <w:t xml:space="preserve">lncRNAs have been reported to regulate gene expression that are located in close spatial proximity (Engreitz et al., 2016). The cellular function of lncRNA can be carried out by forming macromolecular complexes through interaction with proteins (Engreitz et al., 2016). The prediction of lncRNA functions can be carried out by identifying the DE protein-coding genes near the lncRNA loci (Derrien et al., 2012). The top 20 GO enrichment terms influenced by DE lncRNA cis target genes were molecular functions including enzymatic activity, molecular binding, and transcription regulation. More specifically, three terms are of importance: cyclosporin A binding, peptidyl-prolyl cis-trans isomerase activity, and cis-trans isomerase activity in general. The genes PPWD1 and PPIL1 identified in these GO terms, were found to influence protein folding and pre-mRNA splicing (Rajiv and Davis, 2018). They could influence the binding of cyclosporin A, which is involved in the steps of pre-mRNA splicing (Horowitz et al., 2002). Moreover, these genes are enriched in peptide binding, which influences mRNA transcription (Jackson et al., 2010). These outcomes confirmed the regulatory effects of lncRNA on mRNA. The KEGG pathway analysis shows that the DE cis genes were enriched in human diseases, metabolism, genetic information processing, cellular processes, signal transduction, and environmental adaptation. One of the significant pathways pointed to lysosome activation. Lysosomes can regulate the formation and secretion of sEVs by affecting their contents, therefore influencing sEVs functions (Eitan et al., 2016). Another pathway found involved the sphingolipid metabolism. As a structural component of the cell membrane, sphingolipids also affect the cellular signal transduction of sEVs (Burrello et al., 2020). Additionally, it has the potential to provide health benefits, such as promoting gut health (Jiang et al., 2022). Various pathways were found to influence the immune response, such as those involving lysosomes and apoptosis (Watts, 2022; Pinkoski and Green, 2005). Moreover, the enrichment of the sphingolipid metabolism pathway may explain the previous result of the changes of fat composition in SCM milk (Wang et al., 2021a). The VEGF signaling pathway was found to be associated with the regulation of breast cancer, and the CASP9 gene, enriched in this pathway in the present study, is consistent with other findings that illustrate it as a key gene in various diseases (Ferrero et al., 2018; Xie et al., 2022). </w:t>
      </w:r>
    </w:p>
    <w:p w14:paraId="29A8C763">
      <w:pPr>
        <w:rPr>
          <w:highlight w:val="none"/>
          <w:lang w:eastAsia="zh-CN"/>
        </w:rPr>
      </w:pPr>
      <w:r>
        <w:rPr>
          <w:highlight w:val="none"/>
          <w:lang w:eastAsia="zh-CN"/>
        </w:rPr>
        <w:t>In contrast to the findings by Zeng et al. (2019), who reported that lncRNAs have a higher expression than mRNAs in bovine milk sEVs, we found a higher mRNA level in the current study. A total of 1,300 DE mRNAs were found in two groups, 578 of them were up-regulated and 722 down-regulated. The top 20 GO functions of DE mRNA genes were involved in two categories: cellular components and biological processes. These GO terms ranged from terms involved in gene expression and metabolism to cell signaling and structural integrity. The DE mRNA genes participated in the regulation of mRNA metabolism, gene transcription and expression, signaling transduction, early endosome formation, lipid metabolism, and cellular processes including cell shape maintenance, motility, division, and apoptosis. The results suggested that inulin supplementation affected sEVs formation, milk lipid content, and physiological and pathological processes. In addition, genes involved in pathways of human diseases, signal transduction, metabolism, and cellular processes were significantly different. For example, the NF-kappa B signaling pathway, found to contribute to promoting the development and progression of different cancers (Tong et al., 2015), was one of the differentially enriched pathways. TLR4/NF-kappa B was demonstrated to act as a vital inflammatory signaling transduction pathway, playing a role in cell proliferation, apoptosis, and pro-inflammatory response (Yu et al., 2022). In the same manner, TLR4, an important player in the NF-kappa B signaling pathway, was found to be DE in the current study. This suggests that inulin contributes to the regulation of inflammation. Moreover, the disruption of the normal cell cycle may result in carcinogenesis (Johansson and Persson, 2008). The pathways of various cancers developments enriched in this study can be attributed to the DE mRNA genes that influence cell growth and death. Furthermore, other DE mRNA genes pointed to the carbohydrate pathway or the amino acid metabolism, which may explain the changes in milk protein and lactose content found previously (Wang et al., 2021a).</w:t>
      </w:r>
    </w:p>
    <w:p w14:paraId="3F0B3606">
      <w:pPr>
        <w:rPr>
          <w:highlight w:val="none"/>
          <w:lang w:eastAsia="zh-CN"/>
        </w:rPr>
      </w:pPr>
      <w:r>
        <w:rPr>
          <w:highlight w:val="none"/>
          <w:lang w:eastAsia="zh-CN"/>
        </w:rPr>
        <w:t xml:space="preserve">The DE RNAs identified in the current study provide evidence of inulin’s potential to reduce bovine </w:t>
      </w:r>
      <w:r>
        <w:rPr>
          <w:rFonts w:hint="eastAsia"/>
          <w:highlight w:val="none"/>
          <w:lang w:eastAsia="zh-CN"/>
        </w:rPr>
        <w:t>SCM</w:t>
      </w:r>
      <w:r>
        <w:rPr>
          <w:highlight w:val="none"/>
          <w:lang w:eastAsia="zh-CN"/>
        </w:rPr>
        <w:t xml:space="preserve"> at the molecular level. Due to the fact that inulin can directly modulate host mucosal signaling to influence response to bacterial infection (Wu et al., 2017), further in vitro studies could determine whether inulin supplements affect RNA expression straightforwardly or through an intermediate products or compounds generated by the supplement within the animal body.</w:t>
      </w:r>
    </w:p>
    <w:p w14:paraId="26356A64">
      <w:pPr>
        <w:pStyle w:val="3"/>
        <w:rPr>
          <w:highlight w:val="none"/>
        </w:rPr>
      </w:pPr>
      <w:bookmarkStart w:id="104" w:name="_Toc207979782"/>
      <w:r>
        <w:rPr>
          <w:highlight w:val="none"/>
        </w:rPr>
        <w:t>Conclusion</w:t>
      </w:r>
      <w:bookmarkEnd w:id="104"/>
    </w:p>
    <w:p w14:paraId="2DE6A0FB">
      <w:pPr>
        <w:rPr>
          <w:highlight w:val="none"/>
          <w:lang w:eastAsia="zh-CN"/>
        </w:rPr>
      </w:pPr>
      <w:r>
        <w:rPr>
          <w:highlight w:val="none"/>
          <w:lang w:eastAsia="zh-CN"/>
        </w:rPr>
        <w:t>Inulin supplementation impacts the expression of bovine milk sEVs-</w:t>
      </w:r>
      <w:r>
        <w:rPr>
          <w:rFonts w:hint="eastAsia"/>
          <w:highlight w:val="none"/>
          <w:lang w:eastAsia="zh-CN"/>
        </w:rPr>
        <w:t>mi</w:t>
      </w:r>
      <w:r>
        <w:rPr>
          <w:highlight w:val="none"/>
          <w:lang w:eastAsia="zh-CN"/>
        </w:rPr>
        <w:t>RNAs</w:t>
      </w:r>
      <w:r>
        <w:rPr>
          <w:rFonts w:hint="eastAsia"/>
          <w:highlight w:val="none"/>
          <w:lang w:eastAsia="zh-CN"/>
        </w:rPr>
        <w:t>, sEVs-lncRNAs, sEVs-mRNAs,</w:t>
      </w:r>
      <w:r>
        <w:rPr>
          <w:highlight w:val="none"/>
          <w:lang w:eastAsia="zh-CN"/>
        </w:rPr>
        <w:t xml:space="preserve"> and alters the highly expressed miRNAs in cows with </w:t>
      </w:r>
      <w:r>
        <w:rPr>
          <w:rFonts w:hint="eastAsia"/>
          <w:highlight w:val="none"/>
          <w:lang w:eastAsia="zh-CN"/>
        </w:rPr>
        <w:t>SCM</w:t>
      </w:r>
      <w:r>
        <w:rPr>
          <w:highlight w:val="none"/>
          <w:lang w:eastAsia="zh-CN"/>
        </w:rPr>
        <w:t>. The target genes of these DE miRNA</w:t>
      </w:r>
      <w:r>
        <w:rPr>
          <w:rFonts w:hint="eastAsia"/>
          <w:highlight w:val="none"/>
          <w:lang w:eastAsia="zh-CN"/>
        </w:rPr>
        <w:t>, mRNA, and lncRNA</w:t>
      </w:r>
      <w:r>
        <w:rPr>
          <w:highlight w:val="none"/>
          <w:lang w:eastAsia="zh-CN"/>
        </w:rPr>
        <w:t xml:space="preserve"> influence organismal systems, cellular processes, signal transduction, metabolism, and inflammation</w:t>
      </w:r>
      <w:r>
        <w:rPr>
          <w:rFonts w:hint="eastAsia"/>
          <w:highlight w:val="none"/>
          <w:lang w:eastAsia="zh-CN"/>
        </w:rPr>
        <w:t>,</w:t>
      </w:r>
      <w:r>
        <w:rPr>
          <w:highlight w:val="none"/>
          <w:lang w:eastAsia="zh-CN"/>
        </w:rPr>
        <w:t xml:space="preserve"> which may affect inflammatory response and milk production. </w:t>
      </w:r>
    </w:p>
    <w:p w14:paraId="5E5A0998">
      <w:pPr>
        <w:rPr>
          <w:rStyle w:val="93"/>
          <w:rFonts w:cs="Times New Roman"/>
          <w:bCs/>
          <w:highlight w:val="none"/>
          <w:lang w:val="zh-CN"/>
        </w:rPr>
      </w:pPr>
    </w:p>
    <w:p w14:paraId="3F2EF259">
      <w:pPr>
        <w:spacing w:after="200" w:line="276" w:lineRule="auto"/>
        <w:ind w:firstLine="0"/>
        <w:jc w:val="left"/>
        <w:rPr>
          <w:rStyle w:val="93"/>
          <w:rFonts w:cs="Times New Roman"/>
          <w:bCs/>
          <w:highlight w:val="none"/>
          <w:lang w:val="zh-CN"/>
        </w:rPr>
      </w:pPr>
      <w:r>
        <w:rPr>
          <w:rStyle w:val="93"/>
          <w:rFonts w:cs="Times New Roman"/>
          <w:bCs/>
          <w:highlight w:val="none"/>
          <w:lang w:val="zh-CN"/>
        </w:rPr>
        <w:br w:type="page"/>
      </w:r>
    </w:p>
    <w:p w14:paraId="51A3F600">
      <w:pPr>
        <w:spacing w:after="200" w:line="276" w:lineRule="auto"/>
        <w:ind w:firstLine="0"/>
        <w:jc w:val="left"/>
        <w:rPr>
          <w:rFonts w:cs="Times New Roman"/>
          <w:bCs/>
          <w:highlight w:val="none"/>
          <w:lang w:val="zh-CN"/>
        </w:rPr>
        <w:sectPr>
          <w:headerReference r:id="rId40" w:type="even"/>
          <w:pgSz w:w="9639" w:h="13608"/>
          <w:pgMar w:top="1361" w:right="907" w:bottom="1021" w:left="1247" w:header="709" w:footer="312" w:gutter="0"/>
          <w:cols w:space="708" w:num="1"/>
          <w:docGrid w:linePitch="360" w:charSpace="0"/>
        </w:sectPr>
      </w:pPr>
    </w:p>
    <w:p w14:paraId="39E49EFB">
      <w:pPr>
        <w:pStyle w:val="2"/>
        <w:rPr>
          <w:highlight w:val="none"/>
          <w:lang w:val="en-US" w:eastAsia="fr-FR"/>
        </w:rPr>
      </w:pPr>
      <w:bookmarkStart w:id="105" w:name="_Toc207979783"/>
      <w:bookmarkEnd w:id="105"/>
    </w:p>
    <w:p w14:paraId="12B3E545">
      <w:pPr>
        <w:spacing w:after="200" w:line="276" w:lineRule="auto"/>
        <w:ind w:firstLine="0"/>
        <w:jc w:val="left"/>
        <w:rPr>
          <w:highlight w:val="none"/>
          <w:lang w:val="en-US" w:eastAsia="fr-FR"/>
        </w:rPr>
      </w:pPr>
      <w:r>
        <w:rPr>
          <w:highlight w:val="none"/>
          <w:lang w:val="en-US" w:eastAsia="fr-FR"/>
        </w:rPr>
        <w:pict>
          <v:rect id="_x0000_i1028" o:spt="1" style="height:1pt;width:313.25pt;" fillcolor="#000000" filled="t" stroked="f" coordsize="21600,21600" o:hr="t" o:hrstd="t" o:hrnoshade="t" o:hralign="center">
            <v:path/>
            <v:fill on="t" focussize="0,0"/>
            <v:stroke on="f"/>
            <v:imagedata o:title=""/>
            <o:lock v:ext="edit"/>
            <w10:wrap type="none"/>
            <w10:anchorlock/>
          </v:rect>
        </w:pict>
      </w:r>
    </w:p>
    <w:p w14:paraId="36F6048F">
      <w:pPr>
        <w:ind w:firstLine="0"/>
        <w:jc w:val="right"/>
        <w:rPr>
          <w:b/>
          <w:sz w:val="40"/>
          <w:szCs w:val="40"/>
          <w:highlight w:val="none"/>
          <w:lang w:val="en-US" w:eastAsia="fr-FR"/>
        </w:rPr>
      </w:pPr>
      <w:bookmarkStart w:id="106" w:name="_Hlk195040088"/>
      <w:r>
        <w:rPr>
          <w:b/>
          <w:sz w:val="40"/>
          <w:szCs w:val="40"/>
          <w:highlight w:val="none"/>
          <w:lang w:val="en-US" w:eastAsia="fr-FR"/>
        </w:rPr>
        <w:t>General discussion</w:t>
      </w:r>
      <w:bookmarkEnd w:id="106"/>
      <w:r>
        <w:rPr>
          <w:b/>
          <w:sz w:val="40"/>
          <w:szCs w:val="40"/>
          <w:highlight w:val="none"/>
          <w:lang w:val="en-US" w:eastAsia="fr-FR"/>
        </w:rPr>
        <w:t xml:space="preserve"> and perspectives</w:t>
      </w:r>
    </w:p>
    <w:p w14:paraId="084AD11A">
      <w:pPr>
        <w:ind w:firstLine="0"/>
        <w:jc w:val="right"/>
        <w:rPr>
          <w:b/>
          <w:sz w:val="40"/>
          <w:szCs w:val="40"/>
          <w:highlight w:val="none"/>
          <w:lang w:val="en-US" w:eastAsia="fr-FR"/>
        </w:rPr>
      </w:pPr>
    </w:p>
    <w:p w14:paraId="4A1B09CD">
      <w:pPr>
        <w:ind w:firstLine="0"/>
        <w:rPr>
          <w:highlight w:val="none"/>
          <w:lang w:val="en-US" w:eastAsia="zh-CN"/>
        </w:rPr>
      </w:pPr>
    </w:p>
    <w:p w14:paraId="0A53DA3D">
      <w:pPr>
        <w:ind w:firstLine="0"/>
        <w:rPr>
          <w:b/>
          <w:sz w:val="32"/>
          <w:szCs w:val="32"/>
          <w:highlight w:val="none"/>
          <w:lang w:val="en-US" w:eastAsia="zh-CN"/>
        </w:rPr>
        <w:sectPr>
          <w:headerReference r:id="rId41" w:type="default"/>
          <w:footerReference r:id="rId42" w:type="default"/>
          <w:footerReference r:id="rId43" w:type="even"/>
          <w:pgSz w:w="9639" w:h="13608"/>
          <w:pgMar w:top="1361" w:right="907" w:bottom="1021" w:left="1247" w:header="709" w:footer="312" w:gutter="0"/>
          <w:cols w:space="708" w:num="1"/>
          <w:docGrid w:linePitch="360" w:charSpace="0"/>
        </w:sectPr>
      </w:pPr>
    </w:p>
    <w:p w14:paraId="24081BD1">
      <w:pPr>
        <w:spacing w:after="200" w:line="276" w:lineRule="auto"/>
        <w:ind w:firstLine="0"/>
        <w:jc w:val="left"/>
        <w:rPr>
          <w:highlight w:val="none"/>
          <w:lang w:val="en-US"/>
        </w:rPr>
        <w:sectPr>
          <w:headerReference r:id="rId44" w:type="default"/>
          <w:footerReference r:id="rId46" w:type="default"/>
          <w:headerReference r:id="rId45" w:type="even"/>
          <w:footerReference r:id="rId47" w:type="even"/>
          <w:pgSz w:w="9639" w:h="13608"/>
          <w:pgMar w:top="1361" w:right="907" w:bottom="1021" w:left="1247" w:header="709" w:footer="312" w:gutter="0"/>
          <w:cols w:space="708" w:num="1"/>
          <w:docGrid w:linePitch="360" w:charSpace="0"/>
        </w:sectPr>
      </w:pPr>
      <w:r>
        <w:rPr>
          <w:highlight w:val="none"/>
          <w:lang w:val="en-US"/>
        </w:rPr>
        <w:br w:type="page"/>
      </w:r>
    </w:p>
    <w:p w14:paraId="5EE91666">
      <w:pPr>
        <w:pStyle w:val="3"/>
        <w:rPr>
          <w:highlight w:val="none"/>
        </w:rPr>
      </w:pPr>
      <w:bookmarkStart w:id="107" w:name="_Toc207979784"/>
      <w:r>
        <w:rPr>
          <w:highlight w:val="none"/>
        </w:rPr>
        <w:t>General discussion</w:t>
      </w:r>
      <w:bookmarkEnd w:id="107"/>
    </w:p>
    <w:p w14:paraId="506F8369">
      <w:pPr>
        <w:rPr>
          <w:highlight w:val="none"/>
          <w:lang w:eastAsia="zh-CN"/>
        </w:rPr>
      </w:pPr>
      <w:r>
        <w:rPr>
          <w:rFonts w:hint="eastAsia"/>
          <w:highlight w:val="none"/>
        </w:rPr>
        <w:t>This</w:t>
      </w:r>
      <w:r>
        <w:rPr>
          <w:highlight w:val="none"/>
        </w:rPr>
        <w:t xml:space="preserve"> PhD</w:t>
      </w:r>
      <w:r>
        <w:rPr>
          <w:rFonts w:hint="eastAsia"/>
          <w:highlight w:val="none"/>
        </w:rPr>
        <w:t xml:space="preserve"> study investigate</w:t>
      </w:r>
      <w:r>
        <w:rPr>
          <w:highlight w:val="none"/>
        </w:rPr>
        <w:t>d</w:t>
      </w:r>
      <w:r>
        <w:rPr>
          <w:rFonts w:hint="eastAsia"/>
          <w:highlight w:val="none"/>
        </w:rPr>
        <w:t xml:space="preserve"> the effects of inulin supplementation on the composition of sEVs-RNAs in the serum and milk of </w:t>
      </w:r>
      <w:r>
        <w:rPr>
          <w:rFonts w:hint="eastAsia"/>
          <w:highlight w:val="none"/>
          <w:lang w:eastAsia="zh-CN"/>
        </w:rPr>
        <w:t>SCM</w:t>
      </w:r>
      <w:r>
        <w:rPr>
          <w:rFonts w:hint="eastAsia"/>
          <w:highlight w:val="none"/>
        </w:rPr>
        <w:t xml:space="preserve"> cows. By integrating sEVs-miRNAs, lncRNAs, and mRNAs data, the potential regulatory role of inulin in </w:t>
      </w:r>
      <w:r>
        <w:rPr>
          <w:rFonts w:hint="eastAsia"/>
          <w:highlight w:val="none"/>
          <w:lang w:eastAsia="zh-CN"/>
        </w:rPr>
        <w:t>SCM</w:t>
      </w:r>
      <w:r>
        <w:rPr>
          <w:rFonts w:hint="eastAsia"/>
          <w:highlight w:val="none"/>
        </w:rPr>
        <w:t xml:space="preserve"> cows was explored. </w:t>
      </w:r>
      <w:r>
        <w:rPr>
          <w:highlight w:val="none"/>
        </w:rPr>
        <w:t>The results suggest that inulin could influence immune and metabolic signaling pathways via sEVs-RNAs, highlighting a potential role for sEVs-RNAs in reflecting functional feed effects.</w:t>
      </w:r>
      <w:r>
        <w:rPr>
          <w:rFonts w:hint="eastAsia"/>
          <w:highlight w:val="none"/>
        </w:rPr>
        <w:t xml:space="preserve"> This discussion will focus on comparing changes in sEVs-miRNAs between serum and milk, analyzing the miRNA-lncRNA-mRNA interactions in milk, exploring potential mechanisms of sEVs regulation by inulin, and summarizing the </w:t>
      </w:r>
      <w:r>
        <w:rPr>
          <w:highlight w:val="none"/>
        </w:rPr>
        <w:t xml:space="preserve">PhD </w:t>
      </w:r>
      <w:r>
        <w:rPr>
          <w:rFonts w:hint="eastAsia"/>
          <w:highlight w:val="none"/>
        </w:rPr>
        <w:t>study</w:t>
      </w:r>
      <w:r>
        <w:rPr>
          <w:highlight w:val="none"/>
          <w:lang w:eastAsia="zh-CN"/>
        </w:rPr>
        <w:t>’</w:t>
      </w:r>
      <w:r>
        <w:rPr>
          <w:rFonts w:hint="eastAsia"/>
          <w:highlight w:val="none"/>
          <w:lang w:eastAsia="zh-CN"/>
        </w:rPr>
        <w:t>s</w:t>
      </w:r>
      <w:r>
        <w:rPr>
          <w:rFonts w:hint="eastAsia"/>
          <w:highlight w:val="none"/>
        </w:rPr>
        <w:t xml:space="preserve"> significance, limitations, and future research directions.</w:t>
      </w:r>
      <w:r>
        <w:rPr>
          <w:rFonts w:hint="eastAsia"/>
          <w:highlight w:val="none"/>
          <w:lang w:eastAsia="zh-CN"/>
        </w:rPr>
        <w:t xml:space="preserve"> </w:t>
      </w:r>
    </w:p>
    <w:p w14:paraId="084DDD63">
      <w:pPr>
        <w:rPr>
          <w:highlight w:val="none"/>
          <w:lang w:eastAsia="zh-CN"/>
        </w:rPr>
      </w:pPr>
      <w:r>
        <w:rPr>
          <w:highlight w:val="none"/>
          <w:lang w:eastAsia="zh-CN"/>
        </w:rPr>
        <w:t>In this study, although we aimed to assess the effects of inulin, other factors could also influence the outcomes. These include individual cow-level variations such as lactation stage, parity, baseline somatic cell count, and genetic background, all of which may alter immune status and metabolic activity. Environmental factors, including housing conditions, temperature, humidity, and farm management practices, could also affect cow physiology and consequently the sEVs profile. Future studies could minimize these interferences by using a paired design</w:t>
      </w:r>
      <w:r>
        <w:rPr>
          <w:highlight w:val="none"/>
        </w:rPr>
        <w:t xml:space="preserve"> </w:t>
      </w:r>
      <w:r>
        <w:rPr>
          <w:highlight w:val="none"/>
          <w:lang w:eastAsia="zh-CN"/>
        </w:rPr>
        <w:t>or controlling for these variables.</w:t>
      </w:r>
    </w:p>
    <w:p w14:paraId="211AD276">
      <w:pPr>
        <w:pStyle w:val="4"/>
        <w:rPr>
          <w:highlight w:val="none"/>
          <w:lang w:eastAsia="zh-CN"/>
        </w:rPr>
      </w:pPr>
      <w:bookmarkStart w:id="108" w:name="_Toc207979785"/>
      <w:r>
        <w:rPr>
          <w:highlight w:val="none"/>
          <w:lang w:eastAsia="zh-CN"/>
        </w:rPr>
        <w:t>Inulin modulates serum sEVs-miRNAs</w:t>
      </w:r>
      <w:bookmarkEnd w:id="108"/>
    </w:p>
    <w:p w14:paraId="3295FB93">
      <w:pPr>
        <w:rPr>
          <w:highlight w:val="none"/>
          <w:lang w:val="en-US" w:eastAsia="zh-CN"/>
        </w:rPr>
      </w:pPr>
      <w:r>
        <w:rPr>
          <w:highlight w:val="none"/>
          <w:lang w:val="en-US" w:eastAsia="zh-CN"/>
        </w:rPr>
        <w:t xml:space="preserve">This PhD study analyzed the effects of inulin on GO and KEGG pathway alterations mediated by serum sEVs-miRNAs in </w:t>
      </w:r>
      <w:r>
        <w:rPr>
          <w:rFonts w:hint="eastAsia"/>
          <w:highlight w:val="none"/>
          <w:lang w:val="en-US" w:eastAsia="zh-CN"/>
        </w:rPr>
        <w:t>SCM</w:t>
      </w:r>
      <w:r>
        <w:rPr>
          <w:highlight w:val="none"/>
          <w:lang w:val="en-US" w:eastAsia="zh-CN"/>
        </w:rPr>
        <w:t xml:space="preserve"> cows. The results suggest that inulin may influence systemic immune homeostasis, intercellular communication, and metabolic adaptation by regulating transcription, cell signal transduction, cytoskeletal remodeling, immune responses, and metabolic pathways.</w:t>
      </w:r>
    </w:p>
    <w:p w14:paraId="3EE107ED">
      <w:pPr>
        <w:rPr>
          <w:highlight w:val="none"/>
          <w:lang w:val="en-US" w:eastAsia="zh-CN"/>
        </w:rPr>
      </w:pPr>
      <w:r>
        <w:rPr>
          <w:highlight w:val="none"/>
          <w:lang w:val="en-US" w:eastAsia="zh-CN"/>
        </w:rPr>
        <w:t>When analyzing the sEVs-miRNAs that were differentially expressed (DE) between the inulin and control group, GO analysis on the target genes revealed significant enrichment of terms related to positive/negative regulation of transcription by RNA polymerase II, DNA and RNA binding, and DNA-binding transcription factor activity, suggesting that inulin may affect the ability of sEVs-miRNAs to regulate gene expression, thereby influencing inflammatory signaling and cellular functions (Liu et al., 2015, Consortium, 2020, Wang et al., 2020a).</w:t>
      </w:r>
      <w:r>
        <w:rPr>
          <w:rFonts w:hint="eastAsia"/>
          <w:highlight w:val="none"/>
          <w:lang w:val="en-US" w:eastAsia="zh-CN"/>
        </w:rPr>
        <w:t xml:space="preserve"> </w:t>
      </w:r>
      <w:r>
        <w:rPr>
          <w:highlight w:val="none"/>
          <w:lang w:val="en-US" w:eastAsia="zh-CN"/>
        </w:rPr>
        <w:t>In the context of dairy cows, transcriptional regulation is crucial for mammary epithelial cell responses to pathogen invasion and for coordinating immune signaling during mastitis.</w:t>
      </w:r>
      <w:r>
        <w:rPr>
          <w:rFonts w:hint="eastAsia"/>
          <w:highlight w:val="none"/>
          <w:lang w:val="en-US" w:eastAsia="zh-CN"/>
        </w:rPr>
        <w:t xml:space="preserve"> (</w:t>
      </w:r>
      <w:r>
        <w:rPr>
          <w:highlight w:val="none"/>
          <w:lang w:eastAsia="zh-CN"/>
        </w:rPr>
        <w:t>Günther</w:t>
      </w:r>
      <w:r>
        <w:rPr>
          <w:rFonts w:hint="eastAsia"/>
          <w:highlight w:val="none"/>
          <w:lang w:eastAsia="zh-CN"/>
        </w:rPr>
        <w:t xml:space="preserve"> et al., 2009</w:t>
      </w:r>
      <w:r>
        <w:rPr>
          <w:rFonts w:hint="eastAsia"/>
          <w:highlight w:val="none"/>
          <w:lang w:val="en-US" w:eastAsia="zh-CN"/>
        </w:rPr>
        <w:t>).</w:t>
      </w:r>
      <w:r>
        <w:rPr>
          <w:highlight w:val="none"/>
          <w:lang w:val="en-US" w:eastAsia="zh-CN"/>
        </w:rPr>
        <w:t xml:space="preserve"> Additionally, terms associated with signal transduction, intracellular signal transduction, cell differentiation, cell adhesion, and apoptosis were significantly enriched, indicating that sEVs may play a role in regulating inflammatory cell differentiation, migration, and survival, thereby affecting the inflammatory process (Dragovich et al., 1998, Wang et al., 2020a). These processes are directly relevant to the mammary gland, where immune cell infiltration and apoptosis of epithelial cells play critical roles in the progression and resolution of mastitis.</w:t>
      </w:r>
      <w:r>
        <w:rPr>
          <w:rFonts w:hint="eastAsia"/>
          <w:highlight w:val="none"/>
          <w:lang w:val="en-US" w:eastAsia="zh-CN"/>
        </w:rPr>
        <w:t xml:space="preserve"> </w:t>
      </w:r>
      <w:r>
        <w:rPr>
          <w:highlight w:val="none"/>
          <w:lang w:val="en-US" w:eastAsia="zh-CN"/>
        </w:rPr>
        <w:t>Apoptosis, for instance, has a dual role: controlled apoptosis helps remove damaged or infected cells to resolve inflammation, whereas excessive apoptosis can compromise mammary barrier integrity and exacerbate tissue damage</w:t>
      </w:r>
      <w:r>
        <w:rPr>
          <w:rFonts w:hint="eastAsia"/>
          <w:highlight w:val="none"/>
          <w:lang w:val="en-US" w:eastAsia="zh-CN"/>
        </w:rPr>
        <w:t xml:space="preserve"> (Van Oostveldt et al., 2002; Zhao and Lacasse, 2008)</w:t>
      </w:r>
      <w:r>
        <w:rPr>
          <w:highlight w:val="none"/>
          <w:lang w:val="en-US" w:eastAsia="zh-CN"/>
        </w:rPr>
        <w:t>. The enrichment of terms related to actin cytoskeleton organization, microtubule, and cell adhesion further supports the importance of sEVs in tissue remodeling and repair (Clarke and Martin, 2021).</w:t>
      </w:r>
      <w:r>
        <w:rPr>
          <w:rFonts w:hint="eastAsia"/>
          <w:highlight w:val="none"/>
          <w:lang w:val="en-US" w:eastAsia="zh-CN"/>
        </w:rPr>
        <w:t xml:space="preserve"> </w:t>
      </w:r>
      <w:r>
        <w:rPr>
          <w:highlight w:val="none"/>
          <w:lang w:val="en-US" w:eastAsia="zh-CN"/>
        </w:rPr>
        <w:t xml:space="preserve">In dairy cows, effective </w:t>
      </w:r>
      <w:bookmarkStart w:id="109" w:name="OLE_LINK22"/>
      <w:r>
        <w:rPr>
          <w:highlight w:val="none"/>
          <w:lang w:val="en-US" w:eastAsia="zh-CN"/>
        </w:rPr>
        <w:t>cytoskeletal</w:t>
      </w:r>
      <w:bookmarkEnd w:id="109"/>
      <w:r>
        <w:rPr>
          <w:highlight w:val="none"/>
          <w:lang w:val="en-US" w:eastAsia="zh-CN"/>
        </w:rPr>
        <w:t xml:space="preserve"> remodeling and cell adhesion are required for maintaining mammary epithelial barrier integrity, which is essential to prevent bacterial penetration and to promote recovery from subclinical mastitis</w:t>
      </w:r>
      <w:r>
        <w:rPr>
          <w:rFonts w:hint="eastAsia"/>
          <w:highlight w:val="none"/>
          <w:lang w:val="en-US" w:eastAsia="zh-CN"/>
        </w:rPr>
        <w:t xml:space="preserve"> (Burvenich et al., 2003)</w:t>
      </w:r>
      <w:r>
        <w:rPr>
          <w:highlight w:val="none"/>
          <w:lang w:val="en-US" w:eastAsia="zh-CN"/>
        </w:rPr>
        <w:t>.</w:t>
      </w:r>
    </w:p>
    <w:p w14:paraId="59F9DA8D">
      <w:pPr>
        <w:rPr>
          <w:highlight w:val="none"/>
          <w:lang w:val="en-US" w:eastAsia="zh-CN"/>
        </w:rPr>
      </w:pPr>
      <w:r>
        <w:rPr>
          <w:highlight w:val="none"/>
          <w:lang w:val="en-US" w:eastAsia="zh-CN"/>
        </w:rPr>
        <w:t xml:space="preserve">KEGG analysis revealed </w:t>
      </w:r>
      <w:r>
        <w:rPr>
          <w:rFonts w:hint="eastAsia"/>
          <w:highlight w:val="none"/>
          <w:lang w:val="en-US" w:eastAsia="zh-CN"/>
        </w:rPr>
        <w:t>several</w:t>
      </w:r>
      <w:r>
        <w:rPr>
          <w:highlight w:val="none"/>
          <w:lang w:val="en-US" w:eastAsia="zh-CN"/>
        </w:rPr>
        <w:t xml:space="preserve"> molecular pathways potentially mediated by the target genes of DE serum sEVs-miRNAs, particularly those related to inflammation, immunity, and tissue repair. For example, the NF-κB signaling pathway, a key regulatory pathway in mastitis, may be influenced by sEVs-miRNAs in modulating downstream inflammatory factors such as TNF-α and IL-6, thereby regulating the inflammatory response (Khan et al., 2020). In our study, we did not detect TNF-α and IL-6 differences directly as we did not analyze differentially mRNAs in serum. IL-6 mRNA was detected in milk but showed no significant difference. To investigate the potential post-transcriptional regulation mediated by miRNAs, we analyzed their target genes and expression patterns. We identified IL1R1, TAB1, ERC1, TNFRSF1A, as predicted target genes of unknown novel miRNAs</w:t>
      </w:r>
      <w:r>
        <w:rPr>
          <w:rFonts w:hint="eastAsia"/>
          <w:highlight w:val="none"/>
          <w:lang w:val="en-US" w:eastAsia="zh-CN"/>
        </w:rPr>
        <w:t xml:space="preserve"> </w:t>
      </w:r>
      <w:r>
        <w:rPr>
          <w:highlight w:val="none"/>
          <w:lang w:val="en-US" w:eastAsia="zh-CN"/>
        </w:rPr>
        <w:t>(novel124_mature,</w:t>
      </w:r>
      <w:r>
        <w:rPr>
          <w:rFonts w:hint="eastAsia"/>
          <w:highlight w:val="none"/>
          <w:lang w:val="en-US" w:eastAsia="zh-CN"/>
        </w:rPr>
        <w:t xml:space="preserve"> </w:t>
      </w:r>
      <w:r>
        <w:rPr>
          <w:highlight w:val="none"/>
          <w:lang w:val="en-US" w:eastAsia="zh-CN"/>
        </w:rPr>
        <w:t>novel136_mature,</w:t>
      </w:r>
      <w:r>
        <w:rPr>
          <w:rFonts w:hint="eastAsia"/>
          <w:highlight w:val="none"/>
          <w:lang w:val="en-US" w:eastAsia="zh-CN"/>
        </w:rPr>
        <w:t xml:space="preserve"> </w:t>
      </w:r>
      <w:r>
        <w:rPr>
          <w:highlight w:val="none"/>
          <w:lang w:val="en-US" w:eastAsia="zh-CN"/>
        </w:rPr>
        <w:t>novel40_mature&gt;novel137_mature&gt;novel229_mature)</w:t>
      </w:r>
      <w:r>
        <w:rPr>
          <w:rFonts w:hint="eastAsia"/>
          <w:highlight w:val="none"/>
          <w:lang w:val="en-US" w:eastAsia="zh-CN"/>
        </w:rPr>
        <w:t xml:space="preserve">, </w:t>
      </w:r>
      <w:r>
        <w:rPr>
          <w:highlight w:val="none"/>
          <w:lang w:val="en-US" w:eastAsia="zh-CN"/>
        </w:rPr>
        <w:t xml:space="preserve">which were significantly upregulated in the inulin group. IL1R1, TAB1, ERC1, and TNFRSF1A are known to activate the NF-κB signaling pathway through different mechanisms. IL1R1 initiates NF-κB activation via the MyD88-dependent pathway in response to IL-1 signaling </w:t>
      </w:r>
      <w:r>
        <w:rPr>
          <w:highlight w:val="none"/>
          <w:lang w:val="en-US" w:eastAsia="zh-CN"/>
        </w:rPr>
        <w:fldChar w:fldCharType="begin"/>
      </w:r>
      <w:r>
        <w:rPr>
          <w:highlight w:val="none"/>
          <w:lang w:val="en-US" w:eastAsia="zh-CN"/>
        </w:rPr>
        <w:instrText xml:space="preserve"> ADDIN EN.CITE &lt;EndNote&gt;&lt;Cite&gt;&lt;Author&gt;Dinarello&lt;/Author&gt;&lt;Year&gt;2009&lt;/Year&gt;&lt;RecNum&gt;364&lt;/RecNum&gt;&lt;DisplayText&gt;(Dinarello, 2009)&lt;/DisplayText&gt;&lt;record&gt;&lt;rec-number&gt;364&lt;/rec-number&gt;&lt;foreign-keys&gt;&lt;key app="EN" db-id="xwvtz5rea2fr2je0p0uppszgwft92rr5pxdp" timestamp="1743113816"&gt;364&lt;/key&gt;&lt;/foreign-keys&gt;&lt;ref-type name="Journal Article"&gt;17&lt;/ref-type&gt;&lt;contributors&gt;&lt;authors&gt;&lt;author&gt;Dinarello, Charles A.&lt;/author&gt;&lt;/authors&gt;&lt;/contributors&gt;&lt;titles&gt;&lt;title&gt;Immunological and Inflammatory Functions of the Interleukin-1 Family&lt;/title&gt;&lt;secondary-title&gt;Annual Review of Immunology&lt;/secondary-title&gt;&lt;/titles&gt;&lt;periodical&gt;&lt;full-title&gt;Annual Review of Immunology&lt;/full-title&gt;&lt;/periodical&gt;&lt;pages&gt;519-550&lt;/pages&gt;&lt;volume&gt;27&lt;/volume&gt;&lt;number&gt;Volume 27, 2009&lt;/number&gt;&lt;keywords&gt;&lt;keyword&gt;caspase-1&lt;/keyword&gt;&lt;keyword&gt;host defense&lt;/keyword&gt;&lt;keyword&gt;inflammasome&lt;/keyword&gt;&lt;keyword&gt;autoinflammatory&lt;/keyword&gt;&lt;keyword&gt;cytokine&lt;/keyword&gt;&lt;/keywords&gt;&lt;dates&gt;&lt;year&gt;2009&lt;/year&gt;&lt;/dates&gt;&lt;isbn&gt;1545-3278&lt;/isbn&gt;&lt;urls&gt;&lt;related-urls&gt;&lt;url&gt;https://www.annualreviews.org/content/journals/10.1146/annurev.immunol.021908.132612&lt;/url&gt;&lt;/related-urls&gt;&lt;/urls&gt;&lt;electronic-resource-num&gt;https://doi.org/10.1146/annurev.immunol.021908.132612&lt;/electronic-resource-num&gt;&lt;/record&gt;&lt;/Cite&gt;&lt;/EndNote&gt;</w:instrText>
      </w:r>
      <w:r>
        <w:rPr>
          <w:highlight w:val="none"/>
          <w:lang w:val="en-US" w:eastAsia="zh-CN"/>
        </w:rPr>
        <w:fldChar w:fldCharType="separate"/>
      </w:r>
      <w:r>
        <w:rPr>
          <w:highlight w:val="none"/>
          <w:lang w:val="en-US" w:eastAsia="zh-CN"/>
        </w:rPr>
        <w:t>(Dinarello, 2009)</w:t>
      </w:r>
      <w:r>
        <w:rPr>
          <w:highlight w:val="none"/>
          <w:lang w:val="en-US" w:eastAsia="zh-CN"/>
        </w:rPr>
        <w:fldChar w:fldCharType="end"/>
      </w:r>
      <w:r>
        <w:rPr>
          <w:highlight w:val="none"/>
          <w:lang w:val="en-US" w:eastAsia="zh-CN"/>
        </w:rPr>
        <w:t xml:space="preserve">. TAB1 and ERC1 serves as critical regulators in NF-κB activation, with TAB1 mediating TNF-α and </w:t>
      </w:r>
      <w:bookmarkStart w:id="110" w:name="OLE_LINK4"/>
      <w:r>
        <w:rPr>
          <w:highlight w:val="none"/>
          <w:lang w:val="en-US" w:eastAsia="zh-CN"/>
        </w:rPr>
        <w:t>IL-1</w:t>
      </w:r>
      <w:bookmarkEnd w:id="110"/>
      <w:r>
        <w:rPr>
          <w:highlight w:val="none"/>
          <w:lang w:val="en-US" w:eastAsia="zh-CN"/>
        </w:rPr>
        <w:t xml:space="preserve"> signaling through TAK1, and ERC1 contributing to TNF-α pathway signal transduction. (Sigala et al., 2004, Sato et al., 2005). TNFRSF1A encodes a transmembrane receptor for TNFα and serves as a key mediator of TNFα-induced NF-κB activation, playing a crucial role in regulating inflammatory responses (Egusquiaguirre et al., 2018). The upregulation of the aforementioned unknown miRNAs may lead to the post-transcriptional repression of their target genes, thereby inhibiting the NF-κB pathway and potentially alleviating inflammation. Additionally, pathways such as the MAPK signaling pathway, the Ras signaling pathway, and the Rap1 signaling pathway, which are associated with inflammation and cell proliferation, indicate that inulin may regulate inflammatory signaling and epithelial cell survival through sEVs, promoting mammary gland repair (Khan et al., 2020, Yan et al., 2022). sEVs may also impact endocytosis, affect their uptake and signaling transduction, while the phospholipase D signaling pathway may play a role in inflammation and membrane remodeling (Gomez-Cambronero, 2010, Platta and Stenmark, 2011).</w:t>
      </w:r>
    </w:p>
    <w:p w14:paraId="614229B0">
      <w:pPr>
        <w:rPr>
          <w:highlight w:val="none"/>
          <w:lang w:val="en-US" w:eastAsia="zh-CN"/>
        </w:rPr>
      </w:pPr>
      <w:r>
        <w:rPr>
          <w:highlight w:val="none"/>
          <w:lang w:val="en-US" w:eastAsia="zh-CN"/>
        </w:rPr>
        <w:t xml:space="preserve">Moreover, sEVs-miRNAs may </w:t>
      </w:r>
      <w:r>
        <w:rPr>
          <w:rFonts w:hint="eastAsia"/>
          <w:highlight w:val="none"/>
          <w:lang w:val="en-US" w:eastAsia="zh-CN"/>
        </w:rPr>
        <w:t>be involved in regulating</w:t>
      </w:r>
      <w:r>
        <w:rPr>
          <w:highlight w:val="none"/>
          <w:lang w:val="en-US" w:eastAsia="zh-CN"/>
        </w:rPr>
        <w:t xml:space="preserve"> metabolism and nutritional </w:t>
      </w:r>
      <w:r>
        <w:rPr>
          <w:rFonts w:hint="eastAsia"/>
          <w:highlight w:val="none"/>
          <w:lang w:val="en-US" w:eastAsia="zh-CN"/>
        </w:rPr>
        <w:t>processes in dairy cows</w:t>
      </w:r>
      <w:r>
        <w:rPr>
          <w:highlight w:val="none"/>
          <w:lang w:val="en-US" w:eastAsia="zh-CN"/>
        </w:rPr>
        <w:t xml:space="preserve">. For instance, differential enrichment of the PPAR signaling pathway in inulin-fed cows suggests a potential role in modulating lipid metabolism and anti-inflammatory responses in the mammary gland. Similarly, pathways related to carbohydrate digestion and absorption, as well as insulin signaling, may contribute to energy metabolism and support cellular repair processes (Fanale et al., 2017, Qiao et al., 2024). The enrichment of the vitamin digestion and absorption pathway suggests that inulin may influence the metabolism of vitamins A, B, D and E through sEVs, </w:t>
      </w:r>
      <w:r>
        <w:rPr>
          <w:rFonts w:hint="eastAsia"/>
          <w:highlight w:val="none"/>
          <w:lang w:val="en-US" w:eastAsia="zh-CN"/>
        </w:rPr>
        <w:t>which may further</w:t>
      </w:r>
      <w:r>
        <w:rPr>
          <w:highlight w:val="none"/>
          <w:lang w:val="en-US" w:eastAsia="zh-CN"/>
        </w:rPr>
        <w:t xml:space="preserve"> regulat</w:t>
      </w:r>
      <w:r>
        <w:rPr>
          <w:rFonts w:hint="eastAsia"/>
          <w:highlight w:val="none"/>
          <w:lang w:val="en-US" w:eastAsia="zh-CN"/>
        </w:rPr>
        <w:t>e</w:t>
      </w:r>
      <w:r>
        <w:rPr>
          <w:highlight w:val="none"/>
          <w:lang w:val="en-US" w:eastAsia="zh-CN"/>
        </w:rPr>
        <w:t xml:space="preserve"> anti-inflammatory, antioxidant, and epithelial repair </w:t>
      </w:r>
      <w:r>
        <w:rPr>
          <w:rFonts w:hint="eastAsia"/>
          <w:highlight w:val="none"/>
          <w:lang w:val="en-US" w:eastAsia="zh-CN"/>
        </w:rPr>
        <w:t>machanisms in the mammary gland</w:t>
      </w:r>
      <w:r>
        <w:rPr>
          <w:highlight w:val="none"/>
          <w:lang w:val="en-US" w:eastAsia="zh-CN"/>
        </w:rPr>
        <w:t xml:space="preserve"> (Zhai et al., 2022, Khan et al., 2024).</w:t>
      </w:r>
    </w:p>
    <w:p w14:paraId="40E7C96C">
      <w:pPr>
        <w:rPr>
          <w:highlight w:val="none"/>
          <w:lang w:val="en-US" w:eastAsia="zh-CN"/>
        </w:rPr>
      </w:pPr>
      <w:r>
        <w:rPr>
          <w:highlight w:val="none"/>
          <w:lang w:val="en-US" w:eastAsia="zh-CN"/>
        </w:rPr>
        <w:t>Serum serves as a critical medium</w:t>
      </w:r>
      <w:r>
        <w:rPr>
          <w:rFonts w:hint="eastAsia"/>
          <w:highlight w:val="none"/>
          <w:lang w:val="en-US" w:eastAsia="zh-CN"/>
        </w:rPr>
        <w:t xml:space="preserve"> that</w:t>
      </w:r>
      <w:r>
        <w:rPr>
          <w:highlight w:val="none"/>
          <w:lang w:val="en-US" w:eastAsia="zh-CN"/>
        </w:rPr>
        <w:t xml:space="preserve"> reflect</w:t>
      </w:r>
      <w:r>
        <w:rPr>
          <w:rFonts w:hint="eastAsia"/>
          <w:highlight w:val="none"/>
          <w:lang w:val="en-US" w:eastAsia="zh-CN"/>
        </w:rPr>
        <w:t>s</w:t>
      </w:r>
      <w:r>
        <w:rPr>
          <w:highlight w:val="none"/>
          <w:lang w:val="en-US" w:eastAsia="zh-CN"/>
        </w:rPr>
        <w:t xml:space="preserve"> systemic physiological and pathological changes, making serum-derived sEVs valuable indicators of whole-body regulatory processes. Unlike localized mammary gland responses, the alterations observed in serum sEVs-miRNAs suggest broader systemic effects of inulin supplementation. These sEVs-associated changes likely reflect the dynamic interplay between immune cells, metabolic tissues, and signaling networks throughout the body. Through modulation of sEVs-mediated gene regulation, inulin may be involved in processes such as inflammation resolution, immune adaptation, and metabolic regulation beyond the mammary gland, thereby contributing to systemic homeostasis and disease resilience.</w:t>
      </w:r>
    </w:p>
    <w:p w14:paraId="40EA36A9">
      <w:pPr>
        <w:pStyle w:val="4"/>
        <w:rPr>
          <w:highlight w:val="none"/>
          <w:lang w:val="en-US"/>
        </w:rPr>
      </w:pPr>
      <w:bookmarkStart w:id="111" w:name="_Toc207979786"/>
      <w:r>
        <w:rPr>
          <w:highlight w:val="none"/>
          <w:lang w:val="en-US"/>
        </w:rPr>
        <w:t>Inulin modulates milk sEVs-miRNAs</w:t>
      </w:r>
      <w:bookmarkEnd w:id="111"/>
    </w:p>
    <w:p w14:paraId="54EEC7B7">
      <w:pPr>
        <w:rPr>
          <w:highlight w:val="none"/>
          <w:lang w:val="en-US" w:eastAsia="zh-CN"/>
        </w:rPr>
      </w:pPr>
      <w:r>
        <w:rPr>
          <w:highlight w:val="none"/>
          <w:lang w:val="en-US" w:eastAsia="zh-CN"/>
        </w:rPr>
        <w:t xml:space="preserve">We also investigated the effects of inulin on the GO and KEGG pathway changes mediated by milk sEVs-miRNAs in </w:t>
      </w:r>
      <w:r>
        <w:rPr>
          <w:rFonts w:hint="eastAsia"/>
          <w:highlight w:val="none"/>
          <w:lang w:val="en-US" w:eastAsia="zh-CN"/>
        </w:rPr>
        <w:t>SCM</w:t>
      </w:r>
      <w:r>
        <w:rPr>
          <w:highlight w:val="none"/>
          <w:lang w:val="en-US" w:eastAsia="zh-CN"/>
        </w:rPr>
        <w:t xml:space="preserve"> cows. In contrast, milk-derived sEVs-miRNAs primarily reflect local regulatory mechanisms within the mammary gland. Our findings indicate that inulin may contribute to mammary gland health by modulating pathways associated with cell structure and function, lipid oxidation and metabolism, immunity and inflammation, as well as digestion and absorption of nutrients. These localized effects highlight the role of sEVs in mediating tissue-specific adaptations that complement systemic regulatory processes.</w:t>
      </w:r>
    </w:p>
    <w:p w14:paraId="67708FBE">
      <w:pPr>
        <w:rPr>
          <w:highlight w:val="none"/>
          <w:lang w:val="en-US" w:eastAsia="zh-CN"/>
        </w:rPr>
      </w:pPr>
      <w:bookmarkStart w:id="112" w:name="OLE_LINK24"/>
      <w:r>
        <w:rPr>
          <w:highlight w:val="none"/>
          <w:lang w:val="en-US" w:eastAsia="zh-CN"/>
        </w:rPr>
        <w:t>The GO analysis revealed significant enrichment in terms related to transmembrane signaling receptor activity, molecular transducer activity, and ion channel activity, all of which highlight the involvement of sEVs-miRNAs in regulating cellular communication and ion homeostasis in the mammary gland (Ma et al., 2020, Xuan et al., 2022). These processes are crucial for maintaining cellular function and integrity, especially during the inflammatory response in mastitis (Wang et al., 2024). Additionally, terms related to the plasma membrane region and Golgi apparatus point to the involvement of membrane-associated proteins in the trafficking and functional modulation of sEVs within mammary cells. This suggests that sEVs are likely involved in the delivery of regulatory miRNAs to target cells, thereby modulating inflammation and cellular responses within the mammary gland (Dai et al., 2022, Wang et al., 2024). Terms like cell junction and anchoring junction further emphasize the role of sEVs in maintaining the structural stability and intercellular communication within the mammary tissue, which is important during tissue remodeling and repair after inflammation (Chen et al., 2020).</w:t>
      </w:r>
    </w:p>
    <w:bookmarkEnd w:id="112"/>
    <w:p w14:paraId="64476B2D">
      <w:pPr>
        <w:rPr>
          <w:highlight w:val="none"/>
          <w:lang w:val="en-US" w:eastAsia="zh-CN"/>
        </w:rPr>
      </w:pPr>
      <w:r>
        <w:rPr>
          <w:highlight w:val="none"/>
          <w:lang w:val="en-US" w:eastAsia="zh-CN"/>
        </w:rPr>
        <w:t>In the KEGG analysis of the target genes of DE miRNAs in milk sEVs between the inulin and control group, the MAPK signaling pathway, the Ras signaling pathway, and the Rap1 signaling pathway were enriched, similar to our findings with the serum sEVs-miRNAs. These pathways are closely related to cell proliferation, migration, and inflammatory responses (Khan et al., 2020, Yan et al., 2022). Although some cancer-related signaling pathways (such as breast cancer) were enriched, this does not imply that dairy cows are prone to cancer. The enrichment of these pathways more likely reflects the role of sEVs-miRNAs in regulating processes such as cell proliferation, migration, immune response, and tissue repair within mammary tissue. While these pathways are involved in cancer development, in this study, they are more likely to represent the biological mechanisms underlying normal inflammatory responses, repair, and immune responses in the mammary gland.</w:t>
      </w:r>
    </w:p>
    <w:p w14:paraId="22E7808E">
      <w:pPr>
        <w:rPr>
          <w:highlight w:val="none"/>
          <w:lang w:val="en-US" w:eastAsia="zh-CN"/>
        </w:rPr>
      </w:pPr>
      <w:r>
        <w:rPr>
          <w:highlight w:val="none"/>
          <w:lang w:val="en-US" w:eastAsia="zh-CN"/>
        </w:rPr>
        <w:t>Additionally, focal adhesion and the Hippo signaling pathway are involved in cell-matrix interactions and tissue remodeling (Seo and Kim, 2018). The enrichment of focal adhesion pathways highlights the importance of interactions between cells and the extracellular matrix in the inflammatory and repair processes within the mammary gland (Jones and Jones, 2024). Meanwhile, the Hippo signaling pathway may be involved in cell proliferation, differentiation, and inflammatory repair, further supporting its role in maintaining mammary tissue function and promoting repair (Seo and Kim, 2018).</w:t>
      </w:r>
    </w:p>
    <w:p w14:paraId="263B8DF2">
      <w:pPr>
        <w:rPr>
          <w:highlight w:val="none"/>
          <w:lang w:val="en-US" w:eastAsia="zh-CN"/>
        </w:rPr>
      </w:pPr>
      <w:r>
        <w:rPr>
          <w:highlight w:val="none"/>
          <w:lang w:val="en-US" w:eastAsia="zh-CN"/>
        </w:rPr>
        <w:t>The endocrine resistance and EGFR tyrosine kinase inhibitor resistance pathways suggest that hormonal and signaling molecule regulation may play a role in the adaptive response of mammary tissue during inflammation (Huszenicza et al., 2004, Zhang et al., 2016, Sharifi et al., 2019). Lastly, the cAMP signaling pathway and axon guidance pathways point to the potential for sEVs-miRNAs to regulate neuroendocrine signaling and cell communication, which could contribute to modulating inflammatory responses and cellular adaptation during tissue repair (Vitali et al., 2015, Zheng et al., 2024). Activation of these pathways may contribute to the alleviation of mammary inflammation and tissue repair. Similarly, the enrichment of the oxytocin signaling pathway, which is crucial for mammary gland contraction and milk release, suggests that inulin may regulate milk production and secretion in dairy cows by modulating oxytocin-related signaling in the mammary gland (Gutman-Ido et al., 2022).</w:t>
      </w:r>
    </w:p>
    <w:p w14:paraId="26846A2E">
      <w:pPr>
        <w:rPr>
          <w:highlight w:val="none"/>
          <w:lang w:val="en-US" w:eastAsia="zh-CN"/>
        </w:rPr>
      </w:pPr>
      <w:r>
        <w:rPr>
          <w:highlight w:val="none"/>
          <w:lang w:val="en-US" w:eastAsia="zh-CN"/>
        </w:rPr>
        <w:t>The sEVs components in milk can reflect the health status of mammary tissue because they contain miRNAs, proteins, and other biomolecules derived from the mammary gland. These components play crucial roles in the immune response, inflammation repair, and regulation of cell function within the mammary gland. By regulating these biomolecules, the sEVs in milk can reflect the physiological changes in the mammary gland and its response to inflammation or injury. Therefore, the sEVs components in milk are not only biomarkers of mammary health but also important mediators in regulating immune responses and promoting repair when the mammary tissue faces stress or inflammation. Analyzing the sEVs components in milk can provide a better understanding of the dynamic changes in mammary health and offer new insights into evaluating and intervening in the pathological status of the mammary gland.</w:t>
      </w:r>
    </w:p>
    <w:p w14:paraId="135F139B">
      <w:pPr>
        <w:pStyle w:val="4"/>
        <w:rPr>
          <w:highlight w:val="none"/>
          <w:lang w:val="en-US"/>
        </w:rPr>
      </w:pPr>
      <w:bookmarkStart w:id="113" w:name="_Toc207979787"/>
      <w:r>
        <w:rPr>
          <w:highlight w:val="none"/>
          <w:lang w:val="en-US"/>
        </w:rPr>
        <w:t>Inulin Modulates milk sEVs-lncRNAs and mRNA</w:t>
      </w:r>
      <w:bookmarkEnd w:id="113"/>
    </w:p>
    <w:p w14:paraId="275F056A">
      <w:pPr>
        <w:rPr>
          <w:highlight w:val="none"/>
          <w:lang w:val="en-US" w:eastAsia="zh-CN"/>
        </w:rPr>
      </w:pPr>
      <w:r>
        <w:rPr>
          <w:highlight w:val="none"/>
          <w:lang w:val="en-US" w:eastAsia="zh-CN"/>
        </w:rPr>
        <w:t>In addition to miRNA, lncRNA and mRNA also represent crucial cargo carried by sEVs. The GO analysis of lncRNAs in milk revealed a range of functional categories related to cellular processes, molecular functions, and interactions. These lncRNAs are involved in various activities such as tRNA binding, peptide binding, isomerase activity, and DNA binding. The presence of DNA-binding transcription factor activity suggests that lncRNAs may play roles in regulating gene expression at the transcriptional level, potentially impacting the inflammatory and repair processes within the mammary gland (Wang et al., 2020a). Additionally, activities like exonuclease activity, chromatin binding, and cyclosporin A binding indicate that lncRNAs could participate in chromatin remodeling, protein degradation, and other cellular regulatory mechanisms that influence the function of mammary cells (Chang et al., 2015, Liddicoat and Lavelle, 2019, Manils et al., 2022).</w:t>
      </w:r>
    </w:p>
    <w:p w14:paraId="035F6ACF">
      <w:pPr>
        <w:rPr>
          <w:highlight w:val="none"/>
          <w:lang w:val="en-US" w:eastAsia="zh-CN"/>
        </w:rPr>
      </w:pPr>
      <w:r>
        <w:rPr>
          <w:highlight w:val="none"/>
          <w:lang w:val="en-US" w:eastAsia="zh-CN"/>
        </w:rPr>
        <w:t>The KEGG pathways associated with milk lncRNAs further support their involvement in key physiological and pathological processes. For example, the VEGF signaling pathway plays a key role in angiogenesis, participating in vascular remodeling and tissue repair, suggesting that lncRNAs may be involved in mammary gland tissue repair (Roy et al., 2008). Additionally, the VEGF pathway is also implicated in immune regulation and oxygen modulation under heat stress conditions, revealing its potential role in immunity and antioxidation (Wang et al., 2021a). The sphingolipid metabolism and retinol metabolism pathways indicate that these lncRNAs could regulate lipid and vitamin metabolism, which are essential for maintaining cellular integrity and function (Blomhoff and Blomhoff, 2006, Yu et al., 2023). Moreover, pathways like the lysosome pathway and apoptosis-related pathways highlight the potential role of lncRNAs in regulating cellular degradation processes and controlling cell survival in response to injury or stress (Du et al., 2017, Yu et al., 2022).</w:t>
      </w:r>
      <w:r>
        <w:rPr>
          <w:rFonts w:hint="eastAsia"/>
          <w:highlight w:val="none"/>
          <w:lang w:val="en-US" w:eastAsia="zh-CN"/>
        </w:rPr>
        <w:t xml:space="preserve"> </w:t>
      </w:r>
      <w:r>
        <w:rPr>
          <w:highlight w:val="none"/>
          <w:lang w:val="en-US" w:eastAsia="zh-CN"/>
        </w:rPr>
        <w:t>Cell survival and apoptosis are critical for mammary gland recovery during mastitis, as apoptosis facilitates the clearance of damaged or infected cells while the survival of healthy epithelial cells supports tissue repair and restoration of glandular function</w:t>
      </w:r>
      <w:r>
        <w:rPr>
          <w:rFonts w:hint="eastAsia"/>
          <w:highlight w:val="none"/>
          <w:lang w:val="en-US" w:eastAsia="zh-CN"/>
        </w:rPr>
        <w:t xml:space="preserve"> (Slama et al., 2020)</w:t>
      </w:r>
      <w:r>
        <w:rPr>
          <w:highlight w:val="none"/>
          <w:lang w:val="en-US" w:eastAsia="zh-CN"/>
        </w:rPr>
        <w:t>.</w:t>
      </w:r>
    </w:p>
    <w:p w14:paraId="7E913C9F">
      <w:pPr>
        <w:rPr>
          <w:highlight w:val="none"/>
          <w:lang w:val="en-US" w:eastAsia="zh-CN"/>
        </w:rPr>
      </w:pPr>
      <w:bookmarkStart w:id="114" w:name="OLE_LINK25"/>
      <w:r>
        <w:rPr>
          <w:highlight w:val="none"/>
          <w:lang w:val="en-US" w:eastAsia="zh-CN"/>
        </w:rPr>
        <w:t>The enrichment of primary immunodeficiency and viral-infection related pathways (e.g., HIV, Hepatitis C), does not imply that dairy cows are susceptible to these diseases. The activation of such pathways could represent the mammary tissue's immune response and repair mechanisms in response to external immune challenges or cellular damage. These enriched pathways indicate the involvement of cellular and molecular processes, such as immune activation, cell survival, and apoptosis, which are essential for maintaining tissue integrity and function (Fischer, 2007, Favaloro et al., 2012). Thus, these viral infection-related pathways provide insight into the biological mechanisms by which the mammary gland responds to stress or injury, rather than suggesting an actual viral infection like HIV in dairy cows.</w:t>
      </w:r>
    </w:p>
    <w:bookmarkEnd w:id="114"/>
    <w:p w14:paraId="496718DD">
      <w:pPr>
        <w:rPr>
          <w:highlight w:val="none"/>
          <w:lang w:val="en-US" w:eastAsia="zh-CN"/>
        </w:rPr>
      </w:pPr>
      <w:r>
        <w:rPr>
          <w:highlight w:val="none"/>
          <w:lang w:val="en-US" w:eastAsia="zh-CN"/>
        </w:rPr>
        <w:t>LncRNA may help improve the protein synthesis capacity of mammary cells by regulating the protein processing in the endoplasmic reticulum, thereby influencing the protein content and quality in milk. Additionally, the health of the endoplasmic reticulum is closely related to the stress response of mammary cells. Under conditions of inflammation or other stress, lncRNA helps mammary cells restore normal function by regulating the protein processing mechanisms associated with the endoplasmic reticulum (Winkler et al., 2015).</w:t>
      </w:r>
    </w:p>
    <w:p w14:paraId="1331AE41">
      <w:pPr>
        <w:rPr>
          <w:highlight w:val="none"/>
          <w:lang w:val="en-US" w:eastAsia="zh-CN"/>
        </w:rPr>
      </w:pPr>
      <w:r>
        <w:rPr>
          <w:highlight w:val="none"/>
          <w:lang w:val="en-US" w:eastAsia="zh-CN"/>
        </w:rPr>
        <w:t>In the GO and KEGG analysis of the mRNA, several signaling pathways related to cell proliferation, immune response, metabolism, and cancer were enriched. First, the spliceosomal complex and precatalytic spliceosome, upregulated in the GO analysis for the inulin-fed animals, indicate that mRNA may play an important role in RNA splicing and gene expression regulation. By regulating these splicing mechanisms, mRNA can influence processes such as cell growth, DNA replication, and fat synthesis, thus indirectly affecting mammary health and milk yield (Yang et al., 2021).</w:t>
      </w:r>
    </w:p>
    <w:p w14:paraId="73F6B087">
      <w:pPr>
        <w:rPr>
          <w:highlight w:val="none"/>
          <w:lang w:val="en-US" w:eastAsia="zh-CN"/>
        </w:rPr>
      </w:pPr>
      <w:r>
        <w:rPr>
          <w:highlight w:val="none"/>
          <w:lang w:val="en-US" w:eastAsia="zh-CN"/>
        </w:rPr>
        <w:t>In the KEGG analysis, several cancer-related signaling pathways were enriched, such as thyroid cancer, small cell lung cancer, and breast cancer. In the present study, the activation of these pathways is more likely associated with the normal processes of cell proliferation, differentiation, and repair in mammary tissue. For example, the NF-κB signaling pathway plays an important role in immune and inflammatory responses, and its activation may help the mammary tissue respond to inflammation or injury (Khan et al., 2020). Although NF-κB is involved in cancer development, its enrichment in this study more likely reflects the normal immune response and repair processes in the mammary tissue (Hoesel and Schmid, 2013). By activating this pathway, the mammary tissue can regulate the activity of immune cells and promote repair, helping the mammary gland recover its healthy function after inflammation or damage.</w:t>
      </w:r>
    </w:p>
    <w:p w14:paraId="476C19A8">
      <w:pPr>
        <w:rPr>
          <w:highlight w:val="none"/>
          <w:lang w:val="en-US" w:eastAsia="zh-CN"/>
        </w:rPr>
      </w:pPr>
      <w:r>
        <w:rPr>
          <w:highlight w:val="none"/>
          <w:lang w:val="en-US" w:eastAsia="zh-CN"/>
        </w:rPr>
        <w:t>Additionally, KEGG pathways such as the amino sugar and nucleotide sugar metabolism and the biosynthesis of nucleotide sugars indicate that mRNA regulates the processes of fat synthesis and sugar metabolism, which may influence fat and sugar metabolism in the mammary gland, thereby affecting the composition and quality of milk. By regulating these metabolic processes, mRNA plays an important role in the energy metabolism and cellular function regulation of mammary tissue.</w:t>
      </w:r>
    </w:p>
    <w:p w14:paraId="417FD83B">
      <w:pPr>
        <w:pStyle w:val="4"/>
        <w:rPr>
          <w:highlight w:val="none"/>
          <w:lang w:val="en-US"/>
        </w:rPr>
      </w:pPr>
      <w:bookmarkStart w:id="115" w:name="_Toc207979788"/>
      <w:r>
        <w:rPr>
          <w:highlight w:val="none"/>
          <w:lang w:val="en-US"/>
        </w:rPr>
        <w:t>Comparison of sEVs-miRNAs in Serum and Milk: Similarities and Differences</w:t>
      </w:r>
      <w:bookmarkEnd w:id="115"/>
    </w:p>
    <w:p w14:paraId="68ABDB2D">
      <w:pPr>
        <w:rPr>
          <w:highlight w:val="none"/>
          <w:lang w:eastAsia="zh-CN"/>
        </w:rPr>
      </w:pPr>
      <w:bookmarkStart w:id="116" w:name="OLE_LINK37"/>
      <w:r>
        <w:rPr>
          <w:highlight w:val="none"/>
          <w:lang w:eastAsia="zh-CN"/>
        </w:rPr>
        <w:t>sEVs-miRNAs have been increasingly recognized as regulators of cellular processes and intercellular communication. They are detectable in various biological fluids, including serum and milk, and may participate in a range of physiological and pathological processes. Although both serum and milk contain sEVs-miRNAs, their molecular profiles and potential roles could differ depending on tissue origin and physiological conditions. In this study, serum and milk samples were collected from different cows, which may contribute to variability in sEVs-miRNA profiles. Comparative analysis may reveal shared and distinct features, but individual variability between cows limits the strength of conclusions. In this section, we discuss the similarities and differences between serum and milk sEVs-miRNAs, focusing on their possible biological functions, signaling pathways, and implications for cellular communication and tissue health, while acknowledging the limitation of sampling from different individuals.</w:t>
      </w:r>
    </w:p>
    <w:bookmarkEnd w:id="116"/>
    <w:p w14:paraId="610C8642">
      <w:pPr>
        <w:pStyle w:val="5"/>
        <w:rPr>
          <w:highlight w:val="none"/>
          <w:lang w:val="en-US"/>
        </w:rPr>
      </w:pPr>
      <w:r>
        <w:rPr>
          <w:highlight w:val="none"/>
          <w:lang w:val="en-US"/>
        </w:rPr>
        <w:t>Similarities in Biological Functions and Pathway Enrichment</w:t>
      </w:r>
    </w:p>
    <w:p w14:paraId="1A6CC485">
      <w:pPr>
        <w:rPr>
          <w:highlight w:val="none"/>
          <w:lang w:eastAsia="zh-CN"/>
        </w:rPr>
      </w:pPr>
      <w:r>
        <w:rPr>
          <w:highlight w:val="none"/>
          <w:lang w:eastAsia="zh-CN"/>
        </w:rPr>
        <w:t>sEVs-miRNAs in both serum and milk play crucial roles in various biological processes. Although they originate from different sources, they exhibit many similarities in function and pathway enrichment, providing valuable insights into their roles in different physiological environments.</w:t>
      </w:r>
    </w:p>
    <w:p w14:paraId="59BBEFA4">
      <w:pPr>
        <w:rPr>
          <w:highlight w:val="none"/>
          <w:lang w:eastAsia="zh-CN"/>
        </w:rPr>
      </w:pPr>
      <w:r>
        <w:rPr>
          <w:highlight w:val="none"/>
          <w:lang w:eastAsia="zh-CN"/>
        </w:rPr>
        <w:t>Firstly, according to the results of GO analysis, both serum and milk sEVs-miRNAs are closely related to cellular structures such as the integral component of plasma membrane, ATP binding, and the Golgi apparatus. The plasma membrane and Golgi apparatus are essential components of cells involved in material transport and signal transduction (Stalder and Gershlick, 2020). In both environments, sEVs-miRNAs, through their association with these cellular structures, may participate in cell-to-cell interactions, signal transduction, and the regulation of material exchange (Su et al., 2024). Furthermore, the common feature of ATP binding suggests that sEVs-miRNAs in both serum and milk may play a role in cellular energy metabolism and functional regulation (Linden et al., 2019).</w:t>
      </w:r>
    </w:p>
    <w:p w14:paraId="19E551CE">
      <w:pPr>
        <w:rPr>
          <w:highlight w:val="none"/>
          <w:lang w:eastAsia="zh-CN"/>
        </w:rPr>
      </w:pPr>
      <w:r>
        <w:rPr>
          <w:highlight w:val="none"/>
          <w:lang w:eastAsia="zh-CN"/>
        </w:rPr>
        <w:t>Secondly, both serum and milk sEVs-miRNAs are enriched in multiple GO terms related to cytoskeletal regulation. The regulation of the cytoskeleton is fundamental to various cellular functions, including maintaining cell shape, movement, and division (Ivanov et al., 2010). Cytoskeletal regulation plays a key role in immune responses, tissue repair, and cell migration (Ivanov et al., 2010). Therefore, the shared enrichment of these GO terms in both fluids suggests that sEVs-miRNAs may have similar roles in regulating cell movement, immune responses, and tissue repair.</w:t>
      </w:r>
    </w:p>
    <w:p w14:paraId="0D7FFC8B">
      <w:pPr>
        <w:rPr>
          <w:highlight w:val="none"/>
          <w:lang w:eastAsia="zh-CN"/>
        </w:rPr>
      </w:pPr>
      <w:r>
        <w:rPr>
          <w:highlight w:val="none"/>
          <w:lang w:eastAsia="zh-CN"/>
        </w:rPr>
        <w:t>However, despite the shared GO terms in serum and milk sEVs miRNA, the magnitude of enrichment differs to some extent. For example, the integral component of the plasma membrane is more significantly enriched in milk sEVs, which may be related to the sEVs secretion mechanisms of mammary epithelial cells and their specific roles in milk. During lactation, mammary epithelial cells may preferentially secrete sEVs enriched in plasma membrane components to facilitate the transfer of nutrients and immune regulatory functions in milk (Yan et al., 2015, Zhang et al., 2021).</w:t>
      </w:r>
    </w:p>
    <w:p w14:paraId="02081686">
      <w:pPr>
        <w:rPr>
          <w:highlight w:val="none"/>
          <w:lang w:eastAsia="zh-CN"/>
        </w:rPr>
      </w:pPr>
      <w:r>
        <w:rPr>
          <w:highlight w:val="none"/>
          <w:lang w:eastAsia="zh-CN"/>
        </w:rPr>
        <w:t>Conversely, we found that the enrichment of Golgi apparatus and ATP binding in serum and milk sEVs is similar, indicating that these functions may be conserved in sEVs from both fluids. Serum and milk sEVs may undergo similar organelle processing and secretion mechanisms, supporting the idea that they may play similar roles in both environments. Moreover, sEVs in both serum and milk may be broadly involved in energy metabolism and ATP-related biological processes. This similarity may help maintain the functional stability of sEVs, allowing them to perform energy-dependent biological functions, such as signal transduction and substance transport, in different physiological environments. Therefore, these conserved biological processes support the generality of sEVs as mediators of intercellular communication, suggesting that they may have similar regulatory functions in different bodily fluids.</w:t>
      </w:r>
    </w:p>
    <w:p w14:paraId="0B54C4BC">
      <w:pPr>
        <w:rPr>
          <w:highlight w:val="none"/>
          <w:lang w:eastAsia="zh-CN"/>
        </w:rPr>
      </w:pPr>
      <w:r>
        <w:rPr>
          <w:highlight w:val="none"/>
          <w:lang w:eastAsia="zh-CN"/>
        </w:rPr>
        <w:t>According to the KEGG pathway analysis, serum and milk sEVs-miRNAs are both involved in the Ras signaling pathway, the Rap1 signaling pathway, the MAPK signaling pathway, focal adhesion, axon guidance, and regulation of actin cytoskeleton. These signaling pathways are crucial for cell proliferation, migration, immune responses, and repair. Specifically, the Ras and MAPK signaling pathways are widely involved in regulating cell growth, differentiation, and immune responses (Ragab et al., 2011). Focal adhesion and regulation of the actin cytoskeleton are related to cell interaction with the extracellular matrix and changes in cell shape and movement (Svitkina, 2018, Jones and Jones, 2024). Both serum- and milk-derived sEVs are involved in the regulation of apoptosis. In serum, apoptosis-related sEVs-miRNAs may reflect systemic immune adaptation to inflammation, while in milk, they act locally within the mammary gland to remove infected or damaged epithelial cells. Together, these systemic and local apoptotic processes contribute to the resolution of mastitis and the restoration of mammary tissue integrity.</w:t>
      </w:r>
      <w:r>
        <w:rPr>
          <w:rFonts w:hint="eastAsia"/>
          <w:highlight w:val="none"/>
          <w:lang w:eastAsia="zh-CN"/>
        </w:rPr>
        <w:t xml:space="preserve"> </w:t>
      </w:r>
      <w:r>
        <w:rPr>
          <w:highlight w:val="none"/>
          <w:lang w:eastAsia="zh-CN"/>
        </w:rPr>
        <w:t>The shared enrichment of these pathways suggests that sEVs-miRNAs in both serum and milk may play similar roles in regulating cell activity, immune responses, and repair processes.</w:t>
      </w:r>
    </w:p>
    <w:p w14:paraId="4E0C20A9">
      <w:pPr>
        <w:rPr>
          <w:highlight w:val="none"/>
          <w:lang w:eastAsia="zh-CN"/>
        </w:rPr>
      </w:pPr>
      <w:bookmarkStart w:id="117" w:name="OLE_LINK26"/>
      <w:r>
        <w:rPr>
          <w:highlight w:val="none"/>
          <w:lang w:eastAsia="zh-CN"/>
        </w:rPr>
        <w:t>Although these pathways were enriched in both serum and milk sEVs, the enrichment levels varied between serum and milk. Serum sEVs showed generally higher enrichment in these pathways, possibly because serum is part of the systemic circulation, which involves a wider range of physiological processes. The broad range of functions in serum may require stronger enrichment of sEVs in multiple signaling pathways. In contrast, while milk sEVs also participate in these pathways, their enrichment levels were lower than those in serum, which may indicate that milk sEVs play a more localized role within the mammary gland environment, with their functions being more specialized or constrained, particularly in processes related to mammary gland physiology. The differences in pathway enrichment may reflect the varying functional focus of serum and milk EVs in different physiological environments.</w:t>
      </w:r>
    </w:p>
    <w:bookmarkEnd w:id="117"/>
    <w:p w14:paraId="1FF04ED2">
      <w:pPr>
        <w:rPr>
          <w:highlight w:val="none"/>
          <w:lang w:eastAsia="zh-CN"/>
        </w:rPr>
      </w:pPr>
      <w:r>
        <w:rPr>
          <w:highlight w:val="none"/>
          <w:lang w:eastAsia="zh-CN"/>
        </w:rPr>
        <w:t>In summary, serum and milk sEVs-miRNAs exhibit similar functions in multiple key cellular processes and signaling pathways. These shared GO terms and KEGG pathways reflect their regulatory roles in different physiological environments. While they may have specific physiological significance and context in each environment, their roles in cell communication, immune regulation, and repair processes are common. This provides important clues for further exploring the potential biological functions of sEVs-miRNAs in serum and milk and their applications in health monitoring.</w:t>
      </w:r>
    </w:p>
    <w:p w14:paraId="61FA144C">
      <w:pPr>
        <w:pStyle w:val="5"/>
        <w:rPr>
          <w:highlight w:val="none"/>
          <w:lang w:val="en-US"/>
        </w:rPr>
      </w:pPr>
      <w:r>
        <w:rPr>
          <w:highlight w:val="none"/>
          <w:lang w:val="en-US"/>
        </w:rPr>
        <w:t>Differences in Biological Functions and Pathway Enrichment</w:t>
      </w:r>
    </w:p>
    <w:p w14:paraId="7517DA5E">
      <w:pPr>
        <w:rPr>
          <w:highlight w:val="none"/>
          <w:lang w:val="en-US" w:eastAsia="zh-CN"/>
        </w:rPr>
      </w:pPr>
      <w:r>
        <w:rPr>
          <w:highlight w:val="none"/>
          <w:lang w:val="en-US" w:eastAsia="zh-CN"/>
        </w:rPr>
        <w:t>Although sEVs-miRNAs in serum and milk exhibit similarities in many aspects, there are also significant differences in certain characteristics and functions. First, sEVs-miRNAs in serum usually originate from various tissues throughout the body, such as the immune system and liver among others. In contrasts, sEVs-miRNAs in milk mainly come from the mammary gland (Alberro et al., 2021). Therefore, sEVs-miRNAs in serum are more likely to reflect systemic physiological conditions and immune responses, whereas sEVs-miRNAs in milk more directly reflect the health status of the mammary gland and its response to endocrine, nutritional, and immune stimuli.</w:t>
      </w:r>
    </w:p>
    <w:p w14:paraId="2F2139D1">
      <w:pPr>
        <w:rPr>
          <w:highlight w:val="none"/>
          <w:lang w:val="en-US" w:eastAsia="zh-CN"/>
        </w:rPr>
      </w:pPr>
      <w:r>
        <w:rPr>
          <w:highlight w:val="none"/>
          <w:lang w:val="en-US" w:eastAsia="zh-CN"/>
        </w:rPr>
        <w:t>In terms of GO analysis, sEVs-miRNAs in serum are more involved in functions related to immune responses and inflammation, such as regulation of transcription and processes related to the cytoskeleton and cell adhesion, reflecting their important role in systemic immune surveillance and cell function regulation (Chen et al., 2020). In contrast, sEVs-miRNAs in milk are more involved in processes related to mammary gland function, such as transport function and membrane protein regulation, indicating that sEVs-miRNAs in milk play a larger role in the mammary gland’s specific metabolic and secretion processes.</w:t>
      </w:r>
    </w:p>
    <w:p w14:paraId="28B3CF88">
      <w:pPr>
        <w:rPr>
          <w:highlight w:val="none"/>
          <w:lang w:val="en-US" w:eastAsia="zh-CN"/>
        </w:rPr>
      </w:pPr>
      <w:r>
        <w:rPr>
          <w:highlight w:val="none"/>
          <w:lang w:val="en-US" w:eastAsia="zh-CN"/>
        </w:rPr>
        <w:t>We observe a similar trend when looking at the KEGG analysis. sEVs-miRNAs in serum are more involved in pathways related to immune responses and inflammation, such as the NF-κB signaling pathway and natural killer cell-mediated cytotoxicity, suggesting that they may play a broader role in systemic immune surveillance and inflammatory responses (Chen et al., 2020, Khan et al., 2020). sEVs-miRNAs in milk, on the other hand, are more enriched in pathways related to mammary gland function and lactation, such as the oxytocin signaling pathway and growth hormone synthesis, secretion and action, reflecting their important role in the regulation of mammary gland-specific functions (Rezaei et al., 2016, Gutman-Ido et al., 2022).</w:t>
      </w:r>
    </w:p>
    <w:p w14:paraId="152D6E9F">
      <w:pPr>
        <w:rPr>
          <w:highlight w:val="none"/>
          <w:lang w:val="en-US" w:eastAsia="zh-CN"/>
        </w:rPr>
      </w:pPr>
      <w:r>
        <w:rPr>
          <w:highlight w:val="none"/>
          <w:lang w:val="en-US" w:eastAsia="zh-CN"/>
        </w:rPr>
        <w:t xml:space="preserve">In addition, sEVs-miRNAs in serum are more involved in systemic metabolic pathways, such as fat and sugar metabolism, suggesting that inulin may improve the health status by regulating energy metabolism </w:t>
      </w:r>
      <w:r>
        <w:rPr>
          <w:highlight w:val="none"/>
          <w:lang w:val="en-US" w:eastAsia="zh-CN"/>
        </w:rPr>
        <w:fldChar w:fldCharType="begin"/>
      </w:r>
      <w:r>
        <w:rPr>
          <w:highlight w:val="none"/>
          <w:lang w:val="en-US" w:eastAsia="zh-CN"/>
        </w:rPr>
        <w:instrText xml:space="preserve"> ADDIN EN.CITE &lt;EndNote&gt;&lt;Cite&gt;&lt;Author&gt;LeBlanc&lt;/Author&gt;&lt;Year&gt;2012&lt;/Year&gt;&lt;RecNum&gt;361&lt;/RecNum&gt;&lt;DisplayText&gt;(LeBlanc, 2012)&lt;/DisplayText&gt;&lt;record&gt;&lt;rec-number&gt;361&lt;/rec-number&gt;&lt;foreign-keys&gt;&lt;key app="EN" db-id="xwvtz5rea2fr2je0p0uppszgwft92rr5pxdp" timestamp="1742175467"&gt;361&lt;/key&gt;&lt;/foreign-keys&gt;&lt;ref-type name="Journal Article"&gt;17&lt;/ref-type&gt;&lt;contributors&gt;&lt;authors&gt;&lt;author&gt;LeBlanc, SJ&lt;/author&gt;&lt;/authors&gt;&lt;/contributors&gt;&lt;titles&gt;&lt;title&gt;Interactions of Metabolism, Inflammation, and Reproductive Tract Health in the Postpartum Period in Dairy Cattle&lt;/title&gt;&lt;secondary-title&gt;Reproduction in Domestic Animals&lt;/secondary-title&gt;&lt;/titles&gt;&lt;periodical&gt;&lt;full-title&gt;Reproduction in Domestic Animals&lt;/full-title&gt;&lt;/periodical&gt;&lt;pages&gt;18-30&lt;/pages&gt;&lt;volume&gt;47&lt;/volume&gt;&lt;number&gt;s5&lt;/number&gt;&lt;dates&gt;&lt;year&gt;2012&lt;/year&gt;&lt;/dates&gt;&lt;isbn&gt;0936-6768&lt;/isbn&gt;&lt;urls&gt;&lt;related-urls&gt;&lt;url&gt;https://onlinelibrary.wiley.com/doi/abs/10.1111/j.1439-0531.2012.02109.x&lt;/url&gt;&lt;/related-urls&gt;&lt;/urls&gt;&lt;electronic-resource-num&gt;https://doi.org/10.1111/j.1439-0531.2012.02109.x&lt;/electronic-resource-num&gt;&lt;/record&gt;&lt;/Cite&gt;&lt;/EndNote&gt;</w:instrText>
      </w:r>
      <w:r>
        <w:rPr>
          <w:highlight w:val="none"/>
          <w:lang w:val="en-US" w:eastAsia="zh-CN"/>
        </w:rPr>
        <w:fldChar w:fldCharType="separate"/>
      </w:r>
      <w:r>
        <w:rPr>
          <w:highlight w:val="none"/>
          <w:lang w:val="en-US" w:eastAsia="zh-CN"/>
        </w:rPr>
        <w:t>(LeBlanc, 2012)</w:t>
      </w:r>
      <w:r>
        <w:rPr>
          <w:highlight w:val="none"/>
          <w:lang w:val="en-US" w:eastAsia="zh-CN"/>
        </w:rPr>
        <w:fldChar w:fldCharType="end"/>
      </w:r>
      <w:r>
        <w:rPr>
          <w:highlight w:val="none"/>
          <w:lang w:val="en-US" w:eastAsia="zh-CN"/>
        </w:rPr>
        <w:t>. sEVs-miRNAs in milk, on the other hand, are more related to the specific metabolic and secretion processes of the mammary gland, which are likely mainly regulated by the mammary microenvironment and local immune cells. These miRNAs may further influence milk yield and composition by modulating mammary epithelial cell function, nutrient transport, and lipid metabolism (Dysin et al., 2021). These differences indicate that although there is overlap in some signaling pathways between sEVs-miRNAs in serum and milk, their functions exhibit significant differences in terms of tissue specificity and physiological environment.</w:t>
      </w:r>
    </w:p>
    <w:p w14:paraId="471EFE9E">
      <w:pPr>
        <w:rPr>
          <w:highlight w:val="none"/>
          <w:lang w:val="en-US" w:eastAsia="zh-CN"/>
        </w:rPr>
      </w:pPr>
      <w:r>
        <w:rPr>
          <w:highlight w:val="none"/>
          <w:lang w:val="en-US" w:eastAsia="zh-CN"/>
        </w:rPr>
        <w:t>In conclusion, sEVs-miRNAs in serum and milk show clear differences in biological functions, signaling pathways, and tissue specificity. These differences reflect their distinct roles in different physiological environments. Serum-derived sEVs-miRNAs are primarily involved in immune regulation, inflammation, and systemic metabolic processes, suggesting that specific miRNAs can be screened as biomarkers related to immune status, inflammatory conditions, and metabolic health. Milk-derived sEVs-miRNAs, on the other hand, are closely associated with mammary gland function, lactation regulation, and local metabolic pathways, indicating that miRNAs can be identified as biomarkers for mammary gland health, milk production, and milk composition. These differences highlight the functional specialization of sEVs in different biofluids and provide valuable insights for their potential application in health monitoring and disease assessment.</w:t>
      </w:r>
    </w:p>
    <w:p w14:paraId="5DA4AD4B">
      <w:pPr>
        <w:pStyle w:val="4"/>
        <w:rPr>
          <w:highlight w:val="none"/>
          <w:lang w:val="en-US"/>
        </w:rPr>
      </w:pPr>
      <w:bookmarkStart w:id="118" w:name="_Toc207979789"/>
      <w:r>
        <w:rPr>
          <w:highlight w:val="none"/>
          <w:lang w:val="en-US"/>
        </w:rPr>
        <w:t>miRNA-lncRNA-mRNA Interaction Network in Inflammatory and Metabolic Regulation</w:t>
      </w:r>
      <w:bookmarkEnd w:id="118"/>
    </w:p>
    <w:p w14:paraId="57136247">
      <w:pPr>
        <w:rPr>
          <w:highlight w:val="none"/>
          <w:lang w:val="en-US" w:eastAsia="zh-CN"/>
        </w:rPr>
      </w:pPr>
      <w:r>
        <w:rPr>
          <w:highlight w:val="none"/>
          <w:lang w:val="en-US" w:eastAsia="zh-CN"/>
        </w:rPr>
        <w:t>There are complex interactions and influences between sEVs-miRNAs, lncRNAs, and mRNAs in milk. We have found that the interactions between them and their joint regulatory effects provide new insights into understanding the functions of these molecules within cells. As RNA molecules, both miRNA and lncRNA, in addition to their direct regulatory effects, can also regulate mRNA expression through mutual sponge effects (Xiao et al., 2022). Therefore, the interactions between miRNA, lncRNA, and mRNA are of great significance in regulating multiple biological processes and signaling pathways (Dehghanian Reyhan et al., 2023). By analyzing their distribution and functions in GO and KEGG pathways, we can explore how they mutually regulate and jointly regulate the physiological functions and immune responses of the mammary gland.</w:t>
      </w:r>
    </w:p>
    <w:p w14:paraId="11990D89">
      <w:pPr>
        <w:pStyle w:val="5"/>
        <w:rPr>
          <w:highlight w:val="none"/>
          <w:lang w:val="en-US"/>
        </w:rPr>
      </w:pPr>
      <w:r>
        <w:rPr>
          <w:highlight w:val="none"/>
          <w:lang w:val="en-US"/>
        </w:rPr>
        <w:t>miRNA Regulation of mRNA</w:t>
      </w:r>
    </w:p>
    <w:p w14:paraId="471C0830">
      <w:pPr>
        <w:rPr>
          <w:highlight w:val="none"/>
          <w:lang w:val="en-US" w:eastAsia="zh-CN"/>
        </w:rPr>
      </w:pPr>
      <w:r>
        <w:rPr>
          <w:highlight w:val="none"/>
          <w:lang w:val="en-US" w:eastAsia="zh-CN"/>
        </w:rPr>
        <w:t>miRNAs regulate protein synthesis by binding to the 3' untranslated region of mRNAs, inhibiting their expression or promoting their degradation (Fernández-Messina et al., 2015). In milk, miRNAs play an important role by targeting genes involved in immune response, cell migration, metabolism, and apoptosis. For example, miRNAs target genes like CASP9 and TAB1, regulating processes such as cell apoptosis, immune response, and inflammation (Chen et al., 2022, Zhang et al., 2022). CASP9 is a key gene associated with apoptosis, and miRNAs may play an important role in immune surveillance and cell growth in the mammary gland by inhibiting its mRNA expression (Zhang et al., 2022). In our study, we found an upregulation of miR-7 and the downregulation of its target gene CASP9, suggesting that miR-7 inhibits the expression of CASP9 through binding. This change affected biological processes related to the thyroid hormone signaling pathway and prostate cancer, both of which play important roles in cell proliferation, metabolism, and stress responses. The downregulation of CASP9 may indicate that cells could shift toward reduced apoptosis and enhanced survival following inulin supplementation.</w:t>
      </w:r>
    </w:p>
    <w:p w14:paraId="6A567F50">
      <w:pPr>
        <w:rPr>
          <w:highlight w:val="none"/>
          <w:lang w:val="en-US" w:eastAsia="zh-CN"/>
        </w:rPr>
      </w:pPr>
      <w:r>
        <w:rPr>
          <w:highlight w:val="none"/>
          <w:lang w:val="en-US" w:eastAsia="zh-CN"/>
        </w:rPr>
        <w:t>Meanwhile, we observed the downregulation of miR-6529a and the upregulation of its target gene TAB1, indicating that the reduced miR-6529a weakens its effect on TAB1, leading to the upregulation of TAB1 expression. The upregulation of TAB1 is involved in regulating the MAPK signaling pathway, which plays an important role in cellular processes. It may enhance immune responses or regulate cell adaptive responses, particularly in processes such as inflammation and cell migration.</w:t>
      </w:r>
    </w:p>
    <w:p w14:paraId="47A886BA">
      <w:pPr>
        <w:pStyle w:val="5"/>
        <w:rPr>
          <w:highlight w:val="none"/>
          <w:lang w:val="en-US"/>
        </w:rPr>
      </w:pPr>
      <w:r>
        <w:rPr>
          <w:highlight w:val="none"/>
          <w:lang w:val="en-US"/>
        </w:rPr>
        <w:t>lncRNA Regulation of mRNA</w:t>
      </w:r>
    </w:p>
    <w:p w14:paraId="165B4D13">
      <w:pPr>
        <w:rPr>
          <w:highlight w:val="none"/>
          <w:lang w:val="en-US" w:eastAsia="zh-CN"/>
        </w:rPr>
      </w:pPr>
      <w:r>
        <w:rPr>
          <w:highlight w:val="none"/>
          <w:lang w:val="en-US" w:eastAsia="zh-CN"/>
        </w:rPr>
        <w:t xml:space="preserve">lncRNAs regulate mRNA expression in various ways, one of which is through sponge effects by binding with miRNAs to relieve their inhibitory effect on mRNA (Ma et al., 2023). In milk, lncRNAs, especially those associated with the cell cycle, immune response, and metabolism, may regulate mRNA expression related to immune response and cell repair via this mechanism (Dehghanian Reyhan et al., 2023, Ma et al., 2023). For example, the PPWD1 and PPIL1 genes are involved in protein folding and pre-mRNA splicing, processes that are critical for maintaining cellular homeostasis and proper gene expression </w:t>
      </w:r>
      <w:r>
        <w:rPr>
          <w:highlight w:val="none"/>
          <w:lang w:val="en-US" w:eastAsia="zh-CN"/>
        </w:rPr>
        <w:fldChar w:fldCharType="begin"/>
      </w:r>
      <w:r>
        <w:rPr>
          <w:highlight w:val="none"/>
          <w:lang w:val="en-US" w:eastAsia="zh-CN"/>
        </w:rPr>
        <w:instrText xml:space="preserve"> ADDIN EN.CITE &lt;EndNote&gt;&lt;Cite&gt;&lt;Author&gt;Thapar&lt;/Author&gt;&lt;Year&gt;2015&lt;/Year&gt;&lt;RecNum&gt;368&lt;/RecNum&gt;&lt;DisplayText&gt;(Thapar, 2015)&lt;/DisplayText&gt;&lt;record&gt;&lt;rec-number&gt;368&lt;/rec-number&gt;&lt;foreign-keys&gt;&lt;key app="EN" db-id="xwvtz5rea2fr2je0p0uppszgwft92rr5pxdp" timestamp="1743296092"&gt;368&lt;/key&gt;&lt;/foreign-keys&gt;&lt;ref-type name="Journal Article"&gt;17&lt;/ref-type&gt;&lt;contributors&gt;&lt;authors&gt;&lt;author&gt;Thapar, Roopa&lt;/author&gt;&lt;/authors&gt;&lt;/contributors&gt;&lt;titles&gt;&lt;title&gt;Roles of Prolyl Isomerases in RNA-Mediated Gene Expression&lt;/title&gt;&lt;secondary-title&gt;Biomolecules&lt;/secondary-title&gt;&lt;/titles&gt;&lt;periodical&gt;&lt;full-title&gt;Biomolecules&lt;/full-title&gt;&lt;/periodical&gt;&lt;pages&gt;974-999&lt;/pages&gt;&lt;volume&gt;5&lt;/volume&gt;&lt;number&gt;2&lt;/number&gt;&lt;dates&gt;&lt;year&gt;2015&lt;/year&gt;&lt;/dates&gt;&lt;isbn&gt;2218-273X&lt;/isbn&gt;&lt;accession-num&gt;doi:10.3390/biom5020974&lt;/accession-num&gt;&lt;urls&gt;&lt;related-urls&gt;&lt;url&gt;https://www.mdpi.com/2218-273X/5/2/974&lt;/url&gt;&lt;/related-urls&gt;&lt;/urls&gt;&lt;/record&gt;&lt;/Cite&gt;&lt;/EndNote&gt;</w:instrText>
      </w:r>
      <w:r>
        <w:rPr>
          <w:highlight w:val="none"/>
          <w:lang w:val="en-US" w:eastAsia="zh-CN"/>
        </w:rPr>
        <w:fldChar w:fldCharType="separate"/>
      </w:r>
      <w:r>
        <w:rPr>
          <w:highlight w:val="none"/>
          <w:lang w:val="en-US" w:eastAsia="zh-CN"/>
        </w:rPr>
        <w:t>(Thapar, 2015)</w:t>
      </w:r>
      <w:r>
        <w:rPr>
          <w:highlight w:val="none"/>
          <w:lang w:val="en-US" w:eastAsia="zh-CN"/>
        </w:rPr>
        <w:fldChar w:fldCharType="end"/>
      </w:r>
      <w:r>
        <w:rPr>
          <w:highlight w:val="none"/>
          <w:lang w:val="en-US" w:eastAsia="zh-CN"/>
        </w:rPr>
        <w:t xml:space="preserve">. Both PPWD1 and PPIL1 were upregulated in our study, suggesting their potential role in enhancing protein synthesis and mRNA processing. These genes participate in the pre-mRNA splicing process, which is essential for the generation of mature mRNA that can be translated into functional proteins </w:t>
      </w:r>
      <w:r>
        <w:rPr>
          <w:highlight w:val="none"/>
          <w:lang w:val="en-US" w:eastAsia="zh-CN"/>
        </w:rPr>
        <w:fldChar w:fldCharType="begin"/>
      </w:r>
      <w:r>
        <w:rPr>
          <w:highlight w:val="none"/>
          <w:lang w:val="en-US" w:eastAsia="zh-CN"/>
        </w:rPr>
        <w:instrText xml:space="preserve"> ADDIN EN.CITE &lt;EndNote&gt;&lt;Cite&gt;&lt;Author&gt;Thapar&lt;/Author&gt;&lt;Year&gt;2015&lt;/Year&gt;&lt;RecNum&gt;368&lt;/RecNum&gt;&lt;DisplayText&gt;(Thapar, 2015)&lt;/DisplayText&gt;&lt;record&gt;&lt;rec-number&gt;368&lt;/rec-number&gt;&lt;foreign-keys&gt;&lt;key app="EN" db-id="xwvtz5rea2fr2je0p0uppszgwft92rr5pxdp" timestamp="1743296092"&gt;368&lt;/key&gt;&lt;/foreign-keys&gt;&lt;ref-type name="Journal Article"&gt;17&lt;/ref-type&gt;&lt;contributors&gt;&lt;authors&gt;&lt;author&gt;Thapar, Roopa&lt;/author&gt;&lt;/authors&gt;&lt;/contributors&gt;&lt;titles&gt;&lt;title&gt;Roles of Prolyl Isomerases in RNA-Mediated Gene Expression&lt;/title&gt;&lt;secondary-title&gt;Biomolecules&lt;/secondary-title&gt;&lt;/titles&gt;&lt;periodical&gt;&lt;full-title&gt;Biomolecules&lt;/full-title&gt;&lt;/periodical&gt;&lt;pages&gt;974-999&lt;/pages&gt;&lt;volume&gt;5&lt;/volume&gt;&lt;number&gt;2&lt;/number&gt;&lt;dates&gt;&lt;year&gt;2015&lt;/year&gt;&lt;/dates&gt;&lt;isbn&gt;2218-273X&lt;/isbn&gt;&lt;accession-num&gt;doi:10.3390/biom5020974&lt;/accession-num&gt;&lt;urls&gt;&lt;related-urls&gt;&lt;url&gt;https://www.mdpi.com/2218-273X/5/2/974&lt;/url&gt;&lt;/related-urls&gt;&lt;/urls&gt;&lt;/record&gt;&lt;/Cite&gt;&lt;/EndNote&gt;</w:instrText>
      </w:r>
      <w:r>
        <w:rPr>
          <w:highlight w:val="none"/>
          <w:lang w:val="en-US" w:eastAsia="zh-CN"/>
        </w:rPr>
        <w:fldChar w:fldCharType="separate"/>
      </w:r>
      <w:r>
        <w:rPr>
          <w:highlight w:val="none"/>
          <w:lang w:val="en-US" w:eastAsia="zh-CN"/>
        </w:rPr>
        <w:t>(Thapar, 2015)</w:t>
      </w:r>
      <w:r>
        <w:rPr>
          <w:highlight w:val="none"/>
          <w:lang w:val="en-US" w:eastAsia="zh-CN"/>
        </w:rPr>
        <w:fldChar w:fldCharType="end"/>
      </w:r>
      <w:r>
        <w:rPr>
          <w:highlight w:val="none"/>
          <w:lang w:val="en-US" w:eastAsia="zh-CN"/>
        </w:rPr>
        <w:t>. As a result, the upregulation of PPWD1 and PPIL1 could facilitate more efficient protein folding and splicing, leading to better regulation of gene expression at the post-transcriptional level. The discovery that PPWD1 and PPIL1 are linked to novel lncRNAs indicates that these non-coding RNAs may have previously unrecognized roles in regulating gene expression, particularly in processes related to mRNA splicing and protein synthesis. This could be due to the genes originating from novel lncRNAs, which are not fully annotated in the gene libraries used in the current study. Additionally, some lncRNAs may be expressed only in specific species or cell types and have not been extensively annotated in public databases. These, lncRNAs may play a crucial role in regulating mRNA involved in immunity, cell proliferation, and metabolism.</w:t>
      </w:r>
    </w:p>
    <w:p w14:paraId="419F93A4">
      <w:pPr>
        <w:pStyle w:val="5"/>
        <w:rPr>
          <w:highlight w:val="none"/>
          <w:lang w:val="en-US"/>
        </w:rPr>
      </w:pPr>
      <w:r>
        <w:rPr>
          <w:highlight w:val="none"/>
          <w:lang w:val="en-US"/>
        </w:rPr>
        <w:t>Interaction of miRNA, lncRNA, and mRNA</w:t>
      </w:r>
    </w:p>
    <w:p w14:paraId="11E5AEDB">
      <w:pPr>
        <w:rPr>
          <w:highlight w:val="none"/>
          <w:lang w:eastAsia="zh-CN"/>
        </w:rPr>
      </w:pPr>
      <w:r>
        <w:rPr>
          <w:highlight w:val="none"/>
          <w:lang w:eastAsia="zh-CN"/>
        </w:rPr>
        <w:t>KEGG analysis shows that miRNA, lncRNA, and mRNA in milk are enriched in multiple key signaling pathways, including those related to immune response, cell migration, and metabolism. For instance, miRNAs are closely related to pathways such as the the Ras signaling pathway and the MAPK signaling pathway, which play key roles in cell proliferation, migration, and immune regulation (Ragab et al., 2011, Yan et al., 2022). lncRNAs and mRNAs regulate pathways such as NF-κB signaling pathway, sphingolipid metabolism, and Retinol metabolism, influencing cell growth, metabolism, and immune response (Blomhoff and Blomhoff, 2006, Hoesel and Schmid, 2013, Yu et al., 2023). The overlap of these signaling pathways further demonstrates the potential synergistic roles of miRNA, lncRNA, and mRNA in the physiological processes of the mammary gland.</w:t>
      </w:r>
    </w:p>
    <w:p w14:paraId="5313E69D">
      <w:pPr>
        <w:rPr>
          <w:highlight w:val="none"/>
          <w:lang w:eastAsia="zh-CN"/>
        </w:rPr>
      </w:pPr>
      <w:r>
        <w:rPr>
          <w:highlight w:val="none"/>
          <w:lang w:eastAsia="zh-CN"/>
        </w:rPr>
        <w:t>The miRNA, lncRNA, and mRNA in milk jointly regulate the immune response, metabolism, and cell proliferation processes in the mammary gland through a complex interaction network. miRNAs directly regulate the expression of mRNA, while lncRNAs influence mRNA transcription and translation through sponge effects and regulation of gene splicing and transcription. The synergistic actions of the three in the regulation of multiple biological processes highlight their important roles in mammary gland physiology and immune surveillance. These interactions provide a deeper understanding of the potential applications of sEVs-RNAs in health monitoring and disease prevention.</w:t>
      </w:r>
    </w:p>
    <w:p w14:paraId="317056C3">
      <w:pPr>
        <w:pStyle w:val="4"/>
        <w:rPr>
          <w:highlight w:val="none"/>
          <w:lang w:val="en-US"/>
        </w:rPr>
      </w:pPr>
      <w:bookmarkStart w:id="119" w:name="_Toc207979790"/>
      <w:r>
        <w:rPr>
          <w:highlight w:val="none"/>
          <w:lang w:val="en-US"/>
        </w:rPr>
        <w:t>Inulin Regulation of sEVs Composition and Secretion</w:t>
      </w:r>
      <w:bookmarkEnd w:id="119"/>
    </w:p>
    <w:p w14:paraId="790AE5D2">
      <w:pPr>
        <w:rPr>
          <w:highlight w:val="none"/>
          <w:lang w:eastAsia="zh-CN"/>
        </w:rPr>
      </w:pPr>
      <w:r>
        <w:rPr>
          <w:highlight w:val="none"/>
          <w:lang w:eastAsia="zh-CN"/>
        </w:rPr>
        <w:t xml:space="preserve">Inulin, as a prebiotic, can promote the growth of beneficial microbiota (such as bifidobacteria and lactobacilli). These probiotics ferment inulin to produce SCFAs, such as acetate, propionate, and butyrate. These metabolic products not only provide energy for </w:t>
      </w:r>
      <w:r>
        <w:rPr>
          <w:rFonts w:hint="eastAsia"/>
          <w:highlight w:val="none"/>
          <w:lang w:eastAsia="zh-CN"/>
        </w:rPr>
        <w:t>rumen</w:t>
      </w:r>
      <w:r>
        <w:rPr>
          <w:highlight w:val="none"/>
          <w:lang w:eastAsia="zh-CN"/>
        </w:rPr>
        <w:t xml:space="preserve"> bacteria but also regulate the </w:t>
      </w:r>
      <w:r>
        <w:rPr>
          <w:rFonts w:hint="eastAsia"/>
          <w:highlight w:val="none"/>
          <w:lang w:eastAsia="zh-CN"/>
        </w:rPr>
        <w:t>rumen</w:t>
      </w:r>
      <w:r>
        <w:rPr>
          <w:highlight w:val="none"/>
          <w:lang w:eastAsia="zh-CN"/>
        </w:rPr>
        <w:t xml:space="preserve"> </w:t>
      </w:r>
      <w:r>
        <w:rPr>
          <w:rFonts w:hint="eastAsia"/>
          <w:highlight w:val="none"/>
          <w:lang w:eastAsia="zh-CN"/>
        </w:rPr>
        <w:t>fermentation</w:t>
      </w:r>
      <w:r>
        <w:rPr>
          <w:highlight w:val="none"/>
          <w:lang w:eastAsia="zh-CN"/>
        </w:rPr>
        <w:t>, immune responses, and metabolic pathways (Wang et al., 2021b).</w:t>
      </w:r>
      <w:r>
        <w:rPr>
          <w:rFonts w:hint="eastAsia"/>
          <w:highlight w:val="none"/>
          <w:lang w:eastAsia="zh-CN"/>
        </w:rPr>
        <w:t xml:space="preserve"> </w:t>
      </w:r>
      <w:r>
        <w:rPr>
          <w:highlight w:val="none"/>
          <w:lang w:eastAsia="zh-CN"/>
        </w:rPr>
        <w:t>In dairy cows, SCFAs have been reported to alleviate mastitis by modulating immune homeostasis, reducing inflammation, and enhancing epithelial barrier function, potentially acting through the rumen</w:t>
      </w:r>
      <w:r>
        <w:rPr>
          <w:rFonts w:hint="eastAsia"/>
          <w:highlight w:val="none"/>
          <w:lang w:eastAsia="zh-CN"/>
        </w:rPr>
        <w:t>-</w:t>
      </w:r>
      <w:r>
        <w:rPr>
          <w:highlight w:val="none"/>
          <w:lang w:eastAsia="zh-CN"/>
        </w:rPr>
        <w:t xml:space="preserve">mammary gland axis to influence </w:t>
      </w:r>
      <w:r>
        <w:rPr>
          <w:rFonts w:hint="eastAsia"/>
          <w:highlight w:val="none"/>
          <w:lang w:eastAsia="zh-CN"/>
        </w:rPr>
        <w:t>sEVs</w:t>
      </w:r>
      <w:r>
        <w:rPr>
          <w:highlight w:val="none"/>
          <w:lang w:eastAsia="zh-CN"/>
        </w:rPr>
        <w:t xml:space="preserve"> and their signaling in the mammary gland</w:t>
      </w:r>
      <w:r>
        <w:rPr>
          <w:rFonts w:hint="eastAsia"/>
          <w:highlight w:val="none"/>
          <w:lang w:eastAsia="zh-CN"/>
        </w:rPr>
        <w:t xml:space="preserve"> (Akhtar et al., 2022; Huang et al., 2024)</w:t>
      </w:r>
      <w:r>
        <w:rPr>
          <w:highlight w:val="none"/>
          <w:lang w:eastAsia="zh-CN"/>
        </w:rPr>
        <w:t>.</w:t>
      </w:r>
    </w:p>
    <w:p w14:paraId="321FA290">
      <w:pPr>
        <w:rPr>
          <w:highlight w:val="none"/>
          <w:lang w:eastAsia="zh-CN"/>
        </w:rPr>
      </w:pPr>
      <w:r>
        <w:rPr>
          <w:highlight w:val="none"/>
          <w:lang w:eastAsia="zh-CN"/>
        </w:rPr>
        <w:t>SCFAs regulate immune, metabolic, and cell growth processes by activating a series of signaling pathways, such as the insulin signaling pathway, the MAPK signaling pathway, and the NF-κB signaling pathway (Yao et al., 2022). These metabolic products play a key role in maintaining metabolic homeostasis in the body, while also reducing inflammation through their action on the immune system, and influencing processes like fat and glucose metabolism (He et al., 2020).</w:t>
      </w:r>
      <w:r>
        <w:rPr>
          <w:rFonts w:hint="eastAsia"/>
          <w:highlight w:val="none"/>
          <w:lang w:eastAsia="zh-CN"/>
        </w:rPr>
        <w:t xml:space="preserve"> </w:t>
      </w:r>
      <w:r>
        <w:rPr>
          <w:highlight w:val="none"/>
          <w:lang w:eastAsia="zh-CN"/>
        </w:rPr>
        <w:t>In dairy cows, SCFAs have been shown to alleviate mastitis by enhancing mucosal immunity, modulating inflammatory responses, and improving host</w:t>
      </w:r>
      <w:r>
        <w:rPr>
          <w:rFonts w:hint="eastAsia"/>
          <w:highlight w:val="none"/>
          <w:lang w:eastAsia="zh-CN"/>
        </w:rPr>
        <w:t>-</w:t>
      </w:r>
      <w:r>
        <w:rPr>
          <w:highlight w:val="none"/>
          <w:lang w:eastAsia="zh-CN"/>
        </w:rPr>
        <w:t xml:space="preserve">pathogen interactions, suggesting their potential as a therapeutic strategy against infections such as </w:t>
      </w:r>
      <w:r>
        <w:rPr>
          <w:i/>
          <w:iCs/>
          <w:highlight w:val="none"/>
          <w:lang w:eastAsia="zh-CN"/>
        </w:rPr>
        <w:t>Staphylococcus aureus</w:t>
      </w:r>
      <w:r>
        <w:rPr>
          <w:highlight w:val="none"/>
          <w:lang w:eastAsia="zh-CN"/>
        </w:rPr>
        <w:t>-induced mastitis</w:t>
      </w:r>
      <w:r>
        <w:rPr>
          <w:rFonts w:hint="eastAsia"/>
          <w:highlight w:val="none"/>
          <w:lang w:eastAsia="zh-CN"/>
        </w:rPr>
        <w:t xml:space="preserve"> (Akhtar et al., 2022)</w:t>
      </w:r>
      <w:r>
        <w:rPr>
          <w:highlight w:val="none"/>
          <w:lang w:eastAsia="zh-CN"/>
        </w:rPr>
        <w:t>.</w:t>
      </w:r>
    </w:p>
    <w:p w14:paraId="02AC3486">
      <w:pPr>
        <w:rPr>
          <w:highlight w:val="none"/>
          <w:lang w:eastAsia="zh-CN"/>
        </w:rPr>
      </w:pPr>
      <w:r>
        <w:rPr>
          <w:highlight w:val="none"/>
          <w:lang w:eastAsia="zh-CN"/>
        </w:rPr>
        <w:t xml:space="preserve">By regulating microbial metabolic products, inulin may affect the function of </w:t>
      </w:r>
      <w:r>
        <w:rPr>
          <w:rFonts w:hint="eastAsia"/>
          <w:highlight w:val="none"/>
          <w:lang w:eastAsia="zh-CN"/>
        </w:rPr>
        <w:t>digestive treat</w:t>
      </w:r>
      <w:r>
        <w:rPr>
          <w:highlight w:val="none"/>
          <w:lang w:eastAsia="zh-CN"/>
        </w:rPr>
        <w:t xml:space="preserve"> and other organ cells, and these changes may be reflected in the composition and secretion of sEVs (Wang et al., 2020b). When inulin modulates the microbiota and metabolic pathways, it may influence the expression of genes related to immune responses and metabolism (Wang et al., 2021b), thereby altering the RNA composition carried by sEVs. For example, SCFAs may cause changes in the expression of immune-related RNAs or metabolism-related RNAs in sEVs, thereby impacting immune surveillance and metabolic process through activation of signaling pathways like NF-κB (He et al., 2020).</w:t>
      </w:r>
      <w:r>
        <w:rPr>
          <w:rFonts w:hint="eastAsia"/>
          <w:highlight w:val="none"/>
          <w:lang w:eastAsia="zh-CN"/>
        </w:rPr>
        <w:t xml:space="preserve"> </w:t>
      </w:r>
      <w:r>
        <w:rPr>
          <w:highlight w:val="none"/>
          <w:lang w:eastAsia="zh-CN"/>
        </w:rPr>
        <w:t>Environmental factors, such as mastitis-associated bacterial infections, can influence rumen microbiota composition and activity, which may in turn impact mammary gland health via the rumen</w:t>
      </w:r>
      <w:r>
        <w:rPr>
          <w:rFonts w:hint="eastAsia"/>
          <w:highlight w:val="none"/>
          <w:lang w:eastAsia="zh-CN"/>
        </w:rPr>
        <w:t>-</w:t>
      </w:r>
      <w:r>
        <w:rPr>
          <w:highlight w:val="none"/>
          <w:lang w:eastAsia="zh-CN"/>
        </w:rPr>
        <w:t>mammary gland axis</w:t>
      </w:r>
      <w:r>
        <w:rPr>
          <w:rFonts w:hint="eastAsia"/>
          <w:highlight w:val="none"/>
          <w:lang w:eastAsia="zh-CN"/>
        </w:rPr>
        <w:t xml:space="preserve"> (Huang et al., 2024)</w:t>
      </w:r>
      <w:r>
        <w:rPr>
          <w:highlight w:val="none"/>
          <w:lang w:eastAsia="zh-CN"/>
        </w:rPr>
        <w:t>. E</w:t>
      </w:r>
      <w:r>
        <w:rPr>
          <w:rFonts w:hint="eastAsia"/>
          <w:highlight w:val="none"/>
          <w:lang w:eastAsia="zh-CN"/>
        </w:rPr>
        <w:t>Vs</w:t>
      </w:r>
      <w:r>
        <w:rPr>
          <w:highlight w:val="none"/>
          <w:lang w:eastAsia="zh-CN"/>
        </w:rPr>
        <w:t xml:space="preserve"> secreted by both host and microbial cells act as important mediators of intercellular communication and immune regulation in this context. Targeting the rumen microbiota and their extracellular vesicles, while modulating the rumen</w:t>
      </w:r>
      <w:r>
        <w:rPr>
          <w:rFonts w:hint="eastAsia"/>
          <w:highlight w:val="none"/>
          <w:lang w:eastAsia="zh-CN"/>
        </w:rPr>
        <w:t>-</w:t>
      </w:r>
      <w:r>
        <w:rPr>
          <w:highlight w:val="none"/>
          <w:lang w:eastAsia="zh-CN"/>
        </w:rPr>
        <w:t>mammary gland axis, could enhance mammary gland health and support the resolution of inflammation in mastitis-affected cows</w:t>
      </w:r>
      <w:r>
        <w:rPr>
          <w:rFonts w:hint="eastAsia"/>
          <w:highlight w:val="none"/>
          <w:lang w:eastAsia="zh-CN"/>
        </w:rPr>
        <w:t xml:space="preserve"> (Huang et al., 2024)</w:t>
      </w:r>
      <w:r>
        <w:rPr>
          <w:highlight w:val="none"/>
          <w:lang w:eastAsia="zh-CN"/>
        </w:rPr>
        <w:t>.</w:t>
      </w:r>
    </w:p>
    <w:p w14:paraId="2367B3BA">
      <w:pPr>
        <w:rPr>
          <w:highlight w:val="none"/>
          <w:lang w:eastAsia="zh-CN"/>
        </w:rPr>
      </w:pPr>
      <w:r>
        <w:rPr>
          <w:highlight w:val="none"/>
          <w:lang w:eastAsia="zh-CN"/>
        </w:rPr>
        <w:t>sEVs can be secreted by cells into the bloodstream and circulate to various tissues throughout the body (Doyle and Wang, 2019). They have specific receptors or ligands on their surface that allow them to bind with membrane receptors of target cells, transmitting the signals they carry to the target cells (Mathieu et al., 2019). Mammary gland cells, through interactions with blood and local immune cells, may absorb and process sEVs (Dysin et al., 2021). In this way, the molecules in sEVs can regulate immune responses, metabolic activities, and secretion processes in the mammary gland, ultimately affecting its physiological functions.</w:t>
      </w:r>
    </w:p>
    <w:p w14:paraId="5C669F24">
      <w:pPr>
        <w:rPr>
          <w:highlight w:val="none"/>
          <w:lang w:eastAsia="zh-CN"/>
        </w:rPr>
      </w:pPr>
      <w:r>
        <w:rPr>
          <w:highlight w:val="none"/>
          <w:lang w:eastAsia="zh-CN"/>
        </w:rPr>
        <w:t>In our study, comparing inulin-fed animals with control-fed animals revealed significant changes in sEVs-RNA profiles, including miRNAs, mRNAs, and lncRNAs. These differences suggest that inulin supplementation may be associated with alterations in RNAs related to immune and metabolic pathways, such as those involved in NF-κB signaling and metabolic regulation, although direct effects on systemic immune or metabolic outcomes were not measured.</w:t>
      </w:r>
      <w:r>
        <w:rPr>
          <w:rFonts w:hint="eastAsia"/>
          <w:highlight w:val="none"/>
          <w:lang w:eastAsia="zh-CN"/>
        </w:rPr>
        <w:t xml:space="preserve"> </w:t>
      </w:r>
      <w:r>
        <w:rPr>
          <w:highlight w:val="none"/>
          <w:lang w:eastAsia="zh-CN"/>
        </w:rPr>
        <w:t>These changes in immune and metabolic pathways, in turn, influence the composition of sEVs, as the signaling pathways affect the RNA content carried by the sEVs. The molecules in sEVs can then impact these pathways, creating a feedback loop that regulates both immune responses and metabolic processes.</w:t>
      </w:r>
    </w:p>
    <w:p w14:paraId="4F34A37A">
      <w:pPr>
        <w:rPr>
          <w:highlight w:val="none"/>
          <w:lang w:eastAsia="zh-CN"/>
        </w:rPr>
      </w:pPr>
      <w:r>
        <w:rPr>
          <w:highlight w:val="none"/>
          <w:lang w:eastAsia="zh-CN"/>
        </w:rPr>
        <w:t>These findings suggest that inulin supplementation alters the RNA composition of circulating and milk sEVs, which are involved in immune and metabolic signaling pathways. Such changes may contribute to the regulation of systemic immune responses, metabolic health, and mammary gland function. In this way, the present study provides new evidence that sEVs-RNAs can reflect dietary modulation of immune and metabolic processes in cows, offering potential as indicators for functional feed evaluation.</w:t>
      </w:r>
    </w:p>
    <w:p w14:paraId="17C24CAB">
      <w:pPr>
        <w:pStyle w:val="3"/>
        <w:rPr>
          <w:highlight w:val="none"/>
          <w:lang w:eastAsia="zh-CN"/>
        </w:rPr>
      </w:pPr>
      <w:bookmarkStart w:id="120" w:name="_Toc207979791"/>
      <w:r>
        <w:rPr>
          <w:highlight w:val="none"/>
          <w:lang w:eastAsia="zh-CN"/>
        </w:rPr>
        <w:t>Limitations and Perspectives</w:t>
      </w:r>
      <w:bookmarkEnd w:id="120"/>
    </w:p>
    <w:p w14:paraId="4702D58B">
      <w:pPr>
        <w:rPr>
          <w:highlight w:val="none"/>
          <w:lang w:val="en-US" w:eastAsia="zh-CN"/>
        </w:rPr>
      </w:pPr>
      <w:r>
        <w:rPr>
          <w:highlight w:val="none"/>
          <w:lang w:val="en-US" w:eastAsia="zh-CN"/>
        </w:rPr>
        <w:t>This study explores the regulatory effect of inulin on the composition and secretion of sEVs. However, in this last part, we would like to highlight several limitations and give directions for future research.</w:t>
      </w:r>
    </w:p>
    <w:p w14:paraId="7FA08354">
      <w:pPr>
        <w:rPr>
          <w:highlight w:val="none"/>
          <w:lang w:val="en-US" w:eastAsia="zh-CN"/>
        </w:rPr>
      </w:pPr>
      <w:r>
        <w:rPr>
          <w:highlight w:val="none"/>
          <w:lang w:val="en-US" w:eastAsia="zh-CN"/>
        </w:rPr>
        <w:t xml:space="preserve">Firstly, </w:t>
      </w:r>
      <w:r>
        <w:rPr>
          <w:rFonts w:hint="eastAsia"/>
          <w:highlight w:val="none"/>
          <w:lang w:val="en-US" w:eastAsia="zh-CN"/>
        </w:rPr>
        <w:t>t</w:t>
      </w:r>
      <w:r>
        <w:rPr>
          <w:highlight w:val="none"/>
          <w:lang w:val="en-US" w:eastAsia="zh-CN"/>
        </w:rPr>
        <w:t>his study only compared cows with subclinical mastitis that were either supplemented with inulin or not. A more comprehensive design would include healthy cows with and without inulin supplementation as additional controls. Such groups would help clarify whether the observed effects are specific to cows with subclinical mastitis or represent a more general response to inulin across different health states.</w:t>
      </w:r>
      <w:r>
        <w:rPr>
          <w:rFonts w:hint="eastAsia"/>
          <w:highlight w:val="none"/>
          <w:lang w:val="en-US" w:eastAsia="zh-CN"/>
        </w:rPr>
        <w:t xml:space="preserve"> </w:t>
      </w:r>
      <w:r>
        <w:rPr>
          <w:highlight w:val="none"/>
          <w:lang w:val="en-US" w:eastAsia="zh-CN"/>
        </w:rPr>
        <w:t>Moreover, in the present design, samples were collected from different individuals between groups, which may introduce individual variation as a confounding factor. A more robust design would involve four groups in which both serum and milk samples were collected from the same animals. This approach would allow paired comparisons within the same individuals, reduce inter-animal variability, and provide stronger evidence of inulin’s specific effects on sEVs-RNAs and related pathways.</w:t>
      </w:r>
    </w:p>
    <w:p w14:paraId="2E20AFB4">
      <w:pPr>
        <w:rPr>
          <w:highlight w:val="none"/>
          <w:lang w:val="en-US" w:eastAsia="zh-CN"/>
        </w:rPr>
      </w:pPr>
      <w:r>
        <w:rPr>
          <w:highlight w:val="none"/>
          <w:lang w:val="en-US" w:eastAsia="zh-CN"/>
        </w:rPr>
        <w:t>Secondly, the source of sEVs is not clear. Microorganisms, as important entities in the gut, may also secrete sEVs. Since inulin can alter the microbial composition in the rumen and mammary gland, it is possible that microbial-derived sEVs may also be affected and subsequently enter the systemic circulation or reach the mammary gland through the rumen</w:t>
      </w:r>
      <w:r>
        <w:rPr>
          <w:rFonts w:hint="eastAsia"/>
          <w:highlight w:val="none"/>
          <w:lang w:val="en-US" w:eastAsia="zh-CN"/>
        </w:rPr>
        <w:t>-</w:t>
      </w:r>
      <w:r>
        <w:rPr>
          <w:highlight w:val="none"/>
          <w:lang w:val="en-US" w:eastAsia="zh-CN"/>
        </w:rPr>
        <w:t>mammary axis, contributing to the sEV</w:t>
      </w:r>
      <w:r>
        <w:rPr>
          <w:rFonts w:hint="eastAsia"/>
          <w:highlight w:val="none"/>
          <w:lang w:val="en-US" w:eastAsia="zh-CN"/>
        </w:rPr>
        <w:t>s</w:t>
      </w:r>
      <w:r>
        <w:rPr>
          <w:highlight w:val="none"/>
          <w:lang w:val="en-US" w:eastAsia="zh-CN"/>
        </w:rPr>
        <w:t xml:space="preserve"> pool detected in plasma and milk. In addition, the observed changes in sEVs might result from indirect effects, whereby inulin alters the microbial metabolites that modulate host signaling pathways, thereby influencing sEV biogenesis and secretion. Future studies could involve isolating rumen microorganisms, culturing specific microbial populations, and extracting their sEVs-miRNAs. By comparing the RNA composition and functional changes of sEVs before and after inulin intervention, the role of microbial sEVs in regulating physiological processes in the host can be further elucidated.</w:t>
      </w:r>
    </w:p>
    <w:p w14:paraId="38485790">
      <w:pPr>
        <w:rPr>
          <w:highlight w:val="none"/>
          <w:lang w:val="en-US" w:eastAsia="zh-CN"/>
        </w:rPr>
      </w:pPr>
      <w:r>
        <w:rPr>
          <w:highlight w:val="none"/>
          <w:lang w:val="en-US" w:eastAsia="zh-CN"/>
        </w:rPr>
        <w:t>Thirdly, the miRNA-lncRNA-mRNA interaction network, while identified in this study, still needs validation through in vitro experiments. The results provide a theoretical framework, but to better understand the regulatory roles of these molecules in sEVs and their mechanisms, more specific experimental evidence is needed. Further research can refer to the method in the article where a circRNA/lncRNA-miRNA-mRNA regulatory network was constructed to identify potential relationships (Xiao et al., 2022), and then evaluate the impact on sEVs-RNA composition and its biological functions in vivo through overexpression or knockdown experiments of miRNA or lncRNA in animal models.</w:t>
      </w:r>
    </w:p>
    <w:p w14:paraId="4A5408A0">
      <w:pPr>
        <w:rPr>
          <w:highlight w:val="none"/>
          <w:lang w:val="en-US" w:eastAsia="zh-CN"/>
        </w:rPr>
      </w:pPr>
      <w:bookmarkStart w:id="121" w:name="OLE_LINK19"/>
      <w:r>
        <w:rPr>
          <w:highlight w:val="none"/>
          <w:lang w:val="en-US" w:eastAsia="zh-CN"/>
        </w:rPr>
        <w:t xml:space="preserve">Lastly, sample size and individual variation remain important limitations of this study. Dairy cows differ in lactation stage, parity, and </w:t>
      </w:r>
      <w:r>
        <w:rPr>
          <w:rFonts w:hint="eastAsia"/>
          <w:highlight w:val="none"/>
          <w:lang w:val="en-US" w:eastAsia="zh-CN"/>
        </w:rPr>
        <w:t>SCC</w:t>
      </w:r>
      <w:r>
        <w:rPr>
          <w:highlight w:val="none"/>
          <w:lang w:val="en-US" w:eastAsia="zh-CN"/>
        </w:rPr>
        <w:t xml:space="preserve">, factors that are known to influence mastitis status and could potentially confound the outcomes. To minimize such effects, future studies should expand the sample size and carefully select animals with comparable health status and </w:t>
      </w:r>
      <w:r>
        <w:rPr>
          <w:rFonts w:hint="eastAsia"/>
          <w:highlight w:val="none"/>
          <w:lang w:val="en-US" w:eastAsia="zh-CN"/>
        </w:rPr>
        <w:t>SCC</w:t>
      </w:r>
      <w:r>
        <w:rPr>
          <w:highlight w:val="none"/>
          <w:lang w:val="en-US" w:eastAsia="zh-CN"/>
        </w:rPr>
        <w:t>. Alternatively, a before-and-after design within the same cows could be applied to minimize between-group differences, thereby providing a clearer assessment of the effects of inulin supplementation.</w:t>
      </w:r>
    </w:p>
    <w:bookmarkEnd w:id="121"/>
    <w:p w14:paraId="779DAA06">
      <w:pPr>
        <w:rPr>
          <w:highlight w:val="none"/>
          <w:lang w:val="en-US" w:eastAsia="zh-CN"/>
        </w:rPr>
      </w:pPr>
      <w:r>
        <w:rPr>
          <w:highlight w:val="none"/>
          <w:lang w:val="en-US" w:eastAsia="zh-CN"/>
        </w:rPr>
        <w:t>In conclusion, this study provides preliminary data on the effects of inulin on sEVs, but several limitations remain. These can be addressed by refining experimental design</w:t>
      </w:r>
      <w:r>
        <w:rPr>
          <w:rFonts w:hint="eastAsia"/>
          <w:highlight w:val="none"/>
          <w:lang w:val="en-US" w:eastAsia="zh-CN"/>
        </w:rPr>
        <w:t xml:space="preserve">, </w:t>
      </w:r>
      <w:r>
        <w:rPr>
          <w:highlight w:val="none"/>
          <w:lang w:val="en-US" w:eastAsia="zh-CN"/>
        </w:rPr>
        <w:t>conduct</w:t>
      </w:r>
      <w:r>
        <w:rPr>
          <w:rFonts w:hint="eastAsia"/>
          <w:highlight w:val="none"/>
          <w:lang w:val="en-US" w:eastAsia="zh-CN"/>
        </w:rPr>
        <w:t>ing</w:t>
      </w:r>
      <w:r>
        <w:rPr>
          <w:highlight w:val="none"/>
          <w:lang w:val="en-US" w:eastAsia="zh-CN"/>
        </w:rPr>
        <w:t xml:space="preserve"> validation experiment</w:t>
      </w:r>
      <w:r>
        <w:rPr>
          <w:rFonts w:hint="eastAsia"/>
          <w:highlight w:val="none"/>
          <w:lang w:val="en-US" w:eastAsia="zh-CN"/>
        </w:rPr>
        <w:t>s,</w:t>
      </w:r>
      <w:r>
        <w:rPr>
          <w:highlight w:val="none"/>
          <w:lang w:val="en-US" w:eastAsia="zh-CN"/>
        </w:rPr>
        <w:t xml:space="preserve"> and verifying theoretical hypotheses. Such future research will further explore the potential role of inulin in regulating the composition and function of sEVs, offering a solid theoretical foundation for understanding the role of prebiotics in immune modulation, metabolic regulation, and mammary gland function.</w:t>
      </w:r>
    </w:p>
    <w:p w14:paraId="26BA3C25">
      <w:pPr>
        <w:pStyle w:val="3"/>
        <w:rPr>
          <w:highlight w:val="none"/>
          <w:lang w:eastAsia="zh-CN"/>
        </w:rPr>
      </w:pPr>
      <w:bookmarkStart w:id="122" w:name="_Toc207979792"/>
      <w:r>
        <w:rPr>
          <w:highlight w:val="none"/>
          <w:lang w:eastAsia="zh-CN"/>
        </w:rPr>
        <w:t>General Conclusion</w:t>
      </w:r>
      <w:bookmarkEnd w:id="122"/>
    </w:p>
    <w:p w14:paraId="7324B604">
      <w:pPr>
        <w:rPr>
          <w:highlight w:val="none"/>
          <w:lang w:val="en-US" w:eastAsia="zh-CN"/>
        </w:rPr>
      </w:pPr>
      <w:r>
        <w:rPr>
          <w:highlight w:val="none"/>
          <w:lang w:val="en-US" w:eastAsia="zh-CN"/>
        </w:rPr>
        <w:t>This study investigated whether inulin supplementation influences the composition of sEVs-RNAs in serum and milk of cows with subclinical mastitis. The results showed that inulin was associated with alterations in the composition of miRNAs, lncRNAs, and mRNAs in sEVs, which may be involved in immune and metabolic signaling pathways</w:t>
      </w:r>
      <w:r>
        <w:rPr>
          <w:rFonts w:hint="eastAsia"/>
          <w:highlight w:val="none"/>
          <w:lang w:val="en-US" w:eastAsia="zh-CN"/>
        </w:rPr>
        <w:t>.</w:t>
      </w:r>
      <w:r>
        <w:rPr>
          <w:highlight w:val="none"/>
          <w:lang w:val="en-US" w:eastAsia="zh-CN"/>
        </w:rPr>
        <w:t xml:space="preserve"> In cows fed with inulin, miRNAs related to inflammation and immune regulation were differentially expressed, and some of these miRNAs may interact with lncRNAs and downstream signaling pathways, potentially influencing immune responses. Additionally, certain RNAs associated with energy metabolism also showed differential expression, suggesting that inulin could modulate host metabolic signaling. These changes in sEVs-RNAs indicate possible effects on immune and metabolic pathways, providing a perspective for considering sEVs-RNAs as indicators in the evaluation of functional feed additives.</w:t>
      </w:r>
    </w:p>
    <w:p w14:paraId="6267B3FB">
      <w:pPr>
        <w:rPr>
          <w:highlight w:val="none"/>
          <w:lang w:val="en-US" w:eastAsia="zh-CN"/>
        </w:rPr>
      </w:pPr>
      <w:r>
        <w:rPr>
          <w:highlight w:val="none"/>
          <w:lang w:val="en-US" w:eastAsia="zh-CN"/>
        </w:rPr>
        <w:t>These findings further expand our understanding of how dietary fiber influences host physiological processes through the sEVs-RNAs pathway and provide new insights into developing dietary-based strategies for mastitis prevention. This study suggests that sEVs may serve as important molecular carriers mediating dietary interventions in dairy cows, and changes in their RNA composition could be potential biomarkers for assessing mammary gland health. Furthermore, the miRNA-lncRNA-mRNA interaction network may play a crucial role in inflammation regulation, offering a new perspective for studying RNA-mediated inflammation alleviation mechanisms.</w:t>
      </w:r>
    </w:p>
    <w:p w14:paraId="1AC185B1">
      <w:pPr>
        <w:rPr>
          <w:highlight w:val="none"/>
          <w:lang w:val="en-US" w:eastAsia="zh-CN"/>
        </w:rPr>
      </w:pPr>
      <w:r>
        <w:rPr>
          <w:highlight w:val="none"/>
          <w:lang w:val="en-US" w:eastAsia="zh-CN"/>
        </w:rPr>
        <w:t>However, this study still has some limitations, such as the unclear origin of sEVs and the need for further validation of the miRNA-lncRNA-mRNA regulatory network. Future studies should incorporate in vitro experiments to elucidate the underlying mechanisms and expand sample sizes to enhance result stability and applicability. These efforts will contribute to a more comprehensive understanding of the regulatory effects of dietary fiber on dairy cow health and provide a scientific basis for the early diagnosis and intervention strategies of mastitis based on sEVs.</w:t>
      </w:r>
    </w:p>
    <w:p w14:paraId="0CFE68AB">
      <w:pPr>
        <w:spacing w:after="200" w:line="276" w:lineRule="auto"/>
        <w:ind w:firstLine="0"/>
        <w:jc w:val="left"/>
        <w:rPr>
          <w:b/>
          <w:sz w:val="32"/>
          <w:szCs w:val="32"/>
          <w:highlight w:val="none"/>
          <w:lang w:val="en-US" w:eastAsia="zh-CN"/>
        </w:rPr>
      </w:pPr>
      <w:r>
        <w:rPr>
          <w:b/>
          <w:sz w:val="32"/>
          <w:szCs w:val="32"/>
          <w:highlight w:val="none"/>
          <w:lang w:val="en-US" w:eastAsia="zh-CN"/>
        </w:rPr>
        <w:br w:type="page"/>
      </w:r>
      <w:r>
        <w:rPr>
          <w:b/>
          <w:sz w:val="32"/>
          <w:szCs w:val="32"/>
          <w:highlight w:val="none"/>
          <w:lang w:val="en-US" w:eastAsia="zh-CN"/>
        </w:rPr>
        <w:br w:type="page"/>
      </w:r>
    </w:p>
    <w:p w14:paraId="6EB403A0">
      <w:pPr>
        <w:spacing w:after="200" w:line="276" w:lineRule="auto"/>
        <w:ind w:firstLine="0"/>
        <w:jc w:val="left"/>
        <w:rPr>
          <w:b/>
          <w:sz w:val="32"/>
          <w:szCs w:val="32"/>
          <w:highlight w:val="none"/>
          <w:lang w:val="en-US" w:eastAsia="zh-CN"/>
        </w:rPr>
        <w:sectPr>
          <w:headerReference r:id="rId48" w:type="default"/>
          <w:headerReference r:id="rId49" w:type="even"/>
          <w:pgSz w:w="9639" w:h="13608"/>
          <w:pgMar w:top="1361" w:right="907" w:bottom="1021" w:left="1247" w:header="709" w:footer="312" w:gutter="0"/>
          <w:cols w:space="708" w:num="1"/>
          <w:docGrid w:linePitch="360" w:charSpace="0"/>
        </w:sectPr>
      </w:pPr>
    </w:p>
    <w:p w14:paraId="130C0F6B">
      <w:pPr>
        <w:pStyle w:val="3"/>
        <w:numPr>
          <w:ilvl w:val="0"/>
          <w:numId w:val="0"/>
        </w:numPr>
        <w:ind w:left="170"/>
        <w:rPr>
          <w:highlight w:val="none"/>
          <w:lang w:eastAsia="fr-FR"/>
        </w:rPr>
      </w:pPr>
      <w:bookmarkStart w:id="123" w:name="_Toc207979793"/>
      <w:r>
        <w:rPr>
          <w:highlight w:val="none"/>
          <w:lang w:eastAsia="fr-FR"/>
        </w:rPr>
        <w:t>References</w:t>
      </w:r>
      <w:bookmarkEnd w:id="123"/>
    </w:p>
    <w:p w14:paraId="4D39A31A">
      <w:pPr>
        <w:pStyle w:val="84"/>
        <w:spacing w:after="0"/>
        <w:rPr>
          <w:highlight w:val="none"/>
        </w:rPr>
      </w:pPr>
      <w:r>
        <w:rPr>
          <w:highlight w:val="none"/>
        </w:rPr>
        <w:fldChar w:fldCharType="begin"/>
      </w:r>
      <w:r>
        <w:rPr>
          <w:highlight w:val="none"/>
        </w:rPr>
        <w:instrText xml:space="preserve"> ADDIN EN.REFLIST </w:instrText>
      </w:r>
      <w:r>
        <w:rPr>
          <w:highlight w:val="none"/>
        </w:rPr>
        <w:fldChar w:fldCharType="separate"/>
      </w:r>
      <w:r>
        <w:rPr>
          <w:highlight w:val="none"/>
        </w:rPr>
        <w:t>Abd El Hafez, S. M., A. B. Ismael, M. B. Mahmoud, and A.-K. A. Elaraby. 2013. Development of new strategy for non-antibiotic therapy: bovine lactoferrin has a potent antimicrobial and immunomodulator effects.</w:t>
      </w:r>
    </w:p>
    <w:p w14:paraId="6CB377A2">
      <w:pPr>
        <w:pStyle w:val="84"/>
        <w:spacing w:after="0"/>
        <w:rPr>
          <w:highlight w:val="none"/>
        </w:rPr>
      </w:pPr>
      <w:r>
        <w:rPr>
          <w:highlight w:val="none"/>
        </w:rPr>
        <w:t>Acharya, D., P. Parida, H. S. Mohapatra, S. L. Sahoo, and J. R. Rout. 2022. Bovine mastitis: Causes and phytoremedies. Journal of Pure Applied Microbiology 16(4):2259-2269.</w:t>
      </w:r>
    </w:p>
    <w:p w14:paraId="705592F3">
      <w:pPr>
        <w:pStyle w:val="84"/>
        <w:spacing w:after="0"/>
        <w:rPr>
          <w:highlight w:val="none"/>
        </w:rPr>
      </w:pPr>
      <w:r>
        <w:rPr>
          <w:highlight w:val="none"/>
        </w:rPr>
        <w:t>Akhtar, M., S. U.-A.-S. Naqvi, Q. Liu, H. Pan, Z. Ma, N. Kong, Y. Chen, D. Shi, M. F.-e.-A. Kulyar, J. A. Khan, and H. Liu. 2022. Short Chain Fatty Acids (SCFAs) Are the Potential Immunomodulatory Metabolites in Controlling Staphylococcus aureus-Mediated Mastitis. Nutrients 14(18):3687.</w:t>
      </w:r>
    </w:p>
    <w:p w14:paraId="560E1B61">
      <w:pPr>
        <w:pStyle w:val="84"/>
        <w:spacing w:after="0"/>
        <w:rPr>
          <w:highlight w:val="none"/>
        </w:rPr>
      </w:pPr>
      <w:r>
        <w:rPr>
          <w:highlight w:val="none"/>
        </w:rPr>
        <w:t>Anderson, P. 2009. Intrinsic mRNA stability helps compose the inflammatory symphony. Nature Immunology 10(3):233-234.</w:t>
      </w:r>
    </w:p>
    <w:p w14:paraId="2688A5FD">
      <w:pPr>
        <w:pStyle w:val="84"/>
        <w:spacing w:after="0"/>
        <w:rPr>
          <w:highlight w:val="none"/>
        </w:rPr>
      </w:pPr>
      <w:r>
        <w:rPr>
          <w:highlight w:val="none"/>
        </w:rPr>
        <w:t>Argaw, A. 2016. Review on epidemiology of clinical and subclinical mastitis on dairy cows. Food Science and Quality Management 52(6):56-65.</w:t>
      </w:r>
    </w:p>
    <w:p w14:paraId="25B886CE">
      <w:pPr>
        <w:pStyle w:val="84"/>
        <w:spacing w:after="0"/>
        <w:rPr>
          <w:highlight w:val="none"/>
        </w:rPr>
      </w:pPr>
      <w:r>
        <w:rPr>
          <w:highlight w:val="none"/>
        </w:rPr>
        <w:t>Bakeš, J. and J. Illek. 2006. Plasma ceruloplasmin and fibrinogen during enzyme therapy of mastitis in dairy cows. Acta Veterinaria Brno 75(2):241-246.</w:t>
      </w:r>
    </w:p>
    <w:p w14:paraId="4802C538">
      <w:pPr>
        <w:pStyle w:val="84"/>
        <w:spacing w:after="0"/>
        <w:rPr>
          <w:rFonts w:eastAsiaTheme="minorEastAsia"/>
          <w:highlight w:val="none"/>
          <w:lang w:eastAsia="zh-CN"/>
        </w:rPr>
      </w:pPr>
      <w:r>
        <w:rPr>
          <w:highlight w:val="none"/>
        </w:rPr>
        <w:t>Bartel, D. P. 2009. MicroRNAs: Target Recognition and Regulatory Functions. Cell 136(2):215-233.</w:t>
      </w:r>
    </w:p>
    <w:p w14:paraId="389FF2BB">
      <w:pPr>
        <w:pStyle w:val="84"/>
        <w:spacing w:after="0"/>
        <w:rPr>
          <w:rFonts w:eastAsiaTheme="minorEastAsia"/>
          <w:highlight w:val="none"/>
          <w:lang w:eastAsia="zh-CN"/>
        </w:rPr>
      </w:pPr>
      <w:r>
        <w:rPr>
          <w:rFonts w:eastAsiaTheme="minorEastAsia"/>
          <w:highlight w:val="none"/>
          <w:lang w:eastAsia="zh-CN"/>
        </w:rPr>
        <w:t xml:space="preserve">Beylot, M. 2005. Effects of inulin-type fructans on lipid metabolism in man and in animal models. British Journal of Nutrition, 93(S1), S163–S168. </w:t>
      </w:r>
    </w:p>
    <w:p w14:paraId="1D6DF849">
      <w:pPr>
        <w:pStyle w:val="84"/>
        <w:spacing w:after="0"/>
        <w:rPr>
          <w:rFonts w:eastAsiaTheme="minorEastAsia"/>
          <w:highlight w:val="none"/>
          <w:lang w:eastAsia="zh-CN"/>
        </w:rPr>
      </w:pPr>
      <w:r>
        <w:rPr>
          <w:highlight w:val="none"/>
        </w:rPr>
        <w:t>Bouchard Damien, S., L. Rault, N. Berkova, Y. Le Loir, and S. Even. 2013. Inhibition of Staphylococcus aureus Invasion into Bovine Mammary Epithelial Cells by Contact with Live Lactobacillus casei. Appl Environ Microb 79(3):877-885.</w:t>
      </w:r>
    </w:p>
    <w:p w14:paraId="374B756A">
      <w:pPr>
        <w:pStyle w:val="84"/>
        <w:spacing w:after="0"/>
        <w:rPr>
          <w:rFonts w:eastAsiaTheme="minorEastAsia"/>
          <w:highlight w:val="none"/>
          <w:lang w:eastAsia="zh-CN"/>
        </w:rPr>
      </w:pPr>
      <w:r>
        <w:rPr>
          <w:rFonts w:eastAsiaTheme="minorEastAsia"/>
          <w:highlight w:val="none"/>
          <w:lang w:eastAsia="zh-CN"/>
        </w:rPr>
        <w:t xml:space="preserve">Burvenich, C., Van Merris, V., Mehrzad, J., Diez-Fraile, A., </w:t>
      </w:r>
      <w:r>
        <w:rPr>
          <w:rFonts w:hint="eastAsia" w:eastAsiaTheme="minorEastAsia"/>
          <w:highlight w:val="none"/>
          <w:lang w:eastAsia="zh-CN"/>
        </w:rPr>
        <w:t>and</w:t>
      </w:r>
      <w:r>
        <w:rPr>
          <w:rFonts w:eastAsiaTheme="minorEastAsia"/>
          <w:highlight w:val="none"/>
          <w:lang w:eastAsia="zh-CN"/>
        </w:rPr>
        <w:t xml:space="preserve"> Duchateau, L. 2003. Severity of E. coli mastitis is mainly determined by cow factors. Veterinary research, 34(5), 521-564.</w:t>
      </w:r>
    </w:p>
    <w:p w14:paraId="5D84369E">
      <w:pPr>
        <w:pStyle w:val="84"/>
        <w:spacing w:after="0"/>
        <w:rPr>
          <w:highlight w:val="none"/>
        </w:rPr>
      </w:pPr>
      <w:r>
        <w:rPr>
          <w:highlight w:val="none"/>
        </w:rPr>
        <w:t>Carlsson, Å., L. Björck, and K. Persson. 1989. Lactoferrin and Lysozyme in Milk During Acute Mastitis and Their Inhibitory Effect in Delvotest P. J Dairy Sci 72(12):3166-3175.</w:t>
      </w:r>
    </w:p>
    <w:p w14:paraId="48025751">
      <w:pPr>
        <w:pStyle w:val="84"/>
        <w:spacing w:after="0"/>
        <w:rPr>
          <w:highlight w:val="none"/>
        </w:rPr>
      </w:pPr>
      <w:r>
        <w:rPr>
          <w:highlight w:val="none"/>
        </w:rPr>
        <w:t>Carpenter, S., E. P. Ricci, B. C. Mercier, M. J. Moore, and K. A. Fitzgerald. 2014. Post-transcriptional regulation of gene expression in innate immunity. Nature Reviews Immunology 14(6):361-376.</w:t>
      </w:r>
    </w:p>
    <w:p w14:paraId="131AA7E0">
      <w:pPr>
        <w:pStyle w:val="84"/>
        <w:spacing w:after="0"/>
        <w:rPr>
          <w:highlight w:val="none"/>
        </w:rPr>
      </w:pPr>
      <w:r>
        <w:rPr>
          <w:highlight w:val="none"/>
        </w:rPr>
        <w:t>Carvalho, E. B., M. P. Gionbelli, R. T. S. Rodrigues, S. F. M. Bonilha, C. J. Newbold, S. E. F. Guimarães, W. Silva, L. L. Verardo, F. F. Silva, E. Detmann, and M. S. Duarte. 2019. Differentially expressed mRNAs, proteins and miRNAs associated to energy metabolism in skeletal muscle of beef cattle identified for low and high residual feed intake. Bmc Genomics 20(1):501.</w:t>
      </w:r>
    </w:p>
    <w:p w14:paraId="02703C0D">
      <w:pPr>
        <w:pStyle w:val="84"/>
        <w:spacing w:after="0"/>
        <w:rPr>
          <w:highlight w:val="none"/>
        </w:rPr>
      </w:pPr>
      <w:r>
        <w:rPr>
          <w:highlight w:val="none"/>
        </w:rPr>
        <w:t>Chen, J. F., E. M. Mandel, J. M. Thomson, Q. Wu, T. E. Callis, S. M. Hammond, F. L. Conlon, and D. Z. Wang. 2006. The role of microRNA-1 and microRNA-133 in skeletal muscle proliferation and differentiation. Nat Genet 38(2):228-233.</w:t>
      </w:r>
    </w:p>
    <w:p w14:paraId="5C22DD14">
      <w:pPr>
        <w:pStyle w:val="84"/>
        <w:spacing w:after="0"/>
        <w:rPr>
          <w:highlight w:val="none"/>
        </w:rPr>
      </w:pPr>
      <w:r>
        <w:rPr>
          <w:highlight w:val="none"/>
        </w:rPr>
        <w:t>Chen, Q., W. Yang, X. Wang, X. Li, S. Qi, Y. Zhang, and M.-Q. Gao. 2017. TGF-β1 Induces EMT in Bovine Mammary Epithelial Cells Through the TGFβ1/Smad Signaling Pathway. Cellular Physiology and Biochemistry 43(1):82-93.</w:t>
      </w:r>
    </w:p>
    <w:p w14:paraId="1DB1C22A">
      <w:pPr>
        <w:pStyle w:val="84"/>
        <w:spacing w:after="0"/>
        <w:rPr>
          <w:highlight w:val="none"/>
        </w:rPr>
      </w:pPr>
      <w:r>
        <w:rPr>
          <w:highlight w:val="none"/>
        </w:rPr>
        <w:t>Cheng, W. N. and S. G. Han. 2020. Bovine mastitis: risk factors, therapeutic strategies, and alternative treatments - A review. Asian-Australas J Anim Sci 33(11):1699-1713.</w:t>
      </w:r>
    </w:p>
    <w:p w14:paraId="0671D67A">
      <w:pPr>
        <w:pStyle w:val="84"/>
        <w:spacing w:after="0"/>
        <w:rPr>
          <w:highlight w:val="none"/>
        </w:rPr>
      </w:pPr>
      <w:r>
        <w:rPr>
          <w:highlight w:val="none"/>
        </w:rPr>
        <w:t>Chu, S., T. Zhao, M. Li, Y. Sun, Y. Yang, and Z. Yang. 2024. Long non-coding RNA (CMR) involved in autoprotection in S. aureus mastitis in dairy cows by regulating miR-877/FOXM1. Ecotoxicology and Environmental Safety 278:116456.</w:t>
      </w:r>
    </w:p>
    <w:p w14:paraId="55D678B5">
      <w:pPr>
        <w:pStyle w:val="84"/>
        <w:spacing w:after="0"/>
        <w:rPr>
          <w:highlight w:val="none"/>
        </w:rPr>
      </w:pPr>
      <w:r>
        <w:rPr>
          <w:highlight w:val="none"/>
        </w:rPr>
        <w:t>Colitti, M., S. Sgorlon, and B. Stefanon. 2020. Exosome cargo in milk as a potential marker of cow health. J Dairy Res 87:79-83.</w:t>
      </w:r>
    </w:p>
    <w:p w14:paraId="1AAB97AA">
      <w:pPr>
        <w:pStyle w:val="84"/>
        <w:spacing w:after="0"/>
        <w:rPr>
          <w:highlight w:val="none"/>
        </w:rPr>
      </w:pPr>
      <w:r>
        <w:rPr>
          <w:highlight w:val="none"/>
        </w:rPr>
        <w:t>Dávalos, A., L. Goedeke, P. Smibert, C. M. Ramírez, N. P. Warrier, U. Andreo, D. Cirera-Salinas, K. Rayner, U. Suresh, J. C. Pastor-Pareja, E. Esplugues, E. A. Fisher, L. O. F. Penalva, K. J. Moore, Y. Suárez, E. C. Lai, and C. Fernández-Hernando. 2011. miR-33a/b contribute to the regulation of fatty acid metabolism and insulin signaling. Proceedings of the National Academy of Sciences 108(22):9232-9237.</w:t>
      </w:r>
    </w:p>
    <w:p w14:paraId="678B5B95">
      <w:pPr>
        <w:pStyle w:val="84"/>
        <w:spacing w:after="0"/>
        <w:rPr>
          <w:highlight w:val="none"/>
        </w:rPr>
      </w:pPr>
      <w:r>
        <w:rPr>
          <w:highlight w:val="none"/>
        </w:rPr>
        <w:t>De Oliveira, P. S. N., L. L. Coutinho, P. C. Tizioto, A. S. M. Cesar, G. B. de Oliveira, W. J. d. S. Diniz, A. O. De Lima, J. M. Reecy, G. B. Mourão, A. Zerlotini, and L. C. A. Regitano. 2018. An integrative transcriptome analysis indicates regulatory mRNA-miRNA networks for residual feed intake in Nelore cattle. Sci Rep-Uk 8(1):17072.</w:t>
      </w:r>
    </w:p>
    <w:p w14:paraId="2429882A">
      <w:pPr>
        <w:pStyle w:val="84"/>
        <w:spacing w:after="0"/>
        <w:rPr>
          <w:highlight w:val="none"/>
        </w:rPr>
      </w:pPr>
      <w:r>
        <w:rPr>
          <w:highlight w:val="none"/>
        </w:rPr>
        <w:t>Dean, J. L. E., R. Wait, K. R. Mahtani, G. Sully, A. R. Clark, and J. Saklatvala. 2001. The 3</w:t>
      </w:r>
      <w:r>
        <w:rPr>
          <w:rFonts w:hint="eastAsia"/>
          <w:highlight w:val="none"/>
        </w:rPr>
        <w:t>′</w:t>
      </w:r>
      <w:r>
        <w:rPr>
          <w:highlight w:val="none"/>
        </w:rPr>
        <w:t xml:space="preserve"> Untranslated Region of Tumor Necrosis Factor Alpha mRNA Is a Target of the mRNA-Stabilizing Factor HuR. Molecular and Cellular Biology 21(3):721-730.</w:t>
      </w:r>
    </w:p>
    <w:p w14:paraId="08D9DD2F">
      <w:pPr>
        <w:pStyle w:val="84"/>
        <w:spacing w:after="0"/>
        <w:rPr>
          <w:highlight w:val="none"/>
        </w:rPr>
      </w:pPr>
      <w:r>
        <w:rPr>
          <w:highlight w:val="none"/>
        </w:rPr>
        <w:t>Dehghanian Reyhan, V., F. Ghafouri, M. Sadeghi, S. R. Miraei-Ashtiani, J. P. Kastelic, H. W. Barkema, and M. Shirali. 2023. Integrated Comparative Transcriptome and circRNA-lncRNA-miRNA-mRNA ceRNA Regulatory Network Analyses Identify Molecular Mechanisms Associated with Intramuscular Fat Content in Beef Cattle. Animals-Basel 13(16):2598.</w:t>
      </w:r>
    </w:p>
    <w:p w14:paraId="7A682BF9">
      <w:pPr>
        <w:pStyle w:val="84"/>
        <w:spacing w:after="0"/>
        <w:rPr>
          <w:rFonts w:eastAsiaTheme="minorEastAsia"/>
          <w:highlight w:val="none"/>
          <w:lang w:eastAsia="zh-CN"/>
        </w:rPr>
      </w:pPr>
      <w:r>
        <w:rPr>
          <w:highlight w:val="none"/>
        </w:rPr>
        <w:t>Dinarello, C. A. 2009. Immunological and Inflammatory Functions of the Interleukin-1 Family. Annual Review of Immunology 27(Volume 27, 2009):519-550.</w:t>
      </w:r>
    </w:p>
    <w:p w14:paraId="6E44BF8D">
      <w:pPr>
        <w:pStyle w:val="84"/>
        <w:spacing w:after="0"/>
        <w:rPr>
          <w:rFonts w:hint="eastAsia" w:eastAsiaTheme="minorEastAsia"/>
          <w:highlight w:val="none"/>
          <w:lang w:eastAsia="zh-CN"/>
        </w:rPr>
      </w:pPr>
      <w:r>
        <w:rPr>
          <w:rFonts w:eastAsiaTheme="minorEastAsia"/>
          <w:highlight w:val="none"/>
          <w:lang w:eastAsia="zh-CN"/>
        </w:rPr>
        <w:t xml:space="preserve">Dysin, A. P., Barkova, O. Y., </w:t>
      </w:r>
      <w:r>
        <w:rPr>
          <w:rFonts w:hint="eastAsia" w:eastAsiaTheme="minorEastAsia"/>
          <w:highlight w:val="none"/>
          <w:lang w:eastAsia="zh-CN"/>
        </w:rPr>
        <w:t>and</w:t>
      </w:r>
      <w:r>
        <w:rPr>
          <w:rFonts w:eastAsiaTheme="minorEastAsia"/>
          <w:highlight w:val="none"/>
          <w:lang w:eastAsia="zh-CN"/>
        </w:rPr>
        <w:t xml:space="preserve"> Pozovnikova, M. V. 2021. The Role of microRNAs in the Mammary Gland Development, Health, and Function of Cattle, Goats, and Sheep. Non-Coding RNA, 7(4), 78.</w:t>
      </w:r>
    </w:p>
    <w:p w14:paraId="79927258">
      <w:pPr>
        <w:pStyle w:val="84"/>
        <w:spacing w:after="0"/>
        <w:rPr>
          <w:highlight w:val="none"/>
        </w:rPr>
      </w:pPr>
      <w:r>
        <w:rPr>
          <w:highlight w:val="none"/>
        </w:rPr>
        <w:t>Feng, F., Y. Li, J. Wang, Y. Dong, Y. Li, Z. Luoreng, and X. Wang. 2024. LncRNA CA12-AS1 targets miR-133a to promote LPS-induced inflammatory response in bovine mammary epithelial cells. Int J Biol Macromol 261(Pt 1):129710.</w:t>
      </w:r>
    </w:p>
    <w:p w14:paraId="35EAB8CB">
      <w:pPr>
        <w:pStyle w:val="84"/>
        <w:spacing w:after="0"/>
        <w:rPr>
          <w:highlight w:val="none"/>
        </w:rPr>
      </w:pPr>
      <w:r>
        <w:rPr>
          <w:highlight w:val="none"/>
        </w:rPr>
        <w:t>Feng, J., Q. Wang, W. Yang, J. Liu, and M.-Q. Gao. 2021. Omega-3 polyunsaturated fatty acids ameliorated inflammatory response of mammary epithelial cells and mammary gland induced by lipopolysaccharide. Acta Bioch Bioph Sin 53(9):1142-1153.</w:t>
      </w:r>
    </w:p>
    <w:p w14:paraId="4C899D2F">
      <w:pPr>
        <w:pStyle w:val="84"/>
        <w:spacing w:after="0"/>
        <w:rPr>
          <w:highlight w:val="none"/>
        </w:rPr>
      </w:pPr>
      <w:r>
        <w:rPr>
          <w:highlight w:val="none"/>
        </w:rPr>
        <w:t>Fernández-Hernando, C., K. J. Moore, and W. C. Sessa. 2011. MicroRNA Modulation of Cholesterol Homeostasis. Arteriosclerosis, Thrombosis, and Vascular Biology 31(11):2378-2382.</w:t>
      </w:r>
    </w:p>
    <w:p w14:paraId="03DFA749">
      <w:pPr>
        <w:pStyle w:val="84"/>
        <w:spacing w:after="0"/>
        <w:rPr>
          <w:rFonts w:eastAsiaTheme="minorEastAsia"/>
          <w:highlight w:val="none"/>
          <w:lang w:eastAsia="zh-CN"/>
        </w:rPr>
      </w:pPr>
      <w:r>
        <w:rPr>
          <w:highlight w:val="none"/>
        </w:rPr>
        <w:t>Franck, A. 2002. Technological functionality of inulin and oligofructose. British Journal of Nutrition 87(S2):S287-S291.</w:t>
      </w:r>
    </w:p>
    <w:p w14:paraId="41314D23">
      <w:pPr>
        <w:pStyle w:val="84"/>
        <w:spacing w:after="0"/>
        <w:rPr>
          <w:rFonts w:eastAsiaTheme="minorEastAsia"/>
          <w:highlight w:val="none"/>
          <w:lang w:eastAsia="zh-CN"/>
        </w:rPr>
      </w:pPr>
      <w:r>
        <w:rPr>
          <w:rFonts w:eastAsiaTheme="minorEastAsia"/>
          <w:highlight w:val="none"/>
          <w:lang w:eastAsia="zh-CN"/>
        </w:rPr>
        <w:t xml:space="preserve">Fujisawa, S., Konnai, S., Okagawa, T., Maekawa, N., Tanaka, A., Suzuki, Y., </w:t>
      </w:r>
      <w:r>
        <w:rPr>
          <w:rFonts w:hint="eastAsia" w:eastAsiaTheme="minorEastAsia"/>
          <w:highlight w:val="none"/>
          <w:lang w:eastAsia="zh-CN"/>
        </w:rPr>
        <w:t>Murata, S.,</w:t>
      </w:r>
      <w:r>
        <w:rPr>
          <w:rFonts w:eastAsiaTheme="minorEastAsia"/>
          <w:highlight w:val="none"/>
          <w:lang w:eastAsia="zh-CN"/>
        </w:rPr>
        <w:t xml:space="preserve"> </w:t>
      </w:r>
      <w:r>
        <w:rPr>
          <w:rFonts w:hint="eastAsia" w:eastAsiaTheme="minorEastAsia"/>
          <w:highlight w:val="none"/>
          <w:lang w:eastAsia="zh-CN"/>
        </w:rPr>
        <w:t>and</w:t>
      </w:r>
      <w:r>
        <w:rPr>
          <w:rFonts w:eastAsiaTheme="minorEastAsia"/>
          <w:highlight w:val="none"/>
          <w:lang w:eastAsia="zh-CN"/>
        </w:rPr>
        <w:t xml:space="preserve"> Ohashi, K. 2019. Effects of bovine tumor necrosis factor alpha decoy receptors on cell death and inflammatory cytokine kinetics: potential for bovine inflammation therapy. BMC Veterinary Research, 15(1), 68.</w:t>
      </w:r>
    </w:p>
    <w:p w14:paraId="36874252">
      <w:pPr>
        <w:pStyle w:val="84"/>
        <w:spacing w:after="0"/>
        <w:rPr>
          <w:rFonts w:eastAsiaTheme="minorEastAsia"/>
          <w:highlight w:val="none"/>
          <w:lang w:eastAsia="zh-CN"/>
        </w:rPr>
      </w:pPr>
      <w:r>
        <w:rPr>
          <w:highlight w:val="none"/>
        </w:rPr>
        <w:t>Ganguly, K., J. Giddaluru, A. August, and N. Khan. 2016. Post-transcriptional Regulation of Immunological Responses through Riboclustering. Front Immunol 7:161.</w:t>
      </w:r>
    </w:p>
    <w:p w14:paraId="731DB533">
      <w:pPr>
        <w:pStyle w:val="84"/>
        <w:spacing w:after="0"/>
        <w:rPr>
          <w:rFonts w:eastAsiaTheme="minorEastAsia"/>
          <w:highlight w:val="none"/>
          <w:lang w:eastAsia="zh-CN"/>
        </w:rPr>
      </w:pPr>
      <w:r>
        <w:rPr>
          <w:rFonts w:eastAsiaTheme="minorEastAsia"/>
          <w:highlight w:val="none"/>
          <w:lang w:eastAsia="zh-CN"/>
        </w:rPr>
        <w:t xml:space="preserve">Gao, H. N., Hu, H., Wen, P. C., Lian, S., Xie, X. L., Song, H. L., </w:t>
      </w:r>
      <w:r>
        <w:rPr>
          <w:rFonts w:hint="eastAsia" w:eastAsiaTheme="minorEastAsia"/>
          <w:highlight w:val="none"/>
          <w:lang w:eastAsia="zh-CN"/>
        </w:rPr>
        <w:t>Yang, N. N.,</w:t>
      </w:r>
      <w:r>
        <w:rPr>
          <w:rFonts w:eastAsiaTheme="minorEastAsia"/>
          <w:highlight w:val="none"/>
          <w:lang w:eastAsia="zh-CN"/>
        </w:rPr>
        <w:t xml:space="preserve"> &amp; Ren, F. Z. 2021. Yak milk–derived exosomes alleviate lipopolysaccharide-induced intestinal inflammation by inhibiting PI3K/AKT/C3 pathway activation. Journal of Dairy Science, 104(8), 8411-8424.</w:t>
      </w:r>
    </w:p>
    <w:p w14:paraId="147A484C">
      <w:pPr>
        <w:pStyle w:val="84"/>
        <w:spacing w:after="0"/>
        <w:rPr>
          <w:highlight w:val="none"/>
        </w:rPr>
      </w:pPr>
      <w:r>
        <w:rPr>
          <w:highlight w:val="none"/>
        </w:rPr>
        <w:t>Gao, J., Y.-C. Liu, Y. Wang, H. Li, X.-M. Wang, Y. Wu, D.-R. Zhang, S. Gao, and Z.-l. Qi. 2020. Impact of yeast and lactic acid bacteria on mastitis and milk microbiota composition of dairy cows. AMB Express 10(1):22.</w:t>
      </w:r>
    </w:p>
    <w:p w14:paraId="4A811440">
      <w:pPr>
        <w:pStyle w:val="84"/>
        <w:spacing w:after="0"/>
        <w:rPr>
          <w:highlight w:val="none"/>
        </w:rPr>
      </w:pPr>
      <w:r>
        <w:rPr>
          <w:highlight w:val="none"/>
        </w:rPr>
        <w:t>Gasparik, M., L. Stadnik, J. Duchacek, and M. Vrhel. 2022. Milkability of Holstein cows is significantly affected by the incidence of clinical mastitis for weeks after diagnosis. J Dairy Res 89(1):71-74.</w:t>
      </w:r>
    </w:p>
    <w:p w14:paraId="3F46CF5B">
      <w:pPr>
        <w:pStyle w:val="84"/>
        <w:spacing w:after="0"/>
        <w:rPr>
          <w:rFonts w:eastAsiaTheme="minorEastAsia"/>
          <w:highlight w:val="none"/>
          <w:lang w:eastAsia="zh-CN"/>
        </w:rPr>
      </w:pPr>
      <w:r>
        <w:rPr>
          <w:highlight w:val="none"/>
        </w:rPr>
        <w:t>Glibowski, P. and A. Bukowska. 2011. The effect of pH, temperature and heating time on inulin chemical stability. Acta Sci. Pol. Technol. Aliment 10(2):189-196.</w:t>
      </w:r>
    </w:p>
    <w:p w14:paraId="3ACECFCD">
      <w:pPr>
        <w:pStyle w:val="84"/>
        <w:spacing w:after="0"/>
        <w:rPr>
          <w:rFonts w:eastAsiaTheme="minorEastAsia"/>
          <w:highlight w:val="none"/>
          <w:lang w:eastAsia="zh-CN"/>
        </w:rPr>
      </w:pPr>
      <w:r>
        <w:rPr>
          <w:rFonts w:eastAsiaTheme="minorEastAsia"/>
          <w:highlight w:val="none"/>
          <w:lang w:eastAsia="zh-CN"/>
        </w:rPr>
        <w:t xml:space="preserve">Green, M. J., Bradley, A. J., Medley, G. F., </w:t>
      </w:r>
      <w:r>
        <w:rPr>
          <w:rFonts w:hint="eastAsia" w:eastAsiaTheme="minorEastAsia"/>
          <w:highlight w:val="none"/>
          <w:lang w:eastAsia="zh-CN"/>
        </w:rPr>
        <w:t>and</w:t>
      </w:r>
      <w:r>
        <w:rPr>
          <w:rFonts w:eastAsiaTheme="minorEastAsia"/>
          <w:highlight w:val="none"/>
          <w:lang w:eastAsia="zh-CN"/>
        </w:rPr>
        <w:t xml:space="preserve"> Browne, W. J. 2007. Cow, farm, and management factors during the dry period that determine the rate of clinical mastitis after calving. Journal of dairy science, 90(8), 3764-3776.</w:t>
      </w:r>
    </w:p>
    <w:p w14:paraId="665A945E">
      <w:pPr>
        <w:pStyle w:val="84"/>
        <w:spacing w:after="0"/>
        <w:rPr>
          <w:rFonts w:eastAsiaTheme="minorEastAsia"/>
          <w:highlight w:val="none"/>
          <w:lang w:eastAsia="zh-CN"/>
        </w:rPr>
      </w:pPr>
      <w:r>
        <w:rPr>
          <w:highlight w:val="none"/>
        </w:rPr>
        <w:t>Guma, M., D. Hammaker, K. Topolewski, M. Corr, D. L. Boyle, M. Karin, and G. S. Firestein. 2012. Antiinflammatory functions of p38 in mouse models of rheumatoid arthritis: Advantages of targeting upstream kinases MKK-3 or MKK-6. Arthritis &amp; Rheumatism 64(9):2887-2895.</w:t>
      </w:r>
    </w:p>
    <w:p w14:paraId="3B74ABE9">
      <w:pPr>
        <w:pStyle w:val="84"/>
        <w:spacing w:after="0"/>
        <w:rPr>
          <w:rFonts w:eastAsiaTheme="minorEastAsia"/>
          <w:highlight w:val="none"/>
          <w:lang w:eastAsia="zh-CN"/>
        </w:rPr>
      </w:pPr>
      <w:bookmarkStart w:id="124" w:name="OLE_LINK21"/>
      <w:r>
        <w:rPr>
          <w:rFonts w:eastAsiaTheme="minorEastAsia"/>
          <w:highlight w:val="none"/>
          <w:lang w:eastAsia="zh-CN"/>
        </w:rPr>
        <w:t>Günther</w:t>
      </w:r>
      <w:bookmarkEnd w:id="124"/>
      <w:r>
        <w:rPr>
          <w:rFonts w:eastAsiaTheme="minorEastAsia"/>
          <w:highlight w:val="none"/>
          <w:lang w:eastAsia="zh-CN"/>
        </w:rPr>
        <w:t xml:space="preserve">, J., Koczan, D., Yang, W., Nürnberg, G., Repsilber, D., Schuberth, H. J., </w:t>
      </w:r>
      <w:r>
        <w:rPr>
          <w:rFonts w:hint="eastAsia" w:eastAsiaTheme="minorEastAsia"/>
          <w:highlight w:val="none"/>
          <w:lang w:eastAsia="zh-CN"/>
        </w:rPr>
        <w:t>Park, Z., Maqbool, N., Molenaar, A.,</w:t>
      </w:r>
      <w:r>
        <w:rPr>
          <w:rFonts w:eastAsiaTheme="minorEastAsia"/>
          <w:highlight w:val="none"/>
          <w:lang w:eastAsia="zh-CN"/>
        </w:rPr>
        <w:t xml:space="preserve"> </w:t>
      </w:r>
      <w:r>
        <w:rPr>
          <w:rFonts w:hint="eastAsia" w:eastAsiaTheme="minorEastAsia"/>
          <w:highlight w:val="none"/>
          <w:lang w:eastAsia="zh-CN"/>
        </w:rPr>
        <w:t>and</w:t>
      </w:r>
      <w:r>
        <w:rPr>
          <w:rFonts w:eastAsiaTheme="minorEastAsia"/>
          <w:highlight w:val="none"/>
          <w:lang w:eastAsia="zh-CN"/>
        </w:rPr>
        <w:t xml:space="preserve"> Seyfert, H. M. 2009. Assessment of the immune capacity of mammary epithelial cells: comparison with mammary tissue after challenge with Escherichia coli. Veterinary Research, 40(4), 31.</w:t>
      </w:r>
    </w:p>
    <w:p w14:paraId="5BF72195">
      <w:pPr>
        <w:pStyle w:val="84"/>
        <w:spacing w:after="0"/>
        <w:rPr>
          <w:highlight w:val="none"/>
        </w:rPr>
      </w:pPr>
      <w:r>
        <w:rPr>
          <w:highlight w:val="none"/>
        </w:rPr>
        <w:t>He, X., Z. Wei, E. Zhou, L. Chen, J. Kou, J. Wang, and Z. Yang. 2015. Baicalein attenuates inflammatory responses by suppressing TLR4 mediated NF-κB and MAPK signaling pathways in LPS-induced mastitis in mice. International Immunopharmacology 28(1):470-476.</w:t>
      </w:r>
    </w:p>
    <w:p w14:paraId="695686C9">
      <w:pPr>
        <w:pStyle w:val="84"/>
        <w:spacing w:after="0"/>
        <w:rPr>
          <w:highlight w:val="none"/>
        </w:rPr>
      </w:pPr>
      <w:r>
        <w:rPr>
          <w:highlight w:val="none"/>
        </w:rPr>
        <w:t>Hollenbach, E., M. Neumann, M. Vieth, A. Roessner, P. Malfertheiner, and M. Naumann. 2004. Inhibition of p38 MAP kinase-and RICK/NF-κB-signaling suppresses inflammatory bowel disease. The FASEB Journal 18(13):1550-1552.</w:t>
      </w:r>
    </w:p>
    <w:p w14:paraId="072D3A67">
      <w:pPr>
        <w:pStyle w:val="84"/>
        <w:spacing w:after="0"/>
        <w:rPr>
          <w:rFonts w:eastAsiaTheme="minorEastAsia"/>
          <w:highlight w:val="none"/>
          <w:lang w:eastAsia="zh-CN"/>
        </w:rPr>
      </w:pPr>
      <w:r>
        <w:rPr>
          <w:highlight w:val="none"/>
        </w:rPr>
        <w:t>Hu, G., D. N. Do, P. Davoudi, and Y. Miar. 2022. Emerging Roles of Non-Coding RNAs in the Feed Efficiency of Livestock Species. Genes 13(2):297.</w:t>
      </w:r>
    </w:p>
    <w:p w14:paraId="7286F637">
      <w:pPr>
        <w:pStyle w:val="84"/>
        <w:spacing w:after="0"/>
        <w:rPr>
          <w:rFonts w:eastAsiaTheme="minorEastAsia"/>
          <w:highlight w:val="none"/>
          <w:lang w:eastAsia="zh-CN"/>
        </w:rPr>
      </w:pPr>
      <w:r>
        <w:rPr>
          <w:rFonts w:eastAsiaTheme="minorEastAsia"/>
          <w:highlight w:val="none"/>
          <w:lang w:eastAsia="zh-CN"/>
        </w:rPr>
        <w:t xml:space="preserve">Huang, Q., Xiao, Y., </w:t>
      </w:r>
      <w:r>
        <w:rPr>
          <w:rFonts w:hint="eastAsia" w:eastAsiaTheme="minorEastAsia"/>
          <w:highlight w:val="none"/>
          <w:lang w:eastAsia="zh-CN"/>
        </w:rPr>
        <w:t>ang</w:t>
      </w:r>
      <w:r>
        <w:rPr>
          <w:rFonts w:eastAsiaTheme="minorEastAsia"/>
          <w:highlight w:val="none"/>
          <w:lang w:eastAsia="zh-CN"/>
        </w:rPr>
        <w:t xml:space="preserve"> Sun, P. 2024. </w:t>
      </w:r>
      <w:bookmarkStart w:id="125" w:name="OLE_LINK15"/>
      <w:r>
        <w:rPr>
          <w:rFonts w:eastAsiaTheme="minorEastAsia"/>
          <w:highlight w:val="none"/>
          <w:lang w:eastAsia="zh-CN"/>
        </w:rPr>
        <w:t xml:space="preserve">Rumen–mammary gland axis and bacterial extracellular vesicles: Exploring a new perspective on heat stress in dairy cows. </w:t>
      </w:r>
      <w:bookmarkEnd w:id="125"/>
      <w:r>
        <w:rPr>
          <w:rFonts w:eastAsiaTheme="minorEastAsia"/>
          <w:highlight w:val="none"/>
          <w:lang w:eastAsia="zh-CN"/>
        </w:rPr>
        <w:t>Animal Nutrition, 19, 70-75.</w:t>
      </w:r>
    </w:p>
    <w:p w14:paraId="032FE7C9">
      <w:pPr>
        <w:pStyle w:val="84"/>
        <w:spacing w:after="0"/>
        <w:rPr>
          <w:rFonts w:eastAsiaTheme="minorEastAsia"/>
          <w:highlight w:val="none"/>
          <w:lang w:eastAsia="zh-CN"/>
        </w:rPr>
      </w:pPr>
      <w:r>
        <w:rPr>
          <w:rFonts w:eastAsiaTheme="minorEastAsia"/>
          <w:highlight w:val="none"/>
          <w:lang w:eastAsia="zh-CN"/>
        </w:rPr>
        <w:t xml:space="preserve">Huang, Q., Wei, Y., Lv, Y., Wang, Y., </w:t>
      </w:r>
      <w:r>
        <w:rPr>
          <w:rFonts w:hint="eastAsia" w:eastAsiaTheme="minorEastAsia"/>
          <w:highlight w:val="none"/>
          <w:lang w:eastAsia="zh-CN"/>
        </w:rPr>
        <w:t>and</w:t>
      </w:r>
      <w:r>
        <w:rPr>
          <w:rFonts w:eastAsiaTheme="minorEastAsia"/>
          <w:highlight w:val="none"/>
          <w:lang w:eastAsia="zh-CN"/>
        </w:rPr>
        <w:t xml:space="preserve"> Hu, T. 2015. Effect of dietary inulin supplements on growth performance and intestinal immunological parameters of broiler chickens. Livestock Science, 180, 172-176.</w:t>
      </w:r>
    </w:p>
    <w:p w14:paraId="14861C92">
      <w:pPr>
        <w:pStyle w:val="84"/>
        <w:spacing w:after="0"/>
        <w:rPr>
          <w:rFonts w:eastAsiaTheme="minorEastAsia"/>
          <w:highlight w:val="none"/>
          <w:lang w:eastAsia="zh-CN"/>
        </w:rPr>
      </w:pPr>
      <w:r>
        <w:rPr>
          <w:highlight w:val="none"/>
        </w:rPr>
        <w:t>Ibrahim, N., F. Regassa, T. Yilma, and T. Tolosa. 2023. Impact of subclinical mastitis on uterine health, reproductive performances and hormonal profile of Zebu x Friesian crossbred dairy cows in and around Jimma town dairy farms, Ethiopia. Heliyon 9(6).</w:t>
      </w:r>
    </w:p>
    <w:p w14:paraId="5D3F6CDA">
      <w:pPr>
        <w:pStyle w:val="84"/>
        <w:spacing w:after="0"/>
        <w:rPr>
          <w:rFonts w:eastAsiaTheme="minorEastAsia"/>
          <w:highlight w:val="none"/>
          <w:lang w:eastAsia="zh-CN"/>
        </w:rPr>
      </w:pPr>
      <w:r>
        <w:rPr>
          <w:rFonts w:eastAsiaTheme="minorEastAsia"/>
          <w:highlight w:val="none"/>
          <w:lang w:eastAsia="zh-CN"/>
        </w:rPr>
        <w:t xml:space="preserve">Islam, R., Kumar, H., Nandi, S., </w:t>
      </w:r>
      <w:r>
        <w:rPr>
          <w:rFonts w:hint="eastAsia" w:eastAsiaTheme="minorEastAsia"/>
          <w:highlight w:val="none"/>
          <w:lang w:eastAsia="zh-CN"/>
        </w:rPr>
        <w:t>and</w:t>
      </w:r>
      <w:r>
        <w:rPr>
          <w:rFonts w:eastAsiaTheme="minorEastAsia"/>
          <w:highlight w:val="none"/>
          <w:lang w:eastAsia="zh-CN"/>
        </w:rPr>
        <w:t xml:space="preserve"> Patra, M. K. 2021. Marked up-regulation of anti inflammatory cytokine gene expression in the peripheral blood mononuclear cells of postpartum cows with endometritis. The Indian Journal of Animal Sciences, 91(2), 109-113.</w:t>
      </w:r>
    </w:p>
    <w:p w14:paraId="3301C6EB">
      <w:pPr>
        <w:pStyle w:val="84"/>
        <w:spacing w:after="0"/>
        <w:rPr>
          <w:highlight w:val="none"/>
        </w:rPr>
      </w:pPr>
      <w:r>
        <w:rPr>
          <w:highlight w:val="none"/>
        </w:rPr>
        <w:t>Jia, L., J. Wang, Z. Luoreng, X. Wang, D. Wei, J. Yang, Q. Hu, and Y. Ma. 2022. Progress in Expression Pattern and Molecular Regulation Mechanism of LncRNA in Bovine Mastitis. Animals (Basel) 12(9).</w:t>
      </w:r>
    </w:p>
    <w:p w14:paraId="2F22E026">
      <w:pPr>
        <w:pStyle w:val="84"/>
        <w:spacing w:after="0"/>
        <w:rPr>
          <w:highlight w:val="none"/>
        </w:rPr>
      </w:pPr>
      <w:r>
        <w:rPr>
          <w:highlight w:val="none"/>
        </w:rPr>
        <w:t>Jin, C., J. Upton, M. H. Z. Bazargani, and B. Mac Namee. 2024. Using milk flow profiles for subclinical mastitis detection. Smart Agricultural Technology 9:100537.</w:t>
      </w:r>
    </w:p>
    <w:p w14:paraId="335A08D1">
      <w:pPr>
        <w:pStyle w:val="84"/>
        <w:spacing w:after="0"/>
        <w:rPr>
          <w:highlight w:val="none"/>
        </w:rPr>
      </w:pPr>
      <w:r>
        <w:rPr>
          <w:highlight w:val="none"/>
        </w:rPr>
        <w:t>Kango, N. 2008. Production of inulinase using tap roots of dandelion (Taraxacum officinale) by Aspergillus niger. Journal of Food Engineering 85(3):473-478.</w:t>
      </w:r>
    </w:p>
    <w:p w14:paraId="00D0E8AD">
      <w:pPr>
        <w:pStyle w:val="84"/>
        <w:spacing w:after="0"/>
        <w:rPr>
          <w:rFonts w:eastAsiaTheme="minorEastAsia"/>
          <w:highlight w:val="none"/>
          <w:lang w:eastAsia="zh-CN"/>
        </w:rPr>
      </w:pPr>
      <w:r>
        <w:rPr>
          <w:highlight w:val="none"/>
        </w:rPr>
        <w:t>Karimi, I., M. Ghowsi, L. J. Mohammed, Z. Haidari, K. Nazari, and H. B. Schiöth. 2025. Inulin as a Biopolymer; Chemical Structure, Anticancer Effects, Nutraceutical Potential and Industrial Applications: A Comprehensive Review. Polymers 17(3):412.</w:t>
      </w:r>
    </w:p>
    <w:p w14:paraId="2FE92E34">
      <w:pPr>
        <w:pStyle w:val="84"/>
        <w:spacing w:after="0"/>
        <w:rPr>
          <w:rFonts w:eastAsiaTheme="minorEastAsia"/>
          <w:highlight w:val="none"/>
          <w:lang w:eastAsia="zh-CN"/>
        </w:rPr>
      </w:pPr>
      <w:r>
        <w:rPr>
          <w:rFonts w:eastAsiaTheme="minorEastAsia"/>
          <w:highlight w:val="none"/>
          <w:lang w:eastAsia="zh-CN"/>
        </w:rPr>
        <w:t xml:space="preserve">Kim, C.H. </w:t>
      </w:r>
      <w:r>
        <w:rPr>
          <w:rFonts w:hint="eastAsia" w:eastAsiaTheme="minorEastAsia"/>
          <w:highlight w:val="none"/>
          <w:lang w:eastAsia="zh-CN"/>
        </w:rPr>
        <w:t xml:space="preserve">2023. </w:t>
      </w:r>
      <w:r>
        <w:rPr>
          <w:rFonts w:eastAsiaTheme="minorEastAsia"/>
          <w:highlight w:val="none"/>
          <w:lang w:eastAsia="zh-CN"/>
        </w:rPr>
        <w:t xml:space="preserve">Complex regulatory effects of gut microbial short-chain fatty acids on immune tolerance and autoimmunity. Cell Mol Immunol 20, 341–350. </w:t>
      </w:r>
    </w:p>
    <w:p w14:paraId="2A01B768">
      <w:pPr>
        <w:pStyle w:val="84"/>
        <w:spacing w:after="0"/>
        <w:rPr>
          <w:highlight w:val="none"/>
        </w:rPr>
      </w:pPr>
      <w:r>
        <w:rPr>
          <w:highlight w:val="none"/>
        </w:rPr>
        <w:t>Kim, C. H., J. Park, and M. Kim. 2014. Gut Microbiota-Derived Short-Chain Fatty Acids, T Cells, and Inflammation. Immune Netw 14(6):277-288.</w:t>
      </w:r>
    </w:p>
    <w:p w14:paraId="5D2252FC">
      <w:pPr>
        <w:pStyle w:val="84"/>
        <w:spacing w:after="0"/>
        <w:rPr>
          <w:highlight w:val="none"/>
        </w:rPr>
      </w:pPr>
      <w:r>
        <w:rPr>
          <w:highlight w:val="none"/>
        </w:rPr>
        <w:t>Kim, K. M., K. Abdelmohsen, M. Mustapic, D. Kapogiannis, and M. Gorospe. 2017. RNA in extracellular vesicles. Wiley Interdisciplinary Reviews: RNA 8(4):e1413.</w:t>
      </w:r>
    </w:p>
    <w:p w14:paraId="0BBC5FE4">
      <w:pPr>
        <w:pStyle w:val="84"/>
        <w:spacing w:after="0"/>
        <w:rPr>
          <w:rFonts w:eastAsiaTheme="minorEastAsia"/>
          <w:highlight w:val="none"/>
          <w:lang w:eastAsia="zh-CN"/>
        </w:rPr>
      </w:pPr>
      <w:r>
        <w:rPr>
          <w:highlight w:val="none"/>
        </w:rPr>
        <w:t>Kumari, T., C. Bhakat, and R. K. Choudhary. 2018. A review on subclinical mastitis in dairy cattle. Int. J. Pure Appl. Biosci 6(2):1291-1299.</w:t>
      </w:r>
    </w:p>
    <w:p w14:paraId="4C86692B">
      <w:pPr>
        <w:pStyle w:val="84"/>
        <w:spacing w:after="0"/>
        <w:rPr>
          <w:rFonts w:eastAsiaTheme="minorEastAsia"/>
          <w:highlight w:val="none"/>
          <w:lang w:eastAsia="zh-CN"/>
        </w:rPr>
      </w:pPr>
      <w:r>
        <w:rPr>
          <w:rFonts w:eastAsiaTheme="minorEastAsia"/>
          <w:highlight w:val="none"/>
          <w:lang w:eastAsia="zh-CN"/>
        </w:rPr>
        <w:t xml:space="preserve">Lawless, N., Vegh, P., O’Farrelly, C., </w:t>
      </w:r>
      <w:r>
        <w:rPr>
          <w:rFonts w:hint="eastAsia" w:eastAsiaTheme="minorEastAsia"/>
          <w:highlight w:val="none"/>
          <w:lang w:eastAsia="zh-CN"/>
        </w:rPr>
        <w:t>and</w:t>
      </w:r>
      <w:r>
        <w:rPr>
          <w:rFonts w:eastAsiaTheme="minorEastAsia"/>
          <w:highlight w:val="none"/>
          <w:lang w:eastAsia="zh-CN"/>
        </w:rPr>
        <w:t xml:space="preserve"> Lynn, D. J. 2014. The role of microRNAs in bovine infection and immunity. Frontiers in immunology, 5, 611.</w:t>
      </w:r>
    </w:p>
    <w:p w14:paraId="0A95F09D">
      <w:pPr>
        <w:pStyle w:val="84"/>
        <w:spacing w:after="0"/>
        <w:rPr>
          <w:highlight w:val="none"/>
        </w:rPr>
      </w:pPr>
      <w:r>
        <w:rPr>
          <w:highlight w:val="none"/>
        </w:rPr>
        <w:t>LeBlanc, S. 2012. Interactions of Metabolism, Inflammation, and Reproductive Tract Health in the Postpartum Period in Dairy Cattle. Reproduction in Domestic Animals 47(s5):18-30.</w:t>
      </w:r>
    </w:p>
    <w:p w14:paraId="4F0D3D1D">
      <w:pPr>
        <w:pStyle w:val="84"/>
        <w:spacing w:after="0"/>
        <w:rPr>
          <w:highlight w:val="none"/>
        </w:rPr>
      </w:pPr>
      <w:r>
        <w:rPr>
          <w:highlight w:val="none"/>
        </w:rPr>
        <w:t>Li, X., H. Wang, Y. Zhang, J. Zhang, S. Qi, Y. Zhang, and M.-Q. Gao. 2019. Overexpression of lncRNA H19 changes basic characteristics and affects immune response of bovine mammary epithelial cells. PeerJ 7:e6715.</w:t>
      </w:r>
    </w:p>
    <w:p w14:paraId="571A9038">
      <w:pPr>
        <w:pStyle w:val="84"/>
        <w:spacing w:after="0"/>
        <w:rPr>
          <w:highlight w:val="none"/>
        </w:rPr>
      </w:pPr>
      <w:r>
        <w:rPr>
          <w:highlight w:val="none"/>
        </w:rPr>
        <w:t>Libera, K., K. Konieczny, K. Witkowska, K. Żurek, M. Szumacher-Strabel, A. Cieslak, and S. Smulski. 2021. The Association between Selected Dietary Minerals and Mastitis in Dairy Cows—A Review. Animals-Basel 11(8):2330.</w:t>
      </w:r>
    </w:p>
    <w:p w14:paraId="0C21509C">
      <w:pPr>
        <w:pStyle w:val="84"/>
        <w:spacing w:after="0"/>
        <w:rPr>
          <w:highlight w:val="none"/>
        </w:rPr>
      </w:pPr>
      <w:r>
        <w:rPr>
          <w:highlight w:val="none"/>
        </w:rPr>
        <w:t>Lopes, T. S., P. S. Fontoura, A. Oliveira, F. A. Rizzo, S. Silveira, and A. F. Streck. 2020. Use of plant extracts and essential oils in the control of bovine mastitis. Res Vet Sci 131:186-193.</w:t>
      </w:r>
    </w:p>
    <w:p w14:paraId="6946657B">
      <w:pPr>
        <w:pStyle w:val="84"/>
        <w:spacing w:after="0"/>
        <w:rPr>
          <w:rFonts w:eastAsiaTheme="minorEastAsia"/>
          <w:highlight w:val="none"/>
          <w:lang w:eastAsia="zh-CN"/>
        </w:rPr>
      </w:pPr>
      <w:r>
        <w:rPr>
          <w:highlight w:val="none"/>
        </w:rPr>
        <w:t>Ma, M., M. Chen, X. Wu, S. R. Sooranna, Q. Liu, D. Shi, J. Wang, and H. Li. 2023. A newly identified lncRNA lnc000100 regulates proliferation and differentiation of cattle skeletal muscle cells. Epigenetics 18(1):2270864.</w:t>
      </w:r>
    </w:p>
    <w:p w14:paraId="37F37332">
      <w:pPr>
        <w:pStyle w:val="84"/>
        <w:spacing w:after="0"/>
        <w:rPr>
          <w:rFonts w:eastAsiaTheme="minorEastAsia"/>
          <w:highlight w:val="none"/>
          <w:lang w:eastAsia="zh-CN"/>
        </w:rPr>
      </w:pPr>
      <w:r>
        <w:rPr>
          <w:rFonts w:eastAsiaTheme="minorEastAsia"/>
          <w:highlight w:val="none"/>
          <w:lang w:eastAsia="zh-CN"/>
        </w:rPr>
        <w:t xml:space="preserve">Mangwe, M., Bryant, R., </w:t>
      </w:r>
      <w:r>
        <w:rPr>
          <w:rFonts w:hint="eastAsia" w:eastAsiaTheme="minorEastAsia"/>
          <w:highlight w:val="none"/>
          <w:lang w:eastAsia="zh-CN"/>
        </w:rPr>
        <w:t>and</w:t>
      </w:r>
      <w:r>
        <w:rPr>
          <w:rFonts w:eastAsiaTheme="minorEastAsia"/>
          <w:highlight w:val="none"/>
          <w:lang w:eastAsia="zh-CN"/>
        </w:rPr>
        <w:t xml:space="preserve"> Gregorini, P. 2020. Rumen Fermentation and Fatty Acid Composition of Milk of Mid Lactating Dairy Cows Grazing Chicory and Ryegrass. Animals, 10(1), 169.</w:t>
      </w:r>
    </w:p>
    <w:p w14:paraId="0CE98A08">
      <w:pPr>
        <w:pStyle w:val="84"/>
        <w:spacing w:after="0"/>
        <w:rPr>
          <w:rFonts w:eastAsiaTheme="minorEastAsia"/>
          <w:highlight w:val="none"/>
          <w:lang w:eastAsia="zh-CN"/>
        </w:rPr>
      </w:pPr>
      <w:r>
        <w:rPr>
          <w:rFonts w:eastAsiaTheme="minorEastAsia"/>
          <w:highlight w:val="none"/>
          <w:lang w:eastAsia="zh-CN"/>
        </w:rPr>
        <w:t xml:space="preserve">Mangwe, M. C., Bryant, R. H., Olszewski, A., Herath, H. M. G. P., &amp; Al-Marashdeh, O. (2024). Can the Inclusion of Forage Chicory in the Diet of Lactating Dairy Cattle Alter Milk Production and Milk Fatty Acid Composition? Findings of a Multilevel Meta-Analysis. Animals : an open access journal from MDPI, 14(7), 1002. </w:t>
      </w:r>
    </w:p>
    <w:p w14:paraId="68BDABF5">
      <w:pPr>
        <w:pStyle w:val="84"/>
        <w:spacing w:after="0"/>
        <w:rPr>
          <w:highlight w:val="none"/>
        </w:rPr>
      </w:pPr>
      <w:r>
        <w:rPr>
          <w:highlight w:val="none"/>
        </w:rPr>
        <w:t>Masanetz, S., W. Preißinger, H. H. D. Meyer, and M. W. Pfaffl. 2011. Effects of the prebiotics inulin and lactulose on intestinal immunology and hematology of preruminant calves. Animal 5(7):1099-1106.</w:t>
      </w:r>
    </w:p>
    <w:p w14:paraId="464CC8E7">
      <w:pPr>
        <w:pStyle w:val="84"/>
        <w:spacing w:after="0"/>
        <w:rPr>
          <w:highlight w:val="none"/>
        </w:rPr>
      </w:pPr>
      <w:r>
        <w:rPr>
          <w:highlight w:val="none"/>
        </w:rPr>
        <w:t>Mattick, J. S., P. P. Amaral, P. Carninci, S. Carpenter, H. Y. Chang, L.-L. Chen, R. Chen, C. Dean, M. E. Dinger, K. A. Fitzgerald, T. R. Gingeras, M. Guttman, T. Hirose, M. Huarte, R. Johnson, C. Kanduri, P. Kapranov, J. B. Lawrence, J. T. Lee, J. T. Mendell, T. R. Mercer, K. J. Moore, S. Nakagawa, J. L. Rinn, D. L. Spector, I. Ulitsky, Y. Wan, J. E. Wilusz, and M. Wu. 2023. Long non-coding RNAs: definitions, functions, challenges and recommendations. Nat Rev Mol Cell Bio 24(6):430-447.</w:t>
      </w:r>
    </w:p>
    <w:p w14:paraId="2E81FC02">
      <w:pPr>
        <w:pStyle w:val="84"/>
        <w:spacing w:after="0"/>
        <w:rPr>
          <w:highlight w:val="none"/>
        </w:rPr>
      </w:pPr>
      <w:r>
        <w:rPr>
          <w:highlight w:val="none"/>
        </w:rPr>
        <w:t>Mecocci, S., D. Pietrucci, M. Milanesi, L. Pascucci, S. Filippi, V. Rosato, G. Chillemi, S. Capomaccio, and K. Cappelli. 2021. Transcriptomic Characterization of Cow, Donkey and Goat Milk Extracellular Vesicles Reveals Their Anti-Inflammatory and Immunomodulatory Potential. Int J Mol Sci 22(23).</w:t>
      </w:r>
    </w:p>
    <w:p w14:paraId="5C190DBC">
      <w:pPr>
        <w:pStyle w:val="84"/>
        <w:spacing w:after="0"/>
        <w:rPr>
          <w:highlight w:val="none"/>
        </w:rPr>
      </w:pPr>
      <w:r>
        <w:rPr>
          <w:highlight w:val="none"/>
        </w:rPr>
        <w:t>Mehrzad, J., C. Desrosiers, K. Lauzon, G. Robitaille, X. Zhao, and P. Lacasse. 2005. Proteases Involved in Mammary Tissue Damage During Endotoxin-Induced Mastitis in Dairy Cows*. J Dairy Sci 88(1):211-222.</w:t>
      </w:r>
    </w:p>
    <w:p w14:paraId="1DE26164">
      <w:pPr>
        <w:pStyle w:val="84"/>
        <w:spacing w:after="0"/>
        <w:rPr>
          <w:highlight w:val="none"/>
        </w:rPr>
      </w:pPr>
      <w:r>
        <w:rPr>
          <w:highlight w:val="none"/>
        </w:rPr>
        <w:t>Mensink, M. A., H. W. Frijlink, K. van der Voort Maarschalk, and W. L. J. Hinrichs. 2015. Inulin, a flexible oligosaccharide I: Review of its physicochemical characteristics. Carbohyd Polym 130:405-419.</w:t>
      </w:r>
    </w:p>
    <w:p w14:paraId="0A6C6B89">
      <w:pPr>
        <w:pStyle w:val="84"/>
        <w:spacing w:after="0"/>
        <w:rPr>
          <w:highlight w:val="none"/>
        </w:rPr>
      </w:pPr>
      <w:r>
        <w:rPr>
          <w:highlight w:val="none"/>
        </w:rPr>
        <w:t>Mino, T. and O. Takeuchi. 2013. Post-transcriptional regulation of cytokine mRNA controls the initiation and resolution of inflammation. Biotechnology and Genetic Engineering Reviews 29(1):49-60.</w:t>
      </w:r>
    </w:p>
    <w:p w14:paraId="08710C0D">
      <w:pPr>
        <w:pStyle w:val="84"/>
        <w:spacing w:after="0"/>
        <w:rPr>
          <w:rFonts w:eastAsiaTheme="minorEastAsia"/>
          <w:highlight w:val="none"/>
          <w:lang w:eastAsia="zh-CN"/>
        </w:rPr>
      </w:pPr>
      <w:r>
        <w:rPr>
          <w:highlight w:val="none"/>
        </w:rPr>
        <w:t>Miretti, S., C. Lecchi, F. Ceciliani, and M. Baratta. 2020. MicroRNAs as Biomarkers for Animal Health and Welfare in Livestock. Front Vet Sci 7:578193.</w:t>
      </w:r>
    </w:p>
    <w:p w14:paraId="3433C350">
      <w:pPr>
        <w:pStyle w:val="84"/>
        <w:spacing w:after="0"/>
        <w:rPr>
          <w:rFonts w:eastAsiaTheme="minorEastAsia"/>
          <w:highlight w:val="none"/>
          <w:lang w:eastAsia="zh-CN"/>
        </w:rPr>
      </w:pPr>
      <w:r>
        <w:rPr>
          <w:rFonts w:eastAsiaTheme="minorEastAsia"/>
          <w:highlight w:val="none"/>
          <w:lang w:eastAsia="zh-CN"/>
        </w:rPr>
        <w:t xml:space="preserve">Mukiibi, R., Johnston, D., Vinsky, M., Fitzsimmons, C., Stothard, P., Waters, S. M., </w:t>
      </w:r>
      <w:r>
        <w:rPr>
          <w:rFonts w:hint="eastAsia" w:eastAsiaTheme="minorEastAsia"/>
          <w:highlight w:val="none"/>
          <w:lang w:eastAsia="zh-CN"/>
        </w:rPr>
        <w:t>and</w:t>
      </w:r>
      <w:r>
        <w:rPr>
          <w:rFonts w:eastAsiaTheme="minorEastAsia"/>
          <w:highlight w:val="none"/>
          <w:lang w:eastAsia="zh-CN"/>
        </w:rPr>
        <w:t xml:space="preserve"> Li, C. 2020. Bovine hepatic miRNAome profiling and differential miRNA expression analyses between beef steers with divergent feed efficiency phenotypes. Scientific reports, 10(1), 19309.</w:t>
      </w:r>
    </w:p>
    <w:p w14:paraId="3FDD25F0">
      <w:pPr>
        <w:pStyle w:val="84"/>
        <w:spacing w:after="0"/>
        <w:rPr>
          <w:highlight w:val="none"/>
        </w:rPr>
      </w:pPr>
      <w:r>
        <w:rPr>
          <w:highlight w:val="none"/>
        </w:rPr>
        <w:t>Munagala, R., F. Aqil, J. Jeyabalan, and R. C. Gupta. 2016. Bovine milk-derived exosomes for drug delivery. Cancer Lett 371(1):48-61.</w:t>
      </w:r>
    </w:p>
    <w:p w14:paraId="40D0E08C">
      <w:pPr>
        <w:pStyle w:val="84"/>
        <w:spacing w:after="0"/>
        <w:rPr>
          <w:highlight w:val="none"/>
        </w:rPr>
      </w:pPr>
      <w:r>
        <w:rPr>
          <w:highlight w:val="none"/>
        </w:rPr>
        <w:t>Nahid, M. A., K. M. Pauley, M. Satoh, and E. K. Chan. 2009. miR-146a is critical for endotoxin-induced tolerance: IMPLICATION IN INNATE IMMUNITY. J Biol Chem 284(50):34590-34599.</w:t>
      </w:r>
    </w:p>
    <w:p w14:paraId="2D89FBF1">
      <w:pPr>
        <w:pStyle w:val="84"/>
        <w:spacing w:after="0"/>
        <w:rPr>
          <w:highlight w:val="none"/>
        </w:rPr>
      </w:pPr>
      <w:r>
        <w:rPr>
          <w:highlight w:val="none"/>
        </w:rPr>
        <w:t>Organization, W. H. 1998. Use of quinolones in food animals and potential impact on human health: report of a WHO meeting, Geneva, Switzerland, 2-5 June 1998. World Health Organization.</w:t>
      </w:r>
    </w:p>
    <w:p w14:paraId="0E735DE9">
      <w:pPr>
        <w:pStyle w:val="84"/>
        <w:spacing w:after="0"/>
        <w:rPr>
          <w:rFonts w:eastAsiaTheme="minorEastAsia"/>
          <w:highlight w:val="none"/>
          <w:lang w:eastAsia="zh-CN"/>
        </w:rPr>
      </w:pPr>
      <w:r>
        <w:rPr>
          <w:highlight w:val="none"/>
        </w:rPr>
        <w:t>Ozdemir, S. 2020. Expression Profiles of Inflammation-related MicroRNAs in Mycoplasma bovis Infected Milk of Holstein-Friesian and Dogu Anadolu Kirmizisi Cows. Ksu Tarim Doga Derg 23(3):762-771.</w:t>
      </w:r>
    </w:p>
    <w:p w14:paraId="714FB46C">
      <w:pPr>
        <w:pStyle w:val="84"/>
        <w:spacing w:after="0"/>
        <w:rPr>
          <w:rFonts w:eastAsiaTheme="minorEastAsia"/>
          <w:highlight w:val="none"/>
          <w:lang w:eastAsia="zh-CN"/>
        </w:rPr>
      </w:pPr>
      <w:r>
        <w:rPr>
          <w:rFonts w:eastAsiaTheme="minorEastAsia"/>
          <w:highlight w:val="none"/>
          <w:lang w:eastAsia="zh-CN"/>
        </w:rPr>
        <w:t xml:space="preserve">Ozturkoglu-Budak, S., Akal, H. C., Buran, İ., </w:t>
      </w:r>
      <w:r>
        <w:rPr>
          <w:rFonts w:hint="eastAsia" w:eastAsiaTheme="minorEastAsia"/>
          <w:highlight w:val="none"/>
          <w:lang w:eastAsia="zh-CN"/>
        </w:rPr>
        <w:t>and</w:t>
      </w:r>
      <w:r>
        <w:rPr>
          <w:rFonts w:eastAsiaTheme="minorEastAsia"/>
          <w:highlight w:val="none"/>
          <w:lang w:eastAsia="zh-CN"/>
        </w:rPr>
        <w:t xml:space="preserve"> Yetişemiyen, A. 2019. Effect of inulin polymerization degree on various properties of synbiotic fermented milk including Lactobacillus acidophilus La-5 and Bifidobacterium animalis Bb-12. Journal of dairy science, 102(8), 6901–6913.</w:t>
      </w:r>
    </w:p>
    <w:p w14:paraId="0954A4E9">
      <w:pPr>
        <w:pStyle w:val="84"/>
        <w:spacing w:after="0"/>
        <w:rPr>
          <w:rFonts w:eastAsiaTheme="minorEastAsia"/>
          <w:highlight w:val="none"/>
          <w:lang w:eastAsia="zh-CN"/>
        </w:rPr>
      </w:pPr>
      <w:r>
        <w:rPr>
          <w:highlight w:val="none"/>
        </w:rPr>
        <w:t>Pandey, A. K., P. Kumar, and M. J. Saxena. 2019. Feed Additives in Animal Health. Pages 345-362 in Nutraceuticals in Veterinary Medicine. R. C. Gupta, A. Srivastava, and R. Lall, ed. Springer International Publishing, Cham.</w:t>
      </w:r>
    </w:p>
    <w:p w14:paraId="624A7EF2">
      <w:pPr>
        <w:pStyle w:val="84"/>
        <w:spacing w:after="0"/>
        <w:rPr>
          <w:rFonts w:eastAsiaTheme="minorEastAsia"/>
          <w:highlight w:val="none"/>
          <w:lang w:eastAsia="zh-CN"/>
        </w:rPr>
      </w:pPr>
      <w:r>
        <w:rPr>
          <w:rFonts w:eastAsiaTheme="minorEastAsia"/>
          <w:highlight w:val="none"/>
          <w:lang w:eastAsia="zh-CN"/>
        </w:rPr>
        <w:t>Paya, H., Giannenas, I., Taghizadeh, A. et al. Impact of inulin supplementation on mitigating ruminal emissions of methane.</w:t>
      </w:r>
      <w:r>
        <w:rPr>
          <w:rFonts w:hint="eastAsia" w:eastAsiaTheme="minorEastAsia"/>
          <w:highlight w:val="none"/>
          <w:lang w:eastAsia="zh-CN"/>
        </w:rPr>
        <w:t xml:space="preserve"> 2024.</w:t>
      </w:r>
      <w:r>
        <w:rPr>
          <w:rFonts w:eastAsiaTheme="minorEastAsia"/>
          <w:highlight w:val="none"/>
          <w:lang w:eastAsia="zh-CN"/>
        </w:rPr>
        <w:t xml:space="preserve"> Biomass Conv. Bioref. 14, 8493–8501.</w:t>
      </w:r>
    </w:p>
    <w:p w14:paraId="39B0DD0E">
      <w:pPr>
        <w:pStyle w:val="84"/>
        <w:spacing w:after="0"/>
        <w:rPr>
          <w:highlight w:val="none"/>
        </w:rPr>
      </w:pPr>
      <w:r>
        <w:rPr>
          <w:highlight w:val="none"/>
        </w:rPr>
        <w:t>Quan, S. Y., X. M. Nan, K. Wang, L. S. Jiang, J. H. Yao, and B. H. Xiong. 2019. Different Diets Change the Expression of Bovine Serum Extracellular Vesicle-miRNAs. Animals-Basel 9(12).</w:t>
      </w:r>
    </w:p>
    <w:p w14:paraId="40D7F014">
      <w:pPr>
        <w:pStyle w:val="84"/>
        <w:spacing w:after="0"/>
        <w:rPr>
          <w:highlight w:val="none"/>
        </w:rPr>
      </w:pPr>
      <w:r>
        <w:rPr>
          <w:highlight w:val="none"/>
        </w:rPr>
        <w:t>Quan, S. Y., X. M. Nan, K. Wang, Y. G. Zhao, L. S. Jiang, J. H. Yao, and B. H. Xiong. 2020. Replacement of forage fiber with non-forage fiber sources in dairy cow diets changes milk extracellular vesicle-miRNA expression. Food Funct 11(3):2154-2162.</w:t>
      </w:r>
    </w:p>
    <w:p w14:paraId="65951EA4">
      <w:pPr>
        <w:pStyle w:val="84"/>
        <w:spacing w:after="0"/>
        <w:rPr>
          <w:highlight w:val="none"/>
        </w:rPr>
      </w:pPr>
      <w:r>
        <w:rPr>
          <w:highlight w:val="none"/>
        </w:rPr>
        <w:t>Rambaud, C., M. Croy, and E. Choque. 2025. The great diversity of products from Cichorium intybus L. culture: how to valorize chicory byproducts: a review. Discover Plants 2.</w:t>
      </w:r>
    </w:p>
    <w:p w14:paraId="38D6B4BD">
      <w:pPr>
        <w:pStyle w:val="84"/>
        <w:spacing w:after="0"/>
        <w:rPr>
          <w:rFonts w:eastAsiaTheme="minorEastAsia"/>
          <w:highlight w:val="none"/>
          <w:lang w:eastAsia="zh-CN"/>
        </w:rPr>
      </w:pPr>
      <w:r>
        <w:rPr>
          <w:highlight w:val="none"/>
        </w:rPr>
        <w:t>Ran, H. B., Y. Yang, M. N. Luo, X. R. Liu, B. L. Yue, Z. X. Chai, J. C. Zhong, and H. Wang. 2022. Molecular Regulation of Yak Preadipocyte Differentiation and Proliferation by LncFAM200B and ceRNA Regulatory Network Analysis. Cells-Basel 11(15).</w:t>
      </w:r>
    </w:p>
    <w:p w14:paraId="33D3A713">
      <w:pPr>
        <w:pStyle w:val="84"/>
        <w:spacing w:after="0"/>
        <w:rPr>
          <w:rFonts w:eastAsiaTheme="minorEastAsia"/>
          <w:highlight w:val="none"/>
          <w:lang w:eastAsia="zh-CN"/>
        </w:rPr>
      </w:pPr>
      <w:r>
        <w:rPr>
          <w:rFonts w:eastAsiaTheme="minorEastAsia"/>
          <w:highlight w:val="none"/>
          <w:lang w:eastAsia="zh-CN"/>
        </w:rPr>
        <w:t xml:space="preserve">Rasmussen, P., Barkema, H. W., Osei, P. P., Taylor, J., Shaw, A. P., Conrady, B., </w:t>
      </w:r>
      <w:r>
        <w:rPr>
          <w:rFonts w:hint="eastAsia" w:eastAsiaTheme="minorEastAsia"/>
          <w:highlight w:val="none"/>
          <w:lang w:eastAsia="zh-CN"/>
        </w:rPr>
        <w:t>Chaters, G., Munoz, V., Hall, D., Apenteng, O. O., Rushton, J.,</w:t>
      </w:r>
      <w:r>
        <w:rPr>
          <w:rFonts w:eastAsiaTheme="minorEastAsia"/>
          <w:highlight w:val="none"/>
          <w:lang w:eastAsia="zh-CN"/>
        </w:rPr>
        <w:t xml:space="preserve"> </w:t>
      </w:r>
      <w:r>
        <w:rPr>
          <w:rFonts w:hint="eastAsia" w:eastAsiaTheme="minorEastAsia"/>
          <w:highlight w:val="none"/>
          <w:lang w:eastAsia="zh-CN"/>
        </w:rPr>
        <w:t>and</w:t>
      </w:r>
      <w:r>
        <w:rPr>
          <w:rFonts w:eastAsiaTheme="minorEastAsia"/>
          <w:highlight w:val="none"/>
          <w:lang w:eastAsia="zh-CN"/>
        </w:rPr>
        <w:t xml:space="preserve"> Torgerson, P. R. 2024. Global losses due to dairy cattle diseases: A comorbidity-adjusted economic analysis. Journal of Dairy Science, 107(9), 6945-6970.</w:t>
      </w:r>
    </w:p>
    <w:p w14:paraId="21562589">
      <w:pPr>
        <w:pStyle w:val="84"/>
        <w:spacing w:after="0"/>
        <w:rPr>
          <w:highlight w:val="none"/>
        </w:rPr>
      </w:pPr>
      <w:r>
        <w:rPr>
          <w:highlight w:val="none"/>
        </w:rPr>
        <w:t>Redondo-Cuenca, A., S. E. Herrera-Vázquez, L. Condezo-Hoyos, E. Gómez-Ordóñez, and P. Rupérez. 2021. Inulin extraction from common inulin-containing plant sources. Industrial Crops and Products 170:113726.</w:t>
      </w:r>
    </w:p>
    <w:p w14:paraId="478836EB">
      <w:pPr>
        <w:pStyle w:val="84"/>
        <w:spacing w:after="0"/>
        <w:rPr>
          <w:highlight w:val="none"/>
        </w:rPr>
      </w:pPr>
      <w:r>
        <w:rPr>
          <w:highlight w:val="none"/>
        </w:rPr>
        <w:t>Ruegg, P. L. 2017. A 100-Year Review: Mastitis detection, management, and prevention. J Dairy Sci 100(12):10381-10397.</w:t>
      </w:r>
    </w:p>
    <w:p w14:paraId="6B901D03">
      <w:pPr>
        <w:pStyle w:val="84"/>
        <w:spacing w:after="0"/>
        <w:rPr>
          <w:highlight w:val="none"/>
        </w:rPr>
      </w:pPr>
      <w:r>
        <w:rPr>
          <w:highlight w:val="none"/>
        </w:rPr>
        <w:t>Saba, R., D. L. Sorensen, and S. A. Booth. 2014.</w:t>
      </w:r>
      <w:bookmarkStart w:id="126" w:name="OLE_LINK23"/>
      <w:r>
        <w:rPr>
          <w:highlight w:val="none"/>
        </w:rPr>
        <w:t xml:space="preserve"> MicroRNA-146a: A Dominant, Negative Regulator of the Innate Immune Response</w:t>
      </w:r>
      <w:bookmarkEnd w:id="126"/>
      <w:r>
        <w:rPr>
          <w:highlight w:val="none"/>
        </w:rPr>
        <w:t>. Front Immunol 5:578.</w:t>
      </w:r>
    </w:p>
    <w:p w14:paraId="6AFE5698">
      <w:pPr>
        <w:pStyle w:val="84"/>
        <w:spacing w:after="0"/>
        <w:rPr>
          <w:highlight w:val="none"/>
        </w:rPr>
      </w:pPr>
      <w:r>
        <w:rPr>
          <w:highlight w:val="none"/>
        </w:rPr>
        <w:t>Salmena, L., L. Poliseno, Y. Tay, L. Kats, and Pier P. Pandolfi. 2011. A &lt;em&gt;ceRNA&lt;/em&gt; Hypothesis: The Rosetta Stone of a Hidden RNA Language? Cell 146(3):353-358.</w:t>
      </w:r>
    </w:p>
    <w:p w14:paraId="3AF25FAD">
      <w:pPr>
        <w:pStyle w:val="84"/>
        <w:spacing w:after="0"/>
        <w:rPr>
          <w:highlight w:val="none"/>
        </w:rPr>
      </w:pPr>
      <w:r>
        <w:rPr>
          <w:highlight w:val="none"/>
        </w:rPr>
        <w:t>Saraiva, M. and A. O'Garra. 2010. The regulation of IL-10 production by immune cells. Nature Reviews Immunology 10(3):170-181.</w:t>
      </w:r>
    </w:p>
    <w:p w14:paraId="00AA03F4">
      <w:pPr>
        <w:pStyle w:val="84"/>
        <w:spacing w:after="0"/>
        <w:rPr>
          <w:rFonts w:eastAsiaTheme="minorEastAsia"/>
          <w:highlight w:val="none"/>
          <w:lang w:eastAsia="zh-CN"/>
        </w:rPr>
      </w:pPr>
      <w:r>
        <w:rPr>
          <w:rFonts w:eastAsiaTheme="minorEastAsia"/>
          <w:highlight w:val="none"/>
          <w:lang w:eastAsia="zh-CN"/>
        </w:rPr>
        <w:t xml:space="preserve">Saenz-de-Juano, M. D., Silvestrelli, G., Bauersachs, S., </w:t>
      </w:r>
      <w:r>
        <w:rPr>
          <w:rFonts w:hint="eastAsia" w:eastAsiaTheme="minorEastAsia"/>
          <w:highlight w:val="none"/>
          <w:lang w:eastAsia="zh-CN"/>
        </w:rPr>
        <w:t>and</w:t>
      </w:r>
      <w:r>
        <w:rPr>
          <w:rFonts w:eastAsiaTheme="minorEastAsia"/>
          <w:highlight w:val="none"/>
          <w:lang w:eastAsia="zh-CN"/>
        </w:rPr>
        <w:t xml:space="preserve"> Ulbrich, S. E. 2022. Determining extracellular vesicles properties and miRNA cargo variability in bovine milk from healthy cows and cows undergoing subclinical mastitis. BMC genomics, 23(1), 189.</w:t>
      </w:r>
    </w:p>
    <w:p w14:paraId="538C986D">
      <w:pPr>
        <w:pStyle w:val="84"/>
        <w:spacing w:after="0"/>
        <w:rPr>
          <w:rFonts w:eastAsiaTheme="minorEastAsia"/>
          <w:highlight w:val="none"/>
          <w:lang w:eastAsia="zh-CN"/>
        </w:rPr>
      </w:pPr>
      <w:r>
        <w:rPr>
          <w:rFonts w:eastAsiaTheme="minorEastAsia"/>
          <w:highlight w:val="none"/>
          <w:lang w:eastAsia="zh-CN"/>
        </w:rPr>
        <w:t xml:space="preserve">Schukken, Y. H., Günther, J., Fitzpatrick, J., Fontaine, M. C., Goetze, L., Holst, O., </w:t>
      </w:r>
      <w:r>
        <w:rPr>
          <w:rFonts w:hint="eastAsia" w:eastAsiaTheme="minorEastAsia"/>
          <w:highlight w:val="none"/>
          <w:lang w:eastAsia="zh-CN"/>
        </w:rPr>
        <w:t>Leigh, J., Petzl, W., Schuberth, H.-J., Sipka, A., Smith, D. G. E., Quesnell, R., Watts, J., Yancey, R., Zerbe, H., Gurjar, A., Zadoks, R. N.,Seyfert, H.-M.</w:t>
      </w:r>
      <w:r>
        <w:rPr>
          <w:rFonts w:eastAsiaTheme="minorEastAsia"/>
          <w:highlight w:val="none"/>
          <w:lang w:eastAsia="zh-CN"/>
        </w:rPr>
        <w:t xml:space="preserve"> 2011. Host-response patterns of intramammary infections in dairy cows. Veterinary immunology and immunopathology, 144(3-4), 270-289.</w:t>
      </w:r>
    </w:p>
    <w:p w14:paraId="7CCE1B41">
      <w:pPr>
        <w:pStyle w:val="84"/>
        <w:spacing w:after="0"/>
        <w:rPr>
          <w:highlight w:val="none"/>
        </w:rPr>
      </w:pPr>
      <w:r>
        <w:rPr>
          <w:highlight w:val="none"/>
        </w:rPr>
        <w:t>Sguizzato, A. L. L., T. E. da Silva, J. C. C. Chagas, A. M. Argüelo, N. M. Gonçalves, and M. I. Marcondes. 2024. Understanding the dynamics of mastitis in milk yield: Decoding onset and recovery patterns in response to mastitis occurrence. JDS Communications 5(6):669-673.</w:t>
      </w:r>
    </w:p>
    <w:p w14:paraId="7BF5279D">
      <w:pPr>
        <w:pStyle w:val="84"/>
        <w:spacing w:after="0"/>
        <w:rPr>
          <w:rFonts w:eastAsiaTheme="minorEastAsia"/>
          <w:highlight w:val="none"/>
          <w:lang w:eastAsia="zh-CN"/>
        </w:rPr>
      </w:pPr>
      <w:r>
        <w:rPr>
          <w:highlight w:val="none"/>
        </w:rPr>
        <w:t>Sheng, W., G. Ji, and L. Zhang. 2023. Immunomodulatory effects of inulin and its intestinal metabolites. Front Immunol 14:1224092.</w:t>
      </w:r>
    </w:p>
    <w:p w14:paraId="6C2F263B">
      <w:pPr>
        <w:pStyle w:val="84"/>
        <w:spacing w:after="0"/>
        <w:rPr>
          <w:rFonts w:eastAsiaTheme="minorEastAsia"/>
          <w:highlight w:val="none"/>
          <w:lang w:eastAsia="zh-CN"/>
        </w:rPr>
      </w:pPr>
      <w:r>
        <w:rPr>
          <w:rFonts w:eastAsiaTheme="minorEastAsia"/>
          <w:highlight w:val="none"/>
          <w:lang w:eastAsia="zh-CN"/>
        </w:rPr>
        <w:t xml:space="preserve">Slama, P., Kabourkova, E., Sladek, Z., Zavadilova, T., Kratochvilova, L., Kharkevich, K., Roychoudhury, S., Pavlik, A., Roztocilova, A., Uhrincat, M., Tancin, V., Kimura, K., Konecny, R., Kiku, Y., Watanabe, A., Kwak, J.-Y., </w:t>
      </w:r>
      <w:r>
        <w:rPr>
          <w:rFonts w:hint="eastAsia" w:eastAsiaTheme="minorEastAsia"/>
          <w:highlight w:val="none"/>
          <w:lang w:eastAsia="zh-CN"/>
        </w:rPr>
        <w:t>and</w:t>
      </w:r>
      <w:r>
        <w:rPr>
          <w:rFonts w:eastAsiaTheme="minorEastAsia"/>
          <w:highlight w:val="none"/>
          <w:lang w:eastAsia="zh-CN"/>
        </w:rPr>
        <w:t xml:space="preserve"> Zouharova, M. 2020. Effect of Lipopolysaccharide and Muramyl Dipeptide on Apoptosis of Bovine Mammary Gland Lymphocytes. Animals, 10(6), 990. </w:t>
      </w:r>
    </w:p>
    <w:p w14:paraId="5C1436CA">
      <w:pPr>
        <w:pStyle w:val="84"/>
        <w:spacing w:after="0"/>
        <w:rPr>
          <w:rFonts w:eastAsiaTheme="minorEastAsia"/>
          <w:highlight w:val="none"/>
          <w:lang w:eastAsia="zh-CN"/>
        </w:rPr>
      </w:pPr>
      <w:r>
        <w:rPr>
          <w:highlight w:val="none"/>
        </w:rPr>
        <w:t>Soyeurt, H., C. Bastin, F. Colinet, V.-R. Arnould, D. Berry, E. Wall, F. Dehareng, H. Nguyen, P. Dardenne, and J. Schefers. 2012. Mid-infrared prediction of lactoferrin content in bovine milk: potential indicator of mastitis. Animal 6(11):1830-1838.</w:t>
      </w:r>
    </w:p>
    <w:p w14:paraId="20F27610">
      <w:pPr>
        <w:pStyle w:val="84"/>
        <w:spacing w:after="0"/>
        <w:rPr>
          <w:rFonts w:eastAsiaTheme="minorEastAsia"/>
          <w:highlight w:val="none"/>
          <w:lang w:eastAsia="zh-CN"/>
        </w:rPr>
      </w:pPr>
      <w:r>
        <w:rPr>
          <w:rFonts w:eastAsiaTheme="minorEastAsia"/>
          <w:highlight w:val="none"/>
          <w:lang w:eastAsia="zh-CN"/>
        </w:rPr>
        <w:t xml:space="preserve">Steeneveld, W., Hogeveen, H., Barkema, H. W., van den Broek, J., </w:t>
      </w:r>
      <w:r>
        <w:rPr>
          <w:rFonts w:hint="eastAsia" w:eastAsiaTheme="minorEastAsia"/>
          <w:highlight w:val="none"/>
          <w:lang w:eastAsia="zh-CN"/>
        </w:rPr>
        <w:t>and</w:t>
      </w:r>
      <w:r>
        <w:rPr>
          <w:rFonts w:eastAsiaTheme="minorEastAsia"/>
          <w:highlight w:val="none"/>
          <w:lang w:eastAsia="zh-CN"/>
        </w:rPr>
        <w:t xml:space="preserve"> Huirne, R. B. 2008. The influence of cow factors on the incidence of clinical mastitis in dairy cows. Journal of dairy science, 91(4), 1391-1402.</w:t>
      </w:r>
    </w:p>
    <w:p w14:paraId="735A05AD">
      <w:pPr>
        <w:pStyle w:val="84"/>
        <w:spacing w:after="0"/>
        <w:rPr>
          <w:rFonts w:eastAsiaTheme="minorEastAsia"/>
          <w:highlight w:val="none"/>
          <w:lang w:eastAsia="zh-CN"/>
        </w:rPr>
      </w:pPr>
      <w:r>
        <w:rPr>
          <w:rFonts w:eastAsiaTheme="minorEastAsia"/>
          <w:highlight w:val="none"/>
          <w:lang w:eastAsia="zh-CN"/>
        </w:rPr>
        <w:t xml:space="preserve">Stefanon, B., Cintio, M., Sgorlon, S., Scarsella, E., Licastro, D., Zecconi, A., </w:t>
      </w:r>
      <w:r>
        <w:rPr>
          <w:rFonts w:hint="eastAsia" w:eastAsiaTheme="minorEastAsia"/>
          <w:highlight w:val="none"/>
          <w:lang w:eastAsia="zh-CN"/>
        </w:rPr>
        <w:t>and</w:t>
      </w:r>
      <w:r>
        <w:rPr>
          <w:rFonts w:eastAsiaTheme="minorEastAsia"/>
          <w:highlight w:val="none"/>
          <w:lang w:eastAsia="zh-CN"/>
        </w:rPr>
        <w:t xml:space="preserve"> Colitti, M. 2023. Regulatory role of microRNA of milk exosomes in mastitis of dairy cows. Animals, 13(5), 821.</w:t>
      </w:r>
    </w:p>
    <w:p w14:paraId="2D167969">
      <w:pPr>
        <w:pStyle w:val="84"/>
        <w:spacing w:after="0"/>
        <w:rPr>
          <w:highlight w:val="none"/>
        </w:rPr>
      </w:pPr>
      <w:r>
        <w:rPr>
          <w:highlight w:val="none"/>
        </w:rPr>
        <w:t>Stoorvogel, W., M. J. Kleijmeer, H. J. Geuze, and G. Raposo. 2002. The biogenesis and functions of exosomes. Traffic 3(5):321-330.</w:t>
      </w:r>
    </w:p>
    <w:p w14:paraId="6DC60C98">
      <w:pPr>
        <w:pStyle w:val="84"/>
        <w:spacing w:after="0"/>
        <w:rPr>
          <w:highlight w:val="none"/>
        </w:rPr>
      </w:pPr>
      <w:r>
        <w:rPr>
          <w:highlight w:val="none"/>
        </w:rPr>
        <w:t>Tewari, R. S., U. Ala, P. Accornero, M. Baratta, and S. Miretti. 2021. Circulating skeletal muscle related microRNAs profile in Piedmontese cattle during different age. Sci Rep 11(1):15815.</w:t>
      </w:r>
    </w:p>
    <w:p w14:paraId="1F1C1959">
      <w:pPr>
        <w:pStyle w:val="84"/>
        <w:spacing w:after="0"/>
        <w:rPr>
          <w:highlight w:val="none"/>
        </w:rPr>
      </w:pPr>
      <w:r>
        <w:rPr>
          <w:highlight w:val="none"/>
        </w:rPr>
        <w:t>Thapar, R. 2015. Roles of Prolyl Isomerases in RNA-Mediated Gene Expression. Biomolecules 5(2):974-999.</w:t>
      </w:r>
    </w:p>
    <w:p w14:paraId="4784747A">
      <w:pPr>
        <w:pStyle w:val="84"/>
        <w:spacing w:after="0"/>
        <w:rPr>
          <w:highlight w:val="none"/>
        </w:rPr>
      </w:pPr>
      <w:r>
        <w:rPr>
          <w:highlight w:val="none"/>
        </w:rPr>
        <w:t xml:space="preserve">Théry, C. </w:t>
      </w:r>
      <w:r>
        <w:rPr>
          <w:rFonts w:hint="eastAsia" w:eastAsiaTheme="minorEastAsia"/>
          <w:highlight w:val="none"/>
          <w:lang w:eastAsia="zh-CN"/>
        </w:rPr>
        <w:t>et al</w:t>
      </w:r>
      <w:r>
        <w:rPr>
          <w:highlight w:val="none"/>
        </w:rPr>
        <w:t>. 2018. Minimal information for studies of extracellular vesicles 2018 (MISEV2018): a position statement of the International Society for Extracellular Vesicles and update of the MISEV2014 guidelines. Journal of Extracellular Vesicles 7(1):1535750.</w:t>
      </w:r>
    </w:p>
    <w:p w14:paraId="47D1A36C">
      <w:pPr>
        <w:pStyle w:val="84"/>
        <w:spacing w:after="0"/>
        <w:rPr>
          <w:highlight w:val="none"/>
        </w:rPr>
      </w:pPr>
      <w:r>
        <w:rPr>
          <w:highlight w:val="none"/>
        </w:rPr>
        <w:t>Thomas, M., J. Lieberman, and A. Lal. 2010. Desperately seeking microRNA targets. Nat Struct Mol Biol 17(10):1169-1174.</w:t>
      </w:r>
    </w:p>
    <w:p w14:paraId="79BF368B">
      <w:pPr>
        <w:pStyle w:val="84"/>
        <w:spacing w:after="0"/>
        <w:rPr>
          <w:highlight w:val="none"/>
        </w:rPr>
      </w:pPr>
      <w:r>
        <w:rPr>
          <w:highlight w:val="none"/>
        </w:rPr>
        <w:t>Tian, K., J. Liu, Y. Sun, Y. Wu, J. Chen, R. Zhang, T. He, and G. Dong. 2019. Effects of dietary supplementation of inulin on rumen fermentation and bacterial microbiota, inflammatory response and growth performance in finishing beef steers fed high or low-concentrate diet. Animal Feed Science and Technology 258:114299.</w:t>
      </w:r>
    </w:p>
    <w:p w14:paraId="7B77801D">
      <w:pPr>
        <w:pStyle w:val="84"/>
        <w:spacing w:after="0"/>
        <w:rPr>
          <w:highlight w:val="none"/>
        </w:rPr>
      </w:pPr>
      <w:r>
        <w:rPr>
          <w:highlight w:val="none"/>
        </w:rPr>
        <w:t>Tian, X.-J., H. Zhang, J. Zhang, and J. Xing. 2016. Reciprocal regulation between mRNA and microRNA enables a bistable switch that directs cell fate decisions. FEBS Letters 590(19):3443-3455.</w:t>
      </w:r>
    </w:p>
    <w:p w14:paraId="2BD9F36E">
      <w:pPr>
        <w:pStyle w:val="84"/>
        <w:spacing w:after="0"/>
        <w:rPr>
          <w:highlight w:val="none"/>
        </w:rPr>
      </w:pPr>
      <w:r>
        <w:rPr>
          <w:highlight w:val="none"/>
        </w:rPr>
        <w:t>Tino, P. 2009. Basic properties and information theory of Audic-Claverie statistic for analyzing cDNA arrays. BMC Bioinformatics 10:310.</w:t>
      </w:r>
    </w:p>
    <w:p w14:paraId="5969DC85">
      <w:pPr>
        <w:pStyle w:val="84"/>
        <w:spacing w:after="0"/>
        <w:rPr>
          <w:rFonts w:eastAsiaTheme="minorEastAsia"/>
          <w:highlight w:val="none"/>
          <w:lang w:eastAsia="zh-CN"/>
        </w:rPr>
      </w:pPr>
      <w:r>
        <w:rPr>
          <w:highlight w:val="none"/>
        </w:rPr>
        <w:t>Trotta, R., L. Chen, D. Ciarlariello, S. Josyula, C. Mao, S. Costinean, L. Yu, J. P. Butchar, S. Tridandapani, C. M. Croce, and M. A. Caligiuri. 2012. miR-155 regulates IFN-γ production in natural killer cells. Blood 119(15):3478-3485.</w:t>
      </w:r>
    </w:p>
    <w:p w14:paraId="44934FD9">
      <w:pPr>
        <w:pStyle w:val="84"/>
        <w:spacing w:after="0"/>
        <w:rPr>
          <w:rFonts w:eastAsiaTheme="minorEastAsia"/>
          <w:highlight w:val="none"/>
          <w:lang w:eastAsia="zh-CN"/>
        </w:rPr>
      </w:pPr>
      <w:r>
        <w:rPr>
          <w:rFonts w:eastAsiaTheme="minorEastAsia"/>
          <w:highlight w:val="none"/>
          <w:lang w:eastAsia="zh-CN"/>
        </w:rPr>
        <w:t xml:space="preserve">Van Oostveldt, K., Tomita, G. M., Paape, M. J., Capuco, A. V., </w:t>
      </w:r>
      <w:r>
        <w:rPr>
          <w:rFonts w:hint="eastAsia" w:eastAsiaTheme="minorEastAsia"/>
          <w:highlight w:val="none"/>
          <w:lang w:eastAsia="zh-CN"/>
        </w:rPr>
        <w:t>and</w:t>
      </w:r>
      <w:r>
        <w:rPr>
          <w:rFonts w:eastAsiaTheme="minorEastAsia"/>
          <w:highlight w:val="none"/>
          <w:lang w:eastAsia="zh-CN"/>
        </w:rPr>
        <w:t xml:space="preserve"> Burvenich, C. 2002. Apoptosis of bovine neutrophils during mastitis experimentally induced with Escherichia coli or endotoxin. American Journal of Veterinary Research, 63(3), 448-453.</w:t>
      </w:r>
    </w:p>
    <w:p w14:paraId="1A603B60">
      <w:pPr>
        <w:pStyle w:val="84"/>
        <w:spacing w:after="0"/>
        <w:rPr>
          <w:highlight w:val="none"/>
        </w:rPr>
      </w:pPr>
      <w:r>
        <w:rPr>
          <w:highlight w:val="none"/>
        </w:rPr>
        <w:t>Wang, H., X. Wang, X. Li, Q. Wang, S. Qing, Y. Zhang, and M.-Q. Gao. 2019</w:t>
      </w:r>
      <w:r>
        <w:rPr>
          <w:rFonts w:hint="eastAsia" w:eastAsiaTheme="minorEastAsia"/>
          <w:highlight w:val="none"/>
          <w:lang w:eastAsia="zh-CN"/>
        </w:rPr>
        <w:t>a</w:t>
      </w:r>
      <w:r>
        <w:rPr>
          <w:highlight w:val="none"/>
        </w:rPr>
        <w:t>. A novel long non-coding RNA regulates the immune response in MAC-T cells and contributes to bovine mastitis. The FEBS Journal 286(9):1780-1795.</w:t>
      </w:r>
    </w:p>
    <w:p w14:paraId="65AB98F1">
      <w:pPr>
        <w:pStyle w:val="84"/>
        <w:spacing w:after="0"/>
        <w:rPr>
          <w:rFonts w:eastAsiaTheme="minorEastAsia"/>
          <w:highlight w:val="none"/>
          <w:lang w:eastAsia="zh-CN"/>
        </w:rPr>
      </w:pPr>
      <w:r>
        <w:rPr>
          <w:highlight w:val="none"/>
        </w:rPr>
        <w:t>Wang, K., Y. Cheng, Y. Ren, H. Xiu, W. Meng, T. Guo, X. Ma, E. Kebreab, D. Wang, and L. Lyu. 2024. LncRNA S100PBP promotes proliferation and steroid hormone synthesis of granulosa cells by sponging MiR-2285bc-BMPR2 in bovine†. Biol Reprod 111(1):92-109.</w:t>
      </w:r>
    </w:p>
    <w:p w14:paraId="405E20F4">
      <w:pPr>
        <w:pStyle w:val="84"/>
        <w:spacing w:after="0"/>
        <w:rPr>
          <w:rFonts w:eastAsiaTheme="minorEastAsia"/>
          <w:highlight w:val="none"/>
          <w:lang w:eastAsia="zh-CN"/>
        </w:rPr>
      </w:pPr>
      <w:r>
        <w:rPr>
          <w:rFonts w:eastAsiaTheme="minorEastAsia"/>
          <w:highlight w:val="none"/>
          <w:lang w:eastAsia="zh-CN"/>
        </w:rPr>
        <w:t>Wang, W.; Chen, D.; Yu, B.; Huang, Z.; Luo, Y.; Zheng, P.; Mao, X.; Yu, J.; Luo, J</w:t>
      </w:r>
      <w:r>
        <w:rPr>
          <w:rFonts w:hint="eastAsia" w:eastAsiaTheme="minorEastAsia"/>
          <w:highlight w:val="none"/>
          <w:lang w:eastAsia="zh-CN"/>
        </w:rPr>
        <w:t xml:space="preserve">, and </w:t>
      </w:r>
      <w:r>
        <w:rPr>
          <w:rFonts w:eastAsiaTheme="minorEastAsia"/>
          <w:highlight w:val="none"/>
          <w:lang w:eastAsia="zh-CN"/>
        </w:rPr>
        <w:t xml:space="preserve">He, J. </w:t>
      </w:r>
      <w:r>
        <w:rPr>
          <w:rFonts w:hint="eastAsia" w:eastAsiaTheme="minorEastAsia"/>
          <w:highlight w:val="none"/>
          <w:lang w:eastAsia="zh-CN"/>
        </w:rPr>
        <w:t xml:space="preserve">2019b. </w:t>
      </w:r>
      <w:r>
        <w:rPr>
          <w:rFonts w:eastAsiaTheme="minorEastAsia"/>
          <w:highlight w:val="none"/>
          <w:lang w:eastAsia="zh-CN"/>
        </w:rPr>
        <w:t xml:space="preserve">Effect of Dietary Inulin Supplementation on Growth Performance, Carcass Traits, and Meat Quality in Growing–Finishing Pigs. Animals, 9, 840. </w:t>
      </w:r>
    </w:p>
    <w:p w14:paraId="1691C163">
      <w:pPr>
        <w:pStyle w:val="84"/>
        <w:spacing w:after="0"/>
        <w:rPr>
          <w:highlight w:val="none"/>
        </w:rPr>
      </w:pPr>
      <w:r>
        <w:rPr>
          <w:highlight w:val="none"/>
        </w:rPr>
        <w:t>Wang, X. P., Z. M. Luoreng, L. S. Zan, F. Li, and N. Li. 2017. Bovine miR-146a regulates inflammatory cytokines of bovine mammary epithelial cells via targeting the TRAF6 gene. J Dairy Sci 100(9):7648-7658.</w:t>
      </w:r>
    </w:p>
    <w:p w14:paraId="73B3CEFB">
      <w:pPr>
        <w:pStyle w:val="84"/>
        <w:spacing w:after="0"/>
        <w:rPr>
          <w:highlight w:val="none"/>
        </w:rPr>
      </w:pPr>
      <w:r>
        <w:rPr>
          <w:highlight w:val="none"/>
        </w:rPr>
        <w:t>Wang, Y., X. Nan, Y. Zhao, L. Jiang, H. Wang, F. Zhang, D. Hua, J. Liu, J. Yao, and L. Yang. 2021a. Dietary supplementation of inulin ameliorates subclinical mastitis via regulation of rumen microbial community and metabolites in dairy cows. Microbiology spectrum 9(2):e00105-00121.</w:t>
      </w:r>
    </w:p>
    <w:p w14:paraId="5CF036DB">
      <w:pPr>
        <w:pStyle w:val="84"/>
        <w:spacing w:after="0"/>
        <w:rPr>
          <w:highlight w:val="none"/>
        </w:rPr>
      </w:pPr>
      <w:r>
        <w:rPr>
          <w:highlight w:val="none"/>
        </w:rPr>
        <w:t>Wang, Y., X. M. Nan, Y. G. Zhao, L. S. Jiang, H. Wang, D. K. Hua, F. Zhang, Y. P. Wang, J. Liu, J. H. Yao, and B. H. Xiong. 2021b. Dietary supplementation with inulin improves lactation performance and serum lipids by regulating the rumen microbiome and metabolome in dairy cows. Anim Nutr 7(4):1189-1204.</w:t>
      </w:r>
    </w:p>
    <w:p w14:paraId="4F2E6242">
      <w:pPr>
        <w:pStyle w:val="84"/>
        <w:spacing w:after="0"/>
        <w:rPr>
          <w:highlight w:val="none"/>
        </w:rPr>
      </w:pPr>
      <w:r>
        <w:rPr>
          <w:highlight w:val="none"/>
        </w:rPr>
        <w:t>Wang, Y., X. M. Nan, Y. G. Zhao, L. S. Jiang, H. Wang, F. Zhang, D. K. Hua, J. Liu, J. H. Yao, L. Yang, and B. H. Xiong. 2022. Consumption of Supplementary Inulin Modulates Milk Microbiota and Metabolites in Dairy Cows with Subclinical Mastitis. Appl Environ Microb 88(4).</w:t>
      </w:r>
    </w:p>
    <w:p w14:paraId="7A250F53">
      <w:pPr>
        <w:pStyle w:val="84"/>
        <w:spacing w:after="0"/>
        <w:rPr>
          <w:rFonts w:eastAsiaTheme="minorEastAsia"/>
          <w:highlight w:val="none"/>
          <w:lang w:eastAsia="zh-CN"/>
        </w:rPr>
      </w:pPr>
      <w:r>
        <w:rPr>
          <w:highlight w:val="none"/>
        </w:rPr>
        <w:t>Wang, Y., Y. Zhao, F. Xue, X. Nan, H. Wang, D. Hua, J. Liu, L. Yang, L. Jiang, and B. Xiong. 2020. Nutritional value, bioactivity, and application potential of Jerusalem artichoke (Helianthus tuberosus L.) as a neotype feed resource. Anim Nutr 6(4):429-437.</w:t>
      </w:r>
    </w:p>
    <w:p w14:paraId="4909A140">
      <w:pPr>
        <w:pStyle w:val="84"/>
        <w:spacing w:after="0"/>
        <w:rPr>
          <w:rFonts w:eastAsiaTheme="minorEastAsia"/>
          <w:highlight w:val="none"/>
          <w:lang w:eastAsia="zh-CN"/>
        </w:rPr>
      </w:pPr>
      <w:r>
        <w:rPr>
          <w:rFonts w:eastAsiaTheme="minorEastAsia"/>
          <w:highlight w:val="none"/>
          <w:lang w:eastAsia="zh-CN"/>
        </w:rPr>
        <w:t xml:space="preserve">Wang, Z., Ma, Z., Tian, Z., Jia, H., Zhang, L., Mao, Y., </w:t>
      </w:r>
      <w:r>
        <w:rPr>
          <w:rFonts w:hint="eastAsia" w:eastAsiaTheme="minorEastAsia"/>
          <w:highlight w:val="none"/>
          <w:lang w:eastAsia="zh-CN"/>
        </w:rPr>
        <w:t>Yang, Z., Liu, X., and</w:t>
      </w:r>
      <w:r>
        <w:rPr>
          <w:rFonts w:eastAsiaTheme="minorEastAsia"/>
          <w:highlight w:val="none"/>
          <w:lang w:eastAsia="zh-CN"/>
        </w:rPr>
        <w:t xml:space="preserve"> Li, M. 2025. Microbial dysbiosis in the gut–mammary axis as a mechanism for mastitis in dairy cows. International Journal of Dairy Technology, 78(1), e13150.</w:t>
      </w:r>
    </w:p>
    <w:p w14:paraId="19E41503">
      <w:pPr>
        <w:pStyle w:val="84"/>
        <w:spacing w:after="0"/>
        <w:rPr>
          <w:highlight w:val="none"/>
        </w:rPr>
      </w:pPr>
      <w:r>
        <w:rPr>
          <w:highlight w:val="none"/>
        </w:rPr>
        <w:t>Xia, X., J. Hou, P. Ren, M. Liu, L. Wang, X. Wei, Z. Teng, O. Kasianenko, L. Cheng, and J. Hu. 2023. Coexpression analysis of lncRNAs and mRNAs identifies potential regulatory long noncoding RNAs involved in the inflammatory effects of lipopolysaccharide on bovine mammary epithelial cells. Bmc Vet Res 19(1):209.</w:t>
      </w:r>
    </w:p>
    <w:p w14:paraId="26EB0F49">
      <w:pPr>
        <w:pStyle w:val="84"/>
        <w:spacing w:after="0"/>
        <w:rPr>
          <w:highlight w:val="none"/>
        </w:rPr>
      </w:pPr>
      <w:r>
        <w:rPr>
          <w:highlight w:val="none"/>
        </w:rPr>
        <w:t>Xiao, C., T. Sun, Z. Yang, L. Zou, J. Deng, and X. Yang. 2022. Whole-transcriptome RNA sequencing reveals the global molecular responses and circRNA/lncRNA-miRNA-mRNA ceRNA regulatory network in chicken fat deposition. Poult Sci 101(11):102121.</w:t>
      </w:r>
    </w:p>
    <w:p w14:paraId="09243FCA">
      <w:pPr>
        <w:pStyle w:val="84"/>
        <w:spacing w:after="0"/>
        <w:rPr>
          <w:highlight w:val="none"/>
        </w:rPr>
      </w:pPr>
      <w:r>
        <w:rPr>
          <w:highlight w:val="none"/>
        </w:rPr>
        <w:t>Yang, W., X. Li, S. Qi, X. Li, K. Zhou, S. Qing, Y. Zhang, and M.-Q. Gao. 2017. lncRNA H19 is involved in TGF-β1-induced epithelial to mesenchymal transition in bovine epithelial cells through PI3K/AKT Signaling Pathway. PeerJ 5:e3950.</w:t>
      </w:r>
    </w:p>
    <w:p w14:paraId="4AA1D3FE">
      <w:pPr>
        <w:pStyle w:val="84"/>
        <w:spacing w:after="0"/>
        <w:rPr>
          <w:highlight w:val="none"/>
        </w:rPr>
      </w:pPr>
      <w:r>
        <w:rPr>
          <w:highlight w:val="none"/>
        </w:rPr>
        <w:t>Zeisberg, M., J.-i. Hanai, H. Sugimoto, T. Mammoto, D. Charytan, F. Strutz, and R. Kalluri. 2003. BMP-7 counteracts TGF-β1–induced epithelial-to-mesenchymal transition and reverses chronic renal injury. Nature Medicine 9(7):964-968.</w:t>
      </w:r>
    </w:p>
    <w:p w14:paraId="2FA4818E">
      <w:pPr>
        <w:pStyle w:val="84"/>
        <w:spacing w:after="0"/>
        <w:rPr>
          <w:rFonts w:eastAsiaTheme="minorEastAsia"/>
          <w:highlight w:val="none"/>
          <w:lang w:eastAsia="zh-CN"/>
        </w:rPr>
      </w:pPr>
      <w:r>
        <w:rPr>
          <w:highlight w:val="none"/>
        </w:rPr>
        <w:t>Zeng, B., T. Chen, M. Y. Xie, J. Y. Luo, J. J. He, Q. Y. Xi, J. J. Sun, and Y. L. Zhang. 2019. Exploration of long noncoding RNA in bovine milk exosomes and their stability during digestion in vitro. J Dairy Sci 102(8):6726-6737.</w:t>
      </w:r>
    </w:p>
    <w:p w14:paraId="5E5A232D">
      <w:pPr>
        <w:pStyle w:val="84"/>
        <w:spacing w:after="0"/>
        <w:rPr>
          <w:rFonts w:eastAsiaTheme="minorEastAsia"/>
          <w:highlight w:val="none"/>
          <w:lang w:eastAsia="zh-CN"/>
        </w:rPr>
      </w:pPr>
      <w:r>
        <w:rPr>
          <w:rFonts w:eastAsiaTheme="minorEastAsia"/>
          <w:highlight w:val="none"/>
          <w:lang w:eastAsia="zh-CN"/>
        </w:rPr>
        <w:t xml:space="preserve">Zhao, X., </w:t>
      </w:r>
      <w:r>
        <w:rPr>
          <w:rFonts w:hint="eastAsia" w:eastAsiaTheme="minorEastAsia"/>
          <w:highlight w:val="none"/>
          <w:lang w:eastAsia="zh-CN"/>
        </w:rPr>
        <w:t>and</w:t>
      </w:r>
      <w:r>
        <w:rPr>
          <w:rFonts w:eastAsiaTheme="minorEastAsia"/>
          <w:highlight w:val="none"/>
          <w:lang w:eastAsia="zh-CN"/>
        </w:rPr>
        <w:t xml:space="preserve"> Lacasse, P. 2008. Mammary tissue damage during bovine mastitis: causes and control. Journal of animal science, 86(suppl_13), 57-65.</w:t>
      </w:r>
    </w:p>
    <w:p w14:paraId="3DEEEFEE">
      <w:pPr>
        <w:pStyle w:val="84"/>
        <w:spacing w:after="0"/>
        <w:rPr>
          <w:highlight w:val="none"/>
        </w:rPr>
      </w:pPr>
      <w:r>
        <w:rPr>
          <w:highlight w:val="none"/>
        </w:rPr>
        <w:t>Zhao, Y. G., Y. Wang, X. M. Nan, L. S. Jiang, Y. P. Wang, J. Liu, J. H. Yao, M. T. Rahman, and B. H. Xiong. 2022. Responses of Lactation, Rumen Fermentation and Blood Biochemical Parameters with Increasing Dietary Inulin Supplementation in Mid-Lactation Dairy Cows. Agriculture-Basel 12(4).</w:t>
      </w:r>
    </w:p>
    <w:p w14:paraId="47D3ECB4">
      <w:pPr>
        <w:pStyle w:val="84"/>
        <w:rPr>
          <w:highlight w:val="none"/>
        </w:rPr>
      </w:pPr>
      <w:r>
        <w:rPr>
          <w:highlight w:val="none"/>
        </w:rPr>
        <w:t>Zhou, M., H. W. Barkema, J. Gao, J. Yang, Y. Wang, J. P. Kastelic, S. Khan, G. Liu, and B. Han. 2023. MicroRNA miR-223 modulates NLRP3 and Keap1, mitigating lipopolysaccharide-induced inflammation and oxidative stress in bovine mammary epithelial cells and murine mammary glands. Vet Res 54(1):78.</w:t>
      </w:r>
    </w:p>
    <w:p w14:paraId="42ECF18A">
      <w:pPr>
        <w:pStyle w:val="84"/>
        <w:rPr>
          <w:rFonts w:eastAsiaTheme="minorEastAsia"/>
          <w:highlight w:val="none"/>
          <w:lang w:eastAsia="zh-CN"/>
        </w:rPr>
      </w:pPr>
      <w:r>
        <w:rPr>
          <w:highlight w:val="none"/>
        </w:rPr>
        <w:fldChar w:fldCharType="end"/>
      </w:r>
      <w:r>
        <w:rPr>
          <w:highlight w:val="none"/>
        </w:rPr>
        <w:t xml:space="preserve">Zhu, D., Hu, Y., Liu, Y., Zhou, C., Tan, Z., Kang, J., </w:t>
      </w:r>
      <w:r>
        <w:rPr>
          <w:rFonts w:hint="eastAsia" w:eastAsiaTheme="minorEastAsia"/>
          <w:highlight w:val="none"/>
          <w:lang w:eastAsia="zh-CN"/>
        </w:rPr>
        <w:t>and</w:t>
      </w:r>
      <w:r>
        <w:rPr>
          <w:highlight w:val="none"/>
        </w:rPr>
        <w:t xml:space="preserve"> Wang, Z. 2025. Multi omics revealed the promoting effect of dietary inulin supplementation on hepatic gluconeogenesis in goats. Frontiers in Animal Science, 6, 1614869.</w:t>
      </w:r>
    </w:p>
    <w:p w14:paraId="5160869E">
      <w:pPr>
        <w:spacing w:after="200" w:line="276" w:lineRule="auto"/>
        <w:ind w:firstLine="0"/>
        <w:jc w:val="left"/>
        <w:rPr>
          <w:rFonts w:eastAsia="Calibri" w:cs="Times New Roman"/>
          <w:highlight w:val="none"/>
          <w:lang w:val="en-US"/>
        </w:rPr>
      </w:pPr>
      <w:r>
        <w:rPr>
          <w:rFonts w:eastAsia="Calibri" w:cs="Times New Roman"/>
          <w:highlight w:val="none"/>
          <w:lang w:val="en-US"/>
        </w:rPr>
        <w:br w:type="page"/>
      </w:r>
    </w:p>
    <w:p w14:paraId="7408685E">
      <w:pPr>
        <w:spacing w:after="200" w:line="276" w:lineRule="auto"/>
        <w:ind w:firstLine="0"/>
        <w:jc w:val="left"/>
        <w:rPr>
          <w:rFonts w:eastAsia="Calibri" w:cs="Times New Roman"/>
          <w:highlight w:val="none"/>
          <w:lang w:val="en-US"/>
        </w:rPr>
      </w:pPr>
      <w:r>
        <w:rPr>
          <w:rFonts w:eastAsia="Calibri" w:cs="Times New Roman"/>
          <w:highlight w:val="none"/>
          <w:lang w:val="en-US"/>
        </w:rPr>
        <w:br w:type="page"/>
      </w:r>
    </w:p>
    <w:p w14:paraId="5CC2C09E">
      <w:pPr>
        <w:spacing w:after="200" w:line="276" w:lineRule="auto"/>
        <w:ind w:firstLine="0"/>
        <w:jc w:val="left"/>
        <w:rPr>
          <w:rFonts w:eastAsia="Calibri" w:cs="Times New Roman"/>
          <w:highlight w:val="none"/>
          <w:lang w:val="en-US"/>
        </w:rPr>
        <w:sectPr>
          <w:headerReference r:id="rId50" w:type="default"/>
          <w:headerReference r:id="rId51" w:type="even"/>
          <w:pgSz w:w="9639" w:h="13608"/>
          <w:pgMar w:top="1361" w:right="907" w:bottom="1021" w:left="1247" w:header="709" w:footer="312" w:gutter="0"/>
          <w:cols w:space="708" w:num="1"/>
          <w:docGrid w:linePitch="360" w:charSpace="0"/>
        </w:sectPr>
      </w:pPr>
    </w:p>
    <w:p w14:paraId="3DBB8A93">
      <w:pPr>
        <w:pStyle w:val="2"/>
        <w:numPr>
          <w:ilvl w:val="0"/>
          <w:numId w:val="0"/>
        </w:numPr>
        <w:rPr>
          <w:highlight w:val="none"/>
          <w:lang w:val="en-US" w:eastAsia="zh-CN"/>
        </w:rPr>
      </w:pPr>
      <w:bookmarkStart w:id="127" w:name="_Toc207979794"/>
      <w:r>
        <w:rPr>
          <w:rFonts w:hint="eastAsia"/>
          <w:highlight w:val="none"/>
          <w:lang w:val="en-US" w:eastAsia="zh-CN"/>
        </w:rPr>
        <w:t>Appendix</w:t>
      </w:r>
      <w:bookmarkEnd w:id="127"/>
    </w:p>
    <w:p w14:paraId="5EC00ACF">
      <w:pPr>
        <w:spacing w:after="200" w:line="276" w:lineRule="auto"/>
        <w:ind w:firstLine="0"/>
        <w:jc w:val="left"/>
        <w:rPr>
          <w:highlight w:val="none"/>
          <w:lang w:val="en-US" w:eastAsia="fr-FR"/>
        </w:rPr>
      </w:pPr>
      <w:r>
        <w:rPr>
          <w:highlight w:val="none"/>
          <w:lang w:val="en-US" w:eastAsia="fr-FR"/>
        </w:rPr>
        <w:pict>
          <v:rect id="_x0000_i1029" o:spt="1" style="height:1pt;width:313.25pt;" fillcolor="#000000" filled="t" stroked="f" coordsize="21600,21600" o:hr="t" o:hrstd="t" o:hrnoshade="t" o:hralign="center">
            <v:path/>
            <v:fill on="t" focussize="0,0"/>
            <v:stroke on="f"/>
            <v:imagedata o:title=""/>
            <o:lock v:ext="edit"/>
            <w10:wrap type="none"/>
            <w10:anchorlock/>
          </v:rect>
        </w:pict>
      </w:r>
    </w:p>
    <w:p w14:paraId="086B8623">
      <w:pPr>
        <w:ind w:firstLine="0"/>
        <w:jc w:val="right"/>
        <w:rPr>
          <w:b/>
          <w:sz w:val="40"/>
          <w:szCs w:val="40"/>
          <w:highlight w:val="none"/>
          <w:lang w:val="en-US" w:eastAsia="zh-CN"/>
        </w:rPr>
      </w:pPr>
      <w:r>
        <w:rPr>
          <w:rFonts w:hint="eastAsia"/>
          <w:b/>
          <w:sz w:val="40"/>
          <w:szCs w:val="40"/>
          <w:highlight w:val="none"/>
          <w:lang w:val="en-US" w:eastAsia="zh-CN"/>
        </w:rPr>
        <w:t>Supplementary Table and Scientific Publications</w:t>
      </w:r>
    </w:p>
    <w:p w14:paraId="2005A583">
      <w:pPr>
        <w:rPr>
          <w:b/>
          <w:sz w:val="40"/>
          <w:szCs w:val="40"/>
          <w:highlight w:val="none"/>
          <w:lang w:val="en-US" w:eastAsia="fr-FR"/>
        </w:rPr>
      </w:pPr>
      <w:r>
        <w:rPr>
          <w:b/>
          <w:sz w:val="40"/>
          <w:szCs w:val="40"/>
          <w:highlight w:val="none"/>
          <w:lang w:val="en-US" w:eastAsia="fr-FR"/>
        </w:rPr>
        <w:br w:type="page"/>
      </w:r>
    </w:p>
    <w:p w14:paraId="19BC4792">
      <w:pPr>
        <w:ind w:firstLine="0"/>
        <w:jc w:val="right"/>
        <w:rPr>
          <w:b/>
          <w:sz w:val="40"/>
          <w:szCs w:val="40"/>
          <w:highlight w:val="none"/>
          <w:lang w:val="en-US" w:eastAsia="fr-FR"/>
        </w:rPr>
      </w:pPr>
    </w:p>
    <w:p w14:paraId="13AB604B">
      <w:pPr>
        <w:ind w:firstLine="0"/>
        <w:rPr>
          <w:highlight w:val="none"/>
          <w:lang w:val="en-US" w:eastAsia="zh-CN"/>
        </w:rPr>
      </w:pPr>
    </w:p>
    <w:p w14:paraId="25127FB5">
      <w:pPr>
        <w:pStyle w:val="84"/>
        <w:rPr>
          <w:highlight w:val="none"/>
        </w:rPr>
        <w:sectPr>
          <w:headerReference r:id="rId52" w:type="default"/>
          <w:pgSz w:w="9639" w:h="13608"/>
          <w:pgMar w:top="1361" w:right="907" w:bottom="1021" w:left="1247" w:header="709" w:footer="312" w:gutter="0"/>
          <w:cols w:space="708" w:num="1"/>
          <w:docGrid w:linePitch="360" w:charSpace="0"/>
        </w:sectPr>
      </w:pPr>
    </w:p>
    <w:p w14:paraId="1B6EBD11">
      <w:pPr>
        <w:pStyle w:val="3"/>
        <w:numPr>
          <w:ilvl w:val="0"/>
          <w:numId w:val="0"/>
        </w:numPr>
        <w:ind w:left="170"/>
        <w:rPr>
          <w:highlight w:val="none"/>
          <w:lang w:eastAsia="fr-FR"/>
        </w:rPr>
      </w:pPr>
      <w:bookmarkStart w:id="128" w:name="_Hlk208241469"/>
      <w:bookmarkStart w:id="129" w:name="_Toc207979795"/>
      <w:r>
        <w:rPr>
          <w:rFonts w:hint="eastAsia"/>
          <w:highlight w:val="none"/>
          <w:lang w:eastAsia="fr-FR"/>
        </w:rPr>
        <w:t>Supplementary Tabl</w:t>
      </w:r>
      <w:bookmarkEnd w:id="128"/>
      <w:r>
        <w:rPr>
          <w:rFonts w:hint="eastAsia"/>
          <w:highlight w:val="none"/>
          <w:lang w:eastAsia="fr-FR"/>
        </w:rPr>
        <w:t>e</w:t>
      </w:r>
      <w:bookmarkEnd w:id="129"/>
    </w:p>
    <w:p w14:paraId="245EE75F">
      <w:pPr>
        <w:pStyle w:val="84"/>
        <w:rPr>
          <w:rFonts w:eastAsiaTheme="minorEastAsia"/>
          <w:sz w:val="20"/>
          <w:szCs w:val="20"/>
          <w:highlight w:val="none"/>
          <w:lang w:eastAsia="zh-CN"/>
        </w:rPr>
      </w:pPr>
      <w:r>
        <w:rPr>
          <w:rFonts w:eastAsiaTheme="minorEastAsia" w:cstheme="minorBidi"/>
          <w:b/>
          <w:bCs/>
          <w:highlight w:val="none"/>
        </w:rPr>
        <w:t xml:space="preserve">Table </w:t>
      </w:r>
      <w:r>
        <w:rPr>
          <w:rFonts w:hint="eastAsia" w:eastAsiaTheme="minorEastAsia" w:cstheme="minorBidi"/>
          <w:b/>
          <w:bCs/>
          <w:highlight w:val="none"/>
        </w:rPr>
        <w:t>S1</w:t>
      </w:r>
      <w:r>
        <w:rPr>
          <w:rFonts w:eastAsiaTheme="minorEastAsia" w:cstheme="minorBidi"/>
          <w:b/>
          <w:bCs/>
          <w:highlight w:val="none"/>
        </w:rPr>
        <w:t>:</w:t>
      </w:r>
      <w:r>
        <w:rPr>
          <w:highlight w:val="none"/>
        </w:rPr>
        <w:t xml:space="preserve"> </w:t>
      </w:r>
      <w:r>
        <w:rPr>
          <w:sz w:val="20"/>
          <w:szCs w:val="20"/>
          <w:highlight w:val="none"/>
        </w:rPr>
        <w:t>TMR</w:t>
      </w:r>
      <w:r>
        <w:rPr>
          <w:sz w:val="20"/>
          <w:szCs w:val="20"/>
          <w:highlight w:val="none"/>
          <w:vertAlign w:val="superscript"/>
        </w:rPr>
        <w:t>1</w:t>
      </w:r>
      <w:r>
        <w:rPr>
          <w:sz w:val="20"/>
          <w:szCs w:val="20"/>
          <w:highlight w:val="none"/>
        </w:rPr>
        <w:t xml:space="preserve"> ingredients and nutrient components for dairy cows suffering from subclinical mastitis in both control and inulin groups</w:t>
      </w:r>
    </w:p>
    <w:tbl>
      <w:tblPr>
        <w:tblStyle w:val="2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50"/>
        <w:gridCol w:w="3851"/>
      </w:tblGrid>
      <w:tr w14:paraId="7D80A6F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2500" w:type="pct"/>
            <w:tcBorders>
              <w:top w:val="single" w:color="auto" w:sz="4" w:space="0"/>
              <w:bottom w:val="single" w:color="auto" w:sz="4" w:space="0"/>
            </w:tcBorders>
            <w:vAlign w:val="center"/>
          </w:tcPr>
          <w:p w14:paraId="5B4600A9">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Ingredient, % of DM</w:t>
            </w:r>
          </w:p>
        </w:tc>
        <w:tc>
          <w:tcPr>
            <w:tcW w:w="2500" w:type="pct"/>
            <w:tcBorders>
              <w:top w:val="single" w:color="auto" w:sz="4" w:space="0"/>
              <w:bottom w:val="single" w:color="auto" w:sz="4" w:space="0"/>
            </w:tcBorders>
            <w:vAlign w:val="center"/>
          </w:tcPr>
          <w:p w14:paraId="279440A4">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Content</w:t>
            </w:r>
          </w:p>
        </w:tc>
      </w:tr>
      <w:tr w14:paraId="28BA45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op w:val="single" w:color="auto" w:sz="4" w:space="0"/>
            </w:tcBorders>
            <w:vAlign w:val="center"/>
          </w:tcPr>
          <w:p w14:paraId="4B927EAA">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Corn silage</w:t>
            </w:r>
          </w:p>
        </w:tc>
        <w:tc>
          <w:tcPr>
            <w:tcW w:w="2500" w:type="pct"/>
            <w:tcBorders>
              <w:top w:val="single" w:color="auto" w:sz="4" w:space="0"/>
            </w:tcBorders>
            <w:vAlign w:val="center"/>
          </w:tcPr>
          <w:p w14:paraId="4E12224A">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48.27</w:t>
            </w:r>
          </w:p>
        </w:tc>
      </w:tr>
      <w:tr w14:paraId="7DE95A6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0CFF9653">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Steam-flaked corn</w:t>
            </w:r>
          </w:p>
        </w:tc>
        <w:tc>
          <w:tcPr>
            <w:tcW w:w="2500" w:type="pct"/>
            <w:vAlign w:val="center"/>
          </w:tcPr>
          <w:p w14:paraId="44369B1C">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10.45</w:t>
            </w:r>
          </w:p>
        </w:tc>
      </w:tr>
      <w:tr w14:paraId="27F298D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7C3E54CB">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Alfalfa hay</w:t>
            </w:r>
          </w:p>
        </w:tc>
        <w:tc>
          <w:tcPr>
            <w:tcW w:w="2500" w:type="pct"/>
            <w:vAlign w:val="center"/>
          </w:tcPr>
          <w:p w14:paraId="7E47EA40">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8.18</w:t>
            </w:r>
          </w:p>
        </w:tc>
      </w:tr>
      <w:tr w14:paraId="644CC3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20DEC9ED">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Cottonseed</w:t>
            </w:r>
          </w:p>
        </w:tc>
        <w:tc>
          <w:tcPr>
            <w:tcW w:w="2500" w:type="pct"/>
            <w:vAlign w:val="center"/>
          </w:tcPr>
          <w:p w14:paraId="1DF53DB3">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7.36</w:t>
            </w:r>
          </w:p>
        </w:tc>
      </w:tr>
      <w:tr w14:paraId="483686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6FE6D7A6">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Oat grass</w:t>
            </w:r>
          </w:p>
        </w:tc>
        <w:tc>
          <w:tcPr>
            <w:tcW w:w="2500" w:type="pct"/>
            <w:vAlign w:val="center"/>
          </w:tcPr>
          <w:p w14:paraId="05EBF584">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3.18</w:t>
            </w:r>
          </w:p>
        </w:tc>
      </w:tr>
      <w:tr w14:paraId="3A76F4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6ECBC88F">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Extruded soybean</w:t>
            </w:r>
          </w:p>
        </w:tc>
        <w:tc>
          <w:tcPr>
            <w:tcW w:w="2500" w:type="pct"/>
            <w:vAlign w:val="center"/>
          </w:tcPr>
          <w:p w14:paraId="1ADA0ED0">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0.45</w:t>
            </w:r>
          </w:p>
        </w:tc>
      </w:tr>
      <w:tr w14:paraId="4563F39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00921316">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Sprayed corn husk</w:t>
            </w:r>
          </w:p>
        </w:tc>
        <w:tc>
          <w:tcPr>
            <w:tcW w:w="2500" w:type="pct"/>
            <w:vAlign w:val="center"/>
          </w:tcPr>
          <w:p w14:paraId="7EF2D861">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2.27</w:t>
            </w:r>
          </w:p>
        </w:tc>
      </w:tr>
      <w:tr w14:paraId="429A487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26846130">
            <w:pPr>
              <w:pStyle w:val="95"/>
              <w:spacing w:line="240" w:lineRule="auto"/>
              <w:rPr>
                <w:rFonts w:ascii="Times New Roman" w:hAnsi="Times New Roman" w:eastAsia="Calibri"/>
                <w:sz w:val="20"/>
                <w:szCs w:val="20"/>
                <w:highlight w:val="none"/>
                <w:vertAlign w:val="superscript"/>
                <w:lang w:eastAsia="zh-CN"/>
              </w:rPr>
            </w:pPr>
            <w:r>
              <w:rPr>
                <w:rFonts w:ascii="Times New Roman" w:hAnsi="Times New Roman" w:eastAsia="Calibri"/>
                <w:sz w:val="20"/>
                <w:szCs w:val="20"/>
                <w:highlight w:val="none"/>
              </w:rPr>
              <w:t>Megalac</w:t>
            </w:r>
            <w:r>
              <w:rPr>
                <w:rFonts w:ascii="Times New Roman" w:hAnsi="Times New Roman" w:eastAsia="Calibri"/>
                <w:sz w:val="20"/>
                <w:szCs w:val="20"/>
                <w:highlight w:val="none"/>
                <w:vertAlign w:val="superscript"/>
                <w:lang w:eastAsia="zh-CN"/>
              </w:rPr>
              <w:t>2</w:t>
            </w:r>
          </w:p>
        </w:tc>
        <w:tc>
          <w:tcPr>
            <w:tcW w:w="2500" w:type="pct"/>
            <w:vAlign w:val="center"/>
          </w:tcPr>
          <w:p w14:paraId="3F9141E8">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0.45</w:t>
            </w:r>
          </w:p>
        </w:tc>
      </w:tr>
      <w:tr w14:paraId="1AFD5F4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33DA8EEA">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Fatty powder</w:t>
            </w:r>
          </w:p>
        </w:tc>
        <w:tc>
          <w:tcPr>
            <w:tcW w:w="2500" w:type="pct"/>
            <w:vAlign w:val="center"/>
          </w:tcPr>
          <w:p w14:paraId="62A97BC0">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0.91</w:t>
            </w:r>
          </w:p>
        </w:tc>
      </w:tr>
      <w:tr w14:paraId="7C7499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053DCBB1">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Beet granules</w:t>
            </w:r>
          </w:p>
        </w:tc>
        <w:tc>
          <w:tcPr>
            <w:tcW w:w="2500" w:type="pct"/>
            <w:vAlign w:val="center"/>
          </w:tcPr>
          <w:p w14:paraId="2EBBFA0D">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1.36</w:t>
            </w:r>
          </w:p>
        </w:tc>
      </w:tr>
      <w:tr w14:paraId="7DF687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203BD443">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Rapeseed meal</w:t>
            </w:r>
          </w:p>
        </w:tc>
        <w:tc>
          <w:tcPr>
            <w:tcW w:w="2500" w:type="pct"/>
            <w:vAlign w:val="center"/>
          </w:tcPr>
          <w:p w14:paraId="324AE316">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2.20</w:t>
            </w:r>
          </w:p>
        </w:tc>
      </w:tr>
      <w:tr w14:paraId="7CF0091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75ACAE6C">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Hulless oat straw</w:t>
            </w:r>
          </w:p>
        </w:tc>
        <w:tc>
          <w:tcPr>
            <w:tcW w:w="2500" w:type="pct"/>
            <w:vAlign w:val="center"/>
          </w:tcPr>
          <w:p w14:paraId="7CAC66C8">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2.30</w:t>
            </w:r>
          </w:p>
        </w:tc>
      </w:tr>
      <w:tr w14:paraId="14C7ED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2500" w:type="pct"/>
            <w:vAlign w:val="center"/>
          </w:tcPr>
          <w:p w14:paraId="1F9A33CB">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Sunflower meal</w:t>
            </w:r>
          </w:p>
        </w:tc>
        <w:tc>
          <w:tcPr>
            <w:tcW w:w="2500" w:type="pct"/>
            <w:vAlign w:val="center"/>
          </w:tcPr>
          <w:p w14:paraId="79C1A445">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0.64</w:t>
            </w:r>
          </w:p>
        </w:tc>
      </w:tr>
      <w:tr w14:paraId="009812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54F86378">
            <w:pPr>
              <w:pStyle w:val="95"/>
              <w:spacing w:line="240" w:lineRule="auto"/>
              <w:rPr>
                <w:rFonts w:ascii="Times New Roman" w:hAnsi="Times New Roman" w:eastAsia="Calibri"/>
                <w:sz w:val="20"/>
                <w:szCs w:val="20"/>
                <w:highlight w:val="none"/>
                <w:vertAlign w:val="superscript"/>
                <w:lang w:eastAsia="zh-CN"/>
              </w:rPr>
            </w:pPr>
            <w:r>
              <w:rPr>
                <w:rFonts w:ascii="Times New Roman" w:hAnsi="Times New Roman" w:eastAsia="Calibri"/>
                <w:sz w:val="20"/>
                <w:szCs w:val="20"/>
                <w:highlight w:val="none"/>
              </w:rPr>
              <w:t>5% Premix</w:t>
            </w:r>
            <w:r>
              <w:rPr>
                <w:rFonts w:ascii="Times New Roman" w:hAnsi="Times New Roman" w:eastAsia="Calibri"/>
                <w:sz w:val="20"/>
                <w:szCs w:val="20"/>
                <w:highlight w:val="none"/>
                <w:vertAlign w:val="superscript"/>
                <w:lang w:eastAsia="zh-CN"/>
              </w:rPr>
              <w:t>3</w:t>
            </w:r>
          </w:p>
        </w:tc>
        <w:tc>
          <w:tcPr>
            <w:tcW w:w="2500" w:type="pct"/>
            <w:vAlign w:val="center"/>
          </w:tcPr>
          <w:p w14:paraId="580CDD71">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4.91</w:t>
            </w:r>
          </w:p>
        </w:tc>
      </w:tr>
      <w:tr w14:paraId="3706E2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650FE834">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DDGS</w:t>
            </w:r>
          </w:p>
        </w:tc>
        <w:tc>
          <w:tcPr>
            <w:tcW w:w="2500" w:type="pct"/>
            <w:vAlign w:val="center"/>
          </w:tcPr>
          <w:p w14:paraId="2E4C0FCC">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4.42</w:t>
            </w:r>
          </w:p>
        </w:tc>
      </w:tr>
      <w:tr w14:paraId="0C1578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1E2DDBBE">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NaHCO</w:t>
            </w:r>
            <w:r>
              <w:rPr>
                <w:rFonts w:ascii="Times New Roman" w:hAnsi="Times New Roman" w:eastAsia="Calibri"/>
                <w:sz w:val="20"/>
                <w:szCs w:val="20"/>
                <w:highlight w:val="none"/>
                <w:vertAlign w:val="subscript"/>
              </w:rPr>
              <w:t>3</w:t>
            </w:r>
          </w:p>
        </w:tc>
        <w:tc>
          <w:tcPr>
            <w:tcW w:w="2500" w:type="pct"/>
            <w:vAlign w:val="center"/>
          </w:tcPr>
          <w:p w14:paraId="6053DB6B">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1.50</w:t>
            </w:r>
          </w:p>
        </w:tc>
      </w:tr>
      <w:tr w14:paraId="2CC7456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2EAC79CC">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MgO</w:t>
            </w:r>
          </w:p>
        </w:tc>
        <w:tc>
          <w:tcPr>
            <w:tcW w:w="2500" w:type="pct"/>
            <w:vAlign w:val="center"/>
          </w:tcPr>
          <w:p w14:paraId="29C95B7B">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0.80</w:t>
            </w:r>
          </w:p>
        </w:tc>
      </w:tr>
      <w:tr w14:paraId="3FC0D03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73BDE0A5">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Sodium diacetate</w:t>
            </w:r>
          </w:p>
        </w:tc>
        <w:tc>
          <w:tcPr>
            <w:tcW w:w="2500" w:type="pct"/>
            <w:vAlign w:val="center"/>
          </w:tcPr>
          <w:p w14:paraId="5660198B">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0.33</w:t>
            </w:r>
          </w:p>
        </w:tc>
      </w:tr>
      <w:tr w14:paraId="6CB41F2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6300F5AB">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Nutrient composition, % of DM</w:t>
            </w:r>
          </w:p>
        </w:tc>
        <w:tc>
          <w:tcPr>
            <w:tcW w:w="2500" w:type="pct"/>
            <w:vAlign w:val="center"/>
          </w:tcPr>
          <w:p w14:paraId="36DD8E98">
            <w:pPr>
              <w:pStyle w:val="95"/>
              <w:spacing w:line="240" w:lineRule="auto"/>
              <w:jc w:val="center"/>
              <w:rPr>
                <w:rFonts w:ascii="Times New Roman" w:hAnsi="Times New Roman" w:eastAsia="Calibri"/>
                <w:sz w:val="20"/>
                <w:szCs w:val="20"/>
                <w:highlight w:val="none"/>
              </w:rPr>
            </w:pPr>
          </w:p>
        </w:tc>
      </w:tr>
      <w:tr w14:paraId="39FDF6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551C1560">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CP</w:t>
            </w:r>
          </w:p>
        </w:tc>
        <w:tc>
          <w:tcPr>
            <w:tcW w:w="2500" w:type="pct"/>
            <w:vAlign w:val="center"/>
          </w:tcPr>
          <w:p w14:paraId="316CE79B">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16.91</w:t>
            </w:r>
          </w:p>
        </w:tc>
      </w:tr>
      <w:tr w14:paraId="6CB8FE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5ED65620">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NDF</w:t>
            </w:r>
          </w:p>
        </w:tc>
        <w:tc>
          <w:tcPr>
            <w:tcW w:w="2500" w:type="pct"/>
            <w:vAlign w:val="center"/>
          </w:tcPr>
          <w:p w14:paraId="5FB2E2F0">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30.09</w:t>
            </w:r>
          </w:p>
        </w:tc>
      </w:tr>
      <w:tr w14:paraId="5EE4C00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10141B13">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ADF</w:t>
            </w:r>
          </w:p>
        </w:tc>
        <w:tc>
          <w:tcPr>
            <w:tcW w:w="2500" w:type="pct"/>
            <w:vAlign w:val="center"/>
          </w:tcPr>
          <w:p w14:paraId="6E5F73A7">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17.32</w:t>
            </w:r>
          </w:p>
        </w:tc>
      </w:tr>
      <w:tr w14:paraId="0EAF573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08A6EDC3">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EE</w:t>
            </w:r>
          </w:p>
        </w:tc>
        <w:tc>
          <w:tcPr>
            <w:tcW w:w="2500" w:type="pct"/>
            <w:vAlign w:val="center"/>
          </w:tcPr>
          <w:p w14:paraId="06FC0DF0">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4.93</w:t>
            </w:r>
          </w:p>
        </w:tc>
      </w:tr>
      <w:tr w14:paraId="1F18FC5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14:paraId="77B217E5">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Ca</w:t>
            </w:r>
          </w:p>
        </w:tc>
        <w:tc>
          <w:tcPr>
            <w:tcW w:w="2500" w:type="pct"/>
            <w:vAlign w:val="center"/>
          </w:tcPr>
          <w:p w14:paraId="064BA581">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0.81</w:t>
            </w:r>
          </w:p>
        </w:tc>
      </w:tr>
      <w:tr w14:paraId="0F179A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2500" w:type="pct"/>
            <w:vAlign w:val="center"/>
          </w:tcPr>
          <w:p w14:paraId="1C954B1B">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P</w:t>
            </w:r>
          </w:p>
        </w:tc>
        <w:tc>
          <w:tcPr>
            <w:tcW w:w="2500" w:type="pct"/>
            <w:vAlign w:val="center"/>
          </w:tcPr>
          <w:p w14:paraId="266F18D0">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0.48</w:t>
            </w:r>
          </w:p>
        </w:tc>
      </w:tr>
      <w:tr w14:paraId="194B17E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bottom w:val="single" w:color="auto" w:sz="4" w:space="0"/>
            </w:tcBorders>
            <w:vAlign w:val="center"/>
          </w:tcPr>
          <w:p w14:paraId="178B867D">
            <w:pPr>
              <w:pStyle w:val="95"/>
              <w:spacing w:line="240" w:lineRule="auto"/>
              <w:rPr>
                <w:rFonts w:ascii="Times New Roman" w:hAnsi="Times New Roman" w:eastAsia="Calibri"/>
                <w:sz w:val="20"/>
                <w:szCs w:val="20"/>
                <w:highlight w:val="none"/>
              </w:rPr>
            </w:pPr>
            <w:r>
              <w:rPr>
                <w:rFonts w:ascii="Times New Roman" w:hAnsi="Times New Roman" w:eastAsia="Calibri"/>
                <w:sz w:val="20"/>
                <w:szCs w:val="20"/>
                <w:highlight w:val="none"/>
              </w:rPr>
              <w:t>NEL, Mcal/kg</w:t>
            </w:r>
          </w:p>
        </w:tc>
        <w:tc>
          <w:tcPr>
            <w:tcW w:w="2500" w:type="pct"/>
            <w:tcBorders>
              <w:bottom w:val="single" w:color="auto" w:sz="4" w:space="0"/>
            </w:tcBorders>
            <w:vAlign w:val="center"/>
          </w:tcPr>
          <w:p w14:paraId="5EB322CE">
            <w:pPr>
              <w:pStyle w:val="95"/>
              <w:spacing w:line="240" w:lineRule="auto"/>
              <w:jc w:val="center"/>
              <w:rPr>
                <w:rFonts w:ascii="Times New Roman" w:hAnsi="Times New Roman" w:eastAsia="Calibri"/>
                <w:sz w:val="20"/>
                <w:szCs w:val="20"/>
                <w:highlight w:val="none"/>
              </w:rPr>
            </w:pPr>
            <w:r>
              <w:rPr>
                <w:rFonts w:ascii="Times New Roman" w:hAnsi="Times New Roman" w:eastAsia="Calibri"/>
                <w:sz w:val="20"/>
                <w:szCs w:val="20"/>
                <w:highlight w:val="none"/>
              </w:rPr>
              <w:t>1.72</w:t>
            </w:r>
          </w:p>
        </w:tc>
      </w:tr>
    </w:tbl>
    <w:p w14:paraId="4F40E6E1">
      <w:pPr>
        <w:pStyle w:val="84"/>
        <w:rPr>
          <w:rFonts w:eastAsiaTheme="minorEastAsia"/>
          <w:sz w:val="20"/>
          <w:szCs w:val="20"/>
          <w:highlight w:val="none"/>
          <w:lang w:eastAsia="zh-CN"/>
        </w:rPr>
      </w:pPr>
      <w:r>
        <w:rPr>
          <w:rFonts w:eastAsiaTheme="minorEastAsia"/>
          <w:sz w:val="20"/>
          <w:szCs w:val="20"/>
          <w:highlight w:val="none"/>
          <w:vertAlign w:val="superscript"/>
          <w:lang w:eastAsia="zh-CN"/>
        </w:rPr>
        <w:t>1</w:t>
      </w:r>
      <w:r>
        <w:rPr>
          <w:rFonts w:eastAsiaTheme="minorEastAsia"/>
          <w:sz w:val="20"/>
          <w:szCs w:val="20"/>
          <w:highlight w:val="none"/>
          <w:lang w:eastAsia="zh-CN"/>
        </w:rPr>
        <w:t>Abbreviations: TMR: total mixed rations</w:t>
      </w:r>
      <w:r>
        <w:rPr>
          <w:rFonts w:hint="eastAsia" w:eastAsiaTheme="minorEastAsia"/>
          <w:sz w:val="20"/>
          <w:szCs w:val="20"/>
          <w:highlight w:val="none"/>
          <w:lang w:eastAsia="zh-CN"/>
        </w:rPr>
        <w:t>;</w:t>
      </w:r>
      <w:r>
        <w:rPr>
          <w:rFonts w:eastAsiaTheme="minorEastAsia"/>
          <w:sz w:val="20"/>
          <w:szCs w:val="20"/>
          <w:highlight w:val="none"/>
          <w:lang w:eastAsia="zh-CN"/>
        </w:rPr>
        <w:t xml:space="preserve"> DDGS: distiller’s dried grain with soluble; EE: ether extract; NEL: net energy for lactation. </w:t>
      </w:r>
    </w:p>
    <w:p w14:paraId="07E61774">
      <w:pPr>
        <w:pStyle w:val="84"/>
        <w:rPr>
          <w:rFonts w:eastAsiaTheme="minorEastAsia"/>
          <w:sz w:val="20"/>
          <w:szCs w:val="20"/>
          <w:highlight w:val="none"/>
          <w:lang w:eastAsia="zh-CN"/>
        </w:rPr>
      </w:pPr>
      <w:r>
        <w:rPr>
          <w:rFonts w:eastAsiaTheme="minorEastAsia"/>
          <w:sz w:val="20"/>
          <w:szCs w:val="20"/>
          <w:highlight w:val="none"/>
          <w:vertAlign w:val="superscript"/>
          <w:lang w:eastAsia="zh-CN"/>
        </w:rPr>
        <w:t>2</w:t>
      </w:r>
      <w:r>
        <w:rPr>
          <w:rFonts w:eastAsiaTheme="minorEastAsia"/>
          <w:sz w:val="20"/>
          <w:szCs w:val="20"/>
          <w:highlight w:val="none"/>
          <w:lang w:eastAsia="zh-CN"/>
        </w:rPr>
        <w:t>Megalac: a complex fatty acid calcium (Jianhe Animal Husbandry Co., Ltd., Shanghai, China).</w:t>
      </w:r>
    </w:p>
    <w:p w14:paraId="6F5BC930">
      <w:pPr>
        <w:pStyle w:val="84"/>
        <w:rPr>
          <w:rFonts w:eastAsiaTheme="minorEastAsia"/>
          <w:sz w:val="20"/>
          <w:szCs w:val="20"/>
          <w:highlight w:val="none"/>
          <w:lang w:eastAsia="zh-CN"/>
        </w:rPr>
      </w:pPr>
      <w:r>
        <w:rPr>
          <w:rFonts w:eastAsiaTheme="minorEastAsia"/>
          <w:sz w:val="20"/>
          <w:szCs w:val="20"/>
          <w:highlight w:val="none"/>
          <w:vertAlign w:val="superscript"/>
          <w:lang w:eastAsia="zh-CN"/>
        </w:rPr>
        <w:t>3</w:t>
      </w:r>
      <w:r>
        <w:rPr>
          <w:rFonts w:eastAsiaTheme="minorEastAsia"/>
          <w:sz w:val="20"/>
          <w:szCs w:val="20"/>
          <w:highlight w:val="none"/>
          <w:lang w:eastAsia="zh-CN"/>
        </w:rPr>
        <w:t>5% Premix: including (per kg of DM) 400 000 IU of vitamin A, 320 000 IU of vitamin D3, 1200 IU of vitamin E, 1 400 mg of Cu, 12 000 mg of Zn, 60 000 mg of Fe, 12 000 mg of Mn, 40 mg of Se, 400 mg of I, 160 mg of Co, 28% of Ca and 5.4% of P.</w:t>
      </w:r>
    </w:p>
    <w:p w14:paraId="3FA10ED7">
      <w:pPr>
        <w:spacing w:after="200" w:line="276" w:lineRule="auto"/>
        <w:ind w:firstLine="0"/>
        <w:jc w:val="left"/>
        <w:rPr>
          <w:rFonts w:cs="Times New Roman"/>
          <w:sz w:val="20"/>
          <w:szCs w:val="20"/>
          <w:highlight w:val="none"/>
          <w:lang w:val="en-US" w:eastAsia="zh-CN"/>
        </w:rPr>
      </w:pPr>
      <w:r>
        <w:rPr>
          <w:sz w:val="20"/>
          <w:szCs w:val="20"/>
          <w:highlight w:val="none"/>
          <w:lang w:eastAsia="zh-CN"/>
        </w:rPr>
        <w:br w:type="page"/>
      </w:r>
    </w:p>
    <w:p w14:paraId="3D64870C">
      <w:pPr>
        <w:pStyle w:val="3"/>
        <w:numPr>
          <w:ilvl w:val="0"/>
          <w:numId w:val="0"/>
        </w:numPr>
        <w:ind w:left="170"/>
        <w:rPr>
          <w:highlight w:val="none"/>
          <w:lang w:eastAsia="fr-FR"/>
        </w:rPr>
      </w:pPr>
      <w:bookmarkStart w:id="130" w:name="_Toc207979796"/>
      <w:r>
        <w:rPr>
          <w:rFonts w:hint="eastAsia"/>
          <w:highlight w:val="none"/>
          <w:lang w:eastAsia="fr-FR"/>
        </w:rPr>
        <w:t>Publications</w:t>
      </w:r>
      <w:bookmarkEnd w:id="130"/>
    </w:p>
    <w:p w14:paraId="33D2195E">
      <w:pPr>
        <w:pStyle w:val="84"/>
        <w:numPr>
          <w:ilvl w:val="0"/>
          <w:numId w:val="3"/>
        </w:numPr>
        <w:rPr>
          <w:rFonts w:eastAsiaTheme="minorEastAsia"/>
          <w:highlight w:val="none"/>
          <w:lang w:eastAsia="zh-CN"/>
        </w:rPr>
      </w:pPr>
      <w:r>
        <w:rPr>
          <w:rFonts w:eastAsiaTheme="minorEastAsia"/>
          <w:highlight w:val="none"/>
          <w:lang w:eastAsia="zh-CN"/>
        </w:rPr>
        <w:t>Yu, W., Nan, X., Schroyen, M., Wang, Y., &amp; Xiong, B. (2023). Inulin-induced differences on serum extracellular vesicles derived miRNAs in dairy cows suffering from subclinical mastitis. animal, 17(9), 100954.</w:t>
      </w:r>
    </w:p>
    <w:p w14:paraId="756DB6BB">
      <w:pPr>
        <w:pStyle w:val="56"/>
        <w:numPr>
          <w:ilvl w:val="0"/>
          <w:numId w:val="3"/>
        </w:numPr>
        <w:spacing w:line="276" w:lineRule="auto"/>
        <w:rPr>
          <w:rFonts w:cs="Times New Roman"/>
          <w:highlight w:val="none"/>
        </w:rPr>
      </w:pPr>
      <w:r>
        <w:rPr>
          <w:rFonts w:hint="eastAsia" w:cs="Times New Roman"/>
          <w:highlight w:val="none"/>
        </w:rPr>
        <w:t>Yu, W., Nan, X., Schroyen, M., Wang, Y., Zhou, M., Tang, X., &amp; Xiong, B. (2024). Effect of inulin on small extracellular vesicles microRNAs in milk from dairy cows with sub-clinical mastitis. Journal of Animal Science, skae366.</w:t>
      </w:r>
    </w:p>
    <w:p w14:paraId="6144FC7C">
      <w:pPr>
        <w:pStyle w:val="56"/>
        <w:numPr>
          <w:ilvl w:val="0"/>
          <w:numId w:val="3"/>
        </w:numPr>
        <w:spacing w:line="276" w:lineRule="auto"/>
        <w:rPr>
          <w:rFonts w:cs="Times New Roman"/>
          <w:highlight w:val="none"/>
        </w:rPr>
      </w:pPr>
      <w:r>
        <w:rPr>
          <w:rFonts w:hint="eastAsia" w:cs="Times New Roman"/>
          <w:highlight w:val="none"/>
        </w:rPr>
        <w:t>Yu, W., Nan, X., Wang, Y., Tang, X., &amp; Xiong, B., Schroyen, M. Effect of inulin on extracellular vesicles lncRNA and mRNA in milk from dairy cows with sub</w:t>
      </w:r>
      <w:bookmarkStart w:id="132" w:name="_GoBack"/>
      <w:bookmarkEnd w:id="132"/>
      <w:r>
        <w:rPr>
          <w:rFonts w:hint="eastAsia" w:cs="Times New Roman"/>
          <w:highlight w:val="none"/>
        </w:rPr>
        <w:t xml:space="preserve">-clinical mastitis. </w:t>
      </w:r>
      <w:r>
        <w:rPr>
          <w:rFonts w:hint="eastAsia" w:cs="Times New Roman"/>
          <w:highlight w:val="none"/>
          <w:lang w:eastAsia="zh-CN"/>
        </w:rPr>
        <w:t>(In preparation)</w:t>
      </w:r>
    </w:p>
    <w:sectPr>
      <w:pgSz w:w="9639" w:h="13608"/>
      <w:pgMar w:top="1361" w:right="907" w:bottom="1021" w:left="1247" w:header="709" w:footer="312"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Times New (W1)">
    <w:altName w:val="Times New Roman"/>
    <w:panose1 w:val="00000000000000000000"/>
    <w:charset w:val="00"/>
    <w:family w:val="roman"/>
    <w:pitch w:val="default"/>
    <w:sig w:usb0="00000000" w:usb1="00000000" w:usb2="00000008" w:usb3="00000000" w:csb0="000001FF" w:csb1="00000000"/>
  </w:font>
  <w:font w:name="Bookman Old Style">
    <w:panose1 w:val="020506040505050202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7DDAA">
    <w:pPr>
      <w:pStyle w:val="18"/>
      <w:jc w:val="center"/>
    </w:pPr>
  </w:p>
  <w:p w14:paraId="0F4FB8A0">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6"/>
        <w:szCs w:val="26"/>
      </w:rPr>
      <w:id w:val="-1767681762"/>
      <w:docPartObj>
        <w:docPartGallery w:val="autotext"/>
      </w:docPartObj>
    </w:sdtPr>
    <w:sdtEndPr>
      <w:rPr>
        <w:sz w:val="26"/>
        <w:szCs w:val="26"/>
      </w:rPr>
    </w:sdtEndPr>
    <w:sdtContent>
      <w:p w14:paraId="22BF472A">
        <w:pPr>
          <w:pStyle w:val="18"/>
          <w:jc w:val="center"/>
          <w:rPr>
            <w:sz w:val="26"/>
            <w:szCs w:val="26"/>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fr-FR"/>
          </w:rPr>
          <w:t>24</w:t>
        </w:r>
        <w:r>
          <w:rPr>
            <w:sz w:val="20"/>
            <w:szCs w:val="20"/>
          </w:rPr>
          <w:fldChar w:fldCharType="end"/>
        </w:r>
      </w:p>
    </w:sdtContent>
  </w:sdt>
  <w:p w14:paraId="1F19D8B9">
    <w:pPr>
      <w:pStyle w:val="1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9304802"/>
      <w:docPartObj>
        <w:docPartGallery w:val="autotext"/>
      </w:docPartObj>
    </w:sdtPr>
    <w:sdtEndPr>
      <w:rPr>
        <w:sz w:val="26"/>
        <w:szCs w:val="26"/>
      </w:rPr>
    </w:sdtEndPr>
    <w:sdtContent>
      <w:p w14:paraId="68A92FE7">
        <w:pPr>
          <w:pStyle w:val="18"/>
          <w:jc w:val="center"/>
          <w:rPr>
            <w:sz w:val="26"/>
            <w:szCs w:val="26"/>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fr-FR"/>
          </w:rPr>
          <w:t>27</w:t>
        </w:r>
        <w:r>
          <w:rPr>
            <w:sz w:val="20"/>
            <w:szCs w:val="20"/>
          </w:rPr>
          <w:fldChar w:fldCharType="end"/>
        </w:r>
      </w:p>
    </w:sdtContent>
  </w:sdt>
  <w:p w14:paraId="3D9F9553">
    <w:pPr>
      <w:pStyle w:val="1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6"/>
        <w:szCs w:val="26"/>
      </w:rPr>
      <w:id w:val="-332065961"/>
      <w:docPartObj>
        <w:docPartGallery w:val="autotext"/>
      </w:docPartObj>
    </w:sdtPr>
    <w:sdtEndPr>
      <w:rPr>
        <w:sz w:val="20"/>
        <w:szCs w:val="20"/>
      </w:rPr>
    </w:sdtEndPr>
    <w:sdtContent>
      <w:p w14:paraId="267F4B29">
        <w:pPr>
          <w:pStyle w:val="18"/>
          <w:jc w:val="center"/>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fr-FR"/>
          </w:rPr>
          <w:t>28</w:t>
        </w:r>
        <w:r>
          <w:rPr>
            <w:sz w:val="20"/>
            <w:szCs w:val="20"/>
          </w:rPr>
          <w:fldChar w:fldCharType="end"/>
        </w:r>
      </w:p>
    </w:sdtContent>
  </w:sdt>
  <w:p w14:paraId="7C732215">
    <w:pPr>
      <w:pStyle w:val="1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199154"/>
      <w:docPartObj>
        <w:docPartGallery w:val="autotext"/>
      </w:docPartObj>
    </w:sdtPr>
    <w:sdtEndPr>
      <w:rPr>
        <w:sz w:val="20"/>
        <w:szCs w:val="20"/>
      </w:rPr>
    </w:sdtEndPr>
    <w:sdtContent>
      <w:p w14:paraId="330479F8">
        <w:pPr>
          <w:pStyle w:val="18"/>
          <w:jc w:val="center"/>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fr-FR"/>
          </w:rPr>
          <w:t>33</w:t>
        </w:r>
        <w:r>
          <w:rPr>
            <w:sz w:val="20"/>
            <w:szCs w:val="20"/>
          </w:rPr>
          <w:fldChar w:fldCharType="end"/>
        </w:r>
      </w:p>
    </w:sdtContent>
  </w:sdt>
  <w:p w14:paraId="4DC7FF27">
    <w:pPr>
      <w:pStyle w:val="1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6"/>
        <w:szCs w:val="26"/>
      </w:rPr>
      <w:id w:val="1578783578"/>
      <w:docPartObj>
        <w:docPartGallery w:val="autotext"/>
      </w:docPartObj>
    </w:sdtPr>
    <w:sdtEndPr>
      <w:rPr>
        <w:sz w:val="20"/>
        <w:szCs w:val="20"/>
      </w:rPr>
    </w:sdtEndPr>
    <w:sdtContent>
      <w:p w14:paraId="110FB8F1">
        <w:pPr>
          <w:pStyle w:val="18"/>
          <w:jc w:val="center"/>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fr-FR"/>
          </w:rPr>
          <w:t>34</w:t>
        </w:r>
        <w:r>
          <w:rPr>
            <w:sz w:val="20"/>
            <w:szCs w:val="20"/>
          </w:rPr>
          <w:fldChar w:fldCharType="end"/>
        </w:r>
      </w:p>
    </w:sdtContent>
  </w:sdt>
  <w:p w14:paraId="2336B445">
    <w:pPr>
      <w:pStyle w:val="18"/>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5921433"/>
      <w:docPartObj>
        <w:docPartGallery w:val="autotext"/>
      </w:docPartObj>
    </w:sdtPr>
    <w:sdtEndPr>
      <w:rPr>
        <w:sz w:val="20"/>
        <w:szCs w:val="20"/>
      </w:rPr>
    </w:sdtEndPr>
    <w:sdtContent>
      <w:p w14:paraId="017F5BF1">
        <w:pPr>
          <w:pStyle w:val="18"/>
          <w:jc w:val="center"/>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fr-FR"/>
          </w:rPr>
          <w:t>33</w:t>
        </w:r>
        <w:r>
          <w:rPr>
            <w:sz w:val="20"/>
            <w:szCs w:val="20"/>
          </w:rPr>
          <w:fldChar w:fldCharType="end"/>
        </w:r>
      </w:p>
    </w:sdtContent>
  </w:sdt>
  <w:p w14:paraId="0DF6CE46">
    <w:pPr>
      <w:pStyle w:val="1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6"/>
        <w:szCs w:val="26"/>
      </w:rPr>
      <w:id w:val="-723990499"/>
      <w:docPartObj>
        <w:docPartGallery w:val="autotext"/>
      </w:docPartObj>
    </w:sdtPr>
    <w:sdtEndPr>
      <w:rPr>
        <w:sz w:val="20"/>
        <w:szCs w:val="20"/>
      </w:rPr>
    </w:sdtEndPr>
    <w:sdtContent>
      <w:p w14:paraId="6D0C1118">
        <w:pPr>
          <w:pStyle w:val="18"/>
          <w:jc w:val="center"/>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fr-FR"/>
          </w:rPr>
          <w:t>34</w:t>
        </w:r>
        <w:r>
          <w:rPr>
            <w:sz w:val="20"/>
            <w:szCs w:val="20"/>
          </w:rPr>
          <w:fldChar w:fldCharType="end"/>
        </w:r>
      </w:p>
    </w:sdtContent>
  </w:sdt>
  <w:p w14:paraId="02F8A9E7">
    <w:pPr>
      <w:pStyle w:val="18"/>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855F6">
    <w:pPr>
      <w:pStyle w:val="18"/>
      <w:jc w:val="center"/>
    </w:pPr>
  </w:p>
  <w:p w14:paraId="5576B8CD">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6840739"/>
      <w:docPartObj>
        <w:docPartGallery w:val="autotext"/>
      </w:docPartObj>
    </w:sdtPr>
    <w:sdtEndPr>
      <w:rPr>
        <w:sz w:val="20"/>
        <w:szCs w:val="20"/>
      </w:rPr>
    </w:sdtEndPr>
    <w:sdtContent>
      <w:p w14:paraId="2165AB9F">
        <w:pPr>
          <w:pStyle w:val="18"/>
          <w:jc w:val="center"/>
          <w:rPr>
            <w:sz w:val="20"/>
            <w:szCs w:val="20"/>
          </w:rPr>
        </w:pPr>
        <w:r>
          <w:rPr>
            <w:sz w:val="20"/>
            <w:szCs w:val="20"/>
          </w:rPr>
          <w:fldChar w:fldCharType="begin"/>
        </w:r>
        <w:r>
          <w:rPr>
            <w:sz w:val="20"/>
            <w:szCs w:val="20"/>
          </w:rPr>
          <w:instrText xml:space="preserve"> PAGE  \* ROMAN </w:instrText>
        </w:r>
        <w:r>
          <w:rPr>
            <w:sz w:val="20"/>
            <w:szCs w:val="20"/>
          </w:rPr>
          <w:fldChar w:fldCharType="separate"/>
        </w:r>
        <w:r>
          <w:rPr>
            <w:sz w:val="20"/>
            <w:szCs w:val="20"/>
          </w:rPr>
          <w:t>V</w:t>
        </w:r>
        <w:r>
          <w:rPr>
            <w:sz w:val="20"/>
            <w:szCs w:val="20"/>
          </w:rPr>
          <w:fldChar w:fldCharType="end"/>
        </w:r>
      </w:p>
    </w:sdtContent>
  </w:sdt>
  <w:p w14:paraId="5475B5BF">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szCs w:val="20"/>
      </w:rPr>
      <w:id w:val="1485885747"/>
      <w:docPartObj>
        <w:docPartGallery w:val="autotext"/>
      </w:docPartObj>
    </w:sdtPr>
    <w:sdtEndPr>
      <w:rPr>
        <w:sz w:val="20"/>
        <w:szCs w:val="20"/>
      </w:rPr>
    </w:sdtEndPr>
    <w:sdtContent>
      <w:p w14:paraId="21658089">
        <w:pPr>
          <w:pStyle w:val="18"/>
          <w:jc w:val="center"/>
          <w:rPr>
            <w:sz w:val="20"/>
            <w:szCs w:val="20"/>
          </w:rPr>
        </w:pPr>
        <w:r>
          <w:rPr>
            <w:sz w:val="20"/>
            <w:szCs w:val="20"/>
          </w:rPr>
          <w:fldChar w:fldCharType="begin"/>
        </w:r>
        <w:r>
          <w:rPr>
            <w:sz w:val="20"/>
            <w:szCs w:val="20"/>
          </w:rPr>
          <w:instrText xml:space="preserve"> PAGE  \* ROMAN  \* MERGEFORMAT </w:instrText>
        </w:r>
        <w:r>
          <w:rPr>
            <w:sz w:val="20"/>
            <w:szCs w:val="20"/>
          </w:rPr>
          <w:fldChar w:fldCharType="separate"/>
        </w:r>
        <w:r>
          <w:rPr>
            <w:sz w:val="20"/>
            <w:szCs w:val="20"/>
          </w:rPr>
          <w:t>VIII</w:t>
        </w:r>
        <w:r>
          <w:rPr>
            <w:sz w:val="20"/>
            <w:szCs w:val="20"/>
          </w:rPr>
          <w:fldChar w:fldCharType="end"/>
        </w:r>
      </w:p>
    </w:sdtContent>
  </w:sdt>
  <w:p w14:paraId="4E00B8FF">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1547435"/>
      <w:docPartObj>
        <w:docPartGallery w:val="autotext"/>
      </w:docPartObj>
    </w:sdtPr>
    <w:sdtEndPr>
      <w:rPr>
        <w:sz w:val="20"/>
        <w:szCs w:val="20"/>
      </w:rPr>
    </w:sdtEndPr>
    <w:sdtContent>
      <w:p w14:paraId="048785BB">
        <w:pPr>
          <w:pStyle w:val="18"/>
          <w:jc w:val="center"/>
          <w:rPr>
            <w:sz w:val="20"/>
            <w:szCs w:val="20"/>
          </w:rPr>
        </w:pPr>
        <w:r>
          <w:rPr>
            <w:sz w:val="20"/>
            <w:szCs w:val="20"/>
          </w:rPr>
          <w:fldChar w:fldCharType="begin"/>
        </w:r>
        <w:r>
          <w:rPr>
            <w:sz w:val="20"/>
            <w:szCs w:val="20"/>
          </w:rPr>
          <w:instrText xml:space="preserve"> PAGE  \* Arabic  \* MERGEFORMAT </w:instrText>
        </w:r>
        <w:r>
          <w:rPr>
            <w:sz w:val="20"/>
            <w:szCs w:val="20"/>
          </w:rPr>
          <w:fldChar w:fldCharType="separate"/>
        </w:r>
        <w:r>
          <w:rPr>
            <w:sz w:val="20"/>
            <w:szCs w:val="20"/>
          </w:rPr>
          <w:t>21</w:t>
        </w:r>
        <w:r>
          <w:rPr>
            <w:sz w:val="20"/>
            <w:szCs w:val="20"/>
          </w:rPr>
          <w:fldChar w:fldCharType="end"/>
        </w:r>
      </w:p>
    </w:sdtContent>
  </w:sdt>
  <w:p w14:paraId="5E22151F">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szCs w:val="20"/>
      </w:rPr>
      <w:id w:val="-1515462015"/>
      <w:docPartObj>
        <w:docPartGallery w:val="autotext"/>
      </w:docPartObj>
    </w:sdtPr>
    <w:sdtEndPr>
      <w:rPr>
        <w:sz w:val="20"/>
        <w:szCs w:val="20"/>
      </w:rPr>
    </w:sdtEndPr>
    <w:sdtContent>
      <w:p w14:paraId="6A895AE4">
        <w:pPr>
          <w:pStyle w:val="18"/>
          <w:jc w:val="center"/>
          <w:rPr>
            <w:sz w:val="20"/>
            <w:szCs w:val="20"/>
          </w:rPr>
        </w:pPr>
        <w:r>
          <w:rPr>
            <w:sz w:val="20"/>
            <w:szCs w:val="20"/>
          </w:rPr>
          <w:fldChar w:fldCharType="begin"/>
        </w:r>
        <w:r>
          <w:rPr>
            <w:sz w:val="20"/>
            <w:szCs w:val="20"/>
          </w:rPr>
          <w:instrText xml:space="preserve"> PAGE  \* ROMAN  \* MERGEFORMAT </w:instrText>
        </w:r>
        <w:r>
          <w:rPr>
            <w:sz w:val="20"/>
            <w:szCs w:val="20"/>
          </w:rPr>
          <w:fldChar w:fldCharType="separate"/>
        </w:r>
        <w:r>
          <w:rPr>
            <w:sz w:val="20"/>
            <w:szCs w:val="20"/>
          </w:rPr>
          <w:t>XX</w:t>
        </w:r>
        <w:r>
          <w:rPr>
            <w:sz w:val="20"/>
            <w:szCs w:val="20"/>
          </w:rPr>
          <w:fldChar w:fldCharType="end"/>
        </w:r>
      </w:p>
    </w:sdtContent>
  </w:sdt>
  <w:p w14:paraId="3270CF3F">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1629203"/>
      <w:docPartObj>
        <w:docPartGallery w:val="autotext"/>
      </w:docPartObj>
    </w:sdtPr>
    <w:sdtEndPr>
      <w:rPr>
        <w:sz w:val="20"/>
        <w:szCs w:val="20"/>
      </w:rPr>
    </w:sdtEndPr>
    <w:sdtContent>
      <w:p w14:paraId="7AAC4149">
        <w:pPr>
          <w:pStyle w:val="18"/>
          <w:jc w:val="center"/>
          <w:rPr>
            <w:sz w:val="20"/>
            <w:szCs w:val="20"/>
          </w:rPr>
        </w:pPr>
        <w:r>
          <w:rPr>
            <w:sz w:val="20"/>
            <w:szCs w:val="20"/>
          </w:rPr>
          <w:fldChar w:fldCharType="begin"/>
        </w:r>
        <w:r>
          <w:rPr>
            <w:sz w:val="20"/>
            <w:szCs w:val="20"/>
          </w:rPr>
          <w:instrText xml:space="preserve"> PAGE  \* Arabic  \* MERGEFORMAT </w:instrText>
        </w:r>
        <w:r>
          <w:rPr>
            <w:sz w:val="20"/>
            <w:szCs w:val="20"/>
          </w:rPr>
          <w:fldChar w:fldCharType="separate"/>
        </w:r>
        <w:r>
          <w:rPr>
            <w:sz w:val="20"/>
            <w:szCs w:val="20"/>
          </w:rPr>
          <w:t>21</w:t>
        </w:r>
        <w:r>
          <w:rPr>
            <w:sz w:val="20"/>
            <w:szCs w:val="20"/>
          </w:rPr>
          <w:fldChar w:fldCharType="end"/>
        </w:r>
      </w:p>
    </w:sdtContent>
  </w:sdt>
  <w:p w14:paraId="3D518960">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szCs w:val="20"/>
      </w:rPr>
      <w:id w:val="-325207084"/>
      <w:docPartObj>
        <w:docPartGallery w:val="autotext"/>
      </w:docPartObj>
    </w:sdtPr>
    <w:sdtEndPr>
      <w:rPr>
        <w:sz w:val="20"/>
        <w:szCs w:val="20"/>
      </w:rPr>
    </w:sdtEndPr>
    <w:sdtContent>
      <w:p w14:paraId="0FFB7161">
        <w:pPr>
          <w:pStyle w:val="18"/>
          <w:jc w:val="center"/>
          <w:rPr>
            <w:sz w:val="20"/>
            <w:szCs w:val="20"/>
          </w:rPr>
        </w:pPr>
        <w:r>
          <w:rPr>
            <w:sz w:val="20"/>
            <w:szCs w:val="20"/>
          </w:rPr>
          <w:fldChar w:fldCharType="begin"/>
        </w:r>
        <w:r>
          <w:rPr>
            <w:sz w:val="20"/>
            <w:szCs w:val="20"/>
          </w:rPr>
          <w:instrText xml:space="preserve"> PAGE  \* Arabic  \* MERGEFORMAT </w:instrText>
        </w:r>
        <w:r>
          <w:rPr>
            <w:sz w:val="20"/>
            <w:szCs w:val="20"/>
          </w:rPr>
          <w:fldChar w:fldCharType="separate"/>
        </w:r>
        <w:r>
          <w:rPr>
            <w:sz w:val="20"/>
            <w:szCs w:val="20"/>
          </w:rPr>
          <w:t>2</w:t>
        </w:r>
        <w:r>
          <w:rPr>
            <w:sz w:val="20"/>
            <w:szCs w:val="20"/>
          </w:rPr>
          <w:fldChar w:fldCharType="end"/>
        </w:r>
      </w:p>
    </w:sdtContent>
  </w:sdt>
  <w:p w14:paraId="3C3949F0">
    <w:pPr>
      <w:pStyle w:val="1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6795462"/>
      <w:docPartObj>
        <w:docPartGallery w:val="autotext"/>
      </w:docPartObj>
    </w:sdtPr>
    <w:sdtEndPr>
      <w:rPr>
        <w:sz w:val="20"/>
        <w:szCs w:val="20"/>
      </w:rPr>
    </w:sdtEndPr>
    <w:sdtContent>
      <w:p w14:paraId="24BCEFEA">
        <w:pPr>
          <w:pStyle w:val="18"/>
          <w:jc w:val="center"/>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fr-FR"/>
          </w:rPr>
          <w:t>25</w:t>
        </w:r>
        <w:r>
          <w:rPr>
            <w:sz w:val="20"/>
            <w:szCs w:val="20"/>
          </w:rPr>
          <w:fldChar w:fldCharType="end"/>
        </w:r>
      </w:p>
    </w:sdtContent>
  </w:sdt>
  <w:p w14:paraId="7F4CB141">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092A4">
    <w:pPr>
      <w:pStyle w:val="19"/>
      <w:ind w:firstLine="0"/>
    </w:pPr>
  </w:p>
  <w:p w14:paraId="1DA659E6">
    <w:pPr>
      <w:pStyle w:val="1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E704E">
    <w:pPr>
      <w:pStyle w:val="19"/>
      <w:wordWrap w:val="0"/>
      <w:jc w:val="right"/>
      <w:rPr>
        <w:lang w:eastAsia="zh-CN"/>
      </w:rPr>
    </w:pPr>
    <w:r>
      <w:rPr>
        <w:lang w:eastAsia="zh-CN"/>
      </w:rPr>
      <w:t>List of acronym</w:t>
    </w:r>
    <w:r>
      <w:rPr>
        <w:rFonts w:hint="eastAsia"/>
        <w:lang w:eastAsia="zh-CN"/>
      </w:rPr>
      <w:t>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CF917">
    <w:pPr>
      <w:pStyle w:val="19"/>
      <w:jc w:val="right"/>
      <w:rPr>
        <w:lang w:eastAsia="zh-CN"/>
      </w:rPr>
    </w:pPr>
    <w:r>
      <w:rPr>
        <w:rFonts w:hint="eastAsia"/>
        <w:lang w:eastAsia="zh-CN"/>
      </w:rPr>
      <w:t>Outline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FF3EC">
    <w:pPr>
      <w:pStyle w:val="19"/>
      <w:ind w:firstLine="0"/>
      <w:jc w:val="left"/>
      <w:rPr>
        <w:sz w:val="20"/>
        <w:szCs w:val="20"/>
        <w:lang w:val="en-US"/>
      </w:rPr>
    </w:pPr>
    <w:r>
      <w:rPr>
        <w:sz w:val="20"/>
        <w:szCs w:val="20"/>
        <w:lang w:val="en-US"/>
      </w:rPr>
      <w:t>Inulin induced changes of serum and milk extracellular vesicles and their function in lactating dairy cows with subclinical mastitis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F3E85">
    <w:pPr>
      <w:pStyle w:val="19"/>
      <w:wordWrap w:val="0"/>
      <w:jc w:val="right"/>
      <w:rPr>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594A6">
    <w:pPr>
      <w:pStyle w:val="19"/>
      <w:ind w:firstLine="0"/>
    </w:pPr>
  </w:p>
  <w:p w14:paraId="3B248377">
    <w:pPr>
      <w:pStyle w:val="19"/>
      <w:wordWrap w:val="0"/>
      <w:jc w:val="right"/>
    </w:pPr>
    <w:r>
      <w:rPr>
        <w:rFonts w:hint="eastAsia"/>
        <w:lang w:eastAsia="zh-CN"/>
      </w:rPr>
      <w:t>Chapter 1 General introduction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C2607">
    <w:pPr>
      <w:pStyle w:val="19"/>
      <w:ind w:firstLine="0"/>
      <w:rPr>
        <w:lang w:eastAsia="zh-CN"/>
      </w:rPr>
    </w:pPr>
    <w:r>
      <w:rPr>
        <w:sz w:val="20"/>
        <w:szCs w:val="20"/>
        <w:lang w:val="en-US"/>
      </w:rPr>
      <w:t>Inulin induced changes of serum and milk extracellular vesicles and their function in lactating dairy cows with subclinical mastitis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E19B8">
    <w:pPr>
      <w:pStyle w:val="19"/>
      <w:ind w:firstLine="0"/>
    </w:pPr>
  </w:p>
  <w:p w14:paraId="4AED8654">
    <w:pPr>
      <w:pStyle w:val="19"/>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D19CC">
    <w:pPr>
      <w:pStyle w:val="19"/>
      <w:jc w:val="right"/>
      <w:rPr>
        <w:lang w:eastAsia="zh-CN"/>
      </w:rPr>
    </w:pPr>
    <w:r>
      <w:rPr>
        <w:rFonts w:hint="eastAsia"/>
        <w:lang w:eastAsia="zh-CN"/>
      </w:rPr>
      <w:t>Chapter 3</w:t>
    </w:r>
    <w:r>
      <w:t xml:space="preserve"> </w:t>
    </w:r>
    <w:r>
      <w:rPr>
        <w:lang w:eastAsia="zh-CN"/>
      </w:rPr>
      <w:t>Effects of inulin on serum-derived small extracellular vesicles miRNA from dairy cows with subclinical mastitis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053C5">
    <w:pPr>
      <w:pStyle w:val="19"/>
      <w:ind w:firstLine="0"/>
      <w:rPr>
        <w:lang w:eastAsia="zh-CN"/>
      </w:rPr>
    </w:pPr>
    <w:r>
      <w:rPr>
        <w:sz w:val="20"/>
        <w:szCs w:val="20"/>
        <w:lang w:val="en-US"/>
      </w:rPr>
      <w:t>Inulin induced changes of serum and milk extracellular vesicles and their function in lactating dairy cows with subclinical mastitis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28975">
    <w:pPr>
      <w:pStyle w:val="19"/>
      <w:jc w:val="right"/>
      <w:rPr>
        <w:lang w:eastAsia="zh-CN"/>
      </w:rPr>
    </w:pPr>
    <w:r>
      <w:rPr>
        <w:rFonts w:hint="eastAsia"/>
        <w:lang w:eastAsia="zh-CN"/>
      </w:rPr>
      <w:t>Chapter 2</w:t>
    </w:r>
    <w:r>
      <w:t xml:space="preserve"> </w:t>
    </w:r>
    <w:r>
      <w:rPr>
        <w:lang w:eastAsia="zh-CN"/>
      </w:rPr>
      <w:t>Effects of inulin on serum-derived small extracellular vesicles miRNA from dairy cows with subclinical mastitis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E1D24">
    <w:pPr>
      <w:pStyle w:val="19"/>
      <w:jc w:val="right"/>
      <w:rPr>
        <w:lang w:eastAsia="zh-CN"/>
      </w:rPr>
    </w:pPr>
    <w:r>
      <w:rPr>
        <w:rFonts w:hint="eastAsia"/>
        <w:lang w:eastAsia="zh-CN"/>
      </w:rPr>
      <w:t>Abstract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01B57">
    <w:pPr>
      <w:pStyle w:val="19"/>
      <w:ind w:firstLine="0"/>
      <w:rPr>
        <w:lang w:eastAsia="zh-CN"/>
      </w:rPr>
    </w:pPr>
    <w:r>
      <w:rPr>
        <w:sz w:val="20"/>
        <w:szCs w:val="20"/>
        <w:lang w:val="en-US"/>
      </w:rPr>
      <w:t>Inulin induced changes of serum and milk extracellular vesicles and their function in lactating dairy cows with subclinical mastitis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E7F9D">
    <w:pPr>
      <w:pStyle w:val="19"/>
      <w:jc w:val="right"/>
      <w:rPr>
        <w:lang w:eastAsia="zh-CN"/>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441C">
    <w:pPr>
      <w:pStyle w:val="19"/>
      <w:pBdr>
        <w:bottom w:val="single" w:color="auto" w:sz="4" w:space="1"/>
      </w:pBdr>
      <w:ind w:firstLine="0"/>
      <w:jc w:val="right"/>
      <w:rPr>
        <w:sz w:val="20"/>
        <w:szCs w:val="20"/>
        <w:lang w:eastAsia="zh-CN"/>
      </w:rPr>
    </w:pPr>
    <w:r>
      <w:rPr>
        <w:sz w:val="20"/>
        <w:szCs w:val="20"/>
      </w:rPr>
      <w:t xml:space="preserve">Chapter </w:t>
    </w:r>
    <w:r>
      <w:rPr>
        <w:rFonts w:hint="eastAsia"/>
        <w:sz w:val="20"/>
        <w:szCs w:val="20"/>
        <w:lang w:eastAsia="zh-CN"/>
      </w:rPr>
      <w:t xml:space="preserve">3 </w:t>
    </w:r>
    <w:r>
      <w:rPr>
        <w:sz w:val="20"/>
        <w:szCs w:val="20"/>
        <w:lang w:eastAsia="zh-CN"/>
      </w:rPr>
      <w:t>Effects of inulin on milk-derived small extracellular vesicles RNA</w:t>
    </w:r>
    <w:r>
      <w:rPr>
        <w:rFonts w:hint="eastAsia"/>
        <w:sz w:val="20"/>
        <w:szCs w:val="20"/>
        <w:lang w:eastAsia="zh-CN"/>
      </w:rPr>
      <w:t>s</w:t>
    </w:r>
    <w:r>
      <w:rPr>
        <w:sz w:val="20"/>
        <w:szCs w:val="20"/>
        <w:lang w:eastAsia="zh-CN"/>
      </w:rPr>
      <w:t xml:space="preserve"> from dai</w:t>
    </w:r>
    <w:r>
      <w:rPr>
        <w:rFonts w:hint="eastAsia"/>
        <w:sz w:val="20"/>
        <w:szCs w:val="20"/>
        <w:lang w:eastAsia="zh-CN"/>
      </w:rPr>
      <w:t>r</w:t>
    </w:r>
    <w:r>
      <w:rPr>
        <w:sz w:val="20"/>
        <w:szCs w:val="20"/>
        <w:lang w:eastAsia="zh-CN"/>
      </w:rPr>
      <w:t>y cows with subclinical mastitis</w:t>
    </w:r>
  </w:p>
  <w:p w14:paraId="0624BC6B">
    <w:pPr>
      <w:pStyle w:val="19"/>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00BC8">
    <w:pPr>
      <w:pStyle w:val="19"/>
      <w:ind w:firstLine="0"/>
      <w:rPr>
        <w:lang w:eastAsia="zh-CN"/>
      </w:rPr>
    </w:pPr>
    <w:r>
      <w:rPr>
        <w:sz w:val="20"/>
        <w:szCs w:val="20"/>
        <w:lang w:val="en-US"/>
      </w:rPr>
      <w:t>Inulin induced changes of serum and milk extracellular vesicles and their function in lactating dairy cows with subclinical mastitis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5D0F8">
    <w:pPr>
      <w:pStyle w:val="19"/>
      <w:ind w:firstLine="0"/>
      <w:rPr>
        <w:lang w:eastAsia="zh-CN"/>
      </w:rPr>
    </w:pPr>
    <w:r>
      <w:rPr>
        <w:sz w:val="20"/>
        <w:szCs w:val="20"/>
        <w:lang w:val="en-US"/>
      </w:rPr>
      <w:t>Inulin induced changes of serum and milk extracellular vesicles and their function in lactating dairy cows with subclinical mastitis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21D6F">
    <w:pPr>
      <w:pStyle w:val="1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206CC">
    <w:pPr>
      <w:pStyle w:val="19"/>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B4AF7">
    <w:pPr>
      <w:pStyle w:val="19"/>
      <w:ind w:firstLine="0"/>
      <w:rPr>
        <w:lang w:eastAsia="zh-CN"/>
      </w:rPr>
    </w:pPr>
    <w:r>
      <w:rPr>
        <w:sz w:val="20"/>
        <w:szCs w:val="20"/>
        <w:lang w:val="en-US"/>
      </w:rPr>
      <w:t>Inulin induced changes of serum and milk extracellular vesicles and their function in lactating dairy cows with subclinical mastitis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917AC">
    <w:pPr>
      <w:pStyle w:val="19"/>
      <w:jc w:val="right"/>
      <w:rPr>
        <w:lang w:eastAsia="zh-CN"/>
      </w:rPr>
    </w:pPr>
    <w:r>
      <w:rPr>
        <w:rFonts w:hint="eastAsia"/>
        <w:lang w:eastAsia="zh-CN"/>
      </w:rPr>
      <w:t xml:space="preserve">Chapter 4 </w:t>
    </w:r>
    <w:r>
      <w:rPr>
        <w:lang w:eastAsia="zh-CN"/>
      </w:rPr>
      <w:t>General discussion and perspectives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5FA66">
    <w:pPr>
      <w:pStyle w:val="19"/>
      <w:ind w:firstLine="0"/>
      <w:rPr>
        <w:lang w:eastAsia="zh-CN"/>
      </w:rPr>
    </w:pPr>
    <w:r>
      <w:rPr>
        <w:sz w:val="20"/>
        <w:szCs w:val="20"/>
        <w:lang w:val="en-US"/>
      </w:rPr>
      <w:t>Inulin induced changes of serum and milk extracellular vesicles and their function in lactating dairy cows with subclinical mastitis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C08FC">
    <w:pPr>
      <w:pStyle w:val="19"/>
      <w:ind w:firstLine="0"/>
      <w:jc w:val="left"/>
    </w:pPr>
    <w:r>
      <w:rPr>
        <w:sz w:val="20"/>
        <w:szCs w:val="20"/>
        <w:lang w:val="en-US"/>
      </w:rPr>
      <w:t>Inulin induced changes of serum and milk extracellular vesicles and their function in lactating dairy cows with subclinical mastitis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3EFDD">
    <w:pPr>
      <w:pStyle w:val="19"/>
      <w:pBdr>
        <w:bottom w:val="single" w:color="auto" w:sz="4" w:space="1"/>
      </w:pBdr>
      <w:ind w:firstLine="0"/>
      <w:jc w:val="right"/>
      <w:rPr>
        <w:sz w:val="18"/>
        <w:szCs w:val="18"/>
      </w:rPr>
    </w:pPr>
    <w:r>
      <w:rPr>
        <w:sz w:val="18"/>
        <w:szCs w:val="18"/>
      </w:rPr>
      <w:t xml:space="preserve">References </w:t>
    </w:r>
  </w:p>
  <w:p w14:paraId="7435DCF4">
    <w:pPr>
      <w:pStyle w:val="19"/>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3018">
    <w:pPr>
      <w:pStyle w:val="19"/>
      <w:ind w:firstLine="0"/>
      <w:rPr>
        <w:lang w:eastAsia="zh-CN"/>
      </w:rPr>
    </w:pPr>
    <w:r>
      <w:rPr>
        <w:sz w:val="20"/>
        <w:szCs w:val="20"/>
        <w:lang w:val="en-US"/>
      </w:rPr>
      <w:t>Inulin induced changes of serum and milk extracellular vesicles and their function in lactating dairy cows with subclinical mastitis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94B44">
    <w:pPr>
      <w:pStyle w:val="19"/>
      <w:pBdr>
        <w:bottom w:val="single" w:color="auto" w:sz="4" w:space="1"/>
      </w:pBdr>
      <w:ind w:firstLine="0"/>
      <w:jc w:val="right"/>
      <w:rPr>
        <w:sz w:val="18"/>
        <w:szCs w:val="18"/>
      </w:rPr>
    </w:pPr>
    <w:r>
      <w:rPr>
        <w:sz w:val="18"/>
        <w:szCs w:val="18"/>
      </w:rPr>
      <w:t xml:space="preserve">Appendix </w:t>
    </w:r>
  </w:p>
  <w:p w14:paraId="6E2941F9">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E1276">
    <w:pPr>
      <w:pStyle w:val="19"/>
      <w:jc w:val="right"/>
      <w:rPr>
        <w:lang w:eastAsia="zh-CN"/>
      </w:rPr>
    </w:pPr>
    <w:r>
      <w:rPr>
        <w:lang w:eastAsia="zh-CN"/>
      </w:rPr>
      <w:t>Acknow</w:t>
    </w:r>
    <w:r>
      <w:rPr>
        <w:rFonts w:hint="eastAsia"/>
        <w:lang w:eastAsia="zh-CN"/>
      </w:rPr>
      <w:t>l</w:t>
    </w:r>
    <w:r>
      <w:rPr>
        <w:lang w:eastAsia="zh-CN"/>
      </w:rPr>
      <w:t>edgements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A61C9">
    <w:pPr>
      <w:pStyle w:val="19"/>
      <w:wordWrap w:val="0"/>
      <w:jc w:val="right"/>
      <w:rPr>
        <w:lang w:eastAsia="zh-CN"/>
      </w:rPr>
    </w:pPr>
    <w:r>
      <w:rPr>
        <w:rFonts w:hint="eastAsia"/>
        <w:lang w:eastAsia="zh-CN"/>
      </w:rPr>
      <w:t>List of table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1BB22">
    <w:pPr>
      <w:pStyle w:val="19"/>
      <w:ind w:firstLine="0"/>
    </w:pPr>
    <w:r>
      <w:rPr>
        <w:sz w:val="20"/>
        <w:szCs w:val="20"/>
        <w:lang w:val="en-US"/>
      </w:rPr>
      <w:t>Inulin induced changes of serum and milk extracellular vesicles and their function in lactating dairy cows with subclinical mastitis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1B6E1">
    <w:pPr>
      <w:pStyle w:val="19"/>
      <w:ind w:firstLine="0"/>
    </w:pPr>
    <w:bookmarkStart w:id="131" w:name="OLE_LINK28"/>
    <w:r>
      <w:rPr>
        <w:sz w:val="20"/>
        <w:szCs w:val="20"/>
        <w:lang w:val="en-US"/>
      </w:rPr>
      <w:t>Inulin induced changes of serum and milk extracellular vesicles and their function in lactating dairy cows with subclinical mastitis</w:t>
    </w:r>
    <w:bookmarkEnd w:id="131"/>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78F9E">
    <w:pPr>
      <w:pStyle w:val="19"/>
      <w:wordWrap w:val="0"/>
      <w:jc w:val="right"/>
      <w:rPr>
        <w:lang w:eastAsia="zh-CN"/>
      </w:rPr>
    </w:pPr>
    <w:r>
      <w:rPr>
        <w:lang w:eastAsia="zh-CN"/>
      </w:rPr>
      <w:t>List of figure</w:t>
    </w:r>
    <w:r>
      <w:rPr>
        <w:rFonts w:hint="eastAsia"/>
        <w:lang w:eastAsia="zh-CN"/>
      </w:rPr>
      <w: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EA46">
    <w:pPr>
      <w:pStyle w:val="19"/>
      <w:wordWrap w:val="0"/>
      <w:jc w:val="right"/>
      <w:rPr>
        <w:lang w:eastAsia="zh-CN"/>
      </w:rPr>
    </w:pPr>
    <w:r>
      <w:rPr>
        <w:lang w:eastAsia="zh-CN"/>
      </w:rPr>
      <w:t xml:space="preserve">List of </w:t>
    </w:r>
    <w:r>
      <w:rPr>
        <w:rFonts w:hint="eastAsia"/>
        <w:lang w:eastAsia="zh-CN"/>
      </w:rPr>
      <w:t>tables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0"/>
      <w:numFmt w:val="bullet"/>
      <w:pStyle w:val="12"/>
      <w:lvlText w:val="-"/>
      <w:lvlJc w:val="left"/>
      <w:pPr>
        <w:ind w:left="360" w:hanging="360"/>
      </w:pPr>
      <w:rPr>
        <w:rFonts w:hint="default" w:ascii="Times New Roman" w:hAnsi="Times New Roman" w:eastAsia="Calibri" w:cs="Times New Roman"/>
      </w:rPr>
    </w:lvl>
  </w:abstractNum>
  <w:abstractNum w:abstractNumId="1">
    <w:nsid w:val="30E879DA"/>
    <w:multiLevelType w:val="multilevel"/>
    <w:tmpl w:val="30E879DA"/>
    <w:lvl w:ilvl="0" w:tentative="0">
      <w:start w:val="1"/>
      <w:numFmt w:val="decimal"/>
      <w:pStyle w:val="2"/>
      <w:lvlText w:val="Chapter %1"/>
      <w:lvlJc w:val="left"/>
      <w:pPr>
        <w:ind w:left="2835" w:firstLine="0"/>
      </w:pPr>
      <w:rPr>
        <w:rFonts w:hint="default"/>
      </w:rPr>
    </w:lvl>
    <w:lvl w:ilvl="1" w:tentative="0">
      <w:start w:val="1"/>
      <w:numFmt w:val="decimal"/>
      <w:pStyle w:val="3"/>
      <w:lvlText w:val="%2."/>
      <w:lvlJc w:val="left"/>
      <w:pPr>
        <w:ind w:left="170" w:firstLine="0"/>
      </w:pPr>
      <w:rPr>
        <w:rFonts w:hint="default"/>
      </w:rPr>
    </w:lvl>
    <w:lvl w:ilvl="2" w:tentative="0">
      <w:start w:val="1"/>
      <w:numFmt w:val="decimal"/>
      <w:pStyle w:val="4"/>
      <w:lvlText w:val="%2.%3."/>
      <w:lvlJc w:val="left"/>
      <w:pPr>
        <w:ind w:left="170" w:firstLine="0"/>
      </w:pPr>
      <w:rPr>
        <w:rFonts w:hint="default"/>
      </w:rPr>
    </w:lvl>
    <w:lvl w:ilvl="3" w:tentative="0">
      <w:start w:val="1"/>
      <w:numFmt w:val="decimal"/>
      <w:pStyle w:val="5"/>
      <w:lvlText w:val="%2.%3.%4."/>
      <w:lvlJc w:val="left"/>
      <w:pPr>
        <w:ind w:left="170" w:firstLine="0"/>
      </w:pPr>
      <w:rPr>
        <w:rFonts w:hint="default"/>
      </w:rPr>
    </w:lvl>
    <w:lvl w:ilvl="4" w:tentative="0">
      <w:start w:val="1"/>
      <w:numFmt w:val="decimal"/>
      <w:lvlText w:val="%1.%2.%3.%4.%5."/>
      <w:lvlJc w:val="left"/>
      <w:pPr>
        <w:ind w:left="170" w:firstLine="0"/>
      </w:pPr>
      <w:rPr>
        <w:rFonts w:hint="default"/>
      </w:rPr>
    </w:lvl>
    <w:lvl w:ilvl="5" w:tentative="0">
      <w:start w:val="1"/>
      <w:numFmt w:val="decimal"/>
      <w:lvlText w:val="%1.%2.%3.%4.%5.%6."/>
      <w:lvlJc w:val="left"/>
      <w:pPr>
        <w:ind w:left="170" w:firstLine="0"/>
      </w:pPr>
      <w:rPr>
        <w:rFonts w:hint="default"/>
      </w:rPr>
    </w:lvl>
    <w:lvl w:ilvl="6" w:tentative="0">
      <w:start w:val="1"/>
      <w:numFmt w:val="decimal"/>
      <w:lvlText w:val="%1.%2.%3.%4.%5.%6.%7."/>
      <w:lvlJc w:val="left"/>
      <w:pPr>
        <w:ind w:left="170" w:firstLine="0"/>
      </w:pPr>
      <w:rPr>
        <w:rFonts w:hint="default"/>
      </w:rPr>
    </w:lvl>
    <w:lvl w:ilvl="7" w:tentative="0">
      <w:start w:val="1"/>
      <w:numFmt w:val="decimal"/>
      <w:lvlText w:val="%1.%2.%3.%4.%5.%6.%7.%8."/>
      <w:lvlJc w:val="left"/>
      <w:pPr>
        <w:ind w:left="170" w:firstLine="0"/>
      </w:pPr>
      <w:rPr>
        <w:rFonts w:hint="default"/>
      </w:rPr>
    </w:lvl>
    <w:lvl w:ilvl="8" w:tentative="0">
      <w:start w:val="1"/>
      <w:numFmt w:val="decimal"/>
      <w:lvlText w:val="%1.%2.%3.%4.%5.%6.%7.%8.%9."/>
      <w:lvlJc w:val="left"/>
      <w:pPr>
        <w:ind w:left="170" w:firstLine="0"/>
      </w:pPr>
      <w:rPr>
        <w:rFonts w:hint="default"/>
      </w:rPr>
    </w:lvl>
  </w:abstractNum>
  <w:abstractNum w:abstractNumId="2">
    <w:nsid w:val="6E9F2BB6"/>
    <w:multiLevelType w:val="multilevel"/>
    <w:tmpl w:val="6E9F2BB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mirrorMargins w:val="1"/>
  <w:bordersDoNotSurroundHeader w:val="1"/>
  <w:bordersDoNotSurroundFooter w:val="1"/>
  <w:hideSpellingErrors/>
  <w:documentProtection w:enforcement="0"/>
  <w:defaultTabStop w:val="385"/>
  <w:hyphenationZone w:val="425"/>
  <w:evenAndOddHeaders w:val="1"/>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Dairy Scienc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vtz5rea2fr2je0p0uppszgwft92rr5pxdp&quot;&gt;My EndNote Library&lt;record-ids&gt;&lt;item&gt;6&lt;/item&gt;&lt;item&gt;7&lt;/item&gt;&lt;item&gt;26&lt;/item&gt;&lt;item&gt;29&lt;/item&gt;&lt;item&gt;30&lt;/item&gt;&lt;item&gt;31&lt;/item&gt;&lt;item&gt;35&lt;/item&gt;&lt;item&gt;41&lt;/item&gt;&lt;item&gt;43&lt;/item&gt;&lt;item&gt;67&lt;/item&gt;&lt;item&gt;101&lt;/item&gt;&lt;item&gt;106&lt;/item&gt;&lt;item&gt;107&lt;/item&gt;&lt;item&gt;149&lt;/item&gt;&lt;item&gt;150&lt;/item&gt;&lt;item&gt;157&lt;/item&gt;&lt;item&gt;166&lt;/item&gt;&lt;item&gt;169&lt;/item&gt;&lt;item&gt;190&lt;/item&gt;&lt;item&gt;203&lt;/item&gt;&lt;item&gt;205&lt;/item&gt;&lt;item&gt;207&lt;/item&gt;&lt;item&gt;208&lt;/item&gt;&lt;item&gt;209&lt;/item&gt;&lt;item&gt;210&lt;/item&gt;&lt;item&gt;211&lt;/item&gt;&lt;item&gt;212&lt;/item&gt;&lt;item&gt;213&lt;/item&gt;&lt;item&gt;214&lt;/item&gt;&lt;item&gt;215&lt;/item&gt;&lt;item&gt;216&lt;/item&gt;&lt;item&gt;218&lt;/item&gt;&lt;item&gt;222&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4&lt;/item&gt;&lt;item&gt;255&lt;/item&gt;&lt;item&gt;256&lt;/item&gt;&lt;item&gt;257&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9&lt;/item&gt;&lt;item&gt;284&lt;/item&gt;&lt;item&gt;285&lt;/item&gt;&lt;item&gt;286&lt;/item&gt;&lt;item&gt;287&lt;/item&gt;&lt;item&gt;288&lt;/item&gt;&lt;item&gt;289&lt;/item&gt;&lt;item&gt;290&lt;/item&gt;&lt;item&gt;291&lt;/item&gt;&lt;item&gt;292&lt;/item&gt;&lt;item&gt;293&lt;/item&gt;&lt;item&gt;294&lt;/item&gt;&lt;item&gt;295&lt;/item&gt;&lt;item&gt;296&lt;/item&gt;&lt;item&gt;298&lt;/item&gt;&lt;item&gt;299&lt;/item&gt;&lt;item&gt;361&lt;/item&gt;&lt;item&gt;364&lt;/item&gt;&lt;item&gt;368&lt;/item&gt;&lt;item&gt;373&lt;/item&gt;&lt;/record-ids&gt;&lt;/item&gt;&lt;/Libraries&gt;"/>
  </w:docVars>
  <w:rsids>
    <w:rsidRoot w:val="00352E79"/>
    <w:rsid w:val="000002A0"/>
    <w:rsid w:val="000051F5"/>
    <w:rsid w:val="0000648A"/>
    <w:rsid w:val="00011CBE"/>
    <w:rsid w:val="000128A1"/>
    <w:rsid w:val="000136B1"/>
    <w:rsid w:val="0001693D"/>
    <w:rsid w:val="000171D8"/>
    <w:rsid w:val="00021F7A"/>
    <w:rsid w:val="0002202D"/>
    <w:rsid w:val="00023B00"/>
    <w:rsid w:val="0002414E"/>
    <w:rsid w:val="0002663F"/>
    <w:rsid w:val="00027720"/>
    <w:rsid w:val="00027742"/>
    <w:rsid w:val="00031160"/>
    <w:rsid w:val="00031D65"/>
    <w:rsid w:val="00032582"/>
    <w:rsid w:val="000326B8"/>
    <w:rsid w:val="000326FB"/>
    <w:rsid w:val="0003377E"/>
    <w:rsid w:val="00034F5F"/>
    <w:rsid w:val="00036378"/>
    <w:rsid w:val="0003720B"/>
    <w:rsid w:val="000458BB"/>
    <w:rsid w:val="00046850"/>
    <w:rsid w:val="00046B61"/>
    <w:rsid w:val="000473B0"/>
    <w:rsid w:val="0004753B"/>
    <w:rsid w:val="00050406"/>
    <w:rsid w:val="00050D93"/>
    <w:rsid w:val="00050ECB"/>
    <w:rsid w:val="00052861"/>
    <w:rsid w:val="00053AD6"/>
    <w:rsid w:val="00054B11"/>
    <w:rsid w:val="00054BF1"/>
    <w:rsid w:val="000558BE"/>
    <w:rsid w:val="00055A9A"/>
    <w:rsid w:val="00056394"/>
    <w:rsid w:val="00057E8B"/>
    <w:rsid w:val="000627F3"/>
    <w:rsid w:val="00063BFB"/>
    <w:rsid w:val="00065844"/>
    <w:rsid w:val="00066178"/>
    <w:rsid w:val="00067759"/>
    <w:rsid w:val="00070CEC"/>
    <w:rsid w:val="00080149"/>
    <w:rsid w:val="000823F3"/>
    <w:rsid w:val="0008271F"/>
    <w:rsid w:val="0008393A"/>
    <w:rsid w:val="00084CD7"/>
    <w:rsid w:val="00085B76"/>
    <w:rsid w:val="000873FF"/>
    <w:rsid w:val="00087C82"/>
    <w:rsid w:val="0009594C"/>
    <w:rsid w:val="00096261"/>
    <w:rsid w:val="00096CFA"/>
    <w:rsid w:val="000A2049"/>
    <w:rsid w:val="000A2231"/>
    <w:rsid w:val="000A229F"/>
    <w:rsid w:val="000A4049"/>
    <w:rsid w:val="000A4552"/>
    <w:rsid w:val="000A680F"/>
    <w:rsid w:val="000A7637"/>
    <w:rsid w:val="000A797B"/>
    <w:rsid w:val="000A7AB9"/>
    <w:rsid w:val="000B1C13"/>
    <w:rsid w:val="000B30FB"/>
    <w:rsid w:val="000B59E7"/>
    <w:rsid w:val="000B7875"/>
    <w:rsid w:val="000C0FC7"/>
    <w:rsid w:val="000C1C5D"/>
    <w:rsid w:val="000C2084"/>
    <w:rsid w:val="000C44EE"/>
    <w:rsid w:val="000C507C"/>
    <w:rsid w:val="000C5CE2"/>
    <w:rsid w:val="000C6B2A"/>
    <w:rsid w:val="000D045C"/>
    <w:rsid w:val="000D330C"/>
    <w:rsid w:val="000D36A5"/>
    <w:rsid w:val="000D57BF"/>
    <w:rsid w:val="000D5ADC"/>
    <w:rsid w:val="000D6F59"/>
    <w:rsid w:val="000D725F"/>
    <w:rsid w:val="000E0E9E"/>
    <w:rsid w:val="000E283F"/>
    <w:rsid w:val="000E2973"/>
    <w:rsid w:val="000E2CA5"/>
    <w:rsid w:val="000E44FD"/>
    <w:rsid w:val="000F483A"/>
    <w:rsid w:val="000F71C4"/>
    <w:rsid w:val="000F729E"/>
    <w:rsid w:val="00101043"/>
    <w:rsid w:val="00101C97"/>
    <w:rsid w:val="00101D8F"/>
    <w:rsid w:val="00103787"/>
    <w:rsid w:val="00106C85"/>
    <w:rsid w:val="0010710D"/>
    <w:rsid w:val="00112575"/>
    <w:rsid w:val="00116ACE"/>
    <w:rsid w:val="00120942"/>
    <w:rsid w:val="00120C7F"/>
    <w:rsid w:val="00121845"/>
    <w:rsid w:val="00122FA1"/>
    <w:rsid w:val="00130112"/>
    <w:rsid w:val="00130277"/>
    <w:rsid w:val="001308A6"/>
    <w:rsid w:val="0014417D"/>
    <w:rsid w:val="00145031"/>
    <w:rsid w:val="001516EB"/>
    <w:rsid w:val="00153B2C"/>
    <w:rsid w:val="00154205"/>
    <w:rsid w:val="00154214"/>
    <w:rsid w:val="00161614"/>
    <w:rsid w:val="0016195C"/>
    <w:rsid w:val="00163074"/>
    <w:rsid w:val="0016389D"/>
    <w:rsid w:val="001735D6"/>
    <w:rsid w:val="001753BA"/>
    <w:rsid w:val="001826A4"/>
    <w:rsid w:val="00190798"/>
    <w:rsid w:val="00191451"/>
    <w:rsid w:val="00192A8D"/>
    <w:rsid w:val="001948DA"/>
    <w:rsid w:val="00195568"/>
    <w:rsid w:val="00195A52"/>
    <w:rsid w:val="001A23E8"/>
    <w:rsid w:val="001A2A35"/>
    <w:rsid w:val="001A5F5B"/>
    <w:rsid w:val="001A7CAF"/>
    <w:rsid w:val="001B20D7"/>
    <w:rsid w:val="001B34FD"/>
    <w:rsid w:val="001B4922"/>
    <w:rsid w:val="001C1CE1"/>
    <w:rsid w:val="001C4209"/>
    <w:rsid w:val="001C42D6"/>
    <w:rsid w:val="001C44E6"/>
    <w:rsid w:val="001C7DDF"/>
    <w:rsid w:val="001D1E31"/>
    <w:rsid w:val="001D281E"/>
    <w:rsid w:val="001D3C6D"/>
    <w:rsid w:val="001D583C"/>
    <w:rsid w:val="001E1324"/>
    <w:rsid w:val="001E2D7E"/>
    <w:rsid w:val="001E2DEA"/>
    <w:rsid w:val="001E2ED4"/>
    <w:rsid w:val="001E5266"/>
    <w:rsid w:val="001E6668"/>
    <w:rsid w:val="001E79C0"/>
    <w:rsid w:val="001F0BA6"/>
    <w:rsid w:val="001F68B8"/>
    <w:rsid w:val="00200096"/>
    <w:rsid w:val="00202896"/>
    <w:rsid w:val="00214B3B"/>
    <w:rsid w:val="00217584"/>
    <w:rsid w:val="002212D6"/>
    <w:rsid w:val="00222AF8"/>
    <w:rsid w:val="00224608"/>
    <w:rsid w:val="00225623"/>
    <w:rsid w:val="00225A8D"/>
    <w:rsid w:val="0022601B"/>
    <w:rsid w:val="00226B36"/>
    <w:rsid w:val="0023206F"/>
    <w:rsid w:val="00235352"/>
    <w:rsid w:val="002357A7"/>
    <w:rsid w:val="00236AA5"/>
    <w:rsid w:val="0023730B"/>
    <w:rsid w:val="00237442"/>
    <w:rsid w:val="00237C4C"/>
    <w:rsid w:val="002402C4"/>
    <w:rsid w:val="00240FE6"/>
    <w:rsid w:val="00241E49"/>
    <w:rsid w:val="002438B9"/>
    <w:rsid w:val="00243DBC"/>
    <w:rsid w:val="00250723"/>
    <w:rsid w:val="00264010"/>
    <w:rsid w:val="002646DD"/>
    <w:rsid w:val="00265A81"/>
    <w:rsid w:val="00265F99"/>
    <w:rsid w:val="00267565"/>
    <w:rsid w:val="00270FFA"/>
    <w:rsid w:val="00273777"/>
    <w:rsid w:val="002756F7"/>
    <w:rsid w:val="00275941"/>
    <w:rsid w:val="00276614"/>
    <w:rsid w:val="00280FEC"/>
    <w:rsid w:val="002823DA"/>
    <w:rsid w:val="00291963"/>
    <w:rsid w:val="00294C0D"/>
    <w:rsid w:val="0029723A"/>
    <w:rsid w:val="002A4BEA"/>
    <w:rsid w:val="002A4F86"/>
    <w:rsid w:val="002B08DC"/>
    <w:rsid w:val="002B2A5E"/>
    <w:rsid w:val="002B57FA"/>
    <w:rsid w:val="002B5ABD"/>
    <w:rsid w:val="002C16CF"/>
    <w:rsid w:val="002C1926"/>
    <w:rsid w:val="002C277D"/>
    <w:rsid w:val="002C322F"/>
    <w:rsid w:val="002C5C38"/>
    <w:rsid w:val="002C7025"/>
    <w:rsid w:val="002C7A95"/>
    <w:rsid w:val="002C7C1A"/>
    <w:rsid w:val="002C7FF7"/>
    <w:rsid w:val="002D3A73"/>
    <w:rsid w:val="002D4646"/>
    <w:rsid w:val="002E31B0"/>
    <w:rsid w:val="002E44B3"/>
    <w:rsid w:val="002E4913"/>
    <w:rsid w:val="002E5131"/>
    <w:rsid w:val="002E6494"/>
    <w:rsid w:val="002E6D3C"/>
    <w:rsid w:val="002E7E40"/>
    <w:rsid w:val="002F0960"/>
    <w:rsid w:val="002F0ED3"/>
    <w:rsid w:val="002F26DD"/>
    <w:rsid w:val="002F2F07"/>
    <w:rsid w:val="002F3760"/>
    <w:rsid w:val="002F6DE6"/>
    <w:rsid w:val="002F7015"/>
    <w:rsid w:val="00301893"/>
    <w:rsid w:val="00301AAA"/>
    <w:rsid w:val="0030402A"/>
    <w:rsid w:val="00305ABC"/>
    <w:rsid w:val="003067FC"/>
    <w:rsid w:val="003076E6"/>
    <w:rsid w:val="00311ED8"/>
    <w:rsid w:val="00312ABC"/>
    <w:rsid w:val="003169A8"/>
    <w:rsid w:val="00317CC6"/>
    <w:rsid w:val="00317F0D"/>
    <w:rsid w:val="00321498"/>
    <w:rsid w:val="00327C9F"/>
    <w:rsid w:val="00330197"/>
    <w:rsid w:val="00330CB6"/>
    <w:rsid w:val="00331CE0"/>
    <w:rsid w:val="00333235"/>
    <w:rsid w:val="00333A27"/>
    <w:rsid w:val="00335404"/>
    <w:rsid w:val="0034065F"/>
    <w:rsid w:val="00340B4F"/>
    <w:rsid w:val="003411F6"/>
    <w:rsid w:val="0034323B"/>
    <w:rsid w:val="00344D78"/>
    <w:rsid w:val="0034621B"/>
    <w:rsid w:val="00347E29"/>
    <w:rsid w:val="0035051D"/>
    <w:rsid w:val="00351EF1"/>
    <w:rsid w:val="00352E79"/>
    <w:rsid w:val="003535BC"/>
    <w:rsid w:val="00356AC7"/>
    <w:rsid w:val="0036012B"/>
    <w:rsid w:val="0036278D"/>
    <w:rsid w:val="00365CD6"/>
    <w:rsid w:val="00366940"/>
    <w:rsid w:val="00366B52"/>
    <w:rsid w:val="0036754F"/>
    <w:rsid w:val="00374C32"/>
    <w:rsid w:val="00375ACC"/>
    <w:rsid w:val="00375B7C"/>
    <w:rsid w:val="00375BFE"/>
    <w:rsid w:val="00376313"/>
    <w:rsid w:val="0037649A"/>
    <w:rsid w:val="00380EF4"/>
    <w:rsid w:val="0038272B"/>
    <w:rsid w:val="003855C7"/>
    <w:rsid w:val="0038669E"/>
    <w:rsid w:val="00397B2E"/>
    <w:rsid w:val="00397FAC"/>
    <w:rsid w:val="003A1C4B"/>
    <w:rsid w:val="003A5738"/>
    <w:rsid w:val="003A7315"/>
    <w:rsid w:val="003B0E2D"/>
    <w:rsid w:val="003B2362"/>
    <w:rsid w:val="003B61B4"/>
    <w:rsid w:val="003B750C"/>
    <w:rsid w:val="003C1D06"/>
    <w:rsid w:val="003C1F0B"/>
    <w:rsid w:val="003C2363"/>
    <w:rsid w:val="003C7A89"/>
    <w:rsid w:val="003D138B"/>
    <w:rsid w:val="003D1445"/>
    <w:rsid w:val="003D1AEF"/>
    <w:rsid w:val="003D3186"/>
    <w:rsid w:val="003D3C08"/>
    <w:rsid w:val="003D4F9E"/>
    <w:rsid w:val="003D5DB9"/>
    <w:rsid w:val="003D5E44"/>
    <w:rsid w:val="003D6F39"/>
    <w:rsid w:val="003D7F87"/>
    <w:rsid w:val="003E12CF"/>
    <w:rsid w:val="003E2134"/>
    <w:rsid w:val="003E2DA4"/>
    <w:rsid w:val="003E5A09"/>
    <w:rsid w:val="003E6E96"/>
    <w:rsid w:val="003E7EA6"/>
    <w:rsid w:val="003F0D1E"/>
    <w:rsid w:val="003F25C6"/>
    <w:rsid w:val="003F3552"/>
    <w:rsid w:val="003F594C"/>
    <w:rsid w:val="003F76DB"/>
    <w:rsid w:val="003F7CB4"/>
    <w:rsid w:val="00400D9D"/>
    <w:rsid w:val="004015D1"/>
    <w:rsid w:val="00410E9E"/>
    <w:rsid w:val="00412134"/>
    <w:rsid w:val="00412AF8"/>
    <w:rsid w:val="00413D05"/>
    <w:rsid w:val="00413FDE"/>
    <w:rsid w:val="00416337"/>
    <w:rsid w:val="004163F3"/>
    <w:rsid w:val="004165D9"/>
    <w:rsid w:val="004169B3"/>
    <w:rsid w:val="00420DFE"/>
    <w:rsid w:val="00422F85"/>
    <w:rsid w:val="00425733"/>
    <w:rsid w:val="00425B58"/>
    <w:rsid w:val="00427594"/>
    <w:rsid w:val="00431A86"/>
    <w:rsid w:val="00431B11"/>
    <w:rsid w:val="004330A7"/>
    <w:rsid w:val="004335C7"/>
    <w:rsid w:val="004405D4"/>
    <w:rsid w:val="004447F0"/>
    <w:rsid w:val="004457C6"/>
    <w:rsid w:val="00450349"/>
    <w:rsid w:val="00450597"/>
    <w:rsid w:val="00453057"/>
    <w:rsid w:val="0045380D"/>
    <w:rsid w:val="00456E66"/>
    <w:rsid w:val="00461133"/>
    <w:rsid w:val="004614D8"/>
    <w:rsid w:val="00462A40"/>
    <w:rsid w:val="00466781"/>
    <w:rsid w:val="00467764"/>
    <w:rsid w:val="00467B2E"/>
    <w:rsid w:val="004713CA"/>
    <w:rsid w:val="00475C18"/>
    <w:rsid w:val="00475E59"/>
    <w:rsid w:val="00476229"/>
    <w:rsid w:val="00481062"/>
    <w:rsid w:val="00482462"/>
    <w:rsid w:val="00482AE0"/>
    <w:rsid w:val="00484750"/>
    <w:rsid w:val="00484E95"/>
    <w:rsid w:val="004856CF"/>
    <w:rsid w:val="004908F5"/>
    <w:rsid w:val="00493197"/>
    <w:rsid w:val="004933EF"/>
    <w:rsid w:val="00494BFA"/>
    <w:rsid w:val="00495158"/>
    <w:rsid w:val="0049589B"/>
    <w:rsid w:val="00496E3B"/>
    <w:rsid w:val="00497267"/>
    <w:rsid w:val="004A18C2"/>
    <w:rsid w:val="004A328D"/>
    <w:rsid w:val="004A6462"/>
    <w:rsid w:val="004A694F"/>
    <w:rsid w:val="004B3252"/>
    <w:rsid w:val="004B37D7"/>
    <w:rsid w:val="004B5334"/>
    <w:rsid w:val="004B65B3"/>
    <w:rsid w:val="004B747B"/>
    <w:rsid w:val="004C4223"/>
    <w:rsid w:val="004C4808"/>
    <w:rsid w:val="004D1794"/>
    <w:rsid w:val="004D4123"/>
    <w:rsid w:val="004D42D6"/>
    <w:rsid w:val="004D45F4"/>
    <w:rsid w:val="004D7F43"/>
    <w:rsid w:val="004E14BC"/>
    <w:rsid w:val="004E15E7"/>
    <w:rsid w:val="004E28AA"/>
    <w:rsid w:val="004E3D10"/>
    <w:rsid w:val="004F52B9"/>
    <w:rsid w:val="004F5AC5"/>
    <w:rsid w:val="004F679E"/>
    <w:rsid w:val="005034D7"/>
    <w:rsid w:val="005048F9"/>
    <w:rsid w:val="00505C2A"/>
    <w:rsid w:val="00506349"/>
    <w:rsid w:val="00512CE1"/>
    <w:rsid w:val="0051499F"/>
    <w:rsid w:val="00516287"/>
    <w:rsid w:val="005166B4"/>
    <w:rsid w:val="0051713A"/>
    <w:rsid w:val="00517E13"/>
    <w:rsid w:val="00520DA7"/>
    <w:rsid w:val="00521351"/>
    <w:rsid w:val="00521BD6"/>
    <w:rsid w:val="005270B9"/>
    <w:rsid w:val="00534AB2"/>
    <w:rsid w:val="00540D39"/>
    <w:rsid w:val="00542693"/>
    <w:rsid w:val="00542CF7"/>
    <w:rsid w:val="0054383C"/>
    <w:rsid w:val="00543C3D"/>
    <w:rsid w:val="00544233"/>
    <w:rsid w:val="00544953"/>
    <w:rsid w:val="005475AB"/>
    <w:rsid w:val="005508F5"/>
    <w:rsid w:val="00552751"/>
    <w:rsid w:val="005531E9"/>
    <w:rsid w:val="00554311"/>
    <w:rsid w:val="00554DA3"/>
    <w:rsid w:val="00555C61"/>
    <w:rsid w:val="00555E76"/>
    <w:rsid w:val="005653F9"/>
    <w:rsid w:val="005671B0"/>
    <w:rsid w:val="00567BC1"/>
    <w:rsid w:val="00571C0E"/>
    <w:rsid w:val="00572318"/>
    <w:rsid w:val="00572517"/>
    <w:rsid w:val="005759AB"/>
    <w:rsid w:val="005759D2"/>
    <w:rsid w:val="0058301E"/>
    <w:rsid w:val="005830AF"/>
    <w:rsid w:val="00586AF3"/>
    <w:rsid w:val="0059023C"/>
    <w:rsid w:val="005903F0"/>
    <w:rsid w:val="00592428"/>
    <w:rsid w:val="0059616A"/>
    <w:rsid w:val="005A060B"/>
    <w:rsid w:val="005A41DA"/>
    <w:rsid w:val="005A6956"/>
    <w:rsid w:val="005B0454"/>
    <w:rsid w:val="005B0486"/>
    <w:rsid w:val="005B0F45"/>
    <w:rsid w:val="005B12C6"/>
    <w:rsid w:val="005B2A5B"/>
    <w:rsid w:val="005B3605"/>
    <w:rsid w:val="005B489B"/>
    <w:rsid w:val="005B5A67"/>
    <w:rsid w:val="005B5F5E"/>
    <w:rsid w:val="005C109D"/>
    <w:rsid w:val="005C3463"/>
    <w:rsid w:val="005C39C0"/>
    <w:rsid w:val="005C4C3D"/>
    <w:rsid w:val="005C6972"/>
    <w:rsid w:val="005C6A3B"/>
    <w:rsid w:val="005D0571"/>
    <w:rsid w:val="005D2FB0"/>
    <w:rsid w:val="005D4243"/>
    <w:rsid w:val="005D5FB1"/>
    <w:rsid w:val="005D6330"/>
    <w:rsid w:val="005D6BA5"/>
    <w:rsid w:val="005D72BA"/>
    <w:rsid w:val="005E0595"/>
    <w:rsid w:val="005E09E7"/>
    <w:rsid w:val="005E0C69"/>
    <w:rsid w:val="005E4D89"/>
    <w:rsid w:val="005E598F"/>
    <w:rsid w:val="005E6333"/>
    <w:rsid w:val="005E74D7"/>
    <w:rsid w:val="005F0D87"/>
    <w:rsid w:val="005F3B64"/>
    <w:rsid w:val="00600065"/>
    <w:rsid w:val="0060279B"/>
    <w:rsid w:val="00603FCC"/>
    <w:rsid w:val="00604F96"/>
    <w:rsid w:val="00605286"/>
    <w:rsid w:val="00606AB8"/>
    <w:rsid w:val="006073DD"/>
    <w:rsid w:val="0060766E"/>
    <w:rsid w:val="00610776"/>
    <w:rsid w:val="0061177F"/>
    <w:rsid w:val="00612E51"/>
    <w:rsid w:val="0061308D"/>
    <w:rsid w:val="006130A7"/>
    <w:rsid w:val="00614BF4"/>
    <w:rsid w:val="00614D27"/>
    <w:rsid w:val="00615C6F"/>
    <w:rsid w:val="00620852"/>
    <w:rsid w:val="00622743"/>
    <w:rsid w:val="006241CB"/>
    <w:rsid w:val="00624D02"/>
    <w:rsid w:val="006305FB"/>
    <w:rsid w:val="006319A0"/>
    <w:rsid w:val="0063732E"/>
    <w:rsid w:val="00640989"/>
    <w:rsid w:val="0064261C"/>
    <w:rsid w:val="00642EA7"/>
    <w:rsid w:val="00644248"/>
    <w:rsid w:val="006444CD"/>
    <w:rsid w:val="00644D74"/>
    <w:rsid w:val="006460F5"/>
    <w:rsid w:val="00646124"/>
    <w:rsid w:val="00650001"/>
    <w:rsid w:val="00653542"/>
    <w:rsid w:val="00654F64"/>
    <w:rsid w:val="006558FB"/>
    <w:rsid w:val="006559BE"/>
    <w:rsid w:val="00655B2E"/>
    <w:rsid w:val="00656E04"/>
    <w:rsid w:val="006571B1"/>
    <w:rsid w:val="006654E5"/>
    <w:rsid w:val="00670C43"/>
    <w:rsid w:val="00672052"/>
    <w:rsid w:val="00673531"/>
    <w:rsid w:val="00673663"/>
    <w:rsid w:val="00673A8B"/>
    <w:rsid w:val="006747F6"/>
    <w:rsid w:val="00674A7B"/>
    <w:rsid w:val="0067559D"/>
    <w:rsid w:val="00676376"/>
    <w:rsid w:val="0067725E"/>
    <w:rsid w:val="006778E7"/>
    <w:rsid w:val="00680334"/>
    <w:rsid w:val="00681486"/>
    <w:rsid w:val="00683B31"/>
    <w:rsid w:val="00683E1D"/>
    <w:rsid w:val="0068430D"/>
    <w:rsid w:val="00684B35"/>
    <w:rsid w:val="00687513"/>
    <w:rsid w:val="006878DA"/>
    <w:rsid w:val="006903FB"/>
    <w:rsid w:val="0069139B"/>
    <w:rsid w:val="006950C7"/>
    <w:rsid w:val="00697348"/>
    <w:rsid w:val="006A38AA"/>
    <w:rsid w:val="006A459D"/>
    <w:rsid w:val="006B0C4C"/>
    <w:rsid w:val="006B4CAF"/>
    <w:rsid w:val="006B4D84"/>
    <w:rsid w:val="006B54FF"/>
    <w:rsid w:val="006C02F6"/>
    <w:rsid w:val="006C21E0"/>
    <w:rsid w:val="006C5AEE"/>
    <w:rsid w:val="006D2F81"/>
    <w:rsid w:val="006D3466"/>
    <w:rsid w:val="006D702E"/>
    <w:rsid w:val="006E0C07"/>
    <w:rsid w:val="006E286A"/>
    <w:rsid w:val="006E361D"/>
    <w:rsid w:val="006E4BEC"/>
    <w:rsid w:val="006E6069"/>
    <w:rsid w:val="006E61AE"/>
    <w:rsid w:val="006E7617"/>
    <w:rsid w:val="006F0B39"/>
    <w:rsid w:val="006F2161"/>
    <w:rsid w:val="006F29E7"/>
    <w:rsid w:val="006F5634"/>
    <w:rsid w:val="0070014E"/>
    <w:rsid w:val="00703756"/>
    <w:rsid w:val="00703831"/>
    <w:rsid w:val="00707018"/>
    <w:rsid w:val="00713367"/>
    <w:rsid w:val="00715099"/>
    <w:rsid w:val="00717D29"/>
    <w:rsid w:val="00721F59"/>
    <w:rsid w:val="0072787B"/>
    <w:rsid w:val="007303F7"/>
    <w:rsid w:val="007323EB"/>
    <w:rsid w:val="0073350B"/>
    <w:rsid w:val="00733ACD"/>
    <w:rsid w:val="007341A2"/>
    <w:rsid w:val="00735452"/>
    <w:rsid w:val="007357A8"/>
    <w:rsid w:val="00735CC0"/>
    <w:rsid w:val="0073668F"/>
    <w:rsid w:val="00741786"/>
    <w:rsid w:val="00743E73"/>
    <w:rsid w:val="0075136E"/>
    <w:rsid w:val="00752A99"/>
    <w:rsid w:val="00754930"/>
    <w:rsid w:val="00754B27"/>
    <w:rsid w:val="00755362"/>
    <w:rsid w:val="007555E7"/>
    <w:rsid w:val="00755E4B"/>
    <w:rsid w:val="00756B31"/>
    <w:rsid w:val="00762667"/>
    <w:rsid w:val="007637FA"/>
    <w:rsid w:val="00765C2A"/>
    <w:rsid w:val="00766210"/>
    <w:rsid w:val="00766237"/>
    <w:rsid w:val="00766A8C"/>
    <w:rsid w:val="00766DB0"/>
    <w:rsid w:val="0077071B"/>
    <w:rsid w:val="007711AB"/>
    <w:rsid w:val="00772368"/>
    <w:rsid w:val="00773FE5"/>
    <w:rsid w:val="00775392"/>
    <w:rsid w:val="007756E8"/>
    <w:rsid w:val="00775B62"/>
    <w:rsid w:val="007760E3"/>
    <w:rsid w:val="00776F2F"/>
    <w:rsid w:val="00777D47"/>
    <w:rsid w:val="00777F20"/>
    <w:rsid w:val="007833DC"/>
    <w:rsid w:val="007842F5"/>
    <w:rsid w:val="007849EE"/>
    <w:rsid w:val="007851C3"/>
    <w:rsid w:val="00785833"/>
    <w:rsid w:val="00786CEF"/>
    <w:rsid w:val="00787F2A"/>
    <w:rsid w:val="007902ED"/>
    <w:rsid w:val="00793ACB"/>
    <w:rsid w:val="00795600"/>
    <w:rsid w:val="007970D0"/>
    <w:rsid w:val="007A1713"/>
    <w:rsid w:val="007A2C0C"/>
    <w:rsid w:val="007A2F28"/>
    <w:rsid w:val="007A3031"/>
    <w:rsid w:val="007A4682"/>
    <w:rsid w:val="007A4E01"/>
    <w:rsid w:val="007A7051"/>
    <w:rsid w:val="007B14C3"/>
    <w:rsid w:val="007B46F5"/>
    <w:rsid w:val="007B657A"/>
    <w:rsid w:val="007B6966"/>
    <w:rsid w:val="007C06EA"/>
    <w:rsid w:val="007C29BD"/>
    <w:rsid w:val="007C30D1"/>
    <w:rsid w:val="007C458C"/>
    <w:rsid w:val="007C4633"/>
    <w:rsid w:val="007C6A22"/>
    <w:rsid w:val="007C744C"/>
    <w:rsid w:val="007D3945"/>
    <w:rsid w:val="007D45D0"/>
    <w:rsid w:val="007D6F9E"/>
    <w:rsid w:val="007D77DD"/>
    <w:rsid w:val="007F05FD"/>
    <w:rsid w:val="007F149F"/>
    <w:rsid w:val="007F2A4F"/>
    <w:rsid w:val="007F49C7"/>
    <w:rsid w:val="007F6DF8"/>
    <w:rsid w:val="007F7583"/>
    <w:rsid w:val="008003FA"/>
    <w:rsid w:val="0080052C"/>
    <w:rsid w:val="00801CE4"/>
    <w:rsid w:val="0080345B"/>
    <w:rsid w:val="00804F3B"/>
    <w:rsid w:val="00806F26"/>
    <w:rsid w:val="0080745A"/>
    <w:rsid w:val="00813247"/>
    <w:rsid w:val="00820D95"/>
    <w:rsid w:val="00823C32"/>
    <w:rsid w:val="008241AF"/>
    <w:rsid w:val="008256C2"/>
    <w:rsid w:val="008260AE"/>
    <w:rsid w:val="00826251"/>
    <w:rsid w:val="0083119E"/>
    <w:rsid w:val="00831B47"/>
    <w:rsid w:val="008332FF"/>
    <w:rsid w:val="008335FD"/>
    <w:rsid w:val="00835220"/>
    <w:rsid w:val="00840999"/>
    <w:rsid w:val="00840BD6"/>
    <w:rsid w:val="00841A68"/>
    <w:rsid w:val="008425D4"/>
    <w:rsid w:val="00842611"/>
    <w:rsid w:val="00842B7B"/>
    <w:rsid w:val="008445F2"/>
    <w:rsid w:val="00844B54"/>
    <w:rsid w:val="00847307"/>
    <w:rsid w:val="00851BCF"/>
    <w:rsid w:val="008532B7"/>
    <w:rsid w:val="008570D7"/>
    <w:rsid w:val="00863CB2"/>
    <w:rsid w:val="008665CB"/>
    <w:rsid w:val="00866708"/>
    <w:rsid w:val="00866D08"/>
    <w:rsid w:val="008721C4"/>
    <w:rsid w:val="00872A4F"/>
    <w:rsid w:val="00876770"/>
    <w:rsid w:val="008775B7"/>
    <w:rsid w:val="00877D8A"/>
    <w:rsid w:val="0088498D"/>
    <w:rsid w:val="00885155"/>
    <w:rsid w:val="00885F4E"/>
    <w:rsid w:val="00891BA5"/>
    <w:rsid w:val="00892C94"/>
    <w:rsid w:val="00892DC2"/>
    <w:rsid w:val="00894061"/>
    <w:rsid w:val="0089744A"/>
    <w:rsid w:val="00897547"/>
    <w:rsid w:val="00897C06"/>
    <w:rsid w:val="008A1689"/>
    <w:rsid w:val="008A259B"/>
    <w:rsid w:val="008A41EF"/>
    <w:rsid w:val="008A7063"/>
    <w:rsid w:val="008B29B1"/>
    <w:rsid w:val="008B6434"/>
    <w:rsid w:val="008B7EFC"/>
    <w:rsid w:val="008C38A6"/>
    <w:rsid w:val="008C4458"/>
    <w:rsid w:val="008D027E"/>
    <w:rsid w:val="008D34D0"/>
    <w:rsid w:val="008D3E58"/>
    <w:rsid w:val="008D4F0C"/>
    <w:rsid w:val="008D60F6"/>
    <w:rsid w:val="008D6A03"/>
    <w:rsid w:val="008D72DA"/>
    <w:rsid w:val="008E1787"/>
    <w:rsid w:val="008E17A7"/>
    <w:rsid w:val="008E2798"/>
    <w:rsid w:val="008E297F"/>
    <w:rsid w:val="008E6DA2"/>
    <w:rsid w:val="008F0C41"/>
    <w:rsid w:val="008F3AC3"/>
    <w:rsid w:val="008F4CB1"/>
    <w:rsid w:val="008F660D"/>
    <w:rsid w:val="009013BA"/>
    <w:rsid w:val="00901F36"/>
    <w:rsid w:val="00903061"/>
    <w:rsid w:val="00903742"/>
    <w:rsid w:val="00911928"/>
    <w:rsid w:val="0091468D"/>
    <w:rsid w:val="00914E16"/>
    <w:rsid w:val="0091524F"/>
    <w:rsid w:val="009156FA"/>
    <w:rsid w:val="00921693"/>
    <w:rsid w:val="00921BB7"/>
    <w:rsid w:val="00921C35"/>
    <w:rsid w:val="00923848"/>
    <w:rsid w:val="00925E4C"/>
    <w:rsid w:val="00926A51"/>
    <w:rsid w:val="00930C50"/>
    <w:rsid w:val="0093204F"/>
    <w:rsid w:val="00933F43"/>
    <w:rsid w:val="00937728"/>
    <w:rsid w:val="00941161"/>
    <w:rsid w:val="009443C8"/>
    <w:rsid w:val="00950BFE"/>
    <w:rsid w:val="00954245"/>
    <w:rsid w:val="00954745"/>
    <w:rsid w:val="009579C3"/>
    <w:rsid w:val="00957BF4"/>
    <w:rsid w:val="00961617"/>
    <w:rsid w:val="00965364"/>
    <w:rsid w:val="00965C22"/>
    <w:rsid w:val="00965E8F"/>
    <w:rsid w:val="00971154"/>
    <w:rsid w:val="00973087"/>
    <w:rsid w:val="00974CE2"/>
    <w:rsid w:val="00976525"/>
    <w:rsid w:val="00976BB2"/>
    <w:rsid w:val="009802DC"/>
    <w:rsid w:val="00980751"/>
    <w:rsid w:val="00980B5D"/>
    <w:rsid w:val="009876F7"/>
    <w:rsid w:val="009931DA"/>
    <w:rsid w:val="009A05E3"/>
    <w:rsid w:val="009A113B"/>
    <w:rsid w:val="009A354F"/>
    <w:rsid w:val="009A4520"/>
    <w:rsid w:val="009A5475"/>
    <w:rsid w:val="009A6796"/>
    <w:rsid w:val="009A76C5"/>
    <w:rsid w:val="009B1265"/>
    <w:rsid w:val="009B151F"/>
    <w:rsid w:val="009B2666"/>
    <w:rsid w:val="009B43C6"/>
    <w:rsid w:val="009B64F9"/>
    <w:rsid w:val="009B6C9B"/>
    <w:rsid w:val="009B76B5"/>
    <w:rsid w:val="009C0C62"/>
    <w:rsid w:val="009C2F1E"/>
    <w:rsid w:val="009C4389"/>
    <w:rsid w:val="009D07E4"/>
    <w:rsid w:val="009D1175"/>
    <w:rsid w:val="009D2773"/>
    <w:rsid w:val="009D2B94"/>
    <w:rsid w:val="009D47C6"/>
    <w:rsid w:val="009D4D9F"/>
    <w:rsid w:val="009D66B9"/>
    <w:rsid w:val="009E0A76"/>
    <w:rsid w:val="009E2E56"/>
    <w:rsid w:val="009E381F"/>
    <w:rsid w:val="009E6614"/>
    <w:rsid w:val="009E6CBC"/>
    <w:rsid w:val="009F0C92"/>
    <w:rsid w:val="009F1155"/>
    <w:rsid w:val="009F1AC8"/>
    <w:rsid w:val="009F245A"/>
    <w:rsid w:val="009F4CA0"/>
    <w:rsid w:val="009F5FFC"/>
    <w:rsid w:val="009F7C83"/>
    <w:rsid w:val="00A0010C"/>
    <w:rsid w:val="00A0134E"/>
    <w:rsid w:val="00A03621"/>
    <w:rsid w:val="00A04C98"/>
    <w:rsid w:val="00A0540D"/>
    <w:rsid w:val="00A075BE"/>
    <w:rsid w:val="00A148F1"/>
    <w:rsid w:val="00A16C25"/>
    <w:rsid w:val="00A171F4"/>
    <w:rsid w:val="00A2108F"/>
    <w:rsid w:val="00A21D27"/>
    <w:rsid w:val="00A2411F"/>
    <w:rsid w:val="00A274CA"/>
    <w:rsid w:val="00A27DEA"/>
    <w:rsid w:val="00A3108D"/>
    <w:rsid w:val="00A32BAD"/>
    <w:rsid w:val="00A333B0"/>
    <w:rsid w:val="00A34CF0"/>
    <w:rsid w:val="00A37469"/>
    <w:rsid w:val="00A42CBE"/>
    <w:rsid w:val="00A42EB5"/>
    <w:rsid w:val="00A44D20"/>
    <w:rsid w:val="00A47695"/>
    <w:rsid w:val="00A478BA"/>
    <w:rsid w:val="00A5111A"/>
    <w:rsid w:val="00A51833"/>
    <w:rsid w:val="00A52134"/>
    <w:rsid w:val="00A54EFB"/>
    <w:rsid w:val="00A55373"/>
    <w:rsid w:val="00A62001"/>
    <w:rsid w:val="00A63158"/>
    <w:rsid w:val="00A63D5A"/>
    <w:rsid w:val="00A63EC2"/>
    <w:rsid w:val="00A64222"/>
    <w:rsid w:val="00A665EA"/>
    <w:rsid w:val="00A70803"/>
    <w:rsid w:val="00A70A76"/>
    <w:rsid w:val="00A71284"/>
    <w:rsid w:val="00A71388"/>
    <w:rsid w:val="00A73B65"/>
    <w:rsid w:val="00A7402D"/>
    <w:rsid w:val="00A742B4"/>
    <w:rsid w:val="00A74ED4"/>
    <w:rsid w:val="00A81A84"/>
    <w:rsid w:val="00A8270B"/>
    <w:rsid w:val="00A839CD"/>
    <w:rsid w:val="00A85BE2"/>
    <w:rsid w:val="00A86CBB"/>
    <w:rsid w:val="00A92328"/>
    <w:rsid w:val="00A94276"/>
    <w:rsid w:val="00A971EF"/>
    <w:rsid w:val="00AA016D"/>
    <w:rsid w:val="00AA7213"/>
    <w:rsid w:val="00AB1F2E"/>
    <w:rsid w:val="00AB2C79"/>
    <w:rsid w:val="00AB31C8"/>
    <w:rsid w:val="00AB36D1"/>
    <w:rsid w:val="00AB3E6E"/>
    <w:rsid w:val="00AB547F"/>
    <w:rsid w:val="00AB5A65"/>
    <w:rsid w:val="00AC3B1C"/>
    <w:rsid w:val="00AC4F67"/>
    <w:rsid w:val="00AD2483"/>
    <w:rsid w:val="00AD2F9E"/>
    <w:rsid w:val="00AD6960"/>
    <w:rsid w:val="00AD7690"/>
    <w:rsid w:val="00AE0CBA"/>
    <w:rsid w:val="00AE4003"/>
    <w:rsid w:val="00AE4AD8"/>
    <w:rsid w:val="00AF0A99"/>
    <w:rsid w:val="00AF325E"/>
    <w:rsid w:val="00AF3904"/>
    <w:rsid w:val="00AF5A9E"/>
    <w:rsid w:val="00AF7F45"/>
    <w:rsid w:val="00B000CB"/>
    <w:rsid w:val="00B00934"/>
    <w:rsid w:val="00B01FA4"/>
    <w:rsid w:val="00B028EE"/>
    <w:rsid w:val="00B04A72"/>
    <w:rsid w:val="00B12CC8"/>
    <w:rsid w:val="00B137A1"/>
    <w:rsid w:val="00B154C6"/>
    <w:rsid w:val="00B176CF"/>
    <w:rsid w:val="00B20B16"/>
    <w:rsid w:val="00B2278D"/>
    <w:rsid w:val="00B26EE4"/>
    <w:rsid w:val="00B27655"/>
    <w:rsid w:val="00B27D90"/>
    <w:rsid w:val="00B30598"/>
    <w:rsid w:val="00B30F5A"/>
    <w:rsid w:val="00B3749F"/>
    <w:rsid w:val="00B416E2"/>
    <w:rsid w:val="00B41D76"/>
    <w:rsid w:val="00B44246"/>
    <w:rsid w:val="00B451C6"/>
    <w:rsid w:val="00B46106"/>
    <w:rsid w:val="00B50F9F"/>
    <w:rsid w:val="00B5351F"/>
    <w:rsid w:val="00B555C5"/>
    <w:rsid w:val="00B56B1C"/>
    <w:rsid w:val="00B570A9"/>
    <w:rsid w:val="00B57A07"/>
    <w:rsid w:val="00B603E3"/>
    <w:rsid w:val="00B6150C"/>
    <w:rsid w:val="00B61FC8"/>
    <w:rsid w:val="00B668D2"/>
    <w:rsid w:val="00B67050"/>
    <w:rsid w:val="00B678B5"/>
    <w:rsid w:val="00B71DB9"/>
    <w:rsid w:val="00B767AA"/>
    <w:rsid w:val="00B76DDE"/>
    <w:rsid w:val="00B811EE"/>
    <w:rsid w:val="00B82F5A"/>
    <w:rsid w:val="00B83E39"/>
    <w:rsid w:val="00B8407E"/>
    <w:rsid w:val="00B93975"/>
    <w:rsid w:val="00B94FC9"/>
    <w:rsid w:val="00B95E66"/>
    <w:rsid w:val="00B96B9D"/>
    <w:rsid w:val="00BA10B4"/>
    <w:rsid w:val="00BA1DFD"/>
    <w:rsid w:val="00BA20EE"/>
    <w:rsid w:val="00BA371D"/>
    <w:rsid w:val="00BA38A7"/>
    <w:rsid w:val="00BA4368"/>
    <w:rsid w:val="00BA46AA"/>
    <w:rsid w:val="00BA4F1E"/>
    <w:rsid w:val="00BA6804"/>
    <w:rsid w:val="00BA7AAF"/>
    <w:rsid w:val="00BB0581"/>
    <w:rsid w:val="00BB41A3"/>
    <w:rsid w:val="00BB4C0A"/>
    <w:rsid w:val="00BB5FFE"/>
    <w:rsid w:val="00BB6118"/>
    <w:rsid w:val="00BB6268"/>
    <w:rsid w:val="00BB6AC4"/>
    <w:rsid w:val="00BC1ABF"/>
    <w:rsid w:val="00BC29E3"/>
    <w:rsid w:val="00BC5173"/>
    <w:rsid w:val="00BC596A"/>
    <w:rsid w:val="00BC6B9A"/>
    <w:rsid w:val="00BC7709"/>
    <w:rsid w:val="00BD476F"/>
    <w:rsid w:val="00BD5F51"/>
    <w:rsid w:val="00BD7093"/>
    <w:rsid w:val="00BD7C9D"/>
    <w:rsid w:val="00BE2134"/>
    <w:rsid w:val="00BE28EA"/>
    <w:rsid w:val="00BE29E4"/>
    <w:rsid w:val="00BE3F6B"/>
    <w:rsid w:val="00BE43D6"/>
    <w:rsid w:val="00BE4957"/>
    <w:rsid w:val="00BF0D23"/>
    <w:rsid w:val="00BF36D4"/>
    <w:rsid w:val="00BF3856"/>
    <w:rsid w:val="00BF41A5"/>
    <w:rsid w:val="00BF54F4"/>
    <w:rsid w:val="00BF6A42"/>
    <w:rsid w:val="00C10583"/>
    <w:rsid w:val="00C11E06"/>
    <w:rsid w:val="00C15810"/>
    <w:rsid w:val="00C17A7E"/>
    <w:rsid w:val="00C20E3E"/>
    <w:rsid w:val="00C21BB2"/>
    <w:rsid w:val="00C27398"/>
    <w:rsid w:val="00C303ED"/>
    <w:rsid w:val="00C325B0"/>
    <w:rsid w:val="00C33159"/>
    <w:rsid w:val="00C35340"/>
    <w:rsid w:val="00C40F59"/>
    <w:rsid w:val="00C419C9"/>
    <w:rsid w:val="00C44885"/>
    <w:rsid w:val="00C46058"/>
    <w:rsid w:val="00C46D3E"/>
    <w:rsid w:val="00C50725"/>
    <w:rsid w:val="00C50E1E"/>
    <w:rsid w:val="00C524C5"/>
    <w:rsid w:val="00C55BB7"/>
    <w:rsid w:val="00C55DD9"/>
    <w:rsid w:val="00C56598"/>
    <w:rsid w:val="00C6100D"/>
    <w:rsid w:val="00C615E7"/>
    <w:rsid w:val="00C61B2A"/>
    <w:rsid w:val="00C62764"/>
    <w:rsid w:val="00C639A7"/>
    <w:rsid w:val="00C64A13"/>
    <w:rsid w:val="00C650C2"/>
    <w:rsid w:val="00C667BA"/>
    <w:rsid w:val="00C714BB"/>
    <w:rsid w:val="00C72C14"/>
    <w:rsid w:val="00C77438"/>
    <w:rsid w:val="00C81EFB"/>
    <w:rsid w:val="00C83B3E"/>
    <w:rsid w:val="00C90235"/>
    <w:rsid w:val="00C90E3B"/>
    <w:rsid w:val="00C92ECF"/>
    <w:rsid w:val="00C93A95"/>
    <w:rsid w:val="00C963EA"/>
    <w:rsid w:val="00C9681C"/>
    <w:rsid w:val="00C97801"/>
    <w:rsid w:val="00CA18CD"/>
    <w:rsid w:val="00CB043A"/>
    <w:rsid w:val="00CB0CA9"/>
    <w:rsid w:val="00CB100C"/>
    <w:rsid w:val="00CB37E5"/>
    <w:rsid w:val="00CB3849"/>
    <w:rsid w:val="00CC1245"/>
    <w:rsid w:val="00CC1732"/>
    <w:rsid w:val="00CC1950"/>
    <w:rsid w:val="00CC3297"/>
    <w:rsid w:val="00CC43BC"/>
    <w:rsid w:val="00CC5E79"/>
    <w:rsid w:val="00CD16C2"/>
    <w:rsid w:val="00CD2D95"/>
    <w:rsid w:val="00CD342F"/>
    <w:rsid w:val="00CE08A0"/>
    <w:rsid w:val="00CE2218"/>
    <w:rsid w:val="00CE28E0"/>
    <w:rsid w:val="00CE3309"/>
    <w:rsid w:val="00CE37DE"/>
    <w:rsid w:val="00CE4420"/>
    <w:rsid w:val="00CE486D"/>
    <w:rsid w:val="00CE492C"/>
    <w:rsid w:val="00CE6094"/>
    <w:rsid w:val="00CE65A9"/>
    <w:rsid w:val="00CE700E"/>
    <w:rsid w:val="00CF05ED"/>
    <w:rsid w:val="00CF0D47"/>
    <w:rsid w:val="00CF22E7"/>
    <w:rsid w:val="00CF234B"/>
    <w:rsid w:val="00CF25F0"/>
    <w:rsid w:val="00CF4D6A"/>
    <w:rsid w:val="00D01156"/>
    <w:rsid w:val="00D01A8A"/>
    <w:rsid w:val="00D055DB"/>
    <w:rsid w:val="00D05E5C"/>
    <w:rsid w:val="00D10763"/>
    <w:rsid w:val="00D1147E"/>
    <w:rsid w:val="00D14F87"/>
    <w:rsid w:val="00D200A7"/>
    <w:rsid w:val="00D20F5D"/>
    <w:rsid w:val="00D23EB9"/>
    <w:rsid w:val="00D359BA"/>
    <w:rsid w:val="00D37998"/>
    <w:rsid w:val="00D40296"/>
    <w:rsid w:val="00D4188F"/>
    <w:rsid w:val="00D51CC9"/>
    <w:rsid w:val="00D52FD5"/>
    <w:rsid w:val="00D54D1A"/>
    <w:rsid w:val="00D5504F"/>
    <w:rsid w:val="00D5759A"/>
    <w:rsid w:val="00D57872"/>
    <w:rsid w:val="00D60B26"/>
    <w:rsid w:val="00D60B62"/>
    <w:rsid w:val="00D61757"/>
    <w:rsid w:val="00D62162"/>
    <w:rsid w:val="00D625BB"/>
    <w:rsid w:val="00D62E46"/>
    <w:rsid w:val="00D64B1F"/>
    <w:rsid w:val="00D64D7B"/>
    <w:rsid w:val="00D66731"/>
    <w:rsid w:val="00D66880"/>
    <w:rsid w:val="00D7190C"/>
    <w:rsid w:val="00D71F10"/>
    <w:rsid w:val="00D725ED"/>
    <w:rsid w:val="00D7311E"/>
    <w:rsid w:val="00D73AB3"/>
    <w:rsid w:val="00D832F6"/>
    <w:rsid w:val="00D87DBB"/>
    <w:rsid w:val="00D90ADD"/>
    <w:rsid w:val="00D90CF5"/>
    <w:rsid w:val="00D9143C"/>
    <w:rsid w:val="00D91B01"/>
    <w:rsid w:val="00D91F8F"/>
    <w:rsid w:val="00D92E11"/>
    <w:rsid w:val="00D9513A"/>
    <w:rsid w:val="00D9539F"/>
    <w:rsid w:val="00DA0128"/>
    <w:rsid w:val="00DA1240"/>
    <w:rsid w:val="00DA1874"/>
    <w:rsid w:val="00DA224C"/>
    <w:rsid w:val="00DA2D7F"/>
    <w:rsid w:val="00DA364E"/>
    <w:rsid w:val="00DA3BAC"/>
    <w:rsid w:val="00DA4BDC"/>
    <w:rsid w:val="00DA70E9"/>
    <w:rsid w:val="00DA7A68"/>
    <w:rsid w:val="00DB0108"/>
    <w:rsid w:val="00DB1385"/>
    <w:rsid w:val="00DB2527"/>
    <w:rsid w:val="00DB260E"/>
    <w:rsid w:val="00DB2F24"/>
    <w:rsid w:val="00DB33B8"/>
    <w:rsid w:val="00DB3590"/>
    <w:rsid w:val="00DB371D"/>
    <w:rsid w:val="00DB5430"/>
    <w:rsid w:val="00DB6518"/>
    <w:rsid w:val="00DC1549"/>
    <w:rsid w:val="00DC20F2"/>
    <w:rsid w:val="00DC3957"/>
    <w:rsid w:val="00DC5C0C"/>
    <w:rsid w:val="00DC5C52"/>
    <w:rsid w:val="00DD0BC6"/>
    <w:rsid w:val="00DD1897"/>
    <w:rsid w:val="00DD2207"/>
    <w:rsid w:val="00DD3AE7"/>
    <w:rsid w:val="00DD5C18"/>
    <w:rsid w:val="00DD609A"/>
    <w:rsid w:val="00DD732D"/>
    <w:rsid w:val="00DD7434"/>
    <w:rsid w:val="00DE2352"/>
    <w:rsid w:val="00DE370D"/>
    <w:rsid w:val="00DE5425"/>
    <w:rsid w:val="00DE65B9"/>
    <w:rsid w:val="00DE7B9A"/>
    <w:rsid w:val="00DE7E82"/>
    <w:rsid w:val="00DF068A"/>
    <w:rsid w:val="00DF24EE"/>
    <w:rsid w:val="00DF4452"/>
    <w:rsid w:val="00DF44F0"/>
    <w:rsid w:val="00DF46A2"/>
    <w:rsid w:val="00DF55DF"/>
    <w:rsid w:val="00DF5962"/>
    <w:rsid w:val="00DF67AA"/>
    <w:rsid w:val="00DF73AD"/>
    <w:rsid w:val="00E029EF"/>
    <w:rsid w:val="00E02C17"/>
    <w:rsid w:val="00E03CFA"/>
    <w:rsid w:val="00E043EC"/>
    <w:rsid w:val="00E04C98"/>
    <w:rsid w:val="00E04E63"/>
    <w:rsid w:val="00E05082"/>
    <w:rsid w:val="00E07463"/>
    <w:rsid w:val="00E12705"/>
    <w:rsid w:val="00E139AF"/>
    <w:rsid w:val="00E1582D"/>
    <w:rsid w:val="00E15E48"/>
    <w:rsid w:val="00E171CD"/>
    <w:rsid w:val="00E21E60"/>
    <w:rsid w:val="00E32FD5"/>
    <w:rsid w:val="00E33379"/>
    <w:rsid w:val="00E3592C"/>
    <w:rsid w:val="00E359AA"/>
    <w:rsid w:val="00E36045"/>
    <w:rsid w:val="00E40225"/>
    <w:rsid w:val="00E4134C"/>
    <w:rsid w:val="00E416B5"/>
    <w:rsid w:val="00E4443B"/>
    <w:rsid w:val="00E549DB"/>
    <w:rsid w:val="00E55FD5"/>
    <w:rsid w:val="00E600AC"/>
    <w:rsid w:val="00E60FCB"/>
    <w:rsid w:val="00E62BE8"/>
    <w:rsid w:val="00E62DD0"/>
    <w:rsid w:val="00E66834"/>
    <w:rsid w:val="00E669A6"/>
    <w:rsid w:val="00E66BE1"/>
    <w:rsid w:val="00E71388"/>
    <w:rsid w:val="00E727AC"/>
    <w:rsid w:val="00E72D9A"/>
    <w:rsid w:val="00E77EB0"/>
    <w:rsid w:val="00E80B48"/>
    <w:rsid w:val="00E8322B"/>
    <w:rsid w:val="00E85803"/>
    <w:rsid w:val="00E86CC5"/>
    <w:rsid w:val="00E93FC1"/>
    <w:rsid w:val="00E958BD"/>
    <w:rsid w:val="00E95A2B"/>
    <w:rsid w:val="00E974A3"/>
    <w:rsid w:val="00EA0754"/>
    <w:rsid w:val="00EA0D5D"/>
    <w:rsid w:val="00EA0E87"/>
    <w:rsid w:val="00EB07EA"/>
    <w:rsid w:val="00EB2511"/>
    <w:rsid w:val="00EB3326"/>
    <w:rsid w:val="00EB35C3"/>
    <w:rsid w:val="00EB4E83"/>
    <w:rsid w:val="00EB5D7E"/>
    <w:rsid w:val="00EB6442"/>
    <w:rsid w:val="00EB7B69"/>
    <w:rsid w:val="00EC156A"/>
    <w:rsid w:val="00EC1A4B"/>
    <w:rsid w:val="00EC3242"/>
    <w:rsid w:val="00EC5718"/>
    <w:rsid w:val="00EC57B9"/>
    <w:rsid w:val="00EC69FE"/>
    <w:rsid w:val="00EC73AC"/>
    <w:rsid w:val="00EC7495"/>
    <w:rsid w:val="00EC79EA"/>
    <w:rsid w:val="00ED2F30"/>
    <w:rsid w:val="00ED5432"/>
    <w:rsid w:val="00ED59EF"/>
    <w:rsid w:val="00EE4D8F"/>
    <w:rsid w:val="00EF0298"/>
    <w:rsid w:val="00EF30BD"/>
    <w:rsid w:val="00EF4C55"/>
    <w:rsid w:val="00EF621A"/>
    <w:rsid w:val="00EF799F"/>
    <w:rsid w:val="00F03FAA"/>
    <w:rsid w:val="00F04EA8"/>
    <w:rsid w:val="00F06798"/>
    <w:rsid w:val="00F07184"/>
    <w:rsid w:val="00F07D5B"/>
    <w:rsid w:val="00F15E28"/>
    <w:rsid w:val="00F16B5A"/>
    <w:rsid w:val="00F179B5"/>
    <w:rsid w:val="00F2026D"/>
    <w:rsid w:val="00F21964"/>
    <w:rsid w:val="00F2386E"/>
    <w:rsid w:val="00F259E2"/>
    <w:rsid w:val="00F26EAB"/>
    <w:rsid w:val="00F274AC"/>
    <w:rsid w:val="00F316D8"/>
    <w:rsid w:val="00F3308E"/>
    <w:rsid w:val="00F33590"/>
    <w:rsid w:val="00F4127C"/>
    <w:rsid w:val="00F42DF3"/>
    <w:rsid w:val="00F479F0"/>
    <w:rsid w:val="00F50EC1"/>
    <w:rsid w:val="00F50F78"/>
    <w:rsid w:val="00F515A1"/>
    <w:rsid w:val="00F56107"/>
    <w:rsid w:val="00F60AF7"/>
    <w:rsid w:val="00F62D78"/>
    <w:rsid w:val="00F728CF"/>
    <w:rsid w:val="00F72B41"/>
    <w:rsid w:val="00F75065"/>
    <w:rsid w:val="00F869B3"/>
    <w:rsid w:val="00F9141D"/>
    <w:rsid w:val="00F946B3"/>
    <w:rsid w:val="00F97FA1"/>
    <w:rsid w:val="00FA16FC"/>
    <w:rsid w:val="00FA2DD4"/>
    <w:rsid w:val="00FA311E"/>
    <w:rsid w:val="00FA4F4E"/>
    <w:rsid w:val="00FA74B2"/>
    <w:rsid w:val="00FB3C3F"/>
    <w:rsid w:val="00FB50AA"/>
    <w:rsid w:val="00FB5243"/>
    <w:rsid w:val="00FC0FE8"/>
    <w:rsid w:val="00FC1636"/>
    <w:rsid w:val="00FC252E"/>
    <w:rsid w:val="00FC60A7"/>
    <w:rsid w:val="00FD12C0"/>
    <w:rsid w:val="00FD15DF"/>
    <w:rsid w:val="00FD5006"/>
    <w:rsid w:val="00FE0869"/>
    <w:rsid w:val="00FE5DA9"/>
    <w:rsid w:val="00FE6E0B"/>
    <w:rsid w:val="00FF086D"/>
    <w:rsid w:val="00FF11A1"/>
    <w:rsid w:val="00FF418C"/>
    <w:rsid w:val="00FF4D0A"/>
    <w:rsid w:val="00FF5788"/>
    <w:rsid w:val="00FF6347"/>
    <w:rsid w:val="00FF67C4"/>
    <w:rsid w:val="00FF7A6A"/>
    <w:rsid w:val="00FF7B7D"/>
    <w:rsid w:val="09EE6363"/>
    <w:rsid w:val="1B225980"/>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 w:line="240" w:lineRule="auto"/>
      <w:ind w:firstLine="170"/>
      <w:jc w:val="both"/>
    </w:pPr>
    <w:rPr>
      <w:rFonts w:ascii="Times New Roman" w:hAnsi="Times New Roman" w:eastAsiaTheme="minorEastAsia" w:cstheme="minorBidi"/>
      <w:sz w:val="22"/>
      <w:szCs w:val="22"/>
      <w:lang w:val="fr-BE" w:eastAsia="en-US" w:bidi="ar-SA"/>
    </w:rPr>
  </w:style>
  <w:style w:type="paragraph" w:styleId="2">
    <w:name w:val="heading 1"/>
    <w:basedOn w:val="1"/>
    <w:next w:val="1"/>
    <w:link w:val="45"/>
    <w:qFormat/>
    <w:uiPriority w:val="99"/>
    <w:pPr>
      <w:keepNext/>
      <w:keepLines/>
      <w:numPr>
        <w:ilvl w:val="0"/>
        <w:numId w:val="1"/>
      </w:numPr>
      <w:spacing w:before="120" w:after="40"/>
      <w:ind w:left="170"/>
      <w:jc w:val="right"/>
      <w:outlineLvl w:val="0"/>
    </w:pPr>
    <w:rPr>
      <w:rFonts w:eastAsiaTheme="majorEastAsia" w:cstheme="majorBidi"/>
      <w:b/>
      <w:bCs/>
      <w:sz w:val="100"/>
      <w:szCs w:val="28"/>
    </w:rPr>
  </w:style>
  <w:style w:type="paragraph" w:styleId="3">
    <w:name w:val="heading 2"/>
    <w:basedOn w:val="1"/>
    <w:next w:val="1"/>
    <w:link w:val="46"/>
    <w:autoRedefine/>
    <w:unhideWhenUsed/>
    <w:qFormat/>
    <w:uiPriority w:val="99"/>
    <w:pPr>
      <w:keepNext/>
      <w:keepLines/>
      <w:numPr>
        <w:ilvl w:val="1"/>
        <w:numId w:val="1"/>
      </w:numPr>
      <w:spacing w:before="120" w:after="60" w:line="320" w:lineRule="exact"/>
      <w:jc w:val="left"/>
      <w:outlineLvl w:val="1"/>
    </w:pPr>
    <w:rPr>
      <w:rFonts w:eastAsiaTheme="majorEastAsia" w:cstheme="majorBidi"/>
      <w:b/>
      <w:bCs/>
      <w:sz w:val="32"/>
      <w:szCs w:val="26"/>
      <w:lang w:val="en-US"/>
    </w:rPr>
  </w:style>
  <w:style w:type="paragraph" w:styleId="4">
    <w:name w:val="heading 3"/>
    <w:basedOn w:val="1"/>
    <w:next w:val="1"/>
    <w:link w:val="48"/>
    <w:unhideWhenUsed/>
    <w:qFormat/>
    <w:uiPriority w:val="99"/>
    <w:pPr>
      <w:keepNext/>
      <w:keepLines/>
      <w:numPr>
        <w:ilvl w:val="2"/>
        <w:numId w:val="1"/>
      </w:numPr>
      <w:spacing w:before="60" w:after="40"/>
      <w:outlineLvl w:val="2"/>
    </w:pPr>
    <w:rPr>
      <w:rFonts w:eastAsiaTheme="majorEastAsia" w:cstheme="majorBidi"/>
      <w:b/>
      <w:bCs/>
      <w:i/>
      <w:sz w:val="28"/>
    </w:rPr>
  </w:style>
  <w:style w:type="paragraph" w:styleId="5">
    <w:name w:val="heading 4"/>
    <w:basedOn w:val="1"/>
    <w:next w:val="1"/>
    <w:link w:val="61"/>
    <w:unhideWhenUsed/>
    <w:qFormat/>
    <w:uiPriority w:val="9"/>
    <w:pPr>
      <w:keepNext/>
      <w:keepLines/>
      <w:numPr>
        <w:ilvl w:val="3"/>
        <w:numId w:val="1"/>
      </w:numPr>
      <w:spacing w:before="40"/>
      <w:jc w:val="left"/>
      <w:outlineLvl w:val="3"/>
    </w:pPr>
    <w:rPr>
      <w:rFonts w:eastAsiaTheme="majorEastAsia" w:cstheme="majorBidi"/>
      <w:b/>
      <w:bCs/>
      <w:iCs/>
    </w:rPr>
  </w:style>
  <w:style w:type="paragraph" w:styleId="6">
    <w:name w:val="heading 5"/>
    <w:basedOn w:val="1"/>
    <w:next w:val="1"/>
    <w:link w:val="62"/>
    <w:unhideWhenUsed/>
    <w:qFormat/>
    <w:uiPriority w:val="9"/>
    <w:pPr>
      <w:keepNext/>
      <w:keepLines/>
      <w:spacing w:before="200" w:after="0"/>
      <w:ind w:firstLine="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63"/>
    <w:unhideWhenUsed/>
    <w:qFormat/>
    <w:uiPriority w:val="9"/>
    <w:pPr>
      <w:keepNext/>
      <w:keepLines/>
      <w:spacing w:before="200" w:after="0"/>
      <w:ind w:firstLine="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64"/>
    <w:unhideWhenUsed/>
    <w:qFormat/>
    <w:uiPriority w:val="9"/>
    <w:pPr>
      <w:keepNext/>
      <w:keepLines/>
      <w:spacing w:before="200" w:after="0"/>
      <w:ind w:firstLine="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65"/>
    <w:unhideWhenUsed/>
    <w:qFormat/>
    <w:uiPriority w:val="9"/>
    <w:pPr>
      <w:keepNext/>
      <w:keepLines/>
      <w:spacing w:before="200" w:after="0"/>
      <w:ind w:firstLine="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0">
    <w:name w:val="heading 9"/>
    <w:basedOn w:val="1"/>
    <w:next w:val="1"/>
    <w:link w:val="66"/>
    <w:unhideWhenUsed/>
    <w:qFormat/>
    <w:uiPriority w:val="9"/>
    <w:pPr>
      <w:keepNext/>
      <w:keepLines/>
      <w:spacing w:before="200" w:after="0"/>
      <w:ind w:firstLine="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33">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76"/>
    <w:unhideWhenUsed/>
    <w:qFormat/>
    <w:uiPriority w:val="35"/>
    <w:pPr>
      <w:spacing w:before="180" w:after="120"/>
      <w:jc w:val="center"/>
    </w:pPr>
    <w:rPr>
      <w:bCs/>
      <w:sz w:val="20"/>
      <w:szCs w:val="18"/>
    </w:rPr>
  </w:style>
  <w:style w:type="paragraph" w:styleId="12">
    <w:name w:val="List Bullet"/>
    <w:basedOn w:val="1"/>
    <w:unhideWhenUsed/>
    <w:qFormat/>
    <w:uiPriority w:val="99"/>
    <w:pPr>
      <w:numPr>
        <w:ilvl w:val="0"/>
        <w:numId w:val="2"/>
      </w:numPr>
      <w:spacing w:before="120" w:after="120" w:line="480" w:lineRule="auto"/>
      <w:ind w:left="0" w:firstLine="0"/>
      <w:contextualSpacing/>
    </w:pPr>
    <w:rPr>
      <w:rFonts w:eastAsia="Calibri" w:cs="Times New Roman"/>
    </w:rPr>
  </w:style>
  <w:style w:type="paragraph" w:styleId="13">
    <w:name w:val="annotation text"/>
    <w:basedOn w:val="1"/>
    <w:link w:val="54"/>
    <w:unhideWhenUsed/>
    <w:qFormat/>
    <w:uiPriority w:val="99"/>
    <w:rPr>
      <w:sz w:val="20"/>
      <w:szCs w:val="20"/>
    </w:rPr>
  </w:style>
  <w:style w:type="paragraph" w:styleId="14">
    <w:name w:val="Body Text"/>
    <w:basedOn w:val="1"/>
    <w:link w:val="42"/>
    <w:qFormat/>
    <w:uiPriority w:val="0"/>
    <w:pPr>
      <w:widowControl w:val="0"/>
      <w:autoSpaceDE w:val="0"/>
      <w:autoSpaceDN w:val="0"/>
      <w:spacing w:after="0"/>
    </w:pPr>
    <w:rPr>
      <w:rFonts w:ascii="Calibri" w:hAnsi="Calibri" w:eastAsia="Calibri" w:cs="Calibri"/>
      <w:lang w:eastAsia="fr-BE" w:bidi="fr-BE"/>
    </w:rPr>
  </w:style>
  <w:style w:type="paragraph" w:styleId="15">
    <w:name w:val="toc 3"/>
    <w:basedOn w:val="1"/>
    <w:next w:val="1"/>
    <w:autoRedefine/>
    <w:unhideWhenUsed/>
    <w:qFormat/>
    <w:uiPriority w:val="39"/>
    <w:pPr>
      <w:spacing w:before="120" w:after="100" w:line="480" w:lineRule="auto"/>
      <w:ind w:left="440" w:firstLine="0"/>
    </w:pPr>
    <w:rPr>
      <w:rFonts w:eastAsia="Calibri" w:cs="Times New Roman"/>
    </w:rPr>
  </w:style>
  <w:style w:type="paragraph" w:styleId="16">
    <w:name w:val="endnote text"/>
    <w:basedOn w:val="1"/>
    <w:link w:val="52"/>
    <w:semiHidden/>
    <w:unhideWhenUsed/>
    <w:qFormat/>
    <w:uiPriority w:val="99"/>
    <w:pPr>
      <w:spacing w:after="0"/>
    </w:pPr>
    <w:rPr>
      <w:sz w:val="20"/>
      <w:szCs w:val="20"/>
    </w:rPr>
  </w:style>
  <w:style w:type="paragraph" w:styleId="17">
    <w:name w:val="Balloon Text"/>
    <w:basedOn w:val="1"/>
    <w:link w:val="51"/>
    <w:semiHidden/>
    <w:unhideWhenUsed/>
    <w:qFormat/>
    <w:uiPriority w:val="99"/>
    <w:pPr>
      <w:spacing w:after="0"/>
    </w:pPr>
    <w:rPr>
      <w:rFonts w:ascii="Tahoma" w:hAnsi="Tahoma" w:cs="Tahoma"/>
      <w:sz w:val="16"/>
      <w:szCs w:val="16"/>
    </w:rPr>
  </w:style>
  <w:style w:type="paragraph" w:styleId="18">
    <w:name w:val="footer"/>
    <w:basedOn w:val="1"/>
    <w:link w:val="50"/>
    <w:unhideWhenUsed/>
    <w:qFormat/>
    <w:uiPriority w:val="99"/>
    <w:pPr>
      <w:tabs>
        <w:tab w:val="center" w:pos="4536"/>
        <w:tab w:val="right" w:pos="9072"/>
      </w:tabs>
      <w:spacing w:after="0"/>
    </w:pPr>
  </w:style>
  <w:style w:type="paragraph" w:styleId="19">
    <w:name w:val="header"/>
    <w:basedOn w:val="1"/>
    <w:link w:val="49"/>
    <w:unhideWhenUsed/>
    <w:qFormat/>
    <w:uiPriority w:val="99"/>
    <w:pPr>
      <w:tabs>
        <w:tab w:val="center" w:pos="4536"/>
        <w:tab w:val="right" w:pos="9072"/>
      </w:tabs>
      <w:spacing w:after="0"/>
    </w:pPr>
  </w:style>
  <w:style w:type="paragraph" w:styleId="20">
    <w:name w:val="toc 1"/>
    <w:basedOn w:val="1"/>
    <w:next w:val="1"/>
    <w:autoRedefine/>
    <w:unhideWhenUsed/>
    <w:qFormat/>
    <w:uiPriority w:val="39"/>
    <w:pPr>
      <w:spacing w:before="120" w:after="100" w:line="480" w:lineRule="auto"/>
      <w:ind w:firstLine="0"/>
    </w:pPr>
    <w:rPr>
      <w:rFonts w:eastAsia="Calibri" w:cs="Times New Roman"/>
    </w:rPr>
  </w:style>
  <w:style w:type="paragraph" w:styleId="21">
    <w:name w:val="footnote text"/>
    <w:basedOn w:val="1"/>
    <w:link w:val="53"/>
    <w:semiHidden/>
    <w:unhideWhenUsed/>
    <w:qFormat/>
    <w:uiPriority w:val="99"/>
    <w:pPr>
      <w:spacing w:after="0"/>
    </w:pPr>
    <w:rPr>
      <w:sz w:val="20"/>
      <w:szCs w:val="20"/>
    </w:rPr>
  </w:style>
  <w:style w:type="paragraph" w:styleId="22">
    <w:name w:val="table of figures"/>
    <w:basedOn w:val="1"/>
    <w:next w:val="1"/>
    <w:unhideWhenUsed/>
    <w:qFormat/>
    <w:uiPriority w:val="99"/>
    <w:pPr>
      <w:spacing w:after="0"/>
    </w:pPr>
  </w:style>
  <w:style w:type="paragraph" w:styleId="23">
    <w:name w:val="toc 2"/>
    <w:basedOn w:val="1"/>
    <w:next w:val="1"/>
    <w:autoRedefine/>
    <w:unhideWhenUsed/>
    <w:qFormat/>
    <w:uiPriority w:val="39"/>
    <w:pPr>
      <w:spacing w:before="120" w:after="100" w:line="480" w:lineRule="auto"/>
      <w:ind w:left="220" w:firstLine="0"/>
    </w:pPr>
    <w:rPr>
      <w:rFonts w:eastAsia="Calibri" w:cs="Times New Roman"/>
    </w:rPr>
  </w:style>
  <w:style w:type="paragraph" w:styleId="24">
    <w:name w:val="HTML Preformatted"/>
    <w:basedOn w:val="1"/>
    <w:link w:val="58"/>
    <w:semiHidden/>
    <w:unhideWhenUsed/>
    <w:qFormat/>
    <w:uiPriority w:val="99"/>
    <w:pPr>
      <w:spacing w:after="0"/>
    </w:pPr>
    <w:rPr>
      <w:rFonts w:ascii="Consolas" w:hAnsi="Consolas" w:cs="Consolas"/>
      <w:sz w:val="20"/>
      <w:szCs w:val="20"/>
    </w:rPr>
  </w:style>
  <w:style w:type="paragraph" w:styleId="25">
    <w:name w:val="Normal (Web)"/>
    <w:basedOn w:val="1"/>
    <w:semiHidden/>
    <w:unhideWhenUsed/>
    <w:qFormat/>
    <w:uiPriority w:val="99"/>
    <w:pPr>
      <w:spacing w:before="100" w:beforeAutospacing="1" w:after="100" w:afterAutospacing="1"/>
      <w:ind w:firstLine="0"/>
      <w:jc w:val="left"/>
    </w:pPr>
    <w:rPr>
      <w:rFonts w:eastAsia="Times New Roman" w:cs="Times New Roman"/>
      <w:sz w:val="24"/>
      <w:szCs w:val="24"/>
      <w:lang w:eastAsia="fr-BE"/>
    </w:rPr>
  </w:style>
  <w:style w:type="paragraph" w:styleId="26">
    <w:name w:val="Title"/>
    <w:basedOn w:val="4"/>
    <w:next w:val="1"/>
    <w:link w:val="47"/>
    <w:qFormat/>
    <w:uiPriority w:val="10"/>
  </w:style>
  <w:style w:type="paragraph" w:styleId="27">
    <w:name w:val="annotation subject"/>
    <w:basedOn w:val="13"/>
    <w:next w:val="13"/>
    <w:link w:val="55"/>
    <w:semiHidden/>
    <w:unhideWhenUsed/>
    <w:qFormat/>
    <w:uiPriority w:val="99"/>
    <w:rPr>
      <w:b/>
      <w:bCs/>
    </w:rPr>
  </w:style>
  <w:style w:type="table" w:styleId="29">
    <w:name w:val="Table Grid"/>
    <w:basedOn w:val="28"/>
    <w:qFormat/>
    <w:uiPriority w:val="39"/>
    <w:pPr>
      <w:spacing w:after="0" w:line="240" w:lineRule="auto"/>
    </w:pPr>
    <w:rPr>
      <w:rFonts w:ascii="Calibri" w:hAnsi="Calibri" w:eastAsia="Calibri" w:cs="Times New Roman"/>
      <w:sz w:val="20"/>
      <w:szCs w:val="20"/>
      <w:lang w:eastAsia="fr-B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Light Shading"/>
    <w:basedOn w:val="28"/>
    <w:qFormat/>
    <w:uiPriority w:val="60"/>
    <w:pPr>
      <w:spacing w:after="0" w:line="240" w:lineRule="auto"/>
    </w:pPr>
    <w:rPr>
      <w:color w:val="000000" w:themeColor="text1" w:themeShade="BF"/>
      <w:lang w:val="en-US"/>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1">
    <w:name w:val="Light Shading Accent 6"/>
    <w:basedOn w:val="28"/>
    <w:qFormat/>
    <w:uiPriority w:val="60"/>
    <w:pPr>
      <w:spacing w:after="0" w:line="240" w:lineRule="auto"/>
    </w:pPr>
    <w:rPr>
      <w:color w:val="E46C0A" w:themeColor="accent6" w:themeShade="BF"/>
      <w:lang w:val="en-US"/>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32">
    <w:name w:val="Light List"/>
    <w:basedOn w:val="28"/>
    <w:qFormat/>
    <w:uiPriority w:val="61"/>
    <w:pPr>
      <w:spacing w:after="0" w:line="240" w:lineRule="auto"/>
    </w:pPr>
    <w:rPr>
      <w:lang w:val="fr-FR" w:eastAsia="fr-FR"/>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styleId="34">
    <w:name w:val="Strong"/>
    <w:qFormat/>
    <w:uiPriority w:val="22"/>
    <w:rPr>
      <w:b/>
      <w:bCs/>
    </w:rPr>
  </w:style>
  <w:style w:type="character" w:styleId="35">
    <w:name w:val="endnote reference"/>
    <w:basedOn w:val="33"/>
    <w:semiHidden/>
    <w:unhideWhenUsed/>
    <w:qFormat/>
    <w:uiPriority w:val="0"/>
    <w:rPr>
      <w:vertAlign w:val="superscript"/>
    </w:rPr>
  </w:style>
  <w:style w:type="character" w:styleId="36">
    <w:name w:val="FollowedHyperlink"/>
    <w:basedOn w:val="33"/>
    <w:semiHidden/>
    <w:unhideWhenUsed/>
    <w:qFormat/>
    <w:uiPriority w:val="99"/>
    <w:rPr>
      <w:color w:val="800080" w:themeColor="followedHyperlink"/>
      <w:u w:val="single"/>
      <w14:textFill>
        <w14:solidFill>
          <w14:schemeClr w14:val="folHlink"/>
        </w14:solidFill>
      </w14:textFill>
    </w:rPr>
  </w:style>
  <w:style w:type="character" w:styleId="37">
    <w:name w:val="Emphasis"/>
    <w:qFormat/>
    <w:uiPriority w:val="20"/>
    <w:rPr>
      <w:i/>
      <w:iCs/>
    </w:rPr>
  </w:style>
  <w:style w:type="character" w:styleId="38">
    <w:name w:val="line number"/>
    <w:basedOn w:val="33"/>
    <w:semiHidden/>
    <w:unhideWhenUsed/>
    <w:qFormat/>
    <w:uiPriority w:val="99"/>
  </w:style>
  <w:style w:type="character" w:styleId="39">
    <w:name w:val="Hyperlink"/>
    <w:unhideWhenUsed/>
    <w:qFormat/>
    <w:uiPriority w:val="99"/>
    <w:rPr>
      <w:color w:val="0000FF"/>
      <w:u w:val="single"/>
    </w:rPr>
  </w:style>
  <w:style w:type="character" w:styleId="40">
    <w:name w:val="annotation reference"/>
    <w:basedOn w:val="33"/>
    <w:semiHidden/>
    <w:unhideWhenUsed/>
    <w:qFormat/>
    <w:uiPriority w:val="99"/>
    <w:rPr>
      <w:sz w:val="16"/>
      <w:szCs w:val="16"/>
    </w:rPr>
  </w:style>
  <w:style w:type="character" w:styleId="41">
    <w:name w:val="footnote reference"/>
    <w:basedOn w:val="33"/>
    <w:semiHidden/>
    <w:unhideWhenUsed/>
    <w:qFormat/>
    <w:uiPriority w:val="99"/>
    <w:rPr>
      <w:vertAlign w:val="superscript"/>
    </w:rPr>
  </w:style>
  <w:style w:type="character" w:customStyle="1" w:styleId="42">
    <w:name w:val="正文文本 字符"/>
    <w:basedOn w:val="33"/>
    <w:link w:val="14"/>
    <w:qFormat/>
    <w:uiPriority w:val="0"/>
    <w:rPr>
      <w:rFonts w:ascii="Calibri" w:hAnsi="Calibri" w:eastAsia="Calibri" w:cs="Calibri"/>
      <w:lang w:eastAsia="fr-BE" w:bidi="fr-BE"/>
    </w:rPr>
  </w:style>
  <w:style w:type="paragraph" w:customStyle="1" w:styleId="43">
    <w:name w:val="Normal texte"/>
    <w:basedOn w:val="1"/>
    <w:link w:val="44"/>
    <w:qFormat/>
    <w:uiPriority w:val="0"/>
    <w:pPr>
      <w:autoSpaceDE w:val="0"/>
      <w:autoSpaceDN w:val="0"/>
      <w:adjustRightInd w:val="0"/>
      <w:spacing w:before="120" w:after="120" w:line="480" w:lineRule="auto"/>
    </w:pPr>
    <w:rPr>
      <w:rFonts w:eastAsia="Calibri" w:cs="Times New Roman"/>
    </w:rPr>
  </w:style>
  <w:style w:type="character" w:customStyle="1" w:styleId="44">
    <w:name w:val="Normal texte Car"/>
    <w:basedOn w:val="33"/>
    <w:link w:val="43"/>
    <w:qFormat/>
    <w:uiPriority w:val="0"/>
    <w:rPr>
      <w:rFonts w:ascii="Times New Roman" w:hAnsi="Times New Roman" w:eastAsia="Calibri" w:cs="Times New Roman"/>
    </w:rPr>
  </w:style>
  <w:style w:type="character" w:customStyle="1" w:styleId="45">
    <w:name w:val="标题 1 字符"/>
    <w:basedOn w:val="33"/>
    <w:link w:val="2"/>
    <w:qFormat/>
    <w:uiPriority w:val="99"/>
    <w:rPr>
      <w:rFonts w:ascii="Times New Roman" w:hAnsi="Times New Roman" w:eastAsiaTheme="majorEastAsia" w:cstheme="majorBidi"/>
      <w:b/>
      <w:bCs/>
      <w:sz w:val="100"/>
      <w:szCs w:val="28"/>
    </w:rPr>
  </w:style>
  <w:style w:type="character" w:customStyle="1" w:styleId="46">
    <w:name w:val="标题 2 字符"/>
    <w:basedOn w:val="33"/>
    <w:link w:val="3"/>
    <w:qFormat/>
    <w:uiPriority w:val="99"/>
    <w:rPr>
      <w:rFonts w:ascii="Times New Roman" w:hAnsi="Times New Roman" w:eastAsiaTheme="majorEastAsia" w:cstheme="majorBidi"/>
      <w:b/>
      <w:bCs/>
      <w:sz w:val="32"/>
      <w:szCs w:val="26"/>
      <w:lang w:val="en-US"/>
    </w:rPr>
  </w:style>
  <w:style w:type="character" w:customStyle="1" w:styleId="47">
    <w:name w:val="标题 字符"/>
    <w:basedOn w:val="33"/>
    <w:link w:val="26"/>
    <w:qFormat/>
    <w:uiPriority w:val="10"/>
    <w:rPr>
      <w:rFonts w:ascii="Times New Roman" w:hAnsi="Times New Roman" w:eastAsiaTheme="majorEastAsia" w:cstheme="majorBidi"/>
      <w:b/>
      <w:bCs/>
      <w:i/>
      <w:sz w:val="28"/>
    </w:rPr>
  </w:style>
  <w:style w:type="character" w:customStyle="1" w:styleId="48">
    <w:name w:val="标题 3 字符"/>
    <w:basedOn w:val="33"/>
    <w:link w:val="4"/>
    <w:qFormat/>
    <w:uiPriority w:val="99"/>
    <w:rPr>
      <w:rFonts w:ascii="Times New Roman" w:hAnsi="Times New Roman" w:eastAsiaTheme="majorEastAsia" w:cstheme="majorBidi"/>
      <w:b/>
      <w:bCs/>
      <w:i/>
      <w:sz w:val="28"/>
    </w:rPr>
  </w:style>
  <w:style w:type="character" w:customStyle="1" w:styleId="49">
    <w:name w:val="页眉 字符"/>
    <w:basedOn w:val="33"/>
    <w:link w:val="19"/>
    <w:qFormat/>
    <w:uiPriority w:val="99"/>
    <w:rPr>
      <w:rFonts w:ascii="Times New Roman" w:hAnsi="Times New Roman"/>
    </w:rPr>
  </w:style>
  <w:style w:type="character" w:customStyle="1" w:styleId="50">
    <w:name w:val="页脚 字符"/>
    <w:basedOn w:val="33"/>
    <w:link w:val="18"/>
    <w:qFormat/>
    <w:uiPriority w:val="99"/>
    <w:rPr>
      <w:rFonts w:ascii="Times New Roman" w:hAnsi="Times New Roman"/>
    </w:rPr>
  </w:style>
  <w:style w:type="character" w:customStyle="1" w:styleId="51">
    <w:name w:val="批注框文本 字符"/>
    <w:basedOn w:val="33"/>
    <w:link w:val="17"/>
    <w:semiHidden/>
    <w:qFormat/>
    <w:uiPriority w:val="99"/>
    <w:rPr>
      <w:rFonts w:ascii="Tahoma" w:hAnsi="Tahoma" w:cs="Tahoma"/>
      <w:sz w:val="16"/>
      <w:szCs w:val="16"/>
    </w:rPr>
  </w:style>
  <w:style w:type="character" w:customStyle="1" w:styleId="52">
    <w:name w:val="尾注文本 字符"/>
    <w:basedOn w:val="33"/>
    <w:link w:val="16"/>
    <w:semiHidden/>
    <w:qFormat/>
    <w:uiPriority w:val="99"/>
    <w:rPr>
      <w:rFonts w:ascii="Times New Roman" w:hAnsi="Times New Roman"/>
      <w:sz w:val="20"/>
      <w:szCs w:val="20"/>
    </w:rPr>
  </w:style>
  <w:style w:type="character" w:customStyle="1" w:styleId="53">
    <w:name w:val="脚注文本 字符"/>
    <w:basedOn w:val="33"/>
    <w:link w:val="21"/>
    <w:semiHidden/>
    <w:qFormat/>
    <w:uiPriority w:val="99"/>
    <w:rPr>
      <w:rFonts w:ascii="Times New Roman" w:hAnsi="Times New Roman"/>
      <w:sz w:val="20"/>
      <w:szCs w:val="20"/>
    </w:rPr>
  </w:style>
  <w:style w:type="character" w:customStyle="1" w:styleId="54">
    <w:name w:val="批注文字 字符"/>
    <w:basedOn w:val="33"/>
    <w:link w:val="13"/>
    <w:qFormat/>
    <w:uiPriority w:val="99"/>
    <w:rPr>
      <w:rFonts w:ascii="Times New Roman" w:hAnsi="Times New Roman"/>
      <w:sz w:val="20"/>
      <w:szCs w:val="20"/>
    </w:rPr>
  </w:style>
  <w:style w:type="character" w:customStyle="1" w:styleId="55">
    <w:name w:val="批注主题 字符"/>
    <w:basedOn w:val="54"/>
    <w:link w:val="27"/>
    <w:semiHidden/>
    <w:qFormat/>
    <w:uiPriority w:val="99"/>
    <w:rPr>
      <w:rFonts w:ascii="Times New Roman" w:hAnsi="Times New Roman"/>
      <w:b/>
      <w:bCs/>
      <w:sz w:val="20"/>
      <w:szCs w:val="20"/>
    </w:rPr>
  </w:style>
  <w:style w:type="paragraph" w:styleId="56">
    <w:name w:val="List Paragraph"/>
    <w:basedOn w:val="1"/>
    <w:qFormat/>
    <w:uiPriority w:val="34"/>
    <w:pPr>
      <w:ind w:left="720"/>
      <w:contextualSpacing/>
    </w:pPr>
  </w:style>
  <w:style w:type="paragraph" w:customStyle="1" w:styleId="57">
    <w:name w:val="Revision"/>
    <w:hidden/>
    <w:semiHidden/>
    <w:qFormat/>
    <w:uiPriority w:val="99"/>
    <w:pPr>
      <w:spacing w:after="0" w:line="240" w:lineRule="auto"/>
    </w:pPr>
    <w:rPr>
      <w:rFonts w:ascii="Times New Roman" w:hAnsi="Times New Roman" w:eastAsiaTheme="minorEastAsia" w:cstheme="minorBidi"/>
      <w:sz w:val="22"/>
      <w:szCs w:val="22"/>
      <w:lang w:val="fr-BE" w:eastAsia="en-US" w:bidi="ar-SA"/>
    </w:rPr>
  </w:style>
  <w:style w:type="character" w:customStyle="1" w:styleId="58">
    <w:name w:val="HTML 预设格式 字符"/>
    <w:basedOn w:val="33"/>
    <w:link w:val="24"/>
    <w:semiHidden/>
    <w:qFormat/>
    <w:uiPriority w:val="99"/>
    <w:rPr>
      <w:rFonts w:ascii="Consolas" w:hAnsi="Consolas" w:cs="Consolas"/>
      <w:sz w:val="20"/>
      <w:szCs w:val="20"/>
    </w:rPr>
  </w:style>
  <w:style w:type="paragraph" w:customStyle="1" w:styleId="59">
    <w:name w:val="Bibliography"/>
    <w:basedOn w:val="1"/>
    <w:next w:val="1"/>
    <w:unhideWhenUsed/>
    <w:qFormat/>
    <w:uiPriority w:val="37"/>
  </w:style>
  <w:style w:type="paragraph" w:styleId="60">
    <w:name w:val="No Spacing"/>
    <w:qFormat/>
    <w:uiPriority w:val="1"/>
    <w:pPr>
      <w:spacing w:after="0" w:line="240" w:lineRule="auto"/>
      <w:ind w:firstLine="170"/>
      <w:jc w:val="both"/>
    </w:pPr>
    <w:rPr>
      <w:rFonts w:ascii="Times New Roman" w:hAnsi="Times New Roman" w:eastAsiaTheme="minorEastAsia" w:cstheme="minorBidi"/>
      <w:sz w:val="22"/>
      <w:szCs w:val="22"/>
      <w:lang w:val="fr-BE" w:eastAsia="en-US" w:bidi="ar-SA"/>
    </w:rPr>
  </w:style>
  <w:style w:type="character" w:customStyle="1" w:styleId="61">
    <w:name w:val="标题 4 字符"/>
    <w:basedOn w:val="33"/>
    <w:link w:val="5"/>
    <w:qFormat/>
    <w:uiPriority w:val="9"/>
    <w:rPr>
      <w:rFonts w:ascii="Times New Roman" w:hAnsi="Times New Roman" w:eastAsiaTheme="majorEastAsia" w:cstheme="majorBidi"/>
      <w:b/>
      <w:bCs/>
      <w:iCs/>
    </w:rPr>
  </w:style>
  <w:style w:type="character" w:customStyle="1" w:styleId="62">
    <w:name w:val="标题 5 字符"/>
    <w:basedOn w:val="33"/>
    <w:link w:val="6"/>
    <w:qFormat/>
    <w:uiPriority w:val="9"/>
    <w:rPr>
      <w:rFonts w:asciiTheme="majorHAnsi" w:hAnsiTheme="majorHAnsi" w:eastAsiaTheme="majorEastAsia" w:cstheme="majorBidi"/>
      <w:color w:val="254061" w:themeColor="accent1" w:themeShade="80"/>
    </w:rPr>
  </w:style>
  <w:style w:type="character" w:customStyle="1" w:styleId="63">
    <w:name w:val="标题 6 字符"/>
    <w:basedOn w:val="33"/>
    <w:link w:val="7"/>
    <w:qFormat/>
    <w:uiPriority w:val="9"/>
    <w:rPr>
      <w:rFonts w:asciiTheme="majorHAnsi" w:hAnsiTheme="majorHAnsi" w:eastAsiaTheme="majorEastAsia" w:cstheme="majorBidi"/>
      <w:i/>
      <w:iCs/>
      <w:color w:val="254061" w:themeColor="accent1" w:themeShade="80"/>
    </w:rPr>
  </w:style>
  <w:style w:type="character" w:customStyle="1" w:styleId="64">
    <w:name w:val="标题 7 字符"/>
    <w:basedOn w:val="33"/>
    <w:link w:val="8"/>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65">
    <w:name w:val="标题 8 字符"/>
    <w:basedOn w:val="33"/>
    <w:link w:val="9"/>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66">
    <w:name w:val="标题 9 字符"/>
    <w:basedOn w:val="33"/>
    <w:link w:val="10"/>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customStyle="1" w:styleId="67">
    <w:name w:val="Liste couleur - Accent 11"/>
    <w:basedOn w:val="1"/>
    <w:qFormat/>
    <w:uiPriority w:val="34"/>
    <w:pPr>
      <w:spacing w:before="120" w:after="120" w:line="480" w:lineRule="auto"/>
      <w:ind w:left="720" w:firstLine="0"/>
      <w:contextualSpacing/>
    </w:pPr>
    <w:rPr>
      <w:rFonts w:eastAsia="Calibri" w:cs="Times New Roman"/>
    </w:rPr>
  </w:style>
  <w:style w:type="character" w:customStyle="1" w:styleId="68">
    <w:name w:val="Grille moyenne 11"/>
    <w:semiHidden/>
    <w:qFormat/>
    <w:uiPriority w:val="99"/>
    <w:rPr>
      <w:color w:val="808080"/>
    </w:rPr>
  </w:style>
  <w:style w:type="paragraph" w:customStyle="1" w:styleId="69">
    <w:name w:val="Tableau Grille 21"/>
    <w:basedOn w:val="1"/>
    <w:next w:val="1"/>
    <w:unhideWhenUsed/>
    <w:qFormat/>
    <w:uiPriority w:val="37"/>
    <w:pPr>
      <w:spacing w:before="120" w:after="120" w:line="480" w:lineRule="auto"/>
      <w:ind w:firstLine="0"/>
    </w:pPr>
    <w:rPr>
      <w:rFonts w:eastAsia="Calibri" w:cs="Times New Roman"/>
    </w:rPr>
  </w:style>
  <w:style w:type="paragraph" w:customStyle="1" w:styleId="70">
    <w:name w:val="normal article"/>
    <w:autoRedefine/>
    <w:qFormat/>
    <w:uiPriority w:val="0"/>
    <w:pPr>
      <w:tabs>
        <w:tab w:val="left" w:pos="0"/>
        <w:tab w:val="left" w:pos="9072"/>
      </w:tabs>
      <w:spacing w:before="120" w:after="0" w:line="480" w:lineRule="auto"/>
    </w:pPr>
    <w:rPr>
      <w:rFonts w:ascii="Times New (W1)" w:hAnsi="Times New (W1)" w:eastAsia="Times New Roman" w:cs="Times New Roman"/>
      <w:smallCaps/>
      <w:kern w:val="32"/>
      <w:sz w:val="22"/>
      <w:szCs w:val="22"/>
      <w:lang w:val="en-US" w:eastAsia="fr-BE" w:bidi="ar-SA"/>
    </w:rPr>
  </w:style>
  <w:style w:type="paragraph" w:customStyle="1" w:styleId="71">
    <w:name w:val="texte"/>
    <w:basedOn w:val="1"/>
    <w:qFormat/>
    <w:uiPriority w:val="0"/>
    <w:pPr>
      <w:spacing w:before="100" w:beforeAutospacing="1" w:after="100" w:afterAutospacing="1"/>
      <w:ind w:firstLine="0"/>
      <w:jc w:val="left"/>
    </w:pPr>
    <w:rPr>
      <w:rFonts w:eastAsia="Times New Roman" w:cs="Times New Roman"/>
      <w:sz w:val="24"/>
      <w:szCs w:val="24"/>
      <w:lang w:eastAsia="fr-BE"/>
    </w:rPr>
  </w:style>
  <w:style w:type="character" w:customStyle="1" w:styleId="72">
    <w:name w:val="mw-headline"/>
    <w:basedOn w:val="33"/>
    <w:qFormat/>
    <w:uiPriority w:val="0"/>
  </w:style>
  <w:style w:type="character" w:customStyle="1" w:styleId="73">
    <w:name w:val="need_ref"/>
    <w:basedOn w:val="33"/>
    <w:qFormat/>
    <w:uiPriority w:val="0"/>
  </w:style>
  <w:style w:type="character" w:customStyle="1" w:styleId="74">
    <w:name w:val="hps"/>
    <w:basedOn w:val="33"/>
    <w:qFormat/>
    <w:uiPriority w:val="0"/>
  </w:style>
  <w:style w:type="paragraph" w:customStyle="1" w:styleId="75">
    <w:name w:val="Légende Figure"/>
    <w:basedOn w:val="11"/>
    <w:link w:val="77"/>
    <w:qFormat/>
    <w:uiPriority w:val="0"/>
    <w:pPr>
      <w:keepNext/>
      <w:spacing w:before="120" w:after="360" w:line="200" w:lineRule="exact"/>
      <w:ind w:firstLine="0"/>
      <w:jc w:val="both"/>
    </w:pPr>
    <w:rPr>
      <w:rFonts w:eastAsia="Calibri" w:cs="Times New Roman"/>
      <w:b/>
      <w:sz w:val="18"/>
      <w:lang w:val="en-US"/>
    </w:rPr>
  </w:style>
  <w:style w:type="character" w:customStyle="1" w:styleId="76">
    <w:name w:val="题注 字符"/>
    <w:link w:val="11"/>
    <w:qFormat/>
    <w:uiPriority w:val="35"/>
    <w:rPr>
      <w:rFonts w:ascii="Times New Roman" w:hAnsi="Times New Roman"/>
      <w:bCs/>
      <w:sz w:val="20"/>
      <w:szCs w:val="18"/>
    </w:rPr>
  </w:style>
  <w:style w:type="character" w:customStyle="1" w:styleId="77">
    <w:name w:val="Légende Figure Car"/>
    <w:link w:val="75"/>
    <w:qFormat/>
    <w:uiPriority w:val="0"/>
    <w:rPr>
      <w:rFonts w:ascii="Times New Roman" w:hAnsi="Times New Roman" w:eastAsia="Calibri" w:cs="Times New Roman"/>
      <w:b/>
      <w:bCs/>
      <w:sz w:val="18"/>
      <w:szCs w:val="18"/>
      <w:lang w:val="en-US"/>
    </w:rPr>
  </w:style>
  <w:style w:type="paragraph" w:customStyle="1" w:styleId="78">
    <w:name w:val="Standaardtekst"/>
    <w:basedOn w:val="1"/>
    <w:qFormat/>
    <w:uiPriority w:val="0"/>
    <w:pPr>
      <w:tabs>
        <w:tab w:val="left" w:pos="284"/>
        <w:tab w:val="left" w:pos="567"/>
        <w:tab w:val="left" w:pos="8222"/>
      </w:tabs>
      <w:spacing w:after="0"/>
      <w:ind w:firstLine="0"/>
    </w:pPr>
    <w:rPr>
      <w:rFonts w:ascii="Bookman Old Style" w:hAnsi="Bookman Old Style" w:eastAsia="Times New Roman" w:cs="Times New Roman"/>
      <w:kern w:val="20"/>
      <w:sz w:val="18"/>
      <w:szCs w:val="20"/>
      <w:lang w:val="en-GB" w:eastAsia="nl-NL"/>
    </w:rPr>
  </w:style>
  <w:style w:type="paragraph" w:customStyle="1" w:styleId="79">
    <w:name w:val="Pa14"/>
    <w:basedOn w:val="1"/>
    <w:next w:val="1"/>
    <w:qFormat/>
    <w:uiPriority w:val="99"/>
    <w:pPr>
      <w:autoSpaceDE w:val="0"/>
      <w:autoSpaceDN w:val="0"/>
      <w:adjustRightInd w:val="0"/>
      <w:spacing w:after="0" w:line="211" w:lineRule="atLeast"/>
      <w:ind w:firstLine="0"/>
      <w:jc w:val="left"/>
    </w:pPr>
    <w:rPr>
      <w:rFonts w:eastAsia="Calibri" w:cs="Times New Roman"/>
      <w:sz w:val="24"/>
      <w:szCs w:val="24"/>
      <w:lang w:eastAsia="fr-BE"/>
    </w:rPr>
  </w:style>
  <w:style w:type="paragraph" w:customStyle="1" w:styleId="80">
    <w:name w:val="Légende Equation"/>
    <w:basedOn w:val="11"/>
    <w:link w:val="81"/>
    <w:qFormat/>
    <w:uiPriority w:val="0"/>
    <w:pPr>
      <w:keepNext/>
      <w:spacing w:before="80" w:after="360" w:line="200" w:lineRule="exact"/>
      <w:ind w:firstLine="0"/>
      <w:jc w:val="right"/>
    </w:pPr>
    <w:rPr>
      <w:rFonts w:eastAsia="Calibri" w:cs="Times New Roman"/>
      <w:sz w:val="22"/>
      <w:szCs w:val="22"/>
      <w:lang w:val="en-US"/>
    </w:rPr>
  </w:style>
  <w:style w:type="character" w:customStyle="1" w:styleId="81">
    <w:name w:val="Légende Equation Car"/>
    <w:link w:val="80"/>
    <w:qFormat/>
    <w:uiPriority w:val="0"/>
    <w:rPr>
      <w:rFonts w:ascii="Times New Roman" w:hAnsi="Times New Roman" w:eastAsia="Calibri" w:cs="Times New Roman"/>
      <w:bCs/>
      <w:lang w:val="en-US"/>
    </w:rPr>
  </w:style>
  <w:style w:type="paragraph" w:customStyle="1" w:styleId="82">
    <w:name w:val="EndNote Bibliography Title"/>
    <w:basedOn w:val="1"/>
    <w:link w:val="83"/>
    <w:qFormat/>
    <w:uiPriority w:val="0"/>
    <w:pPr>
      <w:spacing w:before="120" w:after="0" w:line="480" w:lineRule="auto"/>
      <w:ind w:firstLine="0"/>
      <w:jc w:val="center"/>
    </w:pPr>
    <w:rPr>
      <w:rFonts w:eastAsia="Calibri" w:cs="Times New Roman"/>
      <w:lang w:val="en-US"/>
    </w:rPr>
  </w:style>
  <w:style w:type="character" w:customStyle="1" w:styleId="83">
    <w:name w:val="EndNote Bibliography Title Car"/>
    <w:link w:val="82"/>
    <w:qFormat/>
    <w:uiPriority w:val="0"/>
    <w:rPr>
      <w:rFonts w:ascii="Times New Roman" w:hAnsi="Times New Roman" w:eastAsia="Calibri" w:cs="Times New Roman"/>
      <w:lang w:val="en-US"/>
    </w:rPr>
  </w:style>
  <w:style w:type="paragraph" w:customStyle="1" w:styleId="84">
    <w:name w:val="EndNote Bibliography"/>
    <w:basedOn w:val="1"/>
    <w:link w:val="85"/>
    <w:qFormat/>
    <w:uiPriority w:val="0"/>
    <w:pPr>
      <w:spacing w:before="120" w:after="120"/>
      <w:ind w:firstLine="0"/>
    </w:pPr>
    <w:rPr>
      <w:rFonts w:eastAsia="Calibri" w:cs="Times New Roman"/>
      <w:lang w:val="en-US"/>
    </w:rPr>
  </w:style>
  <w:style w:type="character" w:customStyle="1" w:styleId="85">
    <w:name w:val="EndNote Bibliography Car"/>
    <w:link w:val="84"/>
    <w:qFormat/>
    <w:uiPriority w:val="0"/>
    <w:rPr>
      <w:rFonts w:ascii="Times New Roman" w:hAnsi="Times New Roman" w:eastAsia="Calibri" w:cs="Times New Roman"/>
      <w:lang w:val="en-US"/>
    </w:rPr>
  </w:style>
  <w:style w:type="character" w:styleId="86">
    <w:name w:val="Placeholder Text"/>
    <w:basedOn w:val="33"/>
    <w:semiHidden/>
    <w:qFormat/>
    <w:uiPriority w:val="99"/>
    <w:rPr>
      <w:color w:val="808080"/>
    </w:rPr>
  </w:style>
  <w:style w:type="character" w:customStyle="1" w:styleId="87">
    <w:name w:val="comment-copy"/>
    <w:basedOn w:val="33"/>
    <w:qFormat/>
    <w:uiPriority w:val="0"/>
  </w:style>
  <w:style w:type="character" w:customStyle="1" w:styleId="88">
    <w:name w:val="texhtml"/>
    <w:qFormat/>
    <w:uiPriority w:val="0"/>
    <w:rPr>
      <w:rFonts w:hint="default" w:ascii="Times New Roman" w:hAnsi="Times New Roman" w:cs="Times New Roman"/>
    </w:rPr>
  </w:style>
  <w:style w:type="character" w:customStyle="1" w:styleId="89">
    <w:name w:val="a-size-large"/>
    <w:basedOn w:val="33"/>
    <w:qFormat/>
    <w:uiPriority w:val="0"/>
  </w:style>
  <w:style w:type="paragraph" w:customStyle="1" w:styleId="90">
    <w:name w:val="TOC Heading"/>
    <w:basedOn w:val="2"/>
    <w:next w:val="1"/>
    <w:unhideWhenUsed/>
    <w:qFormat/>
    <w:uiPriority w:val="39"/>
    <w:pPr>
      <w:numPr>
        <w:numId w:val="0"/>
      </w:numPr>
      <w:spacing w:before="480" w:after="0" w:line="276" w:lineRule="auto"/>
      <w:jc w:val="left"/>
      <w:outlineLvl w:val="9"/>
    </w:pPr>
    <w:rPr>
      <w:rFonts w:asciiTheme="majorHAnsi" w:hAnsiTheme="majorHAnsi"/>
      <w:color w:val="376092" w:themeColor="accent1" w:themeShade="BF"/>
      <w:sz w:val="28"/>
      <w:lang w:eastAsia="fr-BE"/>
    </w:rPr>
  </w:style>
  <w:style w:type="character" w:customStyle="1" w:styleId="91">
    <w:name w:val="title-text"/>
    <w:basedOn w:val="33"/>
    <w:qFormat/>
    <w:uiPriority w:val="0"/>
  </w:style>
  <w:style w:type="paragraph" w:customStyle="1" w:styleId="92">
    <w:name w:val="Default"/>
    <w:qFormat/>
    <w:uiPriority w:val="0"/>
    <w:pPr>
      <w:autoSpaceDE w:val="0"/>
      <w:autoSpaceDN w:val="0"/>
      <w:adjustRightInd w:val="0"/>
      <w:spacing w:after="0" w:line="240" w:lineRule="auto"/>
    </w:pPr>
    <w:rPr>
      <w:rFonts w:ascii="Calibri" w:hAnsi="Calibri" w:cs="Calibri" w:eastAsiaTheme="minorEastAsia"/>
      <w:color w:val="000000"/>
      <w:sz w:val="24"/>
      <w:szCs w:val="24"/>
      <w:lang w:val="fr-BE" w:eastAsia="en-US" w:bidi="ar-SA"/>
    </w:rPr>
  </w:style>
  <w:style w:type="character" w:customStyle="1" w:styleId="93">
    <w:name w:val="italique"/>
    <w:basedOn w:val="33"/>
    <w:qFormat/>
    <w:uiPriority w:val="0"/>
  </w:style>
  <w:style w:type="table" w:customStyle="1" w:styleId="94">
    <w:name w:val="网格型1"/>
    <w:basedOn w:val="28"/>
    <w:qFormat/>
    <w:uiPriority w:val="39"/>
    <w:pPr>
      <w:spacing w:after="0" w:line="240" w:lineRule="auto"/>
    </w:pPr>
    <w:rPr>
      <w:rFonts w:eastAsia="Times New Roman"/>
      <w:kern w:val="2"/>
      <w:sz w:val="21"/>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5">
    <w:name w:val="ANM Tab row heading"/>
    <w:qFormat/>
    <w:uiPriority w:val="0"/>
    <w:pPr>
      <w:spacing w:after="0" w:line="360" w:lineRule="auto"/>
    </w:pPr>
    <w:rPr>
      <w:rFonts w:ascii="Arial" w:hAnsi="Arial" w:cs="Times New Roman" w:eastAsiaTheme="minorEastAsia"/>
      <w:sz w:val="22"/>
      <w:szCs w:val="22"/>
      <w:lang w:val="en-GB" w:eastAsia="fr-FR" w:bidi="ar-SA"/>
    </w:rPr>
  </w:style>
  <w:style w:type="paragraph" w:customStyle="1" w:styleId="96">
    <w:name w:val="ANM Tab Spanner"/>
    <w:next w:val="1"/>
    <w:qFormat/>
    <w:uiPriority w:val="0"/>
    <w:pPr>
      <w:pBdr>
        <w:bottom w:val="single" w:color="auto" w:sz="4" w:space="1"/>
      </w:pBdr>
      <w:overflowPunct w:val="0"/>
      <w:autoSpaceDE w:val="0"/>
      <w:autoSpaceDN w:val="0"/>
      <w:adjustRightInd w:val="0"/>
      <w:spacing w:after="0" w:line="360" w:lineRule="auto"/>
      <w:jc w:val="center"/>
      <w:textAlignment w:val="baseline"/>
    </w:pPr>
    <w:rPr>
      <w:rFonts w:ascii="Arial" w:hAnsi="Arial" w:cs="Times New Roman" w:eastAsiaTheme="minorEastAsia"/>
      <w:sz w:val="22"/>
      <w:szCs w:val="24"/>
      <w:lang w:val="en-GB" w:eastAsia="fr-FR"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15.png"/><Relationship Id="rId67" Type="http://schemas.openxmlformats.org/officeDocument/2006/relationships/image" Target="media/image14.png"/><Relationship Id="rId66" Type="http://schemas.openxmlformats.org/officeDocument/2006/relationships/image" Target="media/image13.tiff"/><Relationship Id="rId65" Type="http://schemas.openxmlformats.org/officeDocument/2006/relationships/image" Target="media/image12.png"/><Relationship Id="rId64" Type="http://schemas.openxmlformats.org/officeDocument/2006/relationships/image" Target="media/image11.tiff"/><Relationship Id="rId63" Type="http://schemas.openxmlformats.org/officeDocument/2006/relationships/image" Target="media/image10.tiff"/><Relationship Id="rId62" Type="http://schemas.openxmlformats.org/officeDocument/2006/relationships/image" Target="media/image9.tiff"/><Relationship Id="rId61" Type="http://schemas.openxmlformats.org/officeDocument/2006/relationships/image" Target="media/image8.jpeg"/><Relationship Id="rId60" Type="http://schemas.openxmlformats.org/officeDocument/2006/relationships/image" Target="media/image7.jpeg"/><Relationship Id="rId6" Type="http://schemas.openxmlformats.org/officeDocument/2006/relationships/footer" Target="footer1.xml"/><Relationship Id="rId59" Type="http://schemas.openxmlformats.org/officeDocument/2006/relationships/image" Target="media/image6.jpeg"/><Relationship Id="rId58" Type="http://schemas.openxmlformats.org/officeDocument/2006/relationships/image" Target="media/image5.jpeg"/><Relationship Id="rId57" Type="http://schemas.openxmlformats.org/officeDocument/2006/relationships/image" Target="media/image4.png"/><Relationship Id="rId56" Type="http://schemas.openxmlformats.org/officeDocument/2006/relationships/image" Target="media/image3.png"/><Relationship Id="rId55" Type="http://schemas.openxmlformats.org/officeDocument/2006/relationships/image" Target="media/image2.png"/><Relationship Id="rId54" Type="http://schemas.openxmlformats.org/officeDocument/2006/relationships/image" Target="media/image1.png"/><Relationship Id="rId53" Type="http://schemas.openxmlformats.org/officeDocument/2006/relationships/theme" Target="theme/theme1.xml"/><Relationship Id="rId52" Type="http://schemas.openxmlformats.org/officeDocument/2006/relationships/header" Target="header32.xml"/><Relationship Id="rId51" Type="http://schemas.openxmlformats.org/officeDocument/2006/relationships/header" Target="header31.xml"/><Relationship Id="rId50" Type="http://schemas.openxmlformats.org/officeDocument/2006/relationships/header" Target="header30.xml"/><Relationship Id="rId5" Type="http://schemas.openxmlformats.org/officeDocument/2006/relationships/header" Target="header1.xml"/><Relationship Id="rId49" Type="http://schemas.openxmlformats.org/officeDocument/2006/relationships/header" Target="header29.xml"/><Relationship Id="rId48" Type="http://schemas.openxmlformats.org/officeDocument/2006/relationships/header" Target="header28.xml"/><Relationship Id="rId47" Type="http://schemas.openxmlformats.org/officeDocument/2006/relationships/footer" Target="footer16.xml"/><Relationship Id="rId46" Type="http://schemas.openxmlformats.org/officeDocument/2006/relationships/footer" Target="footer15.xml"/><Relationship Id="rId45" Type="http://schemas.openxmlformats.org/officeDocument/2006/relationships/header" Target="header27.xml"/><Relationship Id="rId44" Type="http://schemas.openxmlformats.org/officeDocument/2006/relationships/header" Target="header26.xml"/><Relationship Id="rId43" Type="http://schemas.openxmlformats.org/officeDocument/2006/relationships/footer" Target="footer14.xml"/><Relationship Id="rId42" Type="http://schemas.openxmlformats.org/officeDocument/2006/relationships/footer" Target="footer13.xml"/><Relationship Id="rId41" Type="http://schemas.openxmlformats.org/officeDocument/2006/relationships/header" Target="header25.xml"/><Relationship Id="rId40" Type="http://schemas.openxmlformats.org/officeDocument/2006/relationships/header" Target="header24.xml"/><Relationship Id="rId4" Type="http://schemas.openxmlformats.org/officeDocument/2006/relationships/endnotes" Target="endnotes.xml"/><Relationship Id="rId39" Type="http://schemas.openxmlformats.org/officeDocument/2006/relationships/header" Target="header23.xml"/><Relationship Id="rId38" Type="http://schemas.openxmlformats.org/officeDocument/2006/relationships/header" Target="header22.xml"/><Relationship Id="rId37" Type="http://schemas.openxmlformats.org/officeDocument/2006/relationships/header" Target="header21.xml"/><Relationship Id="rId36" Type="http://schemas.openxmlformats.org/officeDocument/2006/relationships/header" Target="header20.xml"/><Relationship Id="rId35" Type="http://schemas.openxmlformats.org/officeDocument/2006/relationships/header" Target="header19.xml"/><Relationship Id="rId34" Type="http://schemas.openxmlformats.org/officeDocument/2006/relationships/footer" Target="footer12.xml"/><Relationship Id="rId33" Type="http://schemas.openxmlformats.org/officeDocument/2006/relationships/footer" Target="footer11.xml"/><Relationship Id="rId32" Type="http://schemas.openxmlformats.org/officeDocument/2006/relationships/header" Target="header18.xml"/><Relationship Id="rId31" Type="http://schemas.openxmlformats.org/officeDocument/2006/relationships/header" Target="header17.xml"/><Relationship Id="rId30" Type="http://schemas.openxmlformats.org/officeDocument/2006/relationships/header" Target="header16.xml"/><Relationship Id="rId3" Type="http://schemas.openxmlformats.org/officeDocument/2006/relationships/footnotes" Target="footnotes.xml"/><Relationship Id="rId29" Type="http://schemas.openxmlformats.org/officeDocument/2006/relationships/footer" Target="footer10.xml"/><Relationship Id="rId28" Type="http://schemas.openxmlformats.org/officeDocument/2006/relationships/footer" Target="footer9.xml"/><Relationship Id="rId27" Type="http://schemas.openxmlformats.org/officeDocument/2006/relationships/header" Target="header15.xml"/><Relationship Id="rId26" Type="http://schemas.openxmlformats.org/officeDocument/2006/relationships/header" Target="header14.xml"/><Relationship Id="rId25" Type="http://schemas.openxmlformats.org/officeDocument/2006/relationships/footer" Target="footer8.xml"/><Relationship Id="rId24" Type="http://schemas.openxmlformats.org/officeDocument/2006/relationships/footer" Target="footer7.xml"/><Relationship Id="rId23" Type="http://schemas.openxmlformats.org/officeDocument/2006/relationships/header" Target="header13.xml"/><Relationship Id="rId22" Type="http://schemas.openxmlformats.org/officeDocument/2006/relationships/footer" Target="footer6.xml"/><Relationship Id="rId21" Type="http://schemas.openxmlformats.org/officeDocument/2006/relationships/footer" Target="footer5.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37E399-A84D-436C-8A00-6B5224B421C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120</Pages>
  <Words>309</Words>
  <Characters>1910</Characters>
  <Lines>2352</Lines>
  <Paragraphs>662</Paragraphs>
  <TotalTime>3458</TotalTime>
  <ScaleCrop>false</ScaleCrop>
  <LinksUpToDate>false</LinksUpToDate>
  <CharactersWithSpaces>2207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2023-02-10T07:21:00Z</dcterms:created>
  <dc:creator>琛琛</dc:creator>
  <cp:lastModifiedBy>琛琛</cp:lastModifiedBy>
  <cp:lastPrinted>2019-03-14T01:45:00Z</cp:lastPrinted>
  <dcterms:modified xsi:type="dcterms:W3CDTF">2025-10-08T15:23:54Z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id="ljRzHxNv"/&gt;&lt;style id="http://www.zotero.org/styles/elsevier-harvard" hasBibliography="1" bibliographyStyleHasBeenSet="1"/&gt;&lt;prefs&gt;&lt;pref name="fieldType" value="Field"/&gt;&lt;pref name="dontAskDelayCita</vt:lpwstr>
  </property>
  <property fmtid="{D5CDD505-2E9C-101B-9397-08002B2CF9AE}" pid="3" name="MTWinEqns">
    <vt:bool>true</vt:bool>
  </property>
  <property fmtid="{D5CDD505-2E9C-101B-9397-08002B2CF9AE}" pid="4" name="ZOTERO_PREF_2">
    <vt:lpwstr>tionUpdates" value="true"/&gt;&lt;pref name="delayCitationUpdates" value="true"/&gt;&lt;/prefs&gt;&lt;/data&gt;</vt:lpwstr>
  </property>
  <property fmtid="{D5CDD505-2E9C-101B-9397-08002B2CF9AE}" pid="5" name="KSOTemplateDocerSaveRecord">
    <vt:lpwstr>eyJoZGlkIjoiMzM4ZjNmMTk4NWE2NTM2MWZjNDEzNzlhNGE1NGQ0YWUiLCJ1c2VySWQiOiI0MjMxOTc4NzMifQ==</vt:lpwstr>
  </property>
  <property fmtid="{D5CDD505-2E9C-101B-9397-08002B2CF9AE}" pid="6" name="KSOProductBuildVer">
    <vt:lpwstr>2052-12.1.0.22529</vt:lpwstr>
  </property>
  <property fmtid="{D5CDD505-2E9C-101B-9397-08002B2CF9AE}" pid="7" name="ICV">
    <vt:lpwstr>DF0A5CC0971149B9A588A4DFB64F883D_12</vt:lpwstr>
  </property>
</Properties>
</file>