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4342" w14:textId="77777777" w:rsidR="00427F20" w:rsidRPr="00427F20" w:rsidRDefault="00427F20" w:rsidP="00427F20">
      <w:pPr>
        <w:rPr>
          <w:b/>
          <w:bCs/>
          <w:lang w:val="en-US"/>
        </w:rPr>
      </w:pPr>
      <w:r w:rsidRPr="00427F20">
        <w:rPr>
          <w:b/>
          <w:bCs/>
          <w:lang w:val="en-US"/>
        </w:rPr>
        <w:t>Preview:</w:t>
      </w:r>
    </w:p>
    <w:p w14:paraId="2E361172" w14:textId="77777777" w:rsidR="00427F20" w:rsidRPr="00427F20" w:rsidRDefault="00427F20" w:rsidP="00427F20">
      <w:pPr>
        <w:rPr>
          <w:lang w:val="en-US"/>
        </w:rPr>
      </w:pPr>
      <w:r w:rsidRPr="00427F20">
        <w:rPr>
          <w:b/>
          <w:bCs/>
          <w:lang w:val="en-US"/>
        </w:rPr>
        <w:t>Low carbon projects developed in the LIFE Carbon Farming project</w:t>
      </w:r>
    </w:p>
    <w:p w14:paraId="6B480D6A" w14:textId="77777777" w:rsidR="00427F20" w:rsidRPr="00427F20" w:rsidRDefault="00427F20" w:rsidP="00427F20">
      <w:pPr>
        <w:rPr>
          <w:lang w:val="en-US"/>
        </w:rPr>
      </w:pPr>
      <w:r w:rsidRPr="00427F20">
        <w:rPr>
          <w:i/>
          <w:iCs/>
          <w:lang w:val="en-US"/>
        </w:rPr>
        <w:t>F. Lessire</w:t>
      </w:r>
      <w:r w:rsidRPr="00427F20">
        <w:rPr>
          <w:i/>
          <w:iCs/>
          <w:vertAlign w:val="superscript"/>
          <w:lang w:val="en-US"/>
        </w:rPr>
        <w:t>1</w:t>
      </w:r>
      <w:r w:rsidRPr="00427F20">
        <w:rPr>
          <w:i/>
          <w:iCs/>
          <w:lang w:val="en-US"/>
        </w:rPr>
        <w:t>, A. L'Hote</w:t>
      </w:r>
      <w:r w:rsidRPr="00427F20">
        <w:rPr>
          <w:i/>
          <w:iCs/>
          <w:vertAlign w:val="superscript"/>
          <w:lang w:val="en-US"/>
        </w:rPr>
        <w:t>2</w:t>
      </w:r>
      <w:r w:rsidRPr="00427F20">
        <w:rPr>
          <w:i/>
          <w:iCs/>
          <w:lang w:val="en-US"/>
        </w:rPr>
        <w:t>, J. Férial</w:t>
      </w:r>
      <w:r w:rsidRPr="00427F20">
        <w:rPr>
          <w:i/>
          <w:iCs/>
          <w:vertAlign w:val="superscript"/>
          <w:lang w:val="en-US"/>
        </w:rPr>
        <w:t>2</w:t>
      </w:r>
      <w:r w:rsidRPr="00427F20">
        <w:rPr>
          <w:i/>
          <w:iCs/>
          <w:lang w:val="en-US"/>
        </w:rPr>
        <w:t>, D. O'Brien</w:t>
      </w:r>
      <w:r w:rsidRPr="00427F20">
        <w:rPr>
          <w:i/>
          <w:iCs/>
          <w:vertAlign w:val="superscript"/>
          <w:lang w:val="en-US"/>
        </w:rPr>
        <w:t>3</w:t>
      </w:r>
      <w:r w:rsidRPr="00427F20">
        <w:rPr>
          <w:i/>
          <w:iCs/>
          <w:lang w:val="en-US"/>
        </w:rPr>
        <w:t>, B. Ketadzo</w:t>
      </w:r>
      <w:r w:rsidRPr="00427F20">
        <w:rPr>
          <w:i/>
          <w:iCs/>
          <w:vertAlign w:val="superscript"/>
          <w:lang w:val="en-US"/>
        </w:rPr>
        <w:t>3</w:t>
      </w:r>
      <w:r w:rsidRPr="00427F20">
        <w:rPr>
          <w:i/>
          <w:iCs/>
          <w:lang w:val="en-US"/>
        </w:rPr>
        <w:t xml:space="preserve">, M. Seyedalmoosavi </w:t>
      </w:r>
      <w:r w:rsidRPr="00427F20">
        <w:rPr>
          <w:i/>
          <w:iCs/>
          <w:vertAlign w:val="superscript"/>
          <w:lang w:val="en-US"/>
        </w:rPr>
        <w:t>4</w:t>
      </w:r>
      <w:r w:rsidRPr="00427F20">
        <w:rPr>
          <w:i/>
          <w:iCs/>
          <w:lang w:val="en-US"/>
        </w:rPr>
        <w:t>, F. Dragoni</w:t>
      </w:r>
      <w:r w:rsidRPr="00427F20">
        <w:rPr>
          <w:i/>
          <w:iCs/>
          <w:vertAlign w:val="superscript"/>
          <w:lang w:val="en-US"/>
        </w:rPr>
        <w:t>5</w:t>
      </w:r>
      <w:r w:rsidRPr="00427F20">
        <w:rPr>
          <w:i/>
          <w:iCs/>
          <w:lang w:val="en-US"/>
        </w:rPr>
        <w:t>, R. Jiménez Soria</w:t>
      </w:r>
      <w:r w:rsidRPr="00427F20">
        <w:rPr>
          <w:i/>
          <w:iCs/>
          <w:vertAlign w:val="superscript"/>
          <w:lang w:val="en-US"/>
        </w:rPr>
        <w:t>5</w:t>
      </w:r>
      <w:r w:rsidRPr="00427F20">
        <w:rPr>
          <w:i/>
          <w:iCs/>
          <w:lang w:val="en-US"/>
        </w:rPr>
        <w:t xml:space="preserve">, L. Migliorati </w:t>
      </w:r>
      <w:r w:rsidRPr="00427F20">
        <w:rPr>
          <w:i/>
          <w:iCs/>
          <w:vertAlign w:val="superscript"/>
          <w:lang w:val="en-US"/>
        </w:rPr>
        <w:t>6</w:t>
      </w:r>
      <w:r w:rsidRPr="00427F20">
        <w:rPr>
          <w:i/>
          <w:iCs/>
          <w:lang w:val="en-US"/>
        </w:rPr>
        <w:t>, L. Zingale</w:t>
      </w:r>
      <w:r w:rsidRPr="00427F20">
        <w:rPr>
          <w:i/>
          <w:iCs/>
          <w:vertAlign w:val="superscript"/>
          <w:lang w:val="en-US"/>
        </w:rPr>
        <w:t>6</w:t>
      </w:r>
      <w:r w:rsidRPr="00427F20">
        <w:rPr>
          <w:i/>
          <w:iCs/>
          <w:lang w:val="en-US"/>
        </w:rPr>
        <w:t>, I. Dufrasne</w:t>
      </w:r>
      <w:r w:rsidRPr="00427F20">
        <w:rPr>
          <w:i/>
          <w:iCs/>
          <w:vertAlign w:val="superscript"/>
          <w:lang w:val="en-US"/>
        </w:rPr>
        <w:t>1</w:t>
      </w:r>
    </w:p>
    <w:p w14:paraId="463794E4" w14:textId="77777777" w:rsidR="00427F20" w:rsidRPr="00427F20" w:rsidRDefault="00427F20" w:rsidP="00427F20">
      <w:pPr>
        <w:rPr>
          <w:lang w:val="en-US"/>
        </w:rPr>
      </w:pPr>
      <w:r w:rsidRPr="00427F20">
        <w:rPr>
          <w:i/>
          <w:iCs/>
          <w:vertAlign w:val="superscript"/>
          <w:lang w:val="en-US"/>
        </w:rPr>
        <w:t>1</w:t>
      </w:r>
      <w:r w:rsidRPr="00427F20">
        <w:rPr>
          <w:i/>
          <w:iCs/>
          <w:lang w:val="en-US"/>
        </w:rPr>
        <w:t xml:space="preserve"> ULiège, FARAH, 6 avenue de Cureghem, 4000 Liège, Belgium, </w:t>
      </w:r>
      <w:r w:rsidRPr="00427F20">
        <w:rPr>
          <w:i/>
          <w:iCs/>
          <w:vertAlign w:val="superscript"/>
          <w:lang w:val="en-US"/>
        </w:rPr>
        <w:t>2</w:t>
      </w:r>
      <w:r w:rsidRPr="00427F20">
        <w:rPr>
          <w:i/>
          <w:iCs/>
          <w:lang w:val="en-US"/>
        </w:rPr>
        <w:t xml:space="preserve"> Idele, 149 rue de Bercy , 75</w:t>
      </w:r>
      <w:r w:rsidRPr="00427F20">
        <w:rPr>
          <w:rFonts w:ascii="Arial" w:hAnsi="Arial" w:cs="Arial"/>
          <w:i/>
          <w:iCs/>
          <w:lang w:val="en-US"/>
        </w:rPr>
        <w:t> </w:t>
      </w:r>
      <w:r w:rsidRPr="00427F20">
        <w:rPr>
          <w:i/>
          <w:iCs/>
          <w:lang w:val="en-US"/>
        </w:rPr>
        <w:t xml:space="preserve">012 Paris, France, </w:t>
      </w:r>
      <w:r w:rsidRPr="00427F20">
        <w:rPr>
          <w:i/>
          <w:iCs/>
          <w:vertAlign w:val="superscript"/>
          <w:lang w:val="en-US"/>
        </w:rPr>
        <w:t>3</w:t>
      </w:r>
      <w:r w:rsidRPr="00427F20">
        <w:rPr>
          <w:i/>
          <w:iCs/>
          <w:lang w:val="en-US"/>
        </w:rPr>
        <w:t xml:space="preserve"> Teagasc, Soils and Environment Research Centre, Johnstown Castle, Y35 HP22 Westford, Ireland, </w:t>
      </w:r>
      <w:r w:rsidRPr="00427F20">
        <w:rPr>
          <w:i/>
          <w:iCs/>
          <w:vertAlign w:val="superscript"/>
          <w:lang w:val="en-US"/>
        </w:rPr>
        <w:t>4</w:t>
      </w:r>
      <w:r w:rsidRPr="00427F20">
        <w:rPr>
          <w:i/>
          <w:iCs/>
          <w:lang w:val="en-US"/>
        </w:rPr>
        <w:t xml:space="preserve"> ATB, Max-Eyth-Allee 100 , 14469 Potsdam, Germany, </w:t>
      </w:r>
      <w:r w:rsidRPr="00427F20">
        <w:rPr>
          <w:i/>
          <w:iCs/>
          <w:vertAlign w:val="superscript"/>
          <w:lang w:val="en-US"/>
        </w:rPr>
        <w:t>5</w:t>
      </w:r>
      <w:r w:rsidRPr="00427F20">
        <w:rPr>
          <w:i/>
          <w:iCs/>
          <w:lang w:val="en-US"/>
        </w:rPr>
        <w:t xml:space="preserve"> Asoprovac, C/ Limonero 22, 28020 Madrid, Spain, </w:t>
      </w:r>
      <w:r w:rsidRPr="00427F20">
        <w:rPr>
          <w:i/>
          <w:iCs/>
          <w:vertAlign w:val="superscript"/>
          <w:lang w:val="en-US"/>
        </w:rPr>
        <w:t>6</w:t>
      </w:r>
      <w:r w:rsidRPr="00427F20">
        <w:rPr>
          <w:i/>
          <w:iCs/>
          <w:lang w:val="en-US"/>
        </w:rPr>
        <w:t xml:space="preserve"> CREA, via Antonio Lombardo 11, 26900 Lodi, Italy</w:t>
      </w:r>
    </w:p>
    <w:p w14:paraId="5D57D28E" w14:textId="77777777" w:rsidR="00427F20" w:rsidRPr="00427F20" w:rsidRDefault="00427F20" w:rsidP="00427F20">
      <w:r w:rsidRPr="00427F20">
        <w:rPr>
          <w:lang w:val="en-US"/>
        </w:rPr>
        <w:t xml:space="preserve">The EU LIFE Carbon farming project aims to reduce greenhouse gas emissions by 15% on 700 livestock farms in 6 EU countries. The objective is to achieve a total of 350.000 t CO2 eq. avoided in 2027 through low carbon practices. The results presented give an overview of the strategies chosen by farmers to achieve this goal. The different categories of action levers aim to improve herd management, herd feed, land use, energy use and carbon sequestration. The database includes 40 farms in Belgium (BE), 324 in France (FR), 16 in Germany (DE), 26 in Ireland (IRL), 33 in Italy (IT) and 125 in Spain (SP) for a total of 564 farms. In FR and BE, production systems are: dairy (D), dairy with crops (D+C), dairy with beef (DB), beef (B), beef with crops (BC) and dairy and beef with crops (DBC)). In DE, only D and DC are presented. In IRL, SP and IT, farms belong to D or B. Thirty-one levers are offered to farmers, who can choose more than one. Carbon gains from lower emissions and carbon sequestration are estimated considering the expected impact of low-carbon practices. The choice of levers depends on the country and the production system. In BE, 39 out of 40 farms have chosen to improve herd management. The most popular lever aims to decrease the age at first calving (73%). In FR, extending the rotation period of temporary grassland was selected in 51% of farms. In IRL the increasing use of protected urea is widely favoured (83%), while in DE it is the planting of hedges (81%). In IT, farmers choose to improve animal welfare (80%). In SP, the use of food additives is envisaged by 70% of farms D, while B farms aim to reduce the percentage of protein in the ration. The total expected carbon gains are 281624 t CO2 equ. The contribution of each partner to this result amounts to 13% for BE, 78% for FR, 1.5% for DE, 0.5% for IRL and finally 7% for SP. </w:t>
      </w:r>
      <w:r w:rsidRPr="00427F20">
        <w:t xml:space="preserve">The </w:t>
      </w:r>
      <w:proofErr w:type="spellStart"/>
      <w:r w:rsidRPr="00427F20">
        <w:t>estimate</w:t>
      </w:r>
      <w:proofErr w:type="spellEnd"/>
      <w:r w:rsidRPr="00427F20">
        <w:t xml:space="preserve"> in IT must </w:t>
      </w:r>
      <w:proofErr w:type="spellStart"/>
      <w:r w:rsidRPr="00427F20">
        <w:t>be</w:t>
      </w:r>
      <w:proofErr w:type="spellEnd"/>
      <w:r w:rsidRPr="00427F20">
        <w:t xml:space="preserve"> </w:t>
      </w:r>
      <w:proofErr w:type="spellStart"/>
      <w:r w:rsidRPr="00427F20">
        <w:t>finalised</w:t>
      </w:r>
      <w:proofErr w:type="spellEnd"/>
      <w:r w:rsidRPr="00427F20">
        <w:t>.</w:t>
      </w:r>
    </w:p>
    <w:p w14:paraId="59544077" w14:textId="77777777" w:rsidR="00045BFB" w:rsidRPr="00427F20" w:rsidRDefault="00045BFB">
      <w:pPr>
        <w:rPr>
          <w:lang w:val="en-US"/>
        </w:rPr>
      </w:pPr>
    </w:p>
    <w:sectPr w:rsidR="00045BFB" w:rsidRPr="00427F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20"/>
    <w:rsid w:val="00015E4F"/>
    <w:rsid w:val="00045BFB"/>
    <w:rsid w:val="00390BF5"/>
    <w:rsid w:val="00427F20"/>
    <w:rsid w:val="00AA78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91CC19"/>
  <w15:chartTrackingRefBased/>
  <w15:docId w15:val="{D24AD9C4-B1B7-454C-B251-B8DE690E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7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7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7F2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7F2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7F2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7F2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7F2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7F2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7F2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7F2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7F2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7F2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7F2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7F2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7F2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7F2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7F2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7F20"/>
    <w:rPr>
      <w:rFonts w:eastAsiaTheme="majorEastAsia" w:cstheme="majorBidi"/>
      <w:color w:val="272727" w:themeColor="text1" w:themeTint="D8"/>
    </w:rPr>
  </w:style>
  <w:style w:type="paragraph" w:styleId="Titre">
    <w:name w:val="Title"/>
    <w:basedOn w:val="Normal"/>
    <w:next w:val="Normal"/>
    <w:link w:val="TitreCar"/>
    <w:uiPriority w:val="10"/>
    <w:qFormat/>
    <w:rsid w:val="00427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7F2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7F2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7F2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7F20"/>
    <w:pPr>
      <w:spacing w:before="160"/>
      <w:jc w:val="center"/>
    </w:pPr>
    <w:rPr>
      <w:i/>
      <w:iCs/>
      <w:color w:val="404040" w:themeColor="text1" w:themeTint="BF"/>
    </w:rPr>
  </w:style>
  <w:style w:type="character" w:customStyle="1" w:styleId="CitationCar">
    <w:name w:val="Citation Car"/>
    <w:basedOn w:val="Policepardfaut"/>
    <w:link w:val="Citation"/>
    <w:uiPriority w:val="29"/>
    <w:rsid w:val="00427F20"/>
    <w:rPr>
      <w:i/>
      <w:iCs/>
      <w:color w:val="404040" w:themeColor="text1" w:themeTint="BF"/>
    </w:rPr>
  </w:style>
  <w:style w:type="paragraph" w:styleId="Paragraphedeliste">
    <w:name w:val="List Paragraph"/>
    <w:basedOn w:val="Normal"/>
    <w:uiPriority w:val="34"/>
    <w:qFormat/>
    <w:rsid w:val="00427F20"/>
    <w:pPr>
      <w:ind w:left="720"/>
      <w:contextualSpacing/>
    </w:pPr>
  </w:style>
  <w:style w:type="character" w:styleId="Accentuationintense">
    <w:name w:val="Intense Emphasis"/>
    <w:basedOn w:val="Policepardfaut"/>
    <w:uiPriority w:val="21"/>
    <w:qFormat/>
    <w:rsid w:val="00427F20"/>
    <w:rPr>
      <w:i/>
      <w:iCs/>
      <w:color w:val="0F4761" w:themeColor="accent1" w:themeShade="BF"/>
    </w:rPr>
  </w:style>
  <w:style w:type="paragraph" w:styleId="Citationintense">
    <w:name w:val="Intense Quote"/>
    <w:basedOn w:val="Normal"/>
    <w:next w:val="Normal"/>
    <w:link w:val="CitationintenseCar"/>
    <w:uiPriority w:val="30"/>
    <w:qFormat/>
    <w:rsid w:val="00427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7F20"/>
    <w:rPr>
      <w:i/>
      <w:iCs/>
      <w:color w:val="0F4761" w:themeColor="accent1" w:themeShade="BF"/>
    </w:rPr>
  </w:style>
  <w:style w:type="character" w:styleId="Rfrenceintense">
    <w:name w:val="Intense Reference"/>
    <w:basedOn w:val="Policepardfaut"/>
    <w:uiPriority w:val="32"/>
    <w:qFormat/>
    <w:rsid w:val="00427F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2114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u015543</dc:creator>
  <cp:keywords/>
  <dc:description/>
  <cp:lastModifiedBy>u015543</cp:lastModifiedBy>
  <cp:revision>1</cp:revision>
  <dcterms:created xsi:type="dcterms:W3CDTF">2025-07-25T11:14:00Z</dcterms:created>
  <dcterms:modified xsi:type="dcterms:W3CDTF">2025-07-25T11:32:00Z</dcterms:modified>
</cp:coreProperties>
</file>