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7A23" w14:textId="435BCF62" w:rsidR="00C65E95" w:rsidRDefault="0017628F">
      <w:pPr>
        <w:rPr>
          <w:lang w:val="fr-FR"/>
        </w:rPr>
      </w:pPr>
      <w:r>
        <w:rPr>
          <w:lang w:val="fr-FR"/>
        </w:rPr>
        <w:t>PRAGUE juillet 2025</w:t>
      </w:r>
    </w:p>
    <w:p w14:paraId="18BE4517" w14:textId="77777777" w:rsidR="0017628F" w:rsidRDefault="0017628F" w:rsidP="0017628F">
      <w:pPr>
        <w:rPr>
          <w:b/>
          <w:bCs/>
          <w:lang w:val="en-GB"/>
        </w:rPr>
      </w:pPr>
      <w:proofErr w:type="gramStart"/>
      <w:r w:rsidRPr="0017628F">
        <w:rPr>
          <w:lang w:val="en-GB"/>
        </w:rPr>
        <w:t>PANEL :</w:t>
      </w:r>
      <w:proofErr w:type="gramEnd"/>
      <w:r w:rsidRPr="0017628F">
        <w:rPr>
          <w:lang w:val="en-GB"/>
        </w:rPr>
        <w:t xml:space="preserve"> </w:t>
      </w:r>
      <w:r w:rsidRPr="0017628F">
        <w:rPr>
          <w:b/>
          <w:bCs/>
          <w:lang w:val="en-GB"/>
        </w:rPr>
        <w:t>10.2. More-than-human Memory: How Humans, Nonhumans and Environments Co-shape Remembering and Forgetting in Times of Transformation and Loss</w:t>
      </w:r>
    </w:p>
    <w:p w14:paraId="3A371D4D" w14:textId="31B7A30C" w:rsidR="0017628F" w:rsidRPr="0017628F" w:rsidRDefault="0017628F" w:rsidP="0017628F">
      <w:pPr>
        <w:rPr>
          <w:b/>
          <w:bCs/>
        </w:rPr>
      </w:pPr>
      <w:hyperlink r:id="rId4" w:history="1">
        <w:r w:rsidRPr="0017628F">
          <w:rPr>
            <w:rStyle w:val="Lienhypertexte"/>
            <w:b/>
            <w:bCs/>
          </w:rPr>
          <w:t>Isabelle Borsus</w:t>
        </w:r>
      </w:hyperlink>
      <w:r w:rsidRPr="0017628F">
        <w:rPr>
          <w:b/>
          <w:bCs/>
        </w:rPr>
        <w:t xml:space="preserve"> </w:t>
      </w:r>
      <w:r w:rsidRPr="0017628F">
        <w:rPr>
          <w:b/>
          <w:bCs/>
        </w:rPr>
        <w:t xml:space="preserve">PhD </w:t>
      </w:r>
      <w:proofErr w:type="spellStart"/>
      <w:r w:rsidRPr="0017628F">
        <w:rPr>
          <w:b/>
          <w:bCs/>
        </w:rPr>
        <w:t>student</w:t>
      </w:r>
      <w:proofErr w:type="spellEnd"/>
      <w:r w:rsidRPr="0017628F">
        <w:rPr>
          <w:b/>
          <w:bCs/>
        </w:rPr>
        <w:t xml:space="preserve"> / Assistant</w:t>
      </w:r>
      <w:r>
        <w:rPr>
          <w:b/>
          <w:bCs/>
        </w:rPr>
        <w:t xml:space="preserve"> </w:t>
      </w:r>
      <w:r w:rsidRPr="0017628F">
        <w:rPr>
          <w:b/>
          <w:bCs/>
        </w:rPr>
        <w:t>Université De Liège</w:t>
      </w:r>
    </w:p>
    <w:p w14:paraId="08839B5E" w14:textId="5F8E8BA2" w:rsidR="0017628F" w:rsidRPr="0017628F" w:rsidRDefault="0017628F" w:rsidP="0017628F">
      <w:pPr>
        <w:rPr>
          <w:b/>
          <w:bCs/>
          <w:lang w:val="en-GB"/>
        </w:rPr>
      </w:pPr>
      <w:hyperlink r:id="rId5" w:history="1">
        <w:r w:rsidRPr="0017628F">
          <w:rPr>
            <w:rStyle w:val="Lienhypertexte"/>
            <w:b/>
            <w:bCs/>
            <w:lang w:val="en-GB"/>
          </w:rPr>
          <w:t xml:space="preserve">Susanne </w:t>
        </w:r>
        <w:proofErr w:type="spellStart"/>
        <w:r w:rsidRPr="0017628F">
          <w:rPr>
            <w:rStyle w:val="Lienhypertexte"/>
            <w:b/>
            <w:bCs/>
            <w:lang w:val="en-GB"/>
          </w:rPr>
          <w:t>Fehlings</w:t>
        </w:r>
        <w:proofErr w:type="spellEnd"/>
      </w:hyperlink>
      <w:r>
        <w:rPr>
          <w:b/>
          <w:bCs/>
          <w:lang w:val="en-GB"/>
        </w:rPr>
        <w:t xml:space="preserve"> </w:t>
      </w:r>
      <w:r w:rsidRPr="0017628F">
        <w:rPr>
          <w:b/>
          <w:bCs/>
          <w:lang w:val="en-GB"/>
        </w:rPr>
        <w:t xml:space="preserve">Researcher, </w:t>
      </w:r>
      <w:proofErr w:type="spellStart"/>
      <w:r w:rsidRPr="0017628F">
        <w:rPr>
          <w:b/>
          <w:bCs/>
          <w:lang w:val="en-GB"/>
        </w:rPr>
        <w:t>apl</w:t>
      </w:r>
      <w:proofErr w:type="spellEnd"/>
      <w:r w:rsidRPr="0017628F">
        <w:rPr>
          <w:b/>
          <w:bCs/>
          <w:lang w:val="en-GB"/>
        </w:rPr>
        <w:t>. professor</w:t>
      </w:r>
      <w:r w:rsidRPr="0017628F">
        <w:rPr>
          <w:b/>
          <w:bCs/>
          <w:i/>
          <w:iCs/>
          <w:lang w:val="en-GB"/>
        </w:rPr>
        <w:t>, </w:t>
      </w:r>
      <w:r w:rsidRPr="0017628F">
        <w:rPr>
          <w:b/>
          <w:bCs/>
          <w:lang w:val="en-GB"/>
        </w:rPr>
        <w:t xml:space="preserve">Frobenius </w:t>
      </w:r>
      <w:proofErr w:type="spellStart"/>
      <w:r w:rsidRPr="0017628F">
        <w:rPr>
          <w:b/>
          <w:bCs/>
          <w:lang w:val="en-GB"/>
        </w:rPr>
        <w:t>Institut</w:t>
      </w:r>
      <w:proofErr w:type="spellEnd"/>
      <w:r w:rsidRPr="0017628F">
        <w:rPr>
          <w:b/>
          <w:bCs/>
          <w:lang w:val="en-GB"/>
        </w:rPr>
        <w:t>, Goethe-Universität Frankfurt A.M.</w:t>
      </w:r>
    </w:p>
    <w:p w14:paraId="3CA1D78D" w14:textId="3B2751ED" w:rsidR="0017628F" w:rsidRPr="0017628F" w:rsidRDefault="0017628F" w:rsidP="0017628F">
      <w:pPr>
        <w:rPr>
          <w:b/>
          <w:bCs/>
          <w:lang w:val="en-GB"/>
        </w:rPr>
      </w:pPr>
      <w:hyperlink r:id="rId6" w:history="1">
        <w:r w:rsidRPr="0017628F">
          <w:rPr>
            <w:rStyle w:val="Lienhypertexte"/>
            <w:b/>
            <w:bCs/>
            <w:lang w:val="en-GB"/>
          </w:rPr>
          <w:t>Laura Kuen</w:t>
        </w:r>
      </w:hyperlink>
      <w:r>
        <w:rPr>
          <w:b/>
          <w:bCs/>
          <w:lang w:val="en-GB"/>
        </w:rPr>
        <w:t xml:space="preserve"> </w:t>
      </w:r>
      <w:r w:rsidRPr="0017628F">
        <w:rPr>
          <w:b/>
          <w:bCs/>
          <w:lang w:val="en-GB"/>
        </w:rPr>
        <w:t>Doctoral Researcher</w:t>
      </w:r>
      <w:r>
        <w:rPr>
          <w:b/>
          <w:bCs/>
          <w:lang w:val="en-GB"/>
        </w:rPr>
        <w:t xml:space="preserve"> </w:t>
      </w:r>
      <w:r w:rsidRPr="0017628F">
        <w:rPr>
          <w:b/>
          <w:bCs/>
          <w:lang w:val="en-GB"/>
        </w:rPr>
        <w:t xml:space="preserve">Czech Academy </w:t>
      </w:r>
      <w:proofErr w:type="gramStart"/>
      <w:r w:rsidRPr="0017628F">
        <w:rPr>
          <w:b/>
          <w:bCs/>
          <w:lang w:val="en-GB"/>
        </w:rPr>
        <w:t>Of</w:t>
      </w:r>
      <w:proofErr w:type="gramEnd"/>
      <w:r w:rsidRPr="0017628F">
        <w:rPr>
          <w:b/>
          <w:bCs/>
          <w:lang w:val="en-GB"/>
        </w:rPr>
        <w:t xml:space="preserve"> Sciences, The Institute </w:t>
      </w:r>
      <w:proofErr w:type="gramStart"/>
      <w:r w:rsidRPr="0017628F">
        <w:rPr>
          <w:b/>
          <w:bCs/>
          <w:lang w:val="en-GB"/>
        </w:rPr>
        <w:t>Of</w:t>
      </w:r>
      <w:proofErr w:type="gramEnd"/>
      <w:r w:rsidRPr="0017628F">
        <w:rPr>
          <w:b/>
          <w:bCs/>
          <w:lang w:val="en-GB"/>
        </w:rPr>
        <w:t xml:space="preserve"> Ethnology</w:t>
      </w:r>
    </w:p>
    <w:p w14:paraId="62912B05" w14:textId="15121539" w:rsidR="0017628F" w:rsidRPr="0017628F" w:rsidRDefault="0017628F" w:rsidP="0017628F">
      <w:pPr>
        <w:rPr>
          <w:b/>
          <w:bCs/>
          <w:lang w:val="en-GB"/>
        </w:rPr>
      </w:pPr>
      <w:hyperlink r:id="rId7" w:history="1">
        <w:r w:rsidRPr="0017628F">
          <w:rPr>
            <w:rStyle w:val="Lienhypertexte"/>
            <w:b/>
            <w:bCs/>
            <w:lang w:val="en-GB"/>
          </w:rPr>
          <w:t xml:space="preserve">Jeanine </w:t>
        </w:r>
        <w:proofErr w:type="spellStart"/>
        <w:r w:rsidRPr="0017628F">
          <w:rPr>
            <w:rStyle w:val="Lienhypertexte"/>
            <w:b/>
            <w:bCs/>
            <w:lang w:val="en-GB"/>
          </w:rPr>
          <w:t>Dagyeli</w:t>
        </w:r>
        <w:proofErr w:type="spellEnd"/>
      </w:hyperlink>
      <w:r>
        <w:rPr>
          <w:b/>
          <w:bCs/>
          <w:lang w:val="en-GB"/>
        </w:rPr>
        <w:t xml:space="preserve"> </w:t>
      </w:r>
      <w:r w:rsidRPr="0017628F">
        <w:rPr>
          <w:b/>
          <w:bCs/>
          <w:lang w:val="en-GB"/>
        </w:rPr>
        <w:t>Assistant professor</w:t>
      </w:r>
      <w:r w:rsidRPr="0017628F">
        <w:rPr>
          <w:b/>
          <w:bCs/>
          <w:lang w:val="en-GB"/>
        </w:rPr>
        <w:t xml:space="preserve"> </w:t>
      </w:r>
      <w:r w:rsidRPr="0017628F">
        <w:rPr>
          <w:b/>
          <w:bCs/>
          <w:lang w:val="en-GB"/>
        </w:rPr>
        <w:t xml:space="preserve">University </w:t>
      </w:r>
      <w:proofErr w:type="gramStart"/>
      <w:r w:rsidRPr="0017628F">
        <w:rPr>
          <w:b/>
          <w:bCs/>
          <w:lang w:val="en-GB"/>
        </w:rPr>
        <w:t>Of</w:t>
      </w:r>
      <w:proofErr w:type="gramEnd"/>
      <w:r w:rsidRPr="0017628F">
        <w:rPr>
          <w:b/>
          <w:bCs/>
          <w:lang w:val="en-GB"/>
        </w:rPr>
        <w:t xml:space="preserve"> Vienna</w:t>
      </w:r>
    </w:p>
    <w:p w14:paraId="61EBB8DB" w14:textId="28965A55" w:rsidR="0017628F" w:rsidRPr="0017628F" w:rsidRDefault="0017628F" w:rsidP="0017628F">
      <w:pPr>
        <w:rPr>
          <w:b/>
          <w:bCs/>
          <w:lang w:val="en-GB"/>
        </w:rPr>
      </w:pPr>
      <w:hyperlink r:id="rId8" w:history="1">
        <w:r w:rsidRPr="0017628F">
          <w:rPr>
            <w:rStyle w:val="Lienhypertexte"/>
            <w:b/>
            <w:bCs/>
            <w:lang w:val="en-GB"/>
          </w:rPr>
          <w:t>Paul Keil</w:t>
        </w:r>
      </w:hyperlink>
      <w:r>
        <w:rPr>
          <w:b/>
          <w:bCs/>
          <w:lang w:val="en-GB"/>
        </w:rPr>
        <w:t xml:space="preserve"> </w:t>
      </w:r>
      <w:r w:rsidRPr="0017628F">
        <w:rPr>
          <w:b/>
          <w:bCs/>
          <w:lang w:val="en-GB"/>
        </w:rPr>
        <w:t>Researcher</w:t>
      </w:r>
      <w:r>
        <w:rPr>
          <w:b/>
          <w:bCs/>
          <w:lang w:val="en-GB"/>
        </w:rPr>
        <w:t xml:space="preserve"> I</w:t>
      </w:r>
      <w:r w:rsidRPr="0017628F">
        <w:rPr>
          <w:b/>
          <w:bCs/>
          <w:lang w:val="en-GB"/>
        </w:rPr>
        <w:t xml:space="preserve">nstitute </w:t>
      </w:r>
      <w:proofErr w:type="gramStart"/>
      <w:r w:rsidRPr="0017628F">
        <w:rPr>
          <w:b/>
          <w:bCs/>
          <w:lang w:val="en-GB"/>
        </w:rPr>
        <w:t>Of</w:t>
      </w:r>
      <w:proofErr w:type="gramEnd"/>
      <w:r w:rsidRPr="0017628F">
        <w:rPr>
          <w:b/>
          <w:bCs/>
          <w:lang w:val="en-GB"/>
        </w:rPr>
        <w:t xml:space="preserve"> Ethnology, Czech Academy </w:t>
      </w:r>
      <w:proofErr w:type="gramStart"/>
      <w:r w:rsidRPr="0017628F">
        <w:rPr>
          <w:b/>
          <w:bCs/>
          <w:lang w:val="en-GB"/>
        </w:rPr>
        <w:t>Of</w:t>
      </w:r>
      <w:proofErr w:type="gramEnd"/>
      <w:r w:rsidRPr="0017628F">
        <w:rPr>
          <w:b/>
          <w:bCs/>
          <w:lang w:val="en-GB"/>
        </w:rPr>
        <w:t xml:space="preserve"> Sciences</w:t>
      </w:r>
    </w:p>
    <w:p w14:paraId="2CBCFA97" w14:textId="5E8BC9E4" w:rsidR="0017628F" w:rsidRPr="0017628F" w:rsidRDefault="0017628F" w:rsidP="0017628F">
      <w:pPr>
        <w:rPr>
          <w:b/>
          <w:bCs/>
          <w:lang w:val="en-GB"/>
        </w:rPr>
      </w:pPr>
      <w:hyperlink r:id="rId9" w:history="1">
        <w:r w:rsidRPr="0017628F">
          <w:rPr>
            <w:rStyle w:val="Lienhypertexte"/>
            <w:b/>
            <w:bCs/>
            <w:lang w:val="en-GB"/>
          </w:rPr>
          <w:t>Maike Melles</w:t>
        </w:r>
      </w:hyperlink>
      <w:r>
        <w:rPr>
          <w:b/>
          <w:bCs/>
          <w:lang w:val="en-GB"/>
        </w:rPr>
        <w:t xml:space="preserve"> </w:t>
      </w:r>
      <w:r w:rsidRPr="0017628F">
        <w:rPr>
          <w:b/>
          <w:bCs/>
          <w:lang w:val="en-GB"/>
        </w:rPr>
        <w:t>Postdoctoral researcher</w:t>
      </w:r>
      <w:r>
        <w:rPr>
          <w:b/>
          <w:bCs/>
          <w:lang w:val="en-GB"/>
        </w:rPr>
        <w:t xml:space="preserve"> </w:t>
      </w:r>
      <w:r w:rsidRPr="0017628F">
        <w:rPr>
          <w:b/>
          <w:bCs/>
          <w:lang w:val="en-GB"/>
        </w:rPr>
        <w:t xml:space="preserve">Czech Academy </w:t>
      </w:r>
      <w:proofErr w:type="gramStart"/>
      <w:r w:rsidRPr="0017628F">
        <w:rPr>
          <w:b/>
          <w:bCs/>
          <w:lang w:val="en-GB"/>
        </w:rPr>
        <w:t>Of</w:t>
      </w:r>
      <w:proofErr w:type="gramEnd"/>
      <w:r w:rsidRPr="0017628F">
        <w:rPr>
          <w:b/>
          <w:bCs/>
          <w:lang w:val="en-GB"/>
        </w:rPr>
        <w:t xml:space="preserve"> Sciences, The Institute </w:t>
      </w:r>
      <w:proofErr w:type="gramStart"/>
      <w:r w:rsidRPr="0017628F">
        <w:rPr>
          <w:b/>
          <w:bCs/>
          <w:lang w:val="en-GB"/>
        </w:rPr>
        <w:t>Of</w:t>
      </w:r>
      <w:proofErr w:type="gramEnd"/>
      <w:r w:rsidRPr="0017628F">
        <w:rPr>
          <w:b/>
          <w:bCs/>
          <w:lang w:val="en-GB"/>
        </w:rPr>
        <w:t xml:space="preserve"> Ethnology</w:t>
      </w:r>
    </w:p>
    <w:p w14:paraId="24EC0D97" w14:textId="77777777" w:rsidR="0017628F" w:rsidRPr="0017628F" w:rsidRDefault="0017628F" w:rsidP="0017628F">
      <w:pPr>
        <w:rPr>
          <w:b/>
          <w:bCs/>
          <w:lang w:val="en-GB"/>
        </w:rPr>
      </w:pPr>
    </w:p>
    <w:p w14:paraId="3ADAE375" w14:textId="77777777" w:rsidR="0017628F" w:rsidRDefault="0017628F">
      <w:pPr>
        <w:rPr>
          <w:lang w:val="en-GB"/>
        </w:rPr>
      </w:pPr>
      <w:r w:rsidRPr="0017628F">
        <w:rPr>
          <w:lang w:val="en-GB"/>
        </w:rPr>
        <w:t>Panel description</w:t>
      </w:r>
    </w:p>
    <w:p w14:paraId="25771712" w14:textId="12AE1150" w:rsidR="0017628F" w:rsidRPr="0017628F" w:rsidRDefault="0017628F">
      <w:pPr>
        <w:rPr>
          <w:lang w:val="en-GB"/>
        </w:rPr>
      </w:pPr>
      <w:r w:rsidRPr="0017628F">
        <w:rPr>
          <w:lang w:val="en-GB"/>
        </w:rPr>
        <w:t xml:space="preserve">Memories often emerge within and through our relations, which can include other forms of life with whom we share a place. Accordingly, there are mnemonic consequences for human and more-than-human beings when they are subjected to the drastic and sometimes violent ecological shifts of the contemporary period. Remembering is affected when the landscapes human and nonhuman beings inhabit are ravaged by the effects of climate change and war, or when the ecologies they are embedded in are unmade and remade through capitalist extraction, exploitation and pollution. In times of environmental transformation and loss, what role does memory play for the displaced - when the familiar becomes unfamiliar, where individuals and communities </w:t>
      </w:r>
      <w:proofErr w:type="gramStart"/>
      <w:r w:rsidRPr="0017628F">
        <w:rPr>
          <w:lang w:val="en-GB"/>
        </w:rPr>
        <w:t>have to</w:t>
      </w:r>
      <w:proofErr w:type="gramEnd"/>
      <w:r w:rsidRPr="0017628F">
        <w:rPr>
          <w:lang w:val="en-GB"/>
        </w:rPr>
        <w:t xml:space="preserve"> live with others and environments unrecognizable to them? In this panel, rather than focusing only on the memory of ecological loss as source of grief, we ask how the relational conditions of remembering might be a means of coping, of reconnecting and reconstructing places of more-than-human habitation amidst precarity. While landscapes are known to be “repositories for belonging and meaning” (</w:t>
      </w:r>
      <w:proofErr w:type="spellStart"/>
      <w:r w:rsidRPr="0017628F">
        <w:rPr>
          <w:lang w:val="en-GB"/>
        </w:rPr>
        <w:t>Filippucci</w:t>
      </w:r>
      <w:proofErr w:type="spellEnd"/>
      <w:r w:rsidRPr="0017628F">
        <w:rPr>
          <w:lang w:val="en-GB"/>
        </w:rPr>
        <w:t xml:space="preserve"> 2016) for human beings, we want to reflect the active role of landscapes, (in)organic materials and substances, plants, animals, and other organisms in the co-creation of environmental memory. As much as more-than-human entanglements can nurture historical intimacy (Bonilla 2011), they may also generate forms of forgetting or “un-remembering”. What “traces of existence” remain in the environment and can reconnect us to forgotten pasts (Ogden 2021)? Conversely, which mnemonic traces are lost forever, compromising landscapes’ much-vaunted role as more-than-human archives? How do the affordances of memories change in rapidly transforming environments and which new meanings do memories acquire? Attending to more-than-human remembering invites multidisciplinary approaches and perspectives on memories between environmental reconstruction and transformation.</w:t>
      </w:r>
    </w:p>
    <w:p w14:paraId="5FFF1C42" w14:textId="7AF45BEA" w:rsidR="0017628F" w:rsidRDefault="0017628F">
      <w:pPr>
        <w:rPr>
          <w:lang w:val="en-GB"/>
        </w:rPr>
      </w:pPr>
      <w:r>
        <w:rPr>
          <w:lang w:val="en-GB"/>
        </w:rPr>
        <w:t>ABSTRACT ISABELLE BORSUS</w:t>
      </w:r>
    </w:p>
    <w:p w14:paraId="748BA464" w14:textId="7E57AD1B" w:rsidR="0017628F" w:rsidRDefault="0017628F">
      <w:pPr>
        <w:rPr>
          <w:lang w:val="en-GB"/>
        </w:rPr>
      </w:pPr>
      <w:r w:rsidRPr="0017628F">
        <w:rPr>
          <w:lang w:val="en-GB"/>
        </w:rPr>
        <w:t xml:space="preserve">Taxidermy Between Memory and Materiality: What Do </w:t>
      </w:r>
      <w:proofErr w:type="spellStart"/>
      <w:r w:rsidRPr="0017628F">
        <w:rPr>
          <w:lang w:val="en-GB"/>
        </w:rPr>
        <w:t>Taxidermied</w:t>
      </w:r>
      <w:proofErr w:type="spellEnd"/>
      <w:r w:rsidRPr="0017628F">
        <w:rPr>
          <w:lang w:val="en-GB"/>
        </w:rPr>
        <w:t xml:space="preserve"> Animals Tell Us About Our Relationship with Nature and Life?</w:t>
      </w:r>
    </w:p>
    <w:p w14:paraId="34D42679" w14:textId="77777777" w:rsidR="0017628F" w:rsidRDefault="0017628F">
      <w:pPr>
        <w:rPr>
          <w:lang w:val="en-GB"/>
        </w:rPr>
      </w:pPr>
      <w:r w:rsidRPr="0017628F">
        <w:rPr>
          <w:lang w:val="en-GB"/>
        </w:rPr>
        <w:t xml:space="preserve">A </w:t>
      </w:r>
      <w:proofErr w:type="spellStart"/>
      <w:r w:rsidRPr="0017628F">
        <w:rPr>
          <w:lang w:val="en-GB"/>
        </w:rPr>
        <w:t>taxidermied</w:t>
      </w:r>
      <w:proofErr w:type="spellEnd"/>
      <w:r w:rsidRPr="0017628F">
        <w:rPr>
          <w:lang w:val="en-GB"/>
        </w:rPr>
        <w:t xml:space="preserve"> animal is a repository of stories. As an object of memory, a trophy (the mounted head of an animal on a wall) or a "massacre" (</w:t>
      </w:r>
      <w:proofErr w:type="spellStart"/>
      <w:r w:rsidRPr="0017628F">
        <w:rPr>
          <w:lang w:val="en-GB"/>
        </w:rPr>
        <w:t>french</w:t>
      </w:r>
      <w:proofErr w:type="spellEnd"/>
      <w:r w:rsidRPr="0017628F">
        <w:rPr>
          <w:lang w:val="en-GB"/>
        </w:rPr>
        <w:t xml:space="preserve"> term for a skull accompanied by its horns or antlers) serves as the testimony of a successful hunt. The same animal, however, when placed in a natural history museum display, will become a reference point for our current or extinct biodiversity. At the same time, certain pets and famous animals, such as Knut the polar bear, born in 2006 at the Berlin </w:t>
      </w:r>
      <w:r w:rsidRPr="0017628F">
        <w:rPr>
          <w:lang w:val="en-GB"/>
        </w:rPr>
        <w:lastRenderedPageBreak/>
        <w:t xml:space="preserve">Zoo, or Jojo, one of the chimpanzees from the animal park in Nancy, have had their bodies reconstituted and displayed after their death. In these cases, they no longer represent a species as a </w:t>
      </w:r>
      <w:proofErr w:type="gramStart"/>
      <w:r w:rsidRPr="0017628F">
        <w:rPr>
          <w:lang w:val="en-GB"/>
        </w:rPr>
        <w:t>whole, but</w:t>
      </w:r>
      <w:proofErr w:type="gramEnd"/>
      <w:r w:rsidRPr="0017628F">
        <w:rPr>
          <w:lang w:val="en-GB"/>
        </w:rPr>
        <w:t xml:space="preserve"> instead invite the public to reconnect with the uniqueness of a particular animal.</w:t>
      </w:r>
      <w:r w:rsidRPr="0017628F">
        <w:rPr>
          <w:lang w:val="en-GB"/>
        </w:rPr>
        <w:br/>
        <w:t xml:space="preserve">This presentation will explore the material and memorial dimensions of taxidermy as a complex practice situated at the intersection of life preservation and evocation of the past. As hybrid objects, </w:t>
      </w:r>
      <w:proofErr w:type="spellStart"/>
      <w:r w:rsidRPr="0017628F">
        <w:rPr>
          <w:lang w:val="en-GB"/>
        </w:rPr>
        <w:t>taxidermied</w:t>
      </w:r>
      <w:proofErr w:type="spellEnd"/>
      <w:r w:rsidRPr="0017628F">
        <w:rPr>
          <w:lang w:val="en-GB"/>
        </w:rPr>
        <w:t xml:space="preserve"> specimens oscillate between tangible materiality and symbolic aura, embodying both the presence of a once-living being and the irreversible passage of time. Drawing on historical and ethnographic examples from research with taxidermists, museums, and owners of </w:t>
      </w:r>
      <w:proofErr w:type="spellStart"/>
      <w:r w:rsidRPr="0017628F">
        <w:rPr>
          <w:lang w:val="en-GB"/>
        </w:rPr>
        <w:t>taxidermied</w:t>
      </w:r>
      <w:proofErr w:type="spellEnd"/>
      <w:r w:rsidRPr="0017628F">
        <w:rPr>
          <w:lang w:val="en-GB"/>
        </w:rPr>
        <w:t xml:space="preserve"> animals in French-speaking Belgium, this study examines how taxidermy, in its attempt to freeze the animal's body in time, contributes to the production of cultural and ecological nostalgia and longing (Poliquin 2012). It explores how these specimens are infused with meanings that reflect human attempts to capture the ephemeral, to recreate connections to the past or to natural environments undergoing profound transformations. </w:t>
      </w:r>
    </w:p>
    <w:p w14:paraId="64C0D89C" w14:textId="5A2E1478" w:rsidR="0017628F" w:rsidRPr="0017628F" w:rsidRDefault="0017628F">
      <w:pPr>
        <w:rPr>
          <w:lang w:val="en-GB"/>
        </w:rPr>
      </w:pPr>
      <w:r w:rsidRPr="0017628F">
        <w:rPr>
          <w:lang w:val="en-GB"/>
        </w:rPr>
        <w:br/>
      </w:r>
      <w:r w:rsidRPr="0017628F">
        <w:t xml:space="preserve">Keywords : </w:t>
      </w:r>
      <w:proofErr w:type="spellStart"/>
      <w:r w:rsidRPr="0017628F">
        <w:t>anthropology</w:t>
      </w:r>
      <w:proofErr w:type="spellEnd"/>
      <w:r w:rsidRPr="0017628F">
        <w:t xml:space="preserve">, </w:t>
      </w:r>
      <w:proofErr w:type="spellStart"/>
      <w:r w:rsidRPr="0017628F">
        <w:t>taxidermy</w:t>
      </w:r>
      <w:proofErr w:type="spellEnd"/>
      <w:r w:rsidRPr="0017628F">
        <w:t>, memory, nature</w:t>
      </w:r>
    </w:p>
    <w:sectPr w:rsidR="0017628F" w:rsidRPr="00176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8F"/>
    <w:rsid w:val="0017628F"/>
    <w:rsid w:val="00254509"/>
    <w:rsid w:val="00C65E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BC3"/>
  <w15:chartTrackingRefBased/>
  <w15:docId w15:val="{59D9CB4C-9F77-4264-B0F8-976680A1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6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76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62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62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762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762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62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62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62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2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62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62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62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62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62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62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62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628F"/>
    <w:rPr>
      <w:rFonts w:eastAsiaTheme="majorEastAsia" w:cstheme="majorBidi"/>
      <w:color w:val="272727" w:themeColor="text1" w:themeTint="D8"/>
    </w:rPr>
  </w:style>
  <w:style w:type="paragraph" w:styleId="Titre">
    <w:name w:val="Title"/>
    <w:basedOn w:val="Normal"/>
    <w:next w:val="Normal"/>
    <w:link w:val="TitreCar"/>
    <w:uiPriority w:val="10"/>
    <w:qFormat/>
    <w:rsid w:val="0017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62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62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62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628F"/>
    <w:pPr>
      <w:spacing w:before="160"/>
      <w:jc w:val="center"/>
    </w:pPr>
    <w:rPr>
      <w:i/>
      <w:iCs/>
      <w:color w:val="404040" w:themeColor="text1" w:themeTint="BF"/>
    </w:rPr>
  </w:style>
  <w:style w:type="character" w:customStyle="1" w:styleId="CitationCar">
    <w:name w:val="Citation Car"/>
    <w:basedOn w:val="Policepardfaut"/>
    <w:link w:val="Citation"/>
    <w:uiPriority w:val="29"/>
    <w:rsid w:val="0017628F"/>
    <w:rPr>
      <w:i/>
      <w:iCs/>
      <w:color w:val="404040" w:themeColor="text1" w:themeTint="BF"/>
    </w:rPr>
  </w:style>
  <w:style w:type="paragraph" w:styleId="Paragraphedeliste">
    <w:name w:val="List Paragraph"/>
    <w:basedOn w:val="Normal"/>
    <w:uiPriority w:val="34"/>
    <w:qFormat/>
    <w:rsid w:val="0017628F"/>
    <w:pPr>
      <w:ind w:left="720"/>
      <w:contextualSpacing/>
    </w:pPr>
  </w:style>
  <w:style w:type="character" w:styleId="Accentuationintense">
    <w:name w:val="Intense Emphasis"/>
    <w:basedOn w:val="Policepardfaut"/>
    <w:uiPriority w:val="21"/>
    <w:qFormat/>
    <w:rsid w:val="0017628F"/>
    <w:rPr>
      <w:i/>
      <w:iCs/>
      <w:color w:val="2F5496" w:themeColor="accent1" w:themeShade="BF"/>
    </w:rPr>
  </w:style>
  <w:style w:type="paragraph" w:styleId="Citationintense">
    <w:name w:val="Intense Quote"/>
    <w:basedOn w:val="Normal"/>
    <w:next w:val="Normal"/>
    <w:link w:val="CitationintenseCar"/>
    <w:uiPriority w:val="30"/>
    <w:qFormat/>
    <w:rsid w:val="00176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628F"/>
    <w:rPr>
      <w:i/>
      <w:iCs/>
      <w:color w:val="2F5496" w:themeColor="accent1" w:themeShade="BF"/>
    </w:rPr>
  </w:style>
  <w:style w:type="character" w:styleId="Rfrenceintense">
    <w:name w:val="Intense Reference"/>
    <w:basedOn w:val="Policepardfaut"/>
    <w:uiPriority w:val="32"/>
    <w:qFormat/>
    <w:rsid w:val="0017628F"/>
    <w:rPr>
      <w:b/>
      <w:bCs/>
      <w:smallCaps/>
      <w:color w:val="2F5496" w:themeColor="accent1" w:themeShade="BF"/>
      <w:spacing w:val="5"/>
    </w:rPr>
  </w:style>
  <w:style w:type="character" w:styleId="Lienhypertexte">
    <w:name w:val="Hyperlink"/>
    <w:basedOn w:val="Policepardfaut"/>
    <w:uiPriority w:val="99"/>
    <w:unhideWhenUsed/>
    <w:rsid w:val="0017628F"/>
    <w:rPr>
      <w:color w:val="0563C1" w:themeColor="hyperlink"/>
      <w:u w:val="single"/>
    </w:rPr>
  </w:style>
  <w:style w:type="character" w:styleId="Mentionnonrsolue">
    <w:name w:val="Unresolved Mention"/>
    <w:basedOn w:val="Policepardfaut"/>
    <w:uiPriority w:val="99"/>
    <w:semiHidden/>
    <w:unhideWhenUsed/>
    <w:rsid w:val="00176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4047</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Borsus</dc:creator>
  <cp:keywords/>
  <dc:description/>
  <cp:lastModifiedBy>Isabelle Borsus</cp:lastModifiedBy>
  <cp:revision>1</cp:revision>
  <dcterms:created xsi:type="dcterms:W3CDTF">2025-08-23T16:28:00Z</dcterms:created>
  <dcterms:modified xsi:type="dcterms:W3CDTF">2025-08-23T16:32:00Z</dcterms:modified>
</cp:coreProperties>
</file>