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20835" w14:textId="77777777" w:rsidR="007A7C05" w:rsidRPr="008F6866" w:rsidRDefault="007A7C05">
      <w:r w:rsidRPr="008F6866">
        <w:rPr>
          <w:noProof/>
          <w:lang w:eastAsia="en-GB"/>
        </w:rPr>
        <w:drawing>
          <wp:anchor distT="0" distB="0" distL="114300" distR="114300" simplePos="0" relativeHeight="251658242" behindDoc="1" locked="1" layoutInCell="1" allowOverlap="1" wp14:anchorId="0D934CB2" wp14:editId="66F20368">
            <wp:simplePos x="0" y="0"/>
            <wp:positionH relativeFrom="column">
              <wp:posOffset>-925830</wp:posOffset>
            </wp:positionH>
            <wp:positionV relativeFrom="page">
              <wp:posOffset>0</wp:posOffset>
            </wp:positionV>
            <wp:extent cx="7540625" cy="10666095"/>
            <wp:effectExtent l="0" t="0" r="317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e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0625" cy="10666095"/>
                    </a:xfrm>
                    <a:prstGeom prst="rect">
                      <a:avLst/>
                    </a:prstGeom>
                  </pic:spPr>
                </pic:pic>
              </a:graphicData>
            </a:graphic>
            <wp14:sizeRelH relativeFrom="margin">
              <wp14:pctWidth>0</wp14:pctWidth>
            </wp14:sizeRelH>
            <wp14:sizeRelV relativeFrom="margin">
              <wp14:pctHeight>0</wp14:pctHeight>
            </wp14:sizeRelV>
          </wp:anchor>
        </w:drawing>
      </w:r>
    </w:p>
    <w:p w14:paraId="7FF18ED3" w14:textId="77777777" w:rsidR="007A7C05" w:rsidRPr="008F6866" w:rsidRDefault="00B33A2E">
      <w:r w:rsidRPr="008F6866">
        <w:rPr>
          <w:noProof/>
          <w:lang w:eastAsia="en-GB"/>
        </w:rPr>
        <mc:AlternateContent>
          <mc:Choice Requires="wps">
            <w:drawing>
              <wp:anchor distT="0" distB="0" distL="114300" distR="114300" simplePos="0" relativeHeight="251658243" behindDoc="0" locked="0" layoutInCell="1" allowOverlap="1" wp14:anchorId="6D799634" wp14:editId="6C843888">
                <wp:simplePos x="0" y="0"/>
                <wp:positionH relativeFrom="column">
                  <wp:posOffset>281305</wp:posOffset>
                </wp:positionH>
                <wp:positionV relativeFrom="paragraph">
                  <wp:posOffset>5229225</wp:posOffset>
                </wp:positionV>
                <wp:extent cx="5080635" cy="28035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080635" cy="280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A4A1E" w14:textId="50EFF3A2" w:rsidR="00FA00EC" w:rsidRPr="008469A0" w:rsidRDefault="00FA00EC" w:rsidP="007A7C05">
                            <w:pPr>
                              <w:rPr>
                                <w:b/>
                                <w:color w:val="3B3721"/>
                                <w:sz w:val="20"/>
                                <w:szCs w:val="20"/>
                                <w14:textFill>
                                  <w14:solidFill>
                                    <w14:srgbClr w14:val="3B3721">
                                      <w14:lumMod w14:val="10000"/>
                                    </w14:srgbClr>
                                  </w14:solidFill>
                                </w14:textFill>
                              </w:rPr>
                            </w:pPr>
                            <w:r>
                              <w:rPr>
                                <w:b/>
                                <w:color w:val="3B3721"/>
                                <w:sz w:val="36"/>
                                <w:szCs w:val="36"/>
                              </w:rPr>
                              <w:t>REGE+</w:t>
                            </w:r>
                            <w:r w:rsidRPr="008469A0">
                              <w:rPr>
                                <w:b/>
                                <w:color w:val="3B3721"/>
                                <w:sz w:val="36"/>
                                <w:szCs w:val="36"/>
                              </w:rPr>
                              <w:cr/>
                            </w:r>
                            <w:r w:rsidRPr="00B17478">
                              <w:rPr>
                                <w:b/>
                                <w:color w:val="3B3721"/>
                                <w:sz w:val="28"/>
                                <w:szCs w:val="28"/>
                              </w:rPr>
                              <w:t>Forest regeneration under climate and environmental changes</w:t>
                            </w:r>
                          </w:p>
                          <w:p w14:paraId="27D73CC5" w14:textId="77777777" w:rsidR="000E7671" w:rsidRDefault="000738B3" w:rsidP="000E7671">
                            <w:pPr>
                              <w:spacing w:after="0"/>
                              <w:rPr>
                                <w:color w:val="1D1B11" w:themeColor="background2" w:themeShade="1A"/>
                              </w:rPr>
                            </w:pPr>
                            <w:r w:rsidRPr="00696288">
                              <w:rPr>
                                <w:color w:val="1D1B11" w:themeColor="background2" w:themeShade="1A"/>
                              </w:rPr>
                              <w:t>ANDRE Frédéric (UCLOUVAIN)</w:t>
                            </w:r>
                            <w:r w:rsidR="001F106A" w:rsidRPr="00696288">
                              <w:rPr>
                                <w:color w:val="1D1B11" w:themeColor="background2" w:themeShade="1A"/>
                              </w:rPr>
                              <w:t xml:space="preserve">, </w:t>
                            </w:r>
                            <w:r w:rsidR="00B021D0" w:rsidRPr="00696288">
                              <w:rPr>
                                <w:color w:val="1D1B11" w:themeColor="background2" w:themeShade="1A"/>
                              </w:rPr>
                              <w:t>CANDAELE Romain (ULg - Gembloux Agro-Bio Tech)</w:t>
                            </w:r>
                            <w:r w:rsidR="00B021D0" w:rsidRPr="00696288">
                              <w:rPr>
                                <w:color w:val="1D1B11" w:themeColor="background2" w:themeShade="1A"/>
                              </w:rPr>
                              <w:t xml:space="preserve">, </w:t>
                            </w:r>
                            <w:r w:rsidR="004047AE" w:rsidRPr="004047AE">
                              <w:rPr>
                                <w:color w:val="1D1B11" w:themeColor="background2" w:themeShade="1A"/>
                              </w:rPr>
                              <w:t>GOOSSE Hugues (UCLouvain)</w:t>
                            </w:r>
                            <w:r w:rsidR="004047AE">
                              <w:rPr>
                                <w:color w:val="1D1B11" w:themeColor="background2" w:themeShade="1A"/>
                              </w:rPr>
                              <w:t>,</w:t>
                            </w:r>
                            <w:r w:rsidR="00D84E40">
                              <w:rPr>
                                <w:color w:val="1D1B11" w:themeColor="background2" w:themeShade="1A"/>
                              </w:rPr>
                              <w:t xml:space="preserve"> </w:t>
                            </w:r>
                            <w:r w:rsidR="00D84E40" w:rsidRPr="00D84E40">
                              <w:rPr>
                                <w:color w:val="1D1B11" w:themeColor="background2" w:themeShade="1A"/>
                              </w:rPr>
                              <w:t>HOSSEINZADEHTALAEI Parisa (RMI)</w:t>
                            </w:r>
                            <w:r w:rsidR="00D84E40">
                              <w:rPr>
                                <w:color w:val="1D1B11" w:themeColor="background2" w:themeShade="1A"/>
                              </w:rPr>
                              <w:t>,</w:t>
                            </w:r>
                            <w:r w:rsidR="004047AE">
                              <w:rPr>
                                <w:color w:val="1D1B11" w:themeColor="background2" w:themeShade="1A"/>
                              </w:rPr>
                              <w:t xml:space="preserve"> </w:t>
                            </w:r>
                          </w:p>
                          <w:p w14:paraId="28BFB5DA" w14:textId="77777777" w:rsidR="000E7671" w:rsidRDefault="00696288" w:rsidP="000E7671">
                            <w:pPr>
                              <w:spacing w:after="0"/>
                              <w:rPr>
                                <w:color w:val="1D1B11" w:themeColor="background2" w:themeShade="1A"/>
                              </w:rPr>
                            </w:pPr>
                            <w:r w:rsidRPr="00696288">
                              <w:rPr>
                                <w:color w:val="1D1B11" w:themeColor="background2" w:themeShade="1A"/>
                              </w:rPr>
                              <w:t>LIGOT Gauthier (ULg - Gembloux Agro-Bio Tech)</w:t>
                            </w:r>
                            <w:r w:rsidR="00017CF6">
                              <w:rPr>
                                <w:color w:val="1D1B11" w:themeColor="background2" w:themeShade="1A"/>
                              </w:rPr>
                              <w:t xml:space="preserve">, </w:t>
                            </w:r>
                            <w:r w:rsidR="00B15944" w:rsidRPr="00B15944">
                              <w:rPr>
                                <w:color w:val="1D1B11" w:themeColor="background2" w:themeShade="1A"/>
                              </w:rPr>
                              <w:t>MARCHI Sylvain (RMI)</w:t>
                            </w:r>
                            <w:r w:rsidR="00B15944">
                              <w:rPr>
                                <w:color w:val="1D1B11" w:themeColor="background2" w:themeShade="1A"/>
                              </w:rPr>
                              <w:t xml:space="preserve">, </w:t>
                            </w:r>
                          </w:p>
                          <w:p w14:paraId="451D1E89" w14:textId="0943C98E" w:rsidR="00FA00EC" w:rsidRDefault="00B15944" w:rsidP="004C01B1">
                            <w:pPr>
                              <w:spacing w:after="0"/>
                              <w:rPr>
                                <w:color w:val="1D1B11" w:themeColor="background2" w:themeShade="1A"/>
                                <w:lang w:val="nl-BE"/>
                              </w:rPr>
                            </w:pPr>
                            <w:r w:rsidRPr="000E7671">
                              <w:rPr>
                                <w:color w:val="1D1B11" w:themeColor="background2" w:themeShade="1A"/>
                                <w:lang w:val="nl-BE"/>
                              </w:rPr>
                              <w:t>PAU Mathilde (ULg - Gembloux Agro-Bio Tech)</w:t>
                            </w:r>
                            <w:r w:rsidRPr="000E7671">
                              <w:rPr>
                                <w:color w:val="1D1B11" w:themeColor="background2" w:themeShade="1A"/>
                                <w:lang w:val="nl-BE"/>
                              </w:rPr>
                              <w:t xml:space="preserve">, </w:t>
                            </w:r>
                            <w:r w:rsidR="00017CF6" w:rsidRPr="000E7671">
                              <w:rPr>
                                <w:color w:val="1D1B11" w:themeColor="background2" w:themeShade="1A"/>
                                <w:lang w:val="nl-BE"/>
                              </w:rPr>
                              <w:t>VAN SCHAEYBROECK Bert (RMI)</w:t>
                            </w:r>
                            <w:r w:rsidR="004C01B1">
                              <w:rPr>
                                <w:color w:val="1D1B11" w:themeColor="background2" w:themeShade="1A"/>
                                <w:lang w:val="nl-BE"/>
                              </w:rPr>
                              <w:t>,</w:t>
                            </w:r>
                          </w:p>
                          <w:p w14:paraId="4C2758E1" w14:textId="7438A4C7" w:rsidR="004C01B1" w:rsidRPr="000E7671" w:rsidRDefault="004C01B1" w:rsidP="007A7C05">
                            <w:pPr>
                              <w:rPr>
                                <w:color w:val="1D1B11" w:themeColor="background2" w:themeShade="1A"/>
                                <w:lang w:val="nl-BE"/>
                              </w:rPr>
                            </w:pPr>
                            <w:r w:rsidRPr="004C01B1">
                              <w:rPr>
                                <w:color w:val="1D1B11" w:themeColor="background2" w:themeShade="1A"/>
                                <w:lang w:val="nl-BE"/>
                              </w:rPr>
                              <w:t>JONARD Mathieu (UCLouvain)</w:t>
                            </w:r>
                          </w:p>
                          <w:p w14:paraId="2A137CCF" w14:textId="77777777" w:rsidR="00B94378" w:rsidRDefault="00B94378" w:rsidP="00287D43">
                            <w:pPr>
                              <w:rPr>
                                <w:color w:val="1D1B11" w:themeColor="background2" w:themeShade="1A"/>
                              </w:rPr>
                            </w:pPr>
                          </w:p>
                          <w:sdt>
                            <w:sdtPr>
                              <w:rPr>
                                <w:color w:val="1D1B11" w:themeColor="background2" w:themeShade="1A"/>
                              </w:rPr>
                              <w:alias w:val="Choose a Pillar"/>
                              <w:tag w:val="Choose a Pillar"/>
                              <w:id w:val="799882694"/>
                              <w:placeholder>
                                <w:docPart w:val="3AC13709042843FD82436CD766C4A9E9"/>
                              </w:placeholder>
                              <w:dropDownList>
                                <w:listItem w:displayText="Pillar 1: Challenges and knowledge of the living and non-living world" w:value="Pillar 1: Challenges and knowledge of the living and non-living world"/>
                                <w:listItem w:displayText="Pillar 2: Heritage science" w:value="Pillar 2: Heritage science"/>
                                <w:listItem w:displayText="Pillar 3: Federal societal challenges" w:value="Pillar 3: Federal societal challenges"/>
                              </w:dropDownList>
                            </w:sdtPr>
                            <w:sdtContent>
                              <w:p w14:paraId="5C53544B" w14:textId="36851215" w:rsidR="00FA00EC" w:rsidRDefault="00FA00EC" w:rsidP="00287D43">
                                <w:pPr>
                                  <w:rPr>
                                    <w:color w:val="1D1B11" w:themeColor="background2" w:themeShade="1A"/>
                                  </w:rPr>
                                </w:pPr>
                                <w:r>
                                  <w:rPr>
                                    <w:color w:val="1D1B11" w:themeColor="background2" w:themeShade="1A"/>
                                  </w:rPr>
                                  <w:t>Pillar 1: Challenges and knowledge of the living and non-living world</w:t>
                                </w:r>
                              </w:p>
                            </w:sdtContent>
                          </w:sdt>
                          <w:p w14:paraId="03D5B191" w14:textId="77777777" w:rsidR="00FA00EC" w:rsidRPr="008469A0" w:rsidRDefault="00FA00EC" w:rsidP="00287D43">
                            <w:pPr>
                              <w:rPr>
                                <w:color w:val="1D1B11" w:themeColor="background2" w:themeShade="1A"/>
                              </w:rPr>
                            </w:pPr>
                          </w:p>
                          <w:p w14:paraId="389152B9" w14:textId="77777777" w:rsidR="00FA00EC" w:rsidRDefault="00FA00EC" w:rsidP="007A7C05">
                            <w:pPr>
                              <w:rPr>
                                <w:color w:val="1D1B11" w:themeColor="background2" w:themeShade="1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99634" id="_x0000_t202" coordsize="21600,21600" o:spt="202" path="m,l,21600r21600,l21600,xe">
                <v:stroke joinstyle="miter"/>
                <v:path gradientshapeok="t" o:connecttype="rect"/>
              </v:shapetype>
              <v:shape id="Text Box 4" o:spid="_x0000_s1026" type="#_x0000_t202" style="position:absolute;margin-left:22.15pt;margin-top:411.75pt;width:400.05pt;height:22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" filled="f" stroked="f" strokeweight=".5pt">
                <v:textbox>
                  <w:txbxContent>
                    <w:p w14:paraId="4A5A4A1E" w14:textId="50EFF3A2" w:rsidR="00FA00EC" w:rsidRPr="008469A0" w:rsidRDefault="00FA00EC" w:rsidP="007A7C05">
                      <w:pPr>
                        <w:rPr>
                          <w:b/>
                          <w:color w:val="3B3721"/>
                          <w:sz w:val="20"/>
                          <w:szCs w:val="20"/>
                          <w14:textFill>
                            <w14:solidFill>
                              <w14:srgbClr w14:val="3B3721">
                                <w14:lumMod w14:val="10000"/>
                              </w14:srgbClr>
                            </w14:solidFill>
                          </w14:textFill>
                        </w:rPr>
                      </w:pPr>
                      <w:r>
                        <w:rPr>
                          <w:b/>
                          <w:color w:val="3B3721"/>
                          <w:sz w:val="36"/>
                          <w:szCs w:val="36"/>
                        </w:rPr>
                        <w:t>REGE+</w:t>
                      </w:r>
                      <w:r w:rsidRPr="008469A0">
                        <w:rPr>
                          <w:b/>
                          <w:color w:val="3B3721"/>
                          <w:sz w:val="36"/>
                          <w:szCs w:val="36"/>
                        </w:rPr>
                        <w:cr/>
                      </w:r>
                      <w:r w:rsidRPr="00B17478">
                        <w:rPr>
                          <w:b/>
                          <w:color w:val="3B3721"/>
                          <w:sz w:val="28"/>
                          <w:szCs w:val="28"/>
                        </w:rPr>
                        <w:t>Forest regeneration under climate and environmental changes</w:t>
                      </w:r>
                    </w:p>
                    <w:p w14:paraId="27D73CC5" w14:textId="77777777" w:rsidR="000E7671" w:rsidRDefault="000738B3" w:rsidP="000E7671">
                      <w:pPr>
                        <w:spacing w:after="0"/>
                        <w:rPr>
                          <w:color w:val="1D1B11" w:themeColor="background2" w:themeShade="1A"/>
                        </w:rPr>
                      </w:pPr>
                      <w:r w:rsidRPr="00696288">
                        <w:rPr>
                          <w:color w:val="1D1B11" w:themeColor="background2" w:themeShade="1A"/>
                        </w:rPr>
                        <w:t>ANDRE Frédéric (UCLOUVAIN)</w:t>
                      </w:r>
                      <w:r w:rsidR="001F106A" w:rsidRPr="00696288">
                        <w:rPr>
                          <w:color w:val="1D1B11" w:themeColor="background2" w:themeShade="1A"/>
                        </w:rPr>
                        <w:t xml:space="preserve">, </w:t>
                      </w:r>
                      <w:r w:rsidR="00B021D0" w:rsidRPr="00696288">
                        <w:rPr>
                          <w:color w:val="1D1B11" w:themeColor="background2" w:themeShade="1A"/>
                        </w:rPr>
                        <w:t>CANDAELE Romain (ULg - Gembloux Agro-Bio Tech)</w:t>
                      </w:r>
                      <w:r w:rsidR="00B021D0" w:rsidRPr="00696288">
                        <w:rPr>
                          <w:color w:val="1D1B11" w:themeColor="background2" w:themeShade="1A"/>
                        </w:rPr>
                        <w:t xml:space="preserve">, </w:t>
                      </w:r>
                      <w:r w:rsidR="004047AE" w:rsidRPr="004047AE">
                        <w:rPr>
                          <w:color w:val="1D1B11" w:themeColor="background2" w:themeShade="1A"/>
                        </w:rPr>
                        <w:t>GOOSSE Hugues (UCLouvain)</w:t>
                      </w:r>
                      <w:r w:rsidR="004047AE">
                        <w:rPr>
                          <w:color w:val="1D1B11" w:themeColor="background2" w:themeShade="1A"/>
                        </w:rPr>
                        <w:t>,</w:t>
                      </w:r>
                      <w:r w:rsidR="00D84E40">
                        <w:rPr>
                          <w:color w:val="1D1B11" w:themeColor="background2" w:themeShade="1A"/>
                        </w:rPr>
                        <w:t xml:space="preserve"> </w:t>
                      </w:r>
                      <w:r w:rsidR="00D84E40" w:rsidRPr="00D84E40">
                        <w:rPr>
                          <w:color w:val="1D1B11" w:themeColor="background2" w:themeShade="1A"/>
                        </w:rPr>
                        <w:t>HOSSEINZADEHTALAEI Parisa (RMI)</w:t>
                      </w:r>
                      <w:r w:rsidR="00D84E40">
                        <w:rPr>
                          <w:color w:val="1D1B11" w:themeColor="background2" w:themeShade="1A"/>
                        </w:rPr>
                        <w:t>,</w:t>
                      </w:r>
                      <w:r w:rsidR="004047AE">
                        <w:rPr>
                          <w:color w:val="1D1B11" w:themeColor="background2" w:themeShade="1A"/>
                        </w:rPr>
                        <w:t xml:space="preserve"> </w:t>
                      </w:r>
                    </w:p>
                    <w:p w14:paraId="28BFB5DA" w14:textId="77777777" w:rsidR="000E7671" w:rsidRDefault="00696288" w:rsidP="000E7671">
                      <w:pPr>
                        <w:spacing w:after="0"/>
                        <w:rPr>
                          <w:color w:val="1D1B11" w:themeColor="background2" w:themeShade="1A"/>
                        </w:rPr>
                      </w:pPr>
                      <w:r w:rsidRPr="00696288">
                        <w:rPr>
                          <w:color w:val="1D1B11" w:themeColor="background2" w:themeShade="1A"/>
                        </w:rPr>
                        <w:t>LIGOT Gauthier (ULg - Gembloux Agro-Bio Tech)</w:t>
                      </w:r>
                      <w:r w:rsidR="00017CF6">
                        <w:rPr>
                          <w:color w:val="1D1B11" w:themeColor="background2" w:themeShade="1A"/>
                        </w:rPr>
                        <w:t xml:space="preserve">, </w:t>
                      </w:r>
                      <w:r w:rsidR="00B15944" w:rsidRPr="00B15944">
                        <w:rPr>
                          <w:color w:val="1D1B11" w:themeColor="background2" w:themeShade="1A"/>
                        </w:rPr>
                        <w:t>MARCHI Sylvain (RMI)</w:t>
                      </w:r>
                      <w:r w:rsidR="00B15944">
                        <w:rPr>
                          <w:color w:val="1D1B11" w:themeColor="background2" w:themeShade="1A"/>
                        </w:rPr>
                        <w:t xml:space="preserve">, </w:t>
                      </w:r>
                    </w:p>
                    <w:p w14:paraId="451D1E89" w14:textId="0943C98E" w:rsidR="00FA00EC" w:rsidRDefault="00B15944" w:rsidP="004C01B1">
                      <w:pPr>
                        <w:spacing w:after="0"/>
                        <w:rPr>
                          <w:color w:val="1D1B11" w:themeColor="background2" w:themeShade="1A"/>
                          <w:lang w:val="nl-BE"/>
                        </w:rPr>
                      </w:pPr>
                      <w:r w:rsidRPr="000E7671">
                        <w:rPr>
                          <w:color w:val="1D1B11" w:themeColor="background2" w:themeShade="1A"/>
                          <w:lang w:val="nl-BE"/>
                        </w:rPr>
                        <w:t>PAU Mathilde (ULg - Gembloux Agro-Bio Tech)</w:t>
                      </w:r>
                      <w:r w:rsidRPr="000E7671">
                        <w:rPr>
                          <w:color w:val="1D1B11" w:themeColor="background2" w:themeShade="1A"/>
                          <w:lang w:val="nl-BE"/>
                        </w:rPr>
                        <w:t xml:space="preserve">, </w:t>
                      </w:r>
                      <w:r w:rsidR="00017CF6" w:rsidRPr="000E7671">
                        <w:rPr>
                          <w:color w:val="1D1B11" w:themeColor="background2" w:themeShade="1A"/>
                          <w:lang w:val="nl-BE"/>
                        </w:rPr>
                        <w:t>VAN SCHAEYBROECK Bert (RMI)</w:t>
                      </w:r>
                      <w:r w:rsidR="004C01B1">
                        <w:rPr>
                          <w:color w:val="1D1B11" w:themeColor="background2" w:themeShade="1A"/>
                          <w:lang w:val="nl-BE"/>
                        </w:rPr>
                        <w:t>,</w:t>
                      </w:r>
                    </w:p>
                    <w:p w14:paraId="4C2758E1" w14:textId="7438A4C7" w:rsidR="004C01B1" w:rsidRPr="000E7671" w:rsidRDefault="004C01B1" w:rsidP="007A7C05">
                      <w:pPr>
                        <w:rPr>
                          <w:color w:val="1D1B11" w:themeColor="background2" w:themeShade="1A"/>
                          <w:lang w:val="nl-BE"/>
                        </w:rPr>
                      </w:pPr>
                      <w:r w:rsidRPr="004C01B1">
                        <w:rPr>
                          <w:color w:val="1D1B11" w:themeColor="background2" w:themeShade="1A"/>
                          <w:lang w:val="nl-BE"/>
                        </w:rPr>
                        <w:t>JONARD Mathieu (UCLouvain)</w:t>
                      </w:r>
                    </w:p>
                    <w:p w14:paraId="2A137CCF" w14:textId="77777777" w:rsidR="00B94378" w:rsidRDefault="00B94378" w:rsidP="00287D43">
                      <w:pPr>
                        <w:rPr>
                          <w:color w:val="1D1B11" w:themeColor="background2" w:themeShade="1A"/>
                        </w:rPr>
                      </w:pPr>
                    </w:p>
                    <w:sdt>
                      <w:sdtPr>
                        <w:rPr>
                          <w:color w:val="1D1B11" w:themeColor="background2" w:themeShade="1A"/>
                        </w:rPr>
                        <w:alias w:val="Choose a Pillar"/>
                        <w:tag w:val="Choose a Pillar"/>
                        <w:id w:val="799882694"/>
                        <w:placeholder>
                          <w:docPart w:val="3AC13709042843FD82436CD766C4A9E9"/>
                        </w:placeholder>
                        <w:dropDownList>
                          <w:listItem w:displayText="Pillar 1: Challenges and knowledge of the living and non-living world" w:value="Pillar 1: Challenges and knowledge of the living and non-living world"/>
                          <w:listItem w:displayText="Pillar 2: Heritage science" w:value="Pillar 2: Heritage science"/>
                          <w:listItem w:displayText="Pillar 3: Federal societal challenges" w:value="Pillar 3: Federal societal challenges"/>
                        </w:dropDownList>
                      </w:sdtPr>
                      <w:sdtContent>
                        <w:p w14:paraId="5C53544B" w14:textId="36851215" w:rsidR="00FA00EC" w:rsidRDefault="00FA00EC" w:rsidP="00287D43">
                          <w:pPr>
                            <w:rPr>
                              <w:color w:val="1D1B11" w:themeColor="background2" w:themeShade="1A"/>
                            </w:rPr>
                          </w:pPr>
                          <w:r>
                            <w:rPr>
                              <w:color w:val="1D1B11" w:themeColor="background2" w:themeShade="1A"/>
                            </w:rPr>
                            <w:t>Pillar 1: Challenges and knowledge of the living and non-living world</w:t>
                          </w:r>
                        </w:p>
                      </w:sdtContent>
                    </w:sdt>
                    <w:p w14:paraId="03D5B191" w14:textId="77777777" w:rsidR="00FA00EC" w:rsidRPr="008469A0" w:rsidRDefault="00FA00EC" w:rsidP="00287D43">
                      <w:pPr>
                        <w:rPr>
                          <w:color w:val="1D1B11" w:themeColor="background2" w:themeShade="1A"/>
                        </w:rPr>
                      </w:pPr>
                    </w:p>
                    <w:p w14:paraId="389152B9" w14:textId="77777777" w:rsidR="00FA00EC" w:rsidRDefault="00FA00EC" w:rsidP="007A7C05">
                      <w:pPr>
                        <w:rPr>
                          <w:color w:val="1D1B11" w:themeColor="background2" w:themeShade="1A"/>
                        </w:rPr>
                      </w:pPr>
                    </w:p>
                  </w:txbxContent>
                </v:textbox>
              </v:shape>
            </w:pict>
          </mc:Fallback>
        </mc:AlternateContent>
      </w:r>
      <w:r w:rsidR="007A7C05" w:rsidRPr="008F6866">
        <w:br w:type="page"/>
      </w:r>
    </w:p>
    <w:p w14:paraId="71012FFB" w14:textId="68C0F6D4" w:rsidR="007A7C05" w:rsidRPr="008F6866" w:rsidRDefault="007A7C05">
      <w:pPr>
        <w:rPr>
          <w:noProof/>
          <w:lang w:eastAsia="en-GB"/>
        </w:rPr>
      </w:pPr>
    </w:p>
    <w:p w14:paraId="559AAFC9" w14:textId="3165410C" w:rsidR="007A7C05" w:rsidRPr="008F6866" w:rsidRDefault="002F734D">
      <w:pPr>
        <w:rPr>
          <w:noProof/>
          <w:lang w:eastAsia="en-GB"/>
        </w:rPr>
      </w:pPr>
      <w:r w:rsidRPr="009E746E">
        <w:rPr>
          <w:noProof/>
          <w:lang w:eastAsia="en-GB"/>
        </w:rPr>
        <w:drawing>
          <wp:anchor distT="0" distB="0" distL="114300" distR="114300" simplePos="0" relativeHeight="251659271" behindDoc="1" locked="0" layoutInCell="1" allowOverlap="1" wp14:anchorId="05E7F1B1" wp14:editId="354C33AB">
            <wp:simplePos x="0" y="0"/>
            <wp:positionH relativeFrom="margin">
              <wp:posOffset>156845</wp:posOffset>
            </wp:positionH>
            <wp:positionV relativeFrom="paragraph">
              <wp:posOffset>8206740</wp:posOffset>
            </wp:positionV>
            <wp:extent cx="1421765" cy="400050"/>
            <wp:effectExtent l="0" t="0" r="6985" b="0"/>
            <wp:wrapTight wrapText="bothSides">
              <wp:wrapPolygon edited="0">
                <wp:start x="0" y="0"/>
                <wp:lineTo x="0" y="20571"/>
                <wp:lineTo x="21417" y="20571"/>
                <wp:lineTo x="21417" y="0"/>
                <wp:lineTo x="0" y="0"/>
              </wp:wrapPolygon>
            </wp:wrapTight>
            <wp:docPr id="1055674209" name="Image 22" descr="Une image contenant texte, Police, capture d’écran&#10;&#10;Le contenu généré par l’IA peut être incorrect.">
              <a:extLst xmlns:a="http://schemas.openxmlformats.org/drawingml/2006/main">
                <a:ext uri="{FF2B5EF4-FFF2-40B4-BE49-F238E27FC236}">
                  <a16:creationId xmlns:a16="http://schemas.microsoft.com/office/drawing/2014/main" id="{6D86E1F2-68BD-4DF8-8CF1-03F8C5939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74209" name="Image 22" descr="Une image contenant texte, Police, capture d’écran&#10;&#10;Le contenu généré par l’IA peut être incorrect.">
                      <a:extLst>
                        <a:ext uri="{FF2B5EF4-FFF2-40B4-BE49-F238E27FC236}">
                          <a16:creationId xmlns:a16="http://schemas.microsoft.com/office/drawing/2014/main" id="{6D86E1F2-68BD-4DF8-8CF1-03F8C5939E4A}"/>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236" t="52015" r="43463" b="13469"/>
                    <a:stretch/>
                  </pic:blipFill>
                  <pic:spPr bwMode="auto">
                    <a:xfrm>
                      <a:off x="0" y="0"/>
                      <a:ext cx="142176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F3D">
        <w:rPr>
          <w:noProof/>
          <w:lang w:eastAsia="en-GB"/>
        </w:rPr>
        <w:drawing>
          <wp:anchor distT="0" distB="0" distL="114300" distR="114300" simplePos="0" relativeHeight="251662343" behindDoc="1" locked="0" layoutInCell="1" allowOverlap="1" wp14:anchorId="66BA9E6C" wp14:editId="042EF1EA">
            <wp:simplePos x="0" y="0"/>
            <wp:positionH relativeFrom="column">
              <wp:posOffset>3395345</wp:posOffset>
            </wp:positionH>
            <wp:positionV relativeFrom="paragraph">
              <wp:posOffset>8064500</wp:posOffset>
            </wp:positionV>
            <wp:extent cx="400050" cy="499110"/>
            <wp:effectExtent l="0" t="0" r="0" b="0"/>
            <wp:wrapTight wrapText="bothSides">
              <wp:wrapPolygon edited="0">
                <wp:start x="0" y="0"/>
                <wp:lineTo x="0" y="20611"/>
                <wp:lineTo x="20571" y="20611"/>
                <wp:lineTo x="20571" y="0"/>
                <wp:lineTo x="0" y="0"/>
              </wp:wrapPolygon>
            </wp:wrapTight>
            <wp:docPr id="56770329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 cy="499110"/>
                    </a:xfrm>
                    <a:prstGeom prst="rect">
                      <a:avLst/>
                    </a:prstGeom>
                    <a:noFill/>
                  </pic:spPr>
                </pic:pic>
              </a:graphicData>
            </a:graphic>
            <wp14:sizeRelH relativeFrom="page">
              <wp14:pctWidth>0</wp14:pctWidth>
            </wp14:sizeRelH>
            <wp14:sizeRelV relativeFrom="page">
              <wp14:pctHeight>0</wp14:pctHeight>
            </wp14:sizeRelV>
          </wp:anchor>
        </w:drawing>
      </w:r>
      <w:r w:rsidR="00BD4F3D" w:rsidRPr="004C4D64">
        <w:rPr>
          <w:noProof/>
          <w:lang w:eastAsia="en-GB"/>
        </w:rPr>
        <w:drawing>
          <wp:anchor distT="0" distB="0" distL="114300" distR="114300" simplePos="0" relativeHeight="251661319" behindDoc="1" locked="0" layoutInCell="1" allowOverlap="1" wp14:anchorId="1DFF88B3" wp14:editId="1A84B3ED">
            <wp:simplePos x="0" y="0"/>
            <wp:positionH relativeFrom="margin">
              <wp:posOffset>1856740</wp:posOffset>
            </wp:positionH>
            <wp:positionV relativeFrom="paragraph">
              <wp:posOffset>8300720</wp:posOffset>
            </wp:positionV>
            <wp:extent cx="1195070" cy="420370"/>
            <wp:effectExtent l="0" t="0" r="5080" b="0"/>
            <wp:wrapTight wrapText="bothSides">
              <wp:wrapPolygon edited="0">
                <wp:start x="6542" y="0"/>
                <wp:lineTo x="0" y="0"/>
                <wp:lineTo x="0" y="13704"/>
                <wp:lineTo x="1033" y="15662"/>
                <wp:lineTo x="5853" y="20556"/>
                <wp:lineTo x="6542" y="20556"/>
                <wp:lineTo x="9296" y="20556"/>
                <wp:lineTo x="21348" y="20556"/>
                <wp:lineTo x="21348" y="15662"/>
                <wp:lineTo x="19626" y="0"/>
                <wp:lineTo x="6542" y="0"/>
              </wp:wrapPolygon>
            </wp:wrapTight>
            <wp:docPr id="403742493" name="Image 7" descr="Charte grap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e graphiq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5070"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9E746E" w:rsidRPr="009E746E">
        <w:rPr>
          <w:noProof/>
          <w:lang w:eastAsia="en-GB"/>
        </w:rPr>
        <w:t xml:space="preserve"> </w:t>
      </w:r>
      <w:r w:rsidR="00B87820" w:rsidRPr="00B87820">
        <w:rPr>
          <w:noProof/>
          <w:lang w:eastAsia="en-GB"/>
        </w:rPr>
        <w:t xml:space="preserve"> </w:t>
      </w:r>
      <w:r w:rsidR="004C4D64" w:rsidRPr="004C4D64">
        <w:rPr>
          <w:noProof/>
          <w:lang w:eastAsia="en-GB"/>
        </w:rPr>
        <w:t xml:space="preserve"> </w:t>
      </w:r>
      <w:r w:rsidR="00780B8B" w:rsidRPr="008F6866">
        <w:rPr>
          <w:noProof/>
          <w:lang w:eastAsia="en-GB"/>
        </w:rPr>
        <mc:AlternateContent>
          <mc:Choice Requires="wps">
            <w:drawing>
              <wp:anchor distT="0" distB="0" distL="114300" distR="114300" simplePos="0" relativeHeight="251658240" behindDoc="0" locked="0" layoutInCell="1" allowOverlap="1" wp14:anchorId="3053DFE9" wp14:editId="7A2BD334">
                <wp:simplePos x="0" y="0"/>
                <wp:positionH relativeFrom="column">
                  <wp:posOffset>292735</wp:posOffset>
                </wp:positionH>
                <wp:positionV relativeFrom="paragraph">
                  <wp:posOffset>3031861</wp:posOffset>
                </wp:positionV>
                <wp:extent cx="5080635" cy="2337435"/>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5080635" cy="2337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6C2A3" w14:textId="2D85BC2F" w:rsidR="00FA00EC" w:rsidRPr="00780B8B" w:rsidRDefault="00FA00EC">
                            <w:pPr>
                              <w:rPr>
                                <w:color w:val="1D1B11" w:themeColor="background2" w:themeShade="1A"/>
                                <w:sz w:val="28"/>
                                <w:szCs w:val="28"/>
                              </w:rPr>
                            </w:pPr>
                            <w:r>
                              <w:rPr>
                                <w:b/>
                                <w:color w:val="3B3721"/>
                                <w:sz w:val="32"/>
                                <w:szCs w:val="32"/>
                              </w:rPr>
                              <w:t>REGE+</w:t>
                            </w:r>
                            <w:r w:rsidRPr="00B33A2E">
                              <w:rPr>
                                <w:b/>
                                <w:color w:val="3B3721"/>
                                <w:sz w:val="32"/>
                                <w:szCs w:val="32"/>
                              </w:rPr>
                              <w:t xml:space="preserve"> </w:t>
                            </w:r>
                            <w:r w:rsidRPr="00B33A2E">
                              <w:rPr>
                                <w:b/>
                                <w:color w:val="3B3721"/>
                                <w:sz w:val="32"/>
                                <w:szCs w:val="32"/>
                              </w:rPr>
                              <w:cr/>
                            </w:r>
                            <w:r w:rsidRPr="00B17478">
                              <w:rPr>
                                <w:b/>
                                <w:color w:val="3B3721"/>
                                <w:sz w:val="28"/>
                                <w:szCs w:val="28"/>
                              </w:rPr>
                              <w:t>Forest regeneration under climate and environmental changes</w:t>
                            </w:r>
                            <w:r w:rsidRPr="00780B8B">
                              <w:rPr>
                                <w:b/>
                                <w:color w:val="3B3721"/>
                                <w:sz w:val="28"/>
                                <w:szCs w:val="28"/>
                              </w:rPr>
                              <w:t xml:space="preserve"> </w:t>
                            </w:r>
                            <w:r w:rsidRPr="00780B8B">
                              <w:rPr>
                                <w:b/>
                                <w:color w:val="3B3721"/>
                                <w:sz w:val="28"/>
                                <w:szCs w:val="28"/>
                              </w:rPr>
                              <w:cr/>
                            </w:r>
                            <w:r w:rsidRPr="00780B8B">
                              <w:rPr>
                                <w:b/>
                                <w:color w:val="3B3721"/>
                                <w:sz w:val="28"/>
                                <w:szCs w:val="28"/>
                              </w:rPr>
                              <w:cr/>
                            </w:r>
                            <w:r w:rsidRPr="00780B8B">
                              <w:rPr>
                                <w:b/>
                                <w:color w:val="3B3721"/>
                                <w:sz w:val="24"/>
                                <w:szCs w:val="24"/>
                              </w:rPr>
                              <w:t>Contract - B</w:t>
                            </w:r>
                            <w:r>
                              <w:rPr>
                                <w:b/>
                                <w:color w:val="3B3721"/>
                                <w:sz w:val="24"/>
                                <w:szCs w:val="24"/>
                              </w:rPr>
                              <w:t>2</w:t>
                            </w:r>
                            <w:r w:rsidRPr="00780B8B">
                              <w:rPr>
                                <w:b/>
                                <w:color w:val="3B3721"/>
                                <w:sz w:val="24"/>
                                <w:szCs w:val="24"/>
                              </w:rPr>
                              <w:t>/</w:t>
                            </w:r>
                            <w:r>
                              <w:rPr>
                                <w:b/>
                                <w:color w:val="3B3721"/>
                                <w:sz w:val="24"/>
                                <w:szCs w:val="24"/>
                              </w:rPr>
                              <w:t>212</w:t>
                            </w:r>
                            <w:r w:rsidRPr="00780B8B">
                              <w:rPr>
                                <w:b/>
                                <w:color w:val="3B3721"/>
                                <w:sz w:val="24"/>
                                <w:szCs w:val="24"/>
                              </w:rPr>
                              <w:t>/</w:t>
                            </w:r>
                            <w:r>
                              <w:rPr>
                                <w:b/>
                                <w:color w:val="3B3721"/>
                                <w:sz w:val="24"/>
                                <w:szCs w:val="24"/>
                              </w:rPr>
                              <w:t>P1/REGE+</w:t>
                            </w:r>
                            <w:r w:rsidRPr="00780B8B">
                              <w:rPr>
                                <w:b/>
                                <w:color w:val="3B3721"/>
                                <w:sz w:val="28"/>
                                <w:szCs w:val="28"/>
                              </w:rPr>
                              <w:cr/>
                            </w:r>
                            <w:r w:rsidRPr="00780B8B">
                              <w:rPr>
                                <w:b/>
                                <w:color w:val="3B3721"/>
                                <w:sz w:val="28"/>
                                <w:szCs w:val="28"/>
                              </w:rPr>
                              <w:cr/>
                              <w:t>FINAL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3DFE9" id="Text Box 2" o:spid="_x0000_s1027" type="#_x0000_t202" style="position:absolute;margin-left:23.05pt;margin-top:238.75pt;width:400.05pt;height:18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" filled="f" stroked="f" strokeweight=".5pt">
                <v:textbox>
                  <w:txbxContent>
                    <w:p w14:paraId="2806C2A3" w14:textId="2D85BC2F" w:rsidR="00FA00EC" w:rsidRPr="00780B8B" w:rsidRDefault="00FA00EC">
                      <w:pPr>
                        <w:rPr>
                          <w:color w:val="1D1B11" w:themeColor="background2" w:themeShade="1A"/>
                          <w:sz w:val="28"/>
                          <w:szCs w:val="28"/>
                        </w:rPr>
                      </w:pPr>
                      <w:r>
                        <w:rPr>
                          <w:b/>
                          <w:color w:val="3B3721"/>
                          <w:sz w:val="32"/>
                          <w:szCs w:val="32"/>
                        </w:rPr>
                        <w:t>REGE+</w:t>
                      </w:r>
                      <w:r w:rsidRPr="00B33A2E">
                        <w:rPr>
                          <w:b/>
                          <w:color w:val="3B3721"/>
                          <w:sz w:val="32"/>
                          <w:szCs w:val="32"/>
                        </w:rPr>
                        <w:t xml:space="preserve"> </w:t>
                      </w:r>
                      <w:r w:rsidRPr="00B33A2E">
                        <w:rPr>
                          <w:b/>
                          <w:color w:val="3B3721"/>
                          <w:sz w:val="32"/>
                          <w:szCs w:val="32"/>
                        </w:rPr>
                        <w:cr/>
                      </w:r>
                      <w:r w:rsidRPr="00B17478">
                        <w:rPr>
                          <w:b/>
                          <w:color w:val="3B3721"/>
                          <w:sz w:val="28"/>
                          <w:szCs w:val="28"/>
                        </w:rPr>
                        <w:t>Forest regeneration under climate and environmental changes</w:t>
                      </w:r>
                      <w:r w:rsidRPr="00780B8B">
                        <w:rPr>
                          <w:b/>
                          <w:color w:val="3B3721"/>
                          <w:sz w:val="28"/>
                          <w:szCs w:val="28"/>
                        </w:rPr>
                        <w:t xml:space="preserve"> </w:t>
                      </w:r>
                      <w:r w:rsidRPr="00780B8B">
                        <w:rPr>
                          <w:b/>
                          <w:color w:val="3B3721"/>
                          <w:sz w:val="28"/>
                          <w:szCs w:val="28"/>
                        </w:rPr>
                        <w:cr/>
                      </w:r>
                      <w:r w:rsidRPr="00780B8B">
                        <w:rPr>
                          <w:b/>
                          <w:color w:val="3B3721"/>
                          <w:sz w:val="28"/>
                          <w:szCs w:val="28"/>
                        </w:rPr>
                        <w:cr/>
                      </w:r>
                      <w:r w:rsidRPr="00780B8B">
                        <w:rPr>
                          <w:b/>
                          <w:color w:val="3B3721"/>
                          <w:sz w:val="24"/>
                          <w:szCs w:val="24"/>
                        </w:rPr>
                        <w:t>Contract - B</w:t>
                      </w:r>
                      <w:r>
                        <w:rPr>
                          <w:b/>
                          <w:color w:val="3B3721"/>
                          <w:sz w:val="24"/>
                          <w:szCs w:val="24"/>
                        </w:rPr>
                        <w:t>2</w:t>
                      </w:r>
                      <w:r w:rsidRPr="00780B8B">
                        <w:rPr>
                          <w:b/>
                          <w:color w:val="3B3721"/>
                          <w:sz w:val="24"/>
                          <w:szCs w:val="24"/>
                        </w:rPr>
                        <w:t>/</w:t>
                      </w:r>
                      <w:r>
                        <w:rPr>
                          <w:b/>
                          <w:color w:val="3B3721"/>
                          <w:sz w:val="24"/>
                          <w:szCs w:val="24"/>
                        </w:rPr>
                        <w:t>212</w:t>
                      </w:r>
                      <w:r w:rsidRPr="00780B8B">
                        <w:rPr>
                          <w:b/>
                          <w:color w:val="3B3721"/>
                          <w:sz w:val="24"/>
                          <w:szCs w:val="24"/>
                        </w:rPr>
                        <w:t>/</w:t>
                      </w:r>
                      <w:r>
                        <w:rPr>
                          <w:b/>
                          <w:color w:val="3B3721"/>
                          <w:sz w:val="24"/>
                          <w:szCs w:val="24"/>
                        </w:rPr>
                        <w:t>P1/REGE+</w:t>
                      </w:r>
                      <w:r w:rsidRPr="00780B8B">
                        <w:rPr>
                          <w:b/>
                          <w:color w:val="3B3721"/>
                          <w:sz w:val="28"/>
                          <w:szCs w:val="28"/>
                        </w:rPr>
                        <w:cr/>
                      </w:r>
                      <w:r w:rsidRPr="00780B8B">
                        <w:rPr>
                          <w:b/>
                          <w:color w:val="3B3721"/>
                          <w:sz w:val="28"/>
                          <w:szCs w:val="28"/>
                        </w:rPr>
                        <w:cr/>
                        <w:t>FINAL REPORT</w:t>
                      </w:r>
                    </w:p>
                  </w:txbxContent>
                </v:textbox>
              </v:shape>
            </w:pict>
          </mc:Fallback>
        </mc:AlternateContent>
      </w:r>
      <w:r w:rsidR="00780B8B" w:rsidRPr="008F6866">
        <w:rPr>
          <w:noProof/>
          <w:lang w:eastAsia="en-GB"/>
        </w:rPr>
        <mc:AlternateContent>
          <mc:Choice Requires="wps">
            <w:drawing>
              <wp:anchor distT="0" distB="0" distL="114300" distR="114300" simplePos="0" relativeHeight="251658246" behindDoc="0" locked="0" layoutInCell="1" allowOverlap="1" wp14:anchorId="501793D8" wp14:editId="338F9EEF">
                <wp:simplePos x="0" y="0"/>
                <wp:positionH relativeFrom="column">
                  <wp:posOffset>293298</wp:posOffset>
                </wp:positionH>
                <wp:positionV relativeFrom="paragraph">
                  <wp:posOffset>5232196</wp:posOffset>
                </wp:positionV>
                <wp:extent cx="5080635" cy="263968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080635" cy="26396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5344E" w14:textId="5155AAB5" w:rsidR="00FA00EC" w:rsidRPr="00780B8B" w:rsidRDefault="00FA00EC" w:rsidP="00780B8B">
                            <w:pPr>
                              <w:tabs>
                                <w:tab w:val="left" w:pos="1701"/>
                              </w:tabs>
                              <w:rPr>
                                <w:color w:val="3B3721"/>
                                <w:sz w:val="20"/>
                                <w:szCs w:val="20"/>
                              </w:rPr>
                            </w:pPr>
                            <w:r w:rsidRPr="00780B8B">
                              <w:rPr>
                                <w:color w:val="3B3721"/>
                              </w:rPr>
                              <w:cr/>
                            </w:r>
                            <w:r w:rsidRPr="00780B8B">
                              <w:rPr>
                                <w:b/>
                                <w:color w:val="3B3721"/>
                                <w:sz w:val="20"/>
                                <w:szCs w:val="20"/>
                              </w:rPr>
                              <w:t>PROMOTORS:</w:t>
                            </w:r>
                            <w:r w:rsidRPr="00780B8B">
                              <w:rPr>
                                <w:color w:val="3B3721"/>
                                <w:sz w:val="20"/>
                                <w:szCs w:val="20"/>
                              </w:rPr>
                              <w:t xml:space="preserve">  </w:t>
                            </w:r>
                            <w:r w:rsidRPr="00780B8B">
                              <w:rPr>
                                <w:color w:val="3B3721"/>
                                <w:sz w:val="20"/>
                                <w:szCs w:val="20"/>
                              </w:rPr>
                              <w:tab/>
                            </w:r>
                            <w:r w:rsidR="00190BFB">
                              <w:rPr>
                                <w:color w:val="3B3721"/>
                                <w:sz w:val="20"/>
                                <w:szCs w:val="20"/>
                              </w:rPr>
                              <w:t>JONARD Mathieu</w:t>
                            </w:r>
                            <w:r w:rsidRPr="005E47AC">
                              <w:rPr>
                                <w:color w:val="3B3721"/>
                                <w:sz w:val="20"/>
                                <w:szCs w:val="20"/>
                              </w:rPr>
                              <w:t xml:space="preserve"> (</w:t>
                            </w:r>
                            <w:r w:rsidR="00190BFB">
                              <w:rPr>
                                <w:color w:val="3B3721"/>
                                <w:sz w:val="20"/>
                                <w:szCs w:val="20"/>
                              </w:rPr>
                              <w:t>UCLouvain</w:t>
                            </w:r>
                            <w:r w:rsidRPr="005E47AC">
                              <w:rPr>
                                <w:color w:val="3B3721"/>
                                <w:sz w:val="20"/>
                                <w:szCs w:val="20"/>
                              </w:rPr>
                              <w:t>)</w:t>
                            </w:r>
                            <w:r w:rsidRPr="00780B8B">
                              <w:rPr>
                                <w:color w:val="3B3721"/>
                                <w:sz w:val="20"/>
                                <w:szCs w:val="20"/>
                              </w:rPr>
                              <w:br/>
                            </w:r>
                            <w:r>
                              <w:rPr>
                                <w:color w:val="3B3721"/>
                                <w:sz w:val="20"/>
                                <w:szCs w:val="20"/>
                              </w:rPr>
                              <w:tab/>
                            </w:r>
                            <w:r w:rsidR="00190BFB">
                              <w:rPr>
                                <w:color w:val="3B3721"/>
                                <w:sz w:val="20"/>
                                <w:szCs w:val="20"/>
                              </w:rPr>
                              <w:t>LIGOT Gauthier</w:t>
                            </w:r>
                            <w:r w:rsidRPr="005E47AC">
                              <w:rPr>
                                <w:color w:val="3B3721"/>
                                <w:sz w:val="20"/>
                                <w:szCs w:val="20"/>
                              </w:rPr>
                              <w:t xml:space="preserve"> (</w:t>
                            </w:r>
                            <w:r w:rsidR="00C01488">
                              <w:rPr>
                                <w:color w:val="3B3721"/>
                                <w:sz w:val="20"/>
                                <w:szCs w:val="20"/>
                              </w:rPr>
                              <w:t>ULg</w:t>
                            </w:r>
                            <w:r w:rsidR="001A0C50">
                              <w:rPr>
                                <w:color w:val="3B3721"/>
                                <w:sz w:val="20"/>
                                <w:szCs w:val="20"/>
                              </w:rPr>
                              <w:t xml:space="preserve"> </w:t>
                            </w:r>
                            <w:r w:rsidR="008D11DC">
                              <w:rPr>
                                <w:color w:val="3B3721"/>
                                <w:sz w:val="20"/>
                                <w:szCs w:val="20"/>
                              </w:rPr>
                              <w:t xml:space="preserve">- </w:t>
                            </w:r>
                            <w:r w:rsidR="001A0C50" w:rsidRPr="001A0C50">
                              <w:rPr>
                                <w:color w:val="3B3721"/>
                                <w:sz w:val="20"/>
                                <w:szCs w:val="20"/>
                              </w:rPr>
                              <w:t>Gembloux Agro-Bio Tech</w:t>
                            </w:r>
                            <w:r w:rsidRPr="005E47AC">
                              <w:rPr>
                                <w:color w:val="3B3721"/>
                                <w:sz w:val="20"/>
                                <w:szCs w:val="20"/>
                              </w:rPr>
                              <w:t>)</w:t>
                            </w:r>
                            <w:r w:rsidRPr="00780B8B">
                              <w:rPr>
                                <w:color w:val="3B3721"/>
                                <w:sz w:val="20"/>
                                <w:szCs w:val="20"/>
                              </w:rPr>
                              <w:tab/>
                            </w:r>
                            <w:r w:rsidRPr="00780B8B">
                              <w:rPr>
                                <w:color w:val="3B3721"/>
                                <w:sz w:val="20"/>
                                <w:szCs w:val="20"/>
                              </w:rPr>
                              <w:tab/>
                            </w:r>
                            <w:r w:rsidRPr="00780B8B">
                              <w:rPr>
                                <w:color w:val="3B3721"/>
                                <w:sz w:val="20"/>
                                <w:szCs w:val="20"/>
                              </w:rPr>
                              <w:tab/>
                            </w:r>
                            <w:r w:rsidRPr="00780B8B">
                              <w:rPr>
                                <w:color w:val="3B3721"/>
                                <w:sz w:val="20"/>
                                <w:szCs w:val="20"/>
                              </w:rPr>
                              <w:tab/>
                            </w:r>
                            <w:r w:rsidR="00A240B2" w:rsidRPr="00A240B2">
                              <w:rPr>
                                <w:color w:val="3B3721"/>
                                <w:sz w:val="20"/>
                                <w:szCs w:val="20"/>
                              </w:rPr>
                              <w:t>V</w:t>
                            </w:r>
                            <w:r w:rsidR="00A240B2">
                              <w:rPr>
                                <w:color w:val="3B3721"/>
                                <w:sz w:val="20"/>
                                <w:szCs w:val="20"/>
                              </w:rPr>
                              <w:t>AN</w:t>
                            </w:r>
                            <w:r w:rsidR="00A240B2" w:rsidRPr="00A240B2">
                              <w:rPr>
                                <w:color w:val="3B3721"/>
                                <w:sz w:val="20"/>
                                <w:szCs w:val="20"/>
                              </w:rPr>
                              <w:t xml:space="preserve"> S</w:t>
                            </w:r>
                            <w:r w:rsidR="00A240B2">
                              <w:rPr>
                                <w:color w:val="3B3721"/>
                                <w:sz w:val="20"/>
                                <w:szCs w:val="20"/>
                              </w:rPr>
                              <w:t>CHAE</w:t>
                            </w:r>
                            <w:r w:rsidR="00D04114">
                              <w:rPr>
                                <w:color w:val="3B3721"/>
                                <w:sz w:val="20"/>
                                <w:szCs w:val="20"/>
                              </w:rPr>
                              <w:t xml:space="preserve">YBROECK </w:t>
                            </w:r>
                            <w:r w:rsidR="00D04114" w:rsidRPr="00D04114">
                              <w:rPr>
                                <w:color w:val="3B3721"/>
                                <w:sz w:val="20"/>
                                <w:szCs w:val="20"/>
                              </w:rPr>
                              <w:t>Bert</w:t>
                            </w:r>
                            <w:r w:rsidRPr="00D04114">
                              <w:rPr>
                                <w:color w:val="3B3721"/>
                                <w:sz w:val="20"/>
                                <w:szCs w:val="20"/>
                              </w:rPr>
                              <w:t xml:space="preserve"> (</w:t>
                            </w:r>
                            <w:r w:rsidR="001A0C50" w:rsidRPr="00D04114">
                              <w:rPr>
                                <w:color w:val="3B3721"/>
                                <w:sz w:val="20"/>
                                <w:szCs w:val="20"/>
                              </w:rPr>
                              <w:t>RMI</w:t>
                            </w:r>
                            <w:r w:rsidRPr="00D04114">
                              <w:rPr>
                                <w:color w:val="3B3721"/>
                                <w:sz w:val="20"/>
                                <w:szCs w:val="20"/>
                              </w:rPr>
                              <w:t>)</w:t>
                            </w:r>
                            <w:r w:rsidRPr="00780B8B">
                              <w:rPr>
                                <w:color w:val="3B3721"/>
                                <w:sz w:val="20"/>
                                <w:szCs w:val="20"/>
                              </w:rPr>
                              <w:cr/>
                            </w:r>
                            <w:r>
                              <w:rPr>
                                <w:color w:val="3B3721"/>
                                <w:sz w:val="20"/>
                                <w:szCs w:val="20"/>
                              </w:rPr>
                              <w:tab/>
                            </w:r>
                            <w:r w:rsidR="001A0C50">
                              <w:rPr>
                                <w:color w:val="3B3721"/>
                                <w:sz w:val="20"/>
                                <w:szCs w:val="20"/>
                              </w:rPr>
                              <w:t>GOOSSE Hugues (UCLouvain)</w:t>
                            </w:r>
                            <w:r>
                              <w:rPr>
                                <w:color w:val="3B3721"/>
                                <w:sz w:val="20"/>
                                <w:szCs w:val="20"/>
                              </w:rPr>
                              <w:br/>
                            </w:r>
                            <w:r>
                              <w:rPr>
                                <w:color w:val="3B3721"/>
                                <w:sz w:val="20"/>
                                <w:szCs w:val="20"/>
                              </w:rPr>
                              <w:tab/>
                            </w:r>
                            <w:r w:rsidRPr="00780B8B">
                              <w:rPr>
                                <w:color w:val="3B3721"/>
                                <w:sz w:val="20"/>
                                <w:szCs w:val="20"/>
                              </w:rPr>
                              <w:cr/>
                            </w:r>
                            <w:r w:rsidRPr="00780B8B">
                              <w:rPr>
                                <w:b/>
                                <w:color w:val="3B3721"/>
                                <w:sz w:val="20"/>
                                <w:szCs w:val="20"/>
                              </w:rPr>
                              <w:t>AUTHORS:</w:t>
                            </w:r>
                            <w:r>
                              <w:rPr>
                                <w:color w:val="3B3721"/>
                                <w:sz w:val="20"/>
                                <w:szCs w:val="20"/>
                              </w:rPr>
                              <w:tab/>
                            </w:r>
                            <w:r w:rsidR="00110C22">
                              <w:rPr>
                                <w:color w:val="3B3721"/>
                                <w:sz w:val="20"/>
                                <w:szCs w:val="20"/>
                              </w:rPr>
                              <w:t>ANDRE Frédéric</w:t>
                            </w:r>
                            <w:r w:rsidRPr="005E47AC">
                              <w:rPr>
                                <w:color w:val="3B3721"/>
                                <w:sz w:val="20"/>
                                <w:szCs w:val="20"/>
                              </w:rPr>
                              <w:t xml:space="preserve"> (</w:t>
                            </w:r>
                            <w:r w:rsidR="008D11DC">
                              <w:rPr>
                                <w:color w:val="3B3721"/>
                                <w:sz w:val="20"/>
                                <w:szCs w:val="20"/>
                              </w:rPr>
                              <w:t>UCLOUVAIN</w:t>
                            </w:r>
                            <w:r w:rsidRPr="005E47AC">
                              <w:rPr>
                                <w:color w:val="3B3721"/>
                                <w:sz w:val="20"/>
                                <w:szCs w:val="20"/>
                              </w:rPr>
                              <w:t>)</w:t>
                            </w:r>
                            <w:r w:rsidRPr="00780B8B">
                              <w:rPr>
                                <w:color w:val="3B3721"/>
                                <w:sz w:val="20"/>
                                <w:szCs w:val="20"/>
                              </w:rPr>
                              <w:cr/>
                            </w:r>
                            <w:r>
                              <w:rPr>
                                <w:color w:val="3B3721"/>
                                <w:sz w:val="20"/>
                                <w:szCs w:val="20"/>
                              </w:rPr>
                              <w:tab/>
                            </w:r>
                            <w:r w:rsidR="008309AB">
                              <w:rPr>
                                <w:color w:val="3B3721"/>
                                <w:sz w:val="20"/>
                                <w:szCs w:val="20"/>
                              </w:rPr>
                              <w:t>CANDAELE Romain</w:t>
                            </w:r>
                            <w:r w:rsidRPr="005E47AC">
                              <w:rPr>
                                <w:color w:val="3B3721"/>
                                <w:sz w:val="20"/>
                                <w:szCs w:val="20"/>
                              </w:rPr>
                              <w:t xml:space="preserve"> (</w:t>
                            </w:r>
                            <w:r w:rsidR="008309AB">
                              <w:rPr>
                                <w:color w:val="3B3721"/>
                                <w:sz w:val="20"/>
                                <w:szCs w:val="20"/>
                              </w:rPr>
                              <w:t xml:space="preserve">ULg - </w:t>
                            </w:r>
                            <w:r w:rsidR="008309AB" w:rsidRPr="001A0C50">
                              <w:rPr>
                                <w:color w:val="3B3721"/>
                                <w:sz w:val="20"/>
                                <w:szCs w:val="20"/>
                              </w:rPr>
                              <w:t>Gembloux Agro-Bio Tech</w:t>
                            </w:r>
                            <w:r w:rsidRPr="005E47AC">
                              <w:rPr>
                                <w:color w:val="3B3721"/>
                                <w:sz w:val="20"/>
                                <w:szCs w:val="20"/>
                              </w:rPr>
                              <w:t>)</w:t>
                            </w:r>
                            <w:r w:rsidRPr="00780B8B">
                              <w:rPr>
                                <w:color w:val="3B3721"/>
                                <w:sz w:val="20"/>
                                <w:szCs w:val="20"/>
                              </w:rPr>
                              <w:tab/>
                            </w:r>
                            <w:r>
                              <w:rPr>
                                <w:color w:val="3B3721"/>
                                <w:sz w:val="20"/>
                                <w:szCs w:val="20"/>
                              </w:rPr>
                              <w:tab/>
                            </w:r>
                            <w:r>
                              <w:rPr>
                                <w:color w:val="3B3721"/>
                                <w:sz w:val="20"/>
                                <w:szCs w:val="20"/>
                              </w:rPr>
                              <w:tab/>
                            </w:r>
                            <w:r w:rsidR="00E75ED0">
                              <w:rPr>
                                <w:color w:val="3B3721"/>
                                <w:sz w:val="20"/>
                                <w:szCs w:val="20"/>
                              </w:rPr>
                              <w:t>PAU M</w:t>
                            </w:r>
                            <w:r w:rsidR="00434A3E">
                              <w:rPr>
                                <w:color w:val="3B3721"/>
                                <w:sz w:val="20"/>
                                <w:szCs w:val="20"/>
                              </w:rPr>
                              <w:t>athilde</w:t>
                            </w:r>
                            <w:r w:rsidRPr="005E47AC">
                              <w:rPr>
                                <w:color w:val="3B3721"/>
                                <w:sz w:val="20"/>
                                <w:szCs w:val="20"/>
                              </w:rPr>
                              <w:t xml:space="preserve"> (</w:t>
                            </w:r>
                            <w:r w:rsidR="00434A3E">
                              <w:rPr>
                                <w:color w:val="3B3721"/>
                                <w:sz w:val="20"/>
                                <w:szCs w:val="20"/>
                              </w:rPr>
                              <w:t xml:space="preserve">ULg - </w:t>
                            </w:r>
                            <w:r w:rsidR="00434A3E" w:rsidRPr="001A0C50">
                              <w:rPr>
                                <w:color w:val="3B3721"/>
                                <w:sz w:val="20"/>
                                <w:szCs w:val="20"/>
                              </w:rPr>
                              <w:t>Gembloux Agro-Bio Tech</w:t>
                            </w:r>
                            <w:r w:rsidRPr="005E47AC">
                              <w:rPr>
                                <w:color w:val="3B3721"/>
                                <w:sz w:val="20"/>
                                <w:szCs w:val="20"/>
                              </w:rPr>
                              <w:t>)</w:t>
                            </w:r>
                            <w:r>
                              <w:rPr>
                                <w:color w:val="3B3721"/>
                                <w:sz w:val="20"/>
                                <w:szCs w:val="20"/>
                              </w:rPr>
                              <w:br/>
                            </w:r>
                            <w:r>
                              <w:rPr>
                                <w:color w:val="3B3721"/>
                                <w:sz w:val="20"/>
                                <w:szCs w:val="20"/>
                              </w:rPr>
                              <w:tab/>
                            </w:r>
                            <w:r w:rsidR="00434A3E">
                              <w:rPr>
                                <w:color w:val="3B3721"/>
                                <w:sz w:val="20"/>
                                <w:szCs w:val="20"/>
                              </w:rPr>
                              <w:t>MARCHI Sylvain (RMI)</w:t>
                            </w:r>
                            <w:r w:rsidRPr="00780B8B">
                              <w:rPr>
                                <w:color w:val="3B3721"/>
                                <w:sz w:val="20"/>
                                <w:szCs w:val="20"/>
                              </w:rPr>
                              <w:cr/>
                            </w:r>
                            <w:r w:rsidRPr="00780B8B">
                              <w:rPr>
                                <w:color w:val="3B3721"/>
                                <w:sz w:val="20"/>
                                <w:szCs w:val="20"/>
                              </w:rPr>
                              <w:tab/>
                            </w:r>
                            <w:r w:rsidR="005C30C8" w:rsidRPr="005C30C8">
                              <w:rPr>
                                <w:color w:val="3B3721"/>
                                <w:sz w:val="20"/>
                                <w:szCs w:val="20"/>
                              </w:rPr>
                              <w:t>HOSSEINZADEHTALAEI</w:t>
                            </w:r>
                            <w:r w:rsidR="005C30C8">
                              <w:rPr>
                                <w:color w:val="3B3721"/>
                                <w:sz w:val="20"/>
                                <w:szCs w:val="20"/>
                              </w:rPr>
                              <w:t xml:space="preserve"> Parisa</w:t>
                            </w:r>
                            <w:r w:rsidR="00092BF4">
                              <w:rPr>
                                <w:color w:val="3B3721"/>
                                <w:sz w:val="20"/>
                                <w:szCs w:val="20"/>
                              </w:rPr>
                              <w:t xml:space="preserve"> (RMI)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793D8" id="Text Box 10" o:spid="_x0000_s1028" type="#_x0000_t202" style="position:absolute;margin-left:23.1pt;margin-top:412pt;width:400.05pt;height:207.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" filled="f" stroked="f" strokeweight=".5pt">
                <v:textbox>
                  <w:txbxContent>
                    <w:p w14:paraId="2795344E" w14:textId="5155AAB5" w:rsidR="00FA00EC" w:rsidRPr="00780B8B" w:rsidRDefault="00FA00EC" w:rsidP="00780B8B">
                      <w:pPr>
                        <w:tabs>
                          <w:tab w:val="left" w:pos="1701"/>
                        </w:tabs>
                        <w:rPr>
                          <w:color w:val="3B3721"/>
                          <w:sz w:val="20"/>
                          <w:szCs w:val="20"/>
                        </w:rPr>
                      </w:pPr>
                      <w:r w:rsidRPr="00780B8B">
                        <w:rPr>
                          <w:color w:val="3B3721"/>
                        </w:rPr>
                        <w:cr/>
                      </w:r>
                      <w:r w:rsidRPr="00780B8B">
                        <w:rPr>
                          <w:b/>
                          <w:color w:val="3B3721"/>
                          <w:sz w:val="20"/>
                          <w:szCs w:val="20"/>
                        </w:rPr>
                        <w:t>PROMOTORS:</w:t>
                      </w:r>
                      <w:r w:rsidRPr="00780B8B">
                        <w:rPr>
                          <w:color w:val="3B3721"/>
                          <w:sz w:val="20"/>
                          <w:szCs w:val="20"/>
                        </w:rPr>
                        <w:t xml:space="preserve">  </w:t>
                      </w:r>
                      <w:r w:rsidRPr="00780B8B">
                        <w:rPr>
                          <w:color w:val="3B3721"/>
                          <w:sz w:val="20"/>
                          <w:szCs w:val="20"/>
                        </w:rPr>
                        <w:tab/>
                      </w:r>
                      <w:r w:rsidR="00190BFB">
                        <w:rPr>
                          <w:color w:val="3B3721"/>
                          <w:sz w:val="20"/>
                          <w:szCs w:val="20"/>
                        </w:rPr>
                        <w:t>JONARD Mathieu</w:t>
                      </w:r>
                      <w:r w:rsidRPr="005E47AC">
                        <w:rPr>
                          <w:color w:val="3B3721"/>
                          <w:sz w:val="20"/>
                          <w:szCs w:val="20"/>
                        </w:rPr>
                        <w:t xml:space="preserve"> (</w:t>
                      </w:r>
                      <w:r w:rsidR="00190BFB">
                        <w:rPr>
                          <w:color w:val="3B3721"/>
                          <w:sz w:val="20"/>
                          <w:szCs w:val="20"/>
                        </w:rPr>
                        <w:t>UCLouvain</w:t>
                      </w:r>
                      <w:r w:rsidRPr="005E47AC">
                        <w:rPr>
                          <w:color w:val="3B3721"/>
                          <w:sz w:val="20"/>
                          <w:szCs w:val="20"/>
                        </w:rPr>
                        <w:t>)</w:t>
                      </w:r>
                      <w:r w:rsidRPr="00780B8B">
                        <w:rPr>
                          <w:color w:val="3B3721"/>
                          <w:sz w:val="20"/>
                          <w:szCs w:val="20"/>
                        </w:rPr>
                        <w:br/>
                      </w:r>
                      <w:r>
                        <w:rPr>
                          <w:color w:val="3B3721"/>
                          <w:sz w:val="20"/>
                          <w:szCs w:val="20"/>
                        </w:rPr>
                        <w:tab/>
                      </w:r>
                      <w:r w:rsidR="00190BFB">
                        <w:rPr>
                          <w:color w:val="3B3721"/>
                          <w:sz w:val="20"/>
                          <w:szCs w:val="20"/>
                        </w:rPr>
                        <w:t>LIGOT Gauthier</w:t>
                      </w:r>
                      <w:r w:rsidRPr="005E47AC">
                        <w:rPr>
                          <w:color w:val="3B3721"/>
                          <w:sz w:val="20"/>
                          <w:szCs w:val="20"/>
                        </w:rPr>
                        <w:t xml:space="preserve"> (</w:t>
                      </w:r>
                      <w:r w:rsidR="00C01488">
                        <w:rPr>
                          <w:color w:val="3B3721"/>
                          <w:sz w:val="20"/>
                          <w:szCs w:val="20"/>
                        </w:rPr>
                        <w:t>ULg</w:t>
                      </w:r>
                      <w:r w:rsidR="001A0C50">
                        <w:rPr>
                          <w:color w:val="3B3721"/>
                          <w:sz w:val="20"/>
                          <w:szCs w:val="20"/>
                        </w:rPr>
                        <w:t xml:space="preserve"> </w:t>
                      </w:r>
                      <w:r w:rsidR="008D11DC">
                        <w:rPr>
                          <w:color w:val="3B3721"/>
                          <w:sz w:val="20"/>
                          <w:szCs w:val="20"/>
                        </w:rPr>
                        <w:t xml:space="preserve">- </w:t>
                      </w:r>
                      <w:r w:rsidR="001A0C50" w:rsidRPr="001A0C50">
                        <w:rPr>
                          <w:color w:val="3B3721"/>
                          <w:sz w:val="20"/>
                          <w:szCs w:val="20"/>
                        </w:rPr>
                        <w:t>Gembloux Agro-Bio Tech</w:t>
                      </w:r>
                      <w:r w:rsidRPr="005E47AC">
                        <w:rPr>
                          <w:color w:val="3B3721"/>
                          <w:sz w:val="20"/>
                          <w:szCs w:val="20"/>
                        </w:rPr>
                        <w:t>)</w:t>
                      </w:r>
                      <w:r w:rsidRPr="00780B8B">
                        <w:rPr>
                          <w:color w:val="3B3721"/>
                          <w:sz w:val="20"/>
                          <w:szCs w:val="20"/>
                        </w:rPr>
                        <w:tab/>
                      </w:r>
                      <w:r w:rsidRPr="00780B8B">
                        <w:rPr>
                          <w:color w:val="3B3721"/>
                          <w:sz w:val="20"/>
                          <w:szCs w:val="20"/>
                        </w:rPr>
                        <w:tab/>
                      </w:r>
                      <w:r w:rsidRPr="00780B8B">
                        <w:rPr>
                          <w:color w:val="3B3721"/>
                          <w:sz w:val="20"/>
                          <w:szCs w:val="20"/>
                        </w:rPr>
                        <w:tab/>
                      </w:r>
                      <w:r w:rsidRPr="00780B8B">
                        <w:rPr>
                          <w:color w:val="3B3721"/>
                          <w:sz w:val="20"/>
                          <w:szCs w:val="20"/>
                        </w:rPr>
                        <w:tab/>
                      </w:r>
                      <w:r w:rsidR="00A240B2" w:rsidRPr="00A240B2">
                        <w:rPr>
                          <w:color w:val="3B3721"/>
                          <w:sz w:val="20"/>
                          <w:szCs w:val="20"/>
                        </w:rPr>
                        <w:t>V</w:t>
                      </w:r>
                      <w:r w:rsidR="00A240B2">
                        <w:rPr>
                          <w:color w:val="3B3721"/>
                          <w:sz w:val="20"/>
                          <w:szCs w:val="20"/>
                        </w:rPr>
                        <w:t>AN</w:t>
                      </w:r>
                      <w:r w:rsidR="00A240B2" w:rsidRPr="00A240B2">
                        <w:rPr>
                          <w:color w:val="3B3721"/>
                          <w:sz w:val="20"/>
                          <w:szCs w:val="20"/>
                        </w:rPr>
                        <w:t xml:space="preserve"> S</w:t>
                      </w:r>
                      <w:r w:rsidR="00A240B2">
                        <w:rPr>
                          <w:color w:val="3B3721"/>
                          <w:sz w:val="20"/>
                          <w:szCs w:val="20"/>
                        </w:rPr>
                        <w:t>CHAE</w:t>
                      </w:r>
                      <w:r w:rsidR="00D04114">
                        <w:rPr>
                          <w:color w:val="3B3721"/>
                          <w:sz w:val="20"/>
                          <w:szCs w:val="20"/>
                        </w:rPr>
                        <w:t xml:space="preserve">YBROECK </w:t>
                      </w:r>
                      <w:r w:rsidR="00D04114" w:rsidRPr="00D04114">
                        <w:rPr>
                          <w:color w:val="3B3721"/>
                          <w:sz w:val="20"/>
                          <w:szCs w:val="20"/>
                        </w:rPr>
                        <w:t>Bert</w:t>
                      </w:r>
                      <w:r w:rsidRPr="00D04114">
                        <w:rPr>
                          <w:color w:val="3B3721"/>
                          <w:sz w:val="20"/>
                          <w:szCs w:val="20"/>
                        </w:rPr>
                        <w:t xml:space="preserve"> (</w:t>
                      </w:r>
                      <w:r w:rsidR="001A0C50" w:rsidRPr="00D04114">
                        <w:rPr>
                          <w:color w:val="3B3721"/>
                          <w:sz w:val="20"/>
                          <w:szCs w:val="20"/>
                        </w:rPr>
                        <w:t>RMI</w:t>
                      </w:r>
                      <w:r w:rsidRPr="00D04114">
                        <w:rPr>
                          <w:color w:val="3B3721"/>
                          <w:sz w:val="20"/>
                          <w:szCs w:val="20"/>
                        </w:rPr>
                        <w:t>)</w:t>
                      </w:r>
                      <w:r w:rsidRPr="00780B8B">
                        <w:rPr>
                          <w:color w:val="3B3721"/>
                          <w:sz w:val="20"/>
                          <w:szCs w:val="20"/>
                        </w:rPr>
                        <w:cr/>
                      </w:r>
                      <w:r>
                        <w:rPr>
                          <w:color w:val="3B3721"/>
                          <w:sz w:val="20"/>
                          <w:szCs w:val="20"/>
                        </w:rPr>
                        <w:tab/>
                      </w:r>
                      <w:r w:rsidR="001A0C50">
                        <w:rPr>
                          <w:color w:val="3B3721"/>
                          <w:sz w:val="20"/>
                          <w:szCs w:val="20"/>
                        </w:rPr>
                        <w:t>GOOSSE Hugues (UCLouvain)</w:t>
                      </w:r>
                      <w:r>
                        <w:rPr>
                          <w:color w:val="3B3721"/>
                          <w:sz w:val="20"/>
                          <w:szCs w:val="20"/>
                        </w:rPr>
                        <w:br/>
                      </w:r>
                      <w:r>
                        <w:rPr>
                          <w:color w:val="3B3721"/>
                          <w:sz w:val="20"/>
                          <w:szCs w:val="20"/>
                        </w:rPr>
                        <w:tab/>
                      </w:r>
                      <w:r w:rsidRPr="00780B8B">
                        <w:rPr>
                          <w:color w:val="3B3721"/>
                          <w:sz w:val="20"/>
                          <w:szCs w:val="20"/>
                        </w:rPr>
                        <w:cr/>
                      </w:r>
                      <w:r w:rsidRPr="00780B8B">
                        <w:rPr>
                          <w:b/>
                          <w:color w:val="3B3721"/>
                          <w:sz w:val="20"/>
                          <w:szCs w:val="20"/>
                        </w:rPr>
                        <w:t>AUTHORS:</w:t>
                      </w:r>
                      <w:r>
                        <w:rPr>
                          <w:color w:val="3B3721"/>
                          <w:sz w:val="20"/>
                          <w:szCs w:val="20"/>
                        </w:rPr>
                        <w:tab/>
                      </w:r>
                      <w:r w:rsidR="00110C22">
                        <w:rPr>
                          <w:color w:val="3B3721"/>
                          <w:sz w:val="20"/>
                          <w:szCs w:val="20"/>
                        </w:rPr>
                        <w:t>ANDRE Frédéric</w:t>
                      </w:r>
                      <w:r w:rsidRPr="005E47AC">
                        <w:rPr>
                          <w:color w:val="3B3721"/>
                          <w:sz w:val="20"/>
                          <w:szCs w:val="20"/>
                        </w:rPr>
                        <w:t xml:space="preserve"> (</w:t>
                      </w:r>
                      <w:r w:rsidR="008D11DC">
                        <w:rPr>
                          <w:color w:val="3B3721"/>
                          <w:sz w:val="20"/>
                          <w:szCs w:val="20"/>
                        </w:rPr>
                        <w:t>UCLOUVAIN</w:t>
                      </w:r>
                      <w:r w:rsidRPr="005E47AC">
                        <w:rPr>
                          <w:color w:val="3B3721"/>
                          <w:sz w:val="20"/>
                          <w:szCs w:val="20"/>
                        </w:rPr>
                        <w:t>)</w:t>
                      </w:r>
                      <w:r w:rsidRPr="00780B8B">
                        <w:rPr>
                          <w:color w:val="3B3721"/>
                          <w:sz w:val="20"/>
                          <w:szCs w:val="20"/>
                        </w:rPr>
                        <w:cr/>
                      </w:r>
                      <w:r>
                        <w:rPr>
                          <w:color w:val="3B3721"/>
                          <w:sz w:val="20"/>
                          <w:szCs w:val="20"/>
                        </w:rPr>
                        <w:tab/>
                      </w:r>
                      <w:r w:rsidR="008309AB">
                        <w:rPr>
                          <w:color w:val="3B3721"/>
                          <w:sz w:val="20"/>
                          <w:szCs w:val="20"/>
                        </w:rPr>
                        <w:t>CANDAELE Romain</w:t>
                      </w:r>
                      <w:r w:rsidRPr="005E47AC">
                        <w:rPr>
                          <w:color w:val="3B3721"/>
                          <w:sz w:val="20"/>
                          <w:szCs w:val="20"/>
                        </w:rPr>
                        <w:t xml:space="preserve"> (</w:t>
                      </w:r>
                      <w:r w:rsidR="008309AB">
                        <w:rPr>
                          <w:color w:val="3B3721"/>
                          <w:sz w:val="20"/>
                          <w:szCs w:val="20"/>
                        </w:rPr>
                        <w:t xml:space="preserve">ULg - </w:t>
                      </w:r>
                      <w:r w:rsidR="008309AB" w:rsidRPr="001A0C50">
                        <w:rPr>
                          <w:color w:val="3B3721"/>
                          <w:sz w:val="20"/>
                          <w:szCs w:val="20"/>
                        </w:rPr>
                        <w:t>Gembloux Agro-Bio Tech</w:t>
                      </w:r>
                      <w:r w:rsidRPr="005E47AC">
                        <w:rPr>
                          <w:color w:val="3B3721"/>
                          <w:sz w:val="20"/>
                          <w:szCs w:val="20"/>
                        </w:rPr>
                        <w:t>)</w:t>
                      </w:r>
                      <w:r w:rsidRPr="00780B8B">
                        <w:rPr>
                          <w:color w:val="3B3721"/>
                          <w:sz w:val="20"/>
                          <w:szCs w:val="20"/>
                        </w:rPr>
                        <w:tab/>
                      </w:r>
                      <w:r>
                        <w:rPr>
                          <w:color w:val="3B3721"/>
                          <w:sz w:val="20"/>
                          <w:szCs w:val="20"/>
                        </w:rPr>
                        <w:tab/>
                      </w:r>
                      <w:r>
                        <w:rPr>
                          <w:color w:val="3B3721"/>
                          <w:sz w:val="20"/>
                          <w:szCs w:val="20"/>
                        </w:rPr>
                        <w:tab/>
                      </w:r>
                      <w:r w:rsidR="00E75ED0">
                        <w:rPr>
                          <w:color w:val="3B3721"/>
                          <w:sz w:val="20"/>
                          <w:szCs w:val="20"/>
                        </w:rPr>
                        <w:t>PAU M</w:t>
                      </w:r>
                      <w:r w:rsidR="00434A3E">
                        <w:rPr>
                          <w:color w:val="3B3721"/>
                          <w:sz w:val="20"/>
                          <w:szCs w:val="20"/>
                        </w:rPr>
                        <w:t>athilde</w:t>
                      </w:r>
                      <w:r w:rsidRPr="005E47AC">
                        <w:rPr>
                          <w:color w:val="3B3721"/>
                          <w:sz w:val="20"/>
                          <w:szCs w:val="20"/>
                        </w:rPr>
                        <w:t xml:space="preserve"> (</w:t>
                      </w:r>
                      <w:r w:rsidR="00434A3E">
                        <w:rPr>
                          <w:color w:val="3B3721"/>
                          <w:sz w:val="20"/>
                          <w:szCs w:val="20"/>
                        </w:rPr>
                        <w:t xml:space="preserve">ULg - </w:t>
                      </w:r>
                      <w:r w:rsidR="00434A3E" w:rsidRPr="001A0C50">
                        <w:rPr>
                          <w:color w:val="3B3721"/>
                          <w:sz w:val="20"/>
                          <w:szCs w:val="20"/>
                        </w:rPr>
                        <w:t>Gembloux Agro-Bio Tech</w:t>
                      </w:r>
                      <w:r w:rsidRPr="005E47AC">
                        <w:rPr>
                          <w:color w:val="3B3721"/>
                          <w:sz w:val="20"/>
                          <w:szCs w:val="20"/>
                        </w:rPr>
                        <w:t>)</w:t>
                      </w:r>
                      <w:r>
                        <w:rPr>
                          <w:color w:val="3B3721"/>
                          <w:sz w:val="20"/>
                          <w:szCs w:val="20"/>
                        </w:rPr>
                        <w:br/>
                      </w:r>
                      <w:r>
                        <w:rPr>
                          <w:color w:val="3B3721"/>
                          <w:sz w:val="20"/>
                          <w:szCs w:val="20"/>
                        </w:rPr>
                        <w:tab/>
                      </w:r>
                      <w:r w:rsidR="00434A3E">
                        <w:rPr>
                          <w:color w:val="3B3721"/>
                          <w:sz w:val="20"/>
                          <w:szCs w:val="20"/>
                        </w:rPr>
                        <w:t>MARCHI Sylvain (RMI)</w:t>
                      </w:r>
                      <w:r w:rsidRPr="00780B8B">
                        <w:rPr>
                          <w:color w:val="3B3721"/>
                          <w:sz w:val="20"/>
                          <w:szCs w:val="20"/>
                        </w:rPr>
                        <w:cr/>
                      </w:r>
                      <w:r w:rsidRPr="00780B8B">
                        <w:rPr>
                          <w:color w:val="3B3721"/>
                          <w:sz w:val="20"/>
                          <w:szCs w:val="20"/>
                        </w:rPr>
                        <w:tab/>
                      </w:r>
                      <w:r w:rsidR="005C30C8" w:rsidRPr="005C30C8">
                        <w:rPr>
                          <w:color w:val="3B3721"/>
                          <w:sz w:val="20"/>
                          <w:szCs w:val="20"/>
                        </w:rPr>
                        <w:t>HOSSEINZADEHTALAEI</w:t>
                      </w:r>
                      <w:r w:rsidR="005C30C8">
                        <w:rPr>
                          <w:color w:val="3B3721"/>
                          <w:sz w:val="20"/>
                          <w:szCs w:val="20"/>
                        </w:rPr>
                        <w:t xml:space="preserve"> Parisa</w:t>
                      </w:r>
                      <w:r w:rsidR="00092BF4">
                        <w:rPr>
                          <w:color w:val="3B3721"/>
                          <w:sz w:val="20"/>
                          <w:szCs w:val="20"/>
                        </w:rPr>
                        <w:t xml:space="preserve"> (RMI)</w:t>
                      </w:r>
                    </w:p>
                  </w:txbxContent>
                </v:textbox>
              </v:shape>
            </w:pict>
          </mc:Fallback>
        </mc:AlternateContent>
      </w:r>
      <w:r w:rsidR="00780B8B" w:rsidRPr="008F6866">
        <w:rPr>
          <w:noProof/>
          <w:lang w:eastAsia="en-GB"/>
        </w:rPr>
        <mc:AlternateContent>
          <mc:Choice Requires="wps">
            <w:drawing>
              <wp:anchor distT="0" distB="0" distL="114300" distR="114300" simplePos="0" relativeHeight="251658245" behindDoc="0" locked="0" layoutInCell="1" allowOverlap="1" wp14:anchorId="27D10C05" wp14:editId="19C6E373">
                <wp:simplePos x="0" y="0"/>
                <wp:positionH relativeFrom="column">
                  <wp:posOffset>299984</wp:posOffset>
                </wp:positionH>
                <wp:positionV relativeFrom="paragraph">
                  <wp:posOffset>2531745</wp:posOffset>
                </wp:positionV>
                <wp:extent cx="4037162" cy="405442"/>
                <wp:effectExtent l="0" t="0" r="0" b="0"/>
                <wp:wrapNone/>
                <wp:docPr id="9" name="Text Box 9"/>
                <wp:cNvGraphicFramePr/>
                <a:graphic xmlns:a="http://schemas.openxmlformats.org/drawingml/2006/main">
                  <a:graphicData uri="http://schemas.microsoft.com/office/word/2010/wordprocessingShape">
                    <wps:wsp>
                      <wps:cNvSpPr txBox="1"/>
                      <wps:spPr>
                        <a:xfrm>
                          <a:off x="0" y="0"/>
                          <a:ext cx="4037162" cy="405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C8D35" w14:textId="77777777" w:rsidR="00FA00EC" w:rsidRPr="00780B8B" w:rsidRDefault="00FA00EC">
                            <w:pPr>
                              <w:rPr>
                                <w:color w:val="3B3721"/>
                                <w:sz w:val="28"/>
                                <w:szCs w:val="28"/>
                              </w:rPr>
                            </w:pPr>
                            <w:r w:rsidRPr="00780B8B">
                              <w:rPr>
                                <w:color w:val="3B3721"/>
                                <w:sz w:val="28"/>
                                <w:szCs w:val="28"/>
                              </w:rPr>
                              <w:t>NETWORK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D10C05" id="Text Box 9" o:spid="_x0000_s1029" type="#_x0000_t202" style="position:absolute;margin-left:23.6pt;margin-top:199.35pt;width:317.9pt;height:31.9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" filled="f" stroked="f" strokeweight=".5pt">
                <v:textbox>
                  <w:txbxContent>
                    <w:p w14:paraId="1B9C8D35" w14:textId="77777777" w:rsidR="00FA00EC" w:rsidRPr="00780B8B" w:rsidRDefault="00FA00EC">
                      <w:pPr>
                        <w:rPr>
                          <w:color w:val="3B3721"/>
                          <w:sz w:val="28"/>
                          <w:szCs w:val="28"/>
                        </w:rPr>
                      </w:pPr>
                      <w:r w:rsidRPr="00780B8B">
                        <w:rPr>
                          <w:color w:val="3B3721"/>
                          <w:sz w:val="28"/>
                          <w:szCs w:val="28"/>
                        </w:rPr>
                        <w:t>NETWORK PROJECT</w:t>
                      </w:r>
                    </w:p>
                  </w:txbxContent>
                </v:textbox>
              </v:shape>
            </w:pict>
          </mc:Fallback>
        </mc:AlternateContent>
      </w:r>
      <w:r w:rsidR="007A7C05" w:rsidRPr="008F6866">
        <w:rPr>
          <w:noProof/>
          <w:lang w:eastAsia="en-GB"/>
        </w:rPr>
        <w:drawing>
          <wp:anchor distT="0" distB="0" distL="114300" distR="114300" simplePos="0" relativeHeight="251658244" behindDoc="1" locked="1" layoutInCell="0" allowOverlap="1" wp14:anchorId="7E107F20" wp14:editId="67EC154B">
            <wp:simplePos x="914400" y="1233577"/>
            <wp:positionH relativeFrom="column">
              <wp:align>center</wp:align>
            </wp:positionH>
            <wp:positionV relativeFrom="page">
              <wp:align>center</wp:align>
            </wp:positionV>
            <wp:extent cx="7540625" cy="10666730"/>
            <wp:effectExtent l="0" t="0" r="317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1_de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0953" cy="10666799"/>
                    </a:xfrm>
                    <a:prstGeom prst="rect">
                      <a:avLst/>
                    </a:prstGeom>
                  </pic:spPr>
                </pic:pic>
              </a:graphicData>
            </a:graphic>
            <wp14:sizeRelH relativeFrom="margin">
              <wp14:pctWidth>0</wp14:pctWidth>
            </wp14:sizeRelH>
            <wp14:sizeRelV relativeFrom="margin">
              <wp14:pctHeight>0</wp14:pctHeight>
            </wp14:sizeRelV>
          </wp:anchor>
        </w:drawing>
      </w:r>
      <w:r w:rsidR="007A7C05" w:rsidRPr="008F6866">
        <w:rPr>
          <w:noProof/>
          <w:lang w:eastAsia="en-GB"/>
        </w:rPr>
        <w:br w:type="page"/>
      </w:r>
    </w:p>
    <w:p w14:paraId="2A5698BF" w14:textId="77777777" w:rsidR="00CC34C2" w:rsidRPr="008F6866" w:rsidRDefault="00CC34C2" w:rsidP="00CC34C2">
      <w:pPr>
        <w:tabs>
          <w:tab w:val="left" w:pos="-907"/>
          <w:tab w:val="left" w:pos="566"/>
          <w:tab w:val="left" w:pos="849"/>
          <w:tab w:val="left" w:pos="1134"/>
          <w:tab w:val="left" w:pos="1473"/>
          <w:tab w:val="left" w:pos="1757"/>
          <w:tab w:val="left" w:pos="2041"/>
          <w:tab w:val="left" w:pos="2324"/>
          <w:tab w:val="left" w:pos="3911"/>
        </w:tabs>
        <w:suppressAutoHyphens/>
        <w:spacing w:after="0" w:line="240" w:lineRule="auto"/>
        <w:rPr>
          <w:rFonts w:eastAsia="Times" w:cs="Arial"/>
          <w:spacing w:val="-3"/>
          <w:lang w:eastAsia="fr-FR"/>
        </w:rPr>
      </w:pPr>
      <w:r w:rsidRPr="008F6866">
        <w:rPr>
          <w:rFonts w:eastAsia="Times" w:cs="Times New Roman"/>
          <w:noProof/>
          <w:sz w:val="24"/>
          <w:szCs w:val="20"/>
          <w:lang w:eastAsia="en-GB"/>
        </w:rPr>
        <w:lastRenderedPageBreak/>
        <w:drawing>
          <wp:anchor distT="0" distB="0" distL="114300" distR="114300" simplePos="0" relativeHeight="251658247" behindDoc="0" locked="0" layoutInCell="1" allowOverlap="1" wp14:anchorId="7F0326C1" wp14:editId="36F2C5EE">
            <wp:simplePos x="0" y="0"/>
            <wp:positionH relativeFrom="column">
              <wp:posOffset>-107950</wp:posOffset>
            </wp:positionH>
            <wp:positionV relativeFrom="paragraph">
              <wp:posOffset>154940</wp:posOffset>
            </wp:positionV>
            <wp:extent cx="1440000" cy="1278000"/>
            <wp:effectExtent l="0" t="0" r="8255" b="0"/>
            <wp:wrapSquare wrapText="left"/>
            <wp:docPr id="12" name="Picture 12" descr="Logo Belspo White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Belspo White 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12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EB259" w14:textId="77777777" w:rsidR="00CC34C2" w:rsidRPr="008F6866" w:rsidRDefault="00CC34C2" w:rsidP="00CC34C2">
      <w:pPr>
        <w:tabs>
          <w:tab w:val="left" w:pos="-907"/>
          <w:tab w:val="left" w:pos="566"/>
          <w:tab w:val="left" w:pos="849"/>
          <w:tab w:val="left" w:pos="1134"/>
          <w:tab w:val="left" w:pos="1473"/>
          <w:tab w:val="left" w:pos="1757"/>
          <w:tab w:val="left" w:pos="2041"/>
          <w:tab w:val="left" w:pos="2324"/>
          <w:tab w:val="left" w:pos="3911"/>
        </w:tabs>
        <w:suppressAutoHyphens/>
        <w:spacing w:after="0" w:line="240" w:lineRule="auto"/>
        <w:rPr>
          <w:rFonts w:eastAsia="Times" w:cs="Arial"/>
          <w:spacing w:val="-3"/>
          <w:lang w:eastAsia="fr-FR"/>
        </w:rPr>
      </w:pPr>
    </w:p>
    <w:p w14:paraId="357CEDCE" w14:textId="77777777" w:rsidR="00CC34C2" w:rsidRPr="008F6866" w:rsidRDefault="00CC34C2" w:rsidP="00CC34C2">
      <w:pPr>
        <w:tabs>
          <w:tab w:val="left" w:pos="-907"/>
          <w:tab w:val="left" w:pos="566"/>
          <w:tab w:val="left" w:pos="849"/>
          <w:tab w:val="left" w:pos="1134"/>
          <w:tab w:val="left" w:pos="1473"/>
          <w:tab w:val="left" w:pos="1757"/>
          <w:tab w:val="left" w:pos="2041"/>
          <w:tab w:val="left" w:pos="2324"/>
          <w:tab w:val="left" w:pos="3911"/>
        </w:tabs>
        <w:suppressAutoHyphens/>
        <w:spacing w:after="0" w:line="240" w:lineRule="auto"/>
        <w:rPr>
          <w:rFonts w:eastAsia="Times" w:cs="Arial"/>
          <w:spacing w:val="-3"/>
          <w:lang w:eastAsia="fr-FR"/>
        </w:rPr>
      </w:pPr>
    </w:p>
    <w:p w14:paraId="14BBB9C7" w14:textId="77777777" w:rsidR="00CC34C2" w:rsidRPr="008F6866" w:rsidRDefault="00CC34C2" w:rsidP="00CC34C2">
      <w:pPr>
        <w:tabs>
          <w:tab w:val="left" w:pos="-907"/>
          <w:tab w:val="left" w:pos="566"/>
          <w:tab w:val="left" w:pos="849"/>
          <w:tab w:val="left" w:pos="1134"/>
          <w:tab w:val="left" w:pos="1473"/>
          <w:tab w:val="left" w:pos="1757"/>
          <w:tab w:val="left" w:pos="2041"/>
          <w:tab w:val="left" w:pos="2324"/>
          <w:tab w:val="left" w:pos="3911"/>
        </w:tabs>
        <w:suppressAutoHyphens/>
        <w:spacing w:after="0" w:line="240" w:lineRule="auto"/>
        <w:rPr>
          <w:rFonts w:eastAsia="Times" w:cs="Arial"/>
          <w:spacing w:val="-3"/>
          <w:lang w:eastAsia="fr-FR"/>
        </w:rPr>
      </w:pPr>
    </w:p>
    <w:p w14:paraId="00D2B4C7" w14:textId="77777777" w:rsidR="00CC34C2" w:rsidRPr="008F6866" w:rsidRDefault="00CC34C2" w:rsidP="00CC34C2">
      <w:pPr>
        <w:tabs>
          <w:tab w:val="left" w:pos="-907"/>
          <w:tab w:val="left" w:pos="566"/>
          <w:tab w:val="left" w:pos="849"/>
          <w:tab w:val="left" w:pos="1134"/>
          <w:tab w:val="left" w:pos="1473"/>
          <w:tab w:val="left" w:pos="1757"/>
          <w:tab w:val="left" w:pos="2041"/>
          <w:tab w:val="left" w:pos="2324"/>
          <w:tab w:val="left" w:pos="3911"/>
        </w:tabs>
        <w:suppressAutoHyphens/>
        <w:spacing w:after="0" w:line="240" w:lineRule="auto"/>
        <w:rPr>
          <w:rFonts w:eastAsia="Times" w:cs="Arial"/>
          <w:spacing w:val="-3"/>
          <w:lang w:eastAsia="fr-FR"/>
        </w:rPr>
      </w:pPr>
    </w:p>
    <w:p w14:paraId="2E6DF396" w14:textId="77777777" w:rsidR="00CC34C2" w:rsidRPr="008F6866" w:rsidRDefault="00CC34C2" w:rsidP="00CC34C2">
      <w:pPr>
        <w:tabs>
          <w:tab w:val="left" w:pos="-907"/>
          <w:tab w:val="left" w:pos="566"/>
          <w:tab w:val="left" w:pos="849"/>
          <w:tab w:val="left" w:pos="1134"/>
          <w:tab w:val="left" w:pos="1473"/>
          <w:tab w:val="left" w:pos="1757"/>
          <w:tab w:val="left" w:pos="2041"/>
          <w:tab w:val="left" w:pos="2324"/>
          <w:tab w:val="left" w:pos="3911"/>
        </w:tabs>
        <w:suppressAutoHyphens/>
        <w:spacing w:after="0" w:line="240" w:lineRule="auto"/>
        <w:rPr>
          <w:rFonts w:eastAsia="Times" w:cs="Arial"/>
          <w:spacing w:val="-3"/>
          <w:lang w:eastAsia="fr-FR"/>
        </w:rPr>
      </w:pPr>
      <w:bookmarkStart w:id="0" w:name="OLE_LINK1"/>
    </w:p>
    <w:p w14:paraId="4B268B4C" w14:textId="77777777" w:rsidR="00CC34C2" w:rsidRPr="008F6866" w:rsidRDefault="00CC34C2" w:rsidP="00CC34C2">
      <w:pPr>
        <w:tabs>
          <w:tab w:val="left" w:pos="-907"/>
          <w:tab w:val="left" w:pos="566"/>
          <w:tab w:val="left" w:pos="849"/>
          <w:tab w:val="left" w:pos="1134"/>
          <w:tab w:val="left" w:pos="1473"/>
          <w:tab w:val="left" w:pos="1757"/>
          <w:tab w:val="left" w:pos="2041"/>
          <w:tab w:val="left" w:pos="2324"/>
          <w:tab w:val="left" w:pos="3911"/>
        </w:tabs>
        <w:suppressAutoHyphens/>
        <w:spacing w:after="0" w:line="240" w:lineRule="auto"/>
        <w:rPr>
          <w:rFonts w:eastAsia="Times" w:cs="Arial"/>
          <w:spacing w:val="-3"/>
          <w:lang w:eastAsia="fr-FR"/>
        </w:rPr>
      </w:pPr>
    </w:p>
    <w:p w14:paraId="20BAC4BB" w14:textId="77777777" w:rsidR="00CC34C2" w:rsidRPr="008F6866" w:rsidRDefault="00CC34C2" w:rsidP="00CC34C2">
      <w:pPr>
        <w:tabs>
          <w:tab w:val="left" w:pos="-907"/>
          <w:tab w:val="left" w:pos="566"/>
          <w:tab w:val="left" w:pos="849"/>
          <w:tab w:val="left" w:pos="1134"/>
          <w:tab w:val="left" w:pos="1473"/>
          <w:tab w:val="left" w:pos="1757"/>
          <w:tab w:val="left" w:pos="2041"/>
          <w:tab w:val="left" w:pos="2324"/>
          <w:tab w:val="left" w:pos="3911"/>
        </w:tabs>
        <w:suppressAutoHyphens/>
        <w:spacing w:after="0" w:line="240" w:lineRule="auto"/>
        <w:rPr>
          <w:rFonts w:eastAsia="Times" w:cs="Arial"/>
          <w:spacing w:val="-3"/>
          <w:lang w:eastAsia="fr-FR"/>
        </w:rPr>
      </w:pPr>
    </w:p>
    <w:p w14:paraId="3819FB1F" w14:textId="77777777" w:rsidR="00CC34C2" w:rsidRPr="008F6866" w:rsidRDefault="00CC34C2" w:rsidP="00CC34C2">
      <w:pPr>
        <w:tabs>
          <w:tab w:val="left" w:pos="-907"/>
          <w:tab w:val="left" w:pos="566"/>
          <w:tab w:val="left" w:pos="849"/>
          <w:tab w:val="left" w:pos="1134"/>
          <w:tab w:val="left" w:pos="1473"/>
          <w:tab w:val="left" w:pos="1757"/>
          <w:tab w:val="left" w:pos="2041"/>
          <w:tab w:val="left" w:pos="2324"/>
          <w:tab w:val="left" w:pos="3911"/>
        </w:tabs>
        <w:suppressAutoHyphens/>
        <w:spacing w:after="0" w:line="240" w:lineRule="auto"/>
        <w:rPr>
          <w:rFonts w:eastAsia="Times" w:cs="Arial"/>
          <w:spacing w:val="-3"/>
          <w:lang w:eastAsia="fr-FR"/>
        </w:rPr>
      </w:pPr>
    </w:p>
    <w:p w14:paraId="57C3AF26" w14:textId="77777777" w:rsidR="00CC34C2" w:rsidRPr="008F6866" w:rsidRDefault="00CC34C2" w:rsidP="00CC34C2">
      <w:pPr>
        <w:tabs>
          <w:tab w:val="left" w:pos="-907"/>
          <w:tab w:val="left" w:pos="566"/>
          <w:tab w:val="left" w:pos="849"/>
          <w:tab w:val="left" w:pos="1134"/>
          <w:tab w:val="left" w:pos="1473"/>
          <w:tab w:val="left" w:pos="1757"/>
          <w:tab w:val="left" w:pos="2041"/>
          <w:tab w:val="left" w:pos="2324"/>
          <w:tab w:val="left" w:pos="3911"/>
        </w:tabs>
        <w:suppressAutoHyphens/>
        <w:spacing w:after="0" w:line="240" w:lineRule="auto"/>
        <w:rPr>
          <w:rFonts w:eastAsia="Times" w:cs="Arial"/>
          <w:spacing w:val="-3"/>
          <w:lang w:eastAsia="fr-FR"/>
        </w:rPr>
      </w:pPr>
    </w:p>
    <w:p w14:paraId="09232B4F" w14:textId="77777777" w:rsidR="00CC34C2" w:rsidRPr="008F6866" w:rsidRDefault="00CC34C2" w:rsidP="00CC34C2">
      <w:pPr>
        <w:tabs>
          <w:tab w:val="left" w:pos="-907"/>
          <w:tab w:val="left" w:pos="566"/>
          <w:tab w:val="left" w:pos="849"/>
          <w:tab w:val="left" w:pos="1134"/>
          <w:tab w:val="left" w:pos="1473"/>
          <w:tab w:val="left" w:pos="1757"/>
          <w:tab w:val="left" w:pos="2041"/>
          <w:tab w:val="left" w:pos="2324"/>
          <w:tab w:val="left" w:pos="3911"/>
        </w:tabs>
        <w:suppressAutoHyphens/>
        <w:spacing w:after="0" w:line="240" w:lineRule="auto"/>
        <w:rPr>
          <w:rFonts w:eastAsia="Times" w:cs="Arial"/>
          <w:color w:val="3B3721"/>
          <w:spacing w:val="-3"/>
          <w:sz w:val="20"/>
          <w:szCs w:val="20"/>
          <w:lang w:eastAsia="fr-FR"/>
        </w:rPr>
      </w:pPr>
    </w:p>
    <w:p w14:paraId="25413BC2" w14:textId="0E28B7A5" w:rsidR="00CC34C2" w:rsidRPr="008F6866" w:rsidRDefault="00CC34C2" w:rsidP="00CC34C2">
      <w:pPr>
        <w:tabs>
          <w:tab w:val="left" w:pos="-907"/>
          <w:tab w:val="left" w:pos="566"/>
          <w:tab w:val="left" w:pos="849"/>
          <w:tab w:val="left" w:pos="1134"/>
          <w:tab w:val="left" w:pos="1473"/>
          <w:tab w:val="left" w:pos="1757"/>
          <w:tab w:val="left" w:pos="2041"/>
          <w:tab w:val="left" w:pos="2324"/>
          <w:tab w:val="left" w:pos="3911"/>
        </w:tabs>
        <w:suppressAutoHyphens/>
        <w:spacing w:after="0" w:line="240" w:lineRule="auto"/>
        <w:rPr>
          <w:rFonts w:eastAsia="Times" w:cs="Arial"/>
          <w:color w:val="3B3721"/>
          <w:spacing w:val="-3"/>
          <w:sz w:val="20"/>
          <w:szCs w:val="20"/>
          <w:lang w:eastAsia="fr-FR"/>
        </w:rPr>
      </w:pPr>
      <w:r w:rsidRPr="008F6866">
        <w:rPr>
          <w:rFonts w:eastAsia="Times" w:cs="Arial"/>
          <w:color w:val="3B3721"/>
          <w:spacing w:val="-3"/>
          <w:sz w:val="20"/>
          <w:szCs w:val="20"/>
          <w:lang w:eastAsia="fr-FR"/>
        </w:rPr>
        <w:t>Published in 20</w:t>
      </w:r>
      <w:r w:rsidR="00B81C8F">
        <w:rPr>
          <w:rFonts w:eastAsia="Times" w:cs="Arial"/>
          <w:color w:val="3B3721"/>
          <w:spacing w:val="-3"/>
          <w:sz w:val="20"/>
          <w:szCs w:val="20"/>
          <w:lang w:eastAsia="fr-FR"/>
        </w:rPr>
        <w:t>25</w:t>
      </w:r>
      <w:r w:rsidRPr="008F6866">
        <w:rPr>
          <w:rFonts w:eastAsia="Times" w:cs="Arial"/>
          <w:color w:val="3B3721"/>
          <w:spacing w:val="-3"/>
          <w:sz w:val="20"/>
          <w:szCs w:val="20"/>
          <w:lang w:eastAsia="fr-FR"/>
        </w:rPr>
        <w:t xml:space="preserve"> by the Belgian Science Policy</w:t>
      </w:r>
      <w:r w:rsidR="00C0497D" w:rsidRPr="008F6866">
        <w:rPr>
          <w:rFonts w:eastAsia="Times" w:cs="Arial"/>
          <w:color w:val="3B3721"/>
          <w:spacing w:val="-3"/>
          <w:sz w:val="20"/>
          <w:szCs w:val="20"/>
          <w:lang w:eastAsia="fr-FR"/>
        </w:rPr>
        <w:t xml:space="preserve"> Office</w:t>
      </w:r>
    </w:p>
    <w:bookmarkEnd w:id="0"/>
    <w:p w14:paraId="529E54F2" w14:textId="77777777" w:rsidR="002578A7" w:rsidRPr="008F6866" w:rsidRDefault="002578A7" w:rsidP="002578A7">
      <w:pPr>
        <w:tabs>
          <w:tab w:val="center" w:pos="4479"/>
        </w:tabs>
        <w:suppressAutoHyphens/>
        <w:spacing w:after="0" w:line="240" w:lineRule="auto"/>
        <w:rPr>
          <w:rFonts w:eastAsia="Times" w:cs="Arial"/>
          <w:color w:val="3B3721"/>
          <w:spacing w:val="-3"/>
          <w:sz w:val="20"/>
          <w:szCs w:val="20"/>
          <w:lang w:eastAsia="fr-FR"/>
        </w:rPr>
      </w:pPr>
      <w:r w:rsidRPr="008F6866">
        <w:rPr>
          <w:rFonts w:eastAsia="Times" w:cs="Arial"/>
          <w:color w:val="3B3721"/>
          <w:spacing w:val="-3"/>
          <w:sz w:val="20"/>
          <w:szCs w:val="20"/>
          <w:lang w:eastAsia="fr-FR"/>
        </w:rPr>
        <w:t xml:space="preserve">WTCIII </w:t>
      </w:r>
    </w:p>
    <w:p w14:paraId="1F2DAF18" w14:textId="6C63270F" w:rsidR="002578A7" w:rsidRPr="008F6866" w:rsidRDefault="002578A7" w:rsidP="002578A7">
      <w:pPr>
        <w:tabs>
          <w:tab w:val="center" w:pos="4479"/>
        </w:tabs>
        <w:suppressAutoHyphens/>
        <w:spacing w:after="0" w:line="240" w:lineRule="auto"/>
        <w:rPr>
          <w:rFonts w:eastAsia="Times" w:cs="Arial"/>
          <w:color w:val="3B3721"/>
          <w:spacing w:val="-3"/>
          <w:sz w:val="20"/>
          <w:szCs w:val="20"/>
          <w:lang w:eastAsia="fr-FR"/>
        </w:rPr>
      </w:pPr>
      <w:r w:rsidRPr="008F6866">
        <w:rPr>
          <w:rFonts w:eastAsia="Times" w:cs="Arial"/>
          <w:color w:val="3B3721"/>
          <w:spacing w:val="-3"/>
          <w:sz w:val="20"/>
          <w:szCs w:val="20"/>
          <w:lang w:eastAsia="fr-FR"/>
        </w:rPr>
        <w:t xml:space="preserve">Simon Bolivarlaan 30 </w:t>
      </w:r>
      <w:r w:rsidR="00287D43" w:rsidRPr="008F6866">
        <w:rPr>
          <w:rFonts w:eastAsia="Times" w:cs="Arial"/>
          <w:color w:val="3B3721"/>
          <w:spacing w:val="-3"/>
          <w:sz w:val="20"/>
          <w:szCs w:val="20"/>
          <w:lang w:eastAsia="fr-FR"/>
        </w:rPr>
        <w:t>bus 7</w:t>
      </w:r>
    </w:p>
    <w:p w14:paraId="36A2E3C4" w14:textId="05A78A9B" w:rsidR="00CC34C2" w:rsidRPr="008F6866" w:rsidRDefault="002578A7" w:rsidP="002578A7">
      <w:pPr>
        <w:tabs>
          <w:tab w:val="center" w:pos="4479"/>
        </w:tabs>
        <w:suppressAutoHyphens/>
        <w:spacing w:after="0" w:line="240" w:lineRule="auto"/>
        <w:rPr>
          <w:rFonts w:eastAsia="Times" w:cs="Arial"/>
          <w:color w:val="3B3721"/>
          <w:spacing w:val="-3"/>
          <w:sz w:val="20"/>
          <w:szCs w:val="20"/>
          <w:lang w:eastAsia="fr-FR"/>
        </w:rPr>
      </w:pPr>
      <w:r w:rsidRPr="008F6866">
        <w:rPr>
          <w:rFonts w:eastAsia="Times" w:cs="Arial"/>
          <w:color w:val="3B3721"/>
          <w:spacing w:val="-3"/>
          <w:sz w:val="20"/>
          <w:szCs w:val="20"/>
          <w:lang w:eastAsia="fr-FR"/>
        </w:rPr>
        <w:t>Boulevard Simon Bolivar 30</w:t>
      </w:r>
      <w:r w:rsidR="00287D43" w:rsidRPr="008F6866">
        <w:rPr>
          <w:rFonts w:eastAsia="Times" w:cs="Arial"/>
          <w:color w:val="3B3721"/>
          <w:spacing w:val="-3"/>
          <w:sz w:val="20"/>
          <w:szCs w:val="20"/>
          <w:lang w:eastAsia="fr-FR"/>
        </w:rPr>
        <w:t xml:space="preserve"> bte 7</w:t>
      </w:r>
    </w:p>
    <w:p w14:paraId="2208AAF3" w14:textId="77777777" w:rsidR="00CC34C2" w:rsidRPr="008F6866" w:rsidRDefault="00CC34C2" w:rsidP="00CC34C2">
      <w:pPr>
        <w:tabs>
          <w:tab w:val="center" w:pos="4479"/>
        </w:tabs>
        <w:suppressAutoHyphens/>
        <w:spacing w:after="0" w:line="240" w:lineRule="auto"/>
        <w:rPr>
          <w:rFonts w:eastAsia="Times" w:cs="Arial"/>
          <w:color w:val="3B3721"/>
          <w:spacing w:val="-3"/>
          <w:sz w:val="20"/>
          <w:szCs w:val="20"/>
          <w:lang w:eastAsia="fr-FR"/>
        </w:rPr>
      </w:pPr>
      <w:r w:rsidRPr="008F6866">
        <w:rPr>
          <w:rFonts w:eastAsia="Times" w:cs="Arial"/>
          <w:color w:val="3B3721"/>
          <w:spacing w:val="-3"/>
          <w:sz w:val="20"/>
          <w:szCs w:val="20"/>
          <w:lang w:eastAsia="fr-FR"/>
        </w:rPr>
        <w:t>B-10</w:t>
      </w:r>
      <w:r w:rsidR="002578A7" w:rsidRPr="008F6866">
        <w:rPr>
          <w:rFonts w:eastAsia="Times" w:cs="Arial"/>
          <w:color w:val="3B3721"/>
          <w:spacing w:val="-3"/>
          <w:sz w:val="20"/>
          <w:szCs w:val="20"/>
          <w:lang w:eastAsia="fr-FR"/>
        </w:rPr>
        <w:t>0</w:t>
      </w:r>
      <w:r w:rsidRPr="008F6866">
        <w:rPr>
          <w:rFonts w:eastAsia="Times" w:cs="Arial"/>
          <w:color w:val="3B3721"/>
          <w:spacing w:val="-3"/>
          <w:sz w:val="20"/>
          <w:szCs w:val="20"/>
          <w:lang w:eastAsia="fr-FR"/>
        </w:rPr>
        <w:t>0 Brussels</w:t>
      </w:r>
    </w:p>
    <w:p w14:paraId="4192F076" w14:textId="77777777" w:rsidR="00CC34C2" w:rsidRPr="008F6866" w:rsidRDefault="00CC34C2" w:rsidP="00CC34C2">
      <w:pPr>
        <w:tabs>
          <w:tab w:val="center" w:pos="4479"/>
        </w:tabs>
        <w:suppressAutoHyphens/>
        <w:spacing w:after="0" w:line="240" w:lineRule="auto"/>
        <w:rPr>
          <w:rFonts w:eastAsia="Times" w:cs="Arial"/>
          <w:color w:val="3B3721"/>
          <w:spacing w:val="-3"/>
          <w:sz w:val="20"/>
          <w:szCs w:val="20"/>
          <w:lang w:eastAsia="fr-FR"/>
        </w:rPr>
      </w:pPr>
      <w:r w:rsidRPr="008F6866">
        <w:rPr>
          <w:rFonts w:eastAsia="Times" w:cs="Arial"/>
          <w:color w:val="3B3721"/>
          <w:spacing w:val="-3"/>
          <w:sz w:val="20"/>
          <w:szCs w:val="20"/>
          <w:lang w:eastAsia="fr-FR"/>
        </w:rPr>
        <w:t>Belgium</w:t>
      </w:r>
    </w:p>
    <w:p w14:paraId="3D1FC3F2" w14:textId="01B3D46E" w:rsidR="00CC34C2" w:rsidRPr="008F6866" w:rsidRDefault="00CC34C2" w:rsidP="00CC34C2">
      <w:pPr>
        <w:tabs>
          <w:tab w:val="center" w:pos="4479"/>
        </w:tabs>
        <w:suppressAutoHyphens/>
        <w:spacing w:after="0" w:line="240" w:lineRule="auto"/>
        <w:rPr>
          <w:rFonts w:eastAsia="Times" w:cs="Arial"/>
          <w:color w:val="3B3721"/>
          <w:spacing w:val="-3"/>
          <w:sz w:val="20"/>
          <w:szCs w:val="20"/>
          <w:lang w:eastAsia="fr-FR"/>
        </w:rPr>
      </w:pPr>
      <w:r w:rsidRPr="008F6866">
        <w:rPr>
          <w:rFonts w:eastAsia="Times" w:cs="Arial"/>
          <w:color w:val="3B3721"/>
          <w:spacing w:val="-3"/>
          <w:sz w:val="20"/>
          <w:szCs w:val="20"/>
          <w:lang w:eastAsia="fr-FR"/>
        </w:rPr>
        <w:t xml:space="preserve">Tel: </w:t>
      </w:r>
      <w:r w:rsidR="008558BF" w:rsidRPr="008F6866">
        <w:rPr>
          <w:rFonts w:eastAsia="Times" w:cs="Arial"/>
          <w:color w:val="3B3721"/>
          <w:spacing w:val="-3"/>
          <w:sz w:val="20"/>
          <w:szCs w:val="20"/>
          <w:lang w:eastAsia="fr-FR"/>
        </w:rPr>
        <w:t xml:space="preserve"> </w:t>
      </w:r>
      <w:r w:rsidRPr="008F6866">
        <w:rPr>
          <w:rFonts w:eastAsia="Times" w:cs="Arial"/>
          <w:color w:val="3B3721"/>
          <w:spacing w:val="-3"/>
          <w:sz w:val="20"/>
          <w:szCs w:val="20"/>
          <w:lang w:eastAsia="fr-FR"/>
        </w:rPr>
        <w:t>+32 (0)2 238 34 11</w:t>
      </w:r>
    </w:p>
    <w:p w14:paraId="06ACF608" w14:textId="67631744" w:rsidR="00CC34C2" w:rsidRPr="008F6866" w:rsidRDefault="008558BF" w:rsidP="00CC34C2">
      <w:pPr>
        <w:tabs>
          <w:tab w:val="center" w:pos="4479"/>
        </w:tabs>
        <w:suppressAutoHyphens/>
        <w:spacing w:after="0" w:line="240" w:lineRule="auto"/>
        <w:rPr>
          <w:rFonts w:eastAsia="Times" w:cs="Arial"/>
          <w:color w:val="3B3721"/>
          <w:spacing w:val="-3"/>
          <w:sz w:val="20"/>
          <w:szCs w:val="20"/>
          <w:lang w:eastAsia="fr-FR"/>
        </w:rPr>
      </w:pPr>
      <w:hyperlink r:id="rId14" w:history="1">
        <w:r w:rsidRPr="008F6866">
          <w:rPr>
            <w:color w:val="3B3721"/>
            <w:lang w:eastAsia="fr-FR"/>
          </w:rPr>
          <w:t>http://www.belspo.be</w:t>
        </w:r>
      </w:hyperlink>
      <w:r w:rsidRPr="008F6866">
        <w:rPr>
          <w:rFonts w:eastAsia="Times" w:cs="Arial"/>
          <w:color w:val="3B3721"/>
          <w:sz w:val="20"/>
          <w:szCs w:val="20"/>
          <w:lang w:eastAsia="fr-FR"/>
        </w:rPr>
        <w:br/>
        <w:t>http://www.belspo.be</w:t>
      </w:r>
      <w:r w:rsidRPr="008F6866">
        <w:rPr>
          <w:rFonts w:eastAsia="Times" w:cs="Arial"/>
          <w:color w:val="3B3721"/>
          <w:spacing w:val="-3"/>
          <w:sz w:val="20"/>
          <w:szCs w:val="20"/>
          <w:lang w:eastAsia="fr-FR"/>
        </w:rPr>
        <w:t>/brain-be</w:t>
      </w:r>
    </w:p>
    <w:p w14:paraId="34673F96" w14:textId="77777777" w:rsidR="00CC34C2" w:rsidRPr="008F6866" w:rsidRDefault="00CC34C2" w:rsidP="00CC34C2">
      <w:pPr>
        <w:tabs>
          <w:tab w:val="center" w:pos="4479"/>
        </w:tabs>
        <w:suppressAutoHyphens/>
        <w:spacing w:after="0" w:line="240" w:lineRule="auto"/>
        <w:rPr>
          <w:rFonts w:eastAsia="Times" w:cs="Arial"/>
          <w:color w:val="3B3721"/>
          <w:spacing w:val="-3"/>
          <w:sz w:val="20"/>
          <w:szCs w:val="20"/>
          <w:lang w:eastAsia="fr-FR"/>
        </w:rPr>
      </w:pPr>
    </w:p>
    <w:p w14:paraId="77FF3D8C" w14:textId="773FB76D" w:rsidR="00CC34C2" w:rsidRPr="00B71138" w:rsidRDefault="00CC34C2" w:rsidP="00CC34C2">
      <w:pPr>
        <w:tabs>
          <w:tab w:val="center" w:pos="4479"/>
        </w:tabs>
        <w:suppressAutoHyphens/>
        <w:spacing w:after="0" w:line="240" w:lineRule="auto"/>
        <w:rPr>
          <w:rFonts w:eastAsia="Times" w:cs="Arial"/>
          <w:color w:val="3B3721"/>
          <w:spacing w:val="-3"/>
          <w:sz w:val="20"/>
          <w:szCs w:val="20"/>
          <w:lang w:val="nl-BE" w:eastAsia="fr-FR"/>
        </w:rPr>
      </w:pPr>
      <w:r w:rsidRPr="00B71138">
        <w:rPr>
          <w:rFonts w:eastAsia="Times" w:cs="Arial"/>
          <w:color w:val="3B3721"/>
          <w:spacing w:val="-3"/>
          <w:sz w:val="20"/>
          <w:szCs w:val="20"/>
          <w:lang w:val="nl-BE" w:eastAsia="fr-FR"/>
        </w:rPr>
        <w:t xml:space="preserve">Contact person: </w:t>
      </w:r>
      <w:r w:rsidR="007A3B5E" w:rsidRPr="00B71138">
        <w:rPr>
          <w:rFonts w:eastAsia="Times" w:cs="Arial"/>
          <w:color w:val="3B3721"/>
          <w:spacing w:val="-3"/>
          <w:sz w:val="20"/>
          <w:szCs w:val="20"/>
          <w:lang w:val="nl-BE" w:eastAsia="fr-FR"/>
        </w:rPr>
        <w:t>VAN DER WERF Aline</w:t>
      </w:r>
    </w:p>
    <w:p w14:paraId="15E91ED2" w14:textId="7CC8D3D5" w:rsidR="00CC34C2" w:rsidRPr="00B71138" w:rsidRDefault="008558BF" w:rsidP="00CC34C2">
      <w:pPr>
        <w:tabs>
          <w:tab w:val="center" w:pos="4479"/>
        </w:tabs>
        <w:suppressAutoHyphens/>
        <w:spacing w:after="0" w:line="240" w:lineRule="auto"/>
        <w:rPr>
          <w:rFonts w:eastAsia="Times" w:cs="Times New Roman"/>
          <w:color w:val="3B3721"/>
          <w:spacing w:val="-3"/>
          <w:sz w:val="20"/>
          <w:szCs w:val="20"/>
          <w:lang w:eastAsia="fr-FR"/>
        </w:rPr>
      </w:pPr>
      <w:r w:rsidRPr="00B71138">
        <w:rPr>
          <w:rFonts w:eastAsia="Times" w:cs="Times New Roman"/>
          <w:color w:val="3B3721"/>
          <w:spacing w:val="-3"/>
          <w:sz w:val="20"/>
          <w:szCs w:val="20"/>
          <w:lang w:eastAsia="fr-FR"/>
        </w:rPr>
        <w:t xml:space="preserve">Tel: </w:t>
      </w:r>
      <w:r w:rsidR="00CC34C2" w:rsidRPr="00B71138">
        <w:rPr>
          <w:rFonts w:eastAsia="Times" w:cs="Times New Roman"/>
          <w:color w:val="3B3721"/>
          <w:spacing w:val="-3"/>
          <w:sz w:val="20"/>
          <w:szCs w:val="20"/>
          <w:lang w:eastAsia="fr-FR"/>
        </w:rPr>
        <w:t>+32 (0)2 238 3</w:t>
      </w:r>
      <w:r w:rsidR="00981899" w:rsidRPr="00B71138">
        <w:rPr>
          <w:rFonts w:eastAsia="Times" w:cs="Times New Roman"/>
          <w:color w:val="3B3721"/>
          <w:spacing w:val="-3"/>
          <w:sz w:val="20"/>
          <w:szCs w:val="20"/>
          <w:lang w:eastAsia="fr-FR"/>
        </w:rPr>
        <w:t>6 71</w:t>
      </w:r>
    </w:p>
    <w:p w14:paraId="2B50149D" w14:textId="77777777" w:rsidR="00CC34C2" w:rsidRPr="00B71138" w:rsidRDefault="00CC34C2" w:rsidP="00CC34C2">
      <w:pPr>
        <w:tabs>
          <w:tab w:val="center" w:pos="4479"/>
        </w:tabs>
        <w:suppressAutoHyphens/>
        <w:spacing w:after="0" w:line="240" w:lineRule="auto"/>
        <w:rPr>
          <w:rFonts w:eastAsia="Times" w:cs="Times New Roman"/>
          <w:color w:val="3B3721"/>
          <w:spacing w:val="-3"/>
          <w:sz w:val="20"/>
          <w:szCs w:val="20"/>
          <w:lang w:eastAsia="fr-FR"/>
        </w:rPr>
      </w:pPr>
    </w:p>
    <w:p w14:paraId="3A3398F6" w14:textId="77777777" w:rsidR="00CC34C2" w:rsidRPr="008F6866" w:rsidRDefault="00CC34C2" w:rsidP="00CC34C2">
      <w:pPr>
        <w:tabs>
          <w:tab w:val="center" w:pos="4479"/>
        </w:tabs>
        <w:suppressAutoHyphens/>
        <w:spacing w:after="0" w:line="240" w:lineRule="auto"/>
        <w:rPr>
          <w:rFonts w:eastAsia="Times" w:cs="Times New Roman"/>
          <w:color w:val="3B3721"/>
          <w:sz w:val="20"/>
          <w:szCs w:val="20"/>
          <w:lang w:eastAsia="fr-FR"/>
        </w:rPr>
      </w:pPr>
      <w:r w:rsidRPr="008F6866">
        <w:rPr>
          <w:rFonts w:eastAsia="Times" w:cs="Times New Roman"/>
          <w:color w:val="3B3721"/>
          <w:sz w:val="20"/>
          <w:szCs w:val="20"/>
          <w:lang w:eastAsia="fr-FR"/>
        </w:rPr>
        <w:t xml:space="preserve">Neither the Belgian Science Policy </w:t>
      </w:r>
      <w:r w:rsidR="00C0497D" w:rsidRPr="008F6866">
        <w:rPr>
          <w:rFonts w:eastAsia="Times" w:cs="Times New Roman"/>
          <w:color w:val="3B3721"/>
          <w:sz w:val="20"/>
          <w:szCs w:val="20"/>
          <w:lang w:eastAsia="fr-FR"/>
        </w:rPr>
        <w:t xml:space="preserve">Office </w:t>
      </w:r>
      <w:r w:rsidRPr="008F6866">
        <w:rPr>
          <w:rFonts w:eastAsia="Times" w:cs="Times New Roman"/>
          <w:color w:val="3B3721"/>
          <w:sz w:val="20"/>
          <w:szCs w:val="20"/>
          <w:lang w:eastAsia="fr-FR"/>
        </w:rPr>
        <w:t xml:space="preserve">nor any person acting on behalf of the Belgian Science Policy </w:t>
      </w:r>
      <w:r w:rsidR="00C0497D" w:rsidRPr="008F6866">
        <w:rPr>
          <w:rFonts w:eastAsia="Times" w:cs="Times New Roman"/>
          <w:color w:val="3B3721"/>
          <w:sz w:val="20"/>
          <w:szCs w:val="20"/>
          <w:lang w:eastAsia="fr-FR"/>
        </w:rPr>
        <w:t xml:space="preserve">Office </w:t>
      </w:r>
      <w:r w:rsidRPr="008F6866">
        <w:rPr>
          <w:rFonts w:eastAsia="Times" w:cs="Times New Roman"/>
          <w:color w:val="3B3721"/>
          <w:sz w:val="20"/>
          <w:szCs w:val="20"/>
          <w:lang w:eastAsia="fr-FR"/>
        </w:rPr>
        <w:t>is responsible for the use which might be made of the following information. The authors are responsible for the content.</w:t>
      </w:r>
    </w:p>
    <w:p w14:paraId="687FEB9C" w14:textId="077D1854" w:rsidR="00CC34C2" w:rsidRPr="008F6866" w:rsidRDefault="39CFF0FF" w:rsidP="39CFF0FF">
      <w:pPr>
        <w:spacing w:before="120" w:after="120" w:line="240" w:lineRule="auto"/>
        <w:jc w:val="both"/>
        <w:rPr>
          <w:rFonts w:eastAsia="Times New Roman" w:cs="Arial"/>
          <w:color w:val="3B3721"/>
          <w:sz w:val="20"/>
          <w:szCs w:val="20"/>
        </w:rPr>
      </w:pPr>
      <w:r w:rsidRPr="008F6866">
        <w:rPr>
          <w:rFonts w:eastAsia="Times New Roman" w:cs="Arial"/>
          <w:color w:val="3B3721"/>
          <w:sz w:val="20"/>
          <w:szCs w:val="20"/>
        </w:rPr>
        <w:t>No part of this publication may be reproduced, stored in a retrieval system, or transmitted in any form or by any means, electronic, mechanical, photocopying, recording, or otherwise, without indicating the reference:</w:t>
      </w:r>
    </w:p>
    <w:p w14:paraId="0E7E9C23" w14:textId="66CBF798" w:rsidR="00CC34C2" w:rsidRPr="00CD7E0C" w:rsidRDefault="00B94378" w:rsidP="00B94378">
      <w:pPr>
        <w:spacing w:after="240" w:line="240" w:lineRule="auto"/>
        <w:jc w:val="both"/>
        <w:rPr>
          <w:rFonts w:eastAsia="Times New Roman" w:cs="Arial"/>
          <w:color w:val="3B3721"/>
          <w:sz w:val="20"/>
          <w:szCs w:val="20"/>
        </w:rPr>
      </w:pPr>
      <w:r w:rsidRPr="00CD7E0C">
        <w:rPr>
          <w:rFonts w:eastAsia="Times New Roman" w:cs="Arial"/>
          <w:color w:val="3B3721"/>
          <w:sz w:val="20"/>
          <w:szCs w:val="20"/>
        </w:rPr>
        <w:t xml:space="preserve">ANDRE Frédéric, CANDAELE Romain, GOOSSE Hugues, HOSSEINZADEHTALAEI Parisa, LIGOT Gauthier, MARCHI Sylvain, </w:t>
      </w:r>
      <w:r w:rsidRPr="00B94378">
        <w:rPr>
          <w:rFonts w:eastAsia="Times New Roman" w:cs="Arial"/>
          <w:color w:val="3B3721"/>
          <w:sz w:val="20"/>
          <w:szCs w:val="20"/>
        </w:rPr>
        <w:t>PAU Mathilde, VAN SCHAEYBROECK Bert,</w:t>
      </w:r>
      <w:r w:rsidR="00F96952">
        <w:rPr>
          <w:rFonts w:eastAsia="Times New Roman" w:cs="Arial"/>
          <w:color w:val="3B3721"/>
          <w:sz w:val="20"/>
          <w:szCs w:val="20"/>
        </w:rPr>
        <w:t xml:space="preserve"> </w:t>
      </w:r>
      <w:r w:rsidRPr="00B94378">
        <w:rPr>
          <w:rFonts w:eastAsia="Times New Roman" w:cs="Arial"/>
          <w:color w:val="3B3721"/>
          <w:sz w:val="20"/>
          <w:szCs w:val="20"/>
        </w:rPr>
        <w:t>JONARD Mathieu</w:t>
      </w:r>
      <w:r w:rsidR="00CC34C2" w:rsidRPr="00AF4C91">
        <w:rPr>
          <w:rFonts w:eastAsia="Times New Roman" w:cs="Arial"/>
          <w:color w:val="3B3721"/>
          <w:sz w:val="20"/>
          <w:szCs w:val="20"/>
        </w:rPr>
        <w:t xml:space="preserve">. </w:t>
      </w:r>
      <w:r w:rsidR="00AF4C91" w:rsidRPr="00AF4C91">
        <w:rPr>
          <w:rFonts w:eastAsia="Times New Roman" w:cs="Arial"/>
          <w:b/>
          <w:i/>
          <w:color w:val="3B3721"/>
          <w:sz w:val="20"/>
          <w:szCs w:val="20"/>
        </w:rPr>
        <w:t>Forest regeneration under climate and environmental changes</w:t>
      </w:r>
      <w:r w:rsidR="00CC34C2" w:rsidRPr="00AF4C91">
        <w:rPr>
          <w:rFonts w:eastAsia="Times New Roman" w:cs="Arial"/>
          <w:color w:val="3B3721"/>
          <w:sz w:val="20"/>
          <w:szCs w:val="20"/>
        </w:rPr>
        <w:t xml:space="preserve">. </w:t>
      </w:r>
      <w:r w:rsidR="00CC34C2" w:rsidRPr="008F6866">
        <w:rPr>
          <w:rFonts w:eastAsia="Times New Roman" w:cs="Arial"/>
          <w:color w:val="3B3721"/>
          <w:sz w:val="20"/>
          <w:szCs w:val="20"/>
        </w:rPr>
        <w:t>Final Report. Brussels: Belgian Science Policy</w:t>
      </w:r>
      <w:r w:rsidR="00C0497D" w:rsidRPr="008F6866">
        <w:rPr>
          <w:rFonts w:eastAsia="Times New Roman" w:cs="Arial"/>
          <w:color w:val="3B3721"/>
          <w:sz w:val="20"/>
          <w:szCs w:val="20"/>
        </w:rPr>
        <w:t xml:space="preserve"> Office</w:t>
      </w:r>
      <w:r w:rsidR="00CC34C2" w:rsidRPr="008F6866">
        <w:rPr>
          <w:rFonts w:eastAsia="Times New Roman" w:cs="Arial"/>
          <w:color w:val="3B3721"/>
          <w:sz w:val="20"/>
          <w:szCs w:val="20"/>
        </w:rPr>
        <w:t xml:space="preserve"> 20</w:t>
      </w:r>
      <w:r w:rsidR="00AF4C91">
        <w:rPr>
          <w:rFonts w:eastAsia="Times New Roman" w:cs="Arial"/>
          <w:color w:val="3B3721"/>
          <w:sz w:val="20"/>
          <w:szCs w:val="20"/>
        </w:rPr>
        <w:t>25</w:t>
      </w:r>
      <w:r w:rsidR="00CC34C2" w:rsidRPr="008F6866">
        <w:rPr>
          <w:rFonts w:eastAsia="Times New Roman" w:cs="Arial"/>
          <w:color w:val="3B3721"/>
          <w:sz w:val="20"/>
          <w:szCs w:val="20"/>
        </w:rPr>
        <w:t xml:space="preserve"> – </w:t>
      </w:r>
      <w:r w:rsidR="00553B78">
        <w:rPr>
          <w:rFonts w:eastAsia="Times New Roman" w:cs="Arial"/>
          <w:color w:val="3B3721"/>
          <w:sz w:val="20"/>
          <w:szCs w:val="20"/>
        </w:rPr>
        <w:t xml:space="preserve">106 </w:t>
      </w:r>
      <w:r w:rsidR="00CC34C2" w:rsidRPr="008F6866">
        <w:rPr>
          <w:rFonts w:eastAsia="Times New Roman" w:cs="Arial"/>
          <w:color w:val="3B3721"/>
          <w:sz w:val="20"/>
          <w:szCs w:val="20"/>
        </w:rPr>
        <w:t>p. (BRAIN-be</w:t>
      </w:r>
      <w:r w:rsidR="00A22C85" w:rsidRPr="008F6866">
        <w:rPr>
          <w:rFonts w:eastAsia="Times New Roman" w:cs="Arial"/>
          <w:color w:val="3B3721"/>
          <w:sz w:val="20"/>
          <w:szCs w:val="20"/>
        </w:rPr>
        <w:t xml:space="preserve"> 2.0</w:t>
      </w:r>
      <w:r w:rsidR="00CC34C2" w:rsidRPr="008F6866">
        <w:rPr>
          <w:rFonts w:eastAsia="Times New Roman" w:cs="Arial"/>
          <w:color w:val="3B3721"/>
          <w:sz w:val="20"/>
          <w:szCs w:val="20"/>
        </w:rPr>
        <w:t xml:space="preserve"> - (Belgian Research Action through Interdisciplinary Networks)</w:t>
      </w:r>
      <w:r w:rsidR="0094128B" w:rsidRPr="008F6866">
        <w:rPr>
          <w:rFonts w:eastAsia="Times New Roman" w:cs="Arial"/>
          <w:color w:val="3B3721"/>
          <w:sz w:val="20"/>
          <w:szCs w:val="20"/>
        </w:rPr>
        <w:t>)</w:t>
      </w:r>
    </w:p>
    <w:p w14:paraId="2A38A3BD" w14:textId="77777777" w:rsidR="00CC34C2" w:rsidRPr="008F6866" w:rsidRDefault="00CC34C2" w:rsidP="00CC34C2">
      <w:pPr>
        <w:spacing w:after="240" w:line="240" w:lineRule="auto"/>
        <w:jc w:val="both"/>
        <w:rPr>
          <w:rFonts w:eastAsia="Times New Roman" w:cs="Arial"/>
          <w:highlight w:val="cyan"/>
        </w:rPr>
        <w:sectPr w:rsidR="00CC34C2" w:rsidRPr="008F6866" w:rsidSect="002B1E52">
          <w:headerReference w:type="default" r:id="rId15"/>
          <w:footerReference w:type="default" r:id="rId16"/>
          <w:headerReference w:type="first" r:id="rId17"/>
          <w:pgSz w:w="11906" w:h="16838" w:code="9"/>
          <w:pgMar w:top="1418" w:right="1418" w:bottom="1418" w:left="1418" w:header="709" w:footer="709" w:gutter="0"/>
          <w:cols w:space="708"/>
          <w:vAlign w:val="bottom"/>
          <w:titlePg/>
          <w:docGrid w:linePitch="360"/>
        </w:sectPr>
      </w:pPr>
    </w:p>
    <w:p w14:paraId="59EE45E7" w14:textId="77777777" w:rsidR="00CC34C2" w:rsidRPr="008F6866" w:rsidRDefault="00CC34C2" w:rsidP="00CC34C2">
      <w:pPr>
        <w:pStyle w:val="En-ttedetabledesmatires"/>
        <w:rPr>
          <w:rFonts w:asciiTheme="minorHAnsi" w:hAnsiTheme="minorHAnsi"/>
        </w:rPr>
      </w:pPr>
      <w:r w:rsidRPr="008F6866">
        <w:rPr>
          <w:rFonts w:asciiTheme="minorHAnsi" w:hAnsiTheme="minorHAnsi"/>
        </w:rPr>
        <w:lastRenderedPageBreak/>
        <w:t>table of contents</w:t>
      </w:r>
    </w:p>
    <w:sdt>
      <w:sdtPr>
        <w:rPr>
          <w:rFonts w:asciiTheme="minorHAnsi" w:eastAsiaTheme="minorEastAsia" w:hAnsiTheme="minorHAnsi" w:cstheme="minorBidi"/>
          <w:b w:val="0"/>
          <w:caps w:val="0"/>
          <w:lang w:bidi="ar-SA"/>
        </w:rPr>
        <w:id w:val="56058211"/>
        <w:docPartObj>
          <w:docPartGallery w:val="Table of Contents"/>
          <w:docPartUnique/>
        </w:docPartObj>
      </w:sdtPr>
      <w:sdtEndPr>
        <w:rPr>
          <w:noProof/>
        </w:rPr>
      </w:sdtEndPr>
      <w:sdtContent>
        <w:p w14:paraId="24FC8A42" w14:textId="77777777" w:rsidR="00CC34C2" w:rsidRPr="008F6866" w:rsidRDefault="00CC34C2" w:rsidP="00CC34C2">
          <w:pPr>
            <w:pStyle w:val="En-ttedetabledesmatires"/>
            <w:rPr>
              <w:rFonts w:asciiTheme="minorHAnsi" w:hAnsiTheme="minorHAnsi"/>
            </w:rPr>
          </w:pPr>
        </w:p>
        <w:p w14:paraId="2401CFBF" w14:textId="77777777" w:rsidR="00687120" w:rsidRDefault="002B1E52">
          <w:pPr>
            <w:pStyle w:val="TM1"/>
          </w:pPr>
          <w:r w:rsidRPr="008F6866">
            <w:rPr>
              <w:rFonts w:asciiTheme="minorHAnsi" w:hAnsiTheme="minorHAnsi"/>
              <w:sz w:val="22"/>
              <w:szCs w:val="22"/>
              <w:lang w:val="en-GB"/>
            </w:rPr>
            <w:br/>
          </w:r>
          <w:r w:rsidR="00CC34C2" w:rsidRPr="008F6866">
            <w:rPr>
              <w:rFonts w:asciiTheme="minorHAnsi" w:hAnsiTheme="minorHAnsi"/>
              <w:sz w:val="22"/>
              <w:szCs w:val="22"/>
              <w:lang w:val="en-GB"/>
            </w:rPr>
            <w:fldChar w:fldCharType="begin"/>
          </w:r>
          <w:r w:rsidR="00CC34C2" w:rsidRPr="008F6866">
            <w:rPr>
              <w:rFonts w:asciiTheme="minorHAnsi" w:hAnsiTheme="minorHAnsi"/>
              <w:sz w:val="22"/>
              <w:szCs w:val="22"/>
              <w:lang w:val="en-GB"/>
            </w:rPr>
            <w:instrText xml:space="preserve"> TOC \o "1-3" \h \z \u </w:instrText>
          </w:r>
          <w:r w:rsidR="00CC34C2" w:rsidRPr="008F6866">
            <w:rPr>
              <w:rFonts w:asciiTheme="minorHAnsi" w:hAnsiTheme="minorHAnsi"/>
              <w:sz w:val="22"/>
              <w:szCs w:val="22"/>
              <w:lang w:val="en-GB"/>
            </w:rPr>
            <w:fldChar w:fldCharType="separate"/>
          </w:r>
        </w:p>
        <w:p w14:paraId="748B990B" w14:textId="06CA1945" w:rsidR="00687120" w:rsidRDefault="00687120">
          <w:pPr>
            <w:pStyle w:val="TM1"/>
            <w:rPr>
              <w:rFonts w:asciiTheme="minorHAnsi" w:hAnsiTheme="minorHAnsi"/>
              <w:b w:val="0"/>
              <w:bCs w:val="0"/>
              <w:caps w:val="0"/>
              <w:smallCaps w:val="0"/>
              <w:spacing w:val="0"/>
              <w:kern w:val="2"/>
              <w:sz w:val="24"/>
              <w:szCs w:val="24"/>
              <w:lang w:val="fr-BE" w:eastAsia="fr-BE"/>
              <w14:ligatures w14:val="standardContextual"/>
            </w:rPr>
          </w:pPr>
          <w:hyperlink w:anchor="_Toc200703447" w:history="1">
            <w:r w:rsidRPr="00D50916">
              <w:rPr>
                <w:rStyle w:val="Lienhypertexte"/>
              </w:rPr>
              <w:t>ABSTRACT</w:t>
            </w:r>
            <w:r>
              <w:rPr>
                <w:webHidden/>
              </w:rPr>
              <w:tab/>
            </w:r>
            <w:r>
              <w:rPr>
                <w:webHidden/>
              </w:rPr>
              <w:fldChar w:fldCharType="begin"/>
            </w:r>
            <w:r>
              <w:rPr>
                <w:webHidden/>
              </w:rPr>
              <w:instrText xml:space="preserve"> PAGEREF _Toc200703447 \h </w:instrText>
            </w:r>
            <w:r>
              <w:rPr>
                <w:webHidden/>
              </w:rPr>
            </w:r>
            <w:r>
              <w:rPr>
                <w:webHidden/>
              </w:rPr>
              <w:fldChar w:fldCharType="separate"/>
            </w:r>
            <w:r>
              <w:rPr>
                <w:webHidden/>
              </w:rPr>
              <w:t>5</w:t>
            </w:r>
            <w:r>
              <w:rPr>
                <w:webHidden/>
              </w:rPr>
              <w:fldChar w:fldCharType="end"/>
            </w:r>
          </w:hyperlink>
        </w:p>
        <w:p w14:paraId="2A7B1FDA" w14:textId="0BFFA19D" w:rsidR="00687120" w:rsidRDefault="00687120">
          <w:pPr>
            <w:pStyle w:val="TM1"/>
            <w:rPr>
              <w:rFonts w:asciiTheme="minorHAnsi" w:hAnsiTheme="minorHAnsi"/>
              <w:b w:val="0"/>
              <w:bCs w:val="0"/>
              <w:caps w:val="0"/>
              <w:smallCaps w:val="0"/>
              <w:spacing w:val="0"/>
              <w:kern w:val="2"/>
              <w:sz w:val="24"/>
              <w:szCs w:val="24"/>
              <w:lang w:val="fr-BE" w:eastAsia="fr-BE"/>
              <w14:ligatures w14:val="standardContextual"/>
            </w:rPr>
          </w:pPr>
          <w:hyperlink w:anchor="_Toc200703448" w:history="1">
            <w:r w:rsidRPr="00D50916">
              <w:rPr>
                <w:rStyle w:val="Lienhypertexte"/>
              </w:rPr>
              <w:t>1. INTRODUCTION</w:t>
            </w:r>
            <w:r>
              <w:rPr>
                <w:webHidden/>
              </w:rPr>
              <w:tab/>
            </w:r>
            <w:r>
              <w:rPr>
                <w:webHidden/>
              </w:rPr>
              <w:fldChar w:fldCharType="begin"/>
            </w:r>
            <w:r>
              <w:rPr>
                <w:webHidden/>
              </w:rPr>
              <w:instrText xml:space="preserve"> PAGEREF _Toc200703448 \h </w:instrText>
            </w:r>
            <w:r>
              <w:rPr>
                <w:webHidden/>
              </w:rPr>
            </w:r>
            <w:r>
              <w:rPr>
                <w:webHidden/>
              </w:rPr>
              <w:fldChar w:fldCharType="separate"/>
            </w:r>
            <w:r>
              <w:rPr>
                <w:webHidden/>
              </w:rPr>
              <w:t>6</w:t>
            </w:r>
            <w:r>
              <w:rPr>
                <w:webHidden/>
              </w:rPr>
              <w:fldChar w:fldCharType="end"/>
            </w:r>
          </w:hyperlink>
        </w:p>
        <w:p w14:paraId="5081B48D" w14:textId="1E243AFF" w:rsidR="00687120" w:rsidRDefault="00687120">
          <w:pPr>
            <w:pStyle w:val="TM1"/>
            <w:rPr>
              <w:rFonts w:asciiTheme="minorHAnsi" w:hAnsiTheme="minorHAnsi"/>
              <w:b w:val="0"/>
              <w:bCs w:val="0"/>
              <w:caps w:val="0"/>
              <w:smallCaps w:val="0"/>
              <w:spacing w:val="0"/>
              <w:kern w:val="2"/>
              <w:sz w:val="24"/>
              <w:szCs w:val="24"/>
              <w:lang w:val="fr-BE" w:eastAsia="fr-BE"/>
              <w14:ligatures w14:val="standardContextual"/>
            </w:rPr>
          </w:pPr>
          <w:hyperlink w:anchor="_Toc200703449" w:history="1">
            <w:r w:rsidRPr="00D50916">
              <w:rPr>
                <w:rStyle w:val="Lienhypertexte"/>
              </w:rPr>
              <w:t>2. STATE OF THE ART AND OBJECTIVES</w:t>
            </w:r>
            <w:r>
              <w:rPr>
                <w:webHidden/>
              </w:rPr>
              <w:tab/>
            </w:r>
            <w:r>
              <w:rPr>
                <w:webHidden/>
              </w:rPr>
              <w:fldChar w:fldCharType="begin"/>
            </w:r>
            <w:r>
              <w:rPr>
                <w:webHidden/>
              </w:rPr>
              <w:instrText xml:space="preserve"> PAGEREF _Toc200703449 \h </w:instrText>
            </w:r>
            <w:r>
              <w:rPr>
                <w:webHidden/>
              </w:rPr>
            </w:r>
            <w:r>
              <w:rPr>
                <w:webHidden/>
              </w:rPr>
              <w:fldChar w:fldCharType="separate"/>
            </w:r>
            <w:r>
              <w:rPr>
                <w:webHidden/>
              </w:rPr>
              <w:t>6</w:t>
            </w:r>
            <w:r>
              <w:rPr>
                <w:webHidden/>
              </w:rPr>
              <w:fldChar w:fldCharType="end"/>
            </w:r>
          </w:hyperlink>
        </w:p>
        <w:p w14:paraId="1AF87492" w14:textId="3A75D75F" w:rsidR="00687120" w:rsidRDefault="00687120">
          <w:pPr>
            <w:pStyle w:val="TM1"/>
            <w:rPr>
              <w:rFonts w:asciiTheme="minorHAnsi" w:hAnsiTheme="minorHAnsi"/>
              <w:b w:val="0"/>
              <w:bCs w:val="0"/>
              <w:caps w:val="0"/>
              <w:smallCaps w:val="0"/>
              <w:spacing w:val="0"/>
              <w:kern w:val="2"/>
              <w:sz w:val="24"/>
              <w:szCs w:val="24"/>
              <w:lang w:val="fr-BE" w:eastAsia="fr-BE"/>
              <w14:ligatures w14:val="standardContextual"/>
            </w:rPr>
          </w:pPr>
          <w:hyperlink w:anchor="_Toc200703450" w:history="1">
            <w:r w:rsidRPr="00D50916">
              <w:rPr>
                <w:rStyle w:val="Lienhypertexte"/>
              </w:rPr>
              <w:t>3. METHODOLOGY</w:t>
            </w:r>
            <w:r>
              <w:rPr>
                <w:webHidden/>
              </w:rPr>
              <w:tab/>
            </w:r>
            <w:r>
              <w:rPr>
                <w:webHidden/>
              </w:rPr>
              <w:fldChar w:fldCharType="begin"/>
            </w:r>
            <w:r>
              <w:rPr>
                <w:webHidden/>
              </w:rPr>
              <w:instrText xml:space="preserve"> PAGEREF _Toc200703450 \h </w:instrText>
            </w:r>
            <w:r>
              <w:rPr>
                <w:webHidden/>
              </w:rPr>
            </w:r>
            <w:r>
              <w:rPr>
                <w:webHidden/>
              </w:rPr>
              <w:fldChar w:fldCharType="separate"/>
            </w:r>
            <w:r>
              <w:rPr>
                <w:webHidden/>
              </w:rPr>
              <w:t>9</w:t>
            </w:r>
            <w:r>
              <w:rPr>
                <w:webHidden/>
              </w:rPr>
              <w:fldChar w:fldCharType="end"/>
            </w:r>
          </w:hyperlink>
        </w:p>
        <w:p w14:paraId="489CB55E" w14:textId="4836DE36" w:rsidR="00687120" w:rsidRDefault="00687120">
          <w:pPr>
            <w:pStyle w:val="TM1"/>
            <w:rPr>
              <w:rFonts w:asciiTheme="minorHAnsi" w:hAnsiTheme="minorHAnsi"/>
              <w:b w:val="0"/>
              <w:bCs w:val="0"/>
              <w:caps w:val="0"/>
              <w:smallCaps w:val="0"/>
              <w:spacing w:val="0"/>
              <w:kern w:val="2"/>
              <w:sz w:val="24"/>
              <w:szCs w:val="24"/>
              <w:lang w:val="fr-BE" w:eastAsia="fr-BE"/>
              <w14:ligatures w14:val="standardContextual"/>
            </w:rPr>
          </w:pPr>
          <w:hyperlink w:anchor="_Toc200703451" w:history="1">
            <w:r w:rsidRPr="00D50916">
              <w:rPr>
                <w:rStyle w:val="Lienhypertexte"/>
              </w:rPr>
              <w:t>4. SCIENTIFIC RESULTS AND RECOMMENDATIONS</w:t>
            </w:r>
            <w:r>
              <w:rPr>
                <w:webHidden/>
              </w:rPr>
              <w:tab/>
            </w:r>
            <w:r>
              <w:rPr>
                <w:webHidden/>
              </w:rPr>
              <w:fldChar w:fldCharType="begin"/>
            </w:r>
            <w:r>
              <w:rPr>
                <w:webHidden/>
              </w:rPr>
              <w:instrText xml:space="preserve"> PAGEREF _Toc200703451 \h </w:instrText>
            </w:r>
            <w:r>
              <w:rPr>
                <w:webHidden/>
              </w:rPr>
            </w:r>
            <w:r>
              <w:rPr>
                <w:webHidden/>
              </w:rPr>
              <w:fldChar w:fldCharType="separate"/>
            </w:r>
            <w:r>
              <w:rPr>
                <w:webHidden/>
              </w:rPr>
              <w:t>40</w:t>
            </w:r>
            <w:r>
              <w:rPr>
                <w:webHidden/>
              </w:rPr>
              <w:fldChar w:fldCharType="end"/>
            </w:r>
          </w:hyperlink>
        </w:p>
        <w:p w14:paraId="3EE6B70F" w14:textId="667F9DE5" w:rsidR="00687120" w:rsidRDefault="00687120">
          <w:pPr>
            <w:pStyle w:val="TM1"/>
            <w:rPr>
              <w:rFonts w:asciiTheme="minorHAnsi" w:hAnsiTheme="minorHAnsi"/>
              <w:b w:val="0"/>
              <w:bCs w:val="0"/>
              <w:caps w:val="0"/>
              <w:smallCaps w:val="0"/>
              <w:spacing w:val="0"/>
              <w:kern w:val="2"/>
              <w:sz w:val="24"/>
              <w:szCs w:val="24"/>
              <w:lang w:val="fr-BE" w:eastAsia="fr-BE"/>
              <w14:ligatures w14:val="standardContextual"/>
            </w:rPr>
          </w:pPr>
          <w:hyperlink w:anchor="_Toc200703452" w:history="1">
            <w:r w:rsidRPr="00D50916">
              <w:rPr>
                <w:rStyle w:val="Lienhypertexte"/>
                <w:lang w:val="fr-BE"/>
              </w:rPr>
              <w:t>5. DISSEMINATION AND VALORISATION</w:t>
            </w:r>
            <w:r>
              <w:rPr>
                <w:webHidden/>
              </w:rPr>
              <w:tab/>
            </w:r>
            <w:r>
              <w:rPr>
                <w:webHidden/>
              </w:rPr>
              <w:fldChar w:fldCharType="begin"/>
            </w:r>
            <w:r>
              <w:rPr>
                <w:webHidden/>
              </w:rPr>
              <w:instrText xml:space="preserve"> PAGEREF _Toc200703452 \h </w:instrText>
            </w:r>
            <w:r>
              <w:rPr>
                <w:webHidden/>
              </w:rPr>
            </w:r>
            <w:r>
              <w:rPr>
                <w:webHidden/>
              </w:rPr>
              <w:fldChar w:fldCharType="separate"/>
            </w:r>
            <w:r>
              <w:rPr>
                <w:webHidden/>
              </w:rPr>
              <w:t>93</w:t>
            </w:r>
            <w:r>
              <w:rPr>
                <w:webHidden/>
              </w:rPr>
              <w:fldChar w:fldCharType="end"/>
            </w:r>
          </w:hyperlink>
        </w:p>
        <w:p w14:paraId="3409811C" w14:textId="5373BD20" w:rsidR="00687120" w:rsidRDefault="00687120">
          <w:pPr>
            <w:pStyle w:val="TM1"/>
            <w:rPr>
              <w:rFonts w:asciiTheme="minorHAnsi" w:hAnsiTheme="minorHAnsi"/>
              <w:b w:val="0"/>
              <w:bCs w:val="0"/>
              <w:caps w:val="0"/>
              <w:smallCaps w:val="0"/>
              <w:spacing w:val="0"/>
              <w:kern w:val="2"/>
              <w:sz w:val="24"/>
              <w:szCs w:val="24"/>
              <w:lang w:val="fr-BE" w:eastAsia="fr-BE"/>
              <w14:ligatures w14:val="standardContextual"/>
            </w:rPr>
          </w:pPr>
          <w:hyperlink w:anchor="_Toc200703453" w:history="1">
            <w:r w:rsidRPr="00D50916">
              <w:rPr>
                <w:rStyle w:val="Lienhypertexte"/>
                <w:lang w:val="fr-BE"/>
              </w:rPr>
              <w:t>6. PUBLICATIONS</w:t>
            </w:r>
            <w:r>
              <w:rPr>
                <w:webHidden/>
              </w:rPr>
              <w:tab/>
            </w:r>
            <w:r>
              <w:rPr>
                <w:webHidden/>
              </w:rPr>
              <w:fldChar w:fldCharType="begin"/>
            </w:r>
            <w:r>
              <w:rPr>
                <w:webHidden/>
              </w:rPr>
              <w:instrText xml:space="preserve"> PAGEREF _Toc200703453 \h </w:instrText>
            </w:r>
            <w:r>
              <w:rPr>
                <w:webHidden/>
              </w:rPr>
            </w:r>
            <w:r>
              <w:rPr>
                <w:webHidden/>
              </w:rPr>
              <w:fldChar w:fldCharType="separate"/>
            </w:r>
            <w:r>
              <w:rPr>
                <w:webHidden/>
              </w:rPr>
              <w:t>94</w:t>
            </w:r>
            <w:r>
              <w:rPr>
                <w:webHidden/>
              </w:rPr>
              <w:fldChar w:fldCharType="end"/>
            </w:r>
          </w:hyperlink>
        </w:p>
        <w:p w14:paraId="6BAACDA9" w14:textId="09D2C3E4" w:rsidR="00687120" w:rsidRDefault="00687120">
          <w:pPr>
            <w:pStyle w:val="TM1"/>
            <w:rPr>
              <w:rFonts w:asciiTheme="minorHAnsi" w:hAnsiTheme="minorHAnsi"/>
              <w:b w:val="0"/>
              <w:bCs w:val="0"/>
              <w:caps w:val="0"/>
              <w:smallCaps w:val="0"/>
              <w:spacing w:val="0"/>
              <w:kern w:val="2"/>
              <w:sz w:val="24"/>
              <w:szCs w:val="24"/>
              <w:lang w:val="fr-BE" w:eastAsia="fr-BE"/>
              <w14:ligatures w14:val="standardContextual"/>
            </w:rPr>
          </w:pPr>
          <w:hyperlink w:anchor="_Toc200703454" w:history="1">
            <w:r w:rsidRPr="00D50916">
              <w:rPr>
                <w:rStyle w:val="Lienhypertexte"/>
              </w:rPr>
              <w:t>7. ACKNOWLEDGEMENTS</w:t>
            </w:r>
            <w:r>
              <w:rPr>
                <w:webHidden/>
              </w:rPr>
              <w:tab/>
            </w:r>
            <w:r>
              <w:rPr>
                <w:webHidden/>
              </w:rPr>
              <w:fldChar w:fldCharType="begin"/>
            </w:r>
            <w:r>
              <w:rPr>
                <w:webHidden/>
              </w:rPr>
              <w:instrText xml:space="preserve"> PAGEREF _Toc200703454 \h </w:instrText>
            </w:r>
            <w:r>
              <w:rPr>
                <w:webHidden/>
              </w:rPr>
            </w:r>
            <w:r>
              <w:rPr>
                <w:webHidden/>
              </w:rPr>
              <w:fldChar w:fldCharType="separate"/>
            </w:r>
            <w:r>
              <w:rPr>
                <w:webHidden/>
              </w:rPr>
              <w:t>95</w:t>
            </w:r>
            <w:r>
              <w:rPr>
                <w:webHidden/>
              </w:rPr>
              <w:fldChar w:fldCharType="end"/>
            </w:r>
          </w:hyperlink>
        </w:p>
        <w:p w14:paraId="12A0B8F8" w14:textId="3C4ED0FA" w:rsidR="00687120" w:rsidRDefault="00687120">
          <w:pPr>
            <w:pStyle w:val="TM1"/>
            <w:rPr>
              <w:rFonts w:asciiTheme="minorHAnsi" w:hAnsiTheme="minorHAnsi"/>
              <w:b w:val="0"/>
              <w:bCs w:val="0"/>
              <w:caps w:val="0"/>
              <w:smallCaps w:val="0"/>
              <w:spacing w:val="0"/>
              <w:kern w:val="2"/>
              <w:sz w:val="24"/>
              <w:szCs w:val="24"/>
              <w:lang w:val="fr-BE" w:eastAsia="fr-BE"/>
              <w14:ligatures w14:val="standardContextual"/>
            </w:rPr>
          </w:pPr>
          <w:hyperlink w:anchor="_Toc200703455" w:history="1">
            <w:r w:rsidRPr="00D50916">
              <w:rPr>
                <w:rStyle w:val="Lienhypertexte"/>
              </w:rPr>
              <w:t>REFERENCES</w:t>
            </w:r>
            <w:r>
              <w:rPr>
                <w:webHidden/>
              </w:rPr>
              <w:tab/>
            </w:r>
            <w:r>
              <w:rPr>
                <w:webHidden/>
              </w:rPr>
              <w:fldChar w:fldCharType="begin"/>
            </w:r>
            <w:r>
              <w:rPr>
                <w:webHidden/>
              </w:rPr>
              <w:instrText xml:space="preserve"> PAGEREF _Toc200703455 \h </w:instrText>
            </w:r>
            <w:r>
              <w:rPr>
                <w:webHidden/>
              </w:rPr>
            </w:r>
            <w:r>
              <w:rPr>
                <w:webHidden/>
              </w:rPr>
              <w:fldChar w:fldCharType="separate"/>
            </w:r>
            <w:r>
              <w:rPr>
                <w:webHidden/>
              </w:rPr>
              <w:t>96</w:t>
            </w:r>
            <w:r>
              <w:rPr>
                <w:webHidden/>
              </w:rPr>
              <w:fldChar w:fldCharType="end"/>
            </w:r>
          </w:hyperlink>
        </w:p>
        <w:p w14:paraId="3AE4BD36" w14:textId="2B689FF8" w:rsidR="00687120" w:rsidRDefault="00687120">
          <w:pPr>
            <w:pStyle w:val="TM1"/>
            <w:rPr>
              <w:rFonts w:asciiTheme="minorHAnsi" w:hAnsiTheme="minorHAnsi"/>
              <w:b w:val="0"/>
              <w:bCs w:val="0"/>
              <w:caps w:val="0"/>
              <w:smallCaps w:val="0"/>
              <w:spacing w:val="0"/>
              <w:kern w:val="2"/>
              <w:sz w:val="24"/>
              <w:szCs w:val="24"/>
              <w:lang w:val="fr-BE" w:eastAsia="fr-BE"/>
              <w14:ligatures w14:val="standardContextual"/>
            </w:rPr>
          </w:pPr>
          <w:hyperlink w:anchor="_Toc200703456" w:history="1">
            <w:r w:rsidRPr="00D50916">
              <w:rPr>
                <w:rStyle w:val="Lienhypertexte"/>
              </w:rPr>
              <w:t>ANNEXES</w:t>
            </w:r>
            <w:r>
              <w:rPr>
                <w:webHidden/>
              </w:rPr>
              <w:tab/>
            </w:r>
            <w:r>
              <w:rPr>
                <w:webHidden/>
              </w:rPr>
              <w:fldChar w:fldCharType="begin"/>
            </w:r>
            <w:r>
              <w:rPr>
                <w:webHidden/>
              </w:rPr>
              <w:instrText xml:space="preserve"> PAGEREF _Toc200703456 \h </w:instrText>
            </w:r>
            <w:r>
              <w:rPr>
                <w:webHidden/>
              </w:rPr>
            </w:r>
            <w:r>
              <w:rPr>
                <w:webHidden/>
              </w:rPr>
              <w:fldChar w:fldCharType="separate"/>
            </w:r>
            <w:r>
              <w:rPr>
                <w:webHidden/>
              </w:rPr>
              <w:t>103</w:t>
            </w:r>
            <w:r>
              <w:rPr>
                <w:webHidden/>
              </w:rPr>
              <w:fldChar w:fldCharType="end"/>
            </w:r>
          </w:hyperlink>
        </w:p>
        <w:p w14:paraId="0167007D" w14:textId="77777777" w:rsidR="00CC34C2" w:rsidRPr="008F6866" w:rsidRDefault="00CC34C2" w:rsidP="00CC34C2">
          <w:r w:rsidRPr="008F6866">
            <w:rPr>
              <w:b/>
              <w:bCs/>
              <w:noProof/>
            </w:rPr>
            <w:fldChar w:fldCharType="end"/>
          </w:r>
        </w:p>
      </w:sdtContent>
    </w:sdt>
    <w:p w14:paraId="678A697D" w14:textId="77777777" w:rsidR="00CC34C2" w:rsidRPr="008F6866" w:rsidRDefault="00CC34C2" w:rsidP="00CC34C2"/>
    <w:p w14:paraId="43FDD573" w14:textId="77777777" w:rsidR="00CC34C2" w:rsidRPr="008F6866" w:rsidRDefault="00CC34C2" w:rsidP="00CC34C2"/>
    <w:p w14:paraId="7BF27770" w14:textId="77777777" w:rsidR="00CC34C2" w:rsidRPr="008F6866" w:rsidRDefault="00CC34C2" w:rsidP="00CC34C2"/>
    <w:p w14:paraId="1FDCFBA6" w14:textId="77777777" w:rsidR="00CC34C2" w:rsidRPr="008F6866" w:rsidRDefault="00CC34C2" w:rsidP="00CC34C2">
      <w:r w:rsidRPr="008F6866">
        <w:br w:type="page"/>
      </w:r>
    </w:p>
    <w:p w14:paraId="7BAEE1CC" w14:textId="77777777" w:rsidR="00CC34C2" w:rsidRPr="008F6866" w:rsidRDefault="00CC34C2" w:rsidP="00CC34C2">
      <w:pPr>
        <w:pStyle w:val="Titre1"/>
        <w:rPr>
          <w:rFonts w:asciiTheme="minorHAnsi" w:hAnsiTheme="minorHAnsi"/>
          <w:u w:val="single"/>
        </w:rPr>
      </w:pPr>
      <w:bookmarkStart w:id="1" w:name="_Toc200703447"/>
      <w:r w:rsidRPr="008F6866">
        <w:rPr>
          <w:rFonts w:asciiTheme="minorHAnsi" w:hAnsiTheme="minorHAnsi"/>
          <w:u w:val="single"/>
        </w:rPr>
        <w:lastRenderedPageBreak/>
        <w:t>ABSTRACT</w:t>
      </w:r>
      <w:bookmarkEnd w:id="1"/>
    </w:p>
    <w:p w14:paraId="1315B0FC" w14:textId="77777777" w:rsidR="00775E36" w:rsidRDefault="00775E36" w:rsidP="00900A11">
      <w:pPr>
        <w:pStyle w:val="Sansinterligne"/>
        <w:spacing w:line="300" w:lineRule="auto"/>
        <w:rPr>
          <w:rFonts w:eastAsia="Times New Roman" w:cs="Times New Roman"/>
          <w:lang w:val="en-GB" w:eastAsia="en-US"/>
        </w:rPr>
      </w:pPr>
    </w:p>
    <w:p w14:paraId="550691EB" w14:textId="25E0C171" w:rsidR="40CB409C" w:rsidRPr="008F6866" w:rsidRDefault="00775E36" w:rsidP="00775E36">
      <w:pPr>
        <w:pStyle w:val="Sansinterligne"/>
        <w:spacing w:line="300" w:lineRule="auto"/>
        <w:jc w:val="both"/>
        <w:rPr>
          <w:rFonts w:eastAsia="Times New Roman" w:cs="Times New Roman"/>
          <w:lang w:val="en-GB" w:eastAsia="en-US"/>
        </w:rPr>
      </w:pPr>
      <w:r w:rsidRPr="00775E36">
        <w:rPr>
          <w:rFonts w:eastAsia="Times New Roman" w:cs="Times New Roman"/>
          <w:lang w:val="en-GB" w:eastAsia="en-US"/>
        </w:rPr>
        <w:t xml:space="preserve">The REGE+ project investigated how forests, particularly in Belgium, can adapt to climate change while facing growing threats like drought and high densities of browsing ungulates such as deer. Forests provide critical ecosystem services like carbon storage, biodiversity, and climate regulation, but their resilience depends heavily on successful regeneration. However, climate-induced stress and overabundant herbivores hamper regeneration, particularly that of climate-resilient species. The project used HETEROFOR, a highly integrated forest model that was improved during this research, to simulate three forest management strategies: Business as Usual (BAU), Oak Regeneration (OAK) and Diversification (DIV). These strategies were simulated across several climate change scenarios, for which the data series were corrected for climate model biases. Results showed that the DIV strategy offered the greatest biodiversity, resilience, and economic gains but was most vulnerable to ungulate pressure. BAU was most effective for carbon storage and wind resistance but underperformed in regeneration and diversity. OAK ranked in between. Local site conditions significantly influenced outcomes, reinforcing the need for site-specific strategies. Simulations showed that ungulate impacts can rival or exceed those of climate change, reducing regeneration and increasing economic losses—especially for species like birch, hornbeam, and oak. In other respects, it was found that bark </w:t>
      </w:r>
      <w:r w:rsidR="003D119F">
        <w:rPr>
          <w:rFonts w:eastAsia="Times New Roman" w:cs="Times New Roman"/>
          <w:lang w:val="en-GB" w:eastAsia="en-US"/>
        </w:rPr>
        <w:t>peeling</w:t>
      </w:r>
      <w:r w:rsidRPr="00775E36">
        <w:rPr>
          <w:rFonts w:eastAsia="Times New Roman" w:cs="Times New Roman"/>
          <w:lang w:val="en-GB" w:eastAsia="en-US"/>
        </w:rPr>
        <w:t xml:space="preserve"> by red deer reduce revenue by 19% on average. The study emphasises the importance of integrating wildlife management and site-specific silviculture into adaptive forestry policies to ensure the resilience and functionality of forests in the face of threats associated with climate change.</w:t>
      </w:r>
    </w:p>
    <w:p w14:paraId="435C5D59" w14:textId="77777777" w:rsidR="00CC34C2" w:rsidRPr="008F6866" w:rsidRDefault="00CC34C2" w:rsidP="00CC34C2">
      <w:pPr>
        <w:rPr>
          <w:rFonts w:eastAsia="Times New Roman" w:cs="Times New Roman"/>
        </w:rPr>
      </w:pPr>
    </w:p>
    <w:p w14:paraId="463C346C" w14:textId="77777777" w:rsidR="00330E88" w:rsidRDefault="00330E88">
      <w:pPr>
        <w:rPr>
          <w:rFonts w:eastAsia="Times New Roman" w:cs="Times New Roman"/>
          <w:b/>
          <w:caps/>
        </w:rPr>
      </w:pPr>
      <w:r>
        <w:br w:type="page"/>
      </w:r>
    </w:p>
    <w:p w14:paraId="4975E76A" w14:textId="0C3AC8F6" w:rsidR="00CC34C2" w:rsidRPr="008F6866" w:rsidRDefault="00CC34C2" w:rsidP="00C73410">
      <w:pPr>
        <w:pStyle w:val="Titre1"/>
        <w:rPr>
          <w:rFonts w:asciiTheme="minorHAnsi" w:hAnsiTheme="minorHAnsi"/>
        </w:rPr>
      </w:pPr>
      <w:bookmarkStart w:id="2" w:name="_Toc200703448"/>
      <w:r w:rsidRPr="008F6866">
        <w:rPr>
          <w:rFonts w:asciiTheme="minorHAnsi" w:hAnsiTheme="minorHAnsi"/>
        </w:rPr>
        <w:lastRenderedPageBreak/>
        <w:t>1. INTRODUCTION</w:t>
      </w:r>
      <w:bookmarkEnd w:id="2"/>
    </w:p>
    <w:p w14:paraId="42BF57F1" w14:textId="77777777" w:rsidR="000532D9" w:rsidRPr="008F6866" w:rsidRDefault="000532D9" w:rsidP="000532D9">
      <w:pPr>
        <w:spacing w:after="0" w:line="300" w:lineRule="auto"/>
        <w:jc w:val="both"/>
        <w:rPr>
          <w:highlight w:val="yellow"/>
        </w:rPr>
      </w:pPr>
    </w:p>
    <w:p w14:paraId="5A0CC641" w14:textId="2DF37401" w:rsidR="43832D9B" w:rsidRPr="008F6866" w:rsidRDefault="36E2585C" w:rsidP="001C6733">
      <w:pPr>
        <w:spacing w:after="120" w:line="300" w:lineRule="auto"/>
        <w:jc w:val="both"/>
        <w:rPr>
          <w:rFonts w:ascii="Calibri" w:eastAsia="Calibri" w:hAnsi="Calibri" w:cs="Calibri"/>
        </w:rPr>
      </w:pPr>
      <w:r w:rsidRPr="008F6866">
        <w:t>Forests are essential to the Earth's habitability and play a critical role in mitigating climate change through carbon sequestration and local cooling effect. They also serve as biodiversity hotspots and provide a wide array of ecosystem services, such as wood production, recreation, soil and water protection, flood control, and water and air purification. To sustain these multiple functions, including their climate services, forests must be continually regenerated. However, European and, more specifically, Belgian forests face numerous threats. Warm and dry summers weaken trees and seedlings by causing water stresses (carbon starvation, hydraulic failure), which in turn can trigger outbreaks of pests and pathogens. In addition, the management of wildlife populations—particularly ungulates like roe deer and red deer—can significantly impact forest dynamics. High populations of these herbivores can affect regeneration development through browsing, preferentially affecting certain tree species and ultimately changing forest composition over time. In this uncertain and rapidly changing environment, forest managers must focus on enhancing forest resistance and resilience. One potential solution is the establishment of uneven-aged and mixed stands. Mixing tree species with contrasting functional traits offers a broad range of responses to various stresses, thus improving a forest's ability to recover after disturbances.</w:t>
      </w:r>
    </w:p>
    <w:p w14:paraId="028B9DEA" w14:textId="0CC6254A" w:rsidR="40CB409C" w:rsidRPr="008F6866" w:rsidRDefault="40CB409C" w:rsidP="40CB409C">
      <w:pPr>
        <w:spacing w:after="120" w:line="300" w:lineRule="auto"/>
        <w:jc w:val="both"/>
      </w:pPr>
      <w:r w:rsidRPr="008F6866">
        <w:t>The diversification of forests—both in terms of age and species composition—fundamentally depends on regeneration. It is through regeneration that tree species composition and forest structure can be changed. Yet, regeneration is complex; it results from an interplay of factors, including forest characteristics, silvicultural practices, natural disturbances, pressure from ungulate populations, and climatic conditions. Promoting regeneration is therefore essential—it is the cornerstone of any meaningful effort toward forest diversification.</w:t>
      </w:r>
    </w:p>
    <w:p w14:paraId="654F5670" w14:textId="77777777" w:rsidR="001727D9" w:rsidRPr="008F6866" w:rsidRDefault="001727D9" w:rsidP="001727D9">
      <w:pPr>
        <w:spacing w:after="0" w:line="300" w:lineRule="auto"/>
        <w:jc w:val="both"/>
        <w:rPr>
          <w:rFonts w:ascii="Calibri" w:eastAsia="Calibri" w:hAnsi="Calibri" w:cs="Calibri"/>
        </w:rPr>
      </w:pPr>
    </w:p>
    <w:p w14:paraId="490EA455" w14:textId="77777777" w:rsidR="00CC34C2" w:rsidRPr="008F6866" w:rsidRDefault="00CC34C2" w:rsidP="00CC34C2">
      <w:pPr>
        <w:pStyle w:val="Titre1"/>
        <w:rPr>
          <w:rFonts w:asciiTheme="minorHAnsi" w:hAnsiTheme="minorHAnsi"/>
        </w:rPr>
      </w:pPr>
      <w:bookmarkStart w:id="3" w:name="_Toc200703449"/>
      <w:r w:rsidRPr="008F6866">
        <w:rPr>
          <w:rFonts w:asciiTheme="minorHAnsi" w:hAnsiTheme="minorHAnsi"/>
        </w:rPr>
        <w:t>2. STATE OF THE ART AND OBJECTIVES</w:t>
      </w:r>
      <w:bookmarkEnd w:id="3"/>
    </w:p>
    <w:p w14:paraId="4CDC8490" w14:textId="77777777" w:rsidR="000532D9" w:rsidRPr="008F6866" w:rsidRDefault="000532D9" w:rsidP="000532D9">
      <w:pPr>
        <w:spacing w:after="0" w:line="300" w:lineRule="auto"/>
        <w:jc w:val="both"/>
        <w:rPr>
          <w:highlight w:val="yellow"/>
        </w:rPr>
      </w:pPr>
    </w:p>
    <w:p w14:paraId="54B80846" w14:textId="07BBDB66" w:rsidR="43832D9B" w:rsidRPr="008F6866" w:rsidRDefault="43832D9B" w:rsidP="001727D9">
      <w:pPr>
        <w:spacing w:after="120" w:line="300" w:lineRule="auto"/>
        <w:jc w:val="both"/>
      </w:pPr>
      <w:r w:rsidRPr="008F6866">
        <w:t>Regenerating forests is vital for maintaining the ecosystem services they provide. In Belgium, forest regeneration has always been a priority for foresters, but it has become even more pressing considering ongoing ecological and climate changes.</w:t>
      </w:r>
    </w:p>
    <w:p w14:paraId="1A3E2036" w14:textId="46FC42B2" w:rsidR="43832D9B" w:rsidRPr="008F6866" w:rsidRDefault="61448482" w:rsidP="61448482">
      <w:pPr>
        <w:spacing w:after="120" w:line="300" w:lineRule="auto"/>
        <w:jc w:val="both"/>
      </w:pPr>
      <w:r w:rsidRPr="008F6866">
        <w:t xml:space="preserve">Today, Norway spruce accounts for a quarter of the Walloon forest </w:t>
      </w:r>
      <w:r w:rsidR="36E2585C" w:rsidRPr="008F6866">
        <w:fldChar w:fldCharType="begin"/>
      </w:r>
      <w:r w:rsidR="00CC7A85">
        <w:instrText xml:space="preserve"> ADDIN EN.CITE &lt;EndNote&gt;&lt;Cite&gt;&lt;Author&gt;Filière Bois Wallonie&lt;/Author&gt;&lt;Year&gt;2024&lt;/Year&gt;&lt;RecNum&gt;412&lt;/RecNum&gt;&lt;IDText&gt;Panorabois2024&lt;/IDText&gt;&lt;DisplayText&gt;(Filière Bois Wallonie, 2024)&lt;/DisplayText&gt;&lt;record&gt;&lt;rec-number&gt;412&lt;/rec-number&gt;&lt;foreign-keys&gt;&lt;key app="EN" db-id="0px2fzdxhrpdrre2w5f5pdryx90atadrdavt" timestamp="1744624030"&gt;412&lt;/key&gt;&lt;/foreign-keys&gt;&lt;ref-type name="Report"&gt;27&lt;/ref-type&gt;&lt;contributors&gt;&lt;authors&gt;&lt;author&gt;Filière Bois Wallonie,&lt;/author&gt;&lt;/authors&gt;&lt;/contributors&gt;&lt;titles&gt;&lt;title&gt;Panorabois Wallonie 2024.&lt;/title&gt;&lt;/titles&gt;&lt;pages&gt;114 p&lt;/pages&gt;&lt;dates&gt;&lt;year&gt;2024&lt;/year&gt;&lt;/dates&gt;&lt;pub-location&gt;Marche-en-Famenne&lt;/pub-location&gt;&lt;label&gt;Panorabois2024&lt;/label&gt;&lt;urls&gt;&lt;related-urls&gt;&lt;url&gt;https://www.filiereboiswallonie.be/sites/default/files/media-documents/FBW%20-%20PanoraBois%202024_0.pdf&lt;/url&gt;&lt;/related-urls&gt;&lt;/urls&gt;&lt;access-date&gt;14/04/2024&lt;/access-date&gt;&lt;/record&gt;&lt;/Cite&gt;&lt;/EndNote&gt;</w:instrText>
      </w:r>
      <w:r w:rsidR="36E2585C" w:rsidRPr="008F6866">
        <w:fldChar w:fldCharType="separate"/>
      </w:r>
      <w:r w:rsidR="00CC7A85">
        <w:rPr>
          <w:noProof/>
        </w:rPr>
        <w:t>(Filière Bois Wallonie, 2024)</w:t>
      </w:r>
      <w:r w:rsidR="36E2585C" w:rsidRPr="008F6866">
        <w:fldChar w:fldCharType="end"/>
      </w:r>
      <w:r w:rsidRPr="008F6866">
        <w:t xml:space="preserve">. The numerous and large spruce stands planted after the Second World War (1950-1970) are currently being regenerated. Given the risks of storms, bark beetle infestation and climate change, it is no longer wise to plant such large areas with a single species. Initially, Douglas fir was seen as a promising species to partially replace spruce. Yet young Douglas fir trees are currently facing significant attacks from various pests and pathogens, such as </w:t>
      </w:r>
      <w:r w:rsidRPr="008F6866">
        <w:rPr>
          <w:i/>
          <w:iCs/>
        </w:rPr>
        <w:t>Contarinia pseudotsugae</w:t>
      </w:r>
      <w:r w:rsidRPr="008F6866">
        <w:t>, Swiss needle cast, and</w:t>
      </w:r>
      <w:r w:rsidRPr="008F6866">
        <w:rPr>
          <w:i/>
          <w:iCs/>
        </w:rPr>
        <w:t xml:space="preserve"> Sirococcus conigenus</w:t>
      </w:r>
      <w:r w:rsidRPr="008F6866">
        <w:t xml:space="preserve"> </w:t>
      </w:r>
      <w:r w:rsidR="36E2585C" w:rsidRPr="008F6866">
        <w:fldChar w:fldCharType="begin"/>
      </w:r>
      <w:r w:rsidR="001677B2">
        <w:instrText xml:space="preserve"> ADDIN EN.CITE &lt;EndNote&gt;&lt;Cite&gt;&lt;Author&gt;Stemmelen&lt;/Author&gt;&lt;Year&gt;2023&lt;/Year&gt;&lt;RecNum&gt;413&lt;/RecNum&gt;&lt;IDText&gt;Stemmelen23&lt;/IDText&gt;&lt;DisplayText&gt;(Stemmelen&lt;style face="italic"&gt; et al.&lt;/style&gt;, 2023)&lt;/DisplayText&gt;&lt;record&gt;&lt;rec-number&gt;413&lt;/rec-number&gt;&lt;foreign-keys&gt;&lt;key app="EN" db-id="0px2fzdxhrpdrre2w5f5pdryx90atadrdavt" timestamp="1744626164"&gt;413&lt;/key&gt;&lt;/foreign-keys&gt;&lt;ref-type name="Journal Article"&gt;17&lt;/ref-type&gt;&lt;contributors&gt;&lt;authors&gt;&lt;author&gt;Stemmelen, A.&lt;/author&gt;&lt;author&gt;Castagneyrol, B.&lt;/author&gt;&lt;author&gt;Ponette, Q.&lt;/author&gt;&lt;author&gt;Prospero, S.&lt;/author&gt;&lt;author&gt;Martin, G. S.&lt;/author&gt;&lt;author&gt;Schneider, S.&lt;/author&gt;&lt;author&gt;Jactel, H.&lt;/author&gt;&lt;/authors&gt;&lt;/contributors&gt;&lt;titles&gt;&lt;title&gt;Tree diversity reduces co-infestation of Douglas fir by two exotic pests and pathogens&lt;/title&gt;&lt;secondary-title&gt;NeoBiota&lt;/secondary-title&gt;&lt;/titles&gt;&lt;periodical&gt;&lt;full-title&gt;NeoBiota&lt;/full-title&gt;&lt;/periodical&gt;&lt;pages&gt;397-413&lt;/pages&gt;&lt;volume&gt;84&lt;/volume&gt;&lt;dates&gt;&lt;year&gt;2023&lt;/year&gt;&lt;/dates&gt;&lt;label&gt;Stemmelen23&lt;/label&gt;&lt;work-type&gt;Article&lt;/work-type&gt;&lt;urls&gt;&lt;related-urls&gt;&lt;url&gt;https://www.scopus.com/inward/record.uri?eid=2-s2.0-85161663110&amp;amp;doi=10.3897%2fNEOBIOTA.84.94109&amp;amp;partnerID=40&amp;amp;md5=c37fded64dc4c0ab531b38cc6c7a4ed3&lt;/url&gt;&lt;/related-urls&gt;&lt;/urls&gt;&lt;electronic-resource-num&gt;10.3897/NEOBIOTA.84.94109&lt;/electronic-resource-num&gt;&lt;remote-database-name&gt;Scopus&lt;/remote-database-name&gt;&lt;/record&gt;&lt;/Cite&gt;&lt;/EndNote&gt;</w:instrText>
      </w:r>
      <w:r w:rsidR="36E2585C" w:rsidRPr="008F6866">
        <w:fldChar w:fldCharType="separate"/>
      </w:r>
      <w:r w:rsidR="001677B2">
        <w:rPr>
          <w:noProof/>
        </w:rPr>
        <w:t>(Stemmelen</w:t>
      </w:r>
      <w:r w:rsidR="001677B2" w:rsidRPr="001677B2">
        <w:rPr>
          <w:i/>
          <w:noProof/>
        </w:rPr>
        <w:t xml:space="preserve"> et al.</w:t>
      </w:r>
      <w:r w:rsidR="001677B2">
        <w:rPr>
          <w:noProof/>
        </w:rPr>
        <w:t>, 2023)</w:t>
      </w:r>
      <w:r w:rsidR="36E2585C" w:rsidRPr="008F6866">
        <w:fldChar w:fldCharType="end"/>
      </w:r>
      <w:r w:rsidRPr="008F6866">
        <w:t xml:space="preserve">. Given the need for more drastic diversification of the Walloon forest, a grant promoting replantation of mixed tree species (called </w:t>
      </w:r>
      <w:r w:rsidRPr="008F6866">
        <w:rPr>
          <w:i/>
          <w:iCs/>
        </w:rPr>
        <w:t>Forêt Résilience</w:t>
      </w:r>
      <w:r w:rsidRPr="008F6866">
        <w:t xml:space="preserve">) was awarded to public and private forest owners between 2021 and 2024. Traditionally, coniferous stands have been regenerated through plantation after clearcutting and, even if this even-aged approach is gradually being replaced with uneven-aged silviculture, massive recourse to planting was again necessary to </w:t>
      </w:r>
      <w:r w:rsidRPr="008F6866">
        <w:lastRenderedPageBreak/>
        <w:t xml:space="preserve">regenerate stands damaged by the bark beetle. For healthy stands that are still in place and not at risk of windfall, the application of continuous-cover forestry principles is an interesting option to enhance forest resistance and resilience by creating structurally complex and species-diverse stands </w:t>
      </w:r>
      <w:r w:rsidR="36E2585C" w:rsidRPr="008F6866">
        <w:fldChar w:fldCharType="begin">
          <w:fldData xml:space="preserve">PEVuZE5vdGU+PENpdGU+PEF1dGhvcj5IYW5ld2lua2VsPC9BdXRob3I+PFllYXI+MjAxNDwvWWVh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</w:fldData>
        </w:fldChar>
      </w:r>
      <w:r w:rsidR="001677B2">
        <w:instrText xml:space="preserve"> ADDIN EN.CITE </w:instrText>
      </w:r>
      <w:r w:rsidR="001677B2">
        <w:fldChar w:fldCharType="begin">
          <w:fldData xml:space="preserve">PEVuZE5vdGU+PENpdGU+PEF1dGhvcj5IYW5ld2lua2VsPC9BdXRob3I+PFllYXI+MjAxNDwvWWVh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</w:fldData>
        </w:fldChar>
      </w:r>
      <w:r w:rsidR="001677B2">
        <w:instrText xml:space="preserve"> ADDIN EN.CITE.DATA </w:instrText>
      </w:r>
      <w:r w:rsidR="001677B2">
        <w:fldChar w:fldCharType="end"/>
      </w:r>
      <w:r w:rsidR="36E2585C" w:rsidRPr="008F6866">
        <w:fldChar w:fldCharType="separate"/>
      </w:r>
      <w:r w:rsidR="001677B2">
        <w:rPr>
          <w:noProof/>
        </w:rPr>
        <w:t>(Hanewinkel</w:t>
      </w:r>
      <w:r w:rsidR="001677B2" w:rsidRPr="001677B2">
        <w:rPr>
          <w:i/>
          <w:noProof/>
        </w:rPr>
        <w:t xml:space="preserve"> et al.</w:t>
      </w:r>
      <w:r w:rsidR="001677B2">
        <w:rPr>
          <w:noProof/>
        </w:rPr>
        <w:t>, 2014; Hilmers</w:t>
      </w:r>
      <w:r w:rsidR="001677B2" w:rsidRPr="001677B2">
        <w:rPr>
          <w:i/>
          <w:noProof/>
        </w:rPr>
        <w:t xml:space="preserve"> et al.</w:t>
      </w:r>
      <w:r w:rsidR="001677B2">
        <w:rPr>
          <w:noProof/>
        </w:rPr>
        <w:t>, 2020; Lafond</w:t>
      </w:r>
      <w:r w:rsidR="001677B2" w:rsidRPr="001677B2">
        <w:rPr>
          <w:i/>
          <w:noProof/>
        </w:rPr>
        <w:t xml:space="preserve"> et al.</w:t>
      </w:r>
      <w:r w:rsidR="001677B2">
        <w:rPr>
          <w:noProof/>
        </w:rPr>
        <w:t>, 2014)</w:t>
      </w:r>
      <w:r w:rsidR="36E2585C" w:rsidRPr="008F6866">
        <w:fldChar w:fldCharType="end"/>
      </w:r>
      <w:r w:rsidRPr="008F6866">
        <w:t>. Such forests are generally believed to be better equipped to resist and recover from various disturbances. In the current ecological and climatic context, this strategy is considered more economically viable than clear-cutting silviculture. However, it remains uncertain whether it maximizes profits</w:t>
      </w:r>
      <w:r w:rsidR="006A70E0">
        <w:t xml:space="preserve"> </w:t>
      </w:r>
      <w:r w:rsidR="00AF0384">
        <w:fldChar w:fldCharType="begin"/>
      </w:r>
      <w:r w:rsidR="0097555B">
        <w:instrText xml:space="preserve"> ADDIN EN.CITE &lt;EndNote&gt;&lt;Cite&gt;&lt;Author&gt;Knoke&lt;/Author&gt;&lt;Year&gt;2012&lt;/Year&gt;&lt;RecNum&gt;398&lt;/RecNum&gt;&lt;DisplayText&gt;(Knoke, 2012; Vítková and Ní Dhubháin, 2013)&lt;/DisplayText&gt;&lt;record&gt;&lt;rec-number&gt;398&lt;/rec-number&gt;&lt;foreign-keys&gt;&lt;key app="EN" db-id="0px2fzdxhrpdrre2w5f5pdryx90atadrdavt" timestamp="1716899215"&gt;398&lt;/key&gt;&lt;/foreign-keys&gt;&lt;ref-type name="Book Section"&gt;5&lt;/ref-type&gt;&lt;contributors&gt;&lt;authors&gt;&lt;author&gt;Knoke, T.&lt;/author&gt;&lt;/authors&gt;&lt;secondary-authors&gt;&lt;author&gt;Pukkala, T.&lt;/author&gt;&lt;author&gt;Gadow, K.&lt;/author&gt;&lt;/secondary-authors&gt;&lt;/contributors&gt;&lt;titles&gt;&lt;title&gt;The Economics of Continuous Cover Forestry&lt;/title&gt;&lt;secondary-title&gt;Continuous Cover Forestry&lt;/secondary-title&gt;&lt;/titles&gt;&lt;pages&gt;167-193&lt;/pages&gt;&lt;volume&gt;23&lt;/volume&gt;&lt;number&gt;Managing Forest Ecosystems&lt;/number&gt;&lt;edition&gt;2&lt;/edition&gt;&lt;section&gt;5&lt;/section&gt;&lt;dates&gt;&lt;year&gt;2012&lt;/year&gt;&lt;/dates&gt;&lt;publisher&gt;Springer Dordrecht&lt;/publisher&gt;&lt;label&gt;Knoke12&lt;/label&gt;&lt;urls&gt;&lt;/urls&gt;&lt;/record&gt;&lt;/Cite&gt;&lt;Cite&gt;&lt;Author&gt;Vítková&lt;/Author&gt;&lt;Year&gt;2013&lt;/Year&gt;&lt;RecNum&gt;273&lt;/RecNum&gt;&lt;record&gt;&lt;rec-number&gt;273&lt;/rec-number&gt;&lt;foreign-keys&gt;&lt;key app="EN" db-id="0px2fzdxhrpdrre2w5f5pdryx90atadrdavt" timestamp="1696602940"&gt;273&lt;/key&gt;&lt;/foreign-keys&gt;&lt;ref-type name="Journal Article"&gt;17&lt;/ref-type&gt;&lt;contributors&gt;&lt;authors&gt;&lt;author&gt;Vítková, Lucie&lt;/author&gt;&lt;author&gt;Ní Dhubháin, Áine&lt;/author&gt;&lt;/authors&gt;&lt;/contributors&gt;&lt;titles&gt;&lt;title&gt;Transformation to continuous cover forestry - a review&lt;/title&gt;&lt;secondary-title&gt;Irish Forestry&lt;/secondary-title&gt;&lt;/titles&gt;&lt;periodical&gt;&lt;full-title&gt;Irish Forestry&lt;/full-title&gt;&lt;/periodical&gt;&lt;pages&gt;119-140&lt;/pages&gt;&lt;volume&gt;70&lt;/volume&gt;&lt;dates&gt;&lt;year&gt;2013&lt;/year&gt;&lt;/dates&gt;&lt;label&gt;Vitkova13&lt;/label&gt;&lt;urls&gt;&lt;related-urls&gt;&lt;url&gt;https://journal.societyofirishforesters.ie/index.php/forestry/article/view/10105&lt;/url&gt;&lt;/related-urls&gt;&lt;/urls&gt;&lt;/record&gt;&lt;/Cite&gt;&lt;/EndNote&gt;</w:instrText>
      </w:r>
      <w:r w:rsidR="00AF0384">
        <w:fldChar w:fldCharType="separate"/>
      </w:r>
      <w:r w:rsidR="0097555B">
        <w:rPr>
          <w:noProof/>
        </w:rPr>
        <w:t>(Knoke, 2012; Vítková and Ní Dhubháin, 2013)</w:t>
      </w:r>
      <w:r w:rsidR="00AF0384">
        <w:fldChar w:fldCharType="end"/>
      </w:r>
      <w:r w:rsidRPr="008F6866">
        <w:t>.</w:t>
      </w:r>
    </w:p>
    <w:p w14:paraId="3F39E95A" w14:textId="6DE5BBFF" w:rsidR="43832D9B" w:rsidRPr="008F6866" w:rsidRDefault="43832D9B" w:rsidP="001727D9">
      <w:pPr>
        <w:spacing w:after="120" w:line="300" w:lineRule="auto"/>
        <w:jc w:val="both"/>
      </w:pPr>
      <w:r w:rsidRPr="008F6866">
        <w:t>In addition to regenerating spruce stands, regenerating broadleaf stands is equally important. Oak is the dominant broadleaf species in Belgium and is primarily found in stands originating from coppices or coppices with standards. Over time, these oak stands have aged, and the lack of regeneration has become increasingly apparent</w:t>
      </w:r>
      <w:r w:rsidR="00651670" w:rsidRPr="008F6866">
        <w:t xml:space="preserve"> </w:t>
      </w:r>
      <w:r w:rsidR="00651670" w:rsidRPr="008F6866">
        <w:fldChar w:fldCharType="begin"/>
      </w:r>
      <w:r w:rsidR="001677B2">
        <w:instrText xml:space="preserve"> ADDIN EN.CITE &lt;EndNote&gt;&lt;Cite&gt;&lt;Author&gt;Alderweireld&lt;/Author&gt;&lt;Year&gt;2015&lt;/Year&gt;&lt;RecNum&gt;277&lt;/RecNum&gt;&lt;IDText&gt;Alderweireld15&lt;/IDText&gt;&lt;DisplayText&gt;(Alderweireld&lt;style face="italic"&gt; et al.&lt;/style&gt;, 2015)&lt;/DisplayText&gt;&lt;record&gt;&lt;rec-number&gt;277&lt;/rec-number&gt;&lt;foreign-keys&gt;&lt;key app="EN" db-id="0px2fzdxhrpdrre2w5f5pdryx90atadrdavt" timestamp="1696842140"&gt;277&lt;/key&gt;&lt;/foreign-keys&gt;&lt;ref-type name="Report"&gt;27&lt;/ref-type&gt;&lt;contributors&gt;&lt;authors&gt;&lt;author&gt;Alderweireld, M.&lt;/author&gt;&lt;author&gt;Burnay, F.&lt;/author&gt;&lt;author&gt;Pitchugin, M.&lt;/author&gt;&lt;author&gt;Lecomte, H.&lt;/author&gt;&lt;/authors&gt;&lt;/contributors&gt;&lt;titles&gt;&lt;title&gt;Inventaire Forestier Wallon. Résultats 1994 - 2012.&lt;/title&gt;&lt;/titles&gt;&lt;pages&gt;236&lt;/pages&gt;&lt;dates&gt;&lt;year&gt;2015&lt;/year&gt;&lt;/dates&gt;&lt;pub-location&gt;Jambes&lt;/pub-location&gt;&lt;publisher&gt;SPW, DGO3, DNF, Direction des Ressources forestières&lt;/publisher&gt;&lt;label&gt;Alderweireld15&lt;/label&gt;&lt;urls&gt;&lt;/urls&gt;&lt;/record&gt;&lt;/Cite&gt;&lt;/EndNote&gt;</w:instrText>
      </w:r>
      <w:r w:rsidR="00651670" w:rsidRPr="008F6866">
        <w:fldChar w:fldCharType="separate"/>
      </w:r>
      <w:r w:rsidR="001677B2">
        <w:rPr>
          <w:noProof/>
        </w:rPr>
        <w:t>(Alderweireld</w:t>
      </w:r>
      <w:r w:rsidR="001677B2" w:rsidRPr="001677B2">
        <w:rPr>
          <w:i/>
          <w:noProof/>
        </w:rPr>
        <w:t xml:space="preserve"> et al.</w:t>
      </w:r>
      <w:r w:rsidR="001677B2">
        <w:rPr>
          <w:noProof/>
        </w:rPr>
        <w:t>, 2015)</w:t>
      </w:r>
      <w:r w:rsidR="00651670" w:rsidRPr="008F6866">
        <w:fldChar w:fldCharType="end"/>
      </w:r>
      <w:r w:rsidR="39702FBB" w:rsidRPr="008F6866">
        <w:t>.</w:t>
      </w:r>
      <w:r w:rsidRPr="008F6866">
        <w:t xml:space="preserve"> Several factors contribute to this regeneration failure, including irregular fructification (masting), insufficient light conditions, competition with ground vegetation, mildew attacks, and ungulate browsing</w:t>
      </w:r>
      <w:r w:rsidR="00651670" w:rsidRPr="008F6866">
        <w:t xml:space="preserve"> </w:t>
      </w:r>
      <w:r w:rsidR="00651670" w:rsidRPr="008F6866">
        <w:fldChar w:fldCharType="begin"/>
      </w:r>
      <w:r w:rsidR="001677B2">
        <w:instrText xml:space="preserve"> ADDIN EN.CITE &lt;EndNote&gt;&lt;Cite&gt;&lt;Author&gt;Kohler&lt;/Author&gt;&lt;Year&gt;2020&lt;/Year&gt;&lt;RecNum&gt;414&lt;/RecNum&gt;&lt;IDText&gt;Kohler20&lt;/IDText&gt;&lt;DisplayText&gt;(Kohler&lt;style face="italic"&gt; et al.&lt;/style&gt;, 2020)&lt;/DisplayText&gt;&lt;record&gt;&lt;rec-number&gt;414&lt;/rec-number&gt;&lt;foreign-keys&gt;&lt;key app="EN" db-id="0px2fzdxhrpdrre2w5f5pdryx90atadrdavt" timestamp="1744629239"&gt;414&lt;/key&gt;&lt;/foreign-keys&gt;&lt;ref-type name="Journal Article"&gt;17&lt;/ref-type&gt;&lt;contributors&gt;&lt;authors&gt;&lt;author&gt;Kohler, M.&lt;/author&gt;&lt;author&gt;Pyttel, P.&lt;/author&gt;&lt;author&gt;Kuehne, C.&lt;/author&gt;&lt;author&gt;Modrow, T.&lt;/author&gt;&lt;author&gt;Bauhus, J.&lt;/author&gt;&lt;/authors&gt;&lt;/contributors&gt;&lt;titles&gt;&lt;title&gt;On the knowns and unknowns of natural regeneration of silviculturally managed sessile oak (Quercus petraea (Matt.) Liebl.) forests—a literature review&lt;/title&gt;&lt;secondary-title&gt;Annals of Forest Science&lt;/secondary-title&gt;&lt;/titles&gt;&lt;periodical&gt;&lt;full-title&gt;Annals of Forest Science&lt;/full-title&gt;&lt;/periodical&gt;&lt;volume&gt;77&lt;/volume&gt;&lt;number&gt;4&lt;/number&gt;&lt;dates&gt;&lt;year&gt;2020&lt;/year&gt;&lt;/dates&gt;&lt;label&gt;Kohler20&lt;/label&gt;&lt;work-type&gt;Review&lt;/work-type&gt;&lt;urls&gt;&lt;related-urls&gt;&lt;url&gt;https://www.scopus.com/inward/record.uri?eid=2-s2.0-85092629340&amp;amp;doi=10.1007%2fs13595-020-00998-2&amp;amp;partnerID=40&amp;amp;md5=dfac32cf4f442e199563a9cafed40c61&lt;/url&gt;&lt;/related-urls&gt;&lt;/urls&gt;&lt;custom7&gt;101&lt;/custom7&gt;&lt;electronic-resource-num&gt;10.1007/s13595-020-00998-2&lt;/electronic-resource-num&gt;&lt;remote-database-name&gt;Scopus&lt;/remote-database-name&gt;&lt;/record&gt;&lt;/Cite&gt;&lt;/EndNote&gt;</w:instrText>
      </w:r>
      <w:r w:rsidR="00651670" w:rsidRPr="008F6866">
        <w:fldChar w:fldCharType="separate"/>
      </w:r>
      <w:r w:rsidR="001677B2">
        <w:rPr>
          <w:noProof/>
        </w:rPr>
        <w:t>(Kohler</w:t>
      </w:r>
      <w:r w:rsidR="001677B2" w:rsidRPr="001677B2">
        <w:rPr>
          <w:i/>
          <w:noProof/>
        </w:rPr>
        <w:t xml:space="preserve"> et al.</w:t>
      </w:r>
      <w:r w:rsidR="001677B2">
        <w:rPr>
          <w:noProof/>
        </w:rPr>
        <w:t>, 2020)</w:t>
      </w:r>
      <w:r w:rsidR="00651670" w:rsidRPr="008F6866">
        <w:fldChar w:fldCharType="end"/>
      </w:r>
      <w:r w:rsidRPr="008F6866">
        <w:t>. Notably, increasing ungulate pressure (wild boar, roe deer, and red deer) in Europe is hindering regeneration and could severely impact forest dynamics</w:t>
      </w:r>
      <w:r w:rsidR="00651670" w:rsidRPr="008F6866">
        <w:t xml:space="preserve"> </w:t>
      </w:r>
      <w:r w:rsidR="00651670" w:rsidRPr="008F6866">
        <w:fldChar w:fldCharType="begin"/>
      </w:r>
      <w:r w:rsidR="001677B2">
        <w:instrText xml:space="preserve"> ADDIN EN.CITE &lt;EndNote&gt;&lt;Cite&gt;&lt;Author&gt;Churski&lt;/Author&gt;&lt;Year&gt;2017&lt;/Year&gt;&lt;RecNum&gt;415&lt;/RecNum&gt;&lt;IDText&gt;Churski17&lt;/IDText&gt;&lt;DisplayText&gt;(Churski&lt;style face="italic"&gt; et al.&lt;/style&gt;, 2017)&lt;/DisplayText&gt;&lt;record&gt;&lt;rec-number&gt;415&lt;/rec-number&gt;&lt;foreign-keys&gt;&lt;key app="EN" db-id="0px2fzdxhrpdrre2w5f5pdryx90atadrdavt" timestamp="1744629356"&gt;415&lt;/key&gt;&lt;/foreign-keys&gt;&lt;ref-type name="Journal Article"&gt;17&lt;/ref-type&gt;&lt;contributors&gt;&lt;authors&gt;&lt;author&gt;Churski, M.&lt;/author&gt;&lt;author&gt;Bubnicki, J. W.&lt;/author&gt;&lt;author&gt;Jędrzejewska, B.&lt;/author&gt;&lt;author&gt;Kuijper, D. P. J.&lt;/author&gt;&lt;author&gt;Cromsigt, J. P. G. M.&lt;/author&gt;&lt;/authors&gt;&lt;/contributors&gt;&lt;titles&gt;&lt;title&gt;Brown world forests: increased ungulate browsing keeps temperate trees in recruitment bottlenecks in resource hotspots&lt;/title&gt;&lt;secondary-title&gt;New Phytologist&lt;/secondary-title&gt;&lt;/titles&gt;&lt;periodical&gt;&lt;full-title&gt;New Phytologist&lt;/full-title&gt;&lt;/periodical&gt;&lt;pages&gt;158-168&lt;/pages&gt;&lt;volume&gt;214&lt;/volume&gt;&lt;number&gt;1&lt;/number&gt;&lt;dates&gt;&lt;year&gt;2017&lt;/year&gt;&lt;/dates&gt;&lt;label&gt;Churski17&lt;/label&gt;&lt;work-type&gt;Article&lt;/work-type&gt;&lt;urls&gt;&lt;related-urls&gt;&lt;url&gt;https://www.scopus.com/inward/record.uri?eid=2-s2.0-85006312513&amp;amp;doi=10.1111%2fnph.14345&amp;amp;partnerID=40&amp;amp;md5=29e222adc026f1f5e6d32cb5934fa049&lt;/url&gt;&lt;/related-urls&gt;&lt;/urls&gt;&lt;electronic-resource-num&gt;10.1111/nph.14345&lt;/electronic-resource-num&gt;&lt;remote-database-name&gt;Scopus&lt;/remote-database-name&gt;&lt;/record&gt;&lt;/Cite&gt;&lt;/EndNote&gt;</w:instrText>
      </w:r>
      <w:r w:rsidR="00651670" w:rsidRPr="008F6866">
        <w:fldChar w:fldCharType="separate"/>
      </w:r>
      <w:r w:rsidR="001677B2">
        <w:rPr>
          <w:noProof/>
        </w:rPr>
        <w:t>(Churski</w:t>
      </w:r>
      <w:r w:rsidR="001677B2" w:rsidRPr="001677B2">
        <w:rPr>
          <w:i/>
          <w:noProof/>
        </w:rPr>
        <w:t xml:space="preserve"> et al.</w:t>
      </w:r>
      <w:r w:rsidR="001677B2">
        <w:rPr>
          <w:noProof/>
        </w:rPr>
        <w:t>, 2017)</w:t>
      </w:r>
      <w:r w:rsidR="00651670" w:rsidRPr="008F6866">
        <w:fldChar w:fldCharType="end"/>
      </w:r>
      <w:r w:rsidRPr="008F6866">
        <w:t>. Since ungulates preferentially browse certain species over others, they alter forest composition over time</w:t>
      </w:r>
      <w:r w:rsidR="007311C1" w:rsidRPr="008F6866">
        <w:t xml:space="preserve"> </w:t>
      </w:r>
      <w:r w:rsidR="007311C1" w:rsidRPr="008F6866">
        <w:fldChar w:fldCharType="begin">
          <w:fldData xml:space="preserve">PEVuZE5vdGU+PENpdGU+PEF1dGhvcj5Eb2JvcjwvQXV0aG9yPjxZZWFyPjIwMjQ8L1llYXI+PFJl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</w:fldData>
        </w:fldChar>
      </w:r>
      <w:r w:rsidR="001677B2">
        <w:instrText xml:space="preserve"> ADDIN EN.CITE </w:instrText>
      </w:r>
      <w:r w:rsidR="001677B2">
        <w:fldChar w:fldCharType="begin">
          <w:fldData xml:space="preserve">PEVuZE5vdGU+PENpdGU+PEF1dGhvcj5Eb2JvcjwvQXV0aG9yPjxZZWFyPjIwMjQ8L1llYXI+PFJl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</w:fldData>
        </w:fldChar>
      </w:r>
      <w:r w:rsidR="001677B2">
        <w:instrText xml:space="preserve"> ADDIN EN.CITE.DATA </w:instrText>
      </w:r>
      <w:r w:rsidR="001677B2">
        <w:fldChar w:fldCharType="end"/>
      </w:r>
      <w:r w:rsidR="007311C1" w:rsidRPr="008F6866">
        <w:fldChar w:fldCharType="separate"/>
      </w:r>
      <w:r w:rsidR="001677B2">
        <w:rPr>
          <w:noProof/>
        </w:rPr>
        <w:t>(Champagne</w:t>
      </w:r>
      <w:r w:rsidR="001677B2" w:rsidRPr="001677B2">
        <w:rPr>
          <w:i/>
          <w:noProof/>
        </w:rPr>
        <w:t xml:space="preserve"> et al.</w:t>
      </w:r>
      <w:r w:rsidR="001677B2">
        <w:rPr>
          <w:noProof/>
        </w:rPr>
        <w:t>, 2021; Dobor</w:t>
      </w:r>
      <w:r w:rsidR="001677B2" w:rsidRPr="001677B2">
        <w:rPr>
          <w:i/>
          <w:noProof/>
        </w:rPr>
        <w:t xml:space="preserve"> et al.</w:t>
      </w:r>
      <w:r w:rsidR="001677B2">
        <w:rPr>
          <w:noProof/>
        </w:rPr>
        <w:t>, 2024)</w:t>
      </w:r>
      <w:r w:rsidR="007311C1" w:rsidRPr="008F6866">
        <w:fldChar w:fldCharType="end"/>
      </w:r>
      <w:r w:rsidRPr="008F6866">
        <w:t>. For example, beech tends to develop at the expense of oak because it is more competitive, has a higher shade tolerance and a lower palatability</w:t>
      </w:r>
      <w:r w:rsidR="00245728" w:rsidRPr="008F6866">
        <w:t xml:space="preserve"> </w:t>
      </w:r>
      <w:r w:rsidR="00245728" w:rsidRPr="008F6866">
        <w:fldChar w:fldCharType="begin"/>
      </w:r>
      <w:r w:rsidR="001677B2">
        <w:instrText xml:space="preserve"> ADDIN EN.CITE &lt;EndNote&gt;&lt;Cite&gt;&lt;Author&gt;Candaele&lt;/Author&gt;&lt;Year&gt;2023&lt;/Year&gt;&lt;RecNum&gt;302&lt;/RecNum&gt;&lt;IDText&gt;Candaele23&lt;/IDText&gt;&lt;DisplayText&gt;(Candaele&lt;style face="italic"&gt; et al.&lt;/style&gt;, 2023)&lt;/DisplayText&gt;&lt;record&gt;&lt;rec-number&gt;302&lt;/rec-number&gt;&lt;foreign-keys&gt;&lt;key app="EN" db-id="0px2fzdxhrpdrre2w5f5pdryx90atadrdavt" timestamp="1705674045"&gt;302&lt;/key&gt;&lt;/foreign-keys&gt;&lt;ref-type name="Journal Article"&gt;17&lt;/ref-type&gt;&lt;contributors&gt;&lt;authors&gt;&lt;author&gt;Candaele, R.&lt;/author&gt;&lt;author&gt;Ligot, G.&lt;/author&gt;&lt;author&gt;Licoppe, A.&lt;/author&gt;&lt;author&gt;Lievens, J.&lt;/author&gt;&lt;author&gt;Fichefet, V.&lt;/author&gt;&lt;author&gt;Jonard, M.&lt;/author&gt;&lt;author&gt;André, F.&lt;/author&gt;&lt;author&gt;Lejeune, P.&lt;/author&gt;&lt;/authors&gt;&lt;/contributors&gt;&lt;titles&gt;&lt;title&gt;Interspecific Growth Reductions Caused by Wild Ungulates on Tree Seedlings and Their Implications for Temperate {Q}uercus-{F}agus Forests&lt;/title&gt;&lt;secondary-title&gt;Forests&lt;/secondary-title&gt;&lt;/titles&gt;&lt;periodical&gt;&lt;full-title&gt;Forests&lt;/full-title&gt;&lt;/periodical&gt;&lt;pages&gt;1330&lt;/pages&gt;&lt;volume&gt;14&lt;/volume&gt;&lt;number&gt;7&lt;/number&gt;&lt;dates&gt;&lt;year&gt;2023&lt;/year&gt;&lt;/dates&gt;&lt;label&gt;Candaele23&lt;/label&gt;&lt;work-type&gt;Article&lt;/work-type&gt;&lt;urls&gt;&lt;related-urls&gt;&lt;url&gt;https://www.scopus.com/inward/record.uri?eid=2-s2.0-85166268920&amp;amp;doi=10.3390%2ff14071330&amp;amp;partnerID=40&amp;amp;md5=baec94aad47ddae074cf4d93c246c4b8&lt;/url&gt;&lt;/related-urls&gt;&lt;/urls&gt;&lt;custom7&gt;1330&lt;/custom7&gt;&lt;electronic-resource-num&gt;10.3390/f14071330&lt;/electronic-resource-num&gt;&lt;remote-database-name&gt;Scopus&lt;/remote-database-name&gt;&lt;/record&gt;&lt;/Cite&gt;&lt;/EndNote&gt;</w:instrText>
      </w:r>
      <w:r w:rsidR="00245728" w:rsidRPr="008F6866">
        <w:fldChar w:fldCharType="separate"/>
      </w:r>
      <w:r w:rsidR="001677B2">
        <w:rPr>
          <w:noProof/>
        </w:rPr>
        <w:t>(Candaele</w:t>
      </w:r>
      <w:r w:rsidR="001677B2" w:rsidRPr="001677B2">
        <w:rPr>
          <w:i/>
          <w:noProof/>
        </w:rPr>
        <w:t xml:space="preserve"> et al.</w:t>
      </w:r>
      <w:r w:rsidR="001677B2">
        <w:rPr>
          <w:noProof/>
        </w:rPr>
        <w:t>, 2023)</w:t>
      </w:r>
      <w:r w:rsidR="00245728" w:rsidRPr="008F6866">
        <w:fldChar w:fldCharType="end"/>
      </w:r>
      <w:r w:rsidRPr="008F6866">
        <w:t>. Unfortunately, beech is more sensitive to climate change (especially drought events) and has less associated biodiversity than oak</w:t>
      </w:r>
      <w:r w:rsidR="00245728" w:rsidRPr="008F6866">
        <w:t xml:space="preserve"> </w:t>
      </w:r>
      <w:r w:rsidR="00245728" w:rsidRPr="008F6866">
        <w:fldChar w:fldCharType="begin">
          <w:fldData xml:space="preserve">PEVuZE5vdGU+PENpdGU+PEF1dGhvcj5NYXJ0aW5leiBkZWwgQ2FzdGlsbG88L0F1dGhvcj48WWVh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=
</w:fldData>
        </w:fldChar>
      </w:r>
      <w:r w:rsidR="001677B2">
        <w:instrText xml:space="preserve"> ADDIN EN.CITE </w:instrText>
      </w:r>
      <w:r w:rsidR="001677B2">
        <w:fldChar w:fldCharType="begin">
          <w:fldData xml:space="preserve">PEVuZE5vdGU+PENpdGU+PEF1dGhvcj5NYXJ0aW5leiBkZWwgQ2FzdGlsbG88L0F1dGhvcj48WWVh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=
</w:fldData>
        </w:fldChar>
      </w:r>
      <w:r w:rsidR="001677B2">
        <w:instrText xml:space="preserve"> ADDIN EN.CITE.DATA </w:instrText>
      </w:r>
      <w:r w:rsidR="001677B2">
        <w:fldChar w:fldCharType="end"/>
      </w:r>
      <w:r w:rsidR="00245728" w:rsidRPr="008F6866">
        <w:fldChar w:fldCharType="separate"/>
      </w:r>
      <w:r w:rsidR="001677B2">
        <w:rPr>
          <w:noProof/>
        </w:rPr>
        <w:t>(Martinez del Castillo</w:t>
      </w:r>
      <w:r w:rsidR="001677B2" w:rsidRPr="001677B2">
        <w:rPr>
          <w:i/>
          <w:noProof/>
        </w:rPr>
        <w:t xml:space="preserve"> et al.</w:t>
      </w:r>
      <w:r w:rsidR="001677B2">
        <w:rPr>
          <w:noProof/>
        </w:rPr>
        <w:t>, 2022)</w:t>
      </w:r>
      <w:r w:rsidR="00245728" w:rsidRPr="008F6866">
        <w:fldChar w:fldCharType="end"/>
      </w:r>
      <w:r w:rsidRPr="008F6866">
        <w:t>.</w:t>
      </w:r>
    </w:p>
    <w:p w14:paraId="0D951C6A" w14:textId="0FF66CBF" w:rsidR="43832D9B" w:rsidRPr="008F6866" w:rsidRDefault="43832D9B" w:rsidP="001727D9">
      <w:pPr>
        <w:spacing w:after="120" w:line="300" w:lineRule="auto"/>
        <w:jc w:val="both"/>
      </w:pPr>
      <w:r w:rsidRPr="008F6866">
        <w:t xml:space="preserve">Forest managers face complex decisions regarding the optimal choices for (i) tree species selection in the face of pest and pathogen threats and climate change, (ii) regeneration methods (artificial vs. natural), and (iii) silvicultural treatments (even-aged vs. uneven-aged stands). Given this complexity, foresters need clear guidelines with a solid scientific basis derived from field studies. Monitoring field trials is however time consuming and costly. It is therefore worth making an initial selection based on modelling to identify the most promising silvicultural routes to be tested </w:t>
      </w:r>
      <w:r w:rsidRPr="008F6866">
        <w:rPr>
          <w:i/>
          <w:iCs/>
        </w:rPr>
        <w:t>in situ</w:t>
      </w:r>
      <w:r w:rsidRPr="008F6866">
        <w:t>.</w:t>
      </w:r>
    </w:p>
    <w:p w14:paraId="7D9779BE" w14:textId="4E42A57B" w:rsidR="43832D9B" w:rsidRPr="008F6866" w:rsidRDefault="36E2585C" w:rsidP="001727D9">
      <w:pPr>
        <w:spacing w:after="120" w:line="300" w:lineRule="auto"/>
        <w:jc w:val="both"/>
      </w:pPr>
      <w:r w:rsidRPr="008F6866">
        <w:t xml:space="preserve">Simulations can be done with a wide variety of forest dynamics models, but only a few can simultaneously account for the effects of forest management and climate change. Climate change models, such as process-based models, generally operate at the stand scale and do not consider within-stand spatial heterogeneity </w:t>
      </w:r>
      <w:r w:rsidR="43832D9B" w:rsidRPr="008F6866">
        <w:fldChar w:fldCharType="begin">
          <w:fldData xml:space="preserve">PEVuZE5vdGU+PENpdGU+PEF1dGhvcj5EdWZyw6puZTwvQXV0aG9yPjxZZWFyPjIwMDU8L1llYXI+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</w:fldData>
        </w:fldChar>
      </w:r>
      <w:r w:rsidR="00415D19">
        <w:instrText xml:space="preserve"> ADDIN EN.CITE </w:instrText>
      </w:r>
      <w:r w:rsidR="00415D19">
        <w:fldChar w:fldCharType="begin">
          <w:fldData xml:space="preserve">PEVuZE5vdGU+PENpdGU+PEF1dGhvcj5EdWZyw6puZTwvQXV0aG9yPjxZZWFyPjIwMDU8L1llYXI+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</w:fldData>
        </w:fldChar>
      </w:r>
      <w:r w:rsidR="00415D19">
        <w:instrText xml:space="preserve"> ADDIN EN.CITE.DATA </w:instrText>
      </w:r>
      <w:r w:rsidR="00415D19">
        <w:fldChar w:fldCharType="end"/>
      </w:r>
      <w:r w:rsidR="43832D9B" w:rsidRPr="008F6866">
        <w:fldChar w:fldCharType="separate"/>
      </w:r>
      <w:r w:rsidR="00415D19">
        <w:rPr>
          <w:noProof/>
        </w:rPr>
        <w:t>(Dufrêne</w:t>
      </w:r>
      <w:r w:rsidR="00415D19" w:rsidRPr="00415D19">
        <w:rPr>
          <w:i/>
          <w:noProof/>
        </w:rPr>
        <w:t xml:space="preserve"> et al.</w:t>
      </w:r>
      <w:r w:rsidR="00415D19">
        <w:rPr>
          <w:noProof/>
        </w:rPr>
        <w:t>, 2005)</w:t>
      </w:r>
      <w:r w:rsidR="43832D9B" w:rsidRPr="008F6866">
        <w:fldChar w:fldCharType="end"/>
      </w:r>
      <w:r w:rsidRPr="008F6866">
        <w:t xml:space="preserve">. As a result, they are not well-suited for testing silvicultural strategies in structurally complex and species-diverse stands. To simulate the effects of various management strategies in heterogeneous forests, spatially explicit tree models are required, where the position and characteristics of each tree are modelled </w:t>
      </w:r>
      <w:r w:rsidR="43832D9B" w:rsidRPr="008F6866">
        <w:fldChar w:fldCharType="begin">
          <w:fldData xml:space="preserve">PEVuZE5vdGU+PENpdGU+PEF1dGhvcj5CZXJnZXI8L0F1dGhvcj48WWVhcj4yMDA4PC9ZZWFyPjxS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</w:fldData>
        </w:fldChar>
      </w:r>
      <w:r w:rsidR="001677B2">
        <w:instrText xml:space="preserve"> ADDIN EN.CITE </w:instrText>
      </w:r>
      <w:r w:rsidR="001677B2">
        <w:fldChar w:fldCharType="begin">
          <w:fldData xml:space="preserve">PEVuZE5vdGU+PENpdGU+PEF1dGhvcj5CZXJnZXI8L0F1dGhvcj48WWVhcj4yMDA4PC9ZZWFyPjxS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</w:fldData>
        </w:fldChar>
      </w:r>
      <w:r w:rsidR="001677B2">
        <w:instrText xml:space="preserve"> ADDIN EN.CITE.DATA </w:instrText>
      </w:r>
      <w:r w:rsidR="001677B2">
        <w:fldChar w:fldCharType="end"/>
      </w:r>
      <w:r w:rsidR="43832D9B" w:rsidRPr="008F6866">
        <w:fldChar w:fldCharType="separate"/>
      </w:r>
      <w:r w:rsidR="001677B2">
        <w:rPr>
          <w:noProof/>
        </w:rPr>
        <w:t>(Berger</w:t>
      </w:r>
      <w:r w:rsidR="001677B2" w:rsidRPr="001677B2">
        <w:rPr>
          <w:i/>
          <w:noProof/>
        </w:rPr>
        <w:t xml:space="preserve"> et al.</w:t>
      </w:r>
      <w:r w:rsidR="001677B2">
        <w:rPr>
          <w:noProof/>
        </w:rPr>
        <w:t>, 2008; Bravo</w:t>
      </w:r>
      <w:r w:rsidR="001677B2" w:rsidRPr="001677B2">
        <w:rPr>
          <w:i/>
          <w:noProof/>
        </w:rPr>
        <w:t xml:space="preserve"> et al.</w:t>
      </w:r>
      <w:r w:rsidR="001677B2">
        <w:rPr>
          <w:noProof/>
        </w:rPr>
        <w:t>, 2019)</w:t>
      </w:r>
      <w:r w:rsidR="43832D9B" w:rsidRPr="008F6866">
        <w:fldChar w:fldCharType="end"/>
      </w:r>
      <w:r w:rsidRPr="008F6866">
        <w:t xml:space="preserve">. Few models combine detailed spatial descriptions with process-based approaches, and only HETEROFOR is specifically calibrated for Belgian conditions. HETEROFOR is an individual-based and spatially explicit model of stand dynamics based on resource use (light, water, and nutrients) and able to simulate the effects of a wide variety of silvicultural routes </w:t>
      </w:r>
      <w:r w:rsidR="43832D9B" w:rsidRPr="008F6866">
        <w:fldChar w:fldCharType="begin">
          <w:fldData xml:space="preserve">PEVuZE5vdGU+PENpdGU+PEF1dGhvcj5kZSBXZXJnaWZvc3NlPC9BdXRob3I+PFllYXI+MjAyMDwv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</w:fldData>
        </w:fldChar>
      </w:r>
      <w:r w:rsidR="001677B2">
        <w:instrText xml:space="preserve"> ADDIN EN.CITE </w:instrText>
      </w:r>
      <w:r w:rsidR="001677B2">
        <w:fldChar w:fldCharType="begin">
          <w:fldData xml:space="preserve">PEVuZE5vdGU+PENpdGU+PEF1dGhvcj5kZSBXZXJnaWZvc3NlPC9BdXRob3I+PFllYXI+MjAyMDwv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</w:fldData>
        </w:fldChar>
      </w:r>
      <w:r w:rsidR="001677B2">
        <w:instrText xml:space="preserve"> ADDIN EN.CITE.DATA </w:instrText>
      </w:r>
      <w:r w:rsidR="001677B2">
        <w:fldChar w:fldCharType="end"/>
      </w:r>
      <w:r w:rsidR="43832D9B" w:rsidRPr="008F6866">
        <w:fldChar w:fldCharType="separate"/>
      </w:r>
      <w:r w:rsidR="001677B2">
        <w:rPr>
          <w:noProof/>
        </w:rPr>
        <w:t>(de Wergifosse</w:t>
      </w:r>
      <w:r w:rsidR="001677B2" w:rsidRPr="001677B2">
        <w:rPr>
          <w:i/>
          <w:noProof/>
        </w:rPr>
        <w:t xml:space="preserve"> et al.</w:t>
      </w:r>
      <w:r w:rsidR="001677B2">
        <w:rPr>
          <w:noProof/>
        </w:rPr>
        <w:t>, 2020; Jonard</w:t>
      </w:r>
      <w:r w:rsidR="001677B2" w:rsidRPr="001677B2">
        <w:rPr>
          <w:i/>
          <w:noProof/>
        </w:rPr>
        <w:t xml:space="preserve"> et al.</w:t>
      </w:r>
      <w:r w:rsidR="001677B2">
        <w:rPr>
          <w:noProof/>
        </w:rPr>
        <w:t>, 2020)</w:t>
      </w:r>
      <w:r w:rsidR="43832D9B" w:rsidRPr="008F6866">
        <w:fldChar w:fldCharType="end"/>
      </w:r>
      <w:r w:rsidRPr="008F6866">
        <w:t xml:space="preserve">. HETEROFOR has been implemented in the CAPSIS simulator, a tool dedicated to tree growth and stand dynamics modelling and is particularly suited for simulating the evolution of </w:t>
      </w:r>
      <w:r w:rsidRPr="008F6866">
        <w:lastRenderedPageBreak/>
        <w:t>structurally complex stands. As HETEROFOR is part of CAPSIS, it is readily accessible to all users and modelers of this platform.</w:t>
      </w:r>
    </w:p>
    <w:p w14:paraId="6A49E458" w14:textId="2E762CE7" w:rsidR="43832D9B" w:rsidRPr="008F6866" w:rsidRDefault="61448482" w:rsidP="001727D9">
      <w:pPr>
        <w:spacing w:after="120" w:line="300" w:lineRule="auto"/>
        <w:jc w:val="both"/>
      </w:pPr>
      <w:r w:rsidRPr="008F6866">
        <w:t xml:space="preserve">Given that climate conditions influence most of the processes regulating tree growth, simulating stand dynamics over decades requires considering potential future climate scenarios. For this project, we utilized the most recent climate model simulations available. These simulations originated from a large ensemble of general circulation models (GCMs) as part of the Coupled Model Intercomparison Project Phase 6 (CMIP6). These projections were bias-corrected (BC) to address systematic errors. </w:t>
      </w:r>
    </w:p>
    <w:p w14:paraId="2411AE63" w14:textId="31C19335" w:rsidR="43832D9B" w:rsidRPr="008F6866" w:rsidRDefault="43832D9B" w:rsidP="001727D9">
      <w:pPr>
        <w:spacing w:after="120" w:line="300" w:lineRule="auto"/>
        <w:jc w:val="both"/>
      </w:pPr>
      <w:r w:rsidRPr="008F6866">
        <w:t xml:space="preserve">The objective of this project was to develop a highly integrated tool that allows testing various forest regeneration strategies while accounting for local climate evolution and varying levels of ungulate density. To achieve this, HETEROFOR was adapted to include the effects of ungulate browsing on seedling development and mortality. Additionally, the model was improved to evaluate forest climate services (e.g., carbon sequestration, evapotranspiration) and provide economic indicators. Simulation experiments were conducted across multiple climate scenarios and case studies (5 representative broadleaved stands to be regenerated over the next 40 years) to test various regeneration and wildlife management strategies. </w:t>
      </w:r>
      <w:r w:rsidR="6A82ECC2" w:rsidRPr="008F6866">
        <w:t>After discussion with stakeholders (private and public forest owners, managers, and hunters)</w:t>
      </w:r>
      <w:r w:rsidR="50BAE886" w:rsidRPr="008F6866">
        <w:t xml:space="preserve">, three silvicultural routes were retained: </w:t>
      </w:r>
    </w:p>
    <w:p w14:paraId="0611D550" w14:textId="26100A67" w:rsidR="6D6F42FF" w:rsidRPr="008F6866" w:rsidRDefault="61448482" w:rsidP="61448482">
      <w:pPr>
        <w:pStyle w:val="Paragraphedeliste"/>
        <w:numPr>
          <w:ilvl w:val="0"/>
          <w:numId w:val="12"/>
        </w:numPr>
        <w:spacing w:line="300" w:lineRule="auto"/>
        <w:ind w:left="1020" w:hanging="113"/>
        <w:jc w:val="both"/>
        <w:rPr>
          <w:rFonts w:asciiTheme="minorHAnsi" w:hAnsiTheme="minorHAnsi"/>
          <w:lang w:val="en-GB"/>
        </w:rPr>
      </w:pPr>
      <w:r w:rsidRPr="008F6866">
        <w:rPr>
          <w:rFonts w:asciiTheme="minorHAnsi" w:hAnsiTheme="minorHAnsi"/>
          <w:lang w:val="en-GB"/>
        </w:rPr>
        <w:t>Business As Usual (BAU) which consisted in maintaining an even-aged stand and to regenerate it based on the shelterwood method while limiting interventions in the regeneration cohorts,</w:t>
      </w:r>
    </w:p>
    <w:p w14:paraId="157F2EF2" w14:textId="7408B44E" w:rsidR="28EF2C7E" w:rsidRPr="008F6866" w:rsidRDefault="61448482" w:rsidP="00F33591">
      <w:pPr>
        <w:pStyle w:val="Paragraphedeliste"/>
        <w:numPr>
          <w:ilvl w:val="0"/>
          <w:numId w:val="12"/>
        </w:numPr>
        <w:spacing w:line="300" w:lineRule="auto"/>
        <w:ind w:left="1020" w:hanging="113"/>
        <w:jc w:val="both"/>
        <w:rPr>
          <w:rFonts w:ascii="Calibri" w:eastAsia="Calibri" w:hAnsi="Calibri"/>
          <w:color w:val="000000" w:themeColor="text1"/>
          <w:lang w:val="en-GB"/>
        </w:rPr>
      </w:pPr>
      <w:r w:rsidRPr="008F6866">
        <w:rPr>
          <w:rFonts w:ascii="Calibri" w:eastAsia="Calibri" w:hAnsi="Calibri"/>
          <w:color w:val="000000" w:themeColor="text1"/>
          <w:lang w:val="en-GB"/>
        </w:rPr>
        <w:t>Oak Regeneration (OAK) was like BAU but promoting the regeneration of sessile oak by targeted clearings,</w:t>
      </w:r>
    </w:p>
    <w:p w14:paraId="25550F0D" w14:textId="30E51F40" w:rsidR="43832D9B" w:rsidRDefault="61448482" w:rsidP="00F33591">
      <w:pPr>
        <w:pStyle w:val="Paragraphedeliste"/>
        <w:numPr>
          <w:ilvl w:val="0"/>
          <w:numId w:val="12"/>
        </w:numPr>
        <w:spacing w:line="300" w:lineRule="auto"/>
        <w:ind w:left="1020" w:hanging="113"/>
        <w:jc w:val="both"/>
        <w:rPr>
          <w:rFonts w:ascii="Calibri" w:eastAsia="Calibri" w:hAnsi="Calibri"/>
          <w:lang w:val="en-GB"/>
        </w:rPr>
      </w:pPr>
      <w:r w:rsidRPr="008F6866">
        <w:rPr>
          <w:rFonts w:ascii="Calibri" w:eastAsia="Calibri" w:hAnsi="Calibri"/>
          <w:color w:val="000000" w:themeColor="text1"/>
          <w:lang w:val="en-GB"/>
        </w:rPr>
        <w:t>Diversification (DIV) aimed to enhance both stand composition and structural diversification by relying on natural regeneration and enrichment plantations.</w:t>
      </w:r>
    </w:p>
    <w:p w14:paraId="6FCC214F" w14:textId="77777777" w:rsidR="0022010B" w:rsidRPr="0022010B" w:rsidRDefault="0022010B" w:rsidP="00397296">
      <w:pPr>
        <w:spacing w:after="0" w:line="300" w:lineRule="auto"/>
        <w:jc w:val="both"/>
        <w:rPr>
          <w:rFonts w:ascii="Calibri" w:eastAsia="Calibri" w:hAnsi="Calibri"/>
        </w:rPr>
      </w:pPr>
    </w:p>
    <w:p w14:paraId="2DA3A2E5" w14:textId="6973176A" w:rsidR="43832D9B" w:rsidRPr="008F6866" w:rsidRDefault="61448482" w:rsidP="40CB409C">
      <w:pPr>
        <w:spacing w:line="300" w:lineRule="auto"/>
        <w:jc w:val="both"/>
        <w:rPr>
          <w:rFonts w:ascii="Calibri" w:eastAsia="Calibri" w:hAnsi="Calibri"/>
        </w:rPr>
      </w:pPr>
      <w:r w:rsidRPr="008F6866">
        <w:rPr>
          <w:rFonts w:ascii="Calibri" w:eastAsia="Calibri" w:hAnsi="Calibri"/>
        </w:rPr>
        <w:t>These simulation experiments enabled us to evaluate tree regeneration success, stand resilience to disturbances, and ecosystem service provision. Our findings offer valuable insights for foresters seeking to understand how climate change and ungulate pressure may influence management strategies aimed at promoting oak regeneration and enhancing functional biodiversity. Additionally, the results can support the development of forest policies at both regional and national levels, helping policymakers and managers assess the potential impacts of different forest and wildlife management scenarios in the face of climate change.</w:t>
      </w:r>
    </w:p>
    <w:p w14:paraId="14A7F5C9" w14:textId="77777777" w:rsidR="000532D9" w:rsidRPr="008F6866" w:rsidRDefault="000532D9" w:rsidP="43832D9B"/>
    <w:p w14:paraId="0F514EE0" w14:textId="77777777" w:rsidR="000532D9" w:rsidRPr="008F6866" w:rsidRDefault="000532D9">
      <w:pPr>
        <w:rPr>
          <w:rFonts w:eastAsia="Times New Roman" w:cs="Times New Roman"/>
          <w:b/>
          <w:caps/>
        </w:rPr>
      </w:pPr>
      <w:r w:rsidRPr="008F6866">
        <w:br w:type="page"/>
      </w:r>
    </w:p>
    <w:p w14:paraId="497E0D2B" w14:textId="3D26A9EA" w:rsidR="00CC34C2" w:rsidRPr="008F6866" w:rsidRDefault="00CC34C2" w:rsidP="00CC34C2">
      <w:pPr>
        <w:pStyle w:val="Titre1"/>
        <w:rPr>
          <w:rFonts w:asciiTheme="minorHAnsi" w:hAnsiTheme="minorHAnsi"/>
        </w:rPr>
      </w:pPr>
      <w:bookmarkStart w:id="4" w:name="_Toc200703450"/>
      <w:r w:rsidRPr="008F6866">
        <w:rPr>
          <w:rFonts w:asciiTheme="minorHAnsi" w:hAnsiTheme="minorHAnsi"/>
        </w:rPr>
        <w:lastRenderedPageBreak/>
        <w:t>3. METHODOLOGY</w:t>
      </w:r>
      <w:bookmarkEnd w:id="4"/>
      <w:r w:rsidRPr="008F6866">
        <w:rPr>
          <w:rFonts w:asciiTheme="minorHAnsi" w:hAnsiTheme="minorHAnsi"/>
        </w:rPr>
        <w:t xml:space="preserve"> </w:t>
      </w:r>
    </w:p>
    <w:p w14:paraId="503406FC" w14:textId="77777777" w:rsidR="000532D9" w:rsidRPr="008F6866" w:rsidRDefault="000532D9" w:rsidP="000532D9">
      <w:pPr>
        <w:spacing w:after="0"/>
        <w:rPr>
          <w:highlight w:val="yellow"/>
        </w:rPr>
      </w:pPr>
    </w:p>
    <w:p w14:paraId="501B0837" w14:textId="39A37E60" w:rsidR="00DE18CA" w:rsidRPr="008F6866" w:rsidRDefault="00A20EC1" w:rsidP="00C73410">
      <w:pPr>
        <w:rPr>
          <w:b/>
        </w:rPr>
      </w:pPr>
      <w:r w:rsidRPr="008F6866">
        <w:rPr>
          <w:b/>
        </w:rPr>
        <w:t>3.1 Methodological approach</w:t>
      </w:r>
    </w:p>
    <w:p w14:paraId="01846337" w14:textId="34040625" w:rsidR="63BE5FB5" w:rsidRPr="008F6866" w:rsidRDefault="63BE5FB5" w:rsidP="001727D9">
      <w:pPr>
        <w:spacing w:after="120" w:line="300" w:lineRule="auto"/>
        <w:jc w:val="both"/>
        <w:rPr>
          <w:rFonts w:ascii="Calibri" w:eastAsia="Calibri" w:hAnsi="Calibri" w:cs="Calibri"/>
        </w:rPr>
      </w:pPr>
      <w:r w:rsidRPr="008F6866">
        <w:rPr>
          <w:rFonts w:ascii="Calibri" w:eastAsia="Calibri" w:hAnsi="Calibri" w:cs="Calibri"/>
        </w:rPr>
        <w:t>The REGE+ project is structured into eight work packages</w:t>
      </w:r>
      <w:r w:rsidR="000555EB" w:rsidRPr="008F6866">
        <w:rPr>
          <w:rFonts w:ascii="Calibri" w:eastAsia="Calibri" w:hAnsi="Calibri" w:cs="Calibri"/>
        </w:rPr>
        <w:t xml:space="preserve"> (</w:t>
      </w:r>
      <w:r w:rsidR="000555EB" w:rsidRPr="008F6866">
        <w:rPr>
          <w:rFonts w:ascii="Calibri" w:eastAsia="Calibri" w:hAnsi="Calibri" w:cs="Calibri"/>
        </w:rPr>
        <w:fldChar w:fldCharType="begin"/>
      </w:r>
      <w:r w:rsidR="000555EB" w:rsidRPr="008F6866">
        <w:rPr>
          <w:rFonts w:ascii="Calibri" w:eastAsia="Calibri" w:hAnsi="Calibri" w:cs="Calibri"/>
        </w:rPr>
        <w:instrText xml:space="preserve"> REF _Ref195543973 \h  \* MERGEFORMAT </w:instrText>
      </w:r>
      <w:r w:rsidR="000555EB" w:rsidRPr="008F6866">
        <w:rPr>
          <w:rFonts w:ascii="Calibri" w:eastAsia="Calibri" w:hAnsi="Calibri" w:cs="Calibri"/>
        </w:rPr>
      </w:r>
      <w:r w:rsidR="000555EB" w:rsidRPr="008F6866">
        <w:rPr>
          <w:rFonts w:ascii="Calibri" w:eastAsia="Calibri" w:hAnsi="Calibri" w:cs="Calibri"/>
        </w:rPr>
        <w:fldChar w:fldCharType="separate"/>
      </w:r>
      <w:r w:rsidR="00540DBF" w:rsidRPr="00540DBF">
        <w:rPr>
          <w:rFonts w:ascii="Calibri" w:eastAsia="Calibri" w:hAnsi="Calibri" w:cs="Calibri"/>
        </w:rPr>
        <w:t>Figure 1</w:t>
      </w:r>
      <w:r w:rsidR="000555EB" w:rsidRPr="008F6866">
        <w:rPr>
          <w:rFonts w:ascii="Calibri" w:eastAsia="Calibri" w:hAnsi="Calibri" w:cs="Calibri"/>
        </w:rPr>
        <w:fldChar w:fldCharType="end"/>
      </w:r>
      <w:r w:rsidR="000555EB" w:rsidRPr="008F6866">
        <w:rPr>
          <w:rFonts w:ascii="Calibri" w:eastAsia="Calibri" w:hAnsi="Calibri" w:cs="Calibri"/>
        </w:rPr>
        <w:t>)</w:t>
      </w:r>
      <w:r w:rsidRPr="008F6866">
        <w:rPr>
          <w:rFonts w:ascii="Calibri" w:eastAsia="Calibri" w:hAnsi="Calibri" w:cs="Calibri"/>
        </w:rPr>
        <w:t xml:space="preserve">, each of which is detailed in this section. The primary goal of these work packages </w:t>
      </w:r>
      <w:r w:rsidR="61AB30DE" w:rsidRPr="008F6866">
        <w:rPr>
          <w:rFonts w:ascii="Calibri" w:eastAsia="Calibri" w:hAnsi="Calibri" w:cs="Calibri"/>
        </w:rPr>
        <w:t>was</w:t>
      </w:r>
      <w:r w:rsidRPr="008F6866">
        <w:rPr>
          <w:rFonts w:ascii="Calibri" w:eastAsia="Calibri" w:hAnsi="Calibri" w:cs="Calibri"/>
        </w:rPr>
        <w:t xml:space="preserve"> to produce simulations that assess</w:t>
      </w:r>
      <w:r w:rsidR="17ECFC9D" w:rsidRPr="008F6866">
        <w:rPr>
          <w:rFonts w:ascii="Calibri" w:eastAsia="Calibri" w:hAnsi="Calibri" w:cs="Calibri"/>
        </w:rPr>
        <w:t>ed</w:t>
      </w:r>
      <w:r w:rsidRPr="008F6866">
        <w:rPr>
          <w:rFonts w:ascii="Calibri" w:eastAsia="Calibri" w:hAnsi="Calibri" w:cs="Calibri"/>
        </w:rPr>
        <w:t xml:space="preserve"> the impact of climate change, ungulate pressure, and silvicultural strategies on the dynamics of broadleaved stands.</w:t>
      </w:r>
    </w:p>
    <w:p w14:paraId="34796602" w14:textId="77777777" w:rsidR="000555EB" w:rsidRPr="008F6866" w:rsidRDefault="0037768D" w:rsidP="000555EB">
      <w:pPr>
        <w:keepNext/>
        <w:spacing w:after="0"/>
        <w:jc w:val="center"/>
      </w:pPr>
      <w:r w:rsidRPr="008F6866">
        <w:rPr>
          <w:rFonts w:ascii="Calibri" w:hAnsi="Calibri" w:cs="Calibri"/>
          <w:noProof/>
          <w:color w:val="000000"/>
          <w:bdr w:val="none" w:sz="0" w:space="0" w:color="auto" w:frame="1"/>
        </w:rPr>
        <w:drawing>
          <wp:inline distT="0" distB="0" distL="0" distR="0" wp14:anchorId="00A09852" wp14:editId="2F2B018A">
            <wp:extent cx="5667375" cy="3388839"/>
            <wp:effectExtent l="0" t="0" r="0" b="1905"/>
            <wp:docPr id="2061681014" name="Image 2061681014" descr="https://lh5.googleusercontent.com/lzsx4UH8B14wIWCpcez8VpvEPe4NyB9D12-34xKzpqL5sT0x2b9dh7K8TWdCruL4XoAHvI00ntXfpMdyV38JZLUiVCcv4MCpH8YJ1JIowZkwaM55B2eGo15GEmsM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lzsx4UH8B14wIWCpcez8VpvEPe4NyB9D12-34xKzpqL5sT0x2b9dh7K8TWdCruL4XoAHvI00ntXfpMdyV38JZLUiVCcv4MCpH8YJ1JIowZkwaM55B2eGo15GEmsMh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3388839"/>
                    </a:xfrm>
                    <a:prstGeom prst="rect">
                      <a:avLst/>
                    </a:prstGeom>
                    <a:noFill/>
                    <a:ln>
                      <a:noFill/>
                    </a:ln>
                  </pic:spPr>
                </pic:pic>
              </a:graphicData>
            </a:graphic>
          </wp:inline>
        </w:drawing>
      </w:r>
    </w:p>
    <w:p w14:paraId="29663CAB" w14:textId="184E6EB4" w:rsidR="0037768D" w:rsidRPr="008F6866" w:rsidRDefault="000555EB" w:rsidP="000555EB">
      <w:pPr>
        <w:pStyle w:val="Lgende"/>
        <w:jc w:val="center"/>
        <w:rPr>
          <w:b/>
          <w:i w:val="0"/>
          <w:color w:val="000000" w:themeColor="text1"/>
          <w:sz w:val="20"/>
          <w:szCs w:val="20"/>
        </w:rPr>
      </w:pPr>
      <w:bookmarkStart w:id="5" w:name="_Ref195543973"/>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1</w:t>
      </w:r>
      <w:r w:rsidRPr="008F6866">
        <w:rPr>
          <w:b/>
          <w:i w:val="0"/>
          <w:color w:val="000000" w:themeColor="text1"/>
          <w:sz w:val="20"/>
          <w:szCs w:val="20"/>
        </w:rPr>
        <w:fldChar w:fldCharType="end"/>
      </w:r>
      <w:bookmarkEnd w:id="5"/>
      <w:r w:rsidRPr="008F6866">
        <w:rPr>
          <w:b/>
          <w:i w:val="0"/>
          <w:color w:val="000000" w:themeColor="text1"/>
          <w:sz w:val="20"/>
          <w:szCs w:val="20"/>
        </w:rPr>
        <w:t>. Conceptual scheme of the project</w:t>
      </w:r>
    </w:p>
    <w:p w14:paraId="61D4E022" w14:textId="449F926B" w:rsidR="685E0FD8" w:rsidRPr="008F6866" w:rsidRDefault="685E0FD8" w:rsidP="001727D9">
      <w:pPr>
        <w:spacing w:after="120" w:line="300" w:lineRule="auto"/>
        <w:jc w:val="both"/>
        <w:rPr>
          <w:rFonts w:ascii="Calibri" w:eastAsia="Calibri" w:hAnsi="Calibri" w:cs="Calibri"/>
        </w:rPr>
      </w:pPr>
      <w:r w:rsidRPr="008F6866">
        <w:rPr>
          <w:rFonts w:ascii="Calibri" w:eastAsia="Calibri" w:hAnsi="Calibri" w:cs="Calibri"/>
        </w:rPr>
        <w:t>To conduct these simulations, the original version of HETEROFOR was enhanced to incorporate processes such as hydraulic failure, ungulate impacts, carbon sequestration in both soil and forest products, and to provide users with a range of model outputs, including indicators of wood production, profitability, biodiversity, and carbon balance and storage (WP1). Additionally, a disaggregation procedure was developed to enable the model to convert daily meteorological data into hourly data.</w:t>
      </w:r>
      <w:r w:rsidR="1271E440" w:rsidRPr="008F6866">
        <w:rPr>
          <w:rFonts w:ascii="Calibri" w:eastAsia="Calibri" w:hAnsi="Calibri" w:cs="Calibri"/>
        </w:rPr>
        <w:t xml:space="preserve"> </w:t>
      </w:r>
    </w:p>
    <w:p w14:paraId="535FCDED" w14:textId="10EEF7E4" w:rsidR="0E757A1D" w:rsidRPr="008F6866" w:rsidRDefault="0E757A1D" w:rsidP="001727D9">
      <w:pPr>
        <w:spacing w:after="120" w:line="300" w:lineRule="auto"/>
        <w:jc w:val="both"/>
        <w:rPr>
          <w:rFonts w:ascii="Calibri" w:eastAsia="Calibri" w:hAnsi="Calibri" w:cs="Calibri"/>
        </w:rPr>
      </w:pPr>
      <w:r w:rsidRPr="008F6866">
        <w:rPr>
          <w:rFonts w:ascii="Calibri" w:eastAsia="Calibri" w:hAnsi="Calibri" w:cs="Calibri"/>
        </w:rPr>
        <w:t>Data were collected or utilized to provide some information needed for model initialization, parameterization, and evaluation (WP2). Regeneration dynamics were monitored in situ in both broadleaved and coniferous forests. Browsing damage by ungulates was tracked across an extensive network of paired fenced and unfenced plots. Additionally, a rainfall limitation experiment was conducted to assess the effects of reduced soil water content on seedling growth. Existing data on soil carbon content (from ICP Forests Level II plots in France) were used to evaluate the new soil carbon dynamics module.</w:t>
      </w:r>
    </w:p>
    <w:p w14:paraId="646BDE5C" w14:textId="514BE64E" w:rsidR="10F41EAB" w:rsidRPr="008F6866" w:rsidRDefault="10F41EAB" w:rsidP="001727D9">
      <w:pPr>
        <w:spacing w:after="120" w:line="300" w:lineRule="auto"/>
        <w:jc w:val="both"/>
        <w:rPr>
          <w:rFonts w:ascii="Calibri" w:eastAsia="Calibri" w:hAnsi="Calibri" w:cs="Calibri"/>
        </w:rPr>
      </w:pPr>
      <w:r w:rsidRPr="008F6866">
        <w:rPr>
          <w:rFonts w:ascii="Calibri" w:eastAsia="Calibri" w:hAnsi="Calibri" w:cs="Calibri"/>
        </w:rPr>
        <w:t xml:space="preserve">In WP3, we bias-corrected the CMIP6 climate model projections before using them in HETEROFOR simulations. In WP4, we defined the silvicultural strategies and ungulate population densities to be </w:t>
      </w:r>
      <w:r w:rsidR="2D27E044" w:rsidRPr="008F6866">
        <w:rPr>
          <w:rFonts w:ascii="Calibri" w:eastAsia="Calibri" w:hAnsi="Calibri" w:cs="Calibri"/>
        </w:rPr>
        <w:t>used in the simulation experiment itself (WP5).</w:t>
      </w:r>
    </w:p>
    <w:p w14:paraId="2A0E0C89" w14:textId="16B2389E" w:rsidR="6D78E209" w:rsidRPr="008F6866" w:rsidRDefault="6D78E209" w:rsidP="001727D9">
      <w:pPr>
        <w:spacing w:after="120" w:line="300" w:lineRule="auto"/>
        <w:jc w:val="both"/>
        <w:rPr>
          <w:rFonts w:ascii="Calibri" w:eastAsia="Calibri" w:hAnsi="Calibri" w:cs="Calibri"/>
        </w:rPr>
      </w:pPr>
      <w:r w:rsidRPr="008F6866">
        <w:rPr>
          <w:rFonts w:ascii="Calibri" w:eastAsia="Calibri" w:hAnsi="Calibri" w:cs="Calibri"/>
        </w:rPr>
        <w:lastRenderedPageBreak/>
        <w:t>Data management for the project was handled in WP6. WP7 focused on the optimal valorisation, dissemination, and exploitation of project outcomes, as well as fostering interactions with stakeholders. Lastly, the strategy for ensuring efficient coordination and project management was implemented in WP8.</w:t>
      </w:r>
    </w:p>
    <w:p w14:paraId="4E32C6E3" w14:textId="77777777" w:rsidR="001727D9" w:rsidRPr="008F6866" w:rsidRDefault="001727D9" w:rsidP="001727D9">
      <w:pPr>
        <w:spacing w:after="0" w:line="300" w:lineRule="auto"/>
        <w:jc w:val="both"/>
        <w:rPr>
          <w:rFonts w:ascii="Calibri" w:eastAsia="Calibri" w:hAnsi="Calibri" w:cs="Calibri"/>
        </w:rPr>
      </w:pPr>
    </w:p>
    <w:p w14:paraId="6F34612E" w14:textId="77777777" w:rsidR="006551F0" w:rsidRPr="008F6866" w:rsidRDefault="006551F0" w:rsidP="006551F0">
      <w:pPr>
        <w:rPr>
          <w:b/>
        </w:rPr>
      </w:pPr>
      <w:r w:rsidRPr="008F6866">
        <w:rPr>
          <w:b/>
        </w:rPr>
        <w:t>WP1. Model improvements</w:t>
      </w:r>
    </w:p>
    <w:p w14:paraId="478125E2" w14:textId="77777777" w:rsidR="006551F0" w:rsidRPr="008F6866" w:rsidRDefault="006551F0" w:rsidP="006551F0">
      <w:pPr>
        <w:rPr>
          <w:b/>
        </w:rPr>
      </w:pPr>
      <w:r w:rsidRPr="008F6866">
        <w:rPr>
          <w:b/>
        </w:rPr>
        <w:t>Task 1.1 Soil water availability effect on regeneration</w:t>
      </w:r>
    </w:p>
    <w:p w14:paraId="409738D3" w14:textId="529B874B" w:rsidR="006551F0" w:rsidRPr="008F6866" w:rsidRDefault="006551F0" w:rsidP="00414E2C">
      <w:pPr>
        <w:spacing w:after="120" w:line="300" w:lineRule="auto"/>
        <w:jc w:val="both"/>
        <w:rPr>
          <w:rFonts w:eastAsia="CG Omega" w:cstheme="minorHAnsi"/>
        </w:rPr>
      </w:pPr>
      <w:r w:rsidRPr="008F6866">
        <w:rPr>
          <w:rFonts w:eastAsia="CG Omega" w:cstheme="minorHAnsi"/>
        </w:rPr>
        <w:t>A new routine, described below, was implemented to account for the impact of hydraulic failure during droughts and heat waves.</w:t>
      </w:r>
    </w:p>
    <w:p w14:paraId="046BDBCF" w14:textId="2ABBBA80" w:rsidR="006551F0" w:rsidRPr="008F6866" w:rsidRDefault="36E2585C" w:rsidP="00414E2C">
      <w:pPr>
        <w:spacing w:after="120" w:line="300" w:lineRule="auto"/>
        <w:jc w:val="both"/>
        <w:rPr>
          <w:rFonts w:eastAsia="CG Omega"/>
        </w:rPr>
      </w:pPr>
      <w:r w:rsidRPr="008F6866">
        <w:rPr>
          <w:rFonts w:eastAsia="CG Omega"/>
        </w:rPr>
        <w:t xml:space="preserve">The default version of HETEROFOR simulates tree transpiration using the Penman-Monteith equation and a tree-level adaptation of the </w:t>
      </w:r>
      <w:r w:rsidRPr="008F6866">
        <w:rPr>
          <w:rFonts w:eastAsia="CG Omega"/>
        </w:rPr>
        <w:fldChar w:fldCharType="begin"/>
      </w:r>
      <w:r w:rsidR="006201C6">
        <w:rPr>
          <w:rFonts w:eastAsia="CG Omega"/>
        </w:rPr>
        <w:instrText xml:space="preserve"> ADDIN EN.CITE &lt;EndNote&gt;&lt;Cite AuthorYear="1"&gt;&lt;Author&gt;Ball&lt;/Author&gt;&lt;Year&gt;1987&lt;/Year&gt;&lt;RecNum&gt;98&lt;/RecNum&gt;&lt;IDText&gt;Ball87&lt;/IDText&gt;&lt;DisplayText&gt;Ball&lt;style face="italic"&gt; et al.&lt;/style&gt; (1987)&lt;/DisplayText&gt;&lt;record&gt;&lt;rec-number&gt;98&lt;/rec-number&gt;&lt;foreign-keys&gt;&lt;key app="EN" db-id="0px2fzdxhrpdrre2w5f5pdryx90atadrdavt" timestamp="1630959816"&gt;98&lt;/key&gt;&lt;/foreign-keys&gt;&lt;ref-type name="Book Section"&gt;5&lt;/ref-type&gt;&lt;contributors&gt;&lt;authors&gt;&lt;author&gt;Ball, J. Timothy&lt;/author&gt;&lt;author&gt;Woodrow, Ian E.&lt;/author&gt;&lt;author&gt;Berry, Joseph A.&lt;/author&gt;&lt;/authors&gt;&lt;tertiary-authors&gt;&lt;author&gt;Biggins, J.&lt;/author&gt;&lt;/tertiary-authors&gt;&lt;/contributors&gt;&lt;titles&gt;&lt;title&gt;A Model Predicting Stomatal Conductance and its Contribution to the Control of Photosynthesis under Different Environmental Conditions&lt;/title&gt;&lt;secondary-title&gt;Progress in Photosynthesis Research: Volume 4 Proceedings of the VIIth International Congress on Photosynthesis Providence, Rhode Island, USA, August 10–15, 1986&lt;/secondary-title&gt;&lt;/titles&gt;&lt;pages&gt;221-224&lt;/pages&gt;&lt;dates&gt;&lt;year&gt;1987&lt;/year&gt;&lt;/dates&gt;&lt;pub-location&gt;Dordrecht&lt;/pub-location&gt;&lt;publisher&gt;Springer Netherlands&lt;/publisher&gt;&lt;isbn&gt;978-94-017-0519-6&lt;/isbn&gt;&lt;label&gt;Ball87&lt;/label&gt;&lt;urls&gt;&lt;related-urls&gt;&lt;url&gt;https://doi.org/10.1007/978-94-017-0519-6_48&lt;/url&gt;&lt;/related-urls&gt;&lt;/urls&gt;&lt;electronic-resource-num&gt;10.1007/978-94-017-0519-6_48&lt;/electronic-resource-num&gt;&lt;/record&gt;&lt;/Cite&gt;&lt;/EndNote&gt;</w:instrText>
      </w:r>
      <w:r w:rsidRPr="008F6866">
        <w:rPr>
          <w:rFonts w:eastAsia="CG Omega"/>
        </w:rPr>
        <w:fldChar w:fldCharType="separate"/>
      </w:r>
      <w:r w:rsidR="006201C6">
        <w:rPr>
          <w:rFonts w:eastAsia="CG Omega"/>
          <w:noProof/>
        </w:rPr>
        <w:t>Ball</w:t>
      </w:r>
      <w:r w:rsidR="006201C6" w:rsidRPr="006201C6">
        <w:rPr>
          <w:rFonts w:eastAsia="CG Omega"/>
          <w:i/>
          <w:noProof/>
        </w:rPr>
        <w:t xml:space="preserve"> et al.</w:t>
      </w:r>
      <w:r w:rsidR="006201C6">
        <w:rPr>
          <w:rFonts w:eastAsia="CG Omega"/>
          <w:noProof/>
        </w:rPr>
        <w:t xml:space="preserve"> (1987)</w:t>
      </w:r>
      <w:r w:rsidRPr="008F6866">
        <w:rPr>
          <w:rFonts w:eastAsia="CG Omega"/>
        </w:rPr>
        <w:fldChar w:fldCharType="end"/>
      </w:r>
      <w:r w:rsidRPr="008F6866">
        <w:rPr>
          <w:rFonts w:eastAsia="CG Omega"/>
        </w:rPr>
        <w:t xml:space="preserve"> approach to calculate the stomatal conductance from carbon assimilation, vapour pressure deficit and soil water potential </w:t>
      </w:r>
      <w:r w:rsidRPr="008F6866">
        <w:rPr>
          <w:rFonts w:eastAsia="CG Omega"/>
        </w:rPr>
        <w:fldChar w:fldCharType="begin"/>
      </w:r>
      <w:r w:rsidR="001677B2">
        <w:rPr>
          <w:rFonts w:eastAsia="CG Omega"/>
        </w:rPr>
        <w:instrText xml:space="preserve"> ADDIN EN.CITE &lt;EndNote&gt;&lt;Cite&gt;&lt;Author&gt;de Wergifosse&lt;/Author&gt;&lt;Year&gt;2020&lt;/Year&gt;&lt;RecNum&gt;25&lt;/RecNum&gt;&lt;IDText&gt;deWergifosse20a&lt;/IDText&gt;&lt;DisplayText&gt;(de Wergifosse&lt;style face="italic"&gt; et al.&lt;/style&gt;, 2020)&lt;/DisplayText&gt;&lt;record&gt;&lt;rec-number&gt;25&lt;/rec-number&gt;&lt;foreign-keys&gt;&lt;key app="EN" db-id="0px2fzdxhrpdrre2w5f5pdryx90atadrdavt" timestamp="1608216709"&gt;25&lt;/key&gt;&lt;/foreign-keys&gt;&lt;ref-type name="Journal Article"&gt;17&lt;/ref-type&gt;&lt;contributors&gt;&lt;authors&gt;&lt;author&gt;de Wergifosse, L.&lt;/author&gt;&lt;author&gt;André, F.&lt;/author&gt;&lt;author&gt;Beudez, N.&lt;/author&gt;&lt;author&gt;de Coligny, F.&lt;/author&gt;&lt;author&gt;Goosse, H.&lt;/author&gt;&lt;author&gt;Jonard, F.&lt;/author&gt;&lt;author&gt;Ponette, Q.&lt;/author&gt;&lt;author&gt;Titeux, H.&lt;/author&gt;&lt;author&gt;Vincke, C.&lt;/author&gt;&lt;author&gt;Jonard, M.&lt;/author&gt;&lt;/authors&gt;&lt;/contributors&gt;&lt;titles&gt;&lt;title&gt;{HETEROFOR} 1.0: a spatially explicit model for exploring the response of structurally complex forests to uncertain future conditions – {P}art 2: {P}henology and water cycle&lt;/title&gt;&lt;secondary-title&gt;Geosci. Model Dev.&lt;/secondary-title&gt;&lt;/titles&gt;&lt;periodical&gt;&lt;full-title&gt;Geosci. Model Dev.&lt;/full-title&gt;&lt;/periodical&gt;&lt;pages&gt;1459-1498&lt;/pages&gt;&lt;volume&gt;13&lt;/volume&gt;&lt;number&gt;3&lt;/number&gt;&lt;dates&gt;&lt;year&gt;2020&lt;/year&gt;&lt;/dates&gt;&lt;publisher&gt;Copernicus Publications&lt;/publisher&gt;&lt;isbn&gt;1991-9603&lt;/isbn&gt;&lt;label&gt;deWergifosse20a&lt;/label&gt;&lt;urls&gt;&lt;related-urls&gt;&lt;url&gt;https://gmd.copernicus.org/articles/13/1459/2020/&lt;/url&gt;&lt;/related-urls&gt;&lt;/urls&gt;&lt;electronic-resource-num&gt;10.5194/gmd-13-1459-2020&lt;/electronic-resource-num&gt;&lt;/record&gt;&lt;/Cite&gt;&lt;/EndNote&gt;</w:instrText>
      </w:r>
      <w:r w:rsidRPr="008F6866">
        <w:rPr>
          <w:rFonts w:eastAsia="CG Omega"/>
        </w:rPr>
        <w:fldChar w:fldCharType="separate"/>
      </w:r>
      <w:r w:rsidR="001677B2">
        <w:rPr>
          <w:rFonts w:eastAsia="CG Omega"/>
          <w:noProof/>
        </w:rPr>
        <w:t>(de Wergifosse</w:t>
      </w:r>
      <w:r w:rsidR="001677B2" w:rsidRPr="001677B2">
        <w:rPr>
          <w:rFonts w:eastAsia="CG Omega"/>
          <w:i/>
          <w:noProof/>
        </w:rPr>
        <w:t xml:space="preserve"> et al.</w:t>
      </w:r>
      <w:r w:rsidR="001677B2">
        <w:rPr>
          <w:rFonts w:eastAsia="CG Omega"/>
          <w:noProof/>
        </w:rPr>
        <w:t>, 2020)</w:t>
      </w:r>
      <w:r w:rsidRPr="008F6866">
        <w:rPr>
          <w:rFonts w:eastAsia="CG Omega"/>
        </w:rPr>
        <w:fldChar w:fldCharType="end"/>
      </w:r>
      <w:r w:rsidRPr="008F6866">
        <w:rPr>
          <w:rFonts w:eastAsia="CG Omega"/>
        </w:rPr>
        <w:t xml:space="preserve">. Tree transpiration and photosynthesis are described in such a way that their response to water stress is fully reversible. Only stomatal regulation is considered: conductivity is reduced when the evaporative demand is high (low relative humidity) and when the soil is dry (low soil water potential) but can fully recover when the soil and atmospheric conditions become less dry (during the night or after a rain event). Such an approach is not sufficient to adequately describe the long-lasting effects of extreme events on the tree hydraulic system. </w:t>
      </w:r>
      <w:r w:rsidR="00027ABE" w:rsidRPr="008F6866">
        <w:rPr>
          <w:rFonts w:eastAsia="CG Omega"/>
        </w:rPr>
        <w:t>To</w:t>
      </w:r>
      <w:r w:rsidRPr="008F6866">
        <w:rPr>
          <w:rFonts w:eastAsia="CG Omega"/>
        </w:rPr>
        <w:t xml:space="preserve"> account for the stress memory of extreme events (heat waves combined with droughts), a new routine was implemented in HETEROFOR to describe tree hydraulics by considering hydraulic failure due to embolism and its consequences on tree vitality (premature leaf shedding and branch mortality). </w:t>
      </w:r>
    </w:p>
    <w:p w14:paraId="38DC4FEB" w14:textId="09B04E0E" w:rsidR="006551F0" w:rsidRPr="008F6866" w:rsidRDefault="39CFF0FF" w:rsidP="00414E2C">
      <w:pPr>
        <w:spacing w:after="120" w:line="300" w:lineRule="auto"/>
        <w:jc w:val="both"/>
        <w:rPr>
          <w:rFonts w:eastAsia="CG Omega"/>
        </w:rPr>
      </w:pPr>
      <w:r w:rsidRPr="008F6866">
        <w:rPr>
          <w:rFonts w:eastAsia="CG Omega"/>
        </w:rPr>
        <w:t xml:space="preserve">The new routine is based on the approach of </w:t>
      </w:r>
      <w:r w:rsidR="006551F0" w:rsidRPr="008F6866">
        <w:rPr>
          <w:rFonts w:eastAsia="CG Omega"/>
        </w:rPr>
        <w:fldChar w:fldCharType="begin"/>
      </w:r>
      <w:r w:rsidR="006201C6">
        <w:rPr>
          <w:rFonts w:eastAsia="CG Omega"/>
        </w:rPr>
        <w:instrText xml:space="preserve"> ADDIN EN.CITE &lt;EndNote&gt;&lt;Cite AuthorYear="1"&gt;&lt;Author&gt;Couvreur&lt;/Author&gt;&lt;Year&gt;2018&lt;/Year&gt;&lt;RecNum&gt;308&lt;/RecNum&gt;&lt;IDText&gt;Couvreur18&lt;/IDText&gt;&lt;DisplayText&gt;Couvreur&lt;style face="italic"&gt; et al.&lt;/style&gt; (2018)&lt;/DisplayText&gt;&lt;record&gt;&lt;rec-number&gt;308&lt;/rec-number&gt;&lt;foreign-keys&gt;&lt;key app="EN" db-id="0px2fzdxhrpdrre2w5f5pdryx90atadrdavt" timestamp="1713778853"&gt;308&lt;/key&gt;&lt;/foreign-keys&gt;&lt;ref-type name="Journal Article"&gt;17&lt;/ref-type&gt;&lt;contributors&gt;&lt;authors&gt;&lt;author&gt;Couvreur, V.&lt;/author&gt;&lt;author&gt;Ledder, G.&lt;/author&gt;&lt;author&gt;Manzoni, S.&lt;/author&gt;&lt;author&gt;Way, D. A.&lt;/author&gt;&lt;author&gt;Muller, E. B.&lt;/author&gt;&lt;author&gt;Russo, S. E.&lt;/author&gt;&lt;/authors&gt;&lt;/contributors&gt;&lt;titles&gt;&lt;title&gt;Water transport through tall trees: A vertically explicit, analytical model of xylem hydraulic conductance in stems&lt;/title&gt;&lt;secondary-title&gt;Plant Cell and Environment&lt;/secondary-title&gt;&lt;/titles&gt;&lt;periodical&gt;&lt;full-title&gt;Plant Cell and Environment&lt;/full-title&gt;&lt;/periodical&gt;&lt;pages&gt;1821-1839&lt;/pages&gt;&lt;volume&gt;41&lt;/volume&gt;&lt;number&gt;8&lt;/number&gt;&lt;dates&gt;&lt;year&gt;2018&lt;/year&gt;&lt;/dates&gt;&lt;label&gt;Couvreur18&lt;/label&gt;&lt;work-type&gt;Article&lt;/work-type&gt;&lt;urls&gt;&lt;related-urls&gt;&lt;url&gt;https://www.scopus.com/inward/record.uri?eid=2-s2.0-85049870822&amp;amp;doi=10.1111%2fpce.13322&amp;amp;partnerID=40&amp;amp;md5=63fa2a92f9e3de20146cfcbc50a49fb6&lt;/url&gt;&lt;/related-urls&gt;&lt;/urls&gt;&lt;electronic-resource-num&gt;10.1111/pce.13322&lt;/electronic-resource-num&gt;&lt;remote-database-name&gt;Scopus&lt;/remote-database-name&gt;&lt;/record&gt;&lt;/Cite&gt;&lt;/EndNote&gt;</w:instrText>
      </w:r>
      <w:r w:rsidR="006551F0" w:rsidRPr="008F6866">
        <w:rPr>
          <w:rFonts w:eastAsia="CG Omega"/>
        </w:rPr>
        <w:fldChar w:fldCharType="separate"/>
      </w:r>
      <w:r w:rsidR="006201C6">
        <w:rPr>
          <w:rFonts w:eastAsia="CG Omega"/>
          <w:noProof/>
        </w:rPr>
        <w:t>Couvreur</w:t>
      </w:r>
      <w:r w:rsidR="006201C6" w:rsidRPr="006201C6">
        <w:rPr>
          <w:rFonts w:eastAsia="CG Omega"/>
          <w:i/>
          <w:noProof/>
        </w:rPr>
        <w:t xml:space="preserve"> et al.</w:t>
      </w:r>
      <w:r w:rsidR="006201C6">
        <w:rPr>
          <w:rFonts w:eastAsia="CG Omega"/>
          <w:noProof/>
        </w:rPr>
        <w:t xml:space="preserve"> (2018)</w:t>
      </w:r>
      <w:r w:rsidR="006551F0" w:rsidRPr="008F6866">
        <w:rPr>
          <w:rFonts w:eastAsia="CG Omega"/>
        </w:rPr>
        <w:fldChar w:fldCharType="end"/>
      </w:r>
      <w:r w:rsidRPr="008F6866">
        <w:rPr>
          <w:rFonts w:eastAsia="CG Omega"/>
        </w:rPr>
        <w:t xml:space="preserve"> which consists in solving a differential equation to predict xylem water potential and conductivity at any tree height considering that conductivity depends on water potential. To solve this equation, the transpiration flux is first fixed at a plausible value (obtained based on the default approach) and the water potential at the trunk base is estimated from soil water potential, tree transpiration and root conductivity. Based on these boundary conditions, the vertical profile of the xylem potential is derived and its value at the top of the tree is used to estimate a new value for the stomatal conductance and tree transpiration. These steps are repeated iteratively until the xylem potential at the top of the tree converges towards a unique value (considering a certain tolerance).  </w:t>
      </w:r>
    </w:p>
    <w:p w14:paraId="76F2BB4A" w14:textId="77777777" w:rsidR="006551F0" w:rsidRPr="008F6866" w:rsidRDefault="006551F0" w:rsidP="00414E2C">
      <w:pPr>
        <w:spacing w:after="120" w:line="300" w:lineRule="auto"/>
        <w:jc w:val="both"/>
        <w:rPr>
          <w:rFonts w:eastAsia="CG Omega" w:cstheme="minorHAnsi"/>
        </w:rPr>
      </w:pPr>
      <w:r w:rsidRPr="008F6866">
        <w:rPr>
          <w:rFonts w:eastAsia="CG Omega" w:cstheme="minorHAnsi"/>
        </w:rPr>
        <w:t>The estimated loss of conductivity at the top of the tree and at the crown base height is then used to predict temporary defoliation and crown dieback, respectively. The temporary defoliation has an effect only during the current vegetation period while the crown dieback affects the defoliation level of the following year. A recovery process is however considered: each year, the tree recovers a proportion of its foliage equivalent to its relative increment in basal area (compared to its sapwood area). For the regeneration cohorts, only the temporary defoliation is considered.</w:t>
      </w:r>
    </w:p>
    <w:p w14:paraId="252B6FD2" w14:textId="77777777" w:rsidR="008E054E" w:rsidRDefault="008E054E">
      <w:pPr>
        <w:rPr>
          <w:rFonts w:eastAsia="CG Omega" w:cstheme="minorHAnsi"/>
        </w:rPr>
      </w:pPr>
      <w:r>
        <w:rPr>
          <w:rFonts w:eastAsia="CG Omega" w:cstheme="minorHAnsi"/>
        </w:rPr>
        <w:br w:type="page"/>
      </w:r>
    </w:p>
    <w:p w14:paraId="59080CAD" w14:textId="38B8D0B5" w:rsidR="006551F0" w:rsidRPr="008F6866" w:rsidRDefault="006551F0" w:rsidP="009F75E0">
      <w:pPr>
        <w:spacing w:after="0" w:line="300" w:lineRule="auto"/>
        <w:jc w:val="both"/>
        <w:rPr>
          <w:rFonts w:eastAsia="CG Omega" w:cstheme="minorHAnsi"/>
        </w:rPr>
      </w:pPr>
      <w:r w:rsidRPr="008F6866">
        <w:rPr>
          <w:rFonts w:eastAsia="CG Omega" w:cstheme="minorHAnsi"/>
        </w:rPr>
        <w:lastRenderedPageBreak/>
        <w:t>By conducting an in-depth review of the literature, we have collected all the parameters necessary to run the tree hydraulics routine:</w:t>
      </w:r>
    </w:p>
    <w:p w14:paraId="24DB405C" w14:textId="77777777" w:rsidR="006551F0" w:rsidRPr="008F6866" w:rsidRDefault="006551F0" w:rsidP="009F75E0">
      <w:pPr>
        <w:spacing w:after="0" w:line="300" w:lineRule="auto"/>
        <w:ind w:left="993"/>
        <w:jc w:val="both"/>
        <w:rPr>
          <w:rFonts w:eastAsia="CG Omega" w:cstheme="minorHAnsi"/>
        </w:rPr>
      </w:pPr>
      <w:r w:rsidRPr="008F6866">
        <w:rPr>
          <w:rFonts w:eastAsia="CG Omega" w:cstheme="minorHAnsi"/>
        </w:rPr>
        <w:t>- stem saturated hydraulic conductivity,</w:t>
      </w:r>
    </w:p>
    <w:p w14:paraId="0A40D866" w14:textId="77777777" w:rsidR="006551F0" w:rsidRPr="008F6866" w:rsidRDefault="006551F0" w:rsidP="009F75E0">
      <w:pPr>
        <w:spacing w:after="0" w:line="300" w:lineRule="auto"/>
        <w:ind w:left="993"/>
        <w:jc w:val="both"/>
        <w:rPr>
          <w:rFonts w:eastAsia="CG Omega" w:cstheme="minorHAnsi"/>
        </w:rPr>
      </w:pPr>
      <w:r w:rsidRPr="008F6866">
        <w:rPr>
          <w:rFonts w:eastAsia="CG Omega" w:cstheme="minorHAnsi"/>
        </w:rPr>
        <w:t>- xylem hydraulic vulnerability (slope and P50),</w:t>
      </w:r>
    </w:p>
    <w:p w14:paraId="74BA85C3" w14:textId="74042348" w:rsidR="006551F0" w:rsidRPr="008F6866" w:rsidRDefault="36E2585C" w:rsidP="36E2585C">
      <w:pPr>
        <w:spacing w:after="0" w:line="300" w:lineRule="auto"/>
        <w:ind w:left="993"/>
        <w:jc w:val="both"/>
        <w:rPr>
          <w:rFonts w:eastAsia="CG Omega"/>
        </w:rPr>
      </w:pPr>
      <w:r w:rsidRPr="008F6866">
        <w:rPr>
          <w:rFonts w:eastAsia="CG Omega"/>
        </w:rPr>
        <w:t>- Huber ratio at tree top,</w:t>
      </w:r>
    </w:p>
    <w:p w14:paraId="32AA7956" w14:textId="77777777" w:rsidR="006551F0" w:rsidRPr="008F6866" w:rsidRDefault="006551F0" w:rsidP="009F75E0">
      <w:pPr>
        <w:spacing w:after="0" w:line="300" w:lineRule="auto"/>
        <w:ind w:left="993"/>
        <w:jc w:val="both"/>
        <w:rPr>
          <w:rFonts w:eastAsia="CG Omega" w:cstheme="minorHAnsi"/>
        </w:rPr>
      </w:pPr>
      <w:r w:rsidRPr="008F6866">
        <w:rPr>
          <w:rFonts w:eastAsia="CG Omega" w:cstheme="minorHAnsi"/>
        </w:rPr>
        <w:t>- stomatal conductance reduction function,</w:t>
      </w:r>
    </w:p>
    <w:p w14:paraId="50FD9682" w14:textId="77777777" w:rsidR="006551F0" w:rsidRPr="008F6866" w:rsidRDefault="006551F0" w:rsidP="00414E2C">
      <w:pPr>
        <w:spacing w:after="120" w:line="300" w:lineRule="auto"/>
        <w:ind w:left="992"/>
        <w:jc w:val="both"/>
        <w:rPr>
          <w:rFonts w:eastAsia="CG Omega" w:cstheme="minorHAnsi"/>
        </w:rPr>
      </w:pPr>
      <w:r w:rsidRPr="008F6866">
        <w:rPr>
          <w:rFonts w:eastAsia="CG Omega" w:cstheme="minorHAnsi"/>
        </w:rPr>
        <w:t>- relationship between conductivity loss and defoliation or crown dieback.</w:t>
      </w:r>
    </w:p>
    <w:p w14:paraId="2B83D0E5" w14:textId="478155D9" w:rsidR="006551F0" w:rsidRPr="008F6866" w:rsidRDefault="39CFF0FF" w:rsidP="00C6370A">
      <w:pPr>
        <w:spacing w:after="0" w:line="300" w:lineRule="auto"/>
        <w:jc w:val="both"/>
        <w:rPr>
          <w:rFonts w:eastAsia="CG Omega"/>
        </w:rPr>
      </w:pPr>
      <w:r w:rsidRPr="008F6866">
        <w:rPr>
          <w:rFonts w:eastAsia="CG Omega"/>
        </w:rPr>
        <w:t>The model’s ability to predict the xylem water potential was evaluated by comparing these predictions with water potential measurements made in the Lauzelle wood. Similarly, defoliation data collected in the forest monitoring plots were used to validate the relationships between conductivity loss and defoliation or crown dieback.</w:t>
      </w:r>
    </w:p>
    <w:p w14:paraId="7AF1A898" w14:textId="77777777" w:rsidR="006551F0" w:rsidRPr="008F6866" w:rsidRDefault="006551F0" w:rsidP="00983491">
      <w:pPr>
        <w:spacing w:after="0"/>
        <w:rPr>
          <w:rFonts w:ascii="CG Omega" w:eastAsia="CG Omega" w:hAnsi="CG Omega" w:cs="CG Omega"/>
        </w:rPr>
      </w:pPr>
    </w:p>
    <w:p w14:paraId="23DDD365" w14:textId="77777777" w:rsidR="006551F0" w:rsidRPr="008F6866" w:rsidRDefault="006551F0" w:rsidP="004E5B6B">
      <w:pPr>
        <w:rPr>
          <w:b/>
        </w:rPr>
      </w:pPr>
      <w:r w:rsidRPr="008F6866">
        <w:rPr>
          <w:b/>
        </w:rPr>
        <w:t>Task 1.2 Ungulate impact on regeneration</w:t>
      </w:r>
    </w:p>
    <w:p w14:paraId="10038D0E" w14:textId="759CBF66" w:rsidR="006551F0" w:rsidRPr="008F6866" w:rsidRDefault="39CFF0FF" w:rsidP="00414E2C">
      <w:pPr>
        <w:spacing w:after="120" w:line="300" w:lineRule="auto"/>
        <w:jc w:val="both"/>
        <w:rPr>
          <w:rFonts w:eastAsia="CG Omega"/>
        </w:rPr>
      </w:pPr>
      <w:r w:rsidRPr="008F6866">
        <w:rPr>
          <w:rFonts w:eastAsia="CG Omega"/>
        </w:rPr>
        <w:t>Among others, the REGE+ project aimed at testing the ungulate impacts on tree regeneration and long-term forest dynamics through a simulation approach. Ungulates affect stand development by browsing tree seedlings and peeling the bark of coniferous tree species. At the beginning of the project, our forest growth model (HETEROFOR) contained a regeneration module but no routine to account for ungulate browsing and bark peeling.</w:t>
      </w:r>
    </w:p>
    <w:p w14:paraId="734710DF" w14:textId="77777777" w:rsidR="006551F0" w:rsidRPr="008F6866" w:rsidRDefault="006551F0" w:rsidP="002B353A">
      <w:pPr>
        <w:spacing w:after="60" w:line="300" w:lineRule="auto"/>
        <w:jc w:val="both"/>
        <w:rPr>
          <w:rFonts w:eastAsia="CG Omega" w:cstheme="minorHAnsi"/>
        </w:rPr>
      </w:pPr>
      <w:r w:rsidRPr="008F6866">
        <w:rPr>
          <w:rFonts w:eastAsia="CG Omega" w:cstheme="minorHAnsi"/>
        </w:rPr>
        <w:t xml:space="preserve">Two options were considered for modelling ungulate browsing: </w:t>
      </w:r>
    </w:p>
    <w:p w14:paraId="085F4376" w14:textId="23A1B368" w:rsidR="006551F0" w:rsidRPr="008F6866" w:rsidRDefault="6E3ADEA3" w:rsidP="002B353A">
      <w:pPr>
        <w:pStyle w:val="Paragraphedeliste"/>
        <w:numPr>
          <w:ilvl w:val="0"/>
          <w:numId w:val="14"/>
        </w:numPr>
        <w:spacing w:line="300" w:lineRule="auto"/>
        <w:jc w:val="both"/>
        <w:rPr>
          <w:rFonts w:asciiTheme="minorHAnsi" w:hAnsiTheme="minorHAnsi"/>
          <w:lang w:val="en-GB"/>
        </w:rPr>
      </w:pPr>
      <w:r w:rsidRPr="008F6866">
        <w:rPr>
          <w:rFonts w:asciiTheme="minorHAnsi" w:hAnsiTheme="minorHAnsi"/>
          <w:lang w:val="en-GB"/>
        </w:rPr>
        <w:t>a descriptive approach reducing seedling density and seedling height growth based on a fixed proportion provided by model user. These ungulate effects are applied only on regeneration cohorts below a given height. The seedlings taller than this threshold are no longer browsed.</w:t>
      </w:r>
    </w:p>
    <w:p w14:paraId="49ABB080" w14:textId="48F7B99B" w:rsidR="006551F0" w:rsidRPr="008F6866" w:rsidRDefault="006551F0" w:rsidP="002B353A">
      <w:pPr>
        <w:pStyle w:val="Paragraphedeliste"/>
        <w:numPr>
          <w:ilvl w:val="0"/>
          <w:numId w:val="14"/>
        </w:numPr>
        <w:spacing w:line="300" w:lineRule="auto"/>
        <w:jc w:val="both"/>
        <w:rPr>
          <w:rFonts w:asciiTheme="minorHAnsi" w:hAnsiTheme="minorHAnsi"/>
          <w:lang w:val="en-GB"/>
        </w:rPr>
      </w:pPr>
      <w:r w:rsidRPr="008F6866">
        <w:rPr>
          <w:rFonts w:asciiTheme="minorHAnsi" w:hAnsiTheme="minorHAnsi"/>
          <w:lang w:val="en-GB"/>
        </w:rPr>
        <w:t>a more process-based approach based on the browsed biomass which is estimated from:</w:t>
      </w:r>
    </w:p>
    <w:p w14:paraId="5A9F05E6" w14:textId="38901170" w:rsidR="006551F0" w:rsidRPr="008F6866" w:rsidRDefault="006551F0" w:rsidP="002B353A">
      <w:pPr>
        <w:pStyle w:val="Paragraphedeliste"/>
        <w:numPr>
          <w:ilvl w:val="0"/>
          <w:numId w:val="11"/>
        </w:numPr>
        <w:spacing w:after="60" w:line="300" w:lineRule="auto"/>
        <w:ind w:left="2058" w:hanging="357"/>
        <w:jc w:val="both"/>
        <w:rPr>
          <w:rFonts w:asciiTheme="minorHAnsi" w:eastAsia="CG Omega" w:hAnsiTheme="minorHAnsi" w:cstheme="minorHAnsi"/>
          <w:lang w:val="en-GB"/>
        </w:rPr>
      </w:pPr>
      <w:r w:rsidRPr="008F6866">
        <w:rPr>
          <w:rFonts w:asciiTheme="minorHAnsi" w:eastAsia="CG Omega" w:hAnsiTheme="minorHAnsi" w:cstheme="minorHAnsi"/>
          <w:lang w:val="en-GB"/>
        </w:rPr>
        <w:t xml:space="preserve">the red deer, roe deer and boar population densities, </w:t>
      </w:r>
    </w:p>
    <w:p w14:paraId="21B23BDF" w14:textId="4A57DA90" w:rsidR="006551F0" w:rsidRPr="008F6866" w:rsidRDefault="006551F0" w:rsidP="002B353A">
      <w:pPr>
        <w:pStyle w:val="Paragraphedeliste"/>
        <w:numPr>
          <w:ilvl w:val="0"/>
          <w:numId w:val="11"/>
        </w:numPr>
        <w:spacing w:after="60" w:line="300" w:lineRule="auto"/>
        <w:ind w:left="2058" w:hanging="357"/>
        <w:jc w:val="both"/>
        <w:rPr>
          <w:rFonts w:asciiTheme="minorHAnsi" w:eastAsia="CG Omega" w:hAnsiTheme="minorHAnsi" w:cstheme="minorHAnsi"/>
          <w:lang w:val="en-GB"/>
        </w:rPr>
      </w:pPr>
      <w:r w:rsidRPr="008F6866">
        <w:rPr>
          <w:rFonts w:asciiTheme="minorHAnsi" w:eastAsia="CG Omega" w:hAnsiTheme="minorHAnsi" w:cstheme="minorHAnsi"/>
          <w:lang w:val="en-GB"/>
        </w:rPr>
        <w:t xml:space="preserve">their body mass, </w:t>
      </w:r>
    </w:p>
    <w:p w14:paraId="4DAFA264" w14:textId="46468235" w:rsidR="006551F0" w:rsidRPr="008F6866" w:rsidRDefault="006551F0" w:rsidP="002B353A">
      <w:pPr>
        <w:pStyle w:val="Paragraphedeliste"/>
        <w:numPr>
          <w:ilvl w:val="0"/>
          <w:numId w:val="11"/>
        </w:numPr>
        <w:spacing w:after="60" w:line="300" w:lineRule="auto"/>
        <w:ind w:left="2058" w:hanging="357"/>
        <w:jc w:val="both"/>
        <w:rPr>
          <w:rFonts w:asciiTheme="minorHAnsi" w:eastAsia="CG Omega" w:hAnsiTheme="minorHAnsi" w:cstheme="minorHAnsi"/>
          <w:lang w:val="en-GB"/>
        </w:rPr>
      </w:pPr>
      <w:r w:rsidRPr="008F6866">
        <w:rPr>
          <w:rFonts w:asciiTheme="minorHAnsi" w:eastAsia="CG Omega" w:hAnsiTheme="minorHAnsi" w:cstheme="minorHAnsi"/>
          <w:lang w:val="en-GB"/>
        </w:rPr>
        <w:t xml:space="preserve">their energy requirement, </w:t>
      </w:r>
    </w:p>
    <w:p w14:paraId="65F5C200" w14:textId="4C1F3237" w:rsidR="006551F0" w:rsidRPr="008F6866" w:rsidRDefault="006551F0" w:rsidP="002B353A">
      <w:pPr>
        <w:pStyle w:val="Paragraphedeliste"/>
        <w:numPr>
          <w:ilvl w:val="0"/>
          <w:numId w:val="11"/>
        </w:numPr>
        <w:spacing w:after="60" w:line="300" w:lineRule="auto"/>
        <w:ind w:left="2058" w:hanging="357"/>
        <w:jc w:val="both"/>
        <w:rPr>
          <w:rFonts w:asciiTheme="minorHAnsi" w:eastAsia="CG Omega" w:hAnsiTheme="minorHAnsi" w:cstheme="minorHAnsi"/>
          <w:lang w:val="en-GB"/>
        </w:rPr>
      </w:pPr>
      <w:r w:rsidRPr="008F6866">
        <w:rPr>
          <w:rFonts w:asciiTheme="minorHAnsi" w:eastAsia="CG Omega" w:hAnsiTheme="minorHAnsi" w:cstheme="minorHAnsi"/>
          <w:lang w:val="en-GB"/>
        </w:rPr>
        <w:t>their diet composition,</w:t>
      </w:r>
    </w:p>
    <w:p w14:paraId="20205484" w14:textId="4AA4BFCA" w:rsidR="006551F0" w:rsidRPr="008F6866" w:rsidRDefault="006551F0" w:rsidP="00414E2C">
      <w:pPr>
        <w:pStyle w:val="Paragraphedeliste"/>
        <w:numPr>
          <w:ilvl w:val="0"/>
          <w:numId w:val="11"/>
        </w:numPr>
        <w:spacing w:after="120" w:line="300" w:lineRule="auto"/>
        <w:ind w:left="2058" w:hanging="357"/>
        <w:jc w:val="both"/>
        <w:rPr>
          <w:rFonts w:asciiTheme="minorHAnsi" w:eastAsia="CG Omega" w:hAnsiTheme="minorHAnsi" w:cstheme="minorHAnsi"/>
          <w:lang w:val="en-GB"/>
        </w:rPr>
      </w:pPr>
      <w:r w:rsidRPr="008F6866">
        <w:rPr>
          <w:rFonts w:asciiTheme="minorHAnsi" w:eastAsia="CG Omega" w:hAnsiTheme="minorHAnsi" w:cstheme="minorHAnsi"/>
          <w:lang w:val="en-GB"/>
        </w:rPr>
        <w:t>the energy content of seedlings, seeds and external food supply.</w:t>
      </w:r>
    </w:p>
    <w:p w14:paraId="13570F9E" w14:textId="7B02D967" w:rsidR="006551F0" w:rsidRPr="008F6866" w:rsidRDefault="6E3ADEA3" w:rsidP="00414E2C">
      <w:pPr>
        <w:spacing w:after="120" w:line="300" w:lineRule="auto"/>
        <w:jc w:val="both"/>
        <w:rPr>
          <w:rFonts w:eastAsia="CG Omega"/>
        </w:rPr>
      </w:pPr>
      <w:r w:rsidRPr="008F6866">
        <w:rPr>
          <w:rFonts w:eastAsia="CG Omega"/>
        </w:rPr>
        <w:t xml:space="preserve">The </w:t>
      </w:r>
      <w:r w:rsidR="2A14D14C" w:rsidRPr="008F6866">
        <w:rPr>
          <w:rFonts w:eastAsia="CG Omega"/>
        </w:rPr>
        <w:t xml:space="preserve">browsed </w:t>
      </w:r>
      <w:r w:rsidRPr="008F6866">
        <w:rPr>
          <w:rFonts w:eastAsia="CG Omega"/>
        </w:rPr>
        <w:t xml:space="preserve">biomass is first distributed among tree species or ground vegetation (e.g. bramble) according to their </w:t>
      </w:r>
      <w:r w:rsidR="457F715D" w:rsidRPr="008F6866">
        <w:rPr>
          <w:rFonts w:eastAsia="CG Omega"/>
        </w:rPr>
        <w:t xml:space="preserve">browsable </w:t>
      </w:r>
      <w:r w:rsidRPr="008F6866">
        <w:rPr>
          <w:rFonts w:eastAsia="CG Omega"/>
        </w:rPr>
        <w:t xml:space="preserve">biomass and palatability. Then, the browsing is applied by randomly selecting regeneration cohorts and by reducing their </w:t>
      </w:r>
      <w:r w:rsidR="4DB3459A" w:rsidRPr="008F6866">
        <w:rPr>
          <w:rFonts w:eastAsia="CG Omega"/>
        </w:rPr>
        <w:t xml:space="preserve">browsable </w:t>
      </w:r>
      <w:r w:rsidRPr="008F6866">
        <w:rPr>
          <w:rFonts w:eastAsia="CG Omega"/>
        </w:rPr>
        <w:t>biomass by a given small quantity (bite). For each tree or ground vegetation species, the process is repeated and the biomass to be browsed is progressively decremented</w:t>
      </w:r>
      <w:r w:rsidR="00255B90" w:rsidRPr="008F6866">
        <w:rPr>
          <w:rFonts w:eastAsia="CG Omega"/>
        </w:rPr>
        <w:t>.</w:t>
      </w:r>
      <w:r w:rsidRPr="008F6866">
        <w:rPr>
          <w:rFonts w:eastAsia="CG Omega"/>
        </w:rPr>
        <w:t xml:space="preserve"> When the biomass of a regeneration cohort (or ground vegetation layer) is reduced, all its characteristics are adapted accordingly (e.g., seedling height, cohort or vegetation cover or LAI).</w:t>
      </w:r>
    </w:p>
    <w:p w14:paraId="0DFED4B4" w14:textId="726FA473" w:rsidR="006551F0" w:rsidRPr="008F6866" w:rsidRDefault="39CFF0FF" w:rsidP="00414E2C">
      <w:pPr>
        <w:spacing w:after="120" w:line="300" w:lineRule="auto"/>
        <w:jc w:val="both"/>
        <w:rPr>
          <w:rFonts w:ascii="Calibri" w:eastAsia="Calibri" w:hAnsi="Calibri" w:cs="Calibri"/>
          <w:color w:val="000000"/>
        </w:rPr>
      </w:pPr>
      <w:r w:rsidRPr="008F6866">
        <w:rPr>
          <w:rFonts w:ascii="Calibri" w:eastAsia="Calibri" w:hAnsi="Calibri" w:cs="Calibri"/>
          <w:color w:val="000000" w:themeColor="text1"/>
        </w:rPr>
        <w:t xml:space="preserve">The modelling of bark peeling damages (including the progressive development of stem decay on the affected trees) has been integrated in HETEROFOR based on the approach implemented by G. Ligot in </w:t>
      </w:r>
      <w:hyperlink r:id="rId19">
        <w:r w:rsidRPr="008F6866">
          <w:rPr>
            <w:rFonts w:ascii="Calibri" w:eastAsia="Calibri" w:hAnsi="Calibri" w:cs="Calibri"/>
            <w:color w:val="0000FF"/>
            <w:u w:val="single"/>
          </w:rPr>
          <w:t>GYMNOS</w:t>
        </w:r>
      </w:hyperlink>
      <w:r w:rsidRPr="008F6866">
        <w:rPr>
          <w:rFonts w:ascii="Calibri" w:eastAsia="Calibri" w:hAnsi="Calibri" w:cs="Calibri"/>
          <w:color w:val="000000" w:themeColor="text1"/>
        </w:rPr>
        <w:t xml:space="preserve">, a model of the CAPSIS simulator dedicated to even-aged coniferous stands. These model </w:t>
      </w:r>
      <w:r w:rsidRPr="008F6866">
        <w:rPr>
          <w:rFonts w:ascii="Calibri" w:eastAsia="Calibri" w:hAnsi="Calibri" w:cs="Calibri"/>
          <w:color w:val="000000" w:themeColor="text1"/>
        </w:rPr>
        <w:lastRenderedPageBreak/>
        <w:t>developments were achieved for Antoine Crochet’s master thesis which aimed at simulating the long-term ecological and economical consequences of ungulate overabundance on coniferous stands. This study was carried out in the communal forest of Stoumont based on well-documented case studies.</w:t>
      </w:r>
    </w:p>
    <w:p w14:paraId="267BD48C" w14:textId="2A9EAE4A" w:rsidR="006551F0" w:rsidRPr="008F6866" w:rsidRDefault="36E2585C" w:rsidP="00C6370A">
      <w:pPr>
        <w:spacing w:after="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The bark peeling algorithm requires the annual bark peeling rate (%) as input parameter, which reflects the ungulate pressure level, especially red deer (</w:t>
      </w:r>
      <w:r w:rsidRPr="008F6866">
        <w:rPr>
          <w:rFonts w:ascii="Calibri" w:eastAsia="Calibri" w:hAnsi="Calibri" w:cs="Calibri"/>
          <w:i/>
          <w:iCs/>
          <w:color w:val="000000" w:themeColor="text1"/>
        </w:rPr>
        <w:t>Cervus elaphus</w:t>
      </w:r>
      <w:r w:rsidRPr="008F6866">
        <w:rPr>
          <w:rFonts w:ascii="Calibri" w:eastAsia="Calibri" w:hAnsi="Calibri" w:cs="Calibri"/>
          <w:color w:val="000000" w:themeColor="text1"/>
        </w:rPr>
        <w:t xml:space="preserve">) in this case, and has been found to not only depend on population density but also on other factors such as the environmental carrying capacity, the landscape structure and the severity of winter conditions </w:t>
      </w:r>
      <w:r w:rsidRPr="008F6866">
        <w:rPr>
          <w:color w:val="000000" w:themeColor="text1"/>
        </w:rPr>
        <w:fldChar w:fldCharType="begin"/>
      </w:r>
      <w:r w:rsidR="001677B2">
        <w:rPr>
          <w:color w:val="000000" w:themeColor="text1"/>
        </w:rPr>
        <w:instrText xml:space="preserve"> ADDIN EN.CITE &lt;EndNote&gt;&lt;Cite&gt;&lt;Author&gt;Ligot&lt;/Author&gt;&lt;Year&gt;2013&lt;/Year&gt;&lt;RecNum&gt;309&lt;/RecNum&gt;&lt;IDText&gt;Ligot13b&lt;/IDText&gt;&lt;DisplayText&gt;(Ligot&lt;style face="italic"&gt; et al.&lt;/style&gt;, 2013b)&lt;/DisplayText&gt;&lt;record&gt;&lt;rec-number&gt;309&lt;/rec-number&gt;&lt;foreign-keys&gt;&lt;key app="EN" db-id="0px2fzdxhrpdrre2w5f5pdryx90atadrdavt" timestamp="1713779386"&gt;309&lt;/key&gt;&lt;/foreign-keys&gt;&lt;ref-type name="Journal Article"&gt;17&lt;/ref-type&gt;&lt;contributors&gt;&lt;authors&gt;&lt;author&gt;Ligot, G.&lt;/author&gt;&lt;author&gt;Gheysen, T.&lt;/author&gt;&lt;author&gt;Lehaire, F.&lt;/author&gt;&lt;author&gt;Hébert, J.&lt;/author&gt;&lt;author&gt;Licoppe, A.&lt;/author&gt;&lt;author&gt;Lejeune, P.&lt;/author&gt;&lt;author&gt;Brostaux, Y.&lt;/author&gt;&lt;/authors&gt;&lt;/contributors&gt;&lt;titles&gt;&lt;title&gt;Modeling recent bark stripping by red deer (Cervus elaphus) in South Belgium coniferous stands&lt;/title&gt;&lt;secondary-title&gt;Annals of Forest Science&lt;/secondary-title&gt;&lt;/titles&gt;&lt;periodical&gt;&lt;full-title&gt;Annals of Forest Science&lt;/full-title&gt;&lt;/periodical&gt;&lt;pages&gt;309-318&lt;/pages&gt;&lt;volume&gt;70&lt;/volume&gt;&lt;number&gt;3&lt;/number&gt;&lt;dates&gt;&lt;year&gt;2013&lt;/year&gt;&lt;/dates&gt;&lt;label&gt;Ligot13b&lt;/label&gt;&lt;work-type&gt;Article&lt;/work-type&gt;&lt;urls&gt;&lt;related-urls&gt;&lt;url&gt;https://www.scopus.com/inward/record.uri?eid=2-s2.0-84877794122&amp;amp;doi=10.1007%2fs13595-012-0253-9&amp;amp;partnerID=40&amp;amp;md5=af3ae2e7a5187d3dff1a31c3d30bb045&lt;/url&gt;&lt;/related-urls&gt;&lt;/urls&gt;&lt;electronic-resource-num&gt;10.1007/s13595-012-0253-9&lt;/electronic-resource-num&gt;&lt;remote-database-name&gt;Scopus&lt;/remote-database-name&gt;&lt;/record&gt;&lt;/Cite&gt;&lt;/EndNote&gt;</w:instrText>
      </w:r>
      <w:r w:rsidRPr="008F6866">
        <w:rPr>
          <w:color w:val="000000" w:themeColor="text1"/>
        </w:rPr>
        <w:fldChar w:fldCharType="separate"/>
      </w:r>
      <w:r w:rsidR="001677B2">
        <w:rPr>
          <w:noProof/>
          <w:color w:val="000000" w:themeColor="text1"/>
        </w:rPr>
        <w:t>(Ligot</w:t>
      </w:r>
      <w:r w:rsidR="001677B2" w:rsidRPr="001677B2">
        <w:rPr>
          <w:i/>
          <w:noProof/>
          <w:color w:val="000000" w:themeColor="text1"/>
        </w:rPr>
        <w:t xml:space="preserve"> et al.</w:t>
      </w:r>
      <w:r w:rsidR="001677B2">
        <w:rPr>
          <w:noProof/>
          <w:color w:val="000000" w:themeColor="text1"/>
        </w:rPr>
        <w:t>, 2013b)</w:t>
      </w:r>
      <w:r w:rsidRPr="008F6866">
        <w:rPr>
          <w:color w:val="000000" w:themeColor="text1"/>
        </w:rPr>
        <w:fldChar w:fldCharType="end"/>
      </w:r>
      <w:r w:rsidRPr="008F6866">
        <w:rPr>
          <w:rFonts w:ascii="Calibri" w:eastAsia="Calibri" w:hAnsi="Calibri" w:cs="Calibri"/>
          <w:color w:val="000000" w:themeColor="text1"/>
        </w:rPr>
        <w:t xml:space="preserve">. In a first step, bark peeling occurring in the current year is shared between individuals already peeled previously and those still unaffected using a model proposed by T. Gheysen (unpublished) expressing the percentage of bark peeling on healthy individuals as a function of annual bark peeling rate and the percentage of already peeled individuals. A set of healthy individuals to be peeled in the current year are then selected to reach the estimated percentage. These healthy individuals to be peeled are chosen considering a probabilistic model describing the sensitivity of individuals to bark peeling as a function of trunk circumference at breast height. Bark peeling damage is then applied on these selected individuals by drawing the damage height, width and length from probability distributions fitted using bark peeling monitoring data </w:t>
      </w:r>
      <w:r w:rsidRPr="008F6866">
        <w:rPr>
          <w:color w:val="000000" w:themeColor="text1"/>
        </w:rPr>
        <w:fldChar w:fldCharType="begin"/>
      </w:r>
      <w:r w:rsidR="001677B2">
        <w:rPr>
          <w:color w:val="000000" w:themeColor="text1"/>
        </w:rPr>
        <w:instrText xml:space="preserve"> ADDIN EN.CITE &lt;EndNote&gt;&lt;Cite&gt;&lt;Author&gt;Gheysen&lt;/Author&gt;&lt;Year&gt;2011&lt;/Year&gt;&lt;RecNum&gt;310&lt;/RecNum&gt;&lt;IDText&gt;Gheysen11&lt;/IDText&gt;&lt;DisplayText&gt;(Gheysen&lt;style face="italic"&gt; et al.&lt;/style&gt;, 2011)&lt;/DisplayText&gt;&lt;record&gt;&lt;rec-number&gt;310&lt;/rec-number&gt;&lt;foreign-keys&gt;&lt;key app="EN" db-id="0px2fzdxhrpdrre2w5f5pdryx90atadrdavt" timestamp="1713779812"&gt;310&lt;/key&gt;&lt;/foreign-keys&gt;&lt;ref-type name="Journal Article"&gt;17&lt;/ref-type&gt;&lt;contributors&gt;&lt;authors&gt;&lt;author&gt;Gheysen, T.&lt;/author&gt;&lt;author&gt;Brostaux, Y.&lt;/author&gt;&lt;author&gt;Hébert, J.&lt;/author&gt;&lt;author&gt;Ligot, G.&lt;/author&gt;&lt;author&gt;Rondeux, J.&lt;/author&gt;&lt;author&gt;Lejeune, P.&lt;/author&gt;&lt;/authors&gt;&lt;/contributors&gt;&lt;titles&gt;&lt;title&gt;A regional inventory and monitoring setup to evaluate bark peeling damage by red deer (Cervus elaphus) in coniferous plantations in Southern Belgium&lt;/title&gt;&lt;secondary-title&gt;Environmental Monitoring and Assessment&lt;/secondary-title&gt;&lt;/titles&gt;&lt;periodical&gt;&lt;full-title&gt;Environmental Monitoring and Assessment&lt;/full-title&gt;&lt;/periodical&gt;&lt;pages&gt;335-345&lt;/pages&gt;&lt;volume&gt;181&lt;/volume&gt;&lt;number&gt;1-4&lt;/number&gt;&lt;dates&gt;&lt;year&gt;2011&lt;/year&gt;&lt;/dates&gt;&lt;label&gt;Gheysen11&lt;/label&gt;&lt;work-type&gt;Article&lt;/work-type&gt;&lt;urls&gt;&lt;related-urls&gt;&lt;url&gt;https://www.scopus.com/inward/record.uri?eid=2-s2.0-80054742858&amp;amp;doi=10.1007%2fs10661-010-1832-6&amp;amp;partnerID=40&amp;amp;md5=196d82a2e9ae13f04684868696b71408&lt;/url&gt;&lt;/related-urls&gt;&lt;/urls&gt;&lt;electronic-resource-num&gt;10.1007/s10661-010-1832-6&lt;/electronic-resource-num&gt;&lt;remote-database-name&gt;Scopus&lt;/remote-database-name&gt;&lt;/record&gt;&lt;/Cite&gt;&lt;/EndNote&gt;</w:instrText>
      </w:r>
      <w:r w:rsidRPr="008F6866">
        <w:rPr>
          <w:color w:val="000000" w:themeColor="text1"/>
        </w:rPr>
        <w:fldChar w:fldCharType="separate"/>
      </w:r>
      <w:r w:rsidR="001677B2">
        <w:rPr>
          <w:noProof/>
          <w:color w:val="000000" w:themeColor="text1"/>
        </w:rPr>
        <w:t>(Gheysen</w:t>
      </w:r>
      <w:r w:rsidR="001677B2" w:rsidRPr="001677B2">
        <w:rPr>
          <w:i/>
          <w:noProof/>
          <w:color w:val="000000" w:themeColor="text1"/>
        </w:rPr>
        <w:t xml:space="preserve"> et al.</w:t>
      </w:r>
      <w:r w:rsidR="001677B2">
        <w:rPr>
          <w:noProof/>
          <w:color w:val="000000" w:themeColor="text1"/>
        </w:rPr>
        <w:t>, 2011)</w:t>
      </w:r>
      <w:r w:rsidRPr="008F6866">
        <w:rPr>
          <w:color w:val="000000" w:themeColor="text1"/>
        </w:rPr>
        <w:fldChar w:fldCharType="end"/>
      </w:r>
      <w:r w:rsidRPr="008F6866">
        <w:rPr>
          <w:rFonts w:ascii="Calibri" w:eastAsia="Calibri" w:hAnsi="Calibri" w:cs="Calibri"/>
          <w:color w:val="000000" w:themeColor="text1"/>
        </w:rPr>
        <w:t xml:space="preserve">. Finally, for each bark-peeled individual, the development of stem decay is described using a model relating total decay length to social status, damage width and length, time since damage occurred and the average annual girth increment </w:t>
      </w:r>
      <w:r w:rsidRPr="008F6866">
        <w:rPr>
          <w:color w:val="000000" w:themeColor="text1"/>
        </w:rPr>
        <w:fldChar w:fldCharType="begin"/>
      </w:r>
      <w:r w:rsidR="00CC7A85">
        <w:rPr>
          <w:color w:val="000000" w:themeColor="text1"/>
        </w:rPr>
        <w:instrText xml:space="preserve"> ADDIN EN.CITE &lt;EndNote&gt;&lt;Cite&gt;&lt;Author&gt;Löffler&lt;/Author&gt;&lt;Year&gt;1975&lt;/Year&gt;&lt;RecNum&gt;311&lt;/RecNum&gt;&lt;IDText&gt;Loffler75&lt;/IDText&gt;&lt;DisplayText&gt;(Löffler, 1975)&lt;/DisplayText&gt;&lt;record&gt;&lt;rec-number&gt;311&lt;/rec-number&gt;&lt;foreign-keys&gt;&lt;key app="EN" db-id="0px2fzdxhrpdrre2w5f5pdryx90atadrdavt" timestamp="1713779913"&gt;311&lt;/key&gt;&lt;/foreign-keys&gt;&lt;ref-type name="Journal Article"&gt;17&lt;/ref-type&gt;&lt;contributors&gt;&lt;authors&gt;&lt;author&gt;Löffler, H.&lt;/author&gt;&lt;/authors&gt;&lt;/contributors&gt;&lt;titles&gt;&lt;title&gt;The spreading of wound rot in Norway spruce&lt;/title&gt;&lt;secondary-title&gt;Forstwissenschaftliches Centralblatt&lt;/secondary-title&gt;&lt;short-title&gt;Zur Ausbreitung der Wundfäule in der Fichte&lt;/short-title&gt;&lt;/titles&gt;&lt;periodical&gt;&lt;full-title&gt;Forstwissenschaftliches Centralblatt&lt;/full-title&gt;&lt;/periodical&gt;&lt;pages&gt;175-183&lt;/pages&gt;&lt;volume&gt;94&lt;/volume&gt;&lt;number&gt;1&lt;/number&gt;&lt;dates&gt;&lt;year&gt;1975&lt;/year&gt;&lt;/dates&gt;&lt;label&gt;Loffler75&lt;/label&gt;&lt;work-type&gt;Article&lt;/work-type&gt;&lt;urls&gt;&lt;related-urls&gt;&lt;url&gt;https://www.scopus.com/inward/record.uri?eid=2-s2.0-51249191267&amp;amp;doi=10.1007%2fBF02735935&amp;amp;partnerID=40&amp;amp;md5=883f0cd6ff4d8a502c65bebc56eb605b&lt;/url&gt;&lt;/related-urls&gt;&lt;/urls&gt;&lt;electronic-resource-num&gt;10.1007/BF02735935&lt;/electronic-resource-num&gt;&lt;remote-database-name&gt;Scopus&lt;/remote-database-name&gt;&lt;/record&gt;&lt;/Cite&gt;&lt;/EndNote&gt;</w:instrText>
      </w:r>
      <w:r w:rsidRPr="008F6866">
        <w:rPr>
          <w:color w:val="000000" w:themeColor="text1"/>
        </w:rPr>
        <w:fldChar w:fldCharType="separate"/>
      </w:r>
      <w:r w:rsidR="00CC7A85">
        <w:rPr>
          <w:noProof/>
          <w:color w:val="000000" w:themeColor="text1"/>
        </w:rPr>
        <w:t>(Löffler, 1975)</w:t>
      </w:r>
      <w:r w:rsidRPr="008F6866">
        <w:rPr>
          <w:color w:val="000000" w:themeColor="text1"/>
        </w:rPr>
        <w:fldChar w:fldCharType="end"/>
      </w:r>
      <w:r w:rsidRPr="008F6866">
        <w:rPr>
          <w:rFonts w:ascii="Calibri" w:eastAsia="Calibri" w:hAnsi="Calibri" w:cs="Calibri"/>
          <w:color w:val="000000" w:themeColor="text1"/>
        </w:rPr>
        <w:t>. In the evaluation of financial profitability using the ECONOMICS2 library (see below), the market value of the stem part containing decay (leftover part) is considered to be zero, and the value of the healthy part is determined as that of a tree whose circumference at breast height is equal to the circumference of the trunk at 1.3 m above the leftover part. In this way, the value of the healthy part is somewhat overestimated as the increase in taper and relative importance of knots with height is not accounted for, which compensates for the fact that the leftover part could, at least partly, be valued as trituration. This overcomes the difficulty in estimating the price discount to be applied for the healthy part.</w:t>
      </w:r>
    </w:p>
    <w:p w14:paraId="4F6D4226" w14:textId="77777777" w:rsidR="00414E2C" w:rsidRPr="008F6866" w:rsidRDefault="00414E2C" w:rsidP="00414E2C">
      <w:pPr>
        <w:spacing w:after="0" w:line="300" w:lineRule="auto"/>
        <w:jc w:val="both"/>
        <w:rPr>
          <w:rFonts w:ascii="Calibri" w:eastAsia="Calibri" w:hAnsi="Calibri" w:cs="Calibri"/>
          <w:color w:val="000000" w:themeColor="text1"/>
        </w:rPr>
      </w:pPr>
    </w:p>
    <w:p w14:paraId="7795D134" w14:textId="77777777" w:rsidR="006551F0" w:rsidRPr="008F6866" w:rsidRDefault="006551F0" w:rsidP="004E5B6B">
      <w:pPr>
        <w:rPr>
          <w:b/>
        </w:rPr>
      </w:pPr>
      <w:r w:rsidRPr="008F6866">
        <w:rPr>
          <w:b/>
        </w:rPr>
        <w:t>Task 1.3 Implementation of a soil carbon module</w:t>
      </w:r>
    </w:p>
    <w:p w14:paraId="4987A9A2" w14:textId="5E8FD2AC" w:rsidR="006551F0" w:rsidRPr="008F6866" w:rsidRDefault="39CFF0FF" w:rsidP="39CFF0FF">
      <w:pPr>
        <w:spacing w:after="60" w:line="300" w:lineRule="auto"/>
        <w:jc w:val="both"/>
        <w:rPr>
          <w:rFonts w:ascii="Calibri" w:eastAsia="Calibri" w:hAnsi="Calibri" w:cs="Calibri"/>
        </w:rPr>
      </w:pPr>
      <w:r w:rsidRPr="008F6866">
        <w:rPr>
          <w:rFonts w:ascii="Calibri" w:eastAsia="Calibri" w:hAnsi="Calibri" w:cs="Calibri"/>
        </w:rPr>
        <w:t>During the first follow-up committee held in October 2021, the implementation of a soil carbon module was deemed not to be a priority. The opportunity to work on this did arise, however, with the arrival of a Chinese post-doctoral fellow (Huizhou Gao) at UCLouvain. In the framework of the five-year forest research plan in Wallonia (plan quinquennal de recherche forestière), Mathieu Jonard developed a first version of the soil organic carbon module of HETEROFOR which was parameterized and evaluated by Huizhou Gao. For describing the soil organic carbon dynamics in HETEROFOR, various carbon compartments are considered</w:t>
      </w:r>
      <w:r w:rsidR="001D303F" w:rsidRPr="008F6866">
        <w:rPr>
          <w:rFonts w:ascii="Calibri" w:eastAsia="Calibri" w:hAnsi="Calibri" w:cs="Calibri"/>
        </w:rPr>
        <w:t xml:space="preserve"> (</w:t>
      </w:r>
      <w:r w:rsidR="001D303F" w:rsidRPr="008F6866">
        <w:rPr>
          <w:rFonts w:ascii="Calibri" w:eastAsia="Calibri" w:hAnsi="Calibri" w:cs="Calibri"/>
        </w:rPr>
        <w:fldChar w:fldCharType="begin"/>
      </w:r>
      <w:r w:rsidR="001D303F" w:rsidRPr="008F6866">
        <w:rPr>
          <w:rFonts w:ascii="Calibri" w:eastAsia="Calibri" w:hAnsi="Calibri" w:cs="Calibri"/>
        </w:rPr>
        <w:instrText xml:space="preserve"> REF _Ref195545808 \h  \* MERGEFORMAT </w:instrText>
      </w:r>
      <w:r w:rsidR="001D303F" w:rsidRPr="008F6866">
        <w:rPr>
          <w:rFonts w:ascii="Calibri" w:eastAsia="Calibri" w:hAnsi="Calibri" w:cs="Calibri"/>
        </w:rPr>
      </w:r>
      <w:r w:rsidR="001D303F" w:rsidRPr="008F6866">
        <w:rPr>
          <w:rFonts w:ascii="Calibri" w:eastAsia="Calibri" w:hAnsi="Calibri" w:cs="Calibri"/>
        </w:rPr>
        <w:fldChar w:fldCharType="separate"/>
      </w:r>
      <w:r w:rsidR="00540DBF" w:rsidRPr="00540DBF">
        <w:rPr>
          <w:rFonts w:ascii="Calibri" w:eastAsia="Calibri" w:hAnsi="Calibri" w:cs="Calibri"/>
        </w:rPr>
        <w:t>Figure 2</w:t>
      </w:r>
      <w:r w:rsidR="001D303F" w:rsidRPr="008F6866">
        <w:rPr>
          <w:rFonts w:ascii="Calibri" w:eastAsia="Calibri" w:hAnsi="Calibri" w:cs="Calibri"/>
        </w:rPr>
        <w:fldChar w:fldCharType="end"/>
      </w:r>
      <w:r w:rsidR="001D303F" w:rsidRPr="008F6866">
        <w:rPr>
          <w:rFonts w:ascii="Calibri" w:eastAsia="Calibri" w:hAnsi="Calibri" w:cs="Calibri"/>
        </w:rPr>
        <w:t>)</w:t>
      </w:r>
      <w:r w:rsidRPr="008F6866">
        <w:rPr>
          <w:rFonts w:ascii="Calibri" w:eastAsia="Calibri" w:hAnsi="Calibri" w:cs="Calibri"/>
        </w:rPr>
        <w:t>:</w:t>
      </w:r>
    </w:p>
    <w:p w14:paraId="74837B7F" w14:textId="77777777" w:rsidR="006551F0" w:rsidRPr="008F6866" w:rsidRDefault="006551F0" w:rsidP="009F75E0">
      <w:pPr>
        <w:numPr>
          <w:ilvl w:val="0"/>
          <w:numId w:val="4"/>
        </w:numPr>
        <w:spacing w:after="0" w:line="300" w:lineRule="auto"/>
        <w:ind w:left="1349" w:hanging="357"/>
        <w:jc w:val="both"/>
        <w:rPr>
          <w:rFonts w:ascii="Calibri" w:eastAsia="Calibri" w:hAnsi="Calibri" w:cs="Calibri"/>
        </w:rPr>
      </w:pPr>
      <w:r w:rsidRPr="008F6866">
        <w:rPr>
          <w:rFonts w:ascii="Calibri" w:eastAsia="Calibri" w:hAnsi="Calibri" w:cs="Calibri"/>
        </w:rPr>
        <w:t>aboveground standing deadwood (snags),</w:t>
      </w:r>
    </w:p>
    <w:p w14:paraId="7325BA8F" w14:textId="77777777" w:rsidR="006551F0" w:rsidRPr="008F6866" w:rsidRDefault="006551F0" w:rsidP="009F75E0">
      <w:pPr>
        <w:numPr>
          <w:ilvl w:val="0"/>
          <w:numId w:val="4"/>
        </w:numPr>
        <w:spacing w:after="0" w:line="300" w:lineRule="auto"/>
        <w:ind w:left="1349" w:hanging="357"/>
        <w:jc w:val="both"/>
        <w:rPr>
          <w:rFonts w:ascii="Calibri" w:eastAsia="Calibri" w:hAnsi="Calibri" w:cs="Calibri"/>
        </w:rPr>
      </w:pPr>
      <w:r w:rsidRPr="008F6866">
        <w:rPr>
          <w:rFonts w:ascii="Calibri" w:eastAsia="Calibri" w:hAnsi="Calibri" w:cs="Calibri"/>
        </w:rPr>
        <w:t>aboveground deadwood lying on the ground,</w:t>
      </w:r>
    </w:p>
    <w:p w14:paraId="0972F0DF" w14:textId="77777777" w:rsidR="006551F0" w:rsidRPr="008F6866" w:rsidRDefault="006551F0" w:rsidP="009F75E0">
      <w:pPr>
        <w:numPr>
          <w:ilvl w:val="0"/>
          <w:numId w:val="4"/>
        </w:numPr>
        <w:spacing w:after="0" w:line="300" w:lineRule="auto"/>
        <w:ind w:left="1349" w:hanging="357"/>
        <w:jc w:val="both"/>
        <w:rPr>
          <w:rFonts w:ascii="Calibri" w:eastAsia="Calibri" w:hAnsi="Calibri" w:cs="Calibri"/>
        </w:rPr>
      </w:pPr>
      <w:r w:rsidRPr="008F6866">
        <w:rPr>
          <w:rFonts w:ascii="Calibri" w:eastAsia="Calibri" w:hAnsi="Calibri" w:cs="Calibri"/>
        </w:rPr>
        <w:t>belowground deadwood,</w:t>
      </w:r>
    </w:p>
    <w:p w14:paraId="198F444D" w14:textId="77777777" w:rsidR="006551F0" w:rsidRPr="008F6866" w:rsidRDefault="006551F0" w:rsidP="009F75E0">
      <w:pPr>
        <w:numPr>
          <w:ilvl w:val="0"/>
          <w:numId w:val="4"/>
        </w:numPr>
        <w:spacing w:after="0" w:line="300" w:lineRule="auto"/>
        <w:ind w:left="1349" w:hanging="357"/>
        <w:jc w:val="both"/>
        <w:rPr>
          <w:rFonts w:ascii="Calibri" w:eastAsia="Calibri" w:hAnsi="Calibri" w:cs="Calibri"/>
        </w:rPr>
      </w:pPr>
      <w:r w:rsidRPr="008F6866">
        <w:rPr>
          <w:rFonts w:ascii="Calibri" w:eastAsia="Calibri" w:hAnsi="Calibri" w:cs="Calibri"/>
        </w:rPr>
        <w:t>aboveground decaying litter,</w:t>
      </w:r>
    </w:p>
    <w:p w14:paraId="283BF4AC" w14:textId="77777777" w:rsidR="006551F0" w:rsidRPr="008F6866" w:rsidRDefault="006551F0" w:rsidP="009F75E0">
      <w:pPr>
        <w:numPr>
          <w:ilvl w:val="0"/>
          <w:numId w:val="4"/>
        </w:numPr>
        <w:spacing w:after="0" w:line="300" w:lineRule="auto"/>
        <w:ind w:left="1349" w:hanging="357"/>
        <w:jc w:val="both"/>
        <w:rPr>
          <w:rFonts w:ascii="Calibri" w:eastAsia="Calibri" w:hAnsi="Calibri" w:cs="Calibri"/>
        </w:rPr>
      </w:pPr>
      <w:r w:rsidRPr="008F6866">
        <w:rPr>
          <w:rFonts w:ascii="Calibri" w:eastAsia="Calibri" w:hAnsi="Calibri" w:cs="Calibri"/>
        </w:rPr>
        <w:t>belowground decaying litter,</w:t>
      </w:r>
    </w:p>
    <w:p w14:paraId="1F2634E4" w14:textId="77777777" w:rsidR="006551F0" w:rsidRPr="008F6866" w:rsidRDefault="006551F0" w:rsidP="009F75E0">
      <w:pPr>
        <w:numPr>
          <w:ilvl w:val="0"/>
          <w:numId w:val="4"/>
        </w:numPr>
        <w:spacing w:after="0" w:line="300" w:lineRule="auto"/>
        <w:ind w:left="1349" w:hanging="357"/>
        <w:jc w:val="both"/>
        <w:rPr>
          <w:rFonts w:ascii="Calibri" w:eastAsia="Calibri" w:hAnsi="Calibri" w:cs="Calibri"/>
        </w:rPr>
      </w:pPr>
      <w:r w:rsidRPr="008F6866">
        <w:rPr>
          <w:rFonts w:ascii="Calibri" w:eastAsia="Calibri" w:hAnsi="Calibri" w:cs="Calibri"/>
        </w:rPr>
        <w:lastRenderedPageBreak/>
        <w:t>active carbon pools (one per mineral soil horizon),</w:t>
      </w:r>
    </w:p>
    <w:p w14:paraId="17C7D078" w14:textId="77777777" w:rsidR="006551F0" w:rsidRPr="008F6866" w:rsidRDefault="006551F0" w:rsidP="00414E2C">
      <w:pPr>
        <w:numPr>
          <w:ilvl w:val="0"/>
          <w:numId w:val="4"/>
        </w:numPr>
        <w:spacing w:after="120" w:line="300" w:lineRule="auto"/>
        <w:ind w:left="1349" w:hanging="357"/>
        <w:jc w:val="both"/>
        <w:rPr>
          <w:rFonts w:ascii="Calibri" w:eastAsia="Calibri" w:hAnsi="Calibri" w:cs="Calibri"/>
        </w:rPr>
      </w:pPr>
      <w:r w:rsidRPr="008F6866">
        <w:rPr>
          <w:rFonts w:ascii="Calibri" w:eastAsia="Calibri" w:hAnsi="Calibri" w:cs="Calibri"/>
        </w:rPr>
        <w:t>stable carbon pools (one per mineral soil horizon).</w:t>
      </w:r>
    </w:p>
    <w:p w14:paraId="67954390" w14:textId="68E5C256" w:rsidR="006551F0" w:rsidRPr="008F6866" w:rsidRDefault="36E2585C" w:rsidP="00414E2C">
      <w:pPr>
        <w:spacing w:after="120" w:line="300" w:lineRule="auto"/>
        <w:jc w:val="both"/>
        <w:rPr>
          <w:rFonts w:ascii="Calibri" w:eastAsia="Calibri" w:hAnsi="Calibri" w:cs="Calibri"/>
        </w:rPr>
      </w:pPr>
      <w:r w:rsidRPr="008F6866">
        <w:rPr>
          <w:rFonts w:ascii="Calibri" w:eastAsia="Calibri" w:hAnsi="Calibri" w:cs="Calibri"/>
        </w:rPr>
        <w:t xml:space="preserve">The deadwood and decaying litter comportments each consist of a series of cohorts at various stages of decay. Each year, new litter and deadwood cohorts are created based on the fresh litter production and on the fresh deadwood resulting from tree mortality and harvesting. A deadwood cohort is characterised by the tree death year, the year of his downfall, its tree species, position (above- or below-ground), size class (diameter &lt; 7 cm or &gt; 7 cm), initial chemical composition (lignin and cellulose contents), current lignin, cellulose and other compound masses </w:t>
      </w:r>
      <w:r w:rsidRPr="008F6866">
        <w:fldChar w:fldCharType="begin"/>
      </w:r>
      <w:r w:rsidR="001677B2">
        <w:instrText xml:space="preserve"> ADDIN EN.CITE &lt;EndNote&gt;&lt;Cite&gt;&lt;Author&gt;Edelmann&lt;/Author&gt;&lt;Year&gt;2023&lt;/Year&gt;&lt;RecNum&gt;312&lt;/RecNum&gt;&lt;IDText&gt;Edelmann23&lt;/IDText&gt;&lt;DisplayText&gt;(Edelmann&lt;style face="italic"&gt; et al.&lt;/style&gt;, 2023)&lt;/DisplayText&gt;&lt;record&gt;&lt;rec-number&gt;312&lt;/rec-number&gt;&lt;foreign-keys&gt;&lt;key app="EN" db-id="0px2fzdxhrpdrre2w5f5pdryx90atadrdavt" timestamp="1713780185"&gt;312&lt;/key&gt;&lt;/foreign-keys&gt;&lt;ref-type name="Journal Article"&gt;17&lt;/ref-type&gt;&lt;contributors&gt;&lt;authors&gt;&lt;author&gt;Edelmann, P.&lt;/author&gt;&lt;author&gt;Weisser, W. W.&lt;/author&gt;&lt;author&gt;Ambarlı, D.&lt;/author&gt;&lt;author&gt;Bässler, C.&lt;/author&gt;&lt;author&gt;Buscot, F.&lt;/author&gt;&lt;author&gt;Hofrichter, M.&lt;/author&gt;&lt;author&gt;Hoppe, B.&lt;/author&gt;&lt;author&gt;Kellner, H.&lt;/author&gt;&lt;author&gt;Minnich, C.&lt;/author&gt;&lt;author&gt;Moll, J.&lt;/author&gt;&lt;author&gt;Persoh, D.&lt;/author&gt;&lt;author&gt;Seibold, S.&lt;/author&gt;&lt;author&gt;Seilwinder, C.&lt;/author&gt;&lt;author&gt;Schulze, E. D.&lt;/author&gt;&lt;author&gt;Wöllauer, S.&lt;/author&gt;&lt;author&gt;Borken, W.&lt;/author&gt;&lt;/authors&gt;&lt;/contributors&gt;&lt;titles&gt;&lt;title&gt;Regional variation in deadwood decay of 13 tree species: Effects of climate, soil and forest structure&lt;/title&gt;&lt;secondary-title&gt;Forest Ecology and Management&lt;/secondary-title&gt;&lt;/titles&gt;&lt;periodical&gt;&lt;full-title&gt;Forest Ecology and Management&lt;/full-title&gt;&lt;/periodical&gt;&lt;volume&gt;541&lt;/volume&gt;&lt;dates&gt;&lt;year&gt;2023&lt;/year&gt;&lt;/dates&gt;&lt;label&gt;Edelmann23&lt;/label&gt;&lt;work-type&gt;Article&lt;/work-type&gt;&lt;urls&gt;&lt;related-urls&gt;&lt;url&gt;https://www.scopus.com/inward/record.uri?eid=2-s2.0-85160015222&amp;amp;doi=10.1016%2fj.foreco.2023.121094&amp;amp;partnerID=40&amp;amp;md5=812f6ba1a013f96999fc4eb9c2561244&lt;/url&gt;&lt;/related-urls&gt;&lt;/urls&gt;&lt;custom7&gt;121094&lt;/custom7&gt;&lt;electronic-resource-num&gt;10.1016/j.foreco.2023.121094&lt;/electronic-resource-num&gt;&lt;remote-database-name&gt;Scopus&lt;/remote-database-name&gt;&lt;/record&gt;&lt;/Cite&gt;&lt;/EndNote&gt;</w:instrText>
      </w:r>
      <w:r w:rsidRPr="008F6866">
        <w:fldChar w:fldCharType="separate"/>
      </w:r>
      <w:r w:rsidR="001677B2">
        <w:rPr>
          <w:noProof/>
        </w:rPr>
        <w:t>(Edelmann</w:t>
      </w:r>
      <w:r w:rsidR="001677B2" w:rsidRPr="001677B2">
        <w:rPr>
          <w:i/>
          <w:noProof/>
        </w:rPr>
        <w:t xml:space="preserve"> et al.</w:t>
      </w:r>
      <w:r w:rsidR="001677B2">
        <w:rPr>
          <w:noProof/>
        </w:rPr>
        <w:t>, 2023)</w:t>
      </w:r>
      <w:r w:rsidRPr="008F6866">
        <w:fldChar w:fldCharType="end"/>
      </w:r>
      <w:r w:rsidRPr="008F6866">
        <w:rPr>
          <w:rFonts w:ascii="Calibri" w:eastAsia="Calibri" w:hAnsi="Calibri" w:cs="Calibri"/>
        </w:rPr>
        <w:t xml:space="preserve">. A litter cohort is characterised by its production year, tree species, litter type (leaves, branches, fruits, fine roots), position (above- or below-ground), initial chemical composition (lignin and cellulose contents), current lignin, cellulose and other compound masses </w:t>
      </w:r>
      <w:r w:rsidRPr="008F6866">
        <w:fldChar w:fldCharType="begin"/>
      </w:r>
      <w:r w:rsidR="001677B2">
        <w:instrText xml:space="preserve"> ADDIN EN.CITE &lt;EndNote&gt;&lt;Cite&gt;&lt;Author&gt;Adair&lt;/Author&gt;&lt;Year&gt;2008&lt;/Year&gt;&lt;RecNum&gt;313&lt;/RecNum&gt;&lt;IDText&gt;Adair08&lt;/IDText&gt;&lt;DisplayText&gt;(Adair&lt;style face="italic"&gt; et al.&lt;/style&gt;, 2008)&lt;/DisplayText&gt;&lt;record&gt;&lt;rec-number&gt;313&lt;/rec-number&gt;&lt;foreign-keys&gt;&lt;key app="EN" db-id="0px2fzdxhrpdrre2w5f5pdryx90atadrdavt" timestamp="1713780320"&gt;313&lt;/key&gt;&lt;/foreign-keys&gt;&lt;ref-type name="Journal Article"&gt;17&lt;/ref-type&gt;&lt;contributors&gt;&lt;authors&gt;&lt;author&gt;Adair, E. C.&lt;/author&gt;&lt;author&gt;Parton, W. J.&lt;/author&gt;&lt;author&gt;Del Grosso, S. J.&lt;/author&gt;&lt;author&gt;Silver, W. L.&lt;/author&gt;&lt;author&gt;Harmon, M. E.&lt;/author&gt;&lt;author&gt;Hall, S. A.&lt;/author&gt;&lt;author&gt;Burke, I. C.&lt;/author&gt;&lt;author&gt;Hart, S. C.&lt;/author&gt;&lt;/authors&gt;&lt;/contributors&gt;&lt;titles&gt;&lt;title&gt;Simple three-pool model accurately describes patterns of long-term litter decomposition in diverse climates&lt;/title&gt;&lt;secondary-title&gt;Global Change Biology&lt;/secondary-title&gt;&lt;/titles&gt;&lt;periodical&gt;&lt;full-title&gt;Global Change Biology&lt;/full-title&gt;&lt;/periodical&gt;&lt;pages&gt;2636-2660&lt;/pages&gt;&lt;volume&gt;14&lt;/volume&gt;&lt;number&gt;11&lt;/number&gt;&lt;dates&gt;&lt;year&gt;2008&lt;/year&gt;&lt;/dates&gt;&lt;label&gt;Adair08&lt;/label&gt;&lt;work-type&gt;Article&lt;/work-type&gt;&lt;urls&gt;&lt;related-urls&gt;&lt;url&gt;https://www.scopus.com/inward/record.uri?eid=2-s2.0-54449096534&amp;amp;doi=10.1111%2fj.1365-2486.2008.01674.x&amp;amp;partnerID=40&amp;amp;md5=9c223c505bc17add7b4b4a643a0f7876&lt;/url&gt;&lt;/related-urls&gt;&lt;/urls&gt;&lt;electronic-resource-num&gt;10.1111/j.1365-2486.2008.01674.x&lt;/electronic-resource-num&gt;&lt;remote-database-name&gt;Scopus&lt;/remote-database-name&gt;&lt;/record&gt;&lt;/Cite&gt;&lt;/EndNote&gt;</w:instrText>
      </w:r>
      <w:r w:rsidRPr="008F6866">
        <w:fldChar w:fldCharType="separate"/>
      </w:r>
      <w:r w:rsidR="001677B2">
        <w:rPr>
          <w:noProof/>
        </w:rPr>
        <w:t>(Adair</w:t>
      </w:r>
      <w:r w:rsidR="001677B2" w:rsidRPr="001677B2">
        <w:rPr>
          <w:i/>
          <w:noProof/>
        </w:rPr>
        <w:t xml:space="preserve"> et al.</w:t>
      </w:r>
      <w:r w:rsidR="001677B2">
        <w:rPr>
          <w:noProof/>
        </w:rPr>
        <w:t>, 2008)</w:t>
      </w:r>
      <w:r w:rsidRPr="008F6866">
        <w:fldChar w:fldCharType="end"/>
      </w:r>
      <w:r w:rsidRPr="008F6866">
        <w:rPr>
          <w:rFonts w:ascii="Calibri" w:eastAsia="Calibri" w:hAnsi="Calibri" w:cs="Calibri"/>
        </w:rPr>
        <w:t>.</w:t>
      </w:r>
    </w:p>
    <w:p w14:paraId="4F6A2D44" w14:textId="3DD76F3E" w:rsidR="1E58B00B" w:rsidRPr="008F6866" w:rsidRDefault="36E2585C" w:rsidP="00414E2C">
      <w:pPr>
        <w:spacing w:after="120" w:line="300" w:lineRule="auto"/>
        <w:jc w:val="both"/>
        <w:rPr>
          <w:rFonts w:ascii="Calibri" w:eastAsia="Calibri" w:hAnsi="Calibri" w:cs="Calibri"/>
        </w:rPr>
      </w:pPr>
      <w:r w:rsidRPr="008F6866">
        <w:rPr>
          <w:rFonts w:ascii="Calibri" w:eastAsia="Calibri" w:hAnsi="Calibri" w:cs="Calibri"/>
        </w:rPr>
        <w:t xml:space="preserve">From one year to the next, the current biomass (considered as a whole or in different fractions) is updated to take account of decomposition. This can be assessed using simple models (exponential or linear) with species-specific parameters. For most of the species considered in HETEROFOR, the decomposition rate of the exponential model (k) was adjusted based on data collected in the literature (e.g. incubation experiments with litter bags). For deadwood, a linear decomposition model was initially selected and parameterized based on the results of </w:t>
      </w:r>
      <w:r w:rsidRPr="008F6866">
        <w:rPr>
          <w:rFonts w:ascii="Calibri" w:eastAsia="Calibri" w:hAnsi="Calibri" w:cs="Calibri"/>
        </w:rPr>
        <w:fldChar w:fldCharType="begin"/>
      </w:r>
      <w:r w:rsidR="006201C6">
        <w:rPr>
          <w:rFonts w:ascii="Calibri" w:eastAsia="Calibri" w:hAnsi="Calibri" w:cs="Calibri"/>
        </w:rPr>
        <w:instrText xml:space="preserve"> ADDIN EN.CITE &lt;EndNote&gt;&lt;Cite AuthorYear="1"&gt;&lt;Author&gt;Edelmann&lt;/Author&gt;&lt;Year&gt;2023&lt;/Year&gt;&lt;RecNum&gt;312&lt;/RecNum&gt;&lt;IDText&gt;Edelmann23&lt;/IDText&gt;&lt;DisplayText&gt;Edelmann&lt;style face="italic"&gt; et al.&lt;/style&gt; (2023)&lt;/DisplayText&gt;&lt;record&gt;&lt;rec-number&gt;312&lt;/rec-number&gt;&lt;foreign-keys&gt;&lt;key app="EN" db-id="0px2fzdxhrpdrre2w5f5pdryx90atadrdavt" timestamp="1713780185"&gt;312&lt;/key&gt;&lt;/foreign-keys&gt;&lt;ref-type name="Journal Article"&gt;17&lt;/ref-type&gt;&lt;contributors&gt;&lt;authors&gt;&lt;author&gt;Edelmann, P.&lt;/author&gt;&lt;author&gt;Weisser, W. W.&lt;/author&gt;&lt;author&gt;Ambarlı, D.&lt;/author&gt;&lt;author&gt;Bässler, C.&lt;/author&gt;&lt;author&gt;Buscot, F.&lt;/author&gt;&lt;author&gt;Hofrichter, M.&lt;/author&gt;&lt;author&gt;Hoppe, B.&lt;/author&gt;&lt;author&gt;Kellner, H.&lt;/author&gt;&lt;author&gt;Minnich, C.&lt;/author&gt;&lt;author&gt;Moll, J.&lt;/author&gt;&lt;author&gt;Persoh, D.&lt;/author&gt;&lt;author&gt;Seibold, S.&lt;/author&gt;&lt;author&gt;Seilwinder, C.&lt;/author&gt;&lt;author&gt;Schulze, E. D.&lt;/author&gt;&lt;author&gt;Wöllauer, S.&lt;/author&gt;&lt;author&gt;Borken, W.&lt;/author&gt;&lt;/authors&gt;&lt;/contributors&gt;&lt;titles&gt;&lt;title&gt;Regional variation in deadwood decay of 13 tree species: Effects of climate, soil and forest structure&lt;/title&gt;&lt;secondary-title&gt;Forest Ecology and Management&lt;/secondary-title&gt;&lt;/titles&gt;&lt;periodical&gt;&lt;full-title&gt;Forest Ecology and Management&lt;/full-title&gt;&lt;/periodical&gt;&lt;volume&gt;541&lt;/volume&gt;&lt;dates&gt;&lt;year&gt;2023&lt;/year&gt;&lt;/dates&gt;&lt;label&gt;Edelmann23&lt;/label&gt;&lt;work-type&gt;Article&lt;/work-type&gt;&lt;urls&gt;&lt;related-urls&gt;&lt;url&gt;https://www.scopus.com/inward/record.uri?eid=2-s2.0-85160015222&amp;amp;doi=10.1016%2fj.foreco.2023.121094&amp;amp;partnerID=40&amp;amp;md5=812f6ba1a013f96999fc4eb9c2561244&lt;/url&gt;&lt;/related-urls&gt;&lt;/urls&gt;&lt;custom7&gt;121094&lt;/custom7&gt;&lt;electronic-resource-num&gt;10.1016/j.foreco.2023.121094&lt;/electronic-resource-num&gt;&lt;remote-database-name&gt;Scopus&lt;/remote-database-name&gt;&lt;/record&gt;&lt;/Cite&gt;&lt;/EndNote&gt;</w:instrText>
      </w:r>
      <w:r w:rsidRPr="008F6866">
        <w:rPr>
          <w:rFonts w:ascii="Calibri" w:eastAsia="Calibri" w:hAnsi="Calibri" w:cs="Calibri"/>
        </w:rPr>
        <w:fldChar w:fldCharType="separate"/>
      </w:r>
      <w:r w:rsidR="006201C6">
        <w:rPr>
          <w:rFonts w:ascii="Calibri" w:eastAsia="Calibri" w:hAnsi="Calibri" w:cs="Calibri"/>
          <w:noProof/>
        </w:rPr>
        <w:t>Edelmann</w:t>
      </w:r>
      <w:r w:rsidR="006201C6" w:rsidRPr="006201C6">
        <w:rPr>
          <w:rFonts w:ascii="Calibri" w:eastAsia="Calibri" w:hAnsi="Calibri" w:cs="Calibri"/>
          <w:i/>
          <w:noProof/>
        </w:rPr>
        <w:t xml:space="preserve"> et al.</w:t>
      </w:r>
      <w:r w:rsidR="006201C6">
        <w:rPr>
          <w:rFonts w:ascii="Calibri" w:eastAsia="Calibri" w:hAnsi="Calibri" w:cs="Calibri"/>
          <w:noProof/>
        </w:rPr>
        <w:t xml:space="preserve"> (2023)</w:t>
      </w:r>
      <w:r w:rsidRPr="008F6866">
        <w:rPr>
          <w:rFonts w:ascii="Calibri" w:eastAsia="Calibri" w:hAnsi="Calibri" w:cs="Calibri"/>
        </w:rPr>
        <w:fldChar w:fldCharType="end"/>
      </w:r>
      <w:r w:rsidRPr="008F6866">
        <w:rPr>
          <w:rFonts w:ascii="Calibri" w:eastAsia="Calibri" w:hAnsi="Calibri" w:cs="Calibri"/>
        </w:rPr>
        <w:t xml:space="preserve">. When no information was available or specified for a species, decomposition was estimated using the three-pool model of </w:t>
      </w:r>
      <w:r w:rsidRPr="008F6866">
        <w:rPr>
          <w:rFonts w:ascii="Calibri" w:eastAsia="Calibri" w:hAnsi="Calibri" w:cs="Calibri"/>
        </w:rPr>
        <w:fldChar w:fldCharType="begin"/>
      </w:r>
      <w:r w:rsidR="006201C6">
        <w:rPr>
          <w:rFonts w:ascii="Calibri" w:eastAsia="Calibri" w:hAnsi="Calibri" w:cs="Calibri"/>
        </w:rPr>
        <w:instrText xml:space="preserve"> ADDIN EN.CITE &lt;EndNote&gt;&lt;Cite AuthorYear="1"&gt;&lt;Author&gt;Adair&lt;/Author&gt;&lt;Year&gt;2008&lt;/Year&gt;&lt;RecNum&gt;313&lt;/RecNum&gt;&lt;IDText&gt;Adair08&lt;/IDText&gt;&lt;DisplayText&gt;Adair&lt;style face="italic"&gt; et al.&lt;/style&gt; (2008)&lt;/DisplayText&gt;&lt;record&gt;&lt;rec-number&gt;313&lt;/rec-number&gt;&lt;foreign-keys&gt;&lt;key app="EN" db-id="0px2fzdxhrpdrre2w5f5pdryx90atadrdavt" timestamp="1713780320"&gt;313&lt;/key&gt;&lt;/foreign-keys&gt;&lt;ref-type name="Journal Article"&gt;17&lt;/ref-type&gt;&lt;contributors&gt;&lt;authors&gt;&lt;author&gt;Adair, E. C.&lt;/author&gt;&lt;author&gt;Parton, W. J.&lt;/author&gt;&lt;author&gt;Del Grosso, S. J.&lt;/author&gt;&lt;author&gt;Silver, W. L.&lt;/author&gt;&lt;author&gt;Harmon, M. E.&lt;/author&gt;&lt;author&gt;Hall, S. A.&lt;/author&gt;&lt;author&gt;Burke, I. C.&lt;/author&gt;&lt;author&gt;Hart, S. C.&lt;/author&gt;&lt;/authors&gt;&lt;/contributors&gt;&lt;titles&gt;&lt;title&gt;Simple three-pool model accurately describes patterns of long-term litter decomposition in diverse climates&lt;/title&gt;&lt;secondary-title&gt;Global Change Biology&lt;/secondary-title&gt;&lt;/titles&gt;&lt;periodical&gt;&lt;full-title&gt;Global Change Biology&lt;/full-title&gt;&lt;/periodical&gt;&lt;pages&gt;2636-2660&lt;/pages&gt;&lt;volume&gt;14&lt;/volume&gt;&lt;number&gt;11&lt;/number&gt;&lt;dates&gt;&lt;year&gt;2008&lt;/year&gt;&lt;/dates&gt;&lt;label&gt;Adair08&lt;/label&gt;&lt;work-type&gt;Article&lt;/work-type&gt;&lt;urls&gt;&lt;related-urls&gt;&lt;url&gt;https://www.scopus.com/inward/record.uri?eid=2-s2.0-54449096534&amp;amp;doi=10.1111%2fj.1365-2486.2008.01674.x&amp;amp;partnerID=40&amp;amp;md5=9c223c505bc17add7b4b4a643a0f7876&lt;/url&gt;&lt;/related-urls&gt;&lt;/urls&gt;&lt;electronic-resource-num&gt;10.1111/j.1365-2486.2008.01674.x&lt;/electronic-resource-num&gt;&lt;remote-database-name&gt;Scopus&lt;/remote-database-name&gt;&lt;/record&gt;&lt;/Cite&gt;&lt;/EndNote&gt;</w:instrText>
      </w:r>
      <w:r w:rsidRPr="008F6866">
        <w:rPr>
          <w:rFonts w:ascii="Calibri" w:eastAsia="Calibri" w:hAnsi="Calibri" w:cs="Calibri"/>
        </w:rPr>
        <w:fldChar w:fldCharType="separate"/>
      </w:r>
      <w:r w:rsidR="006201C6">
        <w:rPr>
          <w:rFonts w:ascii="Calibri" w:eastAsia="Calibri" w:hAnsi="Calibri" w:cs="Calibri"/>
          <w:noProof/>
        </w:rPr>
        <w:t>Adair</w:t>
      </w:r>
      <w:r w:rsidR="006201C6" w:rsidRPr="006201C6">
        <w:rPr>
          <w:rFonts w:ascii="Calibri" w:eastAsia="Calibri" w:hAnsi="Calibri" w:cs="Calibri"/>
          <w:i/>
          <w:noProof/>
        </w:rPr>
        <w:t xml:space="preserve"> et al.</w:t>
      </w:r>
      <w:r w:rsidR="006201C6">
        <w:rPr>
          <w:rFonts w:ascii="Calibri" w:eastAsia="Calibri" w:hAnsi="Calibri" w:cs="Calibri"/>
          <w:noProof/>
        </w:rPr>
        <w:t xml:space="preserve"> (2008)</w:t>
      </w:r>
      <w:r w:rsidRPr="008F6866">
        <w:rPr>
          <w:rFonts w:ascii="Calibri" w:eastAsia="Calibri" w:hAnsi="Calibri" w:cs="Calibri"/>
        </w:rPr>
        <w:fldChar w:fldCharType="end"/>
      </w:r>
      <w:r w:rsidRPr="008F6866">
        <w:rPr>
          <w:rFonts w:ascii="Calibri" w:eastAsia="Calibri" w:hAnsi="Calibri" w:cs="Calibri"/>
        </w:rPr>
        <w:t>. A pool of lignin and cellulose was considered as well as a pool of other organic compounds. In this approach, each pool decomposes at its own rate according to an exponential model and this rate is modulated by a litter quality effect and by a coefficient that accounts for meteorological conditions (Climate Decomposition Index, CDI).</w:t>
      </w:r>
    </w:p>
    <w:p w14:paraId="644DDF73" w14:textId="7BECC885" w:rsidR="006551F0" w:rsidRPr="008F6866" w:rsidRDefault="39CFF0FF" w:rsidP="00414E2C">
      <w:pPr>
        <w:spacing w:after="120" w:line="300" w:lineRule="auto"/>
        <w:jc w:val="both"/>
        <w:rPr>
          <w:rFonts w:ascii="Calibri" w:eastAsia="Calibri" w:hAnsi="Calibri" w:cs="Calibri"/>
        </w:rPr>
      </w:pPr>
      <w:r w:rsidRPr="008F6866">
        <w:rPr>
          <w:rFonts w:ascii="Calibri" w:eastAsia="Calibri" w:hAnsi="Calibri" w:cs="Calibri"/>
        </w:rPr>
        <w:t xml:space="preserve">Decomposition of litter and deadwood releases carbon dioxide and produces decaying organic matter transferred to other pools. The part of decomposed deadwood not released as carbon dioxide is transferred to the litter compartment by the creation of a new litter cohort (whose production year corresponds to the date of transfer). The decomposed litter not released as carbon dioxide joins the active carbon pool of the upper mineral horizon (aboveground litter) or of the mineral horizon in which the root litter was produced. The organic matter in the active carbon pool is released as carbon dioxide (active carbon respiration), leached as dissolved organic carbon (DOC) or transferred to the stable pool. For a given mineral horizon, active carbon respiration is obtained by multiplying the active carbon stock by the basal respiration or mineralisation rate and by two modulators accounting for soil climate (soil water content and temperature). The </w:t>
      </w:r>
      <w:r w:rsidR="006551F0" w:rsidRPr="008F6866">
        <w:fldChar w:fldCharType="begin"/>
      </w:r>
      <w:r w:rsidR="006201C6">
        <w:instrText xml:space="preserve"> ADDIN EN.CITE &lt;EndNote&gt;&lt;Cite AuthorYear="1"&gt;&lt;Author&gt;Yan&lt;/Author&gt;&lt;Year&gt;2018&lt;/Year&gt;&lt;RecNum&gt;314&lt;/RecNum&gt;&lt;IDText&gt;Yan18&lt;/IDText&gt;&lt;DisplayText&gt;Yan&lt;style face="italic"&gt; et al.&lt;/style&gt; (2018)&lt;/DisplayText&gt;&lt;record&gt;&lt;rec-number&gt;314&lt;/rec-number&gt;&lt;foreign-keys&gt;&lt;key app="EN" db-id="0px2fzdxhrpdrre2w5f5pdryx90atadrdavt" timestamp="1713780457"&gt;314&lt;/key&gt;&lt;/foreign-keys&gt;&lt;ref-type name="Journal Article"&gt;17&lt;/ref-type&gt;&lt;contributors&gt;&lt;authors&gt;&lt;author&gt;Yan, Z.&lt;/author&gt;&lt;author&gt;Bond-Lamberty, B.&lt;/author&gt;&lt;author&gt;Todd-Brown, K. E.&lt;/author&gt;&lt;author&gt;Bailey, V. L.&lt;/author&gt;&lt;author&gt;Li, S.&lt;/author&gt;&lt;author&gt;Liu, C.&lt;/author&gt;&lt;author&gt;Liu, C.&lt;/author&gt;&lt;/authors&gt;&lt;/contributors&gt;&lt;titles&gt;&lt;title&gt;A moisture function of soil heterotrophic respiration that incorporates microscale processes&lt;/title&gt;&lt;secondary-title&gt;Nature Communications&lt;/secondary-title&gt;&lt;/titles&gt;&lt;periodical&gt;&lt;full-title&gt;Nature Communications&lt;/full-title&gt;&lt;/periodical&gt;&lt;volume&gt;9&lt;/volume&gt;&lt;number&gt;1&lt;/number&gt;&lt;dates&gt;&lt;year&gt;2018&lt;/year&gt;&lt;/dates&gt;&lt;label&gt;Yan18&lt;/label&gt;&lt;work-type&gt;Article&lt;/work-type&gt;&lt;urls&gt;&lt;related-urls&gt;&lt;url&gt;https://www.scopus.com/inward/record.uri?eid=2-s2.0-85049386229&amp;amp;doi=10.1038%2fs41467-018-04971-6&amp;amp;partnerID=40&amp;amp;md5=971fa2366c4463bc83069671329303eb&lt;/url&gt;&lt;/related-urls&gt;&lt;/urls&gt;&lt;custom7&gt;2562&lt;/custom7&gt;&lt;electronic-resource-num&gt;10.1038/s41467-018-04971-6&lt;/electronic-resource-num&gt;&lt;remote-database-name&gt;Scopus&lt;/remote-database-name&gt;&lt;/record&gt;&lt;/Cite&gt;&lt;/EndNote&gt;</w:instrText>
      </w:r>
      <w:r w:rsidR="006551F0" w:rsidRPr="008F6866">
        <w:fldChar w:fldCharType="separate"/>
      </w:r>
      <w:r w:rsidR="006201C6">
        <w:rPr>
          <w:noProof/>
        </w:rPr>
        <w:t>Yan</w:t>
      </w:r>
      <w:r w:rsidR="006201C6" w:rsidRPr="006201C6">
        <w:rPr>
          <w:i/>
          <w:noProof/>
        </w:rPr>
        <w:t xml:space="preserve"> et al.</w:t>
      </w:r>
      <w:r w:rsidR="006201C6">
        <w:rPr>
          <w:noProof/>
        </w:rPr>
        <w:t xml:space="preserve"> (2018)</w:t>
      </w:r>
      <w:r w:rsidR="006551F0" w:rsidRPr="008F6866">
        <w:fldChar w:fldCharType="end"/>
      </w:r>
      <w:r w:rsidRPr="008F6866">
        <w:rPr>
          <w:rFonts w:ascii="Calibri" w:eastAsia="Calibri" w:hAnsi="Calibri" w:cs="Calibri"/>
        </w:rPr>
        <w:t xml:space="preserve"> function is used to account for the soil water content effect on active carbon respiration while the </w:t>
      </w:r>
      <w:r w:rsidR="006551F0" w:rsidRPr="008F6866">
        <w:fldChar w:fldCharType="begin"/>
      </w:r>
      <w:r w:rsidR="006201C6">
        <w:instrText xml:space="preserve"> ADDIN EN.CITE &lt;EndNote&gt;&lt;Cite AuthorYear="1"&gt;&lt;Author&gt;Lloyd&lt;/Author&gt;&lt;Year&gt;1994&lt;/Year&gt;&lt;RecNum&gt;315&lt;/RecNum&gt;&lt;IDText&gt;Lloyd94&lt;/IDText&gt;&lt;DisplayText&gt;Lloyd and Taylor (1994)&lt;/DisplayText&gt;&lt;record&gt;&lt;rec-number&gt;315&lt;/rec-number&gt;&lt;foreign-keys&gt;&lt;key app="EN" db-id="0px2fzdxhrpdrre2w5f5pdryx90atadrdavt" timestamp="1713780631"&gt;315&lt;/key&gt;&lt;/foreign-keys&gt;&lt;ref-type name="Journal Article"&gt;17&lt;/ref-type&gt;&lt;contributors&gt;&lt;authors&gt;&lt;author&gt;Lloyd, J.&lt;/author&gt;&lt;author&gt;Taylor, J. A.&lt;/author&gt;&lt;/authors&gt;&lt;/contributors&gt;&lt;titles&gt;&lt;title&gt;On the temperature dependence of soil respiration&lt;/title&gt;&lt;secondary-title&gt;Functional Ecology&lt;/secondary-title&gt;&lt;/titles&gt;&lt;periodical&gt;&lt;full-title&gt;Functional Ecology&lt;/full-title&gt;&lt;/periodical&gt;&lt;pages&gt;315-323&lt;/pages&gt;&lt;volume&gt;8&lt;/volume&gt;&lt;number&gt;3&lt;/number&gt;&lt;dates&gt;&lt;year&gt;1994&lt;/year&gt;&lt;/dates&gt;&lt;label&gt;Lloyd94&lt;/label&gt;&lt;work-type&gt;Article&lt;/work-type&gt;&lt;urls&gt;&lt;related-urls&gt;&lt;url&gt;https://www.scopus.com/inward/record.uri?eid=2-s2.0-0028159926&amp;amp;doi=10.2307%2f2389824&amp;amp;partnerID=40&amp;amp;md5=de91c5e9907d3d6d7d17ed19dce764b4&lt;/url&gt;&lt;/related-urls&gt;&lt;/urls&gt;&lt;electronic-resource-num&gt;10.2307/2389824&lt;/electronic-resource-num&gt;&lt;remote-database-name&gt;Scopus&lt;/remote-database-name&gt;&lt;/record&gt;&lt;/Cite&gt;&lt;/EndNote&gt;</w:instrText>
      </w:r>
      <w:r w:rsidR="006551F0" w:rsidRPr="008F6866">
        <w:fldChar w:fldCharType="separate"/>
      </w:r>
      <w:r w:rsidR="006201C6">
        <w:rPr>
          <w:noProof/>
        </w:rPr>
        <w:t>Lloyd and Taylor (1994)</w:t>
      </w:r>
      <w:r w:rsidR="006551F0" w:rsidRPr="008F6866">
        <w:fldChar w:fldCharType="end"/>
      </w:r>
      <w:r w:rsidRPr="008F6866">
        <w:rPr>
          <w:rFonts w:ascii="Calibri" w:eastAsia="Calibri" w:hAnsi="Calibri" w:cs="Calibri"/>
        </w:rPr>
        <w:t xml:space="preserve"> equation is employed to describe the soil temperature effect. The DOC production is supposed to be proportional to the active carbon respiration and the annual transfer to the stable pool corresponds to a fixed fraction of the active carbon pool. </w:t>
      </w:r>
    </w:p>
    <w:p w14:paraId="0F16531F" w14:textId="430F92E5" w:rsidR="006551F0" w:rsidRPr="008F6866" w:rsidRDefault="39CFF0FF" w:rsidP="00414E2C">
      <w:pPr>
        <w:spacing w:after="120" w:line="300" w:lineRule="auto"/>
        <w:jc w:val="both"/>
        <w:rPr>
          <w:rFonts w:ascii="Calibri" w:eastAsia="Calibri" w:hAnsi="Calibri" w:cs="Calibri"/>
        </w:rPr>
      </w:pPr>
      <w:r w:rsidRPr="008F6866">
        <w:rPr>
          <w:rFonts w:ascii="Calibri" w:eastAsia="Calibri" w:hAnsi="Calibri" w:cs="Calibri"/>
        </w:rPr>
        <w:t xml:space="preserve">Aboveground standing deadwood is converted into lying deadwood when the remaining mass of the former reaches 50% of its initial biomass. When the fraction of remaining mass reaches a given threshold depending on the tree species and on the litter type (see the concept of maximum </w:t>
      </w:r>
      <w:r w:rsidRPr="008F6866">
        <w:rPr>
          <w:rFonts w:ascii="Calibri" w:eastAsia="Calibri" w:hAnsi="Calibri" w:cs="Calibri"/>
        </w:rPr>
        <w:lastRenderedPageBreak/>
        <w:t xml:space="preserve">decomposition of </w:t>
      </w:r>
      <w:r w:rsidRPr="008F6866">
        <w:fldChar w:fldCharType="begin"/>
      </w:r>
      <w:r w:rsidR="006201C6">
        <w:instrText xml:space="preserve"> ADDIN EN.CITE &lt;EndNote&gt;&lt;Cite AuthorYear="1"&gt;&lt;Author&gt;Berg&lt;/Author&gt;&lt;Year&gt;1996&lt;/Year&gt;&lt;RecNum&gt;316&lt;/RecNum&gt;&lt;IDText&gt;Berg96&lt;/IDText&gt;&lt;DisplayText&gt;Berg&lt;style face="italic"&gt; et al.&lt;/style&gt; (1996)&lt;/DisplayText&gt;&lt;record&gt;&lt;rec-number&gt;316&lt;/rec-number&gt;&lt;foreign-keys&gt;&lt;key app="EN" db-id="0px2fzdxhrpdrre2w5f5pdryx90atadrdavt" timestamp="1713780810"&gt;316&lt;/key&gt;&lt;/foreign-keys&gt;&lt;ref-type name="Journal Article"&gt;17&lt;/ref-type&gt;&lt;contributors&gt;&lt;authors&gt;&lt;author&gt;Berg, B.&lt;/author&gt;&lt;author&gt;Ekbohm, G.&lt;/author&gt;&lt;author&gt;Johansson, M. B.&lt;/author&gt;&lt;author&gt;McClaugherty, C.&lt;/author&gt;&lt;author&gt;Rutigliano, F.&lt;/author&gt;&lt;author&gt;De Santo, A. V.&lt;/author&gt;&lt;/authors&gt;&lt;/contributors&gt;&lt;titles&gt;&lt;title&gt;Maximum decomposition limits of forest litter types: A synthesis&lt;/title&gt;&lt;secondary-title&gt;Canadian Journal of Botany&lt;/secondary-title&gt;&lt;/titles&gt;&lt;periodical&gt;&lt;full-title&gt;Canadian Journal of Botany&lt;/full-title&gt;&lt;/periodical&gt;&lt;pages&gt;659-672&lt;/pages&gt;&lt;volume&gt;74&lt;/volume&gt;&lt;number&gt;5&lt;/number&gt;&lt;dates&gt;&lt;year&gt;1996&lt;/year&gt;&lt;/dates&gt;&lt;label&gt;Berg96&lt;/label&gt;&lt;work-type&gt;Article&lt;/work-type&gt;&lt;urls&gt;&lt;related-urls&gt;&lt;url&gt;https://www.scopus.com/inward/record.uri?eid=2-s2.0-0029752518&amp;amp;doi=10.1139%2fb96-084&amp;amp;partnerID=40&amp;amp;md5=18b7a9408f063f421b33e3767f4c2431&lt;/url&gt;&lt;/related-urls&gt;&lt;/urls&gt;&lt;electronic-resource-num&gt;10.1139/b96-084&lt;/electronic-resource-num&gt;&lt;remote-database-name&gt;Scopus&lt;/remote-database-name&gt;&lt;/record&gt;&lt;/Cite&gt;&lt;/EndNote&gt;</w:instrText>
      </w:r>
      <w:r w:rsidRPr="008F6866">
        <w:fldChar w:fldCharType="separate"/>
      </w:r>
      <w:r w:rsidR="006201C6">
        <w:rPr>
          <w:noProof/>
        </w:rPr>
        <w:t>Berg</w:t>
      </w:r>
      <w:r w:rsidR="006201C6" w:rsidRPr="006201C6">
        <w:rPr>
          <w:i/>
          <w:noProof/>
        </w:rPr>
        <w:t xml:space="preserve"> et al.</w:t>
      </w:r>
      <w:r w:rsidR="006201C6">
        <w:rPr>
          <w:noProof/>
        </w:rPr>
        <w:t xml:space="preserve"> (1996)</w:t>
      </w:r>
      <w:r w:rsidRPr="008F6866">
        <w:fldChar w:fldCharType="end"/>
      </w:r>
      <w:r w:rsidRPr="008F6866">
        <w:rPr>
          <w:rFonts w:ascii="Calibri" w:eastAsia="Calibri" w:hAnsi="Calibri" w:cs="Calibri"/>
        </w:rPr>
        <w:t>), the remaining mass is transferred to an active carbon pool and the cohort litter disappears.</w:t>
      </w:r>
    </w:p>
    <w:p w14:paraId="667F8488" w14:textId="159AD49B" w:rsidR="006551F0" w:rsidRPr="008F6866" w:rsidRDefault="006551F0" w:rsidP="001D303F">
      <w:pPr>
        <w:spacing w:after="0"/>
        <w:jc w:val="center"/>
        <w:rPr>
          <w:rFonts w:ascii="Calibri" w:eastAsia="Calibri" w:hAnsi="Calibri" w:cs="Calibri"/>
        </w:rPr>
      </w:pPr>
      <w:r w:rsidRPr="008F6866">
        <w:rPr>
          <w:noProof/>
        </w:rPr>
        <w:drawing>
          <wp:inline distT="114300" distB="114300" distL="114300" distR="114300" wp14:anchorId="060E8517" wp14:editId="76148776">
            <wp:extent cx="5219911" cy="3354462"/>
            <wp:effectExtent l="0" t="0" r="0" b="0"/>
            <wp:docPr id="20616809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219911" cy="3354462"/>
                    </a:xfrm>
                    <a:prstGeom prst="rect">
                      <a:avLst/>
                    </a:prstGeom>
                    <a:ln/>
                  </pic:spPr>
                </pic:pic>
              </a:graphicData>
            </a:graphic>
          </wp:inline>
        </w:drawing>
      </w:r>
    </w:p>
    <w:p w14:paraId="450C3F0E" w14:textId="6C63A4E0" w:rsidR="006551F0" w:rsidRPr="008F6866" w:rsidRDefault="001D303F" w:rsidP="00414E2C">
      <w:pPr>
        <w:pStyle w:val="Lgende"/>
        <w:spacing w:after="120"/>
        <w:jc w:val="center"/>
        <w:rPr>
          <w:b/>
        </w:rPr>
      </w:pPr>
      <w:bookmarkStart w:id="6" w:name="_Ref195545808"/>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2</w:t>
      </w:r>
      <w:r w:rsidRPr="008F6866">
        <w:rPr>
          <w:b/>
          <w:i w:val="0"/>
          <w:color w:val="000000" w:themeColor="text1"/>
          <w:sz w:val="20"/>
          <w:szCs w:val="20"/>
        </w:rPr>
        <w:fldChar w:fldCharType="end"/>
      </w:r>
      <w:bookmarkEnd w:id="6"/>
      <w:r w:rsidRPr="008F6866">
        <w:rPr>
          <w:b/>
          <w:i w:val="0"/>
          <w:color w:val="000000" w:themeColor="text1"/>
          <w:sz w:val="20"/>
          <w:szCs w:val="20"/>
        </w:rPr>
        <w:t>. Conceptual diagram of the HETEROFOR module describing soil organic carbon dynamics</w:t>
      </w:r>
    </w:p>
    <w:p w14:paraId="01DBDA46" w14:textId="77777777" w:rsidR="006551F0" w:rsidRPr="008F6866" w:rsidRDefault="006551F0" w:rsidP="001D303F">
      <w:pPr>
        <w:spacing w:after="0"/>
        <w:rPr>
          <w:rFonts w:ascii="Calibri" w:eastAsia="Calibri" w:hAnsi="Calibri" w:cs="Calibri"/>
        </w:rPr>
      </w:pPr>
    </w:p>
    <w:p w14:paraId="6A516F44" w14:textId="77777777" w:rsidR="006551F0" w:rsidRPr="008F6866" w:rsidRDefault="006551F0" w:rsidP="004E5B6B">
      <w:pPr>
        <w:rPr>
          <w:b/>
        </w:rPr>
      </w:pPr>
      <w:r w:rsidRPr="008F6866">
        <w:rPr>
          <w:b/>
        </w:rPr>
        <w:t xml:space="preserve">Task 1.4 Assessment of forest production and diversity </w:t>
      </w:r>
    </w:p>
    <w:p w14:paraId="51267A9E" w14:textId="77777777" w:rsidR="006551F0" w:rsidRPr="008F6866" w:rsidRDefault="006551F0" w:rsidP="00414E2C">
      <w:pPr>
        <w:spacing w:after="120" w:line="300" w:lineRule="auto"/>
        <w:jc w:val="both"/>
        <w:rPr>
          <w:rFonts w:ascii="Calibri" w:eastAsia="Calibri" w:hAnsi="Calibri" w:cs="Calibri"/>
          <w:color w:val="000000"/>
        </w:rPr>
      </w:pPr>
      <w:r w:rsidRPr="008F6866">
        <w:rPr>
          <w:rFonts w:ascii="Calibri" w:eastAsia="Calibri" w:hAnsi="Calibri" w:cs="Calibri"/>
          <w:color w:val="000000"/>
        </w:rPr>
        <w:t>At the beginning of this project, HETEROFOR provided reliable estimates of tree growth but did not provide outputs, such as economic indicators, that were needed to compare management scenarios. As we aimed to develop a highly integrated decision-support tool, new functionalities had to be added in HETEROFOR to better assess forest diversity, timber production and financial profitability.</w:t>
      </w:r>
    </w:p>
    <w:p w14:paraId="4C3AD3FE" w14:textId="7881557F" w:rsidR="006551F0" w:rsidRPr="008F6866" w:rsidRDefault="6E3ADEA3" w:rsidP="36E2585C">
      <w:pPr>
        <w:spacing w:after="12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As planned, we connected the model HETEROFOR to the ECONOMICS2 library developed by G. Ligot, both tools being implemented in the CAPSIS simulation platform. Thanks to this work, it is easy to assess the profitability of forest management scenarios simulated with HETERFOR by defining the economical operations associated with each silvicultural intervention carried out during the simulation. Initially, the required economical parameters (e.g., discount rate, silvicultural operation costs, timber price lists) were set by the user using a graphical user interface (</w:t>
      </w:r>
      <w:r w:rsidR="002A11EF" w:rsidRPr="008F6866">
        <w:rPr>
          <w:rFonts w:ascii="Calibri" w:eastAsia="Calibri" w:hAnsi="Calibri" w:cs="Calibri"/>
          <w:color w:val="000000" w:themeColor="text1"/>
        </w:rPr>
        <w:fldChar w:fldCharType="begin"/>
      </w:r>
      <w:r w:rsidR="002A11EF" w:rsidRPr="008F6866">
        <w:rPr>
          <w:rFonts w:ascii="Calibri" w:eastAsia="Calibri" w:hAnsi="Calibri" w:cs="Calibri"/>
          <w:color w:val="000000" w:themeColor="text1"/>
        </w:rPr>
        <w:instrText xml:space="preserve"> REF _Ref195554637 \h  \* MERGEFORMAT </w:instrText>
      </w:r>
      <w:r w:rsidR="002A11EF" w:rsidRPr="008F6866">
        <w:rPr>
          <w:rFonts w:ascii="Calibri" w:eastAsia="Calibri" w:hAnsi="Calibri" w:cs="Calibri"/>
          <w:color w:val="000000" w:themeColor="text1"/>
        </w:rPr>
      </w:r>
      <w:r w:rsidR="002A11EF"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Figure 3</w:t>
      </w:r>
      <w:r w:rsidR="002A11EF" w:rsidRPr="008F6866">
        <w:rPr>
          <w:rFonts w:ascii="Calibri" w:eastAsia="Calibri" w:hAnsi="Calibri" w:cs="Calibri"/>
          <w:color w:val="000000" w:themeColor="text1"/>
        </w:rPr>
        <w:fldChar w:fldCharType="end"/>
      </w:r>
      <w:r w:rsidRPr="008F6866">
        <w:rPr>
          <w:rFonts w:ascii="Calibri" w:eastAsia="Calibri" w:hAnsi="Calibri" w:cs="Calibri"/>
          <w:color w:val="000000" w:themeColor="text1"/>
        </w:rPr>
        <w:t xml:space="preserve">) once a simulation </w:t>
      </w:r>
      <w:r w:rsidR="36E2585C" w:rsidRPr="008F6866">
        <w:rPr>
          <w:rFonts w:ascii="Calibri" w:eastAsia="Calibri" w:hAnsi="Calibri" w:cs="Calibri"/>
          <w:color w:val="000000" w:themeColor="text1"/>
        </w:rPr>
        <w:t xml:space="preserve">was </w:t>
      </w:r>
      <w:r w:rsidRPr="008F6866">
        <w:rPr>
          <w:rFonts w:ascii="Calibri" w:eastAsia="Calibri" w:hAnsi="Calibri" w:cs="Calibri"/>
          <w:color w:val="000000" w:themeColor="text1"/>
        </w:rPr>
        <w:t xml:space="preserve">completed. In this ‘manual’ economic setting mode, the dates of each sylvicultural operation and the associated expenses and/or incomes had to be specified by the user. A new functionality </w:t>
      </w:r>
      <w:r w:rsidR="36E2585C" w:rsidRPr="008F6866">
        <w:rPr>
          <w:rFonts w:ascii="Calibri" w:eastAsia="Calibri" w:hAnsi="Calibri" w:cs="Calibri"/>
          <w:color w:val="000000" w:themeColor="text1"/>
        </w:rPr>
        <w:t>was</w:t>
      </w:r>
      <w:r w:rsidRPr="008F6866">
        <w:rPr>
          <w:rFonts w:ascii="Calibri" w:eastAsia="Calibri" w:hAnsi="Calibri" w:cs="Calibri"/>
          <w:color w:val="000000" w:themeColor="text1"/>
        </w:rPr>
        <w:t xml:space="preserve"> implemented in HETEROFOR enabling automatic specification of the economical operations as sylvicultural interventions occur during the simulation. In this automatic procedure, the economical operations are defined by combining characteristics of each sylvicultural intervention (e.g., type of operation, treated area, number of planted seedlings, type and number of protections against ungulates installed, volume of harvested trees for each species) with the economic settings provided in a text file loaded at model initialization. At the end of the simulation, the economic settings and the automatically generated economical operations may still be adapted manually if necessary. Then, the </w:t>
      </w:r>
      <w:r w:rsidRPr="008F6866">
        <w:rPr>
          <w:rFonts w:ascii="Calibri" w:eastAsia="Calibri" w:hAnsi="Calibri" w:cs="Calibri"/>
          <w:color w:val="000000" w:themeColor="text1"/>
        </w:rPr>
        <w:lastRenderedPageBreak/>
        <w:t>user can obtain various economic indicators such as the net present value, forest value at different times, the annuity, the internal rate of return, etc.</w:t>
      </w:r>
    </w:p>
    <w:p w14:paraId="07E393E3" w14:textId="38D25C07" w:rsidR="006551F0" w:rsidRPr="008F6866" w:rsidRDefault="36E2585C" w:rsidP="00414E2C">
      <w:pPr>
        <w:spacing w:after="120" w:line="300" w:lineRule="auto"/>
        <w:jc w:val="both"/>
        <w:rPr>
          <w:rFonts w:ascii="Calibri" w:eastAsia="Calibri" w:hAnsi="Calibri" w:cs="Calibri"/>
        </w:rPr>
      </w:pPr>
      <w:r w:rsidRPr="008F6866">
        <w:rPr>
          <w:rFonts w:ascii="Calibri" w:eastAsia="Calibri" w:hAnsi="Calibri" w:cs="Calibri"/>
        </w:rPr>
        <w:t>The ECONOMICS2 library has moreover been improved to provide reliable economic indicators for uneven-aged and mixed forests. In particular, the computation of annuity indicators has been corrected, and new features have been added such as plots to show the variability of stumpage prices through time et across diameter classes. Moreover, a detailed user guide has been written (</w:t>
      </w:r>
      <w:hyperlink r:id="rId21">
        <w:r w:rsidRPr="008F6866">
          <w:rPr>
            <w:rFonts w:ascii="Calibri" w:eastAsia="Calibri" w:hAnsi="Calibri" w:cs="Calibri"/>
            <w:color w:val="1155CC"/>
            <w:u w:val="single"/>
          </w:rPr>
          <w:t>https://orbi.uliege.be/handle/2268/263994</w:t>
        </w:r>
      </w:hyperlink>
      <w:r w:rsidRPr="008F6866">
        <w:rPr>
          <w:rFonts w:ascii="Calibri" w:eastAsia="Calibri" w:hAnsi="Calibri" w:cs="Calibri"/>
        </w:rPr>
        <w:t>). This document not only provides step-by-step instructions on how to use ECONOMICS2, but also presents the essential theoretical concepts to be able to repeat and interpret the calculations.</w:t>
      </w:r>
    </w:p>
    <w:p w14:paraId="40AD326C" w14:textId="3F5F5408" w:rsidR="006551F0" w:rsidRPr="008F6866" w:rsidRDefault="006551F0" w:rsidP="00CB3973">
      <w:pPr>
        <w:keepNext/>
        <w:spacing w:before="240" w:after="0"/>
        <w:jc w:val="center"/>
        <w:rPr>
          <w:rFonts w:ascii="Calibri" w:eastAsia="Calibri" w:hAnsi="Calibri" w:cs="Calibri"/>
        </w:rPr>
      </w:pPr>
      <w:r w:rsidRPr="008F6866">
        <w:rPr>
          <w:noProof/>
        </w:rPr>
        <w:drawing>
          <wp:inline distT="114300" distB="114300" distL="114300" distR="114300" wp14:anchorId="0C9DBE58" wp14:editId="1A9BEED8">
            <wp:extent cx="3939654" cy="4294495"/>
            <wp:effectExtent l="0" t="0" r="3810" b="0"/>
            <wp:docPr id="206168098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2"/>
                    <a:srcRect/>
                    <a:stretch>
                      <a:fillRect/>
                    </a:stretch>
                  </pic:blipFill>
                  <pic:spPr>
                    <a:xfrm>
                      <a:off x="0" y="0"/>
                      <a:ext cx="3974075" cy="4332016"/>
                    </a:xfrm>
                    <a:prstGeom prst="rect">
                      <a:avLst/>
                    </a:prstGeom>
                    <a:ln/>
                  </pic:spPr>
                </pic:pic>
              </a:graphicData>
            </a:graphic>
          </wp:inline>
        </w:drawing>
      </w:r>
    </w:p>
    <w:p w14:paraId="47279B3C" w14:textId="61A95643" w:rsidR="002A11EF" w:rsidRPr="008F6866" w:rsidRDefault="002A11EF" w:rsidP="002A11EF">
      <w:pPr>
        <w:pStyle w:val="Lgende"/>
        <w:jc w:val="center"/>
        <w:rPr>
          <w:b/>
          <w:i w:val="0"/>
          <w:color w:val="000000" w:themeColor="text1"/>
          <w:sz w:val="20"/>
          <w:szCs w:val="20"/>
        </w:rPr>
      </w:pPr>
      <w:bookmarkStart w:id="7" w:name="_Ref195554637"/>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3</w:t>
      </w:r>
      <w:r w:rsidRPr="008F6866">
        <w:rPr>
          <w:b/>
          <w:i w:val="0"/>
          <w:color w:val="000000" w:themeColor="text1"/>
          <w:sz w:val="20"/>
          <w:szCs w:val="20"/>
        </w:rPr>
        <w:fldChar w:fldCharType="end"/>
      </w:r>
      <w:bookmarkEnd w:id="7"/>
      <w:r w:rsidRPr="008F6866">
        <w:rPr>
          <w:b/>
          <w:i w:val="0"/>
          <w:color w:val="000000" w:themeColor="text1"/>
          <w:sz w:val="20"/>
          <w:szCs w:val="20"/>
        </w:rPr>
        <w:t>. Graphical user interface that can be used to define the economical parameters</w:t>
      </w:r>
    </w:p>
    <w:p w14:paraId="37EC50AB" w14:textId="3B252FDA" w:rsidR="006551F0" w:rsidRPr="008F6866" w:rsidRDefault="006551F0" w:rsidP="00E674B6">
      <w:pPr>
        <w:spacing w:after="0" w:line="300" w:lineRule="auto"/>
        <w:jc w:val="both"/>
        <w:rPr>
          <w:rFonts w:ascii="Calibri" w:eastAsia="Calibri" w:hAnsi="Calibri" w:cs="Calibri"/>
          <w:color w:val="000000"/>
        </w:rPr>
      </w:pPr>
      <w:bookmarkStart w:id="8" w:name="_heading=h.49x2ik5" w:colFirst="0" w:colLast="0"/>
      <w:bookmarkEnd w:id="8"/>
      <w:r w:rsidRPr="008F6866">
        <w:rPr>
          <w:rFonts w:ascii="Calibri" w:eastAsia="Calibri" w:hAnsi="Calibri" w:cs="Calibri"/>
          <w:color w:val="000000"/>
        </w:rPr>
        <w:t>The computation of several forest diversity indicators has been implemented in HETEROFOR. A first set of indicators are the widely used species richness, Shannon</w:t>
      </w:r>
      <w:r w:rsidR="002A11EF" w:rsidRPr="008F6866">
        <w:rPr>
          <w:rFonts w:ascii="Calibri" w:eastAsia="Calibri" w:hAnsi="Calibri" w:cs="Calibri"/>
          <w:color w:val="000000"/>
        </w:rPr>
        <w:t xml:space="preserve"> </w:t>
      </w:r>
      <w:r w:rsidRPr="008F6866">
        <w:rPr>
          <w:color w:val="000000"/>
        </w:rPr>
        <w:fldChar w:fldCharType="begin"/>
      </w:r>
      <w:r w:rsidR="00CC7A85">
        <w:rPr>
          <w:color w:val="000000"/>
        </w:rPr>
        <w:instrText xml:space="preserve"> ADDIN EN.CITE &lt;EndNote&gt;&lt;Cite&gt;&lt;Author&gt;Shannon&lt;/Author&gt;&lt;Year&gt;1949&lt;/Year&gt;&lt;RecNum&gt;317&lt;/RecNum&gt;&lt;IDText&gt;Shannon49&lt;/IDText&gt;&lt;DisplayText&gt;(Margalef, 1958; Shannon and Weaver, 1949)&lt;/DisplayText&gt;&lt;record&gt;&lt;rec-number&gt;317&lt;/rec-number&gt;&lt;foreign-keys&gt;&lt;key app="EN" db-id="0px2fzdxhrpdrre2w5f5pdryx90atadrdavt" timestamp="1713793435"&gt;317&lt;/key&gt;&lt;/foreign-keys&gt;&lt;ref-type name="Book"&gt;6&lt;/ref-type&gt;&lt;contributors&gt;&lt;authors&gt;&lt;author&gt;Shannon, C.E.&lt;/author&gt;&lt;author&gt;Weaver, W.&lt;/author&gt;&lt;/authors&gt;&lt;/contributors&gt;&lt;titles&gt;&lt;title&gt;The Mathematical Theory of Communication&lt;/title&gt;&lt;/titles&gt;&lt;section&gt;125&lt;/section&gt;&lt;dates&gt;&lt;year&gt;1949&lt;/year&gt;&lt;/dates&gt;&lt;publisher&gt;University of Illinois Press&lt;/publisher&gt;&lt;label&gt;Shannon49&lt;/label&gt;&lt;urls&gt;&lt;/urls&gt;&lt;/record&gt;&lt;/Cite&gt;&lt;Cite&gt;&lt;Author&gt;Margalef&lt;/Author&gt;&lt;Year&gt;1958&lt;/Year&gt;&lt;RecNum&gt;318&lt;/RecNum&gt;&lt;IDText&gt;Margalef58&lt;/IDText&gt;&lt;record&gt;&lt;rec-number&gt;318&lt;/rec-number&gt;&lt;foreign-keys&gt;&lt;key app="EN" db-id="0px2fzdxhrpdrre2w5f5pdryx90atadrdavt" timestamp="1713793633"&gt;318&lt;/key&gt;&lt;/foreign-keys&gt;&lt;ref-type name="Journal Article"&gt;17&lt;/ref-type&gt;&lt;contributors&gt;&lt;authors&gt;&lt;author&gt;Margalef, R.&lt;/author&gt;&lt;/authors&gt;&lt;/contributors&gt;&lt;titles&gt;&lt;title&gt;Information theory in ecology&lt;/title&gt;&lt;secondary-title&gt;General Systems&lt;/secondary-title&gt;&lt;/titles&gt;&lt;periodical&gt;&lt;full-title&gt;General Systems&lt;/full-title&gt;&lt;/periodical&gt;&lt;pages&gt;36-71&lt;/pages&gt;&lt;volume&gt;3&lt;/volume&gt;&lt;dates&gt;&lt;year&gt;1958&lt;/year&gt;&lt;/dates&gt;&lt;label&gt;Margalef58&lt;/label&gt;&lt;work-type&gt;Article&lt;/work-type&gt;&lt;urls&gt;&lt;/urls&gt;&lt;/record&gt;&lt;/Cite&gt;&lt;/EndNote&gt;</w:instrText>
      </w:r>
      <w:r w:rsidRPr="008F6866">
        <w:rPr>
          <w:color w:val="000000"/>
        </w:rPr>
        <w:fldChar w:fldCharType="separate"/>
      </w:r>
      <w:r w:rsidR="00CC7A85">
        <w:rPr>
          <w:noProof/>
          <w:color w:val="000000"/>
        </w:rPr>
        <w:t>(Margalef, 1958; Shannon and Weaver, 1949)</w:t>
      </w:r>
      <w:r w:rsidRPr="008F6866">
        <w:rPr>
          <w:color w:val="000000"/>
        </w:rPr>
        <w:fldChar w:fldCharType="end"/>
      </w:r>
      <w:r w:rsidRPr="008F6866">
        <w:rPr>
          <w:rFonts w:ascii="Calibri" w:eastAsia="Calibri" w:hAnsi="Calibri" w:cs="Calibri"/>
          <w:color w:val="FF0000"/>
        </w:rPr>
        <w:t xml:space="preserve"> </w:t>
      </w:r>
      <w:r w:rsidRPr="008F6866">
        <w:rPr>
          <w:rFonts w:ascii="Calibri" w:eastAsia="Calibri" w:hAnsi="Calibri" w:cs="Calibri"/>
          <w:color w:val="000000"/>
        </w:rPr>
        <w:t>and Simpson</w:t>
      </w:r>
      <w:r w:rsidR="002A11EF" w:rsidRPr="008F6866">
        <w:rPr>
          <w:rFonts w:ascii="Calibri" w:eastAsia="Calibri" w:hAnsi="Calibri" w:cs="Calibri"/>
          <w:color w:val="000000"/>
        </w:rPr>
        <w:t xml:space="preserve"> </w:t>
      </w:r>
      <w:r w:rsidRPr="008F6866">
        <w:rPr>
          <w:color w:val="000000"/>
        </w:rPr>
        <w:fldChar w:fldCharType="begin"/>
      </w:r>
      <w:r w:rsidR="00CC7A85">
        <w:rPr>
          <w:color w:val="000000"/>
        </w:rPr>
        <w:instrText xml:space="preserve"> ADDIN EN.CITE &lt;EndNote&gt;&lt;Cite&gt;&lt;Author&gt;Simpson&lt;/Author&gt;&lt;Year&gt;1949&lt;/Year&gt;&lt;RecNum&gt;319&lt;/RecNum&gt;&lt;IDText&gt;Simpson49&lt;/IDText&gt;&lt;DisplayText&gt;(Simpson, 1949)&lt;/DisplayText&gt;&lt;record&gt;&lt;rec-number&gt;319&lt;/rec-number&gt;&lt;foreign-keys&gt;&lt;key app="EN" db-id="0px2fzdxhrpdrre2w5f5pdryx90atadrdavt" timestamp="1713795089"&gt;319&lt;/key&gt;&lt;/foreign-keys&gt;&lt;ref-type name="Journal Article"&gt;17&lt;/ref-type&gt;&lt;contributors&gt;&lt;authors&gt;&lt;author&gt;Simpson, E.H.&lt;/author&gt;&lt;/authors&gt;&lt;/contributors&gt;&lt;titles&gt;&lt;title&gt;Measurement of Diversity&lt;/title&gt;&lt;secondary-title&gt;Nature&lt;/secondary-title&gt;&lt;/titles&gt;&lt;periodical&gt;&lt;full-title&gt;Nature&lt;/full-title&gt;&lt;/periodical&gt;&lt;pages&gt;688&lt;/pages&gt;&lt;volume&gt;163&lt;/volume&gt;&lt;dates&gt;&lt;year&gt;1949&lt;/year&gt;&lt;/dates&gt;&lt;label&gt;Simpson49&lt;/label&gt;&lt;urls&gt;&lt;/urls&gt;&lt;/record&gt;&lt;/Cite&gt;&lt;/EndNote&gt;</w:instrText>
      </w:r>
      <w:r w:rsidRPr="008F6866">
        <w:rPr>
          <w:color w:val="000000"/>
        </w:rPr>
        <w:fldChar w:fldCharType="separate"/>
      </w:r>
      <w:r w:rsidR="00CC7A85">
        <w:rPr>
          <w:noProof/>
          <w:color w:val="000000"/>
        </w:rPr>
        <w:t>(Simpson, 1949)</w:t>
      </w:r>
      <w:r w:rsidRPr="008F6866">
        <w:rPr>
          <w:color w:val="000000"/>
        </w:rPr>
        <w:fldChar w:fldCharType="end"/>
      </w:r>
      <w:r w:rsidRPr="008F6866">
        <w:rPr>
          <w:rFonts w:ascii="Calibri" w:eastAsia="Calibri" w:hAnsi="Calibri" w:cs="Calibri"/>
          <w:color w:val="000000"/>
        </w:rPr>
        <w:t xml:space="preserve"> indices, which quantify the number of species, community entropy (combining information on species richness and evenness) and species dominance, respectively. The species proportions used to compute the Shannon and Simpson indices are expressed in terms of basal area. Another set of diversity indicators accounts for the spatial arrangement of trees. Among them, the Clark and Evans index</w:t>
      </w:r>
      <w:r w:rsidR="002A11EF" w:rsidRPr="008F6866">
        <w:rPr>
          <w:rFonts w:ascii="Calibri" w:eastAsia="Calibri" w:hAnsi="Calibri" w:cs="Calibri"/>
          <w:color w:val="000000"/>
        </w:rPr>
        <w:t xml:space="preserve"> </w:t>
      </w:r>
      <w:r w:rsidRPr="008F6866">
        <w:rPr>
          <w:color w:val="000000"/>
        </w:rPr>
        <w:fldChar w:fldCharType="begin"/>
      </w:r>
      <w:r w:rsidR="00CC7A85">
        <w:rPr>
          <w:color w:val="000000"/>
        </w:rPr>
        <w:instrText xml:space="preserve"> ADDIN EN.CITE &lt;EndNote&gt;&lt;Cite&gt;&lt;Author&gt;Clark&lt;/Author&gt;&lt;Year&gt;1954&lt;/Year&gt;&lt;RecNum&gt;320&lt;/RecNum&gt;&lt;IDText&gt;Clark54&lt;/IDText&gt;&lt;DisplayText&gt;(Clark and Evans, 1954)&lt;/DisplayText&gt;&lt;record&gt;&lt;rec-number&gt;320&lt;/rec-number&gt;&lt;foreign-keys&gt;&lt;key app="EN" db-id="0px2fzdxhrpdrre2w5f5pdryx90atadrdavt" timestamp="1713795525"&gt;320&lt;/key&gt;&lt;/foreign-keys&gt;&lt;ref-type name="Journal Article"&gt;17&lt;/ref-type&gt;&lt;contributors&gt;&lt;authors&gt;&lt;author&gt;Clark,  P.J.&lt;/author&gt;&lt;author&gt;Evans, F.C.&lt;/author&gt;&lt;/authors&gt;&lt;/contributors&gt;&lt;titles&gt;&lt;title&gt;Distance to Nearest Neighbor as a Measure of Spatial Relationships in Populations&lt;/title&gt;&lt;secondary-title&gt;Ecology&lt;/secondary-title&gt;&lt;/titles&gt;&lt;periodical&gt;&lt;full-title&gt;Ecology&lt;/full-title&gt;&lt;/periodical&gt;&lt;pages&gt;445-453&lt;/pages&gt;&lt;volume&gt;35&lt;/volume&gt;&lt;dates&gt;&lt;year&gt;1954&lt;/year&gt;&lt;/dates&gt;&lt;label&gt;Clark54&lt;/label&gt;&lt;urls&gt;&lt;/urls&gt;&lt;/record&gt;&lt;/Cite&gt;&lt;/EndNote&gt;</w:instrText>
      </w:r>
      <w:r w:rsidRPr="008F6866">
        <w:rPr>
          <w:color w:val="000000"/>
        </w:rPr>
        <w:fldChar w:fldCharType="separate"/>
      </w:r>
      <w:r w:rsidR="00CC7A85">
        <w:rPr>
          <w:noProof/>
          <w:color w:val="000000"/>
        </w:rPr>
        <w:t>(Clark and Evans, 1954)</w:t>
      </w:r>
      <w:r w:rsidRPr="008F6866">
        <w:rPr>
          <w:color w:val="000000"/>
        </w:rPr>
        <w:fldChar w:fldCharType="end"/>
      </w:r>
      <w:r w:rsidRPr="008F6866">
        <w:rPr>
          <w:rFonts w:ascii="Calibri" w:eastAsia="Calibri" w:hAnsi="Calibri" w:cs="Calibri"/>
          <w:color w:val="000000"/>
        </w:rPr>
        <w:t xml:space="preserve"> describes the positioning of trees based on density and on distances among neighbours. It expresses the extent to which the spatial arrangement of trees deviates from that of a completely randomised positioning following a Poisson distribution, in which case it equals to 1. It takes values lower than 1 if clumping of trees occurs in the stand, while it presents </w:t>
      </w:r>
      <w:r w:rsidRPr="008F6866">
        <w:rPr>
          <w:rFonts w:ascii="Calibri" w:eastAsia="Calibri" w:hAnsi="Calibri" w:cs="Calibri"/>
          <w:color w:val="000000"/>
        </w:rPr>
        <w:lastRenderedPageBreak/>
        <w:t xml:space="preserve">values larger than 1 </w:t>
      </w:r>
      <w:r w:rsidR="00FE29E3" w:rsidRPr="008F6866">
        <w:rPr>
          <w:rFonts w:ascii="Calibri" w:eastAsia="Calibri" w:hAnsi="Calibri" w:cs="Calibri"/>
          <w:color w:val="000000"/>
        </w:rPr>
        <w:t>for</w:t>
      </w:r>
      <w:r w:rsidRPr="008F6866">
        <w:rPr>
          <w:rFonts w:ascii="Calibri" w:eastAsia="Calibri" w:hAnsi="Calibri" w:cs="Calibri"/>
          <w:color w:val="000000"/>
        </w:rPr>
        <w:t xml:space="preserve"> stands</w:t>
      </w:r>
      <w:r w:rsidR="00FE29E3" w:rsidRPr="008F6866">
        <w:rPr>
          <w:rFonts w:ascii="Calibri" w:eastAsia="Calibri" w:hAnsi="Calibri" w:cs="Calibri"/>
          <w:color w:val="000000"/>
        </w:rPr>
        <w:t xml:space="preserve"> with regular tree spacing </w:t>
      </w:r>
      <w:r w:rsidRPr="008F6866">
        <w:rPr>
          <w:rFonts w:ascii="Calibri" w:eastAsia="Calibri" w:hAnsi="Calibri" w:cs="Calibri"/>
          <w:color w:val="000000"/>
        </w:rPr>
        <w:t xml:space="preserve">and shows the maximum value of 2.1491 in </w:t>
      </w:r>
      <w:r w:rsidR="00FE29E3" w:rsidRPr="008F6866">
        <w:rPr>
          <w:rFonts w:ascii="Calibri" w:eastAsia="Calibri" w:hAnsi="Calibri" w:cs="Calibri"/>
          <w:color w:val="000000"/>
        </w:rPr>
        <w:t xml:space="preserve">the </w:t>
      </w:r>
      <w:r w:rsidRPr="008F6866">
        <w:rPr>
          <w:rFonts w:ascii="Calibri" w:eastAsia="Calibri" w:hAnsi="Calibri" w:cs="Calibri"/>
          <w:color w:val="000000"/>
        </w:rPr>
        <w:t>case of hexagonal arrangement of trees. A modified version of the original Clark and Evans index, minimising edge effects</w:t>
      </w:r>
      <w:r w:rsidR="002A11EF" w:rsidRPr="008F6866">
        <w:rPr>
          <w:rFonts w:ascii="Calibri" w:eastAsia="Calibri" w:hAnsi="Calibri" w:cs="Calibri"/>
          <w:color w:val="000000"/>
        </w:rPr>
        <w:t xml:space="preserve"> </w:t>
      </w:r>
      <w:r w:rsidRPr="008F6866">
        <w:rPr>
          <w:color w:val="000000"/>
        </w:rPr>
        <w:fldChar w:fldCharType="begin"/>
      </w:r>
      <w:r w:rsidR="00CC7A85">
        <w:rPr>
          <w:color w:val="000000"/>
        </w:rPr>
        <w:instrText xml:space="preserve"> ADDIN EN.CITE &lt;EndNote&gt;&lt;Cite&gt;&lt;Author&gt;Füldner&lt;/Author&gt;&lt;Year&gt;1995&lt;/Year&gt;&lt;RecNum&gt;321&lt;/RecNum&gt;&lt;IDText&gt;Füldner95&lt;/IDText&gt;&lt;DisplayText&gt;(Füldner, 1995)&lt;/DisplayText&gt;&lt;record&gt;&lt;rec-number&gt;321&lt;/rec-number&gt;&lt;foreign-keys&gt;&lt;key app="EN" db-id="0px2fzdxhrpdrre2w5f5pdryx90atadrdavt" timestamp="1713795749"&gt;321&lt;/key&gt;&lt;/foreign-keys&gt;&lt;ref-type name="Journal Article"&gt;17&lt;/ref-type&gt;&lt;contributors&gt;&lt;authors&gt;&lt;author&gt;Füldner, K.&lt;/author&gt;&lt;/authors&gt;&lt;/contributors&gt;&lt;titles&gt;&lt;title&gt;Zur Strukturbeschreibung in Mischbestanden&lt;/title&gt;&lt;secondary-title&gt;FORSTARCHIV&lt;/secondary-title&gt;&lt;/titles&gt;&lt;periodical&gt;&lt;full-title&gt;FORSTARCHIV&lt;/full-title&gt;&lt;/periodical&gt;&lt;pages&gt;235-240&lt;/pages&gt;&lt;volume&gt;66&lt;/volume&gt;&lt;dates&gt;&lt;year&gt;1995&lt;/year&gt;&lt;/dates&gt;&lt;label&gt;Füldner95&lt;/label&gt;&lt;urls&gt;&lt;/urls&gt;&lt;/record&gt;&lt;/Cite&gt;&lt;/EndNote&gt;</w:instrText>
      </w:r>
      <w:r w:rsidRPr="008F6866">
        <w:rPr>
          <w:color w:val="000000"/>
        </w:rPr>
        <w:fldChar w:fldCharType="separate"/>
      </w:r>
      <w:r w:rsidR="00CC7A85">
        <w:rPr>
          <w:noProof/>
          <w:color w:val="000000"/>
        </w:rPr>
        <w:t>(Füldner, 1995)</w:t>
      </w:r>
      <w:r w:rsidRPr="008F6866">
        <w:rPr>
          <w:color w:val="000000"/>
        </w:rPr>
        <w:fldChar w:fldCharType="end"/>
      </w:r>
      <w:r w:rsidRPr="008F6866">
        <w:rPr>
          <w:rFonts w:ascii="Calibri" w:eastAsia="Calibri" w:hAnsi="Calibri" w:cs="Calibri"/>
          <w:color w:val="000000"/>
        </w:rPr>
        <w:t>, has also been implemented in HETEROFOR. Besides, the Von Gadow mixture index</w:t>
      </w:r>
      <w:r w:rsidR="002A11EF" w:rsidRPr="008F6866">
        <w:rPr>
          <w:rFonts w:ascii="Calibri" w:eastAsia="Calibri" w:hAnsi="Calibri" w:cs="Calibri"/>
          <w:color w:val="000000"/>
        </w:rPr>
        <w:t xml:space="preserve"> </w:t>
      </w:r>
      <w:r w:rsidRPr="008F6866">
        <w:rPr>
          <w:color w:val="000000"/>
        </w:rPr>
        <w:fldChar w:fldCharType="begin"/>
      </w:r>
      <w:r w:rsidR="00CC7A85">
        <w:rPr>
          <w:color w:val="000000"/>
        </w:rPr>
        <w:instrText xml:space="preserve"> ADDIN EN.CITE &lt;EndNote&gt;&lt;Cite&gt;&lt;Author&gt;Von Gadow&lt;/Author&gt;&lt;Year&gt;1993&lt;/Year&gt;&lt;RecNum&gt;322&lt;/RecNum&gt;&lt;IDText&gt;VonGadow93&lt;/IDText&gt;&lt;DisplayText&gt;(Von Gadow, 1993)&lt;/DisplayText&gt;&lt;record&gt;&lt;rec-number&gt;322&lt;/rec-number&gt;&lt;foreign-keys&gt;&lt;key app="EN" db-id="0px2fzdxhrpdrre2w5f5pdryx90atadrdavt" timestamp="1713795962"&gt;322&lt;/key&gt;&lt;/foreign-keys&gt;&lt;ref-type name="Journal Article"&gt;17&lt;/ref-type&gt;&lt;contributors&gt;&lt;authors&gt;&lt;author&gt;Von Gadow, K.&lt;/author&gt;&lt;/authors&gt;&lt;/contributors&gt;&lt;titles&gt;&lt;title&gt;Zur bestandesbeschreibung in der Forsteinrichtung&lt;/title&gt;&lt;secondary-title&gt;Forst und Holz&lt;/secondary-title&gt;&lt;/titles&gt;&lt;periodical&gt;&lt;full-title&gt;Forst und Holz&lt;/full-title&gt;&lt;/periodical&gt;&lt;pages&gt;602-606&lt;/pages&gt;&lt;volume&gt;21&lt;/volume&gt;&lt;dates&gt;&lt;year&gt;1993&lt;/year&gt;&lt;/dates&gt;&lt;label&gt;VonGadow93&lt;/label&gt;&lt;urls&gt;&lt;/urls&gt;&lt;/record&gt;&lt;/Cite&gt;&lt;/EndNote&gt;</w:instrText>
      </w:r>
      <w:r w:rsidRPr="008F6866">
        <w:rPr>
          <w:color w:val="000000"/>
        </w:rPr>
        <w:fldChar w:fldCharType="separate"/>
      </w:r>
      <w:r w:rsidR="00CC7A85">
        <w:rPr>
          <w:noProof/>
          <w:color w:val="000000"/>
        </w:rPr>
        <w:t>(Von Gadow, 1993)</w:t>
      </w:r>
      <w:r w:rsidRPr="008F6866">
        <w:rPr>
          <w:color w:val="000000"/>
        </w:rPr>
        <w:fldChar w:fldCharType="end"/>
      </w:r>
      <w:r w:rsidRPr="008F6866">
        <w:rPr>
          <w:rFonts w:ascii="Calibri" w:eastAsia="Calibri" w:hAnsi="Calibri" w:cs="Calibri"/>
          <w:color w:val="000000"/>
        </w:rPr>
        <w:t xml:space="preserve"> describes the spatial association among species within a stand. It can take values between 0 and 1, with low values indicating dominance of one or few species arranged in clusters and high values revealing intimate mixtures of species in the stand. Finally, two other implemented spatial diversity indicators are the horizontal and vertical differentiation indices of Von </w:t>
      </w:r>
      <w:r w:rsidR="002A11EF" w:rsidRPr="008F6866">
        <w:rPr>
          <w:rFonts w:ascii="Calibri" w:eastAsia="Calibri" w:hAnsi="Calibri" w:cs="Calibri"/>
          <w:color w:val="000000"/>
        </w:rPr>
        <w:t xml:space="preserve">Gadow </w:t>
      </w:r>
      <w:r w:rsidRPr="008F6866">
        <w:rPr>
          <w:color w:val="000000"/>
        </w:rPr>
        <w:fldChar w:fldCharType="begin"/>
      </w:r>
      <w:r w:rsidR="00CC7A85">
        <w:rPr>
          <w:color w:val="000000"/>
        </w:rPr>
        <w:instrText xml:space="preserve"> ADDIN EN.CITE &lt;EndNote&gt;&lt;Cite&gt;&lt;Author&gt;Von Gadow&lt;/Author&gt;&lt;Year&gt;1993&lt;/Year&gt;&lt;RecNum&gt;322&lt;/RecNum&gt;&lt;IDText&gt;VonGadow93&lt;/IDText&gt;&lt;DisplayText&gt;(Füldner, 1995; Von Gadow, 1993)&lt;/DisplayText&gt;&lt;record&gt;&lt;rec-number&gt;322&lt;/rec-number&gt;&lt;foreign-keys&gt;&lt;key app="EN" db-id="0px2fzdxhrpdrre2w5f5pdryx90atadrdavt" timestamp="1713795962"&gt;322&lt;/key&gt;&lt;/foreign-keys&gt;&lt;ref-type name="Journal Article"&gt;17&lt;/ref-type&gt;&lt;contributors&gt;&lt;authors&gt;&lt;author&gt;Von Gadow, K.&lt;/author&gt;&lt;/authors&gt;&lt;/contributors&gt;&lt;titles&gt;&lt;title&gt;Zur bestandesbeschreibung in der Forsteinrichtung&lt;/title&gt;&lt;secondary-title&gt;Forst und Holz&lt;/secondary-title&gt;&lt;/titles&gt;&lt;periodical&gt;&lt;full-title&gt;Forst und Holz&lt;/full-title&gt;&lt;/periodical&gt;&lt;pages&gt;602-606&lt;/pages&gt;&lt;volume&gt;21&lt;/volume&gt;&lt;dates&gt;&lt;year&gt;1993&lt;/year&gt;&lt;/dates&gt;&lt;label&gt;VonGadow93&lt;/label&gt;&lt;urls&gt;&lt;/urls&gt;&lt;/record&gt;&lt;/Cite&gt;&lt;Cite&gt;&lt;Author&gt;Füldner&lt;/Author&gt;&lt;Year&gt;1995&lt;/Year&gt;&lt;RecNum&gt;321&lt;/RecNum&gt;&lt;IDText&gt;Füldner95&lt;/IDText&gt;&lt;record&gt;&lt;rec-number&gt;321&lt;/rec-number&gt;&lt;foreign-keys&gt;&lt;key app="EN" db-id="0px2fzdxhrpdrre2w5f5pdryx90atadrdavt" timestamp="1713795749"&gt;321&lt;/key&gt;&lt;/foreign-keys&gt;&lt;ref-type name="Journal Article"&gt;17&lt;/ref-type&gt;&lt;contributors&gt;&lt;authors&gt;&lt;author&gt;Füldner, K.&lt;/author&gt;&lt;/authors&gt;&lt;/contributors&gt;&lt;titles&gt;&lt;title&gt;Zur Strukturbeschreibung in Mischbestanden&lt;/title&gt;&lt;secondary-title&gt;FORSTARCHIV&lt;/secondary-title&gt;&lt;/titles&gt;&lt;periodical&gt;&lt;full-title&gt;FORSTARCHIV&lt;/full-title&gt;&lt;/periodical&gt;&lt;pages&gt;235-240&lt;/pages&gt;&lt;volume&gt;66&lt;/volume&gt;&lt;dates&gt;&lt;year&gt;1995&lt;/year&gt;&lt;/dates&gt;&lt;label&gt;Füldner95&lt;/label&gt;&lt;urls&gt;&lt;/urls&gt;&lt;/record&gt;&lt;/Cite&gt;&lt;/EndNote&gt;</w:instrText>
      </w:r>
      <w:r w:rsidRPr="008F6866">
        <w:rPr>
          <w:color w:val="000000"/>
        </w:rPr>
        <w:fldChar w:fldCharType="separate"/>
      </w:r>
      <w:r w:rsidR="00CC7A85">
        <w:rPr>
          <w:noProof/>
          <w:color w:val="000000"/>
        </w:rPr>
        <w:t>(Füldner, 1995; Von Gadow, 1993)</w:t>
      </w:r>
      <w:r w:rsidRPr="008F6866">
        <w:rPr>
          <w:color w:val="000000"/>
        </w:rPr>
        <w:fldChar w:fldCharType="end"/>
      </w:r>
      <w:r w:rsidRPr="008F6866">
        <w:rPr>
          <w:rFonts w:ascii="Calibri" w:eastAsia="Calibri" w:hAnsi="Calibri" w:cs="Calibri"/>
          <w:color w:val="000000"/>
        </w:rPr>
        <w:t xml:space="preserve"> which characterise the heterogeneity of the stand structure in terms of trunk circumference at breast height and total height of the trees, respectively. Aside from tree attributes and spatial organisation, tree-related microhabitats (TreMs) are also used as surrogate biodiversity indicators. TreMs are “distinct, well-delineated structures occurring on living or standing dead trees, that constitute a particular habitat for species or species communities, during at least a part of their life cycle, to develop, feed, shelter or breed”</w:t>
      </w:r>
      <w:r w:rsidR="002A11EF" w:rsidRPr="008F6866">
        <w:rPr>
          <w:rFonts w:ascii="Calibri" w:eastAsia="Calibri" w:hAnsi="Calibri" w:cs="Calibri"/>
          <w:color w:val="000000"/>
        </w:rPr>
        <w:t xml:space="preserve"> </w:t>
      </w:r>
      <w:r w:rsidRPr="008F6866">
        <w:rPr>
          <w:color w:val="000000"/>
        </w:rPr>
        <w:fldChar w:fldCharType="begin"/>
      </w:r>
      <w:r w:rsidR="001677B2">
        <w:rPr>
          <w:color w:val="000000"/>
        </w:rPr>
        <w:instrText xml:space="preserve"> ADDIN EN.CITE &lt;EndNote&gt;&lt;Cite&gt;&lt;Author&gt;Larrieu&lt;/Author&gt;&lt;Year&gt;2018&lt;/Year&gt;&lt;RecNum&gt;323&lt;/RecNum&gt;&lt;IDText&gt;Larrieu18&lt;/IDText&gt;&lt;DisplayText&gt;(Larrieu&lt;style face="italic"&gt; et al.&lt;/style&gt;, 2018)&lt;/DisplayText&gt;&lt;record&gt;&lt;rec-number&gt;323&lt;/rec-number&gt;&lt;foreign-keys&gt;&lt;key app="EN" db-id="0px2fzdxhrpdrre2w5f5pdryx90atadrdavt" timestamp="1713797270"&gt;323&lt;/key&gt;&lt;/foreign-keys&gt;&lt;ref-type name="Journal Article"&gt;17&lt;/ref-type&gt;&lt;contributors&gt;&lt;authors&gt;&lt;author&gt;Larrieu, L.&lt;/author&gt;&lt;author&gt;Paillet, Y.&lt;/author&gt;&lt;author&gt;Winter, S.&lt;/author&gt;&lt;author&gt;Bütler, R.&lt;/author&gt;&lt;author&gt;Kraus, D.&lt;/author&gt;&lt;author&gt;Krumm, F.&lt;/author&gt;&lt;author&gt;Lachat, T.&lt;/author&gt;&lt;author&gt;Michel, A. K.&lt;/author&gt;&lt;author&gt;Regnery, B.&lt;/author&gt;&lt;author&gt;Vandekerkhove, K.&lt;/author&gt;&lt;/authors&gt;&lt;/contributors&gt;&lt;titles&gt;&lt;title&gt;Tree related microhabitats in temperate and Mediterranean European forests: A hierarchical typology for inventory standardization&lt;/title&gt;&lt;secondary-title&gt;Ecological Indicators&lt;/secondary-title&gt;&lt;/titles&gt;&lt;periodical&gt;&lt;full-title&gt;Ecological Indicators&lt;/full-title&gt;&lt;/periodical&gt;&lt;pages&gt;194-207&lt;/pages&gt;&lt;volume&gt;84&lt;/volume&gt;&lt;dates&gt;&lt;year&gt;2018&lt;/year&gt;&lt;/dates&gt;&lt;label&gt;Larrieu18&lt;/label&gt;&lt;work-type&gt;Article&lt;/work-type&gt;&lt;urls&gt;&lt;related-urls&gt;&lt;url&gt;https://www.scopus.com/inward/record.uri?eid=2-s2.0-85028690915&amp;amp;doi=10.1016%2fj.ecolind.2017.08.051&amp;amp;partnerID=40&amp;amp;md5=1dec52736d99b91e8f8d9c50008bc33a&lt;/url&gt;&lt;/related-urls&gt;&lt;/urls&gt;&lt;electronic-resource-num&gt;10.1016/j.ecolind.2017.08.051&lt;/electronic-resource-num&gt;&lt;remote-database-name&gt;Scopus&lt;/remote-database-name&gt;&lt;/record&gt;&lt;/Cite&gt;&lt;/EndNote&gt;</w:instrText>
      </w:r>
      <w:r w:rsidRPr="008F6866">
        <w:rPr>
          <w:color w:val="000000"/>
        </w:rPr>
        <w:fldChar w:fldCharType="separate"/>
      </w:r>
      <w:r w:rsidR="001677B2">
        <w:rPr>
          <w:noProof/>
          <w:color w:val="000000"/>
        </w:rPr>
        <w:t>(Larrieu</w:t>
      </w:r>
      <w:r w:rsidR="001677B2" w:rsidRPr="001677B2">
        <w:rPr>
          <w:i/>
          <w:noProof/>
          <w:color w:val="000000"/>
        </w:rPr>
        <w:t xml:space="preserve"> et al.</w:t>
      </w:r>
      <w:r w:rsidR="001677B2">
        <w:rPr>
          <w:noProof/>
          <w:color w:val="000000"/>
        </w:rPr>
        <w:t>, 2018)</w:t>
      </w:r>
      <w:r w:rsidRPr="008F6866">
        <w:rPr>
          <w:color w:val="000000"/>
        </w:rPr>
        <w:fldChar w:fldCharType="end"/>
      </w:r>
      <w:r w:rsidRPr="008F6866">
        <w:rPr>
          <w:rFonts w:ascii="Calibri" w:eastAsia="Calibri" w:hAnsi="Calibri" w:cs="Calibri"/>
          <w:color w:val="000000"/>
        </w:rPr>
        <w:t>. They constitute an important tool for forest managers, notably to guide the selection of habitat trees for the conservation of biodiversity</w:t>
      </w:r>
      <w:r w:rsidR="002A11EF" w:rsidRPr="008F6866">
        <w:rPr>
          <w:rFonts w:ascii="Calibri" w:eastAsia="Calibri" w:hAnsi="Calibri" w:cs="Calibri"/>
          <w:color w:val="000000"/>
        </w:rPr>
        <w:t xml:space="preserve"> </w:t>
      </w:r>
      <w:r w:rsidRPr="008F6866">
        <w:rPr>
          <w:color w:val="000000"/>
        </w:rPr>
        <w:fldChar w:fldCharType="begin"/>
      </w:r>
      <w:r w:rsidR="001677B2">
        <w:rPr>
          <w:color w:val="000000"/>
        </w:rPr>
        <w:instrText xml:space="preserve"> ADDIN EN.CITE &lt;EndNote&gt;&lt;Cite&gt;&lt;Author&gt;Asbeck&lt;/Author&gt;&lt;Year&gt;2021&lt;/Year&gt;&lt;RecNum&gt;324&lt;/RecNum&gt;&lt;IDText&gt;Asbeck21&lt;/IDText&gt;&lt;DisplayText&gt;(Asbeck&lt;style face="italic"&gt; et al.&lt;/style&gt;, 2021)&lt;/DisplayText&gt;&lt;record&gt;&lt;rec-number&gt;324&lt;/rec-number&gt;&lt;foreign-keys&gt;&lt;key app="EN" db-id="0px2fzdxhrpdrre2w5f5pdryx90atadrdavt" timestamp="1713797360"&gt;324&lt;/key&gt;&lt;/foreign-keys&gt;&lt;ref-type name="Journal Article"&gt;17&lt;/ref-type&gt;&lt;contributors&gt;&lt;authors&gt;&lt;author&gt;Asbeck, T.&lt;/author&gt;&lt;author&gt;Großmann, J.&lt;/author&gt;&lt;author&gt;Paillet, Y.&lt;/author&gt;&lt;author&gt;Winiger, N.&lt;/author&gt;&lt;author&gt;Bauhus, J.&lt;/author&gt;&lt;/authors&gt;&lt;/contributors&gt;&lt;titles&gt;&lt;title&gt;The Use of Tree-Related Microhabitats as Forest Biodiversity Indicators and to Guide Integrated Forest Management&lt;/title&gt;&lt;secondary-title&gt;Current Forestry Reports&lt;/secondary-title&gt;&lt;/titles&gt;&lt;periodical&gt;&lt;full-title&gt;Current Forestry Reports&lt;/full-title&gt;&lt;/periodical&gt;&lt;pages&gt;59-68&lt;/pages&gt;&lt;volume&gt;7&lt;/volume&gt;&lt;number&gt;1&lt;/number&gt;&lt;dates&gt;&lt;year&gt;2021&lt;/year&gt;&lt;/dates&gt;&lt;label&gt;Asbeck21&lt;/label&gt;&lt;work-type&gt;Review&lt;/work-type&gt;&lt;urls&gt;&lt;related-urls&gt;&lt;url&gt;https://www.scopus.com/inward/record.uri?eid=2-s2.0-85100191754&amp;amp;doi=10.1007%2fs40725-020-00132-5&amp;amp;partnerID=40&amp;amp;md5=d2d5cdcf9464307b19b570902f5d0026&lt;/url&gt;&lt;/related-urls&gt;&lt;/urls&gt;&lt;electronic-resource-num&gt;10.1007/s40725-020-00132-5&lt;/electronic-resource-num&gt;&lt;remote-database-name&gt;Scopus&lt;/remote-database-name&gt;&lt;/record&gt;&lt;/Cite&gt;&lt;/EndNote&gt;</w:instrText>
      </w:r>
      <w:r w:rsidRPr="008F6866">
        <w:rPr>
          <w:color w:val="000000"/>
        </w:rPr>
        <w:fldChar w:fldCharType="separate"/>
      </w:r>
      <w:r w:rsidR="001677B2">
        <w:rPr>
          <w:noProof/>
          <w:color w:val="000000"/>
        </w:rPr>
        <w:t>(Asbeck</w:t>
      </w:r>
      <w:r w:rsidR="001677B2" w:rsidRPr="001677B2">
        <w:rPr>
          <w:i/>
          <w:noProof/>
          <w:color w:val="000000"/>
        </w:rPr>
        <w:t xml:space="preserve"> et al.</w:t>
      </w:r>
      <w:r w:rsidR="001677B2">
        <w:rPr>
          <w:noProof/>
          <w:color w:val="000000"/>
        </w:rPr>
        <w:t>, 2021)</w:t>
      </w:r>
      <w:r w:rsidRPr="008F6866">
        <w:rPr>
          <w:color w:val="000000"/>
        </w:rPr>
        <w:fldChar w:fldCharType="end"/>
      </w:r>
      <w:r w:rsidRPr="008F6866">
        <w:rPr>
          <w:rFonts w:ascii="Calibri" w:eastAsia="Calibri" w:hAnsi="Calibri" w:cs="Calibri"/>
          <w:color w:val="000000"/>
        </w:rPr>
        <w:t>. The emergence and development of TreMs were implemented in the model based on the works of</w:t>
      </w:r>
      <w:r w:rsidR="00CB3973" w:rsidRPr="008F6866">
        <w:rPr>
          <w:rFonts w:ascii="Calibri" w:eastAsia="Calibri" w:hAnsi="Calibri" w:cs="Calibri"/>
          <w:color w:val="000000"/>
        </w:rPr>
        <w:t xml:space="preserve"> </w:t>
      </w:r>
      <w:r w:rsidR="00CB3973" w:rsidRPr="008F6866">
        <w:rPr>
          <w:rFonts w:ascii="Calibri" w:eastAsia="Calibri" w:hAnsi="Calibri" w:cs="Calibri"/>
          <w:color w:val="000000"/>
        </w:rPr>
        <w:fldChar w:fldCharType="begin"/>
      </w:r>
      <w:r w:rsidR="006201C6">
        <w:rPr>
          <w:rFonts w:ascii="Calibri" w:eastAsia="Calibri" w:hAnsi="Calibri" w:cs="Calibri"/>
          <w:color w:val="000000"/>
        </w:rPr>
        <w:instrText xml:space="preserve"> ADDIN EN.CITE &lt;EndNote&gt;&lt;Cite AuthorYear="1"&gt;&lt;Author&gt;Courbaud&lt;/Author&gt;&lt;Year&gt;2017&lt;/Year&gt;&lt;RecNum&gt;284&lt;/RecNum&gt;&lt;IDText&gt;Courbaud17&lt;/IDText&gt;&lt;DisplayText&gt;Courbaud&lt;style face="italic"&gt; et al.&lt;/style&gt; (2017)&lt;/DisplayText&gt;&lt;record&gt;&lt;rec-number&gt;284&lt;/rec-number&gt;&lt;foreign-keys&gt;&lt;key app="EN" db-id="0px2fzdxhrpdrre2w5f5pdryx90atadrdavt" timestamp="1697113521"&gt;284&lt;/key&gt;&lt;/foreign-keys&gt;&lt;ref-type name="Journal Article"&gt;17&lt;/ref-type&gt;&lt;contributors&gt;&lt;authors&gt;&lt;author&gt;Courbaud, B.&lt;/author&gt;&lt;author&gt;Pupin, C.&lt;/author&gt;&lt;author&gt;Letort, A.&lt;/author&gt;&lt;author&gt;Cabanettes, A.&lt;/author&gt;&lt;author&gt;Larrieu, L.&lt;/author&gt;&lt;/authors&gt;&lt;/contributors&gt;&lt;titles&gt;&lt;title&gt;Modelling the probability of microhabitat formation on trees using cross-sectional data&lt;/title&gt;&lt;secondary-title&gt;Methods in Ecology and Evolution&lt;/secondary-title&gt;&lt;/titles&gt;&lt;periodical&gt;&lt;full-title&gt;Methods in Ecology and Evolution&lt;/full-title&gt;&lt;/periodical&gt;&lt;pages&gt;1347-1359&lt;/pages&gt;&lt;volume&gt;8&lt;/volume&gt;&lt;number&gt;10&lt;/number&gt;&lt;dates&gt;&lt;year&gt;2017&lt;/year&gt;&lt;/dates&gt;&lt;label&gt;Courbaud17&lt;/label&gt;&lt;work-type&gt;Article&lt;/work-type&gt;&lt;urls&gt;&lt;related-urls&gt;&lt;url&gt;https://www.scopus.com/inward/record.uri?eid=2-s2.0-85019158347&amp;amp;doi=10.1111%2f2041-210X.12773&amp;amp;partnerID=40&amp;amp;md5=54d696771d54ff2fb864016858ff8f1b&lt;/url&gt;&lt;/related-urls&gt;&lt;/urls&gt;&lt;electronic-resource-num&gt;10.1111/2041-210X.12773&lt;/electronic-resource-num&gt;&lt;remote-database-name&gt;Scopus&lt;/remote-database-name&gt;&lt;/record&gt;&lt;/Cite&gt;&lt;/EndNote&gt;</w:instrText>
      </w:r>
      <w:r w:rsidR="00CB3973" w:rsidRPr="008F6866">
        <w:rPr>
          <w:rFonts w:ascii="Calibri" w:eastAsia="Calibri" w:hAnsi="Calibri" w:cs="Calibri"/>
          <w:color w:val="000000"/>
        </w:rPr>
        <w:fldChar w:fldCharType="separate"/>
      </w:r>
      <w:r w:rsidR="006201C6">
        <w:rPr>
          <w:rFonts w:ascii="Calibri" w:eastAsia="Calibri" w:hAnsi="Calibri" w:cs="Calibri"/>
          <w:noProof/>
          <w:color w:val="000000"/>
        </w:rPr>
        <w:t>Courbaud</w:t>
      </w:r>
      <w:r w:rsidR="006201C6" w:rsidRPr="006201C6">
        <w:rPr>
          <w:rFonts w:ascii="Calibri" w:eastAsia="Calibri" w:hAnsi="Calibri" w:cs="Calibri"/>
          <w:i/>
          <w:noProof/>
          <w:color w:val="000000"/>
        </w:rPr>
        <w:t xml:space="preserve"> et al.</w:t>
      </w:r>
      <w:r w:rsidR="006201C6">
        <w:rPr>
          <w:rFonts w:ascii="Calibri" w:eastAsia="Calibri" w:hAnsi="Calibri" w:cs="Calibri"/>
          <w:noProof/>
          <w:color w:val="000000"/>
        </w:rPr>
        <w:t xml:space="preserve"> (2017)</w:t>
      </w:r>
      <w:r w:rsidR="00CB3973" w:rsidRPr="008F6866">
        <w:rPr>
          <w:rFonts w:ascii="Calibri" w:eastAsia="Calibri" w:hAnsi="Calibri" w:cs="Calibri"/>
          <w:color w:val="000000"/>
        </w:rPr>
        <w:fldChar w:fldCharType="end"/>
      </w:r>
      <w:r w:rsidR="00CB3973" w:rsidRPr="008F6866">
        <w:rPr>
          <w:rFonts w:ascii="Calibri" w:eastAsia="Calibri" w:hAnsi="Calibri" w:cs="Calibri"/>
          <w:color w:val="000000"/>
        </w:rPr>
        <w:t xml:space="preserve"> and </w:t>
      </w:r>
      <w:r w:rsidR="00CB3973" w:rsidRPr="008F6866">
        <w:rPr>
          <w:rFonts w:ascii="Calibri" w:eastAsia="Calibri" w:hAnsi="Calibri" w:cs="Calibri"/>
          <w:color w:val="000000"/>
        </w:rPr>
        <w:fldChar w:fldCharType="begin"/>
      </w:r>
      <w:r w:rsidR="006201C6">
        <w:rPr>
          <w:rFonts w:ascii="Calibri" w:eastAsia="Calibri" w:hAnsi="Calibri" w:cs="Calibri"/>
          <w:color w:val="000000"/>
        </w:rPr>
        <w:instrText xml:space="preserve"> ADDIN EN.CITE &lt;EndNote&gt;&lt;Cite AuthorYear="1"&gt;&lt;Author&gt;Courbaud&lt;/Author&gt;&lt;Year&gt;2022&lt;/Year&gt;&lt;RecNum&gt;286&lt;/RecNum&gt;&lt;IDText&gt;Courbaud22&lt;/IDText&gt;&lt;DisplayText&gt;Courbaud&lt;style face="italic"&gt; et al.&lt;/style&gt; (2022)&lt;/DisplayText&gt;&lt;record&gt;&lt;rec-number&gt;286&lt;/rec-number&gt;&lt;foreign-keys&gt;&lt;key app="EN" db-id="0px2fzdxhrpdrre2w5f5pdryx90atadrdavt" timestamp="1697114251"&gt;286&lt;/key&gt;&lt;/foreign-keys&gt;&lt;ref-type name="Journal Article"&gt;17&lt;/ref-type&gt;&lt;contributors&gt;&lt;authors&gt;&lt;author&gt;Courbaud, B.&lt;/author&gt;&lt;author&gt;Larrieu, L.&lt;/author&gt;&lt;author&gt;Kozak, D.&lt;/author&gt;&lt;author&gt;Kraus, D.&lt;/author&gt;&lt;author&gt;Lachat, T.&lt;/author&gt;&lt;author&gt;Ladet, S.&lt;/author&gt;&lt;author&gt;Müller, J.&lt;/author&gt;&lt;author&gt;Paillet, Y.&lt;/author&gt;&lt;author&gt;Sagheb-Talebi, K.&lt;/author&gt;&lt;author&gt;Schuck, A.&lt;/author&gt;&lt;author&gt;Stillhard, J.&lt;/author&gt;&lt;author&gt;Svoboda, M.&lt;/author&gt;&lt;author&gt;Zudin, S.&lt;/author&gt;&lt;/authors&gt;&lt;/contributors&gt;&lt;titles&gt;&lt;title&gt;Factors influencing the rate of formation of tree-related microhabitats and implications for biodiversity conservation and forest management&lt;/title&gt;&lt;secondary-title&gt;Journal of Applied Ecology&lt;/secondary-title&gt;&lt;/titles&gt;&lt;periodical&gt;&lt;full-title&gt;Journal of Applied Ecology&lt;/full-title&gt;&lt;/periodical&gt;&lt;pages&gt;492-503&lt;/pages&gt;&lt;volume&gt;59&lt;/volume&gt;&lt;number&gt;2&lt;/number&gt;&lt;dates&gt;&lt;year&gt;2022&lt;/year&gt;&lt;/dates&gt;&lt;label&gt;Courbaud22&lt;/label&gt;&lt;work-type&gt;Article&lt;/work-type&gt;&lt;urls&gt;&lt;related-urls&gt;&lt;url&gt;https://www.scopus.com/inward/record.uri?eid=2-s2.0-85118591451&amp;amp;doi=10.1111%2f1365-2664.14068&amp;amp;partnerID=40&amp;amp;md5=95d091eb4da2e5b1fa2eeab13949b339&lt;/url&gt;&lt;/related-urls&gt;&lt;/urls&gt;&lt;electronic-resource-num&gt;10.1111/1365-2664.14068&lt;/electronic-resource-num&gt;&lt;remote-database-name&gt;Scopus&lt;/remote-database-name&gt;&lt;/record&gt;&lt;/Cite&gt;&lt;/EndNote&gt;</w:instrText>
      </w:r>
      <w:r w:rsidR="00CB3973" w:rsidRPr="008F6866">
        <w:rPr>
          <w:rFonts w:ascii="Calibri" w:eastAsia="Calibri" w:hAnsi="Calibri" w:cs="Calibri"/>
          <w:color w:val="000000"/>
        </w:rPr>
        <w:fldChar w:fldCharType="separate"/>
      </w:r>
      <w:r w:rsidR="006201C6">
        <w:rPr>
          <w:rFonts w:ascii="Calibri" w:eastAsia="Calibri" w:hAnsi="Calibri" w:cs="Calibri"/>
          <w:noProof/>
          <w:color w:val="000000"/>
        </w:rPr>
        <w:t>Courbaud</w:t>
      </w:r>
      <w:r w:rsidR="006201C6" w:rsidRPr="006201C6">
        <w:rPr>
          <w:rFonts w:ascii="Calibri" w:eastAsia="Calibri" w:hAnsi="Calibri" w:cs="Calibri"/>
          <w:i/>
          <w:noProof/>
          <w:color w:val="000000"/>
        </w:rPr>
        <w:t xml:space="preserve"> et al.</w:t>
      </w:r>
      <w:r w:rsidR="006201C6">
        <w:rPr>
          <w:rFonts w:ascii="Calibri" w:eastAsia="Calibri" w:hAnsi="Calibri" w:cs="Calibri"/>
          <w:noProof/>
          <w:color w:val="000000"/>
        </w:rPr>
        <w:t xml:space="preserve"> (2022)</w:t>
      </w:r>
      <w:r w:rsidR="00CB3973" w:rsidRPr="008F6866">
        <w:rPr>
          <w:rFonts w:ascii="Calibri" w:eastAsia="Calibri" w:hAnsi="Calibri" w:cs="Calibri"/>
          <w:color w:val="000000"/>
        </w:rPr>
        <w:fldChar w:fldCharType="end"/>
      </w:r>
      <w:r w:rsidR="00CB3973" w:rsidRPr="008F6866">
        <w:rPr>
          <w:rFonts w:ascii="Calibri" w:eastAsia="Calibri" w:hAnsi="Calibri" w:cs="Calibri"/>
          <w:color w:val="000000"/>
        </w:rPr>
        <w:t>.</w:t>
      </w:r>
      <w:r w:rsidRPr="008F6866">
        <w:rPr>
          <w:rFonts w:ascii="Calibri" w:eastAsia="Calibri" w:hAnsi="Calibri" w:cs="Calibri"/>
          <w:color w:val="000000"/>
        </w:rPr>
        <w:t xml:space="preserve"> The occurrence of TreMs is then used to compute biodiversity indicators integrating the size, the frequency, the degree or rarity and the replacement </w:t>
      </w:r>
      <w:r w:rsidR="00FE29E3" w:rsidRPr="008F6866">
        <w:rPr>
          <w:rFonts w:ascii="Calibri" w:eastAsia="Calibri" w:hAnsi="Calibri" w:cs="Calibri"/>
          <w:color w:val="000000"/>
        </w:rPr>
        <w:t xml:space="preserve">rate </w:t>
      </w:r>
      <w:r w:rsidRPr="008F6866">
        <w:rPr>
          <w:rFonts w:ascii="Calibri" w:eastAsia="Calibri" w:hAnsi="Calibri" w:cs="Calibri"/>
          <w:color w:val="000000"/>
        </w:rPr>
        <w:t>of TreMs appearing on trees during simulations</w:t>
      </w:r>
      <w:r w:rsidR="00CB3973" w:rsidRPr="008F6866">
        <w:rPr>
          <w:rFonts w:ascii="Calibri" w:eastAsia="Calibri" w:hAnsi="Calibri" w:cs="Calibri"/>
          <w:color w:val="000000"/>
        </w:rPr>
        <w:t xml:space="preserve"> </w:t>
      </w:r>
      <w:r w:rsidRPr="008F6866">
        <w:rPr>
          <w:color w:val="000000"/>
        </w:rPr>
        <w:fldChar w:fldCharType="begin"/>
      </w:r>
      <w:r w:rsidR="00CC7A85">
        <w:rPr>
          <w:color w:val="000000"/>
        </w:rPr>
        <w:instrText xml:space="preserve"> ADDIN EN.CITE &lt;EndNote&gt;&lt;Cite&gt;&lt;Author&gt;Larrieu&lt;/Author&gt;&lt;Year&gt;Unpublished&lt;/Year&gt;&lt;RecNum&gt;287&lt;/RecNum&gt;&lt;IDText&gt;Larrieu21&lt;/IDText&gt;&lt;DisplayText&gt;(Larrieu and Amberger, Unpublished)&lt;/DisplayText&gt;&lt;record&gt;&lt;rec-number&gt;287&lt;/rec-number&gt;&lt;foreign-keys&gt;&lt;key app="EN" db-id="0px2fzdxhrpdrre2w5f5pdryx90atadrdavt" timestamp="1697118120"&gt;287&lt;/key&gt;&lt;/foreign-keys&gt;&lt;ref-type name="Unpublished Work"&gt;34&lt;/ref-type&gt;&lt;contributors&gt;&lt;authors&gt;&lt;author&gt;Larrieu, L.&lt;/author&gt;&lt;author&gt;Amberger, C.&lt;/author&gt;&lt;/authors&gt;&lt;/contributors&gt;&lt;titles&gt;&lt;title&gt;Ecological tree scoring system based on TreMs for marteloscopes&lt;/title&gt;&lt;/titles&gt;&lt;pages&gt;5 p&lt;/pages&gt;&lt;dates&gt;&lt;year&gt;Unpublished&lt;/year&gt;&lt;/dates&gt;&lt;label&gt;Larrieu21&lt;/label&gt;&lt;urls&gt;&lt;/urls&gt;&lt;/record&gt;&lt;/Cite&gt;&lt;/EndNote&gt;</w:instrText>
      </w:r>
      <w:r w:rsidRPr="008F6866">
        <w:rPr>
          <w:color w:val="000000"/>
        </w:rPr>
        <w:fldChar w:fldCharType="separate"/>
      </w:r>
      <w:r w:rsidR="00CC7A85">
        <w:rPr>
          <w:noProof/>
          <w:color w:val="000000"/>
        </w:rPr>
        <w:t>(Larrieu and Amberger, Unpublished)</w:t>
      </w:r>
      <w:r w:rsidRPr="008F6866">
        <w:rPr>
          <w:color w:val="000000"/>
        </w:rPr>
        <w:fldChar w:fldCharType="end"/>
      </w:r>
      <w:r w:rsidRPr="008F6866">
        <w:rPr>
          <w:rFonts w:ascii="Calibri" w:eastAsia="Calibri" w:hAnsi="Calibri" w:cs="Calibri"/>
          <w:color w:val="000000"/>
        </w:rPr>
        <w:t xml:space="preserve">. The values of all these indicators can be exported for each year of the simulations allowing to analyse their temporal evolution over the simulated period and to provide averages for the </w:t>
      </w:r>
      <w:r w:rsidR="6E3ADEA3" w:rsidRPr="008F6866">
        <w:rPr>
          <w:rFonts w:ascii="Calibri" w:eastAsia="Calibri" w:hAnsi="Calibri" w:cs="Calibri"/>
          <w:color w:val="000000" w:themeColor="text1"/>
        </w:rPr>
        <w:t xml:space="preserve">entire </w:t>
      </w:r>
      <w:r w:rsidRPr="008F6866">
        <w:rPr>
          <w:rFonts w:ascii="Calibri" w:eastAsia="Calibri" w:hAnsi="Calibri" w:cs="Calibri"/>
          <w:color w:val="000000"/>
        </w:rPr>
        <w:t>period or for sub-periods.</w:t>
      </w:r>
    </w:p>
    <w:p w14:paraId="3315B172" w14:textId="77777777" w:rsidR="00CB3973" w:rsidRPr="008F6866" w:rsidRDefault="00CB3973" w:rsidP="00CB3973">
      <w:pPr>
        <w:spacing w:after="0" w:line="300" w:lineRule="auto"/>
        <w:jc w:val="both"/>
        <w:rPr>
          <w:rFonts w:ascii="Calibri" w:eastAsia="Calibri" w:hAnsi="Calibri" w:cs="Calibri"/>
        </w:rPr>
      </w:pPr>
    </w:p>
    <w:p w14:paraId="7FDF9306" w14:textId="77777777" w:rsidR="006551F0" w:rsidRPr="008F6866" w:rsidRDefault="006551F0" w:rsidP="004E5B6B">
      <w:pPr>
        <w:rPr>
          <w:b/>
        </w:rPr>
      </w:pPr>
      <w:r w:rsidRPr="008F6866">
        <w:rPr>
          <w:b/>
        </w:rPr>
        <w:t>Task 1.5. Assessment of climate services</w:t>
      </w:r>
    </w:p>
    <w:p w14:paraId="3F184464" w14:textId="77777777" w:rsidR="006551F0" w:rsidRPr="008F6866" w:rsidRDefault="39CFF0FF" w:rsidP="00414E2C">
      <w:pPr>
        <w:spacing w:after="120" w:line="300" w:lineRule="auto"/>
        <w:jc w:val="both"/>
        <w:rPr>
          <w:rFonts w:ascii="Calibri" w:eastAsia="Calibri" w:hAnsi="Calibri" w:cs="Calibri"/>
        </w:rPr>
      </w:pPr>
      <w:r w:rsidRPr="008F6866">
        <w:rPr>
          <w:rFonts w:ascii="Calibri" w:eastAsia="Calibri" w:hAnsi="Calibri" w:cs="Calibri"/>
        </w:rPr>
        <w:t xml:space="preserve">Forests interact with the atmosphere through exchanges of energy, carbon dioxide and water and influence thereby the climate, either amplifying or mitigating change resulting from human activities. </w:t>
      </w:r>
      <w:bookmarkStart w:id="9" w:name="_Hlk164174125"/>
      <w:r w:rsidRPr="008F6866">
        <w:rPr>
          <w:rFonts w:ascii="Calibri" w:eastAsia="Calibri" w:hAnsi="Calibri" w:cs="Calibri"/>
        </w:rPr>
        <w:t xml:space="preserve">In addition to carbon sequestration in tree biomass, evapotranspiration from forest canopies promotes cooling of the atmosphere. </w:t>
      </w:r>
      <w:bookmarkEnd w:id="9"/>
      <w:r w:rsidRPr="008F6866">
        <w:rPr>
          <w:rFonts w:ascii="Calibri" w:eastAsia="Calibri" w:hAnsi="Calibri" w:cs="Calibri"/>
        </w:rPr>
        <w:t>These climate services of forests are expected to be affected by changing climate conditions. Notably, the rise of temperature and modifications in the precipitation pattern may induce severe water stress leading to loss of tree growth, thereby reducing carbon sequestration, and limiting evapotranspiration due to drier soil conditions. On the other hand, studies have shown a gain in tree growth associated with the CO</w:t>
      </w:r>
      <w:r w:rsidRPr="008F6866">
        <w:rPr>
          <w:rFonts w:ascii="Calibri" w:eastAsia="Calibri" w:hAnsi="Calibri" w:cs="Calibri"/>
          <w:vertAlign w:val="subscript"/>
        </w:rPr>
        <w:t>2</w:t>
      </w:r>
      <w:r w:rsidRPr="008F6866">
        <w:rPr>
          <w:rFonts w:ascii="Calibri" w:eastAsia="Calibri" w:hAnsi="Calibri" w:cs="Calibri"/>
        </w:rPr>
        <w:t xml:space="preserve"> fertilization effect. Therefore, predicting the effects of climate change on forests and, consequently, on their climate service provision is not straightforward. Likewise, forest management will also influence forest climate services either positively or negatively with regard to mitigation of climate change effects. Indeed, changes in forest canopy structure and species composition due to management actions affect exchanges with the atmosphere and, thereby, forest climate services.</w:t>
      </w:r>
    </w:p>
    <w:p w14:paraId="210489DF" w14:textId="6AE7EAB7" w:rsidR="006551F0" w:rsidRPr="008F6866" w:rsidRDefault="36E2585C" w:rsidP="004257C6">
      <w:pPr>
        <w:spacing w:after="0" w:line="300" w:lineRule="auto"/>
        <w:jc w:val="both"/>
        <w:rPr>
          <w:rFonts w:ascii="Calibri" w:eastAsia="Calibri" w:hAnsi="Calibri" w:cs="Calibri"/>
        </w:rPr>
      </w:pPr>
      <w:r w:rsidRPr="008F6866">
        <w:rPr>
          <w:rFonts w:ascii="Calibri" w:eastAsia="Calibri" w:hAnsi="Calibri" w:cs="Calibri"/>
        </w:rPr>
        <w:t>These forest climate services are assessed in HETEROFOR. Carbon sequestration in biomass and evapotranspiration were already among the outputs of the version model in effect at the start of the project. During the project, HETEROFOR has been connected to</w:t>
      </w:r>
      <w:hyperlink r:id="rId23">
        <w:r w:rsidRPr="008F6866">
          <w:rPr>
            <w:rFonts w:ascii="Calibri" w:eastAsia="Calibri" w:hAnsi="Calibri" w:cs="Calibri"/>
          </w:rPr>
          <w:t xml:space="preserve"> </w:t>
        </w:r>
      </w:hyperlink>
      <w:hyperlink r:id="rId24">
        <w:r w:rsidRPr="008F6866">
          <w:rPr>
            <w:rFonts w:ascii="Calibri" w:eastAsia="Calibri" w:hAnsi="Calibri" w:cs="Calibri"/>
            <w:color w:val="1155CC"/>
            <w:u w:val="single"/>
          </w:rPr>
          <w:t>CAT</w:t>
        </w:r>
      </w:hyperlink>
      <w:r w:rsidRPr="008F6866">
        <w:rPr>
          <w:rFonts w:ascii="Calibri" w:eastAsia="Calibri" w:hAnsi="Calibri" w:cs="Calibri"/>
        </w:rPr>
        <w:t xml:space="preserve">, a carbon accounting tool software dedicated to the assessment of the carbon balance of managed forests following the guidelines of the International Panel on Climate Change (IPCC) for national greenhouse gas inventories in the Land use, </w:t>
      </w:r>
      <w:r w:rsidRPr="008F6866">
        <w:rPr>
          <w:rFonts w:ascii="Calibri" w:eastAsia="Calibri" w:hAnsi="Calibri" w:cs="Calibri"/>
        </w:rPr>
        <w:lastRenderedPageBreak/>
        <w:t xml:space="preserve">land-use change and forestry (LULUCF) and Waste sectors </w:t>
      </w:r>
      <w:r w:rsidRPr="008F6866">
        <w:fldChar w:fldCharType="begin"/>
      </w:r>
      <w:r w:rsidR="001677B2">
        <w:instrText xml:space="preserve"> ADDIN EN.CITE &lt;EndNote&gt;&lt;Cite&gt;&lt;Author&gt;Pichancourt&lt;/Author&gt;&lt;Year&gt;2018&lt;/Year&gt;&lt;RecNum&gt;296&lt;/RecNum&gt;&lt;IDText&gt;Pichancourt18&lt;/IDText&gt;&lt;DisplayText&gt;(Pichancourt&lt;style face="italic"&gt; et al.&lt;/style&gt;, 2018)&lt;/DisplayText&gt;&lt;record&gt;&lt;rec-number&gt;296&lt;/rec-number&gt;&lt;foreign-keys&gt;&lt;key app="EN" db-id="0px2fzdxhrpdrre2w5f5pdryx90atadrdavt" timestamp="1705661247"&gt;296&lt;/key&gt;&lt;/foreign-keys&gt;&lt;ref-type name="Journal Article"&gt;17&lt;/ref-type&gt;&lt;contributors&gt;&lt;authors&gt;&lt;author&gt;Pichancourt, J. B.&lt;/author&gt;&lt;author&gt;Manso, R.&lt;/author&gt;&lt;author&gt;Ningre, F.&lt;/author&gt;&lt;author&gt;Fortin, M.&lt;/author&gt;&lt;/authors&gt;&lt;/contributors&gt;&lt;titles&gt;&lt;title&gt;A carbon accounting tool for complex and uncertain greenhouse gas emission life cycles&lt;/title&gt;&lt;secondary-title&gt;Environmental Modelling and Software&lt;/secondary-title&gt;&lt;/titles&gt;&lt;periodical&gt;&lt;full-title&gt;Environmental Modelling and Software&lt;/full-title&gt;&lt;/periodical&gt;&lt;pages&gt;158-174&lt;/pages&gt;&lt;volume&gt;107&lt;/volume&gt;&lt;dates&gt;&lt;year&gt;2018&lt;/year&gt;&lt;/dates&gt;&lt;label&gt;Pichancourt18&lt;/label&gt;&lt;work-type&gt;Article&lt;/work-type&gt;&lt;urls&gt;&lt;related-urls&gt;&lt;url&gt;https://www.scopus.com/inward/record.uri?eid=2-s2.0-85048731190&amp;amp;doi=10.1016%2fj.envsoft.2018.06.005&amp;amp;partnerID=40&amp;amp;md5=c1cb7615cb31f4d86a43b89aea9454cf&lt;/url&gt;&lt;/related-urls&gt;&lt;/urls&gt;&lt;electronic-resource-num&gt;10.1016/j.envsoft.2018.06.005&lt;/electronic-resource-num&gt;&lt;remote-database-name&gt;Scopus&lt;/remote-database-name&gt;&lt;/record&gt;&lt;/Cite&gt;&lt;/EndNote&gt;</w:instrText>
      </w:r>
      <w:r w:rsidRPr="008F6866">
        <w:fldChar w:fldCharType="separate"/>
      </w:r>
      <w:r w:rsidR="001677B2">
        <w:rPr>
          <w:noProof/>
        </w:rPr>
        <w:t>(Pichancourt</w:t>
      </w:r>
      <w:r w:rsidR="001677B2" w:rsidRPr="001677B2">
        <w:rPr>
          <w:i/>
          <w:noProof/>
        </w:rPr>
        <w:t xml:space="preserve"> et al.</w:t>
      </w:r>
      <w:r w:rsidR="001677B2">
        <w:rPr>
          <w:noProof/>
        </w:rPr>
        <w:t>, 2018)</w:t>
      </w:r>
      <w:r w:rsidRPr="008F6866">
        <w:fldChar w:fldCharType="end"/>
      </w:r>
      <w:r w:rsidRPr="008F6866">
        <w:rPr>
          <w:rFonts w:ascii="Calibri" w:eastAsia="Calibri" w:hAnsi="Calibri" w:cs="Calibri"/>
        </w:rPr>
        <w:t>. Beyond the evolution of the aboveground and belowground living biomass and of the dead organic matter compartments already simulated in the newly implemented carbon module of HETEROFOR (see Task 1.3), CAT also considers the harvested wood product (HWP) carbon pool in use or deposited at landfill sites. Based on a user-customizable flux configuration scheme describing the carbon life cycle of wood products including transformation, recycling and disposal steps, CAT provides estimates (i) of the material and energy substitution, corresponding to the greenhouse gas emissions avoided when a HWP is used in place of an alternative product, (ii) of the fossil fuel carbon emissions during the HWP life cycle, (iii) of the evolution of both degradable and non-degradable HWP at landfill sites and (iv) of emissions due to landfilled HWP degradation (CH</w:t>
      </w:r>
      <w:r w:rsidRPr="008F6866">
        <w:rPr>
          <w:rFonts w:ascii="Calibri" w:eastAsia="Calibri" w:hAnsi="Calibri" w:cs="Calibri"/>
          <w:vertAlign w:val="subscript"/>
        </w:rPr>
        <w:t>4</w:t>
      </w:r>
      <w:r w:rsidRPr="008F6866">
        <w:rPr>
          <w:rFonts w:ascii="Calibri" w:eastAsia="Calibri" w:hAnsi="Calibri" w:cs="Calibri"/>
        </w:rPr>
        <w:t>) and wood combustion (CH</w:t>
      </w:r>
      <w:r w:rsidRPr="008F6866">
        <w:rPr>
          <w:rFonts w:ascii="Calibri" w:eastAsia="Calibri" w:hAnsi="Calibri" w:cs="Calibri"/>
          <w:vertAlign w:val="subscript"/>
        </w:rPr>
        <w:t>4</w:t>
      </w:r>
      <w:r w:rsidRPr="008F6866">
        <w:rPr>
          <w:rFonts w:ascii="Calibri" w:eastAsia="Calibri" w:hAnsi="Calibri" w:cs="Calibri"/>
        </w:rPr>
        <w:t xml:space="preserve">, CO, COV). In the framework of the present project, a flux configuration scheme established for the Walloon wood processing sector based on the works of </w:t>
      </w:r>
      <w:r w:rsidRPr="008F6866">
        <w:fldChar w:fldCharType="begin"/>
      </w:r>
      <w:r w:rsidR="006201C6">
        <w:instrText xml:space="preserve"> ADDIN EN.CITE &lt;EndNote&gt;&lt;Cite AuthorYear="1"&gt;&lt;Author&gt;Wohlfrom&lt;/Author&gt;&lt;Year&gt;2022&lt;/Year&gt;&lt;RecNum&gt;326&lt;/RecNum&gt;&lt;IDText&gt;Wohlfrom22&lt;/IDText&gt;&lt;DisplayText&gt;Wohlfrom (2022)&lt;/DisplayText&gt;&lt;record&gt;&lt;rec-number&gt;326&lt;/rec-number&gt;&lt;foreign-keys&gt;&lt;key app="EN" db-id="0px2fzdxhrpdrre2w5f5pdryx90atadrdavt" timestamp="1713800666"&gt;326&lt;/key&gt;&lt;/foreign-keys&gt;&lt;ref-type name="Thesis"&gt;32&lt;/ref-type&gt;&lt;contributors&gt;&lt;authors&gt;&lt;author&gt;Wohlfrom, P.&lt;/author&gt;&lt;/authors&gt;&lt;/contributors&gt;&lt;titles&gt;&lt;title&gt;Les produits bois et leur potentiel de stockage de carbone : une solution dans l’atténuation du changement climatique ? Etude des résineux issus de la filière bois wallonne.&lt;/title&gt;&lt;secondary-title&gt;Institut de Gestion de l’Environnement et d’Aménagement du Territoire, Faculté des Sciences&lt;/secondary-title&gt;&lt;/titles&gt;&lt;pages&gt;67p&lt;/pages&gt;&lt;dates&gt;&lt;year&gt;2022&lt;/year&gt;&lt;/dates&gt;&lt;pub-location&gt;Brussels&lt;/pub-location&gt;&lt;publisher&gt;Université Libre de Bruxelles&lt;/publisher&gt;&lt;label&gt;Wohlfrom22&lt;/label&gt;&lt;work-type&gt;Master Thesis&lt;/work-type&gt;&lt;urls&gt;&lt;/urls&gt;&lt;/record&gt;&lt;/Cite&gt;&lt;/EndNote&gt;</w:instrText>
      </w:r>
      <w:r w:rsidRPr="008F6866">
        <w:fldChar w:fldCharType="separate"/>
      </w:r>
      <w:r w:rsidR="006201C6">
        <w:rPr>
          <w:noProof/>
        </w:rPr>
        <w:t>Wohlfrom (2022)</w:t>
      </w:r>
      <w:r w:rsidRPr="008F6866">
        <w:fldChar w:fldCharType="end"/>
      </w:r>
      <w:r w:rsidRPr="008F6866">
        <w:rPr>
          <w:rFonts w:ascii="Calibri" w:eastAsia="Calibri" w:hAnsi="Calibri" w:cs="Calibri"/>
        </w:rPr>
        <w:t xml:space="preserve"> and </w:t>
      </w:r>
      <w:r w:rsidRPr="008F6866">
        <w:fldChar w:fldCharType="begin"/>
      </w:r>
      <w:r w:rsidR="006201C6">
        <w:instrText xml:space="preserve"> ADDIN EN.CITE &lt;EndNote&gt;&lt;Cite AuthorYear="1"&gt;&lt;Author&gt;Charles&lt;/Author&gt;&lt;Year&gt;2023&lt;/Year&gt;&lt;RecNum&gt;327&lt;/RecNum&gt;&lt;IDText&gt;Charles23&lt;/IDText&gt;&lt;DisplayText&gt;Charles (2023)&lt;/DisplayText&gt;&lt;record&gt;&lt;rec-number&gt;327&lt;/rec-number&gt;&lt;foreign-keys&gt;&lt;key app="EN" db-id="0px2fzdxhrpdrre2w5f5pdryx90atadrdavt" timestamp="1713801009"&gt;327&lt;/key&gt;&lt;/foreign-keys&gt;&lt;ref-type name="Thesis"&gt;32&lt;/ref-type&gt;&lt;contributors&gt;&lt;authors&gt;&lt;author&gt;Charles, G.&lt;/author&gt;&lt;/authors&gt;&lt;/contributors&gt;&lt;titles&gt;&lt;title&gt;Evaluation de l&amp;apos;influence de la sylviculture sur le bilan carbone de la filière forêt-bois wallonne&lt;/title&gt;&lt;/titles&gt;&lt;pages&gt;58p&lt;/pages&gt;&lt;dates&gt;&lt;year&gt;2023&lt;/year&gt;&lt;/dates&gt;&lt;pub-location&gt;Gembloux&lt;/pub-location&gt;&lt;publisher&gt;Liège Université - Gembloux Agro-Bio Tech&lt;/publisher&gt;&lt;label&gt;Charles23&lt;/label&gt;&lt;work-type&gt;Master Thesis&lt;/work-type&gt;&lt;urls&gt;&lt;/urls&gt;&lt;/record&gt;&lt;/Cite&gt;&lt;/EndNote&gt;</w:instrText>
      </w:r>
      <w:r w:rsidRPr="008F6866">
        <w:fldChar w:fldCharType="separate"/>
      </w:r>
      <w:r w:rsidR="006201C6">
        <w:rPr>
          <w:noProof/>
        </w:rPr>
        <w:t>Charles (2023)</w:t>
      </w:r>
      <w:r w:rsidRPr="008F6866">
        <w:fldChar w:fldCharType="end"/>
      </w:r>
      <w:r w:rsidRPr="008F6866">
        <w:rPr>
          <w:rFonts w:ascii="Calibri" w:eastAsia="Calibri" w:hAnsi="Calibri" w:cs="Calibri"/>
          <w:color w:val="FF0000"/>
        </w:rPr>
        <w:t xml:space="preserve"> </w:t>
      </w:r>
      <w:r w:rsidRPr="008F6866">
        <w:rPr>
          <w:rFonts w:ascii="Calibri" w:eastAsia="Calibri" w:hAnsi="Calibri" w:cs="Calibri"/>
        </w:rPr>
        <w:t>was used.</w:t>
      </w:r>
    </w:p>
    <w:p w14:paraId="1628AEB4" w14:textId="77777777" w:rsidR="00D53051" w:rsidRPr="008F6866" w:rsidRDefault="00D53051" w:rsidP="00D53051">
      <w:pPr>
        <w:spacing w:after="0" w:line="300" w:lineRule="auto"/>
        <w:jc w:val="both"/>
        <w:rPr>
          <w:rFonts w:ascii="Calibri" w:eastAsia="Calibri" w:hAnsi="Calibri" w:cs="Calibri"/>
        </w:rPr>
      </w:pPr>
    </w:p>
    <w:p w14:paraId="4629E5CF" w14:textId="77777777" w:rsidR="006551F0" w:rsidRPr="008F6866" w:rsidRDefault="006551F0" w:rsidP="004E675D">
      <w:pPr>
        <w:rPr>
          <w:b/>
        </w:rPr>
      </w:pPr>
      <w:r w:rsidRPr="008F6866">
        <w:rPr>
          <w:b/>
        </w:rPr>
        <w:t>Task 1.6. Disaggregation of daily meteorological data</w:t>
      </w:r>
    </w:p>
    <w:p w14:paraId="50622012" w14:textId="77777777" w:rsidR="006551F0" w:rsidRPr="008F6866" w:rsidRDefault="39CFF0FF" w:rsidP="00414E2C">
      <w:pPr>
        <w:spacing w:after="120" w:line="300" w:lineRule="auto"/>
        <w:jc w:val="both"/>
        <w:rPr>
          <w:rFonts w:eastAsia="Calibri"/>
        </w:rPr>
      </w:pPr>
      <w:r w:rsidRPr="008F6866">
        <w:t xml:space="preserve">Data from climate-model projections used in REGE+ to investigate the impact of climate change on forests consist of multiple projections or an ensemble of projections that is being made available by the international climate community within different projects (e.g. CMIP6 or CORDEX). These are the same datasets that are being used by the Intergovernmental Panel on Climate Change (IPCC) and the </w:t>
      </w:r>
      <w:r w:rsidRPr="008F6866">
        <w:rPr>
          <w:i/>
          <w:iCs/>
        </w:rPr>
        <w:t>ensemble</w:t>
      </w:r>
      <w:r w:rsidRPr="008F6866">
        <w:t xml:space="preserve"> approach is necessary in order to estimate the uncertainties of future impacts. Even though some of these datasets and variables are available at the hourly timescales (e.g. within CORDEX) most are provided at the daily timescales. Therefore, in order to allow for a proper quantification of the climate-projection uncertainties, meteorological parameters at the daily timescale are preferred. However, the HETEROFOR model used within REGE+ requires hourly data as input. A technique called </w:t>
      </w:r>
      <w:r w:rsidRPr="008F6866">
        <w:rPr>
          <w:i/>
          <w:iCs/>
        </w:rPr>
        <w:t>disaggregation</w:t>
      </w:r>
      <w:r w:rsidRPr="008F6866">
        <w:t xml:space="preserve"> or also </w:t>
      </w:r>
      <w:r w:rsidRPr="008F6866">
        <w:rPr>
          <w:i/>
          <w:iCs/>
        </w:rPr>
        <w:t>temporal downscaling</w:t>
      </w:r>
      <w:r w:rsidRPr="008F6866">
        <w:t xml:space="preserve"> is therefore used to transform the datasets from daily up to hourly values. For this, empirical relations are fitted on observed hourly meteorological variables as a function of their daily characteristics.</w:t>
      </w:r>
    </w:p>
    <w:p w14:paraId="5F7545A1" w14:textId="2E1BE6B9" w:rsidR="006551F0" w:rsidRPr="008F6866" w:rsidRDefault="39CFF0FF" w:rsidP="00414E2C">
      <w:pPr>
        <w:spacing w:after="120" w:line="300" w:lineRule="auto"/>
        <w:jc w:val="both"/>
        <w:rPr>
          <w:rFonts w:eastAsia="Calibri"/>
        </w:rPr>
      </w:pPr>
      <w:r w:rsidRPr="008F6866">
        <w:t>Different approaches have been tested and developed for disaggregating the different variables including incoming solar radiation (R</w:t>
      </w:r>
      <w:r w:rsidRPr="008F6866">
        <w:rPr>
          <w:vertAlign w:val="subscript"/>
        </w:rPr>
        <w:t>S</w:t>
      </w:r>
      <w:r w:rsidRPr="008F6866">
        <w:t xml:space="preserve">), temperature (T), precipitation (P), relative humidity (RH) and wind speed (W). The disaggregation methods used mostly stem from </w:t>
      </w:r>
      <w:r w:rsidR="006551F0" w:rsidRPr="008F6866">
        <w:fldChar w:fldCharType="begin"/>
      </w:r>
      <w:r w:rsidR="006201C6">
        <w:instrText xml:space="preserve"> ADDIN EN.CITE &lt;EndNote&gt;&lt;Cite AuthorYear="1"&gt;&lt;Author&gt;Förster&lt;/Author&gt;&lt;Year&gt;2016&lt;/Year&gt;&lt;RecNum&gt;328&lt;/RecNum&gt;&lt;IDText&gt;Forster16&lt;/IDText&gt;&lt;DisplayText&gt;Förster&lt;style face="italic"&gt; et al.&lt;/style&gt; (2016)&lt;/DisplayText&gt;&lt;record&gt;&lt;rec-number&gt;328&lt;/rec-number&gt;&lt;foreign-keys&gt;&lt;key app="EN" db-id="0px2fzdxhrpdrre2w5f5pdryx90atadrdavt" timestamp="1713801415"&gt;328&lt;/key&gt;&lt;/foreign-keys&gt;&lt;ref-type name="Journal Article"&gt;17&lt;/ref-type&gt;&lt;contributors&gt;&lt;authors&gt;&lt;author&gt;Förster, K.&lt;/author&gt;&lt;author&gt;Hanzer, F.&lt;/author&gt;&lt;author&gt;Winter, B.&lt;/author&gt;&lt;author&gt;Marke, T.&lt;/author&gt;&lt;author&gt;Strasser, U.&lt;/author&gt;&lt;/authors&gt;&lt;/contributors&gt;&lt;titles&gt;&lt;title&gt;An open-source MEteoroLOgical observation time series DISaggregation Tool (MELODIST v0.1.1)&lt;/title&gt;&lt;secondary-title&gt;Geoscientific Model Development&lt;/secondary-title&gt;&lt;/titles&gt;&lt;periodical&gt;&lt;full-title&gt;Geoscientific Model Development&lt;/full-title&gt;&lt;/periodical&gt;&lt;pages&gt;2315-2333&lt;/pages&gt;&lt;volume&gt;9&lt;/volume&gt;&lt;number&gt;7&lt;/number&gt;&lt;dates&gt;&lt;year&gt;2016&lt;/year&gt;&lt;/dates&gt;&lt;label&gt;Forster16&lt;/label&gt;&lt;work-type&gt;Article&lt;/work-type&gt;&lt;urls&gt;&lt;related-urls&gt;&lt;url&gt;https://www.scopus.com/inward/record.uri?eid=2-s2.0-84977609438&amp;amp;doi=10.5194%2fgmd-9-2315-2016&amp;amp;partnerID=40&amp;amp;md5=05f6f42ae00af4eed2fea86fabdc3a43&lt;/url&gt;&lt;/related-urls&gt;&lt;/urls&gt;&lt;electronic-resource-num&gt;10.5194/gmd-9-2315-2016&lt;/electronic-resource-num&gt;&lt;remote-database-name&gt;Scopus&lt;/remote-database-name&gt;&lt;/record&gt;&lt;/Cite&gt;&lt;/EndNote&gt;</w:instrText>
      </w:r>
      <w:r w:rsidR="006551F0" w:rsidRPr="008F6866">
        <w:fldChar w:fldCharType="separate"/>
      </w:r>
      <w:r w:rsidR="006201C6">
        <w:rPr>
          <w:noProof/>
        </w:rPr>
        <w:t>Förster</w:t>
      </w:r>
      <w:r w:rsidR="006201C6" w:rsidRPr="006201C6">
        <w:rPr>
          <w:i/>
          <w:noProof/>
        </w:rPr>
        <w:t xml:space="preserve"> et al.</w:t>
      </w:r>
      <w:r w:rsidR="006201C6">
        <w:rPr>
          <w:noProof/>
        </w:rPr>
        <w:t xml:space="preserve"> (2016)</w:t>
      </w:r>
      <w:r w:rsidR="006551F0" w:rsidRPr="008F6866">
        <w:fldChar w:fldCharType="end"/>
      </w:r>
      <w:r w:rsidRPr="008F6866">
        <w:t xml:space="preserve"> but were partly further developed. A validation effort was performed. It revealed some issues, that have been fixed since then. A systematic bias in relative humidity has been detected. The origin of this bias is likely associated with the use of the minimum temperature in place of the dew point temperature to estimate the saturated vapour pressure. Therefore, a new approach for disaggregating the relative </w:t>
      </w:r>
      <w:r w:rsidR="00276D44" w:rsidRPr="008F6866">
        <w:t xml:space="preserve">humidity </w:t>
      </w:r>
      <w:r w:rsidRPr="008F6866">
        <w:t>directly was developed to solve this problem.</w:t>
      </w:r>
    </w:p>
    <w:p w14:paraId="30FD0B54" w14:textId="4DF804A3" w:rsidR="006551F0" w:rsidRPr="008F6866" w:rsidRDefault="006551F0" w:rsidP="00341524">
      <w:pPr>
        <w:spacing w:after="0" w:line="300" w:lineRule="auto"/>
        <w:jc w:val="both"/>
        <w:rPr>
          <w:rFonts w:cstheme="minorHAnsi"/>
        </w:rPr>
      </w:pPr>
      <w:r w:rsidRPr="008F6866">
        <w:rPr>
          <w:rFonts w:cstheme="minorHAnsi"/>
        </w:rPr>
        <w:t>We made use of ALARO-0 data for calibrating and validating the disaggregation procedure. ALARO-0 is a high-resolution atmospheric model developed within the scope of the CORDEX.be project</w:t>
      </w:r>
      <w:r w:rsidR="00D53051" w:rsidRPr="008F6866">
        <w:rPr>
          <w:rFonts w:cstheme="minorHAnsi"/>
        </w:rPr>
        <w:t xml:space="preserve"> </w:t>
      </w:r>
      <w:r w:rsidRPr="008F6866">
        <w:rPr>
          <w:rFonts w:cstheme="minorHAnsi"/>
        </w:rPr>
        <w:fldChar w:fldCharType="begin">
          <w:fldData xml:space="preserve">PEVuZE5vdGU+PENpdGU+PEF1dGhvcj5UZXJtb25pYTwvQXV0aG9yPjxZZWFyPjIwMTg8L1llYXI+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</w:fldData>
        </w:fldChar>
      </w:r>
      <w:r w:rsidR="001677B2">
        <w:rPr>
          <w:rFonts w:cstheme="minorHAnsi"/>
        </w:rPr>
        <w:instrText xml:space="preserve"> ADDIN EN.CITE </w:instrText>
      </w:r>
      <w:r w:rsidR="001677B2">
        <w:rPr>
          <w:rFonts w:cstheme="minorHAnsi"/>
        </w:rPr>
        <w:fldChar w:fldCharType="begin">
          <w:fldData xml:space="preserve">PEVuZE5vdGU+PENpdGU+PEF1dGhvcj5UZXJtb25pYTwvQXV0aG9yPjxZZWFyPjIwMTg8L1llYXI+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</w:fldData>
        </w:fldChar>
      </w:r>
      <w:r w:rsidR="001677B2">
        <w:rPr>
          <w:rFonts w:cstheme="minorHAnsi"/>
        </w:rPr>
        <w:instrText xml:space="preserve"> ADDIN EN.CITE.DATA </w:instrText>
      </w:r>
      <w:r w:rsidR="001677B2">
        <w:rPr>
          <w:rFonts w:cstheme="minorHAnsi"/>
        </w:rPr>
      </w:r>
      <w:r w:rsidR="001677B2">
        <w:rPr>
          <w:rFonts w:cstheme="minorHAnsi"/>
        </w:rPr>
        <w:fldChar w:fldCharType="end"/>
      </w:r>
      <w:r w:rsidRPr="008F6866">
        <w:rPr>
          <w:rFonts w:cstheme="minorHAnsi"/>
        </w:rPr>
      </w:r>
      <w:r w:rsidRPr="008F6866">
        <w:rPr>
          <w:rFonts w:cstheme="minorHAnsi"/>
        </w:rPr>
        <w:fldChar w:fldCharType="separate"/>
      </w:r>
      <w:r w:rsidR="001677B2">
        <w:rPr>
          <w:rFonts w:cstheme="minorHAnsi"/>
          <w:noProof/>
        </w:rPr>
        <w:t>(Termonia</w:t>
      </w:r>
      <w:r w:rsidR="001677B2" w:rsidRPr="001677B2">
        <w:rPr>
          <w:rFonts w:cstheme="minorHAnsi"/>
          <w:i/>
          <w:noProof/>
        </w:rPr>
        <w:t xml:space="preserve"> et al.</w:t>
      </w:r>
      <w:r w:rsidR="001677B2">
        <w:rPr>
          <w:rFonts w:cstheme="minorHAnsi"/>
          <w:noProof/>
        </w:rPr>
        <w:t>, 2018)</w:t>
      </w:r>
      <w:r w:rsidRPr="008F6866">
        <w:rPr>
          <w:rFonts w:cstheme="minorHAnsi"/>
        </w:rPr>
        <w:fldChar w:fldCharType="end"/>
      </w:r>
      <w:r w:rsidRPr="008F6866">
        <w:rPr>
          <w:rFonts w:cstheme="minorHAnsi"/>
        </w:rPr>
        <w:t xml:space="preserve">. It was developed at a spatial resolution of 4 km by the Royal Meteorological Institute of Belgium (RMI) based on the numerical weather prediction model called Aire Limitée Adaptation Dynamique Développement International (ALADIN). At the RMI, the physics parameterization package of the ALARO model was specifically designed for running at convection-permitting resolutions, with </w:t>
      </w:r>
      <w:r w:rsidRPr="008F6866">
        <w:rPr>
          <w:rFonts w:cstheme="minorHAnsi"/>
        </w:rPr>
        <w:lastRenderedPageBreak/>
        <w:t>the modular multiscale microphysics and transport (3MT) precipitation and cloud scheme. The ALARO model was forced by the CMIP5 CNRM-CM5 model developed at Météo-France</w:t>
      </w:r>
      <w:r w:rsidR="00D53051" w:rsidRPr="008F6866">
        <w:rPr>
          <w:rFonts w:cstheme="minorHAnsi"/>
        </w:rPr>
        <w:t xml:space="preserve"> </w:t>
      </w:r>
      <w:r w:rsidRPr="008F6866">
        <w:rPr>
          <w:rFonts w:cstheme="minorHAnsi"/>
        </w:rPr>
        <w:fldChar w:fldCharType="begin">
          <w:fldData xml:space="preserve">PEVuZE5vdGU+PENpdGU+PEF1dGhvcj5UZXJtb25pYTwvQXV0aG9yPjxZZWFyPjIwMTg8L1llYXI+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</w:fldData>
        </w:fldChar>
      </w:r>
      <w:r w:rsidR="001677B2">
        <w:rPr>
          <w:rFonts w:cstheme="minorHAnsi"/>
        </w:rPr>
        <w:instrText xml:space="preserve"> ADDIN EN.CITE </w:instrText>
      </w:r>
      <w:r w:rsidR="001677B2">
        <w:rPr>
          <w:rFonts w:cstheme="minorHAnsi"/>
        </w:rPr>
        <w:fldChar w:fldCharType="begin">
          <w:fldData xml:space="preserve">PEVuZE5vdGU+PENpdGU+PEF1dGhvcj5UZXJtb25pYTwvQXV0aG9yPjxZZWFyPjIwMTg8L1llYXI+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</w:fldData>
        </w:fldChar>
      </w:r>
      <w:r w:rsidR="001677B2">
        <w:rPr>
          <w:rFonts w:cstheme="minorHAnsi"/>
        </w:rPr>
        <w:instrText xml:space="preserve"> ADDIN EN.CITE.DATA </w:instrText>
      </w:r>
      <w:r w:rsidR="001677B2">
        <w:rPr>
          <w:rFonts w:cstheme="minorHAnsi"/>
        </w:rPr>
      </w:r>
      <w:r w:rsidR="001677B2">
        <w:rPr>
          <w:rFonts w:cstheme="minorHAnsi"/>
        </w:rPr>
        <w:fldChar w:fldCharType="end"/>
      </w:r>
      <w:r w:rsidRPr="008F6866">
        <w:rPr>
          <w:rFonts w:cstheme="minorHAnsi"/>
        </w:rPr>
      </w:r>
      <w:r w:rsidRPr="008F6866">
        <w:rPr>
          <w:rFonts w:cstheme="minorHAnsi"/>
        </w:rPr>
        <w:fldChar w:fldCharType="separate"/>
      </w:r>
      <w:r w:rsidR="001677B2">
        <w:rPr>
          <w:rFonts w:cstheme="minorHAnsi"/>
          <w:noProof/>
        </w:rPr>
        <w:t>(Termonia</w:t>
      </w:r>
      <w:r w:rsidR="001677B2" w:rsidRPr="001677B2">
        <w:rPr>
          <w:rFonts w:cstheme="minorHAnsi"/>
          <w:i/>
          <w:noProof/>
        </w:rPr>
        <w:t xml:space="preserve"> et al.</w:t>
      </w:r>
      <w:r w:rsidR="001677B2">
        <w:rPr>
          <w:rFonts w:cstheme="minorHAnsi"/>
          <w:noProof/>
        </w:rPr>
        <w:t>, 2018)</w:t>
      </w:r>
      <w:r w:rsidRPr="008F6866">
        <w:rPr>
          <w:rFonts w:cstheme="minorHAnsi"/>
        </w:rPr>
        <w:fldChar w:fldCharType="end"/>
      </w:r>
      <w:r w:rsidRPr="008F6866">
        <w:rPr>
          <w:rFonts w:cstheme="minorHAnsi"/>
        </w:rPr>
        <w:t xml:space="preserve">. The precipitation, average temperature, </w:t>
      </w:r>
      <w:r w:rsidRPr="008F6866">
        <w:rPr>
          <w:rFonts w:cstheme="minorHAnsi"/>
          <w:i/>
        </w:rPr>
        <w:t>u</w:t>
      </w:r>
      <w:r w:rsidRPr="008F6866">
        <w:rPr>
          <w:rFonts w:cstheme="minorHAnsi"/>
        </w:rPr>
        <w:t xml:space="preserve"> and </w:t>
      </w:r>
      <w:r w:rsidRPr="008F6866">
        <w:rPr>
          <w:rFonts w:cstheme="minorHAnsi"/>
          <w:i/>
        </w:rPr>
        <w:t>v</w:t>
      </w:r>
      <w:r w:rsidRPr="008F6866">
        <w:rPr>
          <w:rFonts w:cstheme="minorHAnsi"/>
        </w:rPr>
        <w:t xml:space="preserve"> directions of wind speed, solar radiation, and specific humidity data from the ALARO model for the historical period (1976-2005) are used. In the following we describe the temporal disaggregation methods that do not need further investigations.</w:t>
      </w:r>
    </w:p>
    <w:p w14:paraId="4A2DDFD0" w14:textId="77777777" w:rsidR="00D53051" w:rsidRPr="008F6866" w:rsidRDefault="00D53051" w:rsidP="00D050CD">
      <w:pPr>
        <w:spacing w:after="0" w:line="300" w:lineRule="auto"/>
        <w:jc w:val="both"/>
        <w:rPr>
          <w:rFonts w:cstheme="minorHAnsi"/>
        </w:rPr>
      </w:pPr>
    </w:p>
    <w:p w14:paraId="358B75D4" w14:textId="77777777" w:rsidR="006551F0" w:rsidRPr="008F6866" w:rsidRDefault="006551F0" w:rsidP="006551F0">
      <w:pPr>
        <w:rPr>
          <w:rFonts w:cstheme="minorHAnsi"/>
          <w:b/>
        </w:rPr>
      </w:pPr>
      <w:r w:rsidRPr="008F6866">
        <w:rPr>
          <w:rFonts w:cstheme="minorHAnsi"/>
          <w:b/>
        </w:rPr>
        <w:t>Air temperature</w:t>
      </w:r>
    </w:p>
    <w:p w14:paraId="42341451" w14:textId="1D20A9BE" w:rsidR="006551F0" w:rsidRPr="008F6866" w:rsidRDefault="006551F0" w:rsidP="00414E2C">
      <w:pPr>
        <w:spacing w:after="120" w:line="300" w:lineRule="auto"/>
        <w:jc w:val="both"/>
        <w:rPr>
          <w:rFonts w:cstheme="minorHAnsi"/>
        </w:rPr>
      </w:pPr>
      <w:r w:rsidRPr="008F6866">
        <w:rPr>
          <w:rFonts w:cstheme="minorHAnsi"/>
        </w:rPr>
        <w:t xml:space="preserve">The following cosine function was proposed by </w:t>
      </w:r>
      <w:r w:rsidRPr="008F6866">
        <w:rPr>
          <w:rFonts w:cstheme="minorHAnsi"/>
        </w:rPr>
        <w:fldChar w:fldCharType="begin"/>
      </w:r>
      <w:r w:rsidR="006201C6">
        <w:rPr>
          <w:rFonts w:cstheme="minorHAnsi"/>
        </w:rPr>
        <w:instrText xml:space="preserve"> ADDIN EN.CITE &lt;EndNote&gt;&lt;Cite AuthorYear="1"&gt;&lt;Author&gt;de Wit&lt;/Author&gt;&lt;Year&gt;1978&lt;/Year&gt;&lt;RecNum&gt;330&lt;/RecNum&gt;&lt;IDText&gt;deWit78&lt;/IDText&gt;&lt;DisplayText&gt;de Wit (1978)&lt;/DisplayText&gt;&lt;record&gt;&lt;rec-number&gt;330&lt;/rec-number&gt;&lt;foreign-keys&gt;&lt;key app="EN" db-id="0px2fzdxhrpdrre2w5f5pdryx90atadrdavt" timestamp="1713802064"&gt;330&lt;/key&gt;&lt;/foreign-keys&gt;&lt;ref-type name="Book"&gt;6&lt;/ref-type&gt;&lt;contributors&gt;&lt;authors&gt;&lt;author&gt;de Wit, C. T.&lt;/author&gt;&lt;/authors&gt;&lt;/contributors&gt;&lt;titles&gt;&lt;title&gt;Simulation of assimilation, respiration and transpiration of crops&lt;/title&gt;&lt;secondary-title&gt;Simulation Monographs&lt;/secondary-title&gt;&lt;/titles&gt;&lt;pages&gt;141&lt;/pages&gt;&lt;dates&gt;&lt;year&gt;1978&lt;/year&gt;&lt;/dates&gt;&lt;pub-location&gt;Wageningen&lt;/pub-location&gt;&lt;publisher&gt;Pudoc&lt;/publisher&gt;&lt;label&gt;deWit78&lt;/label&gt;&lt;work-type&gt;Book&lt;/work-type&gt;&lt;urls&gt;&lt;/urls&gt;&lt;/record&gt;&lt;/Cite&gt;&lt;/EndNote&gt;</w:instrText>
      </w:r>
      <w:r w:rsidRPr="008F6866">
        <w:rPr>
          <w:rFonts w:cstheme="minorHAnsi"/>
        </w:rPr>
        <w:fldChar w:fldCharType="separate"/>
      </w:r>
      <w:r w:rsidR="006201C6">
        <w:rPr>
          <w:rFonts w:cstheme="minorHAnsi"/>
          <w:noProof/>
        </w:rPr>
        <w:t>de Wit (1978)</w:t>
      </w:r>
      <w:r w:rsidRPr="008F6866">
        <w:rPr>
          <w:rFonts w:cstheme="minorHAnsi"/>
        </w:rPr>
        <w:fldChar w:fldCharType="end"/>
      </w:r>
      <w:r w:rsidRPr="008F6866">
        <w:rPr>
          <w:rFonts w:cstheme="minorHAnsi"/>
        </w:rPr>
        <w:t xml:space="preserve"> for disaggregating daily temperature to hourly temperature:</w:t>
      </w:r>
    </w:p>
    <w:p w14:paraId="62FC3A25" w14:textId="3329A1CE" w:rsidR="006551F0" w:rsidRPr="008F6866" w:rsidRDefault="00000000" w:rsidP="36E2585C">
      <w:pPr>
        <w:spacing w:before="120" w:after="120" w:line="300" w:lineRule="auto"/>
        <w:jc w:val="right"/>
      </w:pP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hr</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max</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min</m:t>
                </m:r>
              </m:sub>
            </m:sSub>
          </m:num>
          <m:den>
            <m:r>
              <w:rPr>
                <w:rFonts w:ascii="Cambria Math" w:hAnsi="Cambria Math" w:cstheme="minorHAnsi"/>
              </w:rPr>
              <m:t>2</m:t>
            </m:r>
          </m:den>
        </m:f>
        <m:r>
          <w:rPr>
            <w:rFonts w:ascii="Cambria Math" w:hAnsi="Cambria Math" w:cstheme="minorHAnsi"/>
          </w:rPr>
          <m:t>×cos</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π(hr-15)</m:t>
                </m:r>
              </m:num>
              <m:den>
                <m:r>
                  <w:rPr>
                    <w:rFonts w:ascii="Cambria Math" w:hAnsi="Cambria Math" w:cstheme="minorHAnsi"/>
                  </w:rPr>
                  <m:t>12</m:t>
                </m:r>
              </m:den>
            </m:f>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avg</m:t>
            </m:r>
          </m:sub>
        </m:sSub>
      </m:oMath>
      <w:r w:rsidR="006551F0" w:rsidRPr="008F6866">
        <w:t xml:space="preserve">                                              (</w:t>
      </w:r>
      <w:r w:rsidR="00D050CD" w:rsidRPr="008F6866">
        <w:t>3</w:t>
      </w:r>
      <w:r w:rsidR="006551F0" w:rsidRPr="008F6866">
        <w:t>.1)</w:t>
      </w:r>
    </w:p>
    <w:p w14:paraId="014F8BAA" w14:textId="77777777" w:rsidR="006551F0" w:rsidRPr="008F6866" w:rsidRDefault="006551F0" w:rsidP="00414E2C">
      <w:pPr>
        <w:spacing w:after="120" w:line="300" w:lineRule="auto"/>
        <w:jc w:val="both"/>
        <w:rPr>
          <w:rFonts w:cstheme="minorHAnsi"/>
        </w:rPr>
      </w:pPr>
      <w:r w:rsidRPr="008F6866">
        <w:rPr>
          <w:rFonts w:cstheme="minorHAnsi"/>
        </w:rPr>
        <w:t xml:space="preserve">where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hr</m:t>
            </m:r>
          </m:sub>
        </m:sSub>
      </m:oMath>
      <w:r w:rsidRPr="008F6866">
        <w:rPr>
          <w:rFonts w:cstheme="minorHAnsi"/>
        </w:rPr>
        <w:t xml:space="preserve"> is temperature (°C) at time </w:t>
      </w:r>
      <w:r w:rsidRPr="008F6866">
        <w:rPr>
          <w:rFonts w:cstheme="minorHAnsi"/>
          <w:i/>
          <w:iCs/>
        </w:rPr>
        <w:t>hr</w:t>
      </w:r>
      <w:r w:rsidRPr="008F6866">
        <w:rPr>
          <w:rFonts w:cstheme="minorHAnsi"/>
        </w:rPr>
        <w:t xml:space="preserve"> varying in the range 1–24;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max</m:t>
            </m:r>
          </m:sub>
        </m:sSub>
      </m:oMath>
      <w:r w:rsidRPr="008F6866">
        <w:rPr>
          <w:rFonts w:cstheme="minorHAnsi"/>
        </w:rPr>
        <w:t xml:space="preserve">,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min</m:t>
            </m:r>
          </m:sub>
        </m:sSub>
      </m:oMath>
      <w:r w:rsidRPr="008F6866">
        <w:rPr>
          <w:rFonts w:cstheme="minorHAnsi"/>
        </w:rPr>
        <w:t xml:space="preserve">, and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avg</m:t>
            </m:r>
          </m:sub>
        </m:sSub>
      </m:oMath>
      <w:r w:rsidRPr="008F6866">
        <w:rPr>
          <w:rFonts w:cstheme="minorHAnsi"/>
        </w:rPr>
        <w:t xml:space="preserve"> are the maximum, minimum and average daily temperatures, respectively, (°C). The equation was calibrated for Wallonia as follows:</w:t>
      </w:r>
    </w:p>
    <w:p w14:paraId="63ADB3A6" w14:textId="525B46DF" w:rsidR="006551F0" w:rsidRPr="008F6866" w:rsidRDefault="00000000" w:rsidP="00D22486">
      <w:pPr>
        <w:spacing w:before="120" w:after="120" w:line="300" w:lineRule="auto"/>
        <w:jc w:val="right"/>
        <w:rPr>
          <w:rFonts w:eastAsiaTheme="minorEastAsia" w:cstheme="minorHAnsi"/>
        </w:rPr>
      </w:pP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hr</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max</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min</m:t>
                </m:r>
              </m:sub>
            </m:sSub>
          </m:num>
          <m:den>
            <m:r>
              <w:rPr>
                <w:rFonts w:ascii="Cambria Math" w:hAnsi="Cambria Math" w:cstheme="minorHAnsi"/>
              </w:rPr>
              <m:t>2</m:t>
            </m:r>
          </m:den>
        </m:f>
        <m:r>
          <w:rPr>
            <w:rFonts w:ascii="Cambria Math" w:hAnsi="Cambria Math" w:cstheme="minorHAnsi"/>
          </w:rPr>
          <m:t>×</m:t>
        </m:r>
        <m:d>
          <m:dPr>
            <m:begChr m:val="["/>
            <m:endChr m:val="]"/>
            <m:ctrlPr>
              <w:rPr>
                <w:rFonts w:ascii="Cambria Math" w:hAnsi="Cambria Math" w:cstheme="minorHAnsi"/>
                <w:i/>
              </w:rPr>
            </m:ctrlPr>
          </m:dPr>
          <m:e>
            <m:r>
              <m:rPr>
                <m:sty m:val="p"/>
              </m:rPr>
              <w:rPr>
                <w:rFonts w:ascii="Cambria Math" w:eastAsiaTheme="minorEastAsia" w:hAnsi="Cambria Math" w:cstheme="minorHAnsi"/>
              </w:rPr>
              <m:t>a</m:t>
            </m:r>
            <m:r>
              <w:rPr>
                <w:rFonts w:ascii="Cambria Math" w:hAnsi="Cambria Math" w:cstheme="minorHAnsi"/>
              </w:rPr>
              <m:t>×</m:t>
            </m:r>
            <m:r>
              <m:rPr>
                <m:sty m:val="p"/>
              </m:rPr>
              <w:rPr>
                <w:rFonts w:ascii="Cambria Math" w:hAnsi="Cambria Math" w:cstheme="minorHAnsi"/>
              </w:rPr>
              <m:t>cos</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π(hr-</m:t>
                    </m:r>
                    <m:sSub>
                      <m:sSubPr>
                        <m:ctrlPr>
                          <w:rPr>
                            <w:rFonts w:ascii="Cambria Math" w:eastAsiaTheme="minorEastAsia" w:hAnsi="Cambria Math" w:cstheme="minorHAnsi"/>
                            <w:i/>
                          </w:rPr>
                        </m:ctrlPr>
                      </m:sSubPr>
                      <m:e>
                        <m:r>
                          <w:rPr>
                            <w:rFonts w:ascii="Cambria Math" w:eastAsiaTheme="minorEastAsia" w:hAnsi="Cambria Math" w:cstheme="minorHAnsi"/>
                          </w:rPr>
                          <m:t>hr</m:t>
                        </m:r>
                      </m:e>
                      <m:sub>
                        <m:r>
                          <w:rPr>
                            <w:rFonts w:ascii="Cambria Math" w:eastAsiaTheme="minorEastAsia" w:hAnsi="Cambria Math" w:cstheme="minorHAnsi"/>
                          </w:rPr>
                          <m:t>Tmax</m:t>
                        </m:r>
                      </m:sub>
                    </m:sSub>
                  </m:num>
                  <m:den>
                    <m:r>
                      <w:rPr>
                        <w:rFonts w:ascii="Cambria Math" w:hAnsi="Cambria Math" w:cstheme="minorHAnsi"/>
                      </w:rPr>
                      <m:t>12</m:t>
                    </m:r>
                  </m:den>
                </m:f>
              </m:e>
            </m:d>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avg</m:t>
            </m:r>
          </m:sub>
        </m:sSub>
      </m:oMath>
      <w:r w:rsidR="006551F0" w:rsidRPr="008F6866">
        <w:rPr>
          <w:rFonts w:eastAsiaTheme="minorEastAsia" w:cstheme="minorHAnsi"/>
        </w:rPr>
        <w:t xml:space="preserve">                                     (</w:t>
      </w:r>
      <w:r w:rsidR="00D050CD" w:rsidRPr="008F6866">
        <w:rPr>
          <w:rFonts w:eastAsiaTheme="minorEastAsia" w:cstheme="minorHAnsi"/>
        </w:rPr>
        <w:t>3</w:t>
      </w:r>
      <w:r w:rsidR="006551F0" w:rsidRPr="008F6866">
        <w:rPr>
          <w:rFonts w:eastAsiaTheme="minorEastAsia" w:cstheme="minorHAnsi"/>
        </w:rPr>
        <w:t>.2)</w:t>
      </w:r>
    </w:p>
    <w:p w14:paraId="19D1DEAB" w14:textId="77777777" w:rsidR="006551F0" w:rsidRPr="008F6866" w:rsidRDefault="006551F0" w:rsidP="00D22486">
      <w:pPr>
        <w:spacing w:before="120" w:after="120" w:line="300" w:lineRule="auto"/>
        <w:jc w:val="both"/>
        <w:rPr>
          <w:rFonts w:cstheme="minorHAnsi"/>
        </w:rPr>
      </w:pPr>
      <w:r w:rsidRPr="008F6866">
        <w:rPr>
          <w:rFonts w:eastAsiaTheme="minorEastAsia" w:cstheme="minorHAnsi"/>
        </w:rPr>
        <w:t xml:space="preserve">where </w:t>
      </w:r>
      <w:r w:rsidRPr="008F6866">
        <w:rPr>
          <w:rFonts w:ascii="Symbol" w:eastAsiaTheme="minorEastAsia" w:hAnsi="Symbol" w:cstheme="minorHAnsi"/>
          <w:i/>
        </w:rPr>
        <w:t></w:t>
      </w:r>
      <w:r w:rsidRPr="008F6866">
        <w:rPr>
          <w:rFonts w:eastAsiaTheme="minorEastAsia" w:cstheme="minorHAnsi"/>
        </w:rPr>
        <w:t xml:space="preserve"> is a calibration coefficient, and </w:t>
      </w:r>
      <m:oMath>
        <m:sSub>
          <m:sSubPr>
            <m:ctrlPr>
              <w:rPr>
                <w:rFonts w:ascii="Cambria Math" w:eastAsiaTheme="minorEastAsia" w:hAnsi="Cambria Math" w:cstheme="minorHAnsi"/>
                <w:i/>
              </w:rPr>
            </m:ctrlPr>
          </m:sSubPr>
          <m:e>
            <m:r>
              <w:rPr>
                <w:rFonts w:ascii="Cambria Math" w:eastAsiaTheme="minorEastAsia" w:hAnsi="Cambria Math" w:cstheme="minorHAnsi"/>
              </w:rPr>
              <m:t>hr</m:t>
            </m:r>
          </m:e>
          <m:sub>
            <m:r>
              <w:rPr>
                <w:rFonts w:ascii="Cambria Math" w:eastAsiaTheme="minorEastAsia" w:hAnsi="Cambria Math" w:cstheme="minorHAnsi"/>
              </w:rPr>
              <m:t>Tmax</m:t>
            </m:r>
          </m:sub>
        </m:sSub>
      </m:oMath>
      <w:r w:rsidRPr="008F6866">
        <w:rPr>
          <w:rFonts w:eastAsiaTheme="minorEastAsia" w:cstheme="minorHAnsi"/>
        </w:rPr>
        <w:t xml:space="preserve"> is the hour at which daily maximum temperature is observed on average, expressed in [1-24] for GMT0. For the REGE+ case study sites, </w:t>
      </w:r>
      <w:r w:rsidRPr="008F6866">
        <w:rPr>
          <w:rFonts w:ascii="Symbol" w:eastAsiaTheme="minorEastAsia" w:hAnsi="Symbol" w:cstheme="minorHAnsi"/>
        </w:rPr>
        <w:t></w:t>
      </w:r>
      <w:r w:rsidRPr="008F6866">
        <w:rPr>
          <w:rFonts w:eastAsiaTheme="minorEastAsia" w:cstheme="minorHAnsi"/>
        </w:rPr>
        <w:t xml:space="preserve"> = 0.8 and </w:t>
      </w:r>
      <m:oMath>
        <m:sSub>
          <m:sSubPr>
            <m:ctrlPr>
              <w:rPr>
                <w:rFonts w:ascii="Cambria Math" w:eastAsiaTheme="minorEastAsia" w:hAnsi="Cambria Math" w:cstheme="minorHAnsi"/>
                <w:i/>
              </w:rPr>
            </m:ctrlPr>
          </m:sSubPr>
          <m:e>
            <m:r>
              <w:rPr>
                <w:rFonts w:ascii="Cambria Math" w:eastAsiaTheme="minorEastAsia" w:hAnsi="Cambria Math" w:cstheme="minorHAnsi"/>
              </w:rPr>
              <m:t>hr</m:t>
            </m:r>
          </m:e>
          <m:sub>
            <m:r>
              <w:rPr>
                <w:rFonts w:ascii="Cambria Math" w:eastAsiaTheme="minorEastAsia" w:hAnsi="Cambria Math" w:cstheme="minorHAnsi"/>
              </w:rPr>
              <m:t>Tmax</m:t>
            </m:r>
          </m:sub>
        </m:sSub>
        <m:r>
          <w:rPr>
            <w:rFonts w:ascii="Cambria Math" w:eastAsiaTheme="minorEastAsia" w:hAnsi="Cambria Math" w:cstheme="minorHAnsi"/>
          </w:rPr>
          <m:t>=15</m:t>
        </m:r>
      </m:oMath>
      <w:r w:rsidRPr="008F6866">
        <w:rPr>
          <w:rFonts w:eastAsiaTheme="minorEastAsia" w:cstheme="minorHAnsi"/>
        </w:rPr>
        <w:t xml:space="preserve">. </w:t>
      </w:r>
      <w:r w:rsidRPr="008F6866">
        <w:rPr>
          <w:rFonts w:cstheme="minorHAnsi"/>
        </w:rPr>
        <w:t>The calibration was performed using hourly data of six stations (Baileux, Eupen, Gedinne, Louvain-la-Neuve, Ukkel, Virton) following the statistical fitting procedure.</w:t>
      </w:r>
    </w:p>
    <w:p w14:paraId="235812A0" w14:textId="77777777" w:rsidR="006551F0" w:rsidRPr="008F6866" w:rsidRDefault="006551F0" w:rsidP="00D22486">
      <w:pPr>
        <w:spacing w:before="120" w:after="120" w:line="300" w:lineRule="auto"/>
        <w:jc w:val="both"/>
        <w:rPr>
          <w:rFonts w:cstheme="minorHAnsi"/>
        </w:rPr>
      </w:pPr>
      <w:r w:rsidRPr="008F6866">
        <w:rPr>
          <w:rFonts w:cstheme="minorHAnsi"/>
        </w:rPr>
        <w:t>So as to avoid the presence of discontinuities in temperature values at the transition between consecutive days, trends for the temperature average and the amplitude were accounted for with the following equations. Average temperature and average temperature amplitude at the transition between the preceding day (</w:t>
      </w:r>
      <w:r w:rsidRPr="008F6866">
        <w:rPr>
          <w:rFonts w:cstheme="minorHAnsi"/>
          <w:i/>
        </w:rPr>
        <w:t>d</w:t>
      </w:r>
      <w:r w:rsidRPr="008F6866">
        <w:rPr>
          <w:rFonts w:cstheme="minorHAnsi"/>
        </w:rPr>
        <w:t>-1) and the current day (</w:t>
      </w:r>
      <w:r w:rsidRPr="008F6866">
        <w:rPr>
          <w:rFonts w:cstheme="minorHAnsi"/>
          <w:i/>
        </w:rPr>
        <w:t>d</w:t>
      </w:r>
      <w:r w:rsidRPr="008F6866">
        <w:rPr>
          <w:rFonts w:cstheme="minorHAnsi"/>
        </w:rPr>
        <w:t>) are determined as:</w:t>
      </w:r>
    </w:p>
    <w:p w14:paraId="04CF4910" w14:textId="6CBCA922" w:rsidR="006551F0" w:rsidRPr="008F6866" w:rsidRDefault="00000000" w:rsidP="00D22486">
      <w:pPr>
        <w:spacing w:before="120" w:after="120" w:line="300" w:lineRule="auto"/>
        <w:jc w:val="right"/>
        <w:rPr>
          <w:rFonts w:eastAsiaTheme="minorEastAsia" w:cstheme="minorHAnsi"/>
        </w:rPr>
      </w:pP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avg_start,d</m:t>
            </m:r>
          </m:sub>
        </m:sSub>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avg,d-1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avg,d</m:t>
                </m:r>
              </m:sub>
            </m:sSub>
          </m:num>
          <m:den>
            <m:r>
              <m:rPr>
                <m:sty m:val="p"/>
              </m:rPr>
              <w:rPr>
                <w:rFonts w:ascii="Cambria Math" w:hAnsi="Cambria Math" w:cstheme="minorHAnsi"/>
              </w:rPr>
              <m:t>2</m:t>
            </m:r>
          </m:den>
        </m:f>
      </m:oMath>
      <w:r w:rsidR="006551F0" w:rsidRPr="008F6866">
        <w:rPr>
          <w:rFonts w:eastAsiaTheme="minorEastAsia" w:cstheme="minorHAnsi"/>
        </w:rPr>
        <w:t xml:space="preserve">                                                                (</w:t>
      </w:r>
      <w:r w:rsidR="00D050CD" w:rsidRPr="008F6866">
        <w:rPr>
          <w:rFonts w:eastAsiaTheme="minorEastAsia" w:cstheme="minorHAnsi"/>
        </w:rPr>
        <w:t>3</w:t>
      </w:r>
      <w:r w:rsidR="006551F0" w:rsidRPr="008F6866">
        <w:rPr>
          <w:rFonts w:eastAsiaTheme="minorEastAsia" w:cstheme="minorHAnsi"/>
        </w:rPr>
        <w:t>.3)</w:t>
      </w:r>
    </w:p>
    <w:p w14:paraId="1F32A27D" w14:textId="1441B0FA" w:rsidR="006551F0" w:rsidRPr="008F6866" w:rsidRDefault="00000000" w:rsidP="00D22486">
      <w:pPr>
        <w:spacing w:before="120" w:after="120" w:line="300" w:lineRule="auto"/>
        <w:jc w:val="right"/>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ampl, d-1</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max,d-1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min,d-1</m:t>
                </m:r>
              </m:sub>
            </m:sSub>
          </m:num>
          <m:den>
            <m:r>
              <w:rPr>
                <w:rFonts w:ascii="Cambria Math" w:eastAsiaTheme="minorEastAsia" w:hAnsi="Cambria Math" w:cstheme="minorHAnsi"/>
              </w:rPr>
              <m:t>2</m:t>
            </m:r>
          </m:den>
        </m:f>
      </m:oMath>
      <w:r w:rsidR="006551F0" w:rsidRPr="008F6866">
        <w:rPr>
          <w:rFonts w:eastAsiaTheme="minorEastAsia" w:cstheme="minorHAnsi"/>
        </w:rPr>
        <w:t xml:space="preserve">                                                              (</w:t>
      </w:r>
      <w:r w:rsidR="00D050CD" w:rsidRPr="008F6866">
        <w:rPr>
          <w:rFonts w:eastAsiaTheme="minorEastAsia" w:cstheme="minorHAnsi"/>
        </w:rPr>
        <w:t>3</w:t>
      </w:r>
      <w:r w:rsidR="006551F0" w:rsidRPr="008F6866">
        <w:rPr>
          <w:rFonts w:eastAsiaTheme="minorEastAsia" w:cstheme="minorHAnsi"/>
        </w:rPr>
        <w:t>.4)</w:t>
      </w:r>
    </w:p>
    <w:p w14:paraId="7490474F" w14:textId="277E061E" w:rsidR="006551F0" w:rsidRPr="008F6866" w:rsidRDefault="00000000" w:rsidP="00D22486">
      <w:pPr>
        <w:spacing w:before="120" w:after="120" w:line="300" w:lineRule="auto"/>
        <w:jc w:val="right"/>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ampl,d</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max,d</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min,d</m:t>
                </m:r>
              </m:sub>
            </m:sSub>
          </m:num>
          <m:den>
            <m:r>
              <w:rPr>
                <w:rFonts w:ascii="Cambria Math" w:eastAsiaTheme="minorEastAsia" w:hAnsi="Cambria Math" w:cstheme="minorHAnsi"/>
              </w:rPr>
              <m:t>2</m:t>
            </m:r>
          </m:den>
        </m:f>
      </m:oMath>
      <w:r w:rsidR="006551F0" w:rsidRPr="008F6866">
        <w:rPr>
          <w:rFonts w:eastAsiaTheme="minorEastAsia" w:cstheme="minorHAnsi"/>
        </w:rPr>
        <w:t xml:space="preserve">                                                                    </w:t>
      </w:r>
      <w:r w:rsidR="00D050CD" w:rsidRPr="008F6866">
        <w:rPr>
          <w:rFonts w:eastAsiaTheme="minorEastAsia" w:cstheme="minorHAnsi"/>
        </w:rPr>
        <w:t>(3</w:t>
      </w:r>
      <w:r w:rsidR="006551F0" w:rsidRPr="008F6866">
        <w:rPr>
          <w:rFonts w:eastAsiaTheme="minorEastAsia" w:cstheme="minorHAnsi"/>
        </w:rPr>
        <w:t>.5)</w:t>
      </w:r>
    </w:p>
    <w:p w14:paraId="5E0CA0DA" w14:textId="28BD6BD7" w:rsidR="006551F0" w:rsidRPr="008F6866" w:rsidRDefault="00000000" w:rsidP="00D22486">
      <w:pPr>
        <w:spacing w:before="120" w:after="120" w:line="300" w:lineRule="auto"/>
        <w:jc w:val="right"/>
        <w:rPr>
          <w:rFonts w:eastAsiaTheme="minorEastAsia" w:cstheme="minorHAnsi"/>
        </w:rPr>
      </w:pPr>
      <m:oMath>
        <m:acc>
          <m:accPr>
            <m:chr m:val="̅"/>
            <m:ctrlPr>
              <w:rPr>
                <w:rFonts w:ascii="Cambria Math" w:eastAsiaTheme="minorEastAsia" w:hAnsi="Cambria Math" w:cstheme="minorHAnsi"/>
                <w:i/>
              </w:rPr>
            </m:ctrlPr>
          </m:accPr>
          <m:e>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ampl_start,d</m:t>
                </m:r>
              </m:sub>
            </m:sSub>
          </m:e>
        </m:acc>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ampl,d-1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ampl,d</m:t>
                </m:r>
              </m:sub>
            </m:sSub>
          </m:num>
          <m:den>
            <m:r>
              <w:rPr>
                <w:rFonts w:ascii="Cambria Math" w:eastAsiaTheme="minorEastAsia" w:hAnsi="Cambria Math" w:cstheme="minorHAnsi"/>
              </w:rPr>
              <m:t>2</m:t>
            </m:r>
          </m:den>
        </m:f>
      </m:oMath>
      <w:r w:rsidR="006551F0" w:rsidRPr="008F6866">
        <w:rPr>
          <w:rFonts w:eastAsiaTheme="minorEastAsia" w:cstheme="minorHAnsi"/>
        </w:rPr>
        <w:t xml:space="preserve">                                                             (</w:t>
      </w:r>
      <w:r w:rsidR="00D050CD" w:rsidRPr="008F6866">
        <w:rPr>
          <w:rFonts w:eastAsiaTheme="minorEastAsia" w:cstheme="minorHAnsi"/>
        </w:rPr>
        <w:t>3</w:t>
      </w:r>
      <w:r w:rsidR="006551F0" w:rsidRPr="008F6866">
        <w:rPr>
          <w:rFonts w:eastAsiaTheme="minorEastAsia" w:cstheme="minorHAnsi"/>
        </w:rPr>
        <w:t>.6)</w:t>
      </w:r>
    </w:p>
    <w:p w14:paraId="2583AE7A" w14:textId="77777777" w:rsidR="006551F0" w:rsidRPr="008F6866" w:rsidRDefault="006551F0" w:rsidP="00D22486">
      <w:pPr>
        <w:spacing w:before="120" w:after="120" w:line="300" w:lineRule="auto"/>
        <w:jc w:val="both"/>
        <w:rPr>
          <w:rFonts w:eastAsiaTheme="minorEastAsia" w:cstheme="minorHAnsi"/>
        </w:rPr>
      </w:pPr>
      <w:r w:rsidRPr="008F6866">
        <w:rPr>
          <w:rFonts w:eastAsiaTheme="minorEastAsia" w:cstheme="minorHAnsi"/>
        </w:rPr>
        <w:t xml:space="preserve">where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avg_start_d</m:t>
            </m:r>
          </m:sub>
        </m:sSub>
      </m:oMath>
      <w:r w:rsidRPr="008F6866">
        <w:rPr>
          <w:rFonts w:eastAsiaTheme="minorEastAsia" w:cstheme="minorHAnsi"/>
        </w:rPr>
        <w:t xml:space="preserve"> (°C) is the temperature average at the start of the current day,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ampl,d-1</m:t>
            </m:r>
          </m:sub>
        </m:sSub>
      </m:oMath>
      <w:r w:rsidRPr="008F6866">
        <w:rPr>
          <w:rFonts w:eastAsiaTheme="minorEastAsia" w:cstheme="minorHAnsi"/>
        </w:rPr>
        <w:t xml:space="preserve">(°C) and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ampl,d</m:t>
            </m:r>
          </m:sub>
        </m:sSub>
      </m:oMath>
      <w:r w:rsidRPr="008F6866">
        <w:rPr>
          <w:rFonts w:eastAsiaTheme="minorEastAsia"/>
        </w:rPr>
        <w:t> </w:t>
      </w:r>
      <w:r w:rsidRPr="008F6866">
        <w:rPr>
          <w:rFonts w:eastAsiaTheme="minorEastAsia" w:cstheme="minorHAnsi"/>
        </w:rPr>
        <w:t xml:space="preserve">(°C) are the temperature amplitude for the preceding and the current days, respectively, and </w:t>
      </w:r>
      <m:oMath>
        <m:acc>
          <m:accPr>
            <m:chr m:val="̅"/>
            <m:ctrlPr>
              <w:rPr>
                <w:rFonts w:ascii="Cambria Math" w:eastAsiaTheme="minorEastAsia" w:hAnsi="Cambria Math" w:cstheme="minorHAnsi"/>
                <w:i/>
              </w:rPr>
            </m:ctrlPr>
          </m:accPr>
          <m:e>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ampl_start,d</m:t>
                </m:r>
              </m:sub>
            </m:sSub>
          </m:e>
        </m:acc>
      </m:oMath>
      <w:r w:rsidRPr="008F6866">
        <w:rPr>
          <w:rFonts w:eastAsiaTheme="minorEastAsia" w:cstheme="minorHAnsi"/>
        </w:rPr>
        <w:t xml:space="preserve"> (°C) is the average temperature amplitude at the start of the current day. These quantities are similarly calculated for the transition between the current day and the next (</w:t>
      </w:r>
      <w:r w:rsidRPr="008F6866">
        <w:rPr>
          <w:rFonts w:eastAsiaTheme="minorEastAsia" w:cstheme="minorHAnsi"/>
          <w:i/>
        </w:rPr>
        <w:t>d</w:t>
      </w:r>
      <w:r w:rsidRPr="008F6866">
        <w:rPr>
          <w:rFonts w:eastAsiaTheme="minorEastAsia" w:cstheme="minorHAnsi"/>
        </w:rPr>
        <w:t xml:space="preserve">+1) day. Temperature at time </w:t>
      </w:r>
      <w:r w:rsidRPr="008F6866">
        <w:rPr>
          <w:rFonts w:eastAsiaTheme="minorEastAsia" w:cstheme="minorHAnsi"/>
          <w:i/>
        </w:rPr>
        <w:t>hr</w:t>
      </w:r>
      <w:r w:rsidRPr="008F6866">
        <w:rPr>
          <w:rFonts w:eastAsiaTheme="minorEastAsia" w:cstheme="minorHAnsi"/>
        </w:rPr>
        <w:t xml:space="preserve"> (in [1-24] format) is then computed as follows:</w:t>
      </w:r>
    </w:p>
    <w:p w14:paraId="47C94BA5" w14:textId="77777777" w:rsidR="006551F0" w:rsidRPr="008F6866" w:rsidRDefault="006551F0" w:rsidP="00D22486">
      <w:pPr>
        <w:spacing w:before="120" w:after="120" w:line="300" w:lineRule="auto"/>
        <w:jc w:val="both"/>
        <w:rPr>
          <w:rFonts w:eastAsiaTheme="minorEastAsia" w:cstheme="minorHAnsi"/>
        </w:rPr>
      </w:pPr>
      <w:r w:rsidRPr="008F6866">
        <w:rPr>
          <w:rFonts w:eastAsiaTheme="minorEastAsia" w:cstheme="minorHAnsi"/>
        </w:rPr>
        <w:t>If (</w:t>
      </w:r>
      <w:r w:rsidRPr="008F6866">
        <w:rPr>
          <w:rFonts w:eastAsiaTheme="minorEastAsia" w:cstheme="minorHAnsi"/>
          <w:i/>
        </w:rPr>
        <w:t>hr</w:t>
      </w:r>
      <w:r w:rsidRPr="008F6866">
        <w:rPr>
          <w:rFonts w:eastAsiaTheme="minorEastAsia" w:cstheme="minorHAnsi"/>
        </w:rPr>
        <w:t xml:space="preserve"> ≤ 12)</w:t>
      </w:r>
    </w:p>
    <w:p w14:paraId="1067E42B" w14:textId="1B7B2427" w:rsidR="006551F0" w:rsidRPr="008F6866" w:rsidRDefault="00000000" w:rsidP="00D22486">
      <w:pPr>
        <w:spacing w:before="120" w:after="120" w:line="300" w:lineRule="auto"/>
        <w:jc w:val="right"/>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avg_diff</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avg,d</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avg_start,d</m:t>
            </m:r>
          </m:sub>
        </m:sSub>
      </m:oMath>
      <w:r w:rsidR="006551F0" w:rsidRPr="008F6866">
        <w:rPr>
          <w:rFonts w:eastAsiaTheme="minorEastAsia" w:cstheme="minorHAnsi"/>
        </w:rPr>
        <w:t xml:space="preserve">                                                                                                                (</w:t>
      </w:r>
      <w:r w:rsidR="00D050CD" w:rsidRPr="008F6866">
        <w:rPr>
          <w:rFonts w:eastAsiaTheme="minorEastAsia" w:cstheme="minorHAnsi"/>
        </w:rPr>
        <w:t>3</w:t>
      </w:r>
      <w:r w:rsidR="006551F0" w:rsidRPr="008F6866">
        <w:rPr>
          <w:rFonts w:eastAsiaTheme="minorEastAsia" w:cstheme="minorHAnsi"/>
        </w:rPr>
        <w:t>.7)</w:t>
      </w:r>
    </w:p>
    <w:p w14:paraId="7CA8F652" w14:textId="1F6A6458" w:rsidR="006551F0" w:rsidRPr="008F6866" w:rsidRDefault="00000000" w:rsidP="00D22486">
      <w:pPr>
        <w:spacing w:before="120" w:after="120" w:line="300" w:lineRule="auto"/>
        <w:jc w:val="right"/>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ampl_diff</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ampl,d</m:t>
            </m:r>
          </m:sub>
        </m:sSub>
        <m:r>
          <w:rPr>
            <w:rFonts w:ascii="Cambria Math" w:eastAsiaTheme="minorEastAsia" w:hAnsi="Cambria Math" w:cstheme="minorHAnsi"/>
          </w:rPr>
          <m:t>-</m:t>
        </m:r>
        <m:acc>
          <m:accPr>
            <m:chr m:val="̅"/>
            <m:ctrlPr>
              <w:rPr>
                <w:rFonts w:ascii="Cambria Math" w:eastAsiaTheme="minorEastAsia" w:hAnsi="Cambria Math" w:cstheme="minorHAnsi"/>
                <w:i/>
              </w:rPr>
            </m:ctrlPr>
          </m:accPr>
          <m:e>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ampl_start,d</m:t>
                </m:r>
              </m:sub>
            </m:sSub>
          </m:e>
        </m:acc>
      </m:oMath>
      <w:r w:rsidR="006551F0" w:rsidRPr="008F6866">
        <w:rPr>
          <w:rFonts w:eastAsiaTheme="minorEastAsia" w:cstheme="minorHAnsi"/>
        </w:rPr>
        <w:t xml:space="preserve">                                                                                                          (</w:t>
      </w:r>
      <w:r w:rsidR="00D050CD" w:rsidRPr="008F6866">
        <w:rPr>
          <w:rFonts w:eastAsiaTheme="minorEastAsia" w:cstheme="minorHAnsi"/>
        </w:rPr>
        <w:t>3</w:t>
      </w:r>
      <w:r w:rsidR="006551F0" w:rsidRPr="008F6866">
        <w:rPr>
          <w:rFonts w:eastAsiaTheme="minorEastAsia" w:cstheme="minorHAnsi"/>
        </w:rPr>
        <w:t>.8)</w:t>
      </w:r>
    </w:p>
    <w:p w14:paraId="78FEAA89" w14:textId="77777777" w:rsidR="006551F0" w:rsidRPr="008F6866" w:rsidRDefault="006551F0" w:rsidP="00D22486">
      <w:pPr>
        <w:spacing w:before="120" w:after="120" w:line="300" w:lineRule="auto"/>
        <w:jc w:val="both"/>
        <w:rPr>
          <w:rFonts w:eastAsiaTheme="minorEastAsia" w:cstheme="minorHAnsi"/>
        </w:rPr>
      </w:pPr>
      <w:r w:rsidRPr="008F6866">
        <w:rPr>
          <w:rFonts w:eastAsiaTheme="minorEastAsia" w:cstheme="minorHAnsi"/>
        </w:rPr>
        <w:lastRenderedPageBreak/>
        <w:tab/>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hr</m:t>
            </m:r>
          </m:sub>
        </m:sSub>
        <m:r>
          <w:rPr>
            <w:rFonts w:ascii="Cambria Math" w:eastAsiaTheme="minorEastAsia" w:hAnsi="Cambria Math" w:cstheme="minorHAnsi"/>
          </w:rPr>
          <m:t>=</m:t>
        </m:r>
        <m:acc>
          <m:accPr>
            <m:chr m:val="̅"/>
            <m:ctrlPr>
              <w:rPr>
                <w:rFonts w:ascii="Cambria Math" w:eastAsiaTheme="minorEastAsia" w:hAnsi="Cambria Math" w:cstheme="minorHAnsi"/>
                <w:i/>
              </w:rPr>
            </m:ctrlPr>
          </m:accPr>
          <m:e>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m:t>
                </m:r>
                <m:sSub>
                  <m:sSubPr>
                    <m:ctrlPr>
                      <w:rPr>
                        <w:rFonts w:ascii="Cambria Math" w:eastAsiaTheme="minorEastAsia" w:hAnsi="Cambria Math" w:cstheme="minorHAnsi"/>
                        <w:i/>
                      </w:rPr>
                    </m:ctrlPr>
                  </m:sSubPr>
                  <m:e>
                    <m:r>
                      <w:rPr>
                        <w:rFonts w:ascii="Cambria Math" w:eastAsiaTheme="minorEastAsia" w:hAnsi="Cambria Math" w:cstheme="minorHAnsi"/>
                      </w:rPr>
                      <m:t>l</m:t>
                    </m:r>
                  </m:e>
                  <m:sub>
                    <m:r>
                      <w:rPr>
                        <w:rFonts w:ascii="Cambria Math" w:eastAsiaTheme="minorEastAsia" w:hAnsi="Cambria Math" w:cstheme="minorHAnsi"/>
                      </w:rPr>
                      <m:t>start</m:t>
                    </m:r>
                  </m:sub>
                </m:sSub>
                <m:r>
                  <w:rPr>
                    <w:rFonts w:ascii="Cambria Math" w:eastAsiaTheme="minorEastAsia" w:hAnsi="Cambria Math" w:cstheme="minorHAnsi"/>
                  </w:rPr>
                  <m:t>,d</m:t>
                </m:r>
              </m:sub>
            </m:sSub>
          </m:e>
        </m:acc>
        <m:r>
          <w:rPr>
            <w:rFonts w:ascii="Cambria Math" w:eastAsiaTheme="minorEastAsia" w:hAnsi="Cambria Math" w:cstheme="minorHAnsi"/>
          </w:rPr>
          <m:t>+</m:t>
        </m:r>
        <m:f>
          <m:fPr>
            <m:type m:val="lin"/>
            <m:ctrlPr>
              <w:rPr>
                <w:rFonts w:ascii="Cambria Math" w:eastAsiaTheme="minorEastAsia" w:hAnsi="Cambria Math" w:cstheme="minorHAnsi"/>
                <w:i/>
              </w:rPr>
            </m:ctrlPr>
          </m:fPr>
          <m:num>
            <m:d>
              <m:dPr>
                <m:ctrlPr>
                  <w:rPr>
                    <w:rFonts w:ascii="Cambria Math" w:eastAsiaTheme="minorEastAsia" w:hAnsi="Cambria Math" w:cstheme="minorHAnsi"/>
                    <w:i/>
                  </w:rPr>
                </m:ctrlPr>
              </m:dPr>
              <m:e>
                <m:r>
                  <w:rPr>
                    <w:rFonts w:ascii="Cambria Math" w:eastAsiaTheme="minorEastAsia" w:hAnsi="Cambria Math" w:cstheme="minorHAnsi"/>
                  </w:rPr>
                  <m:t>hr-1</m:t>
                </m:r>
              </m:e>
            </m:d>
          </m:num>
          <m:den>
            <m:r>
              <w:rPr>
                <w:rFonts w:ascii="Cambria Math" w:eastAsiaTheme="minorEastAsia" w:hAnsi="Cambria Math" w:cstheme="minorHAnsi"/>
              </w:rPr>
              <m:t>12</m:t>
            </m:r>
          </m:den>
        </m:f>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m:t>
            </m:r>
            <m:sSub>
              <m:sSubPr>
                <m:ctrlPr>
                  <w:rPr>
                    <w:rFonts w:ascii="Cambria Math" w:eastAsiaTheme="minorEastAsia" w:hAnsi="Cambria Math" w:cstheme="minorHAnsi"/>
                    <w:i/>
                  </w:rPr>
                </m:ctrlPr>
              </m:sSubPr>
              <m:e>
                <m:r>
                  <w:rPr>
                    <w:rFonts w:ascii="Cambria Math" w:eastAsiaTheme="minorEastAsia" w:hAnsi="Cambria Math" w:cstheme="minorHAnsi"/>
                  </w:rPr>
                  <m:t>l</m:t>
                </m:r>
              </m:e>
              <m:sub>
                <m:r>
                  <w:rPr>
                    <w:rFonts w:ascii="Cambria Math" w:eastAsiaTheme="minorEastAsia" w:hAnsi="Cambria Math" w:cstheme="minorHAnsi"/>
                  </w:rPr>
                  <m:t>diff</m:t>
                </m:r>
              </m:sub>
            </m:sSub>
          </m:sub>
        </m:sSub>
        <m:r>
          <w:rPr>
            <w:rFonts w:ascii="Cambria Math" w:eastAsiaTheme="minorEastAsia" w:hAnsi="Cambria Math" w:cstheme="minorHAnsi"/>
          </w:rPr>
          <m:t>∙α∙</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ctrlPr>
              <w:rPr>
                <w:rFonts w:ascii="Cambria Math" w:eastAsiaTheme="minorEastAsia" w:hAnsi="Cambria Math" w:cstheme="minorHAnsi"/>
                <w:i/>
              </w:rPr>
            </m:ctrlPr>
          </m:fName>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π</m:t>
                    </m:r>
                    <m:d>
                      <m:dPr>
                        <m:ctrlPr>
                          <w:rPr>
                            <w:rFonts w:ascii="Cambria Math" w:eastAsiaTheme="minorEastAsia" w:hAnsi="Cambria Math" w:cstheme="minorHAnsi"/>
                            <w:i/>
                          </w:rPr>
                        </m:ctrlPr>
                      </m:dPr>
                      <m:e>
                        <m:r>
                          <w:rPr>
                            <w:rFonts w:ascii="Cambria Math" w:eastAsiaTheme="minorEastAsia" w:hAnsi="Cambria Math" w:cstheme="minorHAnsi"/>
                          </w:rPr>
                          <m:t>hr-</m:t>
                        </m:r>
                        <m:sSub>
                          <m:sSubPr>
                            <m:ctrlPr>
                              <w:rPr>
                                <w:rFonts w:ascii="Cambria Math" w:eastAsiaTheme="minorEastAsia" w:hAnsi="Cambria Math" w:cstheme="minorHAnsi"/>
                                <w:i/>
                              </w:rPr>
                            </m:ctrlPr>
                          </m:sSubPr>
                          <m:e>
                            <m:r>
                              <w:rPr>
                                <w:rFonts w:ascii="Cambria Math" w:eastAsiaTheme="minorEastAsia" w:hAnsi="Cambria Math" w:cstheme="minorHAnsi"/>
                              </w:rPr>
                              <m:t>hr</m:t>
                            </m:r>
                          </m:e>
                          <m:sub>
                            <m:r>
                              <w:rPr>
                                <w:rFonts w:ascii="Cambria Math" w:eastAsiaTheme="minorEastAsia" w:hAnsi="Cambria Math" w:cstheme="minorHAnsi"/>
                              </w:rPr>
                              <m:t>Tmax</m:t>
                            </m:r>
                          </m:sub>
                        </m:sSub>
                      </m:e>
                    </m:d>
                  </m:num>
                  <m:den>
                    <m:r>
                      <w:rPr>
                        <w:rFonts w:ascii="Cambria Math" w:eastAsiaTheme="minorEastAsia" w:hAnsi="Cambria Math" w:cstheme="minorHAnsi"/>
                      </w:rPr>
                      <m:t>12</m:t>
                    </m:r>
                  </m:den>
                </m:f>
              </m:e>
            </m:d>
          </m:e>
        </m:func>
      </m:oMath>
    </w:p>
    <w:p w14:paraId="5CE1489F" w14:textId="2ADAF9A9" w:rsidR="006551F0" w:rsidRPr="008F6866" w:rsidRDefault="006551F0" w:rsidP="00D22486">
      <w:pPr>
        <w:spacing w:before="120" w:after="120" w:line="300" w:lineRule="auto"/>
        <w:ind w:left="1416" w:firstLine="708"/>
        <w:jc w:val="right"/>
        <w:rPr>
          <w:rFonts w:eastAsiaTheme="minorEastAsia" w:cstheme="minorHAnsi"/>
        </w:rPr>
      </w:pPr>
      <m:oMath>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av</m:t>
            </m:r>
            <m:sSub>
              <m:sSubPr>
                <m:ctrlPr>
                  <w:rPr>
                    <w:rFonts w:ascii="Cambria Math" w:eastAsiaTheme="minorEastAsia" w:hAnsi="Cambria Math" w:cstheme="minorHAnsi"/>
                    <w:i/>
                  </w:rPr>
                </m:ctrlPr>
              </m:sSubPr>
              <m:e>
                <m:r>
                  <w:rPr>
                    <w:rFonts w:ascii="Cambria Math" w:eastAsiaTheme="minorEastAsia" w:hAnsi="Cambria Math" w:cstheme="minorHAnsi"/>
                  </w:rPr>
                  <m:t>g</m:t>
                </m:r>
              </m:e>
              <m:sub>
                <m:r>
                  <w:rPr>
                    <w:rFonts w:ascii="Cambria Math" w:eastAsiaTheme="minorEastAsia" w:hAnsi="Cambria Math" w:cstheme="minorHAnsi"/>
                  </w:rPr>
                  <m:t>start</m:t>
                </m:r>
              </m:sub>
            </m:sSub>
            <m:r>
              <w:rPr>
                <w:rFonts w:ascii="Cambria Math" w:eastAsiaTheme="minorEastAsia" w:hAnsi="Cambria Math" w:cstheme="minorHAnsi"/>
              </w:rPr>
              <m:t>,d</m:t>
            </m:r>
          </m:sub>
        </m:sSub>
        <m:r>
          <w:rPr>
            <w:rFonts w:ascii="Cambria Math" w:eastAsiaTheme="minorEastAsia" w:hAnsi="Cambria Math" w:cstheme="minorHAnsi"/>
          </w:rPr>
          <m:t>+</m:t>
        </m:r>
        <m:f>
          <m:fPr>
            <m:type m:val="lin"/>
            <m:ctrlPr>
              <w:rPr>
                <w:rFonts w:ascii="Cambria Math" w:eastAsiaTheme="minorEastAsia" w:hAnsi="Cambria Math" w:cstheme="minorHAnsi"/>
                <w:i/>
              </w:rPr>
            </m:ctrlPr>
          </m:fPr>
          <m:num>
            <m:r>
              <w:rPr>
                <w:rFonts w:ascii="Cambria Math" w:eastAsiaTheme="minorEastAsia" w:hAnsi="Cambria Math" w:cstheme="minorHAnsi"/>
              </w:rPr>
              <m:t>(hr-1)</m:t>
            </m:r>
          </m:num>
          <m:den>
            <m:r>
              <w:rPr>
                <w:rFonts w:ascii="Cambria Math" w:eastAsiaTheme="minorEastAsia" w:hAnsi="Cambria Math" w:cstheme="minorHAnsi"/>
              </w:rPr>
              <m:t>12</m:t>
            </m:r>
          </m:den>
        </m:f>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avg,diff</m:t>
            </m:r>
          </m:sub>
        </m:sSub>
      </m:oMath>
      <w:r w:rsidRPr="008F6866">
        <w:rPr>
          <w:rFonts w:eastAsiaTheme="minorEastAsia" w:cstheme="minorHAnsi"/>
        </w:rPr>
        <w:t xml:space="preserve">                                                (</w:t>
      </w:r>
      <w:r w:rsidR="00D050CD" w:rsidRPr="008F6866">
        <w:rPr>
          <w:rFonts w:eastAsiaTheme="minorEastAsia" w:cstheme="minorHAnsi"/>
        </w:rPr>
        <w:t>3</w:t>
      </w:r>
      <w:r w:rsidRPr="008F6866">
        <w:rPr>
          <w:rFonts w:eastAsiaTheme="minorEastAsia" w:cstheme="minorHAnsi"/>
        </w:rPr>
        <w:t>.9)</w:t>
      </w:r>
    </w:p>
    <w:p w14:paraId="49ABE988" w14:textId="77777777" w:rsidR="006551F0" w:rsidRPr="008F6866" w:rsidRDefault="006551F0" w:rsidP="00D22486">
      <w:pPr>
        <w:spacing w:before="120" w:after="120" w:line="300" w:lineRule="auto"/>
        <w:jc w:val="both"/>
        <w:rPr>
          <w:rFonts w:eastAsiaTheme="minorEastAsia" w:cstheme="minorHAnsi"/>
        </w:rPr>
      </w:pPr>
      <w:r w:rsidRPr="008F6866">
        <w:rPr>
          <w:rFonts w:eastAsiaTheme="minorEastAsia" w:cstheme="minorHAnsi"/>
        </w:rPr>
        <w:t>else</w:t>
      </w:r>
    </w:p>
    <w:p w14:paraId="632AE437" w14:textId="2EDBD6C7" w:rsidR="006551F0" w:rsidRPr="008F6866" w:rsidRDefault="00000000" w:rsidP="00D22486">
      <w:pPr>
        <w:spacing w:before="120" w:after="120" w:line="300" w:lineRule="auto"/>
        <w:jc w:val="right"/>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avg_diff</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avg_end,d</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avg,d</m:t>
            </m:r>
          </m:sub>
        </m:sSub>
      </m:oMath>
      <w:r w:rsidR="006551F0" w:rsidRPr="008F6866">
        <w:rPr>
          <w:rFonts w:eastAsiaTheme="minorEastAsia" w:cstheme="minorHAnsi"/>
        </w:rPr>
        <w:t xml:space="preserve">                                                                                                                (</w:t>
      </w:r>
      <w:r w:rsidR="00D050CD" w:rsidRPr="008F6866">
        <w:rPr>
          <w:rFonts w:eastAsiaTheme="minorEastAsia" w:cstheme="minorHAnsi"/>
        </w:rPr>
        <w:t>3</w:t>
      </w:r>
      <w:r w:rsidR="006551F0" w:rsidRPr="008F6866">
        <w:rPr>
          <w:rFonts w:eastAsiaTheme="minorEastAsia" w:cstheme="minorHAnsi"/>
        </w:rPr>
        <w:t>.10)</w:t>
      </w:r>
    </w:p>
    <w:p w14:paraId="7F81FBB3" w14:textId="7869CE27" w:rsidR="006551F0" w:rsidRPr="008F6866" w:rsidRDefault="00000000" w:rsidP="00D22486">
      <w:pPr>
        <w:spacing w:before="120" w:after="120" w:line="300" w:lineRule="auto"/>
        <w:jc w:val="right"/>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ampl_diff</m:t>
            </m:r>
          </m:sub>
        </m:sSub>
        <m:r>
          <w:rPr>
            <w:rFonts w:ascii="Cambria Math" w:eastAsiaTheme="minorEastAsia" w:hAnsi="Cambria Math" w:cstheme="minorHAnsi"/>
          </w:rPr>
          <m:t>=</m:t>
        </m:r>
        <m:acc>
          <m:accPr>
            <m:chr m:val="̅"/>
            <m:ctrlPr>
              <w:rPr>
                <w:rFonts w:ascii="Cambria Math" w:eastAsiaTheme="minorEastAsia" w:hAnsi="Cambria Math" w:cstheme="minorHAnsi"/>
                <w:i/>
              </w:rPr>
            </m:ctrlPr>
          </m:accPr>
          <m:e>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ampl_end,d</m:t>
                </m:r>
              </m:sub>
            </m:sSub>
          </m:e>
        </m:acc>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ampl,d</m:t>
            </m:r>
          </m:sub>
        </m:sSub>
      </m:oMath>
      <w:r w:rsidR="006551F0" w:rsidRPr="008F6866">
        <w:rPr>
          <w:rFonts w:eastAsiaTheme="minorEastAsia" w:cstheme="minorHAnsi"/>
        </w:rPr>
        <w:t xml:space="preserve">                                                                                                          (</w:t>
      </w:r>
      <w:r w:rsidR="00D050CD" w:rsidRPr="008F6866">
        <w:rPr>
          <w:rFonts w:eastAsiaTheme="minorEastAsia" w:cstheme="minorHAnsi"/>
        </w:rPr>
        <w:t>3</w:t>
      </w:r>
      <w:r w:rsidR="006551F0" w:rsidRPr="008F6866">
        <w:rPr>
          <w:rFonts w:eastAsiaTheme="minorEastAsia" w:cstheme="minorHAnsi"/>
        </w:rPr>
        <w:t>.11)</w:t>
      </w:r>
    </w:p>
    <w:p w14:paraId="38A20D8B" w14:textId="77777777" w:rsidR="006551F0" w:rsidRPr="008F6866" w:rsidRDefault="006551F0" w:rsidP="00D22486">
      <w:pPr>
        <w:spacing w:before="120" w:after="120" w:line="300" w:lineRule="auto"/>
        <w:jc w:val="both"/>
        <w:rPr>
          <w:rFonts w:eastAsiaTheme="minorEastAsia" w:cstheme="minorHAnsi"/>
        </w:rPr>
      </w:pPr>
      <w:r w:rsidRPr="008F6866">
        <w:rPr>
          <w:rFonts w:eastAsiaTheme="minorEastAsia" w:cstheme="minorHAnsi"/>
        </w:rPr>
        <w:tab/>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hr</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ampl,d</m:t>
            </m:r>
          </m:sub>
        </m:sSub>
        <m:r>
          <w:rPr>
            <w:rFonts w:ascii="Cambria Math" w:eastAsiaTheme="minorEastAsia" w:hAnsi="Cambria Math" w:cstheme="minorHAnsi"/>
          </w:rPr>
          <m:t>+</m:t>
        </m:r>
        <m:f>
          <m:fPr>
            <m:type m:val="lin"/>
            <m:ctrlPr>
              <w:rPr>
                <w:rFonts w:ascii="Cambria Math" w:eastAsiaTheme="minorEastAsia" w:hAnsi="Cambria Math" w:cstheme="minorHAnsi"/>
                <w:i/>
              </w:rPr>
            </m:ctrlPr>
          </m:fPr>
          <m:num>
            <m:d>
              <m:dPr>
                <m:ctrlPr>
                  <w:rPr>
                    <w:rFonts w:ascii="Cambria Math" w:eastAsiaTheme="minorEastAsia" w:hAnsi="Cambria Math" w:cstheme="minorHAnsi"/>
                    <w:i/>
                  </w:rPr>
                </m:ctrlPr>
              </m:dPr>
              <m:e>
                <m:r>
                  <w:rPr>
                    <w:rFonts w:ascii="Cambria Math" w:eastAsiaTheme="minorEastAsia" w:hAnsi="Cambria Math" w:cstheme="minorHAnsi"/>
                  </w:rPr>
                  <m:t>hr-13</m:t>
                </m:r>
              </m:e>
            </m:d>
          </m:num>
          <m:den>
            <m:r>
              <w:rPr>
                <w:rFonts w:ascii="Cambria Math" w:eastAsiaTheme="minorEastAsia" w:hAnsi="Cambria Math" w:cstheme="minorHAnsi"/>
              </w:rPr>
              <m:t>12</m:t>
            </m:r>
          </m:den>
        </m:f>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amp</m:t>
            </m:r>
            <m:sSub>
              <m:sSubPr>
                <m:ctrlPr>
                  <w:rPr>
                    <w:rFonts w:ascii="Cambria Math" w:eastAsiaTheme="minorEastAsia" w:hAnsi="Cambria Math" w:cstheme="minorHAnsi"/>
                    <w:i/>
                  </w:rPr>
                </m:ctrlPr>
              </m:sSubPr>
              <m:e>
                <m:r>
                  <w:rPr>
                    <w:rFonts w:ascii="Cambria Math" w:eastAsiaTheme="minorEastAsia" w:hAnsi="Cambria Math" w:cstheme="minorHAnsi"/>
                  </w:rPr>
                  <m:t>l</m:t>
                </m:r>
              </m:e>
              <m:sub>
                <m:r>
                  <w:rPr>
                    <w:rFonts w:ascii="Cambria Math" w:eastAsiaTheme="minorEastAsia" w:hAnsi="Cambria Math" w:cstheme="minorHAnsi"/>
                  </w:rPr>
                  <m:t>diff</m:t>
                </m:r>
              </m:sub>
            </m:sSub>
          </m:sub>
        </m:sSub>
        <m:r>
          <w:rPr>
            <w:rFonts w:ascii="Cambria Math" w:eastAsiaTheme="minorEastAsia" w:hAnsi="Cambria Math" w:cstheme="minorHAnsi"/>
          </w:rPr>
          <m:t>∙α∙</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ctrlPr>
              <w:rPr>
                <w:rFonts w:ascii="Cambria Math" w:eastAsiaTheme="minorEastAsia" w:hAnsi="Cambria Math" w:cstheme="minorHAnsi"/>
                <w:i/>
              </w:rPr>
            </m:ctrlPr>
          </m:fName>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π</m:t>
                    </m:r>
                    <m:d>
                      <m:dPr>
                        <m:ctrlPr>
                          <w:rPr>
                            <w:rFonts w:ascii="Cambria Math" w:eastAsiaTheme="minorEastAsia" w:hAnsi="Cambria Math" w:cstheme="minorHAnsi"/>
                            <w:i/>
                          </w:rPr>
                        </m:ctrlPr>
                      </m:dPr>
                      <m:e>
                        <m:r>
                          <w:rPr>
                            <w:rFonts w:ascii="Cambria Math" w:eastAsiaTheme="minorEastAsia" w:hAnsi="Cambria Math" w:cstheme="minorHAnsi"/>
                          </w:rPr>
                          <m:t>hr-</m:t>
                        </m:r>
                        <m:sSub>
                          <m:sSubPr>
                            <m:ctrlPr>
                              <w:rPr>
                                <w:rFonts w:ascii="Cambria Math" w:eastAsiaTheme="minorEastAsia" w:hAnsi="Cambria Math" w:cstheme="minorHAnsi"/>
                                <w:i/>
                              </w:rPr>
                            </m:ctrlPr>
                          </m:sSubPr>
                          <m:e>
                            <m:r>
                              <w:rPr>
                                <w:rFonts w:ascii="Cambria Math" w:eastAsiaTheme="minorEastAsia" w:hAnsi="Cambria Math" w:cstheme="minorHAnsi"/>
                              </w:rPr>
                              <m:t>hr</m:t>
                            </m:r>
                          </m:e>
                          <m:sub>
                            <m:r>
                              <w:rPr>
                                <w:rFonts w:ascii="Cambria Math" w:eastAsiaTheme="minorEastAsia" w:hAnsi="Cambria Math" w:cstheme="minorHAnsi"/>
                              </w:rPr>
                              <m:t>Tmax</m:t>
                            </m:r>
                          </m:sub>
                        </m:sSub>
                      </m:e>
                    </m:d>
                  </m:num>
                  <m:den>
                    <m:r>
                      <w:rPr>
                        <w:rFonts w:ascii="Cambria Math" w:eastAsiaTheme="minorEastAsia" w:hAnsi="Cambria Math" w:cstheme="minorHAnsi"/>
                      </w:rPr>
                      <m:t>12</m:t>
                    </m:r>
                  </m:den>
                </m:f>
              </m:e>
            </m:d>
          </m:e>
        </m:func>
      </m:oMath>
    </w:p>
    <w:p w14:paraId="3BEE6FBA" w14:textId="32E4FA06" w:rsidR="006551F0" w:rsidRPr="008F6866" w:rsidRDefault="006551F0" w:rsidP="00464AA8">
      <w:pPr>
        <w:spacing w:before="120" w:after="0" w:line="300" w:lineRule="auto"/>
        <w:ind w:left="1418" w:firstLine="709"/>
        <w:jc w:val="right"/>
        <w:rPr>
          <w:rFonts w:eastAsiaTheme="minorEastAsia" w:cstheme="minorHAnsi"/>
        </w:rPr>
      </w:pPr>
      <m:oMath>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avg,d</m:t>
            </m:r>
          </m:sub>
        </m:sSub>
        <m:r>
          <w:rPr>
            <w:rFonts w:ascii="Cambria Math" w:eastAsiaTheme="minorEastAsia" w:hAnsi="Cambria Math" w:cstheme="minorHAnsi"/>
          </w:rPr>
          <m:t>+</m:t>
        </m:r>
        <m:f>
          <m:fPr>
            <m:type m:val="lin"/>
            <m:ctrlPr>
              <w:rPr>
                <w:rFonts w:ascii="Cambria Math" w:eastAsiaTheme="minorEastAsia" w:hAnsi="Cambria Math" w:cstheme="minorHAnsi"/>
                <w:i/>
              </w:rPr>
            </m:ctrlPr>
          </m:fPr>
          <m:num>
            <m:r>
              <w:rPr>
                <w:rFonts w:ascii="Cambria Math" w:eastAsiaTheme="minorEastAsia" w:hAnsi="Cambria Math" w:cstheme="minorHAnsi"/>
              </w:rPr>
              <m:t>(hr-13)</m:t>
            </m:r>
          </m:num>
          <m:den>
            <m:r>
              <w:rPr>
                <w:rFonts w:ascii="Cambria Math" w:eastAsiaTheme="minorEastAsia" w:hAnsi="Cambria Math" w:cstheme="minorHAnsi"/>
              </w:rPr>
              <m:t>12</m:t>
            </m:r>
          </m:den>
        </m:f>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avg,diff</m:t>
            </m:r>
          </m:sub>
        </m:sSub>
      </m:oMath>
      <w:r w:rsidRPr="008F6866">
        <w:rPr>
          <w:rFonts w:eastAsiaTheme="minorEastAsia" w:cstheme="minorHAnsi"/>
        </w:rPr>
        <w:t xml:space="preserve">                                                  (</w:t>
      </w:r>
      <w:r w:rsidR="00D050CD" w:rsidRPr="008F6866">
        <w:rPr>
          <w:rFonts w:eastAsiaTheme="minorEastAsia" w:cstheme="minorHAnsi"/>
        </w:rPr>
        <w:t>3</w:t>
      </w:r>
      <w:r w:rsidRPr="008F6866">
        <w:rPr>
          <w:rFonts w:eastAsiaTheme="minorEastAsia" w:cstheme="minorHAnsi"/>
        </w:rPr>
        <w:t>.12)</w:t>
      </w:r>
    </w:p>
    <w:p w14:paraId="43BE2F14" w14:textId="77777777" w:rsidR="00C03583" w:rsidRPr="008F6866" w:rsidRDefault="00C03583" w:rsidP="00C03583">
      <w:pPr>
        <w:spacing w:after="0"/>
        <w:rPr>
          <w:rFonts w:cstheme="minorHAnsi"/>
        </w:rPr>
      </w:pPr>
    </w:p>
    <w:p w14:paraId="4541116E" w14:textId="2D6D86DD" w:rsidR="006551F0" w:rsidRPr="008F6866" w:rsidRDefault="006551F0" w:rsidP="39707634">
      <w:pPr>
        <w:rPr>
          <w:b/>
          <w:bCs/>
        </w:rPr>
      </w:pPr>
      <w:r w:rsidRPr="008F6866">
        <w:rPr>
          <w:b/>
          <w:bCs/>
        </w:rPr>
        <w:t>Rainfall</w:t>
      </w:r>
      <w:r w:rsidR="01D03A74" w:rsidRPr="008F6866">
        <w:rPr>
          <w:b/>
          <w:bCs/>
        </w:rPr>
        <w:t xml:space="preserve"> and wind speed</w:t>
      </w:r>
    </w:p>
    <w:p w14:paraId="67D586FD" w14:textId="70561BE1" w:rsidR="006551F0" w:rsidRPr="008F6866" w:rsidRDefault="006551F0" w:rsidP="00B171F6">
      <w:pPr>
        <w:spacing w:after="0" w:line="300" w:lineRule="auto"/>
        <w:jc w:val="both"/>
      </w:pPr>
      <w:r w:rsidRPr="008F6866">
        <w:t>To perform temporal disaggregation, the subdaily distribution of analog days is employed to distribute daily precipitation totals into hourly intervals</w:t>
      </w:r>
      <w:r w:rsidR="00D050CD" w:rsidRPr="008F6866">
        <w:t xml:space="preserve"> </w:t>
      </w:r>
      <w:r w:rsidRPr="008F6866">
        <w:fldChar w:fldCharType="begin">
          <w:fldData xml:space="preserve">PEVuZE5vdGU+PENpdGU+PEF1dGhvcj5NZWhyb3RyYTwvQXV0aG9yPjxZZWFyPjIwMTI8L1llYXI+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</w:fldData>
        </w:fldChar>
      </w:r>
      <w:r w:rsidR="001677B2">
        <w:instrText xml:space="preserve"> ADDIN EN.CITE </w:instrText>
      </w:r>
      <w:r w:rsidR="001677B2">
        <w:fldChar w:fldCharType="begin">
          <w:fldData xml:space="preserve">PEVuZE5vdGU+PENpdGU+PEF1dGhvcj5NZWhyb3RyYTwvQXV0aG9yPjxZZWFyPjIwMTI8L1llYXI+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</w:fldData>
        </w:fldChar>
      </w:r>
      <w:r w:rsidR="001677B2">
        <w:instrText xml:space="preserve"> ADDIN EN.CITE.DATA </w:instrText>
      </w:r>
      <w:r w:rsidR="001677B2">
        <w:fldChar w:fldCharType="end"/>
      </w:r>
      <w:r w:rsidRPr="008F6866">
        <w:fldChar w:fldCharType="separate"/>
      </w:r>
      <w:r w:rsidR="001677B2">
        <w:rPr>
          <w:noProof/>
        </w:rPr>
        <w:t>(Carreau</w:t>
      </w:r>
      <w:r w:rsidR="001677B2" w:rsidRPr="001677B2">
        <w:rPr>
          <w:i/>
          <w:noProof/>
        </w:rPr>
        <w:t xml:space="preserve"> et al.</w:t>
      </w:r>
      <w:r w:rsidR="001677B2">
        <w:rPr>
          <w:noProof/>
        </w:rPr>
        <w:t>, 2019; Mehrotra</w:t>
      </w:r>
      <w:r w:rsidR="001677B2" w:rsidRPr="001677B2">
        <w:rPr>
          <w:i/>
          <w:noProof/>
        </w:rPr>
        <w:t xml:space="preserve"> et al.</w:t>
      </w:r>
      <w:r w:rsidR="001677B2">
        <w:rPr>
          <w:noProof/>
        </w:rPr>
        <w:t>, 2012)</w:t>
      </w:r>
      <w:r w:rsidRPr="008F6866">
        <w:fldChar w:fldCharType="end"/>
      </w:r>
      <w:r w:rsidRPr="008F6866">
        <w:t>. Here, analog days are defined as days that are similar in terms of daily cumulative precipitation at the location of interest. For the projections to be disaggregated, the most similar day in the historical period (considering only the corresponding month) is selected and its hourly precipitation distribution is used to define the hourly evolution of rain for this day. Compared to the method of fragments initially tested, this approach does not generate weak rainfall for all hours of the day. The pronounced evapotranspiration detected in HETEROFOR is no more simulated.</w:t>
      </w:r>
      <w:r w:rsidR="5616BB29" w:rsidRPr="008F6866">
        <w:t xml:space="preserve"> The same approach was also used for wind speed.</w:t>
      </w:r>
    </w:p>
    <w:p w14:paraId="0E0B7C36" w14:textId="77777777" w:rsidR="00C03583" w:rsidRPr="008F6866" w:rsidRDefault="00C03583" w:rsidP="00C03583">
      <w:pPr>
        <w:spacing w:after="0"/>
        <w:jc w:val="both"/>
        <w:rPr>
          <w:rFonts w:cstheme="minorHAnsi"/>
          <w:b/>
        </w:rPr>
      </w:pPr>
    </w:p>
    <w:p w14:paraId="05A87F3D" w14:textId="1C65F242" w:rsidR="006551F0" w:rsidRPr="008F6866" w:rsidRDefault="006551F0" w:rsidP="006551F0">
      <w:pPr>
        <w:jc w:val="both"/>
        <w:rPr>
          <w:rFonts w:eastAsia="Calibri" w:cstheme="minorHAnsi"/>
          <w:b/>
        </w:rPr>
      </w:pPr>
      <w:r w:rsidRPr="008F6866">
        <w:rPr>
          <w:rFonts w:cstheme="minorHAnsi"/>
          <w:b/>
        </w:rPr>
        <w:t>Solar radiation</w:t>
      </w:r>
    </w:p>
    <w:p w14:paraId="2C260D25" w14:textId="71ECFF33" w:rsidR="006551F0" w:rsidRPr="008F6866" w:rsidRDefault="006551F0" w:rsidP="005529F8">
      <w:pPr>
        <w:spacing w:after="0" w:line="300" w:lineRule="auto"/>
        <w:jc w:val="both"/>
        <w:rPr>
          <w:rFonts w:eastAsia="Calibri" w:cstheme="minorHAnsi"/>
        </w:rPr>
      </w:pPr>
      <w:r w:rsidRPr="008F6866">
        <w:rPr>
          <w:rFonts w:cstheme="minorHAnsi"/>
        </w:rPr>
        <w:t>The method of fragments (MOF) is used to disaggregate daily solar radiation. The main idea behind the MOF is to disaggregate the day of interest using the long-term diurnal pattern and impose the relative distribution (i.e., fragments) on the day of interest</w:t>
      </w:r>
      <w:r w:rsidR="00D050CD" w:rsidRPr="008F6866">
        <w:rPr>
          <w:rFonts w:cstheme="minorHAnsi"/>
        </w:rPr>
        <w:t xml:space="preserve"> </w:t>
      </w:r>
      <w:r w:rsidRPr="008F6866">
        <w:rPr>
          <w:rFonts w:cstheme="minorHAnsi"/>
        </w:rPr>
        <w:fldChar w:fldCharType="begin">
          <w:fldData xml:space="preserve">PEVuZE5vdGU+PENpdGU+PEF1dGhvcj5TaGFybWE8L0F1dGhvcj48WWVhcj4yMDA2PC9ZZWFyPjxS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</w:fldData>
        </w:fldChar>
      </w:r>
      <w:r w:rsidR="001677B2">
        <w:rPr>
          <w:rFonts w:cstheme="minorHAnsi"/>
        </w:rPr>
        <w:instrText xml:space="preserve"> ADDIN EN.CITE </w:instrText>
      </w:r>
      <w:r w:rsidR="001677B2">
        <w:rPr>
          <w:rFonts w:cstheme="minorHAnsi"/>
        </w:rPr>
        <w:fldChar w:fldCharType="begin">
          <w:fldData xml:space="preserve">PEVuZE5vdGU+PENpdGU+PEF1dGhvcj5TaGFybWE8L0F1dGhvcj48WWVhcj4yMDA2PC9ZZWFyPjxS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</w:fldData>
        </w:fldChar>
      </w:r>
      <w:r w:rsidR="001677B2">
        <w:rPr>
          <w:rFonts w:cstheme="minorHAnsi"/>
        </w:rPr>
        <w:instrText xml:space="preserve"> ADDIN EN.CITE.DATA </w:instrText>
      </w:r>
      <w:r w:rsidR="001677B2">
        <w:rPr>
          <w:rFonts w:cstheme="minorHAnsi"/>
        </w:rPr>
      </w:r>
      <w:r w:rsidR="001677B2">
        <w:rPr>
          <w:rFonts w:cstheme="minorHAnsi"/>
        </w:rPr>
        <w:fldChar w:fldCharType="end"/>
      </w:r>
      <w:r w:rsidRPr="008F6866">
        <w:rPr>
          <w:rFonts w:cstheme="minorHAnsi"/>
        </w:rPr>
      </w:r>
      <w:r w:rsidRPr="008F6866">
        <w:rPr>
          <w:rFonts w:cstheme="minorHAnsi"/>
        </w:rPr>
        <w:fldChar w:fldCharType="separate"/>
      </w:r>
      <w:r w:rsidR="001677B2">
        <w:rPr>
          <w:rFonts w:cstheme="minorHAnsi"/>
          <w:noProof/>
        </w:rPr>
        <w:t>(Sharma and Srikanthan, 2006; Westra</w:t>
      </w:r>
      <w:r w:rsidR="001677B2" w:rsidRPr="001677B2">
        <w:rPr>
          <w:rFonts w:cstheme="minorHAnsi"/>
          <w:i/>
          <w:noProof/>
        </w:rPr>
        <w:t xml:space="preserve"> et al.</w:t>
      </w:r>
      <w:r w:rsidR="001677B2">
        <w:rPr>
          <w:rFonts w:cstheme="minorHAnsi"/>
          <w:noProof/>
        </w:rPr>
        <w:t>, 2012)</w:t>
      </w:r>
      <w:r w:rsidRPr="008F6866">
        <w:rPr>
          <w:rFonts w:cstheme="minorHAnsi"/>
        </w:rPr>
        <w:fldChar w:fldCharType="end"/>
      </w:r>
      <w:r w:rsidRPr="008F6866">
        <w:rPr>
          <w:rFonts w:cstheme="minorHAnsi"/>
        </w:rPr>
        <w:t>. In our case where the disaggregation is conducted from daily to hourly values, the number of fragments is 24. The relative distribution of hourly values, therefore, consists of 24 relative weights that sum up to 1. The hourly data of the stations are first aggregated to daily values. The weights (factors) for a given hour in the entire time series are then calculated as the ratio of the value in that hour to the respective total daily value. The weights are averaged per hour to determine the relative distribution of hourly to daily values, which are subsequently averaged over the stations to find the regional pattern. The regional, hourly weights are finally applied to daily model simulations to disaggregate them to hourly values. We calculated the hourly fragments separately for each month of the year, which led to a slight enhancement in the results compared to not distinguishing between months.</w:t>
      </w:r>
    </w:p>
    <w:p w14:paraId="6DB861C2" w14:textId="02014F4D" w:rsidR="00C03583" w:rsidRPr="008F6866" w:rsidRDefault="00C03583" w:rsidP="00414E2C">
      <w:pPr>
        <w:spacing w:after="0"/>
        <w:rPr>
          <w:b/>
        </w:rPr>
      </w:pPr>
    </w:p>
    <w:p w14:paraId="527CD947" w14:textId="77777777" w:rsidR="00B45E8A" w:rsidRDefault="00B45E8A">
      <w:pPr>
        <w:rPr>
          <w:b/>
        </w:rPr>
      </w:pPr>
      <w:r>
        <w:rPr>
          <w:b/>
        </w:rPr>
        <w:br w:type="page"/>
      </w:r>
    </w:p>
    <w:p w14:paraId="1E3DD8DA" w14:textId="56BAAC9D" w:rsidR="006551F0" w:rsidRPr="008F6866" w:rsidRDefault="006551F0" w:rsidP="00F52A55">
      <w:pPr>
        <w:spacing w:after="120"/>
        <w:rPr>
          <w:b/>
        </w:rPr>
      </w:pPr>
      <w:r w:rsidRPr="008F6866">
        <w:rPr>
          <w:b/>
        </w:rPr>
        <w:lastRenderedPageBreak/>
        <w:t>Task 1.7. Exports of indicators for simulation result analysis and comparison</w:t>
      </w:r>
    </w:p>
    <w:p w14:paraId="6541509A" w14:textId="086B2894" w:rsidR="00F97DF4" w:rsidRPr="008F6866" w:rsidRDefault="39CFF0FF" w:rsidP="00B45E8A">
      <w:pPr>
        <w:spacing w:after="120" w:line="300" w:lineRule="auto"/>
        <w:jc w:val="both"/>
        <w:rPr>
          <w:rFonts w:eastAsia="CG Omega"/>
        </w:rPr>
      </w:pPr>
      <w:r w:rsidRPr="008F6866">
        <w:rPr>
          <w:rFonts w:eastAsia="CG Omega"/>
        </w:rPr>
        <w:t>To ease exportation and analysis of the simulation results, exports of pre-processed indicators were implemented considering three integration formats: (i) ecosystem level over the simulation period, distinguishing the species for some of the indicators, (ii) yearly at the ecosystem level and (iii) yearly at species level (see</w:t>
      </w:r>
      <w:r w:rsidR="00F52A55" w:rsidRPr="008F6866">
        <w:rPr>
          <w:rFonts w:eastAsia="CG Omega"/>
        </w:rPr>
        <w:t xml:space="preserve"> </w:t>
      </w:r>
      <w:r w:rsidR="00F52A55" w:rsidRPr="008F6866">
        <w:rPr>
          <w:rFonts w:eastAsia="CG Omega"/>
        </w:rPr>
        <w:fldChar w:fldCharType="begin"/>
      </w:r>
      <w:r w:rsidR="00F52A55" w:rsidRPr="008F6866">
        <w:rPr>
          <w:rFonts w:eastAsia="CG Omega"/>
        </w:rPr>
        <w:instrText xml:space="preserve"> REF _Ref195557608 \h  \* MERGEFORMAT </w:instrText>
      </w:r>
      <w:r w:rsidR="00F52A55" w:rsidRPr="008F6866">
        <w:rPr>
          <w:rFonts w:eastAsia="CG Omega"/>
        </w:rPr>
      </w:r>
      <w:r w:rsidR="00F52A55" w:rsidRPr="008F6866">
        <w:rPr>
          <w:rFonts w:eastAsia="CG Omega"/>
        </w:rPr>
        <w:fldChar w:fldCharType="separate"/>
      </w:r>
      <w:r w:rsidR="00540DBF" w:rsidRPr="00540DBF">
        <w:rPr>
          <w:rFonts w:eastAsia="CG Omega"/>
        </w:rPr>
        <w:t>Table I</w:t>
      </w:r>
      <w:r w:rsidR="00F52A55" w:rsidRPr="008F6866">
        <w:rPr>
          <w:rFonts w:eastAsia="CG Omega"/>
        </w:rPr>
        <w:fldChar w:fldCharType="end"/>
      </w:r>
      <w:r w:rsidRPr="008F6866">
        <w:rPr>
          <w:rFonts w:eastAsia="CG Omega"/>
        </w:rPr>
        <w:t xml:space="preserve">). For the latter format, the following ‘status’ </w:t>
      </w:r>
      <w:r w:rsidR="00C03583" w:rsidRPr="008F6866">
        <w:rPr>
          <w:rFonts w:eastAsia="CG Omega"/>
        </w:rPr>
        <w:t xml:space="preserve">were </w:t>
      </w:r>
      <w:r w:rsidRPr="008F6866">
        <w:rPr>
          <w:rFonts w:eastAsia="CG Omega"/>
        </w:rPr>
        <w:t xml:space="preserve">also distinguished for each species: living trees, dead trees, cut trees, trees recruited on the current year, wind damaged trees, all seedlings and new seedlings (germinated or planted during the current year). </w:t>
      </w:r>
      <w:r w:rsidR="00162701" w:rsidRPr="008F6866">
        <w:rPr>
          <w:rFonts w:eastAsia="CG Omega"/>
        </w:rPr>
        <w:t>To</w:t>
      </w:r>
      <w:r w:rsidRPr="008F6866">
        <w:rPr>
          <w:rFonts w:eastAsia="CG Omega"/>
        </w:rPr>
        <w:t xml:space="preserve"> evaluate stand resistance to wind, a storm is generated at regular time interval (default is 10 years) when executing the exports for formats (i) and (iii) and the basal area proportions of overturned, broken, impacted (i.e., damaged by the fall of a neighbouring tree) and undamaged trees are calculated.</w:t>
      </w:r>
    </w:p>
    <w:p w14:paraId="60C942DC" w14:textId="7D74271F" w:rsidR="00C03583" w:rsidRPr="008F6866" w:rsidRDefault="00C03583" w:rsidP="00C03583">
      <w:pPr>
        <w:pStyle w:val="Lgende"/>
        <w:spacing w:after="60"/>
        <w:jc w:val="center"/>
        <w:rPr>
          <w:rFonts w:ascii="CG Omega" w:eastAsia="CG Omega" w:hAnsi="CG Omega" w:cs="CG Omega"/>
          <w:b/>
          <w:i w:val="0"/>
          <w:color w:val="000000" w:themeColor="text1"/>
          <w:sz w:val="20"/>
          <w:szCs w:val="20"/>
        </w:rPr>
      </w:pPr>
      <w:bookmarkStart w:id="10" w:name="_Ref195624751"/>
      <w:bookmarkStart w:id="11" w:name="_Ref195652841"/>
      <w:bookmarkStart w:id="12" w:name="_Ref195557608"/>
      <w:r w:rsidRPr="008F6866">
        <w:rPr>
          <w:b/>
          <w:i w:val="0"/>
          <w:color w:val="000000" w:themeColor="text1"/>
          <w:sz w:val="20"/>
          <w:szCs w:val="20"/>
        </w:rPr>
        <w:t xml:space="preserve">Table </w:t>
      </w:r>
      <w:bookmarkEnd w:id="10"/>
      <w:r w:rsidR="00EE472B">
        <w:rPr>
          <w:b/>
          <w:i w:val="0"/>
          <w:color w:val="000000" w:themeColor="text1"/>
          <w:sz w:val="20"/>
          <w:szCs w:val="20"/>
        </w:rPr>
        <w:fldChar w:fldCharType="begin"/>
      </w:r>
      <w:r w:rsidR="00EE472B">
        <w:rPr>
          <w:b/>
          <w:i w:val="0"/>
          <w:color w:val="000000" w:themeColor="text1"/>
          <w:sz w:val="20"/>
          <w:szCs w:val="20"/>
        </w:rPr>
        <w:instrText xml:space="preserve"> SEQ Table \* ROMAN </w:instrText>
      </w:r>
      <w:r w:rsidR="00EE472B">
        <w:rPr>
          <w:b/>
          <w:i w:val="0"/>
          <w:color w:val="000000" w:themeColor="text1"/>
          <w:sz w:val="20"/>
          <w:szCs w:val="20"/>
        </w:rPr>
        <w:fldChar w:fldCharType="separate"/>
      </w:r>
      <w:r w:rsidR="00540DBF">
        <w:rPr>
          <w:b/>
          <w:i w:val="0"/>
          <w:noProof/>
          <w:color w:val="000000" w:themeColor="text1"/>
          <w:sz w:val="20"/>
          <w:szCs w:val="20"/>
        </w:rPr>
        <w:t>I</w:t>
      </w:r>
      <w:r w:rsidR="00EE472B">
        <w:rPr>
          <w:b/>
          <w:i w:val="0"/>
          <w:color w:val="000000" w:themeColor="text1"/>
          <w:sz w:val="20"/>
          <w:szCs w:val="20"/>
        </w:rPr>
        <w:fldChar w:fldCharType="end"/>
      </w:r>
      <w:bookmarkEnd w:id="11"/>
      <w:r w:rsidRPr="008F6866">
        <w:rPr>
          <w:b/>
          <w:i w:val="0"/>
          <w:color w:val="000000" w:themeColor="text1"/>
          <w:sz w:val="20"/>
          <w:szCs w:val="20"/>
        </w:rPr>
        <w:t>. Exports of pre-processed indicators implemented in HETEROFOR</w:t>
      </w:r>
      <w:bookmarkEnd w:id="12"/>
    </w:p>
    <w:tbl>
      <w:tblPr>
        <w:tblStyle w:val="Grilledutableau"/>
        <w:tblW w:w="9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1"/>
        <w:gridCol w:w="2693"/>
        <w:gridCol w:w="1998"/>
        <w:gridCol w:w="2425"/>
      </w:tblGrid>
      <w:tr w:rsidR="00C03583" w:rsidRPr="008F6866" w14:paraId="11CCBE2D" w14:textId="77777777" w:rsidTr="008D2845">
        <w:tc>
          <w:tcPr>
            <w:tcW w:w="2581" w:type="dxa"/>
            <w:shd w:val="clear" w:color="auto" w:fill="000000" w:themeFill="text1"/>
            <w:tcMar>
              <w:left w:w="57" w:type="dxa"/>
              <w:right w:w="57" w:type="dxa"/>
            </w:tcMar>
            <w:vAlign w:val="center"/>
          </w:tcPr>
          <w:p w14:paraId="41B23450" w14:textId="77777777" w:rsidR="00C03583" w:rsidRPr="008F6866" w:rsidRDefault="00C03583" w:rsidP="00C03583">
            <w:pPr>
              <w:jc w:val="center"/>
              <w:rPr>
                <w:rFonts w:asciiTheme="minorHAnsi" w:hAnsiTheme="minorHAnsi"/>
                <w:b/>
                <w:color w:val="FFFFFF" w:themeColor="background1"/>
              </w:rPr>
            </w:pPr>
            <w:r w:rsidRPr="008F6866">
              <w:rPr>
                <w:rFonts w:asciiTheme="minorHAnsi" w:hAnsiTheme="minorHAnsi"/>
                <w:b/>
                <w:color w:val="FFFFFF" w:themeColor="background1"/>
              </w:rPr>
              <w:t>Indicators</w:t>
            </w:r>
          </w:p>
        </w:tc>
        <w:tc>
          <w:tcPr>
            <w:tcW w:w="7116" w:type="dxa"/>
            <w:gridSpan w:val="3"/>
            <w:shd w:val="clear" w:color="auto" w:fill="000000" w:themeFill="text1"/>
            <w:tcMar>
              <w:left w:w="57" w:type="dxa"/>
              <w:right w:w="57" w:type="dxa"/>
            </w:tcMar>
            <w:vAlign w:val="center"/>
          </w:tcPr>
          <w:p w14:paraId="6C8DAA57" w14:textId="77777777" w:rsidR="00C03583" w:rsidRPr="008F6866" w:rsidRDefault="00C03583" w:rsidP="00C03583">
            <w:pPr>
              <w:jc w:val="center"/>
              <w:rPr>
                <w:rFonts w:asciiTheme="minorHAnsi" w:hAnsiTheme="minorHAnsi"/>
                <w:b/>
                <w:color w:val="FFFFFF" w:themeColor="background1"/>
              </w:rPr>
            </w:pPr>
            <w:r w:rsidRPr="008F6866">
              <w:rPr>
                <w:rFonts w:asciiTheme="minorHAnsi" w:hAnsiTheme="minorHAnsi"/>
                <w:b/>
                <w:color w:val="FFFFFF" w:themeColor="background1"/>
              </w:rPr>
              <w:t>Integration levels</w:t>
            </w:r>
          </w:p>
        </w:tc>
      </w:tr>
      <w:tr w:rsidR="00C03583" w:rsidRPr="008F6866" w14:paraId="613FEE30" w14:textId="77777777" w:rsidTr="008D2845">
        <w:tc>
          <w:tcPr>
            <w:tcW w:w="2581" w:type="dxa"/>
            <w:tcMar>
              <w:left w:w="57" w:type="dxa"/>
              <w:right w:w="57" w:type="dxa"/>
            </w:tcMar>
            <w:vAlign w:val="center"/>
          </w:tcPr>
          <w:p w14:paraId="76A86D7B" w14:textId="77777777" w:rsidR="00C03583" w:rsidRPr="008F6866" w:rsidRDefault="00C03583" w:rsidP="00C03583">
            <w:pPr>
              <w:rPr>
                <w:rFonts w:asciiTheme="minorHAnsi" w:hAnsiTheme="minorHAnsi"/>
                <w:color w:val="000000"/>
              </w:rPr>
            </w:pPr>
          </w:p>
        </w:tc>
        <w:tc>
          <w:tcPr>
            <w:tcW w:w="2693" w:type="dxa"/>
            <w:tcBorders>
              <w:bottom w:val="single" w:sz="12" w:space="0" w:color="000000" w:themeColor="text1"/>
            </w:tcBorders>
            <w:tcMar>
              <w:left w:w="57" w:type="dxa"/>
              <w:right w:w="57" w:type="dxa"/>
            </w:tcMar>
            <w:vAlign w:val="center"/>
          </w:tcPr>
          <w:p w14:paraId="367CFD2C" w14:textId="77777777" w:rsidR="00C03583" w:rsidRPr="008F6866" w:rsidRDefault="00C03583" w:rsidP="00C03583">
            <w:pPr>
              <w:jc w:val="center"/>
              <w:rPr>
                <w:rFonts w:asciiTheme="minorHAnsi" w:hAnsiTheme="minorHAnsi"/>
                <w:b/>
                <w:color w:val="000000"/>
              </w:rPr>
            </w:pPr>
            <w:r w:rsidRPr="008F6866">
              <w:rPr>
                <w:rFonts w:asciiTheme="minorHAnsi" w:hAnsiTheme="minorHAnsi"/>
                <w:b/>
                <w:color w:val="000000"/>
              </w:rPr>
              <w:t>Ecosystem level over the simulation period</w:t>
            </w:r>
            <w:r w:rsidRPr="008F6866">
              <w:rPr>
                <w:rFonts w:asciiTheme="minorHAnsi" w:hAnsiTheme="minorHAnsi"/>
                <w:b/>
                <w:color w:val="000000"/>
                <w:vertAlign w:val="superscript"/>
              </w:rPr>
              <w:t>1</w:t>
            </w:r>
          </w:p>
        </w:tc>
        <w:tc>
          <w:tcPr>
            <w:tcW w:w="1998" w:type="dxa"/>
            <w:tcBorders>
              <w:bottom w:val="single" w:sz="12" w:space="0" w:color="000000" w:themeColor="text1"/>
            </w:tcBorders>
            <w:tcMar>
              <w:left w:w="57" w:type="dxa"/>
              <w:right w:w="57" w:type="dxa"/>
            </w:tcMar>
            <w:vAlign w:val="center"/>
          </w:tcPr>
          <w:p w14:paraId="740953A1" w14:textId="77777777" w:rsidR="00C03583" w:rsidRPr="008F6866" w:rsidRDefault="00C03583" w:rsidP="00C03583">
            <w:pPr>
              <w:jc w:val="center"/>
              <w:rPr>
                <w:rFonts w:asciiTheme="minorHAnsi" w:hAnsiTheme="minorHAnsi"/>
                <w:b/>
                <w:color w:val="000000"/>
              </w:rPr>
            </w:pPr>
            <w:r w:rsidRPr="008F6866">
              <w:rPr>
                <w:rFonts w:asciiTheme="minorHAnsi" w:hAnsiTheme="minorHAnsi"/>
                <w:b/>
                <w:color w:val="000000"/>
              </w:rPr>
              <w:t>Yearly at ecosystem level</w:t>
            </w:r>
          </w:p>
        </w:tc>
        <w:tc>
          <w:tcPr>
            <w:tcW w:w="2425" w:type="dxa"/>
            <w:tcBorders>
              <w:bottom w:val="single" w:sz="12" w:space="0" w:color="000000" w:themeColor="text1"/>
            </w:tcBorders>
            <w:tcMar>
              <w:left w:w="57" w:type="dxa"/>
              <w:right w:w="57" w:type="dxa"/>
            </w:tcMar>
            <w:vAlign w:val="center"/>
          </w:tcPr>
          <w:p w14:paraId="24DA2EBE" w14:textId="77777777" w:rsidR="00C03583" w:rsidRPr="008F6866" w:rsidRDefault="00C03583" w:rsidP="00C03583">
            <w:pPr>
              <w:jc w:val="center"/>
              <w:rPr>
                <w:rFonts w:asciiTheme="minorHAnsi" w:hAnsiTheme="minorHAnsi"/>
                <w:b/>
                <w:color w:val="000000"/>
              </w:rPr>
            </w:pPr>
            <w:r w:rsidRPr="008F6866">
              <w:rPr>
                <w:rFonts w:asciiTheme="minorHAnsi" w:hAnsiTheme="minorHAnsi"/>
                <w:b/>
                <w:color w:val="000000"/>
              </w:rPr>
              <w:t>Yearly at species level</w:t>
            </w:r>
            <w:r w:rsidRPr="008F6866">
              <w:rPr>
                <w:rFonts w:asciiTheme="minorHAnsi" w:hAnsiTheme="minorHAnsi"/>
                <w:b/>
                <w:color w:val="000000"/>
                <w:vertAlign w:val="superscript"/>
              </w:rPr>
              <w:t>2</w:t>
            </w:r>
          </w:p>
        </w:tc>
      </w:tr>
      <w:tr w:rsidR="00C03583" w:rsidRPr="008F6866" w14:paraId="0B9E6A52" w14:textId="77777777" w:rsidTr="008D2845">
        <w:tc>
          <w:tcPr>
            <w:tcW w:w="9697" w:type="dxa"/>
            <w:gridSpan w:val="4"/>
            <w:tcMar>
              <w:left w:w="57" w:type="dxa"/>
              <w:bottom w:w="28" w:type="dxa"/>
              <w:right w:w="57" w:type="dxa"/>
            </w:tcMar>
            <w:vAlign w:val="center"/>
          </w:tcPr>
          <w:p w14:paraId="6CA185FF" w14:textId="77777777" w:rsidR="00C03583" w:rsidRPr="008F6866" w:rsidRDefault="00C03583" w:rsidP="00C03583">
            <w:pPr>
              <w:rPr>
                <w:rFonts w:asciiTheme="minorHAnsi" w:hAnsiTheme="minorHAnsi"/>
                <w:color w:val="000000"/>
              </w:rPr>
            </w:pPr>
            <w:r w:rsidRPr="008F6866">
              <w:rPr>
                <w:rFonts w:asciiTheme="minorHAnsi" w:hAnsiTheme="minorHAnsi"/>
                <w:b/>
                <w:color w:val="000000"/>
              </w:rPr>
              <w:t>Stand dendrometry &amp; density</w:t>
            </w:r>
          </w:p>
        </w:tc>
      </w:tr>
      <w:tr w:rsidR="00C03583" w:rsidRPr="008F6866" w14:paraId="0F417948" w14:textId="77777777" w:rsidTr="008D2845">
        <w:tc>
          <w:tcPr>
            <w:tcW w:w="2581" w:type="dxa"/>
            <w:tcMar>
              <w:left w:w="57" w:type="dxa"/>
              <w:bottom w:w="28" w:type="dxa"/>
              <w:right w:w="57" w:type="dxa"/>
            </w:tcMar>
            <w:vAlign w:val="center"/>
          </w:tcPr>
          <w:p w14:paraId="576187CE"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Number of individuals /ha</w:t>
            </w:r>
          </w:p>
        </w:tc>
        <w:tc>
          <w:tcPr>
            <w:tcW w:w="2693" w:type="dxa"/>
            <w:shd w:val="clear" w:color="auto" w:fill="auto"/>
            <w:tcMar>
              <w:left w:w="57" w:type="dxa"/>
              <w:bottom w:w="28" w:type="dxa"/>
              <w:right w:w="57" w:type="dxa"/>
            </w:tcMar>
            <w:vAlign w:val="center"/>
          </w:tcPr>
          <w:p w14:paraId="53A3D6A2"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Dead, recruited (/species)</w:t>
            </w:r>
          </w:p>
        </w:tc>
        <w:tc>
          <w:tcPr>
            <w:tcW w:w="1998" w:type="dxa"/>
            <w:shd w:val="reverseDiagStripe" w:color="auto" w:fill="auto"/>
            <w:tcMar>
              <w:left w:w="57" w:type="dxa"/>
              <w:bottom w:w="28" w:type="dxa"/>
              <w:right w:w="57" w:type="dxa"/>
            </w:tcMar>
            <w:vAlign w:val="center"/>
          </w:tcPr>
          <w:p w14:paraId="4F6DD4CD" w14:textId="77777777" w:rsidR="00C03583" w:rsidRPr="008F6866" w:rsidRDefault="00C03583" w:rsidP="00C03583">
            <w:pPr>
              <w:jc w:val="both"/>
              <w:rPr>
                <w:rFonts w:asciiTheme="minorHAnsi" w:hAnsiTheme="minorHAnsi"/>
                <w:color w:val="000000"/>
              </w:rPr>
            </w:pPr>
          </w:p>
        </w:tc>
        <w:tc>
          <w:tcPr>
            <w:tcW w:w="2425" w:type="dxa"/>
            <w:tcMar>
              <w:left w:w="57" w:type="dxa"/>
              <w:bottom w:w="28" w:type="dxa"/>
              <w:right w:w="57" w:type="dxa"/>
            </w:tcMar>
            <w:vAlign w:val="center"/>
          </w:tcPr>
          <w:p w14:paraId="43898F0B" w14:textId="77777777" w:rsidR="00C03583" w:rsidRPr="008F6866" w:rsidRDefault="00C03583" w:rsidP="00C03583">
            <w:pPr>
              <w:jc w:val="center"/>
              <w:rPr>
                <w:rFonts w:asciiTheme="minorHAnsi" w:hAnsiTheme="minorHAnsi"/>
                <w:color w:val="000000"/>
              </w:rPr>
            </w:pPr>
          </w:p>
        </w:tc>
      </w:tr>
      <w:tr w:rsidR="00C03583" w:rsidRPr="008F6866" w14:paraId="4316E713" w14:textId="77777777" w:rsidTr="008D2845">
        <w:tc>
          <w:tcPr>
            <w:tcW w:w="2581" w:type="dxa"/>
            <w:tcMar>
              <w:left w:w="57" w:type="dxa"/>
              <w:bottom w:w="28" w:type="dxa"/>
              <w:right w:w="57" w:type="dxa"/>
            </w:tcMar>
            <w:vAlign w:val="center"/>
          </w:tcPr>
          <w:p w14:paraId="5DD6824A"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Trunk circumference (cm)</w:t>
            </w:r>
          </w:p>
        </w:tc>
        <w:tc>
          <w:tcPr>
            <w:tcW w:w="2693" w:type="dxa"/>
            <w:shd w:val="reverseDiagStripe" w:color="auto" w:fill="auto"/>
            <w:tcMar>
              <w:left w:w="57" w:type="dxa"/>
              <w:bottom w:w="28" w:type="dxa"/>
              <w:right w:w="57" w:type="dxa"/>
            </w:tcMar>
            <w:vAlign w:val="center"/>
          </w:tcPr>
          <w:p w14:paraId="0951477F" w14:textId="77777777" w:rsidR="00C03583" w:rsidRPr="008F6866" w:rsidRDefault="00C03583" w:rsidP="00C03583">
            <w:pPr>
              <w:jc w:val="center"/>
              <w:rPr>
                <w:rFonts w:asciiTheme="minorHAnsi" w:hAnsiTheme="minorHAnsi"/>
                <w:color w:val="000000"/>
              </w:rPr>
            </w:pPr>
          </w:p>
        </w:tc>
        <w:tc>
          <w:tcPr>
            <w:tcW w:w="1998" w:type="dxa"/>
            <w:shd w:val="reverseDiagStripe" w:color="auto" w:fill="auto"/>
            <w:tcMar>
              <w:left w:w="57" w:type="dxa"/>
              <w:bottom w:w="28" w:type="dxa"/>
              <w:right w:w="57" w:type="dxa"/>
            </w:tcMar>
            <w:vAlign w:val="center"/>
          </w:tcPr>
          <w:p w14:paraId="0E309B39" w14:textId="77777777" w:rsidR="00C03583" w:rsidRPr="008F6866" w:rsidRDefault="00C03583" w:rsidP="00C03583">
            <w:pPr>
              <w:jc w:val="center"/>
              <w:rPr>
                <w:rFonts w:asciiTheme="minorHAnsi" w:hAnsiTheme="minorHAnsi"/>
                <w:color w:val="000000"/>
              </w:rPr>
            </w:pPr>
          </w:p>
        </w:tc>
        <w:tc>
          <w:tcPr>
            <w:tcW w:w="2425" w:type="dxa"/>
            <w:tcMar>
              <w:left w:w="57" w:type="dxa"/>
              <w:bottom w:w="28" w:type="dxa"/>
              <w:right w:w="57" w:type="dxa"/>
            </w:tcMar>
            <w:vAlign w:val="center"/>
          </w:tcPr>
          <w:p w14:paraId="79BF8324" w14:textId="77777777" w:rsidR="00C03583" w:rsidRPr="008F6866" w:rsidRDefault="00C03583" w:rsidP="00C03583">
            <w:pPr>
              <w:jc w:val="center"/>
              <w:rPr>
                <w:rFonts w:asciiTheme="minorHAnsi" w:hAnsiTheme="minorHAnsi"/>
                <w:color w:val="000000"/>
              </w:rPr>
            </w:pPr>
          </w:p>
        </w:tc>
      </w:tr>
      <w:tr w:rsidR="00C03583" w:rsidRPr="008F6866" w14:paraId="12CC6D24" w14:textId="77777777" w:rsidTr="008D2845">
        <w:tc>
          <w:tcPr>
            <w:tcW w:w="2581" w:type="dxa"/>
            <w:tcMar>
              <w:left w:w="57" w:type="dxa"/>
              <w:bottom w:w="28" w:type="dxa"/>
              <w:right w:w="57" w:type="dxa"/>
            </w:tcMar>
            <w:vAlign w:val="center"/>
          </w:tcPr>
          <w:p w14:paraId="60ABAC6D"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Total height (m)</w:t>
            </w:r>
          </w:p>
        </w:tc>
        <w:tc>
          <w:tcPr>
            <w:tcW w:w="2693" w:type="dxa"/>
            <w:shd w:val="reverseDiagStripe" w:color="auto" w:fill="auto"/>
            <w:tcMar>
              <w:left w:w="57" w:type="dxa"/>
              <w:bottom w:w="28" w:type="dxa"/>
              <w:right w:w="57" w:type="dxa"/>
            </w:tcMar>
            <w:vAlign w:val="center"/>
          </w:tcPr>
          <w:p w14:paraId="3502BA59" w14:textId="77777777" w:rsidR="00C03583" w:rsidRPr="008F6866" w:rsidRDefault="00C03583" w:rsidP="00C03583">
            <w:pPr>
              <w:jc w:val="center"/>
              <w:rPr>
                <w:rFonts w:asciiTheme="minorHAnsi" w:hAnsiTheme="minorHAnsi"/>
                <w:color w:val="000000"/>
              </w:rPr>
            </w:pPr>
          </w:p>
        </w:tc>
        <w:tc>
          <w:tcPr>
            <w:tcW w:w="1998" w:type="dxa"/>
            <w:shd w:val="reverseDiagStripe" w:color="auto" w:fill="auto"/>
            <w:tcMar>
              <w:left w:w="57" w:type="dxa"/>
              <w:bottom w:w="28" w:type="dxa"/>
              <w:right w:w="57" w:type="dxa"/>
            </w:tcMar>
            <w:vAlign w:val="center"/>
          </w:tcPr>
          <w:p w14:paraId="44B3BFA0" w14:textId="77777777" w:rsidR="00C03583" w:rsidRPr="008F6866" w:rsidRDefault="00C03583" w:rsidP="00C03583">
            <w:pPr>
              <w:jc w:val="center"/>
              <w:rPr>
                <w:rFonts w:asciiTheme="minorHAnsi" w:hAnsiTheme="minorHAnsi"/>
                <w:color w:val="000000"/>
              </w:rPr>
            </w:pPr>
          </w:p>
        </w:tc>
        <w:tc>
          <w:tcPr>
            <w:tcW w:w="2425" w:type="dxa"/>
            <w:tcMar>
              <w:left w:w="57" w:type="dxa"/>
              <w:bottom w:w="28" w:type="dxa"/>
              <w:right w:w="57" w:type="dxa"/>
            </w:tcMar>
            <w:vAlign w:val="center"/>
          </w:tcPr>
          <w:p w14:paraId="3ECB280E" w14:textId="77777777" w:rsidR="00C03583" w:rsidRPr="008F6866" w:rsidRDefault="00C03583" w:rsidP="00C03583">
            <w:pPr>
              <w:jc w:val="center"/>
              <w:rPr>
                <w:rFonts w:asciiTheme="minorHAnsi" w:hAnsiTheme="minorHAnsi"/>
                <w:color w:val="000000"/>
              </w:rPr>
            </w:pPr>
          </w:p>
        </w:tc>
      </w:tr>
      <w:tr w:rsidR="00C03583" w:rsidRPr="008F6866" w14:paraId="1F85B7A2" w14:textId="77777777" w:rsidTr="008D2845">
        <w:tc>
          <w:tcPr>
            <w:tcW w:w="2581" w:type="dxa"/>
            <w:tcMar>
              <w:left w:w="57" w:type="dxa"/>
              <w:bottom w:w="28" w:type="dxa"/>
              <w:right w:w="57" w:type="dxa"/>
            </w:tcMar>
            <w:vAlign w:val="center"/>
          </w:tcPr>
          <w:p w14:paraId="4783BF91"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Dominant height (m)</w:t>
            </w:r>
          </w:p>
        </w:tc>
        <w:tc>
          <w:tcPr>
            <w:tcW w:w="2693" w:type="dxa"/>
            <w:shd w:val="reverseDiagStripe" w:color="auto" w:fill="auto"/>
            <w:tcMar>
              <w:left w:w="57" w:type="dxa"/>
              <w:bottom w:w="28" w:type="dxa"/>
              <w:right w:w="57" w:type="dxa"/>
            </w:tcMar>
            <w:vAlign w:val="center"/>
          </w:tcPr>
          <w:p w14:paraId="2458EE13" w14:textId="77777777" w:rsidR="00C03583" w:rsidRPr="008F6866" w:rsidRDefault="00C03583" w:rsidP="00C03583">
            <w:pPr>
              <w:jc w:val="center"/>
              <w:rPr>
                <w:rFonts w:asciiTheme="minorHAnsi" w:hAnsiTheme="minorHAnsi"/>
                <w:color w:val="000000"/>
              </w:rPr>
            </w:pPr>
          </w:p>
        </w:tc>
        <w:tc>
          <w:tcPr>
            <w:tcW w:w="1998" w:type="dxa"/>
            <w:shd w:val="reverseDiagStripe" w:color="auto" w:fill="auto"/>
            <w:tcMar>
              <w:left w:w="57" w:type="dxa"/>
              <w:bottom w:w="28" w:type="dxa"/>
              <w:right w:w="57" w:type="dxa"/>
            </w:tcMar>
            <w:vAlign w:val="center"/>
          </w:tcPr>
          <w:p w14:paraId="02B224ED" w14:textId="77777777" w:rsidR="00C03583" w:rsidRPr="008F6866" w:rsidRDefault="00C03583" w:rsidP="00C03583">
            <w:pPr>
              <w:jc w:val="center"/>
              <w:rPr>
                <w:rFonts w:asciiTheme="minorHAnsi" w:hAnsiTheme="minorHAnsi"/>
                <w:color w:val="000000"/>
              </w:rPr>
            </w:pPr>
          </w:p>
        </w:tc>
        <w:tc>
          <w:tcPr>
            <w:tcW w:w="2425" w:type="dxa"/>
            <w:tcMar>
              <w:left w:w="57" w:type="dxa"/>
              <w:bottom w:w="28" w:type="dxa"/>
              <w:right w:w="57" w:type="dxa"/>
            </w:tcMar>
            <w:vAlign w:val="center"/>
          </w:tcPr>
          <w:p w14:paraId="073F394B" w14:textId="77777777" w:rsidR="00C03583" w:rsidRPr="008F6866" w:rsidRDefault="00C03583" w:rsidP="00C03583">
            <w:pPr>
              <w:jc w:val="center"/>
              <w:rPr>
                <w:rFonts w:asciiTheme="minorHAnsi" w:hAnsiTheme="minorHAnsi"/>
                <w:color w:val="000000"/>
              </w:rPr>
            </w:pPr>
          </w:p>
        </w:tc>
      </w:tr>
      <w:tr w:rsidR="00C03583" w:rsidRPr="008F6866" w14:paraId="1155345B" w14:textId="77777777" w:rsidTr="008D2845">
        <w:tc>
          <w:tcPr>
            <w:tcW w:w="2581" w:type="dxa"/>
            <w:tcMar>
              <w:left w:w="57" w:type="dxa"/>
              <w:bottom w:w="28" w:type="dxa"/>
              <w:right w:w="57" w:type="dxa"/>
            </w:tcMar>
            <w:vAlign w:val="center"/>
          </w:tcPr>
          <w:p w14:paraId="67E293F6"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Basal area (m²/ha)</w:t>
            </w:r>
          </w:p>
        </w:tc>
        <w:tc>
          <w:tcPr>
            <w:tcW w:w="2693" w:type="dxa"/>
            <w:tcMar>
              <w:left w:w="57" w:type="dxa"/>
              <w:bottom w:w="28" w:type="dxa"/>
              <w:right w:w="57" w:type="dxa"/>
            </w:tcMar>
            <w:vAlign w:val="center"/>
          </w:tcPr>
          <w:p w14:paraId="7A533851"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Trees, seedlings (/species)</w:t>
            </w:r>
          </w:p>
        </w:tc>
        <w:tc>
          <w:tcPr>
            <w:tcW w:w="1998" w:type="dxa"/>
            <w:shd w:val="reverseDiagStripe" w:color="auto" w:fill="auto"/>
            <w:tcMar>
              <w:left w:w="57" w:type="dxa"/>
              <w:bottom w:w="28" w:type="dxa"/>
              <w:right w:w="57" w:type="dxa"/>
            </w:tcMar>
            <w:vAlign w:val="center"/>
          </w:tcPr>
          <w:p w14:paraId="65A46BD1" w14:textId="77777777" w:rsidR="00C03583" w:rsidRPr="008F6866" w:rsidRDefault="00C03583" w:rsidP="00C03583">
            <w:pPr>
              <w:jc w:val="center"/>
              <w:rPr>
                <w:rFonts w:asciiTheme="minorHAnsi" w:hAnsiTheme="minorHAnsi"/>
                <w:color w:val="000000"/>
              </w:rPr>
            </w:pPr>
          </w:p>
        </w:tc>
        <w:tc>
          <w:tcPr>
            <w:tcW w:w="2425" w:type="dxa"/>
            <w:tcMar>
              <w:left w:w="57" w:type="dxa"/>
              <w:bottom w:w="28" w:type="dxa"/>
              <w:right w:w="57" w:type="dxa"/>
            </w:tcMar>
            <w:vAlign w:val="center"/>
          </w:tcPr>
          <w:p w14:paraId="6FC91C72" w14:textId="77777777" w:rsidR="00C03583" w:rsidRPr="008F6866" w:rsidRDefault="00C03583" w:rsidP="00C03583">
            <w:pPr>
              <w:jc w:val="center"/>
              <w:rPr>
                <w:rFonts w:asciiTheme="minorHAnsi" w:hAnsiTheme="minorHAnsi"/>
                <w:color w:val="000000"/>
              </w:rPr>
            </w:pPr>
          </w:p>
        </w:tc>
      </w:tr>
      <w:tr w:rsidR="00C03583" w:rsidRPr="008F6866" w14:paraId="3B6B2894" w14:textId="77777777" w:rsidTr="008D2845">
        <w:tc>
          <w:tcPr>
            <w:tcW w:w="2581" w:type="dxa"/>
            <w:tcMar>
              <w:left w:w="57" w:type="dxa"/>
              <w:bottom w:w="28" w:type="dxa"/>
              <w:right w:w="57" w:type="dxa"/>
            </w:tcMar>
            <w:vAlign w:val="center"/>
          </w:tcPr>
          <w:p w14:paraId="0CC6531D"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Leaf area index (m²/m²)</w:t>
            </w:r>
          </w:p>
        </w:tc>
        <w:tc>
          <w:tcPr>
            <w:tcW w:w="2693" w:type="dxa"/>
            <w:tcMar>
              <w:left w:w="57" w:type="dxa"/>
              <w:bottom w:w="28" w:type="dxa"/>
              <w:right w:w="57" w:type="dxa"/>
            </w:tcMar>
            <w:vAlign w:val="center"/>
          </w:tcPr>
          <w:p w14:paraId="2F6F4106"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Trees, seedlings (/species)</w:t>
            </w:r>
          </w:p>
        </w:tc>
        <w:tc>
          <w:tcPr>
            <w:tcW w:w="1998" w:type="dxa"/>
            <w:shd w:val="reverseDiagStripe" w:color="auto" w:fill="auto"/>
            <w:tcMar>
              <w:left w:w="57" w:type="dxa"/>
              <w:bottom w:w="28" w:type="dxa"/>
              <w:right w:w="57" w:type="dxa"/>
            </w:tcMar>
            <w:vAlign w:val="center"/>
          </w:tcPr>
          <w:p w14:paraId="5A1E5394" w14:textId="77777777" w:rsidR="00C03583" w:rsidRPr="008F6866" w:rsidRDefault="00C03583" w:rsidP="00C03583">
            <w:pPr>
              <w:jc w:val="center"/>
              <w:rPr>
                <w:rFonts w:asciiTheme="minorHAnsi" w:hAnsiTheme="minorHAnsi"/>
                <w:color w:val="000000"/>
              </w:rPr>
            </w:pPr>
          </w:p>
        </w:tc>
        <w:tc>
          <w:tcPr>
            <w:tcW w:w="2425" w:type="dxa"/>
            <w:tcMar>
              <w:left w:w="57" w:type="dxa"/>
              <w:bottom w:w="28" w:type="dxa"/>
              <w:right w:w="57" w:type="dxa"/>
            </w:tcMar>
            <w:vAlign w:val="center"/>
          </w:tcPr>
          <w:p w14:paraId="58792AC8" w14:textId="77777777" w:rsidR="00C03583" w:rsidRPr="008F6866" w:rsidRDefault="00C03583" w:rsidP="00C03583">
            <w:pPr>
              <w:jc w:val="center"/>
              <w:rPr>
                <w:rFonts w:asciiTheme="minorHAnsi" w:hAnsiTheme="minorHAnsi"/>
                <w:color w:val="000000"/>
              </w:rPr>
            </w:pPr>
          </w:p>
        </w:tc>
      </w:tr>
      <w:tr w:rsidR="00C03583" w:rsidRPr="008F6866" w14:paraId="7AEB3D94" w14:textId="77777777" w:rsidTr="008D2845">
        <w:tc>
          <w:tcPr>
            <w:tcW w:w="2581" w:type="dxa"/>
            <w:tcMar>
              <w:left w:w="57" w:type="dxa"/>
              <w:bottom w:w="28" w:type="dxa"/>
              <w:right w:w="57" w:type="dxa"/>
            </w:tcMar>
            <w:vAlign w:val="center"/>
          </w:tcPr>
          <w:p w14:paraId="19007B27"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Volume (m³/ha)</w:t>
            </w:r>
          </w:p>
        </w:tc>
        <w:tc>
          <w:tcPr>
            <w:tcW w:w="2693" w:type="dxa"/>
            <w:shd w:val="reverseDiagStripe" w:color="auto" w:fill="auto"/>
            <w:tcMar>
              <w:left w:w="57" w:type="dxa"/>
              <w:bottom w:w="28" w:type="dxa"/>
              <w:right w:w="57" w:type="dxa"/>
            </w:tcMar>
            <w:vAlign w:val="center"/>
          </w:tcPr>
          <w:p w14:paraId="42814249" w14:textId="77777777" w:rsidR="00C03583" w:rsidRPr="008F6866" w:rsidRDefault="00C03583" w:rsidP="00C03583">
            <w:pPr>
              <w:jc w:val="center"/>
              <w:rPr>
                <w:rFonts w:asciiTheme="minorHAnsi" w:hAnsiTheme="minorHAnsi"/>
                <w:color w:val="000000"/>
              </w:rPr>
            </w:pPr>
          </w:p>
        </w:tc>
        <w:tc>
          <w:tcPr>
            <w:tcW w:w="1998" w:type="dxa"/>
            <w:shd w:val="reverseDiagStripe" w:color="auto" w:fill="auto"/>
            <w:tcMar>
              <w:left w:w="57" w:type="dxa"/>
              <w:bottom w:w="28" w:type="dxa"/>
              <w:right w:w="57" w:type="dxa"/>
            </w:tcMar>
            <w:vAlign w:val="center"/>
          </w:tcPr>
          <w:p w14:paraId="73D8D06B" w14:textId="77777777" w:rsidR="00C03583" w:rsidRPr="008F6866" w:rsidRDefault="00C03583" w:rsidP="00C03583">
            <w:pPr>
              <w:jc w:val="center"/>
              <w:rPr>
                <w:rFonts w:asciiTheme="minorHAnsi" w:hAnsiTheme="minorHAnsi"/>
                <w:color w:val="000000"/>
              </w:rPr>
            </w:pPr>
          </w:p>
        </w:tc>
        <w:tc>
          <w:tcPr>
            <w:tcW w:w="2425" w:type="dxa"/>
            <w:tcMar>
              <w:left w:w="57" w:type="dxa"/>
              <w:bottom w:w="28" w:type="dxa"/>
              <w:right w:w="57" w:type="dxa"/>
            </w:tcMar>
            <w:vAlign w:val="center"/>
          </w:tcPr>
          <w:p w14:paraId="5FC09A45"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Trunks, branches, harvestable branches, total</w:t>
            </w:r>
          </w:p>
        </w:tc>
      </w:tr>
      <w:tr w:rsidR="00C03583" w:rsidRPr="008F6866" w14:paraId="2D2B50E3" w14:textId="77777777" w:rsidTr="008D2845">
        <w:tc>
          <w:tcPr>
            <w:tcW w:w="2581" w:type="dxa"/>
            <w:tcMar>
              <w:left w:w="57" w:type="dxa"/>
              <w:bottom w:w="28" w:type="dxa"/>
              <w:right w:w="57" w:type="dxa"/>
            </w:tcMar>
            <w:vAlign w:val="center"/>
          </w:tcPr>
          <w:p w14:paraId="2DA641EA"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Biomass (kgC/ha)</w:t>
            </w:r>
          </w:p>
        </w:tc>
        <w:tc>
          <w:tcPr>
            <w:tcW w:w="2693" w:type="dxa"/>
            <w:shd w:val="reverseDiagStripe" w:color="auto" w:fill="auto"/>
            <w:tcMar>
              <w:left w:w="57" w:type="dxa"/>
              <w:bottom w:w="28" w:type="dxa"/>
              <w:right w:w="57" w:type="dxa"/>
            </w:tcMar>
            <w:vAlign w:val="center"/>
          </w:tcPr>
          <w:p w14:paraId="5E3B7E41" w14:textId="77777777" w:rsidR="00C03583" w:rsidRPr="008F6866" w:rsidRDefault="00C03583" w:rsidP="00C03583">
            <w:pPr>
              <w:jc w:val="center"/>
              <w:rPr>
                <w:rFonts w:asciiTheme="minorHAnsi" w:hAnsiTheme="minorHAnsi"/>
                <w:color w:val="000000"/>
              </w:rPr>
            </w:pPr>
          </w:p>
        </w:tc>
        <w:tc>
          <w:tcPr>
            <w:tcW w:w="1998" w:type="dxa"/>
            <w:shd w:val="reverseDiagStripe" w:color="auto" w:fill="auto"/>
            <w:tcMar>
              <w:left w:w="57" w:type="dxa"/>
              <w:bottom w:w="28" w:type="dxa"/>
              <w:right w:w="57" w:type="dxa"/>
            </w:tcMar>
            <w:vAlign w:val="center"/>
          </w:tcPr>
          <w:p w14:paraId="2B67720F" w14:textId="77777777" w:rsidR="00C03583" w:rsidRPr="008F6866" w:rsidRDefault="00C03583" w:rsidP="00C03583">
            <w:pPr>
              <w:jc w:val="center"/>
              <w:rPr>
                <w:rFonts w:asciiTheme="minorHAnsi" w:hAnsiTheme="minorHAnsi"/>
                <w:color w:val="000000"/>
              </w:rPr>
            </w:pPr>
          </w:p>
        </w:tc>
        <w:tc>
          <w:tcPr>
            <w:tcW w:w="2425" w:type="dxa"/>
            <w:tcMar>
              <w:left w:w="57" w:type="dxa"/>
              <w:bottom w:w="28" w:type="dxa"/>
              <w:right w:w="57" w:type="dxa"/>
            </w:tcMar>
            <w:vAlign w:val="center"/>
          </w:tcPr>
          <w:p w14:paraId="3A8F7940"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Trunks, branches, harvestable branches, leaves, fruits, roots, total</w:t>
            </w:r>
          </w:p>
        </w:tc>
      </w:tr>
      <w:tr w:rsidR="00C03583" w:rsidRPr="008F6866" w14:paraId="1BA5398F" w14:textId="77777777" w:rsidTr="008D2845">
        <w:tc>
          <w:tcPr>
            <w:tcW w:w="2581" w:type="dxa"/>
            <w:shd w:val="clear" w:color="auto" w:fill="auto"/>
            <w:tcMar>
              <w:left w:w="57" w:type="dxa"/>
              <w:bottom w:w="28" w:type="dxa"/>
              <w:right w:w="57" w:type="dxa"/>
            </w:tcMar>
            <w:vAlign w:val="center"/>
          </w:tcPr>
          <w:p w14:paraId="71CAD6A0" w14:textId="77777777" w:rsidR="00C03583" w:rsidRPr="008F6866" w:rsidRDefault="00C03583" w:rsidP="00C03583">
            <w:pPr>
              <w:rPr>
                <w:rFonts w:asciiTheme="minorHAnsi" w:hAnsiTheme="minorHAnsi"/>
                <w:color w:val="000000"/>
              </w:rPr>
            </w:pPr>
          </w:p>
        </w:tc>
        <w:tc>
          <w:tcPr>
            <w:tcW w:w="2693" w:type="dxa"/>
            <w:shd w:val="clear" w:color="auto" w:fill="auto"/>
            <w:tcMar>
              <w:left w:w="57" w:type="dxa"/>
              <w:bottom w:w="28" w:type="dxa"/>
              <w:right w:w="57" w:type="dxa"/>
            </w:tcMar>
            <w:vAlign w:val="center"/>
          </w:tcPr>
          <w:p w14:paraId="0D98A0E1" w14:textId="77777777" w:rsidR="00C03583" w:rsidRPr="008F6866" w:rsidRDefault="00C03583" w:rsidP="00C03583">
            <w:pPr>
              <w:jc w:val="center"/>
              <w:rPr>
                <w:rFonts w:asciiTheme="minorHAnsi" w:hAnsiTheme="minorHAnsi"/>
                <w:color w:val="000000"/>
              </w:rPr>
            </w:pPr>
          </w:p>
        </w:tc>
        <w:tc>
          <w:tcPr>
            <w:tcW w:w="1998" w:type="dxa"/>
            <w:shd w:val="clear" w:color="auto" w:fill="auto"/>
            <w:tcMar>
              <w:left w:w="57" w:type="dxa"/>
              <w:bottom w:w="28" w:type="dxa"/>
              <w:right w:w="57" w:type="dxa"/>
            </w:tcMar>
            <w:vAlign w:val="center"/>
          </w:tcPr>
          <w:p w14:paraId="336088D1" w14:textId="77777777" w:rsidR="00C03583" w:rsidRPr="008F6866" w:rsidRDefault="00C03583" w:rsidP="00C03583">
            <w:pPr>
              <w:jc w:val="center"/>
              <w:rPr>
                <w:rFonts w:asciiTheme="minorHAnsi" w:hAnsiTheme="minorHAnsi"/>
                <w:color w:val="000000"/>
              </w:rPr>
            </w:pPr>
          </w:p>
        </w:tc>
        <w:tc>
          <w:tcPr>
            <w:tcW w:w="2425" w:type="dxa"/>
            <w:shd w:val="clear" w:color="auto" w:fill="auto"/>
            <w:tcMar>
              <w:left w:w="57" w:type="dxa"/>
              <w:bottom w:w="28" w:type="dxa"/>
              <w:right w:w="57" w:type="dxa"/>
            </w:tcMar>
            <w:vAlign w:val="center"/>
          </w:tcPr>
          <w:p w14:paraId="196D92CB" w14:textId="77777777" w:rsidR="00C03583" w:rsidRPr="008F6866" w:rsidRDefault="00C03583" w:rsidP="00C03583">
            <w:pPr>
              <w:jc w:val="center"/>
              <w:rPr>
                <w:rFonts w:asciiTheme="minorHAnsi" w:hAnsiTheme="minorHAnsi"/>
                <w:color w:val="000000"/>
              </w:rPr>
            </w:pPr>
          </w:p>
        </w:tc>
      </w:tr>
      <w:tr w:rsidR="00C03583" w:rsidRPr="008F6866" w14:paraId="645BF460" w14:textId="77777777" w:rsidTr="008D2845">
        <w:tc>
          <w:tcPr>
            <w:tcW w:w="2581" w:type="dxa"/>
            <w:tcMar>
              <w:left w:w="57" w:type="dxa"/>
              <w:bottom w:w="28" w:type="dxa"/>
              <w:right w:w="57" w:type="dxa"/>
            </w:tcMar>
            <w:vAlign w:val="center"/>
          </w:tcPr>
          <w:p w14:paraId="2C9DE530" w14:textId="77777777" w:rsidR="00C03583" w:rsidRPr="008F6866" w:rsidRDefault="00C03583" w:rsidP="00C03583">
            <w:pPr>
              <w:rPr>
                <w:rFonts w:asciiTheme="minorHAnsi" w:hAnsiTheme="minorHAnsi"/>
                <w:b/>
                <w:color w:val="000000"/>
              </w:rPr>
            </w:pPr>
            <w:r w:rsidRPr="008F6866">
              <w:rPr>
                <w:rFonts w:asciiTheme="minorHAnsi" w:hAnsiTheme="minorHAnsi"/>
                <w:b/>
                <w:color w:val="000000"/>
              </w:rPr>
              <w:t>Productivity</w:t>
            </w:r>
          </w:p>
        </w:tc>
        <w:tc>
          <w:tcPr>
            <w:tcW w:w="2693" w:type="dxa"/>
            <w:tcMar>
              <w:left w:w="57" w:type="dxa"/>
              <w:bottom w:w="28" w:type="dxa"/>
              <w:right w:w="57" w:type="dxa"/>
            </w:tcMar>
            <w:vAlign w:val="center"/>
          </w:tcPr>
          <w:p w14:paraId="406E2BCB" w14:textId="77777777" w:rsidR="00C03583" w:rsidRPr="008F6866" w:rsidRDefault="00C03583" w:rsidP="00C03583">
            <w:pPr>
              <w:jc w:val="center"/>
              <w:rPr>
                <w:rFonts w:asciiTheme="minorHAnsi" w:hAnsiTheme="minorHAnsi"/>
                <w:color w:val="000000"/>
              </w:rPr>
            </w:pPr>
          </w:p>
        </w:tc>
        <w:tc>
          <w:tcPr>
            <w:tcW w:w="1998" w:type="dxa"/>
            <w:tcMar>
              <w:left w:w="57" w:type="dxa"/>
              <w:bottom w:w="28" w:type="dxa"/>
              <w:right w:w="57" w:type="dxa"/>
            </w:tcMar>
            <w:vAlign w:val="center"/>
          </w:tcPr>
          <w:p w14:paraId="5D92DDEA" w14:textId="77777777" w:rsidR="00C03583" w:rsidRPr="008F6866" w:rsidRDefault="00C03583" w:rsidP="00C03583">
            <w:pPr>
              <w:jc w:val="center"/>
              <w:rPr>
                <w:rFonts w:asciiTheme="minorHAnsi" w:hAnsiTheme="minorHAnsi"/>
                <w:color w:val="000000"/>
              </w:rPr>
            </w:pPr>
          </w:p>
        </w:tc>
        <w:tc>
          <w:tcPr>
            <w:tcW w:w="2425" w:type="dxa"/>
            <w:tcMar>
              <w:left w:w="57" w:type="dxa"/>
              <w:bottom w:w="28" w:type="dxa"/>
              <w:right w:w="57" w:type="dxa"/>
            </w:tcMar>
            <w:vAlign w:val="center"/>
          </w:tcPr>
          <w:p w14:paraId="66584BAC" w14:textId="77777777" w:rsidR="00C03583" w:rsidRPr="008F6866" w:rsidRDefault="00C03583" w:rsidP="00C03583">
            <w:pPr>
              <w:jc w:val="center"/>
              <w:rPr>
                <w:rFonts w:asciiTheme="minorHAnsi" w:hAnsiTheme="minorHAnsi"/>
                <w:color w:val="000000"/>
              </w:rPr>
            </w:pPr>
          </w:p>
        </w:tc>
      </w:tr>
      <w:tr w:rsidR="00C03583" w:rsidRPr="008F6866" w14:paraId="1414198F" w14:textId="77777777" w:rsidTr="008D2845">
        <w:tc>
          <w:tcPr>
            <w:tcW w:w="2581" w:type="dxa"/>
            <w:tcMar>
              <w:left w:w="57" w:type="dxa"/>
              <w:bottom w:w="28" w:type="dxa"/>
              <w:right w:w="57" w:type="dxa"/>
            </w:tcMar>
            <w:vAlign w:val="center"/>
          </w:tcPr>
          <w:p w14:paraId="36BB007C"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GPP (kgC/ha)</w:t>
            </w:r>
          </w:p>
        </w:tc>
        <w:tc>
          <w:tcPr>
            <w:tcW w:w="2693" w:type="dxa"/>
            <w:tcMar>
              <w:left w:w="57" w:type="dxa"/>
              <w:bottom w:w="28" w:type="dxa"/>
              <w:right w:w="57" w:type="dxa"/>
            </w:tcMar>
            <w:vAlign w:val="center"/>
          </w:tcPr>
          <w:p w14:paraId="3F0E6752"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Trees, seedlings (/species)</w:t>
            </w:r>
          </w:p>
        </w:tc>
        <w:tc>
          <w:tcPr>
            <w:tcW w:w="1998" w:type="dxa"/>
            <w:tcMar>
              <w:left w:w="57" w:type="dxa"/>
              <w:bottom w:w="28" w:type="dxa"/>
              <w:right w:w="57" w:type="dxa"/>
            </w:tcMar>
            <w:vAlign w:val="center"/>
          </w:tcPr>
          <w:p w14:paraId="269E7933"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Total, trees, seedlings</w:t>
            </w:r>
          </w:p>
        </w:tc>
        <w:tc>
          <w:tcPr>
            <w:tcW w:w="2425" w:type="dxa"/>
            <w:shd w:val="reverseDiagStripe" w:color="auto" w:fill="auto"/>
            <w:tcMar>
              <w:left w:w="57" w:type="dxa"/>
              <w:bottom w:w="28" w:type="dxa"/>
              <w:right w:w="57" w:type="dxa"/>
            </w:tcMar>
            <w:vAlign w:val="center"/>
          </w:tcPr>
          <w:p w14:paraId="289C6D26" w14:textId="77777777" w:rsidR="00C03583" w:rsidRPr="008F6866" w:rsidRDefault="00C03583" w:rsidP="00C03583">
            <w:pPr>
              <w:jc w:val="center"/>
              <w:rPr>
                <w:rFonts w:asciiTheme="minorHAnsi" w:hAnsiTheme="minorHAnsi"/>
                <w:color w:val="000000"/>
              </w:rPr>
            </w:pPr>
          </w:p>
        </w:tc>
      </w:tr>
      <w:tr w:rsidR="00C03583" w:rsidRPr="008F6866" w14:paraId="30F25FAE" w14:textId="77777777" w:rsidTr="008D2845">
        <w:tc>
          <w:tcPr>
            <w:tcW w:w="2581" w:type="dxa"/>
            <w:tcMar>
              <w:left w:w="57" w:type="dxa"/>
              <w:bottom w:w="28" w:type="dxa"/>
              <w:right w:w="57" w:type="dxa"/>
            </w:tcMar>
            <w:vAlign w:val="center"/>
          </w:tcPr>
          <w:p w14:paraId="622532C0"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NPP (kgC/ha)</w:t>
            </w:r>
          </w:p>
        </w:tc>
        <w:tc>
          <w:tcPr>
            <w:tcW w:w="2693" w:type="dxa"/>
            <w:tcMar>
              <w:left w:w="57" w:type="dxa"/>
              <w:bottom w:w="28" w:type="dxa"/>
              <w:right w:w="57" w:type="dxa"/>
            </w:tcMar>
            <w:vAlign w:val="center"/>
          </w:tcPr>
          <w:p w14:paraId="4818EB9B"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Trees, seedlings (/species)</w:t>
            </w:r>
          </w:p>
        </w:tc>
        <w:tc>
          <w:tcPr>
            <w:tcW w:w="1998" w:type="dxa"/>
            <w:shd w:val="clear" w:color="auto" w:fill="auto"/>
            <w:tcMar>
              <w:left w:w="57" w:type="dxa"/>
              <w:bottom w:w="28" w:type="dxa"/>
              <w:right w:w="57" w:type="dxa"/>
            </w:tcMar>
            <w:vAlign w:val="center"/>
          </w:tcPr>
          <w:p w14:paraId="7F137CCF"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Total, trees, seedlings</w:t>
            </w:r>
          </w:p>
        </w:tc>
        <w:tc>
          <w:tcPr>
            <w:tcW w:w="2425" w:type="dxa"/>
            <w:shd w:val="reverseDiagStripe" w:color="auto" w:fill="auto"/>
            <w:tcMar>
              <w:left w:w="57" w:type="dxa"/>
              <w:bottom w:w="28" w:type="dxa"/>
              <w:right w:w="57" w:type="dxa"/>
            </w:tcMar>
            <w:vAlign w:val="center"/>
          </w:tcPr>
          <w:p w14:paraId="29A819CC" w14:textId="77777777" w:rsidR="00C03583" w:rsidRPr="008F6866" w:rsidRDefault="00C03583" w:rsidP="00C03583">
            <w:pPr>
              <w:jc w:val="center"/>
              <w:rPr>
                <w:rFonts w:asciiTheme="minorHAnsi" w:hAnsiTheme="minorHAnsi"/>
                <w:color w:val="000000"/>
              </w:rPr>
            </w:pPr>
          </w:p>
        </w:tc>
      </w:tr>
      <w:tr w:rsidR="00C03583" w:rsidRPr="008F6866" w14:paraId="0B5DBF83" w14:textId="77777777" w:rsidTr="008D2845">
        <w:tc>
          <w:tcPr>
            <w:tcW w:w="2581" w:type="dxa"/>
            <w:tcMar>
              <w:left w:w="57" w:type="dxa"/>
              <w:bottom w:w="28" w:type="dxa"/>
              <w:right w:w="57" w:type="dxa"/>
            </w:tcMar>
            <w:vAlign w:val="center"/>
          </w:tcPr>
          <w:p w14:paraId="5D4D755E" w14:textId="77777777" w:rsidR="00C03583" w:rsidRPr="008F6866" w:rsidRDefault="00C03583" w:rsidP="00C03583">
            <w:pPr>
              <w:rPr>
                <w:rFonts w:asciiTheme="minorHAnsi" w:hAnsiTheme="minorHAnsi"/>
                <w:color w:val="000000"/>
              </w:rPr>
            </w:pPr>
          </w:p>
        </w:tc>
        <w:tc>
          <w:tcPr>
            <w:tcW w:w="2693" w:type="dxa"/>
            <w:tcMar>
              <w:left w:w="57" w:type="dxa"/>
              <w:bottom w:w="28" w:type="dxa"/>
              <w:right w:w="57" w:type="dxa"/>
            </w:tcMar>
            <w:vAlign w:val="center"/>
          </w:tcPr>
          <w:p w14:paraId="7F9C8B35" w14:textId="77777777" w:rsidR="00C03583" w:rsidRPr="008F6866" w:rsidRDefault="00C03583" w:rsidP="00C03583">
            <w:pPr>
              <w:jc w:val="center"/>
              <w:rPr>
                <w:rFonts w:asciiTheme="minorHAnsi" w:hAnsiTheme="minorHAnsi"/>
                <w:color w:val="000000"/>
              </w:rPr>
            </w:pPr>
          </w:p>
        </w:tc>
        <w:tc>
          <w:tcPr>
            <w:tcW w:w="1998" w:type="dxa"/>
            <w:shd w:val="clear" w:color="auto" w:fill="auto"/>
            <w:tcMar>
              <w:left w:w="57" w:type="dxa"/>
              <w:bottom w:w="28" w:type="dxa"/>
              <w:right w:w="57" w:type="dxa"/>
            </w:tcMar>
            <w:vAlign w:val="center"/>
          </w:tcPr>
          <w:p w14:paraId="33957E52" w14:textId="77777777" w:rsidR="00C03583" w:rsidRPr="008F6866" w:rsidRDefault="00C03583" w:rsidP="00C03583">
            <w:pPr>
              <w:jc w:val="center"/>
              <w:rPr>
                <w:rFonts w:asciiTheme="minorHAnsi" w:hAnsiTheme="minorHAnsi"/>
                <w:color w:val="000000"/>
              </w:rPr>
            </w:pPr>
          </w:p>
        </w:tc>
        <w:tc>
          <w:tcPr>
            <w:tcW w:w="2425" w:type="dxa"/>
            <w:shd w:val="clear" w:color="auto" w:fill="auto"/>
            <w:tcMar>
              <w:left w:w="57" w:type="dxa"/>
              <w:bottom w:w="28" w:type="dxa"/>
              <w:right w:w="57" w:type="dxa"/>
            </w:tcMar>
            <w:vAlign w:val="center"/>
          </w:tcPr>
          <w:p w14:paraId="091BD241" w14:textId="77777777" w:rsidR="00C03583" w:rsidRPr="008F6866" w:rsidRDefault="00C03583" w:rsidP="00C03583">
            <w:pPr>
              <w:jc w:val="center"/>
              <w:rPr>
                <w:rFonts w:asciiTheme="minorHAnsi" w:hAnsiTheme="minorHAnsi"/>
                <w:color w:val="000000"/>
              </w:rPr>
            </w:pPr>
          </w:p>
        </w:tc>
      </w:tr>
      <w:tr w:rsidR="00C03583" w:rsidRPr="008F6866" w14:paraId="68BA78C7" w14:textId="77777777" w:rsidTr="008D2845">
        <w:tc>
          <w:tcPr>
            <w:tcW w:w="2581" w:type="dxa"/>
            <w:tcMar>
              <w:left w:w="57" w:type="dxa"/>
              <w:bottom w:w="28" w:type="dxa"/>
              <w:right w:w="57" w:type="dxa"/>
            </w:tcMar>
            <w:vAlign w:val="center"/>
          </w:tcPr>
          <w:p w14:paraId="2688CB66" w14:textId="77777777" w:rsidR="00C03583" w:rsidRPr="008F6866" w:rsidRDefault="00C03583" w:rsidP="00C03583">
            <w:pPr>
              <w:rPr>
                <w:rFonts w:asciiTheme="minorHAnsi" w:hAnsiTheme="minorHAnsi"/>
                <w:b/>
                <w:color w:val="000000"/>
              </w:rPr>
            </w:pPr>
            <w:r w:rsidRPr="008F6866">
              <w:rPr>
                <w:rFonts w:asciiTheme="minorHAnsi" w:hAnsiTheme="minorHAnsi"/>
                <w:b/>
                <w:color w:val="000000"/>
              </w:rPr>
              <w:t>Water balance</w:t>
            </w:r>
          </w:p>
        </w:tc>
        <w:tc>
          <w:tcPr>
            <w:tcW w:w="2693" w:type="dxa"/>
            <w:tcMar>
              <w:left w:w="57" w:type="dxa"/>
              <w:bottom w:w="28" w:type="dxa"/>
              <w:right w:w="57" w:type="dxa"/>
            </w:tcMar>
            <w:vAlign w:val="center"/>
          </w:tcPr>
          <w:p w14:paraId="68EFD47B" w14:textId="77777777" w:rsidR="00C03583" w:rsidRPr="008F6866" w:rsidRDefault="00C03583" w:rsidP="00C03583">
            <w:pPr>
              <w:jc w:val="center"/>
              <w:rPr>
                <w:rFonts w:asciiTheme="minorHAnsi" w:hAnsiTheme="minorHAnsi"/>
                <w:color w:val="000000"/>
              </w:rPr>
            </w:pPr>
          </w:p>
        </w:tc>
        <w:tc>
          <w:tcPr>
            <w:tcW w:w="1998" w:type="dxa"/>
            <w:tcMar>
              <w:left w:w="57" w:type="dxa"/>
              <w:bottom w:w="28" w:type="dxa"/>
              <w:right w:w="57" w:type="dxa"/>
            </w:tcMar>
            <w:vAlign w:val="center"/>
          </w:tcPr>
          <w:p w14:paraId="53B75703" w14:textId="77777777" w:rsidR="00C03583" w:rsidRPr="008F6866" w:rsidRDefault="00C03583" w:rsidP="00C03583">
            <w:pPr>
              <w:jc w:val="center"/>
              <w:rPr>
                <w:rFonts w:asciiTheme="minorHAnsi" w:hAnsiTheme="minorHAnsi"/>
                <w:color w:val="000000"/>
              </w:rPr>
            </w:pPr>
          </w:p>
        </w:tc>
        <w:tc>
          <w:tcPr>
            <w:tcW w:w="2425" w:type="dxa"/>
            <w:tcMar>
              <w:left w:w="57" w:type="dxa"/>
              <w:bottom w:w="28" w:type="dxa"/>
              <w:right w:w="57" w:type="dxa"/>
            </w:tcMar>
            <w:vAlign w:val="center"/>
          </w:tcPr>
          <w:p w14:paraId="3B91F03F" w14:textId="77777777" w:rsidR="00C03583" w:rsidRPr="008F6866" w:rsidRDefault="00C03583" w:rsidP="00C03583">
            <w:pPr>
              <w:jc w:val="center"/>
              <w:rPr>
                <w:rFonts w:asciiTheme="minorHAnsi" w:hAnsiTheme="minorHAnsi"/>
                <w:color w:val="000000"/>
              </w:rPr>
            </w:pPr>
          </w:p>
        </w:tc>
      </w:tr>
      <w:tr w:rsidR="00C03583" w:rsidRPr="008F6866" w14:paraId="0E295FA3" w14:textId="77777777" w:rsidTr="008D2845">
        <w:tc>
          <w:tcPr>
            <w:tcW w:w="2581" w:type="dxa"/>
            <w:tcMar>
              <w:left w:w="57" w:type="dxa"/>
              <w:bottom w:w="28" w:type="dxa"/>
              <w:right w:w="57" w:type="dxa"/>
            </w:tcMar>
            <w:vAlign w:val="center"/>
          </w:tcPr>
          <w:p w14:paraId="54B8469B"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Rainfall (mm)</w:t>
            </w:r>
          </w:p>
        </w:tc>
        <w:tc>
          <w:tcPr>
            <w:tcW w:w="2693" w:type="dxa"/>
            <w:shd w:val="reverseDiagStripe" w:color="auto" w:fill="auto"/>
            <w:tcMar>
              <w:left w:w="57" w:type="dxa"/>
              <w:bottom w:w="28" w:type="dxa"/>
              <w:right w:w="57" w:type="dxa"/>
            </w:tcMar>
            <w:vAlign w:val="center"/>
          </w:tcPr>
          <w:p w14:paraId="3C7979C2" w14:textId="77777777" w:rsidR="00C03583" w:rsidRPr="008F6866" w:rsidRDefault="00C03583" w:rsidP="00C03583">
            <w:pPr>
              <w:jc w:val="center"/>
              <w:rPr>
                <w:rFonts w:asciiTheme="minorHAnsi" w:hAnsiTheme="minorHAnsi"/>
                <w:color w:val="000000"/>
              </w:rPr>
            </w:pPr>
          </w:p>
        </w:tc>
        <w:tc>
          <w:tcPr>
            <w:tcW w:w="1998" w:type="dxa"/>
            <w:tcMar>
              <w:left w:w="57" w:type="dxa"/>
              <w:bottom w:w="28" w:type="dxa"/>
              <w:right w:w="57" w:type="dxa"/>
            </w:tcMar>
            <w:vAlign w:val="center"/>
          </w:tcPr>
          <w:p w14:paraId="1B40CBF7"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1FDD76F5" w14:textId="77777777" w:rsidR="00C03583" w:rsidRPr="008F6866" w:rsidRDefault="00C03583" w:rsidP="00C03583">
            <w:pPr>
              <w:jc w:val="center"/>
              <w:rPr>
                <w:rFonts w:asciiTheme="minorHAnsi" w:hAnsiTheme="minorHAnsi"/>
                <w:color w:val="000000"/>
              </w:rPr>
            </w:pPr>
          </w:p>
        </w:tc>
      </w:tr>
      <w:tr w:rsidR="00C03583" w:rsidRPr="008F6866" w14:paraId="2CD724F8" w14:textId="77777777" w:rsidTr="008D2845">
        <w:tc>
          <w:tcPr>
            <w:tcW w:w="2581" w:type="dxa"/>
            <w:tcMar>
              <w:left w:w="57" w:type="dxa"/>
              <w:bottom w:w="28" w:type="dxa"/>
              <w:right w:w="57" w:type="dxa"/>
            </w:tcMar>
            <w:vAlign w:val="center"/>
          </w:tcPr>
          <w:p w14:paraId="6446A064"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Transpiration (mm)</w:t>
            </w:r>
          </w:p>
        </w:tc>
        <w:tc>
          <w:tcPr>
            <w:tcW w:w="2693" w:type="dxa"/>
            <w:shd w:val="reverseDiagStripe" w:color="auto" w:fill="auto"/>
            <w:tcMar>
              <w:left w:w="57" w:type="dxa"/>
              <w:bottom w:w="28" w:type="dxa"/>
              <w:right w:w="57" w:type="dxa"/>
            </w:tcMar>
            <w:vAlign w:val="center"/>
          </w:tcPr>
          <w:p w14:paraId="048414AB" w14:textId="77777777" w:rsidR="00C03583" w:rsidRPr="008F6866" w:rsidRDefault="00C03583" w:rsidP="00C03583">
            <w:pPr>
              <w:jc w:val="center"/>
              <w:rPr>
                <w:rFonts w:asciiTheme="minorHAnsi" w:hAnsiTheme="minorHAnsi"/>
                <w:color w:val="000000"/>
              </w:rPr>
            </w:pPr>
          </w:p>
        </w:tc>
        <w:tc>
          <w:tcPr>
            <w:tcW w:w="1998" w:type="dxa"/>
            <w:tcMar>
              <w:left w:w="57" w:type="dxa"/>
              <w:bottom w:w="28" w:type="dxa"/>
              <w:right w:w="57" w:type="dxa"/>
            </w:tcMar>
            <w:vAlign w:val="center"/>
          </w:tcPr>
          <w:p w14:paraId="5A198CA8"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Total, trees, seedlings</w:t>
            </w:r>
          </w:p>
        </w:tc>
        <w:tc>
          <w:tcPr>
            <w:tcW w:w="2425" w:type="dxa"/>
            <w:shd w:val="reverseDiagStripe" w:color="auto" w:fill="auto"/>
            <w:tcMar>
              <w:left w:w="57" w:type="dxa"/>
              <w:bottom w:w="28" w:type="dxa"/>
              <w:right w:w="57" w:type="dxa"/>
            </w:tcMar>
            <w:vAlign w:val="center"/>
          </w:tcPr>
          <w:p w14:paraId="2135ED23" w14:textId="77777777" w:rsidR="00C03583" w:rsidRPr="008F6866" w:rsidRDefault="00C03583" w:rsidP="00C03583">
            <w:pPr>
              <w:jc w:val="center"/>
              <w:rPr>
                <w:rFonts w:asciiTheme="minorHAnsi" w:hAnsiTheme="minorHAnsi"/>
                <w:color w:val="000000"/>
              </w:rPr>
            </w:pPr>
          </w:p>
        </w:tc>
      </w:tr>
      <w:tr w:rsidR="00C03583" w:rsidRPr="008F6866" w14:paraId="22613530" w14:textId="77777777" w:rsidTr="008D2845">
        <w:tc>
          <w:tcPr>
            <w:tcW w:w="2581" w:type="dxa"/>
            <w:tcMar>
              <w:left w:w="57" w:type="dxa"/>
              <w:bottom w:w="28" w:type="dxa"/>
              <w:right w:w="57" w:type="dxa"/>
            </w:tcMar>
            <w:vAlign w:val="center"/>
          </w:tcPr>
          <w:p w14:paraId="54B1FBFC"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Potential transpiration (mm)</w:t>
            </w:r>
          </w:p>
        </w:tc>
        <w:tc>
          <w:tcPr>
            <w:tcW w:w="2693" w:type="dxa"/>
            <w:shd w:val="reverseDiagStripe" w:color="auto" w:fill="auto"/>
            <w:tcMar>
              <w:left w:w="57" w:type="dxa"/>
              <w:bottom w:w="28" w:type="dxa"/>
              <w:right w:w="57" w:type="dxa"/>
            </w:tcMar>
            <w:vAlign w:val="center"/>
          </w:tcPr>
          <w:p w14:paraId="4B1CCDBC" w14:textId="77777777" w:rsidR="00C03583" w:rsidRPr="008F6866" w:rsidRDefault="00C03583" w:rsidP="00C03583">
            <w:pPr>
              <w:jc w:val="center"/>
              <w:rPr>
                <w:rFonts w:asciiTheme="minorHAnsi" w:hAnsiTheme="minorHAnsi"/>
                <w:color w:val="000000"/>
              </w:rPr>
            </w:pPr>
          </w:p>
        </w:tc>
        <w:tc>
          <w:tcPr>
            <w:tcW w:w="1998" w:type="dxa"/>
            <w:tcMar>
              <w:left w:w="57" w:type="dxa"/>
              <w:bottom w:w="28" w:type="dxa"/>
              <w:right w:w="57" w:type="dxa"/>
            </w:tcMar>
            <w:vAlign w:val="center"/>
          </w:tcPr>
          <w:p w14:paraId="2B0D814F" w14:textId="77777777" w:rsidR="00C03583" w:rsidRPr="008F6866" w:rsidDel="00FD0C18" w:rsidRDefault="00C03583" w:rsidP="00C03583">
            <w:pPr>
              <w:jc w:val="center"/>
              <w:rPr>
                <w:rFonts w:asciiTheme="minorHAnsi" w:hAnsiTheme="minorHAnsi"/>
                <w:color w:val="000000"/>
              </w:rPr>
            </w:pPr>
            <w:r w:rsidRPr="008F6866">
              <w:rPr>
                <w:rFonts w:asciiTheme="minorHAnsi" w:hAnsiTheme="minorHAnsi"/>
                <w:color w:val="000000"/>
              </w:rPr>
              <w:t>Trees, seedlings</w:t>
            </w:r>
          </w:p>
        </w:tc>
        <w:tc>
          <w:tcPr>
            <w:tcW w:w="2425" w:type="dxa"/>
            <w:shd w:val="reverseDiagStripe" w:color="auto" w:fill="auto"/>
            <w:tcMar>
              <w:left w:w="57" w:type="dxa"/>
              <w:bottom w:w="28" w:type="dxa"/>
              <w:right w:w="57" w:type="dxa"/>
            </w:tcMar>
            <w:vAlign w:val="center"/>
          </w:tcPr>
          <w:p w14:paraId="40268FA3" w14:textId="77777777" w:rsidR="00C03583" w:rsidRPr="008F6866" w:rsidRDefault="00C03583" w:rsidP="00C03583">
            <w:pPr>
              <w:jc w:val="center"/>
              <w:rPr>
                <w:rFonts w:asciiTheme="minorHAnsi" w:hAnsiTheme="minorHAnsi"/>
                <w:color w:val="000000"/>
              </w:rPr>
            </w:pPr>
          </w:p>
        </w:tc>
      </w:tr>
      <w:tr w:rsidR="00C03583" w:rsidRPr="008F6866" w14:paraId="398DFF0C" w14:textId="77777777" w:rsidTr="008D2845">
        <w:tc>
          <w:tcPr>
            <w:tcW w:w="2581" w:type="dxa"/>
            <w:tcMar>
              <w:left w:w="57" w:type="dxa"/>
              <w:bottom w:w="28" w:type="dxa"/>
              <w:right w:w="57" w:type="dxa"/>
            </w:tcMar>
            <w:vAlign w:val="center"/>
          </w:tcPr>
          <w:p w14:paraId="0642252B"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Transpiration deficit (mm)</w:t>
            </w:r>
          </w:p>
        </w:tc>
        <w:tc>
          <w:tcPr>
            <w:tcW w:w="2693" w:type="dxa"/>
            <w:shd w:val="reverseDiagStripe" w:color="auto" w:fill="auto"/>
            <w:tcMar>
              <w:left w:w="57" w:type="dxa"/>
              <w:bottom w:w="28" w:type="dxa"/>
              <w:right w:w="57" w:type="dxa"/>
            </w:tcMar>
            <w:vAlign w:val="center"/>
          </w:tcPr>
          <w:p w14:paraId="329894F9" w14:textId="77777777" w:rsidR="00C03583" w:rsidRPr="008F6866" w:rsidRDefault="00C03583" w:rsidP="00C03583">
            <w:pPr>
              <w:jc w:val="center"/>
              <w:rPr>
                <w:rFonts w:asciiTheme="minorHAnsi" w:hAnsiTheme="minorHAnsi"/>
                <w:color w:val="000000"/>
              </w:rPr>
            </w:pPr>
          </w:p>
        </w:tc>
        <w:tc>
          <w:tcPr>
            <w:tcW w:w="1998" w:type="dxa"/>
            <w:tcMar>
              <w:left w:w="57" w:type="dxa"/>
              <w:bottom w:w="28" w:type="dxa"/>
              <w:right w:w="57" w:type="dxa"/>
            </w:tcMar>
            <w:vAlign w:val="center"/>
          </w:tcPr>
          <w:p w14:paraId="2297F0B2"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Trees, seedlings</w:t>
            </w:r>
          </w:p>
        </w:tc>
        <w:tc>
          <w:tcPr>
            <w:tcW w:w="2425" w:type="dxa"/>
            <w:shd w:val="reverseDiagStripe" w:color="auto" w:fill="auto"/>
            <w:tcMar>
              <w:left w:w="57" w:type="dxa"/>
              <w:bottom w:w="28" w:type="dxa"/>
              <w:right w:w="57" w:type="dxa"/>
            </w:tcMar>
            <w:vAlign w:val="center"/>
          </w:tcPr>
          <w:p w14:paraId="39F9A725" w14:textId="77777777" w:rsidR="00C03583" w:rsidRPr="008F6866" w:rsidRDefault="00C03583" w:rsidP="00C03583">
            <w:pPr>
              <w:jc w:val="center"/>
              <w:rPr>
                <w:rFonts w:asciiTheme="minorHAnsi" w:hAnsiTheme="minorHAnsi"/>
                <w:color w:val="000000"/>
              </w:rPr>
            </w:pPr>
          </w:p>
        </w:tc>
      </w:tr>
      <w:tr w:rsidR="00C03583" w:rsidRPr="008F6866" w14:paraId="46E5CB2E" w14:textId="77777777" w:rsidTr="008D2845">
        <w:tc>
          <w:tcPr>
            <w:tcW w:w="2581" w:type="dxa"/>
            <w:tcMar>
              <w:left w:w="57" w:type="dxa"/>
              <w:bottom w:w="28" w:type="dxa"/>
              <w:right w:w="57" w:type="dxa"/>
            </w:tcMar>
            <w:vAlign w:val="center"/>
          </w:tcPr>
          <w:p w14:paraId="177E4993"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Evaporation (mm)</w:t>
            </w:r>
          </w:p>
        </w:tc>
        <w:tc>
          <w:tcPr>
            <w:tcW w:w="2693" w:type="dxa"/>
            <w:shd w:val="reverseDiagStripe" w:color="auto" w:fill="auto"/>
            <w:tcMar>
              <w:left w:w="57" w:type="dxa"/>
              <w:bottom w:w="28" w:type="dxa"/>
              <w:right w:w="57" w:type="dxa"/>
            </w:tcMar>
            <w:vAlign w:val="center"/>
          </w:tcPr>
          <w:p w14:paraId="62D95A8D" w14:textId="77777777" w:rsidR="00C03583" w:rsidRPr="008F6866" w:rsidRDefault="00C03583" w:rsidP="00C03583">
            <w:pPr>
              <w:jc w:val="center"/>
              <w:rPr>
                <w:rFonts w:asciiTheme="minorHAnsi" w:hAnsiTheme="minorHAnsi"/>
                <w:color w:val="000000"/>
              </w:rPr>
            </w:pPr>
          </w:p>
        </w:tc>
        <w:tc>
          <w:tcPr>
            <w:tcW w:w="1998" w:type="dxa"/>
            <w:tcMar>
              <w:left w:w="57" w:type="dxa"/>
              <w:bottom w:w="28" w:type="dxa"/>
              <w:right w:w="57" w:type="dxa"/>
            </w:tcMar>
            <w:vAlign w:val="center"/>
          </w:tcPr>
          <w:p w14:paraId="4773BE5F"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3E5B129C" w14:textId="77777777" w:rsidR="00C03583" w:rsidRPr="008F6866" w:rsidRDefault="00C03583" w:rsidP="00C03583">
            <w:pPr>
              <w:jc w:val="center"/>
              <w:rPr>
                <w:rFonts w:asciiTheme="minorHAnsi" w:hAnsiTheme="minorHAnsi"/>
                <w:color w:val="000000"/>
              </w:rPr>
            </w:pPr>
          </w:p>
        </w:tc>
      </w:tr>
      <w:tr w:rsidR="00C03583" w:rsidRPr="008F6866" w14:paraId="18872CE4" w14:textId="77777777" w:rsidTr="008D2845">
        <w:tc>
          <w:tcPr>
            <w:tcW w:w="2581" w:type="dxa"/>
            <w:tcMar>
              <w:left w:w="57" w:type="dxa"/>
              <w:bottom w:w="28" w:type="dxa"/>
              <w:right w:w="57" w:type="dxa"/>
            </w:tcMar>
            <w:vAlign w:val="center"/>
          </w:tcPr>
          <w:p w14:paraId="78B07BC0"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Evapotranspiration (mm)</w:t>
            </w:r>
          </w:p>
        </w:tc>
        <w:tc>
          <w:tcPr>
            <w:tcW w:w="2693" w:type="dxa"/>
            <w:tcMar>
              <w:left w:w="57" w:type="dxa"/>
              <w:bottom w:w="28" w:type="dxa"/>
              <w:right w:w="57" w:type="dxa"/>
            </w:tcMar>
            <w:vAlign w:val="center"/>
          </w:tcPr>
          <w:p w14:paraId="25885F00"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(/species)</w:t>
            </w:r>
          </w:p>
        </w:tc>
        <w:tc>
          <w:tcPr>
            <w:tcW w:w="1998" w:type="dxa"/>
            <w:tcMar>
              <w:left w:w="57" w:type="dxa"/>
              <w:bottom w:w="28" w:type="dxa"/>
              <w:right w:w="57" w:type="dxa"/>
            </w:tcMar>
            <w:vAlign w:val="center"/>
          </w:tcPr>
          <w:p w14:paraId="7BB14C5A"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5BCB123A" w14:textId="77777777" w:rsidR="00C03583" w:rsidRPr="008F6866" w:rsidRDefault="00C03583" w:rsidP="00C03583">
            <w:pPr>
              <w:jc w:val="center"/>
              <w:rPr>
                <w:rFonts w:asciiTheme="minorHAnsi" w:hAnsiTheme="minorHAnsi"/>
                <w:color w:val="000000"/>
              </w:rPr>
            </w:pPr>
          </w:p>
        </w:tc>
      </w:tr>
      <w:tr w:rsidR="00C03583" w:rsidRPr="008F6866" w14:paraId="24F70EC6" w14:textId="77777777" w:rsidTr="008D2845">
        <w:tc>
          <w:tcPr>
            <w:tcW w:w="2581" w:type="dxa"/>
            <w:tcMar>
              <w:left w:w="57" w:type="dxa"/>
              <w:bottom w:w="28" w:type="dxa"/>
              <w:right w:w="57" w:type="dxa"/>
            </w:tcMar>
            <w:vAlign w:val="center"/>
          </w:tcPr>
          <w:p w14:paraId="14D1D6EF"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Deep drainage (mm)</w:t>
            </w:r>
          </w:p>
        </w:tc>
        <w:tc>
          <w:tcPr>
            <w:tcW w:w="2693" w:type="dxa"/>
            <w:shd w:val="reverseDiagStripe" w:color="auto" w:fill="auto"/>
            <w:tcMar>
              <w:left w:w="57" w:type="dxa"/>
              <w:bottom w:w="28" w:type="dxa"/>
              <w:right w:w="57" w:type="dxa"/>
            </w:tcMar>
            <w:vAlign w:val="center"/>
          </w:tcPr>
          <w:p w14:paraId="512F59D4" w14:textId="77777777" w:rsidR="00C03583" w:rsidRPr="008F6866" w:rsidRDefault="00C03583" w:rsidP="00C03583">
            <w:pPr>
              <w:jc w:val="center"/>
              <w:rPr>
                <w:rFonts w:asciiTheme="minorHAnsi" w:hAnsiTheme="minorHAnsi"/>
                <w:color w:val="000000"/>
              </w:rPr>
            </w:pPr>
          </w:p>
        </w:tc>
        <w:tc>
          <w:tcPr>
            <w:tcW w:w="1998" w:type="dxa"/>
            <w:tcMar>
              <w:left w:w="57" w:type="dxa"/>
              <w:bottom w:w="28" w:type="dxa"/>
              <w:right w:w="57" w:type="dxa"/>
            </w:tcMar>
            <w:vAlign w:val="center"/>
          </w:tcPr>
          <w:p w14:paraId="2095ED0A"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32B35600" w14:textId="77777777" w:rsidR="00C03583" w:rsidRPr="008F6866" w:rsidRDefault="00C03583" w:rsidP="00C03583">
            <w:pPr>
              <w:jc w:val="center"/>
              <w:rPr>
                <w:rFonts w:asciiTheme="minorHAnsi" w:hAnsiTheme="minorHAnsi"/>
                <w:color w:val="000000"/>
              </w:rPr>
            </w:pPr>
          </w:p>
        </w:tc>
      </w:tr>
      <w:tr w:rsidR="00C03583" w:rsidRPr="008F6866" w14:paraId="1E6B4B5F" w14:textId="77777777" w:rsidTr="008D2845">
        <w:tc>
          <w:tcPr>
            <w:tcW w:w="2581" w:type="dxa"/>
            <w:shd w:val="clear" w:color="auto" w:fill="auto"/>
            <w:tcMar>
              <w:left w:w="57" w:type="dxa"/>
              <w:bottom w:w="28" w:type="dxa"/>
              <w:right w:w="57" w:type="dxa"/>
            </w:tcMar>
            <w:vAlign w:val="center"/>
          </w:tcPr>
          <w:p w14:paraId="34FE946D" w14:textId="77777777" w:rsidR="00C03583" w:rsidRPr="008F6866" w:rsidRDefault="00C03583" w:rsidP="00C03583">
            <w:pPr>
              <w:rPr>
                <w:rFonts w:asciiTheme="minorHAnsi" w:hAnsiTheme="minorHAnsi"/>
                <w:color w:val="000000"/>
              </w:rPr>
            </w:pPr>
          </w:p>
        </w:tc>
        <w:tc>
          <w:tcPr>
            <w:tcW w:w="2693" w:type="dxa"/>
            <w:shd w:val="clear" w:color="auto" w:fill="auto"/>
            <w:tcMar>
              <w:left w:w="57" w:type="dxa"/>
              <w:bottom w:w="28" w:type="dxa"/>
              <w:right w:w="57" w:type="dxa"/>
            </w:tcMar>
            <w:vAlign w:val="center"/>
          </w:tcPr>
          <w:p w14:paraId="2590F2EA" w14:textId="77777777" w:rsidR="00C03583" w:rsidRPr="008F6866" w:rsidRDefault="00C03583" w:rsidP="00C03583">
            <w:pPr>
              <w:jc w:val="center"/>
              <w:rPr>
                <w:rFonts w:asciiTheme="minorHAnsi" w:hAnsiTheme="minorHAnsi"/>
                <w:color w:val="000000"/>
              </w:rPr>
            </w:pPr>
          </w:p>
        </w:tc>
        <w:tc>
          <w:tcPr>
            <w:tcW w:w="1998" w:type="dxa"/>
            <w:shd w:val="clear" w:color="auto" w:fill="auto"/>
            <w:tcMar>
              <w:left w:w="57" w:type="dxa"/>
              <w:bottom w:w="28" w:type="dxa"/>
              <w:right w:w="57" w:type="dxa"/>
            </w:tcMar>
            <w:vAlign w:val="center"/>
          </w:tcPr>
          <w:p w14:paraId="44C3C244" w14:textId="77777777" w:rsidR="00C03583" w:rsidRPr="008F6866" w:rsidRDefault="00C03583" w:rsidP="00C03583">
            <w:pPr>
              <w:jc w:val="center"/>
              <w:rPr>
                <w:rFonts w:asciiTheme="minorHAnsi" w:hAnsiTheme="minorHAnsi"/>
                <w:color w:val="000000"/>
              </w:rPr>
            </w:pPr>
          </w:p>
        </w:tc>
        <w:tc>
          <w:tcPr>
            <w:tcW w:w="2425" w:type="dxa"/>
            <w:shd w:val="clear" w:color="auto" w:fill="auto"/>
            <w:tcMar>
              <w:left w:w="57" w:type="dxa"/>
              <w:bottom w:w="28" w:type="dxa"/>
              <w:right w:w="57" w:type="dxa"/>
            </w:tcMar>
            <w:vAlign w:val="center"/>
          </w:tcPr>
          <w:p w14:paraId="25007A94" w14:textId="77777777" w:rsidR="00C03583" w:rsidRPr="008F6866" w:rsidRDefault="00C03583" w:rsidP="00C03583">
            <w:pPr>
              <w:jc w:val="center"/>
              <w:rPr>
                <w:rFonts w:asciiTheme="minorHAnsi" w:hAnsiTheme="minorHAnsi"/>
                <w:color w:val="000000"/>
              </w:rPr>
            </w:pPr>
          </w:p>
        </w:tc>
      </w:tr>
      <w:tr w:rsidR="00C03583" w:rsidRPr="008F6866" w14:paraId="63002C47" w14:textId="77777777" w:rsidTr="008D2845">
        <w:tc>
          <w:tcPr>
            <w:tcW w:w="2581" w:type="dxa"/>
            <w:tcMar>
              <w:left w:w="57" w:type="dxa"/>
              <w:bottom w:w="28" w:type="dxa"/>
              <w:right w:w="57" w:type="dxa"/>
            </w:tcMar>
            <w:vAlign w:val="center"/>
          </w:tcPr>
          <w:p w14:paraId="1537398E" w14:textId="77777777" w:rsidR="00C03583" w:rsidRPr="008F6866" w:rsidRDefault="00C03583" w:rsidP="00C03583">
            <w:pPr>
              <w:rPr>
                <w:rFonts w:asciiTheme="minorHAnsi" w:hAnsiTheme="minorHAnsi"/>
                <w:b/>
                <w:color w:val="000000"/>
              </w:rPr>
            </w:pPr>
            <w:r w:rsidRPr="008F6866">
              <w:rPr>
                <w:rFonts w:asciiTheme="minorHAnsi" w:hAnsiTheme="minorHAnsi"/>
                <w:b/>
                <w:color w:val="000000"/>
              </w:rPr>
              <w:t>Financial profitability</w:t>
            </w:r>
          </w:p>
        </w:tc>
        <w:tc>
          <w:tcPr>
            <w:tcW w:w="2693" w:type="dxa"/>
            <w:tcMar>
              <w:left w:w="57" w:type="dxa"/>
              <w:bottom w:w="28" w:type="dxa"/>
              <w:right w:w="57" w:type="dxa"/>
            </w:tcMar>
            <w:vAlign w:val="center"/>
          </w:tcPr>
          <w:p w14:paraId="02A7BF5A" w14:textId="77777777" w:rsidR="00C03583" w:rsidRPr="008F6866" w:rsidRDefault="00C03583" w:rsidP="00C03583">
            <w:pPr>
              <w:jc w:val="center"/>
              <w:rPr>
                <w:rFonts w:asciiTheme="minorHAnsi" w:hAnsiTheme="minorHAnsi"/>
                <w:color w:val="000000"/>
              </w:rPr>
            </w:pPr>
          </w:p>
        </w:tc>
        <w:tc>
          <w:tcPr>
            <w:tcW w:w="1998" w:type="dxa"/>
            <w:tcMar>
              <w:left w:w="57" w:type="dxa"/>
              <w:bottom w:w="28" w:type="dxa"/>
              <w:right w:w="57" w:type="dxa"/>
            </w:tcMar>
            <w:vAlign w:val="center"/>
          </w:tcPr>
          <w:p w14:paraId="78648D19" w14:textId="77777777" w:rsidR="00C03583" w:rsidRPr="008F6866" w:rsidRDefault="00C03583" w:rsidP="00C03583">
            <w:pPr>
              <w:jc w:val="center"/>
              <w:rPr>
                <w:rFonts w:asciiTheme="minorHAnsi" w:hAnsiTheme="minorHAnsi"/>
                <w:color w:val="000000"/>
              </w:rPr>
            </w:pPr>
          </w:p>
        </w:tc>
        <w:tc>
          <w:tcPr>
            <w:tcW w:w="2425" w:type="dxa"/>
            <w:tcMar>
              <w:left w:w="57" w:type="dxa"/>
              <w:bottom w:w="28" w:type="dxa"/>
              <w:right w:w="57" w:type="dxa"/>
            </w:tcMar>
            <w:vAlign w:val="center"/>
          </w:tcPr>
          <w:p w14:paraId="4485FB22" w14:textId="77777777" w:rsidR="00C03583" w:rsidRPr="008F6866" w:rsidRDefault="00C03583" w:rsidP="00C03583">
            <w:pPr>
              <w:jc w:val="center"/>
              <w:rPr>
                <w:rFonts w:asciiTheme="minorHAnsi" w:hAnsiTheme="minorHAnsi"/>
                <w:color w:val="000000"/>
              </w:rPr>
            </w:pPr>
          </w:p>
        </w:tc>
      </w:tr>
      <w:tr w:rsidR="00C03583" w:rsidRPr="008F6866" w14:paraId="78475998" w14:textId="77777777" w:rsidTr="008D2845">
        <w:tc>
          <w:tcPr>
            <w:tcW w:w="2581" w:type="dxa"/>
            <w:tcMar>
              <w:left w:w="57" w:type="dxa"/>
              <w:bottom w:w="28" w:type="dxa"/>
              <w:right w:w="57" w:type="dxa"/>
            </w:tcMar>
            <w:vAlign w:val="center"/>
          </w:tcPr>
          <w:p w14:paraId="18AF9356"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Land market value (eur/ha)</w:t>
            </w:r>
          </w:p>
        </w:tc>
        <w:tc>
          <w:tcPr>
            <w:tcW w:w="2693" w:type="dxa"/>
            <w:tcMar>
              <w:left w:w="57" w:type="dxa"/>
              <w:bottom w:w="28" w:type="dxa"/>
              <w:right w:w="57" w:type="dxa"/>
            </w:tcMar>
            <w:vAlign w:val="center"/>
          </w:tcPr>
          <w:p w14:paraId="22B4012B"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Set as economic parameter</w:t>
            </w:r>
          </w:p>
        </w:tc>
        <w:tc>
          <w:tcPr>
            <w:tcW w:w="1998" w:type="dxa"/>
            <w:shd w:val="reverseDiagStripe" w:color="auto" w:fill="auto"/>
            <w:tcMar>
              <w:left w:w="57" w:type="dxa"/>
              <w:bottom w:w="28" w:type="dxa"/>
              <w:right w:w="57" w:type="dxa"/>
            </w:tcMar>
            <w:vAlign w:val="center"/>
          </w:tcPr>
          <w:p w14:paraId="6E9D8790"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2C66A151" w14:textId="77777777" w:rsidR="00C03583" w:rsidRPr="008F6866" w:rsidRDefault="00C03583" w:rsidP="00C03583">
            <w:pPr>
              <w:jc w:val="center"/>
              <w:rPr>
                <w:rFonts w:asciiTheme="minorHAnsi" w:hAnsiTheme="minorHAnsi"/>
                <w:color w:val="000000"/>
              </w:rPr>
            </w:pPr>
          </w:p>
        </w:tc>
      </w:tr>
      <w:tr w:rsidR="00C03583" w:rsidRPr="008F6866" w14:paraId="2163A448" w14:textId="77777777" w:rsidTr="008D2845">
        <w:tc>
          <w:tcPr>
            <w:tcW w:w="2581" w:type="dxa"/>
            <w:tcMar>
              <w:left w:w="57" w:type="dxa"/>
              <w:bottom w:w="28" w:type="dxa"/>
              <w:right w:w="57" w:type="dxa"/>
            </w:tcMar>
            <w:vAlign w:val="center"/>
          </w:tcPr>
          <w:p w14:paraId="64450CC2"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Land expected value </w:t>
            </w:r>
          </w:p>
          <w:p w14:paraId="48076816" w14:textId="37D915EB"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w:t>
            </w:r>
            <w:r w:rsidR="0061769F">
              <w:rPr>
                <w:rFonts w:asciiTheme="minorHAnsi" w:hAnsiTheme="minorHAnsi"/>
                <w:color w:val="000000"/>
              </w:rPr>
              <w:t xml:space="preserve">    </w:t>
            </w:r>
            <w:r w:rsidRPr="008F6866">
              <w:rPr>
                <w:rFonts w:asciiTheme="minorHAnsi" w:hAnsiTheme="minorHAnsi"/>
                <w:color w:val="000000"/>
              </w:rPr>
              <w:t>(eur/ha)</w:t>
            </w:r>
          </w:p>
        </w:tc>
        <w:tc>
          <w:tcPr>
            <w:tcW w:w="2693" w:type="dxa"/>
            <w:tcMar>
              <w:left w:w="57" w:type="dxa"/>
              <w:bottom w:w="28" w:type="dxa"/>
              <w:right w:w="57" w:type="dxa"/>
            </w:tcMar>
            <w:vAlign w:val="center"/>
          </w:tcPr>
          <w:p w14:paraId="5F30E643"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Net present value at perpetuity, for infinite cycle with land observation</w:t>
            </w:r>
          </w:p>
        </w:tc>
        <w:tc>
          <w:tcPr>
            <w:tcW w:w="1998" w:type="dxa"/>
            <w:shd w:val="reverseDiagStripe" w:color="auto" w:fill="auto"/>
            <w:tcMar>
              <w:left w:w="57" w:type="dxa"/>
              <w:bottom w:w="28" w:type="dxa"/>
              <w:right w:w="57" w:type="dxa"/>
            </w:tcMar>
            <w:vAlign w:val="center"/>
          </w:tcPr>
          <w:p w14:paraId="71FE831C"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4BF8C328" w14:textId="77777777" w:rsidR="00C03583" w:rsidRPr="008F6866" w:rsidRDefault="00C03583" w:rsidP="00C03583">
            <w:pPr>
              <w:jc w:val="center"/>
              <w:rPr>
                <w:rFonts w:asciiTheme="minorHAnsi" w:hAnsiTheme="minorHAnsi"/>
                <w:color w:val="000000"/>
              </w:rPr>
            </w:pPr>
          </w:p>
        </w:tc>
      </w:tr>
      <w:tr w:rsidR="00C03583" w:rsidRPr="008F6866" w14:paraId="156B2189" w14:textId="77777777" w:rsidTr="008D2845">
        <w:tc>
          <w:tcPr>
            <w:tcW w:w="2581" w:type="dxa"/>
            <w:tcMar>
              <w:left w:w="57" w:type="dxa"/>
              <w:bottom w:w="28" w:type="dxa"/>
              <w:right w:w="57" w:type="dxa"/>
            </w:tcMar>
            <w:vAlign w:val="center"/>
          </w:tcPr>
          <w:p w14:paraId="06A23454"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Total net present value </w:t>
            </w:r>
          </w:p>
          <w:p w14:paraId="17BE29A6" w14:textId="477F711B"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w:t>
            </w:r>
            <w:r w:rsidR="0061769F">
              <w:rPr>
                <w:rFonts w:asciiTheme="minorHAnsi" w:hAnsiTheme="minorHAnsi"/>
                <w:color w:val="000000"/>
              </w:rPr>
              <w:t xml:space="preserve">    </w:t>
            </w:r>
            <w:r w:rsidRPr="008F6866">
              <w:rPr>
                <w:rFonts w:asciiTheme="minorHAnsi" w:hAnsiTheme="minorHAnsi"/>
                <w:color w:val="000000"/>
              </w:rPr>
              <w:t>(eur/ha)</w:t>
            </w:r>
          </w:p>
        </w:tc>
        <w:tc>
          <w:tcPr>
            <w:tcW w:w="2693" w:type="dxa"/>
            <w:tcMar>
              <w:left w:w="57" w:type="dxa"/>
              <w:bottom w:w="28" w:type="dxa"/>
              <w:right w:w="57" w:type="dxa"/>
            </w:tcMar>
            <w:vAlign w:val="center"/>
          </w:tcPr>
          <w:p w14:paraId="75508271"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Net present value for land and trees</w:t>
            </w:r>
          </w:p>
        </w:tc>
        <w:tc>
          <w:tcPr>
            <w:tcW w:w="1998" w:type="dxa"/>
            <w:shd w:val="reverseDiagStripe" w:color="auto" w:fill="auto"/>
            <w:tcMar>
              <w:left w:w="57" w:type="dxa"/>
              <w:bottom w:w="28" w:type="dxa"/>
              <w:right w:w="57" w:type="dxa"/>
            </w:tcMar>
            <w:vAlign w:val="center"/>
          </w:tcPr>
          <w:p w14:paraId="2CA931A6"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71E265DF" w14:textId="77777777" w:rsidR="00C03583" w:rsidRPr="008F6866" w:rsidRDefault="00C03583" w:rsidP="00C03583">
            <w:pPr>
              <w:jc w:val="center"/>
              <w:rPr>
                <w:rFonts w:asciiTheme="minorHAnsi" w:hAnsiTheme="minorHAnsi"/>
                <w:color w:val="000000"/>
              </w:rPr>
            </w:pPr>
          </w:p>
        </w:tc>
      </w:tr>
      <w:tr w:rsidR="00C03583" w:rsidRPr="008F6866" w14:paraId="689CB449" w14:textId="77777777" w:rsidTr="008D2845">
        <w:tc>
          <w:tcPr>
            <w:tcW w:w="2581" w:type="dxa"/>
            <w:tcMar>
              <w:left w:w="57" w:type="dxa"/>
              <w:bottom w:w="28" w:type="dxa"/>
              <w:right w:w="57" w:type="dxa"/>
            </w:tcMar>
            <w:vAlign w:val="center"/>
          </w:tcPr>
          <w:p w14:paraId="49F2529F"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Net present value of trees </w:t>
            </w:r>
          </w:p>
          <w:p w14:paraId="70586D09" w14:textId="2F71A528"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w:t>
            </w:r>
            <w:r w:rsidR="0061769F">
              <w:rPr>
                <w:rFonts w:asciiTheme="minorHAnsi" w:hAnsiTheme="minorHAnsi"/>
                <w:color w:val="000000"/>
              </w:rPr>
              <w:t xml:space="preserve">    </w:t>
            </w:r>
            <w:r w:rsidRPr="008F6866">
              <w:rPr>
                <w:rFonts w:asciiTheme="minorHAnsi" w:hAnsiTheme="minorHAnsi"/>
                <w:color w:val="000000"/>
              </w:rPr>
              <w:t>(eur/ha)</w:t>
            </w:r>
          </w:p>
        </w:tc>
        <w:tc>
          <w:tcPr>
            <w:tcW w:w="2693" w:type="dxa"/>
            <w:tcMar>
              <w:left w:w="57" w:type="dxa"/>
              <w:bottom w:w="28" w:type="dxa"/>
              <w:right w:w="57" w:type="dxa"/>
            </w:tcMar>
            <w:vAlign w:val="center"/>
          </w:tcPr>
          <w:p w14:paraId="0B5BD2DB"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Total net present value minus land market value</w:t>
            </w:r>
          </w:p>
        </w:tc>
        <w:tc>
          <w:tcPr>
            <w:tcW w:w="1998" w:type="dxa"/>
            <w:shd w:val="reverseDiagStripe" w:color="auto" w:fill="auto"/>
            <w:tcMar>
              <w:left w:w="57" w:type="dxa"/>
              <w:bottom w:w="28" w:type="dxa"/>
              <w:right w:w="57" w:type="dxa"/>
            </w:tcMar>
            <w:vAlign w:val="center"/>
          </w:tcPr>
          <w:p w14:paraId="5CB4D447"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204094E4" w14:textId="77777777" w:rsidR="00C03583" w:rsidRPr="008F6866" w:rsidRDefault="00C03583" w:rsidP="00C03583">
            <w:pPr>
              <w:jc w:val="center"/>
              <w:rPr>
                <w:rFonts w:asciiTheme="minorHAnsi" w:hAnsiTheme="minorHAnsi"/>
                <w:color w:val="000000"/>
              </w:rPr>
            </w:pPr>
          </w:p>
        </w:tc>
      </w:tr>
    </w:tbl>
    <w:p w14:paraId="0EBB77C1" w14:textId="6161E500" w:rsidR="005F1990" w:rsidRDefault="00733416" w:rsidP="004A6ACA">
      <w:pPr>
        <w:spacing w:after="60"/>
        <w:jc w:val="center"/>
      </w:pPr>
      <w:r>
        <w:rPr>
          <w:b/>
          <w:color w:val="000000" w:themeColor="text1"/>
          <w:sz w:val="20"/>
          <w:szCs w:val="20"/>
        </w:rPr>
        <w:lastRenderedPageBreak/>
        <w:t xml:space="preserve">Table </w:t>
      </w:r>
      <w:r w:rsidR="004A6ACA">
        <w:rPr>
          <w:b/>
          <w:color w:val="000000" w:themeColor="text1"/>
          <w:sz w:val="20"/>
          <w:szCs w:val="20"/>
        </w:rPr>
        <w:t xml:space="preserve">I. </w:t>
      </w:r>
      <w:r w:rsidRPr="008F6866">
        <w:rPr>
          <w:b/>
          <w:color w:val="000000" w:themeColor="text1"/>
          <w:sz w:val="20"/>
          <w:szCs w:val="20"/>
        </w:rPr>
        <w:t>Exports of pre-processed indicators implemented in HETEROFOR</w:t>
      </w:r>
      <w:r w:rsidR="004A6ACA">
        <w:rPr>
          <w:b/>
          <w:color w:val="000000" w:themeColor="text1"/>
          <w:sz w:val="20"/>
          <w:szCs w:val="20"/>
        </w:rPr>
        <w:t xml:space="preserve"> (continued)</w:t>
      </w:r>
    </w:p>
    <w:tbl>
      <w:tblPr>
        <w:tblStyle w:val="Grilledutableau"/>
        <w:tblW w:w="9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1"/>
        <w:gridCol w:w="2693"/>
        <w:gridCol w:w="1998"/>
        <w:gridCol w:w="2425"/>
      </w:tblGrid>
      <w:tr w:rsidR="00733416" w:rsidRPr="008F6866" w14:paraId="7C1349A5" w14:textId="77777777" w:rsidTr="0054079D">
        <w:tc>
          <w:tcPr>
            <w:tcW w:w="2581" w:type="dxa"/>
            <w:shd w:val="clear" w:color="auto" w:fill="000000" w:themeFill="text1"/>
            <w:tcMar>
              <w:left w:w="57" w:type="dxa"/>
              <w:right w:w="57" w:type="dxa"/>
            </w:tcMar>
            <w:vAlign w:val="center"/>
          </w:tcPr>
          <w:p w14:paraId="052D937C" w14:textId="77777777" w:rsidR="00733416" w:rsidRPr="008F6866" w:rsidRDefault="00733416" w:rsidP="0054079D">
            <w:pPr>
              <w:jc w:val="center"/>
              <w:rPr>
                <w:rFonts w:asciiTheme="minorHAnsi" w:hAnsiTheme="minorHAnsi"/>
                <w:b/>
                <w:color w:val="FFFFFF" w:themeColor="background1"/>
              </w:rPr>
            </w:pPr>
            <w:r w:rsidRPr="008F6866">
              <w:rPr>
                <w:rFonts w:asciiTheme="minorHAnsi" w:hAnsiTheme="minorHAnsi"/>
                <w:b/>
                <w:color w:val="FFFFFF" w:themeColor="background1"/>
              </w:rPr>
              <w:t>Indicators</w:t>
            </w:r>
          </w:p>
        </w:tc>
        <w:tc>
          <w:tcPr>
            <w:tcW w:w="7116" w:type="dxa"/>
            <w:gridSpan w:val="3"/>
            <w:shd w:val="clear" w:color="auto" w:fill="000000" w:themeFill="text1"/>
            <w:tcMar>
              <w:left w:w="57" w:type="dxa"/>
              <w:right w:w="57" w:type="dxa"/>
            </w:tcMar>
            <w:vAlign w:val="center"/>
          </w:tcPr>
          <w:p w14:paraId="407FA615" w14:textId="77777777" w:rsidR="00733416" w:rsidRPr="008F6866" w:rsidRDefault="00733416" w:rsidP="0054079D">
            <w:pPr>
              <w:jc w:val="center"/>
              <w:rPr>
                <w:rFonts w:asciiTheme="minorHAnsi" w:hAnsiTheme="minorHAnsi"/>
                <w:b/>
                <w:color w:val="FFFFFF" w:themeColor="background1"/>
              </w:rPr>
            </w:pPr>
            <w:r w:rsidRPr="008F6866">
              <w:rPr>
                <w:rFonts w:asciiTheme="minorHAnsi" w:hAnsiTheme="minorHAnsi"/>
                <w:b/>
                <w:color w:val="FFFFFF" w:themeColor="background1"/>
              </w:rPr>
              <w:t>Integration levels</w:t>
            </w:r>
          </w:p>
        </w:tc>
      </w:tr>
      <w:tr w:rsidR="00C03583" w:rsidRPr="008F6866" w14:paraId="3C7238C3" w14:textId="77777777" w:rsidTr="008D2845">
        <w:tc>
          <w:tcPr>
            <w:tcW w:w="2581" w:type="dxa"/>
            <w:tcMar>
              <w:left w:w="57" w:type="dxa"/>
              <w:bottom w:w="28" w:type="dxa"/>
              <w:right w:w="57" w:type="dxa"/>
            </w:tcMar>
            <w:vAlign w:val="center"/>
          </w:tcPr>
          <w:p w14:paraId="5EBD3CF8"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Fixed discount rate (%)</w:t>
            </w:r>
          </w:p>
        </w:tc>
        <w:tc>
          <w:tcPr>
            <w:tcW w:w="2693" w:type="dxa"/>
            <w:tcMar>
              <w:left w:w="57" w:type="dxa"/>
              <w:bottom w:w="28" w:type="dxa"/>
              <w:right w:w="57" w:type="dxa"/>
            </w:tcMar>
            <w:vAlign w:val="center"/>
          </w:tcPr>
          <w:p w14:paraId="1CD8D7E1"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Set as economic parameter</w:t>
            </w:r>
          </w:p>
        </w:tc>
        <w:tc>
          <w:tcPr>
            <w:tcW w:w="1998" w:type="dxa"/>
            <w:shd w:val="reverseDiagStripe" w:color="auto" w:fill="auto"/>
            <w:tcMar>
              <w:left w:w="57" w:type="dxa"/>
              <w:bottom w:w="28" w:type="dxa"/>
              <w:right w:w="57" w:type="dxa"/>
            </w:tcMar>
            <w:vAlign w:val="center"/>
          </w:tcPr>
          <w:p w14:paraId="45DE87CA"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050C1AF1" w14:textId="77777777" w:rsidR="00C03583" w:rsidRPr="008F6866" w:rsidRDefault="00C03583" w:rsidP="00C03583">
            <w:pPr>
              <w:jc w:val="center"/>
              <w:rPr>
                <w:rFonts w:asciiTheme="minorHAnsi" w:hAnsiTheme="minorHAnsi"/>
                <w:color w:val="000000"/>
              </w:rPr>
            </w:pPr>
          </w:p>
        </w:tc>
      </w:tr>
      <w:tr w:rsidR="00C03583" w:rsidRPr="008F6866" w14:paraId="71F96ED7" w14:textId="77777777" w:rsidTr="008D2845">
        <w:tc>
          <w:tcPr>
            <w:tcW w:w="2581" w:type="dxa"/>
            <w:tcMar>
              <w:left w:w="57" w:type="dxa"/>
              <w:bottom w:w="28" w:type="dxa"/>
              <w:right w:w="57" w:type="dxa"/>
            </w:tcMar>
            <w:vAlign w:val="center"/>
          </w:tcPr>
          <w:p w14:paraId="04F866F0"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Optimized internal rate of </w:t>
            </w:r>
          </w:p>
          <w:p w14:paraId="4891AD59" w14:textId="060AB401"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w:t>
            </w:r>
            <w:r w:rsidR="00F8414C">
              <w:rPr>
                <w:rFonts w:asciiTheme="minorHAnsi" w:hAnsiTheme="minorHAnsi"/>
                <w:color w:val="000000"/>
              </w:rPr>
              <w:t xml:space="preserve">    </w:t>
            </w:r>
            <w:r w:rsidRPr="008F6866">
              <w:rPr>
                <w:rFonts w:asciiTheme="minorHAnsi" w:hAnsiTheme="minorHAnsi"/>
                <w:color w:val="000000"/>
              </w:rPr>
              <w:t>return (%)</w:t>
            </w:r>
          </w:p>
        </w:tc>
        <w:tc>
          <w:tcPr>
            <w:tcW w:w="2693" w:type="dxa"/>
            <w:tcMar>
              <w:left w:w="57" w:type="dxa"/>
              <w:bottom w:w="28" w:type="dxa"/>
              <w:right w:w="57" w:type="dxa"/>
            </w:tcMar>
            <w:vAlign w:val="center"/>
          </w:tcPr>
          <w:p w14:paraId="17B416F6"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 xml:space="preserve">Internal rate or return evaluated based on land market value, for infinite cycle with land observation </w:t>
            </w:r>
          </w:p>
        </w:tc>
        <w:tc>
          <w:tcPr>
            <w:tcW w:w="1998" w:type="dxa"/>
            <w:shd w:val="reverseDiagStripe" w:color="auto" w:fill="auto"/>
            <w:tcMar>
              <w:left w:w="57" w:type="dxa"/>
              <w:bottom w:w="28" w:type="dxa"/>
              <w:right w:w="57" w:type="dxa"/>
            </w:tcMar>
            <w:vAlign w:val="center"/>
          </w:tcPr>
          <w:p w14:paraId="72E196DC"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5365584D" w14:textId="77777777" w:rsidR="00C03583" w:rsidRPr="008F6866" w:rsidRDefault="00C03583" w:rsidP="00C03583">
            <w:pPr>
              <w:jc w:val="center"/>
              <w:rPr>
                <w:rFonts w:asciiTheme="minorHAnsi" w:hAnsiTheme="minorHAnsi"/>
                <w:color w:val="000000"/>
              </w:rPr>
            </w:pPr>
          </w:p>
        </w:tc>
      </w:tr>
      <w:tr w:rsidR="00C03583" w:rsidRPr="008F6866" w14:paraId="796CA6C9" w14:textId="77777777" w:rsidTr="008D2845">
        <w:tc>
          <w:tcPr>
            <w:tcW w:w="2581" w:type="dxa"/>
            <w:tcMar>
              <w:left w:w="57" w:type="dxa"/>
              <w:bottom w:w="28" w:type="dxa"/>
              <w:right w:w="57" w:type="dxa"/>
            </w:tcMar>
            <w:vAlign w:val="center"/>
          </w:tcPr>
          <w:p w14:paraId="091E2B64"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Calculated internal rate of </w:t>
            </w:r>
          </w:p>
          <w:p w14:paraId="6573436A" w14:textId="3BD6A985"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w:t>
            </w:r>
            <w:r w:rsidR="00F8414C">
              <w:rPr>
                <w:rFonts w:asciiTheme="minorHAnsi" w:hAnsiTheme="minorHAnsi"/>
                <w:color w:val="000000"/>
              </w:rPr>
              <w:t xml:space="preserve">    </w:t>
            </w:r>
            <w:r w:rsidRPr="008F6866">
              <w:rPr>
                <w:rFonts w:asciiTheme="minorHAnsi" w:hAnsiTheme="minorHAnsi"/>
                <w:color w:val="000000"/>
              </w:rPr>
              <w:t>return (%)</w:t>
            </w:r>
          </w:p>
        </w:tc>
        <w:tc>
          <w:tcPr>
            <w:tcW w:w="2693" w:type="dxa"/>
            <w:tcMar>
              <w:left w:w="57" w:type="dxa"/>
              <w:bottom w:w="28" w:type="dxa"/>
              <w:right w:w="57" w:type="dxa"/>
            </w:tcMar>
            <w:vAlign w:val="center"/>
          </w:tcPr>
          <w:p w14:paraId="11EE1A2B"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Ratio between average profit and average stand market value</w:t>
            </w:r>
          </w:p>
        </w:tc>
        <w:tc>
          <w:tcPr>
            <w:tcW w:w="1998" w:type="dxa"/>
            <w:shd w:val="reverseDiagStripe" w:color="auto" w:fill="auto"/>
            <w:tcMar>
              <w:left w:w="57" w:type="dxa"/>
              <w:bottom w:w="28" w:type="dxa"/>
              <w:right w:w="57" w:type="dxa"/>
            </w:tcMar>
            <w:vAlign w:val="center"/>
          </w:tcPr>
          <w:p w14:paraId="766EA33B"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0D7916CE" w14:textId="77777777" w:rsidR="00C03583" w:rsidRPr="008F6866" w:rsidRDefault="00C03583" w:rsidP="00C03583">
            <w:pPr>
              <w:jc w:val="center"/>
              <w:rPr>
                <w:rFonts w:asciiTheme="minorHAnsi" w:hAnsiTheme="minorHAnsi"/>
                <w:color w:val="000000"/>
              </w:rPr>
            </w:pPr>
          </w:p>
        </w:tc>
      </w:tr>
      <w:tr w:rsidR="00C03583" w:rsidRPr="008F6866" w14:paraId="45A75768" w14:textId="77777777" w:rsidTr="008D2845">
        <w:tc>
          <w:tcPr>
            <w:tcW w:w="2581" w:type="dxa"/>
            <w:tcMar>
              <w:left w:w="57" w:type="dxa"/>
              <w:bottom w:w="28" w:type="dxa"/>
              <w:right w:w="57" w:type="dxa"/>
            </w:tcMar>
            <w:vAlign w:val="center"/>
          </w:tcPr>
          <w:p w14:paraId="584777EF"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Stand market value (eur/ha)</w:t>
            </w:r>
          </w:p>
        </w:tc>
        <w:tc>
          <w:tcPr>
            <w:tcW w:w="2693" w:type="dxa"/>
            <w:tcMar>
              <w:left w:w="57" w:type="dxa"/>
              <w:bottom w:w="28" w:type="dxa"/>
              <w:right w:w="57" w:type="dxa"/>
            </w:tcMar>
            <w:vAlign w:val="center"/>
          </w:tcPr>
          <w:p w14:paraId="48D10309"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initial, final (/species)</w:t>
            </w:r>
          </w:p>
        </w:tc>
        <w:tc>
          <w:tcPr>
            <w:tcW w:w="1998" w:type="dxa"/>
            <w:tcMar>
              <w:left w:w="57" w:type="dxa"/>
              <w:bottom w:w="28" w:type="dxa"/>
              <w:right w:w="57" w:type="dxa"/>
            </w:tcMar>
            <w:vAlign w:val="center"/>
          </w:tcPr>
          <w:p w14:paraId="156E49BD"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430F867E" w14:textId="77777777" w:rsidR="00C03583" w:rsidRPr="008F6866" w:rsidRDefault="00C03583" w:rsidP="00C03583">
            <w:pPr>
              <w:jc w:val="center"/>
              <w:rPr>
                <w:rFonts w:asciiTheme="minorHAnsi" w:hAnsiTheme="minorHAnsi"/>
                <w:color w:val="000000"/>
              </w:rPr>
            </w:pPr>
          </w:p>
        </w:tc>
      </w:tr>
      <w:tr w:rsidR="00C03583" w:rsidRPr="008F6866" w14:paraId="378C8517" w14:textId="77777777" w:rsidTr="008D2845">
        <w:tc>
          <w:tcPr>
            <w:tcW w:w="2581" w:type="dxa"/>
            <w:tcMar>
              <w:left w:w="57" w:type="dxa"/>
              <w:bottom w:w="28" w:type="dxa"/>
              <w:right w:w="57" w:type="dxa"/>
            </w:tcMar>
            <w:vAlign w:val="center"/>
          </w:tcPr>
          <w:p w14:paraId="3FD0FD22"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Commercial volume (m³/ha)</w:t>
            </w:r>
          </w:p>
        </w:tc>
        <w:tc>
          <w:tcPr>
            <w:tcW w:w="2693" w:type="dxa"/>
            <w:tcMar>
              <w:left w:w="57" w:type="dxa"/>
              <w:bottom w:w="28" w:type="dxa"/>
              <w:right w:w="57" w:type="dxa"/>
            </w:tcMar>
            <w:vAlign w:val="center"/>
          </w:tcPr>
          <w:p w14:paraId="4F8BDEB6"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Initial, final</w:t>
            </w:r>
          </w:p>
        </w:tc>
        <w:tc>
          <w:tcPr>
            <w:tcW w:w="1998" w:type="dxa"/>
            <w:shd w:val="reverseDiagStripe" w:color="auto" w:fill="auto"/>
            <w:tcMar>
              <w:left w:w="57" w:type="dxa"/>
              <w:bottom w:w="28" w:type="dxa"/>
              <w:right w:w="57" w:type="dxa"/>
            </w:tcMar>
            <w:vAlign w:val="center"/>
          </w:tcPr>
          <w:p w14:paraId="43EBD265"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48F34435" w14:textId="77777777" w:rsidR="00C03583" w:rsidRPr="008F6866" w:rsidRDefault="00C03583" w:rsidP="00C03583">
            <w:pPr>
              <w:jc w:val="center"/>
              <w:rPr>
                <w:rFonts w:asciiTheme="minorHAnsi" w:hAnsiTheme="minorHAnsi"/>
                <w:color w:val="000000"/>
              </w:rPr>
            </w:pPr>
          </w:p>
        </w:tc>
      </w:tr>
      <w:tr w:rsidR="00C03583" w:rsidRPr="008F6866" w14:paraId="5DC2FDF2" w14:textId="77777777" w:rsidTr="008D2845">
        <w:tc>
          <w:tcPr>
            <w:tcW w:w="2581" w:type="dxa"/>
            <w:tcMar>
              <w:left w:w="57" w:type="dxa"/>
              <w:bottom w:w="28" w:type="dxa"/>
              <w:right w:w="57" w:type="dxa"/>
            </w:tcMar>
            <w:vAlign w:val="center"/>
          </w:tcPr>
          <w:p w14:paraId="24DA830C"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Harvested volume </w:t>
            </w:r>
          </w:p>
          <w:p w14:paraId="6DE225F8" w14:textId="5BF431A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w:t>
            </w:r>
            <w:r w:rsidR="00F8414C">
              <w:rPr>
                <w:rFonts w:asciiTheme="minorHAnsi" w:hAnsiTheme="minorHAnsi"/>
                <w:color w:val="000000"/>
              </w:rPr>
              <w:t xml:space="preserve">    </w:t>
            </w:r>
            <w:r w:rsidRPr="008F6866">
              <w:rPr>
                <w:rFonts w:asciiTheme="minorHAnsi" w:hAnsiTheme="minorHAnsi"/>
                <w:color w:val="000000"/>
              </w:rPr>
              <w:t>(m³/ha/year)</w:t>
            </w:r>
          </w:p>
        </w:tc>
        <w:tc>
          <w:tcPr>
            <w:tcW w:w="2693" w:type="dxa"/>
            <w:tcMar>
              <w:left w:w="57" w:type="dxa"/>
              <w:bottom w:w="28" w:type="dxa"/>
              <w:right w:w="57" w:type="dxa"/>
            </w:tcMar>
            <w:vAlign w:val="center"/>
          </w:tcPr>
          <w:p w14:paraId="17D7874B"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w:t>
            </w:r>
          </w:p>
        </w:tc>
        <w:tc>
          <w:tcPr>
            <w:tcW w:w="1998" w:type="dxa"/>
            <w:tcMar>
              <w:left w:w="57" w:type="dxa"/>
              <w:bottom w:w="28" w:type="dxa"/>
              <w:right w:w="57" w:type="dxa"/>
            </w:tcMar>
            <w:vAlign w:val="center"/>
          </w:tcPr>
          <w:p w14:paraId="426E06D0"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120826BE" w14:textId="77777777" w:rsidR="00C03583" w:rsidRPr="008F6866" w:rsidRDefault="00C03583" w:rsidP="00C03583">
            <w:pPr>
              <w:jc w:val="center"/>
              <w:rPr>
                <w:rFonts w:asciiTheme="minorHAnsi" w:hAnsiTheme="minorHAnsi"/>
                <w:color w:val="000000"/>
              </w:rPr>
            </w:pPr>
          </w:p>
        </w:tc>
      </w:tr>
      <w:tr w:rsidR="00C03583" w:rsidRPr="008F6866" w14:paraId="2033E334" w14:textId="77777777" w:rsidTr="008D2845">
        <w:tc>
          <w:tcPr>
            <w:tcW w:w="2581" w:type="dxa"/>
            <w:tcMar>
              <w:left w:w="57" w:type="dxa"/>
              <w:bottom w:w="28" w:type="dxa"/>
              <w:right w:w="57" w:type="dxa"/>
            </w:tcMar>
            <w:vAlign w:val="center"/>
          </w:tcPr>
          <w:p w14:paraId="1C950C3A"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Income (eur/ha/year)</w:t>
            </w:r>
          </w:p>
        </w:tc>
        <w:tc>
          <w:tcPr>
            <w:tcW w:w="2693" w:type="dxa"/>
            <w:tcMar>
              <w:left w:w="57" w:type="dxa"/>
              <w:bottom w:w="28" w:type="dxa"/>
              <w:right w:w="57" w:type="dxa"/>
            </w:tcMar>
            <w:vAlign w:val="center"/>
          </w:tcPr>
          <w:p w14:paraId="1D02C259"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w:t>
            </w:r>
          </w:p>
        </w:tc>
        <w:tc>
          <w:tcPr>
            <w:tcW w:w="1998" w:type="dxa"/>
            <w:tcMar>
              <w:left w:w="57" w:type="dxa"/>
              <w:bottom w:w="28" w:type="dxa"/>
              <w:right w:w="57" w:type="dxa"/>
            </w:tcMar>
            <w:vAlign w:val="center"/>
          </w:tcPr>
          <w:p w14:paraId="0DE6896E"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6033042C" w14:textId="77777777" w:rsidR="00C03583" w:rsidRPr="008F6866" w:rsidRDefault="00C03583" w:rsidP="00C03583">
            <w:pPr>
              <w:jc w:val="center"/>
              <w:rPr>
                <w:rFonts w:asciiTheme="minorHAnsi" w:hAnsiTheme="minorHAnsi"/>
                <w:color w:val="000000"/>
              </w:rPr>
            </w:pPr>
          </w:p>
        </w:tc>
      </w:tr>
      <w:tr w:rsidR="00C03583" w:rsidRPr="008F6866" w14:paraId="2E5B1393" w14:textId="77777777" w:rsidTr="008D2845">
        <w:tc>
          <w:tcPr>
            <w:tcW w:w="2581" w:type="dxa"/>
            <w:tcMar>
              <w:left w:w="57" w:type="dxa"/>
              <w:bottom w:w="28" w:type="dxa"/>
              <w:right w:w="57" w:type="dxa"/>
            </w:tcMar>
            <w:vAlign w:val="center"/>
          </w:tcPr>
          <w:p w14:paraId="01A005DB"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Expenses (eur/ha/year)</w:t>
            </w:r>
          </w:p>
        </w:tc>
        <w:tc>
          <w:tcPr>
            <w:tcW w:w="2693" w:type="dxa"/>
            <w:shd w:val="reverseDiagStripe" w:color="auto" w:fill="auto"/>
            <w:tcMar>
              <w:left w:w="57" w:type="dxa"/>
              <w:bottom w:w="28" w:type="dxa"/>
              <w:right w:w="57" w:type="dxa"/>
            </w:tcMar>
            <w:vAlign w:val="center"/>
          </w:tcPr>
          <w:p w14:paraId="730D4C5E" w14:textId="77777777" w:rsidR="00C03583" w:rsidRPr="008F6866" w:rsidRDefault="00C03583" w:rsidP="00C03583">
            <w:pPr>
              <w:jc w:val="center"/>
              <w:rPr>
                <w:rFonts w:asciiTheme="minorHAnsi" w:hAnsiTheme="minorHAnsi"/>
                <w:color w:val="000000"/>
              </w:rPr>
            </w:pPr>
          </w:p>
        </w:tc>
        <w:tc>
          <w:tcPr>
            <w:tcW w:w="1998" w:type="dxa"/>
            <w:tcMar>
              <w:left w:w="57" w:type="dxa"/>
              <w:bottom w:w="28" w:type="dxa"/>
              <w:right w:w="57" w:type="dxa"/>
            </w:tcMar>
            <w:vAlign w:val="center"/>
          </w:tcPr>
          <w:p w14:paraId="603799A0"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500D6EA8" w14:textId="77777777" w:rsidR="00C03583" w:rsidRPr="008F6866" w:rsidRDefault="00C03583" w:rsidP="00C03583">
            <w:pPr>
              <w:jc w:val="center"/>
              <w:rPr>
                <w:rFonts w:asciiTheme="minorHAnsi" w:hAnsiTheme="minorHAnsi"/>
                <w:color w:val="000000"/>
              </w:rPr>
            </w:pPr>
          </w:p>
        </w:tc>
      </w:tr>
      <w:tr w:rsidR="00C03583" w:rsidRPr="008F6866" w14:paraId="48E9E3FA" w14:textId="77777777" w:rsidTr="008D2845">
        <w:tc>
          <w:tcPr>
            <w:tcW w:w="2581" w:type="dxa"/>
            <w:tcMar>
              <w:left w:w="57" w:type="dxa"/>
              <w:bottom w:w="28" w:type="dxa"/>
              <w:right w:w="57" w:type="dxa"/>
            </w:tcMar>
            <w:vAlign w:val="center"/>
          </w:tcPr>
          <w:p w14:paraId="770AC17F"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Profit (eur/ha/year)</w:t>
            </w:r>
          </w:p>
        </w:tc>
        <w:tc>
          <w:tcPr>
            <w:tcW w:w="2693" w:type="dxa"/>
            <w:tcMar>
              <w:left w:w="57" w:type="dxa"/>
              <w:bottom w:w="28" w:type="dxa"/>
              <w:right w:w="57" w:type="dxa"/>
            </w:tcMar>
            <w:vAlign w:val="center"/>
          </w:tcPr>
          <w:p w14:paraId="72AE0FD5"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w:t>
            </w:r>
          </w:p>
        </w:tc>
        <w:tc>
          <w:tcPr>
            <w:tcW w:w="1998" w:type="dxa"/>
            <w:tcMar>
              <w:left w:w="57" w:type="dxa"/>
              <w:bottom w:w="28" w:type="dxa"/>
              <w:right w:w="57" w:type="dxa"/>
            </w:tcMar>
            <w:vAlign w:val="center"/>
          </w:tcPr>
          <w:p w14:paraId="1AA25165"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601962A3" w14:textId="77777777" w:rsidR="00C03583" w:rsidRPr="008F6866" w:rsidRDefault="00C03583" w:rsidP="00C03583">
            <w:pPr>
              <w:jc w:val="center"/>
              <w:rPr>
                <w:rFonts w:asciiTheme="minorHAnsi" w:hAnsiTheme="minorHAnsi"/>
                <w:color w:val="000000"/>
              </w:rPr>
            </w:pPr>
          </w:p>
        </w:tc>
      </w:tr>
      <w:tr w:rsidR="00C03583" w:rsidRPr="008F6866" w14:paraId="2C3FC851" w14:textId="77777777" w:rsidTr="008D2845">
        <w:tc>
          <w:tcPr>
            <w:tcW w:w="2581" w:type="dxa"/>
            <w:shd w:val="clear" w:color="auto" w:fill="auto"/>
            <w:tcMar>
              <w:left w:w="57" w:type="dxa"/>
              <w:bottom w:w="28" w:type="dxa"/>
              <w:right w:w="57" w:type="dxa"/>
            </w:tcMar>
            <w:vAlign w:val="center"/>
          </w:tcPr>
          <w:p w14:paraId="4FDBC2B7" w14:textId="77777777" w:rsidR="00C03583" w:rsidRPr="008F6866" w:rsidRDefault="00C03583" w:rsidP="00C03583">
            <w:pPr>
              <w:rPr>
                <w:rFonts w:asciiTheme="minorHAnsi" w:hAnsiTheme="minorHAnsi"/>
                <w:color w:val="000000"/>
              </w:rPr>
            </w:pPr>
          </w:p>
        </w:tc>
        <w:tc>
          <w:tcPr>
            <w:tcW w:w="2693" w:type="dxa"/>
            <w:shd w:val="clear" w:color="auto" w:fill="auto"/>
            <w:tcMar>
              <w:left w:w="57" w:type="dxa"/>
              <w:bottom w:w="28" w:type="dxa"/>
              <w:right w:w="57" w:type="dxa"/>
            </w:tcMar>
            <w:vAlign w:val="center"/>
          </w:tcPr>
          <w:p w14:paraId="3CC9B89A" w14:textId="77777777" w:rsidR="00C03583" w:rsidRPr="008F6866" w:rsidRDefault="00C03583" w:rsidP="00C03583">
            <w:pPr>
              <w:jc w:val="center"/>
              <w:rPr>
                <w:rFonts w:asciiTheme="minorHAnsi" w:hAnsiTheme="minorHAnsi"/>
                <w:color w:val="000000"/>
              </w:rPr>
            </w:pPr>
          </w:p>
        </w:tc>
        <w:tc>
          <w:tcPr>
            <w:tcW w:w="1998" w:type="dxa"/>
            <w:shd w:val="clear" w:color="auto" w:fill="auto"/>
            <w:tcMar>
              <w:left w:w="57" w:type="dxa"/>
              <w:bottom w:w="28" w:type="dxa"/>
              <w:right w:w="57" w:type="dxa"/>
            </w:tcMar>
            <w:vAlign w:val="center"/>
          </w:tcPr>
          <w:p w14:paraId="21BBC8C9" w14:textId="77777777" w:rsidR="00C03583" w:rsidRPr="008F6866" w:rsidRDefault="00C03583" w:rsidP="00C03583">
            <w:pPr>
              <w:jc w:val="center"/>
              <w:rPr>
                <w:rFonts w:asciiTheme="minorHAnsi" w:hAnsiTheme="minorHAnsi"/>
                <w:color w:val="000000"/>
              </w:rPr>
            </w:pPr>
          </w:p>
        </w:tc>
        <w:tc>
          <w:tcPr>
            <w:tcW w:w="2425" w:type="dxa"/>
            <w:shd w:val="clear" w:color="auto" w:fill="auto"/>
            <w:tcMar>
              <w:left w:w="57" w:type="dxa"/>
              <w:bottom w:w="28" w:type="dxa"/>
              <w:right w:w="57" w:type="dxa"/>
            </w:tcMar>
            <w:vAlign w:val="center"/>
          </w:tcPr>
          <w:p w14:paraId="3C127C85" w14:textId="77777777" w:rsidR="00C03583" w:rsidRPr="008F6866" w:rsidRDefault="00C03583" w:rsidP="00C03583">
            <w:pPr>
              <w:jc w:val="center"/>
              <w:rPr>
                <w:rFonts w:asciiTheme="minorHAnsi" w:hAnsiTheme="minorHAnsi"/>
                <w:color w:val="000000"/>
              </w:rPr>
            </w:pPr>
          </w:p>
        </w:tc>
      </w:tr>
      <w:tr w:rsidR="00C03583" w:rsidRPr="008F6866" w14:paraId="605372D1" w14:textId="77777777" w:rsidTr="008D2845">
        <w:tc>
          <w:tcPr>
            <w:tcW w:w="2581" w:type="dxa"/>
            <w:tcMar>
              <w:left w:w="57" w:type="dxa"/>
              <w:bottom w:w="28" w:type="dxa"/>
              <w:right w:w="57" w:type="dxa"/>
            </w:tcMar>
            <w:vAlign w:val="center"/>
          </w:tcPr>
          <w:p w14:paraId="25F4A8A3" w14:textId="77777777" w:rsidR="00C03583" w:rsidRPr="008F6866" w:rsidRDefault="00C03583" w:rsidP="00C03583">
            <w:pPr>
              <w:rPr>
                <w:rFonts w:asciiTheme="minorHAnsi" w:hAnsiTheme="minorHAnsi"/>
                <w:b/>
                <w:color w:val="000000"/>
              </w:rPr>
            </w:pPr>
            <w:r w:rsidRPr="008F6866">
              <w:rPr>
                <w:rFonts w:asciiTheme="minorHAnsi" w:hAnsiTheme="minorHAnsi"/>
                <w:b/>
                <w:color w:val="000000"/>
              </w:rPr>
              <w:t>Carbon module</w:t>
            </w:r>
          </w:p>
        </w:tc>
        <w:tc>
          <w:tcPr>
            <w:tcW w:w="2693" w:type="dxa"/>
            <w:tcMar>
              <w:left w:w="57" w:type="dxa"/>
              <w:bottom w:w="28" w:type="dxa"/>
              <w:right w:w="57" w:type="dxa"/>
            </w:tcMar>
            <w:vAlign w:val="center"/>
          </w:tcPr>
          <w:p w14:paraId="35F64D8E" w14:textId="77777777" w:rsidR="00C03583" w:rsidRPr="008F6866" w:rsidRDefault="00C03583" w:rsidP="00C03583">
            <w:pPr>
              <w:jc w:val="center"/>
              <w:rPr>
                <w:rFonts w:asciiTheme="minorHAnsi" w:hAnsiTheme="minorHAnsi"/>
                <w:color w:val="000000"/>
              </w:rPr>
            </w:pPr>
          </w:p>
        </w:tc>
        <w:tc>
          <w:tcPr>
            <w:tcW w:w="1998" w:type="dxa"/>
            <w:tcMar>
              <w:left w:w="57" w:type="dxa"/>
              <w:bottom w:w="28" w:type="dxa"/>
              <w:right w:w="57" w:type="dxa"/>
            </w:tcMar>
            <w:vAlign w:val="center"/>
          </w:tcPr>
          <w:p w14:paraId="450A2058" w14:textId="77777777" w:rsidR="00C03583" w:rsidRPr="008F6866" w:rsidRDefault="00C03583" w:rsidP="00C03583">
            <w:pPr>
              <w:jc w:val="center"/>
              <w:rPr>
                <w:rFonts w:asciiTheme="minorHAnsi" w:hAnsiTheme="minorHAnsi"/>
                <w:color w:val="000000"/>
              </w:rPr>
            </w:pPr>
          </w:p>
        </w:tc>
        <w:tc>
          <w:tcPr>
            <w:tcW w:w="2425" w:type="dxa"/>
            <w:tcMar>
              <w:left w:w="57" w:type="dxa"/>
              <w:bottom w:w="28" w:type="dxa"/>
              <w:right w:w="57" w:type="dxa"/>
            </w:tcMar>
            <w:vAlign w:val="center"/>
          </w:tcPr>
          <w:p w14:paraId="3087AF0E" w14:textId="77777777" w:rsidR="00C03583" w:rsidRPr="008F6866" w:rsidRDefault="00C03583" w:rsidP="00C03583">
            <w:pPr>
              <w:jc w:val="center"/>
              <w:rPr>
                <w:rFonts w:asciiTheme="minorHAnsi" w:hAnsiTheme="minorHAnsi"/>
                <w:color w:val="000000"/>
              </w:rPr>
            </w:pPr>
          </w:p>
        </w:tc>
      </w:tr>
      <w:tr w:rsidR="00C03583" w:rsidRPr="008F6866" w14:paraId="53CF2C0E" w14:textId="77777777" w:rsidTr="008D2845">
        <w:tc>
          <w:tcPr>
            <w:tcW w:w="2581" w:type="dxa"/>
            <w:tcMar>
              <w:left w:w="57" w:type="dxa"/>
              <w:bottom w:w="28" w:type="dxa"/>
              <w:right w:w="57" w:type="dxa"/>
            </w:tcMar>
            <w:vAlign w:val="center"/>
          </w:tcPr>
          <w:p w14:paraId="7C68A7BF"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Living biomass (MgC/ha)</w:t>
            </w:r>
          </w:p>
        </w:tc>
        <w:tc>
          <w:tcPr>
            <w:tcW w:w="2693" w:type="dxa"/>
            <w:shd w:val="clear" w:color="auto" w:fill="auto"/>
            <w:tcMar>
              <w:left w:w="57" w:type="dxa"/>
              <w:bottom w:w="28" w:type="dxa"/>
              <w:right w:w="57" w:type="dxa"/>
            </w:tcMar>
            <w:vAlign w:val="center"/>
          </w:tcPr>
          <w:p w14:paraId="55F832D6"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initial, final, variation</w:t>
            </w:r>
          </w:p>
        </w:tc>
        <w:tc>
          <w:tcPr>
            <w:tcW w:w="1998" w:type="dxa"/>
            <w:tcMar>
              <w:left w:w="57" w:type="dxa"/>
              <w:bottom w:w="28" w:type="dxa"/>
              <w:right w:w="57" w:type="dxa"/>
            </w:tcMar>
            <w:vAlign w:val="center"/>
          </w:tcPr>
          <w:p w14:paraId="2DC31DAD"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315638D6" w14:textId="77777777" w:rsidR="00C03583" w:rsidRPr="008F6866" w:rsidRDefault="00C03583" w:rsidP="00C03583">
            <w:pPr>
              <w:jc w:val="center"/>
              <w:rPr>
                <w:rFonts w:asciiTheme="minorHAnsi" w:hAnsiTheme="minorHAnsi"/>
                <w:color w:val="000000"/>
              </w:rPr>
            </w:pPr>
          </w:p>
        </w:tc>
      </w:tr>
      <w:tr w:rsidR="00C03583" w:rsidRPr="008F6866" w14:paraId="22EF014D" w14:textId="77777777" w:rsidTr="008D2845">
        <w:tc>
          <w:tcPr>
            <w:tcW w:w="2581" w:type="dxa"/>
            <w:tcMar>
              <w:left w:w="57" w:type="dxa"/>
              <w:bottom w:w="28" w:type="dxa"/>
              <w:right w:w="57" w:type="dxa"/>
            </w:tcMar>
            <w:vAlign w:val="center"/>
          </w:tcPr>
          <w:p w14:paraId="4DD9E569"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Dead wood (MgC/ha)</w:t>
            </w:r>
          </w:p>
          <w:p w14:paraId="122D7D2B" w14:textId="77777777" w:rsidR="00D340F3" w:rsidRDefault="00C03583" w:rsidP="00C03583">
            <w:pPr>
              <w:rPr>
                <w:rFonts w:asciiTheme="minorHAnsi" w:hAnsiTheme="minorHAnsi"/>
                <w:color w:val="000000"/>
              </w:rPr>
            </w:pPr>
            <w:r w:rsidRPr="008F6866">
              <w:rPr>
                <w:rFonts w:asciiTheme="minorHAnsi" w:hAnsiTheme="minorHAnsi"/>
                <w:color w:val="000000"/>
              </w:rPr>
              <w:t xml:space="preserve">     Standing, lying, </w:t>
            </w:r>
            <w:r w:rsidR="00D340F3">
              <w:rPr>
                <w:rFonts w:asciiTheme="minorHAnsi" w:hAnsiTheme="minorHAnsi"/>
                <w:color w:val="000000"/>
              </w:rPr>
              <w:t xml:space="preserve"> </w:t>
            </w:r>
          </w:p>
          <w:p w14:paraId="3B42BC32" w14:textId="28A84123" w:rsidR="00C03583" w:rsidRPr="008F6866" w:rsidRDefault="00D340F3" w:rsidP="00C03583">
            <w:pPr>
              <w:rPr>
                <w:rFonts w:asciiTheme="minorHAnsi" w:hAnsiTheme="minorHAnsi"/>
                <w:color w:val="000000"/>
              </w:rPr>
            </w:pPr>
            <w:r>
              <w:rPr>
                <w:rFonts w:asciiTheme="minorHAnsi" w:hAnsiTheme="minorHAnsi"/>
                <w:color w:val="000000"/>
              </w:rPr>
              <w:t xml:space="preserve">     </w:t>
            </w:r>
            <w:r w:rsidR="00C03583" w:rsidRPr="008F6866">
              <w:rPr>
                <w:rFonts w:asciiTheme="minorHAnsi" w:hAnsiTheme="minorHAnsi"/>
                <w:color w:val="000000"/>
              </w:rPr>
              <w:t>belowground</w:t>
            </w:r>
          </w:p>
        </w:tc>
        <w:tc>
          <w:tcPr>
            <w:tcW w:w="2693" w:type="dxa"/>
            <w:shd w:val="clear" w:color="auto" w:fill="auto"/>
            <w:tcMar>
              <w:left w:w="57" w:type="dxa"/>
              <w:bottom w:w="28" w:type="dxa"/>
              <w:right w:w="57" w:type="dxa"/>
            </w:tcMar>
            <w:vAlign w:val="center"/>
          </w:tcPr>
          <w:p w14:paraId="0A3A95D8"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initial, final, variation</w:t>
            </w:r>
          </w:p>
        </w:tc>
        <w:tc>
          <w:tcPr>
            <w:tcW w:w="1998" w:type="dxa"/>
            <w:tcMar>
              <w:left w:w="57" w:type="dxa"/>
              <w:bottom w:w="28" w:type="dxa"/>
              <w:right w:w="57" w:type="dxa"/>
            </w:tcMar>
            <w:vAlign w:val="center"/>
          </w:tcPr>
          <w:p w14:paraId="0493447B"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20B6E153" w14:textId="77777777" w:rsidR="00C03583" w:rsidRPr="008F6866" w:rsidRDefault="00C03583" w:rsidP="00C03583">
            <w:pPr>
              <w:jc w:val="center"/>
              <w:rPr>
                <w:rFonts w:asciiTheme="minorHAnsi" w:hAnsiTheme="minorHAnsi"/>
                <w:color w:val="000000"/>
              </w:rPr>
            </w:pPr>
          </w:p>
        </w:tc>
      </w:tr>
      <w:tr w:rsidR="00C03583" w:rsidRPr="008F6866" w14:paraId="4AA8EB2F" w14:textId="77777777" w:rsidTr="008D2845">
        <w:tc>
          <w:tcPr>
            <w:tcW w:w="2581" w:type="dxa"/>
            <w:tcMar>
              <w:left w:w="57" w:type="dxa"/>
              <w:bottom w:w="28" w:type="dxa"/>
              <w:right w:w="57" w:type="dxa"/>
            </w:tcMar>
            <w:vAlign w:val="center"/>
          </w:tcPr>
          <w:p w14:paraId="461199C6"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Decaying litter (MgC/ha)</w:t>
            </w:r>
          </w:p>
          <w:p w14:paraId="15AEBA8C" w14:textId="77777777" w:rsidR="00201A95" w:rsidRDefault="00C03583" w:rsidP="00C03583">
            <w:pPr>
              <w:rPr>
                <w:rFonts w:asciiTheme="minorHAnsi" w:hAnsiTheme="minorHAnsi"/>
                <w:color w:val="000000"/>
              </w:rPr>
            </w:pPr>
            <w:r w:rsidRPr="008F6866">
              <w:rPr>
                <w:rFonts w:asciiTheme="minorHAnsi" w:hAnsiTheme="minorHAnsi"/>
                <w:color w:val="000000"/>
              </w:rPr>
              <w:t xml:space="preserve">     Aboveground, </w:t>
            </w:r>
          </w:p>
          <w:p w14:paraId="2C45209D" w14:textId="54C398BA" w:rsidR="00C03583" w:rsidRPr="008F6866" w:rsidRDefault="00201A95" w:rsidP="00C03583">
            <w:pPr>
              <w:rPr>
                <w:rFonts w:asciiTheme="minorHAnsi" w:hAnsiTheme="minorHAnsi"/>
                <w:color w:val="000000"/>
              </w:rPr>
            </w:pPr>
            <w:r>
              <w:rPr>
                <w:rFonts w:asciiTheme="minorHAnsi" w:hAnsiTheme="minorHAnsi"/>
                <w:color w:val="000000"/>
              </w:rPr>
              <w:t xml:space="preserve">     </w:t>
            </w:r>
            <w:r w:rsidR="00C03583" w:rsidRPr="008F6866">
              <w:rPr>
                <w:rFonts w:asciiTheme="minorHAnsi" w:hAnsiTheme="minorHAnsi"/>
                <w:color w:val="000000"/>
              </w:rPr>
              <w:t>belowground</w:t>
            </w:r>
          </w:p>
        </w:tc>
        <w:tc>
          <w:tcPr>
            <w:tcW w:w="2693" w:type="dxa"/>
            <w:shd w:val="clear" w:color="auto" w:fill="auto"/>
            <w:tcMar>
              <w:left w:w="57" w:type="dxa"/>
              <w:bottom w:w="28" w:type="dxa"/>
              <w:right w:w="57" w:type="dxa"/>
            </w:tcMar>
            <w:vAlign w:val="center"/>
          </w:tcPr>
          <w:p w14:paraId="7300FF26"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initial, final, variation</w:t>
            </w:r>
          </w:p>
        </w:tc>
        <w:tc>
          <w:tcPr>
            <w:tcW w:w="1998" w:type="dxa"/>
            <w:tcMar>
              <w:left w:w="57" w:type="dxa"/>
              <w:bottom w:w="28" w:type="dxa"/>
              <w:right w:w="57" w:type="dxa"/>
            </w:tcMar>
            <w:vAlign w:val="center"/>
          </w:tcPr>
          <w:p w14:paraId="08494606"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7E101956" w14:textId="77777777" w:rsidR="00C03583" w:rsidRPr="008F6866" w:rsidRDefault="00C03583" w:rsidP="00C03583">
            <w:pPr>
              <w:jc w:val="center"/>
              <w:rPr>
                <w:rFonts w:asciiTheme="minorHAnsi" w:hAnsiTheme="minorHAnsi"/>
                <w:color w:val="000000"/>
              </w:rPr>
            </w:pPr>
          </w:p>
        </w:tc>
      </w:tr>
      <w:tr w:rsidR="00C03583" w:rsidRPr="008F6866" w14:paraId="60471AD7" w14:textId="77777777" w:rsidTr="008D2845">
        <w:tc>
          <w:tcPr>
            <w:tcW w:w="2581" w:type="dxa"/>
            <w:tcMar>
              <w:left w:w="57" w:type="dxa"/>
              <w:bottom w:w="28" w:type="dxa"/>
              <w:right w:w="57" w:type="dxa"/>
            </w:tcMar>
            <w:vAlign w:val="center"/>
          </w:tcPr>
          <w:p w14:paraId="4D533620"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Stable C (MgC/ha)</w:t>
            </w:r>
          </w:p>
        </w:tc>
        <w:tc>
          <w:tcPr>
            <w:tcW w:w="2693" w:type="dxa"/>
            <w:shd w:val="clear" w:color="auto" w:fill="auto"/>
            <w:tcMar>
              <w:left w:w="57" w:type="dxa"/>
              <w:bottom w:w="28" w:type="dxa"/>
              <w:right w:w="57" w:type="dxa"/>
            </w:tcMar>
            <w:vAlign w:val="center"/>
          </w:tcPr>
          <w:p w14:paraId="0C50517B"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initial, final, variation</w:t>
            </w:r>
          </w:p>
        </w:tc>
        <w:tc>
          <w:tcPr>
            <w:tcW w:w="1998" w:type="dxa"/>
            <w:tcMar>
              <w:left w:w="57" w:type="dxa"/>
              <w:bottom w:w="28" w:type="dxa"/>
              <w:right w:w="57" w:type="dxa"/>
            </w:tcMar>
            <w:vAlign w:val="center"/>
          </w:tcPr>
          <w:p w14:paraId="005285B9"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78E0B9DC" w14:textId="77777777" w:rsidR="00C03583" w:rsidRPr="008F6866" w:rsidRDefault="00C03583" w:rsidP="00C03583">
            <w:pPr>
              <w:jc w:val="center"/>
              <w:rPr>
                <w:rFonts w:asciiTheme="minorHAnsi" w:hAnsiTheme="minorHAnsi"/>
                <w:color w:val="000000"/>
              </w:rPr>
            </w:pPr>
          </w:p>
        </w:tc>
      </w:tr>
      <w:tr w:rsidR="00C03583" w:rsidRPr="008F6866" w14:paraId="0DEED4AE" w14:textId="77777777" w:rsidTr="008D2845">
        <w:tc>
          <w:tcPr>
            <w:tcW w:w="2581" w:type="dxa"/>
            <w:tcMar>
              <w:left w:w="57" w:type="dxa"/>
              <w:bottom w:w="28" w:type="dxa"/>
              <w:right w:w="57" w:type="dxa"/>
            </w:tcMar>
            <w:vAlign w:val="center"/>
          </w:tcPr>
          <w:p w14:paraId="22DDA451"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Active C (MgC/ha)</w:t>
            </w:r>
          </w:p>
        </w:tc>
        <w:tc>
          <w:tcPr>
            <w:tcW w:w="2693" w:type="dxa"/>
            <w:shd w:val="clear" w:color="auto" w:fill="auto"/>
            <w:tcMar>
              <w:left w:w="57" w:type="dxa"/>
              <w:bottom w:w="28" w:type="dxa"/>
              <w:right w:w="57" w:type="dxa"/>
            </w:tcMar>
            <w:vAlign w:val="center"/>
          </w:tcPr>
          <w:p w14:paraId="2BF574B8"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initial, final, variation</w:t>
            </w:r>
          </w:p>
        </w:tc>
        <w:tc>
          <w:tcPr>
            <w:tcW w:w="1998" w:type="dxa"/>
            <w:tcMar>
              <w:left w:w="57" w:type="dxa"/>
              <w:bottom w:w="28" w:type="dxa"/>
              <w:right w:w="57" w:type="dxa"/>
            </w:tcMar>
            <w:vAlign w:val="center"/>
          </w:tcPr>
          <w:p w14:paraId="028B80A7"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3CD336EC" w14:textId="77777777" w:rsidR="00C03583" w:rsidRPr="008F6866" w:rsidRDefault="00C03583" w:rsidP="00C03583">
            <w:pPr>
              <w:jc w:val="center"/>
              <w:rPr>
                <w:rFonts w:asciiTheme="minorHAnsi" w:hAnsiTheme="minorHAnsi"/>
                <w:color w:val="000000"/>
              </w:rPr>
            </w:pPr>
          </w:p>
        </w:tc>
      </w:tr>
      <w:tr w:rsidR="00C03583" w:rsidRPr="00B71138" w14:paraId="3CB58E07" w14:textId="77777777" w:rsidTr="008D2845">
        <w:tc>
          <w:tcPr>
            <w:tcW w:w="2581" w:type="dxa"/>
            <w:tcMar>
              <w:left w:w="57" w:type="dxa"/>
              <w:bottom w:w="28" w:type="dxa"/>
              <w:right w:w="57" w:type="dxa"/>
            </w:tcMar>
            <w:vAlign w:val="center"/>
          </w:tcPr>
          <w:p w14:paraId="1E61D2A2" w14:textId="77777777" w:rsidR="00C03583" w:rsidRPr="00900A11" w:rsidRDefault="00C03583" w:rsidP="00C03583">
            <w:pPr>
              <w:rPr>
                <w:rFonts w:asciiTheme="minorHAnsi" w:hAnsiTheme="minorHAnsi"/>
                <w:color w:val="000000"/>
                <w:lang w:val="fr-BE"/>
              </w:rPr>
            </w:pPr>
            <w:r w:rsidRPr="00900A11">
              <w:rPr>
                <w:rFonts w:asciiTheme="minorHAnsi" w:hAnsiTheme="minorHAnsi"/>
                <w:color w:val="000000"/>
                <w:lang w:val="fr-BE"/>
              </w:rPr>
              <w:t xml:space="preserve">   Soil heterotrophic </w:t>
            </w:r>
          </w:p>
          <w:p w14:paraId="29DA45E7" w14:textId="3DAC3654" w:rsidR="00C03583" w:rsidRPr="00900A11" w:rsidRDefault="00C03583" w:rsidP="00C03583">
            <w:pPr>
              <w:rPr>
                <w:rFonts w:asciiTheme="minorHAnsi" w:hAnsiTheme="minorHAnsi"/>
                <w:color w:val="000000"/>
                <w:lang w:val="fr-BE"/>
              </w:rPr>
            </w:pPr>
            <w:r w:rsidRPr="00900A11">
              <w:rPr>
                <w:rFonts w:asciiTheme="minorHAnsi" w:hAnsiTheme="minorHAnsi"/>
                <w:color w:val="000000"/>
                <w:lang w:val="fr-BE"/>
              </w:rPr>
              <w:t xml:space="preserve">   </w:t>
            </w:r>
            <w:r w:rsidR="009237CC">
              <w:rPr>
                <w:rFonts w:asciiTheme="minorHAnsi" w:hAnsiTheme="minorHAnsi"/>
                <w:color w:val="000000"/>
                <w:lang w:val="fr-BE"/>
              </w:rPr>
              <w:t xml:space="preserve">   </w:t>
            </w:r>
            <w:r w:rsidRPr="00900A11">
              <w:rPr>
                <w:rFonts w:asciiTheme="minorHAnsi" w:hAnsiTheme="minorHAnsi"/>
                <w:color w:val="000000"/>
                <w:lang w:val="fr-BE"/>
              </w:rPr>
              <w:t>respiration (MgC/ha)</w:t>
            </w:r>
          </w:p>
        </w:tc>
        <w:tc>
          <w:tcPr>
            <w:tcW w:w="2693" w:type="dxa"/>
            <w:shd w:val="reverseDiagStripe" w:color="auto" w:fill="auto"/>
            <w:tcMar>
              <w:left w:w="57" w:type="dxa"/>
              <w:bottom w:w="28" w:type="dxa"/>
              <w:right w:w="57" w:type="dxa"/>
            </w:tcMar>
            <w:vAlign w:val="center"/>
          </w:tcPr>
          <w:p w14:paraId="35B87979" w14:textId="77777777" w:rsidR="00C03583" w:rsidRPr="00900A11" w:rsidRDefault="00C03583" w:rsidP="00C03583">
            <w:pPr>
              <w:jc w:val="center"/>
              <w:rPr>
                <w:rFonts w:asciiTheme="minorHAnsi" w:hAnsiTheme="minorHAnsi"/>
                <w:color w:val="000000"/>
                <w:lang w:val="fr-BE"/>
              </w:rPr>
            </w:pPr>
          </w:p>
        </w:tc>
        <w:tc>
          <w:tcPr>
            <w:tcW w:w="1998" w:type="dxa"/>
            <w:tcMar>
              <w:left w:w="57" w:type="dxa"/>
              <w:bottom w:w="28" w:type="dxa"/>
              <w:right w:w="57" w:type="dxa"/>
            </w:tcMar>
            <w:vAlign w:val="center"/>
          </w:tcPr>
          <w:p w14:paraId="0118E689" w14:textId="77777777" w:rsidR="00C03583" w:rsidRPr="00900A11" w:rsidRDefault="00C03583" w:rsidP="00C03583">
            <w:pPr>
              <w:jc w:val="center"/>
              <w:rPr>
                <w:rFonts w:asciiTheme="minorHAnsi" w:hAnsiTheme="minorHAnsi"/>
                <w:color w:val="000000"/>
                <w:lang w:val="fr-BE"/>
              </w:rPr>
            </w:pPr>
          </w:p>
        </w:tc>
        <w:tc>
          <w:tcPr>
            <w:tcW w:w="2425" w:type="dxa"/>
            <w:shd w:val="reverseDiagStripe" w:color="auto" w:fill="auto"/>
            <w:tcMar>
              <w:left w:w="57" w:type="dxa"/>
              <w:bottom w:w="28" w:type="dxa"/>
              <w:right w:w="57" w:type="dxa"/>
            </w:tcMar>
            <w:vAlign w:val="center"/>
          </w:tcPr>
          <w:p w14:paraId="3350C580" w14:textId="77777777" w:rsidR="00C03583" w:rsidRPr="00900A11" w:rsidRDefault="00C03583" w:rsidP="00C03583">
            <w:pPr>
              <w:jc w:val="center"/>
              <w:rPr>
                <w:rFonts w:asciiTheme="minorHAnsi" w:hAnsiTheme="minorHAnsi"/>
                <w:color w:val="000000"/>
                <w:lang w:val="fr-BE"/>
              </w:rPr>
            </w:pPr>
          </w:p>
        </w:tc>
      </w:tr>
      <w:tr w:rsidR="00C03583" w:rsidRPr="008F6866" w14:paraId="44FEA2EB" w14:textId="77777777" w:rsidTr="008D2845">
        <w:tc>
          <w:tcPr>
            <w:tcW w:w="2581" w:type="dxa"/>
            <w:tcMar>
              <w:left w:w="57" w:type="dxa"/>
              <w:bottom w:w="28" w:type="dxa"/>
              <w:right w:w="57" w:type="dxa"/>
            </w:tcMar>
            <w:vAlign w:val="center"/>
          </w:tcPr>
          <w:p w14:paraId="1C166F4F" w14:textId="77777777" w:rsidR="00C03583" w:rsidRPr="008F6866" w:rsidRDefault="00C03583" w:rsidP="00C03583">
            <w:pPr>
              <w:rPr>
                <w:rFonts w:asciiTheme="minorHAnsi" w:hAnsiTheme="minorHAnsi"/>
                <w:color w:val="000000"/>
              </w:rPr>
            </w:pPr>
            <w:r w:rsidRPr="00900A11">
              <w:rPr>
                <w:rFonts w:asciiTheme="minorHAnsi" w:hAnsiTheme="minorHAnsi"/>
                <w:color w:val="000000"/>
                <w:lang w:val="fr-BE"/>
              </w:rPr>
              <w:t xml:space="preserve">   </w:t>
            </w:r>
            <w:r w:rsidRPr="008F6866">
              <w:rPr>
                <w:rFonts w:asciiTheme="minorHAnsi" w:hAnsiTheme="minorHAnsi"/>
                <w:color w:val="000000"/>
              </w:rPr>
              <w:t>DOC production (MgC/ha)</w:t>
            </w:r>
          </w:p>
        </w:tc>
        <w:tc>
          <w:tcPr>
            <w:tcW w:w="2693" w:type="dxa"/>
            <w:shd w:val="reverseDiagStripe" w:color="auto" w:fill="auto"/>
            <w:tcMar>
              <w:left w:w="57" w:type="dxa"/>
              <w:bottom w:w="28" w:type="dxa"/>
              <w:right w:w="57" w:type="dxa"/>
            </w:tcMar>
            <w:vAlign w:val="center"/>
          </w:tcPr>
          <w:p w14:paraId="23B8F3E1" w14:textId="77777777" w:rsidR="00C03583" w:rsidRPr="008F6866" w:rsidRDefault="00C03583" w:rsidP="00C03583">
            <w:pPr>
              <w:jc w:val="center"/>
              <w:rPr>
                <w:rFonts w:asciiTheme="minorHAnsi" w:hAnsiTheme="minorHAnsi"/>
                <w:color w:val="000000"/>
              </w:rPr>
            </w:pPr>
          </w:p>
        </w:tc>
        <w:tc>
          <w:tcPr>
            <w:tcW w:w="1998" w:type="dxa"/>
            <w:tcMar>
              <w:left w:w="57" w:type="dxa"/>
              <w:bottom w:w="28" w:type="dxa"/>
              <w:right w:w="57" w:type="dxa"/>
            </w:tcMar>
            <w:vAlign w:val="center"/>
          </w:tcPr>
          <w:p w14:paraId="0970D1D6"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482EC314" w14:textId="77777777" w:rsidR="00C03583" w:rsidRPr="008F6866" w:rsidRDefault="00C03583" w:rsidP="00C03583">
            <w:pPr>
              <w:jc w:val="center"/>
              <w:rPr>
                <w:rFonts w:asciiTheme="minorHAnsi" w:hAnsiTheme="minorHAnsi"/>
                <w:color w:val="000000"/>
              </w:rPr>
            </w:pPr>
          </w:p>
        </w:tc>
      </w:tr>
      <w:tr w:rsidR="00C03583" w:rsidRPr="008F6866" w14:paraId="7BCB3C5B" w14:textId="77777777" w:rsidTr="008D2845">
        <w:tc>
          <w:tcPr>
            <w:tcW w:w="2581" w:type="dxa"/>
            <w:shd w:val="clear" w:color="auto" w:fill="auto"/>
            <w:tcMar>
              <w:left w:w="57" w:type="dxa"/>
              <w:bottom w:w="28" w:type="dxa"/>
              <w:right w:w="57" w:type="dxa"/>
            </w:tcMar>
            <w:vAlign w:val="center"/>
          </w:tcPr>
          <w:p w14:paraId="77BCE43D" w14:textId="77777777" w:rsidR="00C03583" w:rsidRPr="008F6866" w:rsidRDefault="00C03583" w:rsidP="00C03583">
            <w:pPr>
              <w:rPr>
                <w:rFonts w:asciiTheme="minorHAnsi" w:hAnsiTheme="minorHAnsi"/>
                <w:color w:val="000000"/>
              </w:rPr>
            </w:pPr>
          </w:p>
        </w:tc>
        <w:tc>
          <w:tcPr>
            <w:tcW w:w="2693" w:type="dxa"/>
            <w:shd w:val="clear" w:color="auto" w:fill="auto"/>
            <w:tcMar>
              <w:left w:w="57" w:type="dxa"/>
              <w:bottom w:w="28" w:type="dxa"/>
              <w:right w:w="57" w:type="dxa"/>
            </w:tcMar>
            <w:vAlign w:val="center"/>
          </w:tcPr>
          <w:p w14:paraId="248CF451" w14:textId="77777777" w:rsidR="00C03583" w:rsidRPr="008F6866" w:rsidRDefault="00C03583" w:rsidP="00C03583">
            <w:pPr>
              <w:jc w:val="center"/>
              <w:rPr>
                <w:rFonts w:asciiTheme="minorHAnsi" w:hAnsiTheme="minorHAnsi"/>
                <w:color w:val="000000"/>
              </w:rPr>
            </w:pPr>
          </w:p>
        </w:tc>
        <w:tc>
          <w:tcPr>
            <w:tcW w:w="1998" w:type="dxa"/>
            <w:shd w:val="clear" w:color="auto" w:fill="auto"/>
            <w:tcMar>
              <w:left w:w="57" w:type="dxa"/>
              <w:bottom w:w="28" w:type="dxa"/>
              <w:right w:w="57" w:type="dxa"/>
            </w:tcMar>
            <w:vAlign w:val="center"/>
          </w:tcPr>
          <w:p w14:paraId="4E85A084" w14:textId="77777777" w:rsidR="00C03583" w:rsidRPr="008F6866" w:rsidRDefault="00C03583" w:rsidP="00C03583">
            <w:pPr>
              <w:jc w:val="center"/>
              <w:rPr>
                <w:rFonts w:asciiTheme="minorHAnsi" w:hAnsiTheme="minorHAnsi"/>
                <w:color w:val="000000"/>
              </w:rPr>
            </w:pPr>
          </w:p>
        </w:tc>
        <w:tc>
          <w:tcPr>
            <w:tcW w:w="2425" w:type="dxa"/>
            <w:shd w:val="clear" w:color="auto" w:fill="auto"/>
            <w:tcMar>
              <w:left w:w="57" w:type="dxa"/>
              <w:bottom w:w="28" w:type="dxa"/>
              <w:right w:w="57" w:type="dxa"/>
            </w:tcMar>
            <w:vAlign w:val="center"/>
          </w:tcPr>
          <w:p w14:paraId="776BC0AA" w14:textId="77777777" w:rsidR="00C03583" w:rsidRPr="008F6866" w:rsidRDefault="00C03583" w:rsidP="00C03583">
            <w:pPr>
              <w:jc w:val="center"/>
              <w:rPr>
                <w:rFonts w:asciiTheme="minorHAnsi" w:hAnsiTheme="minorHAnsi"/>
                <w:color w:val="000000"/>
              </w:rPr>
            </w:pPr>
          </w:p>
        </w:tc>
      </w:tr>
      <w:tr w:rsidR="00C03583" w:rsidRPr="008F6866" w14:paraId="28FACA54" w14:textId="77777777" w:rsidTr="008D2845">
        <w:tc>
          <w:tcPr>
            <w:tcW w:w="2581" w:type="dxa"/>
            <w:tcMar>
              <w:left w:w="57" w:type="dxa"/>
              <w:bottom w:w="28" w:type="dxa"/>
              <w:right w:w="57" w:type="dxa"/>
            </w:tcMar>
            <w:vAlign w:val="center"/>
          </w:tcPr>
          <w:p w14:paraId="3ED75FFA" w14:textId="77777777" w:rsidR="00C03583" w:rsidRPr="008F6866" w:rsidRDefault="00C03583" w:rsidP="00C03583">
            <w:pPr>
              <w:rPr>
                <w:rFonts w:asciiTheme="minorHAnsi" w:hAnsiTheme="minorHAnsi"/>
                <w:b/>
                <w:color w:val="000000"/>
              </w:rPr>
            </w:pPr>
            <w:r w:rsidRPr="008F6866">
              <w:rPr>
                <w:rFonts w:asciiTheme="minorHAnsi" w:hAnsiTheme="minorHAnsi"/>
                <w:b/>
                <w:color w:val="000000"/>
              </w:rPr>
              <w:t>CAT</w:t>
            </w:r>
          </w:p>
        </w:tc>
        <w:tc>
          <w:tcPr>
            <w:tcW w:w="2693" w:type="dxa"/>
            <w:shd w:val="clear" w:color="auto" w:fill="auto"/>
            <w:tcMar>
              <w:left w:w="57" w:type="dxa"/>
              <w:bottom w:w="28" w:type="dxa"/>
              <w:right w:w="57" w:type="dxa"/>
            </w:tcMar>
            <w:vAlign w:val="center"/>
          </w:tcPr>
          <w:p w14:paraId="6789C978" w14:textId="77777777" w:rsidR="00C03583" w:rsidRPr="008F6866" w:rsidRDefault="00C03583" w:rsidP="00C03583">
            <w:pPr>
              <w:jc w:val="center"/>
              <w:rPr>
                <w:rFonts w:asciiTheme="minorHAnsi" w:hAnsiTheme="minorHAnsi"/>
                <w:color w:val="000000"/>
              </w:rPr>
            </w:pPr>
          </w:p>
        </w:tc>
        <w:tc>
          <w:tcPr>
            <w:tcW w:w="1998" w:type="dxa"/>
            <w:tcMar>
              <w:left w:w="57" w:type="dxa"/>
              <w:bottom w:w="28" w:type="dxa"/>
              <w:right w:w="57" w:type="dxa"/>
            </w:tcMar>
            <w:vAlign w:val="center"/>
          </w:tcPr>
          <w:p w14:paraId="2C02DDA8" w14:textId="77777777" w:rsidR="00C03583" w:rsidRPr="008F6866" w:rsidRDefault="00C03583" w:rsidP="00C03583">
            <w:pPr>
              <w:jc w:val="center"/>
              <w:rPr>
                <w:rFonts w:asciiTheme="minorHAnsi" w:hAnsiTheme="minorHAnsi"/>
                <w:color w:val="000000"/>
              </w:rPr>
            </w:pPr>
          </w:p>
        </w:tc>
        <w:tc>
          <w:tcPr>
            <w:tcW w:w="2425" w:type="dxa"/>
            <w:tcMar>
              <w:left w:w="57" w:type="dxa"/>
              <w:bottom w:w="28" w:type="dxa"/>
              <w:right w:w="57" w:type="dxa"/>
            </w:tcMar>
            <w:vAlign w:val="center"/>
          </w:tcPr>
          <w:p w14:paraId="04FE4070" w14:textId="77777777" w:rsidR="00C03583" w:rsidRPr="008F6866" w:rsidRDefault="00C03583" w:rsidP="00C03583">
            <w:pPr>
              <w:jc w:val="center"/>
              <w:rPr>
                <w:rFonts w:asciiTheme="minorHAnsi" w:hAnsiTheme="minorHAnsi"/>
                <w:color w:val="000000"/>
              </w:rPr>
            </w:pPr>
          </w:p>
        </w:tc>
      </w:tr>
      <w:tr w:rsidR="00C03583" w:rsidRPr="008F6866" w14:paraId="50253D78" w14:textId="77777777" w:rsidTr="008D2845">
        <w:tc>
          <w:tcPr>
            <w:tcW w:w="2581" w:type="dxa"/>
            <w:tcMar>
              <w:left w:w="57" w:type="dxa"/>
              <w:bottom w:w="28" w:type="dxa"/>
              <w:right w:w="57" w:type="dxa"/>
            </w:tcMar>
            <w:vAlign w:val="center"/>
          </w:tcPr>
          <w:p w14:paraId="3830B07D"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Living biomass (MgC/ha)</w:t>
            </w:r>
          </w:p>
          <w:p w14:paraId="3EEF7930"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Woody aboveground,      </w:t>
            </w:r>
          </w:p>
          <w:p w14:paraId="0408EEBF"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belowground</w:t>
            </w:r>
          </w:p>
        </w:tc>
        <w:tc>
          <w:tcPr>
            <w:tcW w:w="2693" w:type="dxa"/>
            <w:shd w:val="clear" w:color="auto" w:fill="auto"/>
            <w:tcMar>
              <w:left w:w="57" w:type="dxa"/>
              <w:bottom w:w="28" w:type="dxa"/>
              <w:right w:w="57" w:type="dxa"/>
            </w:tcMar>
            <w:vAlign w:val="center"/>
          </w:tcPr>
          <w:p w14:paraId="65BBD3BA"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initial, final, variation</w:t>
            </w:r>
          </w:p>
        </w:tc>
        <w:tc>
          <w:tcPr>
            <w:tcW w:w="1998" w:type="dxa"/>
            <w:tcMar>
              <w:left w:w="57" w:type="dxa"/>
              <w:bottom w:w="28" w:type="dxa"/>
              <w:right w:w="57" w:type="dxa"/>
            </w:tcMar>
            <w:vAlign w:val="center"/>
          </w:tcPr>
          <w:p w14:paraId="71B66534"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7D556589" w14:textId="77777777" w:rsidR="00C03583" w:rsidRPr="008F6866" w:rsidRDefault="00C03583" w:rsidP="00C03583">
            <w:pPr>
              <w:jc w:val="center"/>
              <w:rPr>
                <w:rFonts w:asciiTheme="minorHAnsi" w:hAnsiTheme="minorHAnsi"/>
                <w:color w:val="000000"/>
              </w:rPr>
            </w:pPr>
          </w:p>
        </w:tc>
      </w:tr>
      <w:tr w:rsidR="00C03583" w:rsidRPr="008F6866" w14:paraId="5681F526" w14:textId="77777777" w:rsidTr="008D2845">
        <w:tc>
          <w:tcPr>
            <w:tcW w:w="2581" w:type="dxa"/>
            <w:tcMar>
              <w:left w:w="57" w:type="dxa"/>
              <w:bottom w:w="28" w:type="dxa"/>
              <w:right w:w="57" w:type="dxa"/>
            </w:tcMar>
            <w:vAlign w:val="center"/>
          </w:tcPr>
          <w:p w14:paraId="3FB3F272"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Dead biomass (MgC/ha)</w:t>
            </w:r>
          </w:p>
        </w:tc>
        <w:tc>
          <w:tcPr>
            <w:tcW w:w="2693" w:type="dxa"/>
            <w:shd w:val="clear" w:color="auto" w:fill="auto"/>
            <w:tcMar>
              <w:left w:w="57" w:type="dxa"/>
              <w:bottom w:w="28" w:type="dxa"/>
              <w:right w:w="57" w:type="dxa"/>
            </w:tcMar>
            <w:vAlign w:val="center"/>
          </w:tcPr>
          <w:p w14:paraId="7568CEAF"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initial, final, variation</w:t>
            </w:r>
          </w:p>
        </w:tc>
        <w:tc>
          <w:tcPr>
            <w:tcW w:w="1998" w:type="dxa"/>
            <w:tcMar>
              <w:left w:w="57" w:type="dxa"/>
              <w:bottom w:w="28" w:type="dxa"/>
              <w:right w:w="57" w:type="dxa"/>
            </w:tcMar>
            <w:vAlign w:val="center"/>
          </w:tcPr>
          <w:p w14:paraId="50CE1685"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0D42CB67" w14:textId="77777777" w:rsidR="00C03583" w:rsidRPr="008F6866" w:rsidRDefault="00C03583" w:rsidP="00C03583">
            <w:pPr>
              <w:jc w:val="center"/>
              <w:rPr>
                <w:rFonts w:asciiTheme="minorHAnsi" w:hAnsiTheme="minorHAnsi"/>
                <w:color w:val="000000"/>
              </w:rPr>
            </w:pPr>
          </w:p>
        </w:tc>
      </w:tr>
      <w:tr w:rsidR="00C03583" w:rsidRPr="008F6866" w14:paraId="32CD6CF7" w14:textId="77777777" w:rsidTr="008D2845">
        <w:tc>
          <w:tcPr>
            <w:tcW w:w="2581" w:type="dxa"/>
            <w:tcMar>
              <w:left w:w="57" w:type="dxa"/>
              <w:bottom w:w="28" w:type="dxa"/>
              <w:right w:w="57" w:type="dxa"/>
            </w:tcMar>
            <w:vAlign w:val="center"/>
          </w:tcPr>
          <w:p w14:paraId="52A69EA0"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Products in use (MgC/ha)</w:t>
            </w:r>
          </w:p>
        </w:tc>
        <w:tc>
          <w:tcPr>
            <w:tcW w:w="2693" w:type="dxa"/>
            <w:shd w:val="clear" w:color="auto" w:fill="auto"/>
            <w:tcMar>
              <w:left w:w="57" w:type="dxa"/>
              <w:bottom w:w="28" w:type="dxa"/>
              <w:right w:w="57" w:type="dxa"/>
            </w:tcMar>
            <w:vAlign w:val="center"/>
          </w:tcPr>
          <w:p w14:paraId="5D204893"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initial, final, variation</w:t>
            </w:r>
          </w:p>
        </w:tc>
        <w:tc>
          <w:tcPr>
            <w:tcW w:w="1998" w:type="dxa"/>
            <w:shd w:val="reverseDiagStripe" w:color="auto" w:fill="auto"/>
            <w:tcMar>
              <w:left w:w="57" w:type="dxa"/>
              <w:bottom w:w="28" w:type="dxa"/>
              <w:right w:w="57" w:type="dxa"/>
            </w:tcMar>
            <w:vAlign w:val="center"/>
          </w:tcPr>
          <w:p w14:paraId="3A8D112F"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50D9137C" w14:textId="77777777" w:rsidR="00C03583" w:rsidRPr="008F6866" w:rsidRDefault="00C03583" w:rsidP="00C03583">
            <w:pPr>
              <w:jc w:val="center"/>
              <w:rPr>
                <w:rFonts w:asciiTheme="minorHAnsi" w:hAnsiTheme="minorHAnsi"/>
                <w:color w:val="000000"/>
              </w:rPr>
            </w:pPr>
          </w:p>
        </w:tc>
      </w:tr>
      <w:tr w:rsidR="00C03583" w:rsidRPr="008F6866" w14:paraId="11484723" w14:textId="77777777" w:rsidTr="008D2845">
        <w:tc>
          <w:tcPr>
            <w:tcW w:w="2581" w:type="dxa"/>
            <w:tcMar>
              <w:left w:w="57" w:type="dxa"/>
              <w:bottom w:w="28" w:type="dxa"/>
              <w:right w:w="57" w:type="dxa"/>
            </w:tcMar>
            <w:vAlign w:val="center"/>
          </w:tcPr>
          <w:p w14:paraId="0DDA0F4F" w14:textId="77777777" w:rsidR="00C03583" w:rsidRPr="00900A11" w:rsidRDefault="00C03583" w:rsidP="00C03583">
            <w:pPr>
              <w:rPr>
                <w:rFonts w:asciiTheme="minorHAnsi" w:hAnsiTheme="minorHAnsi"/>
                <w:color w:val="000000"/>
                <w:lang w:val="fr-BE"/>
              </w:rPr>
            </w:pPr>
            <w:r w:rsidRPr="00900A11">
              <w:rPr>
                <w:rFonts w:asciiTheme="minorHAnsi" w:hAnsiTheme="minorHAnsi"/>
                <w:color w:val="000000"/>
                <w:lang w:val="fr-BE"/>
              </w:rPr>
              <w:t xml:space="preserve">   Fossil fuel carbon emissions </w:t>
            </w:r>
          </w:p>
          <w:p w14:paraId="0189F96F" w14:textId="6E70179E" w:rsidR="00C03583" w:rsidRPr="00900A11" w:rsidRDefault="00C03583" w:rsidP="00C03583">
            <w:pPr>
              <w:rPr>
                <w:rFonts w:asciiTheme="minorHAnsi" w:hAnsiTheme="minorHAnsi"/>
                <w:color w:val="000000"/>
                <w:lang w:val="fr-BE"/>
              </w:rPr>
            </w:pPr>
            <w:r w:rsidRPr="00900A11">
              <w:rPr>
                <w:rFonts w:asciiTheme="minorHAnsi" w:hAnsiTheme="minorHAnsi"/>
                <w:color w:val="000000"/>
                <w:lang w:val="fr-BE"/>
              </w:rPr>
              <w:t xml:space="preserve">  </w:t>
            </w:r>
            <w:r w:rsidR="00FA43B7">
              <w:rPr>
                <w:rFonts w:asciiTheme="minorHAnsi" w:hAnsiTheme="minorHAnsi"/>
                <w:color w:val="000000"/>
                <w:lang w:val="fr-BE"/>
              </w:rPr>
              <w:t xml:space="preserve">   </w:t>
            </w:r>
            <w:r w:rsidRPr="00900A11">
              <w:rPr>
                <w:rFonts w:asciiTheme="minorHAnsi" w:hAnsiTheme="minorHAnsi"/>
                <w:color w:val="000000"/>
                <w:lang w:val="fr-BE"/>
              </w:rPr>
              <w:t>(MgC/ha)</w:t>
            </w:r>
          </w:p>
        </w:tc>
        <w:tc>
          <w:tcPr>
            <w:tcW w:w="2693" w:type="dxa"/>
            <w:shd w:val="clear" w:color="auto" w:fill="auto"/>
            <w:tcMar>
              <w:left w:w="57" w:type="dxa"/>
              <w:bottom w:w="28" w:type="dxa"/>
              <w:right w:w="57" w:type="dxa"/>
            </w:tcMar>
            <w:vAlign w:val="center"/>
          </w:tcPr>
          <w:p w14:paraId="2532BF7D"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Cumulated</w:t>
            </w:r>
          </w:p>
        </w:tc>
        <w:tc>
          <w:tcPr>
            <w:tcW w:w="1998" w:type="dxa"/>
            <w:tcMar>
              <w:left w:w="57" w:type="dxa"/>
              <w:bottom w:w="28" w:type="dxa"/>
              <w:right w:w="57" w:type="dxa"/>
            </w:tcMar>
            <w:vAlign w:val="center"/>
          </w:tcPr>
          <w:p w14:paraId="26E8DFAD"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4ED9B6D7" w14:textId="77777777" w:rsidR="00C03583" w:rsidRPr="008F6866" w:rsidRDefault="00C03583" w:rsidP="00C03583">
            <w:pPr>
              <w:jc w:val="center"/>
              <w:rPr>
                <w:rFonts w:asciiTheme="minorHAnsi" w:hAnsiTheme="minorHAnsi"/>
                <w:color w:val="000000"/>
              </w:rPr>
            </w:pPr>
          </w:p>
        </w:tc>
      </w:tr>
      <w:tr w:rsidR="00C03583" w:rsidRPr="008F6866" w14:paraId="3557C823" w14:textId="77777777" w:rsidTr="008D2845">
        <w:tc>
          <w:tcPr>
            <w:tcW w:w="2581" w:type="dxa"/>
            <w:tcMar>
              <w:left w:w="57" w:type="dxa"/>
              <w:bottom w:w="28" w:type="dxa"/>
              <w:right w:w="57" w:type="dxa"/>
            </w:tcMar>
            <w:vAlign w:val="center"/>
          </w:tcPr>
          <w:p w14:paraId="1CDDD099"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Material and energy </w:t>
            </w:r>
          </w:p>
          <w:p w14:paraId="049850FB" w14:textId="1B0D322F"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w:t>
            </w:r>
            <w:r w:rsidR="00F8414C">
              <w:rPr>
                <w:rFonts w:asciiTheme="minorHAnsi" w:hAnsiTheme="minorHAnsi"/>
                <w:color w:val="000000"/>
              </w:rPr>
              <w:t xml:space="preserve">   </w:t>
            </w:r>
            <w:r w:rsidRPr="008F6866">
              <w:rPr>
                <w:rFonts w:asciiTheme="minorHAnsi" w:hAnsiTheme="minorHAnsi"/>
                <w:color w:val="000000"/>
              </w:rPr>
              <w:t>substitution (MgC/ha)</w:t>
            </w:r>
          </w:p>
        </w:tc>
        <w:tc>
          <w:tcPr>
            <w:tcW w:w="2693" w:type="dxa"/>
            <w:shd w:val="clear" w:color="auto" w:fill="auto"/>
            <w:tcMar>
              <w:left w:w="57" w:type="dxa"/>
              <w:bottom w:w="28" w:type="dxa"/>
              <w:right w:w="57" w:type="dxa"/>
            </w:tcMar>
            <w:vAlign w:val="center"/>
          </w:tcPr>
          <w:p w14:paraId="62676707"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Cumulated</w:t>
            </w:r>
          </w:p>
        </w:tc>
        <w:tc>
          <w:tcPr>
            <w:tcW w:w="1998" w:type="dxa"/>
            <w:tcMar>
              <w:left w:w="57" w:type="dxa"/>
              <w:bottom w:w="28" w:type="dxa"/>
              <w:right w:w="57" w:type="dxa"/>
            </w:tcMar>
            <w:vAlign w:val="center"/>
          </w:tcPr>
          <w:p w14:paraId="33E85A13"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73D45F45" w14:textId="77777777" w:rsidR="00C03583" w:rsidRPr="008F6866" w:rsidRDefault="00C03583" w:rsidP="00C03583">
            <w:pPr>
              <w:jc w:val="center"/>
              <w:rPr>
                <w:rFonts w:asciiTheme="minorHAnsi" w:hAnsiTheme="minorHAnsi"/>
                <w:color w:val="000000"/>
              </w:rPr>
            </w:pPr>
          </w:p>
        </w:tc>
      </w:tr>
      <w:tr w:rsidR="00C03583" w:rsidRPr="008F6866" w14:paraId="1366C642" w14:textId="77777777" w:rsidTr="008D2845">
        <w:tc>
          <w:tcPr>
            <w:tcW w:w="2581" w:type="dxa"/>
            <w:tcMar>
              <w:left w:w="57" w:type="dxa"/>
              <w:bottom w:w="28" w:type="dxa"/>
              <w:right w:w="57" w:type="dxa"/>
            </w:tcMar>
            <w:vAlign w:val="center"/>
          </w:tcPr>
          <w:p w14:paraId="03A5BA1D"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Landfill degradable pool </w:t>
            </w:r>
          </w:p>
          <w:p w14:paraId="07E1A462" w14:textId="794520C9"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w:t>
            </w:r>
            <w:r w:rsidR="00FA43B7">
              <w:rPr>
                <w:rFonts w:asciiTheme="minorHAnsi" w:hAnsiTheme="minorHAnsi"/>
                <w:color w:val="000000"/>
              </w:rPr>
              <w:t xml:space="preserve">   </w:t>
            </w:r>
            <w:r w:rsidRPr="008F6866">
              <w:rPr>
                <w:rFonts w:asciiTheme="minorHAnsi" w:hAnsiTheme="minorHAnsi"/>
                <w:color w:val="000000"/>
              </w:rPr>
              <w:t>(MgC/ha)</w:t>
            </w:r>
          </w:p>
        </w:tc>
        <w:tc>
          <w:tcPr>
            <w:tcW w:w="2693" w:type="dxa"/>
            <w:shd w:val="clear" w:color="auto" w:fill="auto"/>
            <w:tcMar>
              <w:left w:w="57" w:type="dxa"/>
              <w:bottom w:w="28" w:type="dxa"/>
              <w:right w:w="57" w:type="dxa"/>
            </w:tcMar>
            <w:vAlign w:val="center"/>
          </w:tcPr>
          <w:p w14:paraId="766BFFC4"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initial, final, variation</w:t>
            </w:r>
          </w:p>
        </w:tc>
        <w:tc>
          <w:tcPr>
            <w:tcW w:w="1998" w:type="dxa"/>
            <w:tcMar>
              <w:left w:w="57" w:type="dxa"/>
              <w:bottom w:w="28" w:type="dxa"/>
              <w:right w:w="57" w:type="dxa"/>
            </w:tcMar>
            <w:vAlign w:val="center"/>
          </w:tcPr>
          <w:p w14:paraId="283FFCF0"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39D74B0B" w14:textId="77777777" w:rsidR="00C03583" w:rsidRPr="008F6866" w:rsidRDefault="00C03583" w:rsidP="00C03583">
            <w:pPr>
              <w:jc w:val="center"/>
              <w:rPr>
                <w:rFonts w:asciiTheme="minorHAnsi" w:hAnsiTheme="minorHAnsi"/>
                <w:color w:val="000000"/>
              </w:rPr>
            </w:pPr>
          </w:p>
        </w:tc>
      </w:tr>
      <w:tr w:rsidR="00C03583" w:rsidRPr="008F6866" w14:paraId="521DDA6F" w14:textId="77777777" w:rsidTr="008D2845">
        <w:tc>
          <w:tcPr>
            <w:tcW w:w="2581" w:type="dxa"/>
            <w:tcMar>
              <w:left w:w="57" w:type="dxa"/>
              <w:bottom w:w="28" w:type="dxa"/>
              <w:right w:w="57" w:type="dxa"/>
            </w:tcMar>
            <w:vAlign w:val="center"/>
          </w:tcPr>
          <w:p w14:paraId="68D07C9C"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Landfill non-degradable </w:t>
            </w:r>
          </w:p>
          <w:p w14:paraId="21495413" w14:textId="53ED9C43"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w:t>
            </w:r>
            <w:r w:rsidR="00FA43B7">
              <w:rPr>
                <w:rFonts w:asciiTheme="minorHAnsi" w:hAnsiTheme="minorHAnsi"/>
                <w:color w:val="000000"/>
              </w:rPr>
              <w:t xml:space="preserve">   </w:t>
            </w:r>
            <w:r w:rsidRPr="008F6866">
              <w:rPr>
                <w:rFonts w:asciiTheme="minorHAnsi" w:hAnsiTheme="minorHAnsi"/>
                <w:color w:val="000000"/>
              </w:rPr>
              <w:t>pool (MgC/ha)</w:t>
            </w:r>
          </w:p>
        </w:tc>
        <w:tc>
          <w:tcPr>
            <w:tcW w:w="2693" w:type="dxa"/>
            <w:shd w:val="clear" w:color="auto" w:fill="auto"/>
            <w:tcMar>
              <w:left w:w="57" w:type="dxa"/>
              <w:bottom w:w="28" w:type="dxa"/>
              <w:right w:w="57" w:type="dxa"/>
            </w:tcMar>
            <w:vAlign w:val="center"/>
          </w:tcPr>
          <w:p w14:paraId="152B29DB"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initial, final, variation</w:t>
            </w:r>
          </w:p>
        </w:tc>
        <w:tc>
          <w:tcPr>
            <w:tcW w:w="1998" w:type="dxa"/>
            <w:tcMar>
              <w:left w:w="57" w:type="dxa"/>
              <w:bottom w:w="28" w:type="dxa"/>
              <w:right w:w="57" w:type="dxa"/>
            </w:tcMar>
            <w:vAlign w:val="center"/>
          </w:tcPr>
          <w:p w14:paraId="33F17EF1"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529FA8DC" w14:textId="77777777" w:rsidR="00C03583" w:rsidRPr="008F6866" w:rsidRDefault="00C03583" w:rsidP="00C03583">
            <w:pPr>
              <w:jc w:val="center"/>
              <w:rPr>
                <w:rFonts w:asciiTheme="minorHAnsi" w:hAnsiTheme="minorHAnsi"/>
                <w:color w:val="000000"/>
              </w:rPr>
            </w:pPr>
          </w:p>
        </w:tc>
      </w:tr>
      <w:tr w:rsidR="00C03583" w:rsidRPr="008F6866" w14:paraId="4D6EA5B5" w14:textId="77777777" w:rsidTr="008D2845">
        <w:tc>
          <w:tcPr>
            <w:tcW w:w="2581" w:type="dxa"/>
            <w:tcMar>
              <w:left w:w="57" w:type="dxa"/>
              <w:bottom w:w="28" w:type="dxa"/>
              <w:right w:w="57" w:type="dxa"/>
            </w:tcMar>
            <w:vAlign w:val="center"/>
          </w:tcPr>
          <w:p w14:paraId="5E51BE59"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Landfill methane emissions </w:t>
            </w:r>
          </w:p>
          <w:p w14:paraId="01003700" w14:textId="73940A64"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w:t>
            </w:r>
            <w:r w:rsidR="00FA43B7">
              <w:rPr>
                <w:rFonts w:asciiTheme="minorHAnsi" w:hAnsiTheme="minorHAnsi"/>
                <w:color w:val="000000"/>
              </w:rPr>
              <w:t xml:space="preserve">   </w:t>
            </w:r>
            <w:r w:rsidRPr="008F6866">
              <w:rPr>
                <w:rFonts w:asciiTheme="minorHAnsi" w:hAnsiTheme="minorHAnsi"/>
                <w:color w:val="000000"/>
              </w:rPr>
              <w:t>(MgC/ha)</w:t>
            </w:r>
          </w:p>
        </w:tc>
        <w:tc>
          <w:tcPr>
            <w:tcW w:w="2693" w:type="dxa"/>
            <w:shd w:val="clear" w:color="auto" w:fill="auto"/>
            <w:tcMar>
              <w:left w:w="57" w:type="dxa"/>
              <w:bottom w:w="28" w:type="dxa"/>
              <w:right w:w="57" w:type="dxa"/>
            </w:tcMar>
            <w:vAlign w:val="center"/>
          </w:tcPr>
          <w:p w14:paraId="004AA63D"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Cumulated</w:t>
            </w:r>
          </w:p>
        </w:tc>
        <w:tc>
          <w:tcPr>
            <w:tcW w:w="1998" w:type="dxa"/>
            <w:tcMar>
              <w:left w:w="57" w:type="dxa"/>
              <w:bottom w:w="28" w:type="dxa"/>
              <w:right w:w="57" w:type="dxa"/>
            </w:tcMar>
            <w:vAlign w:val="center"/>
          </w:tcPr>
          <w:p w14:paraId="4AD81E38"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600C2830" w14:textId="77777777" w:rsidR="00C03583" w:rsidRPr="008F6866" w:rsidRDefault="00C03583" w:rsidP="00C03583">
            <w:pPr>
              <w:jc w:val="center"/>
              <w:rPr>
                <w:rFonts w:asciiTheme="minorHAnsi" w:hAnsiTheme="minorHAnsi"/>
                <w:color w:val="000000"/>
              </w:rPr>
            </w:pPr>
          </w:p>
        </w:tc>
      </w:tr>
      <w:tr w:rsidR="00C03583" w:rsidRPr="008F6866" w14:paraId="72D5FC49" w14:textId="77777777" w:rsidTr="008D2845">
        <w:tc>
          <w:tcPr>
            <w:tcW w:w="2581" w:type="dxa"/>
            <w:tcMar>
              <w:left w:w="57" w:type="dxa"/>
              <w:bottom w:w="28" w:type="dxa"/>
              <w:right w:w="57" w:type="dxa"/>
            </w:tcMar>
            <w:vAlign w:val="center"/>
          </w:tcPr>
          <w:p w14:paraId="49364CFA" w14:textId="77777777" w:rsidR="00FA43B7" w:rsidRDefault="00C03583" w:rsidP="00C03583">
            <w:pPr>
              <w:rPr>
                <w:rFonts w:asciiTheme="minorHAnsi" w:hAnsiTheme="minorHAnsi"/>
                <w:color w:val="000000"/>
              </w:rPr>
            </w:pPr>
            <w:r w:rsidRPr="008F6866">
              <w:rPr>
                <w:rFonts w:asciiTheme="minorHAnsi" w:hAnsiTheme="minorHAnsi"/>
                <w:color w:val="000000"/>
              </w:rPr>
              <w:t xml:space="preserve">   Wood combustion </w:t>
            </w:r>
            <w:r w:rsidR="00FA43B7">
              <w:rPr>
                <w:rFonts w:asciiTheme="minorHAnsi" w:hAnsiTheme="minorHAnsi"/>
                <w:color w:val="000000"/>
              </w:rPr>
              <w:t xml:space="preserve">  </w:t>
            </w:r>
          </w:p>
          <w:p w14:paraId="01045BBA" w14:textId="4A97EE1A" w:rsidR="00C03583" w:rsidRPr="008F6866" w:rsidRDefault="00FA43B7" w:rsidP="00C03583">
            <w:pPr>
              <w:rPr>
                <w:rFonts w:asciiTheme="minorHAnsi" w:hAnsiTheme="minorHAnsi"/>
                <w:color w:val="000000"/>
              </w:rPr>
            </w:pPr>
            <w:r>
              <w:rPr>
                <w:rFonts w:asciiTheme="minorHAnsi" w:hAnsiTheme="minorHAnsi"/>
                <w:color w:val="000000"/>
              </w:rPr>
              <w:t xml:space="preserve">     </w:t>
            </w:r>
            <w:r w:rsidR="00C03583" w:rsidRPr="008F6866">
              <w:rPr>
                <w:rFonts w:asciiTheme="minorHAnsi" w:hAnsiTheme="minorHAnsi"/>
                <w:color w:val="000000"/>
              </w:rPr>
              <w:t>emissions (MgC/ha)</w:t>
            </w:r>
          </w:p>
        </w:tc>
        <w:tc>
          <w:tcPr>
            <w:tcW w:w="2693" w:type="dxa"/>
            <w:shd w:val="clear" w:color="auto" w:fill="auto"/>
            <w:tcMar>
              <w:left w:w="57" w:type="dxa"/>
              <w:bottom w:w="28" w:type="dxa"/>
              <w:right w:w="57" w:type="dxa"/>
            </w:tcMar>
            <w:vAlign w:val="center"/>
          </w:tcPr>
          <w:p w14:paraId="1F3FA5DF"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Cumulated</w:t>
            </w:r>
          </w:p>
        </w:tc>
        <w:tc>
          <w:tcPr>
            <w:tcW w:w="1998" w:type="dxa"/>
            <w:tcMar>
              <w:left w:w="57" w:type="dxa"/>
              <w:bottom w:w="28" w:type="dxa"/>
              <w:right w:w="57" w:type="dxa"/>
            </w:tcMar>
            <w:vAlign w:val="center"/>
          </w:tcPr>
          <w:p w14:paraId="67CB116F"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7468C838" w14:textId="77777777" w:rsidR="00C03583" w:rsidRPr="008F6866" w:rsidRDefault="00C03583" w:rsidP="00C03583">
            <w:pPr>
              <w:jc w:val="center"/>
              <w:rPr>
                <w:rFonts w:asciiTheme="minorHAnsi" w:hAnsiTheme="minorHAnsi"/>
                <w:color w:val="000000"/>
              </w:rPr>
            </w:pPr>
          </w:p>
        </w:tc>
      </w:tr>
      <w:tr w:rsidR="00C03583" w:rsidRPr="008F6866" w14:paraId="23C3AADC" w14:textId="77777777" w:rsidTr="008D2845">
        <w:tc>
          <w:tcPr>
            <w:tcW w:w="2581" w:type="dxa"/>
            <w:shd w:val="clear" w:color="auto" w:fill="auto"/>
            <w:tcMar>
              <w:left w:w="57" w:type="dxa"/>
              <w:bottom w:w="28" w:type="dxa"/>
              <w:right w:w="57" w:type="dxa"/>
            </w:tcMar>
            <w:vAlign w:val="center"/>
          </w:tcPr>
          <w:p w14:paraId="163C64BF" w14:textId="77777777" w:rsidR="00C03583" w:rsidRPr="008F6866" w:rsidRDefault="00C03583" w:rsidP="00C03583">
            <w:pPr>
              <w:rPr>
                <w:rFonts w:asciiTheme="minorHAnsi" w:hAnsiTheme="minorHAnsi"/>
                <w:color w:val="000000"/>
              </w:rPr>
            </w:pPr>
          </w:p>
        </w:tc>
        <w:tc>
          <w:tcPr>
            <w:tcW w:w="2693" w:type="dxa"/>
            <w:shd w:val="clear" w:color="auto" w:fill="auto"/>
            <w:tcMar>
              <w:left w:w="57" w:type="dxa"/>
              <w:bottom w:w="28" w:type="dxa"/>
              <w:right w:w="57" w:type="dxa"/>
            </w:tcMar>
            <w:vAlign w:val="center"/>
          </w:tcPr>
          <w:p w14:paraId="25F1C057" w14:textId="77777777" w:rsidR="00C03583" w:rsidRPr="008F6866" w:rsidRDefault="00C03583" w:rsidP="00C03583">
            <w:pPr>
              <w:jc w:val="center"/>
              <w:rPr>
                <w:rFonts w:asciiTheme="minorHAnsi" w:hAnsiTheme="minorHAnsi"/>
                <w:color w:val="000000"/>
              </w:rPr>
            </w:pPr>
          </w:p>
        </w:tc>
        <w:tc>
          <w:tcPr>
            <w:tcW w:w="1998" w:type="dxa"/>
            <w:shd w:val="clear" w:color="auto" w:fill="auto"/>
            <w:tcMar>
              <w:left w:w="57" w:type="dxa"/>
              <w:bottom w:w="28" w:type="dxa"/>
              <w:right w:w="57" w:type="dxa"/>
            </w:tcMar>
            <w:vAlign w:val="center"/>
          </w:tcPr>
          <w:p w14:paraId="466C91FC" w14:textId="77777777" w:rsidR="00C03583" w:rsidRPr="008F6866" w:rsidRDefault="00C03583" w:rsidP="00C03583">
            <w:pPr>
              <w:jc w:val="center"/>
              <w:rPr>
                <w:rFonts w:asciiTheme="minorHAnsi" w:hAnsiTheme="minorHAnsi"/>
                <w:color w:val="000000"/>
              </w:rPr>
            </w:pPr>
          </w:p>
        </w:tc>
        <w:tc>
          <w:tcPr>
            <w:tcW w:w="2425" w:type="dxa"/>
            <w:shd w:val="clear" w:color="auto" w:fill="auto"/>
            <w:tcMar>
              <w:left w:w="57" w:type="dxa"/>
              <w:bottom w:w="28" w:type="dxa"/>
              <w:right w:w="57" w:type="dxa"/>
            </w:tcMar>
            <w:vAlign w:val="center"/>
          </w:tcPr>
          <w:p w14:paraId="4E295C38" w14:textId="77777777" w:rsidR="00C03583" w:rsidRPr="008F6866" w:rsidRDefault="00C03583" w:rsidP="00C03583">
            <w:pPr>
              <w:jc w:val="center"/>
              <w:rPr>
                <w:rFonts w:asciiTheme="minorHAnsi" w:hAnsiTheme="minorHAnsi"/>
                <w:color w:val="000000"/>
              </w:rPr>
            </w:pPr>
          </w:p>
        </w:tc>
      </w:tr>
      <w:tr w:rsidR="00F52A55" w:rsidRPr="008F6866" w14:paraId="0E9455FA" w14:textId="77777777" w:rsidTr="008D2845">
        <w:tc>
          <w:tcPr>
            <w:tcW w:w="2581" w:type="dxa"/>
            <w:shd w:val="clear" w:color="auto" w:fill="auto"/>
            <w:tcMar>
              <w:left w:w="57" w:type="dxa"/>
              <w:bottom w:w="28" w:type="dxa"/>
              <w:right w:w="57" w:type="dxa"/>
            </w:tcMar>
            <w:vAlign w:val="center"/>
          </w:tcPr>
          <w:p w14:paraId="685DA410" w14:textId="77777777" w:rsidR="00F52A55" w:rsidRPr="008F6866" w:rsidRDefault="00F52A55" w:rsidP="00C03583">
            <w:pPr>
              <w:rPr>
                <w:color w:val="000000"/>
              </w:rPr>
            </w:pPr>
          </w:p>
        </w:tc>
        <w:tc>
          <w:tcPr>
            <w:tcW w:w="2693" w:type="dxa"/>
            <w:shd w:val="clear" w:color="auto" w:fill="auto"/>
            <w:tcMar>
              <w:left w:w="57" w:type="dxa"/>
              <w:bottom w:w="28" w:type="dxa"/>
              <w:right w:w="57" w:type="dxa"/>
            </w:tcMar>
            <w:vAlign w:val="center"/>
          </w:tcPr>
          <w:p w14:paraId="6B6BF72A" w14:textId="77777777" w:rsidR="00F52A55" w:rsidRPr="008F6866" w:rsidRDefault="00F52A55" w:rsidP="00C03583">
            <w:pPr>
              <w:jc w:val="center"/>
              <w:rPr>
                <w:color w:val="000000"/>
              </w:rPr>
            </w:pPr>
          </w:p>
        </w:tc>
        <w:tc>
          <w:tcPr>
            <w:tcW w:w="1998" w:type="dxa"/>
            <w:shd w:val="clear" w:color="auto" w:fill="auto"/>
            <w:tcMar>
              <w:left w:w="57" w:type="dxa"/>
              <w:bottom w:w="28" w:type="dxa"/>
              <w:right w:w="57" w:type="dxa"/>
            </w:tcMar>
            <w:vAlign w:val="center"/>
          </w:tcPr>
          <w:p w14:paraId="27F6020B" w14:textId="77777777" w:rsidR="00F52A55" w:rsidRPr="008F6866" w:rsidRDefault="00F52A55" w:rsidP="00C03583">
            <w:pPr>
              <w:jc w:val="center"/>
              <w:rPr>
                <w:color w:val="000000"/>
              </w:rPr>
            </w:pPr>
          </w:p>
        </w:tc>
        <w:tc>
          <w:tcPr>
            <w:tcW w:w="2425" w:type="dxa"/>
            <w:shd w:val="clear" w:color="auto" w:fill="auto"/>
            <w:tcMar>
              <w:left w:w="57" w:type="dxa"/>
              <w:bottom w:w="28" w:type="dxa"/>
              <w:right w:w="57" w:type="dxa"/>
            </w:tcMar>
            <w:vAlign w:val="center"/>
          </w:tcPr>
          <w:p w14:paraId="23B9162C" w14:textId="77777777" w:rsidR="00F52A55" w:rsidRPr="008F6866" w:rsidRDefault="00F52A55" w:rsidP="00C03583">
            <w:pPr>
              <w:jc w:val="center"/>
              <w:rPr>
                <w:color w:val="000000"/>
              </w:rPr>
            </w:pPr>
          </w:p>
        </w:tc>
      </w:tr>
    </w:tbl>
    <w:p w14:paraId="35D9CD7E" w14:textId="77777777" w:rsidR="0061769F" w:rsidRDefault="0061769F"/>
    <w:p w14:paraId="0A97C430" w14:textId="5FAB0E08" w:rsidR="007E0172" w:rsidRDefault="007E0172" w:rsidP="007E0172">
      <w:pPr>
        <w:spacing w:after="60"/>
        <w:jc w:val="center"/>
      </w:pPr>
      <w:r>
        <w:rPr>
          <w:b/>
          <w:color w:val="000000" w:themeColor="text1"/>
          <w:sz w:val="20"/>
          <w:szCs w:val="20"/>
        </w:rPr>
        <w:lastRenderedPageBreak/>
        <w:t xml:space="preserve">Table I. </w:t>
      </w:r>
      <w:r w:rsidRPr="008F6866">
        <w:rPr>
          <w:b/>
          <w:color w:val="000000" w:themeColor="text1"/>
          <w:sz w:val="20"/>
          <w:szCs w:val="20"/>
        </w:rPr>
        <w:t>Exports of pre-processed indicators implemented in HETEROFOR</w:t>
      </w:r>
      <w:r>
        <w:rPr>
          <w:b/>
          <w:color w:val="000000" w:themeColor="text1"/>
          <w:sz w:val="20"/>
          <w:szCs w:val="20"/>
        </w:rPr>
        <w:t xml:space="preserve"> (continued)</w:t>
      </w:r>
    </w:p>
    <w:tbl>
      <w:tblPr>
        <w:tblStyle w:val="Grilledutableau"/>
        <w:tblW w:w="98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2581"/>
        <w:gridCol w:w="2693"/>
        <w:gridCol w:w="1998"/>
        <w:gridCol w:w="2425"/>
      </w:tblGrid>
      <w:tr w:rsidR="00365547" w:rsidRPr="008F6866" w14:paraId="08055DD4" w14:textId="77777777" w:rsidTr="00365547">
        <w:tc>
          <w:tcPr>
            <w:tcW w:w="2689" w:type="dxa"/>
            <w:gridSpan w:val="2"/>
            <w:shd w:val="clear" w:color="auto" w:fill="000000" w:themeFill="text1"/>
            <w:tcMar>
              <w:left w:w="57" w:type="dxa"/>
              <w:right w:w="57" w:type="dxa"/>
            </w:tcMar>
            <w:vAlign w:val="center"/>
          </w:tcPr>
          <w:p w14:paraId="38EEFCB4" w14:textId="77777777" w:rsidR="00365547" w:rsidRPr="008F6866" w:rsidRDefault="00365547" w:rsidP="0054079D">
            <w:pPr>
              <w:jc w:val="center"/>
              <w:rPr>
                <w:rFonts w:asciiTheme="minorHAnsi" w:hAnsiTheme="minorHAnsi"/>
                <w:b/>
                <w:color w:val="FFFFFF" w:themeColor="background1"/>
              </w:rPr>
            </w:pPr>
            <w:r w:rsidRPr="008F6866">
              <w:rPr>
                <w:rFonts w:asciiTheme="minorHAnsi" w:hAnsiTheme="minorHAnsi"/>
                <w:b/>
                <w:color w:val="FFFFFF" w:themeColor="background1"/>
              </w:rPr>
              <w:t>Indicators</w:t>
            </w:r>
          </w:p>
        </w:tc>
        <w:tc>
          <w:tcPr>
            <w:tcW w:w="7116" w:type="dxa"/>
            <w:gridSpan w:val="3"/>
            <w:shd w:val="clear" w:color="auto" w:fill="000000" w:themeFill="text1"/>
            <w:tcMar>
              <w:left w:w="57" w:type="dxa"/>
              <w:right w:w="57" w:type="dxa"/>
            </w:tcMar>
            <w:vAlign w:val="center"/>
          </w:tcPr>
          <w:p w14:paraId="436154F7" w14:textId="77777777" w:rsidR="00365547" w:rsidRPr="008F6866" w:rsidRDefault="00365547" w:rsidP="0054079D">
            <w:pPr>
              <w:jc w:val="center"/>
              <w:rPr>
                <w:rFonts w:asciiTheme="minorHAnsi" w:hAnsiTheme="minorHAnsi"/>
                <w:b/>
                <w:color w:val="FFFFFF" w:themeColor="background1"/>
              </w:rPr>
            </w:pPr>
            <w:r w:rsidRPr="008F6866">
              <w:rPr>
                <w:rFonts w:asciiTheme="minorHAnsi" w:hAnsiTheme="minorHAnsi"/>
                <w:b/>
                <w:color w:val="FFFFFF" w:themeColor="background1"/>
              </w:rPr>
              <w:t>Integration levels</w:t>
            </w:r>
          </w:p>
        </w:tc>
      </w:tr>
      <w:tr w:rsidR="00C03583" w:rsidRPr="008F6866" w14:paraId="510560AC" w14:textId="77777777" w:rsidTr="00365547">
        <w:trPr>
          <w:gridBefore w:val="1"/>
          <w:wBefore w:w="108" w:type="dxa"/>
        </w:trPr>
        <w:tc>
          <w:tcPr>
            <w:tcW w:w="2581" w:type="dxa"/>
            <w:tcMar>
              <w:left w:w="57" w:type="dxa"/>
              <w:bottom w:w="28" w:type="dxa"/>
              <w:right w:w="57" w:type="dxa"/>
            </w:tcMar>
            <w:vAlign w:val="center"/>
          </w:tcPr>
          <w:p w14:paraId="247E7D96" w14:textId="77777777" w:rsidR="00C03583" w:rsidRPr="008F6866" w:rsidRDefault="00C03583" w:rsidP="00C03583">
            <w:pPr>
              <w:rPr>
                <w:rFonts w:asciiTheme="minorHAnsi" w:hAnsiTheme="minorHAnsi"/>
                <w:b/>
                <w:color w:val="000000"/>
              </w:rPr>
            </w:pPr>
            <w:r w:rsidRPr="008F6866">
              <w:rPr>
                <w:rFonts w:asciiTheme="minorHAnsi" w:hAnsiTheme="minorHAnsi"/>
                <w:b/>
                <w:color w:val="000000"/>
              </w:rPr>
              <w:t>Diversity</w:t>
            </w:r>
          </w:p>
        </w:tc>
        <w:tc>
          <w:tcPr>
            <w:tcW w:w="2693" w:type="dxa"/>
            <w:tcMar>
              <w:left w:w="57" w:type="dxa"/>
              <w:bottom w:w="28" w:type="dxa"/>
              <w:right w:w="57" w:type="dxa"/>
            </w:tcMar>
            <w:vAlign w:val="center"/>
          </w:tcPr>
          <w:p w14:paraId="23A497CB" w14:textId="77777777" w:rsidR="00C03583" w:rsidRPr="008F6866" w:rsidRDefault="00C03583" w:rsidP="00C03583">
            <w:pPr>
              <w:jc w:val="center"/>
              <w:rPr>
                <w:rFonts w:asciiTheme="minorHAnsi" w:hAnsiTheme="minorHAnsi"/>
                <w:color w:val="000000"/>
              </w:rPr>
            </w:pPr>
          </w:p>
        </w:tc>
        <w:tc>
          <w:tcPr>
            <w:tcW w:w="1998" w:type="dxa"/>
            <w:tcMar>
              <w:left w:w="57" w:type="dxa"/>
              <w:bottom w:w="28" w:type="dxa"/>
              <w:right w:w="57" w:type="dxa"/>
            </w:tcMar>
            <w:vAlign w:val="center"/>
          </w:tcPr>
          <w:p w14:paraId="7C601857" w14:textId="77777777" w:rsidR="00C03583" w:rsidRPr="008F6866" w:rsidRDefault="00C03583" w:rsidP="00C03583">
            <w:pPr>
              <w:jc w:val="center"/>
              <w:rPr>
                <w:rFonts w:asciiTheme="minorHAnsi" w:hAnsiTheme="minorHAnsi"/>
                <w:color w:val="000000"/>
              </w:rPr>
            </w:pPr>
          </w:p>
        </w:tc>
        <w:tc>
          <w:tcPr>
            <w:tcW w:w="2425" w:type="dxa"/>
            <w:tcMar>
              <w:left w:w="57" w:type="dxa"/>
              <w:bottom w:w="28" w:type="dxa"/>
              <w:right w:w="57" w:type="dxa"/>
            </w:tcMar>
            <w:vAlign w:val="center"/>
          </w:tcPr>
          <w:p w14:paraId="0D92BA65" w14:textId="77777777" w:rsidR="00C03583" w:rsidRPr="008F6866" w:rsidRDefault="00C03583" w:rsidP="00C03583">
            <w:pPr>
              <w:jc w:val="center"/>
              <w:rPr>
                <w:rFonts w:asciiTheme="minorHAnsi" w:hAnsiTheme="minorHAnsi"/>
                <w:color w:val="000000"/>
              </w:rPr>
            </w:pPr>
          </w:p>
        </w:tc>
      </w:tr>
      <w:tr w:rsidR="00C03583" w:rsidRPr="008F6866" w14:paraId="4824D62B" w14:textId="77777777" w:rsidTr="00365547">
        <w:trPr>
          <w:gridBefore w:val="1"/>
          <w:wBefore w:w="108" w:type="dxa"/>
        </w:trPr>
        <w:tc>
          <w:tcPr>
            <w:tcW w:w="2581" w:type="dxa"/>
            <w:tcMar>
              <w:left w:w="57" w:type="dxa"/>
              <w:bottom w:w="28" w:type="dxa"/>
              <w:right w:w="57" w:type="dxa"/>
            </w:tcMar>
            <w:vAlign w:val="center"/>
          </w:tcPr>
          <w:p w14:paraId="565A9839"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Simpson index</w:t>
            </w:r>
          </w:p>
        </w:tc>
        <w:tc>
          <w:tcPr>
            <w:tcW w:w="2693" w:type="dxa"/>
            <w:tcMar>
              <w:left w:w="57" w:type="dxa"/>
              <w:bottom w:w="28" w:type="dxa"/>
              <w:right w:w="57" w:type="dxa"/>
            </w:tcMar>
            <w:vAlign w:val="center"/>
          </w:tcPr>
          <w:p w14:paraId="6C8EB891"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w:t>
            </w:r>
          </w:p>
        </w:tc>
        <w:tc>
          <w:tcPr>
            <w:tcW w:w="1998" w:type="dxa"/>
            <w:shd w:val="reverseDiagStripe" w:color="auto" w:fill="auto"/>
            <w:tcMar>
              <w:left w:w="57" w:type="dxa"/>
              <w:bottom w:w="28" w:type="dxa"/>
              <w:right w:w="57" w:type="dxa"/>
            </w:tcMar>
            <w:vAlign w:val="center"/>
          </w:tcPr>
          <w:p w14:paraId="3A4B882A"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7EB385E6" w14:textId="77777777" w:rsidR="00C03583" w:rsidRPr="008F6866" w:rsidRDefault="00C03583" w:rsidP="00C03583">
            <w:pPr>
              <w:jc w:val="center"/>
              <w:rPr>
                <w:rFonts w:asciiTheme="minorHAnsi" w:hAnsiTheme="minorHAnsi"/>
                <w:color w:val="000000"/>
              </w:rPr>
            </w:pPr>
          </w:p>
        </w:tc>
      </w:tr>
      <w:tr w:rsidR="00C03583" w:rsidRPr="008F6866" w14:paraId="1FA124A7" w14:textId="77777777" w:rsidTr="00365547">
        <w:trPr>
          <w:gridBefore w:val="1"/>
          <w:wBefore w:w="108" w:type="dxa"/>
        </w:trPr>
        <w:tc>
          <w:tcPr>
            <w:tcW w:w="2581" w:type="dxa"/>
            <w:tcMar>
              <w:left w:w="57" w:type="dxa"/>
              <w:bottom w:w="28" w:type="dxa"/>
              <w:right w:w="57" w:type="dxa"/>
            </w:tcMar>
            <w:vAlign w:val="center"/>
          </w:tcPr>
          <w:p w14:paraId="48391526"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Diversity score based on </w:t>
            </w:r>
          </w:p>
          <w:p w14:paraId="50ED315D" w14:textId="4EC2D89F"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w:t>
            </w:r>
            <w:r w:rsidR="007E0172">
              <w:rPr>
                <w:rFonts w:asciiTheme="minorHAnsi" w:hAnsiTheme="minorHAnsi"/>
                <w:color w:val="000000"/>
              </w:rPr>
              <w:t xml:space="preserve">    </w:t>
            </w:r>
            <w:r w:rsidRPr="008F6866">
              <w:rPr>
                <w:rFonts w:asciiTheme="minorHAnsi" w:hAnsiTheme="minorHAnsi"/>
                <w:color w:val="000000"/>
              </w:rPr>
              <w:t>dendro microhabitats</w:t>
            </w:r>
          </w:p>
        </w:tc>
        <w:tc>
          <w:tcPr>
            <w:tcW w:w="2693" w:type="dxa"/>
            <w:tcMar>
              <w:left w:w="57" w:type="dxa"/>
              <w:bottom w:w="28" w:type="dxa"/>
              <w:right w:w="57" w:type="dxa"/>
            </w:tcMar>
            <w:vAlign w:val="center"/>
          </w:tcPr>
          <w:p w14:paraId="368B9F77"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w:t>
            </w:r>
          </w:p>
        </w:tc>
        <w:tc>
          <w:tcPr>
            <w:tcW w:w="1998" w:type="dxa"/>
            <w:shd w:val="reverseDiagStripe" w:color="auto" w:fill="auto"/>
            <w:tcMar>
              <w:left w:w="57" w:type="dxa"/>
              <w:bottom w:w="28" w:type="dxa"/>
              <w:right w:w="57" w:type="dxa"/>
            </w:tcMar>
            <w:vAlign w:val="center"/>
          </w:tcPr>
          <w:p w14:paraId="25717A8A" w14:textId="77777777" w:rsidR="00C03583" w:rsidRPr="008F6866" w:rsidRDefault="00C03583" w:rsidP="00C03583">
            <w:pPr>
              <w:jc w:val="center"/>
              <w:rPr>
                <w:rFonts w:asciiTheme="minorHAnsi" w:hAnsiTheme="minorHAnsi"/>
                <w:color w:val="000000"/>
              </w:rPr>
            </w:pPr>
          </w:p>
        </w:tc>
        <w:tc>
          <w:tcPr>
            <w:tcW w:w="2425" w:type="dxa"/>
            <w:shd w:val="reverseDiagStripe" w:color="auto" w:fill="auto"/>
            <w:tcMar>
              <w:left w:w="57" w:type="dxa"/>
              <w:bottom w:w="28" w:type="dxa"/>
              <w:right w:w="57" w:type="dxa"/>
            </w:tcMar>
            <w:vAlign w:val="center"/>
          </w:tcPr>
          <w:p w14:paraId="0D76BF9A" w14:textId="77777777" w:rsidR="00C03583" w:rsidRPr="008F6866" w:rsidRDefault="00C03583" w:rsidP="00C03583">
            <w:pPr>
              <w:jc w:val="center"/>
              <w:rPr>
                <w:rFonts w:asciiTheme="minorHAnsi" w:hAnsiTheme="minorHAnsi"/>
                <w:color w:val="000000"/>
              </w:rPr>
            </w:pPr>
          </w:p>
        </w:tc>
      </w:tr>
      <w:tr w:rsidR="00C03583" w:rsidRPr="008F6866" w14:paraId="7B5D6B31" w14:textId="77777777" w:rsidTr="00365547">
        <w:trPr>
          <w:gridBefore w:val="1"/>
          <w:wBefore w:w="108" w:type="dxa"/>
        </w:trPr>
        <w:tc>
          <w:tcPr>
            <w:tcW w:w="2581" w:type="dxa"/>
            <w:shd w:val="clear" w:color="auto" w:fill="auto"/>
            <w:tcMar>
              <w:left w:w="57" w:type="dxa"/>
              <w:bottom w:w="28" w:type="dxa"/>
              <w:right w:w="57" w:type="dxa"/>
            </w:tcMar>
            <w:vAlign w:val="center"/>
          </w:tcPr>
          <w:p w14:paraId="0407ECDE" w14:textId="77777777" w:rsidR="00C03583" w:rsidRPr="008F6866" w:rsidRDefault="00C03583" w:rsidP="00C03583">
            <w:pPr>
              <w:rPr>
                <w:rFonts w:asciiTheme="minorHAnsi" w:hAnsiTheme="minorHAnsi"/>
                <w:color w:val="000000"/>
              </w:rPr>
            </w:pPr>
          </w:p>
        </w:tc>
        <w:tc>
          <w:tcPr>
            <w:tcW w:w="2693" w:type="dxa"/>
            <w:shd w:val="clear" w:color="auto" w:fill="auto"/>
            <w:tcMar>
              <w:left w:w="57" w:type="dxa"/>
              <w:bottom w:w="28" w:type="dxa"/>
              <w:right w:w="57" w:type="dxa"/>
            </w:tcMar>
            <w:vAlign w:val="center"/>
          </w:tcPr>
          <w:p w14:paraId="3F16BE17" w14:textId="77777777" w:rsidR="00C03583" w:rsidRPr="008F6866" w:rsidRDefault="00C03583" w:rsidP="00C03583">
            <w:pPr>
              <w:jc w:val="center"/>
              <w:rPr>
                <w:rFonts w:asciiTheme="minorHAnsi" w:hAnsiTheme="minorHAnsi"/>
                <w:color w:val="000000"/>
              </w:rPr>
            </w:pPr>
          </w:p>
        </w:tc>
        <w:tc>
          <w:tcPr>
            <w:tcW w:w="1998" w:type="dxa"/>
            <w:shd w:val="clear" w:color="auto" w:fill="auto"/>
            <w:tcMar>
              <w:left w:w="57" w:type="dxa"/>
              <w:bottom w:w="28" w:type="dxa"/>
              <w:right w:w="57" w:type="dxa"/>
            </w:tcMar>
            <w:vAlign w:val="center"/>
          </w:tcPr>
          <w:p w14:paraId="66875018" w14:textId="77777777" w:rsidR="00C03583" w:rsidRPr="008F6866" w:rsidRDefault="00C03583" w:rsidP="00C03583">
            <w:pPr>
              <w:jc w:val="center"/>
              <w:rPr>
                <w:rFonts w:asciiTheme="minorHAnsi" w:hAnsiTheme="minorHAnsi"/>
                <w:color w:val="000000"/>
              </w:rPr>
            </w:pPr>
          </w:p>
        </w:tc>
        <w:tc>
          <w:tcPr>
            <w:tcW w:w="2425" w:type="dxa"/>
            <w:shd w:val="clear" w:color="auto" w:fill="auto"/>
            <w:tcMar>
              <w:left w:w="57" w:type="dxa"/>
              <w:bottom w:w="28" w:type="dxa"/>
              <w:right w:w="57" w:type="dxa"/>
            </w:tcMar>
            <w:vAlign w:val="center"/>
          </w:tcPr>
          <w:p w14:paraId="70189D74" w14:textId="77777777" w:rsidR="00C03583" w:rsidRPr="008F6866" w:rsidRDefault="00C03583" w:rsidP="00C03583">
            <w:pPr>
              <w:jc w:val="center"/>
              <w:rPr>
                <w:rFonts w:asciiTheme="minorHAnsi" w:hAnsiTheme="minorHAnsi"/>
                <w:color w:val="000000"/>
              </w:rPr>
            </w:pPr>
          </w:p>
        </w:tc>
      </w:tr>
      <w:tr w:rsidR="00C03583" w:rsidRPr="008F6866" w14:paraId="749D973B" w14:textId="77777777" w:rsidTr="00365547">
        <w:trPr>
          <w:gridBefore w:val="1"/>
          <w:wBefore w:w="108" w:type="dxa"/>
        </w:trPr>
        <w:tc>
          <w:tcPr>
            <w:tcW w:w="2581" w:type="dxa"/>
            <w:tcMar>
              <w:left w:w="57" w:type="dxa"/>
              <w:bottom w:w="28" w:type="dxa"/>
              <w:right w:w="57" w:type="dxa"/>
            </w:tcMar>
            <w:vAlign w:val="center"/>
          </w:tcPr>
          <w:p w14:paraId="49E620F9" w14:textId="77777777" w:rsidR="00C03583" w:rsidRPr="008F6866" w:rsidRDefault="00C03583" w:rsidP="00C03583">
            <w:pPr>
              <w:rPr>
                <w:rFonts w:asciiTheme="minorHAnsi" w:hAnsiTheme="minorHAnsi"/>
                <w:b/>
                <w:color w:val="000000"/>
              </w:rPr>
            </w:pPr>
            <w:r w:rsidRPr="008F6866">
              <w:rPr>
                <w:rFonts w:asciiTheme="minorHAnsi" w:hAnsiTheme="minorHAnsi"/>
                <w:b/>
                <w:color w:val="000000"/>
              </w:rPr>
              <w:t>Wind resistance</w:t>
            </w:r>
            <w:r w:rsidRPr="008F6866">
              <w:rPr>
                <w:rFonts w:asciiTheme="minorHAnsi" w:hAnsiTheme="minorHAnsi"/>
                <w:b/>
                <w:color w:val="000000"/>
                <w:vertAlign w:val="superscript"/>
              </w:rPr>
              <w:t>3</w:t>
            </w:r>
          </w:p>
        </w:tc>
        <w:tc>
          <w:tcPr>
            <w:tcW w:w="2693" w:type="dxa"/>
            <w:tcMar>
              <w:left w:w="57" w:type="dxa"/>
              <w:bottom w:w="28" w:type="dxa"/>
              <w:right w:w="57" w:type="dxa"/>
            </w:tcMar>
            <w:vAlign w:val="center"/>
          </w:tcPr>
          <w:p w14:paraId="1C8BD922" w14:textId="77777777" w:rsidR="00C03583" w:rsidRPr="008F6866" w:rsidRDefault="00C03583" w:rsidP="00C03583">
            <w:pPr>
              <w:jc w:val="center"/>
              <w:rPr>
                <w:rFonts w:asciiTheme="minorHAnsi" w:hAnsiTheme="minorHAnsi"/>
                <w:color w:val="000000"/>
              </w:rPr>
            </w:pPr>
          </w:p>
        </w:tc>
        <w:tc>
          <w:tcPr>
            <w:tcW w:w="1998" w:type="dxa"/>
            <w:tcMar>
              <w:left w:w="57" w:type="dxa"/>
              <w:bottom w:w="28" w:type="dxa"/>
              <w:right w:w="57" w:type="dxa"/>
            </w:tcMar>
            <w:vAlign w:val="center"/>
          </w:tcPr>
          <w:p w14:paraId="3C15BDAD" w14:textId="77777777" w:rsidR="00C03583" w:rsidRPr="008F6866" w:rsidRDefault="00C03583" w:rsidP="00C03583">
            <w:pPr>
              <w:jc w:val="center"/>
              <w:rPr>
                <w:rFonts w:asciiTheme="minorHAnsi" w:hAnsiTheme="minorHAnsi"/>
                <w:color w:val="000000"/>
              </w:rPr>
            </w:pPr>
          </w:p>
        </w:tc>
        <w:tc>
          <w:tcPr>
            <w:tcW w:w="2425" w:type="dxa"/>
            <w:tcMar>
              <w:left w:w="57" w:type="dxa"/>
              <w:bottom w:w="28" w:type="dxa"/>
              <w:right w:w="57" w:type="dxa"/>
            </w:tcMar>
            <w:vAlign w:val="center"/>
          </w:tcPr>
          <w:p w14:paraId="291A64E6" w14:textId="77777777" w:rsidR="00C03583" w:rsidRPr="008F6866" w:rsidRDefault="00C03583" w:rsidP="00C03583">
            <w:pPr>
              <w:jc w:val="center"/>
              <w:rPr>
                <w:rFonts w:asciiTheme="minorHAnsi" w:hAnsiTheme="minorHAnsi"/>
                <w:color w:val="000000"/>
              </w:rPr>
            </w:pPr>
          </w:p>
        </w:tc>
      </w:tr>
      <w:tr w:rsidR="00C03583" w:rsidRPr="008F6866" w14:paraId="38372A65" w14:textId="77777777" w:rsidTr="00365547">
        <w:trPr>
          <w:gridBefore w:val="1"/>
          <w:wBefore w:w="108" w:type="dxa"/>
        </w:trPr>
        <w:tc>
          <w:tcPr>
            <w:tcW w:w="2581" w:type="dxa"/>
            <w:tcMar>
              <w:left w:w="57" w:type="dxa"/>
              <w:bottom w:w="28" w:type="dxa"/>
              <w:right w:w="57" w:type="dxa"/>
            </w:tcMar>
            <w:vAlign w:val="center"/>
          </w:tcPr>
          <w:p w14:paraId="5CBF9DCE"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Overturned proportion</w:t>
            </w:r>
          </w:p>
        </w:tc>
        <w:tc>
          <w:tcPr>
            <w:tcW w:w="2693" w:type="dxa"/>
            <w:tcMar>
              <w:left w:w="57" w:type="dxa"/>
              <w:bottom w:w="28" w:type="dxa"/>
              <w:right w:w="57" w:type="dxa"/>
            </w:tcMar>
            <w:vAlign w:val="center"/>
          </w:tcPr>
          <w:p w14:paraId="3E15CCEA"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(/species)</w:t>
            </w:r>
          </w:p>
        </w:tc>
        <w:tc>
          <w:tcPr>
            <w:tcW w:w="1998" w:type="dxa"/>
            <w:shd w:val="reverseDiagStripe" w:color="auto" w:fill="auto"/>
            <w:tcMar>
              <w:left w:w="57" w:type="dxa"/>
              <w:bottom w:w="28" w:type="dxa"/>
              <w:right w:w="57" w:type="dxa"/>
            </w:tcMar>
            <w:vAlign w:val="center"/>
          </w:tcPr>
          <w:p w14:paraId="6563081E" w14:textId="77777777" w:rsidR="00C03583" w:rsidRPr="008F6866" w:rsidRDefault="00C03583" w:rsidP="00C03583">
            <w:pPr>
              <w:jc w:val="center"/>
              <w:rPr>
                <w:rFonts w:asciiTheme="minorHAnsi" w:hAnsiTheme="minorHAnsi"/>
                <w:color w:val="000000"/>
              </w:rPr>
            </w:pPr>
          </w:p>
        </w:tc>
        <w:tc>
          <w:tcPr>
            <w:tcW w:w="2425" w:type="dxa"/>
            <w:tcMar>
              <w:left w:w="57" w:type="dxa"/>
              <w:bottom w:w="28" w:type="dxa"/>
              <w:right w:w="57" w:type="dxa"/>
            </w:tcMar>
            <w:vAlign w:val="center"/>
          </w:tcPr>
          <w:p w14:paraId="233B624F" w14:textId="77777777" w:rsidR="00C03583" w:rsidRPr="008F6866" w:rsidRDefault="00C03583" w:rsidP="00C03583">
            <w:pPr>
              <w:jc w:val="center"/>
              <w:rPr>
                <w:rFonts w:asciiTheme="minorHAnsi" w:hAnsiTheme="minorHAnsi"/>
                <w:color w:val="000000"/>
              </w:rPr>
            </w:pPr>
          </w:p>
        </w:tc>
      </w:tr>
      <w:tr w:rsidR="00C03583" w:rsidRPr="008F6866" w14:paraId="63B72FE6" w14:textId="77777777" w:rsidTr="00365547">
        <w:trPr>
          <w:gridBefore w:val="1"/>
          <w:wBefore w:w="108" w:type="dxa"/>
        </w:trPr>
        <w:tc>
          <w:tcPr>
            <w:tcW w:w="2581" w:type="dxa"/>
            <w:tcMar>
              <w:left w:w="57" w:type="dxa"/>
              <w:bottom w:w="28" w:type="dxa"/>
              <w:right w:w="57" w:type="dxa"/>
            </w:tcMar>
            <w:vAlign w:val="center"/>
          </w:tcPr>
          <w:p w14:paraId="37623949"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Broken proportion</w:t>
            </w:r>
          </w:p>
        </w:tc>
        <w:tc>
          <w:tcPr>
            <w:tcW w:w="2693" w:type="dxa"/>
            <w:tcMar>
              <w:left w:w="57" w:type="dxa"/>
              <w:bottom w:w="28" w:type="dxa"/>
              <w:right w:w="57" w:type="dxa"/>
            </w:tcMar>
            <w:vAlign w:val="center"/>
          </w:tcPr>
          <w:p w14:paraId="4E3C8221"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(/species)</w:t>
            </w:r>
          </w:p>
        </w:tc>
        <w:tc>
          <w:tcPr>
            <w:tcW w:w="1998" w:type="dxa"/>
            <w:shd w:val="reverseDiagStripe" w:color="auto" w:fill="auto"/>
            <w:tcMar>
              <w:left w:w="57" w:type="dxa"/>
              <w:bottom w:w="28" w:type="dxa"/>
              <w:right w:w="57" w:type="dxa"/>
            </w:tcMar>
            <w:vAlign w:val="center"/>
          </w:tcPr>
          <w:p w14:paraId="02591950" w14:textId="77777777" w:rsidR="00C03583" w:rsidRPr="008F6866" w:rsidRDefault="00C03583" w:rsidP="00C03583">
            <w:pPr>
              <w:jc w:val="center"/>
              <w:rPr>
                <w:rFonts w:asciiTheme="minorHAnsi" w:hAnsiTheme="minorHAnsi"/>
                <w:color w:val="000000"/>
              </w:rPr>
            </w:pPr>
          </w:p>
        </w:tc>
        <w:tc>
          <w:tcPr>
            <w:tcW w:w="2425" w:type="dxa"/>
            <w:tcMar>
              <w:left w:w="57" w:type="dxa"/>
              <w:bottom w:w="28" w:type="dxa"/>
              <w:right w:w="57" w:type="dxa"/>
            </w:tcMar>
            <w:vAlign w:val="center"/>
          </w:tcPr>
          <w:p w14:paraId="2F2CC610" w14:textId="77777777" w:rsidR="00C03583" w:rsidRPr="008F6866" w:rsidRDefault="00C03583" w:rsidP="00C03583">
            <w:pPr>
              <w:jc w:val="center"/>
              <w:rPr>
                <w:rFonts w:asciiTheme="minorHAnsi" w:hAnsiTheme="minorHAnsi"/>
                <w:color w:val="000000"/>
              </w:rPr>
            </w:pPr>
          </w:p>
        </w:tc>
      </w:tr>
      <w:tr w:rsidR="00C03583" w:rsidRPr="008F6866" w14:paraId="10D7FA17" w14:textId="77777777" w:rsidTr="00365547">
        <w:trPr>
          <w:gridBefore w:val="1"/>
          <w:wBefore w:w="108" w:type="dxa"/>
        </w:trPr>
        <w:tc>
          <w:tcPr>
            <w:tcW w:w="2581" w:type="dxa"/>
            <w:tcMar>
              <w:left w:w="57" w:type="dxa"/>
              <w:bottom w:w="28" w:type="dxa"/>
              <w:right w:w="57" w:type="dxa"/>
            </w:tcMar>
            <w:vAlign w:val="center"/>
          </w:tcPr>
          <w:p w14:paraId="05B58478"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Impacted proportion</w:t>
            </w:r>
          </w:p>
        </w:tc>
        <w:tc>
          <w:tcPr>
            <w:tcW w:w="2693" w:type="dxa"/>
            <w:tcMar>
              <w:left w:w="57" w:type="dxa"/>
              <w:bottom w:w="28" w:type="dxa"/>
              <w:right w:w="57" w:type="dxa"/>
            </w:tcMar>
            <w:vAlign w:val="center"/>
          </w:tcPr>
          <w:p w14:paraId="1FA79104"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(/species)</w:t>
            </w:r>
          </w:p>
        </w:tc>
        <w:tc>
          <w:tcPr>
            <w:tcW w:w="1998" w:type="dxa"/>
            <w:shd w:val="reverseDiagStripe" w:color="auto" w:fill="auto"/>
            <w:tcMar>
              <w:left w:w="57" w:type="dxa"/>
              <w:bottom w:w="28" w:type="dxa"/>
              <w:right w:w="57" w:type="dxa"/>
            </w:tcMar>
            <w:vAlign w:val="center"/>
          </w:tcPr>
          <w:p w14:paraId="7A72FA60" w14:textId="77777777" w:rsidR="00C03583" w:rsidRPr="008F6866" w:rsidRDefault="00C03583" w:rsidP="00C03583">
            <w:pPr>
              <w:jc w:val="center"/>
              <w:rPr>
                <w:rFonts w:asciiTheme="minorHAnsi" w:hAnsiTheme="minorHAnsi"/>
                <w:color w:val="000000"/>
              </w:rPr>
            </w:pPr>
          </w:p>
        </w:tc>
        <w:tc>
          <w:tcPr>
            <w:tcW w:w="2425" w:type="dxa"/>
            <w:tcMar>
              <w:left w:w="57" w:type="dxa"/>
              <w:bottom w:w="28" w:type="dxa"/>
              <w:right w:w="57" w:type="dxa"/>
            </w:tcMar>
            <w:vAlign w:val="center"/>
          </w:tcPr>
          <w:p w14:paraId="27FC305C" w14:textId="77777777" w:rsidR="00C03583" w:rsidRPr="008F6866" w:rsidRDefault="00C03583" w:rsidP="00C03583">
            <w:pPr>
              <w:jc w:val="center"/>
              <w:rPr>
                <w:rFonts w:asciiTheme="minorHAnsi" w:hAnsiTheme="minorHAnsi"/>
                <w:color w:val="000000"/>
              </w:rPr>
            </w:pPr>
          </w:p>
        </w:tc>
      </w:tr>
      <w:tr w:rsidR="00C03583" w:rsidRPr="008F6866" w14:paraId="37DD2D78" w14:textId="77777777" w:rsidTr="00365547">
        <w:trPr>
          <w:gridBefore w:val="1"/>
          <w:wBefore w:w="108" w:type="dxa"/>
        </w:trPr>
        <w:tc>
          <w:tcPr>
            <w:tcW w:w="2581" w:type="dxa"/>
            <w:tcBorders>
              <w:bottom w:val="single" w:sz="12" w:space="0" w:color="auto"/>
            </w:tcBorders>
            <w:tcMar>
              <w:left w:w="57" w:type="dxa"/>
              <w:bottom w:w="28" w:type="dxa"/>
              <w:right w:w="57" w:type="dxa"/>
            </w:tcMar>
            <w:vAlign w:val="center"/>
          </w:tcPr>
          <w:p w14:paraId="48A1EE77" w14:textId="77777777" w:rsidR="00C03583" w:rsidRPr="008F6866" w:rsidRDefault="00C03583" w:rsidP="00C03583">
            <w:pPr>
              <w:rPr>
                <w:rFonts w:asciiTheme="minorHAnsi" w:hAnsiTheme="minorHAnsi"/>
                <w:color w:val="000000"/>
              </w:rPr>
            </w:pPr>
            <w:r w:rsidRPr="008F6866">
              <w:rPr>
                <w:rFonts w:asciiTheme="minorHAnsi" w:hAnsiTheme="minorHAnsi"/>
                <w:color w:val="000000"/>
              </w:rPr>
              <w:t xml:space="preserve">   Undamaged proportion</w:t>
            </w:r>
          </w:p>
        </w:tc>
        <w:tc>
          <w:tcPr>
            <w:tcW w:w="2693" w:type="dxa"/>
            <w:tcBorders>
              <w:bottom w:val="single" w:sz="12" w:space="0" w:color="auto"/>
            </w:tcBorders>
            <w:tcMar>
              <w:left w:w="57" w:type="dxa"/>
              <w:bottom w:w="28" w:type="dxa"/>
              <w:right w:w="57" w:type="dxa"/>
            </w:tcMar>
            <w:vAlign w:val="center"/>
          </w:tcPr>
          <w:p w14:paraId="07462838" w14:textId="77777777" w:rsidR="00C03583" w:rsidRPr="008F6866" w:rsidRDefault="00C03583" w:rsidP="00C03583">
            <w:pPr>
              <w:jc w:val="center"/>
              <w:rPr>
                <w:rFonts w:asciiTheme="minorHAnsi" w:hAnsiTheme="minorHAnsi"/>
                <w:color w:val="000000"/>
              </w:rPr>
            </w:pPr>
            <w:r w:rsidRPr="008F6866">
              <w:rPr>
                <w:rFonts w:asciiTheme="minorHAnsi" w:hAnsiTheme="minorHAnsi"/>
                <w:color w:val="000000"/>
              </w:rPr>
              <w:t>Avg (/species)</w:t>
            </w:r>
          </w:p>
        </w:tc>
        <w:tc>
          <w:tcPr>
            <w:tcW w:w="1998" w:type="dxa"/>
            <w:tcBorders>
              <w:bottom w:val="single" w:sz="12" w:space="0" w:color="auto"/>
            </w:tcBorders>
            <w:shd w:val="reverseDiagStripe" w:color="auto" w:fill="auto"/>
            <w:tcMar>
              <w:left w:w="57" w:type="dxa"/>
              <w:bottom w:w="28" w:type="dxa"/>
              <w:right w:w="57" w:type="dxa"/>
            </w:tcMar>
            <w:vAlign w:val="center"/>
          </w:tcPr>
          <w:p w14:paraId="2981AFC8" w14:textId="77777777" w:rsidR="00C03583" w:rsidRPr="008F6866" w:rsidRDefault="00C03583" w:rsidP="00C03583">
            <w:pPr>
              <w:jc w:val="center"/>
              <w:rPr>
                <w:rFonts w:asciiTheme="minorHAnsi" w:hAnsiTheme="minorHAnsi"/>
                <w:color w:val="000000"/>
              </w:rPr>
            </w:pPr>
          </w:p>
        </w:tc>
        <w:tc>
          <w:tcPr>
            <w:tcW w:w="2425" w:type="dxa"/>
            <w:tcBorders>
              <w:bottom w:val="single" w:sz="12" w:space="0" w:color="auto"/>
            </w:tcBorders>
            <w:tcMar>
              <w:left w:w="57" w:type="dxa"/>
              <w:bottom w:w="28" w:type="dxa"/>
              <w:right w:w="57" w:type="dxa"/>
            </w:tcMar>
            <w:vAlign w:val="center"/>
          </w:tcPr>
          <w:p w14:paraId="6F415169" w14:textId="77777777" w:rsidR="00C03583" w:rsidRPr="008F6866" w:rsidRDefault="00C03583" w:rsidP="00C03583">
            <w:pPr>
              <w:jc w:val="center"/>
              <w:rPr>
                <w:rFonts w:asciiTheme="minorHAnsi" w:hAnsiTheme="minorHAnsi"/>
                <w:color w:val="000000"/>
              </w:rPr>
            </w:pPr>
          </w:p>
        </w:tc>
      </w:tr>
    </w:tbl>
    <w:p w14:paraId="3B26260B" w14:textId="77777777" w:rsidR="00C03583" w:rsidRPr="008F6866" w:rsidRDefault="00C03583" w:rsidP="003D3485">
      <w:pPr>
        <w:spacing w:after="0"/>
        <w:jc w:val="both"/>
        <w:rPr>
          <w:rFonts w:ascii="Calibri" w:eastAsia="Calibri" w:hAnsi="Calibri" w:cs="Calibri"/>
          <w:color w:val="000000"/>
          <w:sz w:val="18"/>
          <w:szCs w:val="18"/>
        </w:rPr>
      </w:pPr>
      <w:r w:rsidRPr="008F6866">
        <w:rPr>
          <w:color w:val="000000"/>
          <w:sz w:val="18"/>
          <w:szCs w:val="18"/>
          <w:vertAlign w:val="superscript"/>
        </w:rPr>
        <w:t>1</w:t>
      </w:r>
      <w:r w:rsidRPr="008F6866">
        <w:rPr>
          <w:color w:val="000000"/>
          <w:sz w:val="18"/>
          <w:szCs w:val="18"/>
        </w:rPr>
        <w:t xml:space="preserve">Avg: average value over the simulation period, Initial: value on initial year, Final; value on final year, Variation: final – initial; /species: indicator is provided both for all species together and separately for each species. </w:t>
      </w:r>
      <w:r w:rsidRPr="008F6866">
        <w:rPr>
          <w:color w:val="000000"/>
          <w:sz w:val="18"/>
          <w:szCs w:val="18"/>
          <w:vertAlign w:val="superscript"/>
        </w:rPr>
        <w:t>2</w:t>
      </w:r>
      <w:r w:rsidRPr="008F6866">
        <w:rPr>
          <w:color w:val="000000"/>
          <w:sz w:val="18"/>
          <w:szCs w:val="18"/>
        </w:rPr>
        <w:t xml:space="preserve">For each species, the following status are considered: living trees, dead trees, cut trees, trees recruited on the current year, wind damaged trees, all seedlings and new seedlings (germinated or planted during the current year). </w:t>
      </w:r>
      <w:r w:rsidRPr="008F6866">
        <w:rPr>
          <w:color w:val="000000"/>
          <w:sz w:val="18"/>
          <w:szCs w:val="18"/>
          <w:vertAlign w:val="superscript"/>
        </w:rPr>
        <w:t>3</w:t>
      </w:r>
      <w:r w:rsidRPr="008F6866">
        <w:rPr>
          <w:color w:val="000000"/>
          <w:sz w:val="18"/>
          <w:szCs w:val="18"/>
        </w:rPr>
        <w:t>Determined from storms generated at regular time intervals (default is 10 years) when executing the export.</w:t>
      </w:r>
    </w:p>
    <w:p w14:paraId="2B79EF9F" w14:textId="77777777" w:rsidR="006551F0" w:rsidRPr="008F6866" w:rsidRDefault="006551F0" w:rsidP="00F52A55">
      <w:pPr>
        <w:spacing w:after="0"/>
        <w:rPr>
          <w:rFonts w:ascii="CG Omega" w:eastAsia="CG Omega" w:hAnsi="CG Omega" w:cs="CG Omega"/>
          <w:b/>
        </w:rPr>
      </w:pPr>
    </w:p>
    <w:p w14:paraId="7FEA6912" w14:textId="77777777" w:rsidR="006551F0" w:rsidRPr="008F6866" w:rsidRDefault="006551F0" w:rsidP="000B4CD0">
      <w:pPr>
        <w:rPr>
          <w:b/>
        </w:rPr>
      </w:pPr>
      <w:r w:rsidRPr="008F6866">
        <w:rPr>
          <w:b/>
          <w:bCs/>
        </w:rPr>
        <w:t>WP2. Data acquisition and use</w:t>
      </w:r>
    </w:p>
    <w:p w14:paraId="52C9FB39" w14:textId="042A92C7" w:rsidR="01F2B524" w:rsidRPr="008F6866" w:rsidRDefault="01F2B524" w:rsidP="00E272B3">
      <w:pPr>
        <w:spacing w:after="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The calibration and validation of newly implemented features in the HETEROFOR model (see WP1) require targeted observations and measurements. While most of the necessary data were already available, additional complementary data were needed. To address these gaps, we collected field data to calibrate key forest ecosystem processes, including sapling and pole height growth dynamics, the impact of ungulate browsing on sapling growth, and the effects of reduced rainfall on sapling development.</w:t>
      </w:r>
    </w:p>
    <w:p w14:paraId="53B68B79" w14:textId="77777777" w:rsidR="00414E2C" w:rsidRPr="008F6866" w:rsidRDefault="00414E2C" w:rsidP="00414E2C">
      <w:pPr>
        <w:spacing w:after="0" w:line="300" w:lineRule="auto"/>
        <w:jc w:val="both"/>
        <w:rPr>
          <w:rFonts w:ascii="Calibri" w:eastAsia="Calibri" w:hAnsi="Calibri" w:cs="Calibri"/>
          <w:color w:val="000000"/>
        </w:rPr>
      </w:pPr>
    </w:p>
    <w:p w14:paraId="358DAEF1" w14:textId="77777777" w:rsidR="006551F0" w:rsidRPr="008F6866" w:rsidRDefault="006551F0" w:rsidP="006551F0">
      <w:pPr>
        <w:rPr>
          <w:b/>
        </w:rPr>
      </w:pPr>
      <w:r w:rsidRPr="008F6866">
        <w:rPr>
          <w:b/>
        </w:rPr>
        <w:t>Task 2.1 Regeneration dynamics</w:t>
      </w:r>
    </w:p>
    <w:p w14:paraId="177D1890" w14:textId="77777777" w:rsidR="006551F0" w:rsidRPr="008F6866" w:rsidRDefault="006551F0" w:rsidP="006551F0">
      <w:pPr>
        <w:pBdr>
          <w:top w:val="nil"/>
          <w:left w:val="nil"/>
          <w:bottom w:val="nil"/>
          <w:right w:val="nil"/>
          <w:between w:val="nil"/>
        </w:pBdr>
        <w:spacing w:after="60"/>
        <w:rPr>
          <w:rFonts w:ascii="Calibri" w:eastAsia="Calibri" w:hAnsi="Calibri" w:cs="Calibri"/>
          <w:b/>
        </w:rPr>
      </w:pPr>
      <w:r w:rsidRPr="008F6866">
        <w:rPr>
          <w:rFonts w:ascii="Calibri" w:eastAsia="Calibri" w:hAnsi="Calibri" w:cs="Calibri"/>
          <w:b/>
          <w:i/>
        </w:rPr>
        <w:t>In situ</w:t>
      </w:r>
      <w:r w:rsidRPr="008F6866">
        <w:rPr>
          <w:rFonts w:ascii="Calibri" w:eastAsia="Calibri" w:hAnsi="Calibri" w:cs="Calibri"/>
          <w:b/>
        </w:rPr>
        <w:t xml:space="preserve"> monitoring of advanced regeneration dynamics in broadleaved forests</w:t>
      </w:r>
    </w:p>
    <w:p w14:paraId="35240AF4" w14:textId="203A8043" w:rsidR="006551F0" w:rsidRPr="008F6866" w:rsidRDefault="39CFF0FF" w:rsidP="00414E2C">
      <w:pPr>
        <w:pBdr>
          <w:top w:val="nil"/>
          <w:left w:val="nil"/>
          <w:bottom w:val="nil"/>
          <w:right w:val="nil"/>
          <w:between w:val="nil"/>
        </w:pBdr>
        <w:spacing w:after="120" w:line="300" w:lineRule="auto"/>
        <w:jc w:val="both"/>
        <w:rPr>
          <w:rFonts w:ascii="Calibri" w:eastAsia="Calibri" w:hAnsi="Calibri" w:cs="Calibri"/>
          <w:color w:val="000000"/>
        </w:rPr>
      </w:pPr>
      <w:r w:rsidRPr="008F6866">
        <w:rPr>
          <w:rFonts w:ascii="Calibri" w:eastAsia="Calibri" w:hAnsi="Calibri" w:cs="Calibri"/>
          <w:color w:val="000000" w:themeColor="text1"/>
        </w:rPr>
        <w:t xml:space="preserve">In broadleaved forests, the growth of juvenile trees in the understory has already been well described by </w:t>
      </w:r>
      <w:r w:rsidR="006551F0" w:rsidRPr="008F6866">
        <w:rPr>
          <w:color w:val="000000" w:themeColor="text1"/>
        </w:rPr>
        <w:fldChar w:fldCharType="begin"/>
      </w:r>
      <w:r w:rsidR="001F0441">
        <w:rPr>
          <w:color w:val="000000" w:themeColor="text1"/>
        </w:rPr>
        <w:instrText xml:space="preserve"> ADDIN EN.CITE &lt;EndNote&gt;&lt;Cite AuthorYear="1"&gt;&lt;Author&gt;Ligot&lt;/Author&gt;&lt;Year&gt;2013&lt;/Year&gt;&lt;RecNum&gt;19&lt;/RecNum&gt;&lt;IDText&gt;Ligot13a&lt;/IDText&gt;&lt;DisplayText&gt;Ligot&lt;style face="italic"&gt; et al.&lt;/style&gt; (2013a)&lt;/DisplayText&gt;&lt;record&gt;&lt;rec-number&gt;19&lt;/rec-number&gt;&lt;foreign-keys&gt;&lt;key app="EN" db-id="0px2fzdxhrpdrre2w5f5pdryx90atadrdavt" timestamp="1537786013"&gt;19&lt;/key&gt;&lt;/foreign-keys&gt;&lt;ref-type name="Journal Article"&gt;17&lt;/ref-type&gt;&lt;contributors&gt;&lt;authors&gt;&lt;author&gt;Ligot, Gauthier&lt;/author&gt;&lt;author&gt;Balandier, Philippe&lt;/author&gt;&lt;author&gt;Fayolle, Adeline&lt;/author&gt;&lt;author&gt;Lejeune, Philippe&lt;/author&gt;&lt;author&gt;Claessens, Hugues&lt;/author&gt;&lt;/authors&gt;&lt;/contributors&gt;&lt;titles&gt;&lt;title&gt;Height competition between Quercus petraea and Fagus sylvatica natural regeneration in mixed and uneven-aged stands&lt;/title&gt;&lt;secondary-title&gt;Forest Ecology and Management&lt;/secondary-title&gt;&lt;/titles&gt;&lt;periodical&gt;&lt;full-title&gt;Forest Ecology and Management&lt;/full-title&gt;&lt;/periodical&gt;&lt;pages&gt;391-398&lt;/pages&gt;&lt;volume&gt;304&lt;/volume&gt;&lt;keywords&gt;&lt;keyword&gt;Regeneration&lt;/keyword&gt;&lt;keyword&gt;Shade tolerance&lt;/keyword&gt;&lt;keyword&gt;Uneven-aged mixed deciduous stand&lt;/keyword&gt;&lt;keyword&gt;Forest dynamic&lt;/keyword&gt;&lt;keyword&gt;Continuous-cover forestry&lt;/keyword&gt;&lt;keyword&gt;Light&lt;/keyword&gt;&lt;/keywords&gt;&lt;dates&gt;&lt;year&gt;2013&lt;/year&gt;&lt;/dates&gt;&lt;isbn&gt;0378-1127&lt;/isbn&gt;&lt;label&gt;Ligot13a&lt;/label&gt;&lt;urls&gt;&lt;related-urls&gt;&lt;url&gt;http://www.sciencedirect.com/science/article/pii/S0378112713003496&lt;/url&gt;&lt;/related-urls&gt;&lt;/urls&gt;&lt;electronic-resource-num&gt;https://doi.org/10.1016/j.foreco.2013.05.050&lt;/electronic-resource-num&gt;&lt;/record&gt;&lt;/Cite&gt;&lt;/EndNote&gt;</w:instrText>
      </w:r>
      <w:r w:rsidR="006551F0" w:rsidRPr="008F6866">
        <w:rPr>
          <w:color w:val="000000" w:themeColor="text1"/>
        </w:rPr>
        <w:fldChar w:fldCharType="separate"/>
      </w:r>
      <w:r w:rsidR="006201C6">
        <w:rPr>
          <w:noProof/>
          <w:color w:val="000000" w:themeColor="text1"/>
        </w:rPr>
        <w:t>Ligot</w:t>
      </w:r>
      <w:r w:rsidR="006201C6" w:rsidRPr="006201C6">
        <w:rPr>
          <w:i/>
          <w:noProof/>
          <w:color w:val="000000" w:themeColor="text1"/>
        </w:rPr>
        <w:t xml:space="preserve"> et al.</w:t>
      </w:r>
      <w:r w:rsidR="006201C6">
        <w:rPr>
          <w:noProof/>
          <w:color w:val="000000" w:themeColor="text1"/>
        </w:rPr>
        <w:t xml:space="preserve"> (2013a)</w:t>
      </w:r>
      <w:r w:rsidR="006551F0" w:rsidRPr="008F6866">
        <w:rPr>
          <w:color w:val="000000" w:themeColor="text1"/>
        </w:rPr>
        <w:fldChar w:fldCharType="end"/>
      </w:r>
      <w:r w:rsidRPr="008F6866">
        <w:rPr>
          <w:rFonts w:ascii="Calibri" w:eastAsia="Calibri" w:hAnsi="Calibri" w:cs="Calibri"/>
          <w:color w:val="000000" w:themeColor="text1"/>
        </w:rPr>
        <w:t xml:space="preserve"> but this work was limited to juvenile trees of less than 3-4 meters in height. To be able to accurately model the growth of small and tall juvenile trees, we collected new data about the growth, mortality, and density of taller trees (3-10 meters in height, hereafter called poles).</w:t>
      </w:r>
    </w:p>
    <w:p w14:paraId="42C506C9" w14:textId="4610FA74" w:rsidR="006551F0" w:rsidRPr="008F6866" w:rsidRDefault="232ABAF5" w:rsidP="39707634">
      <w:pPr>
        <w:pBdr>
          <w:top w:val="nil"/>
          <w:left w:val="nil"/>
          <w:bottom w:val="nil"/>
          <w:right w:val="nil"/>
          <w:between w:val="nil"/>
        </w:pBdr>
        <w:spacing w:after="120" w:line="300" w:lineRule="auto"/>
        <w:jc w:val="both"/>
        <w:rPr>
          <w:rFonts w:ascii="Calibri" w:eastAsia="Calibri" w:hAnsi="Calibri" w:cs="Calibri"/>
        </w:rPr>
      </w:pPr>
      <w:r w:rsidRPr="008F6866">
        <w:rPr>
          <w:rFonts w:ascii="Calibri" w:eastAsia="Calibri" w:hAnsi="Calibri" w:cs="Calibri"/>
        </w:rPr>
        <w:t xml:space="preserve">Initially, we planned to monitor pole growth and mortality in a selection of 7 plots out of the 27 fenced plots studied by </w:t>
      </w:r>
      <w:r w:rsidR="006551F0" w:rsidRPr="008F6866">
        <w:fldChar w:fldCharType="begin"/>
      </w:r>
      <w:r w:rsidR="001F0441">
        <w:instrText xml:space="preserve"> ADDIN EN.CITE &lt;EndNote&gt;&lt;Cite AuthorYear="1"&gt;&lt;Author&gt;Ligot&lt;/Author&gt;&lt;Year&gt;2013&lt;/Year&gt;&lt;RecNum&gt;19&lt;/RecNum&gt;&lt;IDText&gt;Ligot13a&lt;/IDText&gt;&lt;DisplayText&gt;Ligot&lt;style face="italic"&gt; et al.&lt;/style&gt; (2013a)&lt;/DisplayText&gt;&lt;record&gt;&lt;rec-number&gt;19&lt;/rec-number&gt;&lt;foreign-keys&gt;&lt;key app="EN" db-id="0px2fzdxhrpdrre2w5f5pdryx90atadrdavt" timestamp="1537786013"&gt;19&lt;/key&gt;&lt;/foreign-keys&gt;&lt;ref-type name="Journal Article"&gt;17&lt;/ref-type&gt;&lt;contributors&gt;&lt;authors&gt;&lt;author&gt;Ligot, Gauthier&lt;/author&gt;&lt;author&gt;Balandier, Philippe&lt;/author&gt;&lt;author&gt;Fayolle, Adeline&lt;/author&gt;&lt;author&gt;Lejeune, Philippe&lt;/author&gt;&lt;author&gt;Claessens, Hugues&lt;/author&gt;&lt;/authors&gt;&lt;/contributors&gt;&lt;titles&gt;&lt;title&gt;Height competition between Quercus petraea and Fagus sylvatica natural regeneration in mixed and uneven-aged stands&lt;/title&gt;&lt;secondary-title&gt;Forest Ecology and Management&lt;/secondary-title&gt;&lt;/titles&gt;&lt;periodical&gt;&lt;full-title&gt;Forest Ecology and Management&lt;/full-title&gt;&lt;/periodical&gt;&lt;pages&gt;391-398&lt;/pages&gt;&lt;volume&gt;304&lt;/volume&gt;&lt;keywords&gt;&lt;keyword&gt;Regeneration&lt;/keyword&gt;&lt;keyword&gt;Shade tolerance&lt;/keyword&gt;&lt;keyword&gt;Uneven-aged mixed deciduous stand&lt;/keyword&gt;&lt;keyword&gt;Forest dynamic&lt;/keyword&gt;&lt;keyword&gt;Continuous-cover forestry&lt;/keyword&gt;&lt;keyword&gt;Light&lt;/keyword&gt;&lt;/keywords&gt;&lt;dates&gt;&lt;year&gt;2013&lt;/year&gt;&lt;/dates&gt;&lt;isbn&gt;0378-1127&lt;/isbn&gt;&lt;label&gt;Ligot13a&lt;/label&gt;&lt;urls&gt;&lt;related-urls&gt;&lt;url&gt;http://www.sciencedirect.com/science/article/pii/S0378112713003496&lt;/url&gt;&lt;/related-urls&gt;&lt;/urls&gt;&lt;electronic-resource-num&gt;https://doi.org/10.1016/j.foreco.2013.05.050&lt;/electronic-resource-num&gt;&lt;/record&gt;&lt;/Cite&gt;&lt;/EndNote&gt;</w:instrText>
      </w:r>
      <w:r w:rsidR="006551F0" w:rsidRPr="008F6866">
        <w:fldChar w:fldCharType="separate"/>
      </w:r>
      <w:r w:rsidR="006201C6">
        <w:rPr>
          <w:noProof/>
        </w:rPr>
        <w:t>Ligot</w:t>
      </w:r>
      <w:r w:rsidR="006201C6" w:rsidRPr="006201C6">
        <w:rPr>
          <w:i/>
          <w:noProof/>
        </w:rPr>
        <w:t xml:space="preserve"> et al.</w:t>
      </w:r>
      <w:r w:rsidR="006201C6">
        <w:rPr>
          <w:noProof/>
        </w:rPr>
        <w:t xml:space="preserve"> (2013a)</w:t>
      </w:r>
      <w:r w:rsidR="006551F0" w:rsidRPr="008F6866">
        <w:fldChar w:fldCharType="end"/>
      </w:r>
      <w:r w:rsidRPr="008F6866">
        <w:rPr>
          <w:rFonts w:ascii="Calibri" w:eastAsia="Calibri" w:hAnsi="Calibri" w:cs="Calibri"/>
        </w:rPr>
        <w:t>. Finally, we collected data in 10 sites. In all sites, most poles were taller than 3 meters and smaller than 8 meters. 5 sites were established in beech-dominated pole clumps and 5 sites were established in oak-dominated pole clumps. In each site, 10-30 poles were selected and identified among the dominant poles without important defect (forks, wounds, …). The diameter at breast height (dbh) and the height were recorded for each pole. The selected trees were at least 4 meters apart. Additionally, a circular plot of about 50 poles (plot radius of 3-3.5 meters) was established in the middle of each studied clump (</w:t>
      </w:r>
      <w:r w:rsidR="003D3485" w:rsidRPr="008F6866">
        <w:rPr>
          <w:rFonts w:ascii="Calibri" w:eastAsia="Calibri" w:hAnsi="Calibri" w:cs="Calibri"/>
        </w:rPr>
        <w:fldChar w:fldCharType="begin"/>
      </w:r>
      <w:r w:rsidR="003D3485" w:rsidRPr="008F6866">
        <w:rPr>
          <w:rFonts w:ascii="Calibri" w:eastAsia="Calibri" w:hAnsi="Calibri" w:cs="Calibri"/>
        </w:rPr>
        <w:instrText xml:space="preserve"> REF _Ref195558598 \h  \* MERGEFORMAT </w:instrText>
      </w:r>
      <w:r w:rsidR="003D3485" w:rsidRPr="008F6866">
        <w:rPr>
          <w:rFonts w:ascii="Calibri" w:eastAsia="Calibri" w:hAnsi="Calibri" w:cs="Calibri"/>
        </w:rPr>
      </w:r>
      <w:r w:rsidR="003D3485" w:rsidRPr="008F6866">
        <w:rPr>
          <w:rFonts w:ascii="Calibri" w:eastAsia="Calibri" w:hAnsi="Calibri" w:cs="Calibri"/>
        </w:rPr>
        <w:fldChar w:fldCharType="separate"/>
      </w:r>
      <w:r w:rsidR="00540DBF" w:rsidRPr="00540DBF">
        <w:rPr>
          <w:rFonts w:ascii="Calibri" w:eastAsia="Calibri" w:hAnsi="Calibri" w:cs="Calibri"/>
        </w:rPr>
        <w:t>Figure 4</w:t>
      </w:r>
      <w:r w:rsidR="003D3485" w:rsidRPr="008F6866">
        <w:rPr>
          <w:rFonts w:ascii="Calibri" w:eastAsia="Calibri" w:hAnsi="Calibri" w:cs="Calibri"/>
        </w:rPr>
        <w:fldChar w:fldCharType="end"/>
      </w:r>
      <w:r w:rsidRPr="008F6866">
        <w:rPr>
          <w:rFonts w:ascii="Calibri" w:eastAsia="Calibri" w:hAnsi="Calibri" w:cs="Calibri"/>
        </w:rPr>
        <w:t>). These measurements were conducted during the winters of 2012-2013, 2014-2015, 2016-2017, 2021-2022 and 2023-2024.</w:t>
      </w:r>
    </w:p>
    <w:p w14:paraId="7BF31310" w14:textId="2DF689B8" w:rsidR="003D3485" w:rsidRPr="008F6866" w:rsidRDefault="003D3485" w:rsidP="00414E2C">
      <w:pPr>
        <w:spacing w:after="120" w:line="300" w:lineRule="auto"/>
        <w:jc w:val="both"/>
        <w:rPr>
          <w:rFonts w:ascii="Calibri" w:eastAsia="Calibri" w:hAnsi="Calibri" w:cs="Calibri"/>
        </w:rPr>
      </w:pPr>
      <w:r w:rsidRPr="008F6866">
        <w:rPr>
          <w:rFonts w:ascii="Calibri" w:eastAsia="Calibri" w:hAnsi="Calibri" w:cs="Calibri"/>
        </w:rPr>
        <w:t xml:space="preserve">As planned, additional measurements were performed during the winter of 2022-2023. The trees around the studied pole clumps were measured. These trees were last mapped and measured in 2013 </w:t>
      </w:r>
      <w:r w:rsidRPr="008F6866">
        <w:rPr>
          <w:rFonts w:ascii="Calibri" w:eastAsia="Calibri" w:hAnsi="Calibri" w:cs="Calibri"/>
        </w:rPr>
        <w:lastRenderedPageBreak/>
        <w:t>(</w:t>
      </w:r>
      <w:r w:rsidR="001727D9" w:rsidRPr="008F6866">
        <w:rPr>
          <w:rFonts w:ascii="Calibri" w:eastAsia="Calibri" w:hAnsi="Calibri" w:cs="Calibri"/>
        </w:rPr>
        <w:fldChar w:fldCharType="begin"/>
      </w:r>
      <w:r w:rsidR="001727D9" w:rsidRPr="008F6866">
        <w:rPr>
          <w:rFonts w:ascii="Calibri" w:eastAsia="Calibri" w:hAnsi="Calibri" w:cs="Calibri"/>
        </w:rPr>
        <w:instrText xml:space="preserve"> REF _Ref195558799 \h  \* MERGEFORMAT </w:instrText>
      </w:r>
      <w:r w:rsidR="001727D9" w:rsidRPr="008F6866">
        <w:rPr>
          <w:rFonts w:ascii="Calibri" w:eastAsia="Calibri" w:hAnsi="Calibri" w:cs="Calibri"/>
        </w:rPr>
      </w:r>
      <w:r w:rsidR="001727D9" w:rsidRPr="008F6866">
        <w:rPr>
          <w:rFonts w:ascii="Calibri" w:eastAsia="Calibri" w:hAnsi="Calibri" w:cs="Calibri"/>
        </w:rPr>
        <w:fldChar w:fldCharType="separate"/>
      </w:r>
      <w:r w:rsidR="00540DBF" w:rsidRPr="00540DBF">
        <w:rPr>
          <w:rFonts w:ascii="Calibri" w:eastAsia="Calibri" w:hAnsi="Calibri" w:cs="Calibri"/>
        </w:rPr>
        <w:t>Figure 5</w:t>
      </w:r>
      <w:r w:rsidR="001727D9" w:rsidRPr="008F6866">
        <w:rPr>
          <w:rFonts w:ascii="Calibri" w:eastAsia="Calibri" w:hAnsi="Calibri" w:cs="Calibri"/>
        </w:rPr>
        <w:fldChar w:fldCharType="end"/>
      </w:r>
      <w:r w:rsidRPr="008F6866">
        <w:rPr>
          <w:rFonts w:ascii="Calibri" w:eastAsia="Calibri" w:hAnsi="Calibri" w:cs="Calibri"/>
        </w:rPr>
        <w:t>). Since then, the trees have grown and, more importantly, some of them have been harvested. Therefore, the competitive environments around the pole clumps have changed. As we aim to use this dataset to model pole growth and mortality in response to the competitive environment (e.g. as function of the amount of intercepted light,</w:t>
      </w:r>
      <w:r w:rsidR="001727D9" w:rsidRPr="008F6866">
        <w:rPr>
          <w:rFonts w:ascii="Calibri" w:eastAsia="Calibri" w:hAnsi="Calibri" w:cs="Calibri"/>
        </w:rPr>
        <w:t xml:space="preserve"> </w:t>
      </w:r>
      <w:r w:rsidR="001727D9" w:rsidRPr="008F6866">
        <w:rPr>
          <w:rFonts w:ascii="Calibri" w:eastAsia="Calibri" w:hAnsi="Calibri" w:cs="Calibri"/>
        </w:rPr>
        <w:fldChar w:fldCharType="begin"/>
      </w:r>
      <w:r w:rsidR="001727D9" w:rsidRPr="008F6866">
        <w:rPr>
          <w:rFonts w:ascii="Calibri" w:eastAsia="Calibri" w:hAnsi="Calibri" w:cs="Calibri"/>
        </w:rPr>
        <w:instrText xml:space="preserve"> REF _Ref195558799 \h  \* MERGEFORMAT </w:instrText>
      </w:r>
      <w:r w:rsidR="001727D9" w:rsidRPr="008F6866">
        <w:rPr>
          <w:rFonts w:ascii="Calibri" w:eastAsia="Calibri" w:hAnsi="Calibri" w:cs="Calibri"/>
        </w:rPr>
      </w:r>
      <w:r w:rsidR="001727D9" w:rsidRPr="008F6866">
        <w:rPr>
          <w:rFonts w:ascii="Calibri" w:eastAsia="Calibri" w:hAnsi="Calibri" w:cs="Calibri"/>
        </w:rPr>
        <w:fldChar w:fldCharType="separate"/>
      </w:r>
      <w:r w:rsidR="00540DBF" w:rsidRPr="00540DBF">
        <w:rPr>
          <w:rFonts w:ascii="Calibri" w:eastAsia="Calibri" w:hAnsi="Calibri" w:cs="Calibri"/>
        </w:rPr>
        <w:t>Figure 5</w:t>
      </w:r>
      <w:r w:rsidR="001727D9" w:rsidRPr="008F6866">
        <w:rPr>
          <w:rFonts w:ascii="Calibri" w:eastAsia="Calibri" w:hAnsi="Calibri" w:cs="Calibri"/>
        </w:rPr>
        <w:fldChar w:fldCharType="end"/>
      </w:r>
      <w:r w:rsidRPr="008F6866">
        <w:rPr>
          <w:rFonts w:ascii="Calibri" w:eastAsia="Calibri" w:hAnsi="Calibri" w:cs="Calibri"/>
        </w:rPr>
        <w:t>), it was important to update the measurements.  Every tree with a girth larger than 40 cm and within less than 20 meters from the studied pole clumps (or from the fence) were mapped and measured. The studied identified poles as well as plot centres were also mapped.</w:t>
      </w:r>
    </w:p>
    <w:p w14:paraId="1BA22630" w14:textId="3532FAFD" w:rsidR="006551F0" w:rsidRPr="008F6866" w:rsidRDefault="006551F0" w:rsidP="003D3485">
      <w:pPr>
        <w:keepNext/>
        <w:pBdr>
          <w:top w:val="nil"/>
          <w:left w:val="nil"/>
          <w:bottom w:val="nil"/>
          <w:right w:val="nil"/>
          <w:between w:val="nil"/>
        </w:pBdr>
        <w:spacing w:after="0"/>
        <w:jc w:val="center"/>
      </w:pPr>
      <w:r w:rsidRPr="008F6866">
        <w:rPr>
          <w:b/>
          <w:noProof/>
        </w:rPr>
        <w:drawing>
          <wp:inline distT="114300" distB="114300" distL="114300" distR="114300" wp14:anchorId="6B2682C6" wp14:editId="7631BA59">
            <wp:extent cx="4038600" cy="3031545"/>
            <wp:effectExtent l="0" t="0" r="0" b="0"/>
            <wp:docPr id="206168098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4041752" cy="3033911"/>
                    </a:xfrm>
                    <a:prstGeom prst="rect">
                      <a:avLst/>
                    </a:prstGeom>
                    <a:ln/>
                  </pic:spPr>
                </pic:pic>
              </a:graphicData>
            </a:graphic>
          </wp:inline>
        </w:drawing>
      </w:r>
    </w:p>
    <w:p w14:paraId="7FD37BBF" w14:textId="494ADE05" w:rsidR="003D3485" w:rsidRPr="008F6866" w:rsidRDefault="003D3485" w:rsidP="003D3485">
      <w:pPr>
        <w:pStyle w:val="Lgende"/>
        <w:jc w:val="center"/>
        <w:rPr>
          <w:b/>
          <w:i w:val="0"/>
          <w:color w:val="000000" w:themeColor="text1"/>
          <w:sz w:val="20"/>
          <w:szCs w:val="20"/>
        </w:rPr>
      </w:pPr>
      <w:bookmarkStart w:id="13" w:name="_Ref195558598"/>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4</w:t>
      </w:r>
      <w:r w:rsidRPr="008F6866">
        <w:rPr>
          <w:b/>
          <w:i w:val="0"/>
          <w:color w:val="000000" w:themeColor="text1"/>
          <w:sz w:val="20"/>
          <w:szCs w:val="20"/>
        </w:rPr>
        <w:fldChar w:fldCharType="end"/>
      </w:r>
      <w:bookmarkEnd w:id="13"/>
      <w:r w:rsidRPr="008F6866">
        <w:rPr>
          <w:b/>
          <w:i w:val="0"/>
          <w:color w:val="000000" w:themeColor="text1"/>
          <w:sz w:val="20"/>
          <w:szCs w:val="20"/>
        </w:rPr>
        <w:t>. Monitored oak-dominated clumps. The poles with a blue mark are located within the circular plots and the poles with a yellow mark and a plastic tag are the dominant selected poles</w:t>
      </w:r>
    </w:p>
    <w:p w14:paraId="06EC6D9B" w14:textId="77777777" w:rsidR="00414E2C" w:rsidRPr="008F6866" w:rsidRDefault="00414E2C" w:rsidP="00414E2C">
      <w:pPr>
        <w:spacing w:after="0" w:line="300" w:lineRule="auto"/>
        <w:rPr>
          <w:lang w:eastAsia="fr-BE"/>
        </w:rPr>
      </w:pPr>
    </w:p>
    <w:p w14:paraId="1B30F9FD" w14:textId="312B7854" w:rsidR="006551F0" w:rsidRPr="008F6866" w:rsidRDefault="006551F0" w:rsidP="006551F0">
      <w:pPr>
        <w:keepNext/>
        <w:spacing w:after="120"/>
        <w:jc w:val="center"/>
        <w:rPr>
          <w:rFonts w:ascii="Calibri" w:eastAsia="Calibri" w:hAnsi="Calibri" w:cs="Calibri"/>
        </w:rPr>
      </w:pPr>
      <w:bookmarkStart w:id="14" w:name="_heading=h.2p2csry"/>
      <w:bookmarkEnd w:id="14"/>
      <w:r w:rsidRPr="008F6866">
        <w:rPr>
          <w:noProof/>
        </w:rPr>
        <w:drawing>
          <wp:inline distT="114300" distB="114300" distL="114300" distR="114300" wp14:anchorId="58066980" wp14:editId="7A838941">
            <wp:extent cx="3067050" cy="1914525"/>
            <wp:effectExtent l="0" t="0" r="0" b="9525"/>
            <wp:docPr id="206168098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6"/>
                    <a:srcRect/>
                    <a:stretch>
                      <a:fillRect/>
                    </a:stretch>
                  </pic:blipFill>
                  <pic:spPr>
                    <a:xfrm>
                      <a:off x="0" y="0"/>
                      <a:ext cx="3067050" cy="1914525"/>
                    </a:xfrm>
                    <a:prstGeom prst="rect">
                      <a:avLst/>
                    </a:prstGeom>
                    <a:ln/>
                  </pic:spPr>
                </pic:pic>
              </a:graphicData>
            </a:graphic>
          </wp:inline>
        </w:drawing>
      </w:r>
      <w:r w:rsidR="002667FA">
        <w:rPr>
          <w:rFonts w:ascii="Calibri" w:eastAsia="Calibri" w:hAnsi="Calibri" w:cs="Calibri"/>
        </w:rPr>
        <w:t xml:space="preserve">  </w:t>
      </w:r>
      <w:r w:rsidRPr="008F6866">
        <w:rPr>
          <w:noProof/>
        </w:rPr>
        <w:drawing>
          <wp:inline distT="114300" distB="114300" distL="114300" distR="114300" wp14:anchorId="67A806B2" wp14:editId="3415CFB4">
            <wp:extent cx="2428875" cy="2009775"/>
            <wp:effectExtent l="0" t="0" r="0" b="0"/>
            <wp:docPr id="206168098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2428875" cy="2009775"/>
                    </a:xfrm>
                    <a:prstGeom prst="rect">
                      <a:avLst/>
                    </a:prstGeom>
                    <a:ln/>
                  </pic:spPr>
                </pic:pic>
              </a:graphicData>
            </a:graphic>
          </wp:inline>
        </w:drawing>
      </w:r>
    </w:p>
    <w:p w14:paraId="1AD9E632" w14:textId="31FEBA4C" w:rsidR="00414E2C" w:rsidRPr="00FA7189" w:rsidRDefault="003D3485" w:rsidP="00FA7189">
      <w:pPr>
        <w:pStyle w:val="Lgende"/>
        <w:jc w:val="center"/>
        <w:rPr>
          <w:b/>
          <w:i w:val="0"/>
          <w:color w:val="000000" w:themeColor="text1"/>
          <w:sz w:val="20"/>
          <w:szCs w:val="20"/>
        </w:rPr>
      </w:pPr>
      <w:bookmarkStart w:id="15" w:name="_Ref195558799"/>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5</w:t>
      </w:r>
      <w:r w:rsidRPr="008F6866">
        <w:rPr>
          <w:b/>
          <w:i w:val="0"/>
          <w:color w:val="000000" w:themeColor="text1"/>
          <w:sz w:val="20"/>
          <w:szCs w:val="20"/>
        </w:rPr>
        <w:fldChar w:fldCharType="end"/>
      </w:r>
      <w:bookmarkEnd w:id="15"/>
      <w:r w:rsidRPr="008F6866">
        <w:rPr>
          <w:b/>
          <w:i w:val="0"/>
          <w:color w:val="000000" w:themeColor="text1"/>
          <w:sz w:val="20"/>
          <w:szCs w:val="20"/>
        </w:rPr>
        <w:t>. The trees around studied regeneration were mapped and measured. These measurements are used to build 3D mock-ups of the stand to compute the amount of light that is available for each tree, pole and seedling</w:t>
      </w:r>
      <w:bookmarkStart w:id="16" w:name="_heading=h.147n2zr"/>
      <w:bookmarkEnd w:id="16"/>
    </w:p>
    <w:p w14:paraId="2EAE2D25" w14:textId="37358270" w:rsidR="006551F0" w:rsidRPr="008F6866" w:rsidRDefault="006551F0" w:rsidP="006551F0">
      <w:pPr>
        <w:pBdr>
          <w:top w:val="nil"/>
          <w:left w:val="nil"/>
          <w:bottom w:val="nil"/>
          <w:right w:val="nil"/>
          <w:between w:val="nil"/>
        </w:pBdr>
        <w:spacing w:after="60"/>
        <w:rPr>
          <w:rFonts w:ascii="Calibri" w:eastAsia="Calibri" w:hAnsi="Calibri" w:cs="Calibri"/>
          <w:b/>
        </w:rPr>
      </w:pPr>
      <w:r w:rsidRPr="008F6866">
        <w:rPr>
          <w:rFonts w:ascii="Calibri" w:eastAsia="Calibri" w:hAnsi="Calibri" w:cs="Calibri"/>
          <w:b/>
          <w:i/>
        </w:rPr>
        <w:t>In situ</w:t>
      </w:r>
      <w:r w:rsidRPr="008F6866">
        <w:rPr>
          <w:rFonts w:ascii="Calibri" w:eastAsia="Calibri" w:hAnsi="Calibri" w:cs="Calibri"/>
          <w:b/>
        </w:rPr>
        <w:t xml:space="preserve"> monitoring of regeneration dynamics in coniferous forests</w:t>
      </w:r>
    </w:p>
    <w:p w14:paraId="334818D3" w14:textId="3F0F40B6" w:rsidR="003D6327" w:rsidRPr="008F6866" w:rsidRDefault="36E2585C" w:rsidP="00BA460E">
      <w:pPr>
        <w:pBdr>
          <w:top w:val="nil"/>
          <w:left w:val="nil"/>
          <w:bottom w:val="nil"/>
          <w:right w:val="nil"/>
          <w:between w:val="nil"/>
        </w:pBdr>
        <w:spacing w:after="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 xml:space="preserve">In coniferous forests, the natural regeneration has been monitored since 2015 in the Belgian Ardennes within 108 plots installed at 9 sites. Though the monitoring of this network of plots is funded by another project, the collected data was used by the REGE+ project. During the winter of 2021-2022 </w:t>
      </w:r>
      <w:r w:rsidRPr="008F6866">
        <w:rPr>
          <w:rFonts w:ascii="Calibri" w:eastAsia="Calibri" w:hAnsi="Calibri" w:cs="Calibri"/>
          <w:color w:val="000000" w:themeColor="text1"/>
        </w:rPr>
        <w:lastRenderedPageBreak/>
        <w:t xml:space="preserve">and 2023-2024, all the plots of this network were monitored as planned. With this data, it is therefore now possible to compute regeneration dynamics parameters in the understory of coniferous stands over a valuable </w:t>
      </w:r>
      <w:r w:rsidRPr="008F6866">
        <w:rPr>
          <w:rFonts w:ascii="Calibri" w:eastAsia="Calibri" w:hAnsi="Calibri" w:cs="Calibri"/>
        </w:rPr>
        <w:t>8</w:t>
      </w:r>
      <w:r w:rsidRPr="008F6866">
        <w:rPr>
          <w:rFonts w:ascii="Calibri" w:eastAsia="Calibri" w:hAnsi="Calibri" w:cs="Calibri"/>
          <w:color w:val="000000" w:themeColor="text1"/>
        </w:rPr>
        <w:t>-year period.</w:t>
      </w:r>
    </w:p>
    <w:p w14:paraId="2B0696FF" w14:textId="77777777" w:rsidR="00414E2C" w:rsidRPr="008F6866" w:rsidRDefault="00414E2C" w:rsidP="00414E2C">
      <w:pPr>
        <w:pBdr>
          <w:top w:val="nil"/>
          <w:left w:val="nil"/>
          <w:bottom w:val="nil"/>
          <w:right w:val="nil"/>
          <w:between w:val="nil"/>
        </w:pBdr>
        <w:spacing w:after="0" w:line="300" w:lineRule="auto"/>
        <w:jc w:val="both"/>
        <w:rPr>
          <w:rFonts w:ascii="Calibri" w:eastAsia="Calibri" w:hAnsi="Calibri" w:cs="Calibri"/>
          <w:color w:val="000000"/>
          <w:sz w:val="24"/>
          <w:szCs w:val="24"/>
        </w:rPr>
      </w:pPr>
    </w:p>
    <w:p w14:paraId="12D9EE18" w14:textId="77777777" w:rsidR="006551F0" w:rsidRPr="008F6866" w:rsidRDefault="006551F0" w:rsidP="006551F0">
      <w:pPr>
        <w:pBdr>
          <w:top w:val="nil"/>
          <w:left w:val="nil"/>
          <w:bottom w:val="nil"/>
          <w:right w:val="nil"/>
          <w:between w:val="nil"/>
        </w:pBdr>
        <w:spacing w:after="60"/>
        <w:rPr>
          <w:rFonts w:ascii="Calibri" w:eastAsia="Calibri" w:hAnsi="Calibri" w:cs="Calibri"/>
          <w:b/>
        </w:rPr>
      </w:pPr>
      <w:r w:rsidRPr="008F6866">
        <w:rPr>
          <w:rFonts w:ascii="Calibri" w:eastAsia="Calibri" w:hAnsi="Calibri" w:cs="Calibri"/>
          <w:b/>
          <w:i/>
        </w:rPr>
        <w:t>In situ</w:t>
      </w:r>
      <w:r w:rsidRPr="008F6866">
        <w:rPr>
          <w:rFonts w:ascii="Calibri" w:eastAsia="Calibri" w:hAnsi="Calibri" w:cs="Calibri"/>
          <w:b/>
        </w:rPr>
        <w:t xml:space="preserve"> monitoring of ungulate damage on regeneration</w:t>
      </w:r>
    </w:p>
    <w:p w14:paraId="4D8FC93D" w14:textId="54F3646B" w:rsidR="006551F0" w:rsidRPr="008F6866" w:rsidRDefault="36E2585C" w:rsidP="39707634">
      <w:pPr>
        <w:pBdr>
          <w:top w:val="nil"/>
          <w:left w:val="nil"/>
          <w:bottom w:val="nil"/>
          <w:right w:val="nil"/>
          <w:between w:val="nil"/>
        </w:pBdr>
        <w:spacing w:after="120" w:line="300" w:lineRule="auto"/>
        <w:jc w:val="both"/>
        <w:rPr>
          <w:rFonts w:ascii="Calibri" w:eastAsia="Calibri" w:hAnsi="Calibri" w:cs="Calibri"/>
        </w:rPr>
      </w:pPr>
      <w:r w:rsidRPr="008F6866">
        <w:rPr>
          <w:rFonts w:ascii="Calibri" w:eastAsia="Calibri" w:hAnsi="Calibri" w:cs="Calibri"/>
        </w:rPr>
        <w:t>Species-specific browsing damage by ungulates have been monitored in a vast network of pairs of fenced and unfenced plots. 971 pairs of plots were installed in 2016, 734 pairs of plots were measured until 2021 by the “Département de la Nature et des Forêts” (DNF, SPW) and supervised by the “Département de l’Etude du Milieu Naturel et Agricole” (DEMNA, SPW) and Gembloux Agro-bio Tech (ULiège). Pairs of fenced/unfenced plots have been mostly settled in broadleaved forests managed with continuous cover forestry system (493 pairs of plots). Some plots were also installed in coniferous and mixed stands (190 pairs of plots), and in clearcuts (26). All plots were installed where the conditions were assumed (by the field operators) favourable for a good development of the natural regeneration.</w:t>
      </w:r>
    </w:p>
    <w:p w14:paraId="2027FDAE" w14:textId="77777777" w:rsidR="006551F0" w:rsidRPr="008F6866" w:rsidRDefault="39CFF0FF" w:rsidP="007D7167">
      <w:pPr>
        <w:pBdr>
          <w:top w:val="nil"/>
          <w:left w:val="nil"/>
          <w:bottom w:val="nil"/>
          <w:right w:val="nil"/>
          <w:between w:val="nil"/>
        </w:pBdr>
        <w:spacing w:after="120" w:line="300" w:lineRule="auto"/>
        <w:jc w:val="both"/>
        <w:rPr>
          <w:rFonts w:ascii="Calibri" w:eastAsia="Calibri" w:hAnsi="Calibri" w:cs="Calibri"/>
        </w:rPr>
      </w:pPr>
      <w:r w:rsidRPr="008F6866">
        <w:rPr>
          <w:rFonts w:ascii="Calibri" w:eastAsia="Calibri" w:hAnsi="Calibri" w:cs="Calibri"/>
        </w:rPr>
        <w:t xml:space="preserve">In the 6-m² plots, the operators measured the height of the 5 tallest saplings of one or two main target species, the height of the 10 tallest saplings of the other species, the height of the 4 tallest individuals of </w:t>
      </w:r>
      <w:r w:rsidRPr="008F6866">
        <w:rPr>
          <w:rFonts w:ascii="Calibri" w:eastAsia="Calibri" w:hAnsi="Calibri" w:cs="Calibri"/>
          <w:i/>
          <w:iCs/>
        </w:rPr>
        <w:t xml:space="preserve">Vaccinium myrtillus </w:t>
      </w:r>
      <w:r w:rsidRPr="008F6866">
        <w:rPr>
          <w:rFonts w:ascii="Calibri" w:eastAsia="Calibri" w:hAnsi="Calibri" w:cs="Calibri"/>
        </w:rPr>
        <w:t xml:space="preserve">or </w:t>
      </w:r>
      <w:r w:rsidRPr="008F6866">
        <w:rPr>
          <w:rFonts w:ascii="Calibri" w:eastAsia="Calibri" w:hAnsi="Calibri" w:cs="Calibri"/>
          <w:i/>
          <w:iCs/>
        </w:rPr>
        <w:t>Rubus ideaus</w:t>
      </w:r>
      <w:r w:rsidRPr="008F6866">
        <w:rPr>
          <w:rFonts w:ascii="Calibri" w:eastAsia="Calibri" w:hAnsi="Calibri" w:cs="Calibri"/>
        </w:rPr>
        <w:t>, sapling density, the number of saplings of each species, and ground vegetation cover. For each plot, the abundance of ungulates was estimated with culling statistics and red deer population estimates (carried out by the DEMNA).</w:t>
      </w:r>
    </w:p>
    <w:p w14:paraId="393BD1DB" w14:textId="6DAE7A08" w:rsidR="006551F0" w:rsidRPr="008F6866" w:rsidRDefault="39CFF0FF" w:rsidP="007D7167">
      <w:pPr>
        <w:pBdr>
          <w:top w:val="nil"/>
          <w:left w:val="nil"/>
          <w:bottom w:val="nil"/>
          <w:right w:val="nil"/>
          <w:between w:val="nil"/>
        </w:pBdr>
        <w:spacing w:after="120" w:line="300" w:lineRule="auto"/>
        <w:jc w:val="both"/>
        <w:rPr>
          <w:rFonts w:ascii="Calibri" w:eastAsia="Calibri" w:hAnsi="Calibri" w:cs="Calibri"/>
        </w:rPr>
      </w:pPr>
      <w:r w:rsidRPr="008F6866">
        <w:rPr>
          <w:rFonts w:ascii="Calibri" w:eastAsia="Calibri" w:hAnsi="Calibri" w:cs="Calibri"/>
        </w:rPr>
        <w:t>In addition, it appeared important to collect additional and more detailed observations of browsing effects on individual seedlings. These measurements aimed to model the probability of a seedling to be browsed as a function of seedlings size, species, and environmental conditions and to estimate the annual amount of biomass consumed by ungulate per browsed seedling. The additional measurements were carried out in more than 100 unfenced plots scattered across 3 forests with contrasted ungulate densities, in 2022. In each plot, 4 seedlings were sampled per height class (]10-60], ]60-120] and ]120-180] cm) of each present species. The height and collar diameter were measured for all these sampled seedlings. For each seedling, the apical shoots and 5 lateral shoots were also measured. We measured their length, the diameter at shoot lower part, the height at shoot lower part. We also recorded whether each of these shoots had been browsed. Additionally, the surrounding environmental conditions were assessed. We measured the basal area of the surrounding trees as well as the vegetation cover of bramble, the proportion of browsed bramble stems</w:t>
      </w:r>
      <w:r w:rsidR="001727D9" w:rsidRPr="008F6866">
        <w:rPr>
          <w:rFonts w:ascii="Calibri" w:eastAsia="Calibri" w:hAnsi="Calibri" w:cs="Calibri"/>
        </w:rPr>
        <w:t xml:space="preserve"> </w:t>
      </w:r>
      <w:r w:rsidR="006551F0" w:rsidRPr="008F6866">
        <w:fldChar w:fldCharType="begin">
          <w:fldData xml:space="preserve">PEVuZE5vdGU+PENpdGU+PEF1dGhvcj5Cb3VsYW5nZXI8L0F1dGhvcj48WWVhcj4yMDEwPC9ZZWFy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</w:fldData>
        </w:fldChar>
      </w:r>
      <w:r w:rsidR="00CC7A85">
        <w:instrText xml:space="preserve"> ADDIN EN.CITE </w:instrText>
      </w:r>
      <w:r w:rsidR="00CC7A85">
        <w:fldChar w:fldCharType="begin">
          <w:fldData xml:space="preserve">PEVuZE5vdGU+PENpdGU+PEF1dGhvcj5Cb3VsYW5nZXI8L0F1dGhvcj48WWVhcj4yMDEwPC9ZZWFy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</w:fldData>
        </w:fldChar>
      </w:r>
      <w:r w:rsidR="00CC7A85">
        <w:instrText xml:space="preserve"> ADDIN EN.CITE.DATA </w:instrText>
      </w:r>
      <w:r w:rsidR="00CC7A85">
        <w:fldChar w:fldCharType="end"/>
      </w:r>
      <w:r w:rsidR="006551F0" w:rsidRPr="008F6866">
        <w:fldChar w:fldCharType="separate"/>
      </w:r>
      <w:r w:rsidR="00CC7A85">
        <w:rPr>
          <w:noProof/>
        </w:rPr>
        <w:t>(Boulanger, 2010)</w:t>
      </w:r>
      <w:r w:rsidR="006551F0" w:rsidRPr="008F6866">
        <w:fldChar w:fldCharType="end"/>
      </w:r>
      <w:r w:rsidRPr="008F6866">
        <w:rPr>
          <w:rFonts w:ascii="Calibri" w:eastAsia="Calibri" w:hAnsi="Calibri" w:cs="Calibri"/>
        </w:rPr>
        <w:t xml:space="preserve"> and the density of ungulate faeces as a proxy of local ungulate density.  This work was mainly performed by Mérilie Diacre during her Master thesis</w:t>
      </w:r>
      <w:r w:rsidR="001727D9" w:rsidRPr="008F6866">
        <w:rPr>
          <w:rFonts w:ascii="Calibri" w:eastAsia="Calibri" w:hAnsi="Calibri" w:cs="Calibri"/>
        </w:rPr>
        <w:t xml:space="preserve"> </w:t>
      </w:r>
      <w:r w:rsidR="006551F0" w:rsidRPr="008F6866">
        <w:fldChar w:fldCharType="begin"/>
      </w:r>
      <w:r w:rsidR="00CC7A85">
        <w:instrText xml:space="preserve"> ADDIN EN.CITE &lt;EndNote&gt;&lt;Cite&gt;&lt;Author&gt;Diacre&lt;/Author&gt;&lt;Year&gt;2022&lt;/Year&gt;&lt;RecNum&gt;335&lt;/RecNum&gt;&lt;IDText&gt;Diacre22&lt;/IDText&gt;&lt;DisplayText&gt;(Diacre, 2022)&lt;/DisplayText&gt;&lt;record&gt;&lt;rec-number&gt;335&lt;/rec-number&gt;&lt;foreign-keys&gt;&lt;key app="EN" db-id="0px2fzdxhrpdrre2w5f5pdryx90atadrdavt" timestamp="1713811809"&gt;335&lt;/key&gt;&lt;/foreign-keys&gt;&lt;ref-type name="Thesis"&gt;32&lt;/ref-type&gt;&lt;contributors&gt;&lt;authors&gt;&lt;author&gt;Diacre, M.&lt;/author&gt;&lt;/authors&gt;&lt;/contributors&gt;&lt;titles&gt;&lt;title&gt;Quantification et modélisation de l&amp;apos;appétence des semis des principales essences ligneuses pour les ongulés&lt;/title&gt;&lt;/titles&gt;&lt;pages&gt;36p&lt;/pages&gt;&lt;dates&gt;&lt;year&gt;2022&lt;/year&gt;&lt;/dates&gt;&lt;pub-location&gt;Gembloux&lt;/pub-location&gt;&lt;publisher&gt;Liège Université - Gembloux Agro-Bio Tech&lt;/publisher&gt;&lt;label&gt;Diacre22&lt;/label&gt;&lt;work-type&gt;Master Thesis&lt;/work-type&gt;&lt;urls&gt;&lt;/urls&gt;&lt;/record&gt;&lt;/Cite&gt;&lt;/EndNote&gt;</w:instrText>
      </w:r>
      <w:r w:rsidR="006551F0" w:rsidRPr="008F6866">
        <w:fldChar w:fldCharType="separate"/>
      </w:r>
      <w:r w:rsidR="00CC7A85">
        <w:rPr>
          <w:noProof/>
        </w:rPr>
        <w:t>(Diacre, 2022)</w:t>
      </w:r>
      <w:r w:rsidR="006551F0" w:rsidRPr="008F6866">
        <w:fldChar w:fldCharType="end"/>
      </w:r>
      <w:r w:rsidRPr="008F6866">
        <w:rPr>
          <w:rFonts w:ascii="Calibri" w:eastAsia="Calibri" w:hAnsi="Calibri" w:cs="Calibri"/>
        </w:rPr>
        <w:t>.</w:t>
      </w:r>
    </w:p>
    <w:p w14:paraId="46EE89A3" w14:textId="6F550878" w:rsidR="006551F0" w:rsidRPr="008F6866" w:rsidRDefault="006551F0" w:rsidP="006F0712">
      <w:pPr>
        <w:rPr>
          <w:rFonts w:ascii="Calibri" w:eastAsia="Calibri" w:hAnsi="Calibri" w:cs="Calibri"/>
        </w:rPr>
      </w:pPr>
      <w:r w:rsidRPr="008F6866">
        <w:rPr>
          <w:rFonts w:ascii="Calibri" w:eastAsia="Calibri" w:hAnsi="Calibri" w:cs="Calibri"/>
        </w:rPr>
        <w:t>These datasets were used to:</w:t>
      </w:r>
    </w:p>
    <w:p w14:paraId="48230C34" w14:textId="77777777" w:rsidR="006551F0" w:rsidRPr="008F6866" w:rsidRDefault="006551F0" w:rsidP="001727D9">
      <w:pPr>
        <w:numPr>
          <w:ilvl w:val="0"/>
          <w:numId w:val="5"/>
        </w:numPr>
        <w:pBdr>
          <w:top w:val="nil"/>
          <w:left w:val="nil"/>
          <w:bottom w:val="nil"/>
          <w:right w:val="nil"/>
          <w:between w:val="nil"/>
        </w:pBdr>
        <w:spacing w:after="0" w:line="300" w:lineRule="auto"/>
        <w:ind w:hanging="360"/>
        <w:jc w:val="both"/>
        <w:rPr>
          <w:rFonts w:ascii="Calibri" w:eastAsia="Calibri" w:hAnsi="Calibri" w:cs="Calibri"/>
          <w:color w:val="000000"/>
        </w:rPr>
      </w:pPr>
      <w:r w:rsidRPr="008F6866">
        <w:rPr>
          <w:rFonts w:ascii="Calibri" w:eastAsia="Calibri" w:hAnsi="Calibri" w:cs="Calibri"/>
          <w:color w:val="000000"/>
        </w:rPr>
        <w:t>Quantify the effect of browsing on regeneration height and biomass with descriptive statistics.</w:t>
      </w:r>
    </w:p>
    <w:p w14:paraId="03980681" w14:textId="77777777" w:rsidR="006551F0" w:rsidRPr="008F6866" w:rsidRDefault="006551F0" w:rsidP="001727D9">
      <w:pPr>
        <w:numPr>
          <w:ilvl w:val="0"/>
          <w:numId w:val="5"/>
        </w:numPr>
        <w:pBdr>
          <w:top w:val="nil"/>
          <w:left w:val="nil"/>
          <w:bottom w:val="nil"/>
          <w:right w:val="nil"/>
          <w:between w:val="nil"/>
        </w:pBdr>
        <w:spacing w:after="0" w:line="300" w:lineRule="auto"/>
        <w:ind w:hanging="360"/>
        <w:jc w:val="both"/>
        <w:rPr>
          <w:rFonts w:ascii="Calibri" w:eastAsia="Calibri" w:hAnsi="Calibri" w:cs="Calibri"/>
          <w:color w:val="000000"/>
        </w:rPr>
      </w:pPr>
      <w:r w:rsidRPr="008F6866">
        <w:rPr>
          <w:rFonts w:ascii="Calibri" w:eastAsia="Calibri" w:hAnsi="Calibri" w:cs="Calibri"/>
          <w:color w:val="000000"/>
        </w:rPr>
        <w:t>Model the effect of browsing on regeneration height and biomass with statistical models.</w:t>
      </w:r>
    </w:p>
    <w:p w14:paraId="7A3E2DA5" w14:textId="77777777" w:rsidR="006551F0" w:rsidRPr="008F6866" w:rsidRDefault="006551F0" w:rsidP="001727D9">
      <w:pPr>
        <w:numPr>
          <w:ilvl w:val="0"/>
          <w:numId w:val="5"/>
        </w:numPr>
        <w:pBdr>
          <w:top w:val="nil"/>
          <w:left w:val="nil"/>
          <w:bottom w:val="nil"/>
          <w:right w:val="nil"/>
          <w:between w:val="nil"/>
        </w:pBdr>
        <w:spacing w:after="0" w:line="300" w:lineRule="auto"/>
        <w:ind w:left="771" w:hanging="357"/>
        <w:jc w:val="both"/>
        <w:rPr>
          <w:rFonts w:ascii="Calibri" w:eastAsia="Calibri" w:hAnsi="Calibri" w:cs="Calibri"/>
          <w:color w:val="000000"/>
        </w:rPr>
      </w:pPr>
      <w:r w:rsidRPr="008F6866">
        <w:rPr>
          <w:rFonts w:ascii="Calibri" w:eastAsia="Calibri" w:hAnsi="Calibri" w:cs="Calibri"/>
          <w:color w:val="000000"/>
        </w:rPr>
        <w:t xml:space="preserve">Quantify the effect of browsing on seedling architecture and biomass. </w:t>
      </w:r>
    </w:p>
    <w:p w14:paraId="4D8B36BB" w14:textId="77777777" w:rsidR="007D7167" w:rsidRPr="008F6866" w:rsidRDefault="007D7167" w:rsidP="007D7167">
      <w:pPr>
        <w:pBdr>
          <w:top w:val="nil"/>
          <w:left w:val="nil"/>
          <w:bottom w:val="nil"/>
          <w:right w:val="nil"/>
          <w:between w:val="nil"/>
        </w:pBdr>
        <w:spacing w:after="0"/>
        <w:jc w:val="both"/>
        <w:rPr>
          <w:rFonts w:ascii="Calibri" w:eastAsia="Calibri" w:hAnsi="Calibri" w:cs="Calibri"/>
        </w:rPr>
      </w:pPr>
    </w:p>
    <w:p w14:paraId="3E6A0848" w14:textId="51214D65" w:rsidR="006551F0" w:rsidRPr="008F6866" w:rsidRDefault="006551F0" w:rsidP="00EC58A3">
      <w:pPr>
        <w:pBdr>
          <w:top w:val="nil"/>
          <w:left w:val="nil"/>
          <w:bottom w:val="nil"/>
          <w:right w:val="nil"/>
          <w:between w:val="nil"/>
        </w:pBdr>
        <w:spacing w:after="0"/>
        <w:jc w:val="both"/>
        <w:rPr>
          <w:rFonts w:ascii="Calibri" w:eastAsia="Calibri" w:hAnsi="Calibri" w:cs="Calibri"/>
        </w:rPr>
      </w:pPr>
      <w:r w:rsidRPr="008F6866">
        <w:rPr>
          <w:rFonts w:ascii="Calibri" w:eastAsia="Calibri" w:hAnsi="Calibri" w:cs="Calibri"/>
        </w:rPr>
        <w:t xml:space="preserve">The results of these analyses are presented </w:t>
      </w:r>
      <w:r w:rsidR="007D7167" w:rsidRPr="008F6866">
        <w:rPr>
          <w:rFonts w:ascii="Calibri" w:eastAsia="Calibri" w:hAnsi="Calibri" w:cs="Calibri"/>
        </w:rPr>
        <w:t>below in Section 4</w:t>
      </w:r>
      <w:r w:rsidRPr="008F6866">
        <w:rPr>
          <w:rFonts w:ascii="Calibri" w:eastAsia="Calibri" w:hAnsi="Calibri" w:cs="Calibri"/>
        </w:rPr>
        <w:t>.</w:t>
      </w:r>
    </w:p>
    <w:p w14:paraId="05A30BF0" w14:textId="77777777" w:rsidR="007D7167" w:rsidRPr="008F6866" w:rsidRDefault="007D7167" w:rsidP="007D7167">
      <w:pPr>
        <w:pBdr>
          <w:top w:val="nil"/>
          <w:left w:val="nil"/>
          <w:bottom w:val="nil"/>
          <w:right w:val="nil"/>
          <w:between w:val="nil"/>
        </w:pBdr>
        <w:spacing w:after="0"/>
        <w:jc w:val="both"/>
        <w:rPr>
          <w:rFonts w:ascii="Calibri" w:eastAsia="Calibri" w:hAnsi="Calibri" w:cs="Calibri"/>
        </w:rPr>
      </w:pPr>
    </w:p>
    <w:p w14:paraId="32FEAB85" w14:textId="77777777" w:rsidR="006551F0" w:rsidRPr="008F6866" w:rsidRDefault="006551F0" w:rsidP="006551F0">
      <w:pPr>
        <w:pBdr>
          <w:top w:val="nil"/>
          <w:left w:val="nil"/>
          <w:bottom w:val="nil"/>
          <w:right w:val="nil"/>
          <w:between w:val="nil"/>
        </w:pBdr>
        <w:spacing w:after="60"/>
        <w:rPr>
          <w:rFonts w:ascii="Calibri" w:eastAsia="Calibri" w:hAnsi="Calibri" w:cs="Calibri"/>
          <w:color w:val="000000"/>
        </w:rPr>
      </w:pPr>
      <w:r w:rsidRPr="008F6866">
        <w:rPr>
          <w:rFonts w:ascii="Calibri" w:eastAsia="Calibri" w:hAnsi="Calibri" w:cs="Calibri"/>
          <w:b/>
          <w:color w:val="000000"/>
        </w:rPr>
        <w:lastRenderedPageBreak/>
        <w:t>Rainfall limitation experiment</w:t>
      </w:r>
    </w:p>
    <w:p w14:paraId="774076CE" w14:textId="430CF1F1" w:rsidR="006551F0" w:rsidRPr="008F6866" w:rsidRDefault="00EC58A3" w:rsidP="00EC58A3">
      <w:pPr>
        <w:spacing w:line="300" w:lineRule="auto"/>
        <w:jc w:val="both"/>
        <w:rPr>
          <w:rFonts w:ascii="Calibri" w:eastAsia="Calibri" w:hAnsi="Calibri" w:cs="Calibri"/>
          <w:color w:val="000000"/>
        </w:rPr>
      </w:pPr>
      <w:r w:rsidRPr="008F6866">
        <w:rPr>
          <w:rFonts w:ascii="Calibri" w:eastAsia="Calibri" w:hAnsi="Calibri" w:cs="Calibri"/>
          <w:color w:val="000000" w:themeColor="text1"/>
        </w:rPr>
        <w:t>To</w:t>
      </w:r>
      <w:r w:rsidR="39CFF0FF" w:rsidRPr="008F6866">
        <w:rPr>
          <w:rFonts w:ascii="Calibri" w:eastAsia="Calibri" w:hAnsi="Calibri" w:cs="Calibri"/>
          <w:color w:val="000000" w:themeColor="text1"/>
        </w:rPr>
        <w:t xml:space="preserve"> investigate and quantify the effects of climate changes and, in particular, of drought on seedling development, an </w:t>
      </w:r>
      <w:r w:rsidR="39CFF0FF" w:rsidRPr="008F6866">
        <w:rPr>
          <w:rFonts w:ascii="Calibri" w:eastAsia="Calibri" w:hAnsi="Calibri" w:cs="Calibri"/>
          <w:i/>
          <w:iCs/>
          <w:color w:val="000000" w:themeColor="text1"/>
        </w:rPr>
        <w:t>in situ</w:t>
      </w:r>
      <w:r w:rsidR="39CFF0FF" w:rsidRPr="008F6866">
        <w:rPr>
          <w:rFonts w:ascii="Calibri" w:eastAsia="Calibri" w:hAnsi="Calibri" w:cs="Calibri"/>
          <w:color w:val="000000" w:themeColor="text1"/>
        </w:rPr>
        <w:t xml:space="preserve"> rainfall limitation experiment was conducted in regeneration patches of the Lauzelle wood (Louvain-la-Neuve, Belgium). This forest </w:t>
      </w:r>
      <w:r w:rsidR="007D7167" w:rsidRPr="008F6866">
        <w:rPr>
          <w:rFonts w:ascii="Calibri" w:eastAsia="Calibri" w:hAnsi="Calibri" w:cs="Calibri"/>
          <w:color w:val="000000" w:themeColor="text1"/>
        </w:rPr>
        <w:t xml:space="preserve">presented </w:t>
      </w:r>
      <w:r w:rsidR="39CFF0FF" w:rsidRPr="008F6866">
        <w:rPr>
          <w:rFonts w:ascii="Calibri" w:eastAsia="Calibri" w:hAnsi="Calibri" w:cs="Calibri"/>
          <w:color w:val="000000" w:themeColor="text1"/>
        </w:rPr>
        <w:t xml:space="preserve">patches with well-established oak and beech regeneration in which experimental zones (blocks) were set up. Each experimental zone </w:t>
      </w:r>
      <w:r w:rsidR="0042124B" w:rsidRPr="008F6866">
        <w:rPr>
          <w:rFonts w:ascii="Calibri" w:eastAsia="Calibri" w:hAnsi="Calibri" w:cs="Calibri"/>
          <w:color w:val="000000" w:themeColor="text1"/>
        </w:rPr>
        <w:t xml:space="preserve">consisted </w:t>
      </w:r>
      <w:r w:rsidR="39CFF0FF" w:rsidRPr="008F6866">
        <w:rPr>
          <w:rFonts w:ascii="Calibri" w:eastAsia="Calibri" w:hAnsi="Calibri" w:cs="Calibri"/>
          <w:color w:val="000000" w:themeColor="text1"/>
        </w:rPr>
        <w:t xml:space="preserve">into (i) a ‘treatment unit’ subject to artificial drought and (ii) a ‘control unit’ receiving natural throughfall (i.e., no artificial interception). In the treatment unit, drought </w:t>
      </w:r>
      <w:r w:rsidR="0042124B" w:rsidRPr="008F6866">
        <w:rPr>
          <w:rFonts w:ascii="Calibri" w:eastAsia="Calibri" w:hAnsi="Calibri" w:cs="Calibri"/>
          <w:color w:val="000000" w:themeColor="text1"/>
        </w:rPr>
        <w:t xml:space="preserve">was </w:t>
      </w:r>
      <w:r w:rsidR="39CFF0FF" w:rsidRPr="008F6866">
        <w:rPr>
          <w:rFonts w:ascii="Calibri" w:eastAsia="Calibri" w:hAnsi="Calibri" w:cs="Calibri"/>
          <w:color w:val="000000" w:themeColor="text1"/>
        </w:rPr>
        <w:t xml:space="preserve">induced through the installation of a partially covered roof (4 x 4 m horizontal area) consisting of 25 cm wide transparent plastic strips spaced 12.5 cm apart (i.e., 2/3 covered area). The roof </w:t>
      </w:r>
      <w:r w:rsidR="0042124B" w:rsidRPr="008F6866">
        <w:rPr>
          <w:rFonts w:ascii="Calibri" w:eastAsia="Calibri" w:hAnsi="Calibri" w:cs="Calibri"/>
          <w:color w:val="000000" w:themeColor="text1"/>
        </w:rPr>
        <w:t xml:space="preserve">was </w:t>
      </w:r>
      <w:r w:rsidR="39CFF0FF" w:rsidRPr="008F6866">
        <w:rPr>
          <w:rFonts w:ascii="Calibri" w:eastAsia="Calibri" w:hAnsi="Calibri" w:cs="Calibri"/>
          <w:color w:val="000000" w:themeColor="text1"/>
        </w:rPr>
        <w:t>around 1.5 m and 2.5 m high at its lowest and highest sides, respectively, and was adjusted depending on the height of the seedlings underneath it. Besides, a plastic sheet was inserted vertically in the ground to a depth of 40 cm at the periphery of the roof to avoid lateral transfers of water between the soil subject to natural throughfall and the soil under the roof (</w:t>
      </w:r>
      <w:r w:rsidR="007D7167" w:rsidRPr="008F6866">
        <w:rPr>
          <w:rFonts w:ascii="Calibri" w:eastAsia="Calibri" w:hAnsi="Calibri" w:cs="Calibri"/>
          <w:color w:val="000000" w:themeColor="text1"/>
        </w:rPr>
        <w:fldChar w:fldCharType="begin"/>
      </w:r>
      <w:r w:rsidR="007D7167" w:rsidRPr="008F6866">
        <w:rPr>
          <w:rFonts w:ascii="Calibri" w:eastAsia="Calibri" w:hAnsi="Calibri" w:cs="Calibri"/>
          <w:color w:val="000000" w:themeColor="text1"/>
        </w:rPr>
        <w:instrText xml:space="preserve"> REF _Ref195560354 \h  \* MERGEFORMAT </w:instrText>
      </w:r>
      <w:r w:rsidR="007D7167" w:rsidRPr="008F6866">
        <w:rPr>
          <w:rFonts w:ascii="Calibri" w:eastAsia="Calibri" w:hAnsi="Calibri" w:cs="Calibri"/>
          <w:color w:val="000000" w:themeColor="text1"/>
        </w:rPr>
      </w:r>
      <w:r w:rsidR="007D7167"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Figure 6</w:t>
      </w:r>
      <w:r w:rsidR="007D7167" w:rsidRPr="008F6866">
        <w:rPr>
          <w:rFonts w:ascii="Calibri" w:eastAsia="Calibri" w:hAnsi="Calibri" w:cs="Calibri"/>
          <w:color w:val="000000" w:themeColor="text1"/>
        </w:rPr>
        <w:fldChar w:fldCharType="end"/>
      </w:r>
      <w:r w:rsidR="39CFF0FF" w:rsidRPr="008F6866">
        <w:rPr>
          <w:rFonts w:ascii="Calibri" w:eastAsia="Calibri" w:hAnsi="Calibri" w:cs="Calibri"/>
          <w:color w:val="000000" w:themeColor="text1"/>
        </w:rPr>
        <w:t>). The control unit (2 x 2 m area) was delimited in the proximity of the roof: not too close to avoid an influence of the roof on the throughfall reaching the control unit area neither too far to stay in the same environmental conditions, especially with regards to light, soil and water supply. Such experimental zones were replicated three times for each considered species (sessile oak and European beech), resulting in a total of six experimental zones (blocks).</w:t>
      </w:r>
    </w:p>
    <w:p w14:paraId="7F1AA38F" w14:textId="072E3029" w:rsidR="006551F0" w:rsidRPr="008F6866" w:rsidRDefault="006551F0" w:rsidP="007D7167">
      <w:pPr>
        <w:keepNext/>
        <w:spacing w:after="0"/>
        <w:jc w:val="center"/>
      </w:pPr>
      <w:r w:rsidRPr="008F6866">
        <w:rPr>
          <w:noProof/>
        </w:rPr>
        <w:drawing>
          <wp:inline distT="0" distB="0" distL="0" distR="0" wp14:anchorId="43CDFB97" wp14:editId="59BB2465">
            <wp:extent cx="4371059" cy="3276600"/>
            <wp:effectExtent l="0" t="0" r="0" b="0"/>
            <wp:docPr id="2061680985" name="image30.jpg" descr="https://www.regeplus.be/files/uploads/2021/08/RainfallExper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descr="https://www.regeplus.be/files/uploads/2021/08/RainfallExperiment.jpg"/>
                    <pic:cNvPicPr preferRelativeResize="0"/>
                  </pic:nvPicPr>
                  <pic:blipFill>
                    <a:blip r:embed="rId28"/>
                    <a:srcRect/>
                    <a:stretch>
                      <a:fillRect/>
                    </a:stretch>
                  </pic:blipFill>
                  <pic:spPr>
                    <a:xfrm>
                      <a:off x="0" y="0"/>
                      <a:ext cx="4377769" cy="3281630"/>
                    </a:xfrm>
                    <a:prstGeom prst="rect">
                      <a:avLst/>
                    </a:prstGeom>
                    <a:ln/>
                  </pic:spPr>
                </pic:pic>
              </a:graphicData>
            </a:graphic>
          </wp:inline>
        </w:drawing>
      </w:r>
    </w:p>
    <w:p w14:paraId="11FA4FF1" w14:textId="5EB39202" w:rsidR="007D7167" w:rsidRPr="008F6866" w:rsidRDefault="007D7167" w:rsidP="007D7167">
      <w:pPr>
        <w:pStyle w:val="Lgende"/>
        <w:jc w:val="center"/>
        <w:rPr>
          <w:b/>
          <w:i w:val="0"/>
          <w:color w:val="000000" w:themeColor="text1"/>
          <w:sz w:val="20"/>
          <w:szCs w:val="20"/>
        </w:rPr>
      </w:pPr>
      <w:bookmarkStart w:id="17" w:name="_Ref195560354"/>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6</w:t>
      </w:r>
      <w:r w:rsidRPr="008F6866">
        <w:rPr>
          <w:b/>
          <w:i w:val="0"/>
          <w:color w:val="000000" w:themeColor="text1"/>
          <w:sz w:val="20"/>
          <w:szCs w:val="20"/>
        </w:rPr>
        <w:fldChar w:fldCharType="end"/>
      </w:r>
      <w:bookmarkEnd w:id="17"/>
      <w:r w:rsidRPr="008F6866">
        <w:rPr>
          <w:b/>
          <w:i w:val="0"/>
          <w:color w:val="000000" w:themeColor="text1"/>
          <w:sz w:val="20"/>
          <w:szCs w:val="20"/>
        </w:rPr>
        <w:t>. Partially covered roof installed above seedlings to induce artificial drought</w:t>
      </w:r>
    </w:p>
    <w:p w14:paraId="098F819F" w14:textId="4EF20857" w:rsidR="006551F0" w:rsidRPr="008F6866" w:rsidRDefault="39CFF0FF" w:rsidP="00B14EBB">
      <w:pPr>
        <w:spacing w:after="120" w:line="300" w:lineRule="auto"/>
        <w:jc w:val="both"/>
        <w:rPr>
          <w:rFonts w:ascii="Calibri" w:eastAsia="Calibri" w:hAnsi="Calibri" w:cs="Calibri"/>
          <w:color w:val="000000"/>
        </w:rPr>
      </w:pPr>
      <w:r w:rsidRPr="008F6866">
        <w:rPr>
          <w:rFonts w:ascii="Calibri" w:eastAsia="Calibri" w:hAnsi="Calibri" w:cs="Calibri"/>
          <w:color w:val="000000" w:themeColor="text1"/>
        </w:rPr>
        <w:t xml:space="preserve">Measurements </w:t>
      </w:r>
      <w:r w:rsidR="0042124B" w:rsidRPr="008F6866">
        <w:rPr>
          <w:rFonts w:ascii="Calibri" w:eastAsia="Calibri" w:hAnsi="Calibri" w:cs="Calibri"/>
          <w:color w:val="000000" w:themeColor="text1"/>
        </w:rPr>
        <w:t xml:space="preserve">were </w:t>
      </w:r>
      <w:r w:rsidRPr="008F6866">
        <w:rPr>
          <w:rFonts w:ascii="Calibri" w:eastAsia="Calibri" w:hAnsi="Calibri" w:cs="Calibri"/>
          <w:color w:val="000000" w:themeColor="text1"/>
        </w:rPr>
        <w:t xml:space="preserve">carried out on seedlings over the complete area of the ‘control’ units (2 x 2 m) and over the central 2 x 2 m area of the ‘treatment’ units, considering thereby a 1 m wide peripheral buffer zone in this latter case. A set of 32 seedlings was selected in each of the 12 experimental units, covering the encountered height range and evenly distributed over the 0-25 cm, 25-50 cm, 50-100 cm, 100-150 cm and &gt;150 cm height classes. These seedlings were labelled with a unique identifier and seedling height and collar diameter </w:t>
      </w:r>
      <w:r w:rsidR="0042124B" w:rsidRPr="008F6866">
        <w:rPr>
          <w:rFonts w:ascii="Calibri" w:eastAsia="Calibri" w:hAnsi="Calibri" w:cs="Calibri"/>
          <w:color w:val="000000" w:themeColor="text1"/>
        </w:rPr>
        <w:t xml:space="preserve">were </w:t>
      </w:r>
      <w:r w:rsidRPr="008F6866">
        <w:rPr>
          <w:rFonts w:ascii="Calibri" w:eastAsia="Calibri" w:hAnsi="Calibri" w:cs="Calibri"/>
          <w:color w:val="000000" w:themeColor="text1"/>
        </w:rPr>
        <w:t xml:space="preserve">measured on each of these selected individuals. Besides, complete counting of the alive and dead seedlings is carried out in each experimental unit. These </w:t>
      </w:r>
      <w:r w:rsidRPr="008F6866">
        <w:rPr>
          <w:rFonts w:ascii="Calibri" w:eastAsia="Calibri" w:hAnsi="Calibri" w:cs="Calibri"/>
          <w:color w:val="000000" w:themeColor="text1"/>
        </w:rPr>
        <w:lastRenderedPageBreak/>
        <w:t>observations were performed at setup installation (March 2021) as well as in March 2022, January 2023 and February 2024. Furthermore, since summer 2022, shoot increment, corresponding to the elongation of the apical shoot during the vegetation period, was also measured for each of the 32 selected seedlings in the experimental units. Indeed, shoot increment appear</w:t>
      </w:r>
      <w:r w:rsidR="00944B20" w:rsidRPr="008F6866">
        <w:rPr>
          <w:rFonts w:ascii="Calibri" w:eastAsia="Calibri" w:hAnsi="Calibri" w:cs="Calibri"/>
          <w:color w:val="000000" w:themeColor="text1"/>
        </w:rPr>
        <w:t>ed</w:t>
      </w:r>
      <w:r w:rsidRPr="008F6866">
        <w:rPr>
          <w:rFonts w:ascii="Calibri" w:eastAsia="Calibri" w:hAnsi="Calibri" w:cs="Calibri"/>
          <w:color w:val="000000" w:themeColor="text1"/>
        </w:rPr>
        <w:t xml:space="preserve"> to be a more relevant measure than total height</w:t>
      </w:r>
      <w:r w:rsidR="00944B20" w:rsidRPr="008F6866">
        <w:rPr>
          <w:rFonts w:ascii="Calibri" w:eastAsia="Calibri" w:hAnsi="Calibri" w:cs="Calibri"/>
          <w:color w:val="000000" w:themeColor="text1"/>
        </w:rPr>
        <w:t xml:space="preserve"> and collar diameter</w:t>
      </w:r>
      <w:r w:rsidRPr="008F6866">
        <w:rPr>
          <w:rFonts w:ascii="Calibri" w:eastAsia="Calibri" w:hAnsi="Calibri" w:cs="Calibri"/>
          <w:color w:val="000000" w:themeColor="text1"/>
        </w:rPr>
        <w:t xml:space="preserve"> to quantify seedling growth given the larger inaccuracies associated with </w:t>
      </w:r>
      <w:r w:rsidR="00944B20" w:rsidRPr="008F6866">
        <w:rPr>
          <w:rFonts w:ascii="Calibri" w:eastAsia="Calibri" w:hAnsi="Calibri" w:cs="Calibri"/>
          <w:color w:val="000000" w:themeColor="text1"/>
        </w:rPr>
        <w:t xml:space="preserve">the latter </w:t>
      </w:r>
      <w:r w:rsidRPr="008F6866">
        <w:rPr>
          <w:rFonts w:ascii="Calibri" w:eastAsia="Calibri" w:hAnsi="Calibri" w:cs="Calibri"/>
          <w:color w:val="000000" w:themeColor="text1"/>
        </w:rPr>
        <w:t>measurement</w:t>
      </w:r>
      <w:r w:rsidR="00944B20" w:rsidRPr="008F6866">
        <w:rPr>
          <w:rFonts w:ascii="Calibri" w:eastAsia="Calibri" w:hAnsi="Calibri" w:cs="Calibri"/>
          <w:color w:val="000000" w:themeColor="text1"/>
        </w:rPr>
        <w:t>s</w:t>
      </w:r>
      <w:r w:rsidRPr="008F6866">
        <w:rPr>
          <w:rFonts w:ascii="Calibri" w:eastAsia="Calibri" w:hAnsi="Calibri" w:cs="Calibri"/>
          <w:color w:val="000000" w:themeColor="text1"/>
        </w:rPr>
        <w:t>. Moreover,</w:t>
      </w:r>
      <w:r w:rsidR="00944B20" w:rsidRPr="008F6866">
        <w:rPr>
          <w:rFonts w:ascii="Calibri" w:eastAsia="Calibri" w:hAnsi="Calibri" w:cs="Calibri"/>
          <w:color w:val="000000" w:themeColor="text1"/>
        </w:rPr>
        <w:t xml:space="preserve"> so as to gain information on the variation of the growth dynamics during the vegetation period,</w:t>
      </w:r>
      <w:r w:rsidRPr="008F6866">
        <w:rPr>
          <w:rFonts w:ascii="Calibri" w:eastAsia="Calibri" w:hAnsi="Calibri" w:cs="Calibri"/>
          <w:color w:val="000000" w:themeColor="text1"/>
        </w:rPr>
        <w:t xml:space="preserve"> shoot increment measurements were carried out in July and December</w:t>
      </w:r>
      <w:r w:rsidR="00944B20" w:rsidRPr="008F6866">
        <w:rPr>
          <w:rFonts w:ascii="Calibri" w:eastAsia="Calibri" w:hAnsi="Calibri" w:cs="Calibri"/>
          <w:color w:val="000000" w:themeColor="text1"/>
        </w:rPr>
        <w:t xml:space="preserve"> in 2022 and 2023 and in May and December </w:t>
      </w:r>
      <w:r w:rsidR="0042213B" w:rsidRPr="008F6866">
        <w:rPr>
          <w:rFonts w:ascii="Calibri" w:eastAsia="Calibri" w:hAnsi="Calibri" w:cs="Calibri"/>
          <w:color w:val="000000" w:themeColor="text1"/>
        </w:rPr>
        <w:t>in 2024</w:t>
      </w:r>
      <w:r w:rsidRPr="008F6866">
        <w:rPr>
          <w:rFonts w:ascii="Calibri" w:eastAsia="Calibri" w:hAnsi="Calibri" w:cs="Calibri"/>
          <w:color w:val="000000" w:themeColor="text1"/>
        </w:rPr>
        <w:t>. Finally, shoot increment could also be determined for the year 2021 given the presence of scarfs on the seedling stems delimiting the growth periods and allowing thereby to go back in time.</w:t>
      </w:r>
      <w:r w:rsidR="006633A2" w:rsidRPr="008F6866">
        <w:rPr>
          <w:rFonts w:ascii="Calibri" w:eastAsia="Calibri" w:hAnsi="Calibri" w:cs="Calibri"/>
          <w:color w:val="000000" w:themeColor="text1"/>
        </w:rPr>
        <w:t xml:space="preserve"> Shoot increment was found to be highly correlated with both total height and collar diameter increments (see Section 4.2) and, for the sake of efficiency, </w:t>
      </w:r>
      <w:r w:rsidR="001C1E22" w:rsidRPr="008F6866">
        <w:rPr>
          <w:rFonts w:ascii="Calibri" w:eastAsia="Calibri" w:hAnsi="Calibri" w:cs="Calibri"/>
          <w:color w:val="000000" w:themeColor="text1"/>
        </w:rPr>
        <w:t xml:space="preserve">total height and collar diameter were not measured during winter 2024-2025. </w:t>
      </w:r>
    </w:p>
    <w:p w14:paraId="616C5A7F" w14:textId="07D56258" w:rsidR="006551F0" w:rsidRPr="008F6866" w:rsidRDefault="39CFF0FF" w:rsidP="00B14EBB">
      <w:pPr>
        <w:spacing w:after="120" w:line="300" w:lineRule="auto"/>
        <w:jc w:val="both"/>
        <w:rPr>
          <w:rFonts w:ascii="Calibri" w:eastAsia="Calibri" w:hAnsi="Calibri" w:cs="Calibri"/>
          <w:color w:val="000000"/>
        </w:rPr>
      </w:pPr>
      <w:r w:rsidRPr="008F6866">
        <w:rPr>
          <w:rFonts w:ascii="Calibri" w:eastAsia="Calibri" w:hAnsi="Calibri" w:cs="Calibri"/>
          <w:color w:val="000000" w:themeColor="text1"/>
        </w:rPr>
        <w:t xml:space="preserve">Besides, soil water content within the upper 30 cm soil layers and temperature at soil surface </w:t>
      </w:r>
      <w:r w:rsidR="006633A2" w:rsidRPr="008F6866">
        <w:rPr>
          <w:rFonts w:ascii="Calibri" w:eastAsia="Calibri" w:hAnsi="Calibri" w:cs="Calibri"/>
          <w:color w:val="000000" w:themeColor="text1"/>
        </w:rPr>
        <w:t xml:space="preserve">were </w:t>
      </w:r>
      <w:r w:rsidRPr="008F6866">
        <w:rPr>
          <w:rFonts w:ascii="Calibri" w:eastAsia="Calibri" w:hAnsi="Calibri" w:cs="Calibri"/>
          <w:color w:val="000000" w:themeColor="text1"/>
        </w:rPr>
        <w:t xml:space="preserve">continuously monitored in each experimental unit using, respectively, </w:t>
      </w:r>
      <w:r w:rsidR="00FE695B" w:rsidRPr="008F6866">
        <w:rPr>
          <w:rFonts w:ascii="Calibri" w:eastAsia="Calibri" w:hAnsi="Calibri" w:cs="Calibri"/>
          <w:color w:val="000000" w:themeColor="text1"/>
        </w:rPr>
        <w:t xml:space="preserve">frequency </w:t>
      </w:r>
      <w:r w:rsidRPr="008F6866">
        <w:rPr>
          <w:rFonts w:ascii="Calibri" w:eastAsia="Calibri" w:hAnsi="Calibri" w:cs="Calibri"/>
          <w:color w:val="000000" w:themeColor="text1"/>
        </w:rPr>
        <w:t>domain reflectometry (</w:t>
      </w:r>
      <w:r w:rsidR="00FE695B" w:rsidRPr="008F6866">
        <w:rPr>
          <w:rFonts w:ascii="Calibri" w:eastAsia="Calibri" w:hAnsi="Calibri" w:cs="Calibri"/>
          <w:color w:val="000000" w:themeColor="text1"/>
        </w:rPr>
        <w:t>F</w:t>
      </w:r>
      <w:r w:rsidRPr="008F6866">
        <w:rPr>
          <w:rFonts w:ascii="Calibri" w:eastAsia="Calibri" w:hAnsi="Calibri" w:cs="Calibri"/>
          <w:color w:val="000000" w:themeColor="text1"/>
        </w:rPr>
        <w:t>DR) and thermistor sensors.</w:t>
      </w:r>
    </w:p>
    <w:p w14:paraId="14D89AA6" w14:textId="4205C83D" w:rsidR="006551F0" w:rsidRPr="008F6866" w:rsidRDefault="39CFF0FF" w:rsidP="00B14EBB">
      <w:pPr>
        <w:spacing w:after="120" w:line="300" w:lineRule="auto"/>
        <w:jc w:val="both"/>
        <w:rPr>
          <w:rFonts w:ascii="Calibri" w:eastAsia="Calibri" w:hAnsi="Calibri" w:cs="Calibri"/>
          <w:color w:val="000000"/>
        </w:rPr>
      </w:pPr>
      <w:r w:rsidRPr="008F6866">
        <w:rPr>
          <w:rFonts w:ascii="Calibri" w:eastAsia="Calibri" w:hAnsi="Calibri" w:cs="Calibri"/>
          <w:color w:val="000000" w:themeColor="text1"/>
        </w:rPr>
        <w:t xml:space="preserve">During the summer of 2022, these measurements were completed by the acquisition of physiological data </w:t>
      </w:r>
      <w:r w:rsidR="00F03550" w:rsidRPr="008F6866">
        <w:rPr>
          <w:rFonts w:ascii="Calibri" w:eastAsia="Calibri" w:hAnsi="Calibri" w:cs="Calibri"/>
          <w:color w:val="000000" w:themeColor="text1"/>
        </w:rPr>
        <w:t>to</w:t>
      </w:r>
      <w:r w:rsidRPr="008F6866">
        <w:rPr>
          <w:rFonts w:ascii="Calibri" w:eastAsia="Calibri" w:hAnsi="Calibri" w:cs="Calibri"/>
          <w:color w:val="000000" w:themeColor="text1"/>
        </w:rPr>
        <w:t xml:space="preserve"> monitor the hydrodynamics of the seedlings and to study its dependence on the soil water status. Leaf water potential and stomatal conductance of seedlings were regularly measured using a Scholander bomb and a porometer, respectively. Moreover, one of the beech experimental zones has been equipped with psychrometers and tensiometers for more intensive monitoring of the stem and soil water potentials. Photosynthetically active radiation (PAR) sensors have also been installed in this zone. </w:t>
      </w:r>
      <w:r w:rsidRPr="008F6866">
        <w:rPr>
          <w:rFonts w:ascii="Calibri" w:eastAsia="Calibri" w:hAnsi="Calibri" w:cs="Calibri"/>
        </w:rPr>
        <w:t xml:space="preserve">Both PAR and soil water potential </w:t>
      </w:r>
      <w:r w:rsidR="00FE695B" w:rsidRPr="008F6866">
        <w:rPr>
          <w:rFonts w:ascii="Calibri" w:eastAsia="Calibri" w:hAnsi="Calibri" w:cs="Calibri"/>
        </w:rPr>
        <w:t xml:space="preserve">were monitored </w:t>
      </w:r>
      <w:r w:rsidRPr="008F6866">
        <w:rPr>
          <w:rFonts w:ascii="Calibri" w:eastAsia="Calibri" w:hAnsi="Calibri" w:cs="Calibri"/>
        </w:rPr>
        <w:t xml:space="preserve">continuously </w:t>
      </w:r>
      <w:r w:rsidR="00FE695B" w:rsidRPr="008F6866">
        <w:rPr>
          <w:rFonts w:ascii="Calibri" w:eastAsia="Calibri" w:hAnsi="Calibri" w:cs="Calibri"/>
        </w:rPr>
        <w:t>from</w:t>
      </w:r>
      <w:r w:rsidRPr="008F6866">
        <w:rPr>
          <w:rFonts w:ascii="Calibri" w:eastAsia="Calibri" w:hAnsi="Calibri" w:cs="Calibri"/>
        </w:rPr>
        <w:t xml:space="preserve"> June 2022, while stem water potential measurements were not </w:t>
      </w:r>
      <w:r w:rsidR="00FE695B" w:rsidRPr="008F6866">
        <w:rPr>
          <w:rFonts w:ascii="Calibri" w:eastAsia="Calibri" w:hAnsi="Calibri" w:cs="Calibri"/>
        </w:rPr>
        <w:t>repeated after 2022</w:t>
      </w:r>
      <w:r w:rsidRPr="008F6866">
        <w:rPr>
          <w:rFonts w:ascii="Calibri" w:eastAsia="Calibri" w:hAnsi="Calibri" w:cs="Calibri"/>
        </w:rPr>
        <w:t>.</w:t>
      </w:r>
    </w:p>
    <w:p w14:paraId="39211E6F" w14:textId="7CE1036E" w:rsidR="006551F0" w:rsidRPr="008F6866" w:rsidRDefault="39CFF0FF" w:rsidP="0037073A">
      <w:pPr>
        <w:spacing w:after="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In addition, all trees with trunk circumference larger than 15 cm within a radius of 30 m of each experimental zone were measured (trunk circumference, total height, crown base height, height of largest crown extension, crown radii in the four cardinal directions) and mapped. These data enable</w:t>
      </w:r>
      <w:r w:rsidR="008C4469" w:rsidRPr="008F6866">
        <w:rPr>
          <w:rFonts w:ascii="Calibri" w:eastAsia="Calibri" w:hAnsi="Calibri" w:cs="Calibri"/>
          <w:color w:val="000000" w:themeColor="text1"/>
        </w:rPr>
        <w:t>d</w:t>
      </w:r>
      <w:r w:rsidRPr="008F6866">
        <w:rPr>
          <w:rFonts w:ascii="Calibri" w:eastAsia="Calibri" w:hAnsi="Calibri" w:cs="Calibri"/>
          <w:color w:val="000000" w:themeColor="text1"/>
        </w:rPr>
        <w:t xml:space="preserve"> the initialization of the HETEROFOR model. This </w:t>
      </w:r>
      <w:r w:rsidR="008C4469" w:rsidRPr="008F6866">
        <w:rPr>
          <w:rFonts w:ascii="Calibri" w:eastAsia="Calibri" w:hAnsi="Calibri" w:cs="Calibri"/>
          <w:color w:val="000000" w:themeColor="text1"/>
        </w:rPr>
        <w:t xml:space="preserve">was </w:t>
      </w:r>
      <w:r w:rsidRPr="008F6866">
        <w:rPr>
          <w:rFonts w:ascii="Calibri" w:eastAsia="Calibri" w:hAnsi="Calibri" w:cs="Calibri"/>
          <w:color w:val="000000" w:themeColor="text1"/>
        </w:rPr>
        <w:t>notably useful to characterize the light environment of each experimental zone based on the outputs of the radiative balance module of the model, but it also allow</w:t>
      </w:r>
      <w:r w:rsidR="008C4469" w:rsidRPr="008F6866">
        <w:rPr>
          <w:rFonts w:ascii="Calibri" w:eastAsia="Calibri" w:hAnsi="Calibri" w:cs="Calibri"/>
          <w:color w:val="000000" w:themeColor="text1"/>
        </w:rPr>
        <w:t>ed</w:t>
      </w:r>
      <w:r w:rsidRPr="008F6866">
        <w:rPr>
          <w:rFonts w:ascii="Calibri" w:eastAsia="Calibri" w:hAnsi="Calibri" w:cs="Calibri"/>
          <w:color w:val="000000" w:themeColor="text1"/>
        </w:rPr>
        <w:t xml:space="preserve"> to validate the parametrization of the regeneration module by comparing seedling growth and mortality measurements to corresponding values predicted by the model. In other respects, hemispherical photographs were taken above each experimental unit during the vegetation period </w:t>
      </w:r>
      <w:r w:rsidR="00B02C43" w:rsidRPr="008F6866">
        <w:rPr>
          <w:rFonts w:ascii="Calibri" w:eastAsia="Calibri" w:hAnsi="Calibri" w:cs="Calibri"/>
          <w:color w:val="000000" w:themeColor="text1"/>
        </w:rPr>
        <w:t>to</w:t>
      </w:r>
      <w:r w:rsidRPr="008F6866">
        <w:rPr>
          <w:rFonts w:ascii="Calibri" w:eastAsia="Calibri" w:hAnsi="Calibri" w:cs="Calibri"/>
          <w:color w:val="000000" w:themeColor="text1"/>
        </w:rPr>
        <w:t xml:space="preserve"> further characterize their light environment. Finally, seedling biomass measurements were carried out on individuals sampled in the surroundings of each experimental zone.</w:t>
      </w:r>
    </w:p>
    <w:p w14:paraId="5507295C" w14:textId="77777777" w:rsidR="00B14EBB" w:rsidRPr="008F6866" w:rsidRDefault="00B14EBB" w:rsidP="00B14EBB">
      <w:pPr>
        <w:spacing w:after="0" w:line="300" w:lineRule="auto"/>
        <w:jc w:val="both"/>
        <w:rPr>
          <w:rFonts w:ascii="Calibri" w:eastAsia="Calibri" w:hAnsi="Calibri" w:cs="Calibri"/>
          <w:color w:val="000000"/>
        </w:rPr>
      </w:pPr>
    </w:p>
    <w:p w14:paraId="46995187" w14:textId="77777777" w:rsidR="006551F0" w:rsidRPr="008F6866" w:rsidRDefault="006551F0" w:rsidP="4DA5A9E8">
      <w:pPr>
        <w:rPr>
          <w:b/>
          <w:bCs/>
        </w:rPr>
      </w:pPr>
      <w:r w:rsidRPr="008F6866">
        <w:rPr>
          <w:b/>
          <w:bCs/>
        </w:rPr>
        <w:t>Task 2.1 Estimation of soil carbon sequestration</w:t>
      </w:r>
    </w:p>
    <w:p w14:paraId="02D993A5" w14:textId="0FED8A6D" w:rsidR="006551F0" w:rsidRPr="008F6866" w:rsidRDefault="39CFF0FF" w:rsidP="00A25AC6">
      <w:pPr>
        <w:spacing w:after="120" w:line="300" w:lineRule="auto"/>
        <w:jc w:val="both"/>
        <w:rPr>
          <w:rFonts w:ascii="Calibri" w:eastAsia="Calibri" w:hAnsi="Calibri" w:cs="Calibri"/>
        </w:rPr>
      </w:pPr>
      <w:r w:rsidRPr="008F6866">
        <w:rPr>
          <w:rFonts w:ascii="Calibri" w:eastAsia="Calibri" w:hAnsi="Calibri" w:cs="Calibri"/>
        </w:rPr>
        <w:t xml:space="preserve">The soil carbon module of HETEROFOR </w:t>
      </w:r>
      <w:r w:rsidR="0EFED1F1" w:rsidRPr="008F6866">
        <w:rPr>
          <w:rFonts w:ascii="Calibri" w:eastAsia="Calibri" w:hAnsi="Calibri" w:cs="Calibri"/>
        </w:rPr>
        <w:t>was</w:t>
      </w:r>
      <w:r w:rsidRPr="008F6866">
        <w:rPr>
          <w:rFonts w:ascii="Calibri" w:eastAsia="Calibri" w:hAnsi="Calibri" w:cs="Calibri"/>
        </w:rPr>
        <w:t xml:space="preserve"> parameterised based on an in-depth analysis of the scientific literature. For the deadwood decomposition rates of the different tree species, we rel</w:t>
      </w:r>
      <w:r w:rsidR="28C5F261" w:rsidRPr="008F6866">
        <w:rPr>
          <w:rFonts w:ascii="Calibri" w:eastAsia="Calibri" w:hAnsi="Calibri" w:cs="Calibri"/>
        </w:rPr>
        <w:t>ied</w:t>
      </w:r>
      <w:r w:rsidRPr="008F6866">
        <w:rPr>
          <w:rFonts w:ascii="Calibri" w:eastAsia="Calibri" w:hAnsi="Calibri" w:cs="Calibri"/>
        </w:rPr>
        <w:t xml:space="preserve"> on those obtained by </w:t>
      </w:r>
      <w:r w:rsidRPr="008F6866">
        <w:fldChar w:fldCharType="begin"/>
      </w:r>
      <w:r w:rsidR="006201C6">
        <w:instrText xml:space="preserve"> ADDIN EN.CITE &lt;EndNote&gt;&lt;Cite AuthorYear="1"&gt;&lt;Author&gt;Edelmann&lt;/Author&gt;&lt;Year&gt;2023&lt;/Year&gt;&lt;RecNum&gt;312&lt;/RecNum&gt;&lt;IDText&gt;Edelmann23&lt;/IDText&gt;&lt;DisplayText&gt;Edelmann&lt;style face="italic"&gt; et al.&lt;/style&gt; (2023)&lt;/DisplayText&gt;&lt;record&gt;&lt;rec-number&gt;312&lt;/rec-number&gt;&lt;foreign-keys&gt;&lt;key app="EN" db-id="0px2fzdxhrpdrre2w5f5pdryx90atadrdavt" timestamp="1713780185"&gt;312&lt;/key&gt;&lt;/foreign-keys&gt;&lt;ref-type name="Journal Article"&gt;17&lt;/ref-type&gt;&lt;contributors&gt;&lt;authors&gt;&lt;author&gt;Edelmann, P.&lt;/author&gt;&lt;author&gt;Weisser, W. W.&lt;/author&gt;&lt;author&gt;Ambarlı, D.&lt;/author&gt;&lt;author&gt;Bässler, C.&lt;/author&gt;&lt;author&gt;Buscot, F.&lt;/author&gt;&lt;author&gt;Hofrichter, M.&lt;/author&gt;&lt;author&gt;Hoppe, B.&lt;/author&gt;&lt;author&gt;Kellner, H.&lt;/author&gt;&lt;author&gt;Minnich, C.&lt;/author&gt;&lt;author&gt;Moll, J.&lt;/author&gt;&lt;author&gt;Persoh, D.&lt;/author&gt;&lt;author&gt;Seibold, S.&lt;/author&gt;&lt;author&gt;Seilwinder, C.&lt;/author&gt;&lt;author&gt;Schulze, E. D.&lt;/author&gt;&lt;author&gt;Wöllauer, S.&lt;/author&gt;&lt;author&gt;Borken, W.&lt;/author&gt;&lt;/authors&gt;&lt;/contributors&gt;&lt;titles&gt;&lt;title&gt;Regional variation in deadwood decay of 13 tree species: Effects of climate, soil and forest structure&lt;/title&gt;&lt;secondary-title&gt;Forest Ecology and Management&lt;/secondary-title&gt;&lt;/titles&gt;&lt;periodical&gt;&lt;full-title&gt;Forest Ecology and Management&lt;/full-title&gt;&lt;/periodical&gt;&lt;volume&gt;541&lt;/volume&gt;&lt;dates&gt;&lt;year&gt;2023&lt;/year&gt;&lt;/dates&gt;&lt;label&gt;Edelmann23&lt;/label&gt;&lt;work-type&gt;Article&lt;/work-type&gt;&lt;urls&gt;&lt;related-urls&gt;&lt;url&gt;https://www.scopus.com/inward/record.uri?eid=2-s2.0-85160015222&amp;amp;doi=10.1016%2fj.foreco.2023.121094&amp;amp;partnerID=40&amp;amp;md5=812f6ba1a013f96999fc4eb9c2561244&lt;/url&gt;&lt;/related-urls&gt;&lt;/urls&gt;&lt;custom7&gt;121094&lt;/custom7&gt;&lt;electronic-resource-num&gt;10.1016/j.foreco.2023.121094&lt;/electronic-resource-num&gt;&lt;remote-database-name&gt;Scopus&lt;/remote-database-name&gt;&lt;/record&gt;&lt;/Cite&gt;&lt;/EndNote&gt;</w:instrText>
      </w:r>
      <w:r w:rsidRPr="008F6866">
        <w:fldChar w:fldCharType="separate"/>
      </w:r>
      <w:r w:rsidR="006201C6">
        <w:rPr>
          <w:noProof/>
        </w:rPr>
        <w:t>Edelmann</w:t>
      </w:r>
      <w:r w:rsidR="006201C6" w:rsidRPr="006201C6">
        <w:rPr>
          <w:i/>
          <w:noProof/>
        </w:rPr>
        <w:t xml:space="preserve"> et al.</w:t>
      </w:r>
      <w:r w:rsidR="006201C6">
        <w:rPr>
          <w:noProof/>
        </w:rPr>
        <w:t xml:space="preserve"> (2023)</w:t>
      </w:r>
      <w:r w:rsidRPr="008F6866">
        <w:fldChar w:fldCharType="end"/>
      </w:r>
      <w:r w:rsidRPr="008F6866">
        <w:rPr>
          <w:rFonts w:ascii="Calibri" w:eastAsia="Calibri" w:hAnsi="Calibri" w:cs="Calibri"/>
        </w:rPr>
        <w:t xml:space="preserve">. The litter decomposition parameters </w:t>
      </w:r>
      <w:r w:rsidR="2FA9F99C" w:rsidRPr="008F6866">
        <w:rPr>
          <w:rFonts w:ascii="Calibri" w:eastAsia="Calibri" w:hAnsi="Calibri" w:cs="Calibri"/>
        </w:rPr>
        <w:t>were</w:t>
      </w:r>
      <w:r w:rsidRPr="008F6866">
        <w:rPr>
          <w:rFonts w:ascii="Calibri" w:eastAsia="Calibri" w:hAnsi="Calibri" w:cs="Calibri"/>
        </w:rPr>
        <w:t xml:space="preserve"> directly taken from </w:t>
      </w:r>
      <w:r w:rsidRPr="008F6866">
        <w:fldChar w:fldCharType="begin"/>
      </w:r>
      <w:r w:rsidR="006201C6">
        <w:instrText xml:space="preserve"> ADDIN EN.CITE &lt;EndNote&gt;&lt;Cite AuthorYear="1"&gt;&lt;Author&gt;Adair&lt;/Author&gt;&lt;Year&gt;2008&lt;/Year&gt;&lt;RecNum&gt;313&lt;/RecNum&gt;&lt;IDText&gt;Adair08&lt;/IDText&gt;&lt;DisplayText&gt;Adair&lt;style face="italic"&gt; et al.&lt;/style&gt; (2008)&lt;/DisplayText&gt;&lt;record&gt;&lt;rec-number&gt;313&lt;/rec-number&gt;&lt;foreign-keys&gt;&lt;key app="EN" db-id="0px2fzdxhrpdrre2w5f5pdryx90atadrdavt" timestamp="1713780320"&gt;313&lt;/key&gt;&lt;/foreign-keys&gt;&lt;ref-type name="Journal Article"&gt;17&lt;/ref-type&gt;&lt;contributors&gt;&lt;authors&gt;&lt;author&gt;Adair, E. C.&lt;/author&gt;&lt;author&gt;Parton, W. J.&lt;/author&gt;&lt;author&gt;Del Grosso, S. J.&lt;/author&gt;&lt;author&gt;Silver, W. L.&lt;/author&gt;&lt;author&gt;Harmon, M. E.&lt;/author&gt;&lt;author&gt;Hall, S. A.&lt;/author&gt;&lt;author&gt;Burke, I. C.&lt;/author&gt;&lt;author&gt;Hart, S. C.&lt;/author&gt;&lt;/authors&gt;&lt;/contributors&gt;&lt;titles&gt;&lt;title&gt;Simple three-pool model accurately describes patterns of long-term litter decomposition in diverse climates&lt;/title&gt;&lt;secondary-title&gt;Global Change Biology&lt;/secondary-title&gt;&lt;/titles&gt;&lt;periodical&gt;&lt;full-title&gt;Global Change Biology&lt;/full-title&gt;&lt;/periodical&gt;&lt;pages&gt;2636-2660&lt;/pages&gt;&lt;volume&gt;14&lt;/volume&gt;&lt;number&gt;11&lt;/number&gt;&lt;dates&gt;&lt;year&gt;2008&lt;/year&gt;&lt;/dates&gt;&lt;label&gt;Adair08&lt;/label&gt;&lt;work-type&gt;Article&lt;/work-type&gt;&lt;urls&gt;&lt;related-urls&gt;&lt;url&gt;https://www.scopus.com/inward/record.uri?eid=2-s2.0-54449096534&amp;amp;doi=10.1111%2fj.1365-2486.2008.01674.x&amp;amp;partnerID=40&amp;amp;md5=9c223c505bc17add7b4b4a643a0f7876&lt;/url&gt;&lt;/related-urls&gt;&lt;/urls&gt;&lt;electronic-resource-num&gt;10.1111/j.1365-2486.2008.01674.x&lt;/electronic-resource-num&gt;&lt;remote-database-name&gt;Scopus&lt;/remote-database-name&gt;&lt;/record&gt;&lt;/Cite&gt;&lt;/EndNote&gt;</w:instrText>
      </w:r>
      <w:r w:rsidRPr="008F6866">
        <w:fldChar w:fldCharType="separate"/>
      </w:r>
      <w:r w:rsidR="006201C6">
        <w:rPr>
          <w:noProof/>
        </w:rPr>
        <w:t>Adair</w:t>
      </w:r>
      <w:r w:rsidR="006201C6" w:rsidRPr="006201C6">
        <w:rPr>
          <w:i/>
          <w:noProof/>
        </w:rPr>
        <w:t xml:space="preserve"> et al.</w:t>
      </w:r>
      <w:r w:rsidR="006201C6">
        <w:rPr>
          <w:noProof/>
        </w:rPr>
        <w:t xml:space="preserve"> (2008)</w:t>
      </w:r>
      <w:r w:rsidRPr="008F6866">
        <w:fldChar w:fldCharType="end"/>
      </w:r>
      <w:r w:rsidRPr="008F6866">
        <w:rPr>
          <w:rFonts w:ascii="Calibri" w:eastAsia="Calibri" w:hAnsi="Calibri" w:cs="Calibri"/>
        </w:rPr>
        <w:t xml:space="preserve">. Their three-pool decomposition model requires information on the initial </w:t>
      </w:r>
      <w:r w:rsidRPr="008F6866">
        <w:rPr>
          <w:rFonts w:ascii="Calibri" w:eastAsia="Calibri" w:hAnsi="Calibri" w:cs="Calibri"/>
        </w:rPr>
        <w:lastRenderedPageBreak/>
        <w:t xml:space="preserve">organic chemistry of the litter. A literature review </w:t>
      </w:r>
      <w:r w:rsidR="2026B03F" w:rsidRPr="008F6866">
        <w:rPr>
          <w:rFonts w:ascii="Calibri" w:eastAsia="Calibri" w:hAnsi="Calibri" w:cs="Calibri"/>
        </w:rPr>
        <w:t>was</w:t>
      </w:r>
      <w:r w:rsidRPr="008F6866">
        <w:rPr>
          <w:rFonts w:ascii="Calibri" w:eastAsia="Calibri" w:hAnsi="Calibri" w:cs="Calibri"/>
        </w:rPr>
        <w:t xml:space="preserve"> therefore carried out to collect data on the lignin and cellulose content of the different litter types for the tree species parameterised in HETEROFOR. Data on litter decomposition rate </w:t>
      </w:r>
      <w:r w:rsidR="39BD975C" w:rsidRPr="008F6866">
        <w:rPr>
          <w:rFonts w:ascii="Calibri" w:eastAsia="Calibri" w:hAnsi="Calibri" w:cs="Calibri"/>
        </w:rPr>
        <w:t>was</w:t>
      </w:r>
      <w:r w:rsidRPr="008F6866">
        <w:rPr>
          <w:rFonts w:ascii="Calibri" w:eastAsia="Calibri" w:hAnsi="Calibri" w:cs="Calibri"/>
        </w:rPr>
        <w:t xml:space="preserve"> also collected in order to better estimate the litter decomposition parameters (</w:t>
      </w:r>
      <w:r w:rsidR="090E728A" w:rsidRPr="008F6866">
        <w:rPr>
          <w:rFonts w:ascii="Calibri" w:eastAsia="Calibri" w:hAnsi="Calibri" w:cs="Calibri"/>
        </w:rPr>
        <w:t xml:space="preserve">fitting of species-specific exponential decomposition models, </w:t>
      </w:r>
      <w:r w:rsidRPr="008F6866">
        <w:rPr>
          <w:rFonts w:ascii="Calibri" w:eastAsia="Calibri" w:hAnsi="Calibri" w:cs="Calibri"/>
        </w:rPr>
        <w:t xml:space="preserve">improvement and regional adaptation of the approach of </w:t>
      </w:r>
      <w:r w:rsidRPr="008F6866">
        <w:fldChar w:fldCharType="begin"/>
      </w:r>
      <w:r w:rsidR="006201C6">
        <w:instrText xml:space="preserve"> ADDIN EN.CITE &lt;EndNote&gt;&lt;Cite AuthorYear="1"&gt;&lt;Author&gt;Adair&lt;/Author&gt;&lt;Year&gt;2008&lt;/Year&gt;&lt;RecNum&gt;313&lt;/RecNum&gt;&lt;IDText&gt;Adair08&lt;/IDText&gt;&lt;DisplayText&gt;Adair&lt;style face="italic"&gt; et al.&lt;/style&gt; (2008)&lt;/DisplayText&gt;&lt;record&gt;&lt;rec-number&gt;313&lt;/rec-number&gt;&lt;foreign-keys&gt;&lt;key app="EN" db-id="0px2fzdxhrpdrre2w5f5pdryx90atadrdavt" timestamp="1713780320"&gt;313&lt;/key&gt;&lt;/foreign-keys&gt;&lt;ref-type name="Journal Article"&gt;17&lt;/ref-type&gt;&lt;contributors&gt;&lt;authors&gt;&lt;author&gt;Adair, E. C.&lt;/author&gt;&lt;author&gt;Parton, W. J.&lt;/author&gt;&lt;author&gt;Del Grosso, S. J.&lt;/author&gt;&lt;author&gt;Silver, W. L.&lt;/author&gt;&lt;author&gt;Harmon, M. E.&lt;/author&gt;&lt;author&gt;Hall, S. A.&lt;/author&gt;&lt;author&gt;Burke, I. C.&lt;/author&gt;&lt;author&gt;Hart, S. C.&lt;/author&gt;&lt;/authors&gt;&lt;/contributors&gt;&lt;titles&gt;&lt;title&gt;Simple three-pool model accurately describes patterns of long-term litter decomposition in diverse climates&lt;/title&gt;&lt;secondary-title&gt;Global Change Biology&lt;/secondary-title&gt;&lt;/titles&gt;&lt;periodical&gt;&lt;full-title&gt;Global Change Biology&lt;/full-title&gt;&lt;/periodical&gt;&lt;pages&gt;2636-2660&lt;/pages&gt;&lt;volume&gt;14&lt;/volume&gt;&lt;number&gt;11&lt;/number&gt;&lt;dates&gt;&lt;year&gt;2008&lt;/year&gt;&lt;/dates&gt;&lt;label&gt;Adair08&lt;/label&gt;&lt;work-type&gt;Article&lt;/work-type&gt;&lt;urls&gt;&lt;related-urls&gt;&lt;url&gt;https://www.scopus.com/inward/record.uri?eid=2-s2.0-54449096534&amp;amp;doi=10.1111%2fj.1365-2486.2008.01674.x&amp;amp;partnerID=40&amp;amp;md5=9c223c505bc17add7b4b4a643a0f7876&lt;/url&gt;&lt;/related-urls&gt;&lt;/urls&gt;&lt;electronic-resource-num&gt;10.1111/j.1365-2486.2008.01674.x&lt;/electronic-resource-num&gt;&lt;remote-database-name&gt;Scopus&lt;/remote-database-name&gt;&lt;/record&gt;&lt;/Cite&gt;&lt;/EndNote&gt;</w:instrText>
      </w:r>
      <w:r w:rsidRPr="008F6866">
        <w:fldChar w:fldCharType="separate"/>
      </w:r>
      <w:r w:rsidR="006201C6">
        <w:rPr>
          <w:noProof/>
        </w:rPr>
        <w:t>Adair</w:t>
      </w:r>
      <w:r w:rsidR="006201C6" w:rsidRPr="006201C6">
        <w:rPr>
          <w:i/>
          <w:noProof/>
        </w:rPr>
        <w:t xml:space="preserve"> et al.</w:t>
      </w:r>
      <w:r w:rsidR="006201C6">
        <w:rPr>
          <w:noProof/>
        </w:rPr>
        <w:t xml:space="preserve"> (2008)</w:t>
      </w:r>
      <w:r w:rsidRPr="008F6866">
        <w:fldChar w:fldCharType="end"/>
      </w:r>
      <w:r w:rsidRPr="008F6866">
        <w:rPr>
          <w:rFonts w:ascii="Calibri" w:eastAsia="Calibri" w:hAnsi="Calibri" w:cs="Calibri"/>
        </w:rPr>
        <w:t xml:space="preserve"> and determin</w:t>
      </w:r>
      <w:r w:rsidR="1A88484A" w:rsidRPr="008F6866">
        <w:rPr>
          <w:rFonts w:ascii="Calibri" w:eastAsia="Calibri" w:hAnsi="Calibri" w:cs="Calibri"/>
        </w:rPr>
        <w:t>ation of</w:t>
      </w:r>
      <w:r w:rsidRPr="008F6866">
        <w:rPr>
          <w:rFonts w:ascii="Calibri" w:eastAsia="Calibri" w:hAnsi="Calibri" w:cs="Calibri"/>
        </w:rPr>
        <w:t xml:space="preserve"> the remaining litter mass fraction when the maximum decomposition limit is reached</w:t>
      </w:r>
      <w:r w:rsidR="00B14EBB" w:rsidRPr="008F6866">
        <w:rPr>
          <w:rFonts w:ascii="Calibri" w:eastAsia="Calibri" w:hAnsi="Calibri" w:cs="Calibri"/>
        </w:rPr>
        <w:t xml:space="preserve"> </w:t>
      </w:r>
      <w:r w:rsidRPr="008F6866">
        <w:fldChar w:fldCharType="begin"/>
      </w:r>
      <w:r w:rsidR="001677B2">
        <w:instrText xml:space="preserve"> ADDIN EN.CITE &lt;EndNote&gt;&lt;Cite&gt;&lt;Author&gt;Berg&lt;/Author&gt;&lt;Year&gt;1996&lt;/Year&gt;&lt;RecNum&gt;316&lt;/RecNum&gt;&lt;IDText&gt;Berg96&lt;/IDText&gt;&lt;DisplayText&gt;(Berg&lt;style face="italic"&gt; et al.&lt;/style&gt;, 1996)&lt;/DisplayText&gt;&lt;record&gt;&lt;rec-number&gt;316&lt;/rec-number&gt;&lt;foreign-keys&gt;&lt;key app="EN" db-id="0px2fzdxhrpdrre2w5f5pdryx90atadrdavt" timestamp="1713780810"&gt;316&lt;/key&gt;&lt;/foreign-keys&gt;&lt;ref-type name="Journal Article"&gt;17&lt;/ref-type&gt;&lt;contributors&gt;&lt;authors&gt;&lt;author&gt;Berg, B.&lt;/author&gt;&lt;author&gt;Ekbohm, G.&lt;/author&gt;&lt;author&gt;Johansson, M. B.&lt;/author&gt;&lt;author&gt;McClaugherty, C.&lt;/author&gt;&lt;author&gt;Rutigliano, F.&lt;/author&gt;&lt;author&gt;De Santo, A. V.&lt;/author&gt;&lt;/authors&gt;&lt;/contributors&gt;&lt;titles&gt;&lt;title&gt;Maximum decomposition limits of forest litter types: A synthesis&lt;/title&gt;&lt;secondary-title&gt;Canadian Journal of Botany&lt;/secondary-title&gt;&lt;/titles&gt;&lt;periodical&gt;&lt;full-title&gt;Canadian Journal of Botany&lt;/full-title&gt;&lt;/periodical&gt;&lt;pages&gt;659-672&lt;/pages&gt;&lt;volume&gt;74&lt;/volume&gt;&lt;number&gt;5&lt;/number&gt;&lt;dates&gt;&lt;year&gt;1996&lt;/year&gt;&lt;/dates&gt;&lt;label&gt;Berg96&lt;/label&gt;&lt;work-type&gt;Article&lt;/work-type&gt;&lt;urls&gt;&lt;related-urls&gt;&lt;url&gt;https://www.scopus.com/inward/record.uri?eid=2-s2.0-0029752518&amp;amp;doi=10.1139%2fb96-084&amp;amp;partnerID=40&amp;amp;md5=18b7a9408f063f421b33e3767f4c2431&lt;/url&gt;&lt;/related-urls&gt;&lt;/urls&gt;&lt;electronic-resource-num&gt;10.1139/b96-084&lt;/electronic-resource-num&gt;&lt;remote-database-name&gt;Scopus&lt;/remote-database-name&gt;&lt;/record&gt;&lt;/Cite&gt;&lt;/EndNote&gt;</w:instrText>
      </w:r>
      <w:r w:rsidRPr="008F6866">
        <w:fldChar w:fldCharType="separate"/>
      </w:r>
      <w:r w:rsidR="001677B2">
        <w:rPr>
          <w:noProof/>
        </w:rPr>
        <w:t>(Berg</w:t>
      </w:r>
      <w:r w:rsidR="001677B2" w:rsidRPr="001677B2">
        <w:rPr>
          <w:i/>
          <w:noProof/>
        </w:rPr>
        <w:t xml:space="preserve"> et al.</w:t>
      </w:r>
      <w:r w:rsidR="001677B2">
        <w:rPr>
          <w:noProof/>
        </w:rPr>
        <w:t>, 1996)</w:t>
      </w:r>
      <w:r w:rsidRPr="008F6866">
        <w:fldChar w:fldCharType="end"/>
      </w:r>
      <w:r w:rsidR="2E5FB714" w:rsidRPr="008F6866">
        <w:rPr>
          <w:rFonts w:ascii="Calibri" w:eastAsia="Calibri" w:hAnsi="Calibri" w:cs="Calibri"/>
        </w:rPr>
        <w:t>)</w:t>
      </w:r>
      <w:r w:rsidRPr="008F6866">
        <w:rPr>
          <w:rFonts w:ascii="Calibri" w:eastAsia="Calibri" w:hAnsi="Calibri" w:cs="Calibri"/>
        </w:rPr>
        <w:t>. We use</w:t>
      </w:r>
      <w:r w:rsidR="648633DA" w:rsidRPr="008F6866">
        <w:rPr>
          <w:rFonts w:ascii="Calibri" w:eastAsia="Calibri" w:hAnsi="Calibri" w:cs="Calibri"/>
        </w:rPr>
        <w:t>d</w:t>
      </w:r>
      <w:r w:rsidRPr="008F6866">
        <w:rPr>
          <w:rFonts w:ascii="Calibri" w:eastAsia="Calibri" w:hAnsi="Calibri" w:cs="Calibri"/>
        </w:rPr>
        <w:t xml:space="preserve"> the same values as </w:t>
      </w:r>
      <w:r w:rsidRPr="008F6866">
        <w:fldChar w:fldCharType="begin"/>
      </w:r>
      <w:r w:rsidR="006201C6">
        <w:instrText xml:space="preserve"> ADDIN EN.CITE &lt;EndNote&gt;&lt;Cite AuthorYear="1"&gt;&lt;Author&gt;Kurz&lt;/Author&gt;&lt;Year&gt;2009&lt;/Year&gt;&lt;RecNum&gt;336&lt;/RecNum&gt;&lt;IDText&gt;Kurz09&lt;/IDText&gt;&lt;DisplayText&gt;Kurz&lt;style face="italic"&gt; et al.&lt;/style&gt; (2009)&lt;/DisplayText&gt;&lt;record&gt;&lt;rec-number&gt;336&lt;/rec-number&gt;&lt;foreign-keys&gt;&lt;key app="EN" db-id="0px2fzdxhrpdrre2w5f5pdryx90atadrdavt" timestamp="1713812420"&gt;336&lt;/key&gt;&lt;/foreign-keys&gt;&lt;ref-type name="Journal Article"&gt;17&lt;/ref-type&gt;&lt;contributors&gt;&lt;authors&gt;&lt;author&gt;Kurz, W. A.&lt;/author&gt;&lt;author&gt;Dymond, C. C.&lt;/author&gt;&lt;author&gt;White, T. M.&lt;/author&gt;&lt;author&gt;Stinson, G.&lt;/author&gt;&lt;author&gt;Shaw, C. H.&lt;/author&gt;&lt;author&gt;Rampley, G. J.&lt;/author&gt;&lt;author&gt;Smyth, C.&lt;/author&gt;&lt;author&gt;Simpson, B. N.&lt;/author&gt;&lt;author&gt;Neilson, E. T.&lt;/author&gt;&lt;author&gt;Trofymow, J. A.&lt;/author&gt;&lt;author&gt;Metsaranta, J.&lt;/author&gt;&lt;author&gt;Apps, M. J.&lt;/author&gt;&lt;/authors&gt;&lt;/contributors&gt;&lt;titles&gt;&lt;title&gt;CBM-CFS3: A model of carbon-dynamics in forestry and land-use change implementing IPCC standards&lt;/title&gt;&lt;secondary-title&gt;Ecological Modelling&lt;/secondary-title&gt;&lt;/titles&gt;&lt;periodical&gt;&lt;full-title&gt;Ecological Modelling&lt;/full-title&gt;&lt;/periodical&gt;&lt;pages&gt;480-504&lt;/pages&gt;&lt;volume&gt;220&lt;/volume&gt;&lt;number&gt;4&lt;/number&gt;&lt;dates&gt;&lt;year&gt;2009&lt;/year&gt;&lt;/dates&gt;&lt;label&gt;Kurz09&lt;/label&gt;&lt;work-type&gt;Article&lt;/work-type&gt;&lt;urls&gt;&lt;related-urls&gt;&lt;url&gt;https://www.scopus.com/inward/record.uri?eid=2-s2.0-59149086830&amp;amp;doi=10.1016%2fj.ecolmodel.2008.10.018&amp;amp;partnerID=40&amp;amp;md5=cff832e67b19b59d2caee5b4aeeec3e0&lt;/url&gt;&lt;/related-urls&gt;&lt;/urls&gt;&lt;electronic-resource-num&gt;10.1016/j.ecolmodel.2008.10.018&lt;/electronic-resource-num&gt;&lt;remote-database-name&gt;Scopus&lt;/remote-database-name&gt;&lt;/record&gt;&lt;/Cite&gt;&lt;/EndNote&gt;</w:instrText>
      </w:r>
      <w:r w:rsidRPr="008F6866">
        <w:fldChar w:fldCharType="separate"/>
      </w:r>
      <w:r w:rsidR="006201C6">
        <w:rPr>
          <w:noProof/>
        </w:rPr>
        <w:t>Kurz</w:t>
      </w:r>
      <w:r w:rsidR="006201C6" w:rsidRPr="006201C6">
        <w:rPr>
          <w:i/>
          <w:noProof/>
        </w:rPr>
        <w:t xml:space="preserve"> et al.</w:t>
      </w:r>
      <w:r w:rsidR="006201C6">
        <w:rPr>
          <w:noProof/>
        </w:rPr>
        <w:t xml:space="preserve"> (2009)</w:t>
      </w:r>
      <w:r w:rsidRPr="008F6866">
        <w:fldChar w:fldCharType="end"/>
      </w:r>
      <w:r w:rsidRPr="008F6866">
        <w:rPr>
          <w:rFonts w:ascii="Calibri" w:eastAsia="Calibri" w:hAnsi="Calibri" w:cs="Calibri"/>
        </w:rPr>
        <w:t xml:space="preserve"> for the fraction of decomposed deadwood transferred annually to litter (0.25) and for the fraction of decomposed litter transferred annually to the active carbon pools (0.17).</w:t>
      </w:r>
    </w:p>
    <w:p w14:paraId="7001CE1F" w14:textId="1E5FD225" w:rsidR="006551F0" w:rsidRPr="008F6866" w:rsidRDefault="006551F0" w:rsidP="00A25AC6">
      <w:pPr>
        <w:spacing w:after="120" w:line="300" w:lineRule="auto"/>
        <w:jc w:val="both"/>
        <w:rPr>
          <w:rFonts w:ascii="Calibri" w:eastAsia="Calibri" w:hAnsi="Calibri" w:cs="Calibri"/>
        </w:rPr>
      </w:pPr>
      <w:r w:rsidRPr="008F6866">
        <w:rPr>
          <w:rFonts w:ascii="Calibri" w:eastAsia="Calibri" w:hAnsi="Calibri" w:cs="Calibri"/>
        </w:rPr>
        <w:t xml:space="preserve">Literature searches </w:t>
      </w:r>
      <w:r w:rsidR="00124C8A" w:rsidRPr="008F6866">
        <w:rPr>
          <w:rFonts w:ascii="Calibri" w:eastAsia="Calibri" w:hAnsi="Calibri" w:cs="Calibri"/>
        </w:rPr>
        <w:t>were</w:t>
      </w:r>
      <w:r w:rsidRPr="008F6866">
        <w:rPr>
          <w:rFonts w:ascii="Calibri" w:eastAsia="Calibri" w:hAnsi="Calibri" w:cs="Calibri"/>
        </w:rPr>
        <w:t xml:space="preserve"> also carried out to estimate the basal respiration rate of the active carbon pools of the mineral soil. The transfer from the active to the stable pool as well as the DOC production </w:t>
      </w:r>
      <w:r w:rsidR="384257F0" w:rsidRPr="008F6866">
        <w:rPr>
          <w:rFonts w:ascii="Calibri" w:eastAsia="Calibri" w:hAnsi="Calibri" w:cs="Calibri"/>
        </w:rPr>
        <w:t>was</w:t>
      </w:r>
      <w:r w:rsidRPr="008F6866">
        <w:rPr>
          <w:rFonts w:ascii="Calibri" w:eastAsia="Calibri" w:hAnsi="Calibri" w:cs="Calibri"/>
        </w:rPr>
        <w:t xml:space="preserve"> not considered.</w:t>
      </w:r>
    </w:p>
    <w:p w14:paraId="104D6969" w14:textId="76B67831" w:rsidR="006551F0" w:rsidRPr="008F6866" w:rsidRDefault="006551F0" w:rsidP="00A25AC6">
      <w:pPr>
        <w:spacing w:after="120" w:line="300" w:lineRule="auto"/>
        <w:jc w:val="both"/>
        <w:rPr>
          <w:rFonts w:ascii="Calibri" w:eastAsia="Calibri" w:hAnsi="Calibri" w:cs="Calibri"/>
        </w:rPr>
      </w:pPr>
      <w:r w:rsidRPr="008F6866">
        <w:rPr>
          <w:rFonts w:ascii="Calibri" w:eastAsia="Calibri" w:hAnsi="Calibri" w:cs="Calibri"/>
        </w:rPr>
        <w:t xml:space="preserve">The soil organic carbon data collected in the plots of the forest monitoring network in France (RENECOFOR) during two surveys carried out 15 years apart </w:t>
      </w:r>
      <w:r w:rsidR="2A7CB318" w:rsidRPr="008F6866">
        <w:rPr>
          <w:rFonts w:ascii="Calibri" w:eastAsia="Calibri" w:hAnsi="Calibri" w:cs="Calibri"/>
        </w:rPr>
        <w:t>were</w:t>
      </w:r>
      <w:r w:rsidRPr="008F6866">
        <w:rPr>
          <w:rFonts w:ascii="Calibri" w:eastAsia="Calibri" w:hAnsi="Calibri" w:cs="Calibri"/>
        </w:rPr>
        <w:t xml:space="preserve"> used to evaluate the ability of the soil carbon module to reproduce the soil organic carbon (SOC) stock changes in the different soil horizons</w:t>
      </w:r>
      <w:r w:rsidR="00B14EBB" w:rsidRPr="008F6866">
        <w:rPr>
          <w:rFonts w:ascii="Calibri" w:eastAsia="Calibri" w:hAnsi="Calibri" w:cs="Calibri"/>
        </w:rPr>
        <w:t xml:space="preserve"> </w:t>
      </w:r>
      <w:r w:rsidRPr="008F6866">
        <w:fldChar w:fldCharType="begin"/>
      </w:r>
      <w:r w:rsidR="001677B2">
        <w:instrText xml:space="preserve"> ADDIN EN.CITE &lt;EndNote&gt;&lt;Cite&gt;&lt;Author&gt;Jonard&lt;/Author&gt;&lt;Year&gt;2017&lt;/Year&gt;&lt;RecNum&gt;158&lt;/RecNum&gt;&lt;IDText&gt;Jonard17&lt;/IDText&gt;&lt;DisplayText&gt;(Jonard&lt;style face="italic"&gt; et al.&lt;/style&gt;, 2017)&lt;/DisplayText&gt;&lt;record&gt;&lt;rec-number&gt;158&lt;/rec-number&gt;&lt;foreign-keys&gt;&lt;key app="EN" db-id="0px2fzdxhrpdrre2w5f5pdryx90atadrdavt" timestamp="1686137397"&gt;158&lt;/key&gt;&lt;/foreign-keys&gt;&lt;ref-type name="Journal Article"&gt;17&lt;/ref-type&gt;&lt;contributors&gt;&lt;authors&gt;&lt;author&gt;Jonard, M.&lt;/author&gt;&lt;author&gt;Nicolas, M.&lt;/author&gt;&lt;author&gt;Coomes, D. A.&lt;/author&gt;&lt;author&gt;Caignet, I.&lt;/author&gt;&lt;author&gt;Saenger, A.&lt;/author&gt;&lt;author&gt;Ponette, Q.&lt;/author&gt;&lt;/authors&gt;&lt;/contributors&gt;&lt;titles&gt;&lt;title&gt;Forest soils in {F}rance are sequestering substantial amounts of carbon&lt;/title&gt;&lt;secondary-title&gt;Science of the Total Environment&lt;/secondary-title&gt;&lt;/titles&gt;&lt;periodical&gt;&lt;full-title&gt;Science of the Total Environment&lt;/full-title&gt;&lt;/periodical&gt;&lt;pages&gt;616-628&lt;/pages&gt;&lt;volume&gt;574&lt;/volume&gt;&lt;dates&gt;&lt;year&gt;2017&lt;/year&gt;&lt;/dates&gt;&lt;label&gt;Jonard17&lt;/label&gt;&lt;work-type&gt;Article&lt;/work-type&gt;&lt;urls&gt;&lt;related-urls&gt;&lt;url&gt;https://www.scopus.com/inward/record.uri?eid=2-s2.0-84988009588&amp;amp;doi=10.1016%2fj.scitotenv.2016.09.028&amp;amp;partnerID=40&amp;amp;md5=07374e2ffd8e73ada40aca3a0347380c&lt;/url&gt;&lt;/related-urls&gt;&lt;/urls&gt;&lt;electronic-resource-num&gt;10.1016/j.scitotenv.2016.09.028&lt;/electronic-resource-num&gt;&lt;remote-database-name&gt;Scopus&lt;/remote-database-name&gt;&lt;/record&gt;&lt;/Cite&gt;&lt;/EndNote&gt;</w:instrText>
      </w:r>
      <w:r w:rsidRPr="008F6866">
        <w:fldChar w:fldCharType="separate"/>
      </w:r>
      <w:r w:rsidR="001677B2">
        <w:rPr>
          <w:noProof/>
        </w:rPr>
        <w:t>(Jonard</w:t>
      </w:r>
      <w:r w:rsidR="001677B2" w:rsidRPr="001677B2">
        <w:rPr>
          <w:i/>
          <w:noProof/>
        </w:rPr>
        <w:t xml:space="preserve"> et al.</w:t>
      </w:r>
      <w:r w:rsidR="001677B2">
        <w:rPr>
          <w:noProof/>
        </w:rPr>
        <w:t>, 2017)</w:t>
      </w:r>
      <w:r w:rsidRPr="008F6866">
        <w:fldChar w:fldCharType="end"/>
      </w:r>
      <w:r w:rsidRPr="008F6866">
        <w:rPr>
          <w:rFonts w:ascii="Calibri" w:eastAsia="Calibri" w:hAnsi="Calibri" w:cs="Calibri"/>
        </w:rPr>
        <w:t xml:space="preserve">. These data </w:t>
      </w:r>
      <w:r w:rsidR="00A25AC6" w:rsidRPr="008F6866">
        <w:rPr>
          <w:rFonts w:ascii="Calibri" w:eastAsia="Calibri" w:hAnsi="Calibri" w:cs="Calibri"/>
        </w:rPr>
        <w:t>were</w:t>
      </w:r>
      <w:r w:rsidRPr="008F6866">
        <w:rPr>
          <w:rFonts w:ascii="Calibri" w:eastAsia="Calibri" w:hAnsi="Calibri" w:cs="Calibri"/>
        </w:rPr>
        <w:t xml:space="preserve"> useful to initialise the model (total organic carbon content, fraction of stable carbon for each mineral soil horizon) and to evaluate it by comparing observed and predicted SOC stock changes. They </w:t>
      </w:r>
      <w:r w:rsidR="5ED49EF9" w:rsidRPr="008F6866">
        <w:rPr>
          <w:rFonts w:ascii="Calibri" w:eastAsia="Calibri" w:hAnsi="Calibri" w:cs="Calibri"/>
        </w:rPr>
        <w:t>were also</w:t>
      </w:r>
      <w:r w:rsidRPr="008F6866">
        <w:rPr>
          <w:rFonts w:ascii="Calibri" w:eastAsia="Calibri" w:hAnsi="Calibri" w:cs="Calibri"/>
        </w:rPr>
        <w:t xml:space="preserve"> used to fit some parameters (e.g., basal respiration rate of the active carbon pools).</w:t>
      </w:r>
    </w:p>
    <w:p w14:paraId="7AC600D2" w14:textId="0F9F91A8" w:rsidR="006551F0" w:rsidRDefault="39CFF0FF" w:rsidP="00A25AC6">
      <w:pPr>
        <w:spacing w:after="120" w:line="300" w:lineRule="auto"/>
        <w:jc w:val="both"/>
        <w:rPr>
          <w:rFonts w:ascii="Calibri" w:eastAsia="Calibri" w:hAnsi="Calibri" w:cs="Calibri"/>
        </w:rPr>
      </w:pPr>
      <w:r w:rsidRPr="008F6866">
        <w:rPr>
          <w:rFonts w:ascii="Calibri" w:eastAsia="Calibri" w:hAnsi="Calibri" w:cs="Calibri"/>
        </w:rPr>
        <w:t xml:space="preserve">By way of illustration, </w:t>
      </w:r>
      <w:r w:rsidR="00A25AC6" w:rsidRPr="008F6866">
        <w:rPr>
          <w:rFonts w:ascii="Calibri" w:eastAsia="Calibri" w:hAnsi="Calibri" w:cs="Calibri"/>
        </w:rPr>
        <w:fldChar w:fldCharType="begin"/>
      </w:r>
      <w:r w:rsidR="00A25AC6" w:rsidRPr="008F6866">
        <w:rPr>
          <w:rFonts w:ascii="Calibri" w:eastAsia="Calibri" w:hAnsi="Calibri" w:cs="Calibri"/>
        </w:rPr>
        <w:instrText xml:space="preserve"> REF _Ref195561348 \h  \* MERGEFORMAT </w:instrText>
      </w:r>
      <w:r w:rsidR="00A25AC6" w:rsidRPr="008F6866">
        <w:rPr>
          <w:rFonts w:ascii="Calibri" w:eastAsia="Calibri" w:hAnsi="Calibri" w:cs="Calibri"/>
        </w:rPr>
      </w:r>
      <w:r w:rsidR="00A25AC6" w:rsidRPr="008F6866">
        <w:rPr>
          <w:rFonts w:ascii="Calibri" w:eastAsia="Calibri" w:hAnsi="Calibri" w:cs="Calibri"/>
        </w:rPr>
        <w:fldChar w:fldCharType="separate"/>
      </w:r>
      <w:r w:rsidR="00540DBF" w:rsidRPr="00540DBF">
        <w:rPr>
          <w:rFonts w:ascii="Calibri" w:eastAsia="Calibri" w:hAnsi="Calibri" w:cs="Calibri"/>
        </w:rPr>
        <w:t>Figure 7</w:t>
      </w:r>
      <w:r w:rsidR="00A25AC6" w:rsidRPr="008F6866">
        <w:rPr>
          <w:rFonts w:ascii="Calibri" w:eastAsia="Calibri" w:hAnsi="Calibri" w:cs="Calibri"/>
        </w:rPr>
        <w:fldChar w:fldCharType="end"/>
      </w:r>
      <w:r w:rsidRPr="008F6866">
        <w:rPr>
          <w:rFonts w:ascii="Calibri" w:eastAsia="Calibri" w:hAnsi="Calibri" w:cs="Calibri"/>
        </w:rPr>
        <w:t xml:space="preserve"> shows the temporal change of soil carbon pools in a beech stand of the Pyrénées atlantiques (HET64 of RENECOFOR) as predicted by the soil carbon module of HETEROFOR.</w:t>
      </w:r>
    </w:p>
    <w:p w14:paraId="27E0E365" w14:textId="77777777" w:rsidR="0041766E" w:rsidRPr="008F6866" w:rsidRDefault="0041766E" w:rsidP="00A25AC6">
      <w:pPr>
        <w:spacing w:after="120" w:line="300" w:lineRule="auto"/>
        <w:jc w:val="both"/>
        <w:rPr>
          <w:rFonts w:ascii="Calibri" w:eastAsia="Calibri" w:hAnsi="Calibri" w:cs="Calibri"/>
        </w:rPr>
      </w:pPr>
    </w:p>
    <w:p w14:paraId="191A8262" w14:textId="0A51B41D" w:rsidR="006551F0" w:rsidRPr="008F6866" w:rsidRDefault="006551F0" w:rsidP="00A25AC6">
      <w:pPr>
        <w:spacing w:after="0"/>
        <w:rPr>
          <w:rFonts w:ascii="Calibri" w:eastAsia="Calibri" w:hAnsi="Calibri" w:cs="Calibri"/>
        </w:rPr>
      </w:pPr>
      <w:r w:rsidRPr="008F6866">
        <w:rPr>
          <w:noProof/>
        </w:rPr>
        <w:drawing>
          <wp:inline distT="0" distB="0" distL="0" distR="0" wp14:anchorId="4F2743B9" wp14:editId="5170966C">
            <wp:extent cx="5724525" cy="271034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5424" cy="2715504"/>
                    </a:xfrm>
                    <a:prstGeom prst="rect">
                      <a:avLst/>
                    </a:prstGeom>
                    <a:noFill/>
                    <a:ln>
                      <a:noFill/>
                    </a:ln>
                  </pic:spPr>
                </pic:pic>
              </a:graphicData>
            </a:graphic>
          </wp:inline>
        </w:drawing>
      </w:r>
    </w:p>
    <w:p w14:paraId="076B4B74" w14:textId="47E62633" w:rsidR="00CE0B3D" w:rsidRPr="00FA7189" w:rsidRDefault="00A25AC6" w:rsidP="00FA7189">
      <w:pPr>
        <w:pStyle w:val="Lgende"/>
        <w:jc w:val="center"/>
        <w:rPr>
          <w:b/>
          <w:i w:val="0"/>
          <w:color w:val="000000" w:themeColor="text1"/>
          <w:sz w:val="20"/>
          <w:szCs w:val="20"/>
        </w:rPr>
      </w:pPr>
      <w:bookmarkStart w:id="18" w:name="_Ref195561348"/>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7</w:t>
      </w:r>
      <w:r w:rsidRPr="008F6866">
        <w:rPr>
          <w:b/>
          <w:i w:val="0"/>
          <w:color w:val="000000" w:themeColor="text1"/>
          <w:sz w:val="20"/>
          <w:szCs w:val="20"/>
        </w:rPr>
        <w:fldChar w:fldCharType="end"/>
      </w:r>
      <w:bookmarkEnd w:id="18"/>
      <w:r w:rsidRPr="008F6866">
        <w:rPr>
          <w:b/>
          <w:i w:val="0"/>
          <w:color w:val="000000" w:themeColor="text1"/>
          <w:sz w:val="20"/>
          <w:szCs w:val="20"/>
        </w:rPr>
        <w:t>. Illustration of the temporal evolution of carbon pools in a beech stand in the RENECOFOR network (HET64)</w:t>
      </w:r>
    </w:p>
    <w:p w14:paraId="3A379031" w14:textId="77777777" w:rsidR="008C57F7" w:rsidRDefault="008C57F7">
      <w:pPr>
        <w:rPr>
          <w:b/>
        </w:rPr>
      </w:pPr>
      <w:bookmarkStart w:id="19" w:name="_heading=h.3o7alnk" w:colFirst="0" w:colLast="0"/>
      <w:bookmarkEnd w:id="19"/>
      <w:r>
        <w:rPr>
          <w:b/>
        </w:rPr>
        <w:br w:type="page"/>
      </w:r>
    </w:p>
    <w:p w14:paraId="5B4DCAB7" w14:textId="66F0AD5C" w:rsidR="006551F0" w:rsidRPr="008F6866" w:rsidRDefault="006551F0" w:rsidP="003D6327">
      <w:pPr>
        <w:rPr>
          <w:b/>
        </w:rPr>
      </w:pPr>
      <w:r w:rsidRPr="008F6866">
        <w:rPr>
          <w:b/>
        </w:rPr>
        <w:lastRenderedPageBreak/>
        <w:t>WP3. Establishment of climate projection scenarios</w:t>
      </w:r>
    </w:p>
    <w:p w14:paraId="5266BC79" w14:textId="77777777" w:rsidR="006551F0" w:rsidRPr="008F6866" w:rsidRDefault="006551F0" w:rsidP="003D6327">
      <w:pPr>
        <w:rPr>
          <w:b/>
        </w:rPr>
      </w:pPr>
      <w:r w:rsidRPr="008F6866">
        <w:rPr>
          <w:b/>
        </w:rPr>
        <w:t>Task 3.1 Downscaled and bias-corrected multi-variable projections</w:t>
      </w:r>
    </w:p>
    <w:p w14:paraId="61DE83D8" w14:textId="7E2DF6FE" w:rsidR="006551F0" w:rsidRPr="008F6866" w:rsidRDefault="39CFF0FF" w:rsidP="005C207E">
      <w:pPr>
        <w:spacing w:after="120" w:line="300" w:lineRule="auto"/>
        <w:jc w:val="both"/>
      </w:pPr>
      <w:r w:rsidRPr="008F6866">
        <w:t xml:space="preserve">For this work, we utilized the most recent climate model simulations available. These simulations originate from a large ensemble of general circulation models (GCMs) as part of the Coupled Model Intercomparison Project Phase 6 (CMIP6). We focus on seven variables: near-surface relative humidity, precipitation, near-surface minimum temperature, near-surface average temperature, near-surface </w:t>
      </w:r>
      <w:r w:rsidRPr="008F6866">
        <w:rPr>
          <w:i/>
        </w:rPr>
        <w:t xml:space="preserve">u </w:t>
      </w:r>
      <w:r w:rsidRPr="008F6866">
        <w:t xml:space="preserve">and </w:t>
      </w:r>
      <w:r w:rsidRPr="008F6866">
        <w:rPr>
          <w:i/>
        </w:rPr>
        <w:t>v</w:t>
      </w:r>
      <w:r w:rsidRPr="008F6866">
        <w:t xml:space="preserve"> directions of wind speed, and solar radiation. They correspond to the variables available to force HETEROFOR. The simulations cover the period from 1976 to 2100, encompassing both historical data and future projections. For the CMIP6, the concept of representative concentration pathways (RCP) was integrated with the Scenario Model Intercomparison Project (ScenarioMIP)</w:t>
      </w:r>
      <w:r w:rsidR="00CE0B3D" w:rsidRPr="008F6866">
        <w:t xml:space="preserve"> </w:t>
      </w:r>
      <w:r w:rsidR="006551F0" w:rsidRPr="008F6866">
        <w:fldChar w:fldCharType="begin"/>
      </w:r>
      <w:r w:rsidR="001677B2">
        <w:instrText xml:space="preserve"> ADDIN EN.CITE &lt;EndNote&gt;&lt;Cite&gt;&lt;Author&gt;O&amp;apos;Neill&lt;/Author&gt;&lt;Year&gt;2016&lt;/Year&gt;&lt;RecNum&gt;337&lt;/RecNum&gt;&lt;IDText&gt;ONeill16&lt;/IDText&gt;&lt;DisplayText&gt;(O&amp;apos;Neill&lt;style face="italic"&gt; et al.&lt;/style&gt;, 2016)&lt;/DisplayText&gt;&lt;record&gt;&lt;rec-number&gt;337&lt;/rec-number&gt;&lt;foreign-keys&gt;&lt;key app="EN" db-id="0px2fzdxhrpdrre2w5f5pdryx90atadrdavt" timestamp="1713812778"&gt;337&lt;/key&gt;&lt;/foreign-keys&gt;&lt;ref-type name="Journal Article"&gt;17&lt;/ref-type&gt;&lt;contributors&gt;&lt;authors&gt;&lt;author&gt;O&amp;apos;Neill, B. C.&lt;/author&gt;&lt;author&gt;Tebaldi, C.&lt;/author&gt;&lt;author&gt;Van Vuuren, D. P.&lt;/author&gt;&lt;author&gt;Eyring, V.&lt;/author&gt;&lt;author&gt;Friedlingstein, P.&lt;/author&gt;&lt;author&gt;Hurtt, G.&lt;/author&gt;&lt;author&gt;Knutti, R.&lt;/author&gt;&lt;author&gt;Kriegler, E.&lt;/author&gt;&lt;author&gt;Lamarque, J. F.&lt;/author&gt;&lt;author&gt;Lowe, J.&lt;/author&gt;&lt;author&gt;Meehl, G. A.&lt;/author&gt;&lt;author&gt;Moss, R.&lt;/author&gt;&lt;author&gt;Riahi, K.&lt;/author&gt;&lt;author&gt;Sanderson, B. M.&lt;/author&gt;&lt;/authors&gt;&lt;/contributors&gt;&lt;titles&gt;&lt;title&gt;The Scenario Model Intercomparison Project (ScenarioMIP) for CMIP6&lt;/title&gt;&lt;secondary-title&gt;Geoscientific Model Development&lt;/secondary-title&gt;&lt;/titles&gt;&lt;periodical&gt;&lt;full-title&gt;Geoscientific Model Development&lt;/full-title&gt;&lt;/periodical&gt;&lt;pages&gt;3461-3482&lt;/pages&gt;&lt;volume&gt;9&lt;/volume&gt;&lt;number&gt;9&lt;/number&gt;&lt;dates&gt;&lt;year&gt;2016&lt;/year&gt;&lt;/dates&gt;&lt;label&gt;ONeill16&lt;/label&gt;&lt;work-type&gt;Article&lt;/work-type&gt;&lt;urls&gt;&lt;related-urls&gt;&lt;url&gt;https://www.scopus.com/inward/record.uri?eid=2-s2.0-84990046271&amp;amp;doi=10.5194%2fgmd-9-3461-2016&amp;amp;partnerID=40&amp;amp;md5=80973f57222a845b309773fbb7f39e16&lt;/url&gt;&lt;/related-urls&gt;&lt;/urls&gt;&lt;electronic-resource-num&gt;10.5194/gmd-9-3461-2016&lt;/electronic-resource-num&gt;&lt;remote-database-name&gt;Scopus&lt;/remote-database-name&gt;&lt;/record&gt;&lt;/Cite&gt;&lt;/EndNote&gt;</w:instrText>
      </w:r>
      <w:r w:rsidR="006551F0" w:rsidRPr="008F6866">
        <w:fldChar w:fldCharType="separate"/>
      </w:r>
      <w:r w:rsidR="001677B2">
        <w:rPr>
          <w:noProof/>
        </w:rPr>
        <w:t>(O'Neill</w:t>
      </w:r>
      <w:r w:rsidR="001677B2" w:rsidRPr="001677B2">
        <w:rPr>
          <w:i/>
          <w:noProof/>
        </w:rPr>
        <w:t xml:space="preserve"> et al.</w:t>
      </w:r>
      <w:r w:rsidR="001677B2">
        <w:rPr>
          <w:noProof/>
        </w:rPr>
        <w:t>, 2016)</w:t>
      </w:r>
      <w:r w:rsidR="006551F0" w:rsidRPr="008F6866">
        <w:fldChar w:fldCharType="end"/>
      </w:r>
      <w:r w:rsidRPr="008F6866">
        <w:t xml:space="preserve"> and was combined with Shared Socioeconomic Pathways (SSPs). While the RCPs represent pathways towards different levels of greenhouse gas concentrations and their corresponding radiative forcing in the year 2100</w:t>
      </w:r>
      <w:r w:rsidR="00CE0B3D" w:rsidRPr="008F6866">
        <w:t xml:space="preserve"> </w:t>
      </w:r>
      <w:r w:rsidR="006551F0" w:rsidRPr="008F6866">
        <w:fldChar w:fldCharType="begin"/>
      </w:r>
      <w:r w:rsidR="001677B2">
        <w:instrText xml:space="preserve"> ADDIN EN.CITE &lt;EndNote&gt;&lt;Cite&gt;&lt;Author&gt;van Vuuren&lt;/Author&gt;&lt;Year&gt;2011&lt;/Year&gt;&lt;RecNum&gt;338&lt;/RecNum&gt;&lt;IDText&gt;vanVuuren11&lt;/IDText&gt;&lt;DisplayText&gt;(van Vuuren&lt;style face="italic"&gt; et al.&lt;/style&gt;, 2011)&lt;/DisplayText&gt;&lt;record&gt;&lt;rec-number&gt;338&lt;/rec-number&gt;&lt;foreign-keys&gt;&lt;key app="EN" db-id="0px2fzdxhrpdrre2w5f5pdryx90atadrdavt" timestamp="1713812974"&gt;338&lt;/key&gt;&lt;/foreign-keys&gt;&lt;ref-type name="Journal Article"&gt;17&lt;/ref-type&gt;&lt;contributors&gt;&lt;authors&gt;&lt;author&gt;van Vuuren, D. P.&lt;/author&gt;&lt;author&gt;Edmonds, J.&lt;/author&gt;&lt;author&gt;Kainuma, M.&lt;/author&gt;&lt;author&gt;Riahi, K.&lt;/author&gt;&lt;author&gt;Thomson, A.&lt;/author&gt;&lt;author&gt;Hibbard, K.&lt;/author&gt;&lt;author&gt;Hurtt, G. C.&lt;/author&gt;&lt;author&gt;Kram, T.&lt;/author&gt;&lt;author&gt;Krey, V.&lt;/author&gt;&lt;author&gt;Lamarque, J. F.&lt;/author&gt;&lt;author&gt;Masui, T.&lt;/author&gt;&lt;author&gt;Meinshausen, M.&lt;/author&gt;&lt;author&gt;Nakicenovic, N.&lt;/author&gt;&lt;author&gt;Smith, S. J.&lt;/author&gt;&lt;author&gt;Rose, S. K.&lt;/author&gt;&lt;/authors&gt;&lt;/contributors&gt;&lt;titles&gt;&lt;title&gt;The representative concentration pathways: An overview&lt;/title&gt;&lt;secondary-title&gt;Climatic Change&lt;/secondary-title&gt;&lt;/titles&gt;&lt;periodical&gt;&lt;full-title&gt;Climatic Change&lt;/full-title&gt;&lt;/periodical&gt;&lt;pages&gt;5-31&lt;/pages&gt;&lt;volume&gt;109&lt;/volume&gt;&lt;number&gt;1&lt;/number&gt;&lt;dates&gt;&lt;year&gt;2011&lt;/year&gt;&lt;/dates&gt;&lt;label&gt;vanVuuren11&lt;/label&gt;&lt;work-type&gt;Article&lt;/work-type&gt;&lt;urls&gt;&lt;related-urls&gt;&lt;url&gt;https://www.scopus.com/inward/record.uri?eid=2-s2.0-80053903024&amp;amp;doi=10.1007%2fs10584-011-0148-z&amp;amp;partnerID=40&amp;amp;md5=c333836dfcf68e11e951f4412b134feb&lt;/url&gt;&lt;/related-urls&gt;&lt;/urls&gt;&lt;electronic-resource-num&gt;10.1007/s10584-011-0148-z&lt;/electronic-resource-num&gt;&lt;remote-database-name&gt;Scopus&lt;/remote-database-name&gt;&lt;/record&gt;&lt;/Cite&gt;&lt;/EndNote&gt;</w:instrText>
      </w:r>
      <w:r w:rsidR="006551F0" w:rsidRPr="008F6866">
        <w:fldChar w:fldCharType="separate"/>
      </w:r>
      <w:r w:rsidR="001677B2">
        <w:rPr>
          <w:noProof/>
        </w:rPr>
        <w:t>(van Vuuren</w:t>
      </w:r>
      <w:r w:rsidR="001677B2" w:rsidRPr="001677B2">
        <w:rPr>
          <w:i/>
          <w:noProof/>
        </w:rPr>
        <w:t xml:space="preserve"> et al.</w:t>
      </w:r>
      <w:r w:rsidR="001677B2">
        <w:rPr>
          <w:noProof/>
        </w:rPr>
        <w:t>, 2011)</w:t>
      </w:r>
      <w:r w:rsidR="006551F0" w:rsidRPr="008F6866">
        <w:fldChar w:fldCharType="end"/>
      </w:r>
      <w:r w:rsidRPr="008F6866">
        <w:t>, the different SSPs describe changes in demographics, human development, economy and lifestyle, policies and institutions, technology, environment and natural resources</w:t>
      </w:r>
      <w:r w:rsidR="00CE0B3D" w:rsidRPr="008F6866">
        <w:t xml:space="preserve"> </w:t>
      </w:r>
      <w:r w:rsidR="006551F0" w:rsidRPr="008F6866">
        <w:fldChar w:fldCharType="begin"/>
      </w:r>
      <w:r w:rsidR="001677B2">
        <w:instrText xml:space="preserve"> ADDIN EN.CITE &lt;EndNote&gt;&lt;Cite&gt;&lt;Author&gt;O&amp;apos;Neill&lt;/Author&gt;&lt;Year&gt;2016&lt;/Year&gt;&lt;RecNum&gt;337&lt;/RecNum&gt;&lt;IDText&gt;ONeill16&lt;/IDText&gt;&lt;DisplayText&gt;(O&amp;apos;Neill&lt;style face="italic"&gt; et al.&lt;/style&gt;, 2016)&lt;/DisplayText&gt;&lt;record&gt;&lt;rec-number&gt;337&lt;/rec-number&gt;&lt;foreign-keys&gt;&lt;key app="EN" db-id="0px2fzdxhrpdrre2w5f5pdryx90atadrdavt" timestamp="1713812778"&gt;337&lt;/key&gt;&lt;/foreign-keys&gt;&lt;ref-type name="Journal Article"&gt;17&lt;/ref-type&gt;&lt;contributors&gt;&lt;authors&gt;&lt;author&gt;O&amp;apos;Neill, B. C.&lt;/author&gt;&lt;author&gt;Tebaldi, C.&lt;/author&gt;&lt;author&gt;Van Vuuren, D. P.&lt;/author&gt;&lt;author&gt;Eyring, V.&lt;/author&gt;&lt;author&gt;Friedlingstein, P.&lt;/author&gt;&lt;author&gt;Hurtt, G.&lt;/author&gt;&lt;author&gt;Knutti, R.&lt;/author&gt;&lt;author&gt;Kriegler, E.&lt;/author&gt;&lt;author&gt;Lamarque, J. F.&lt;/author&gt;&lt;author&gt;Lowe, J.&lt;/author&gt;&lt;author&gt;Meehl, G. A.&lt;/author&gt;&lt;author&gt;Moss, R.&lt;/author&gt;&lt;author&gt;Riahi, K.&lt;/author&gt;&lt;author&gt;Sanderson, B. M.&lt;/author&gt;&lt;/authors&gt;&lt;/contributors&gt;&lt;titles&gt;&lt;title&gt;The Scenario Model Intercomparison Project (ScenarioMIP) for CMIP6&lt;/title&gt;&lt;secondary-title&gt;Geoscientific Model Development&lt;/secondary-title&gt;&lt;/titles&gt;&lt;periodical&gt;&lt;full-title&gt;Geoscientific Model Development&lt;/full-title&gt;&lt;/periodical&gt;&lt;pages&gt;3461-3482&lt;/pages&gt;&lt;volume&gt;9&lt;/volume&gt;&lt;number&gt;9&lt;/number&gt;&lt;dates&gt;&lt;year&gt;2016&lt;/year&gt;&lt;/dates&gt;&lt;label&gt;ONeill16&lt;/label&gt;&lt;work-type&gt;Article&lt;/work-type&gt;&lt;urls&gt;&lt;related-urls&gt;&lt;url&gt;https://www.scopus.com/inward/record.uri?eid=2-s2.0-84990046271&amp;amp;doi=10.5194%2fgmd-9-3461-2016&amp;amp;partnerID=40&amp;amp;md5=80973f57222a845b309773fbb7f39e16&lt;/url&gt;&lt;/related-urls&gt;&lt;/urls&gt;&lt;electronic-resource-num&gt;10.5194/gmd-9-3461-2016&lt;/electronic-resource-num&gt;&lt;remote-database-name&gt;Scopus&lt;/remote-database-name&gt;&lt;/record&gt;&lt;/Cite&gt;&lt;/EndNote&gt;</w:instrText>
      </w:r>
      <w:r w:rsidR="006551F0" w:rsidRPr="008F6866">
        <w:fldChar w:fldCharType="separate"/>
      </w:r>
      <w:r w:rsidR="001677B2">
        <w:rPr>
          <w:noProof/>
        </w:rPr>
        <w:t>(O'Neill</w:t>
      </w:r>
      <w:r w:rsidR="001677B2" w:rsidRPr="001677B2">
        <w:rPr>
          <w:i/>
          <w:noProof/>
        </w:rPr>
        <w:t xml:space="preserve"> et al.</w:t>
      </w:r>
      <w:r w:rsidR="001677B2">
        <w:rPr>
          <w:noProof/>
        </w:rPr>
        <w:t>, 2016)</w:t>
      </w:r>
      <w:r w:rsidR="006551F0" w:rsidRPr="008F6866">
        <w:fldChar w:fldCharType="end"/>
      </w:r>
      <w:r w:rsidRPr="008F6866">
        <w:t>. For this study, the four Tier 1 scenarios in the CMIP6 (SSP1-2.6, SSP2-4.5, SSP3-7.0, and SSP5-8.5) are chosen, describing different challenges related to climate change adaptation and mitigation. In other words, these four scenarios envision different future worlds, respectively referring to the low-forcing sustainability pathway, medium-forcing middle‐of‐the‐road pathway, medium‐ to high‐end forcing pathway, and high‐end forcing pathway. The complete archive of CMIP6 output is accessible from the multiple Earth System Grid Federation portals.</w:t>
      </w:r>
    </w:p>
    <w:p w14:paraId="5B57765B" w14:textId="16E67320" w:rsidR="00B70D48" w:rsidRPr="00B70D48" w:rsidRDefault="006551F0" w:rsidP="00B70D48">
      <w:pPr>
        <w:spacing w:after="120" w:line="300" w:lineRule="auto"/>
        <w:jc w:val="both"/>
        <w:rPr>
          <w:rFonts w:cstheme="minorHAnsi"/>
        </w:rPr>
      </w:pPr>
      <w:r w:rsidRPr="008F6866">
        <w:rPr>
          <w:rFonts w:cstheme="minorHAnsi"/>
        </w:rPr>
        <w:t xml:space="preserve">Eleven GCMs </w:t>
      </w:r>
      <w:r w:rsidR="00FB4B80" w:rsidRPr="008F6866">
        <w:rPr>
          <w:rFonts w:cstheme="minorHAnsi"/>
        </w:rPr>
        <w:t xml:space="preserve">(listed in </w:t>
      </w:r>
      <w:r w:rsidR="00FB4B80" w:rsidRPr="008F6866">
        <w:rPr>
          <w:rFonts w:cstheme="minorHAnsi"/>
        </w:rPr>
        <w:fldChar w:fldCharType="begin"/>
      </w:r>
      <w:r w:rsidR="00FB4B80" w:rsidRPr="008F6866">
        <w:rPr>
          <w:rFonts w:cstheme="minorHAnsi"/>
        </w:rPr>
        <w:instrText xml:space="preserve"> REF _Ref195562334 \h  \* MERGEFORMAT </w:instrText>
      </w:r>
      <w:r w:rsidR="00FB4B80" w:rsidRPr="008F6866">
        <w:rPr>
          <w:rFonts w:cstheme="minorHAnsi"/>
        </w:rPr>
      </w:r>
      <w:r w:rsidR="00FB4B80" w:rsidRPr="008F6866">
        <w:rPr>
          <w:rFonts w:cstheme="minorHAnsi"/>
        </w:rPr>
        <w:fldChar w:fldCharType="separate"/>
      </w:r>
      <w:r w:rsidR="00540DBF" w:rsidRPr="00540DBF">
        <w:rPr>
          <w:rFonts w:cstheme="minorHAnsi"/>
        </w:rPr>
        <w:t>Figure 8</w:t>
      </w:r>
      <w:r w:rsidR="00FB4B80" w:rsidRPr="008F6866">
        <w:rPr>
          <w:rFonts w:cstheme="minorHAnsi"/>
        </w:rPr>
        <w:fldChar w:fldCharType="end"/>
      </w:r>
      <w:r w:rsidR="00FB4B80" w:rsidRPr="008F6866">
        <w:rPr>
          <w:rFonts w:cstheme="minorHAnsi"/>
        </w:rPr>
        <w:t xml:space="preserve">) </w:t>
      </w:r>
      <w:r w:rsidRPr="008F6866">
        <w:rPr>
          <w:rFonts w:cstheme="minorHAnsi"/>
        </w:rPr>
        <w:t xml:space="preserve">provide data for all variables required in this study for the historical period and the four future scenarios. For a given model and scenario, model </w:t>
      </w:r>
      <w:r w:rsidR="00511878" w:rsidRPr="008F6866">
        <w:rPr>
          <w:rFonts w:cstheme="minorHAnsi"/>
        </w:rPr>
        <w:t>centres</w:t>
      </w:r>
      <w:r w:rsidRPr="008F6866">
        <w:rPr>
          <w:rFonts w:cstheme="minorHAnsi"/>
        </w:rPr>
        <w:t xml:space="preserve"> generally provide multiple simulations to test the impact of the initialization procedure, different parametrization schemes or the sensitivity to the initial conditions. To give an equal weight to the GCMs in the ensemble mean, only one run per model (member r1i1p1f1) is used</w:t>
      </w:r>
      <w:r w:rsidR="00FB4B80" w:rsidRPr="008F6866">
        <w:rPr>
          <w:rFonts w:cstheme="minorHAnsi"/>
        </w:rPr>
        <w:t xml:space="preserve"> </w:t>
      </w:r>
      <w:r w:rsidRPr="008F6866">
        <w:rPr>
          <w:rFonts w:cstheme="minorHAnsi"/>
        </w:rPr>
        <w:fldChar w:fldCharType="begin"/>
      </w:r>
      <w:r w:rsidR="001677B2">
        <w:rPr>
          <w:rFonts w:cstheme="minorHAnsi"/>
        </w:rPr>
        <w:instrText xml:space="preserve"> ADDIN EN.CITE &lt;EndNote&gt;&lt;Cite&gt;&lt;Author&gt;Tabari&lt;/Author&gt;&lt;Year&gt;2019&lt;/Year&gt;&lt;RecNum&gt;339&lt;/RecNum&gt;&lt;IDText&gt;Tabari19&lt;/IDText&gt;&lt;DisplayText&gt;(Tabari&lt;style face="italic"&gt; et al.&lt;/style&gt;, 2019)&lt;/DisplayText&gt;&lt;record&gt;&lt;rec-number&gt;339&lt;/rec-number&gt;&lt;foreign-keys&gt;&lt;key app="EN" db-id="0px2fzdxhrpdrre2w5f5pdryx90atadrdavt" timestamp="1713813278"&gt;339&lt;/key&gt;&lt;/foreign-keys&gt;&lt;ref-type name="Journal Article"&gt;17&lt;/ref-type&gt;&lt;contributors&gt;&lt;authors&gt;&lt;author&gt;Tabari, H.&lt;/author&gt;&lt;author&gt;Hosseinzadehtalaei, P.&lt;/author&gt;&lt;author&gt;Aghakouchak, A.&lt;/author&gt;&lt;author&gt;Willems, P.&lt;/author&gt;&lt;/authors&gt;&lt;/contributors&gt;&lt;titles&gt;&lt;title&gt;Latitudinal heterogeneity and hotspots of uncertainty in projected extreme precipitation&lt;/title&gt;&lt;secondary-title&gt;Environmental Research Letters&lt;/secondary-title&gt;&lt;/titles&gt;&lt;periodical&gt;&lt;full-title&gt;Environmental Research Letters&lt;/full-title&gt;&lt;/periodical&gt;&lt;volume&gt;14&lt;/volume&gt;&lt;number&gt;12&lt;/number&gt;&lt;dates&gt;&lt;year&gt;2019&lt;/year&gt;&lt;/dates&gt;&lt;label&gt;Tabari19&lt;/label&gt;&lt;work-type&gt;Article&lt;/work-type&gt;&lt;urls&gt;&lt;related-urls&gt;&lt;url&gt;https://www.scopus.com/inward/record.uri?eid=2-s2.0-85080110301&amp;amp;doi=10.1088%2f1748-9326%2fab55fd&amp;amp;partnerID=40&amp;amp;md5=c91a671094a03c20ca5f7bb4576d1d12&lt;/url&gt;&lt;/related-urls&gt;&lt;/urls&gt;&lt;custom7&gt;124032&lt;/custom7&gt;&lt;electronic-resource-num&gt;10.1088/1748-9326/ab55fd&lt;/electronic-resource-num&gt;&lt;remote-database-name&gt;Scopus&lt;/remote-database-name&gt;&lt;/record&gt;&lt;/Cite&gt;&lt;/EndNote&gt;</w:instrText>
      </w:r>
      <w:r w:rsidRPr="008F6866">
        <w:rPr>
          <w:rFonts w:cstheme="minorHAnsi"/>
        </w:rPr>
        <w:fldChar w:fldCharType="separate"/>
      </w:r>
      <w:r w:rsidR="001677B2">
        <w:rPr>
          <w:rFonts w:cstheme="minorHAnsi"/>
          <w:noProof/>
        </w:rPr>
        <w:t>(Tabari</w:t>
      </w:r>
      <w:r w:rsidR="001677B2" w:rsidRPr="001677B2">
        <w:rPr>
          <w:rFonts w:cstheme="minorHAnsi"/>
          <w:i/>
          <w:noProof/>
        </w:rPr>
        <w:t xml:space="preserve"> et al.</w:t>
      </w:r>
      <w:r w:rsidR="001677B2">
        <w:rPr>
          <w:rFonts w:cstheme="minorHAnsi"/>
          <w:noProof/>
        </w:rPr>
        <w:t>, 2019)</w:t>
      </w:r>
      <w:r w:rsidRPr="008F6866">
        <w:rPr>
          <w:rFonts w:cstheme="minorHAnsi"/>
        </w:rPr>
        <w:fldChar w:fldCharType="end"/>
      </w:r>
      <w:r w:rsidRPr="008F6866">
        <w:rPr>
          <w:rFonts w:cstheme="minorHAnsi"/>
        </w:rPr>
        <w:t>. As not all the CMIP6 models selected in this study simulate leap years (365-days calendar for four of them), time series were linearly interpolated in time to fill the missing days (29</w:t>
      </w:r>
      <w:r w:rsidRPr="008F6866">
        <w:rPr>
          <w:rFonts w:cstheme="minorHAnsi"/>
          <w:vertAlign w:val="superscript"/>
        </w:rPr>
        <w:t>th</w:t>
      </w:r>
      <w:r w:rsidRPr="008F6866">
        <w:rPr>
          <w:rFonts w:cstheme="minorHAnsi"/>
        </w:rPr>
        <w:t xml:space="preserve"> of February). Finally, the data of each GCM are extracted for the grid cells covering the locations of the selected case study sites (see Task 4.1 and</w:t>
      </w:r>
      <w:r w:rsidR="00C1285E" w:rsidRPr="008F6866">
        <w:rPr>
          <w:rFonts w:cstheme="minorHAnsi"/>
        </w:rPr>
        <w:t xml:space="preserve"> </w:t>
      </w:r>
      <w:r w:rsidR="00C1285E" w:rsidRPr="008F6866">
        <w:rPr>
          <w:rFonts w:cstheme="minorHAnsi"/>
        </w:rPr>
        <w:fldChar w:fldCharType="begin"/>
      </w:r>
      <w:r w:rsidR="00C1285E" w:rsidRPr="008F6866">
        <w:rPr>
          <w:rFonts w:cstheme="minorHAnsi"/>
        </w:rPr>
        <w:instrText xml:space="preserve"> REF _Ref195652580 \h  \* MERGEFORMAT </w:instrText>
      </w:r>
      <w:r w:rsidR="00C1285E" w:rsidRPr="008F6866">
        <w:rPr>
          <w:rFonts w:cstheme="minorHAnsi"/>
        </w:rPr>
      </w:r>
      <w:r w:rsidR="00C1285E" w:rsidRPr="008F6866">
        <w:rPr>
          <w:rFonts w:cstheme="minorHAnsi"/>
        </w:rPr>
        <w:fldChar w:fldCharType="separate"/>
      </w:r>
      <w:r w:rsidR="00540DBF" w:rsidRPr="00540DBF">
        <w:rPr>
          <w:rFonts w:cstheme="minorHAnsi"/>
        </w:rPr>
        <w:t>Table II</w:t>
      </w:r>
      <w:r w:rsidR="00C1285E" w:rsidRPr="008F6866">
        <w:rPr>
          <w:rFonts w:cstheme="minorHAnsi"/>
        </w:rPr>
        <w:fldChar w:fldCharType="end"/>
      </w:r>
      <w:r w:rsidRPr="008F6866">
        <w:rPr>
          <w:rFonts w:cstheme="minorHAnsi"/>
        </w:rPr>
        <w:t>).</w:t>
      </w:r>
    </w:p>
    <w:p w14:paraId="45646B28" w14:textId="77777777" w:rsidR="00B70D48" w:rsidRPr="008F6866" w:rsidRDefault="00B70D48" w:rsidP="00B70D48">
      <w:pPr>
        <w:pStyle w:val="Lgende"/>
        <w:spacing w:after="0"/>
        <w:jc w:val="center"/>
        <w:rPr>
          <w:rFonts w:asciiTheme="minorHAnsi" w:hAnsiTheme="minorHAnsi" w:cstheme="minorHAnsi"/>
          <w:b/>
          <w:i w:val="0"/>
          <w:color w:val="000000" w:themeColor="text1"/>
          <w:sz w:val="20"/>
          <w:szCs w:val="20"/>
        </w:rPr>
      </w:pPr>
      <w:bookmarkStart w:id="20" w:name="_Ref195562417"/>
      <w:bookmarkStart w:id="21" w:name="_Ref195652580"/>
      <w:r w:rsidRPr="008F6866">
        <w:rPr>
          <w:b/>
          <w:i w:val="0"/>
          <w:color w:val="000000" w:themeColor="text1"/>
          <w:sz w:val="20"/>
          <w:szCs w:val="20"/>
        </w:rPr>
        <w:t xml:space="preserve">Table </w:t>
      </w:r>
      <w:bookmarkEnd w:id="20"/>
      <w:r>
        <w:rPr>
          <w:b/>
          <w:i w:val="0"/>
          <w:color w:val="000000" w:themeColor="text1"/>
          <w:sz w:val="20"/>
          <w:szCs w:val="20"/>
        </w:rPr>
        <w:fldChar w:fldCharType="begin"/>
      </w:r>
      <w:r>
        <w:rPr>
          <w:b/>
          <w:i w:val="0"/>
          <w:color w:val="000000" w:themeColor="text1"/>
          <w:sz w:val="20"/>
          <w:szCs w:val="20"/>
        </w:rPr>
        <w:instrText xml:space="preserve"> SEQ Table \* ROMAN </w:instrText>
      </w:r>
      <w:r>
        <w:rPr>
          <w:b/>
          <w:i w:val="0"/>
          <w:color w:val="000000" w:themeColor="text1"/>
          <w:sz w:val="20"/>
          <w:szCs w:val="20"/>
        </w:rPr>
        <w:fldChar w:fldCharType="separate"/>
      </w:r>
      <w:r>
        <w:rPr>
          <w:b/>
          <w:i w:val="0"/>
          <w:noProof/>
          <w:color w:val="000000" w:themeColor="text1"/>
          <w:sz w:val="20"/>
          <w:szCs w:val="20"/>
        </w:rPr>
        <w:t>II</w:t>
      </w:r>
      <w:r>
        <w:rPr>
          <w:b/>
          <w:i w:val="0"/>
          <w:color w:val="000000" w:themeColor="text1"/>
          <w:sz w:val="20"/>
          <w:szCs w:val="20"/>
        </w:rPr>
        <w:fldChar w:fldCharType="end"/>
      </w:r>
      <w:bookmarkEnd w:id="21"/>
      <w:r w:rsidRPr="008F6866">
        <w:rPr>
          <w:b/>
          <w:i w:val="0"/>
          <w:color w:val="000000" w:themeColor="text1"/>
          <w:sz w:val="20"/>
          <w:szCs w:val="20"/>
        </w:rPr>
        <w:t>. The study locations in Belgium</w:t>
      </w:r>
    </w:p>
    <w:tbl>
      <w:tblPr>
        <w:tblStyle w:val="Grilledutableau"/>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083"/>
        <w:gridCol w:w="2603"/>
        <w:gridCol w:w="1417"/>
        <w:gridCol w:w="2410"/>
      </w:tblGrid>
      <w:tr w:rsidR="00B70D48" w:rsidRPr="008F6866" w14:paraId="5B07BAA1" w14:textId="77777777" w:rsidTr="0054079D">
        <w:trPr>
          <w:jc w:val="center"/>
        </w:trPr>
        <w:tc>
          <w:tcPr>
            <w:tcW w:w="1083" w:type="dxa"/>
            <w:tcBorders>
              <w:top w:val="single" w:sz="12" w:space="0" w:color="auto"/>
              <w:bottom w:val="single" w:sz="12" w:space="0" w:color="auto"/>
            </w:tcBorders>
          </w:tcPr>
          <w:p w14:paraId="386FBF2A"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No.</w:t>
            </w:r>
          </w:p>
        </w:tc>
        <w:tc>
          <w:tcPr>
            <w:tcW w:w="2603" w:type="dxa"/>
            <w:tcBorders>
              <w:top w:val="single" w:sz="12" w:space="0" w:color="auto"/>
              <w:bottom w:val="single" w:sz="12" w:space="0" w:color="auto"/>
            </w:tcBorders>
          </w:tcPr>
          <w:p w14:paraId="32057BBC"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Location</w:t>
            </w:r>
          </w:p>
        </w:tc>
        <w:tc>
          <w:tcPr>
            <w:tcW w:w="1417" w:type="dxa"/>
            <w:tcBorders>
              <w:top w:val="single" w:sz="12" w:space="0" w:color="auto"/>
              <w:bottom w:val="single" w:sz="12" w:space="0" w:color="auto"/>
            </w:tcBorders>
          </w:tcPr>
          <w:p w14:paraId="1768AE18"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Latitude [°]</w:t>
            </w:r>
          </w:p>
        </w:tc>
        <w:tc>
          <w:tcPr>
            <w:tcW w:w="2410" w:type="dxa"/>
            <w:tcBorders>
              <w:top w:val="single" w:sz="12" w:space="0" w:color="auto"/>
              <w:bottom w:val="single" w:sz="12" w:space="0" w:color="auto"/>
            </w:tcBorders>
          </w:tcPr>
          <w:p w14:paraId="25EB9D8C"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Longitude [°]</w:t>
            </w:r>
          </w:p>
        </w:tc>
      </w:tr>
      <w:tr w:rsidR="00B70D48" w:rsidRPr="008F6866" w14:paraId="322B5782" w14:textId="77777777" w:rsidTr="0054079D">
        <w:trPr>
          <w:jc w:val="center"/>
        </w:trPr>
        <w:tc>
          <w:tcPr>
            <w:tcW w:w="1083" w:type="dxa"/>
            <w:tcBorders>
              <w:top w:val="single" w:sz="12" w:space="0" w:color="auto"/>
              <w:bottom w:val="nil"/>
            </w:tcBorders>
          </w:tcPr>
          <w:p w14:paraId="528FAA39"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1</w:t>
            </w:r>
          </w:p>
        </w:tc>
        <w:tc>
          <w:tcPr>
            <w:tcW w:w="2603" w:type="dxa"/>
            <w:tcBorders>
              <w:top w:val="single" w:sz="12" w:space="0" w:color="auto"/>
              <w:bottom w:val="nil"/>
            </w:tcBorders>
          </w:tcPr>
          <w:p w14:paraId="6C823096"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Baileux</w:t>
            </w:r>
          </w:p>
        </w:tc>
        <w:tc>
          <w:tcPr>
            <w:tcW w:w="1417" w:type="dxa"/>
            <w:tcBorders>
              <w:top w:val="single" w:sz="12" w:space="0" w:color="auto"/>
              <w:bottom w:val="nil"/>
            </w:tcBorders>
          </w:tcPr>
          <w:p w14:paraId="598EC933"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50.02</w:t>
            </w:r>
          </w:p>
        </w:tc>
        <w:tc>
          <w:tcPr>
            <w:tcW w:w="2410" w:type="dxa"/>
            <w:tcBorders>
              <w:top w:val="single" w:sz="12" w:space="0" w:color="auto"/>
              <w:bottom w:val="nil"/>
            </w:tcBorders>
          </w:tcPr>
          <w:p w14:paraId="55C99A25"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4.4</w:t>
            </w:r>
          </w:p>
        </w:tc>
      </w:tr>
      <w:tr w:rsidR="00B70D48" w:rsidRPr="008F6866" w14:paraId="17B76B62" w14:textId="77777777" w:rsidTr="0054079D">
        <w:trPr>
          <w:jc w:val="center"/>
        </w:trPr>
        <w:tc>
          <w:tcPr>
            <w:tcW w:w="1083" w:type="dxa"/>
            <w:tcBorders>
              <w:top w:val="nil"/>
              <w:bottom w:val="nil"/>
            </w:tcBorders>
            <w:shd w:val="clear" w:color="auto" w:fill="D9D9D9"/>
          </w:tcPr>
          <w:p w14:paraId="43C8D671"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2</w:t>
            </w:r>
          </w:p>
        </w:tc>
        <w:tc>
          <w:tcPr>
            <w:tcW w:w="2603" w:type="dxa"/>
            <w:tcBorders>
              <w:top w:val="nil"/>
              <w:bottom w:val="nil"/>
            </w:tcBorders>
            <w:shd w:val="clear" w:color="auto" w:fill="D9D9D9"/>
          </w:tcPr>
          <w:p w14:paraId="0AD77A15"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Buchholz</w:t>
            </w:r>
          </w:p>
        </w:tc>
        <w:tc>
          <w:tcPr>
            <w:tcW w:w="1417" w:type="dxa"/>
            <w:tcBorders>
              <w:top w:val="nil"/>
              <w:bottom w:val="nil"/>
            </w:tcBorders>
            <w:shd w:val="clear" w:color="auto" w:fill="D9D9D9"/>
          </w:tcPr>
          <w:p w14:paraId="0773209E"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50.36</w:t>
            </w:r>
          </w:p>
        </w:tc>
        <w:tc>
          <w:tcPr>
            <w:tcW w:w="2410" w:type="dxa"/>
            <w:tcBorders>
              <w:top w:val="nil"/>
              <w:bottom w:val="nil"/>
            </w:tcBorders>
            <w:shd w:val="clear" w:color="auto" w:fill="D9D9D9"/>
          </w:tcPr>
          <w:p w14:paraId="66B70E96"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6.31</w:t>
            </w:r>
          </w:p>
        </w:tc>
      </w:tr>
      <w:tr w:rsidR="00B70D48" w:rsidRPr="008F6866" w14:paraId="42E3E447" w14:textId="77777777" w:rsidTr="0054079D">
        <w:trPr>
          <w:jc w:val="center"/>
        </w:trPr>
        <w:tc>
          <w:tcPr>
            <w:tcW w:w="1083" w:type="dxa"/>
            <w:tcBorders>
              <w:top w:val="nil"/>
              <w:bottom w:val="nil"/>
            </w:tcBorders>
          </w:tcPr>
          <w:p w14:paraId="729F4EBD"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3</w:t>
            </w:r>
          </w:p>
        </w:tc>
        <w:tc>
          <w:tcPr>
            <w:tcW w:w="2603" w:type="dxa"/>
            <w:tcBorders>
              <w:top w:val="nil"/>
              <w:bottom w:val="nil"/>
            </w:tcBorders>
          </w:tcPr>
          <w:p w14:paraId="649C9514"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Eupen</w:t>
            </w:r>
          </w:p>
        </w:tc>
        <w:tc>
          <w:tcPr>
            <w:tcW w:w="1417" w:type="dxa"/>
            <w:tcBorders>
              <w:top w:val="nil"/>
              <w:bottom w:val="nil"/>
            </w:tcBorders>
          </w:tcPr>
          <w:p w14:paraId="66101A2C"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50.59</w:t>
            </w:r>
          </w:p>
        </w:tc>
        <w:tc>
          <w:tcPr>
            <w:tcW w:w="2410" w:type="dxa"/>
            <w:tcBorders>
              <w:top w:val="nil"/>
              <w:bottom w:val="nil"/>
            </w:tcBorders>
          </w:tcPr>
          <w:p w14:paraId="12C8F822"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6.10</w:t>
            </w:r>
          </w:p>
        </w:tc>
      </w:tr>
      <w:tr w:rsidR="00B70D48" w:rsidRPr="008F6866" w14:paraId="062321CA" w14:textId="77777777" w:rsidTr="0054079D">
        <w:trPr>
          <w:jc w:val="center"/>
        </w:trPr>
        <w:tc>
          <w:tcPr>
            <w:tcW w:w="1083" w:type="dxa"/>
            <w:tcBorders>
              <w:top w:val="nil"/>
              <w:bottom w:val="nil"/>
            </w:tcBorders>
            <w:shd w:val="clear" w:color="auto" w:fill="D9D9D9"/>
          </w:tcPr>
          <w:p w14:paraId="3BB94CE9"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4</w:t>
            </w:r>
          </w:p>
        </w:tc>
        <w:tc>
          <w:tcPr>
            <w:tcW w:w="2603" w:type="dxa"/>
            <w:tcBorders>
              <w:top w:val="nil"/>
              <w:bottom w:val="nil"/>
            </w:tcBorders>
            <w:shd w:val="clear" w:color="auto" w:fill="D9D9D9"/>
          </w:tcPr>
          <w:p w14:paraId="4EC86DAC"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 xml:space="preserve">Gedinne </w:t>
            </w:r>
          </w:p>
        </w:tc>
        <w:tc>
          <w:tcPr>
            <w:tcW w:w="1417" w:type="dxa"/>
            <w:tcBorders>
              <w:top w:val="nil"/>
              <w:bottom w:val="nil"/>
            </w:tcBorders>
            <w:shd w:val="clear" w:color="auto" w:fill="D9D9D9"/>
          </w:tcPr>
          <w:p w14:paraId="7A242FF4"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49.96</w:t>
            </w:r>
          </w:p>
        </w:tc>
        <w:tc>
          <w:tcPr>
            <w:tcW w:w="2410" w:type="dxa"/>
            <w:tcBorders>
              <w:top w:val="nil"/>
              <w:bottom w:val="nil"/>
            </w:tcBorders>
            <w:shd w:val="clear" w:color="auto" w:fill="D9D9D9"/>
          </w:tcPr>
          <w:p w14:paraId="5950A6FD"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4.83</w:t>
            </w:r>
          </w:p>
        </w:tc>
      </w:tr>
      <w:tr w:rsidR="00B70D48" w:rsidRPr="008F6866" w14:paraId="22D851BC" w14:textId="77777777" w:rsidTr="0054079D">
        <w:trPr>
          <w:jc w:val="center"/>
        </w:trPr>
        <w:tc>
          <w:tcPr>
            <w:tcW w:w="1083" w:type="dxa"/>
            <w:tcBorders>
              <w:top w:val="nil"/>
              <w:bottom w:val="nil"/>
            </w:tcBorders>
          </w:tcPr>
          <w:p w14:paraId="0CD3E8C0"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5</w:t>
            </w:r>
          </w:p>
        </w:tc>
        <w:tc>
          <w:tcPr>
            <w:tcW w:w="2603" w:type="dxa"/>
            <w:tcBorders>
              <w:top w:val="nil"/>
              <w:bottom w:val="nil"/>
            </w:tcBorders>
          </w:tcPr>
          <w:p w14:paraId="3894C13A"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Les-Fossés</w:t>
            </w:r>
          </w:p>
        </w:tc>
        <w:tc>
          <w:tcPr>
            <w:tcW w:w="1417" w:type="dxa"/>
            <w:tcBorders>
              <w:top w:val="nil"/>
              <w:bottom w:val="nil"/>
            </w:tcBorders>
          </w:tcPr>
          <w:p w14:paraId="3DC59FBE"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49.78</w:t>
            </w:r>
          </w:p>
        </w:tc>
        <w:tc>
          <w:tcPr>
            <w:tcW w:w="2410" w:type="dxa"/>
            <w:tcBorders>
              <w:top w:val="nil"/>
              <w:bottom w:val="nil"/>
            </w:tcBorders>
          </w:tcPr>
          <w:p w14:paraId="618E1569"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5.46</w:t>
            </w:r>
          </w:p>
        </w:tc>
      </w:tr>
      <w:tr w:rsidR="00B70D48" w:rsidRPr="008F6866" w14:paraId="39CB39E7" w14:textId="77777777" w:rsidTr="0054079D">
        <w:trPr>
          <w:jc w:val="center"/>
        </w:trPr>
        <w:tc>
          <w:tcPr>
            <w:tcW w:w="1083" w:type="dxa"/>
            <w:tcBorders>
              <w:top w:val="nil"/>
              <w:bottom w:val="nil"/>
            </w:tcBorders>
            <w:shd w:val="clear" w:color="auto" w:fill="D9D9D9"/>
          </w:tcPr>
          <w:p w14:paraId="5FC4650C"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6</w:t>
            </w:r>
          </w:p>
        </w:tc>
        <w:tc>
          <w:tcPr>
            <w:tcW w:w="2603" w:type="dxa"/>
            <w:tcBorders>
              <w:top w:val="nil"/>
              <w:bottom w:val="nil"/>
            </w:tcBorders>
            <w:shd w:val="clear" w:color="auto" w:fill="D9D9D9"/>
          </w:tcPr>
          <w:p w14:paraId="0C656FB4"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Louvain-la-Neuve (LLN)</w:t>
            </w:r>
          </w:p>
        </w:tc>
        <w:tc>
          <w:tcPr>
            <w:tcW w:w="1417" w:type="dxa"/>
            <w:tcBorders>
              <w:top w:val="nil"/>
              <w:bottom w:val="nil"/>
            </w:tcBorders>
            <w:shd w:val="clear" w:color="auto" w:fill="D9D9D9"/>
          </w:tcPr>
          <w:p w14:paraId="2A7B06E9"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50.68</w:t>
            </w:r>
          </w:p>
        </w:tc>
        <w:tc>
          <w:tcPr>
            <w:tcW w:w="2410" w:type="dxa"/>
            <w:tcBorders>
              <w:top w:val="nil"/>
              <w:bottom w:val="nil"/>
            </w:tcBorders>
            <w:shd w:val="clear" w:color="auto" w:fill="D9D9D9"/>
          </w:tcPr>
          <w:p w14:paraId="4CC4ED2A"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4.60</w:t>
            </w:r>
          </w:p>
        </w:tc>
      </w:tr>
      <w:tr w:rsidR="00B70D48" w:rsidRPr="008F6866" w14:paraId="57BE2B63" w14:textId="77777777" w:rsidTr="0054079D">
        <w:trPr>
          <w:jc w:val="center"/>
        </w:trPr>
        <w:tc>
          <w:tcPr>
            <w:tcW w:w="1083" w:type="dxa"/>
            <w:tcBorders>
              <w:top w:val="nil"/>
              <w:bottom w:val="nil"/>
            </w:tcBorders>
          </w:tcPr>
          <w:p w14:paraId="44791DFF"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7</w:t>
            </w:r>
          </w:p>
        </w:tc>
        <w:tc>
          <w:tcPr>
            <w:tcW w:w="2603" w:type="dxa"/>
            <w:tcBorders>
              <w:top w:val="nil"/>
              <w:bottom w:val="nil"/>
            </w:tcBorders>
          </w:tcPr>
          <w:p w14:paraId="7580999F"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 xml:space="preserve">Petit-Thier </w:t>
            </w:r>
          </w:p>
        </w:tc>
        <w:tc>
          <w:tcPr>
            <w:tcW w:w="1417" w:type="dxa"/>
            <w:tcBorders>
              <w:top w:val="nil"/>
              <w:bottom w:val="nil"/>
            </w:tcBorders>
          </w:tcPr>
          <w:p w14:paraId="61926EBB"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50.31</w:t>
            </w:r>
          </w:p>
        </w:tc>
        <w:tc>
          <w:tcPr>
            <w:tcW w:w="2410" w:type="dxa"/>
            <w:tcBorders>
              <w:top w:val="nil"/>
              <w:bottom w:val="nil"/>
            </w:tcBorders>
          </w:tcPr>
          <w:p w14:paraId="49AEF372"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5.98</w:t>
            </w:r>
          </w:p>
        </w:tc>
      </w:tr>
      <w:tr w:rsidR="00B70D48" w:rsidRPr="008F6866" w14:paraId="2790E59E" w14:textId="77777777" w:rsidTr="0054079D">
        <w:trPr>
          <w:jc w:val="center"/>
        </w:trPr>
        <w:tc>
          <w:tcPr>
            <w:tcW w:w="1083" w:type="dxa"/>
            <w:tcBorders>
              <w:top w:val="nil"/>
              <w:bottom w:val="nil"/>
            </w:tcBorders>
            <w:shd w:val="clear" w:color="auto" w:fill="D9D9D9"/>
          </w:tcPr>
          <w:p w14:paraId="3593600A"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8</w:t>
            </w:r>
          </w:p>
        </w:tc>
        <w:tc>
          <w:tcPr>
            <w:tcW w:w="2603" w:type="dxa"/>
            <w:tcBorders>
              <w:top w:val="nil"/>
              <w:bottom w:val="nil"/>
            </w:tcBorders>
            <w:shd w:val="clear" w:color="auto" w:fill="D9D9D9"/>
          </w:tcPr>
          <w:p w14:paraId="71D828C3"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 xml:space="preserve">Séviscourt </w:t>
            </w:r>
          </w:p>
        </w:tc>
        <w:tc>
          <w:tcPr>
            <w:tcW w:w="1417" w:type="dxa"/>
            <w:tcBorders>
              <w:top w:val="nil"/>
              <w:bottom w:val="nil"/>
            </w:tcBorders>
            <w:shd w:val="clear" w:color="auto" w:fill="D9D9D9"/>
          </w:tcPr>
          <w:p w14:paraId="0CA0A579"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49.94</w:t>
            </w:r>
          </w:p>
        </w:tc>
        <w:tc>
          <w:tcPr>
            <w:tcW w:w="2410" w:type="dxa"/>
            <w:tcBorders>
              <w:top w:val="nil"/>
              <w:bottom w:val="nil"/>
            </w:tcBorders>
            <w:shd w:val="clear" w:color="auto" w:fill="D9D9D9"/>
          </w:tcPr>
          <w:p w14:paraId="09F8C457"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5.39</w:t>
            </w:r>
          </w:p>
        </w:tc>
      </w:tr>
      <w:tr w:rsidR="00B70D48" w:rsidRPr="008F6866" w14:paraId="5BBE94C2" w14:textId="77777777" w:rsidTr="0054079D">
        <w:trPr>
          <w:jc w:val="center"/>
        </w:trPr>
        <w:tc>
          <w:tcPr>
            <w:tcW w:w="1083" w:type="dxa"/>
            <w:tcBorders>
              <w:top w:val="nil"/>
              <w:bottom w:val="nil"/>
            </w:tcBorders>
          </w:tcPr>
          <w:p w14:paraId="7CC5B816"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9</w:t>
            </w:r>
          </w:p>
        </w:tc>
        <w:tc>
          <w:tcPr>
            <w:tcW w:w="2603" w:type="dxa"/>
            <w:tcBorders>
              <w:top w:val="nil"/>
              <w:bottom w:val="nil"/>
            </w:tcBorders>
          </w:tcPr>
          <w:p w14:paraId="48340E17"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Ukkel</w:t>
            </w:r>
          </w:p>
        </w:tc>
        <w:tc>
          <w:tcPr>
            <w:tcW w:w="1417" w:type="dxa"/>
            <w:tcBorders>
              <w:top w:val="nil"/>
              <w:bottom w:val="nil"/>
            </w:tcBorders>
          </w:tcPr>
          <w:p w14:paraId="100D69FE"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50.8</w:t>
            </w:r>
          </w:p>
        </w:tc>
        <w:tc>
          <w:tcPr>
            <w:tcW w:w="2410" w:type="dxa"/>
            <w:tcBorders>
              <w:top w:val="nil"/>
              <w:bottom w:val="nil"/>
            </w:tcBorders>
          </w:tcPr>
          <w:p w14:paraId="6DA7DC62"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4.4</w:t>
            </w:r>
          </w:p>
        </w:tc>
      </w:tr>
      <w:tr w:rsidR="00B70D48" w:rsidRPr="008F6866" w14:paraId="6C55C0E0" w14:textId="77777777" w:rsidTr="0054079D">
        <w:trPr>
          <w:jc w:val="center"/>
        </w:trPr>
        <w:tc>
          <w:tcPr>
            <w:tcW w:w="1083" w:type="dxa"/>
            <w:tcBorders>
              <w:top w:val="nil"/>
              <w:bottom w:val="nil"/>
            </w:tcBorders>
            <w:shd w:val="clear" w:color="auto" w:fill="D9D9D9"/>
          </w:tcPr>
          <w:p w14:paraId="395DCBBD"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10</w:t>
            </w:r>
          </w:p>
        </w:tc>
        <w:tc>
          <w:tcPr>
            <w:tcW w:w="2603" w:type="dxa"/>
            <w:tcBorders>
              <w:top w:val="nil"/>
              <w:bottom w:val="nil"/>
            </w:tcBorders>
            <w:shd w:val="clear" w:color="auto" w:fill="D9D9D9"/>
          </w:tcPr>
          <w:p w14:paraId="5E5DF5C3"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 xml:space="preserve">Virton </w:t>
            </w:r>
          </w:p>
        </w:tc>
        <w:tc>
          <w:tcPr>
            <w:tcW w:w="1417" w:type="dxa"/>
            <w:tcBorders>
              <w:top w:val="nil"/>
              <w:bottom w:val="nil"/>
            </w:tcBorders>
            <w:shd w:val="clear" w:color="auto" w:fill="D9D9D9"/>
          </w:tcPr>
          <w:p w14:paraId="55AA2D74"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49.53</w:t>
            </w:r>
          </w:p>
        </w:tc>
        <w:tc>
          <w:tcPr>
            <w:tcW w:w="2410" w:type="dxa"/>
            <w:tcBorders>
              <w:top w:val="nil"/>
              <w:bottom w:val="nil"/>
            </w:tcBorders>
            <w:shd w:val="clear" w:color="auto" w:fill="D9D9D9"/>
          </w:tcPr>
          <w:p w14:paraId="7C9E9F64"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5.57</w:t>
            </w:r>
          </w:p>
        </w:tc>
      </w:tr>
      <w:tr w:rsidR="00B70D48" w:rsidRPr="008F6866" w14:paraId="78F418CC" w14:textId="77777777" w:rsidTr="0054079D">
        <w:trPr>
          <w:jc w:val="center"/>
        </w:trPr>
        <w:tc>
          <w:tcPr>
            <w:tcW w:w="1083" w:type="dxa"/>
            <w:tcBorders>
              <w:top w:val="nil"/>
              <w:bottom w:val="single" w:sz="12" w:space="0" w:color="auto"/>
            </w:tcBorders>
          </w:tcPr>
          <w:p w14:paraId="30D553D4"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11</w:t>
            </w:r>
          </w:p>
        </w:tc>
        <w:tc>
          <w:tcPr>
            <w:tcW w:w="2603" w:type="dxa"/>
            <w:tcBorders>
              <w:top w:val="nil"/>
              <w:bottom w:val="single" w:sz="12" w:space="0" w:color="auto"/>
            </w:tcBorders>
          </w:tcPr>
          <w:p w14:paraId="02FDA8A3"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Wellin</w:t>
            </w:r>
          </w:p>
        </w:tc>
        <w:tc>
          <w:tcPr>
            <w:tcW w:w="1417" w:type="dxa"/>
            <w:tcBorders>
              <w:top w:val="nil"/>
              <w:bottom w:val="single" w:sz="12" w:space="0" w:color="auto"/>
            </w:tcBorders>
          </w:tcPr>
          <w:p w14:paraId="583B26AB"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50.05</w:t>
            </w:r>
          </w:p>
        </w:tc>
        <w:tc>
          <w:tcPr>
            <w:tcW w:w="2410" w:type="dxa"/>
            <w:tcBorders>
              <w:top w:val="nil"/>
              <w:bottom w:val="single" w:sz="12" w:space="0" w:color="auto"/>
            </w:tcBorders>
          </w:tcPr>
          <w:p w14:paraId="70474377" w14:textId="77777777" w:rsidR="00B70D48" w:rsidRPr="008F6866" w:rsidRDefault="00B70D48" w:rsidP="0054079D">
            <w:pPr>
              <w:keepNext/>
              <w:keepLines/>
              <w:jc w:val="both"/>
              <w:rPr>
                <w:rFonts w:asciiTheme="minorHAnsi" w:hAnsiTheme="minorHAnsi"/>
              </w:rPr>
            </w:pPr>
            <w:r w:rsidRPr="008F6866">
              <w:rPr>
                <w:rFonts w:asciiTheme="minorHAnsi" w:hAnsiTheme="minorHAnsi" w:cs="Calibri"/>
              </w:rPr>
              <w:t>5.22</w:t>
            </w:r>
          </w:p>
        </w:tc>
      </w:tr>
    </w:tbl>
    <w:p w14:paraId="32024759" w14:textId="77777777" w:rsidR="00FB4B80" w:rsidRPr="008F6866" w:rsidRDefault="00FB4B80" w:rsidP="00FB4B80">
      <w:pPr>
        <w:spacing w:after="0" w:line="300" w:lineRule="auto"/>
        <w:jc w:val="both"/>
        <w:rPr>
          <w:rFonts w:cstheme="minorHAnsi"/>
        </w:rPr>
      </w:pPr>
    </w:p>
    <w:p w14:paraId="56AAB669" w14:textId="4948A751" w:rsidR="00FB4B80" w:rsidRPr="008F6866" w:rsidRDefault="00FB4B80" w:rsidP="00FB4B80">
      <w:pPr>
        <w:keepNext/>
        <w:spacing w:after="0"/>
        <w:jc w:val="center"/>
      </w:pPr>
      <w:r w:rsidRPr="008F6866">
        <w:rPr>
          <w:noProof/>
          <w:color w:val="000000"/>
        </w:rPr>
        <w:lastRenderedPageBreak/>
        <w:drawing>
          <wp:inline distT="0" distB="0" distL="0" distR="0" wp14:anchorId="13A8FEBC" wp14:editId="179B7F2B">
            <wp:extent cx="4337050" cy="2432050"/>
            <wp:effectExtent l="0" t="0" r="6350" b="635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4337050" cy="2432050"/>
                    </a:xfrm>
                    <a:prstGeom prst="rect">
                      <a:avLst/>
                    </a:prstGeom>
                    <a:ln/>
                  </pic:spPr>
                </pic:pic>
              </a:graphicData>
            </a:graphic>
          </wp:inline>
        </w:drawing>
      </w:r>
    </w:p>
    <w:p w14:paraId="52064C52" w14:textId="4E859048" w:rsidR="00FB4B80" w:rsidRPr="008F6866" w:rsidRDefault="00FB4B80" w:rsidP="0091717E">
      <w:pPr>
        <w:pStyle w:val="Lgende"/>
        <w:spacing w:after="0"/>
        <w:jc w:val="center"/>
        <w:rPr>
          <w:b/>
          <w:i w:val="0"/>
          <w:color w:val="000000" w:themeColor="text1"/>
          <w:sz w:val="20"/>
          <w:szCs w:val="20"/>
        </w:rPr>
      </w:pPr>
      <w:bookmarkStart w:id="22" w:name="_Ref195562334"/>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8</w:t>
      </w:r>
      <w:r w:rsidRPr="008F6866">
        <w:rPr>
          <w:b/>
          <w:i w:val="0"/>
          <w:color w:val="000000" w:themeColor="text1"/>
          <w:sz w:val="20"/>
          <w:szCs w:val="20"/>
        </w:rPr>
        <w:fldChar w:fldCharType="end"/>
      </w:r>
      <w:bookmarkEnd w:id="22"/>
      <w:r w:rsidRPr="008F6866">
        <w:rPr>
          <w:b/>
          <w:i w:val="0"/>
          <w:color w:val="000000" w:themeColor="text1"/>
          <w:sz w:val="20"/>
          <w:szCs w:val="20"/>
        </w:rPr>
        <w:t>. Schematic overview of the climatic variables, the observations and GCM data used to generate the input data for HETEROFOR</w:t>
      </w:r>
    </w:p>
    <w:p w14:paraId="2594F827" w14:textId="4AEF34F2" w:rsidR="006551F0" w:rsidRPr="008F6866" w:rsidRDefault="006551F0" w:rsidP="006551F0">
      <w:pPr>
        <w:jc w:val="both"/>
        <w:rPr>
          <w:rFonts w:cstheme="minorHAnsi"/>
          <w:sz w:val="10"/>
          <w:szCs w:val="10"/>
        </w:rPr>
      </w:pPr>
    </w:p>
    <w:p w14:paraId="55CF04C0" w14:textId="1C438265" w:rsidR="00FE402B" w:rsidRPr="00511878" w:rsidRDefault="00FE402B" w:rsidP="00511878">
      <w:pPr>
        <w:spacing w:line="300" w:lineRule="auto"/>
        <w:jc w:val="both"/>
        <w:rPr>
          <w:rFonts w:eastAsia="Calibri"/>
        </w:rPr>
      </w:pPr>
      <w:r w:rsidRPr="008F6866">
        <w:t xml:space="preserve">CMIP6 offers a comprehensive framework for effectively quantifying climate projection uncertainties. This framework enables the proper assessment of two key sources of uncertainty: 1) model uncertainty arising from various </w:t>
      </w:r>
      <w:r w:rsidR="00511878" w:rsidRPr="008F6866">
        <w:t>modelling</w:t>
      </w:r>
      <w:r w:rsidRPr="008F6866">
        <w:t xml:space="preserve"> choices and physical assumptions within climate models, and 2) scenario uncertainty linked to different emission pathways of greenhouse gases. However, to utilize the HETEROFOR model effectively, meteorological data input must be unbiased, ensuring an accurate representation of current-day climate conditions. Recent research has identified systematic biases in CMIP6 models, particularly in surface temperature, precipitation, and soil moisture over Europe </w:t>
      </w:r>
      <w:r w:rsidRPr="008F6866">
        <w:fldChar w:fldCharType="begin">
          <w:fldData xml:space="preserve">PEVuZE5vdGU+PENpdGU+PEF1dGhvcj5DYXJ2YWxobzwvQXV0aG9yPjxZZWFyPjIwMjE8L1llYXI+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==
</w:fldData>
        </w:fldChar>
      </w:r>
      <w:r w:rsidR="001677B2">
        <w:instrText xml:space="preserve"> ADDIN EN.CITE </w:instrText>
      </w:r>
      <w:r w:rsidR="001677B2">
        <w:fldChar w:fldCharType="begin">
          <w:fldData xml:space="preserve">PEVuZE5vdGU+PENpdGU+PEF1dGhvcj5DYXJ2YWxobzwvQXV0aG9yPjxZZWFyPjIwMjE8L1llYXI+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==
</w:fldData>
        </w:fldChar>
      </w:r>
      <w:r w:rsidR="001677B2">
        <w:instrText xml:space="preserve"> ADDIN EN.CITE.DATA </w:instrText>
      </w:r>
      <w:r w:rsidR="001677B2">
        <w:fldChar w:fldCharType="end"/>
      </w:r>
      <w:r w:rsidRPr="008F6866">
        <w:fldChar w:fldCharType="separate"/>
      </w:r>
      <w:r w:rsidR="001677B2">
        <w:rPr>
          <w:noProof/>
        </w:rPr>
        <w:t>(Carvalho</w:t>
      </w:r>
      <w:r w:rsidR="001677B2" w:rsidRPr="001677B2">
        <w:rPr>
          <w:i/>
          <w:noProof/>
        </w:rPr>
        <w:t xml:space="preserve"> et al.</w:t>
      </w:r>
      <w:r w:rsidR="001677B2">
        <w:rPr>
          <w:noProof/>
        </w:rPr>
        <w:t>, 2021; Ossó</w:t>
      </w:r>
      <w:r w:rsidR="001677B2" w:rsidRPr="001677B2">
        <w:rPr>
          <w:i/>
          <w:noProof/>
        </w:rPr>
        <w:t xml:space="preserve"> et al.</w:t>
      </w:r>
      <w:r w:rsidR="001677B2">
        <w:rPr>
          <w:noProof/>
        </w:rPr>
        <w:t>, 2023)</w:t>
      </w:r>
      <w:r w:rsidRPr="008F6866">
        <w:fldChar w:fldCharType="end"/>
      </w:r>
      <w:r w:rsidRPr="008F6866">
        <w:t>. These errors are partly attributed to variations in atmospheric circulation patterns over Western Europe and, consequently, Belgium. To address these biases, we have implemented two bias correction techniques, elaborated in a dedicated section below. Another major obstacle to the direct use of CMIP6 data is that meteorological data input must be at an hourly resolution. As raw CMIP6 model data are available at daily frequency, data necessitated temporal downscaling for compatibility with HETEROFOR's hourl</w:t>
      </w:r>
      <w:r w:rsidRPr="008F6866">
        <w:rPr>
          <w:rFonts w:eastAsia="Calibri"/>
        </w:rPr>
        <w:t xml:space="preserve">y input requirements (refer to </w:t>
      </w:r>
      <w:r w:rsidR="000E0CF9">
        <w:rPr>
          <w:rFonts w:eastAsia="Calibri"/>
        </w:rPr>
        <w:t>T</w:t>
      </w:r>
      <w:r w:rsidRPr="008F6866">
        <w:t xml:space="preserve">ask 1.6). </w:t>
      </w:r>
      <w:r w:rsidRPr="008F6866">
        <w:rPr>
          <w:rFonts w:eastAsia="Calibri"/>
        </w:rPr>
        <w:t>To complement</w:t>
      </w:r>
      <w:r w:rsidRPr="008F6866">
        <w:t xml:space="preserve"> CMIP6 GCM data, we also used climate projections and scenarios RCP2.6, RCP4.5 and RCP8.5 from the RMI model ALARO for which hourly data is available and that cover the period 1976-2100.</w:t>
      </w:r>
      <w:r w:rsidRPr="008F6866">
        <w:rPr>
          <w:rFonts w:eastAsia="Calibri"/>
        </w:rPr>
        <w:t xml:space="preserve"> ALARO data were mostly used for developing and validating the disaggregation procedure (Task 1.6). </w:t>
      </w:r>
      <w:r w:rsidRPr="008F6866">
        <w:t xml:space="preserve">The entire data processing chain, encompassing both bias correction and temporal disaggregation, is illustrated in </w:t>
      </w:r>
      <w:r w:rsidRPr="008F6866">
        <w:fldChar w:fldCharType="begin"/>
      </w:r>
      <w:r w:rsidRPr="008F6866">
        <w:instrText xml:space="preserve"> REF _Ref195562755 \h  \* MERGEFORMAT </w:instrText>
      </w:r>
      <w:r w:rsidRPr="008F6866">
        <w:fldChar w:fldCharType="separate"/>
      </w:r>
      <w:r w:rsidR="00540DBF" w:rsidRPr="00540DBF">
        <w:t>Figure 9</w:t>
      </w:r>
      <w:r w:rsidRPr="008F6866">
        <w:fldChar w:fldCharType="end"/>
      </w:r>
      <w:r w:rsidRPr="008F6866">
        <w:t>.</w:t>
      </w:r>
    </w:p>
    <w:p w14:paraId="6AA0F259" w14:textId="23FDB308" w:rsidR="00FB4B80" w:rsidRPr="008F6866" w:rsidRDefault="00FB4B80" w:rsidP="00FB4B80">
      <w:pPr>
        <w:keepNext/>
        <w:spacing w:after="0"/>
        <w:jc w:val="center"/>
      </w:pPr>
      <w:r w:rsidRPr="008F6866">
        <w:rPr>
          <w:noProof/>
        </w:rPr>
        <w:drawing>
          <wp:inline distT="0" distB="0" distL="0" distR="0" wp14:anchorId="70F26DD1" wp14:editId="35984494">
            <wp:extent cx="4819650" cy="1720587"/>
            <wp:effectExtent l="0" t="0" r="0" b="0"/>
            <wp:docPr id="3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b="6849"/>
                    <a:stretch>
                      <a:fillRect/>
                    </a:stretch>
                  </pic:blipFill>
                  <pic:spPr>
                    <a:xfrm>
                      <a:off x="0" y="0"/>
                      <a:ext cx="4853456" cy="1732656"/>
                    </a:xfrm>
                    <a:prstGeom prst="rect">
                      <a:avLst/>
                    </a:prstGeom>
                    <a:ln/>
                  </pic:spPr>
                </pic:pic>
              </a:graphicData>
            </a:graphic>
          </wp:inline>
        </w:drawing>
      </w:r>
    </w:p>
    <w:p w14:paraId="0816EA62" w14:textId="655EF9CD" w:rsidR="00FB4B80" w:rsidRPr="008F6866" w:rsidRDefault="00FB4B80" w:rsidP="00FB4B80">
      <w:pPr>
        <w:pStyle w:val="Lgende"/>
        <w:jc w:val="center"/>
      </w:pPr>
      <w:bookmarkStart w:id="23" w:name="_Ref195562755"/>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9</w:t>
      </w:r>
      <w:r w:rsidRPr="008F6866">
        <w:rPr>
          <w:b/>
          <w:i w:val="0"/>
          <w:color w:val="000000" w:themeColor="text1"/>
          <w:sz w:val="20"/>
          <w:szCs w:val="20"/>
        </w:rPr>
        <w:fldChar w:fldCharType="end"/>
      </w:r>
      <w:bookmarkEnd w:id="23"/>
      <w:r w:rsidRPr="008F6866">
        <w:rPr>
          <w:b/>
          <w:i w:val="0"/>
          <w:color w:val="000000" w:themeColor="text1"/>
          <w:sz w:val="20"/>
          <w:szCs w:val="20"/>
        </w:rPr>
        <w:t>. Data processing chain used to establish and validate the meteorological input data for HETEROFOR</w:t>
      </w:r>
    </w:p>
    <w:p w14:paraId="3BC5A6BC" w14:textId="6C265341" w:rsidR="006551F0" w:rsidRPr="008F6866" w:rsidRDefault="006551F0" w:rsidP="005C207E">
      <w:pPr>
        <w:spacing w:after="120" w:line="300" w:lineRule="auto"/>
        <w:jc w:val="both"/>
        <w:rPr>
          <w:rFonts w:eastAsia="Calibri" w:cstheme="minorHAnsi"/>
        </w:rPr>
      </w:pPr>
      <w:r w:rsidRPr="008F6866">
        <w:rPr>
          <w:rFonts w:cstheme="minorHAnsi"/>
        </w:rPr>
        <w:lastRenderedPageBreak/>
        <w:t xml:space="preserve">Validation of the bias correction methods was conducted using cross-validation (holdout technique) spanning 60 years, with the first 30 years used for calibration and the subsequent 30 years for validation on independent data. The leave-one-out method </w:t>
      </w:r>
      <w:r w:rsidRPr="008F6866">
        <w:rPr>
          <w:rFonts w:eastAsia="Calibri" w:cstheme="minorHAnsi"/>
        </w:rPr>
        <w:t>is</w:t>
      </w:r>
      <w:r w:rsidRPr="008F6866">
        <w:rPr>
          <w:rFonts w:cstheme="minorHAnsi"/>
        </w:rPr>
        <w:t xml:space="preserve"> employed to validate the temporal downscaling approach. For the bias-correction of climate projections, we use</w:t>
      </w:r>
      <w:r w:rsidR="00A12564" w:rsidRPr="008F6866">
        <w:rPr>
          <w:rFonts w:cstheme="minorHAnsi"/>
        </w:rPr>
        <w:t>d</w:t>
      </w:r>
      <w:r w:rsidRPr="008F6866">
        <w:rPr>
          <w:rFonts w:cstheme="minorHAnsi"/>
        </w:rPr>
        <w:t xml:space="preserve"> a gridded observational product at a spatial resolution of 5 km covering the entire Belgium which is developed at the Royal Meteorological Institute of Belgium </w:t>
      </w:r>
      <w:r w:rsidRPr="008F6866">
        <w:rPr>
          <w:rFonts w:cstheme="minorHAnsi"/>
        </w:rPr>
        <w:fldChar w:fldCharType="begin">
          <w:fldData xml:space="preserve">PEVuZE5vdGU+PENpdGU+PEF1dGhvcj5STUk8L0F1dGhvcj48WWVhcj4yMDIyPC9ZZWFyPjxSZWNO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</w:fldData>
        </w:fldChar>
      </w:r>
      <w:r w:rsidR="00CC7A85">
        <w:rPr>
          <w:rFonts w:cstheme="minorHAnsi"/>
        </w:rPr>
        <w:instrText xml:space="preserve"> ADDIN EN.CITE </w:instrText>
      </w:r>
      <w:r w:rsidR="00CC7A85">
        <w:rPr>
          <w:rFonts w:cstheme="minorHAnsi"/>
        </w:rPr>
        <w:fldChar w:fldCharType="begin">
          <w:fldData xml:space="preserve">PEVuZE5vdGU+PENpdGU+PEF1dGhvcj5STUk8L0F1dGhvcj48WWVhcj4yMDIyPC9ZZWFyPjxSZWNO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</w:fldData>
        </w:fldChar>
      </w:r>
      <w:r w:rsidR="00CC7A85">
        <w:rPr>
          <w:rFonts w:cstheme="minorHAnsi"/>
        </w:rPr>
        <w:instrText xml:space="preserve"> ADDIN EN.CITE.DATA </w:instrText>
      </w:r>
      <w:r w:rsidR="00CC7A85">
        <w:rPr>
          <w:rFonts w:cstheme="minorHAnsi"/>
        </w:rPr>
      </w:r>
      <w:r w:rsidR="00CC7A85">
        <w:rPr>
          <w:rFonts w:cstheme="minorHAnsi"/>
        </w:rPr>
        <w:fldChar w:fldCharType="end"/>
      </w:r>
      <w:r w:rsidRPr="008F6866">
        <w:rPr>
          <w:rFonts w:cstheme="minorHAnsi"/>
        </w:rPr>
      </w:r>
      <w:r w:rsidRPr="008F6866">
        <w:rPr>
          <w:rFonts w:cstheme="minorHAnsi"/>
        </w:rPr>
        <w:fldChar w:fldCharType="separate"/>
      </w:r>
      <w:r w:rsidR="00CC7A85">
        <w:rPr>
          <w:rFonts w:cstheme="minorHAnsi"/>
          <w:noProof/>
        </w:rPr>
        <w:t>(RMI, 2022)</w:t>
      </w:r>
      <w:r w:rsidRPr="008F6866">
        <w:rPr>
          <w:rFonts w:cstheme="minorHAnsi"/>
        </w:rPr>
        <w:fldChar w:fldCharType="end"/>
      </w:r>
      <w:r w:rsidRPr="008F6866">
        <w:rPr>
          <w:rFonts w:cstheme="minorHAnsi"/>
        </w:rPr>
        <w:t>. The gridded observational dataset provides data for all the variables required for this study. Solar radiation, relative humidity and wind speed data are available from 1961 onwards, while precipitation and air temperature data are available since 1951 and 1954, respectively. The gridded observational data was selected for the bias correction because of 1) the unavailability of station observations for some of the study locations and 2) a spatial scale mismatch between the station observations and climate model outputs. For the latter, model outputs represent area averages rather than point values which is the case for stations</w:t>
      </w:r>
      <w:r w:rsidR="0091717E" w:rsidRPr="008F6866">
        <w:rPr>
          <w:rFonts w:cstheme="minorHAnsi"/>
        </w:rPr>
        <w:t xml:space="preserve"> </w:t>
      </w:r>
      <w:r w:rsidRPr="008F6866">
        <w:rPr>
          <w:rFonts w:cstheme="minorHAnsi"/>
        </w:rPr>
        <w:fldChar w:fldCharType="begin"/>
      </w:r>
      <w:r w:rsidR="001677B2">
        <w:rPr>
          <w:rFonts w:cstheme="minorHAnsi"/>
        </w:rPr>
        <w:instrText xml:space="preserve"> ADDIN EN.CITE &lt;EndNote&gt;&lt;Cite&gt;&lt;Author&gt;Tabari&lt;/Author&gt;&lt;Year&gt;2016&lt;/Year&gt;&lt;RecNum&gt;343&lt;/RecNum&gt;&lt;IDText&gt;Tabari16&lt;/IDText&gt;&lt;DisplayText&gt;(Tabari&lt;style face="italic"&gt; et al.&lt;/style&gt;, 2016)&lt;/DisplayText&gt;&lt;record&gt;&lt;rec-number&gt;343&lt;/rec-number&gt;&lt;foreign-keys&gt;&lt;key app="EN" db-id="0px2fzdxhrpdrre2w5f5pdryx90atadrdavt" timestamp="1713815508"&gt;343&lt;/key&gt;&lt;/foreign-keys&gt;&lt;ref-type name="Journal Article"&gt;17&lt;/ref-type&gt;&lt;contributors&gt;&lt;authors&gt;&lt;author&gt;Tabari, H.&lt;/author&gt;&lt;author&gt;De Troch, R.&lt;/author&gt;&lt;author&gt;Giot, O.&lt;/author&gt;&lt;author&gt;Hamdi, R.&lt;/author&gt;&lt;author&gt;Termonia, P.&lt;/author&gt;&lt;author&gt;Saeed, S.&lt;/author&gt;&lt;author&gt;Brisson, E.&lt;/author&gt;&lt;author&gt;Van Lipzig, N.&lt;/author&gt;&lt;author&gt;Willems, P.&lt;/author&gt;&lt;/authors&gt;&lt;/contributors&gt;&lt;titles&gt;&lt;title&gt;Local impact analysis of climate change on precipitation extremes: Are high-resolution climate models needed for realistic simulations?&lt;/title&gt;&lt;secondary-title&gt;Hydrology and Earth System Sciences&lt;/secondary-title&gt;&lt;/titles&gt;&lt;periodical&gt;&lt;full-title&gt;Hydrology and Earth System Sciences&lt;/full-title&gt;&lt;/periodical&gt;&lt;pages&gt;3843-3857&lt;/pages&gt;&lt;volume&gt;20&lt;/volume&gt;&lt;number&gt;9&lt;/number&gt;&lt;dates&gt;&lt;year&gt;2016&lt;/year&gt;&lt;/dates&gt;&lt;label&gt;Tabari16&lt;/label&gt;&lt;work-type&gt;Article&lt;/work-type&gt;&lt;urls&gt;&lt;related-urls&gt;&lt;url&gt;https://www.scopus.com/inward/record.uri?eid=2-s2.0-84988418808&amp;amp;doi=10.5194%2fhess-20-3843-2016&amp;amp;partnerID=40&amp;amp;md5=6e13f98237d0a1f1cbff530d99b3058c&lt;/url&gt;&lt;/related-urls&gt;&lt;/urls&gt;&lt;electronic-resource-num&gt;10.5194/hess-20-3843-2016&lt;/electronic-resource-num&gt;&lt;remote-database-name&gt;Scopus&lt;/remote-database-name&gt;&lt;/record&gt;&lt;/Cite&gt;&lt;/EndNote&gt;</w:instrText>
      </w:r>
      <w:r w:rsidRPr="008F6866">
        <w:rPr>
          <w:rFonts w:cstheme="minorHAnsi"/>
        </w:rPr>
        <w:fldChar w:fldCharType="separate"/>
      </w:r>
      <w:r w:rsidR="001677B2">
        <w:rPr>
          <w:rFonts w:cstheme="minorHAnsi"/>
          <w:noProof/>
        </w:rPr>
        <w:t>(Tabari</w:t>
      </w:r>
      <w:r w:rsidR="001677B2" w:rsidRPr="001677B2">
        <w:rPr>
          <w:rFonts w:cstheme="minorHAnsi"/>
          <w:i/>
          <w:noProof/>
        </w:rPr>
        <w:t xml:space="preserve"> et al.</w:t>
      </w:r>
      <w:r w:rsidR="001677B2">
        <w:rPr>
          <w:rFonts w:cstheme="minorHAnsi"/>
          <w:noProof/>
        </w:rPr>
        <w:t>, 2016)</w:t>
      </w:r>
      <w:r w:rsidRPr="008F6866">
        <w:rPr>
          <w:rFonts w:cstheme="minorHAnsi"/>
        </w:rPr>
        <w:fldChar w:fldCharType="end"/>
      </w:r>
      <w:r w:rsidRPr="008F6866">
        <w:rPr>
          <w:rFonts w:cstheme="minorHAnsi"/>
        </w:rPr>
        <w:t>. Specifically, extreme precipitation values obtained from station observations are expected to be more intense compared with the ones from gridded model output</w:t>
      </w:r>
      <w:r w:rsidR="0091717E" w:rsidRPr="008F6866">
        <w:rPr>
          <w:rFonts w:cstheme="minorHAnsi"/>
        </w:rPr>
        <w:t xml:space="preserve"> </w:t>
      </w:r>
      <w:r w:rsidRPr="008F6866">
        <w:rPr>
          <w:rFonts w:cstheme="minorHAnsi"/>
        </w:rPr>
        <w:fldChar w:fldCharType="begin"/>
      </w:r>
      <w:r w:rsidR="00CC7A85">
        <w:rPr>
          <w:rFonts w:cstheme="minorHAnsi"/>
        </w:rPr>
        <w:instrText xml:space="preserve"> ADDIN EN.CITE &lt;EndNote&gt;&lt;Cite&gt;&lt;Author&gt;Chen&lt;/Author&gt;&lt;Year&gt;2008&lt;/Year&gt;&lt;RecNum&gt;344&lt;/RecNum&gt;&lt;IDText&gt;Chen08&lt;/IDText&gt;&lt;DisplayText&gt;(Chen and Knutson, 2008)&lt;/DisplayText&gt;&lt;record&gt;&lt;rec-number&gt;344&lt;/rec-number&gt;&lt;foreign-keys&gt;&lt;key app="EN" db-id="0px2fzdxhrpdrre2w5f5pdryx90atadrdavt" timestamp="1713815641"&gt;344&lt;/key&gt;&lt;/foreign-keys&gt;&lt;ref-type name="Journal Article"&gt;17&lt;/ref-type&gt;&lt;contributors&gt;&lt;authors&gt;&lt;author&gt;Chen, C. T.&lt;/author&gt;&lt;author&gt;Knutson, T.&lt;/author&gt;&lt;/authors&gt;&lt;/contributors&gt;&lt;titles&gt;&lt;title&gt;On the verification and comparison of extreme rainfall indices from climate models&lt;/title&gt;&lt;secondary-title&gt;Journal of Climate&lt;/secondary-title&gt;&lt;/titles&gt;&lt;periodical&gt;&lt;full-title&gt;Journal of Climate&lt;/full-title&gt;&lt;/periodical&gt;&lt;pages&gt;1605-1621&lt;/pages&gt;&lt;volume&gt;21&lt;/volume&gt;&lt;number&gt;7&lt;/number&gt;&lt;dates&gt;&lt;year&gt;2008&lt;/year&gt;&lt;/dates&gt;&lt;label&gt;Chen08&lt;/label&gt;&lt;work-type&gt;Article&lt;/work-type&gt;&lt;urls&gt;&lt;related-urls&gt;&lt;url&gt;https://www.scopus.com/inward/record.uri?eid=2-s2.0-44449142873&amp;amp;doi=10.1175%2f2007JCLI1494.1&amp;amp;partnerID=40&amp;amp;md5=c3da531e660ec8e8ce123fbad2fbc04b&lt;/url&gt;&lt;/related-urls&gt;&lt;/urls&gt;&lt;electronic-resource-num&gt;10.1175/2007JCLI1494.1&lt;/electronic-resource-num&gt;&lt;remote-database-name&gt;Scopus&lt;/remote-database-name&gt;&lt;/record&gt;&lt;/Cite&gt;&lt;/EndNote&gt;</w:instrText>
      </w:r>
      <w:r w:rsidRPr="008F6866">
        <w:rPr>
          <w:rFonts w:cstheme="minorHAnsi"/>
        </w:rPr>
        <w:fldChar w:fldCharType="separate"/>
      </w:r>
      <w:r w:rsidR="00CC7A85">
        <w:rPr>
          <w:rFonts w:cstheme="minorHAnsi"/>
          <w:noProof/>
        </w:rPr>
        <w:t>(Chen and Knutson, 2008)</w:t>
      </w:r>
      <w:r w:rsidRPr="008F6866">
        <w:rPr>
          <w:rFonts w:cstheme="minorHAnsi"/>
        </w:rPr>
        <w:fldChar w:fldCharType="end"/>
      </w:r>
      <w:r w:rsidRPr="008F6866">
        <w:rPr>
          <w:rFonts w:cstheme="minorHAnsi"/>
        </w:rPr>
        <w:t>, because of the smoothing associated with the spatial averaging of precipitation characteristics over the model grid cells</w:t>
      </w:r>
      <w:r w:rsidR="005C207E" w:rsidRPr="008F6866">
        <w:rPr>
          <w:rFonts w:cstheme="minorHAnsi"/>
        </w:rPr>
        <w:t xml:space="preserve"> </w:t>
      </w:r>
      <w:r w:rsidRPr="008F6866">
        <w:rPr>
          <w:rFonts w:cstheme="minorHAnsi"/>
        </w:rPr>
        <w:fldChar w:fldCharType="begin"/>
      </w:r>
      <w:r w:rsidR="00CC7A85">
        <w:rPr>
          <w:rFonts w:cstheme="minorHAnsi"/>
        </w:rPr>
        <w:instrText xml:space="preserve"> ADDIN EN.CITE &lt;EndNote&gt;&lt;Cite&gt;&lt;Author&gt;Sivapalan&lt;/Author&gt;&lt;Year&gt;1998&lt;/Year&gt;&lt;RecNum&gt;345&lt;/RecNum&gt;&lt;IDText&gt;Sivapalan98&lt;/IDText&gt;&lt;DisplayText&gt;(Sivapalan and Blöschl, 1998)&lt;/DisplayText&gt;&lt;record&gt;&lt;rec-number&gt;345&lt;/rec-number&gt;&lt;foreign-keys&gt;&lt;key app="EN" db-id="0px2fzdxhrpdrre2w5f5pdryx90atadrdavt" timestamp="1713815775"&gt;345&lt;/key&gt;&lt;/foreign-keys&gt;&lt;ref-type name="Journal Article"&gt;17&lt;/ref-type&gt;&lt;contributors&gt;&lt;authors&gt;&lt;author&gt;Sivapalan, M.&lt;/author&gt;&lt;author&gt;Blöschl, G.&lt;/author&gt;&lt;/authors&gt;&lt;/contributors&gt;&lt;titles&gt;&lt;title&gt;Transformation of point rainfall to areal rainfall: Intensity-duration-frequency curves&lt;/title&gt;&lt;secondary-title&gt;Journal of Hydrology&lt;/secondary-title&gt;&lt;/titles&gt;&lt;periodical&gt;&lt;full-title&gt;Journal of Hydrology&lt;/full-title&gt;&lt;/periodical&gt;&lt;pages&gt;150-167&lt;/pages&gt;&lt;volume&gt;204&lt;/volume&gt;&lt;number&gt;1-4&lt;/number&gt;&lt;dates&gt;&lt;year&gt;1998&lt;/year&gt;&lt;/dates&gt;&lt;label&gt;Sivapalan98&lt;/label&gt;&lt;work-type&gt;Article&lt;/work-type&gt;&lt;urls&gt;&lt;related-urls&gt;&lt;url&gt;https://www.scopus.com/inward/record.uri?eid=2-s2.0-0032579427&amp;amp;doi=10.1016%2fS0022-1694%2897%2900117-0&amp;amp;partnerID=40&amp;amp;md5=ae3ee0708a31499d252435a65182c99c&lt;/url&gt;&lt;/related-urls&gt;&lt;/urls&gt;&lt;electronic-resource-num&gt;10.1016/S0022-1694(97)00117-0&lt;/electronic-resource-num&gt;&lt;remote-database-name&gt;Scopus&lt;/remote-database-name&gt;&lt;/record&gt;&lt;/Cite&gt;&lt;/EndNote&gt;</w:instrText>
      </w:r>
      <w:r w:rsidRPr="008F6866">
        <w:rPr>
          <w:rFonts w:cstheme="minorHAnsi"/>
        </w:rPr>
        <w:fldChar w:fldCharType="separate"/>
      </w:r>
      <w:r w:rsidR="00CC7A85">
        <w:rPr>
          <w:rFonts w:cstheme="minorHAnsi"/>
          <w:noProof/>
        </w:rPr>
        <w:t>(Sivapalan and Blöschl, 1998)</w:t>
      </w:r>
      <w:r w:rsidRPr="008F6866">
        <w:rPr>
          <w:rFonts w:cstheme="minorHAnsi"/>
        </w:rPr>
        <w:fldChar w:fldCharType="end"/>
      </w:r>
      <w:r w:rsidRPr="008F6866">
        <w:rPr>
          <w:rFonts w:cstheme="minorHAnsi"/>
        </w:rPr>
        <w:t xml:space="preserve">. In addition to the daily gridded observational data, hourly data </w:t>
      </w:r>
      <w:r w:rsidR="00A12564" w:rsidRPr="008F6866">
        <w:rPr>
          <w:rFonts w:cstheme="minorHAnsi"/>
        </w:rPr>
        <w:t>we</w:t>
      </w:r>
      <w:r w:rsidRPr="008F6866">
        <w:rPr>
          <w:rFonts w:cstheme="minorHAnsi"/>
        </w:rPr>
        <w:t xml:space="preserve">re available for six stations (Baileux, Eupen, Gedinne, Louvain-la-Neuve, Ukkel, Virton) which </w:t>
      </w:r>
      <w:r w:rsidR="00A12564" w:rsidRPr="008F6866">
        <w:rPr>
          <w:rFonts w:cstheme="minorHAnsi"/>
        </w:rPr>
        <w:t>we</w:t>
      </w:r>
      <w:r w:rsidRPr="008F6866">
        <w:rPr>
          <w:rFonts w:cstheme="minorHAnsi"/>
        </w:rPr>
        <w:t>re employed for the validation of the disaggregation methods for all variables (see Task 1.6).</w:t>
      </w:r>
    </w:p>
    <w:p w14:paraId="289A5DCE" w14:textId="32D960F0" w:rsidR="006551F0" w:rsidRDefault="005C207E" w:rsidP="00C737F6">
      <w:pPr>
        <w:spacing w:after="0" w:line="300" w:lineRule="auto"/>
        <w:jc w:val="both"/>
        <w:rPr>
          <w:rFonts w:cstheme="minorHAnsi"/>
        </w:rPr>
      </w:pPr>
      <w:r w:rsidRPr="008F6866">
        <w:rPr>
          <w:rFonts w:cstheme="minorHAnsi"/>
        </w:rPr>
        <w:fldChar w:fldCharType="begin"/>
      </w:r>
      <w:r w:rsidRPr="008F6866">
        <w:rPr>
          <w:rFonts w:cstheme="minorHAnsi"/>
        </w:rPr>
        <w:instrText xml:space="preserve"> REF _Ref195562334 \h  \* MERGEFORMAT </w:instrText>
      </w:r>
      <w:r w:rsidRPr="008F6866">
        <w:rPr>
          <w:rFonts w:cstheme="minorHAnsi"/>
        </w:rPr>
      </w:r>
      <w:r w:rsidRPr="008F6866">
        <w:rPr>
          <w:rFonts w:cstheme="minorHAnsi"/>
        </w:rPr>
        <w:fldChar w:fldCharType="separate"/>
      </w:r>
      <w:r w:rsidR="00540DBF" w:rsidRPr="00540DBF">
        <w:rPr>
          <w:rFonts w:cstheme="minorHAnsi"/>
        </w:rPr>
        <w:t>Figure 8</w:t>
      </w:r>
      <w:r w:rsidRPr="008F6866">
        <w:rPr>
          <w:rFonts w:cstheme="minorHAnsi"/>
        </w:rPr>
        <w:fldChar w:fldCharType="end"/>
      </w:r>
      <w:r w:rsidRPr="008F6866">
        <w:rPr>
          <w:rFonts w:cstheme="minorHAnsi"/>
        </w:rPr>
        <w:t xml:space="preserve"> </w:t>
      </w:r>
      <w:r w:rsidR="006551F0" w:rsidRPr="008F6866">
        <w:rPr>
          <w:rFonts w:cstheme="minorHAnsi"/>
        </w:rPr>
        <w:t>outlines the observations and modelled data used to obtain the raw meteorological input data for the five considered meteorological variables.</w:t>
      </w:r>
    </w:p>
    <w:p w14:paraId="7229BA2B" w14:textId="77777777" w:rsidR="00C737F6" w:rsidRPr="008F6866" w:rsidRDefault="00C737F6" w:rsidP="00C737F6">
      <w:pPr>
        <w:spacing w:after="120" w:line="300" w:lineRule="auto"/>
        <w:jc w:val="both"/>
        <w:rPr>
          <w:rFonts w:eastAsia="Calibri" w:cstheme="minorHAnsi"/>
        </w:rPr>
      </w:pPr>
    </w:p>
    <w:p w14:paraId="7212025A" w14:textId="77777777" w:rsidR="006551F0" w:rsidRPr="008F6866" w:rsidRDefault="006551F0" w:rsidP="006551F0">
      <w:pPr>
        <w:jc w:val="both"/>
        <w:rPr>
          <w:rFonts w:eastAsia="Calibri" w:cstheme="minorHAnsi"/>
          <w:b/>
        </w:rPr>
      </w:pPr>
      <w:bookmarkStart w:id="24" w:name="_heading=h.32hioqz" w:colFirst="0" w:colLast="0"/>
      <w:bookmarkEnd w:id="24"/>
      <w:r w:rsidRPr="008F6866">
        <w:rPr>
          <w:rFonts w:cstheme="minorHAnsi"/>
          <w:b/>
        </w:rPr>
        <w:t>Bias-correction methods</w:t>
      </w:r>
    </w:p>
    <w:p w14:paraId="3C74E00F" w14:textId="7031328F" w:rsidR="006551F0" w:rsidRPr="008F6866" w:rsidRDefault="006551F0" w:rsidP="001651E9">
      <w:pPr>
        <w:spacing w:after="120" w:line="300" w:lineRule="auto"/>
        <w:jc w:val="both"/>
        <w:rPr>
          <w:rFonts w:cstheme="minorHAnsi"/>
        </w:rPr>
      </w:pPr>
      <w:r w:rsidRPr="008F6866">
        <w:rPr>
          <w:rFonts w:cstheme="minorHAnsi"/>
        </w:rPr>
        <w:t>Historical simulations by climate models can show systematic deviations from observations due for instance to incorrect model initialization, imperfect representations of the atmospheric physics in the model, or errors in the parameterization chain</w:t>
      </w:r>
      <w:r w:rsidR="004E2478" w:rsidRPr="008F6866">
        <w:rPr>
          <w:rFonts w:cstheme="minorHAnsi"/>
        </w:rPr>
        <w:t xml:space="preserve"> </w:t>
      </w:r>
      <w:r w:rsidRPr="008F6866">
        <w:rPr>
          <w:rFonts w:cstheme="minorHAnsi"/>
        </w:rPr>
        <w:fldChar w:fldCharType="begin"/>
      </w:r>
      <w:r w:rsidR="001677B2">
        <w:rPr>
          <w:rFonts w:cstheme="minorHAnsi"/>
        </w:rPr>
        <w:instrText xml:space="preserve"> ADDIN EN.CITE &lt;EndNote&gt;&lt;Cite&gt;&lt;Author&gt;Ehret&lt;/Author&gt;&lt;Year&gt;2012&lt;/Year&gt;&lt;RecNum&gt;346&lt;/RecNum&gt;&lt;IDText&gt;Ehret12&lt;/IDText&gt;&lt;DisplayText&gt;(Ehret&lt;style face="italic"&gt; et al.&lt;/style&gt;, 2012)&lt;/DisplayText&gt;&lt;record&gt;&lt;rec-number&gt;346&lt;/rec-number&gt;&lt;foreign-keys&gt;&lt;key app="EN" db-id="0px2fzdxhrpdrre2w5f5pdryx90atadrdavt" timestamp="1713816101"&gt;346&lt;/key&gt;&lt;/foreign-keys&gt;&lt;ref-type name="Journal Article"&gt;17&lt;/ref-type&gt;&lt;contributors&gt;&lt;authors&gt;&lt;author&gt;Ehret, U.&lt;/author&gt;&lt;author&gt;Zehe, E.&lt;/author&gt;&lt;author&gt;Wulfmeyer, V.&lt;/author&gt;&lt;author&gt;Warrach-Sagi, K.&lt;/author&gt;&lt;author&gt;Liebert, J.&lt;/author&gt;&lt;/authors&gt;&lt;/contributors&gt;&lt;titles&gt;&lt;title&gt;HESS Opinions &amp;quot;should we apply bias correction to global and regional climate model data?&amp;quot;&lt;/title&gt;&lt;secondary-title&gt;Hydrology and Earth System Sciences&lt;/secondary-title&gt;&lt;/titles&gt;&lt;periodical&gt;&lt;full-title&gt;Hydrology and Earth System Sciences&lt;/full-title&gt;&lt;/periodical&gt;&lt;pages&gt;3391-3404&lt;/pages&gt;&lt;volume&gt;16&lt;/volume&gt;&lt;number&gt;9&lt;/number&gt;&lt;dates&gt;&lt;year&gt;2012&lt;/year&gt;&lt;/dates&gt;&lt;label&gt;Ehret12&lt;/label&gt;&lt;work-type&gt;Review&lt;/work-type&gt;&lt;urls&gt;&lt;related-urls&gt;&lt;url&gt;https://www.scopus.com/inward/record.uri?eid=2-s2.0-84869439488&amp;amp;doi=10.5194%2fhess-16-3391-2012&amp;amp;partnerID=40&amp;amp;md5=0286d3d719102e071ac740a39d1e6642&lt;/url&gt;&lt;/related-urls&gt;&lt;/urls&gt;&lt;electronic-resource-num&gt;10.5194/hess-16-3391-2012&lt;/electronic-resource-num&gt;&lt;remote-database-name&gt;Scopus&lt;/remote-database-name&gt;&lt;/record&gt;&lt;/Cite&gt;&lt;/EndNote&gt;</w:instrText>
      </w:r>
      <w:r w:rsidRPr="008F6866">
        <w:rPr>
          <w:rFonts w:cstheme="minorHAnsi"/>
        </w:rPr>
        <w:fldChar w:fldCharType="separate"/>
      </w:r>
      <w:r w:rsidR="001677B2">
        <w:rPr>
          <w:rFonts w:cstheme="minorHAnsi"/>
          <w:noProof/>
        </w:rPr>
        <w:t>(Ehret</w:t>
      </w:r>
      <w:r w:rsidR="001677B2" w:rsidRPr="001677B2">
        <w:rPr>
          <w:rFonts w:cstheme="minorHAnsi"/>
          <w:i/>
          <w:noProof/>
        </w:rPr>
        <w:t xml:space="preserve"> et al.</w:t>
      </w:r>
      <w:r w:rsidR="001677B2">
        <w:rPr>
          <w:rFonts w:cstheme="minorHAnsi"/>
          <w:noProof/>
        </w:rPr>
        <w:t>, 2012)</w:t>
      </w:r>
      <w:r w:rsidRPr="008F6866">
        <w:rPr>
          <w:rFonts w:cstheme="minorHAnsi"/>
        </w:rPr>
        <w:fldChar w:fldCharType="end"/>
      </w:r>
      <w:r w:rsidRPr="008F6866">
        <w:rPr>
          <w:rFonts w:cstheme="minorHAnsi"/>
        </w:rPr>
        <w:t>. This thus calls for a bias correction of climate model outputs before using for quantitative impact studies for applications that are sensitive to input climate data as REGE+</w:t>
      </w:r>
      <w:r w:rsidR="004E2478" w:rsidRPr="008F6866">
        <w:rPr>
          <w:rFonts w:cstheme="minorHAnsi"/>
        </w:rPr>
        <w:t xml:space="preserve"> </w:t>
      </w:r>
      <w:r w:rsidRPr="008F6866">
        <w:rPr>
          <w:rFonts w:cstheme="minorHAnsi"/>
        </w:rPr>
        <w:fldChar w:fldCharType="begin"/>
      </w:r>
      <w:r w:rsidR="001677B2">
        <w:rPr>
          <w:rFonts w:cstheme="minorHAnsi"/>
        </w:rPr>
        <w:instrText xml:space="preserve"> ADDIN EN.CITE &lt;EndNote&gt;&lt;Cite&gt;&lt;Author&gt;Hosseinzadehtalaei&lt;/Author&gt;&lt;Year&gt;2021&lt;/Year&gt;&lt;RecNum&gt;347&lt;/RecNum&gt;&lt;IDText&gt;Hosseinzadehtalaei21&lt;/IDText&gt;&lt;DisplayText&gt;(Hosseinzadehtalaei&lt;style face="italic"&gt; et al.&lt;/style&gt;, 2021)&lt;/DisplayText&gt;&lt;record&gt;&lt;rec-number&gt;347&lt;/rec-number&gt;&lt;foreign-keys&gt;&lt;key app="EN" db-id="0px2fzdxhrpdrre2w5f5pdryx90atadrdavt" timestamp="1713816307"&gt;347&lt;/key&gt;&lt;/foreign-keys&gt;&lt;ref-type name="Journal Article"&gt;17&lt;/ref-type&gt;&lt;contributors&gt;&lt;authors&gt;&lt;author&gt;Hosseinzadehtalaei, P.&lt;/author&gt;&lt;author&gt;Ishadi, N. K.&lt;/author&gt;&lt;author&gt;Tabari, H.&lt;/author&gt;&lt;author&gt;Willems, P.&lt;/author&gt;&lt;/authors&gt;&lt;/contributors&gt;&lt;titles&gt;&lt;title&gt;Climate change impact assessment on pluvial flooding using a distribution-based bias correction of regional climate model simulations&lt;/title&gt;&lt;secondary-title&gt;Journal of Hydrology&lt;/secondary-title&gt;&lt;/titles&gt;&lt;periodical&gt;&lt;full-title&gt;Journal of Hydrology&lt;/full-title&gt;&lt;/periodical&gt;&lt;volume&gt;598&lt;/volume&gt;&lt;dates&gt;&lt;year&gt;2021&lt;/year&gt;&lt;/dates&gt;&lt;label&gt;Hosseinzadehtalaei21&lt;/label&gt;&lt;work-type&gt;Article&lt;/work-type&gt;&lt;urls&gt;&lt;related-urls&gt;&lt;url&gt;https://www.scopus.com/inward/record.uri?eid=2-s2.0-85107896957&amp;amp;doi=10.1016%2fj.jhydrol.2021.126239&amp;amp;partnerID=40&amp;amp;md5=b1ff8203c89d85f107253d413245e646&lt;/url&gt;&lt;/related-urls&gt;&lt;/urls&gt;&lt;custom7&gt;126239&lt;/custom7&gt;&lt;electronic-resource-num&gt;10.1016/j.jhydrol.2021.126239&lt;/electronic-resource-num&gt;&lt;remote-database-name&gt;Scopus&lt;/remote-database-name&gt;&lt;/record&gt;&lt;/Cite&gt;&lt;/EndNote&gt;</w:instrText>
      </w:r>
      <w:r w:rsidRPr="008F6866">
        <w:rPr>
          <w:rFonts w:cstheme="minorHAnsi"/>
        </w:rPr>
        <w:fldChar w:fldCharType="separate"/>
      </w:r>
      <w:r w:rsidR="001677B2">
        <w:rPr>
          <w:rFonts w:cstheme="minorHAnsi"/>
          <w:noProof/>
        </w:rPr>
        <w:t>(Hosseinzadehtalaei</w:t>
      </w:r>
      <w:r w:rsidR="001677B2" w:rsidRPr="001677B2">
        <w:rPr>
          <w:rFonts w:cstheme="minorHAnsi"/>
          <w:i/>
          <w:noProof/>
        </w:rPr>
        <w:t xml:space="preserve"> et al.</w:t>
      </w:r>
      <w:r w:rsidR="001677B2">
        <w:rPr>
          <w:rFonts w:cstheme="minorHAnsi"/>
          <w:noProof/>
        </w:rPr>
        <w:t>, 2021)</w:t>
      </w:r>
      <w:r w:rsidRPr="008F6866">
        <w:rPr>
          <w:rFonts w:cstheme="minorHAnsi"/>
        </w:rPr>
        <w:fldChar w:fldCharType="end"/>
      </w:r>
      <w:r w:rsidRPr="008F6866">
        <w:rPr>
          <w:rFonts w:cstheme="minorHAnsi"/>
        </w:rPr>
        <w:t>. We implemented two statistical corrections.</w:t>
      </w:r>
    </w:p>
    <w:p w14:paraId="6AC47F35" w14:textId="77777777" w:rsidR="006551F0" w:rsidRPr="008F6866" w:rsidRDefault="006551F0" w:rsidP="004E2478">
      <w:pPr>
        <w:pStyle w:val="Paragraphedeliste"/>
        <w:numPr>
          <w:ilvl w:val="0"/>
          <w:numId w:val="9"/>
        </w:numPr>
        <w:spacing w:after="120" w:line="300" w:lineRule="auto"/>
        <w:ind w:left="714" w:hanging="357"/>
        <w:jc w:val="both"/>
        <w:rPr>
          <w:rFonts w:asciiTheme="minorHAnsi" w:eastAsia="Calibri" w:hAnsiTheme="minorHAnsi" w:cstheme="minorHAnsi"/>
          <w:szCs w:val="22"/>
          <w:lang w:val="en-GB"/>
        </w:rPr>
      </w:pPr>
      <w:r w:rsidRPr="008F6866">
        <w:rPr>
          <w:rFonts w:asciiTheme="minorHAnsi" w:eastAsia="Calibri" w:hAnsiTheme="minorHAnsi" w:cstheme="minorHAnsi"/>
          <w:szCs w:val="22"/>
          <w:lang w:val="en-GB"/>
        </w:rPr>
        <w:t>Additive and scaling corrections</w:t>
      </w:r>
    </w:p>
    <w:p w14:paraId="2F94176A" w14:textId="0EF86675" w:rsidR="006551F0" w:rsidRPr="008F6866" w:rsidRDefault="006551F0" w:rsidP="004E2478">
      <w:pPr>
        <w:spacing w:after="120" w:line="300" w:lineRule="auto"/>
        <w:jc w:val="both"/>
        <w:rPr>
          <w:rFonts w:cstheme="minorHAnsi"/>
        </w:rPr>
      </w:pPr>
      <w:r w:rsidRPr="008F6866">
        <w:rPr>
          <w:rFonts w:cstheme="minorHAnsi"/>
        </w:rPr>
        <w:t>Two easy-to-implement methods for bias correcting model outputs are the additive and scaling corrections. The additive approach generates a future time series by subtracting the present-day model bias from the simulated future time series. Mathematically,</w:t>
      </w:r>
    </w:p>
    <w:p w14:paraId="5F5309EF" w14:textId="391C7001" w:rsidR="006551F0" w:rsidRPr="008F6866" w:rsidRDefault="00000000" w:rsidP="00237FED">
      <w:pPr>
        <w:autoSpaceDE w:val="0"/>
        <w:autoSpaceDN w:val="0"/>
        <w:adjustRightInd w:val="0"/>
        <w:spacing w:after="60" w:line="300" w:lineRule="auto"/>
        <w:jc w:val="both"/>
        <w:rPr>
          <w:rFonts w:eastAsiaTheme="minorEastAsia" w:cstheme="minorHAnsi"/>
        </w:rPr>
      </w:pPr>
      <m:oMathPara>
        <m:oMath>
          <m:eqArr>
            <m:eqArrPr>
              <m:maxDist m:val="1"/>
              <m:ctrlPr>
                <w:rPr>
                  <w:rFonts w:ascii="Cambria Math" w:hAnsi="Cambria Math" w:cstheme="minorHAnsi"/>
                  <w:i/>
                </w:rPr>
              </m:ctrlPr>
            </m:eqArrPr>
            <m:e>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i,</m:t>
                  </m:r>
                  <m:r>
                    <m:rPr>
                      <m:sty m:val="p"/>
                    </m:rPr>
                    <w:rPr>
                      <w:rFonts w:ascii="Cambria Math" w:hAnsi="Cambria Math" w:cstheme="minorHAnsi"/>
                    </w:rPr>
                    <m:t>corr</m:t>
                  </m:r>
                  <m:ctrlPr>
                    <w:rPr>
                      <w:rFonts w:ascii="Cambria Math" w:hAnsi="Cambria Math" w:cstheme="minorHAnsi"/>
                    </w:rPr>
                  </m:ctrlPr>
                </m:sub>
                <m:sup>
                  <m:r>
                    <w:rPr>
                      <w:rFonts w:ascii="Cambria Math" w:hAnsi="Cambria Math" w:cstheme="minorHAnsi"/>
                    </w:rPr>
                    <m:t>f</m:t>
                  </m:r>
                </m:sup>
              </m:sSubSup>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i,</m:t>
                  </m:r>
                  <m:r>
                    <m:rPr>
                      <m:sty m:val="p"/>
                    </m:rPr>
                    <w:rPr>
                      <w:rFonts w:ascii="Cambria Math" w:hAnsi="Cambria Math" w:cstheme="minorHAnsi"/>
                    </w:rPr>
                    <m:t>raw</m:t>
                  </m:r>
                  <m:ctrlPr>
                    <w:rPr>
                      <w:rFonts w:ascii="Cambria Math" w:hAnsi="Cambria Math" w:cstheme="minorHAnsi"/>
                    </w:rPr>
                  </m:ctrlPr>
                </m:sub>
                <m:sup>
                  <m:r>
                    <w:rPr>
                      <w:rFonts w:ascii="Cambria Math" w:hAnsi="Cambria Math" w:cstheme="minorHAnsi"/>
                    </w:rPr>
                    <m:t>f</m:t>
                  </m:r>
                </m:sup>
              </m:sSubSup>
              <m:r>
                <w:rPr>
                  <w:rFonts w:ascii="Cambria Math" w:eastAsiaTheme="minorEastAsia" w:hAnsi="Cambria Math" w:cstheme="minorHAnsi"/>
                </w:rPr>
                <m:t>-</m:t>
              </m:r>
              <m:d>
                <m:dPr>
                  <m:ctrlPr>
                    <w:rPr>
                      <w:rFonts w:ascii="Cambria Math" w:eastAsiaTheme="minorEastAsia" w:hAnsi="Cambria Math" w:cstheme="minorHAnsi"/>
                      <w:i/>
                    </w:rPr>
                  </m:ctrlPr>
                </m:dPr>
                <m:e>
                  <m:sSubSup>
                    <m:sSubSupPr>
                      <m:ctrlPr>
                        <w:rPr>
                          <w:rFonts w:ascii="Cambria Math" w:hAnsi="Cambria Math" w:cstheme="minorHAnsi"/>
                          <w:i/>
                        </w:rPr>
                      </m:ctrlPr>
                    </m:sSubSupPr>
                    <m:e>
                      <m:acc>
                        <m:accPr>
                          <m:chr m:val="̅"/>
                          <m:ctrlPr>
                            <w:rPr>
                              <w:rFonts w:ascii="Cambria Math" w:hAnsi="Cambria Math" w:cstheme="minorHAnsi"/>
                              <w:i/>
                            </w:rPr>
                          </m:ctrlPr>
                        </m:accPr>
                        <m:e>
                          <m:r>
                            <w:rPr>
                              <w:rFonts w:ascii="Cambria Math" w:hAnsi="Cambria Math" w:cstheme="minorHAnsi"/>
                            </w:rPr>
                            <m:t>M</m:t>
                          </m:r>
                        </m:e>
                      </m:acc>
                    </m:e>
                    <m:sub>
                      <m:r>
                        <m:rPr>
                          <m:sty m:val="p"/>
                        </m:rPr>
                        <w:rPr>
                          <w:rFonts w:ascii="Cambria Math" w:hAnsi="Cambria Math" w:cstheme="minorHAnsi"/>
                        </w:rPr>
                        <m:t>raw</m:t>
                      </m:r>
                      <m:ctrlPr>
                        <w:rPr>
                          <w:rFonts w:ascii="Cambria Math" w:hAnsi="Cambria Math" w:cstheme="minorHAnsi"/>
                        </w:rPr>
                      </m:ctrlPr>
                    </m:sub>
                    <m:sup>
                      <m:r>
                        <w:rPr>
                          <w:rFonts w:ascii="Cambria Math" w:hAnsi="Cambria Math" w:cstheme="minorHAnsi"/>
                        </w:rPr>
                        <m:t>p</m:t>
                      </m:r>
                    </m:sup>
                  </m:sSubSup>
                  <m:r>
                    <w:rPr>
                      <w:rFonts w:ascii="Cambria Math" w:hAnsi="Cambria Math" w:cstheme="minorHAnsi"/>
                    </w:rPr>
                    <m:t>-</m:t>
                  </m:r>
                  <m:sSup>
                    <m:sSupPr>
                      <m:ctrlPr>
                        <w:rPr>
                          <w:rFonts w:ascii="Cambria Math" w:hAnsi="Cambria Math" w:cstheme="minorHAnsi"/>
                          <w:i/>
                        </w:rPr>
                      </m:ctrlPr>
                    </m:sSupPr>
                    <m:e>
                      <m:acc>
                        <m:accPr>
                          <m:chr m:val="̅"/>
                          <m:ctrlPr>
                            <w:rPr>
                              <w:rFonts w:ascii="Cambria Math" w:hAnsi="Cambria Math" w:cstheme="minorHAnsi"/>
                              <w:i/>
                            </w:rPr>
                          </m:ctrlPr>
                        </m:accPr>
                        <m:e>
                          <m:r>
                            <w:rPr>
                              <w:rFonts w:ascii="Cambria Math" w:hAnsi="Cambria Math" w:cstheme="minorHAnsi"/>
                            </w:rPr>
                            <m:t>O</m:t>
                          </m:r>
                        </m:e>
                      </m:acc>
                    </m:e>
                    <m:sup>
                      <m:r>
                        <w:rPr>
                          <w:rFonts w:ascii="Cambria Math" w:hAnsi="Cambria Math" w:cstheme="minorHAnsi"/>
                        </w:rPr>
                        <m:t>p</m:t>
                      </m:r>
                    </m:sup>
                  </m:sSup>
                  <m:ctrlPr>
                    <w:rPr>
                      <w:rFonts w:ascii="Cambria Math" w:hAnsi="Cambria Math" w:cstheme="minorHAnsi"/>
                      <w:i/>
                    </w:rPr>
                  </m:ctrlP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3.13</m:t>
                  </m:r>
                </m:e>
              </m:d>
            </m:e>
          </m:eqArr>
        </m:oMath>
      </m:oMathPara>
    </w:p>
    <w:p w14:paraId="0FB0FA28" w14:textId="77777777" w:rsidR="006551F0" w:rsidRPr="008F6866" w:rsidRDefault="006551F0" w:rsidP="004E2478">
      <w:pPr>
        <w:autoSpaceDE w:val="0"/>
        <w:autoSpaceDN w:val="0"/>
        <w:adjustRightInd w:val="0"/>
        <w:spacing w:after="120" w:line="300" w:lineRule="auto"/>
        <w:jc w:val="both"/>
        <w:rPr>
          <w:rFonts w:cstheme="minorHAnsi"/>
        </w:rPr>
      </w:pPr>
      <w:r w:rsidRPr="008F6866">
        <w:rPr>
          <w:rFonts w:cstheme="minorHAnsi"/>
        </w:rPr>
        <w:t xml:space="preserve">where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i,</m:t>
            </m:r>
            <m:r>
              <m:rPr>
                <m:sty m:val="p"/>
              </m:rPr>
              <w:rPr>
                <w:rFonts w:ascii="Cambria Math" w:hAnsi="Cambria Math" w:cstheme="minorHAnsi"/>
              </w:rPr>
              <m:t>raw</m:t>
            </m:r>
            <m:ctrlPr>
              <w:rPr>
                <w:rFonts w:ascii="Cambria Math" w:hAnsi="Cambria Math" w:cstheme="minorHAnsi"/>
              </w:rPr>
            </m:ctrlPr>
          </m:sub>
          <m:sup>
            <m:r>
              <w:rPr>
                <w:rFonts w:ascii="Cambria Math" w:hAnsi="Cambria Math" w:cstheme="minorHAnsi"/>
              </w:rPr>
              <m:t>f</m:t>
            </m:r>
          </m:sup>
        </m:sSubSup>
      </m:oMath>
      <w:r w:rsidRPr="008F6866">
        <w:rPr>
          <w:rFonts w:eastAsiaTheme="minorEastAsia" w:cstheme="minorHAnsi"/>
        </w:rPr>
        <w:t xml:space="preserve"> is the raw model future time series at time </w:t>
      </w:r>
      <m:oMath>
        <m:r>
          <w:rPr>
            <w:rFonts w:ascii="Cambria Math" w:eastAsiaTheme="minorEastAsia" w:hAnsi="Cambria Math" w:cstheme="minorHAnsi"/>
          </w:rPr>
          <m:t>i</m:t>
        </m:r>
      </m:oMath>
      <w:r w:rsidRPr="008F6866">
        <w:rPr>
          <w:rFonts w:eastAsiaTheme="minorEastAsia" w:cstheme="minorHAnsi"/>
        </w:rPr>
        <w:t xml:space="preserve">, </w:t>
      </w:r>
      <m:oMath>
        <m:sSubSup>
          <m:sSubSupPr>
            <m:ctrlPr>
              <w:rPr>
                <w:rFonts w:ascii="Cambria Math" w:hAnsi="Cambria Math" w:cstheme="minorHAnsi"/>
                <w:i/>
              </w:rPr>
            </m:ctrlPr>
          </m:sSubSupPr>
          <m:e>
            <m:acc>
              <m:accPr>
                <m:chr m:val="̅"/>
                <m:ctrlPr>
                  <w:rPr>
                    <w:rFonts w:ascii="Cambria Math" w:hAnsi="Cambria Math" w:cstheme="minorHAnsi"/>
                    <w:i/>
                  </w:rPr>
                </m:ctrlPr>
              </m:accPr>
              <m:e>
                <m:r>
                  <w:rPr>
                    <w:rFonts w:ascii="Cambria Math" w:hAnsi="Cambria Math" w:cstheme="minorHAnsi"/>
                  </w:rPr>
                  <m:t>M</m:t>
                </m:r>
              </m:e>
            </m:acc>
          </m:e>
          <m:sub>
            <m:r>
              <m:rPr>
                <m:sty m:val="p"/>
              </m:rPr>
              <w:rPr>
                <w:rFonts w:ascii="Cambria Math" w:hAnsi="Cambria Math" w:cstheme="minorHAnsi"/>
              </w:rPr>
              <m:t>raw</m:t>
            </m:r>
            <m:ctrlPr>
              <w:rPr>
                <w:rFonts w:ascii="Cambria Math" w:hAnsi="Cambria Math" w:cstheme="minorHAnsi"/>
              </w:rPr>
            </m:ctrlPr>
          </m:sub>
          <m:sup>
            <m:r>
              <w:rPr>
                <w:rFonts w:ascii="Cambria Math" w:hAnsi="Cambria Math" w:cstheme="minorHAnsi"/>
              </w:rPr>
              <m:t>p</m:t>
            </m:r>
          </m:sup>
        </m:sSubSup>
      </m:oMath>
      <w:r w:rsidRPr="008F6866">
        <w:rPr>
          <w:rFonts w:eastAsiaTheme="minorEastAsia" w:cstheme="minorHAnsi"/>
        </w:rPr>
        <w:t xml:space="preserve"> is the model present-day mean and </w:t>
      </w:r>
      <m:oMath>
        <m:sSup>
          <m:sSupPr>
            <m:ctrlPr>
              <w:rPr>
                <w:rFonts w:ascii="Cambria Math" w:hAnsi="Cambria Math" w:cstheme="minorHAnsi"/>
                <w:i/>
              </w:rPr>
            </m:ctrlPr>
          </m:sSupPr>
          <m:e>
            <m:acc>
              <m:accPr>
                <m:chr m:val="̅"/>
                <m:ctrlPr>
                  <w:rPr>
                    <w:rFonts w:ascii="Cambria Math" w:hAnsi="Cambria Math" w:cstheme="minorHAnsi"/>
                    <w:i/>
                  </w:rPr>
                </m:ctrlPr>
              </m:accPr>
              <m:e>
                <m:r>
                  <w:rPr>
                    <w:rFonts w:ascii="Cambria Math" w:hAnsi="Cambria Math" w:cstheme="minorHAnsi"/>
                  </w:rPr>
                  <m:t>O</m:t>
                </m:r>
              </m:e>
            </m:acc>
          </m:e>
          <m:sup>
            <m:r>
              <w:rPr>
                <w:rFonts w:ascii="Cambria Math" w:hAnsi="Cambria Math" w:cstheme="minorHAnsi"/>
              </w:rPr>
              <m:t>p</m:t>
            </m:r>
          </m:sup>
        </m:sSup>
      </m:oMath>
      <w:r w:rsidRPr="008F6866">
        <w:rPr>
          <w:rFonts w:eastAsiaTheme="minorEastAsia" w:cstheme="minorHAnsi"/>
        </w:rPr>
        <w:t xml:space="preserve"> the corresponding observed mean.</w:t>
      </w:r>
    </w:p>
    <w:p w14:paraId="13798C54" w14:textId="28F38A95" w:rsidR="006551F0" w:rsidRPr="008F6866" w:rsidRDefault="006551F0" w:rsidP="004E2478">
      <w:pPr>
        <w:autoSpaceDE w:val="0"/>
        <w:autoSpaceDN w:val="0"/>
        <w:adjustRightInd w:val="0"/>
        <w:spacing w:after="120" w:line="300" w:lineRule="auto"/>
        <w:jc w:val="both"/>
        <w:rPr>
          <w:rFonts w:cstheme="minorHAnsi"/>
        </w:rPr>
      </w:pPr>
      <w:r w:rsidRPr="008F6866">
        <w:rPr>
          <w:rFonts w:cstheme="minorHAnsi"/>
        </w:rPr>
        <w:t>For bounded variables (rainfall, wind speed, relative humidity, and solar radiation), an additive correction is not applicable as it can result in values outside of the physically-allowed bounds</w:t>
      </w:r>
      <w:r w:rsidRPr="008F6866" w:rsidDel="00033E84">
        <w:rPr>
          <w:rFonts w:cstheme="minorHAnsi"/>
        </w:rPr>
        <w:t xml:space="preserve"> </w:t>
      </w:r>
      <w:r w:rsidRPr="008F6866">
        <w:rPr>
          <w:rFonts w:cstheme="minorHAnsi"/>
        </w:rPr>
        <w:t>(e.g., negative rainfall or relative humidity of &gt;100%)</w:t>
      </w:r>
      <w:r w:rsidR="004E2478" w:rsidRPr="008F6866">
        <w:rPr>
          <w:rFonts w:cstheme="minorHAnsi"/>
        </w:rPr>
        <w:t xml:space="preserve"> </w:t>
      </w:r>
      <w:r w:rsidRPr="008F6866">
        <w:rPr>
          <w:rFonts w:cstheme="minorHAnsi"/>
        </w:rPr>
        <w:fldChar w:fldCharType="begin"/>
      </w:r>
      <w:r w:rsidR="001677B2">
        <w:rPr>
          <w:rFonts w:cstheme="minorHAnsi"/>
        </w:rPr>
        <w:instrText xml:space="preserve"> ADDIN EN.CITE &lt;EndNote&gt;&lt;Cite&gt;&lt;Author&gt;Hempel&lt;/Author&gt;&lt;Year&gt;2013&lt;/Year&gt;&lt;RecNum&gt;348&lt;/RecNum&gt;&lt;IDText&gt;Hempel13&lt;/IDText&gt;&lt;DisplayText&gt;(Hempel&lt;style face="italic"&gt; et al.&lt;/style&gt;, 2013)&lt;/DisplayText&gt;&lt;record&gt;&lt;rec-number&gt;348&lt;/rec-number&gt;&lt;foreign-keys&gt;&lt;key app="EN" db-id="0px2fzdxhrpdrre2w5f5pdryx90atadrdavt" timestamp="1713816459"&gt;348&lt;/key&gt;&lt;/foreign-keys&gt;&lt;ref-type name="Journal Article"&gt;17&lt;/ref-type&gt;&lt;contributors&gt;&lt;authors&gt;&lt;author&gt;Hempel, S.&lt;/author&gt;&lt;author&gt;Frieler, K.&lt;/author&gt;&lt;author&gt;Warszawski, L.&lt;/author&gt;&lt;author&gt;Schewe, J.&lt;/author&gt;&lt;author&gt;Piontek, F.&lt;/author&gt;&lt;/authors&gt;&lt;/contributors&gt;&lt;titles&gt;&lt;title&gt;A trend-preserving bias correction &amp;amp;ndash; The ISI-MIP approach&lt;/title&gt;&lt;secondary-title&gt;Earth System Dynamics&lt;/secondary-title&gt;&lt;/titles&gt;&lt;periodical&gt;&lt;full-title&gt;Earth System Dynamics&lt;/full-title&gt;&lt;/periodical&gt;&lt;pages&gt;219-236&lt;/pages&gt;&lt;volume&gt;4&lt;/volume&gt;&lt;number&gt;2&lt;/number&gt;&lt;dates&gt;&lt;year&gt;2013&lt;/year&gt;&lt;/dates&gt;&lt;label&gt;Hempel13&lt;/label&gt;&lt;work-type&gt;Article&lt;/work-type&gt;&lt;urls&gt;&lt;related-urls&gt;&lt;url&gt;https://www.scopus.com/inward/record.uri?eid=2-s2.0-84891926686&amp;amp;doi=10.5194%2fesd-4-219-2013&amp;amp;partnerID=40&amp;amp;md5=cb4446991a103ce48ad50fe95361a505&lt;/url&gt;&lt;/related-urls&gt;&lt;/urls&gt;&lt;electronic-resource-num&gt;10.5194/esd-4-219-2013&lt;/electronic-resource-num&gt;&lt;remote-database-name&gt;Scopus&lt;/remote-database-name&gt;&lt;/record&gt;&lt;/Cite&gt;&lt;/EndNote&gt;</w:instrText>
      </w:r>
      <w:r w:rsidRPr="008F6866">
        <w:rPr>
          <w:rFonts w:cstheme="minorHAnsi"/>
        </w:rPr>
        <w:fldChar w:fldCharType="separate"/>
      </w:r>
      <w:r w:rsidR="001677B2">
        <w:rPr>
          <w:rFonts w:cstheme="minorHAnsi"/>
          <w:noProof/>
        </w:rPr>
        <w:t>(Hempel</w:t>
      </w:r>
      <w:r w:rsidR="001677B2" w:rsidRPr="001677B2">
        <w:rPr>
          <w:rFonts w:cstheme="minorHAnsi"/>
          <w:i/>
          <w:noProof/>
        </w:rPr>
        <w:t xml:space="preserve"> et al.</w:t>
      </w:r>
      <w:r w:rsidR="001677B2">
        <w:rPr>
          <w:rFonts w:cstheme="minorHAnsi"/>
          <w:noProof/>
        </w:rPr>
        <w:t>, 2013)</w:t>
      </w:r>
      <w:r w:rsidRPr="008F6866">
        <w:rPr>
          <w:rFonts w:cstheme="minorHAnsi"/>
        </w:rPr>
        <w:fldChar w:fldCharType="end"/>
      </w:r>
      <w:r w:rsidRPr="008F6866">
        <w:rPr>
          <w:rFonts w:cstheme="minorHAnsi"/>
        </w:rPr>
        <w:t xml:space="preserve">. For example, a positive additive </w:t>
      </w:r>
      <w:r w:rsidRPr="008F6866">
        <w:rPr>
          <w:rFonts w:cstheme="minorHAnsi"/>
        </w:rPr>
        <w:lastRenderedPageBreak/>
        <w:t>correction of rainfall would amount to all days becoming wet. For such variables one would typically consider relative changes, i.e.</w:t>
      </w:r>
    </w:p>
    <w:p w14:paraId="3909240B" w14:textId="5A5A7345" w:rsidR="006551F0" w:rsidRPr="008F6866" w:rsidRDefault="00000000" w:rsidP="00237FED">
      <w:pPr>
        <w:autoSpaceDE w:val="0"/>
        <w:autoSpaceDN w:val="0"/>
        <w:adjustRightInd w:val="0"/>
        <w:spacing w:after="60" w:line="300" w:lineRule="auto"/>
        <w:jc w:val="both"/>
        <w:rPr>
          <w:rFonts w:eastAsiaTheme="minorEastAsia" w:cstheme="minorHAnsi"/>
        </w:rPr>
      </w:pPr>
      <m:oMathPara>
        <m:oMath>
          <m:eqArr>
            <m:eqArrPr>
              <m:maxDist m:val="1"/>
              <m:ctrlPr>
                <w:rPr>
                  <w:rFonts w:ascii="Cambria Math" w:hAnsi="Cambria Math" w:cstheme="minorHAnsi"/>
                  <w:i/>
                </w:rPr>
              </m:ctrlPr>
            </m:eqArrPr>
            <m:e>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i,</m:t>
                  </m:r>
                  <m:r>
                    <m:rPr>
                      <m:sty m:val="p"/>
                    </m:rPr>
                    <w:rPr>
                      <w:rFonts w:ascii="Cambria Math" w:hAnsi="Cambria Math" w:cstheme="minorHAnsi"/>
                    </w:rPr>
                    <m:t>corr</m:t>
                  </m:r>
                  <m:ctrlPr>
                    <w:rPr>
                      <w:rFonts w:ascii="Cambria Math" w:hAnsi="Cambria Math" w:cstheme="minorHAnsi"/>
                    </w:rPr>
                  </m:ctrlPr>
                </m:sub>
                <m:sup>
                  <m:r>
                    <w:rPr>
                      <w:rFonts w:ascii="Cambria Math" w:hAnsi="Cambria Math" w:cstheme="minorHAnsi"/>
                    </w:rPr>
                    <m:t>f</m:t>
                  </m:r>
                </m:sup>
              </m:sSubSup>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i,</m:t>
                  </m:r>
                  <m:r>
                    <m:rPr>
                      <m:sty m:val="p"/>
                    </m:rPr>
                    <w:rPr>
                      <w:rFonts w:ascii="Cambria Math" w:hAnsi="Cambria Math" w:cstheme="minorHAnsi"/>
                    </w:rPr>
                    <m:t>raw</m:t>
                  </m:r>
                  <m:ctrlPr>
                    <w:rPr>
                      <w:rFonts w:ascii="Cambria Math" w:hAnsi="Cambria Math" w:cstheme="minorHAnsi"/>
                    </w:rPr>
                  </m:ctrlPr>
                </m:sub>
                <m:sup>
                  <m:r>
                    <w:rPr>
                      <w:rFonts w:ascii="Cambria Math" w:hAnsi="Cambria Math" w:cstheme="minorHAnsi"/>
                    </w:rPr>
                    <m:t>f</m:t>
                  </m:r>
                </m:sup>
              </m:sSubSup>
              <m:r>
                <w:rPr>
                  <w:rFonts w:ascii="Cambria Math" w:hAnsi="Cambria Math" w:cstheme="minorHAnsi"/>
                </w:rPr>
                <m:t>×</m:t>
              </m:r>
              <m:f>
                <m:fPr>
                  <m:ctrlPr>
                    <w:rPr>
                      <w:rFonts w:ascii="Cambria Math" w:hAnsi="Cambria Math" w:cstheme="minorHAnsi"/>
                      <w:i/>
                    </w:rPr>
                  </m:ctrlPr>
                </m:fPr>
                <m:num>
                  <m:sSup>
                    <m:sSupPr>
                      <m:ctrlPr>
                        <w:rPr>
                          <w:rFonts w:ascii="Cambria Math" w:hAnsi="Cambria Math" w:cstheme="minorHAnsi"/>
                          <w:i/>
                        </w:rPr>
                      </m:ctrlPr>
                    </m:sSupPr>
                    <m:e>
                      <m:acc>
                        <m:accPr>
                          <m:chr m:val="̅"/>
                          <m:ctrlPr>
                            <w:rPr>
                              <w:rFonts w:ascii="Cambria Math" w:hAnsi="Cambria Math" w:cstheme="minorHAnsi"/>
                              <w:i/>
                            </w:rPr>
                          </m:ctrlPr>
                        </m:accPr>
                        <m:e>
                          <m:r>
                            <w:rPr>
                              <w:rFonts w:ascii="Cambria Math" w:hAnsi="Cambria Math" w:cstheme="minorHAnsi"/>
                            </w:rPr>
                            <m:t>O</m:t>
                          </m:r>
                        </m:e>
                      </m:acc>
                    </m:e>
                    <m:sup>
                      <m:r>
                        <w:rPr>
                          <w:rFonts w:ascii="Cambria Math" w:hAnsi="Cambria Math" w:cstheme="minorHAnsi"/>
                        </w:rPr>
                        <m:t>p</m:t>
                      </m:r>
                    </m:sup>
                  </m:sSup>
                </m:num>
                <m:den>
                  <m:sSubSup>
                    <m:sSubSupPr>
                      <m:ctrlPr>
                        <w:rPr>
                          <w:rFonts w:ascii="Cambria Math" w:hAnsi="Cambria Math" w:cstheme="minorHAnsi"/>
                          <w:i/>
                        </w:rPr>
                      </m:ctrlPr>
                    </m:sSubSupPr>
                    <m:e>
                      <m:acc>
                        <m:accPr>
                          <m:chr m:val="̅"/>
                          <m:ctrlPr>
                            <w:rPr>
                              <w:rFonts w:ascii="Cambria Math" w:hAnsi="Cambria Math" w:cstheme="minorHAnsi"/>
                              <w:i/>
                            </w:rPr>
                          </m:ctrlPr>
                        </m:accPr>
                        <m:e>
                          <m:r>
                            <w:rPr>
                              <w:rFonts w:ascii="Cambria Math" w:hAnsi="Cambria Math" w:cstheme="minorHAnsi"/>
                            </w:rPr>
                            <m:t>M</m:t>
                          </m:r>
                        </m:e>
                      </m:acc>
                    </m:e>
                    <m:sub>
                      <m:r>
                        <m:rPr>
                          <m:sty m:val="p"/>
                        </m:rPr>
                        <w:rPr>
                          <w:rFonts w:ascii="Cambria Math" w:hAnsi="Cambria Math" w:cstheme="minorHAnsi"/>
                        </w:rPr>
                        <m:t>raw</m:t>
                      </m:r>
                      <m:ctrlPr>
                        <w:rPr>
                          <w:rFonts w:ascii="Cambria Math" w:hAnsi="Cambria Math" w:cstheme="minorHAnsi"/>
                        </w:rPr>
                      </m:ctrlPr>
                    </m:sub>
                    <m:sup>
                      <m:r>
                        <w:rPr>
                          <w:rFonts w:ascii="Cambria Math" w:hAnsi="Cambria Math" w:cstheme="minorHAnsi"/>
                        </w:rPr>
                        <m:t>p</m:t>
                      </m:r>
                    </m:sup>
                  </m:sSubSup>
                </m:den>
              </m:f>
              <m:r>
                <w:rPr>
                  <w:rFonts w:ascii="Cambria Math" w:hAnsi="Cambria Math" w:cstheme="minorHAnsi"/>
                </w:rPr>
                <m:t>.#</m:t>
              </m:r>
              <m:d>
                <m:dPr>
                  <m:ctrlPr>
                    <w:rPr>
                      <w:rFonts w:ascii="Cambria Math" w:hAnsi="Cambria Math" w:cstheme="minorHAnsi"/>
                      <w:i/>
                    </w:rPr>
                  </m:ctrlPr>
                </m:dPr>
                <m:e>
                  <m:r>
                    <w:rPr>
                      <w:rFonts w:ascii="Cambria Math" w:hAnsi="Cambria Math" w:cstheme="minorHAnsi"/>
                    </w:rPr>
                    <m:t>3.14</m:t>
                  </m:r>
                </m:e>
              </m:d>
            </m:e>
          </m:eqArr>
        </m:oMath>
      </m:oMathPara>
    </w:p>
    <w:p w14:paraId="2EB8964F" w14:textId="77777777" w:rsidR="006551F0" w:rsidRPr="008F6866" w:rsidRDefault="006551F0" w:rsidP="004E2478">
      <w:pPr>
        <w:autoSpaceDE w:val="0"/>
        <w:autoSpaceDN w:val="0"/>
        <w:adjustRightInd w:val="0"/>
        <w:spacing w:after="120" w:line="300" w:lineRule="auto"/>
        <w:jc w:val="both"/>
        <w:rPr>
          <w:rFonts w:eastAsiaTheme="minorEastAsia" w:cstheme="minorHAnsi"/>
        </w:rPr>
      </w:pPr>
      <w:r w:rsidRPr="008F6866">
        <w:rPr>
          <w:rFonts w:cstheme="minorHAnsi"/>
        </w:rPr>
        <w:t>This formulation is known as linear scaling. It assumes a constant coefficient (</w:t>
      </w:r>
      <m:oMath>
        <m:f>
          <m:fPr>
            <m:ctrlPr>
              <w:rPr>
                <w:rFonts w:ascii="Cambria Math" w:hAnsi="Cambria Math" w:cstheme="minorHAnsi"/>
                <w:i/>
              </w:rPr>
            </m:ctrlPr>
          </m:fPr>
          <m:num>
            <m:sSup>
              <m:sSupPr>
                <m:ctrlPr>
                  <w:rPr>
                    <w:rFonts w:ascii="Cambria Math" w:hAnsi="Cambria Math" w:cstheme="minorHAnsi"/>
                    <w:i/>
                  </w:rPr>
                </m:ctrlPr>
              </m:sSupPr>
              <m:e>
                <m:acc>
                  <m:accPr>
                    <m:chr m:val="̅"/>
                    <m:ctrlPr>
                      <w:rPr>
                        <w:rFonts w:ascii="Cambria Math" w:hAnsi="Cambria Math" w:cstheme="minorHAnsi"/>
                        <w:i/>
                      </w:rPr>
                    </m:ctrlPr>
                  </m:accPr>
                  <m:e>
                    <m:r>
                      <w:rPr>
                        <w:rFonts w:ascii="Cambria Math" w:hAnsi="Cambria Math" w:cstheme="minorHAnsi"/>
                      </w:rPr>
                      <m:t>O</m:t>
                    </m:r>
                  </m:e>
                </m:acc>
              </m:e>
              <m:sup>
                <m:r>
                  <w:rPr>
                    <w:rFonts w:ascii="Cambria Math" w:hAnsi="Cambria Math" w:cstheme="minorHAnsi"/>
                  </w:rPr>
                  <m:t>p</m:t>
                </m:r>
              </m:sup>
            </m:sSup>
          </m:num>
          <m:den>
            <m:sSubSup>
              <m:sSubSupPr>
                <m:ctrlPr>
                  <w:rPr>
                    <w:rFonts w:ascii="Cambria Math" w:hAnsi="Cambria Math" w:cstheme="minorHAnsi"/>
                    <w:i/>
                  </w:rPr>
                </m:ctrlPr>
              </m:sSubSupPr>
              <m:e>
                <m:acc>
                  <m:accPr>
                    <m:chr m:val="̅"/>
                    <m:ctrlPr>
                      <w:rPr>
                        <w:rFonts w:ascii="Cambria Math" w:hAnsi="Cambria Math" w:cstheme="minorHAnsi"/>
                        <w:i/>
                      </w:rPr>
                    </m:ctrlPr>
                  </m:accPr>
                  <m:e>
                    <m:r>
                      <w:rPr>
                        <w:rFonts w:ascii="Cambria Math" w:hAnsi="Cambria Math" w:cstheme="minorHAnsi"/>
                      </w:rPr>
                      <m:t>M</m:t>
                    </m:r>
                  </m:e>
                </m:acc>
              </m:e>
              <m:sub>
                <m:r>
                  <m:rPr>
                    <m:sty m:val="p"/>
                  </m:rPr>
                  <w:rPr>
                    <w:rFonts w:ascii="Cambria Math" w:hAnsi="Cambria Math" w:cstheme="minorHAnsi"/>
                  </w:rPr>
                  <m:t>raw</m:t>
                </m:r>
                <m:ctrlPr>
                  <w:rPr>
                    <w:rFonts w:ascii="Cambria Math" w:hAnsi="Cambria Math" w:cstheme="minorHAnsi"/>
                  </w:rPr>
                </m:ctrlPr>
              </m:sub>
              <m:sup>
                <m:r>
                  <w:rPr>
                    <w:rFonts w:ascii="Cambria Math" w:hAnsi="Cambria Math" w:cstheme="minorHAnsi"/>
                  </w:rPr>
                  <m:t>p</m:t>
                </m:r>
              </m:sup>
            </m:sSubSup>
          </m:den>
        </m:f>
        <m:r>
          <w:rPr>
            <w:rFonts w:ascii="Cambria Math" w:hAnsi="Cambria Math" w:cstheme="minorHAnsi"/>
          </w:rPr>
          <m:t>)</m:t>
        </m:r>
      </m:oMath>
      <w:r w:rsidRPr="008F6866">
        <w:rPr>
          <w:rFonts w:eastAsiaTheme="minorEastAsia" w:cstheme="minorHAnsi"/>
        </w:rPr>
        <w:t xml:space="preserve"> of variation, leading to a mean and variance rescaled by the same factor. </w:t>
      </w:r>
    </w:p>
    <w:p w14:paraId="7A6B2625" w14:textId="77777777" w:rsidR="006551F0" w:rsidRPr="008F6866" w:rsidRDefault="006551F0" w:rsidP="004E2478">
      <w:pPr>
        <w:autoSpaceDE w:val="0"/>
        <w:autoSpaceDN w:val="0"/>
        <w:adjustRightInd w:val="0"/>
        <w:spacing w:after="120" w:line="300" w:lineRule="auto"/>
        <w:jc w:val="both"/>
        <w:rPr>
          <w:rFonts w:eastAsiaTheme="minorEastAsia" w:cstheme="minorHAnsi"/>
        </w:rPr>
      </w:pPr>
      <w:r w:rsidRPr="008F6866">
        <w:rPr>
          <w:rFonts w:eastAsiaTheme="minorEastAsia" w:cstheme="minorHAnsi"/>
        </w:rPr>
        <w:t>We did not correct relative humidity directly. We made corrections to the quantity (1-relative humidity) and then inferred the relative humidity in a subsequent step. This is because relative humidity in Belgium usually fluctuates between 50% and 100%. There is, therefore, a significant risk of surpassing the saturation point (100%).</w:t>
      </w:r>
    </w:p>
    <w:p w14:paraId="7BA34449" w14:textId="46F094DD" w:rsidR="006551F0" w:rsidRPr="008F6866" w:rsidRDefault="006551F0" w:rsidP="001651E9">
      <w:pPr>
        <w:autoSpaceDE w:val="0"/>
        <w:autoSpaceDN w:val="0"/>
        <w:adjustRightInd w:val="0"/>
        <w:spacing w:after="120" w:line="300" w:lineRule="auto"/>
        <w:jc w:val="both"/>
        <w:rPr>
          <w:rFonts w:cstheme="minorHAnsi"/>
        </w:rPr>
      </w:pPr>
      <w:r w:rsidRPr="008F6866">
        <w:rPr>
          <w:rFonts w:cstheme="minorHAnsi"/>
        </w:rPr>
        <w:t>We use these two methods to modify hourly (ALARO) and daily (CMIP6) simulated data by a constant offset or multiplicative correction factor that corrects long-term monthly mean deviations of the model simulated data from observed monthly mean data in the historical period. In such a manner, the long-term trend of the simulated data</w:t>
      </w:r>
      <w:r w:rsidR="005D40C1" w:rsidRPr="008F6866">
        <w:rPr>
          <w:rFonts w:cstheme="minorHAnsi"/>
        </w:rPr>
        <w:t xml:space="preserve"> </w:t>
      </w:r>
      <w:r w:rsidRPr="008F6866">
        <w:rPr>
          <w:rFonts w:cstheme="minorHAnsi"/>
        </w:rPr>
        <w:fldChar w:fldCharType="begin"/>
      </w:r>
      <w:r w:rsidR="001677B2">
        <w:rPr>
          <w:rFonts w:cstheme="minorHAnsi"/>
        </w:rPr>
        <w:instrText xml:space="preserve"> ADDIN EN.CITE &lt;EndNote&gt;&lt;Cite&gt;&lt;Author&gt;Hempel&lt;/Author&gt;&lt;Year&gt;2013&lt;/Year&gt;&lt;RecNum&gt;348&lt;/RecNum&gt;&lt;IDText&gt;Hempel13&lt;/IDText&gt;&lt;DisplayText&gt;(Hempel&lt;style face="italic"&gt; et al.&lt;/style&gt;, 2013)&lt;/DisplayText&gt;&lt;record&gt;&lt;rec-number&gt;348&lt;/rec-number&gt;&lt;foreign-keys&gt;&lt;key app="EN" db-id="0px2fzdxhrpdrre2w5f5pdryx90atadrdavt" timestamp="1713816459"&gt;348&lt;/key&gt;&lt;/foreign-keys&gt;&lt;ref-type name="Journal Article"&gt;17&lt;/ref-type&gt;&lt;contributors&gt;&lt;authors&gt;&lt;author&gt;Hempel, S.&lt;/author&gt;&lt;author&gt;Frieler, K.&lt;/author&gt;&lt;author&gt;Warszawski, L.&lt;/author&gt;&lt;author&gt;Schewe, J.&lt;/author&gt;&lt;author&gt;Piontek, F.&lt;/author&gt;&lt;/authors&gt;&lt;/contributors&gt;&lt;titles&gt;&lt;title&gt;A trend-preserving bias correction &amp;amp;ndash; The ISI-MIP approach&lt;/title&gt;&lt;secondary-title&gt;Earth System Dynamics&lt;/secondary-title&gt;&lt;/titles&gt;&lt;periodical&gt;&lt;full-title&gt;Earth System Dynamics&lt;/full-title&gt;&lt;/periodical&gt;&lt;pages&gt;219-236&lt;/pages&gt;&lt;volume&gt;4&lt;/volume&gt;&lt;number&gt;2&lt;/number&gt;&lt;dates&gt;&lt;year&gt;2013&lt;/year&gt;&lt;/dates&gt;&lt;label&gt;Hempel13&lt;/label&gt;&lt;work-type&gt;Article&lt;/work-type&gt;&lt;urls&gt;&lt;related-urls&gt;&lt;url&gt;https://www.scopus.com/inward/record.uri?eid=2-s2.0-84891926686&amp;amp;doi=10.5194%2fesd-4-219-2013&amp;amp;partnerID=40&amp;amp;md5=cb4446991a103ce48ad50fe95361a505&lt;/url&gt;&lt;/related-urls&gt;&lt;/urls&gt;&lt;electronic-resource-num&gt;10.5194/esd-4-219-2013&lt;/electronic-resource-num&gt;&lt;remote-database-name&gt;Scopus&lt;/remote-database-name&gt;&lt;/record&gt;&lt;/Cite&gt;&lt;/EndNote&gt;</w:instrText>
      </w:r>
      <w:r w:rsidRPr="008F6866">
        <w:rPr>
          <w:rFonts w:cstheme="minorHAnsi"/>
        </w:rPr>
        <w:fldChar w:fldCharType="separate"/>
      </w:r>
      <w:r w:rsidR="001677B2">
        <w:rPr>
          <w:rFonts w:cstheme="minorHAnsi"/>
          <w:noProof/>
        </w:rPr>
        <w:t>(Hempel</w:t>
      </w:r>
      <w:r w:rsidR="001677B2" w:rsidRPr="001677B2">
        <w:rPr>
          <w:rFonts w:cstheme="minorHAnsi"/>
          <w:i/>
          <w:noProof/>
        </w:rPr>
        <w:t xml:space="preserve"> et al.</w:t>
      </w:r>
      <w:r w:rsidR="001677B2">
        <w:rPr>
          <w:rFonts w:cstheme="minorHAnsi"/>
          <w:noProof/>
        </w:rPr>
        <w:t>, 2013)</w:t>
      </w:r>
      <w:r w:rsidRPr="008F6866">
        <w:rPr>
          <w:rFonts w:cstheme="minorHAnsi"/>
        </w:rPr>
        <w:fldChar w:fldCharType="end"/>
      </w:r>
      <w:r w:rsidRPr="008F6866">
        <w:rPr>
          <w:rFonts w:cstheme="minorHAnsi"/>
        </w:rPr>
        <w:t xml:space="preserve"> and the seasonality of climate change signals</w:t>
      </w:r>
      <w:r w:rsidR="005D40C1" w:rsidRPr="008F6866">
        <w:rPr>
          <w:rFonts w:cstheme="minorHAnsi"/>
        </w:rPr>
        <w:t xml:space="preserve"> </w:t>
      </w:r>
      <w:r w:rsidRPr="008F6866">
        <w:rPr>
          <w:rFonts w:cstheme="minorHAnsi"/>
        </w:rPr>
        <w:fldChar w:fldCharType="begin"/>
      </w:r>
      <w:r w:rsidR="001677B2">
        <w:rPr>
          <w:rFonts w:cstheme="minorHAnsi"/>
        </w:rPr>
        <w:instrText xml:space="preserve"> ADDIN EN.CITE &lt;EndNote&gt;&lt;Cite&gt;&lt;Author&gt;Hosseinzadehtalaei&lt;/Author&gt;&lt;Year&gt;2019&lt;/Year&gt;&lt;RecNum&gt;349&lt;/RecNum&gt;&lt;IDText&gt;Hosseinzadehtalaei19&lt;/IDText&gt;&lt;DisplayText&gt;(Hosseinzadehtalaei&lt;style face="italic"&gt; et al.&lt;/style&gt;, 2019)&lt;/DisplayText&gt;&lt;record&gt;&lt;rec-number&gt;349&lt;/rec-number&gt;&lt;foreign-keys&gt;&lt;key app="EN" db-id="0px2fzdxhrpdrre2w5f5pdryx90atadrdavt" timestamp="1713816622"&gt;349&lt;/key&gt;&lt;/foreign-keys&gt;&lt;ref-type name="Journal Article"&gt;17&lt;/ref-type&gt;&lt;contributors&gt;&lt;authors&gt;&lt;author&gt;Hosseinzadehtalaei, P.&lt;/author&gt;&lt;author&gt;Tabari, H.&lt;/author&gt;&lt;author&gt;Willems, P.&lt;/author&gt;&lt;/authors&gt;&lt;/contributors&gt;&lt;titles&gt;&lt;title&gt;Regionalization of anthropogenically forced changes in 3 hourly extreme precipitation over Europe&lt;/title&gt;&lt;secondary-title&gt;Environmental Research Letters&lt;/secondary-title&gt;&lt;/titles&gt;&lt;periodical&gt;&lt;full-title&gt;Environmental Research Letters&lt;/full-title&gt;&lt;/periodical&gt;&lt;volume&gt;14&lt;/volume&gt;&lt;number&gt;12&lt;/number&gt;&lt;dates&gt;&lt;year&gt;2019&lt;/year&gt;&lt;/dates&gt;&lt;label&gt;Hosseinzadehtalaei19&lt;/label&gt;&lt;work-type&gt;Article&lt;/work-type&gt;&lt;urls&gt;&lt;related-urls&gt;&lt;url&gt;https://www.scopus.com/inward/record.uri?eid=2-s2.0-85081123781&amp;amp;doi=10.1088%2f1748-9326%2fab5638&amp;amp;partnerID=40&amp;amp;md5=2b3db0891280c94fc231d861cac4bce1&lt;/url&gt;&lt;/related-urls&gt;&lt;/urls&gt;&lt;custom7&gt;124031&lt;/custom7&gt;&lt;electronic-resource-num&gt;10.1088/1748-9326/ab5638&lt;/electronic-resource-num&gt;&lt;remote-database-name&gt;Scopus&lt;/remote-database-name&gt;&lt;/record&gt;&lt;/Cite&gt;&lt;/EndNote&gt;</w:instrText>
      </w:r>
      <w:r w:rsidRPr="008F6866">
        <w:rPr>
          <w:rFonts w:cstheme="minorHAnsi"/>
        </w:rPr>
        <w:fldChar w:fldCharType="separate"/>
      </w:r>
      <w:r w:rsidR="001677B2">
        <w:rPr>
          <w:rFonts w:cstheme="minorHAnsi"/>
          <w:noProof/>
        </w:rPr>
        <w:t>(Hosseinzadehtalaei</w:t>
      </w:r>
      <w:r w:rsidR="001677B2" w:rsidRPr="001677B2">
        <w:rPr>
          <w:rFonts w:cstheme="minorHAnsi"/>
          <w:i/>
          <w:noProof/>
        </w:rPr>
        <w:t xml:space="preserve"> et al.</w:t>
      </w:r>
      <w:r w:rsidR="001677B2">
        <w:rPr>
          <w:rFonts w:cstheme="minorHAnsi"/>
          <w:noProof/>
        </w:rPr>
        <w:t>, 2019)</w:t>
      </w:r>
      <w:r w:rsidRPr="008F6866">
        <w:rPr>
          <w:rFonts w:cstheme="minorHAnsi"/>
        </w:rPr>
        <w:fldChar w:fldCharType="end"/>
      </w:r>
      <w:r w:rsidRPr="008F6866">
        <w:rPr>
          <w:rFonts w:cstheme="minorHAnsi"/>
        </w:rPr>
        <w:t xml:space="preserve"> are preserved.</w:t>
      </w:r>
    </w:p>
    <w:p w14:paraId="59019D67" w14:textId="77777777" w:rsidR="006551F0" w:rsidRPr="008F6866" w:rsidRDefault="006551F0" w:rsidP="00A60685">
      <w:pPr>
        <w:pStyle w:val="Paragraphedeliste"/>
        <w:numPr>
          <w:ilvl w:val="0"/>
          <w:numId w:val="9"/>
        </w:numPr>
        <w:spacing w:after="120" w:line="300" w:lineRule="auto"/>
        <w:ind w:left="714" w:hanging="357"/>
        <w:jc w:val="both"/>
        <w:rPr>
          <w:rFonts w:asciiTheme="minorHAnsi" w:eastAsia="Calibri" w:hAnsiTheme="minorHAnsi" w:cstheme="minorHAnsi"/>
          <w:szCs w:val="22"/>
          <w:lang w:val="en-GB"/>
        </w:rPr>
      </w:pPr>
      <w:r w:rsidRPr="008F6866">
        <w:rPr>
          <w:rFonts w:asciiTheme="minorHAnsi" w:eastAsia="Calibri" w:hAnsiTheme="minorHAnsi" w:cstheme="minorHAnsi"/>
          <w:szCs w:val="22"/>
          <w:lang w:val="en-GB"/>
        </w:rPr>
        <w:t>Quantile mapping</w:t>
      </w:r>
    </w:p>
    <w:p w14:paraId="2E004DB0" w14:textId="77777777" w:rsidR="006551F0" w:rsidRPr="008F6866" w:rsidRDefault="006551F0" w:rsidP="00A60685">
      <w:pPr>
        <w:spacing w:after="120" w:line="300" w:lineRule="auto"/>
        <w:jc w:val="both"/>
        <w:rPr>
          <w:rFonts w:cstheme="minorHAnsi"/>
        </w:rPr>
      </w:pPr>
      <w:r w:rsidRPr="008F6866">
        <w:rPr>
          <w:rFonts w:cstheme="minorHAnsi"/>
        </w:rPr>
        <w:t xml:space="preserve">The additive and scaling corrections only correct the mean difference (variance also for scaling) between the observed and simulated climate signal. They assume that higher-order moments are correctly simulated. Climate model biases often do not only affect the long-term mean, but also higher-order statistical moments such as variance or the tail behavior. Quantile mapping accounts for those corrections by adjusting different quantiles individually. From all modelled and observed values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i</m:t>
            </m:r>
          </m:sub>
          <m:sup>
            <m:r>
              <w:rPr>
                <w:rFonts w:ascii="Cambria Math" w:hAnsi="Cambria Math" w:cstheme="minorHAnsi"/>
              </w:rPr>
              <m:t>p</m:t>
            </m:r>
          </m:sup>
        </m:sSubSup>
      </m:oMath>
      <w:r w:rsidRPr="008F6866">
        <w:rPr>
          <w:rFonts w:eastAsiaTheme="minorEastAsia" w:cstheme="minorHAnsi"/>
        </w:rPr>
        <w:t xml:space="preserve"> and </w:t>
      </w:r>
      <m:oMath>
        <m:sSubSup>
          <m:sSubSupPr>
            <m:ctrlPr>
              <w:rPr>
                <w:rFonts w:ascii="Cambria Math" w:eastAsiaTheme="minorEastAsia" w:hAnsi="Cambria Math" w:cstheme="minorHAnsi"/>
                <w:i/>
              </w:rPr>
            </m:ctrlPr>
          </m:sSubSupPr>
          <m:e>
            <m:r>
              <w:rPr>
                <w:rFonts w:ascii="Cambria Math" w:eastAsiaTheme="minorEastAsia" w:hAnsi="Cambria Math" w:cstheme="minorHAnsi"/>
              </w:rPr>
              <m:t>O</m:t>
            </m:r>
          </m:e>
          <m:sub>
            <m:r>
              <w:rPr>
                <w:rFonts w:ascii="Cambria Math" w:eastAsiaTheme="minorEastAsia" w:hAnsi="Cambria Math" w:cstheme="minorHAnsi"/>
              </w:rPr>
              <m:t>i</m:t>
            </m:r>
          </m:sub>
          <m:sup>
            <m:r>
              <w:rPr>
                <w:rFonts w:ascii="Cambria Math" w:eastAsiaTheme="minorEastAsia" w:hAnsi="Cambria Math" w:cstheme="minorHAnsi"/>
              </w:rPr>
              <m:t>p</m:t>
            </m:r>
          </m:sup>
        </m:sSubSup>
      </m:oMath>
      <w:r w:rsidRPr="008F6866">
        <w:rPr>
          <w:rFonts w:eastAsiaTheme="minorEastAsia" w:cstheme="minorHAnsi"/>
        </w:rPr>
        <w:t xml:space="preserve"> over the calibration period, the corresponding cumulative probability functions </w:t>
      </w:r>
      <m:oMath>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M</m:t>
            </m:r>
          </m:sub>
        </m:sSub>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i</m:t>
                </m:r>
              </m:sub>
            </m:sSub>
          </m:e>
        </m:d>
      </m:oMath>
      <w:r w:rsidRPr="008F6866">
        <w:rPr>
          <w:rFonts w:eastAsiaTheme="minorEastAsia" w:cstheme="minorHAnsi"/>
        </w:rPr>
        <w:t xml:space="preserve"> and </w:t>
      </w:r>
      <m:oMath>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o</m:t>
            </m:r>
          </m:sub>
        </m:sSub>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O</m:t>
                </m:r>
              </m:e>
              <m:sub>
                <m:r>
                  <w:rPr>
                    <w:rFonts w:ascii="Cambria Math" w:eastAsiaTheme="minorEastAsia" w:hAnsi="Cambria Math" w:cstheme="minorHAnsi"/>
                  </w:rPr>
                  <m:t>i</m:t>
                </m:r>
              </m:sub>
            </m:sSub>
          </m:e>
        </m:d>
      </m:oMath>
      <w:r w:rsidRPr="008F6866">
        <w:rPr>
          <w:rFonts w:eastAsiaTheme="minorEastAsia" w:cstheme="minorHAnsi"/>
        </w:rPr>
        <w:t xml:space="preserve"> are estimated. </w:t>
      </w:r>
      <w:r w:rsidRPr="008F6866">
        <w:rPr>
          <w:rFonts w:cstheme="minorHAnsi"/>
        </w:rPr>
        <w:t xml:space="preserve">In general, statistical transformations attempt to find a function </w:t>
      </w:r>
      <m:oMath>
        <m:r>
          <w:rPr>
            <w:rFonts w:ascii="Cambria Math" w:hAnsi="Cambria Math" w:cstheme="minorHAnsi"/>
          </w:rPr>
          <m:t>TF</m:t>
        </m:r>
      </m:oMath>
      <w:r w:rsidRPr="008F6866">
        <w:rPr>
          <w:rFonts w:cstheme="minorHAnsi"/>
        </w:rPr>
        <w:t xml:space="preserve"> which maps a modelled variable </w:t>
      </w:r>
      <m:oMath>
        <m:sSub>
          <m:sSubPr>
            <m:ctrlPr>
              <w:rPr>
                <w:rFonts w:ascii="Cambria Math" w:eastAsiaTheme="minorEastAsia" w:hAnsi="Cambria Math" w:cstheme="minorHAnsi"/>
                <w:i/>
              </w:rPr>
            </m:ctrlPr>
          </m:sSubPr>
          <m:e>
            <m:r>
              <w:rPr>
                <w:rFonts w:ascii="Cambria Math" w:hAnsi="Cambria Math" w:cstheme="minorHAnsi"/>
              </w:rPr>
              <m:t>M</m:t>
            </m:r>
            <m:ctrlPr>
              <w:rPr>
                <w:rFonts w:ascii="Cambria Math" w:hAnsi="Cambria Math" w:cstheme="minorHAnsi"/>
                <w:i/>
              </w:rPr>
            </m:ctrlPr>
          </m:e>
          <m:sub>
            <m:r>
              <w:rPr>
                <w:rFonts w:ascii="Cambria Math" w:eastAsiaTheme="minorEastAsia" w:hAnsi="Cambria Math" w:cstheme="minorHAnsi"/>
              </w:rPr>
              <m:t>i</m:t>
            </m:r>
          </m:sub>
        </m:sSub>
      </m:oMath>
      <w:r w:rsidRPr="008F6866">
        <w:rPr>
          <w:rFonts w:cstheme="minorHAnsi"/>
        </w:rPr>
        <w:t xml:space="preserve"> such that its new distribution equals the distribution of the observed variable </w:t>
      </w:r>
      <m:oMath>
        <m:sSub>
          <m:sSubPr>
            <m:ctrlPr>
              <w:rPr>
                <w:rFonts w:ascii="Cambria Math" w:hAnsi="Cambria Math" w:cstheme="minorHAnsi"/>
                <w:i/>
              </w:rPr>
            </m:ctrlPr>
          </m:sSubPr>
          <m:e>
            <m:r>
              <w:rPr>
                <w:rFonts w:ascii="Cambria Math" w:hAnsi="Cambria Math" w:cstheme="minorHAnsi"/>
              </w:rPr>
              <m:t>O</m:t>
            </m:r>
          </m:e>
          <m:sub>
            <m:r>
              <w:rPr>
                <w:rFonts w:ascii="Cambria Math" w:hAnsi="Cambria Math" w:cstheme="minorHAnsi"/>
              </w:rPr>
              <m:t>i</m:t>
            </m:r>
          </m:sub>
        </m:sSub>
      </m:oMath>
      <w:r w:rsidRPr="008F6866">
        <w:rPr>
          <w:rFonts w:cstheme="minorHAnsi"/>
        </w:rPr>
        <w:t>. This transformation can be formulated as</w:t>
      </w:r>
    </w:p>
    <w:p w14:paraId="1346A15E" w14:textId="1372E07D" w:rsidR="006551F0" w:rsidRPr="008F6866" w:rsidRDefault="00000000" w:rsidP="00A60685">
      <w:pPr>
        <w:spacing w:after="120" w:line="300" w:lineRule="auto"/>
        <w:jc w:val="both"/>
        <w:rPr>
          <w:rFonts w:eastAsiaTheme="minorEastAsia" w:cstheme="minorHAnsi"/>
        </w:rPr>
      </w:pPr>
      <m:oMathPara>
        <m:oMath>
          <m:eqArr>
            <m:eqArrPr>
              <m:maxDist m:val="1"/>
              <m:ctrlPr>
                <w:rPr>
                  <w:rFonts w:ascii="Cambria Math" w:hAnsi="Cambria Math" w:cstheme="minorHAnsi"/>
                  <w:i/>
                </w:rPr>
              </m:ctrlPr>
            </m:eqArrPr>
            <m:e>
              <m:sSub>
                <m:sSubPr>
                  <m:ctrlPr>
                    <w:rPr>
                      <w:rFonts w:ascii="Cambria Math" w:hAnsi="Cambria Math" w:cstheme="minorHAnsi"/>
                      <w:i/>
                    </w:rPr>
                  </m:ctrlPr>
                </m:sSubPr>
                <m:e>
                  <m:r>
                    <w:rPr>
                      <w:rFonts w:ascii="Cambria Math" w:hAnsi="Cambria Math" w:cstheme="minorHAnsi"/>
                    </w:rPr>
                    <m:t>O</m:t>
                  </m:r>
                </m:e>
                <m:sub>
                  <m:r>
                    <w:rPr>
                      <w:rFonts w:ascii="Cambria Math" w:hAnsi="Cambria Math" w:cstheme="minorHAnsi"/>
                    </w:rPr>
                    <m:t>i</m:t>
                  </m:r>
                </m:sub>
              </m:sSub>
              <m:r>
                <w:rPr>
                  <w:rFonts w:ascii="Cambria Math" w:hAnsi="Cambria Math" w:cstheme="minorHAnsi"/>
                </w:rPr>
                <m:t xml:space="preserve"> = TF </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m:t>
                      </m:r>
                    </m:sub>
                  </m:sSub>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3.15</m:t>
                  </m:r>
                </m:e>
              </m:d>
            </m:e>
          </m:eqArr>
        </m:oMath>
      </m:oMathPara>
    </w:p>
    <w:p w14:paraId="17A94A86" w14:textId="77777777" w:rsidR="006551F0" w:rsidRPr="008F6866" w:rsidRDefault="006551F0" w:rsidP="00A60685">
      <w:pPr>
        <w:spacing w:after="120" w:line="300" w:lineRule="auto"/>
        <w:jc w:val="both"/>
        <w:rPr>
          <w:rFonts w:cstheme="minorHAnsi"/>
        </w:rPr>
      </w:pPr>
      <w:r w:rsidRPr="008F6866">
        <w:rPr>
          <w:rFonts w:cstheme="minorHAnsi"/>
        </w:rPr>
        <w:t>If the distribution of the variable of interest is known, the transformation is defined as</w:t>
      </w:r>
    </w:p>
    <w:p w14:paraId="549CB312" w14:textId="5D9E8ECA" w:rsidR="006551F0" w:rsidRPr="008F6866" w:rsidRDefault="00000000" w:rsidP="00237FED">
      <w:pPr>
        <w:spacing w:after="60" w:line="300" w:lineRule="auto"/>
        <w:jc w:val="both"/>
        <w:rPr>
          <w:rFonts w:eastAsiaTheme="minorEastAsia" w:cstheme="minorHAnsi"/>
        </w:rPr>
      </w:pPr>
      <m:oMathPara>
        <m:oMath>
          <m:eqArr>
            <m:eqArrPr>
              <m:maxDist m:val="1"/>
              <m:ctrlPr>
                <w:rPr>
                  <w:rFonts w:ascii="Cambria Math" w:hAnsi="Cambria Math" w:cstheme="minorHAnsi"/>
                  <w:i/>
                </w:rPr>
              </m:ctrlPr>
            </m:eqArrPr>
            <m:e>
              <m:sSub>
                <m:sSubPr>
                  <m:ctrlPr>
                    <w:rPr>
                      <w:rFonts w:ascii="Cambria Math" w:hAnsi="Cambria Math" w:cstheme="minorHAnsi"/>
                      <w:i/>
                    </w:rPr>
                  </m:ctrlPr>
                </m:sSubPr>
                <m:e>
                  <m:r>
                    <w:rPr>
                      <w:rFonts w:ascii="Cambria Math" w:hAnsi="Cambria Math" w:cstheme="minorHAnsi"/>
                    </w:rPr>
                    <m:t>O</m:t>
                  </m:r>
                </m:e>
                <m:sub>
                  <m:r>
                    <w:rPr>
                      <w:rFonts w:ascii="Cambria Math" w:hAnsi="Cambria Math" w:cstheme="minorHAnsi"/>
                    </w:rPr>
                    <m:t>i</m:t>
                  </m:r>
                </m:sub>
              </m:sSub>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F</m:t>
                  </m:r>
                </m:e>
                <m:sub>
                  <m:r>
                    <w:rPr>
                      <w:rFonts w:ascii="Cambria Math" w:hAnsi="Cambria Math" w:cstheme="minorHAnsi"/>
                    </w:rPr>
                    <m:t>o</m:t>
                  </m:r>
                </m:sub>
                <m:sup>
                  <m:r>
                    <w:rPr>
                      <w:rFonts w:ascii="Cambria Math" w:hAnsi="Cambria Math" w:cstheme="minorHAnsi"/>
                    </w:rPr>
                    <m:t>-1</m:t>
                  </m:r>
                </m:sup>
              </m:sSubSup>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m</m:t>
                      </m:r>
                    </m:sub>
                  </m:sSub>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m:t>
                          </m:r>
                        </m:sub>
                      </m:sSub>
                    </m:e>
                  </m:d>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3.16</m:t>
                  </m:r>
                </m:e>
              </m:d>
            </m:e>
          </m:eqArr>
        </m:oMath>
      </m:oMathPara>
    </w:p>
    <w:p w14:paraId="1A8EA2D1" w14:textId="7828FF5A" w:rsidR="006551F0" w:rsidRPr="008F6866" w:rsidRDefault="006551F0" w:rsidP="00237FED">
      <w:pPr>
        <w:spacing w:after="60" w:line="300" w:lineRule="auto"/>
        <w:jc w:val="both"/>
        <w:rPr>
          <w:rFonts w:cstheme="minorHAnsi"/>
        </w:rPr>
      </w:pPr>
      <w:r w:rsidRPr="008F6866">
        <w:rPr>
          <w:rFonts w:cstheme="minorHAnsi"/>
        </w:rPr>
        <w:t xml:space="preserve">where </w:t>
      </w: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m</m:t>
            </m:r>
          </m:sub>
        </m:sSub>
      </m:oMath>
      <w:r w:rsidRPr="008F6866">
        <w:rPr>
          <w:rFonts w:eastAsiaTheme="minorEastAsia" w:cstheme="minorHAnsi"/>
        </w:rPr>
        <w:t xml:space="preserve"> and </w:t>
      </w: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o</m:t>
            </m:r>
          </m:sub>
        </m:sSub>
      </m:oMath>
      <w:r w:rsidRPr="008F6866">
        <w:rPr>
          <w:rFonts w:eastAsiaTheme="minorEastAsia" w:cstheme="minorHAnsi"/>
        </w:rPr>
        <w:t xml:space="preserve"> are the cumulative distribution function of  </w:t>
      </w:r>
      <m:oMath>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i</m:t>
            </m:r>
          </m:sub>
        </m:sSub>
      </m:oMath>
      <w:r w:rsidRPr="008F6866">
        <w:rPr>
          <w:rFonts w:eastAsiaTheme="minorEastAsia" w:cstheme="minorHAnsi"/>
        </w:rPr>
        <w:t xml:space="preserve"> and </w:t>
      </w:r>
      <m:oMath>
        <m:sSub>
          <m:sSubPr>
            <m:ctrlPr>
              <w:rPr>
                <w:rFonts w:ascii="Cambria Math" w:eastAsiaTheme="minorEastAsia" w:hAnsi="Cambria Math" w:cstheme="minorHAnsi"/>
                <w:i/>
              </w:rPr>
            </m:ctrlPr>
          </m:sSubPr>
          <m:e>
            <m:r>
              <w:rPr>
                <w:rFonts w:ascii="Cambria Math" w:eastAsiaTheme="minorEastAsia" w:hAnsi="Cambria Math" w:cstheme="minorHAnsi"/>
              </w:rPr>
              <m:t>O</m:t>
            </m:r>
          </m:e>
          <m:sub>
            <m:r>
              <w:rPr>
                <w:rFonts w:ascii="Cambria Math" w:eastAsiaTheme="minorEastAsia" w:hAnsi="Cambria Math" w:cstheme="minorHAnsi"/>
              </w:rPr>
              <m:t>i</m:t>
            </m:r>
          </m:sub>
        </m:sSub>
      </m:oMath>
      <w:r w:rsidRPr="008F6866">
        <w:rPr>
          <w:rFonts w:eastAsiaTheme="minorEastAsia" w:cstheme="minorHAnsi"/>
        </w:rPr>
        <w:t xml:space="preserve">. </w:t>
      </w:r>
      <m:oMath>
        <m:sSup>
          <m:sSupPr>
            <m:ctrlPr>
              <w:rPr>
                <w:rFonts w:ascii="Cambria Math" w:eastAsiaTheme="minorEastAsia" w:hAnsi="Cambria Math" w:cstheme="minorHAnsi"/>
                <w:i/>
              </w:rPr>
            </m:ctrlPr>
          </m:sSupPr>
          <m:e>
            <m:r>
              <w:rPr>
                <w:rFonts w:ascii="Cambria Math" w:eastAsiaTheme="minorEastAsia" w:hAnsi="Cambria Math" w:cstheme="minorHAnsi"/>
              </w:rPr>
              <m:t>F</m:t>
            </m:r>
          </m:e>
          <m:sup>
            <m:r>
              <w:rPr>
                <w:rFonts w:ascii="Cambria Math" w:eastAsiaTheme="minorEastAsia" w:hAnsi="Cambria Math" w:cstheme="minorHAnsi"/>
              </w:rPr>
              <m:t>-1</m:t>
            </m:r>
          </m:sup>
        </m:sSup>
      </m:oMath>
      <w:r w:rsidRPr="008F6866">
        <w:rPr>
          <w:rFonts w:eastAsiaTheme="minorEastAsia" w:cstheme="minorHAnsi"/>
        </w:rPr>
        <w:t xml:space="preserve"> denotes the inverse </w:t>
      </w:r>
      <m:oMath>
        <m:r>
          <w:rPr>
            <w:rFonts w:ascii="Cambria Math" w:eastAsiaTheme="minorEastAsia" w:hAnsi="Cambria Math" w:cstheme="minorHAnsi"/>
          </w:rPr>
          <m:t>CDF</m:t>
        </m:r>
      </m:oMath>
      <w:r w:rsidRPr="008F6866">
        <w:rPr>
          <w:rFonts w:eastAsiaTheme="minorEastAsia" w:cstheme="minorHAnsi"/>
        </w:rPr>
        <w:t xml:space="preserve"> (or quantile function). </w:t>
      </w:r>
      <w:r w:rsidRPr="008F6866">
        <w:rPr>
          <w:rFonts w:cstheme="minorHAnsi"/>
        </w:rPr>
        <w:t xml:space="preserve">The actual formulation of the transfer function depends on the implementation. The ISIMIP3 algorithm that we used (some details are provided below) employs theoretical parametric distributions for solving </w:t>
      </w:r>
      <m:oMath>
        <m:r>
          <w:rPr>
            <w:rFonts w:ascii="Cambria Math" w:hAnsi="Cambria Math" w:cstheme="minorHAnsi"/>
          </w:rPr>
          <m:t>F</m:t>
        </m:r>
      </m:oMath>
      <w:r w:rsidRPr="008F6866">
        <w:rPr>
          <w:rFonts w:eastAsiaTheme="minorEastAsia" w:cstheme="minorHAnsi"/>
        </w:rPr>
        <w:t xml:space="preserve">, </w:t>
      </w:r>
      <w:r w:rsidRPr="008F6866">
        <w:rPr>
          <w:rFonts w:cstheme="minorHAnsi"/>
        </w:rPr>
        <w:t>such as a normal distribution for temperature and a gamma distribution for precipitation (see</w:t>
      </w:r>
      <w:r w:rsidR="00C1285E" w:rsidRPr="008F6866">
        <w:rPr>
          <w:rFonts w:cstheme="minorHAnsi"/>
        </w:rPr>
        <w:t xml:space="preserve"> </w:t>
      </w:r>
      <w:r w:rsidR="00C1285E" w:rsidRPr="008F6866">
        <w:rPr>
          <w:rFonts w:cstheme="minorHAnsi"/>
        </w:rPr>
        <w:fldChar w:fldCharType="begin"/>
      </w:r>
      <w:r w:rsidR="00C1285E" w:rsidRPr="008F6866">
        <w:rPr>
          <w:rFonts w:cstheme="minorHAnsi"/>
        </w:rPr>
        <w:instrText xml:space="preserve"> REF _Ref195652647 \h  \* MERGEFORMAT </w:instrText>
      </w:r>
      <w:r w:rsidR="00C1285E" w:rsidRPr="008F6866">
        <w:rPr>
          <w:rFonts w:cstheme="minorHAnsi"/>
        </w:rPr>
      </w:r>
      <w:r w:rsidR="00C1285E" w:rsidRPr="008F6866">
        <w:rPr>
          <w:rFonts w:cstheme="minorHAnsi"/>
        </w:rPr>
        <w:fldChar w:fldCharType="separate"/>
      </w:r>
      <w:r w:rsidR="00540DBF" w:rsidRPr="00540DBF">
        <w:rPr>
          <w:rFonts w:cstheme="minorHAnsi"/>
        </w:rPr>
        <w:t>Table III</w:t>
      </w:r>
      <w:r w:rsidR="00C1285E" w:rsidRPr="008F6866">
        <w:rPr>
          <w:rFonts w:cstheme="minorHAnsi"/>
        </w:rPr>
        <w:fldChar w:fldCharType="end"/>
      </w:r>
      <w:r w:rsidRPr="008F6866">
        <w:rPr>
          <w:rFonts w:cstheme="minorHAnsi"/>
        </w:rPr>
        <w:t>). Other variables as relative humidity or shortwave radiation make use of estimated cumulative probability functions inferred from data.</w:t>
      </w:r>
    </w:p>
    <w:p w14:paraId="5D055F1F" w14:textId="77777777" w:rsidR="00B46174" w:rsidRDefault="00B46174">
      <w:pPr>
        <w:rPr>
          <w:rFonts w:ascii="Calibri" w:eastAsia="Calibri" w:hAnsi="Calibri" w:cs="Calibri"/>
          <w:b/>
          <w:iCs/>
          <w:color w:val="000000" w:themeColor="text1"/>
          <w:sz w:val="20"/>
          <w:szCs w:val="20"/>
          <w:lang w:eastAsia="fr-BE"/>
        </w:rPr>
      </w:pPr>
      <w:bookmarkStart w:id="25" w:name="_Ref195564015"/>
      <w:bookmarkStart w:id="26" w:name="_Ref195652647"/>
      <w:r>
        <w:rPr>
          <w:b/>
          <w:i/>
          <w:color w:val="000000" w:themeColor="text1"/>
          <w:sz w:val="20"/>
          <w:szCs w:val="20"/>
        </w:rPr>
        <w:br w:type="page"/>
      </w:r>
    </w:p>
    <w:p w14:paraId="55042C99" w14:textId="74939699" w:rsidR="00A60685" w:rsidRPr="008F6866" w:rsidRDefault="00A60685" w:rsidP="00A60685">
      <w:pPr>
        <w:pStyle w:val="Lgende"/>
        <w:spacing w:after="0"/>
        <w:jc w:val="center"/>
        <w:rPr>
          <w:rFonts w:asciiTheme="minorHAnsi" w:hAnsiTheme="minorHAnsi" w:cstheme="minorHAnsi"/>
          <w:b/>
          <w:i w:val="0"/>
          <w:color w:val="000000" w:themeColor="text1"/>
          <w:sz w:val="20"/>
          <w:szCs w:val="20"/>
        </w:rPr>
      </w:pPr>
      <w:r w:rsidRPr="008F6866">
        <w:rPr>
          <w:b/>
          <w:i w:val="0"/>
          <w:color w:val="000000" w:themeColor="text1"/>
          <w:sz w:val="20"/>
          <w:szCs w:val="20"/>
        </w:rPr>
        <w:lastRenderedPageBreak/>
        <w:t xml:space="preserve">Table </w:t>
      </w:r>
      <w:bookmarkEnd w:id="25"/>
      <w:r w:rsidR="00EE472B">
        <w:rPr>
          <w:b/>
          <w:i w:val="0"/>
          <w:color w:val="000000" w:themeColor="text1"/>
          <w:sz w:val="20"/>
          <w:szCs w:val="20"/>
        </w:rPr>
        <w:fldChar w:fldCharType="begin"/>
      </w:r>
      <w:r w:rsidR="00EE472B">
        <w:rPr>
          <w:b/>
          <w:i w:val="0"/>
          <w:color w:val="000000" w:themeColor="text1"/>
          <w:sz w:val="20"/>
          <w:szCs w:val="20"/>
        </w:rPr>
        <w:instrText xml:space="preserve"> SEQ Table \* ROMAN </w:instrText>
      </w:r>
      <w:r w:rsidR="00EE472B">
        <w:rPr>
          <w:b/>
          <w:i w:val="0"/>
          <w:color w:val="000000" w:themeColor="text1"/>
          <w:sz w:val="20"/>
          <w:szCs w:val="20"/>
        </w:rPr>
        <w:fldChar w:fldCharType="separate"/>
      </w:r>
      <w:r w:rsidR="00540DBF">
        <w:rPr>
          <w:b/>
          <w:i w:val="0"/>
          <w:noProof/>
          <w:color w:val="000000" w:themeColor="text1"/>
          <w:sz w:val="20"/>
          <w:szCs w:val="20"/>
        </w:rPr>
        <w:t>III</w:t>
      </w:r>
      <w:r w:rsidR="00EE472B">
        <w:rPr>
          <w:b/>
          <w:i w:val="0"/>
          <w:color w:val="000000" w:themeColor="text1"/>
          <w:sz w:val="20"/>
          <w:szCs w:val="20"/>
        </w:rPr>
        <w:fldChar w:fldCharType="end"/>
      </w:r>
      <w:bookmarkEnd w:id="26"/>
      <w:r w:rsidRPr="008F6866">
        <w:rPr>
          <w:b/>
          <w:i w:val="0"/>
          <w:color w:val="000000" w:themeColor="text1"/>
          <w:sz w:val="20"/>
          <w:szCs w:val="20"/>
        </w:rPr>
        <w:t>. Specification of the ISIMIP3 bias adjustment method for all climate variables considered in this study. Where a lower (upper) bound is specified, no values smaller (greater) than this bound will occur in the bias-adjusted data. For every lower (upper) bound, a lower (upper) threshold is defined, which is only slightly greater (smaller) than the bound. The lower (upper) threshold is used to adjust the relative frequency of values smaller (greater) than the threshold. The lower threshold of pr is equivalent to 0.1 mm/day. If the distribution is not specified, then a non-parametric quantile mapping with 50 quantiles is used. hurs: near-surface (2 m) relative humidity; pr: total precipitation; rsds: surface downwelling shortwave radiation; sfcWind: near-surface (10 m) wind speed; tas: near-surface (2 m) air temperature; tasmin: minimum near-surface (2 m) air temperature</w:t>
      </w:r>
    </w:p>
    <w:tbl>
      <w:tblPr>
        <w:tblStyle w:val="Grilledutableau"/>
        <w:tblpPr w:leftFromText="180" w:rightFromText="180" w:vertAnchor="text" w:horzAnchor="margin" w:tblpXSpec="center" w:tblpY="13"/>
        <w:tblW w:w="0" w:type="auto"/>
        <w:tblBorders>
          <w:left w:val="none" w:sz="0" w:space="0" w:color="auto"/>
          <w:right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988"/>
        <w:gridCol w:w="850"/>
        <w:gridCol w:w="992"/>
        <w:gridCol w:w="709"/>
        <w:gridCol w:w="992"/>
        <w:gridCol w:w="1134"/>
        <w:gridCol w:w="1552"/>
        <w:gridCol w:w="1129"/>
        <w:gridCol w:w="992"/>
      </w:tblGrid>
      <w:tr w:rsidR="00A60685" w:rsidRPr="008F6866" w14:paraId="707254B1" w14:textId="77777777" w:rsidTr="00726E0D">
        <w:trPr>
          <w:trHeight w:val="478"/>
        </w:trPr>
        <w:tc>
          <w:tcPr>
            <w:tcW w:w="988" w:type="dxa"/>
            <w:tcBorders>
              <w:top w:val="single" w:sz="12" w:space="0" w:color="auto"/>
              <w:bottom w:val="single" w:sz="12" w:space="0" w:color="auto"/>
            </w:tcBorders>
            <w:vAlign w:val="center"/>
          </w:tcPr>
          <w:p w14:paraId="1C2FC91E" w14:textId="77777777" w:rsidR="00A60685" w:rsidRPr="008F6866" w:rsidRDefault="00A60685" w:rsidP="00726E0D">
            <w:pPr>
              <w:keepNext/>
              <w:keepLines/>
              <w:jc w:val="center"/>
              <w:rPr>
                <w:rFonts w:asciiTheme="minorHAnsi" w:hAnsiTheme="minorHAnsi" w:cstheme="minorHAnsi"/>
                <w:b/>
                <w:sz w:val="18"/>
                <w:szCs w:val="18"/>
              </w:rPr>
            </w:pPr>
            <w:r w:rsidRPr="008F6866">
              <w:rPr>
                <w:rFonts w:asciiTheme="minorHAnsi" w:hAnsiTheme="minorHAnsi" w:cstheme="minorHAnsi"/>
                <w:b/>
                <w:sz w:val="18"/>
                <w:szCs w:val="18"/>
              </w:rPr>
              <w:t>Variable short name</w:t>
            </w:r>
          </w:p>
        </w:tc>
        <w:tc>
          <w:tcPr>
            <w:tcW w:w="850" w:type="dxa"/>
            <w:tcBorders>
              <w:top w:val="single" w:sz="12" w:space="0" w:color="auto"/>
              <w:bottom w:val="single" w:sz="12" w:space="0" w:color="auto"/>
            </w:tcBorders>
            <w:vAlign w:val="center"/>
          </w:tcPr>
          <w:p w14:paraId="70434E13" w14:textId="77777777" w:rsidR="00A60685" w:rsidRPr="008F6866" w:rsidRDefault="00A60685" w:rsidP="00726E0D">
            <w:pPr>
              <w:keepNext/>
              <w:keepLines/>
              <w:jc w:val="center"/>
              <w:rPr>
                <w:rFonts w:asciiTheme="minorHAnsi" w:hAnsiTheme="minorHAnsi" w:cstheme="minorHAnsi"/>
                <w:b/>
                <w:sz w:val="18"/>
                <w:szCs w:val="18"/>
              </w:rPr>
            </w:pPr>
            <w:r w:rsidRPr="008F6866">
              <w:rPr>
                <w:rFonts w:asciiTheme="minorHAnsi" w:hAnsiTheme="minorHAnsi" w:cstheme="minorHAnsi"/>
                <w:b/>
                <w:sz w:val="18"/>
                <w:szCs w:val="18"/>
              </w:rPr>
              <w:t>Lower bound</w:t>
            </w:r>
          </w:p>
        </w:tc>
        <w:tc>
          <w:tcPr>
            <w:tcW w:w="992" w:type="dxa"/>
            <w:tcBorders>
              <w:top w:val="single" w:sz="12" w:space="0" w:color="auto"/>
              <w:bottom w:val="single" w:sz="12" w:space="0" w:color="auto"/>
            </w:tcBorders>
            <w:vAlign w:val="center"/>
          </w:tcPr>
          <w:p w14:paraId="6117285C" w14:textId="77777777" w:rsidR="00A60685" w:rsidRPr="008F6866" w:rsidRDefault="00A60685" w:rsidP="00726E0D">
            <w:pPr>
              <w:keepNext/>
              <w:keepLines/>
              <w:jc w:val="center"/>
              <w:rPr>
                <w:rFonts w:asciiTheme="minorHAnsi" w:hAnsiTheme="minorHAnsi" w:cstheme="minorHAnsi"/>
                <w:b/>
                <w:sz w:val="18"/>
                <w:szCs w:val="18"/>
              </w:rPr>
            </w:pPr>
            <w:r w:rsidRPr="008F6866">
              <w:rPr>
                <w:rFonts w:asciiTheme="minorHAnsi" w:hAnsiTheme="minorHAnsi" w:cstheme="minorHAnsi"/>
                <w:b/>
                <w:sz w:val="18"/>
                <w:szCs w:val="18"/>
              </w:rPr>
              <w:t>Lower threshold</w:t>
            </w:r>
          </w:p>
        </w:tc>
        <w:tc>
          <w:tcPr>
            <w:tcW w:w="709" w:type="dxa"/>
            <w:tcBorders>
              <w:top w:val="single" w:sz="12" w:space="0" w:color="auto"/>
              <w:bottom w:val="single" w:sz="12" w:space="0" w:color="auto"/>
            </w:tcBorders>
            <w:vAlign w:val="center"/>
          </w:tcPr>
          <w:p w14:paraId="50743C32" w14:textId="77777777" w:rsidR="00A60685" w:rsidRPr="008F6866" w:rsidRDefault="00A60685" w:rsidP="00726E0D">
            <w:pPr>
              <w:keepNext/>
              <w:keepLines/>
              <w:jc w:val="center"/>
              <w:rPr>
                <w:rFonts w:asciiTheme="minorHAnsi" w:hAnsiTheme="minorHAnsi" w:cstheme="minorHAnsi"/>
                <w:b/>
                <w:sz w:val="18"/>
                <w:szCs w:val="18"/>
              </w:rPr>
            </w:pPr>
            <w:r w:rsidRPr="008F6866">
              <w:rPr>
                <w:rFonts w:asciiTheme="minorHAnsi" w:hAnsiTheme="minorHAnsi" w:cstheme="minorHAnsi"/>
                <w:b/>
                <w:sz w:val="18"/>
                <w:szCs w:val="18"/>
              </w:rPr>
              <w:t>Upper bound</w:t>
            </w:r>
          </w:p>
        </w:tc>
        <w:tc>
          <w:tcPr>
            <w:tcW w:w="992" w:type="dxa"/>
            <w:tcBorders>
              <w:top w:val="single" w:sz="12" w:space="0" w:color="auto"/>
              <w:bottom w:val="single" w:sz="12" w:space="0" w:color="auto"/>
            </w:tcBorders>
            <w:vAlign w:val="center"/>
          </w:tcPr>
          <w:p w14:paraId="16361DC9" w14:textId="77777777" w:rsidR="00A60685" w:rsidRPr="008F6866" w:rsidRDefault="00A60685" w:rsidP="00726E0D">
            <w:pPr>
              <w:keepNext/>
              <w:keepLines/>
              <w:jc w:val="center"/>
              <w:rPr>
                <w:rFonts w:asciiTheme="minorHAnsi" w:hAnsiTheme="minorHAnsi" w:cstheme="minorHAnsi"/>
                <w:b/>
                <w:sz w:val="18"/>
                <w:szCs w:val="18"/>
              </w:rPr>
            </w:pPr>
            <w:r w:rsidRPr="008F6866">
              <w:rPr>
                <w:rFonts w:asciiTheme="minorHAnsi" w:hAnsiTheme="minorHAnsi" w:cstheme="minorHAnsi"/>
                <w:b/>
                <w:sz w:val="18"/>
                <w:szCs w:val="18"/>
              </w:rPr>
              <w:t>Upper threshold</w:t>
            </w:r>
          </w:p>
        </w:tc>
        <w:tc>
          <w:tcPr>
            <w:tcW w:w="1134" w:type="dxa"/>
            <w:tcBorders>
              <w:top w:val="single" w:sz="12" w:space="0" w:color="auto"/>
              <w:bottom w:val="single" w:sz="12" w:space="0" w:color="auto"/>
            </w:tcBorders>
            <w:vAlign w:val="center"/>
          </w:tcPr>
          <w:p w14:paraId="352176C5" w14:textId="77777777" w:rsidR="00A60685" w:rsidRPr="008F6866" w:rsidRDefault="00A60685" w:rsidP="00726E0D">
            <w:pPr>
              <w:keepNext/>
              <w:keepLines/>
              <w:jc w:val="center"/>
              <w:rPr>
                <w:rFonts w:asciiTheme="minorHAnsi" w:hAnsiTheme="minorHAnsi" w:cstheme="minorHAnsi"/>
                <w:b/>
                <w:sz w:val="18"/>
                <w:szCs w:val="18"/>
              </w:rPr>
            </w:pPr>
            <w:r w:rsidRPr="008F6866">
              <w:rPr>
                <w:rFonts w:asciiTheme="minorHAnsi" w:hAnsiTheme="minorHAnsi" w:cstheme="minorHAnsi"/>
                <w:b/>
                <w:sz w:val="18"/>
                <w:szCs w:val="18"/>
              </w:rPr>
              <w:t>Distribution</w:t>
            </w:r>
          </w:p>
        </w:tc>
        <w:tc>
          <w:tcPr>
            <w:tcW w:w="1552" w:type="dxa"/>
            <w:tcBorders>
              <w:top w:val="single" w:sz="12" w:space="0" w:color="auto"/>
              <w:bottom w:val="single" w:sz="12" w:space="0" w:color="auto"/>
            </w:tcBorders>
            <w:vAlign w:val="center"/>
          </w:tcPr>
          <w:p w14:paraId="5FD639BB" w14:textId="77777777" w:rsidR="00A60685" w:rsidRPr="008F6866" w:rsidRDefault="00A60685" w:rsidP="00726E0D">
            <w:pPr>
              <w:keepNext/>
              <w:keepLines/>
              <w:jc w:val="center"/>
              <w:rPr>
                <w:rFonts w:asciiTheme="minorHAnsi" w:hAnsiTheme="minorHAnsi" w:cstheme="minorHAnsi"/>
                <w:b/>
                <w:sz w:val="18"/>
                <w:szCs w:val="18"/>
              </w:rPr>
            </w:pPr>
            <w:r w:rsidRPr="008F6866">
              <w:rPr>
                <w:rFonts w:asciiTheme="minorHAnsi" w:hAnsiTheme="minorHAnsi" w:cstheme="minorHAnsi"/>
                <w:b/>
                <w:sz w:val="18"/>
                <w:szCs w:val="18"/>
              </w:rPr>
              <w:t>Trend preservation</w:t>
            </w:r>
          </w:p>
        </w:tc>
        <w:tc>
          <w:tcPr>
            <w:tcW w:w="1129" w:type="dxa"/>
            <w:tcBorders>
              <w:top w:val="single" w:sz="12" w:space="0" w:color="auto"/>
              <w:bottom w:val="single" w:sz="12" w:space="0" w:color="auto"/>
            </w:tcBorders>
            <w:vAlign w:val="center"/>
          </w:tcPr>
          <w:p w14:paraId="3871B6CA" w14:textId="77777777" w:rsidR="00A60685" w:rsidRPr="008F6866" w:rsidRDefault="00A60685" w:rsidP="00726E0D">
            <w:pPr>
              <w:keepNext/>
              <w:keepLines/>
              <w:jc w:val="center"/>
              <w:rPr>
                <w:rFonts w:asciiTheme="minorHAnsi" w:hAnsiTheme="minorHAnsi" w:cstheme="minorHAnsi"/>
                <w:b/>
                <w:sz w:val="18"/>
                <w:szCs w:val="18"/>
              </w:rPr>
            </w:pPr>
            <w:r w:rsidRPr="008F6866">
              <w:rPr>
                <w:rFonts w:asciiTheme="minorHAnsi" w:hAnsiTheme="minorHAnsi" w:cstheme="minorHAnsi"/>
                <w:b/>
                <w:sz w:val="18"/>
                <w:szCs w:val="18"/>
              </w:rPr>
              <w:t>Detrending</w:t>
            </w:r>
          </w:p>
        </w:tc>
        <w:tc>
          <w:tcPr>
            <w:tcW w:w="992" w:type="dxa"/>
            <w:tcBorders>
              <w:top w:val="single" w:sz="12" w:space="0" w:color="auto"/>
              <w:bottom w:val="single" w:sz="12" w:space="0" w:color="auto"/>
            </w:tcBorders>
            <w:vAlign w:val="center"/>
          </w:tcPr>
          <w:p w14:paraId="7D7E46E2" w14:textId="77777777" w:rsidR="00A60685" w:rsidRPr="008F6866" w:rsidRDefault="00A60685" w:rsidP="00726E0D">
            <w:pPr>
              <w:keepNext/>
              <w:keepLines/>
              <w:jc w:val="center"/>
              <w:rPr>
                <w:rFonts w:asciiTheme="minorHAnsi" w:hAnsiTheme="minorHAnsi" w:cstheme="minorHAnsi"/>
                <w:b/>
                <w:sz w:val="18"/>
                <w:szCs w:val="18"/>
              </w:rPr>
            </w:pPr>
            <w:r w:rsidRPr="008F6866">
              <w:rPr>
                <w:rFonts w:asciiTheme="minorHAnsi" w:hAnsiTheme="minorHAnsi" w:cstheme="minorHAnsi"/>
                <w:b/>
                <w:sz w:val="18"/>
                <w:szCs w:val="18"/>
              </w:rPr>
              <w:t>Other</w:t>
            </w:r>
          </w:p>
        </w:tc>
      </w:tr>
      <w:tr w:rsidR="00A60685" w:rsidRPr="008F6866" w14:paraId="26485A9B" w14:textId="77777777" w:rsidTr="00726E0D">
        <w:tc>
          <w:tcPr>
            <w:tcW w:w="988" w:type="dxa"/>
            <w:tcBorders>
              <w:top w:val="single" w:sz="12" w:space="0" w:color="auto"/>
              <w:bottom w:val="nil"/>
            </w:tcBorders>
            <w:vAlign w:val="center"/>
          </w:tcPr>
          <w:p w14:paraId="6D280F99"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hurs</w:t>
            </w:r>
          </w:p>
        </w:tc>
        <w:tc>
          <w:tcPr>
            <w:tcW w:w="850" w:type="dxa"/>
            <w:tcBorders>
              <w:top w:val="single" w:sz="12" w:space="0" w:color="auto"/>
              <w:bottom w:val="nil"/>
            </w:tcBorders>
            <w:vAlign w:val="center"/>
          </w:tcPr>
          <w:p w14:paraId="34EB3FD1"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0</w:t>
            </w:r>
          </w:p>
        </w:tc>
        <w:tc>
          <w:tcPr>
            <w:tcW w:w="992" w:type="dxa"/>
            <w:tcBorders>
              <w:top w:val="single" w:sz="12" w:space="0" w:color="auto"/>
              <w:bottom w:val="nil"/>
            </w:tcBorders>
            <w:vAlign w:val="center"/>
          </w:tcPr>
          <w:p w14:paraId="3FFC09AC"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0.01</w:t>
            </w:r>
          </w:p>
        </w:tc>
        <w:tc>
          <w:tcPr>
            <w:tcW w:w="709" w:type="dxa"/>
            <w:tcBorders>
              <w:top w:val="single" w:sz="12" w:space="0" w:color="auto"/>
              <w:bottom w:val="nil"/>
            </w:tcBorders>
            <w:vAlign w:val="center"/>
          </w:tcPr>
          <w:p w14:paraId="430BCFAB"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100</w:t>
            </w:r>
          </w:p>
        </w:tc>
        <w:tc>
          <w:tcPr>
            <w:tcW w:w="992" w:type="dxa"/>
            <w:tcBorders>
              <w:top w:val="single" w:sz="12" w:space="0" w:color="auto"/>
              <w:bottom w:val="nil"/>
            </w:tcBorders>
            <w:vAlign w:val="center"/>
          </w:tcPr>
          <w:p w14:paraId="372AB833"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99.99</w:t>
            </w:r>
          </w:p>
        </w:tc>
        <w:tc>
          <w:tcPr>
            <w:tcW w:w="1134" w:type="dxa"/>
            <w:tcBorders>
              <w:top w:val="single" w:sz="12" w:space="0" w:color="auto"/>
              <w:bottom w:val="nil"/>
            </w:tcBorders>
            <w:vAlign w:val="center"/>
          </w:tcPr>
          <w:p w14:paraId="7CE957A3"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t>
            </w:r>
          </w:p>
        </w:tc>
        <w:tc>
          <w:tcPr>
            <w:tcW w:w="1552" w:type="dxa"/>
            <w:tcBorders>
              <w:top w:val="single" w:sz="12" w:space="0" w:color="auto"/>
              <w:bottom w:val="nil"/>
            </w:tcBorders>
            <w:vAlign w:val="center"/>
          </w:tcPr>
          <w:p w14:paraId="1ED403A0"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bounded</w:t>
            </w:r>
          </w:p>
        </w:tc>
        <w:tc>
          <w:tcPr>
            <w:tcW w:w="1129" w:type="dxa"/>
            <w:tcBorders>
              <w:top w:val="single" w:sz="12" w:space="0" w:color="auto"/>
              <w:bottom w:val="nil"/>
            </w:tcBorders>
            <w:vAlign w:val="center"/>
          </w:tcPr>
          <w:p w14:paraId="469BCAE5"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no</w:t>
            </w:r>
          </w:p>
        </w:tc>
        <w:tc>
          <w:tcPr>
            <w:tcW w:w="992" w:type="dxa"/>
            <w:tcBorders>
              <w:top w:val="single" w:sz="12" w:space="0" w:color="auto"/>
              <w:bottom w:val="nil"/>
            </w:tcBorders>
            <w:vAlign w:val="center"/>
          </w:tcPr>
          <w:p w14:paraId="61C38EC1"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t>
            </w:r>
          </w:p>
        </w:tc>
      </w:tr>
      <w:tr w:rsidR="00A60685" w:rsidRPr="008F6866" w14:paraId="7906DC1C" w14:textId="77777777" w:rsidTr="00726E0D">
        <w:tc>
          <w:tcPr>
            <w:tcW w:w="988" w:type="dxa"/>
            <w:tcBorders>
              <w:top w:val="nil"/>
              <w:bottom w:val="nil"/>
            </w:tcBorders>
            <w:shd w:val="clear" w:color="auto" w:fill="D9D9D9"/>
            <w:vAlign w:val="center"/>
          </w:tcPr>
          <w:p w14:paraId="40C8B3A4"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pr</w:t>
            </w:r>
          </w:p>
        </w:tc>
        <w:tc>
          <w:tcPr>
            <w:tcW w:w="850" w:type="dxa"/>
            <w:tcBorders>
              <w:top w:val="nil"/>
              <w:bottom w:val="nil"/>
            </w:tcBorders>
            <w:shd w:val="clear" w:color="auto" w:fill="D9D9D9"/>
            <w:vAlign w:val="center"/>
          </w:tcPr>
          <w:p w14:paraId="6EA0716B"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0</w:t>
            </w:r>
          </w:p>
        </w:tc>
        <w:tc>
          <w:tcPr>
            <w:tcW w:w="992" w:type="dxa"/>
            <w:tcBorders>
              <w:top w:val="nil"/>
              <w:bottom w:val="nil"/>
            </w:tcBorders>
            <w:shd w:val="clear" w:color="auto" w:fill="D9D9D9"/>
            <w:vAlign w:val="center"/>
          </w:tcPr>
          <w:p w14:paraId="1C2C03B8"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0.1/86400</w:t>
            </w:r>
          </w:p>
        </w:tc>
        <w:tc>
          <w:tcPr>
            <w:tcW w:w="709" w:type="dxa"/>
            <w:tcBorders>
              <w:top w:val="nil"/>
              <w:bottom w:val="nil"/>
            </w:tcBorders>
            <w:shd w:val="clear" w:color="auto" w:fill="D9D9D9"/>
            <w:vAlign w:val="center"/>
          </w:tcPr>
          <w:p w14:paraId="5F976868"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t>
            </w:r>
          </w:p>
        </w:tc>
        <w:tc>
          <w:tcPr>
            <w:tcW w:w="992" w:type="dxa"/>
            <w:tcBorders>
              <w:top w:val="nil"/>
              <w:bottom w:val="nil"/>
            </w:tcBorders>
            <w:shd w:val="clear" w:color="auto" w:fill="D9D9D9"/>
            <w:vAlign w:val="center"/>
          </w:tcPr>
          <w:p w14:paraId="4E8D5152"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t>
            </w:r>
          </w:p>
        </w:tc>
        <w:tc>
          <w:tcPr>
            <w:tcW w:w="1134" w:type="dxa"/>
            <w:tcBorders>
              <w:top w:val="nil"/>
              <w:bottom w:val="nil"/>
            </w:tcBorders>
            <w:shd w:val="clear" w:color="auto" w:fill="D9D9D9"/>
            <w:vAlign w:val="center"/>
          </w:tcPr>
          <w:p w14:paraId="1E759414"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gamma</w:t>
            </w:r>
          </w:p>
        </w:tc>
        <w:tc>
          <w:tcPr>
            <w:tcW w:w="1552" w:type="dxa"/>
            <w:tcBorders>
              <w:top w:val="nil"/>
              <w:bottom w:val="nil"/>
            </w:tcBorders>
            <w:shd w:val="clear" w:color="auto" w:fill="D9D9D9"/>
            <w:vAlign w:val="center"/>
          </w:tcPr>
          <w:p w14:paraId="1FBE7C37"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mixed</w:t>
            </w:r>
          </w:p>
        </w:tc>
        <w:tc>
          <w:tcPr>
            <w:tcW w:w="1129" w:type="dxa"/>
            <w:tcBorders>
              <w:top w:val="nil"/>
              <w:bottom w:val="nil"/>
            </w:tcBorders>
            <w:shd w:val="clear" w:color="auto" w:fill="D9D9D9"/>
            <w:vAlign w:val="center"/>
          </w:tcPr>
          <w:p w14:paraId="69AFFF41"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no</w:t>
            </w:r>
          </w:p>
        </w:tc>
        <w:tc>
          <w:tcPr>
            <w:tcW w:w="992" w:type="dxa"/>
            <w:tcBorders>
              <w:top w:val="nil"/>
              <w:bottom w:val="nil"/>
            </w:tcBorders>
            <w:shd w:val="clear" w:color="auto" w:fill="D9D9D9"/>
            <w:vAlign w:val="center"/>
          </w:tcPr>
          <w:p w14:paraId="1FE04013"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t>
            </w:r>
          </w:p>
        </w:tc>
      </w:tr>
      <w:tr w:rsidR="00A60685" w:rsidRPr="008F6866" w14:paraId="29B108B2" w14:textId="77777777" w:rsidTr="00726E0D">
        <w:tc>
          <w:tcPr>
            <w:tcW w:w="988" w:type="dxa"/>
            <w:tcBorders>
              <w:top w:val="nil"/>
              <w:bottom w:val="nil"/>
            </w:tcBorders>
            <w:vAlign w:val="center"/>
          </w:tcPr>
          <w:p w14:paraId="17371BC1"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rsds</w:t>
            </w:r>
          </w:p>
        </w:tc>
        <w:tc>
          <w:tcPr>
            <w:tcW w:w="850" w:type="dxa"/>
            <w:tcBorders>
              <w:top w:val="nil"/>
              <w:bottom w:val="nil"/>
            </w:tcBorders>
            <w:vAlign w:val="center"/>
          </w:tcPr>
          <w:p w14:paraId="38307F13"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0</w:t>
            </w:r>
          </w:p>
        </w:tc>
        <w:tc>
          <w:tcPr>
            <w:tcW w:w="992" w:type="dxa"/>
            <w:tcBorders>
              <w:top w:val="nil"/>
              <w:bottom w:val="nil"/>
            </w:tcBorders>
            <w:vAlign w:val="center"/>
          </w:tcPr>
          <w:p w14:paraId="3787CC14"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0.0001</w:t>
            </w:r>
          </w:p>
        </w:tc>
        <w:tc>
          <w:tcPr>
            <w:tcW w:w="709" w:type="dxa"/>
            <w:tcBorders>
              <w:top w:val="nil"/>
              <w:bottom w:val="nil"/>
            </w:tcBorders>
            <w:vAlign w:val="center"/>
          </w:tcPr>
          <w:p w14:paraId="6FACDC60"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1</w:t>
            </w:r>
          </w:p>
        </w:tc>
        <w:tc>
          <w:tcPr>
            <w:tcW w:w="992" w:type="dxa"/>
            <w:tcBorders>
              <w:top w:val="nil"/>
              <w:bottom w:val="nil"/>
            </w:tcBorders>
            <w:vAlign w:val="center"/>
          </w:tcPr>
          <w:p w14:paraId="558F4928"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0.9999</w:t>
            </w:r>
          </w:p>
        </w:tc>
        <w:tc>
          <w:tcPr>
            <w:tcW w:w="1134" w:type="dxa"/>
            <w:tcBorders>
              <w:top w:val="nil"/>
              <w:bottom w:val="nil"/>
            </w:tcBorders>
            <w:vAlign w:val="center"/>
          </w:tcPr>
          <w:p w14:paraId="74F66E27"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t>
            </w:r>
          </w:p>
        </w:tc>
        <w:tc>
          <w:tcPr>
            <w:tcW w:w="1552" w:type="dxa"/>
            <w:tcBorders>
              <w:top w:val="nil"/>
              <w:bottom w:val="nil"/>
            </w:tcBorders>
            <w:vAlign w:val="center"/>
          </w:tcPr>
          <w:p w14:paraId="2CECBA37"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bounded</w:t>
            </w:r>
          </w:p>
        </w:tc>
        <w:tc>
          <w:tcPr>
            <w:tcW w:w="1129" w:type="dxa"/>
            <w:tcBorders>
              <w:top w:val="nil"/>
              <w:bottom w:val="nil"/>
            </w:tcBorders>
            <w:vAlign w:val="center"/>
          </w:tcPr>
          <w:p w14:paraId="10B0A720"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no</w:t>
            </w:r>
          </w:p>
        </w:tc>
        <w:tc>
          <w:tcPr>
            <w:tcW w:w="992" w:type="dxa"/>
            <w:tcBorders>
              <w:top w:val="nil"/>
              <w:bottom w:val="nil"/>
            </w:tcBorders>
            <w:vAlign w:val="center"/>
          </w:tcPr>
          <w:p w14:paraId="6408339D"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upper bound scaling</w:t>
            </w:r>
          </w:p>
        </w:tc>
      </w:tr>
      <w:tr w:rsidR="00A60685" w:rsidRPr="008F6866" w14:paraId="41264E67" w14:textId="77777777" w:rsidTr="00726E0D">
        <w:tc>
          <w:tcPr>
            <w:tcW w:w="988" w:type="dxa"/>
            <w:tcBorders>
              <w:top w:val="nil"/>
              <w:bottom w:val="nil"/>
            </w:tcBorders>
            <w:shd w:val="clear" w:color="auto" w:fill="D9D9D9"/>
            <w:vAlign w:val="center"/>
          </w:tcPr>
          <w:p w14:paraId="07A75568"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sfcWind</w:t>
            </w:r>
          </w:p>
        </w:tc>
        <w:tc>
          <w:tcPr>
            <w:tcW w:w="850" w:type="dxa"/>
            <w:tcBorders>
              <w:top w:val="nil"/>
              <w:bottom w:val="nil"/>
            </w:tcBorders>
            <w:shd w:val="clear" w:color="auto" w:fill="D9D9D9"/>
            <w:vAlign w:val="center"/>
          </w:tcPr>
          <w:p w14:paraId="398427DC"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0</w:t>
            </w:r>
          </w:p>
        </w:tc>
        <w:tc>
          <w:tcPr>
            <w:tcW w:w="992" w:type="dxa"/>
            <w:tcBorders>
              <w:top w:val="nil"/>
              <w:bottom w:val="nil"/>
            </w:tcBorders>
            <w:shd w:val="clear" w:color="auto" w:fill="D9D9D9"/>
            <w:vAlign w:val="center"/>
          </w:tcPr>
          <w:p w14:paraId="1DF9FBCA"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0.01</w:t>
            </w:r>
          </w:p>
        </w:tc>
        <w:tc>
          <w:tcPr>
            <w:tcW w:w="709" w:type="dxa"/>
            <w:tcBorders>
              <w:top w:val="nil"/>
              <w:bottom w:val="nil"/>
            </w:tcBorders>
            <w:shd w:val="clear" w:color="auto" w:fill="D9D9D9"/>
            <w:vAlign w:val="center"/>
          </w:tcPr>
          <w:p w14:paraId="1A3D3832"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t>
            </w:r>
          </w:p>
        </w:tc>
        <w:tc>
          <w:tcPr>
            <w:tcW w:w="992" w:type="dxa"/>
            <w:tcBorders>
              <w:top w:val="nil"/>
              <w:bottom w:val="nil"/>
            </w:tcBorders>
            <w:shd w:val="clear" w:color="auto" w:fill="D9D9D9"/>
            <w:vAlign w:val="center"/>
          </w:tcPr>
          <w:p w14:paraId="39A19867"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t>
            </w:r>
          </w:p>
        </w:tc>
        <w:tc>
          <w:tcPr>
            <w:tcW w:w="1134" w:type="dxa"/>
            <w:tcBorders>
              <w:top w:val="nil"/>
              <w:bottom w:val="nil"/>
            </w:tcBorders>
            <w:shd w:val="clear" w:color="auto" w:fill="D9D9D9"/>
            <w:vAlign w:val="center"/>
          </w:tcPr>
          <w:p w14:paraId="076070C7"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weibull</w:t>
            </w:r>
          </w:p>
        </w:tc>
        <w:tc>
          <w:tcPr>
            <w:tcW w:w="1552" w:type="dxa"/>
            <w:tcBorders>
              <w:top w:val="nil"/>
              <w:bottom w:val="nil"/>
            </w:tcBorders>
            <w:shd w:val="clear" w:color="auto" w:fill="D9D9D9"/>
            <w:vAlign w:val="center"/>
          </w:tcPr>
          <w:p w14:paraId="19D32F1A"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mixed</w:t>
            </w:r>
          </w:p>
        </w:tc>
        <w:tc>
          <w:tcPr>
            <w:tcW w:w="1129" w:type="dxa"/>
            <w:tcBorders>
              <w:top w:val="nil"/>
              <w:bottom w:val="nil"/>
            </w:tcBorders>
            <w:shd w:val="clear" w:color="auto" w:fill="D9D9D9"/>
            <w:vAlign w:val="center"/>
          </w:tcPr>
          <w:p w14:paraId="55C2C3BF"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no</w:t>
            </w:r>
          </w:p>
        </w:tc>
        <w:tc>
          <w:tcPr>
            <w:tcW w:w="992" w:type="dxa"/>
            <w:tcBorders>
              <w:top w:val="nil"/>
              <w:bottom w:val="nil"/>
            </w:tcBorders>
            <w:shd w:val="clear" w:color="auto" w:fill="D9D9D9"/>
            <w:vAlign w:val="center"/>
          </w:tcPr>
          <w:p w14:paraId="2BDC6548"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t>
            </w:r>
          </w:p>
        </w:tc>
      </w:tr>
      <w:tr w:rsidR="00A60685" w:rsidRPr="008F6866" w14:paraId="107C202F" w14:textId="77777777" w:rsidTr="00726E0D">
        <w:tc>
          <w:tcPr>
            <w:tcW w:w="988" w:type="dxa"/>
            <w:tcBorders>
              <w:top w:val="nil"/>
              <w:bottom w:val="nil"/>
            </w:tcBorders>
            <w:vAlign w:val="center"/>
          </w:tcPr>
          <w:p w14:paraId="759A97B0"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tas</w:t>
            </w:r>
          </w:p>
        </w:tc>
        <w:tc>
          <w:tcPr>
            <w:tcW w:w="850" w:type="dxa"/>
            <w:tcBorders>
              <w:top w:val="nil"/>
              <w:bottom w:val="nil"/>
            </w:tcBorders>
            <w:vAlign w:val="center"/>
          </w:tcPr>
          <w:p w14:paraId="46BA25B6"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t>
            </w:r>
          </w:p>
        </w:tc>
        <w:tc>
          <w:tcPr>
            <w:tcW w:w="992" w:type="dxa"/>
            <w:tcBorders>
              <w:top w:val="nil"/>
              <w:bottom w:val="nil"/>
            </w:tcBorders>
            <w:vAlign w:val="center"/>
          </w:tcPr>
          <w:p w14:paraId="6E458ACF"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t>
            </w:r>
          </w:p>
        </w:tc>
        <w:tc>
          <w:tcPr>
            <w:tcW w:w="709" w:type="dxa"/>
            <w:tcBorders>
              <w:top w:val="nil"/>
              <w:bottom w:val="nil"/>
            </w:tcBorders>
            <w:vAlign w:val="center"/>
          </w:tcPr>
          <w:p w14:paraId="7CEB2347"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t>
            </w:r>
          </w:p>
        </w:tc>
        <w:tc>
          <w:tcPr>
            <w:tcW w:w="992" w:type="dxa"/>
            <w:tcBorders>
              <w:top w:val="nil"/>
              <w:bottom w:val="nil"/>
            </w:tcBorders>
            <w:vAlign w:val="center"/>
          </w:tcPr>
          <w:p w14:paraId="63B55333"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t>
            </w:r>
          </w:p>
        </w:tc>
        <w:tc>
          <w:tcPr>
            <w:tcW w:w="1134" w:type="dxa"/>
            <w:tcBorders>
              <w:top w:val="nil"/>
              <w:bottom w:val="nil"/>
            </w:tcBorders>
            <w:vAlign w:val="center"/>
          </w:tcPr>
          <w:p w14:paraId="3E45C7D5"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normal</w:t>
            </w:r>
          </w:p>
        </w:tc>
        <w:tc>
          <w:tcPr>
            <w:tcW w:w="1552" w:type="dxa"/>
            <w:tcBorders>
              <w:top w:val="nil"/>
              <w:bottom w:val="nil"/>
            </w:tcBorders>
            <w:vAlign w:val="center"/>
          </w:tcPr>
          <w:p w14:paraId="16101D55"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additive</w:t>
            </w:r>
          </w:p>
        </w:tc>
        <w:tc>
          <w:tcPr>
            <w:tcW w:w="1129" w:type="dxa"/>
            <w:tcBorders>
              <w:top w:val="nil"/>
              <w:bottom w:val="nil"/>
            </w:tcBorders>
            <w:vAlign w:val="center"/>
          </w:tcPr>
          <w:p w14:paraId="03420F63"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yes</w:t>
            </w:r>
          </w:p>
        </w:tc>
        <w:tc>
          <w:tcPr>
            <w:tcW w:w="992" w:type="dxa"/>
            <w:tcBorders>
              <w:top w:val="nil"/>
              <w:bottom w:val="nil"/>
            </w:tcBorders>
            <w:vAlign w:val="center"/>
          </w:tcPr>
          <w:p w14:paraId="185503B6"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event likelihood not adjusted</w:t>
            </w:r>
          </w:p>
        </w:tc>
      </w:tr>
      <w:tr w:rsidR="00A60685" w:rsidRPr="008F6866" w14:paraId="4675BFC7" w14:textId="77777777" w:rsidTr="00726E0D">
        <w:tc>
          <w:tcPr>
            <w:tcW w:w="988" w:type="dxa"/>
            <w:tcBorders>
              <w:top w:val="nil"/>
              <w:bottom w:val="single" w:sz="12" w:space="0" w:color="auto"/>
            </w:tcBorders>
            <w:shd w:val="clear" w:color="auto" w:fill="D9D9D9"/>
            <w:vAlign w:val="center"/>
          </w:tcPr>
          <w:p w14:paraId="04EB64FF"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tasmin</w:t>
            </w:r>
          </w:p>
        </w:tc>
        <w:tc>
          <w:tcPr>
            <w:tcW w:w="850" w:type="dxa"/>
            <w:tcBorders>
              <w:top w:val="nil"/>
              <w:bottom w:val="single" w:sz="12" w:space="0" w:color="auto"/>
            </w:tcBorders>
            <w:shd w:val="clear" w:color="auto" w:fill="D9D9D9"/>
            <w:vAlign w:val="center"/>
          </w:tcPr>
          <w:p w14:paraId="558E4DC5"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t>
            </w:r>
          </w:p>
        </w:tc>
        <w:tc>
          <w:tcPr>
            <w:tcW w:w="992" w:type="dxa"/>
            <w:tcBorders>
              <w:top w:val="nil"/>
              <w:bottom w:val="single" w:sz="12" w:space="0" w:color="auto"/>
            </w:tcBorders>
            <w:shd w:val="clear" w:color="auto" w:fill="D9D9D9"/>
            <w:vAlign w:val="center"/>
          </w:tcPr>
          <w:p w14:paraId="4F4A752D"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t>
            </w:r>
          </w:p>
        </w:tc>
        <w:tc>
          <w:tcPr>
            <w:tcW w:w="709" w:type="dxa"/>
            <w:tcBorders>
              <w:top w:val="nil"/>
              <w:bottom w:val="single" w:sz="12" w:space="0" w:color="auto"/>
            </w:tcBorders>
            <w:shd w:val="clear" w:color="auto" w:fill="D9D9D9"/>
            <w:vAlign w:val="center"/>
          </w:tcPr>
          <w:p w14:paraId="767E2DCA"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t>
            </w:r>
          </w:p>
        </w:tc>
        <w:tc>
          <w:tcPr>
            <w:tcW w:w="992" w:type="dxa"/>
            <w:tcBorders>
              <w:top w:val="nil"/>
              <w:bottom w:val="single" w:sz="12" w:space="0" w:color="auto"/>
            </w:tcBorders>
            <w:shd w:val="clear" w:color="auto" w:fill="D9D9D9"/>
            <w:vAlign w:val="center"/>
          </w:tcPr>
          <w:p w14:paraId="61AF948B"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w:t>
            </w:r>
          </w:p>
        </w:tc>
        <w:tc>
          <w:tcPr>
            <w:tcW w:w="1134" w:type="dxa"/>
            <w:tcBorders>
              <w:top w:val="nil"/>
              <w:bottom w:val="single" w:sz="12" w:space="0" w:color="auto"/>
            </w:tcBorders>
            <w:shd w:val="clear" w:color="auto" w:fill="D9D9D9"/>
            <w:vAlign w:val="center"/>
          </w:tcPr>
          <w:p w14:paraId="27E28392"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normal</w:t>
            </w:r>
          </w:p>
        </w:tc>
        <w:tc>
          <w:tcPr>
            <w:tcW w:w="1552" w:type="dxa"/>
            <w:tcBorders>
              <w:top w:val="nil"/>
              <w:bottom w:val="single" w:sz="12" w:space="0" w:color="auto"/>
            </w:tcBorders>
            <w:shd w:val="clear" w:color="auto" w:fill="D9D9D9"/>
            <w:vAlign w:val="center"/>
          </w:tcPr>
          <w:p w14:paraId="37DE412B"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additive</w:t>
            </w:r>
          </w:p>
        </w:tc>
        <w:tc>
          <w:tcPr>
            <w:tcW w:w="1129" w:type="dxa"/>
            <w:tcBorders>
              <w:top w:val="nil"/>
              <w:bottom w:val="single" w:sz="12" w:space="0" w:color="auto"/>
            </w:tcBorders>
            <w:shd w:val="clear" w:color="auto" w:fill="D9D9D9"/>
            <w:vAlign w:val="center"/>
          </w:tcPr>
          <w:p w14:paraId="6476F33F"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yes</w:t>
            </w:r>
          </w:p>
        </w:tc>
        <w:tc>
          <w:tcPr>
            <w:tcW w:w="992" w:type="dxa"/>
            <w:tcBorders>
              <w:top w:val="nil"/>
              <w:bottom w:val="single" w:sz="12" w:space="0" w:color="auto"/>
            </w:tcBorders>
            <w:shd w:val="clear" w:color="auto" w:fill="D9D9D9"/>
            <w:vAlign w:val="center"/>
          </w:tcPr>
          <w:p w14:paraId="425EB5EB" w14:textId="77777777" w:rsidR="00A60685" w:rsidRPr="008F6866" w:rsidRDefault="00A60685" w:rsidP="00726E0D">
            <w:pPr>
              <w:keepNext/>
              <w:keepLines/>
              <w:jc w:val="center"/>
              <w:rPr>
                <w:rFonts w:asciiTheme="minorHAnsi" w:hAnsiTheme="minorHAnsi" w:cstheme="minorHAnsi"/>
                <w:sz w:val="18"/>
                <w:szCs w:val="18"/>
              </w:rPr>
            </w:pPr>
            <w:r w:rsidRPr="008F6866">
              <w:rPr>
                <w:rFonts w:asciiTheme="minorHAnsi" w:hAnsiTheme="minorHAnsi" w:cstheme="minorHAnsi"/>
                <w:sz w:val="18"/>
                <w:szCs w:val="18"/>
              </w:rPr>
              <w:t>event likelihood not adjusted</w:t>
            </w:r>
          </w:p>
        </w:tc>
      </w:tr>
    </w:tbl>
    <w:p w14:paraId="6481A84C" w14:textId="77777777" w:rsidR="00A60685" w:rsidRPr="008F6866" w:rsidRDefault="00A60685" w:rsidP="00237FED">
      <w:pPr>
        <w:spacing w:after="60" w:line="300" w:lineRule="auto"/>
        <w:jc w:val="both"/>
        <w:rPr>
          <w:rFonts w:cstheme="minorHAnsi"/>
          <w:sz w:val="20"/>
          <w:szCs w:val="20"/>
        </w:rPr>
      </w:pPr>
    </w:p>
    <w:p w14:paraId="79C397C1" w14:textId="77777777" w:rsidR="00911720" w:rsidRDefault="006551F0" w:rsidP="00911720">
      <w:pPr>
        <w:spacing w:after="120" w:line="300" w:lineRule="auto"/>
        <w:jc w:val="both"/>
        <w:rPr>
          <w:rFonts w:eastAsiaTheme="minorEastAsia" w:cstheme="minorHAnsi"/>
        </w:rPr>
      </w:pPr>
      <w:r w:rsidRPr="008F6866">
        <w:rPr>
          <w:rFonts w:eastAsiaTheme="minorEastAsia" w:cstheme="minorHAnsi"/>
        </w:rPr>
        <w:t xml:space="preserve">The implementation of quantile mapping according to Eq. </w:t>
      </w:r>
      <w:r w:rsidR="00A60685" w:rsidRPr="008F6866">
        <w:rPr>
          <w:rFonts w:eastAsiaTheme="minorEastAsia" w:cstheme="minorHAnsi"/>
        </w:rPr>
        <w:t>3</w:t>
      </w:r>
      <w:r w:rsidRPr="008F6866">
        <w:rPr>
          <w:rFonts w:eastAsiaTheme="minorEastAsia" w:cstheme="minorHAnsi"/>
        </w:rPr>
        <w:t xml:space="preserve">.16 assumes a correction (hence model biases) which explicitly depends on the value the variable takes. A value </w:t>
      </w:r>
      <m:oMath>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i</m:t>
            </m:r>
          </m:sub>
        </m:sSub>
      </m:oMath>
      <w:r w:rsidRPr="008F6866">
        <w:rPr>
          <w:rFonts w:eastAsiaTheme="minorEastAsia" w:cstheme="minorHAnsi"/>
        </w:rPr>
        <w:t xml:space="preserve"> will thereby be transformed according to the transfer function </w:t>
      </w:r>
      <m:oMath>
        <m:sSubSup>
          <m:sSubSupPr>
            <m:ctrlPr>
              <w:rPr>
                <w:rFonts w:ascii="Cambria Math" w:hAnsi="Cambria Math" w:cstheme="minorHAnsi"/>
                <w:i/>
              </w:rPr>
            </m:ctrlPr>
          </m:sSubSupPr>
          <m:e>
            <m:r>
              <w:rPr>
                <w:rFonts w:ascii="Cambria Math" w:hAnsi="Cambria Math" w:cstheme="minorHAnsi"/>
              </w:rPr>
              <m:t>F</m:t>
            </m:r>
          </m:e>
          <m:sub>
            <m:r>
              <w:rPr>
                <w:rFonts w:ascii="Cambria Math" w:hAnsi="Cambria Math" w:cstheme="minorHAnsi"/>
              </w:rPr>
              <m:t>o</m:t>
            </m:r>
          </m:sub>
          <m:sup>
            <m:r>
              <w:rPr>
                <w:rFonts w:ascii="Cambria Math" w:hAnsi="Cambria Math" w:cstheme="minorHAnsi"/>
              </w:rPr>
              <m:t>-1</m:t>
            </m:r>
          </m:sup>
        </m:sSubSup>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m</m:t>
                </m:r>
              </m:sub>
            </m:sSub>
            <m:d>
              <m:dPr>
                <m:ctrlPr>
                  <w:rPr>
                    <w:rFonts w:ascii="Cambria Math" w:hAnsi="Cambria Math" w:cstheme="minorHAnsi"/>
                    <w:i/>
                  </w:rPr>
                </m:ctrlPr>
              </m:dPr>
              <m:e>
                <m:r>
                  <w:rPr>
                    <w:rFonts w:ascii="Cambria Math" w:hAnsi="Cambria Math" w:cstheme="minorHAnsi"/>
                  </w:rPr>
                  <m:t>.</m:t>
                </m:r>
              </m:e>
            </m:d>
          </m:e>
        </m:d>
      </m:oMath>
      <w:r w:rsidRPr="008F6866">
        <w:rPr>
          <w:rFonts w:eastAsiaTheme="minorEastAsia" w:cstheme="minorHAnsi"/>
        </w:rPr>
        <w:t xml:space="preserve"> irrespective of its occurrence within the time series. As such, trend in the time series is not guaranteed. This problem is overcome in the variant of quantile mapping that we used, i.e. ISIMIP3, to correct ALARO and CMIP6 simulations. The method is approximately trend-preserving in all quantiles and therefore features a more comprehensive trend preservation than less sophisticated approaches where only trends in the mean are preserved.</w:t>
      </w:r>
    </w:p>
    <w:p w14:paraId="1DBC4CD4" w14:textId="674724A5" w:rsidR="00911720" w:rsidRDefault="006551F0" w:rsidP="00911720">
      <w:pPr>
        <w:spacing w:after="120" w:line="300" w:lineRule="auto"/>
        <w:jc w:val="both"/>
        <w:rPr>
          <w:rFonts w:eastAsiaTheme="minorEastAsia" w:cstheme="minorHAnsi"/>
        </w:rPr>
      </w:pPr>
      <w:r w:rsidRPr="008F6866">
        <w:rPr>
          <w:rFonts w:cstheme="minorHAnsi"/>
        </w:rPr>
        <w:t>In the rest of this section, we present some specificities of the quantile mapping algorithm that we used, namely the “Inter-Sectoral Impact Model Intercomparison Project, version3” algorithm (ISIMIP3)</w:t>
      </w:r>
      <w:r w:rsidR="005A424E">
        <w:rPr>
          <w:rFonts w:cstheme="minorHAnsi"/>
        </w:rPr>
        <w:t xml:space="preserve"> </w:t>
      </w:r>
      <w:r w:rsidRPr="008F6866">
        <w:rPr>
          <w:rFonts w:cstheme="minorHAnsi"/>
        </w:rPr>
        <w:fldChar w:fldCharType="begin">
          <w:fldData xml:space="preserve">PEVuZE5vdGU+PENpdGU+PEF1dGhvcj5MYW5nZTwvQXV0aG9yPjxZZWFyPjIwMTk8L1llYXI+PFJl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==
</w:fldData>
        </w:fldChar>
      </w:r>
      <w:r w:rsidR="00CC7A85">
        <w:rPr>
          <w:rFonts w:cstheme="minorHAnsi"/>
        </w:rPr>
        <w:instrText xml:space="preserve"> ADDIN EN.CITE </w:instrText>
      </w:r>
      <w:r w:rsidR="00CC7A85">
        <w:rPr>
          <w:rFonts w:cstheme="minorHAnsi"/>
        </w:rPr>
        <w:fldChar w:fldCharType="begin">
          <w:fldData xml:space="preserve">PEVuZE5vdGU+PENpdGU+PEF1dGhvcj5MYW5nZTwvQXV0aG9yPjxZZWFyPjIwMTk8L1llYXI+PFJl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==
</w:fldData>
        </w:fldChar>
      </w:r>
      <w:r w:rsidR="00CC7A85">
        <w:rPr>
          <w:rFonts w:cstheme="minorHAnsi"/>
        </w:rPr>
        <w:instrText xml:space="preserve"> ADDIN EN.CITE.DATA </w:instrText>
      </w:r>
      <w:r w:rsidR="00CC7A85">
        <w:rPr>
          <w:rFonts w:cstheme="minorHAnsi"/>
        </w:rPr>
      </w:r>
      <w:r w:rsidR="00CC7A85">
        <w:rPr>
          <w:rFonts w:cstheme="minorHAnsi"/>
        </w:rPr>
        <w:fldChar w:fldCharType="end"/>
      </w:r>
      <w:r w:rsidRPr="008F6866">
        <w:rPr>
          <w:rFonts w:cstheme="minorHAnsi"/>
        </w:rPr>
      </w:r>
      <w:r w:rsidRPr="008F6866">
        <w:rPr>
          <w:rFonts w:cstheme="minorHAnsi"/>
        </w:rPr>
        <w:fldChar w:fldCharType="separate"/>
      </w:r>
      <w:r w:rsidR="00CC7A85">
        <w:rPr>
          <w:rFonts w:cstheme="minorHAnsi"/>
          <w:noProof/>
        </w:rPr>
        <w:t>(Lange, 2019; Lange, 2020)</w:t>
      </w:r>
      <w:r w:rsidRPr="008F6866">
        <w:rPr>
          <w:rFonts w:cstheme="minorHAnsi"/>
        </w:rPr>
        <w:fldChar w:fldCharType="end"/>
      </w:r>
      <w:r w:rsidRPr="008F6866">
        <w:rPr>
          <w:rFonts w:cstheme="minorHAnsi"/>
        </w:rPr>
        <w:t xml:space="preserve">. The ISIMIP3 bias adjustment method (version 3.0.2) is a parametric quantile mapping method that has been designed to (i) robustly adjust biases in all percentiles of a distribution and (ii) preserve trends in these percentiles. It operates on daily time series. The method is applied to every variable, grid cell and calendar month independently. </w:t>
      </w:r>
      <w:r w:rsidR="00C1285E" w:rsidRPr="008F6866">
        <w:rPr>
          <w:rFonts w:cstheme="minorHAnsi"/>
        </w:rPr>
        <w:fldChar w:fldCharType="begin"/>
      </w:r>
      <w:r w:rsidR="00C1285E" w:rsidRPr="008F6866">
        <w:rPr>
          <w:rFonts w:cstheme="minorHAnsi"/>
        </w:rPr>
        <w:instrText xml:space="preserve"> REF _Ref195652647 \h  \* MERGEFORMAT </w:instrText>
      </w:r>
      <w:r w:rsidR="00C1285E" w:rsidRPr="008F6866">
        <w:rPr>
          <w:rFonts w:cstheme="minorHAnsi"/>
        </w:rPr>
      </w:r>
      <w:r w:rsidR="00C1285E" w:rsidRPr="008F6866">
        <w:rPr>
          <w:rFonts w:cstheme="minorHAnsi"/>
        </w:rPr>
        <w:fldChar w:fldCharType="separate"/>
      </w:r>
      <w:r w:rsidR="00540DBF" w:rsidRPr="00540DBF">
        <w:rPr>
          <w:rFonts w:cstheme="minorHAnsi"/>
        </w:rPr>
        <w:t>Table III</w:t>
      </w:r>
      <w:r w:rsidR="00C1285E" w:rsidRPr="008F6866">
        <w:rPr>
          <w:rFonts w:cstheme="minorHAnsi"/>
        </w:rPr>
        <w:fldChar w:fldCharType="end"/>
      </w:r>
      <w:r w:rsidR="00C1285E" w:rsidRPr="008F6866">
        <w:rPr>
          <w:rFonts w:cstheme="minorHAnsi"/>
        </w:rPr>
        <w:t xml:space="preserve"> </w:t>
      </w:r>
      <w:r w:rsidRPr="008F6866">
        <w:rPr>
          <w:rFonts w:cstheme="minorHAnsi"/>
        </w:rPr>
        <w:t>lists the different options used for the variables that we corrected.</w:t>
      </w:r>
    </w:p>
    <w:p w14:paraId="03BF8F95" w14:textId="4311D244" w:rsidR="006551F0" w:rsidRPr="00911720" w:rsidRDefault="006551F0" w:rsidP="00911720">
      <w:pPr>
        <w:spacing w:after="120" w:line="300" w:lineRule="auto"/>
        <w:jc w:val="both"/>
        <w:rPr>
          <w:rFonts w:eastAsiaTheme="minorEastAsia" w:cstheme="minorHAnsi"/>
        </w:rPr>
      </w:pPr>
      <w:r w:rsidRPr="008F6866">
        <w:rPr>
          <w:rFonts w:cstheme="minorHAnsi"/>
        </w:rPr>
        <w:t xml:space="preserve">The bias-adjustment of the RCP/SSP scenarios follows the ISIMIP3b protocol described in </w:t>
      </w:r>
      <w:r w:rsidRPr="008F6866">
        <w:rPr>
          <w:rFonts w:cstheme="minorHAnsi"/>
        </w:rPr>
        <w:fldChar w:fldCharType="begin"/>
      </w:r>
      <w:r w:rsidR="006201C6">
        <w:rPr>
          <w:rFonts w:cstheme="minorHAnsi"/>
        </w:rPr>
        <w:instrText xml:space="preserve"> ADDIN EN.CITE &lt;EndNote&gt;&lt;Cite AuthorYear="1"&gt;&lt;Author&gt;Lange&lt;/Author&gt;&lt;Year&gt;2020&lt;/Year&gt;&lt;RecNum&gt;351&lt;/RecNum&gt;&lt;IDText&gt;Lange20&lt;/IDText&gt;&lt;DisplayText&gt;Lange (2020)&lt;/DisplayText&gt;&lt;record&gt;&lt;rec-number&gt;351&lt;/rec-number&gt;&lt;foreign-keys&gt;&lt;key app="EN" db-id="0px2fzdxhrpdrre2w5f5pdryx90atadrdavt" timestamp="1713817538"&gt;351&lt;/key&gt;&lt;/foreign-keys&gt;&lt;ref-type name="Web Page"&gt;12&lt;/ref-type&gt;&lt;contributors&gt;&lt;authors&gt;&lt;author&gt;Lange, S.&lt;/author&gt;&lt;/authors&gt;&lt;/contributors&gt;&lt;titles&gt;&lt;title&gt;ISIMIP3b bias adjustment fact sheet&lt;/title&gt;&lt;/titles&gt;&lt;dates&gt;&lt;year&gt;2020&lt;/year&gt;&lt;/dates&gt;&lt;publisher&gt;Potsdam Institute for Climate Impact Research (PIK)&lt;/publisher&gt;&lt;label&gt;Lange20&lt;/label&gt;&lt;urls&gt;&lt;related-urls&gt;&lt;url&gt;https://www.isimip.org/documents/413/ISIMIP3b_bias_adjustment_fact_sheet_Gnsz7CO.pdf&lt;/url&gt;&lt;/related-urls&gt;&lt;/urls&gt;&lt;/record&gt;&lt;/Cite&gt;&lt;/EndNote&gt;</w:instrText>
      </w:r>
      <w:r w:rsidRPr="008F6866">
        <w:rPr>
          <w:rFonts w:cstheme="minorHAnsi"/>
        </w:rPr>
        <w:fldChar w:fldCharType="separate"/>
      </w:r>
      <w:r w:rsidR="006201C6">
        <w:rPr>
          <w:rFonts w:cstheme="minorHAnsi"/>
          <w:noProof/>
        </w:rPr>
        <w:t>Lange (2020)</w:t>
      </w:r>
      <w:r w:rsidRPr="008F6866">
        <w:rPr>
          <w:rFonts w:cstheme="minorHAnsi"/>
        </w:rPr>
        <w:fldChar w:fldCharType="end"/>
      </w:r>
      <w:r w:rsidRPr="008F6866">
        <w:rPr>
          <w:rFonts w:cstheme="minorHAnsi"/>
        </w:rPr>
        <w:t xml:space="preserve">. The method is calibrated using the historical simulation over the period 1976–2014 (39 years) for CMIP6 GCMs and 1976–2005 (30 years) for ALARO. The estimated correction is then applied to RCP/SSP scenarios. Like the calibration period, all application periods have the same duration. Application periods used for SSP scenarios were 2015–2053 (keeping 2015–2043), 2039–2077 (keeping 2044–2072) and 2062–2100 (keeping 2073–2100). Application periods used for RCP scenarios were 2006–2035 (keeping 2006–2029), 2027–2056 (keeping 2030–2053), 2051–2080 (keeping 2054–2077) </w:t>
      </w:r>
      <w:r w:rsidRPr="008F6866">
        <w:rPr>
          <w:rFonts w:cstheme="minorHAnsi"/>
        </w:rPr>
        <w:lastRenderedPageBreak/>
        <w:t>and 2071–2100 (keeping 2078–2100). The calibration period was also used as an application period for bias-adjusting the historical simulation.</w:t>
      </w:r>
    </w:p>
    <w:p w14:paraId="66F3ED6A" w14:textId="77777777" w:rsidR="006551F0" w:rsidRPr="008F6866" w:rsidRDefault="006551F0" w:rsidP="005F5F21">
      <w:pPr>
        <w:keepNext/>
        <w:keepLines/>
        <w:spacing w:after="120" w:line="300" w:lineRule="auto"/>
        <w:jc w:val="both"/>
        <w:rPr>
          <w:rFonts w:cstheme="minorHAnsi"/>
        </w:rPr>
      </w:pPr>
      <w:r w:rsidRPr="008F6866">
        <w:rPr>
          <w:rFonts w:cstheme="minorHAnsi"/>
        </w:rPr>
        <w:t>The ISIMIP3 method can deal with trends within time series (not only between application periods). Before quantile mapping is applied, linear trends within the time series of historical observations, historical simulation and future scenario are removed. This is to prevent the effect of trend on estimated distributions and, as a result on quantile mapping. By default, only the near-surface temperature (daily mean and minimum) is detrended before applying quantile mapping. Trends are restored after the quantile mapping is applied.</w:t>
      </w:r>
    </w:p>
    <w:p w14:paraId="36E7F4BE" w14:textId="77777777" w:rsidR="006551F0" w:rsidRPr="008F6866" w:rsidRDefault="006551F0" w:rsidP="005F5F21">
      <w:pPr>
        <w:keepNext/>
        <w:keepLines/>
        <w:spacing w:after="120" w:line="300" w:lineRule="auto"/>
        <w:jc w:val="both"/>
        <w:rPr>
          <w:rFonts w:cstheme="minorHAnsi"/>
        </w:rPr>
      </w:pPr>
      <w:r w:rsidRPr="008F6866">
        <w:rPr>
          <w:rFonts w:cstheme="minorHAnsi"/>
        </w:rPr>
        <w:t>In the ISIMIP3 version we employed, we activated a feature enabling bias adjustment in a running-window mode with a customizable step size. This innovation, in contrast to a month-by-month bias adjustment, effectively mitigates statistical irregularities, particularly in multi-year daily mean values, occurring at each transition between months. For REGE+, the running window we utilized has a width of 31 days, and it moved over the annual cycle in steps of 1 day. The final outcome is determined by the results obtained for the central day of each window.</w:t>
      </w:r>
    </w:p>
    <w:p w14:paraId="7BA4F2D0" w14:textId="7A4989C8" w:rsidR="006551F0" w:rsidRPr="008F6866" w:rsidRDefault="006551F0" w:rsidP="005F5F21">
      <w:pPr>
        <w:spacing w:after="120" w:line="300" w:lineRule="auto"/>
        <w:jc w:val="both"/>
        <w:rPr>
          <w:rFonts w:eastAsiaTheme="minorEastAsia" w:cstheme="minorHAnsi"/>
        </w:rPr>
      </w:pPr>
      <w:r w:rsidRPr="008F6866">
        <w:rPr>
          <w:rFonts w:cstheme="minorHAnsi"/>
        </w:rPr>
        <w:t>Bounded variables (one lower bound, one upper bound or both) have a supplementary step, which consists in randomizing values beyond defined thresholds in the time series of historical observations, historical simulation and future scenario (see values in</w:t>
      </w:r>
      <w:r w:rsidR="00C1285E" w:rsidRPr="008F6866">
        <w:rPr>
          <w:rFonts w:cstheme="minorHAnsi"/>
        </w:rPr>
        <w:t xml:space="preserve"> </w:t>
      </w:r>
      <w:r w:rsidR="00C1285E" w:rsidRPr="008F6866">
        <w:rPr>
          <w:rFonts w:cstheme="minorHAnsi"/>
        </w:rPr>
        <w:fldChar w:fldCharType="begin"/>
      </w:r>
      <w:r w:rsidR="00C1285E" w:rsidRPr="008F6866">
        <w:rPr>
          <w:rFonts w:cstheme="minorHAnsi"/>
        </w:rPr>
        <w:instrText xml:space="preserve"> REF _Ref195652647 \h  \* MERGEFORMAT </w:instrText>
      </w:r>
      <w:r w:rsidR="00C1285E" w:rsidRPr="008F6866">
        <w:rPr>
          <w:rFonts w:cstheme="minorHAnsi"/>
        </w:rPr>
      </w:r>
      <w:r w:rsidR="00C1285E" w:rsidRPr="008F6866">
        <w:rPr>
          <w:rFonts w:cstheme="minorHAnsi"/>
        </w:rPr>
        <w:fldChar w:fldCharType="separate"/>
      </w:r>
      <w:r w:rsidR="00540DBF" w:rsidRPr="00540DBF">
        <w:rPr>
          <w:rFonts w:cstheme="minorHAnsi"/>
        </w:rPr>
        <w:t>Table III</w:t>
      </w:r>
      <w:r w:rsidR="00C1285E" w:rsidRPr="008F6866">
        <w:rPr>
          <w:rFonts w:cstheme="minorHAnsi"/>
        </w:rPr>
        <w:fldChar w:fldCharType="end"/>
      </w:r>
      <w:r w:rsidRPr="008F6866">
        <w:rPr>
          <w:rFonts w:cstheme="minorHAnsi"/>
        </w:rPr>
        <w:t xml:space="preserve">). Thresholds located slightly above the lower bound and slightly below the upper bound are used to bias adjust the frequencies of occurrence of values close to the bounds. In particular, the lower threshold of pr is used to bias-adjust the frequency of dry days, that is the frequency of occurrence of </w:t>
      </w:r>
      <m:oMath>
        <m:r>
          <m:rPr>
            <m:sty m:val="p"/>
          </m:rPr>
          <w:rPr>
            <w:rFonts w:ascii="Cambria Math" w:hAnsi="Cambria Math" w:cstheme="minorHAnsi"/>
          </w:rPr>
          <m:t xml:space="preserve">pr&lt;0.1 mm </m:t>
        </m:r>
        <m:sSup>
          <m:sSupPr>
            <m:ctrlPr>
              <w:rPr>
                <w:rFonts w:ascii="Cambria Math" w:hAnsi="Cambria Math" w:cstheme="minorHAnsi"/>
              </w:rPr>
            </m:ctrlPr>
          </m:sSupPr>
          <m:e>
            <m:r>
              <m:rPr>
                <m:sty m:val="p"/>
              </m:rPr>
              <w:rPr>
                <w:rFonts w:ascii="Cambria Math" w:hAnsi="Cambria Math" w:cstheme="minorHAnsi"/>
              </w:rPr>
              <m:t>day</m:t>
            </m:r>
          </m:e>
          <m:sup>
            <m:r>
              <m:rPr>
                <m:sty m:val="p"/>
              </m:rPr>
              <w:rPr>
                <w:rFonts w:ascii="Cambria Math" w:hAnsi="Cambria Math" w:cstheme="minorHAnsi"/>
              </w:rPr>
              <m:t>-1</m:t>
            </m:r>
          </m:sup>
        </m:sSup>
      </m:oMath>
      <w:r w:rsidRPr="008F6866">
        <w:rPr>
          <w:rFonts w:eastAsiaTheme="minorEastAsia" w:cstheme="minorHAnsi"/>
        </w:rPr>
        <w:t>. This threshold is a minimum value for estimating the uncertainty related to the detection of precipitation (precision of pluviometers; no contribution of the uncertainty associated with the spatial interpolation of station data over Belgium in the RMI dataset).</w:t>
      </w:r>
    </w:p>
    <w:p w14:paraId="71A4334B" w14:textId="04846E72" w:rsidR="006551F0" w:rsidRPr="008F6866" w:rsidRDefault="006551F0" w:rsidP="00CD4D48">
      <w:pPr>
        <w:spacing w:after="0" w:line="300" w:lineRule="auto"/>
        <w:jc w:val="both"/>
        <w:rPr>
          <w:rFonts w:cstheme="minorHAnsi"/>
        </w:rPr>
      </w:pPr>
      <w:r w:rsidRPr="008F6866">
        <w:rPr>
          <w:rFonts w:cstheme="minorHAnsi"/>
        </w:rPr>
        <w:t>CMIP6 models are known to simulate too many supersaturated days where the near-surface relative humidity is higher than 100%. As near-surface relative humidity values of 140% can happen</w:t>
      </w:r>
      <w:r w:rsidR="005F5F21" w:rsidRPr="008F6866">
        <w:rPr>
          <w:rFonts w:cstheme="minorHAnsi"/>
        </w:rPr>
        <w:t xml:space="preserve"> </w:t>
      </w:r>
      <w:r w:rsidRPr="008F6866">
        <w:rPr>
          <w:rFonts w:cstheme="minorHAnsi"/>
        </w:rPr>
        <w:fldChar w:fldCharType="begin"/>
      </w:r>
      <w:r w:rsidR="001677B2">
        <w:rPr>
          <w:rFonts w:cstheme="minorHAnsi"/>
        </w:rPr>
        <w:instrText xml:space="preserve"> ADDIN EN.CITE &lt;EndNote&gt;&lt;Cite&gt;&lt;Author&gt;Ruosteenoja&lt;/Author&gt;&lt;Year&gt;2017&lt;/Year&gt;&lt;RecNum&gt;352&lt;/RecNum&gt;&lt;IDText&gt;Ruosteenoja17&lt;/IDText&gt;&lt;DisplayText&gt;(Ruosteenoja&lt;style face="italic"&gt; et al.&lt;/style&gt;, 2017)&lt;/DisplayText&gt;&lt;record&gt;&lt;rec-number&gt;352&lt;/rec-number&gt;&lt;foreign-keys&gt;&lt;key app="EN" db-id="0px2fzdxhrpdrre2w5f5pdryx90atadrdavt" timestamp="1713818282"&gt;352&lt;/key&gt;&lt;/foreign-keys&gt;&lt;ref-type name="Journal Article"&gt;17&lt;/ref-type&gt;&lt;contributors&gt;&lt;authors&gt;&lt;author&gt;Ruosteenoja, K.&lt;/author&gt;&lt;author&gt;Jylhä, K.&lt;/author&gt;&lt;author&gt;Räisänen, J.&lt;/author&gt;&lt;author&gt;Mäkelä, A.&lt;/author&gt;&lt;/authors&gt;&lt;/contributors&gt;&lt;titles&gt;&lt;title&gt;Surface air relative humidities spuriously exceeding 100% in CMIP5 model output and their impact on future projections&lt;/title&gt;&lt;secondary-title&gt;Journal of Geophysical Research: Atmospheres&lt;/secondary-title&gt;&lt;/titles&gt;&lt;periodical&gt;&lt;full-title&gt;Journal of Geophysical Research: Atmospheres&lt;/full-title&gt;&lt;/periodical&gt;&lt;pages&gt;9557-9568&lt;/pages&gt;&lt;volume&gt;122&lt;/volume&gt;&lt;number&gt;18&lt;/number&gt;&lt;dates&gt;&lt;year&gt;2017&lt;/year&gt;&lt;/dates&gt;&lt;label&gt;Ruosteenoja17&lt;/label&gt;&lt;work-type&gt;Article&lt;/work-type&gt;&lt;urls&gt;&lt;related-urls&gt;&lt;url&gt;https://www.scopus.com/inward/record.uri?eid=2-s2.0-85031105270&amp;amp;doi=10.1002%2f2017JD026909&amp;amp;partnerID=40&amp;amp;md5=e89bef3f254032dd8c12a751566e12ae&lt;/url&gt;&lt;/related-urls&gt;&lt;/urls&gt;&lt;electronic-resource-num&gt;10.1002/2017JD026909&lt;/electronic-resource-num&gt;&lt;remote-database-name&gt;Scopus&lt;/remote-database-name&gt;&lt;/record&gt;&lt;/Cite&gt;&lt;/EndNote&gt;</w:instrText>
      </w:r>
      <w:r w:rsidRPr="008F6866">
        <w:rPr>
          <w:rFonts w:cstheme="minorHAnsi"/>
        </w:rPr>
        <w:fldChar w:fldCharType="separate"/>
      </w:r>
      <w:r w:rsidR="001677B2">
        <w:rPr>
          <w:rFonts w:cstheme="minorHAnsi"/>
          <w:noProof/>
        </w:rPr>
        <w:t>(Ruosteenoja</w:t>
      </w:r>
      <w:r w:rsidR="001677B2" w:rsidRPr="001677B2">
        <w:rPr>
          <w:rFonts w:cstheme="minorHAnsi"/>
          <w:i/>
          <w:noProof/>
        </w:rPr>
        <w:t xml:space="preserve"> et al.</w:t>
      </w:r>
      <w:r w:rsidR="001677B2">
        <w:rPr>
          <w:rFonts w:cstheme="minorHAnsi"/>
          <w:noProof/>
        </w:rPr>
        <w:t>, 2017)</w:t>
      </w:r>
      <w:r w:rsidRPr="008F6866">
        <w:rPr>
          <w:rFonts w:cstheme="minorHAnsi"/>
        </w:rPr>
        <w:fldChar w:fldCharType="end"/>
      </w:r>
      <w:r w:rsidRPr="008F6866">
        <w:rPr>
          <w:rFonts w:cstheme="minorHAnsi"/>
        </w:rPr>
        <w:t xml:space="preserve">, modelling </w:t>
      </w:r>
      <w:r w:rsidR="00D40701" w:rsidRPr="008F6866">
        <w:rPr>
          <w:rFonts w:cstheme="minorHAnsi"/>
        </w:rPr>
        <w:t>centres</w:t>
      </w:r>
      <w:r w:rsidRPr="008F6866">
        <w:rPr>
          <w:rFonts w:cstheme="minorHAnsi"/>
        </w:rPr>
        <w:t xml:space="preserve"> participating to CMIP do not generally clip near-surface relative humidity at the suggested upper limit of 100.001 %</w:t>
      </w:r>
      <w:r w:rsidR="005F5F21" w:rsidRPr="008F6866">
        <w:rPr>
          <w:rFonts w:cstheme="minorHAnsi"/>
        </w:rPr>
        <w:t xml:space="preserve"> </w:t>
      </w:r>
      <w:r w:rsidRPr="008F6866">
        <w:rPr>
          <w:rFonts w:cstheme="minorHAnsi"/>
        </w:rPr>
        <w:fldChar w:fldCharType="begin"/>
      </w:r>
      <w:r w:rsidR="001677B2">
        <w:rPr>
          <w:rFonts w:cstheme="minorHAnsi"/>
        </w:rPr>
        <w:instrText xml:space="preserve"> ADDIN EN.CITE &lt;EndNote&gt;&lt;Cite&gt;&lt;Author&gt;Juckes&lt;/Author&gt;&lt;Year&gt;2020&lt;/Year&gt;&lt;RecNum&gt;353&lt;/RecNum&gt;&lt;IDText&gt;Juckes20&lt;/IDText&gt;&lt;DisplayText&gt;(Juckes&lt;style face="italic"&gt; et al.&lt;/style&gt;, 2020)&lt;/DisplayText&gt;&lt;record&gt;&lt;rec-number&gt;353&lt;/rec-number&gt;&lt;foreign-keys&gt;&lt;key app="EN" db-id="0px2fzdxhrpdrre2w5f5pdryx90atadrdavt" timestamp="1713818440"&gt;353&lt;/key&gt;&lt;/foreign-keys&gt;&lt;ref-type name="Journal Article"&gt;17&lt;/ref-type&gt;&lt;contributors&gt;&lt;authors&gt;&lt;author&gt;Juckes, M.&lt;/author&gt;&lt;author&gt;Taylor, E. K.&lt;/author&gt;&lt;author&gt;Durack, J. P.&lt;/author&gt;&lt;author&gt;Lawrence, B.&lt;/author&gt;&lt;author&gt;Mizielinski, S. M.&lt;/author&gt;&lt;author&gt;Pamment, A.&lt;/author&gt;&lt;author&gt;Peterschmitt, J. Y.&lt;/author&gt;&lt;author&gt;Rixen, M.&lt;/author&gt;&lt;author&gt;Senesi, S.&lt;/author&gt;&lt;/authors&gt;&lt;/contributors&gt;&lt;titles&gt;&lt;title&gt;The CMIP6 Data Request (DREQ, version 01.00.31)&lt;/title&gt;&lt;secondary-title&gt;Geoscientific Model Development&lt;/secondary-title&gt;&lt;/titles&gt;&lt;periodical&gt;&lt;full-title&gt;Geoscientific Model Development&lt;/full-title&gt;&lt;/periodical&gt;&lt;pages&gt;201-224&lt;/pages&gt;&lt;volume&gt;13&lt;/volume&gt;&lt;number&gt;1&lt;/number&gt;&lt;dates&gt;&lt;year&gt;2020&lt;/year&gt;&lt;/dates&gt;&lt;label&gt;Juckes20&lt;/label&gt;&lt;work-type&gt;Article&lt;/work-type&gt;&lt;urls&gt;&lt;related-urls&gt;&lt;url&gt;https://www.scopus.com/inward/record.uri?eid=2-s2.0-85078854026&amp;amp;doi=10.5194%2fgmd-13-201-2020&amp;amp;partnerID=40&amp;amp;md5=07bc7b2bc4bcc7c5d1130ee6eabb97cc&lt;/url&gt;&lt;/related-urls&gt;&lt;/urls&gt;&lt;electronic-resource-num&gt;10.5194/gmd-13-201-2020&lt;/electronic-resource-num&gt;&lt;remote-database-name&gt;Scopus&lt;/remote-database-name&gt;&lt;/record&gt;&lt;/Cite&gt;&lt;/EndNote&gt;</w:instrText>
      </w:r>
      <w:r w:rsidRPr="008F6866">
        <w:rPr>
          <w:rFonts w:cstheme="minorHAnsi"/>
        </w:rPr>
        <w:fldChar w:fldCharType="separate"/>
      </w:r>
      <w:r w:rsidR="001677B2">
        <w:rPr>
          <w:rFonts w:cstheme="minorHAnsi"/>
          <w:noProof/>
        </w:rPr>
        <w:t>(Juckes</w:t>
      </w:r>
      <w:r w:rsidR="001677B2" w:rsidRPr="001677B2">
        <w:rPr>
          <w:rFonts w:cstheme="minorHAnsi"/>
          <w:i/>
          <w:noProof/>
        </w:rPr>
        <w:t xml:space="preserve"> et al.</w:t>
      </w:r>
      <w:r w:rsidR="001677B2">
        <w:rPr>
          <w:rFonts w:cstheme="minorHAnsi"/>
          <w:noProof/>
        </w:rPr>
        <w:t>, 2020)</w:t>
      </w:r>
      <w:r w:rsidRPr="008F6866">
        <w:rPr>
          <w:rFonts w:cstheme="minorHAnsi"/>
        </w:rPr>
        <w:fldChar w:fldCharType="end"/>
      </w:r>
      <w:r w:rsidRPr="008F6866">
        <w:rPr>
          <w:rFonts w:cstheme="minorHAnsi"/>
        </w:rPr>
        <w:t xml:space="preserve">. The ISIMIP3 protocol for </w:t>
      </w:r>
      <w:r w:rsidRPr="008F6866">
        <w:rPr>
          <w:rFonts w:cstheme="minorHAnsi"/>
          <w:i/>
        </w:rPr>
        <w:t>hurs</w:t>
      </w:r>
      <w:r w:rsidRPr="008F6866">
        <w:rPr>
          <w:rFonts w:cstheme="minorHAnsi"/>
        </w:rPr>
        <w:t xml:space="preserve"> takes care of the too many supersaturations by fixing the supersaturation probability at the observed level. Trends in relative humidity beyond threshold is, therefore, not preserved.</w:t>
      </w:r>
    </w:p>
    <w:p w14:paraId="0A34AFE9" w14:textId="77777777" w:rsidR="005F5F21" w:rsidRPr="008F6866" w:rsidRDefault="005F5F21" w:rsidP="005F5F21">
      <w:pPr>
        <w:spacing w:after="0" w:line="300" w:lineRule="auto"/>
        <w:jc w:val="both"/>
        <w:rPr>
          <w:rFonts w:cstheme="minorHAnsi"/>
        </w:rPr>
      </w:pPr>
    </w:p>
    <w:p w14:paraId="4350CAF8" w14:textId="77777777" w:rsidR="006551F0" w:rsidRPr="008F6866" w:rsidRDefault="006551F0" w:rsidP="006551F0">
      <w:pPr>
        <w:jc w:val="both"/>
        <w:rPr>
          <w:rFonts w:cstheme="minorHAnsi"/>
          <w:b/>
        </w:rPr>
      </w:pPr>
      <w:r w:rsidRPr="008F6866">
        <w:rPr>
          <w:rFonts w:cstheme="minorHAnsi"/>
          <w:b/>
        </w:rPr>
        <w:t>Subselection of CMIP6 models</w:t>
      </w:r>
    </w:p>
    <w:p w14:paraId="0D876D47" w14:textId="42B9BF13" w:rsidR="006551F0" w:rsidRPr="008F6866" w:rsidRDefault="006551F0" w:rsidP="005F5F21">
      <w:pPr>
        <w:spacing w:after="120" w:line="300" w:lineRule="auto"/>
        <w:jc w:val="both"/>
        <w:rPr>
          <w:rFonts w:cstheme="minorHAnsi"/>
        </w:rPr>
      </w:pPr>
      <w:r w:rsidRPr="008F6866">
        <w:rPr>
          <w:rFonts w:cstheme="minorHAnsi"/>
        </w:rPr>
        <w:t xml:space="preserve">CMIP6 provides a large ensemble of simulations for HETEROFOR to run. Given 11 models, 4 scenarios, 2 bias-correction techniques and 11 forest sites, it would lead to 968 distinct input datasets to test. To decrease the number of experiments, we selected six models based on three criteria: model quality, model independency and diversity of responses to climate change. The selection procedure follows the work of </w:t>
      </w:r>
      <w:r w:rsidRPr="008F6866">
        <w:rPr>
          <w:rFonts w:cstheme="minorHAnsi"/>
        </w:rPr>
        <w:fldChar w:fldCharType="begin"/>
      </w:r>
      <w:r w:rsidR="006201C6">
        <w:rPr>
          <w:rFonts w:cstheme="minorHAnsi"/>
        </w:rPr>
        <w:instrText xml:space="preserve"> ADDIN EN.CITE &lt;EndNote&gt;&lt;Cite AuthorYear="1"&gt;&lt;Author&gt;Sobolowski&lt;/Author&gt;&lt;Year&gt;2023&lt;/Year&gt;&lt;RecNum&gt;354&lt;/RecNum&gt;&lt;IDText&gt;Sobolowski23&lt;/IDText&gt;&lt;DisplayText&gt;Sobolowski&lt;style face="italic"&gt; et al.&lt;/style&gt; (2023)&lt;/DisplayText&gt;&lt;record&gt;&lt;rec-number&gt;354&lt;/rec-number&gt;&lt;foreign-keys&gt;&lt;key app="EN" db-id="0px2fzdxhrpdrre2w5f5pdryx90atadrdavt" timestamp="1713819060"&gt;354&lt;/key&gt;&lt;/foreign-keys&gt;&lt;ref-type name="Web Page"&gt;12&lt;/ref-type&gt;&lt;contributors&gt;&lt;authors&gt;&lt;author&gt;Sobolowski, Stefan&lt;/author&gt;&lt;author&gt;Somot, Samuel&lt;/author&gt;&lt;author&gt;Fernandez, Jesus&lt;/author&gt;&lt;author&gt;Evin, Guillaume&lt;/author&gt;&lt;author&gt;Maraun, Douglas&lt;/author&gt;&lt;author&gt;Kotlarski, Sven&lt;/author&gt;&lt;author&gt;Jury, Martin&lt;/author&gt;&lt;author&gt;Benestad, Rasmus E.&lt;/author&gt;&lt;author&gt;Teichmann, Claas&lt;/author&gt;&lt;author&gt;Christensen, Ole B.&lt;/author&gt;&lt;author&gt;Katharina, Bülow&lt;/author&gt;&lt;author&gt;Buonomo, Erasmo&lt;/author&gt;&lt;author&gt;Katragkou, Eleni&lt;/author&gt;&lt;author&gt;Steger, Christian&lt;/author&gt;&lt;author&gt;Sørland, Silje&lt;/author&gt;&lt;author&gt;Nikulin, Grigory&lt;/author&gt;&lt;author&gt;McSweeney, Carol&lt;/author&gt;&lt;author&gt;Dobler, Andreas&lt;/author&gt;&lt;author&gt;Palmer, Tamzin&lt;/author&gt;&lt;author&gt;Wilke, Renate&lt;/author&gt;&lt;author&gt;Boé, Julien&lt;/author&gt;&lt;author&gt;Brunner, Lukas&lt;/author&gt;&lt;author&gt;Ribes, Aurélien&lt;/author&gt;&lt;author&gt;Qasmi, Said&lt;/author&gt;&lt;author&gt;Nabat, Pierre&lt;/author&gt;&lt;author&gt;Sevault, Florence&lt;/author&gt;&lt;author&gt;Oudar, Thomas&lt;/author&gt;&lt;author&gt;Brands, Swen&lt;/author&gt;&lt;/authors&gt;&lt;/contributors&gt;&lt;titles&gt;&lt;title&gt;EURO-CORDEX CMIP6 GCM Selection &amp;amp; Ensemble Design: Best Practices and Recommendations&lt;/title&gt;&lt;/titles&gt;&lt;dates&gt;&lt;year&gt;2023&lt;/year&gt;&lt;/dates&gt;&lt;publisher&gt;Zenodo&lt;/publisher&gt;&lt;label&gt;Sobolowski23&lt;/label&gt;&lt;urls&gt;&lt;/urls&gt;&lt;electronic-resource-num&gt;https://doi.org/10.5281/ZENODO.7673400&lt;/electronic-resource-num&gt;&lt;/record&gt;&lt;/Cite&gt;&lt;/EndNote&gt;</w:instrText>
      </w:r>
      <w:r w:rsidRPr="008F6866">
        <w:rPr>
          <w:rFonts w:cstheme="minorHAnsi"/>
        </w:rPr>
        <w:fldChar w:fldCharType="separate"/>
      </w:r>
      <w:r w:rsidR="006201C6">
        <w:rPr>
          <w:rFonts w:cstheme="minorHAnsi"/>
          <w:noProof/>
        </w:rPr>
        <w:t>Sobolowski</w:t>
      </w:r>
      <w:r w:rsidR="006201C6" w:rsidRPr="006201C6">
        <w:rPr>
          <w:rFonts w:cstheme="minorHAnsi"/>
          <w:i/>
          <w:noProof/>
        </w:rPr>
        <w:t xml:space="preserve"> et al.</w:t>
      </w:r>
      <w:r w:rsidR="006201C6">
        <w:rPr>
          <w:rFonts w:cstheme="minorHAnsi"/>
          <w:noProof/>
        </w:rPr>
        <w:t xml:space="preserve"> (2023)</w:t>
      </w:r>
      <w:r w:rsidRPr="008F6866">
        <w:rPr>
          <w:rFonts w:cstheme="minorHAnsi"/>
        </w:rPr>
        <w:fldChar w:fldCharType="end"/>
      </w:r>
      <w:r w:rsidRPr="008F6866">
        <w:rPr>
          <w:rFonts w:cstheme="minorHAnsi"/>
        </w:rPr>
        <w:t xml:space="preserve"> to produce the new EURO-CORDEX dataset.</w:t>
      </w:r>
    </w:p>
    <w:p w14:paraId="1F7806D3" w14:textId="75E21168" w:rsidR="006551F0" w:rsidRPr="008F6866" w:rsidRDefault="006551F0" w:rsidP="00C84B8B">
      <w:pPr>
        <w:spacing w:after="120" w:line="300" w:lineRule="auto"/>
        <w:jc w:val="both"/>
        <w:rPr>
          <w:rFonts w:eastAsiaTheme="minorEastAsia" w:cstheme="minorHAnsi"/>
        </w:rPr>
      </w:pPr>
      <w:r w:rsidRPr="008F6866">
        <w:rPr>
          <w:rFonts w:cstheme="minorHAnsi"/>
        </w:rPr>
        <w:t xml:space="preserve">We first discriminated between the eleven models, based on their intrinsic performances. We computed the model performances relative to the model ensemble median over the period 1976-2014 in a similar fashion as </w:t>
      </w:r>
      <w:r w:rsidRPr="008F6866">
        <w:rPr>
          <w:rFonts w:cstheme="minorHAnsi"/>
        </w:rPr>
        <w:fldChar w:fldCharType="begin"/>
      </w:r>
      <w:r w:rsidR="006201C6">
        <w:rPr>
          <w:rFonts w:cstheme="minorHAnsi"/>
        </w:rPr>
        <w:instrText xml:space="preserve"> ADDIN EN.CITE &lt;EndNote&gt;&lt;Cite AuthorYear="1"&gt;&lt;Author&gt;Gleckler&lt;/Author&gt;&lt;Year&gt;2008&lt;/Year&gt;&lt;RecNum&gt;355&lt;/RecNum&gt;&lt;IDText&gt;Gleckler08&lt;/IDText&gt;&lt;DisplayText&gt;Gleckler&lt;style face="italic"&gt; et al.&lt;/style&gt; (2008)&lt;/DisplayText&gt;&lt;record&gt;&lt;rec-number&gt;355&lt;/rec-number&gt;&lt;foreign-keys&gt;&lt;key app="EN" db-id="0px2fzdxhrpdrre2w5f5pdryx90atadrdavt" timestamp="1713819971"&gt;355&lt;/key&gt;&lt;/foreign-keys&gt;&lt;ref-type name="Journal Article"&gt;17&lt;/ref-type&gt;&lt;contributors&gt;&lt;authors&gt;&lt;author&gt;Gleckler, P. J.&lt;/author&gt;&lt;author&gt;Taylor, K. E.&lt;/author&gt;&lt;author&gt;Doutriaux, C.&lt;/author&gt;&lt;/authors&gt;&lt;/contributors&gt;&lt;titles&gt;&lt;title&gt;Performance metrics for climate models&lt;/title&gt;&lt;secondary-title&gt;Journal of Geophysical Research Atmospheres&lt;/secondary-title&gt;&lt;/titles&gt;&lt;periodical&gt;&lt;full-title&gt;Journal of Geophysical Research Atmospheres&lt;/full-title&gt;&lt;/periodical&gt;&lt;volume&gt;113&lt;/volume&gt;&lt;number&gt;6&lt;/number&gt;&lt;dates&gt;&lt;year&gt;2008&lt;/year&gt;&lt;/dates&gt;&lt;label&gt;Gleckler08&lt;/label&gt;&lt;work-type&gt;Article&lt;/work-type&gt;&lt;urls&gt;&lt;related-urls&gt;&lt;url&gt;https://www.scopus.com/inward/record.uri?eid=2-s2.0-49249113376&amp;amp;doi=10.1029%2f2007JD008972&amp;amp;partnerID=40&amp;amp;md5=6295e0bcbb0c00e1ebf51329e621a93d&lt;/url&gt;&lt;/related-urls&gt;&lt;/urls&gt;&lt;custom7&gt;D06104&lt;/custom7&gt;&lt;electronic-resource-num&gt;10.1029/2007JD008972&lt;/electronic-resource-num&gt;&lt;remote-database-name&gt;Scopus&lt;/remote-database-name&gt;&lt;/record&gt;&lt;/Cite&gt;&lt;/EndNote&gt;</w:instrText>
      </w:r>
      <w:r w:rsidRPr="008F6866">
        <w:rPr>
          <w:rFonts w:cstheme="minorHAnsi"/>
        </w:rPr>
        <w:fldChar w:fldCharType="separate"/>
      </w:r>
      <w:r w:rsidR="006201C6">
        <w:rPr>
          <w:rFonts w:cstheme="minorHAnsi"/>
          <w:noProof/>
        </w:rPr>
        <w:t>Gleckler</w:t>
      </w:r>
      <w:r w:rsidR="006201C6" w:rsidRPr="006201C6">
        <w:rPr>
          <w:rFonts w:cstheme="minorHAnsi"/>
          <w:i/>
          <w:noProof/>
        </w:rPr>
        <w:t xml:space="preserve"> et al.</w:t>
      </w:r>
      <w:r w:rsidR="006201C6">
        <w:rPr>
          <w:rFonts w:cstheme="minorHAnsi"/>
          <w:noProof/>
        </w:rPr>
        <w:t xml:space="preserve"> (2008)</w:t>
      </w:r>
      <w:r w:rsidRPr="008F6866">
        <w:rPr>
          <w:rFonts w:cstheme="minorHAnsi"/>
        </w:rPr>
        <w:fldChar w:fldCharType="end"/>
      </w:r>
      <w:r w:rsidRPr="008F6866">
        <w:rPr>
          <w:rFonts w:cstheme="minorHAnsi"/>
        </w:rPr>
        <w:t>, limiting the analysis to the growing vegetation period (15</w:t>
      </w:r>
      <w:r w:rsidRPr="008F6866">
        <w:rPr>
          <w:rFonts w:cstheme="minorHAnsi"/>
          <w:vertAlign w:val="superscript"/>
        </w:rPr>
        <w:t>th</w:t>
      </w:r>
      <w:r w:rsidRPr="008F6866">
        <w:rPr>
          <w:rFonts w:cstheme="minorHAnsi"/>
        </w:rPr>
        <w:t xml:space="preserve"> </w:t>
      </w:r>
      <w:r w:rsidRPr="008F6866">
        <w:rPr>
          <w:rFonts w:cstheme="minorHAnsi"/>
        </w:rPr>
        <w:lastRenderedPageBreak/>
        <w:t>of April to 15</w:t>
      </w:r>
      <w:r w:rsidRPr="008F6866">
        <w:rPr>
          <w:rFonts w:cstheme="minorHAnsi"/>
          <w:vertAlign w:val="superscript"/>
        </w:rPr>
        <w:t>th</w:t>
      </w:r>
      <w:r w:rsidRPr="008F6866">
        <w:rPr>
          <w:rFonts w:cstheme="minorHAnsi"/>
        </w:rPr>
        <w:t xml:space="preserve"> of November). The relative error </w:t>
      </w:r>
      <m:oMath>
        <m:sSubSup>
          <m:sSubSupPr>
            <m:ctrlPr>
              <w:rPr>
                <w:rFonts w:ascii="Cambria Math" w:hAnsi="Cambria Math" w:cstheme="minorHAnsi"/>
                <w:i/>
              </w:rPr>
            </m:ctrlPr>
          </m:sSubSupPr>
          <m:e>
            <m:r>
              <w:rPr>
                <w:rFonts w:ascii="Cambria Math" w:hAnsi="Cambria Math" w:cstheme="minorHAnsi"/>
              </w:rPr>
              <m:t>E</m:t>
            </m:r>
          </m:e>
          <m:sub>
            <m:r>
              <w:rPr>
                <w:rFonts w:ascii="Cambria Math" w:hAnsi="Cambria Math" w:cstheme="minorHAnsi"/>
              </w:rPr>
              <m:t>m,f</m:t>
            </m:r>
          </m:sub>
          <m:sup>
            <m:r>
              <w:rPr>
                <w:rFonts w:ascii="Cambria Math" w:hAnsi="Cambria Math" w:cstheme="minorHAnsi"/>
              </w:rPr>
              <m:t>'</m:t>
            </m:r>
          </m:sup>
        </m:sSubSup>
      </m:oMath>
      <w:r w:rsidRPr="008F6866">
        <w:rPr>
          <w:rFonts w:eastAsiaTheme="minorEastAsia" w:cstheme="minorHAnsi"/>
        </w:rPr>
        <w:t xml:space="preserve"> for a given model </w:t>
      </w:r>
      <w:r w:rsidRPr="008F6866">
        <w:rPr>
          <w:rFonts w:eastAsiaTheme="minorEastAsia" w:cstheme="minorHAnsi"/>
          <w:i/>
        </w:rPr>
        <w:t xml:space="preserve">m </w:t>
      </w:r>
      <w:r w:rsidRPr="008F6866">
        <w:rPr>
          <w:rFonts w:eastAsiaTheme="minorEastAsia" w:cstheme="minorHAnsi"/>
        </w:rPr>
        <w:t xml:space="preserve">and a given field </w:t>
      </w:r>
      <w:r w:rsidRPr="008F6866">
        <w:rPr>
          <w:rFonts w:eastAsiaTheme="minorEastAsia" w:cstheme="minorHAnsi"/>
          <w:i/>
        </w:rPr>
        <w:t>f</w:t>
      </w:r>
      <w:r w:rsidRPr="008F6866">
        <w:rPr>
          <w:rFonts w:eastAsiaTheme="minorEastAsia" w:cstheme="minorHAnsi"/>
        </w:rPr>
        <w:t xml:space="preserve"> is defined as:</w:t>
      </w:r>
    </w:p>
    <w:p w14:paraId="5AAA91CF" w14:textId="507D6B9F" w:rsidR="006551F0" w:rsidRPr="008F6866" w:rsidRDefault="00000000" w:rsidP="0045761E">
      <w:pPr>
        <w:spacing w:after="60" w:line="300" w:lineRule="auto"/>
        <w:jc w:val="right"/>
        <w:rPr>
          <w:rFonts w:cstheme="minorHAnsi"/>
        </w:rPr>
      </w:pPr>
      <m:oMath>
        <m:sSubSup>
          <m:sSubSupPr>
            <m:ctrlPr>
              <w:rPr>
                <w:rFonts w:ascii="Cambria Math" w:hAnsi="Cambria Math" w:cstheme="minorHAnsi"/>
                <w:i/>
              </w:rPr>
            </m:ctrlPr>
          </m:sSubSupPr>
          <m:e>
            <m:r>
              <w:rPr>
                <w:rFonts w:ascii="Cambria Math" w:hAnsi="Cambria Math" w:cstheme="minorHAnsi"/>
              </w:rPr>
              <m:t>E</m:t>
            </m:r>
          </m:e>
          <m:sub>
            <m:r>
              <w:rPr>
                <w:rFonts w:ascii="Cambria Math" w:hAnsi="Cambria Math" w:cstheme="minorHAnsi"/>
              </w:rPr>
              <m:t>m,f</m:t>
            </m:r>
          </m:sub>
          <m:sup>
            <m:r>
              <w:rPr>
                <w:rFonts w:ascii="Cambria Math" w:hAnsi="Cambria Math" w:cstheme="minorHAnsi"/>
              </w:rPr>
              <m:t>'</m:t>
            </m:r>
          </m:sup>
        </m:sSubSup>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m,f</m:t>
                </m:r>
              </m:sub>
            </m:sSub>
            <m:r>
              <w:rPr>
                <w:rFonts w:ascii="Cambria Math" w:hAnsi="Cambria Math" w:cstheme="minorHAnsi"/>
              </w:rPr>
              <m:t xml:space="preserve"> -</m:t>
            </m:r>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E</m:t>
                    </m:r>
                  </m:e>
                </m:acc>
              </m:e>
              <m:sub>
                <m:r>
                  <w:rPr>
                    <w:rFonts w:ascii="Cambria Math" w:hAnsi="Cambria Math" w:cstheme="minorHAnsi"/>
                  </w:rPr>
                  <m:t>m,f</m:t>
                </m:r>
              </m:sub>
            </m:sSub>
          </m:num>
          <m:den>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E</m:t>
                    </m:r>
                  </m:e>
                </m:acc>
              </m:e>
              <m:sub>
                <m:r>
                  <w:rPr>
                    <w:rFonts w:ascii="Cambria Math" w:hAnsi="Cambria Math" w:cstheme="minorHAnsi"/>
                  </w:rPr>
                  <m:t>m,f</m:t>
                </m:r>
              </m:sub>
            </m:sSub>
          </m:den>
        </m:f>
      </m:oMath>
      <w:r w:rsidR="006551F0" w:rsidRPr="008F6866">
        <w:rPr>
          <w:rFonts w:cstheme="minorHAnsi"/>
        </w:rPr>
        <w:t xml:space="preserve">                                                                     (</w:t>
      </w:r>
      <w:r w:rsidR="00C84B8B" w:rsidRPr="008F6866">
        <w:rPr>
          <w:rFonts w:cstheme="minorHAnsi"/>
        </w:rPr>
        <w:t>3</w:t>
      </w:r>
      <w:r w:rsidR="006551F0" w:rsidRPr="008F6866">
        <w:rPr>
          <w:rFonts w:cstheme="minorHAnsi"/>
        </w:rPr>
        <w:t>.17)</w:t>
      </w:r>
    </w:p>
    <w:p w14:paraId="5CA8A523" w14:textId="0538452B" w:rsidR="006551F0" w:rsidRPr="008F6866" w:rsidRDefault="006551F0" w:rsidP="00C84B8B">
      <w:pPr>
        <w:spacing w:after="120" w:line="300" w:lineRule="auto"/>
        <w:jc w:val="both"/>
        <w:rPr>
          <w:rFonts w:eastAsiaTheme="minorEastAsia" w:cstheme="minorHAnsi"/>
        </w:rPr>
      </w:pPr>
      <w:r w:rsidRPr="008F6866">
        <w:rPr>
          <w:rFonts w:cstheme="minorHAnsi"/>
        </w:rPr>
        <w:t xml:space="preserve">where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m,f</m:t>
            </m:r>
          </m:sub>
        </m:sSub>
      </m:oMath>
      <w:r w:rsidRPr="008F6866">
        <w:rPr>
          <w:rFonts w:eastAsiaTheme="minorEastAsia" w:cstheme="minorHAnsi"/>
        </w:rPr>
        <w:t xml:space="preserve"> is the model error and</w:t>
      </w:r>
      <w:r w:rsidRPr="008F6866">
        <w:rPr>
          <w:rFonts w:cstheme="minorHAnsi"/>
        </w:rPr>
        <w:t xml:space="preserve"> </w:t>
      </w:r>
      <m:oMath>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E</m:t>
                </m:r>
              </m:e>
            </m:acc>
          </m:e>
          <m:sub>
            <m:r>
              <w:rPr>
                <w:rFonts w:ascii="Cambria Math" w:hAnsi="Cambria Math" w:cstheme="minorHAnsi"/>
              </w:rPr>
              <m:t>m,f</m:t>
            </m:r>
          </m:sub>
        </m:sSub>
      </m:oMath>
      <w:r w:rsidRPr="008F6866">
        <w:rPr>
          <w:rFonts w:eastAsiaTheme="minorEastAsia" w:cstheme="minorHAnsi"/>
        </w:rPr>
        <w:t xml:space="preserve"> is the typical model error defined as the median of all model errors. Model errors are evaluated from monthly climatological values using the root mean squared differences between the model and the observations. Mathematically,</w:t>
      </w:r>
    </w:p>
    <w:p w14:paraId="4CD421FB" w14:textId="03CD2858" w:rsidR="006551F0" w:rsidRPr="008F6866" w:rsidRDefault="00000000" w:rsidP="0045761E">
      <w:pPr>
        <w:spacing w:after="60" w:line="300" w:lineRule="auto"/>
        <w:jc w:val="right"/>
        <w:rPr>
          <w:rFonts w:cstheme="minorHAnsi"/>
        </w:rPr>
      </w:pP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m,f</m:t>
            </m:r>
          </m:sub>
        </m:sSub>
        <m:r>
          <w:rPr>
            <w:rFonts w:ascii="Cambria Math" w:hAnsi="Cambria Math" w:cstheme="minorHAnsi"/>
          </w:rPr>
          <m:t>=</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S</m:t>
                </m:r>
              </m:den>
            </m:f>
            <m:nary>
              <m:naryPr>
                <m:chr m:val="∑"/>
                <m:limLoc m:val="undOvr"/>
                <m:supHide m:val="1"/>
                <m:ctrlPr>
                  <w:rPr>
                    <w:rFonts w:ascii="Cambria Math" w:hAnsi="Cambria Math" w:cstheme="minorHAnsi"/>
                    <w:i/>
                  </w:rPr>
                </m:ctrlPr>
              </m:naryPr>
              <m:sub>
                <m:r>
                  <w:rPr>
                    <w:rFonts w:ascii="Cambria Math" w:hAnsi="Cambria Math" w:cstheme="minorHAnsi"/>
                  </w:rPr>
                  <m:t>s</m:t>
                </m:r>
              </m:sub>
              <m:sup/>
              <m:e>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12</m:t>
                    </m:r>
                  </m:den>
                </m:f>
                <m:nary>
                  <m:naryPr>
                    <m:chr m:val="∑"/>
                    <m:limLoc m:val="undOvr"/>
                    <m:ctrlPr>
                      <w:rPr>
                        <w:rFonts w:ascii="Cambria Math" w:hAnsi="Cambria Math" w:cstheme="minorHAnsi"/>
                        <w:i/>
                      </w:rPr>
                    </m:ctrlPr>
                  </m:naryPr>
                  <m:sub>
                    <m:r>
                      <w:rPr>
                        <w:rFonts w:ascii="Cambria Math" w:hAnsi="Cambria Math" w:cstheme="minorHAnsi"/>
                      </w:rPr>
                      <m:t>month=1</m:t>
                    </m:r>
                  </m:sub>
                  <m:sup>
                    <m:r>
                      <w:rPr>
                        <w:rFonts w:ascii="Cambria Math" w:hAnsi="Cambria Math" w:cstheme="minorHAnsi"/>
                      </w:rPr>
                      <m:t>12</m:t>
                    </m:r>
                  </m:sup>
                  <m:e>
                    <m:sSup>
                      <m:sSupPr>
                        <m:ctrlPr>
                          <w:rPr>
                            <w:rFonts w:ascii="Cambria Math" w:hAnsi="Cambria Math" w:cstheme="minorHAnsi"/>
                            <w:i/>
                          </w:rPr>
                        </m:ctrlPr>
                      </m:sSupPr>
                      <m:e>
                        <m:d>
                          <m:dPr>
                            <m:ctrlPr>
                              <w:rPr>
                                <w:rFonts w:ascii="Cambria Math" w:hAnsi="Cambria Math" w:cstheme="minorHAnsi"/>
                                <w:i/>
                              </w:rPr>
                            </m:ctrlPr>
                          </m:dPr>
                          <m:e>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M</m:t>
                                    </m:r>
                                  </m:e>
                                </m:acc>
                              </m:e>
                              <m:sub>
                                <m:r>
                                  <w:rPr>
                                    <w:rFonts w:ascii="Cambria Math" w:hAnsi="Cambria Math" w:cstheme="minorHAnsi"/>
                                  </w:rPr>
                                  <m:t>month,s</m:t>
                                </m:r>
                              </m:sub>
                            </m:sSub>
                            <m:r>
                              <w:rPr>
                                <w:rFonts w:ascii="Cambria Math" w:hAnsi="Cambria Math" w:cstheme="minorHAnsi"/>
                              </w:rPr>
                              <m:t>-</m:t>
                            </m:r>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O</m:t>
                                    </m:r>
                                  </m:e>
                                </m:acc>
                              </m:e>
                              <m:sub>
                                <m:r>
                                  <w:rPr>
                                    <w:rFonts w:ascii="Cambria Math" w:hAnsi="Cambria Math" w:cstheme="minorHAnsi"/>
                                  </w:rPr>
                                  <m:t>month,s</m:t>
                                </m:r>
                              </m:sub>
                            </m:sSub>
                          </m:e>
                        </m:d>
                      </m:e>
                      <m:sup>
                        <m:r>
                          <w:rPr>
                            <w:rFonts w:ascii="Cambria Math" w:hAnsi="Cambria Math" w:cstheme="minorHAnsi"/>
                          </w:rPr>
                          <m:t>2</m:t>
                        </m:r>
                      </m:sup>
                    </m:sSup>
                  </m:e>
                </m:nary>
              </m:e>
            </m:nary>
          </m:e>
        </m:rad>
      </m:oMath>
      <w:r w:rsidR="006551F0" w:rsidRPr="008F6866">
        <w:rPr>
          <w:rFonts w:cstheme="minorHAnsi"/>
        </w:rPr>
        <w:t xml:space="preserve">                                            (</w:t>
      </w:r>
      <w:r w:rsidR="00C84B8B" w:rsidRPr="008F6866">
        <w:rPr>
          <w:rFonts w:cstheme="minorHAnsi"/>
        </w:rPr>
        <w:t>3</w:t>
      </w:r>
      <w:r w:rsidR="006551F0" w:rsidRPr="008F6866">
        <w:rPr>
          <w:rFonts w:cstheme="minorHAnsi"/>
        </w:rPr>
        <w:t>.18)</w:t>
      </w:r>
    </w:p>
    <w:p w14:paraId="07FABBBA" w14:textId="17780141" w:rsidR="006551F0" w:rsidRPr="008F6866" w:rsidRDefault="006551F0" w:rsidP="00E841F5">
      <w:pPr>
        <w:spacing w:after="120" w:line="300" w:lineRule="auto"/>
        <w:jc w:val="both"/>
        <w:rPr>
          <w:rFonts w:cstheme="minorHAnsi"/>
        </w:rPr>
      </w:pPr>
      <w:r w:rsidRPr="008F6866">
        <w:rPr>
          <w:rFonts w:cstheme="minorHAnsi"/>
        </w:rPr>
        <w:t xml:space="preserve">where </w:t>
      </w:r>
      <w:r w:rsidRPr="008F6866">
        <w:rPr>
          <w:rFonts w:cstheme="minorHAnsi"/>
          <w:i/>
        </w:rPr>
        <w:t>S</w:t>
      </w:r>
      <w:r w:rsidRPr="008F6866">
        <w:rPr>
          <w:rFonts w:cstheme="minorHAnsi"/>
        </w:rPr>
        <w:t xml:space="preserve"> is the number of independent sites. It varies from one model to another, but </w:t>
      </w:r>
      <m:oMath>
        <m:r>
          <w:rPr>
            <w:rFonts w:ascii="Cambria Math" w:hAnsi="Cambria Math" w:cstheme="minorHAnsi"/>
          </w:rPr>
          <m:t>S≤11</m:t>
        </m:r>
      </m:oMath>
      <w:r w:rsidRPr="008F6866">
        <w:rPr>
          <w:rFonts w:eastAsiaTheme="minorEastAsia" w:cstheme="minorHAnsi"/>
        </w:rPr>
        <w:t xml:space="preserve">. </w:t>
      </w:r>
      <w:r w:rsidRPr="008F6866">
        <w:rPr>
          <w:rFonts w:cstheme="minorHAnsi"/>
        </w:rPr>
        <w:t xml:space="preserve">Due to the model coarse horizontal resolution, model values at different sites might be identical. Duplicated sites are discarded before computing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m,f</m:t>
            </m:r>
          </m:sub>
        </m:sSub>
      </m:oMath>
      <w:r w:rsidRPr="008F6866">
        <w:rPr>
          <w:rFonts w:eastAsiaTheme="minorEastAsia" w:cstheme="minorHAnsi"/>
        </w:rPr>
        <w:t xml:space="preserve"> to avoid attributing different weights to the model pixels (biases for each site are not area-weighted, as grid cells have similar areas over Belgium)</w:t>
      </w:r>
      <w:r w:rsidRPr="008F6866">
        <w:rPr>
          <w:rFonts w:cstheme="minorHAnsi"/>
        </w:rPr>
        <w:t>. Results for the relative errors are presented in</w:t>
      </w:r>
      <w:r w:rsidR="008C6DB1" w:rsidRPr="008F6866">
        <w:rPr>
          <w:rFonts w:cstheme="minorHAnsi"/>
        </w:rPr>
        <w:t xml:space="preserve"> </w:t>
      </w:r>
      <w:r w:rsidR="008C6DB1" w:rsidRPr="008F6866">
        <w:rPr>
          <w:rFonts w:cstheme="minorHAnsi"/>
        </w:rPr>
        <w:fldChar w:fldCharType="begin"/>
      </w:r>
      <w:r w:rsidR="008C6DB1" w:rsidRPr="008F6866">
        <w:rPr>
          <w:rFonts w:cstheme="minorHAnsi"/>
        </w:rPr>
        <w:instrText xml:space="preserve"> REF _Ref195565118 \h  \* MERGEFORMAT </w:instrText>
      </w:r>
      <w:r w:rsidR="008C6DB1" w:rsidRPr="008F6866">
        <w:rPr>
          <w:rFonts w:cstheme="minorHAnsi"/>
        </w:rPr>
      </w:r>
      <w:r w:rsidR="008C6DB1" w:rsidRPr="008F6866">
        <w:rPr>
          <w:rFonts w:cstheme="minorHAnsi"/>
        </w:rPr>
        <w:fldChar w:fldCharType="separate"/>
      </w:r>
      <w:r w:rsidR="00540DBF" w:rsidRPr="00540DBF">
        <w:rPr>
          <w:rFonts w:cstheme="minorHAnsi"/>
        </w:rPr>
        <w:t>Figure 10</w:t>
      </w:r>
      <w:r w:rsidR="008C6DB1" w:rsidRPr="008F6866">
        <w:rPr>
          <w:rFonts w:cstheme="minorHAnsi"/>
        </w:rPr>
        <w:fldChar w:fldCharType="end"/>
      </w:r>
      <w:r w:rsidRPr="008F6866">
        <w:rPr>
          <w:rFonts w:cstheme="minorHAnsi"/>
        </w:rPr>
        <w:t>. From this analysis, we selected six models: ACCESS-CM2, CanESM5, IPSL-CM6A-LR, MPI-ESM1-2-LR, MPI-ESM1-2-HR and MRI-ESM2-0.</w:t>
      </w:r>
    </w:p>
    <w:p w14:paraId="0CEB03CF" w14:textId="57734997" w:rsidR="008C6DB1" w:rsidRPr="008F6866" w:rsidRDefault="008C6DB1" w:rsidP="008C6DB1">
      <w:pPr>
        <w:spacing w:after="0" w:line="300" w:lineRule="auto"/>
        <w:jc w:val="center"/>
        <w:rPr>
          <w:rFonts w:cstheme="minorHAnsi"/>
        </w:rPr>
      </w:pPr>
      <w:r w:rsidRPr="008F6866">
        <w:rPr>
          <w:noProof/>
        </w:rPr>
        <w:drawing>
          <wp:inline distT="0" distB="0" distL="0" distR="0" wp14:anchorId="0A4ABFC6" wp14:editId="0F32A782">
            <wp:extent cx="2838160" cy="2124075"/>
            <wp:effectExtent l="0" t="0" r="63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1089" cy="2148719"/>
                    </a:xfrm>
                    <a:prstGeom prst="rect">
                      <a:avLst/>
                    </a:prstGeom>
                    <a:noFill/>
                    <a:ln>
                      <a:noFill/>
                    </a:ln>
                  </pic:spPr>
                </pic:pic>
              </a:graphicData>
            </a:graphic>
          </wp:inline>
        </w:drawing>
      </w:r>
    </w:p>
    <w:p w14:paraId="39007D7A" w14:textId="661FE192" w:rsidR="006551F0" w:rsidRPr="008F6866" w:rsidRDefault="008C6DB1" w:rsidP="008C6DB1">
      <w:pPr>
        <w:pStyle w:val="Lgende"/>
        <w:spacing w:after="0"/>
        <w:jc w:val="center"/>
        <w:rPr>
          <w:b/>
          <w:i w:val="0"/>
          <w:color w:val="000000" w:themeColor="text1"/>
          <w:sz w:val="20"/>
          <w:szCs w:val="20"/>
        </w:rPr>
      </w:pPr>
      <w:bookmarkStart w:id="27" w:name="_Ref195565118"/>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10</w:t>
      </w:r>
      <w:r w:rsidRPr="008F6866">
        <w:rPr>
          <w:b/>
          <w:i w:val="0"/>
          <w:color w:val="000000" w:themeColor="text1"/>
          <w:sz w:val="20"/>
          <w:szCs w:val="20"/>
        </w:rPr>
        <w:fldChar w:fldCharType="end"/>
      </w:r>
      <w:bookmarkEnd w:id="27"/>
      <w:r w:rsidRPr="008F6866">
        <w:rPr>
          <w:b/>
          <w:i w:val="0"/>
          <w:color w:val="000000" w:themeColor="text1"/>
          <w:sz w:val="20"/>
          <w:szCs w:val="20"/>
        </w:rPr>
        <w:t xml:space="preserve">. Relative errors in CMIP6 models over the period 1976-2014. Errors are evaluated for the vegetation growing season and for the variables used to force HETEROFOR. The relative performance is displayed, with blue (red) shading indicating better (worse) performance than the median of all </w:t>
      </w:r>
      <w:r w:rsidR="00506431" w:rsidRPr="008F6866">
        <w:rPr>
          <w:b/>
          <w:i w:val="0"/>
          <w:color w:val="000000" w:themeColor="text1"/>
          <w:sz w:val="20"/>
          <w:szCs w:val="20"/>
        </w:rPr>
        <w:t>models</w:t>
      </w:r>
      <w:r w:rsidRPr="008F6866">
        <w:rPr>
          <w:b/>
          <w:i w:val="0"/>
          <w:color w:val="000000" w:themeColor="text1"/>
          <w:sz w:val="20"/>
          <w:szCs w:val="20"/>
        </w:rPr>
        <w:t>. hurs: near-surface (2 m) relative humidity; pr: total precipitation; rsds: surface downwelling shortwave radiation; sfcWind: near-surface (10 m) wind speed; tas: near-surface (2 m) air temperature</w:t>
      </w:r>
    </w:p>
    <w:p w14:paraId="36A29CDB" w14:textId="77777777" w:rsidR="008C6DB1" w:rsidRPr="008F6866" w:rsidRDefault="008C6DB1" w:rsidP="008C6DB1">
      <w:pPr>
        <w:spacing w:after="0"/>
        <w:rPr>
          <w:lang w:eastAsia="fr-BE"/>
        </w:rPr>
      </w:pPr>
    </w:p>
    <w:p w14:paraId="6EB7F79E" w14:textId="6665A72A" w:rsidR="006551F0" w:rsidRPr="008F6866" w:rsidRDefault="006551F0" w:rsidP="008C6DB1">
      <w:pPr>
        <w:spacing w:after="120" w:line="300" w:lineRule="auto"/>
        <w:jc w:val="both"/>
        <w:rPr>
          <w:rFonts w:cstheme="minorHAnsi"/>
        </w:rPr>
      </w:pPr>
      <w:r w:rsidRPr="008F6866">
        <w:rPr>
          <w:rFonts w:cstheme="minorHAnsi"/>
        </w:rPr>
        <w:t xml:space="preserve">To make an optimal sampling of the model diversity, our decision to keep or reject models relies on Figure 5 of </w:t>
      </w:r>
      <w:r w:rsidRPr="008F6866">
        <w:rPr>
          <w:rFonts w:cstheme="minorHAnsi"/>
        </w:rPr>
        <w:fldChar w:fldCharType="begin"/>
      </w:r>
      <w:r w:rsidR="006201C6">
        <w:rPr>
          <w:rFonts w:cstheme="minorHAnsi"/>
        </w:rPr>
        <w:instrText xml:space="preserve"> ADDIN EN.CITE &lt;EndNote&gt;&lt;Cite AuthorYear="1"&gt;&lt;Author&gt;Brunner&lt;/Author&gt;&lt;Year&gt;2020&lt;/Year&gt;&lt;RecNum&gt;356&lt;/RecNum&gt;&lt;IDText&gt;Brunner20&lt;/IDText&gt;&lt;DisplayText&gt;Brunner&lt;style face="italic"&gt; et al.&lt;/style&gt; (2020)&lt;/DisplayText&gt;&lt;record&gt;&lt;rec-number&gt;356&lt;/rec-number&gt;&lt;foreign-keys&gt;&lt;key app="EN" db-id="0px2fzdxhrpdrre2w5f5pdryx90atadrdavt" timestamp="1713820185"&gt;356&lt;/key&gt;&lt;/foreign-keys&gt;&lt;ref-type name="Journal Article"&gt;17&lt;/ref-type&gt;&lt;contributors&gt;&lt;authors&gt;&lt;author&gt;Brunner, L.&lt;/author&gt;&lt;author&gt;Pendergrass, A. G.&lt;/author&gt;&lt;author&gt;Lehner, F.&lt;/author&gt;&lt;author&gt;Merrifield, A. L.&lt;/author&gt;&lt;author&gt;Lorenz, R.&lt;/author&gt;&lt;author&gt;Knutti, R.&lt;/author&gt;&lt;/authors&gt;&lt;/contributors&gt;&lt;titles&gt;&lt;title&gt;Reduced global warming from CMIP6 projections when weighting models by performance and independence&lt;/title&gt;&lt;secondary-title&gt;Earth System Dynamics&lt;/secondary-title&gt;&lt;/titles&gt;&lt;periodical&gt;&lt;full-title&gt;Earth System Dynamics&lt;/full-title&gt;&lt;/periodical&gt;&lt;pages&gt;995-1012&lt;/pages&gt;&lt;volume&gt;11&lt;/volume&gt;&lt;number&gt;4&lt;/number&gt;&lt;dates&gt;&lt;year&gt;2020&lt;/year&gt;&lt;/dates&gt;&lt;label&gt;Brunner20&lt;/label&gt;&lt;work-type&gt;Article&lt;/work-type&gt;&lt;urls&gt;&lt;related-urls&gt;&lt;url&gt;https://www.scopus.com/inward/record.uri?eid=2-s2.0-85096243571&amp;amp;doi=10.5194%2fesd-11-995-2020&amp;amp;partnerID=40&amp;amp;md5=a42e4d6c395bb8260a82c072e6e016ab&lt;/url&gt;&lt;/related-urls&gt;&lt;/urls&gt;&lt;electronic-resource-num&gt;10.5194/esd-11-995-2020&lt;/electronic-resource-num&gt;&lt;remote-database-name&gt;Scopus&lt;/remote-database-name&gt;&lt;/record&gt;&lt;/Cite&gt;&lt;/EndNote&gt;</w:instrText>
      </w:r>
      <w:r w:rsidRPr="008F6866">
        <w:rPr>
          <w:rFonts w:cstheme="minorHAnsi"/>
        </w:rPr>
        <w:fldChar w:fldCharType="separate"/>
      </w:r>
      <w:r w:rsidR="006201C6">
        <w:rPr>
          <w:rFonts w:cstheme="minorHAnsi"/>
          <w:noProof/>
        </w:rPr>
        <w:t>Brunner</w:t>
      </w:r>
      <w:r w:rsidR="006201C6" w:rsidRPr="006201C6">
        <w:rPr>
          <w:rFonts w:cstheme="minorHAnsi"/>
          <w:i/>
          <w:noProof/>
        </w:rPr>
        <w:t xml:space="preserve"> et al.</w:t>
      </w:r>
      <w:r w:rsidR="006201C6">
        <w:rPr>
          <w:rFonts w:cstheme="minorHAnsi"/>
          <w:noProof/>
        </w:rPr>
        <w:t xml:space="preserve"> (2020)</w:t>
      </w:r>
      <w:r w:rsidRPr="008F6866">
        <w:rPr>
          <w:rFonts w:cstheme="minorHAnsi"/>
        </w:rPr>
        <w:fldChar w:fldCharType="end"/>
      </w:r>
      <w:r w:rsidRPr="008F6866">
        <w:rPr>
          <w:rFonts w:cstheme="minorHAnsi"/>
        </w:rPr>
        <w:t xml:space="preserve">. This study assessed the level of model dependency between CMIP6 models. For instance, CMIP6 models can be similar because they share the same model for one or several components (atmosphere, ocean…), they have approximatively the same spatial resolution or they embed the same model complexity. All selected models at the previous step were found to be rather independent, except for the two MPI models. We did not reject one of these two models, though, as they have different spatial resolutions which might lead to different model </w:t>
      </w:r>
      <w:r w:rsidR="0085641E" w:rsidRPr="008F6866">
        <w:rPr>
          <w:rFonts w:cstheme="minorHAnsi"/>
        </w:rPr>
        <w:t>behaviours</w:t>
      </w:r>
      <w:r w:rsidRPr="008F6866">
        <w:rPr>
          <w:rFonts w:cstheme="minorHAnsi"/>
        </w:rPr>
        <w:t xml:space="preserve"> and, as a result, climate change sensitivities (see next criterion).</w:t>
      </w:r>
    </w:p>
    <w:p w14:paraId="6D396402" w14:textId="24C7811C" w:rsidR="006551F0" w:rsidRPr="0085641E" w:rsidRDefault="006551F0" w:rsidP="0085641E">
      <w:pPr>
        <w:spacing w:after="120" w:line="300" w:lineRule="auto"/>
        <w:jc w:val="both"/>
        <w:rPr>
          <w:rFonts w:cstheme="minorHAnsi"/>
        </w:rPr>
      </w:pPr>
      <w:r w:rsidRPr="008F6866">
        <w:rPr>
          <w:rFonts w:cstheme="minorHAnsi"/>
        </w:rPr>
        <w:t xml:space="preserve">Finally, we also considered the diversity of model responses to climate change. For the eleven models, we computed the changes in near-surface temperature and precipitation (limited to the vegetation </w:t>
      </w:r>
      <w:r w:rsidRPr="008F6866">
        <w:rPr>
          <w:rFonts w:cstheme="minorHAnsi"/>
        </w:rPr>
        <w:lastRenderedPageBreak/>
        <w:t xml:space="preserve">growing period) simulated for the end of the century compared with the present period. We focused on those two variables, as they have a significant influence on forests. Results are presented in </w:t>
      </w:r>
      <w:r w:rsidR="00FD4352" w:rsidRPr="008F6866">
        <w:rPr>
          <w:rFonts w:cstheme="minorHAnsi"/>
        </w:rPr>
        <w:fldChar w:fldCharType="begin"/>
      </w:r>
      <w:r w:rsidR="00FD4352" w:rsidRPr="008F6866">
        <w:rPr>
          <w:rFonts w:cstheme="minorHAnsi"/>
        </w:rPr>
        <w:instrText xml:space="preserve"> REF _Ref195565364 \h  \* MERGEFORMAT </w:instrText>
      </w:r>
      <w:r w:rsidR="00FD4352" w:rsidRPr="008F6866">
        <w:rPr>
          <w:rFonts w:cstheme="minorHAnsi"/>
        </w:rPr>
      </w:r>
      <w:r w:rsidR="00FD4352" w:rsidRPr="008F6866">
        <w:rPr>
          <w:rFonts w:cstheme="minorHAnsi"/>
        </w:rPr>
        <w:fldChar w:fldCharType="separate"/>
      </w:r>
      <w:r w:rsidR="00540DBF" w:rsidRPr="00540DBF">
        <w:rPr>
          <w:rFonts w:cstheme="minorHAnsi"/>
        </w:rPr>
        <w:t>Figure 11</w:t>
      </w:r>
      <w:r w:rsidR="00FD4352" w:rsidRPr="008F6866">
        <w:rPr>
          <w:rFonts w:cstheme="minorHAnsi"/>
        </w:rPr>
        <w:fldChar w:fldCharType="end"/>
      </w:r>
      <w:r w:rsidRPr="008F6866">
        <w:rPr>
          <w:rFonts w:cstheme="minorHAnsi"/>
        </w:rPr>
        <w:t xml:space="preserve">, which shows that our selection adequately sample the diversity of responses to climate change of the full ensemble of models. The impact of moderate and severe increases in temperature can be </w:t>
      </w:r>
      <w:r w:rsidR="0085641E" w:rsidRPr="008F6866">
        <w:rPr>
          <w:rFonts w:cstheme="minorHAnsi"/>
        </w:rPr>
        <w:t>analysed</w:t>
      </w:r>
      <w:r w:rsidRPr="008F6866">
        <w:rPr>
          <w:rFonts w:cstheme="minorHAnsi"/>
        </w:rPr>
        <w:t xml:space="preserve"> and combined with various levels of reduction in precipitation.</w:t>
      </w:r>
    </w:p>
    <w:p w14:paraId="4DBE8594" w14:textId="188134E2" w:rsidR="006551F0" w:rsidRPr="008F6866" w:rsidRDefault="006551F0" w:rsidP="006551F0">
      <w:pPr>
        <w:jc w:val="center"/>
        <w:rPr>
          <w:rFonts w:ascii="Calibri" w:eastAsia="Calibri" w:hAnsi="Calibri" w:cs="Calibri"/>
        </w:rPr>
      </w:pPr>
      <w:r w:rsidRPr="008F6866">
        <w:rPr>
          <w:noProof/>
        </w:rPr>
        <w:drawing>
          <wp:inline distT="0" distB="0" distL="0" distR="0" wp14:anchorId="60EC8B1B" wp14:editId="63F6FE09">
            <wp:extent cx="2971800" cy="2226069"/>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9941" cy="2239657"/>
                    </a:xfrm>
                    <a:prstGeom prst="rect">
                      <a:avLst/>
                    </a:prstGeom>
                    <a:noFill/>
                    <a:ln>
                      <a:noFill/>
                    </a:ln>
                  </pic:spPr>
                </pic:pic>
              </a:graphicData>
            </a:graphic>
          </wp:inline>
        </w:drawing>
      </w:r>
    </w:p>
    <w:p w14:paraId="3D88CA05" w14:textId="4B340A87" w:rsidR="006551F0" w:rsidRPr="008F6866" w:rsidRDefault="00FD4352" w:rsidP="00FD4352">
      <w:pPr>
        <w:pStyle w:val="Lgende"/>
        <w:spacing w:after="120"/>
        <w:jc w:val="center"/>
        <w:rPr>
          <w:b/>
          <w:i w:val="0"/>
          <w:color w:val="000000" w:themeColor="text1"/>
          <w:sz w:val="20"/>
          <w:szCs w:val="20"/>
        </w:rPr>
      </w:pPr>
      <w:bookmarkStart w:id="28" w:name="_Ref195565364"/>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11</w:t>
      </w:r>
      <w:r w:rsidRPr="008F6866">
        <w:rPr>
          <w:b/>
          <w:i w:val="0"/>
          <w:color w:val="000000" w:themeColor="text1"/>
          <w:sz w:val="20"/>
          <w:szCs w:val="20"/>
        </w:rPr>
        <w:fldChar w:fldCharType="end"/>
      </w:r>
      <w:bookmarkEnd w:id="28"/>
      <w:r w:rsidRPr="008F6866">
        <w:rPr>
          <w:b/>
          <w:i w:val="0"/>
          <w:color w:val="000000" w:themeColor="text1"/>
          <w:sz w:val="20"/>
          <w:szCs w:val="20"/>
        </w:rPr>
        <w:t>. Scatterplot of the projected changes in near-surface temperature and precipitation for the SSP5</w:t>
      </w:r>
      <w:r w:rsidR="00E70019" w:rsidRPr="008F6866">
        <w:rPr>
          <w:b/>
          <w:i w:val="0"/>
          <w:color w:val="000000" w:themeColor="text1"/>
          <w:sz w:val="20"/>
          <w:szCs w:val="20"/>
        </w:rPr>
        <w:noBreakHyphen/>
      </w:r>
      <w:r w:rsidRPr="008F6866">
        <w:rPr>
          <w:b/>
          <w:i w:val="0"/>
          <w:color w:val="000000" w:themeColor="text1"/>
          <w:sz w:val="20"/>
          <w:szCs w:val="20"/>
        </w:rPr>
        <w:t>8.5 scenario for the end of the century (2071-2100). Changes are relative to the present time (1976</w:t>
      </w:r>
      <w:r w:rsidR="00E70019" w:rsidRPr="008F6866">
        <w:rPr>
          <w:b/>
          <w:i w:val="0"/>
          <w:color w:val="000000" w:themeColor="text1"/>
          <w:sz w:val="20"/>
          <w:szCs w:val="20"/>
        </w:rPr>
        <w:noBreakHyphen/>
      </w:r>
      <w:r w:rsidRPr="008F6866">
        <w:rPr>
          <w:b/>
          <w:i w:val="0"/>
          <w:color w:val="000000" w:themeColor="text1"/>
          <w:sz w:val="20"/>
          <w:szCs w:val="20"/>
        </w:rPr>
        <w:t>2014) and limited to the vegetation growing season for the precipitation. Changes are averaged over independent forest sites. The eleven points represent the eleven model responses to climate change. Red points indicate our subselection of models</w:t>
      </w:r>
    </w:p>
    <w:p w14:paraId="7A0D3747" w14:textId="77777777" w:rsidR="00FD4352" w:rsidRPr="008F6866" w:rsidRDefault="00FD4352" w:rsidP="00FD4352">
      <w:pPr>
        <w:spacing w:after="0"/>
        <w:rPr>
          <w:lang w:eastAsia="fr-BE"/>
        </w:rPr>
      </w:pPr>
    </w:p>
    <w:p w14:paraId="43BB01BA" w14:textId="77777777" w:rsidR="006551F0" w:rsidRPr="008F6866" w:rsidRDefault="006551F0" w:rsidP="00A12564">
      <w:pPr>
        <w:rPr>
          <w:b/>
        </w:rPr>
      </w:pPr>
      <w:r w:rsidRPr="008F6866">
        <w:rPr>
          <w:b/>
        </w:rPr>
        <w:t>WP4. Definition of silvicultural and wildlife scenarios</w:t>
      </w:r>
    </w:p>
    <w:p w14:paraId="783E0339" w14:textId="77777777" w:rsidR="006551F0" w:rsidRPr="008F6866" w:rsidRDefault="006551F0" w:rsidP="00A12564">
      <w:pPr>
        <w:rPr>
          <w:b/>
        </w:rPr>
      </w:pPr>
      <w:r w:rsidRPr="008F6866">
        <w:rPr>
          <w:b/>
        </w:rPr>
        <w:t>Task 4.1 Selection and characterization of case studies</w:t>
      </w:r>
    </w:p>
    <w:p w14:paraId="140CC675" w14:textId="0F493172" w:rsidR="006551F0" w:rsidRPr="008F6866" w:rsidRDefault="39CFF0FF" w:rsidP="006600D1">
      <w:pPr>
        <w:spacing w:after="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Stands representative of the main forest types to be regenerated within the next 40 years in Belgium were selected as case studies. Several of these stands were selected among plots of the Long-Term Ecosystem Research (LTER) and the International Cooperative Program on Forests (ICP-Forests, level II sites) networks for which data series over more than 20 years are available while others belong to the IRRES network installed to study the conversion of even-aged stands into uneven-aged ones. The selected sites are dominated by the major forest tree species in Belgium and encompass different species compositions and structures. A first set of 13 stands was designated as potentially relevant case studies. Yet, following the meeting with the stakeholders for the definition of the silvicultural scenarios to be tested, this initial selection was revised. Indeed, some of the stands turned out to be too young to consider initiating their regeneration in the relatively near future. In contrast, other stands, especially Norway spruce (</w:t>
      </w:r>
      <w:r w:rsidRPr="008F6866">
        <w:rPr>
          <w:rFonts w:ascii="Calibri" w:eastAsia="Calibri" w:hAnsi="Calibri" w:cs="Calibri"/>
          <w:i/>
          <w:iCs/>
          <w:color w:val="000000" w:themeColor="text1"/>
        </w:rPr>
        <w:t>Picea abies</w:t>
      </w:r>
      <w:r w:rsidRPr="008F6866">
        <w:rPr>
          <w:rFonts w:ascii="Calibri" w:eastAsia="Calibri" w:hAnsi="Calibri" w:cs="Calibri"/>
          <w:color w:val="000000" w:themeColor="text1"/>
        </w:rPr>
        <w:t xml:space="preserve">) dominated ones, were too old and the risk of windthrow following a decrease of stand density to initiate natural regeneration was high, which limited the possibilities of regeneration to almost only plantation after clear cutting. As a result, the initially selected oak-dominated plot of Baileux was replaced by a coppice-with-standards stand close to Chimay, which presents a similar species composition but with older trees and then closer to the regeneration phase. The two Norway spruce stands of Buchholz and Les Fossés have been excluded from the selection as being too old. Instead, it was proposed to consider two contrasted ages for the </w:t>
      </w:r>
      <w:r w:rsidRPr="008F6866">
        <w:rPr>
          <w:rFonts w:ascii="Calibri" w:eastAsia="Calibri" w:hAnsi="Calibri" w:cs="Calibri"/>
          <w:color w:val="000000" w:themeColor="text1"/>
        </w:rPr>
        <w:lastRenderedPageBreak/>
        <w:t>spruce stand of Gedinne, namely the stands in 1999 and in 2018, to allow considering the effect of the age at which conversion is initiated. In other respects, the two Douglas fir (</w:t>
      </w:r>
      <w:r w:rsidRPr="008F6866">
        <w:rPr>
          <w:rFonts w:ascii="Calibri" w:eastAsia="Calibri" w:hAnsi="Calibri" w:cs="Calibri"/>
          <w:i/>
          <w:iCs/>
          <w:color w:val="000000" w:themeColor="text1"/>
        </w:rPr>
        <w:t>Pseudotsuga menziesii</w:t>
      </w:r>
      <w:r w:rsidRPr="008F6866">
        <w:rPr>
          <w:rFonts w:ascii="Calibri" w:eastAsia="Calibri" w:hAnsi="Calibri" w:cs="Calibri"/>
          <w:color w:val="000000" w:themeColor="text1"/>
        </w:rPr>
        <w:t>) stands initially chosen were redundant cases as presenting similar development stages and the stand of Séviscourt was replaced by the younger of Blanche Virée, located close to Wellin. Finally, the sustainability of mixture in stands composed of species with contrasting growth dynamics, in particular oak-beech mixtures, is a major concern for forest managers. Therefore, it appeared interesting to consider case studies presenting contrasting degrees of development of the two species, namely (i) a stand dominated by oak presenting oak and beech regeneration (Stoumont C111), (ii) a stand with a balanced mixture of both species with beech regeneration (Baileux mixed plot) and (iii) a stand dominated by beech with a significant proportion of oak in the overstory (Stoumont C114). This gradient in oak-beech mixture will allow to investigate the ability of maintaining oak depending on the context. The initially selected beech stand of Baileux and the oak-beech mixture of Wellin were discarded as being relatively young. This results in a final selection of 11 case studies. Their main characteristics are presented in</w:t>
      </w:r>
      <w:r w:rsidR="00C1285E" w:rsidRPr="008F6866">
        <w:rPr>
          <w:rFonts w:ascii="Calibri" w:eastAsia="Calibri" w:hAnsi="Calibri" w:cs="Calibri"/>
          <w:color w:val="000000" w:themeColor="text1"/>
        </w:rPr>
        <w:t xml:space="preserve"> </w:t>
      </w:r>
      <w:r w:rsidR="00C1285E" w:rsidRPr="008F6866">
        <w:rPr>
          <w:rFonts w:ascii="Calibri" w:eastAsia="Calibri" w:hAnsi="Calibri" w:cs="Calibri"/>
          <w:color w:val="000000" w:themeColor="text1"/>
        </w:rPr>
        <w:fldChar w:fldCharType="begin"/>
      </w:r>
      <w:r w:rsidR="00C1285E" w:rsidRPr="008F6866">
        <w:rPr>
          <w:rFonts w:ascii="Calibri" w:eastAsia="Calibri" w:hAnsi="Calibri" w:cs="Calibri"/>
          <w:color w:val="000000" w:themeColor="text1"/>
        </w:rPr>
        <w:instrText xml:space="preserve"> REF _Ref195652757 \h  \* MERGEFORMAT </w:instrText>
      </w:r>
      <w:r w:rsidR="00C1285E" w:rsidRPr="008F6866">
        <w:rPr>
          <w:rFonts w:ascii="Calibri" w:eastAsia="Calibri" w:hAnsi="Calibri" w:cs="Calibri"/>
          <w:color w:val="000000" w:themeColor="text1"/>
        </w:rPr>
      </w:r>
      <w:r w:rsidR="00C1285E"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Table IV</w:t>
      </w:r>
      <w:r w:rsidR="00C1285E" w:rsidRPr="008F6866">
        <w:rPr>
          <w:rFonts w:ascii="Calibri" w:eastAsia="Calibri" w:hAnsi="Calibri" w:cs="Calibri"/>
          <w:color w:val="000000" w:themeColor="text1"/>
        </w:rPr>
        <w:fldChar w:fldCharType="end"/>
      </w:r>
      <w:r w:rsidR="003338F7" w:rsidRPr="008F6866">
        <w:rPr>
          <w:rFonts w:ascii="Calibri" w:eastAsia="Calibri" w:hAnsi="Calibri" w:cs="Calibri"/>
          <w:color w:val="000000" w:themeColor="text1"/>
        </w:rPr>
        <w:t xml:space="preserve"> </w:t>
      </w:r>
      <w:r w:rsidRPr="008F6866">
        <w:rPr>
          <w:rFonts w:ascii="Calibri" w:eastAsia="Calibri" w:hAnsi="Calibri" w:cs="Calibri"/>
          <w:color w:val="000000" w:themeColor="text1"/>
        </w:rPr>
        <w:t xml:space="preserve">and a more detailed description together with the corresponding input data files for the HETEROFOR model are available on the </w:t>
      </w:r>
      <w:hyperlink r:id="rId34" w:anchor="case">
        <w:r w:rsidRPr="008F6866">
          <w:rPr>
            <w:rFonts w:ascii="Calibri" w:eastAsia="Calibri" w:hAnsi="Calibri" w:cs="Calibri"/>
            <w:color w:val="0000FF"/>
            <w:u w:val="single"/>
          </w:rPr>
          <w:t>REGE+ website</w:t>
        </w:r>
      </w:hyperlink>
      <w:r w:rsidRPr="008F6866">
        <w:rPr>
          <w:rFonts w:ascii="Calibri" w:eastAsia="Calibri" w:hAnsi="Calibri" w:cs="Calibri"/>
          <w:color w:val="000000" w:themeColor="text1"/>
        </w:rPr>
        <w:t>. Finally, only the broadleaved sites were considered as initial stages for the simulation experiment (see Task 4.2).</w:t>
      </w:r>
    </w:p>
    <w:p w14:paraId="41203292" w14:textId="0E9E0DE2" w:rsidR="00542034" w:rsidRPr="008F6866" w:rsidRDefault="00542034" w:rsidP="00542034">
      <w:pPr>
        <w:pStyle w:val="Lgende"/>
        <w:spacing w:after="60"/>
        <w:jc w:val="center"/>
        <w:rPr>
          <w:b/>
          <w:i w:val="0"/>
          <w:color w:val="000000" w:themeColor="text1"/>
        </w:rPr>
      </w:pPr>
      <w:bookmarkStart w:id="29" w:name="_Ref195614103"/>
      <w:bookmarkStart w:id="30" w:name="_Ref195652757"/>
      <w:r w:rsidRPr="008F6866">
        <w:rPr>
          <w:b/>
          <w:i w:val="0"/>
          <w:color w:val="000000" w:themeColor="text1"/>
        </w:rPr>
        <w:t xml:space="preserve">Table </w:t>
      </w:r>
      <w:bookmarkEnd w:id="29"/>
      <w:r w:rsidR="00EE472B">
        <w:rPr>
          <w:b/>
          <w:i w:val="0"/>
          <w:color w:val="000000" w:themeColor="text1"/>
        </w:rPr>
        <w:fldChar w:fldCharType="begin"/>
      </w:r>
      <w:r w:rsidR="00EE472B">
        <w:rPr>
          <w:b/>
          <w:i w:val="0"/>
          <w:color w:val="000000" w:themeColor="text1"/>
        </w:rPr>
        <w:instrText xml:space="preserve"> SEQ Table \* ROMAN </w:instrText>
      </w:r>
      <w:r w:rsidR="00EE472B">
        <w:rPr>
          <w:b/>
          <w:i w:val="0"/>
          <w:color w:val="000000" w:themeColor="text1"/>
        </w:rPr>
        <w:fldChar w:fldCharType="separate"/>
      </w:r>
      <w:r w:rsidR="00540DBF">
        <w:rPr>
          <w:b/>
          <w:i w:val="0"/>
          <w:noProof/>
          <w:color w:val="000000" w:themeColor="text1"/>
        </w:rPr>
        <w:t>IV</w:t>
      </w:r>
      <w:r w:rsidR="00EE472B">
        <w:rPr>
          <w:b/>
          <w:i w:val="0"/>
          <w:color w:val="000000" w:themeColor="text1"/>
        </w:rPr>
        <w:fldChar w:fldCharType="end"/>
      </w:r>
      <w:bookmarkEnd w:id="30"/>
      <w:r w:rsidRPr="008F6866">
        <w:rPr>
          <w:b/>
          <w:i w:val="0"/>
          <w:color w:val="000000" w:themeColor="text1"/>
        </w:rPr>
        <w:t>. Main characteristics of stands selected as case studies for the REGE+ project</w:t>
      </w:r>
    </w:p>
    <w:tbl>
      <w:tblPr>
        <w:tblW w:w="9781" w:type="dxa"/>
        <w:jc w:val="center"/>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1"/>
        <w:gridCol w:w="993"/>
        <w:gridCol w:w="1674"/>
        <w:gridCol w:w="1444"/>
        <w:gridCol w:w="971"/>
        <w:gridCol w:w="1014"/>
        <w:gridCol w:w="1112"/>
        <w:gridCol w:w="992"/>
      </w:tblGrid>
      <w:tr w:rsidR="00944020" w:rsidRPr="008F6866" w14:paraId="17DF9DD4" w14:textId="77777777" w:rsidTr="00542034">
        <w:trPr>
          <w:jc w:val="center"/>
        </w:trPr>
        <w:tc>
          <w:tcPr>
            <w:tcW w:w="1581" w:type="dxa"/>
            <w:tcBorders>
              <w:top w:val="single" w:sz="12" w:space="0" w:color="000000"/>
              <w:left w:val="nil"/>
              <w:bottom w:val="single" w:sz="12" w:space="0" w:color="000000"/>
              <w:right w:val="nil"/>
            </w:tcBorders>
            <w:tcMar>
              <w:left w:w="28" w:type="dxa"/>
              <w:right w:w="28" w:type="dxa"/>
            </w:tcMar>
            <w:vAlign w:val="center"/>
          </w:tcPr>
          <w:p w14:paraId="6D7F7352" w14:textId="77777777" w:rsidR="00944020" w:rsidRPr="008F6866" w:rsidRDefault="00944020" w:rsidP="00542034">
            <w:pPr>
              <w:spacing w:after="0"/>
              <w:jc w:val="center"/>
              <w:rPr>
                <w:rFonts w:cstheme="minorHAnsi"/>
                <w:b/>
                <w:color w:val="000000"/>
                <w:sz w:val="20"/>
                <w:szCs w:val="20"/>
              </w:rPr>
            </w:pPr>
            <w:r w:rsidRPr="008F6866">
              <w:rPr>
                <w:rFonts w:cstheme="minorHAnsi"/>
                <w:b/>
                <w:color w:val="000000"/>
                <w:sz w:val="20"/>
                <w:szCs w:val="20"/>
              </w:rPr>
              <w:t>Site</w:t>
            </w:r>
          </w:p>
        </w:tc>
        <w:tc>
          <w:tcPr>
            <w:tcW w:w="993" w:type="dxa"/>
            <w:tcBorders>
              <w:top w:val="single" w:sz="12" w:space="0" w:color="000000"/>
              <w:left w:val="nil"/>
              <w:bottom w:val="single" w:sz="12" w:space="0" w:color="000000"/>
              <w:right w:val="nil"/>
            </w:tcBorders>
            <w:tcMar>
              <w:left w:w="28" w:type="dxa"/>
              <w:right w:w="28" w:type="dxa"/>
            </w:tcMar>
            <w:vAlign w:val="center"/>
          </w:tcPr>
          <w:p w14:paraId="4D781017" w14:textId="77777777" w:rsidR="00944020" w:rsidRPr="008F6866" w:rsidRDefault="00944020" w:rsidP="00542034">
            <w:pPr>
              <w:spacing w:after="0"/>
              <w:jc w:val="center"/>
              <w:rPr>
                <w:rFonts w:cstheme="minorHAnsi"/>
                <w:b/>
                <w:color w:val="000000"/>
                <w:sz w:val="20"/>
                <w:szCs w:val="20"/>
              </w:rPr>
            </w:pPr>
            <w:r w:rsidRPr="008F6866">
              <w:rPr>
                <w:rFonts w:cstheme="minorHAnsi"/>
                <w:b/>
                <w:color w:val="000000"/>
                <w:sz w:val="20"/>
                <w:szCs w:val="20"/>
              </w:rPr>
              <w:t>Ecoregion</w:t>
            </w:r>
          </w:p>
        </w:tc>
        <w:tc>
          <w:tcPr>
            <w:tcW w:w="1674" w:type="dxa"/>
            <w:tcBorders>
              <w:top w:val="single" w:sz="12" w:space="0" w:color="000000"/>
              <w:left w:val="nil"/>
              <w:bottom w:val="single" w:sz="12" w:space="0" w:color="000000"/>
              <w:right w:val="nil"/>
            </w:tcBorders>
            <w:tcMar>
              <w:left w:w="28" w:type="dxa"/>
              <w:right w:w="28" w:type="dxa"/>
            </w:tcMar>
            <w:vAlign w:val="center"/>
          </w:tcPr>
          <w:p w14:paraId="120E3393" w14:textId="77777777" w:rsidR="00944020" w:rsidRPr="008F6866" w:rsidRDefault="00944020" w:rsidP="00542034">
            <w:pPr>
              <w:spacing w:after="0"/>
              <w:jc w:val="center"/>
              <w:rPr>
                <w:rFonts w:cstheme="minorHAnsi"/>
                <w:b/>
                <w:color w:val="000000"/>
                <w:sz w:val="20"/>
                <w:szCs w:val="20"/>
              </w:rPr>
            </w:pPr>
            <w:r w:rsidRPr="008F6866">
              <w:rPr>
                <w:rFonts w:cstheme="minorHAnsi"/>
                <w:b/>
                <w:color w:val="000000"/>
                <w:sz w:val="20"/>
                <w:szCs w:val="20"/>
              </w:rPr>
              <w:t>Structure</w:t>
            </w:r>
          </w:p>
        </w:tc>
        <w:tc>
          <w:tcPr>
            <w:tcW w:w="1444" w:type="dxa"/>
            <w:tcBorders>
              <w:top w:val="single" w:sz="12" w:space="0" w:color="000000"/>
              <w:left w:val="nil"/>
              <w:bottom w:val="single" w:sz="12" w:space="0" w:color="000000"/>
              <w:right w:val="nil"/>
            </w:tcBorders>
            <w:tcMar>
              <w:left w:w="28" w:type="dxa"/>
              <w:right w:w="28" w:type="dxa"/>
            </w:tcMar>
            <w:vAlign w:val="center"/>
          </w:tcPr>
          <w:p w14:paraId="45DD537C" w14:textId="77777777" w:rsidR="00944020" w:rsidRPr="008F6866" w:rsidRDefault="00944020" w:rsidP="00542034">
            <w:pPr>
              <w:spacing w:after="0"/>
              <w:jc w:val="center"/>
              <w:rPr>
                <w:rFonts w:cstheme="minorHAnsi"/>
                <w:b/>
                <w:color w:val="000000"/>
                <w:sz w:val="20"/>
                <w:szCs w:val="20"/>
              </w:rPr>
            </w:pPr>
            <w:r w:rsidRPr="008F6866">
              <w:rPr>
                <w:rFonts w:cstheme="minorHAnsi"/>
                <w:b/>
                <w:color w:val="000000"/>
                <w:sz w:val="20"/>
                <w:szCs w:val="20"/>
              </w:rPr>
              <w:t>Species</w:t>
            </w:r>
          </w:p>
        </w:tc>
        <w:tc>
          <w:tcPr>
            <w:tcW w:w="971" w:type="dxa"/>
            <w:tcBorders>
              <w:top w:val="single" w:sz="12" w:space="0" w:color="000000"/>
              <w:left w:val="nil"/>
              <w:bottom w:val="single" w:sz="12" w:space="0" w:color="000000"/>
              <w:right w:val="nil"/>
            </w:tcBorders>
            <w:tcMar>
              <w:left w:w="28" w:type="dxa"/>
              <w:right w:w="28" w:type="dxa"/>
            </w:tcMar>
            <w:vAlign w:val="center"/>
          </w:tcPr>
          <w:p w14:paraId="56D8A804" w14:textId="77777777" w:rsidR="00944020" w:rsidRPr="008F6866" w:rsidRDefault="00944020" w:rsidP="00542034">
            <w:pPr>
              <w:spacing w:after="0"/>
              <w:jc w:val="center"/>
              <w:rPr>
                <w:rFonts w:cstheme="minorHAnsi"/>
                <w:b/>
                <w:color w:val="000000"/>
                <w:sz w:val="20"/>
                <w:szCs w:val="20"/>
              </w:rPr>
            </w:pPr>
            <w:r w:rsidRPr="008F6866">
              <w:rPr>
                <w:rFonts w:cstheme="minorHAnsi"/>
                <w:b/>
                <w:color w:val="000000"/>
                <w:sz w:val="20"/>
                <w:szCs w:val="20"/>
              </w:rPr>
              <w:t>Density</w:t>
            </w:r>
          </w:p>
          <w:p w14:paraId="50B297D7" w14:textId="77777777" w:rsidR="00944020" w:rsidRPr="008F6866" w:rsidRDefault="00944020" w:rsidP="00542034">
            <w:pPr>
              <w:spacing w:after="0"/>
              <w:jc w:val="center"/>
              <w:rPr>
                <w:rFonts w:cstheme="minorHAnsi"/>
                <w:b/>
                <w:color w:val="000000"/>
                <w:sz w:val="20"/>
                <w:szCs w:val="20"/>
              </w:rPr>
            </w:pPr>
            <w:r w:rsidRPr="008F6866">
              <w:rPr>
                <w:rFonts w:cstheme="minorHAnsi"/>
                <w:b/>
                <w:color w:val="000000"/>
                <w:sz w:val="20"/>
                <w:szCs w:val="20"/>
              </w:rPr>
              <w:t>(trees/ha)</w:t>
            </w:r>
          </w:p>
        </w:tc>
        <w:tc>
          <w:tcPr>
            <w:tcW w:w="1014" w:type="dxa"/>
            <w:tcBorders>
              <w:top w:val="single" w:sz="12" w:space="0" w:color="000000"/>
              <w:left w:val="nil"/>
              <w:bottom w:val="single" w:sz="12" w:space="0" w:color="000000"/>
              <w:right w:val="nil"/>
            </w:tcBorders>
            <w:tcMar>
              <w:left w:w="28" w:type="dxa"/>
              <w:right w:w="28" w:type="dxa"/>
            </w:tcMar>
            <w:vAlign w:val="center"/>
          </w:tcPr>
          <w:p w14:paraId="6E77ECA4" w14:textId="77777777" w:rsidR="00944020" w:rsidRPr="008F6866" w:rsidRDefault="00944020" w:rsidP="00542034">
            <w:pPr>
              <w:spacing w:after="0"/>
              <w:jc w:val="center"/>
              <w:rPr>
                <w:rFonts w:cstheme="minorHAnsi"/>
                <w:b/>
                <w:color w:val="000000"/>
                <w:sz w:val="20"/>
                <w:szCs w:val="20"/>
              </w:rPr>
            </w:pPr>
            <w:r w:rsidRPr="008F6866">
              <w:rPr>
                <w:rFonts w:cstheme="minorHAnsi"/>
                <w:b/>
                <w:color w:val="000000"/>
                <w:sz w:val="20"/>
                <w:szCs w:val="20"/>
              </w:rPr>
              <w:t>Basal area</w:t>
            </w:r>
          </w:p>
          <w:p w14:paraId="09BE521B" w14:textId="77777777" w:rsidR="00944020" w:rsidRPr="008F6866" w:rsidRDefault="00944020" w:rsidP="00542034">
            <w:pPr>
              <w:spacing w:after="0"/>
              <w:jc w:val="center"/>
              <w:rPr>
                <w:rFonts w:cstheme="minorHAnsi"/>
                <w:b/>
                <w:color w:val="000000"/>
                <w:sz w:val="20"/>
                <w:szCs w:val="20"/>
              </w:rPr>
            </w:pPr>
            <w:r w:rsidRPr="008F6866">
              <w:rPr>
                <w:rFonts w:cstheme="minorHAnsi"/>
                <w:b/>
                <w:color w:val="000000"/>
                <w:sz w:val="20"/>
                <w:szCs w:val="20"/>
              </w:rPr>
              <w:t>(m²/ha)</w:t>
            </w:r>
          </w:p>
        </w:tc>
        <w:tc>
          <w:tcPr>
            <w:tcW w:w="1112" w:type="dxa"/>
            <w:tcBorders>
              <w:top w:val="single" w:sz="12" w:space="0" w:color="000000"/>
              <w:left w:val="nil"/>
              <w:bottom w:val="single" w:sz="12" w:space="0" w:color="000000"/>
              <w:right w:val="nil"/>
            </w:tcBorders>
            <w:tcMar>
              <w:left w:w="28" w:type="dxa"/>
              <w:right w:w="28" w:type="dxa"/>
            </w:tcMar>
            <w:vAlign w:val="center"/>
          </w:tcPr>
          <w:p w14:paraId="65609978" w14:textId="77777777" w:rsidR="00944020" w:rsidRPr="008F6866" w:rsidRDefault="00944020" w:rsidP="00542034">
            <w:pPr>
              <w:spacing w:after="0"/>
              <w:jc w:val="center"/>
              <w:rPr>
                <w:rFonts w:cstheme="minorHAnsi"/>
                <w:b/>
                <w:color w:val="000000"/>
                <w:sz w:val="20"/>
                <w:szCs w:val="20"/>
              </w:rPr>
            </w:pPr>
            <w:r w:rsidRPr="008F6866">
              <w:rPr>
                <w:rFonts w:cstheme="minorHAnsi"/>
                <w:b/>
                <w:color w:val="000000"/>
                <w:sz w:val="20"/>
                <w:szCs w:val="20"/>
              </w:rPr>
              <w:t>Mean girth</w:t>
            </w:r>
          </w:p>
          <w:p w14:paraId="45EC6B42" w14:textId="77777777" w:rsidR="00944020" w:rsidRPr="008F6866" w:rsidRDefault="00944020" w:rsidP="00542034">
            <w:pPr>
              <w:spacing w:after="0"/>
              <w:jc w:val="center"/>
              <w:rPr>
                <w:rFonts w:cstheme="minorHAnsi"/>
                <w:b/>
                <w:color w:val="000000"/>
                <w:sz w:val="20"/>
                <w:szCs w:val="20"/>
              </w:rPr>
            </w:pPr>
            <w:r w:rsidRPr="008F6866">
              <w:rPr>
                <w:rFonts w:cstheme="minorHAnsi"/>
                <w:b/>
                <w:color w:val="000000"/>
                <w:sz w:val="20"/>
                <w:szCs w:val="20"/>
              </w:rPr>
              <w:t>(cm)</w:t>
            </w:r>
          </w:p>
        </w:tc>
        <w:tc>
          <w:tcPr>
            <w:tcW w:w="992" w:type="dxa"/>
            <w:tcBorders>
              <w:top w:val="single" w:sz="12" w:space="0" w:color="000000"/>
              <w:left w:val="nil"/>
              <w:bottom w:val="single" w:sz="12" w:space="0" w:color="000000"/>
              <w:right w:val="nil"/>
            </w:tcBorders>
            <w:tcMar>
              <w:left w:w="28" w:type="dxa"/>
              <w:right w:w="28" w:type="dxa"/>
            </w:tcMar>
            <w:vAlign w:val="center"/>
          </w:tcPr>
          <w:p w14:paraId="19DB9493" w14:textId="77777777" w:rsidR="00944020" w:rsidRPr="008F6866" w:rsidRDefault="00944020" w:rsidP="00542034">
            <w:pPr>
              <w:spacing w:after="0"/>
              <w:jc w:val="center"/>
              <w:rPr>
                <w:rFonts w:cstheme="minorHAnsi"/>
                <w:b/>
                <w:color w:val="000000"/>
                <w:sz w:val="20"/>
                <w:szCs w:val="20"/>
              </w:rPr>
            </w:pPr>
            <w:r w:rsidRPr="008F6866">
              <w:rPr>
                <w:rFonts w:cstheme="minorHAnsi"/>
                <w:b/>
                <w:color w:val="000000"/>
                <w:sz w:val="20"/>
                <w:szCs w:val="20"/>
              </w:rPr>
              <w:t>Dominant height (m)</w:t>
            </w:r>
          </w:p>
        </w:tc>
      </w:tr>
      <w:tr w:rsidR="00944020" w:rsidRPr="008F6866" w14:paraId="02FBBAD7" w14:textId="77777777" w:rsidTr="00542034">
        <w:trPr>
          <w:jc w:val="center"/>
        </w:trPr>
        <w:tc>
          <w:tcPr>
            <w:tcW w:w="1581" w:type="dxa"/>
            <w:tcBorders>
              <w:top w:val="single" w:sz="12" w:space="0" w:color="000000"/>
              <w:left w:val="nil"/>
              <w:bottom w:val="nil"/>
              <w:right w:val="nil"/>
            </w:tcBorders>
            <w:tcMar>
              <w:left w:w="28" w:type="dxa"/>
              <w:right w:w="28" w:type="dxa"/>
            </w:tcMar>
            <w:vAlign w:val="center"/>
          </w:tcPr>
          <w:p w14:paraId="78B679FF" w14:textId="77777777" w:rsidR="00944020" w:rsidRPr="008F6866" w:rsidRDefault="00944020" w:rsidP="00542034">
            <w:pPr>
              <w:spacing w:after="0"/>
              <w:rPr>
                <w:rFonts w:cstheme="minorHAnsi"/>
                <w:color w:val="000000"/>
                <w:sz w:val="20"/>
                <w:szCs w:val="20"/>
              </w:rPr>
            </w:pPr>
            <w:r w:rsidRPr="008F6866">
              <w:rPr>
                <w:rFonts w:cstheme="minorHAnsi"/>
                <w:color w:val="000000"/>
                <w:sz w:val="20"/>
                <w:szCs w:val="20"/>
              </w:rPr>
              <w:t>Chimay</w:t>
            </w:r>
          </w:p>
        </w:tc>
        <w:tc>
          <w:tcPr>
            <w:tcW w:w="993" w:type="dxa"/>
            <w:tcBorders>
              <w:top w:val="single" w:sz="12" w:space="0" w:color="000000"/>
              <w:left w:val="nil"/>
              <w:bottom w:val="nil"/>
              <w:right w:val="nil"/>
            </w:tcBorders>
            <w:tcMar>
              <w:left w:w="28" w:type="dxa"/>
              <w:right w:w="28" w:type="dxa"/>
            </w:tcMar>
            <w:vAlign w:val="center"/>
          </w:tcPr>
          <w:p w14:paraId="0B731D62"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Fagne</w:t>
            </w:r>
          </w:p>
        </w:tc>
        <w:tc>
          <w:tcPr>
            <w:tcW w:w="1674" w:type="dxa"/>
            <w:tcBorders>
              <w:top w:val="single" w:sz="12" w:space="0" w:color="000000"/>
              <w:left w:val="nil"/>
              <w:bottom w:val="nil"/>
              <w:right w:val="nil"/>
            </w:tcBorders>
            <w:tcMar>
              <w:left w:w="28" w:type="dxa"/>
              <w:right w:w="28" w:type="dxa"/>
            </w:tcMar>
            <w:vAlign w:val="center"/>
          </w:tcPr>
          <w:p w14:paraId="5A3AE1E3"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Even-aged</w:t>
            </w:r>
          </w:p>
        </w:tc>
        <w:tc>
          <w:tcPr>
            <w:tcW w:w="1444" w:type="dxa"/>
            <w:tcBorders>
              <w:top w:val="single" w:sz="12" w:space="0" w:color="000000"/>
              <w:left w:val="nil"/>
              <w:bottom w:val="nil"/>
              <w:right w:val="nil"/>
            </w:tcBorders>
            <w:tcMar>
              <w:left w:w="28" w:type="dxa"/>
              <w:right w:w="28" w:type="dxa"/>
            </w:tcMar>
            <w:vAlign w:val="center"/>
          </w:tcPr>
          <w:p w14:paraId="1FF89E87" w14:textId="77777777" w:rsidR="00944020" w:rsidRPr="008F6866" w:rsidRDefault="00944020" w:rsidP="00542034">
            <w:pPr>
              <w:spacing w:after="0"/>
              <w:jc w:val="center"/>
              <w:rPr>
                <w:rFonts w:cstheme="minorHAnsi"/>
                <w:i/>
                <w:color w:val="000000"/>
                <w:sz w:val="20"/>
                <w:szCs w:val="20"/>
              </w:rPr>
            </w:pPr>
            <w:r w:rsidRPr="008F6866">
              <w:rPr>
                <w:rFonts w:cstheme="minorHAnsi"/>
                <w:i/>
                <w:color w:val="000000"/>
                <w:sz w:val="20"/>
                <w:szCs w:val="20"/>
              </w:rPr>
              <w:t>Quercus petraea</w:t>
            </w:r>
          </w:p>
          <w:p w14:paraId="1FE66B73" w14:textId="77777777" w:rsidR="00944020" w:rsidRPr="008F6866" w:rsidRDefault="00944020" w:rsidP="00542034">
            <w:pPr>
              <w:spacing w:after="0"/>
              <w:jc w:val="center"/>
              <w:rPr>
                <w:rFonts w:cstheme="minorHAnsi"/>
                <w:i/>
                <w:color w:val="000000"/>
                <w:sz w:val="20"/>
                <w:szCs w:val="20"/>
              </w:rPr>
            </w:pPr>
            <w:r w:rsidRPr="008F6866">
              <w:rPr>
                <w:rFonts w:cstheme="minorHAnsi"/>
                <w:i/>
                <w:color w:val="000000"/>
                <w:sz w:val="20"/>
                <w:szCs w:val="20"/>
              </w:rPr>
              <w:t>Carpinus betulus</w:t>
            </w:r>
          </w:p>
        </w:tc>
        <w:tc>
          <w:tcPr>
            <w:tcW w:w="971" w:type="dxa"/>
            <w:tcBorders>
              <w:top w:val="single" w:sz="12" w:space="0" w:color="000000"/>
              <w:left w:val="nil"/>
              <w:bottom w:val="nil"/>
              <w:right w:val="nil"/>
            </w:tcBorders>
            <w:tcMar>
              <w:left w:w="28" w:type="dxa"/>
              <w:right w:w="28" w:type="dxa"/>
            </w:tcMar>
            <w:vAlign w:val="center"/>
          </w:tcPr>
          <w:p w14:paraId="65B4DC6A"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65</w:t>
            </w:r>
          </w:p>
          <w:p w14:paraId="6678ACD7"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583</w:t>
            </w:r>
          </w:p>
        </w:tc>
        <w:tc>
          <w:tcPr>
            <w:tcW w:w="1014" w:type="dxa"/>
            <w:tcBorders>
              <w:top w:val="single" w:sz="12" w:space="0" w:color="000000"/>
              <w:left w:val="nil"/>
              <w:bottom w:val="nil"/>
              <w:right w:val="nil"/>
            </w:tcBorders>
            <w:tcMar>
              <w:left w:w="28" w:type="dxa"/>
              <w:right w:w="28" w:type="dxa"/>
            </w:tcMar>
            <w:vAlign w:val="center"/>
          </w:tcPr>
          <w:p w14:paraId="3E8BA83F"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16</w:t>
            </w:r>
          </w:p>
          <w:p w14:paraId="0EC24132"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8</w:t>
            </w:r>
          </w:p>
        </w:tc>
        <w:tc>
          <w:tcPr>
            <w:tcW w:w="1112" w:type="dxa"/>
            <w:tcBorders>
              <w:top w:val="single" w:sz="12" w:space="0" w:color="000000"/>
              <w:left w:val="nil"/>
              <w:bottom w:val="nil"/>
              <w:right w:val="nil"/>
            </w:tcBorders>
            <w:tcMar>
              <w:left w:w="28" w:type="dxa"/>
              <w:right w:w="28" w:type="dxa"/>
            </w:tcMar>
            <w:vAlign w:val="center"/>
          </w:tcPr>
          <w:p w14:paraId="4D4BD981"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177</w:t>
            </w:r>
          </w:p>
          <w:p w14:paraId="71E4087F"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41</w:t>
            </w:r>
          </w:p>
        </w:tc>
        <w:tc>
          <w:tcPr>
            <w:tcW w:w="992" w:type="dxa"/>
            <w:tcBorders>
              <w:top w:val="single" w:sz="12" w:space="0" w:color="000000"/>
              <w:left w:val="nil"/>
              <w:bottom w:val="nil"/>
              <w:right w:val="nil"/>
            </w:tcBorders>
            <w:tcMar>
              <w:left w:w="28" w:type="dxa"/>
              <w:right w:w="28" w:type="dxa"/>
            </w:tcMar>
            <w:vAlign w:val="center"/>
          </w:tcPr>
          <w:p w14:paraId="5426D9C9"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21.3</w:t>
            </w:r>
          </w:p>
          <w:p w14:paraId="717DD25A"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17.4</w:t>
            </w:r>
          </w:p>
        </w:tc>
      </w:tr>
      <w:tr w:rsidR="00944020" w:rsidRPr="008F6866" w14:paraId="5C413BB4" w14:textId="77777777" w:rsidTr="00542034">
        <w:trPr>
          <w:jc w:val="center"/>
        </w:trPr>
        <w:tc>
          <w:tcPr>
            <w:tcW w:w="1581" w:type="dxa"/>
            <w:tcBorders>
              <w:top w:val="nil"/>
              <w:left w:val="nil"/>
              <w:bottom w:val="nil"/>
              <w:right w:val="nil"/>
            </w:tcBorders>
            <w:shd w:val="clear" w:color="auto" w:fill="D9D9D9"/>
            <w:tcMar>
              <w:left w:w="28" w:type="dxa"/>
              <w:right w:w="28" w:type="dxa"/>
            </w:tcMar>
            <w:vAlign w:val="center"/>
          </w:tcPr>
          <w:p w14:paraId="0E3B6C34" w14:textId="77777777" w:rsidR="00944020" w:rsidRPr="008F6866" w:rsidRDefault="00944020" w:rsidP="00542034">
            <w:pPr>
              <w:spacing w:after="0"/>
              <w:rPr>
                <w:rFonts w:cstheme="minorHAnsi"/>
                <w:color w:val="000000"/>
                <w:sz w:val="20"/>
                <w:szCs w:val="20"/>
              </w:rPr>
            </w:pPr>
            <w:r w:rsidRPr="008F6866">
              <w:rPr>
                <w:rFonts w:cstheme="minorHAnsi"/>
                <w:color w:val="000000"/>
                <w:sz w:val="20"/>
                <w:szCs w:val="20"/>
              </w:rPr>
              <w:t>Stoumont C111</w:t>
            </w:r>
          </w:p>
        </w:tc>
        <w:tc>
          <w:tcPr>
            <w:tcW w:w="993" w:type="dxa"/>
            <w:tcBorders>
              <w:top w:val="nil"/>
              <w:left w:val="nil"/>
              <w:bottom w:val="nil"/>
              <w:right w:val="nil"/>
            </w:tcBorders>
            <w:shd w:val="clear" w:color="auto" w:fill="D9D9D9"/>
            <w:tcMar>
              <w:left w:w="28" w:type="dxa"/>
              <w:right w:w="28" w:type="dxa"/>
            </w:tcMar>
            <w:vAlign w:val="center"/>
          </w:tcPr>
          <w:p w14:paraId="18B2ACCF"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Eastern Ardenne</w:t>
            </w:r>
          </w:p>
        </w:tc>
        <w:tc>
          <w:tcPr>
            <w:tcW w:w="1674" w:type="dxa"/>
            <w:tcBorders>
              <w:top w:val="nil"/>
              <w:left w:val="nil"/>
              <w:bottom w:val="nil"/>
              <w:right w:val="nil"/>
            </w:tcBorders>
            <w:shd w:val="clear" w:color="auto" w:fill="D9D9D9"/>
            <w:tcMar>
              <w:left w:w="28" w:type="dxa"/>
              <w:right w:w="28" w:type="dxa"/>
            </w:tcMar>
            <w:vAlign w:val="center"/>
          </w:tcPr>
          <w:p w14:paraId="199C483C"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Even-aged in conversion to uneven-aged with oak and beech regeneration</w:t>
            </w:r>
          </w:p>
        </w:tc>
        <w:tc>
          <w:tcPr>
            <w:tcW w:w="1444" w:type="dxa"/>
            <w:tcBorders>
              <w:top w:val="nil"/>
              <w:left w:val="nil"/>
              <w:bottom w:val="nil"/>
              <w:right w:val="nil"/>
            </w:tcBorders>
            <w:shd w:val="clear" w:color="auto" w:fill="D9D9D9"/>
            <w:tcMar>
              <w:left w:w="28" w:type="dxa"/>
              <w:right w:w="28" w:type="dxa"/>
            </w:tcMar>
            <w:vAlign w:val="center"/>
          </w:tcPr>
          <w:p w14:paraId="1B8BE0C5" w14:textId="77777777" w:rsidR="00944020" w:rsidRPr="008F6866" w:rsidRDefault="00944020" w:rsidP="00542034">
            <w:pPr>
              <w:spacing w:after="0"/>
              <w:jc w:val="center"/>
              <w:rPr>
                <w:rFonts w:cstheme="minorHAnsi"/>
                <w:i/>
                <w:color w:val="000000"/>
                <w:sz w:val="20"/>
                <w:szCs w:val="20"/>
              </w:rPr>
            </w:pPr>
            <w:r w:rsidRPr="008F6866">
              <w:rPr>
                <w:rFonts w:cstheme="minorHAnsi"/>
                <w:i/>
                <w:color w:val="000000"/>
                <w:sz w:val="20"/>
                <w:szCs w:val="20"/>
              </w:rPr>
              <w:t>Quercus petraea</w:t>
            </w:r>
          </w:p>
          <w:p w14:paraId="603A972B" w14:textId="77777777" w:rsidR="00944020" w:rsidRPr="008F6866" w:rsidRDefault="00944020" w:rsidP="00542034">
            <w:pPr>
              <w:spacing w:after="0"/>
              <w:jc w:val="center"/>
              <w:rPr>
                <w:rFonts w:cstheme="minorHAnsi"/>
                <w:i/>
                <w:color w:val="000000"/>
                <w:sz w:val="20"/>
                <w:szCs w:val="20"/>
              </w:rPr>
            </w:pPr>
            <w:r w:rsidRPr="008F6866">
              <w:rPr>
                <w:rFonts w:cstheme="minorHAnsi"/>
                <w:i/>
                <w:color w:val="000000"/>
                <w:sz w:val="20"/>
                <w:szCs w:val="20"/>
              </w:rPr>
              <w:t>Fagus sylvatica</w:t>
            </w:r>
          </w:p>
          <w:p w14:paraId="42C62FE7" w14:textId="77777777" w:rsidR="00944020" w:rsidRPr="008F6866" w:rsidRDefault="00944020" w:rsidP="00542034">
            <w:pPr>
              <w:spacing w:after="0"/>
              <w:jc w:val="center"/>
              <w:rPr>
                <w:rFonts w:cstheme="minorHAnsi"/>
                <w:i/>
                <w:color w:val="000000"/>
                <w:sz w:val="20"/>
                <w:szCs w:val="20"/>
              </w:rPr>
            </w:pPr>
            <w:r w:rsidRPr="008F6866">
              <w:rPr>
                <w:rFonts w:cstheme="minorHAnsi"/>
                <w:i/>
                <w:color w:val="000000"/>
                <w:sz w:val="20"/>
                <w:szCs w:val="20"/>
              </w:rPr>
              <w:t>Betula pendula</w:t>
            </w:r>
          </w:p>
        </w:tc>
        <w:tc>
          <w:tcPr>
            <w:tcW w:w="971" w:type="dxa"/>
            <w:tcBorders>
              <w:top w:val="nil"/>
              <w:left w:val="nil"/>
              <w:bottom w:val="nil"/>
              <w:right w:val="nil"/>
            </w:tcBorders>
            <w:shd w:val="clear" w:color="auto" w:fill="D9D9D9"/>
            <w:tcMar>
              <w:left w:w="28" w:type="dxa"/>
              <w:right w:w="28" w:type="dxa"/>
            </w:tcMar>
            <w:vAlign w:val="center"/>
          </w:tcPr>
          <w:p w14:paraId="48287E3E"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194</w:t>
            </w:r>
          </w:p>
          <w:p w14:paraId="547FFBBF"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57</w:t>
            </w:r>
          </w:p>
          <w:p w14:paraId="4CE9A574"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51</w:t>
            </w:r>
          </w:p>
        </w:tc>
        <w:tc>
          <w:tcPr>
            <w:tcW w:w="1014" w:type="dxa"/>
            <w:tcBorders>
              <w:top w:val="nil"/>
              <w:left w:val="nil"/>
              <w:bottom w:val="nil"/>
              <w:right w:val="nil"/>
            </w:tcBorders>
            <w:shd w:val="clear" w:color="auto" w:fill="D9D9D9"/>
            <w:tcMar>
              <w:left w:w="28" w:type="dxa"/>
              <w:right w:w="28" w:type="dxa"/>
            </w:tcMar>
            <w:vAlign w:val="center"/>
          </w:tcPr>
          <w:p w14:paraId="3A7D2F87"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21.9</w:t>
            </w:r>
          </w:p>
          <w:p w14:paraId="6F952675"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3.6</w:t>
            </w:r>
          </w:p>
          <w:p w14:paraId="47F13D3B"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1.9</w:t>
            </w:r>
          </w:p>
        </w:tc>
        <w:tc>
          <w:tcPr>
            <w:tcW w:w="1112" w:type="dxa"/>
            <w:tcBorders>
              <w:top w:val="nil"/>
              <w:left w:val="nil"/>
              <w:bottom w:val="nil"/>
              <w:right w:val="nil"/>
            </w:tcBorders>
            <w:shd w:val="clear" w:color="auto" w:fill="D9D9D9"/>
            <w:tcMar>
              <w:left w:w="28" w:type="dxa"/>
              <w:right w:w="28" w:type="dxa"/>
            </w:tcMar>
            <w:vAlign w:val="center"/>
          </w:tcPr>
          <w:p w14:paraId="0CC6DB7A"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119</w:t>
            </w:r>
          </w:p>
          <w:p w14:paraId="43DE7F08"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89</w:t>
            </w:r>
          </w:p>
          <w:p w14:paraId="49BC3A16"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69</w:t>
            </w:r>
          </w:p>
        </w:tc>
        <w:tc>
          <w:tcPr>
            <w:tcW w:w="992" w:type="dxa"/>
            <w:tcBorders>
              <w:top w:val="nil"/>
              <w:left w:val="nil"/>
              <w:bottom w:val="nil"/>
              <w:right w:val="nil"/>
            </w:tcBorders>
            <w:shd w:val="clear" w:color="auto" w:fill="D9D9D9"/>
            <w:tcMar>
              <w:left w:w="28" w:type="dxa"/>
              <w:right w:w="28" w:type="dxa"/>
            </w:tcMar>
            <w:vAlign w:val="center"/>
          </w:tcPr>
          <w:p w14:paraId="550D3236"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21.3</w:t>
            </w:r>
          </w:p>
          <w:p w14:paraId="764C21BF"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15.7</w:t>
            </w:r>
          </w:p>
          <w:p w14:paraId="61B79E50"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15.4</w:t>
            </w:r>
          </w:p>
        </w:tc>
      </w:tr>
      <w:tr w:rsidR="00944020" w:rsidRPr="008F6866" w14:paraId="5CAFD531" w14:textId="77777777" w:rsidTr="00542034">
        <w:trPr>
          <w:jc w:val="center"/>
        </w:trPr>
        <w:tc>
          <w:tcPr>
            <w:tcW w:w="1581" w:type="dxa"/>
            <w:tcBorders>
              <w:top w:val="nil"/>
              <w:left w:val="nil"/>
              <w:bottom w:val="nil"/>
              <w:right w:val="nil"/>
            </w:tcBorders>
            <w:shd w:val="clear" w:color="auto" w:fill="FFFFFF"/>
            <w:tcMar>
              <w:left w:w="28" w:type="dxa"/>
              <w:right w:w="28" w:type="dxa"/>
            </w:tcMar>
            <w:vAlign w:val="center"/>
          </w:tcPr>
          <w:p w14:paraId="4D9C3DA9" w14:textId="77777777" w:rsidR="00944020" w:rsidRPr="008F6866" w:rsidRDefault="00944020" w:rsidP="00542034">
            <w:pPr>
              <w:spacing w:after="0"/>
              <w:rPr>
                <w:rFonts w:cstheme="minorHAnsi"/>
                <w:color w:val="000000"/>
                <w:sz w:val="20"/>
                <w:szCs w:val="20"/>
              </w:rPr>
            </w:pPr>
            <w:r w:rsidRPr="008F6866">
              <w:rPr>
                <w:rFonts w:cstheme="minorHAnsi"/>
                <w:color w:val="000000"/>
                <w:sz w:val="20"/>
                <w:szCs w:val="20"/>
              </w:rPr>
              <w:t>Stoumont C114</w:t>
            </w:r>
          </w:p>
        </w:tc>
        <w:tc>
          <w:tcPr>
            <w:tcW w:w="993" w:type="dxa"/>
            <w:tcBorders>
              <w:top w:val="nil"/>
              <w:left w:val="nil"/>
              <w:bottom w:val="nil"/>
              <w:right w:val="nil"/>
            </w:tcBorders>
            <w:shd w:val="clear" w:color="auto" w:fill="FFFFFF"/>
            <w:tcMar>
              <w:left w:w="28" w:type="dxa"/>
              <w:right w:w="28" w:type="dxa"/>
            </w:tcMar>
            <w:vAlign w:val="center"/>
          </w:tcPr>
          <w:p w14:paraId="7DF64AFE"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Eastern Ardenne</w:t>
            </w:r>
          </w:p>
        </w:tc>
        <w:tc>
          <w:tcPr>
            <w:tcW w:w="1674" w:type="dxa"/>
            <w:tcBorders>
              <w:top w:val="nil"/>
              <w:left w:val="nil"/>
              <w:bottom w:val="nil"/>
              <w:right w:val="nil"/>
            </w:tcBorders>
            <w:shd w:val="clear" w:color="auto" w:fill="FFFFFF"/>
            <w:tcMar>
              <w:left w:w="28" w:type="dxa"/>
              <w:right w:w="28" w:type="dxa"/>
            </w:tcMar>
            <w:vAlign w:val="center"/>
          </w:tcPr>
          <w:p w14:paraId="6CA7E0DD"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Even-aged with beech regeneration</w:t>
            </w:r>
          </w:p>
        </w:tc>
        <w:tc>
          <w:tcPr>
            <w:tcW w:w="1444" w:type="dxa"/>
            <w:tcBorders>
              <w:top w:val="nil"/>
              <w:left w:val="nil"/>
              <w:bottom w:val="nil"/>
              <w:right w:val="nil"/>
            </w:tcBorders>
            <w:shd w:val="clear" w:color="auto" w:fill="FFFFFF"/>
            <w:tcMar>
              <w:left w:w="28" w:type="dxa"/>
              <w:right w:w="28" w:type="dxa"/>
            </w:tcMar>
            <w:vAlign w:val="center"/>
          </w:tcPr>
          <w:p w14:paraId="7F6A8261" w14:textId="77777777" w:rsidR="00944020" w:rsidRPr="008F6866" w:rsidRDefault="00944020" w:rsidP="00542034">
            <w:pPr>
              <w:spacing w:after="0"/>
              <w:jc w:val="center"/>
              <w:rPr>
                <w:rFonts w:cstheme="minorHAnsi"/>
                <w:color w:val="000000"/>
                <w:sz w:val="20"/>
                <w:szCs w:val="20"/>
              </w:rPr>
            </w:pPr>
            <w:r w:rsidRPr="008F6866">
              <w:rPr>
                <w:rFonts w:cstheme="minorHAnsi"/>
                <w:i/>
                <w:color w:val="000000"/>
                <w:sz w:val="20"/>
                <w:szCs w:val="20"/>
              </w:rPr>
              <w:t xml:space="preserve">Fagus sylvatica Quercus petraea </w:t>
            </w:r>
          </w:p>
        </w:tc>
        <w:tc>
          <w:tcPr>
            <w:tcW w:w="971" w:type="dxa"/>
            <w:tcBorders>
              <w:top w:val="nil"/>
              <w:left w:val="nil"/>
              <w:bottom w:val="nil"/>
              <w:right w:val="nil"/>
            </w:tcBorders>
            <w:shd w:val="clear" w:color="auto" w:fill="FFFFFF"/>
            <w:tcMar>
              <w:left w:w="28" w:type="dxa"/>
              <w:right w:w="28" w:type="dxa"/>
            </w:tcMar>
            <w:vAlign w:val="center"/>
          </w:tcPr>
          <w:p w14:paraId="3418CC6F"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118</w:t>
            </w:r>
          </w:p>
          <w:p w14:paraId="36678848"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31</w:t>
            </w:r>
          </w:p>
        </w:tc>
        <w:tc>
          <w:tcPr>
            <w:tcW w:w="1014" w:type="dxa"/>
            <w:tcBorders>
              <w:top w:val="nil"/>
              <w:left w:val="nil"/>
              <w:bottom w:val="nil"/>
              <w:right w:val="nil"/>
            </w:tcBorders>
            <w:shd w:val="clear" w:color="auto" w:fill="FFFFFF"/>
            <w:tcMar>
              <w:left w:w="28" w:type="dxa"/>
              <w:right w:w="28" w:type="dxa"/>
            </w:tcMar>
            <w:vAlign w:val="center"/>
          </w:tcPr>
          <w:p w14:paraId="3CE3F059"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16.7</w:t>
            </w:r>
          </w:p>
          <w:p w14:paraId="0F885708"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6.2</w:t>
            </w:r>
          </w:p>
        </w:tc>
        <w:tc>
          <w:tcPr>
            <w:tcW w:w="1112" w:type="dxa"/>
            <w:tcBorders>
              <w:top w:val="nil"/>
              <w:left w:val="nil"/>
              <w:bottom w:val="nil"/>
              <w:right w:val="nil"/>
            </w:tcBorders>
            <w:shd w:val="clear" w:color="auto" w:fill="FFFFFF"/>
            <w:tcMar>
              <w:left w:w="28" w:type="dxa"/>
              <w:right w:w="28" w:type="dxa"/>
            </w:tcMar>
            <w:vAlign w:val="center"/>
          </w:tcPr>
          <w:p w14:paraId="7C7F996E"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133</w:t>
            </w:r>
          </w:p>
          <w:p w14:paraId="462E14C2"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158</w:t>
            </w:r>
          </w:p>
        </w:tc>
        <w:tc>
          <w:tcPr>
            <w:tcW w:w="992" w:type="dxa"/>
            <w:tcBorders>
              <w:top w:val="nil"/>
              <w:left w:val="nil"/>
              <w:bottom w:val="nil"/>
              <w:right w:val="nil"/>
            </w:tcBorders>
            <w:shd w:val="clear" w:color="auto" w:fill="FFFFFF"/>
            <w:tcMar>
              <w:left w:w="28" w:type="dxa"/>
              <w:right w:w="28" w:type="dxa"/>
            </w:tcMar>
            <w:vAlign w:val="center"/>
          </w:tcPr>
          <w:p w14:paraId="70DF43CB"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23</w:t>
            </w:r>
          </w:p>
          <w:p w14:paraId="4038C379"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26</w:t>
            </w:r>
          </w:p>
        </w:tc>
      </w:tr>
      <w:tr w:rsidR="00944020" w:rsidRPr="008F6866" w14:paraId="40529149" w14:textId="77777777" w:rsidTr="00542034">
        <w:trPr>
          <w:jc w:val="center"/>
        </w:trPr>
        <w:tc>
          <w:tcPr>
            <w:tcW w:w="1581" w:type="dxa"/>
            <w:tcBorders>
              <w:top w:val="nil"/>
              <w:left w:val="nil"/>
              <w:bottom w:val="nil"/>
              <w:right w:val="nil"/>
            </w:tcBorders>
            <w:shd w:val="clear" w:color="auto" w:fill="D9D9D9"/>
            <w:tcMar>
              <w:left w:w="28" w:type="dxa"/>
              <w:right w:w="28" w:type="dxa"/>
            </w:tcMar>
            <w:vAlign w:val="center"/>
          </w:tcPr>
          <w:p w14:paraId="6092A9A4" w14:textId="77777777" w:rsidR="00944020" w:rsidRPr="008F6866" w:rsidRDefault="00944020" w:rsidP="00542034">
            <w:pPr>
              <w:spacing w:after="0"/>
              <w:rPr>
                <w:rFonts w:cstheme="minorHAnsi"/>
                <w:color w:val="000000"/>
                <w:sz w:val="20"/>
                <w:szCs w:val="20"/>
              </w:rPr>
            </w:pPr>
            <w:r w:rsidRPr="008F6866">
              <w:rPr>
                <w:rFonts w:cstheme="minorHAnsi"/>
                <w:color w:val="000000"/>
                <w:sz w:val="20"/>
                <w:szCs w:val="20"/>
              </w:rPr>
              <w:t>Baileux mixed plot</w:t>
            </w:r>
          </w:p>
        </w:tc>
        <w:tc>
          <w:tcPr>
            <w:tcW w:w="993" w:type="dxa"/>
            <w:tcBorders>
              <w:top w:val="nil"/>
              <w:left w:val="nil"/>
              <w:bottom w:val="nil"/>
              <w:right w:val="nil"/>
            </w:tcBorders>
            <w:shd w:val="clear" w:color="auto" w:fill="D9D9D9"/>
            <w:tcMar>
              <w:left w:w="28" w:type="dxa"/>
              <w:right w:w="28" w:type="dxa"/>
            </w:tcMar>
            <w:vAlign w:val="center"/>
          </w:tcPr>
          <w:p w14:paraId="7582E78B"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Western Ardenne</w:t>
            </w:r>
          </w:p>
        </w:tc>
        <w:tc>
          <w:tcPr>
            <w:tcW w:w="1674" w:type="dxa"/>
            <w:tcBorders>
              <w:top w:val="nil"/>
              <w:left w:val="nil"/>
              <w:bottom w:val="nil"/>
              <w:right w:val="nil"/>
            </w:tcBorders>
            <w:shd w:val="clear" w:color="auto" w:fill="D9D9D9"/>
            <w:tcMar>
              <w:left w:w="28" w:type="dxa"/>
              <w:right w:w="28" w:type="dxa"/>
            </w:tcMar>
            <w:vAlign w:val="center"/>
          </w:tcPr>
          <w:p w14:paraId="39F9C013"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Even-aged with beech regeneration</w:t>
            </w:r>
          </w:p>
        </w:tc>
        <w:tc>
          <w:tcPr>
            <w:tcW w:w="1444" w:type="dxa"/>
            <w:tcBorders>
              <w:top w:val="nil"/>
              <w:left w:val="nil"/>
              <w:bottom w:val="nil"/>
              <w:right w:val="nil"/>
            </w:tcBorders>
            <w:shd w:val="clear" w:color="auto" w:fill="D9D9D9"/>
            <w:tcMar>
              <w:left w:w="28" w:type="dxa"/>
              <w:right w:w="28" w:type="dxa"/>
            </w:tcMar>
            <w:vAlign w:val="center"/>
          </w:tcPr>
          <w:p w14:paraId="3D4A670E" w14:textId="77777777" w:rsidR="00944020" w:rsidRPr="008F6866" w:rsidRDefault="00944020" w:rsidP="00542034">
            <w:pPr>
              <w:spacing w:after="0"/>
              <w:jc w:val="center"/>
              <w:rPr>
                <w:rFonts w:cstheme="minorHAnsi"/>
                <w:color w:val="000000"/>
                <w:sz w:val="20"/>
                <w:szCs w:val="20"/>
              </w:rPr>
            </w:pPr>
            <w:r w:rsidRPr="008F6866">
              <w:rPr>
                <w:rFonts w:cstheme="minorHAnsi"/>
                <w:i/>
                <w:color w:val="000000"/>
                <w:sz w:val="20"/>
                <w:szCs w:val="20"/>
              </w:rPr>
              <w:t>Quercus petraea</w:t>
            </w:r>
            <w:r w:rsidRPr="008F6866">
              <w:rPr>
                <w:rFonts w:cstheme="minorHAnsi"/>
                <w:color w:val="000000"/>
                <w:sz w:val="20"/>
                <w:szCs w:val="20"/>
              </w:rPr>
              <w:t xml:space="preserve"> </w:t>
            </w:r>
            <w:r w:rsidRPr="008F6866">
              <w:rPr>
                <w:rFonts w:cstheme="minorHAnsi"/>
                <w:i/>
                <w:color w:val="000000"/>
                <w:sz w:val="20"/>
                <w:szCs w:val="20"/>
              </w:rPr>
              <w:t>Fagus sylvatica</w:t>
            </w:r>
          </w:p>
        </w:tc>
        <w:tc>
          <w:tcPr>
            <w:tcW w:w="971" w:type="dxa"/>
            <w:tcBorders>
              <w:top w:val="nil"/>
              <w:left w:val="nil"/>
              <w:bottom w:val="nil"/>
              <w:right w:val="nil"/>
            </w:tcBorders>
            <w:shd w:val="clear" w:color="auto" w:fill="D9D9D9"/>
            <w:tcMar>
              <w:left w:w="28" w:type="dxa"/>
              <w:right w:w="28" w:type="dxa"/>
            </w:tcMar>
            <w:vAlign w:val="center"/>
          </w:tcPr>
          <w:p w14:paraId="6A6048DE"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93</w:t>
            </w:r>
          </w:p>
          <w:p w14:paraId="0AD8631D"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206</w:t>
            </w:r>
          </w:p>
        </w:tc>
        <w:tc>
          <w:tcPr>
            <w:tcW w:w="1014" w:type="dxa"/>
            <w:tcBorders>
              <w:top w:val="nil"/>
              <w:left w:val="nil"/>
              <w:bottom w:val="nil"/>
              <w:right w:val="nil"/>
            </w:tcBorders>
            <w:shd w:val="clear" w:color="auto" w:fill="D9D9D9"/>
            <w:tcMar>
              <w:left w:w="28" w:type="dxa"/>
              <w:right w:w="28" w:type="dxa"/>
            </w:tcMar>
            <w:vAlign w:val="center"/>
          </w:tcPr>
          <w:p w14:paraId="2A5F09AE"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13.6</w:t>
            </w:r>
          </w:p>
          <w:p w14:paraId="1B033041"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14.5</w:t>
            </w:r>
          </w:p>
        </w:tc>
        <w:tc>
          <w:tcPr>
            <w:tcW w:w="1112" w:type="dxa"/>
            <w:tcBorders>
              <w:top w:val="nil"/>
              <w:left w:val="nil"/>
              <w:bottom w:val="nil"/>
              <w:right w:val="nil"/>
            </w:tcBorders>
            <w:shd w:val="clear" w:color="auto" w:fill="D9D9D9"/>
            <w:tcMar>
              <w:left w:w="28" w:type="dxa"/>
              <w:right w:w="28" w:type="dxa"/>
            </w:tcMar>
            <w:vAlign w:val="center"/>
          </w:tcPr>
          <w:p w14:paraId="645EF17F"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135</w:t>
            </w:r>
          </w:p>
          <w:p w14:paraId="296384B5"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94</w:t>
            </w:r>
          </w:p>
        </w:tc>
        <w:tc>
          <w:tcPr>
            <w:tcW w:w="992" w:type="dxa"/>
            <w:tcBorders>
              <w:top w:val="nil"/>
              <w:left w:val="nil"/>
              <w:bottom w:val="nil"/>
              <w:right w:val="nil"/>
            </w:tcBorders>
            <w:shd w:val="clear" w:color="auto" w:fill="D9D9D9"/>
            <w:tcMar>
              <w:left w:w="28" w:type="dxa"/>
              <w:right w:w="28" w:type="dxa"/>
            </w:tcMar>
            <w:vAlign w:val="center"/>
          </w:tcPr>
          <w:p w14:paraId="69E6D8FC"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27.2</w:t>
            </w:r>
          </w:p>
          <w:p w14:paraId="581F3574"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27.2</w:t>
            </w:r>
          </w:p>
        </w:tc>
      </w:tr>
      <w:tr w:rsidR="00944020" w:rsidRPr="008F6866" w14:paraId="079D2847" w14:textId="77777777" w:rsidTr="00542034">
        <w:trPr>
          <w:jc w:val="center"/>
        </w:trPr>
        <w:tc>
          <w:tcPr>
            <w:tcW w:w="1581" w:type="dxa"/>
            <w:tcBorders>
              <w:top w:val="nil"/>
              <w:left w:val="nil"/>
              <w:bottom w:val="nil"/>
              <w:right w:val="nil"/>
            </w:tcBorders>
            <w:shd w:val="clear" w:color="auto" w:fill="FFFFFF"/>
            <w:tcMar>
              <w:left w:w="28" w:type="dxa"/>
              <w:right w:w="28" w:type="dxa"/>
            </w:tcMar>
            <w:vAlign w:val="center"/>
          </w:tcPr>
          <w:p w14:paraId="3A9C77CF" w14:textId="77777777" w:rsidR="00944020" w:rsidRPr="008F6866" w:rsidRDefault="00944020" w:rsidP="00542034">
            <w:pPr>
              <w:spacing w:after="0"/>
              <w:jc w:val="both"/>
              <w:rPr>
                <w:rFonts w:cstheme="minorHAnsi"/>
                <w:color w:val="000000"/>
                <w:sz w:val="20"/>
                <w:szCs w:val="20"/>
              </w:rPr>
            </w:pPr>
            <w:r w:rsidRPr="008F6866">
              <w:rPr>
                <w:rFonts w:cstheme="minorHAnsi"/>
                <w:color w:val="000000"/>
                <w:sz w:val="20"/>
                <w:szCs w:val="20"/>
              </w:rPr>
              <w:t>Eupen</w:t>
            </w:r>
          </w:p>
        </w:tc>
        <w:tc>
          <w:tcPr>
            <w:tcW w:w="993" w:type="dxa"/>
            <w:tcBorders>
              <w:top w:val="nil"/>
              <w:left w:val="nil"/>
              <w:bottom w:val="nil"/>
              <w:right w:val="nil"/>
            </w:tcBorders>
            <w:shd w:val="clear" w:color="auto" w:fill="FFFFFF"/>
            <w:tcMar>
              <w:left w:w="28" w:type="dxa"/>
              <w:right w:w="28" w:type="dxa"/>
            </w:tcMar>
            <w:vAlign w:val="center"/>
          </w:tcPr>
          <w:p w14:paraId="1FAD1552"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Eastern Ardenne</w:t>
            </w:r>
          </w:p>
        </w:tc>
        <w:tc>
          <w:tcPr>
            <w:tcW w:w="1674" w:type="dxa"/>
            <w:tcBorders>
              <w:top w:val="nil"/>
              <w:left w:val="nil"/>
              <w:bottom w:val="nil"/>
              <w:right w:val="nil"/>
            </w:tcBorders>
            <w:shd w:val="clear" w:color="auto" w:fill="FFFFFF"/>
            <w:tcMar>
              <w:left w:w="28" w:type="dxa"/>
              <w:right w:w="28" w:type="dxa"/>
            </w:tcMar>
            <w:vAlign w:val="center"/>
          </w:tcPr>
          <w:p w14:paraId="4E17AB74"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Even-aged with regeneration</w:t>
            </w:r>
          </w:p>
        </w:tc>
        <w:tc>
          <w:tcPr>
            <w:tcW w:w="1444" w:type="dxa"/>
            <w:tcBorders>
              <w:top w:val="nil"/>
              <w:left w:val="nil"/>
              <w:bottom w:val="nil"/>
              <w:right w:val="nil"/>
            </w:tcBorders>
            <w:shd w:val="clear" w:color="auto" w:fill="FFFFFF"/>
            <w:tcMar>
              <w:left w:w="28" w:type="dxa"/>
              <w:right w:w="28" w:type="dxa"/>
            </w:tcMar>
            <w:vAlign w:val="center"/>
          </w:tcPr>
          <w:p w14:paraId="7D19519C" w14:textId="77777777" w:rsidR="00944020" w:rsidRPr="008F6866" w:rsidRDefault="00944020" w:rsidP="00542034">
            <w:pPr>
              <w:spacing w:after="0"/>
              <w:jc w:val="center"/>
              <w:rPr>
                <w:rFonts w:cstheme="minorHAnsi"/>
                <w:color w:val="000000"/>
                <w:sz w:val="20"/>
                <w:szCs w:val="20"/>
              </w:rPr>
            </w:pPr>
            <w:r w:rsidRPr="008F6866">
              <w:rPr>
                <w:rFonts w:cstheme="minorHAnsi"/>
                <w:i/>
                <w:color w:val="000000"/>
                <w:sz w:val="20"/>
                <w:szCs w:val="20"/>
              </w:rPr>
              <w:t>Fagus sylvatica</w:t>
            </w:r>
          </w:p>
        </w:tc>
        <w:tc>
          <w:tcPr>
            <w:tcW w:w="971" w:type="dxa"/>
            <w:tcBorders>
              <w:top w:val="nil"/>
              <w:left w:val="nil"/>
              <w:bottom w:val="nil"/>
              <w:right w:val="nil"/>
            </w:tcBorders>
            <w:shd w:val="clear" w:color="auto" w:fill="FFFFFF"/>
            <w:tcMar>
              <w:left w:w="28" w:type="dxa"/>
              <w:right w:w="28" w:type="dxa"/>
            </w:tcMar>
            <w:vAlign w:val="center"/>
          </w:tcPr>
          <w:p w14:paraId="4F5CD105"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226</w:t>
            </w:r>
          </w:p>
        </w:tc>
        <w:tc>
          <w:tcPr>
            <w:tcW w:w="1014" w:type="dxa"/>
            <w:tcBorders>
              <w:top w:val="nil"/>
              <w:left w:val="nil"/>
              <w:bottom w:val="nil"/>
              <w:right w:val="nil"/>
            </w:tcBorders>
            <w:shd w:val="clear" w:color="auto" w:fill="FFFFFF"/>
            <w:tcMar>
              <w:left w:w="28" w:type="dxa"/>
              <w:right w:w="28" w:type="dxa"/>
            </w:tcMar>
            <w:vAlign w:val="center"/>
          </w:tcPr>
          <w:p w14:paraId="36CB96B1"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24.3</w:t>
            </w:r>
          </w:p>
        </w:tc>
        <w:tc>
          <w:tcPr>
            <w:tcW w:w="1112" w:type="dxa"/>
            <w:tcBorders>
              <w:top w:val="nil"/>
              <w:left w:val="nil"/>
              <w:bottom w:val="nil"/>
              <w:right w:val="nil"/>
            </w:tcBorders>
            <w:shd w:val="clear" w:color="auto" w:fill="FFFFFF"/>
            <w:tcMar>
              <w:left w:w="28" w:type="dxa"/>
              <w:right w:w="28" w:type="dxa"/>
            </w:tcMar>
            <w:vAlign w:val="center"/>
          </w:tcPr>
          <w:p w14:paraId="3B60D107"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116</w:t>
            </w:r>
          </w:p>
        </w:tc>
        <w:tc>
          <w:tcPr>
            <w:tcW w:w="992" w:type="dxa"/>
            <w:tcBorders>
              <w:top w:val="nil"/>
              <w:left w:val="nil"/>
              <w:bottom w:val="nil"/>
              <w:right w:val="nil"/>
            </w:tcBorders>
            <w:shd w:val="clear" w:color="auto" w:fill="FFFFFF"/>
            <w:tcMar>
              <w:left w:w="28" w:type="dxa"/>
              <w:right w:w="28" w:type="dxa"/>
            </w:tcMar>
            <w:vAlign w:val="center"/>
          </w:tcPr>
          <w:p w14:paraId="0C3FD363"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28.9</w:t>
            </w:r>
          </w:p>
        </w:tc>
      </w:tr>
      <w:tr w:rsidR="00944020" w:rsidRPr="008F6866" w14:paraId="02204DB9" w14:textId="77777777" w:rsidTr="00542034">
        <w:trPr>
          <w:jc w:val="center"/>
        </w:trPr>
        <w:tc>
          <w:tcPr>
            <w:tcW w:w="1581" w:type="dxa"/>
            <w:tcBorders>
              <w:top w:val="nil"/>
              <w:left w:val="nil"/>
              <w:bottom w:val="nil"/>
              <w:right w:val="nil"/>
            </w:tcBorders>
            <w:shd w:val="clear" w:color="auto" w:fill="D9D9D9"/>
            <w:tcMar>
              <w:left w:w="28" w:type="dxa"/>
              <w:right w:w="28" w:type="dxa"/>
            </w:tcMar>
            <w:vAlign w:val="center"/>
          </w:tcPr>
          <w:p w14:paraId="331EDED2" w14:textId="77777777" w:rsidR="00944020" w:rsidRPr="008F6866" w:rsidRDefault="00944020" w:rsidP="00542034">
            <w:pPr>
              <w:spacing w:after="0"/>
              <w:jc w:val="both"/>
              <w:rPr>
                <w:rFonts w:cstheme="minorHAnsi"/>
                <w:color w:val="000000"/>
                <w:sz w:val="20"/>
                <w:szCs w:val="20"/>
              </w:rPr>
            </w:pPr>
            <w:r w:rsidRPr="008F6866">
              <w:rPr>
                <w:rFonts w:cstheme="minorHAnsi"/>
                <w:color w:val="000000"/>
                <w:sz w:val="20"/>
                <w:szCs w:val="20"/>
              </w:rPr>
              <w:t>Louvain-la-Neuve</w:t>
            </w:r>
          </w:p>
        </w:tc>
        <w:tc>
          <w:tcPr>
            <w:tcW w:w="993" w:type="dxa"/>
            <w:tcBorders>
              <w:top w:val="nil"/>
              <w:left w:val="nil"/>
              <w:bottom w:val="nil"/>
              <w:right w:val="nil"/>
            </w:tcBorders>
            <w:shd w:val="clear" w:color="auto" w:fill="D9D9D9"/>
            <w:tcMar>
              <w:left w:w="28" w:type="dxa"/>
              <w:right w:w="28" w:type="dxa"/>
            </w:tcMar>
            <w:vAlign w:val="center"/>
          </w:tcPr>
          <w:p w14:paraId="4256EC84"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Loam region</w:t>
            </w:r>
          </w:p>
        </w:tc>
        <w:tc>
          <w:tcPr>
            <w:tcW w:w="1674" w:type="dxa"/>
            <w:tcBorders>
              <w:top w:val="nil"/>
              <w:left w:val="nil"/>
              <w:bottom w:val="nil"/>
              <w:right w:val="nil"/>
            </w:tcBorders>
            <w:shd w:val="clear" w:color="auto" w:fill="D9D9D9"/>
            <w:tcMar>
              <w:left w:w="28" w:type="dxa"/>
              <w:right w:w="28" w:type="dxa"/>
            </w:tcMar>
            <w:vAlign w:val="center"/>
          </w:tcPr>
          <w:p w14:paraId="1BBC4FB5"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Even-aged with regeneration</w:t>
            </w:r>
          </w:p>
        </w:tc>
        <w:tc>
          <w:tcPr>
            <w:tcW w:w="1444" w:type="dxa"/>
            <w:tcBorders>
              <w:top w:val="nil"/>
              <w:left w:val="nil"/>
              <w:bottom w:val="nil"/>
              <w:right w:val="nil"/>
            </w:tcBorders>
            <w:shd w:val="clear" w:color="auto" w:fill="D9D9D9"/>
            <w:tcMar>
              <w:left w:w="28" w:type="dxa"/>
              <w:right w:w="28" w:type="dxa"/>
            </w:tcMar>
            <w:vAlign w:val="center"/>
          </w:tcPr>
          <w:p w14:paraId="224A9EBC" w14:textId="77777777" w:rsidR="00944020" w:rsidRPr="008F6866" w:rsidRDefault="00944020" w:rsidP="00542034">
            <w:pPr>
              <w:spacing w:after="0"/>
              <w:jc w:val="center"/>
              <w:rPr>
                <w:rFonts w:cstheme="minorHAnsi"/>
                <w:i/>
                <w:color w:val="000000"/>
                <w:sz w:val="20"/>
                <w:szCs w:val="20"/>
              </w:rPr>
            </w:pPr>
            <w:r w:rsidRPr="008F6866">
              <w:rPr>
                <w:rFonts w:cstheme="minorHAnsi"/>
                <w:i/>
                <w:color w:val="000000"/>
                <w:sz w:val="20"/>
                <w:szCs w:val="20"/>
              </w:rPr>
              <w:t>Fagus sylvatica</w:t>
            </w:r>
          </w:p>
          <w:p w14:paraId="23B84CD1" w14:textId="77777777" w:rsidR="00944020" w:rsidRPr="008F6866" w:rsidRDefault="00944020" w:rsidP="00542034">
            <w:pPr>
              <w:spacing w:after="0"/>
              <w:jc w:val="center"/>
              <w:rPr>
                <w:rFonts w:cstheme="minorHAnsi"/>
                <w:color w:val="000000"/>
                <w:sz w:val="20"/>
                <w:szCs w:val="20"/>
              </w:rPr>
            </w:pPr>
            <w:r w:rsidRPr="008F6866">
              <w:rPr>
                <w:rFonts w:cstheme="minorHAnsi"/>
                <w:i/>
                <w:color w:val="000000"/>
                <w:sz w:val="20"/>
                <w:szCs w:val="20"/>
              </w:rPr>
              <w:t>Quercus petraea</w:t>
            </w:r>
          </w:p>
        </w:tc>
        <w:tc>
          <w:tcPr>
            <w:tcW w:w="971" w:type="dxa"/>
            <w:tcBorders>
              <w:top w:val="nil"/>
              <w:left w:val="nil"/>
              <w:bottom w:val="nil"/>
              <w:right w:val="nil"/>
            </w:tcBorders>
            <w:shd w:val="clear" w:color="auto" w:fill="D9D9D9"/>
            <w:tcMar>
              <w:left w:w="28" w:type="dxa"/>
              <w:right w:w="28" w:type="dxa"/>
            </w:tcMar>
            <w:vAlign w:val="center"/>
          </w:tcPr>
          <w:p w14:paraId="7067C271"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60</w:t>
            </w:r>
          </w:p>
          <w:p w14:paraId="579B650E"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16</w:t>
            </w:r>
          </w:p>
        </w:tc>
        <w:tc>
          <w:tcPr>
            <w:tcW w:w="1014" w:type="dxa"/>
            <w:tcBorders>
              <w:top w:val="nil"/>
              <w:left w:val="nil"/>
              <w:bottom w:val="nil"/>
              <w:right w:val="nil"/>
            </w:tcBorders>
            <w:shd w:val="clear" w:color="auto" w:fill="D9D9D9"/>
            <w:tcMar>
              <w:left w:w="28" w:type="dxa"/>
              <w:right w:w="28" w:type="dxa"/>
            </w:tcMar>
            <w:vAlign w:val="center"/>
          </w:tcPr>
          <w:p w14:paraId="7F80BB99"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19.9</w:t>
            </w:r>
          </w:p>
          <w:p w14:paraId="08A9E3E8"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4.5</w:t>
            </w:r>
          </w:p>
        </w:tc>
        <w:tc>
          <w:tcPr>
            <w:tcW w:w="1112" w:type="dxa"/>
            <w:tcBorders>
              <w:top w:val="nil"/>
              <w:left w:val="nil"/>
              <w:bottom w:val="nil"/>
              <w:right w:val="nil"/>
            </w:tcBorders>
            <w:shd w:val="clear" w:color="auto" w:fill="D9D9D9"/>
            <w:tcMar>
              <w:left w:w="28" w:type="dxa"/>
              <w:right w:w="28" w:type="dxa"/>
            </w:tcMar>
            <w:vAlign w:val="center"/>
          </w:tcPr>
          <w:p w14:paraId="7898F08D"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205</w:t>
            </w:r>
          </w:p>
          <w:p w14:paraId="1E51570C"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188</w:t>
            </w:r>
          </w:p>
        </w:tc>
        <w:tc>
          <w:tcPr>
            <w:tcW w:w="992" w:type="dxa"/>
            <w:tcBorders>
              <w:top w:val="nil"/>
              <w:left w:val="nil"/>
              <w:bottom w:val="nil"/>
              <w:right w:val="nil"/>
            </w:tcBorders>
            <w:shd w:val="clear" w:color="auto" w:fill="D9D9D9"/>
            <w:tcMar>
              <w:left w:w="28" w:type="dxa"/>
              <w:right w:w="28" w:type="dxa"/>
            </w:tcMar>
            <w:vAlign w:val="center"/>
          </w:tcPr>
          <w:p w14:paraId="31852AB9"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32.7</w:t>
            </w:r>
          </w:p>
          <w:p w14:paraId="5CC4B9FF"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32.2</w:t>
            </w:r>
          </w:p>
        </w:tc>
      </w:tr>
      <w:tr w:rsidR="00944020" w:rsidRPr="008F6866" w14:paraId="743A173B" w14:textId="77777777" w:rsidTr="00542034">
        <w:trPr>
          <w:jc w:val="center"/>
        </w:trPr>
        <w:tc>
          <w:tcPr>
            <w:tcW w:w="1581" w:type="dxa"/>
            <w:tcBorders>
              <w:top w:val="nil"/>
              <w:left w:val="nil"/>
              <w:bottom w:val="nil"/>
              <w:right w:val="nil"/>
            </w:tcBorders>
            <w:shd w:val="clear" w:color="auto" w:fill="FFFFFF"/>
            <w:tcMar>
              <w:left w:w="28" w:type="dxa"/>
              <w:right w:w="28" w:type="dxa"/>
            </w:tcMar>
            <w:vAlign w:val="center"/>
          </w:tcPr>
          <w:p w14:paraId="2C525CC5" w14:textId="77777777" w:rsidR="00944020" w:rsidRPr="008F6866" w:rsidRDefault="00944020" w:rsidP="00542034">
            <w:pPr>
              <w:spacing w:after="0"/>
              <w:jc w:val="both"/>
              <w:rPr>
                <w:rFonts w:cstheme="minorHAnsi"/>
                <w:color w:val="000000"/>
                <w:sz w:val="20"/>
                <w:szCs w:val="20"/>
              </w:rPr>
            </w:pPr>
            <w:r w:rsidRPr="008F6866">
              <w:rPr>
                <w:rFonts w:cstheme="minorHAnsi"/>
                <w:color w:val="000000"/>
                <w:sz w:val="20"/>
                <w:szCs w:val="20"/>
              </w:rPr>
              <w:t>Gedinne</w:t>
            </w:r>
          </w:p>
        </w:tc>
        <w:tc>
          <w:tcPr>
            <w:tcW w:w="993" w:type="dxa"/>
            <w:vMerge w:val="restart"/>
            <w:tcBorders>
              <w:top w:val="nil"/>
              <w:left w:val="nil"/>
              <w:bottom w:val="nil"/>
              <w:right w:val="nil"/>
            </w:tcBorders>
            <w:shd w:val="clear" w:color="auto" w:fill="FFFFFF"/>
            <w:tcMar>
              <w:left w:w="28" w:type="dxa"/>
              <w:right w:w="28" w:type="dxa"/>
            </w:tcMar>
            <w:vAlign w:val="center"/>
          </w:tcPr>
          <w:p w14:paraId="6EBDABA3"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Ardenne</w:t>
            </w:r>
          </w:p>
        </w:tc>
        <w:tc>
          <w:tcPr>
            <w:tcW w:w="1674" w:type="dxa"/>
            <w:vMerge w:val="restart"/>
            <w:tcBorders>
              <w:top w:val="nil"/>
              <w:left w:val="nil"/>
              <w:bottom w:val="nil"/>
              <w:right w:val="nil"/>
            </w:tcBorders>
            <w:shd w:val="clear" w:color="auto" w:fill="FFFFFF"/>
            <w:tcMar>
              <w:left w:w="28" w:type="dxa"/>
              <w:right w:w="28" w:type="dxa"/>
            </w:tcMar>
            <w:vAlign w:val="center"/>
          </w:tcPr>
          <w:p w14:paraId="7D6E7449"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Even-aged with regeneration</w:t>
            </w:r>
          </w:p>
        </w:tc>
        <w:tc>
          <w:tcPr>
            <w:tcW w:w="1444" w:type="dxa"/>
            <w:tcBorders>
              <w:top w:val="nil"/>
              <w:left w:val="nil"/>
              <w:bottom w:val="nil"/>
              <w:right w:val="nil"/>
            </w:tcBorders>
            <w:shd w:val="clear" w:color="auto" w:fill="FFFFFF"/>
            <w:tcMar>
              <w:left w:w="28" w:type="dxa"/>
              <w:right w:w="28" w:type="dxa"/>
            </w:tcMar>
            <w:vAlign w:val="center"/>
          </w:tcPr>
          <w:p w14:paraId="11702044" w14:textId="77777777" w:rsidR="00944020" w:rsidRPr="008F6866" w:rsidRDefault="00944020" w:rsidP="00542034">
            <w:pPr>
              <w:spacing w:after="0"/>
              <w:jc w:val="center"/>
              <w:rPr>
                <w:rFonts w:cstheme="minorHAnsi"/>
                <w:color w:val="000000"/>
                <w:sz w:val="20"/>
                <w:szCs w:val="20"/>
              </w:rPr>
            </w:pPr>
          </w:p>
        </w:tc>
        <w:tc>
          <w:tcPr>
            <w:tcW w:w="971" w:type="dxa"/>
            <w:tcBorders>
              <w:top w:val="nil"/>
              <w:left w:val="nil"/>
              <w:bottom w:val="nil"/>
              <w:right w:val="nil"/>
            </w:tcBorders>
            <w:shd w:val="clear" w:color="auto" w:fill="FFFFFF"/>
            <w:tcMar>
              <w:left w:w="28" w:type="dxa"/>
              <w:right w:w="28" w:type="dxa"/>
            </w:tcMar>
            <w:vAlign w:val="center"/>
          </w:tcPr>
          <w:p w14:paraId="15927B0A" w14:textId="77777777" w:rsidR="00944020" w:rsidRPr="008F6866" w:rsidRDefault="00944020" w:rsidP="00542034">
            <w:pPr>
              <w:spacing w:after="0"/>
              <w:jc w:val="center"/>
              <w:rPr>
                <w:rFonts w:cstheme="minorHAnsi"/>
                <w:color w:val="000000"/>
                <w:sz w:val="20"/>
                <w:szCs w:val="20"/>
              </w:rPr>
            </w:pPr>
          </w:p>
        </w:tc>
        <w:tc>
          <w:tcPr>
            <w:tcW w:w="1014" w:type="dxa"/>
            <w:tcBorders>
              <w:top w:val="nil"/>
              <w:left w:val="nil"/>
              <w:bottom w:val="nil"/>
              <w:right w:val="nil"/>
            </w:tcBorders>
            <w:shd w:val="clear" w:color="auto" w:fill="FFFFFF"/>
            <w:tcMar>
              <w:left w:w="28" w:type="dxa"/>
              <w:right w:w="28" w:type="dxa"/>
            </w:tcMar>
            <w:vAlign w:val="center"/>
          </w:tcPr>
          <w:p w14:paraId="2F86FA29" w14:textId="77777777" w:rsidR="00944020" w:rsidRPr="008F6866" w:rsidRDefault="00944020" w:rsidP="00542034">
            <w:pPr>
              <w:spacing w:after="0"/>
              <w:jc w:val="center"/>
              <w:rPr>
                <w:rFonts w:cstheme="minorHAnsi"/>
                <w:color w:val="000000"/>
                <w:sz w:val="20"/>
                <w:szCs w:val="20"/>
              </w:rPr>
            </w:pPr>
          </w:p>
        </w:tc>
        <w:tc>
          <w:tcPr>
            <w:tcW w:w="1112" w:type="dxa"/>
            <w:tcBorders>
              <w:top w:val="nil"/>
              <w:left w:val="nil"/>
              <w:bottom w:val="nil"/>
              <w:right w:val="nil"/>
            </w:tcBorders>
            <w:shd w:val="clear" w:color="auto" w:fill="FFFFFF"/>
            <w:tcMar>
              <w:left w:w="28" w:type="dxa"/>
              <w:right w:w="28" w:type="dxa"/>
            </w:tcMar>
            <w:vAlign w:val="center"/>
          </w:tcPr>
          <w:p w14:paraId="6837D454" w14:textId="77777777" w:rsidR="00944020" w:rsidRPr="008F6866" w:rsidRDefault="00944020" w:rsidP="00542034">
            <w:pPr>
              <w:spacing w:after="0"/>
              <w:jc w:val="center"/>
              <w:rPr>
                <w:rFonts w:cstheme="minorHAnsi"/>
                <w:color w:val="000000"/>
                <w:sz w:val="20"/>
                <w:szCs w:val="20"/>
              </w:rPr>
            </w:pPr>
          </w:p>
        </w:tc>
        <w:tc>
          <w:tcPr>
            <w:tcW w:w="992" w:type="dxa"/>
            <w:tcBorders>
              <w:top w:val="nil"/>
              <w:left w:val="nil"/>
              <w:bottom w:val="nil"/>
              <w:right w:val="nil"/>
            </w:tcBorders>
            <w:shd w:val="clear" w:color="auto" w:fill="FFFFFF"/>
            <w:tcMar>
              <w:left w:w="28" w:type="dxa"/>
              <w:right w:w="28" w:type="dxa"/>
            </w:tcMar>
            <w:vAlign w:val="center"/>
          </w:tcPr>
          <w:p w14:paraId="40D987C3" w14:textId="77777777" w:rsidR="00944020" w:rsidRPr="008F6866" w:rsidRDefault="00944020" w:rsidP="00542034">
            <w:pPr>
              <w:spacing w:after="0"/>
              <w:jc w:val="center"/>
              <w:rPr>
                <w:rFonts w:cstheme="minorHAnsi"/>
                <w:color w:val="000000"/>
                <w:sz w:val="20"/>
                <w:szCs w:val="20"/>
              </w:rPr>
            </w:pPr>
          </w:p>
        </w:tc>
      </w:tr>
      <w:tr w:rsidR="00944020" w:rsidRPr="008F6866" w14:paraId="6EBC74CF" w14:textId="77777777" w:rsidTr="00542034">
        <w:trPr>
          <w:jc w:val="center"/>
        </w:trPr>
        <w:tc>
          <w:tcPr>
            <w:tcW w:w="1581" w:type="dxa"/>
            <w:tcBorders>
              <w:top w:val="nil"/>
              <w:left w:val="nil"/>
              <w:bottom w:val="nil"/>
              <w:right w:val="nil"/>
            </w:tcBorders>
            <w:shd w:val="clear" w:color="auto" w:fill="FFFFFF"/>
            <w:tcMar>
              <w:left w:w="28" w:type="dxa"/>
              <w:right w:w="28" w:type="dxa"/>
            </w:tcMar>
            <w:vAlign w:val="center"/>
          </w:tcPr>
          <w:p w14:paraId="739A3901" w14:textId="77777777" w:rsidR="00944020" w:rsidRPr="008F6866" w:rsidRDefault="00944020" w:rsidP="00542034">
            <w:pPr>
              <w:spacing w:after="0"/>
              <w:rPr>
                <w:rFonts w:cstheme="minorHAnsi"/>
                <w:color w:val="000000"/>
                <w:sz w:val="20"/>
                <w:szCs w:val="20"/>
              </w:rPr>
            </w:pPr>
            <w:r w:rsidRPr="008F6866">
              <w:rPr>
                <w:rFonts w:cstheme="minorHAnsi"/>
                <w:color w:val="000000"/>
                <w:sz w:val="20"/>
                <w:szCs w:val="20"/>
              </w:rPr>
              <w:t xml:space="preserve">          1999</w:t>
            </w:r>
          </w:p>
        </w:tc>
        <w:tc>
          <w:tcPr>
            <w:tcW w:w="993" w:type="dxa"/>
            <w:vMerge/>
            <w:tcBorders>
              <w:top w:val="nil"/>
              <w:left w:val="nil"/>
              <w:bottom w:val="nil"/>
              <w:right w:val="nil"/>
            </w:tcBorders>
            <w:shd w:val="clear" w:color="auto" w:fill="FFFFFF"/>
            <w:tcMar>
              <w:left w:w="28" w:type="dxa"/>
              <w:right w:w="28" w:type="dxa"/>
            </w:tcMar>
            <w:vAlign w:val="center"/>
          </w:tcPr>
          <w:p w14:paraId="7E89BDE4" w14:textId="77777777" w:rsidR="00944020" w:rsidRPr="008F6866" w:rsidRDefault="00944020" w:rsidP="00542034">
            <w:pPr>
              <w:pBdr>
                <w:top w:val="nil"/>
                <w:left w:val="nil"/>
                <w:bottom w:val="nil"/>
                <w:right w:val="nil"/>
                <w:between w:val="nil"/>
              </w:pBdr>
              <w:spacing w:after="0"/>
              <w:rPr>
                <w:rFonts w:cstheme="minorHAnsi"/>
                <w:color w:val="000000"/>
                <w:sz w:val="20"/>
                <w:szCs w:val="20"/>
              </w:rPr>
            </w:pPr>
          </w:p>
        </w:tc>
        <w:tc>
          <w:tcPr>
            <w:tcW w:w="1674" w:type="dxa"/>
            <w:vMerge/>
            <w:tcBorders>
              <w:top w:val="nil"/>
              <w:left w:val="nil"/>
              <w:bottom w:val="nil"/>
              <w:right w:val="nil"/>
            </w:tcBorders>
            <w:shd w:val="clear" w:color="auto" w:fill="FFFFFF"/>
            <w:tcMar>
              <w:left w:w="28" w:type="dxa"/>
              <w:right w:w="28" w:type="dxa"/>
            </w:tcMar>
            <w:vAlign w:val="center"/>
          </w:tcPr>
          <w:p w14:paraId="0546CEA4" w14:textId="77777777" w:rsidR="00944020" w:rsidRPr="008F6866" w:rsidRDefault="00944020" w:rsidP="00542034">
            <w:pPr>
              <w:pBdr>
                <w:top w:val="nil"/>
                <w:left w:val="nil"/>
                <w:bottom w:val="nil"/>
                <w:right w:val="nil"/>
                <w:between w:val="nil"/>
              </w:pBdr>
              <w:spacing w:after="0"/>
              <w:rPr>
                <w:rFonts w:cstheme="minorHAnsi"/>
                <w:color w:val="000000"/>
                <w:sz w:val="20"/>
                <w:szCs w:val="20"/>
              </w:rPr>
            </w:pPr>
          </w:p>
        </w:tc>
        <w:tc>
          <w:tcPr>
            <w:tcW w:w="1444" w:type="dxa"/>
            <w:tcBorders>
              <w:top w:val="nil"/>
              <w:left w:val="nil"/>
              <w:bottom w:val="nil"/>
              <w:right w:val="nil"/>
            </w:tcBorders>
            <w:shd w:val="clear" w:color="auto" w:fill="FFFFFF"/>
            <w:tcMar>
              <w:left w:w="28" w:type="dxa"/>
              <w:right w:w="28" w:type="dxa"/>
            </w:tcMar>
            <w:vAlign w:val="center"/>
          </w:tcPr>
          <w:p w14:paraId="087211F8" w14:textId="77777777" w:rsidR="00944020" w:rsidRPr="008F6866" w:rsidRDefault="00944020" w:rsidP="00542034">
            <w:pPr>
              <w:spacing w:after="0"/>
              <w:jc w:val="center"/>
              <w:rPr>
                <w:rFonts w:cstheme="minorHAnsi"/>
                <w:color w:val="000000"/>
                <w:sz w:val="20"/>
                <w:szCs w:val="20"/>
              </w:rPr>
            </w:pPr>
            <w:r w:rsidRPr="008F6866">
              <w:rPr>
                <w:rFonts w:cstheme="minorHAnsi"/>
                <w:i/>
                <w:color w:val="000000"/>
                <w:sz w:val="20"/>
                <w:szCs w:val="20"/>
              </w:rPr>
              <w:t>Picea abies</w:t>
            </w:r>
          </w:p>
        </w:tc>
        <w:tc>
          <w:tcPr>
            <w:tcW w:w="971" w:type="dxa"/>
            <w:tcBorders>
              <w:top w:val="nil"/>
              <w:left w:val="nil"/>
              <w:bottom w:val="nil"/>
              <w:right w:val="nil"/>
            </w:tcBorders>
            <w:shd w:val="clear" w:color="auto" w:fill="FFFFFF"/>
            <w:tcMar>
              <w:left w:w="28" w:type="dxa"/>
              <w:right w:w="28" w:type="dxa"/>
            </w:tcMar>
            <w:vAlign w:val="center"/>
          </w:tcPr>
          <w:p w14:paraId="1B2806E7"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469</w:t>
            </w:r>
          </w:p>
        </w:tc>
        <w:tc>
          <w:tcPr>
            <w:tcW w:w="1014" w:type="dxa"/>
            <w:tcBorders>
              <w:top w:val="nil"/>
              <w:left w:val="nil"/>
              <w:bottom w:val="nil"/>
              <w:right w:val="nil"/>
            </w:tcBorders>
            <w:shd w:val="clear" w:color="auto" w:fill="FFFFFF"/>
            <w:tcMar>
              <w:left w:w="28" w:type="dxa"/>
              <w:right w:w="28" w:type="dxa"/>
            </w:tcMar>
            <w:vAlign w:val="center"/>
          </w:tcPr>
          <w:p w14:paraId="699D7B0C"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31.6</w:t>
            </w:r>
          </w:p>
        </w:tc>
        <w:tc>
          <w:tcPr>
            <w:tcW w:w="1112" w:type="dxa"/>
            <w:tcBorders>
              <w:top w:val="nil"/>
              <w:left w:val="nil"/>
              <w:bottom w:val="nil"/>
              <w:right w:val="nil"/>
            </w:tcBorders>
            <w:shd w:val="clear" w:color="auto" w:fill="FFFFFF"/>
            <w:tcMar>
              <w:left w:w="28" w:type="dxa"/>
              <w:right w:w="28" w:type="dxa"/>
            </w:tcMar>
            <w:vAlign w:val="center"/>
          </w:tcPr>
          <w:p w14:paraId="59865EDD"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92</w:t>
            </w:r>
          </w:p>
        </w:tc>
        <w:tc>
          <w:tcPr>
            <w:tcW w:w="992" w:type="dxa"/>
            <w:tcBorders>
              <w:top w:val="nil"/>
              <w:left w:val="nil"/>
              <w:bottom w:val="nil"/>
              <w:right w:val="nil"/>
            </w:tcBorders>
            <w:shd w:val="clear" w:color="auto" w:fill="FFFFFF"/>
            <w:tcMar>
              <w:left w:w="28" w:type="dxa"/>
              <w:right w:w="28" w:type="dxa"/>
            </w:tcMar>
            <w:vAlign w:val="center"/>
          </w:tcPr>
          <w:p w14:paraId="12F22685"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24.7</w:t>
            </w:r>
          </w:p>
        </w:tc>
      </w:tr>
      <w:tr w:rsidR="00944020" w:rsidRPr="008F6866" w14:paraId="2910A3A6" w14:textId="77777777" w:rsidTr="00542034">
        <w:trPr>
          <w:jc w:val="center"/>
        </w:trPr>
        <w:tc>
          <w:tcPr>
            <w:tcW w:w="1581" w:type="dxa"/>
            <w:tcBorders>
              <w:top w:val="nil"/>
              <w:left w:val="nil"/>
              <w:bottom w:val="nil"/>
              <w:right w:val="nil"/>
            </w:tcBorders>
            <w:shd w:val="clear" w:color="auto" w:fill="FFFFFF"/>
            <w:tcMar>
              <w:left w:w="28" w:type="dxa"/>
              <w:right w:w="28" w:type="dxa"/>
            </w:tcMar>
            <w:vAlign w:val="center"/>
          </w:tcPr>
          <w:p w14:paraId="4EDA27C1" w14:textId="77777777" w:rsidR="00944020" w:rsidRPr="008F6866" w:rsidRDefault="00944020" w:rsidP="00542034">
            <w:pPr>
              <w:spacing w:after="0"/>
              <w:rPr>
                <w:rFonts w:cstheme="minorHAnsi"/>
                <w:color w:val="000000"/>
                <w:sz w:val="20"/>
                <w:szCs w:val="20"/>
              </w:rPr>
            </w:pPr>
            <w:r w:rsidRPr="008F6866">
              <w:rPr>
                <w:rFonts w:cstheme="minorHAnsi"/>
                <w:color w:val="000000"/>
                <w:sz w:val="20"/>
                <w:szCs w:val="20"/>
              </w:rPr>
              <w:t xml:space="preserve">          2018</w:t>
            </w:r>
          </w:p>
        </w:tc>
        <w:tc>
          <w:tcPr>
            <w:tcW w:w="993" w:type="dxa"/>
            <w:vMerge/>
            <w:tcBorders>
              <w:top w:val="nil"/>
              <w:left w:val="nil"/>
              <w:bottom w:val="nil"/>
              <w:right w:val="nil"/>
            </w:tcBorders>
            <w:shd w:val="clear" w:color="auto" w:fill="FFFFFF"/>
            <w:tcMar>
              <w:left w:w="28" w:type="dxa"/>
              <w:right w:w="28" w:type="dxa"/>
            </w:tcMar>
            <w:vAlign w:val="center"/>
          </w:tcPr>
          <w:p w14:paraId="2233E903" w14:textId="77777777" w:rsidR="00944020" w:rsidRPr="008F6866" w:rsidRDefault="00944020" w:rsidP="00542034">
            <w:pPr>
              <w:pBdr>
                <w:top w:val="nil"/>
                <w:left w:val="nil"/>
                <w:bottom w:val="nil"/>
                <w:right w:val="nil"/>
                <w:between w:val="nil"/>
              </w:pBdr>
              <w:spacing w:after="0"/>
              <w:rPr>
                <w:rFonts w:cstheme="minorHAnsi"/>
                <w:color w:val="000000"/>
                <w:sz w:val="20"/>
                <w:szCs w:val="20"/>
              </w:rPr>
            </w:pPr>
          </w:p>
        </w:tc>
        <w:tc>
          <w:tcPr>
            <w:tcW w:w="1674" w:type="dxa"/>
            <w:vMerge/>
            <w:tcBorders>
              <w:top w:val="nil"/>
              <w:left w:val="nil"/>
              <w:bottom w:val="nil"/>
              <w:right w:val="nil"/>
            </w:tcBorders>
            <w:shd w:val="clear" w:color="auto" w:fill="FFFFFF"/>
            <w:tcMar>
              <w:left w:w="28" w:type="dxa"/>
              <w:right w:w="28" w:type="dxa"/>
            </w:tcMar>
            <w:vAlign w:val="center"/>
          </w:tcPr>
          <w:p w14:paraId="3C7EE006" w14:textId="77777777" w:rsidR="00944020" w:rsidRPr="008F6866" w:rsidRDefault="00944020" w:rsidP="00542034">
            <w:pPr>
              <w:pBdr>
                <w:top w:val="nil"/>
                <w:left w:val="nil"/>
                <w:bottom w:val="nil"/>
                <w:right w:val="nil"/>
                <w:between w:val="nil"/>
              </w:pBdr>
              <w:spacing w:after="0"/>
              <w:rPr>
                <w:rFonts w:cstheme="minorHAnsi"/>
                <w:color w:val="000000"/>
                <w:sz w:val="20"/>
                <w:szCs w:val="20"/>
              </w:rPr>
            </w:pPr>
          </w:p>
        </w:tc>
        <w:tc>
          <w:tcPr>
            <w:tcW w:w="1444" w:type="dxa"/>
            <w:tcBorders>
              <w:top w:val="nil"/>
              <w:left w:val="nil"/>
              <w:bottom w:val="nil"/>
              <w:right w:val="nil"/>
            </w:tcBorders>
            <w:shd w:val="clear" w:color="auto" w:fill="FFFFFF"/>
            <w:tcMar>
              <w:left w:w="28" w:type="dxa"/>
              <w:right w:w="28" w:type="dxa"/>
            </w:tcMar>
            <w:vAlign w:val="center"/>
          </w:tcPr>
          <w:p w14:paraId="6A65080A" w14:textId="77777777" w:rsidR="00944020" w:rsidRPr="008F6866" w:rsidRDefault="00944020" w:rsidP="00542034">
            <w:pPr>
              <w:spacing w:after="0"/>
              <w:jc w:val="center"/>
              <w:rPr>
                <w:rFonts w:cstheme="minorHAnsi"/>
                <w:color w:val="000000"/>
                <w:sz w:val="20"/>
                <w:szCs w:val="20"/>
              </w:rPr>
            </w:pPr>
            <w:r w:rsidRPr="008F6866">
              <w:rPr>
                <w:rFonts w:cstheme="minorHAnsi"/>
                <w:i/>
                <w:color w:val="000000"/>
                <w:sz w:val="20"/>
                <w:szCs w:val="20"/>
              </w:rPr>
              <w:t>Picea abies</w:t>
            </w:r>
          </w:p>
        </w:tc>
        <w:tc>
          <w:tcPr>
            <w:tcW w:w="971" w:type="dxa"/>
            <w:tcBorders>
              <w:top w:val="nil"/>
              <w:left w:val="nil"/>
              <w:bottom w:val="nil"/>
              <w:right w:val="nil"/>
            </w:tcBorders>
            <w:shd w:val="clear" w:color="auto" w:fill="FFFFFF"/>
            <w:tcMar>
              <w:left w:w="28" w:type="dxa"/>
              <w:right w:w="28" w:type="dxa"/>
            </w:tcMar>
            <w:vAlign w:val="center"/>
          </w:tcPr>
          <w:p w14:paraId="40F25ADF"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220</w:t>
            </w:r>
          </w:p>
        </w:tc>
        <w:tc>
          <w:tcPr>
            <w:tcW w:w="1014" w:type="dxa"/>
            <w:tcBorders>
              <w:top w:val="nil"/>
              <w:left w:val="nil"/>
              <w:bottom w:val="nil"/>
              <w:right w:val="nil"/>
            </w:tcBorders>
            <w:shd w:val="clear" w:color="auto" w:fill="FFFFFF"/>
            <w:tcMar>
              <w:left w:w="28" w:type="dxa"/>
              <w:right w:w="28" w:type="dxa"/>
            </w:tcMar>
            <w:vAlign w:val="center"/>
          </w:tcPr>
          <w:p w14:paraId="2C9504CA"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31.8</w:t>
            </w:r>
          </w:p>
        </w:tc>
        <w:tc>
          <w:tcPr>
            <w:tcW w:w="1112" w:type="dxa"/>
            <w:tcBorders>
              <w:top w:val="nil"/>
              <w:left w:val="nil"/>
              <w:bottom w:val="nil"/>
              <w:right w:val="nil"/>
            </w:tcBorders>
            <w:shd w:val="clear" w:color="auto" w:fill="FFFFFF"/>
            <w:tcMar>
              <w:left w:w="28" w:type="dxa"/>
              <w:right w:w="28" w:type="dxa"/>
            </w:tcMar>
            <w:vAlign w:val="center"/>
          </w:tcPr>
          <w:p w14:paraId="6BE582CF"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135</w:t>
            </w:r>
          </w:p>
        </w:tc>
        <w:tc>
          <w:tcPr>
            <w:tcW w:w="992" w:type="dxa"/>
            <w:tcBorders>
              <w:top w:val="nil"/>
              <w:left w:val="nil"/>
              <w:bottom w:val="nil"/>
              <w:right w:val="nil"/>
            </w:tcBorders>
            <w:shd w:val="clear" w:color="auto" w:fill="FFFFFF"/>
            <w:tcMar>
              <w:left w:w="28" w:type="dxa"/>
              <w:right w:w="28" w:type="dxa"/>
            </w:tcMar>
            <w:vAlign w:val="center"/>
          </w:tcPr>
          <w:p w14:paraId="5ED83FB3"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32.0</w:t>
            </w:r>
          </w:p>
        </w:tc>
      </w:tr>
      <w:tr w:rsidR="00944020" w:rsidRPr="008F6866" w14:paraId="096A01BE" w14:textId="77777777" w:rsidTr="00542034">
        <w:trPr>
          <w:jc w:val="center"/>
        </w:trPr>
        <w:tc>
          <w:tcPr>
            <w:tcW w:w="1581" w:type="dxa"/>
            <w:tcBorders>
              <w:top w:val="nil"/>
              <w:left w:val="nil"/>
              <w:bottom w:val="nil"/>
              <w:right w:val="nil"/>
            </w:tcBorders>
            <w:shd w:val="clear" w:color="auto" w:fill="D9D9D9"/>
            <w:tcMar>
              <w:left w:w="28" w:type="dxa"/>
              <w:right w:w="28" w:type="dxa"/>
            </w:tcMar>
            <w:vAlign w:val="center"/>
          </w:tcPr>
          <w:p w14:paraId="7E62E72D" w14:textId="77777777" w:rsidR="00944020" w:rsidRPr="008F6866" w:rsidRDefault="00944020" w:rsidP="00542034">
            <w:pPr>
              <w:spacing w:after="0"/>
              <w:jc w:val="both"/>
              <w:rPr>
                <w:rFonts w:cstheme="minorHAnsi"/>
                <w:color w:val="000000"/>
                <w:sz w:val="20"/>
                <w:szCs w:val="20"/>
              </w:rPr>
            </w:pPr>
            <w:r w:rsidRPr="008F6866">
              <w:rPr>
                <w:rFonts w:cstheme="minorHAnsi"/>
                <w:color w:val="000000"/>
                <w:sz w:val="20"/>
                <w:szCs w:val="20"/>
              </w:rPr>
              <w:t>Petit-Thier</w:t>
            </w:r>
          </w:p>
        </w:tc>
        <w:tc>
          <w:tcPr>
            <w:tcW w:w="993" w:type="dxa"/>
            <w:tcBorders>
              <w:top w:val="nil"/>
              <w:left w:val="nil"/>
              <w:bottom w:val="nil"/>
              <w:right w:val="nil"/>
            </w:tcBorders>
            <w:shd w:val="clear" w:color="auto" w:fill="D9D9D9"/>
            <w:tcMar>
              <w:left w:w="28" w:type="dxa"/>
              <w:right w:w="28" w:type="dxa"/>
            </w:tcMar>
            <w:vAlign w:val="center"/>
          </w:tcPr>
          <w:p w14:paraId="334B9B51"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Eastern Ardenne</w:t>
            </w:r>
          </w:p>
        </w:tc>
        <w:tc>
          <w:tcPr>
            <w:tcW w:w="1674" w:type="dxa"/>
            <w:tcBorders>
              <w:top w:val="nil"/>
              <w:left w:val="nil"/>
              <w:bottom w:val="nil"/>
              <w:right w:val="nil"/>
            </w:tcBorders>
            <w:shd w:val="clear" w:color="auto" w:fill="D9D9D9"/>
            <w:tcMar>
              <w:left w:w="28" w:type="dxa"/>
              <w:right w:w="28" w:type="dxa"/>
            </w:tcMar>
            <w:vAlign w:val="center"/>
          </w:tcPr>
          <w:p w14:paraId="7692308A"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Even-aged in conversion to uneven-aged</w:t>
            </w:r>
          </w:p>
        </w:tc>
        <w:tc>
          <w:tcPr>
            <w:tcW w:w="1444" w:type="dxa"/>
            <w:tcBorders>
              <w:top w:val="nil"/>
              <w:left w:val="nil"/>
              <w:bottom w:val="nil"/>
              <w:right w:val="nil"/>
            </w:tcBorders>
            <w:shd w:val="clear" w:color="auto" w:fill="D9D9D9"/>
            <w:tcMar>
              <w:left w:w="28" w:type="dxa"/>
              <w:right w:w="28" w:type="dxa"/>
            </w:tcMar>
            <w:vAlign w:val="center"/>
          </w:tcPr>
          <w:p w14:paraId="615D0E39" w14:textId="77777777" w:rsidR="00944020" w:rsidRPr="008F6866" w:rsidRDefault="00944020" w:rsidP="00542034">
            <w:pPr>
              <w:spacing w:after="0"/>
              <w:jc w:val="center"/>
              <w:rPr>
                <w:rFonts w:cstheme="minorHAnsi"/>
                <w:color w:val="000000"/>
                <w:sz w:val="20"/>
                <w:szCs w:val="20"/>
              </w:rPr>
            </w:pPr>
            <w:r w:rsidRPr="008F6866">
              <w:rPr>
                <w:rFonts w:cstheme="minorHAnsi"/>
                <w:i/>
                <w:color w:val="000000"/>
                <w:sz w:val="20"/>
                <w:szCs w:val="20"/>
              </w:rPr>
              <w:t>Pseudotsuga menziesii</w:t>
            </w:r>
          </w:p>
        </w:tc>
        <w:tc>
          <w:tcPr>
            <w:tcW w:w="971" w:type="dxa"/>
            <w:tcBorders>
              <w:top w:val="nil"/>
              <w:left w:val="nil"/>
              <w:bottom w:val="nil"/>
              <w:right w:val="nil"/>
            </w:tcBorders>
            <w:shd w:val="clear" w:color="auto" w:fill="D9D9D9"/>
            <w:tcMar>
              <w:left w:w="28" w:type="dxa"/>
              <w:right w:w="28" w:type="dxa"/>
            </w:tcMar>
            <w:vAlign w:val="center"/>
          </w:tcPr>
          <w:p w14:paraId="49F796B8"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162</w:t>
            </w:r>
          </w:p>
        </w:tc>
        <w:tc>
          <w:tcPr>
            <w:tcW w:w="1014" w:type="dxa"/>
            <w:tcBorders>
              <w:top w:val="nil"/>
              <w:left w:val="nil"/>
              <w:bottom w:val="nil"/>
              <w:right w:val="nil"/>
            </w:tcBorders>
            <w:shd w:val="clear" w:color="auto" w:fill="D9D9D9"/>
            <w:tcMar>
              <w:left w:w="28" w:type="dxa"/>
              <w:right w:w="28" w:type="dxa"/>
            </w:tcMar>
            <w:vAlign w:val="center"/>
          </w:tcPr>
          <w:p w14:paraId="3A5DEDE8"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40.1</w:t>
            </w:r>
          </w:p>
        </w:tc>
        <w:tc>
          <w:tcPr>
            <w:tcW w:w="1112" w:type="dxa"/>
            <w:tcBorders>
              <w:top w:val="nil"/>
              <w:left w:val="nil"/>
              <w:bottom w:val="nil"/>
              <w:right w:val="nil"/>
            </w:tcBorders>
            <w:shd w:val="clear" w:color="auto" w:fill="D9D9D9"/>
            <w:tcMar>
              <w:left w:w="28" w:type="dxa"/>
              <w:right w:w="28" w:type="dxa"/>
            </w:tcMar>
            <w:vAlign w:val="center"/>
          </w:tcPr>
          <w:p w14:paraId="407CA7AF"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176</w:t>
            </w:r>
          </w:p>
        </w:tc>
        <w:tc>
          <w:tcPr>
            <w:tcW w:w="992" w:type="dxa"/>
            <w:tcBorders>
              <w:top w:val="nil"/>
              <w:left w:val="nil"/>
              <w:bottom w:val="nil"/>
              <w:right w:val="nil"/>
            </w:tcBorders>
            <w:shd w:val="clear" w:color="auto" w:fill="D9D9D9"/>
            <w:tcMar>
              <w:left w:w="28" w:type="dxa"/>
              <w:right w:w="28" w:type="dxa"/>
            </w:tcMar>
            <w:vAlign w:val="center"/>
          </w:tcPr>
          <w:p w14:paraId="0939CC94"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39.2</w:t>
            </w:r>
          </w:p>
        </w:tc>
      </w:tr>
      <w:tr w:rsidR="00944020" w:rsidRPr="008F6866" w14:paraId="3AE9B88D" w14:textId="77777777" w:rsidTr="00542034">
        <w:trPr>
          <w:jc w:val="center"/>
        </w:trPr>
        <w:tc>
          <w:tcPr>
            <w:tcW w:w="1581" w:type="dxa"/>
            <w:tcBorders>
              <w:top w:val="nil"/>
              <w:left w:val="nil"/>
              <w:bottom w:val="nil"/>
              <w:right w:val="nil"/>
            </w:tcBorders>
            <w:shd w:val="clear" w:color="auto" w:fill="FFFFFF"/>
            <w:tcMar>
              <w:left w:w="28" w:type="dxa"/>
              <w:right w:w="28" w:type="dxa"/>
            </w:tcMar>
            <w:vAlign w:val="center"/>
          </w:tcPr>
          <w:p w14:paraId="42D17D70" w14:textId="77777777" w:rsidR="00944020" w:rsidRPr="008F6866" w:rsidRDefault="00944020" w:rsidP="00542034">
            <w:pPr>
              <w:spacing w:after="0"/>
              <w:jc w:val="both"/>
              <w:rPr>
                <w:rFonts w:cstheme="minorHAnsi"/>
                <w:color w:val="000000"/>
                <w:sz w:val="20"/>
                <w:szCs w:val="20"/>
              </w:rPr>
            </w:pPr>
            <w:r w:rsidRPr="008F6866">
              <w:rPr>
                <w:rFonts w:cstheme="minorHAnsi"/>
                <w:color w:val="000000"/>
                <w:sz w:val="20"/>
                <w:szCs w:val="20"/>
              </w:rPr>
              <w:t>Blanche Virée</w:t>
            </w:r>
          </w:p>
        </w:tc>
        <w:tc>
          <w:tcPr>
            <w:tcW w:w="993" w:type="dxa"/>
            <w:tcBorders>
              <w:top w:val="nil"/>
              <w:left w:val="nil"/>
              <w:bottom w:val="nil"/>
              <w:right w:val="nil"/>
            </w:tcBorders>
            <w:shd w:val="clear" w:color="auto" w:fill="FFFFFF"/>
            <w:tcMar>
              <w:left w:w="28" w:type="dxa"/>
              <w:right w:w="28" w:type="dxa"/>
            </w:tcMar>
            <w:vAlign w:val="center"/>
          </w:tcPr>
          <w:p w14:paraId="79C5F9FD"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Ardenne</w:t>
            </w:r>
          </w:p>
        </w:tc>
        <w:tc>
          <w:tcPr>
            <w:tcW w:w="1674" w:type="dxa"/>
            <w:tcBorders>
              <w:top w:val="nil"/>
              <w:left w:val="nil"/>
              <w:bottom w:val="nil"/>
              <w:right w:val="nil"/>
            </w:tcBorders>
            <w:shd w:val="clear" w:color="auto" w:fill="FFFFFF"/>
            <w:tcMar>
              <w:left w:w="28" w:type="dxa"/>
              <w:right w:w="28" w:type="dxa"/>
            </w:tcMar>
            <w:vAlign w:val="center"/>
          </w:tcPr>
          <w:p w14:paraId="3B1469FA"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Even-aged in conversion to uneven-aged</w:t>
            </w:r>
          </w:p>
        </w:tc>
        <w:tc>
          <w:tcPr>
            <w:tcW w:w="1444" w:type="dxa"/>
            <w:tcBorders>
              <w:top w:val="nil"/>
              <w:left w:val="nil"/>
              <w:bottom w:val="nil"/>
              <w:right w:val="nil"/>
            </w:tcBorders>
            <w:shd w:val="clear" w:color="auto" w:fill="FFFFFF"/>
            <w:tcMar>
              <w:left w:w="28" w:type="dxa"/>
              <w:right w:w="28" w:type="dxa"/>
            </w:tcMar>
            <w:vAlign w:val="center"/>
          </w:tcPr>
          <w:p w14:paraId="19327A75" w14:textId="77777777" w:rsidR="00944020" w:rsidRPr="008F6866" w:rsidRDefault="00944020" w:rsidP="00542034">
            <w:pPr>
              <w:spacing w:after="0"/>
              <w:jc w:val="center"/>
              <w:rPr>
                <w:rFonts w:cstheme="minorHAnsi"/>
                <w:color w:val="000000"/>
                <w:sz w:val="20"/>
                <w:szCs w:val="20"/>
              </w:rPr>
            </w:pPr>
            <w:r w:rsidRPr="008F6866">
              <w:rPr>
                <w:rFonts w:cstheme="minorHAnsi"/>
                <w:i/>
                <w:color w:val="000000"/>
                <w:sz w:val="20"/>
                <w:szCs w:val="20"/>
              </w:rPr>
              <w:t>Pseudotsuga menziesii</w:t>
            </w:r>
          </w:p>
        </w:tc>
        <w:tc>
          <w:tcPr>
            <w:tcW w:w="971" w:type="dxa"/>
            <w:tcBorders>
              <w:top w:val="nil"/>
              <w:left w:val="nil"/>
              <w:bottom w:val="nil"/>
              <w:right w:val="nil"/>
            </w:tcBorders>
            <w:shd w:val="clear" w:color="auto" w:fill="FFFFFF"/>
            <w:tcMar>
              <w:left w:w="28" w:type="dxa"/>
              <w:right w:w="28" w:type="dxa"/>
            </w:tcMar>
            <w:vAlign w:val="center"/>
          </w:tcPr>
          <w:p w14:paraId="40909DCA"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552</w:t>
            </w:r>
          </w:p>
        </w:tc>
        <w:tc>
          <w:tcPr>
            <w:tcW w:w="1014" w:type="dxa"/>
            <w:tcBorders>
              <w:top w:val="nil"/>
              <w:left w:val="nil"/>
              <w:bottom w:val="nil"/>
              <w:right w:val="nil"/>
            </w:tcBorders>
            <w:shd w:val="clear" w:color="auto" w:fill="FFFFFF"/>
            <w:tcMar>
              <w:left w:w="28" w:type="dxa"/>
              <w:right w:w="28" w:type="dxa"/>
            </w:tcMar>
            <w:vAlign w:val="center"/>
          </w:tcPr>
          <w:p w14:paraId="07022C92"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38.5</w:t>
            </w:r>
          </w:p>
        </w:tc>
        <w:tc>
          <w:tcPr>
            <w:tcW w:w="1112" w:type="dxa"/>
            <w:tcBorders>
              <w:top w:val="nil"/>
              <w:left w:val="nil"/>
              <w:bottom w:val="nil"/>
              <w:right w:val="nil"/>
            </w:tcBorders>
            <w:shd w:val="clear" w:color="auto" w:fill="FFFFFF"/>
            <w:tcMar>
              <w:left w:w="28" w:type="dxa"/>
              <w:right w:w="28" w:type="dxa"/>
            </w:tcMar>
            <w:vAlign w:val="center"/>
          </w:tcPr>
          <w:p w14:paraId="79749CE0"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94</w:t>
            </w:r>
          </w:p>
        </w:tc>
        <w:tc>
          <w:tcPr>
            <w:tcW w:w="992" w:type="dxa"/>
            <w:tcBorders>
              <w:top w:val="nil"/>
              <w:left w:val="nil"/>
              <w:bottom w:val="nil"/>
              <w:right w:val="nil"/>
            </w:tcBorders>
            <w:shd w:val="clear" w:color="auto" w:fill="FFFFFF"/>
            <w:tcMar>
              <w:left w:w="28" w:type="dxa"/>
              <w:right w:w="28" w:type="dxa"/>
            </w:tcMar>
            <w:vAlign w:val="center"/>
          </w:tcPr>
          <w:p w14:paraId="09B3344A"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30.7</w:t>
            </w:r>
          </w:p>
        </w:tc>
      </w:tr>
      <w:tr w:rsidR="00944020" w:rsidRPr="008F6866" w14:paraId="0BD32485" w14:textId="77777777" w:rsidTr="00542034">
        <w:trPr>
          <w:jc w:val="center"/>
        </w:trPr>
        <w:tc>
          <w:tcPr>
            <w:tcW w:w="1581" w:type="dxa"/>
            <w:tcBorders>
              <w:top w:val="nil"/>
              <w:left w:val="nil"/>
              <w:bottom w:val="single" w:sz="12" w:space="0" w:color="000000"/>
              <w:right w:val="nil"/>
            </w:tcBorders>
            <w:shd w:val="clear" w:color="auto" w:fill="D9D9D9"/>
            <w:tcMar>
              <w:left w:w="28" w:type="dxa"/>
              <w:right w:w="28" w:type="dxa"/>
            </w:tcMar>
            <w:vAlign w:val="center"/>
          </w:tcPr>
          <w:p w14:paraId="3359BF82" w14:textId="77777777" w:rsidR="00944020" w:rsidRPr="008F6866" w:rsidRDefault="00944020" w:rsidP="00542034">
            <w:pPr>
              <w:spacing w:after="0"/>
              <w:jc w:val="both"/>
              <w:rPr>
                <w:rFonts w:cstheme="minorHAnsi"/>
                <w:color w:val="000000"/>
                <w:sz w:val="20"/>
                <w:szCs w:val="20"/>
              </w:rPr>
            </w:pPr>
            <w:r w:rsidRPr="008F6866">
              <w:rPr>
                <w:rFonts w:cstheme="minorHAnsi"/>
                <w:color w:val="000000"/>
                <w:sz w:val="20"/>
                <w:szCs w:val="20"/>
              </w:rPr>
              <w:t>Louvain-la-Neuve</w:t>
            </w:r>
          </w:p>
        </w:tc>
        <w:tc>
          <w:tcPr>
            <w:tcW w:w="993" w:type="dxa"/>
            <w:tcBorders>
              <w:top w:val="nil"/>
              <w:left w:val="nil"/>
              <w:bottom w:val="single" w:sz="12" w:space="0" w:color="000000"/>
              <w:right w:val="nil"/>
            </w:tcBorders>
            <w:shd w:val="clear" w:color="auto" w:fill="D9D9D9"/>
            <w:tcMar>
              <w:left w:w="28" w:type="dxa"/>
              <w:right w:w="28" w:type="dxa"/>
            </w:tcMar>
            <w:vAlign w:val="center"/>
          </w:tcPr>
          <w:p w14:paraId="1514A03E"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Loam region</w:t>
            </w:r>
          </w:p>
        </w:tc>
        <w:tc>
          <w:tcPr>
            <w:tcW w:w="1674" w:type="dxa"/>
            <w:tcBorders>
              <w:top w:val="nil"/>
              <w:left w:val="nil"/>
              <w:bottom w:val="single" w:sz="12" w:space="0" w:color="000000"/>
              <w:right w:val="nil"/>
            </w:tcBorders>
            <w:shd w:val="clear" w:color="auto" w:fill="D9D9D9"/>
            <w:tcMar>
              <w:left w:w="28" w:type="dxa"/>
              <w:right w:w="28" w:type="dxa"/>
            </w:tcMar>
            <w:vAlign w:val="center"/>
          </w:tcPr>
          <w:p w14:paraId="53541EF9"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Even-aged</w:t>
            </w:r>
          </w:p>
        </w:tc>
        <w:tc>
          <w:tcPr>
            <w:tcW w:w="1444" w:type="dxa"/>
            <w:tcBorders>
              <w:top w:val="nil"/>
              <w:left w:val="nil"/>
              <w:bottom w:val="single" w:sz="12" w:space="0" w:color="000000"/>
              <w:right w:val="nil"/>
            </w:tcBorders>
            <w:shd w:val="clear" w:color="auto" w:fill="D9D9D9"/>
            <w:tcMar>
              <w:left w:w="28" w:type="dxa"/>
              <w:right w:w="28" w:type="dxa"/>
            </w:tcMar>
            <w:vAlign w:val="center"/>
          </w:tcPr>
          <w:p w14:paraId="5D3515FD" w14:textId="77777777" w:rsidR="00944020" w:rsidRPr="008F6866" w:rsidRDefault="00944020" w:rsidP="00542034">
            <w:pPr>
              <w:spacing w:after="0"/>
              <w:jc w:val="center"/>
              <w:rPr>
                <w:rFonts w:cstheme="minorHAnsi"/>
                <w:i/>
                <w:color w:val="000000"/>
                <w:sz w:val="20"/>
                <w:szCs w:val="20"/>
              </w:rPr>
            </w:pPr>
            <w:r w:rsidRPr="008F6866">
              <w:rPr>
                <w:rFonts w:cstheme="minorHAnsi"/>
                <w:i/>
                <w:color w:val="000000"/>
                <w:sz w:val="20"/>
                <w:szCs w:val="20"/>
              </w:rPr>
              <w:t>Pinus sylvestris</w:t>
            </w:r>
          </w:p>
          <w:p w14:paraId="58997B74"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Others</w:t>
            </w:r>
          </w:p>
        </w:tc>
        <w:tc>
          <w:tcPr>
            <w:tcW w:w="971" w:type="dxa"/>
            <w:tcBorders>
              <w:top w:val="nil"/>
              <w:left w:val="nil"/>
              <w:bottom w:val="single" w:sz="12" w:space="0" w:color="000000"/>
              <w:right w:val="nil"/>
            </w:tcBorders>
            <w:shd w:val="clear" w:color="auto" w:fill="D9D9D9"/>
            <w:tcMar>
              <w:left w:w="28" w:type="dxa"/>
              <w:right w:w="28" w:type="dxa"/>
            </w:tcMar>
            <w:vAlign w:val="center"/>
          </w:tcPr>
          <w:p w14:paraId="1321E43D"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196</w:t>
            </w:r>
          </w:p>
          <w:p w14:paraId="163DBC7F"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119</w:t>
            </w:r>
          </w:p>
        </w:tc>
        <w:tc>
          <w:tcPr>
            <w:tcW w:w="1014" w:type="dxa"/>
            <w:tcBorders>
              <w:top w:val="nil"/>
              <w:left w:val="nil"/>
              <w:bottom w:val="single" w:sz="12" w:space="0" w:color="000000"/>
              <w:right w:val="nil"/>
            </w:tcBorders>
            <w:shd w:val="clear" w:color="auto" w:fill="D9D9D9"/>
            <w:tcMar>
              <w:left w:w="28" w:type="dxa"/>
              <w:right w:w="28" w:type="dxa"/>
            </w:tcMar>
            <w:vAlign w:val="center"/>
          </w:tcPr>
          <w:p w14:paraId="597520CA"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31.4</w:t>
            </w:r>
          </w:p>
          <w:p w14:paraId="7D77B840"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2.8</w:t>
            </w:r>
          </w:p>
        </w:tc>
        <w:tc>
          <w:tcPr>
            <w:tcW w:w="1112" w:type="dxa"/>
            <w:tcBorders>
              <w:top w:val="nil"/>
              <w:left w:val="nil"/>
              <w:bottom w:val="single" w:sz="12" w:space="0" w:color="000000"/>
              <w:right w:val="nil"/>
            </w:tcBorders>
            <w:shd w:val="clear" w:color="auto" w:fill="D9D9D9"/>
            <w:tcMar>
              <w:left w:w="28" w:type="dxa"/>
              <w:right w:w="28" w:type="dxa"/>
            </w:tcMar>
            <w:vAlign w:val="center"/>
          </w:tcPr>
          <w:p w14:paraId="74E46B67"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142</w:t>
            </w:r>
          </w:p>
          <w:p w14:paraId="79F94DDE"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54</w:t>
            </w:r>
          </w:p>
        </w:tc>
        <w:tc>
          <w:tcPr>
            <w:tcW w:w="992" w:type="dxa"/>
            <w:tcBorders>
              <w:top w:val="nil"/>
              <w:left w:val="nil"/>
              <w:bottom w:val="single" w:sz="12" w:space="0" w:color="000000"/>
              <w:right w:val="nil"/>
            </w:tcBorders>
            <w:shd w:val="clear" w:color="auto" w:fill="D9D9D9"/>
            <w:tcMar>
              <w:left w:w="28" w:type="dxa"/>
              <w:right w:w="28" w:type="dxa"/>
            </w:tcMar>
            <w:vAlign w:val="center"/>
          </w:tcPr>
          <w:p w14:paraId="6C2D3CCD"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21.1</w:t>
            </w:r>
          </w:p>
          <w:p w14:paraId="1E8267C1" w14:textId="77777777" w:rsidR="00944020" w:rsidRPr="008F6866" w:rsidRDefault="00944020" w:rsidP="00542034">
            <w:pPr>
              <w:spacing w:after="0"/>
              <w:jc w:val="center"/>
              <w:rPr>
                <w:rFonts w:cstheme="minorHAnsi"/>
                <w:color w:val="000000"/>
                <w:sz w:val="20"/>
                <w:szCs w:val="20"/>
              </w:rPr>
            </w:pPr>
            <w:r w:rsidRPr="008F6866">
              <w:rPr>
                <w:rFonts w:cstheme="minorHAnsi"/>
                <w:color w:val="000000"/>
                <w:sz w:val="20"/>
                <w:szCs w:val="20"/>
              </w:rPr>
              <w:t>12.9</w:t>
            </w:r>
          </w:p>
        </w:tc>
      </w:tr>
    </w:tbl>
    <w:p w14:paraId="458A7D06" w14:textId="5E7B2430" w:rsidR="006551F0" w:rsidRPr="008F6866" w:rsidRDefault="439441DB" w:rsidP="232ABAF5">
      <w:pPr>
        <w:spacing w:after="60"/>
        <w:jc w:val="both"/>
        <w:rPr>
          <w:b/>
          <w:bCs/>
        </w:rPr>
      </w:pPr>
      <w:bookmarkStart w:id="31" w:name="_heading=h.1hmsyys" w:colFirst="0" w:colLast="0"/>
      <w:bookmarkEnd w:id="31"/>
      <w:r w:rsidRPr="008F6866">
        <w:rPr>
          <w:b/>
          <w:bCs/>
        </w:rPr>
        <w:lastRenderedPageBreak/>
        <w:t>Task 4.2 Definition of silvicultural routes</w:t>
      </w:r>
    </w:p>
    <w:p w14:paraId="16D18055" w14:textId="31E3A2EC" w:rsidR="006551F0" w:rsidRPr="008F6866" w:rsidRDefault="439441DB" w:rsidP="004E34E4">
      <w:pPr>
        <w:spacing w:after="12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To determine the best management approach for ensuring forest resilience to climate change and increasing wildlife pressure, we defined three distinct silvicultural scenarios. These three silvicultural scenarios offered distinct pathways to managing forests under changing climatic and ecological conditions.</w:t>
      </w:r>
    </w:p>
    <w:p w14:paraId="71F149C1" w14:textId="78CFEB0B" w:rsidR="006551F0" w:rsidRPr="008F6866" w:rsidRDefault="439441DB" w:rsidP="004E34E4">
      <w:pPr>
        <w:spacing w:after="12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 xml:space="preserve">The first scenario, referred to as Business As Usual (BAU), maintained an even-aged stand with at least one existing commercial species while limiting silvicultural interventions. Thinnings from below, preferentially removing smaller trees, were conducted every 12 years to maintain a basal area of about 24 m²/ha. Regeneration cuts were triggered when the mean diameter of the 20 largest trees reached the acceptable exploitation threshold. Over 36 years, four regeneration cuts progressively removed more trees. Bramble clearing took place every 6 years, while regeneration clearing was done every 12 years during regeneration cuts. </w:t>
      </w:r>
    </w:p>
    <w:p w14:paraId="2B83F9EE" w14:textId="53316A73" w:rsidR="006551F0" w:rsidRPr="008F6866" w:rsidRDefault="439441DB" w:rsidP="004E34E4">
      <w:pPr>
        <w:spacing w:after="12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 xml:space="preserve">The second scenario, called to as Oak Regeneration (OAK), prioritized the preservation of oaks, a species highly valued both economically and ecologically in Western Europe. Like BAU, thinning from below was conducted every 12 years, maintaining a basal area of about 24 m²/ha. Regeneration cuts began once the dominant mean diameter reached the acceptable exploitation threshold. To promote natural oak regeneration, annual clearing reduced competition from species like hornbeam and beech, along with bramble control. These interventions spanned 13 years, starting six years before and ending six years after the second regeneration cut. </w:t>
      </w:r>
    </w:p>
    <w:p w14:paraId="31EEF14C" w14:textId="1D6D3C14" w:rsidR="006551F0" w:rsidRPr="008F6866" w:rsidRDefault="439441DB" w:rsidP="004E34E4">
      <w:pPr>
        <w:spacing w:after="12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The third scenario, referred to as Diversification (DIV), aimed to enhance both stand composition and structural diversification by relying on natural regeneration and enrichment plantations. This scenario began with the creation of 3 enrichment gaps of 400 m², followed by the plantation of 2,500 protected plants, each 4 years old and 0.5 m tall. Twenty-four years later (in 2039), three new enrichment gaps and plantations were established. Three different species were selected for planting based on site suitability and resilience to future climate conditions: oak (</w:t>
      </w:r>
      <w:r w:rsidRPr="008F6866">
        <w:rPr>
          <w:rFonts w:ascii="Calibri" w:eastAsia="Calibri" w:hAnsi="Calibri" w:cs="Calibri"/>
          <w:i/>
          <w:iCs/>
          <w:color w:val="000000" w:themeColor="text1"/>
        </w:rPr>
        <w:t>Quercus</w:t>
      </w:r>
      <w:r w:rsidRPr="008F6866">
        <w:rPr>
          <w:rFonts w:ascii="Calibri" w:eastAsia="Calibri" w:hAnsi="Calibri" w:cs="Calibri"/>
          <w:color w:val="000000" w:themeColor="text1"/>
        </w:rPr>
        <w:t>), linden (</w:t>
      </w:r>
      <w:r w:rsidRPr="008F6866">
        <w:rPr>
          <w:rFonts w:ascii="Calibri" w:eastAsia="Calibri" w:hAnsi="Calibri" w:cs="Calibri"/>
          <w:i/>
          <w:iCs/>
          <w:color w:val="000000" w:themeColor="text1"/>
        </w:rPr>
        <w:t>Tilia</w:t>
      </w:r>
      <w:r w:rsidRPr="008F6866">
        <w:rPr>
          <w:rFonts w:ascii="Calibri" w:eastAsia="Calibri" w:hAnsi="Calibri" w:cs="Calibri"/>
          <w:color w:val="000000" w:themeColor="text1"/>
        </w:rPr>
        <w:t>), and birch (</w:t>
      </w:r>
      <w:r w:rsidRPr="008F6866">
        <w:rPr>
          <w:rFonts w:ascii="Calibri" w:eastAsia="Calibri" w:hAnsi="Calibri" w:cs="Calibri"/>
          <w:i/>
          <w:iCs/>
          <w:color w:val="000000" w:themeColor="text1"/>
        </w:rPr>
        <w:t>Betula</w:t>
      </w:r>
      <w:r w:rsidRPr="008F6866">
        <w:rPr>
          <w:rFonts w:ascii="Calibri" w:eastAsia="Calibri" w:hAnsi="Calibri" w:cs="Calibri"/>
          <w:color w:val="000000" w:themeColor="text1"/>
        </w:rPr>
        <w:t>). After each plantation, regeneration and vegetation clearings were conducted annually for three years to support their establishment. Additionally, thinnings were carried out every 12 years to diversify the stand and transition it into an uneven-aged structure.</w:t>
      </w:r>
    </w:p>
    <w:p w14:paraId="02A68677" w14:textId="77777777" w:rsidR="004E34E4" w:rsidRPr="008F6866" w:rsidRDefault="004E34E4" w:rsidP="004E34E4">
      <w:pPr>
        <w:spacing w:after="0" w:line="300" w:lineRule="auto"/>
        <w:jc w:val="both"/>
        <w:rPr>
          <w:rFonts w:ascii="Calibri" w:eastAsia="Calibri" w:hAnsi="Calibri" w:cs="Calibri"/>
          <w:color w:val="000000" w:themeColor="text1"/>
        </w:rPr>
      </w:pPr>
    </w:p>
    <w:p w14:paraId="6D53A8EE" w14:textId="77777777" w:rsidR="006551F0" w:rsidRPr="008F6866" w:rsidRDefault="006551F0" w:rsidP="006551F0">
      <w:pPr>
        <w:spacing w:after="60"/>
        <w:rPr>
          <w:b/>
        </w:rPr>
      </w:pPr>
      <w:r w:rsidRPr="008F6866">
        <w:rPr>
          <w:b/>
        </w:rPr>
        <w:t>WP5. Simulation experiments and output analyses</w:t>
      </w:r>
    </w:p>
    <w:p w14:paraId="3D84B343" w14:textId="0CECBD95" w:rsidR="006551F0" w:rsidRPr="008F6866" w:rsidRDefault="36E2585C" w:rsidP="36E2585C">
      <w:pPr>
        <w:spacing w:after="12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We aimed to determine which management approach would be best suited to maintain a resilient forest providing multiple ecosystem services while taking climate change and wildlife pressure into account. Simulations were then carried out on 6 of our study cases presented in Task 4.1, those composed of deciduous species. These sites are:  Baileux, a stand consisting of a balanced mixture of oak and beech with the presence of beech regeneration; Chimay, an oak and hornbeam coppice-with-standards stand from 1880; Stoumont C114, a mixed stand dominated by beech with a significant proportion of oak in the overstory; Louvain-la-Neuve, an old beech stand from 1884 mixed with old oaks; Stoumont C111, a mixed stand dominated by oak with the presence of oak, beech and birch regeneration; and Eupen, an even-aged beech stand from 1934. A more detailed description of the sites is available on the REGE+ website.</w:t>
      </w:r>
    </w:p>
    <w:p w14:paraId="26DDF479" w14:textId="51177267" w:rsidR="006551F0" w:rsidRPr="008F6866" w:rsidRDefault="006551F0" w:rsidP="009C5A4B">
      <w:pPr>
        <w:spacing w:after="120" w:line="300" w:lineRule="auto"/>
        <w:jc w:val="both"/>
        <w:rPr>
          <w:rFonts w:ascii="Calibri" w:eastAsia="Calibri" w:hAnsi="Calibri" w:cs="Calibri"/>
          <w:color w:val="000000"/>
        </w:rPr>
      </w:pPr>
      <w:r w:rsidRPr="008F6866">
        <w:rPr>
          <w:rFonts w:ascii="Calibri" w:eastAsia="Calibri" w:hAnsi="Calibri" w:cs="Calibri"/>
          <w:color w:val="000000"/>
        </w:rPr>
        <w:lastRenderedPageBreak/>
        <w:t xml:space="preserve">The silvicultural routes, described in more depth in Task 4.2, </w:t>
      </w:r>
      <w:r w:rsidR="005409DE" w:rsidRPr="008F6866">
        <w:rPr>
          <w:rFonts w:ascii="Calibri" w:eastAsia="Calibri" w:hAnsi="Calibri" w:cs="Calibri"/>
          <w:color w:val="000000"/>
        </w:rPr>
        <w:t>were</w:t>
      </w:r>
      <w:r w:rsidRPr="008F6866">
        <w:rPr>
          <w:rFonts w:ascii="Calibri" w:eastAsia="Calibri" w:hAnsi="Calibri" w:cs="Calibri"/>
          <w:color w:val="000000"/>
        </w:rPr>
        <w:t xml:space="preserve"> tested on these sites. As a reminder, the aims of the silvicultural routes are: </w:t>
      </w:r>
      <w:r w:rsidR="005409DE" w:rsidRPr="008F6866">
        <w:rPr>
          <w:rFonts w:ascii="Calibri" w:eastAsia="Calibri" w:hAnsi="Calibri" w:cs="Calibri"/>
          <w:color w:val="000000"/>
        </w:rPr>
        <w:t xml:space="preserve">for BAU (Business As Usual), to maintain an even-aged stand with at least one existing commercial species; </w:t>
      </w:r>
      <w:r w:rsidRPr="008F6866">
        <w:rPr>
          <w:rFonts w:ascii="Calibri" w:eastAsia="Calibri" w:hAnsi="Calibri" w:cs="Calibri"/>
          <w:color w:val="000000"/>
        </w:rPr>
        <w:t xml:space="preserve">for OAK, to maintain an even-aged stand with natural oak regeneration; and for DIV (Diversification), to diversify the stand in terms of age and species to improve its resilience, with plantations. </w:t>
      </w:r>
    </w:p>
    <w:p w14:paraId="11C7B7F3" w14:textId="38C23C74" w:rsidR="00675AE8" w:rsidRPr="008F6866" w:rsidRDefault="0010787C" w:rsidP="009C5A4B">
      <w:pPr>
        <w:spacing w:after="12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 xml:space="preserve">Two separate sets of simulations were run: </w:t>
      </w:r>
      <w:r w:rsidR="00BB3720" w:rsidRPr="008F6866">
        <w:rPr>
          <w:rFonts w:ascii="Calibri" w:eastAsia="Calibri" w:hAnsi="Calibri" w:cs="Calibri"/>
          <w:color w:val="000000" w:themeColor="text1"/>
        </w:rPr>
        <w:t xml:space="preserve">one to investigate the climate change impacts and </w:t>
      </w:r>
      <w:r w:rsidRPr="008F6866">
        <w:rPr>
          <w:rFonts w:ascii="Calibri" w:eastAsia="Calibri" w:hAnsi="Calibri" w:cs="Calibri"/>
          <w:color w:val="000000" w:themeColor="text1"/>
        </w:rPr>
        <w:t>one to analyse the effects of wildlife pressure</w:t>
      </w:r>
      <w:r w:rsidR="00BB3720" w:rsidRPr="008F6866">
        <w:rPr>
          <w:rFonts w:ascii="Calibri" w:eastAsia="Calibri" w:hAnsi="Calibri" w:cs="Calibri"/>
          <w:color w:val="000000" w:themeColor="text1"/>
        </w:rPr>
        <w:t>.</w:t>
      </w:r>
    </w:p>
    <w:p w14:paraId="2CB3EADB" w14:textId="70E7D6F2" w:rsidR="00BB3720" w:rsidRPr="008F6866" w:rsidRDefault="00BB3720" w:rsidP="009C5A4B">
      <w:pPr>
        <w:spacing w:after="12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 xml:space="preserve">To address the impacts of climate change, 5 different climate scenarios were used in the simulations: Historical, corresponding to climate over the 1976-2005 period; SSP1, called Sustainability ("Taking the Green Road"), with the expected level of radiative forcing </w:t>
      </w:r>
      <w:r w:rsidR="00604496" w:rsidRPr="008F6866">
        <w:rPr>
          <w:rFonts w:ascii="Calibri" w:eastAsia="Calibri" w:hAnsi="Calibri" w:cs="Calibri"/>
          <w:color w:val="000000" w:themeColor="text1"/>
        </w:rPr>
        <w:t xml:space="preserve">of 2.6 W/m² </w:t>
      </w:r>
      <w:r w:rsidRPr="008F6866">
        <w:rPr>
          <w:rFonts w:ascii="Calibri" w:eastAsia="Calibri" w:hAnsi="Calibri" w:cs="Calibri"/>
          <w:color w:val="000000" w:themeColor="text1"/>
        </w:rPr>
        <w:t>in the year 2100 corresponding to CO</w:t>
      </w:r>
      <w:r w:rsidRPr="008F6866">
        <w:rPr>
          <w:rFonts w:ascii="Calibri" w:eastAsia="Calibri" w:hAnsi="Calibri" w:cs="Calibri"/>
          <w:color w:val="000000" w:themeColor="text1"/>
          <w:vertAlign w:val="subscript"/>
        </w:rPr>
        <w:t>2</w:t>
      </w:r>
      <w:r w:rsidRPr="008F6866">
        <w:rPr>
          <w:rFonts w:ascii="Calibri" w:eastAsia="Calibri" w:hAnsi="Calibri" w:cs="Calibri"/>
          <w:color w:val="000000" w:themeColor="text1"/>
        </w:rPr>
        <w:t> emissions cut to net zero around 2075; SSP2</w:t>
      </w:r>
      <w:r w:rsidR="00604496" w:rsidRPr="008F6866">
        <w:rPr>
          <w:rFonts w:ascii="Calibri" w:eastAsia="Calibri" w:hAnsi="Calibri" w:cs="Calibri"/>
          <w:color w:val="000000" w:themeColor="text1"/>
        </w:rPr>
        <w:t xml:space="preserve">, </w:t>
      </w:r>
      <w:r w:rsidR="008D760C" w:rsidRPr="008F6866">
        <w:rPr>
          <w:rFonts w:ascii="Calibri" w:eastAsia="Calibri" w:hAnsi="Calibri" w:cs="Calibri"/>
          <w:color w:val="000000" w:themeColor="text1"/>
        </w:rPr>
        <w:t>"</w:t>
      </w:r>
      <w:r w:rsidR="00604496" w:rsidRPr="008F6866">
        <w:rPr>
          <w:rFonts w:ascii="Calibri" w:eastAsia="Calibri" w:hAnsi="Calibri" w:cs="Calibri"/>
          <w:color w:val="000000" w:themeColor="text1"/>
        </w:rPr>
        <w:t>Middle of the road</w:t>
      </w:r>
      <w:r w:rsidR="008D760C" w:rsidRPr="008F6866">
        <w:rPr>
          <w:rFonts w:ascii="Calibri" w:eastAsia="Calibri" w:hAnsi="Calibri" w:cs="Calibri"/>
          <w:color w:val="000000" w:themeColor="text1"/>
        </w:rPr>
        <w:t>"</w:t>
      </w:r>
      <w:r w:rsidRPr="008F6866">
        <w:rPr>
          <w:rFonts w:ascii="Calibri" w:eastAsia="Calibri" w:hAnsi="Calibri" w:cs="Calibri"/>
          <w:color w:val="000000" w:themeColor="text1"/>
        </w:rPr>
        <w:t>,</w:t>
      </w:r>
      <w:r w:rsidR="00604496" w:rsidRPr="008F6866">
        <w:rPr>
          <w:rFonts w:ascii="Calibri" w:eastAsia="Calibri" w:hAnsi="Calibri" w:cs="Calibri"/>
          <w:color w:val="000000" w:themeColor="text1"/>
        </w:rPr>
        <w:t xml:space="preserve"> considering that current emission levels are maintained until 2050 and then fall but without reaching net zero by 2100 (4.5 W/m² radiative forcing in 2100)</w:t>
      </w:r>
      <w:r w:rsidR="008D760C" w:rsidRPr="008F6866">
        <w:rPr>
          <w:rFonts w:ascii="Calibri" w:eastAsia="Calibri" w:hAnsi="Calibri" w:cs="Calibri"/>
          <w:color w:val="000000" w:themeColor="text1"/>
        </w:rPr>
        <w:t>;</w:t>
      </w:r>
      <w:r w:rsidRPr="008F6866">
        <w:rPr>
          <w:rFonts w:ascii="Calibri" w:eastAsia="Calibri" w:hAnsi="Calibri" w:cs="Calibri"/>
          <w:color w:val="000000" w:themeColor="text1"/>
        </w:rPr>
        <w:t xml:space="preserve"> SSP3, named Regional Rivalry ("A Rocky Road"), </w:t>
      </w:r>
      <w:r w:rsidR="008D760C" w:rsidRPr="008F6866">
        <w:rPr>
          <w:rFonts w:ascii="Calibri" w:eastAsia="Calibri" w:hAnsi="Calibri" w:cs="Calibri"/>
          <w:color w:val="000000" w:themeColor="text1"/>
        </w:rPr>
        <w:t>assuming a doubling of CO</w:t>
      </w:r>
      <w:r w:rsidR="008D760C" w:rsidRPr="008F6866">
        <w:rPr>
          <w:rFonts w:ascii="Calibri" w:eastAsia="Calibri" w:hAnsi="Calibri" w:cs="Calibri"/>
          <w:color w:val="000000" w:themeColor="text1"/>
          <w:vertAlign w:val="subscript"/>
        </w:rPr>
        <w:t>2</w:t>
      </w:r>
      <w:r w:rsidR="008D760C" w:rsidRPr="008F6866">
        <w:rPr>
          <w:rFonts w:ascii="Calibri" w:eastAsia="Calibri" w:hAnsi="Calibri" w:cs="Calibri"/>
          <w:color w:val="000000" w:themeColor="text1"/>
        </w:rPr>
        <w:t xml:space="preserve"> emissions by 2100 (7.0 W/m² radiative forcing); and SSP5, "Fossil-Fueled Development", for which CO</w:t>
      </w:r>
      <w:r w:rsidR="008D760C" w:rsidRPr="008F6866">
        <w:rPr>
          <w:rFonts w:ascii="Calibri" w:eastAsia="Calibri" w:hAnsi="Calibri" w:cs="Calibri"/>
          <w:color w:val="000000" w:themeColor="text1"/>
          <w:vertAlign w:val="subscript"/>
        </w:rPr>
        <w:t>2</w:t>
      </w:r>
      <w:r w:rsidR="008D760C" w:rsidRPr="008F6866">
        <w:rPr>
          <w:rFonts w:ascii="Calibri" w:eastAsia="Calibri" w:hAnsi="Calibri" w:cs="Calibri"/>
          <w:color w:val="000000" w:themeColor="text1"/>
        </w:rPr>
        <w:t xml:space="preserve"> emissions are assumed to triple by 2100 (8.5 W/m² radiative forcing).</w:t>
      </w:r>
      <w:r w:rsidR="00C1757D" w:rsidRPr="008F6866">
        <w:rPr>
          <w:rFonts w:ascii="Calibri" w:eastAsia="Calibri" w:hAnsi="Calibri" w:cs="Calibri"/>
          <w:color w:val="000000" w:themeColor="text1"/>
        </w:rPr>
        <w:t xml:space="preserve"> </w:t>
      </w:r>
      <w:r w:rsidR="001F091D" w:rsidRPr="008F6866">
        <w:rPr>
          <w:rFonts w:ascii="Calibri" w:eastAsia="Calibri" w:hAnsi="Calibri" w:cs="Calibri"/>
          <w:color w:val="000000" w:themeColor="text1"/>
        </w:rPr>
        <w:t>Simulations were run twice f</w:t>
      </w:r>
      <w:r w:rsidR="00C1757D" w:rsidRPr="008F6866">
        <w:rPr>
          <w:rFonts w:ascii="Calibri" w:eastAsia="Calibri" w:hAnsi="Calibri" w:cs="Calibri"/>
          <w:color w:val="000000" w:themeColor="text1"/>
        </w:rPr>
        <w:t>or each SSP scenario</w:t>
      </w:r>
      <w:r w:rsidR="001F091D" w:rsidRPr="008F6866">
        <w:rPr>
          <w:rFonts w:ascii="Calibri" w:eastAsia="Calibri" w:hAnsi="Calibri" w:cs="Calibri"/>
          <w:color w:val="000000" w:themeColor="text1"/>
        </w:rPr>
        <w:t xml:space="preserve">: (1) </w:t>
      </w:r>
      <w:r w:rsidR="001617D2" w:rsidRPr="008F6866">
        <w:rPr>
          <w:rFonts w:ascii="Calibri" w:eastAsia="Calibri" w:hAnsi="Calibri" w:cs="Calibri"/>
          <w:color w:val="000000" w:themeColor="text1"/>
        </w:rPr>
        <w:t>with temporal variations in atmospheric CO</w:t>
      </w:r>
      <w:r w:rsidR="001617D2" w:rsidRPr="008F6866">
        <w:rPr>
          <w:rFonts w:ascii="Calibri" w:eastAsia="Calibri" w:hAnsi="Calibri" w:cs="Calibri"/>
          <w:color w:val="000000" w:themeColor="text1"/>
          <w:vertAlign w:val="subscript"/>
        </w:rPr>
        <w:t>2</w:t>
      </w:r>
      <w:r w:rsidR="001617D2" w:rsidRPr="008F6866">
        <w:rPr>
          <w:rFonts w:ascii="Calibri" w:eastAsia="Calibri" w:hAnsi="Calibri" w:cs="Calibri"/>
          <w:color w:val="000000" w:themeColor="text1"/>
        </w:rPr>
        <w:t xml:space="preserve"> concentrations corresponding to the emission scenario </w:t>
      </w:r>
      <w:r w:rsidR="001F091D" w:rsidRPr="008F6866">
        <w:rPr>
          <w:rFonts w:ascii="Calibri" w:eastAsia="Calibri" w:hAnsi="Calibri" w:cs="Calibri"/>
          <w:color w:val="000000" w:themeColor="text1"/>
        </w:rPr>
        <w:t>and (2)</w:t>
      </w:r>
      <w:r w:rsidR="001617D2" w:rsidRPr="008F6866">
        <w:rPr>
          <w:rFonts w:ascii="Calibri" w:eastAsia="Calibri" w:hAnsi="Calibri" w:cs="Calibri"/>
          <w:color w:val="000000" w:themeColor="text1"/>
        </w:rPr>
        <w:t xml:space="preserve"> </w:t>
      </w:r>
      <w:r w:rsidR="0045766D" w:rsidRPr="008F6866">
        <w:rPr>
          <w:rFonts w:ascii="Calibri" w:eastAsia="Calibri" w:hAnsi="Calibri" w:cs="Calibri"/>
          <w:color w:val="000000" w:themeColor="text1"/>
        </w:rPr>
        <w:t>with</w:t>
      </w:r>
      <w:r w:rsidR="001617D2" w:rsidRPr="008F6866">
        <w:rPr>
          <w:rFonts w:ascii="Calibri" w:eastAsia="Calibri" w:hAnsi="Calibri" w:cs="Calibri"/>
          <w:color w:val="000000" w:themeColor="text1"/>
        </w:rPr>
        <w:t xml:space="preserve"> atmospheric CO</w:t>
      </w:r>
      <w:r w:rsidR="001617D2" w:rsidRPr="008F6866">
        <w:rPr>
          <w:rFonts w:ascii="Calibri" w:eastAsia="Calibri" w:hAnsi="Calibri" w:cs="Calibri"/>
          <w:color w:val="000000" w:themeColor="text1"/>
          <w:vertAlign w:val="subscript"/>
        </w:rPr>
        <w:t>2</w:t>
      </w:r>
      <w:r w:rsidR="001617D2" w:rsidRPr="008F6866">
        <w:rPr>
          <w:rFonts w:ascii="Calibri" w:eastAsia="Calibri" w:hAnsi="Calibri" w:cs="Calibri"/>
          <w:color w:val="000000" w:themeColor="text1"/>
        </w:rPr>
        <w:t xml:space="preserve"> </w:t>
      </w:r>
      <w:r w:rsidR="0045766D" w:rsidRPr="008F6866">
        <w:rPr>
          <w:rFonts w:ascii="Calibri" w:eastAsia="Calibri" w:hAnsi="Calibri" w:cs="Calibri"/>
          <w:color w:val="000000" w:themeColor="text1"/>
        </w:rPr>
        <w:t>fixed at</w:t>
      </w:r>
      <w:r w:rsidR="001617D2" w:rsidRPr="008F6866">
        <w:rPr>
          <w:rFonts w:ascii="Calibri" w:eastAsia="Calibri" w:hAnsi="Calibri" w:cs="Calibri"/>
          <w:color w:val="000000" w:themeColor="text1"/>
        </w:rPr>
        <w:t xml:space="preserve"> 380 ppm.</w:t>
      </w:r>
      <w:r w:rsidR="0006332D" w:rsidRPr="008F6866">
        <w:rPr>
          <w:rFonts w:ascii="Calibri" w:eastAsia="Calibri" w:hAnsi="Calibri" w:cs="Calibri"/>
          <w:color w:val="000000" w:themeColor="text1"/>
        </w:rPr>
        <w:t xml:space="preserve"> This allowed to separate the effect</w:t>
      </w:r>
      <w:r w:rsidR="000D0759" w:rsidRPr="008F6866">
        <w:rPr>
          <w:rFonts w:ascii="Calibri" w:eastAsia="Calibri" w:hAnsi="Calibri" w:cs="Calibri"/>
          <w:color w:val="000000" w:themeColor="text1"/>
        </w:rPr>
        <w:t xml:space="preserve"> of climate change in the strict sense</w:t>
      </w:r>
      <w:r w:rsidR="0006332D" w:rsidRPr="008F6866">
        <w:rPr>
          <w:rFonts w:ascii="Calibri" w:eastAsia="Calibri" w:hAnsi="Calibri" w:cs="Calibri"/>
          <w:color w:val="000000" w:themeColor="text1"/>
        </w:rPr>
        <w:t xml:space="preserve"> </w:t>
      </w:r>
      <w:r w:rsidR="000D0759" w:rsidRPr="008F6866">
        <w:rPr>
          <w:rFonts w:ascii="Calibri" w:eastAsia="Calibri" w:hAnsi="Calibri" w:cs="Calibri"/>
          <w:color w:val="000000" w:themeColor="text1"/>
        </w:rPr>
        <w:t>from that of CO</w:t>
      </w:r>
      <w:r w:rsidR="000D0759" w:rsidRPr="008F6866">
        <w:rPr>
          <w:rFonts w:ascii="Calibri" w:eastAsia="Calibri" w:hAnsi="Calibri" w:cs="Calibri"/>
          <w:color w:val="000000" w:themeColor="text1"/>
          <w:vertAlign w:val="subscript"/>
        </w:rPr>
        <w:t>2</w:t>
      </w:r>
      <w:r w:rsidR="000D0759" w:rsidRPr="008F6866">
        <w:rPr>
          <w:rFonts w:ascii="Calibri" w:eastAsia="Calibri" w:hAnsi="Calibri" w:cs="Calibri"/>
          <w:color w:val="000000" w:themeColor="text1"/>
        </w:rPr>
        <w:t xml:space="preserve"> fertilization on ecosystem functioning.</w:t>
      </w:r>
      <w:r w:rsidR="00EB165E" w:rsidRPr="008F6866">
        <w:rPr>
          <w:rFonts w:ascii="Calibri" w:eastAsia="Calibri" w:hAnsi="Calibri" w:cs="Calibri"/>
          <w:color w:val="000000" w:themeColor="text1"/>
        </w:rPr>
        <w:t xml:space="preserve"> Only atmospheric CO</w:t>
      </w:r>
      <w:r w:rsidR="00EB165E" w:rsidRPr="008F6866">
        <w:rPr>
          <w:rFonts w:ascii="Calibri" w:eastAsia="Calibri" w:hAnsi="Calibri" w:cs="Calibri"/>
          <w:color w:val="000000" w:themeColor="text1"/>
          <w:vertAlign w:val="subscript"/>
        </w:rPr>
        <w:t>2</w:t>
      </w:r>
      <w:r w:rsidR="00EB165E" w:rsidRPr="008F6866">
        <w:rPr>
          <w:rFonts w:ascii="Calibri" w:eastAsia="Calibri" w:hAnsi="Calibri" w:cs="Calibri"/>
          <w:color w:val="000000" w:themeColor="text1"/>
        </w:rPr>
        <w:t xml:space="preserve"> fixed at 380 ppm was used for the historical scenario. In each case, </w:t>
      </w:r>
      <w:r w:rsidR="00C21F1A" w:rsidRPr="008F6866">
        <w:rPr>
          <w:rFonts w:ascii="Calibri" w:eastAsia="Calibri" w:hAnsi="Calibri" w:cs="Calibri"/>
          <w:color w:val="000000" w:themeColor="text1"/>
        </w:rPr>
        <w:t xml:space="preserve">6 </w:t>
      </w:r>
      <w:r w:rsidR="006464D8" w:rsidRPr="008F6866">
        <w:rPr>
          <w:rFonts w:ascii="Calibri" w:eastAsia="Calibri" w:hAnsi="Calibri" w:cs="Calibri"/>
          <w:color w:val="000000" w:themeColor="text1"/>
        </w:rPr>
        <w:t>global climate models were considered</w:t>
      </w:r>
      <w:r w:rsidR="000E7C76" w:rsidRPr="008F6866">
        <w:rPr>
          <w:rFonts w:ascii="Calibri" w:eastAsia="Calibri" w:hAnsi="Calibri" w:cs="Calibri"/>
          <w:color w:val="000000" w:themeColor="text1"/>
        </w:rPr>
        <w:t>: ACCESS-CM2, IPSL-CM6A-LR, MPI-ESM1-2-LR, MPI</w:t>
      </w:r>
      <w:r w:rsidR="003338F7" w:rsidRPr="008F6866">
        <w:rPr>
          <w:rFonts w:ascii="Calibri" w:eastAsia="Calibri" w:hAnsi="Calibri" w:cs="Calibri"/>
          <w:color w:val="000000" w:themeColor="text1"/>
        </w:rPr>
        <w:noBreakHyphen/>
      </w:r>
      <w:r w:rsidR="000E7C76" w:rsidRPr="008F6866">
        <w:rPr>
          <w:rFonts w:ascii="Calibri" w:eastAsia="Calibri" w:hAnsi="Calibri" w:cs="Calibri"/>
          <w:color w:val="000000" w:themeColor="text1"/>
        </w:rPr>
        <w:t>ESM1</w:t>
      </w:r>
      <w:r w:rsidR="003338F7" w:rsidRPr="008F6866">
        <w:rPr>
          <w:rFonts w:ascii="Calibri" w:eastAsia="Calibri" w:hAnsi="Calibri" w:cs="Calibri"/>
          <w:color w:val="000000" w:themeColor="text1"/>
        </w:rPr>
        <w:noBreakHyphen/>
      </w:r>
      <w:r w:rsidR="000E7C76" w:rsidRPr="008F6866">
        <w:rPr>
          <w:rFonts w:ascii="Calibri" w:eastAsia="Calibri" w:hAnsi="Calibri" w:cs="Calibri"/>
          <w:color w:val="000000" w:themeColor="text1"/>
        </w:rPr>
        <w:t>2</w:t>
      </w:r>
      <w:r w:rsidR="003338F7" w:rsidRPr="008F6866">
        <w:rPr>
          <w:rFonts w:ascii="Calibri" w:eastAsia="Calibri" w:hAnsi="Calibri" w:cs="Calibri"/>
          <w:color w:val="000000" w:themeColor="text1"/>
        </w:rPr>
        <w:noBreakHyphen/>
      </w:r>
      <w:r w:rsidR="000E7C76" w:rsidRPr="008F6866">
        <w:rPr>
          <w:rFonts w:ascii="Calibri" w:eastAsia="Calibri" w:hAnsi="Calibri" w:cs="Calibri"/>
          <w:color w:val="000000" w:themeColor="text1"/>
        </w:rPr>
        <w:t>HR, MRI-ESM2-0 and CanESM5.</w:t>
      </w:r>
      <w:r w:rsidR="004F6B4C" w:rsidRPr="008F6866">
        <w:rPr>
          <w:rFonts w:ascii="Calibri" w:eastAsia="Calibri" w:hAnsi="Calibri" w:cs="Calibri"/>
          <w:color w:val="000000" w:themeColor="text1"/>
        </w:rPr>
        <w:t xml:space="preserve"> Finally, the simulations were repeated for each of the 6 selected study cases and for the 3 silvicultural routes in each case. This resulted in a set of </w:t>
      </w:r>
      <w:r w:rsidR="002359D3" w:rsidRPr="008F6866">
        <w:rPr>
          <w:rFonts w:ascii="Calibri" w:eastAsia="Calibri" w:hAnsi="Calibri" w:cs="Calibri"/>
          <w:color w:val="000000" w:themeColor="text1"/>
        </w:rPr>
        <w:t>972</w:t>
      </w:r>
      <w:r w:rsidR="004F6B4C" w:rsidRPr="008F6866">
        <w:rPr>
          <w:rFonts w:ascii="Calibri" w:eastAsia="Calibri" w:hAnsi="Calibri" w:cs="Calibri"/>
          <w:color w:val="000000" w:themeColor="text1"/>
        </w:rPr>
        <w:t xml:space="preserve"> (6 sites x 3 silvicultural routes x 6 climate models x </w:t>
      </w:r>
      <w:r w:rsidR="002359D3" w:rsidRPr="008F6866">
        <w:rPr>
          <w:rFonts w:ascii="Calibri" w:eastAsia="Calibri" w:hAnsi="Calibri" w:cs="Calibri"/>
          <w:color w:val="000000" w:themeColor="text1"/>
        </w:rPr>
        <w:t>[4 SSP x 2 CO</w:t>
      </w:r>
      <w:r w:rsidR="002359D3" w:rsidRPr="008F6866">
        <w:rPr>
          <w:rFonts w:ascii="Calibri" w:eastAsia="Calibri" w:hAnsi="Calibri" w:cs="Calibri"/>
          <w:color w:val="000000" w:themeColor="text1"/>
          <w:vertAlign w:val="subscript"/>
        </w:rPr>
        <w:t>2</w:t>
      </w:r>
      <w:r w:rsidR="002359D3" w:rsidRPr="008F6866">
        <w:rPr>
          <w:rFonts w:ascii="Calibri" w:eastAsia="Calibri" w:hAnsi="Calibri" w:cs="Calibri"/>
          <w:color w:val="000000" w:themeColor="text1"/>
        </w:rPr>
        <w:t xml:space="preserve"> modalities + historical])</w:t>
      </w:r>
      <w:r w:rsidR="004F6B4C" w:rsidRPr="008F6866">
        <w:rPr>
          <w:rFonts w:ascii="Calibri" w:eastAsia="Calibri" w:hAnsi="Calibri" w:cs="Calibri"/>
          <w:color w:val="000000" w:themeColor="text1"/>
        </w:rPr>
        <w:t xml:space="preserve"> runs.</w:t>
      </w:r>
    </w:p>
    <w:p w14:paraId="0B8B2752" w14:textId="0705BFAF" w:rsidR="009C5A4B" w:rsidRPr="008F6866" w:rsidRDefault="439441DB" w:rsidP="00726E0D">
      <w:pPr>
        <w:spacing w:after="12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To assess wildlife pressure, 4 ungulate pressure levels were simulated based on observed levels of ungulate density. The first level (no pressure) corresponded to situations observed in fenced plots where no ungulates were present. The second level (low pressure) was assumed to correspond to what would be recommended for sustainable management. The third level (medium pressure) was assumed to correspond to the average impact observed in Wallonia. The fourth level (high pressure) corresponded to the most problematic situation recorded in Wallonia. We used an empirical approach by applying a reduction in seedling height growth</w:t>
      </w:r>
      <w:r w:rsidRPr="008F6866">
        <w:rPr>
          <w:rFonts w:ascii="Times New Roman" w:eastAsia="Times New Roman" w:hAnsi="Times New Roman" w:cs="Times New Roman"/>
          <w:color w:val="000000" w:themeColor="text1"/>
          <w:sz w:val="24"/>
          <w:szCs w:val="24"/>
        </w:rPr>
        <w:t>,</w:t>
      </w:r>
      <w:r w:rsidRPr="008F6866">
        <w:rPr>
          <w:rFonts w:ascii="Calibri" w:eastAsia="Calibri" w:hAnsi="Calibri" w:cs="Calibri"/>
          <w:color w:val="000000" w:themeColor="text1"/>
        </w:rPr>
        <w:t xml:space="preserve"> based on</w:t>
      </w:r>
      <w:r w:rsidR="003338F7" w:rsidRPr="008F6866">
        <w:rPr>
          <w:rFonts w:ascii="Calibri" w:eastAsia="Calibri" w:hAnsi="Calibri" w:cs="Calibri"/>
          <w:color w:val="000000" w:themeColor="text1"/>
        </w:rPr>
        <w:t xml:space="preserve"> </w:t>
      </w:r>
      <w:r w:rsidR="003338F7" w:rsidRPr="008F6866">
        <w:rPr>
          <w:rFonts w:ascii="Calibri" w:eastAsia="Calibri" w:hAnsi="Calibri" w:cs="Calibri"/>
          <w:color w:val="000000" w:themeColor="text1"/>
        </w:rPr>
        <w:fldChar w:fldCharType="begin"/>
      </w:r>
      <w:r w:rsidR="006201C6">
        <w:rPr>
          <w:rFonts w:ascii="Calibri" w:eastAsia="Calibri" w:hAnsi="Calibri" w:cs="Calibri"/>
          <w:color w:val="000000" w:themeColor="text1"/>
        </w:rPr>
        <w:instrText xml:space="preserve"> ADDIN EN.CITE &lt;EndNote&gt;&lt;Cite AuthorYear="1"&gt;&lt;Author&gt;Candaele&lt;/Author&gt;&lt;Year&gt;2023&lt;/Year&gt;&lt;RecNum&gt;302&lt;/RecNum&gt;&lt;IDText&gt;Candaele23&lt;/IDText&gt;&lt;DisplayText&gt;Candaele&lt;style face="italic"&gt; et al.&lt;/style&gt; (2023)&lt;/DisplayText&gt;&lt;record&gt;&lt;rec-number&gt;302&lt;/rec-number&gt;&lt;foreign-keys&gt;&lt;key app="EN" db-id="0px2fzdxhrpdrre2w5f5pdryx90atadrdavt" timestamp="1705674045"&gt;302&lt;/key&gt;&lt;/foreign-keys&gt;&lt;ref-type name="Journal Article"&gt;17&lt;/ref-type&gt;&lt;contributors&gt;&lt;authors&gt;&lt;author&gt;Candaele, R.&lt;/author&gt;&lt;author&gt;Ligot, G.&lt;/author&gt;&lt;author&gt;Licoppe, A.&lt;/author&gt;&lt;author&gt;Lievens, J.&lt;/author&gt;&lt;author&gt;Fichefet, V.&lt;/author&gt;&lt;author&gt;Jonard, M.&lt;/author&gt;&lt;author&gt;André, F.&lt;/author&gt;&lt;author&gt;Lejeune, P.&lt;/author&gt;&lt;/authors&gt;&lt;/contributors&gt;&lt;titles&gt;&lt;title&gt;Interspecific Growth Reductions Caused by Wild Ungulates on Tree Seedlings and Their Implications for Temperate {Q}uercus-{F}agus Forests&lt;/title&gt;&lt;secondary-title&gt;Forests&lt;/secondary-title&gt;&lt;/titles&gt;&lt;periodical&gt;&lt;full-title&gt;Forests&lt;/full-title&gt;&lt;/periodical&gt;&lt;pages&gt;1330&lt;/pages&gt;&lt;volume&gt;14&lt;/volume&gt;&lt;number&gt;7&lt;/number&gt;&lt;dates&gt;&lt;year&gt;2023&lt;/year&gt;&lt;/dates&gt;&lt;label&gt;Candaele23&lt;/label&gt;&lt;work-type&gt;Article&lt;/work-type&gt;&lt;urls&gt;&lt;related-urls&gt;&lt;url&gt;https://www.scopus.com/inward/record.uri?eid=2-s2.0-85166268920&amp;amp;doi=10.3390%2ff14071330&amp;amp;partnerID=40&amp;amp;md5=baec94aad47ddae074cf4d93c246c4b8&lt;/url&gt;&lt;/related-urls&gt;&lt;/urls&gt;&lt;custom7&gt;1330&lt;/custom7&gt;&lt;electronic-resource-num&gt;10.3390/f14071330&lt;/electronic-resource-num&gt;&lt;remote-database-name&gt;Scopus&lt;/remote-database-name&gt;&lt;/record&gt;&lt;/Cite&gt;&lt;/EndNote&gt;</w:instrText>
      </w:r>
      <w:r w:rsidR="003338F7" w:rsidRPr="008F6866">
        <w:rPr>
          <w:rFonts w:ascii="Calibri" w:eastAsia="Calibri" w:hAnsi="Calibri" w:cs="Calibri"/>
          <w:color w:val="000000" w:themeColor="text1"/>
        </w:rPr>
        <w:fldChar w:fldCharType="separate"/>
      </w:r>
      <w:r w:rsidR="006201C6">
        <w:rPr>
          <w:rFonts w:ascii="Calibri" w:eastAsia="Calibri" w:hAnsi="Calibri" w:cs="Calibri"/>
          <w:noProof/>
          <w:color w:val="000000" w:themeColor="text1"/>
        </w:rPr>
        <w:t>Candaele</w:t>
      </w:r>
      <w:r w:rsidR="006201C6" w:rsidRPr="006201C6">
        <w:rPr>
          <w:rFonts w:ascii="Calibri" w:eastAsia="Calibri" w:hAnsi="Calibri" w:cs="Calibri"/>
          <w:i/>
          <w:noProof/>
          <w:color w:val="000000" w:themeColor="text1"/>
        </w:rPr>
        <w:t xml:space="preserve"> et al.</w:t>
      </w:r>
      <w:r w:rsidR="006201C6">
        <w:rPr>
          <w:rFonts w:ascii="Calibri" w:eastAsia="Calibri" w:hAnsi="Calibri" w:cs="Calibri"/>
          <w:noProof/>
          <w:color w:val="000000" w:themeColor="text1"/>
        </w:rPr>
        <w:t xml:space="preserve"> (2023)</w:t>
      </w:r>
      <w:r w:rsidR="003338F7" w:rsidRPr="008F6866">
        <w:rPr>
          <w:rFonts w:ascii="Calibri" w:eastAsia="Calibri" w:hAnsi="Calibri" w:cs="Calibri"/>
          <w:color w:val="000000" w:themeColor="text1"/>
        </w:rPr>
        <w:fldChar w:fldCharType="end"/>
      </w:r>
      <w:r w:rsidRPr="008F6866">
        <w:rPr>
          <w:rFonts w:ascii="Calibri" w:eastAsia="Calibri" w:hAnsi="Calibri" w:cs="Calibri"/>
          <w:color w:val="000000" w:themeColor="text1"/>
        </w:rPr>
        <w:t>, for each tree species under different ungulate population levels</w:t>
      </w:r>
      <w:r w:rsidR="00582F44" w:rsidRPr="008F6866">
        <w:rPr>
          <w:rFonts w:ascii="Calibri" w:eastAsia="Calibri" w:hAnsi="Calibri" w:cs="Calibri"/>
          <w:color w:val="000000" w:themeColor="text1"/>
        </w:rPr>
        <w:t xml:space="preserve"> (</w:t>
      </w:r>
      <w:r w:rsidR="00AD3B18" w:rsidRPr="008F6866">
        <w:rPr>
          <w:rFonts w:ascii="Calibri" w:eastAsia="Calibri" w:hAnsi="Calibri" w:cs="Calibri"/>
          <w:color w:val="000000" w:themeColor="text1"/>
        </w:rPr>
        <w:fldChar w:fldCharType="begin"/>
      </w:r>
      <w:r w:rsidR="00AD3B18" w:rsidRPr="008F6866">
        <w:rPr>
          <w:rFonts w:ascii="Calibri" w:eastAsia="Calibri" w:hAnsi="Calibri" w:cs="Calibri"/>
          <w:color w:val="000000" w:themeColor="text1"/>
        </w:rPr>
        <w:instrText xml:space="preserve"> REF _Ref195652803 \h  \* MERGEFORMAT </w:instrText>
      </w:r>
      <w:r w:rsidR="00AD3B18" w:rsidRPr="008F6866">
        <w:rPr>
          <w:rFonts w:ascii="Calibri" w:eastAsia="Calibri" w:hAnsi="Calibri" w:cs="Calibri"/>
          <w:color w:val="000000" w:themeColor="text1"/>
        </w:rPr>
      </w:r>
      <w:r w:rsidR="00AD3B18"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Table V</w:t>
      </w:r>
      <w:r w:rsidR="00AD3B18" w:rsidRPr="008F6866">
        <w:rPr>
          <w:rFonts w:ascii="Calibri" w:eastAsia="Calibri" w:hAnsi="Calibri" w:cs="Calibri"/>
          <w:color w:val="000000" w:themeColor="text1"/>
        </w:rPr>
        <w:fldChar w:fldCharType="end"/>
      </w:r>
      <w:r w:rsidR="00582F44" w:rsidRPr="008F6866">
        <w:rPr>
          <w:rFonts w:ascii="Calibri" w:eastAsia="Calibri" w:hAnsi="Calibri" w:cs="Calibri"/>
          <w:color w:val="000000" w:themeColor="text1"/>
        </w:rPr>
        <w:t>)</w:t>
      </w:r>
      <w:r w:rsidRPr="008F6866">
        <w:rPr>
          <w:rFonts w:ascii="Calibri" w:eastAsia="Calibri" w:hAnsi="Calibri" w:cs="Calibri"/>
          <w:color w:val="000000" w:themeColor="text1"/>
        </w:rPr>
        <w:t xml:space="preserve">. </w:t>
      </w:r>
      <w:r w:rsidR="007F0746" w:rsidRPr="008F6866">
        <w:rPr>
          <w:rFonts w:ascii="Calibri" w:eastAsia="Calibri" w:hAnsi="Calibri" w:cs="Calibri"/>
          <w:color w:val="000000" w:themeColor="text1"/>
        </w:rPr>
        <w:t>For this simulation experiment on ungulate pressure, only</w:t>
      </w:r>
      <w:r w:rsidR="009C5A4B" w:rsidRPr="008F6866">
        <w:rPr>
          <w:rFonts w:ascii="Calibri" w:eastAsia="Calibri" w:hAnsi="Calibri" w:cs="Calibri"/>
          <w:color w:val="000000" w:themeColor="text1"/>
        </w:rPr>
        <w:t xml:space="preserve"> the MPI-ESM1-2-HR climate model and the</w:t>
      </w:r>
      <w:r w:rsidR="007F0746" w:rsidRPr="008F6866">
        <w:rPr>
          <w:rFonts w:ascii="Calibri" w:eastAsia="Calibri" w:hAnsi="Calibri" w:cs="Calibri"/>
          <w:color w:val="000000" w:themeColor="text1"/>
        </w:rPr>
        <w:t xml:space="preserve"> SSP1-2.6, SSP2-4.5 and SSP3-7.0 scenarios were considered</w:t>
      </w:r>
      <w:r w:rsidR="00955461" w:rsidRPr="008F6866">
        <w:rPr>
          <w:rFonts w:ascii="Calibri" w:eastAsia="Calibri" w:hAnsi="Calibri" w:cs="Calibri"/>
          <w:color w:val="000000" w:themeColor="text1"/>
        </w:rPr>
        <w:t xml:space="preserve">. </w:t>
      </w:r>
      <w:r w:rsidR="00726E0D" w:rsidRPr="008F6866">
        <w:rPr>
          <w:rFonts w:ascii="Calibri" w:eastAsia="Calibri" w:hAnsi="Calibri" w:cs="Calibri"/>
          <w:color w:val="000000" w:themeColor="text1"/>
        </w:rPr>
        <w:t>T</w:t>
      </w:r>
      <w:r w:rsidR="00955461" w:rsidRPr="008F6866">
        <w:rPr>
          <w:rFonts w:ascii="Calibri" w:eastAsia="Calibri" w:hAnsi="Calibri" w:cs="Calibri"/>
          <w:color w:val="000000" w:themeColor="text1"/>
        </w:rPr>
        <w:t>he simulations were repeated for the 6 study sites and the three silvicultural routes</w:t>
      </w:r>
      <w:r w:rsidR="00726E0D" w:rsidRPr="008F6866">
        <w:rPr>
          <w:rFonts w:ascii="Calibri" w:eastAsia="Calibri" w:hAnsi="Calibri" w:cs="Calibri"/>
          <w:color w:val="000000" w:themeColor="text1"/>
        </w:rPr>
        <w:t xml:space="preserve"> and only variable CO</w:t>
      </w:r>
      <w:r w:rsidR="00726E0D" w:rsidRPr="008F6866">
        <w:rPr>
          <w:rFonts w:ascii="Calibri" w:eastAsia="Calibri" w:hAnsi="Calibri" w:cs="Calibri"/>
          <w:color w:val="000000" w:themeColor="text1"/>
          <w:vertAlign w:val="subscript"/>
        </w:rPr>
        <w:t>2</w:t>
      </w:r>
      <w:r w:rsidR="00726E0D" w:rsidRPr="008F6866">
        <w:rPr>
          <w:rFonts w:ascii="Calibri" w:eastAsia="Calibri" w:hAnsi="Calibri" w:cs="Calibri"/>
          <w:color w:val="000000" w:themeColor="text1"/>
        </w:rPr>
        <w:t xml:space="preserve"> concentration was considered</w:t>
      </w:r>
      <w:r w:rsidR="00F051D6" w:rsidRPr="008F6866">
        <w:rPr>
          <w:rFonts w:ascii="Calibri" w:eastAsia="Calibri" w:hAnsi="Calibri" w:cs="Calibri"/>
          <w:color w:val="000000" w:themeColor="text1"/>
        </w:rPr>
        <w:t xml:space="preserve">, resulting in a total of </w:t>
      </w:r>
      <w:r w:rsidR="00955461" w:rsidRPr="008F6866">
        <w:rPr>
          <w:rFonts w:ascii="Calibri" w:eastAsia="Calibri" w:hAnsi="Calibri" w:cs="Calibri"/>
          <w:color w:val="000000" w:themeColor="text1"/>
        </w:rPr>
        <w:t>216</w:t>
      </w:r>
      <w:r w:rsidR="00F051D6" w:rsidRPr="008F6866">
        <w:rPr>
          <w:rFonts w:ascii="Calibri" w:eastAsia="Calibri" w:hAnsi="Calibri" w:cs="Calibri"/>
          <w:color w:val="000000" w:themeColor="text1"/>
        </w:rPr>
        <w:t xml:space="preserve"> simulations (6 sites x</w:t>
      </w:r>
      <w:r w:rsidR="00955461" w:rsidRPr="008F6866">
        <w:rPr>
          <w:rFonts w:ascii="Calibri" w:eastAsia="Calibri" w:hAnsi="Calibri" w:cs="Calibri"/>
          <w:color w:val="000000" w:themeColor="text1"/>
        </w:rPr>
        <w:t xml:space="preserve"> 3 silvicultural routes x </w:t>
      </w:r>
      <w:r w:rsidR="00F051D6" w:rsidRPr="008F6866">
        <w:rPr>
          <w:rFonts w:ascii="Calibri" w:eastAsia="Calibri" w:hAnsi="Calibri" w:cs="Calibri"/>
          <w:color w:val="000000" w:themeColor="text1"/>
        </w:rPr>
        <w:t>4 ungulate pressure levels x 1 climate model x 3 SSP</w:t>
      </w:r>
      <w:r w:rsidR="00955461" w:rsidRPr="008F6866">
        <w:rPr>
          <w:rFonts w:ascii="Calibri" w:eastAsia="Calibri" w:hAnsi="Calibri" w:cs="Calibri"/>
          <w:color w:val="000000" w:themeColor="text1"/>
        </w:rPr>
        <w:t xml:space="preserve"> x 1 CO</w:t>
      </w:r>
      <w:r w:rsidR="00955461" w:rsidRPr="008F6866">
        <w:rPr>
          <w:rFonts w:ascii="Calibri" w:eastAsia="Calibri" w:hAnsi="Calibri" w:cs="Calibri"/>
          <w:color w:val="000000" w:themeColor="text1"/>
          <w:vertAlign w:val="subscript"/>
        </w:rPr>
        <w:t>2</w:t>
      </w:r>
      <w:r w:rsidR="00955461" w:rsidRPr="008F6866">
        <w:rPr>
          <w:rFonts w:ascii="Calibri" w:eastAsia="Calibri" w:hAnsi="Calibri" w:cs="Calibri"/>
          <w:color w:val="000000" w:themeColor="text1"/>
        </w:rPr>
        <w:t xml:space="preserve"> modality</w:t>
      </w:r>
      <w:r w:rsidR="00F051D6" w:rsidRPr="008F6866">
        <w:rPr>
          <w:rFonts w:ascii="Calibri" w:eastAsia="Calibri" w:hAnsi="Calibri" w:cs="Calibri"/>
          <w:color w:val="000000" w:themeColor="text1"/>
        </w:rPr>
        <w:t>)</w:t>
      </w:r>
      <w:r w:rsidR="00955461" w:rsidRPr="008F6866">
        <w:rPr>
          <w:rFonts w:ascii="Calibri" w:eastAsia="Calibri" w:hAnsi="Calibri" w:cs="Calibri"/>
          <w:color w:val="000000" w:themeColor="text1"/>
        </w:rPr>
        <w:t>.</w:t>
      </w:r>
    </w:p>
    <w:p w14:paraId="59211C02" w14:textId="77777777" w:rsidR="00607402" w:rsidRPr="008F6866" w:rsidRDefault="00607402" w:rsidP="00607402">
      <w:pPr>
        <w:spacing w:after="0" w:line="300" w:lineRule="auto"/>
        <w:jc w:val="both"/>
        <w:rPr>
          <w:rFonts w:ascii="Calibri" w:eastAsia="Calibri" w:hAnsi="Calibri" w:cs="Calibri"/>
          <w:color w:val="000000" w:themeColor="text1"/>
        </w:rPr>
      </w:pPr>
    </w:p>
    <w:p w14:paraId="6CD5E7E0" w14:textId="77777777" w:rsidR="00262013" w:rsidRDefault="00262013">
      <w:pPr>
        <w:rPr>
          <w:rFonts w:ascii="Calibri" w:eastAsia="Calibri" w:hAnsi="Calibri" w:cs="Calibri"/>
          <w:b/>
          <w:iCs/>
          <w:color w:val="000000" w:themeColor="text1"/>
          <w:sz w:val="20"/>
          <w:szCs w:val="20"/>
          <w:lang w:eastAsia="fr-BE"/>
        </w:rPr>
      </w:pPr>
      <w:bookmarkStart w:id="32" w:name="_Ref195615865"/>
      <w:bookmarkStart w:id="33" w:name="_Ref195652803"/>
      <w:r>
        <w:rPr>
          <w:b/>
          <w:i/>
          <w:color w:val="000000" w:themeColor="text1"/>
          <w:sz w:val="20"/>
          <w:szCs w:val="20"/>
        </w:rPr>
        <w:br w:type="page"/>
      </w:r>
    </w:p>
    <w:p w14:paraId="15B2394B" w14:textId="3F925BBB" w:rsidR="006551F0" w:rsidRPr="008F6866" w:rsidRDefault="00582F44" w:rsidP="007F0746">
      <w:pPr>
        <w:pStyle w:val="Lgende"/>
        <w:spacing w:after="60"/>
        <w:jc w:val="center"/>
        <w:rPr>
          <w:b/>
          <w:i w:val="0"/>
          <w:color w:val="000000" w:themeColor="text1"/>
          <w:sz w:val="20"/>
          <w:szCs w:val="20"/>
        </w:rPr>
      </w:pPr>
      <w:r w:rsidRPr="008F6866">
        <w:rPr>
          <w:b/>
          <w:i w:val="0"/>
          <w:color w:val="000000" w:themeColor="text1"/>
          <w:sz w:val="20"/>
          <w:szCs w:val="20"/>
        </w:rPr>
        <w:lastRenderedPageBreak/>
        <w:t xml:space="preserve">Table </w:t>
      </w:r>
      <w:bookmarkEnd w:id="32"/>
      <w:r w:rsidR="00EE472B">
        <w:rPr>
          <w:b/>
          <w:i w:val="0"/>
          <w:color w:val="000000" w:themeColor="text1"/>
          <w:sz w:val="20"/>
          <w:szCs w:val="20"/>
        </w:rPr>
        <w:fldChar w:fldCharType="begin"/>
      </w:r>
      <w:r w:rsidR="00EE472B">
        <w:rPr>
          <w:b/>
          <w:i w:val="0"/>
          <w:color w:val="000000" w:themeColor="text1"/>
          <w:sz w:val="20"/>
          <w:szCs w:val="20"/>
        </w:rPr>
        <w:instrText xml:space="preserve"> SEQ Table \* ROMAN </w:instrText>
      </w:r>
      <w:r w:rsidR="00EE472B">
        <w:rPr>
          <w:b/>
          <w:i w:val="0"/>
          <w:color w:val="000000" w:themeColor="text1"/>
          <w:sz w:val="20"/>
          <w:szCs w:val="20"/>
        </w:rPr>
        <w:fldChar w:fldCharType="separate"/>
      </w:r>
      <w:r w:rsidR="00540DBF">
        <w:rPr>
          <w:b/>
          <w:i w:val="0"/>
          <w:noProof/>
          <w:color w:val="000000" w:themeColor="text1"/>
          <w:sz w:val="20"/>
          <w:szCs w:val="20"/>
        </w:rPr>
        <w:t>V</w:t>
      </w:r>
      <w:r w:rsidR="00EE472B">
        <w:rPr>
          <w:b/>
          <w:i w:val="0"/>
          <w:color w:val="000000" w:themeColor="text1"/>
          <w:sz w:val="20"/>
          <w:szCs w:val="20"/>
        </w:rPr>
        <w:fldChar w:fldCharType="end"/>
      </w:r>
      <w:bookmarkEnd w:id="33"/>
      <w:r w:rsidRPr="008F6866">
        <w:rPr>
          <w:b/>
          <w:i w:val="0"/>
          <w:color w:val="000000" w:themeColor="text1"/>
          <w:sz w:val="20"/>
          <w:szCs w:val="20"/>
        </w:rPr>
        <w:t xml:space="preserve">. Reduction in </w:t>
      </w:r>
      <w:r w:rsidR="006104A8" w:rsidRPr="008F6866">
        <w:rPr>
          <w:b/>
          <w:i w:val="0"/>
          <w:color w:val="000000" w:themeColor="text1"/>
          <w:sz w:val="20"/>
          <w:szCs w:val="20"/>
        </w:rPr>
        <w:t>s</w:t>
      </w:r>
      <w:r w:rsidRPr="008F6866">
        <w:rPr>
          <w:b/>
          <w:i w:val="0"/>
          <w:color w:val="000000" w:themeColor="text1"/>
          <w:sz w:val="20"/>
          <w:szCs w:val="20"/>
        </w:rPr>
        <w:t xml:space="preserve">eedling </w:t>
      </w:r>
      <w:r w:rsidR="006104A8" w:rsidRPr="008F6866">
        <w:rPr>
          <w:b/>
          <w:i w:val="0"/>
          <w:color w:val="000000" w:themeColor="text1"/>
          <w:sz w:val="20"/>
          <w:szCs w:val="20"/>
        </w:rPr>
        <w:t>h</w:t>
      </w:r>
      <w:r w:rsidRPr="008F6866">
        <w:rPr>
          <w:b/>
          <w:i w:val="0"/>
          <w:color w:val="000000" w:themeColor="text1"/>
          <w:sz w:val="20"/>
          <w:szCs w:val="20"/>
        </w:rPr>
        <w:t xml:space="preserve">eight </w:t>
      </w:r>
      <w:r w:rsidR="006104A8" w:rsidRPr="008F6866">
        <w:rPr>
          <w:b/>
          <w:i w:val="0"/>
          <w:color w:val="000000" w:themeColor="text1"/>
          <w:sz w:val="20"/>
          <w:szCs w:val="20"/>
        </w:rPr>
        <w:t>g</w:t>
      </w:r>
      <w:r w:rsidRPr="008F6866">
        <w:rPr>
          <w:b/>
          <w:i w:val="0"/>
          <w:color w:val="000000" w:themeColor="text1"/>
          <w:sz w:val="20"/>
          <w:szCs w:val="20"/>
        </w:rPr>
        <w:t>rowth (%) for each species under different ungulate density levels</w:t>
      </w:r>
    </w:p>
    <w:tbl>
      <w:tblPr>
        <w:tblStyle w:val="TableauGrille3"/>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5"/>
        <w:gridCol w:w="1095"/>
        <w:gridCol w:w="1095"/>
        <w:gridCol w:w="1095"/>
        <w:gridCol w:w="1230"/>
        <w:gridCol w:w="1230"/>
      </w:tblGrid>
      <w:tr w:rsidR="439441DB" w:rsidRPr="008F6866" w14:paraId="0C4C9625" w14:textId="77777777" w:rsidTr="007F074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355" w:type="dxa"/>
            <w:tcBorders>
              <w:top w:val="single" w:sz="12" w:space="0" w:color="auto"/>
              <w:left w:val="none" w:sz="0" w:space="0" w:color="auto"/>
              <w:bottom w:val="single" w:sz="12" w:space="0" w:color="auto"/>
              <w:right w:val="none" w:sz="0" w:space="0" w:color="auto"/>
            </w:tcBorders>
            <w:tcMar>
              <w:left w:w="105" w:type="dxa"/>
              <w:right w:w="105" w:type="dxa"/>
            </w:tcMar>
            <w:vAlign w:val="center"/>
          </w:tcPr>
          <w:p w14:paraId="52E809E3" w14:textId="53C2C345" w:rsidR="439441DB" w:rsidRPr="008F6866" w:rsidRDefault="439441DB" w:rsidP="007F0746">
            <w:pPr>
              <w:jc w:val="center"/>
              <w:rPr>
                <w:b w:val="0"/>
                <w:bCs w:val="0"/>
                <w:i w:val="0"/>
                <w:sz w:val="20"/>
                <w:szCs w:val="20"/>
              </w:rPr>
            </w:pPr>
            <w:r w:rsidRPr="008F6866">
              <w:rPr>
                <w:i w:val="0"/>
                <w:sz w:val="20"/>
                <w:szCs w:val="20"/>
              </w:rPr>
              <w:t>Ungulate densit</w:t>
            </w:r>
            <w:r w:rsidR="007F0746" w:rsidRPr="008F6866">
              <w:rPr>
                <w:i w:val="0"/>
                <w:sz w:val="20"/>
                <w:szCs w:val="20"/>
              </w:rPr>
              <w:t>y</w:t>
            </w:r>
          </w:p>
        </w:tc>
        <w:tc>
          <w:tcPr>
            <w:tcW w:w="1095" w:type="dxa"/>
            <w:tcBorders>
              <w:top w:val="single" w:sz="12" w:space="0" w:color="auto"/>
              <w:left w:val="none" w:sz="0" w:space="0" w:color="auto"/>
              <w:bottom w:val="single" w:sz="12" w:space="0" w:color="auto"/>
              <w:right w:val="none" w:sz="0" w:space="0" w:color="auto"/>
            </w:tcBorders>
            <w:tcMar>
              <w:left w:w="105" w:type="dxa"/>
              <w:right w:w="105" w:type="dxa"/>
            </w:tcMar>
          </w:tcPr>
          <w:p w14:paraId="2C08147D" w14:textId="10FC98FC" w:rsidR="439441DB" w:rsidRPr="008F6866" w:rsidRDefault="439441DB" w:rsidP="007F0746">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F6866">
              <w:rPr>
                <w:sz w:val="20"/>
                <w:szCs w:val="20"/>
              </w:rPr>
              <w:t>Oak</w:t>
            </w:r>
          </w:p>
        </w:tc>
        <w:tc>
          <w:tcPr>
            <w:tcW w:w="1095" w:type="dxa"/>
            <w:tcBorders>
              <w:top w:val="single" w:sz="12" w:space="0" w:color="auto"/>
              <w:left w:val="none" w:sz="0" w:space="0" w:color="auto"/>
              <w:bottom w:val="single" w:sz="12" w:space="0" w:color="auto"/>
              <w:right w:val="none" w:sz="0" w:space="0" w:color="auto"/>
            </w:tcBorders>
            <w:tcMar>
              <w:left w:w="105" w:type="dxa"/>
              <w:right w:w="105" w:type="dxa"/>
            </w:tcMar>
          </w:tcPr>
          <w:p w14:paraId="753A4C7A" w14:textId="28D261E0" w:rsidR="439441DB" w:rsidRPr="008F6866" w:rsidRDefault="439441DB" w:rsidP="007F0746">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F6866">
              <w:rPr>
                <w:sz w:val="20"/>
                <w:szCs w:val="20"/>
              </w:rPr>
              <w:t>Beech</w:t>
            </w:r>
          </w:p>
        </w:tc>
        <w:tc>
          <w:tcPr>
            <w:tcW w:w="1095" w:type="dxa"/>
            <w:tcBorders>
              <w:top w:val="single" w:sz="12" w:space="0" w:color="auto"/>
              <w:left w:val="none" w:sz="0" w:space="0" w:color="auto"/>
              <w:bottom w:val="single" w:sz="12" w:space="0" w:color="auto"/>
              <w:right w:val="none" w:sz="0" w:space="0" w:color="auto"/>
            </w:tcBorders>
            <w:tcMar>
              <w:left w:w="105" w:type="dxa"/>
              <w:right w:w="105" w:type="dxa"/>
            </w:tcMar>
          </w:tcPr>
          <w:p w14:paraId="49642DC0" w14:textId="70D881F6" w:rsidR="439441DB" w:rsidRPr="008F6866" w:rsidRDefault="439441DB" w:rsidP="007F0746">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F6866">
              <w:rPr>
                <w:sz w:val="20"/>
                <w:szCs w:val="20"/>
              </w:rPr>
              <w:t>Birch</w:t>
            </w:r>
          </w:p>
        </w:tc>
        <w:tc>
          <w:tcPr>
            <w:tcW w:w="1230" w:type="dxa"/>
            <w:tcBorders>
              <w:top w:val="single" w:sz="12" w:space="0" w:color="auto"/>
              <w:left w:val="none" w:sz="0" w:space="0" w:color="auto"/>
              <w:bottom w:val="single" w:sz="12" w:space="0" w:color="auto"/>
              <w:right w:val="none" w:sz="0" w:space="0" w:color="auto"/>
            </w:tcBorders>
            <w:tcMar>
              <w:left w:w="105" w:type="dxa"/>
              <w:right w:w="105" w:type="dxa"/>
            </w:tcMar>
          </w:tcPr>
          <w:p w14:paraId="26547459" w14:textId="6BD960FD" w:rsidR="439441DB" w:rsidRPr="008F6866" w:rsidRDefault="439441DB" w:rsidP="007F0746">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F6866">
              <w:rPr>
                <w:sz w:val="20"/>
                <w:szCs w:val="20"/>
              </w:rPr>
              <w:t>Hornbeam</w:t>
            </w:r>
          </w:p>
        </w:tc>
        <w:tc>
          <w:tcPr>
            <w:tcW w:w="1230" w:type="dxa"/>
            <w:tcBorders>
              <w:top w:val="single" w:sz="12" w:space="0" w:color="auto"/>
              <w:left w:val="none" w:sz="0" w:space="0" w:color="auto"/>
              <w:bottom w:val="single" w:sz="12" w:space="0" w:color="auto"/>
              <w:right w:val="none" w:sz="0" w:space="0" w:color="auto"/>
            </w:tcBorders>
            <w:tcMar>
              <w:left w:w="105" w:type="dxa"/>
              <w:right w:w="105" w:type="dxa"/>
            </w:tcMar>
          </w:tcPr>
          <w:p w14:paraId="7FA62E69" w14:textId="7E660129" w:rsidR="439441DB" w:rsidRPr="008F6866" w:rsidRDefault="439441DB" w:rsidP="007F0746">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F6866">
              <w:rPr>
                <w:sz w:val="20"/>
                <w:szCs w:val="20"/>
              </w:rPr>
              <w:t>Linden</w:t>
            </w:r>
          </w:p>
        </w:tc>
      </w:tr>
      <w:tr w:rsidR="439441DB" w:rsidRPr="008F6866" w14:paraId="18975C15" w14:textId="77777777" w:rsidTr="007F07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55" w:type="dxa"/>
            <w:tcBorders>
              <w:top w:val="single" w:sz="12" w:space="0" w:color="auto"/>
              <w:left w:val="none" w:sz="0" w:space="0" w:color="auto"/>
            </w:tcBorders>
            <w:shd w:val="clear" w:color="auto" w:fill="auto"/>
            <w:tcMar>
              <w:left w:w="105" w:type="dxa"/>
              <w:right w:w="105" w:type="dxa"/>
            </w:tcMar>
            <w:vAlign w:val="center"/>
          </w:tcPr>
          <w:p w14:paraId="1C862319" w14:textId="2E8BFC50" w:rsidR="439441DB" w:rsidRPr="008F6866" w:rsidRDefault="439441DB" w:rsidP="007F0746">
            <w:pPr>
              <w:jc w:val="center"/>
              <w:rPr>
                <w:i w:val="0"/>
                <w:sz w:val="20"/>
                <w:szCs w:val="20"/>
              </w:rPr>
            </w:pPr>
            <w:r w:rsidRPr="008F6866">
              <w:rPr>
                <w:i w:val="0"/>
                <w:sz w:val="20"/>
                <w:szCs w:val="20"/>
              </w:rPr>
              <w:t>No pressure</w:t>
            </w:r>
          </w:p>
        </w:tc>
        <w:tc>
          <w:tcPr>
            <w:tcW w:w="1095" w:type="dxa"/>
            <w:tcBorders>
              <w:top w:val="single" w:sz="12" w:space="0" w:color="auto"/>
              <w:bottom w:val="nil"/>
            </w:tcBorders>
            <w:shd w:val="clear" w:color="auto" w:fill="auto"/>
            <w:tcMar>
              <w:left w:w="105" w:type="dxa"/>
              <w:right w:w="105" w:type="dxa"/>
            </w:tcMar>
            <w:vAlign w:val="center"/>
          </w:tcPr>
          <w:p w14:paraId="40357B69" w14:textId="05244984" w:rsidR="439441DB" w:rsidRPr="008F6866" w:rsidRDefault="439441DB" w:rsidP="007F074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F6866">
              <w:rPr>
                <w:sz w:val="20"/>
                <w:szCs w:val="20"/>
              </w:rPr>
              <w:t>0</w:t>
            </w:r>
          </w:p>
        </w:tc>
        <w:tc>
          <w:tcPr>
            <w:tcW w:w="1095" w:type="dxa"/>
            <w:tcBorders>
              <w:top w:val="single" w:sz="12" w:space="0" w:color="auto"/>
              <w:bottom w:val="nil"/>
            </w:tcBorders>
            <w:shd w:val="clear" w:color="auto" w:fill="auto"/>
            <w:tcMar>
              <w:left w:w="105" w:type="dxa"/>
              <w:right w:w="105" w:type="dxa"/>
            </w:tcMar>
            <w:vAlign w:val="center"/>
          </w:tcPr>
          <w:p w14:paraId="0308CA80" w14:textId="77CAC8B3" w:rsidR="439441DB" w:rsidRPr="008F6866" w:rsidRDefault="439441DB" w:rsidP="007F074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F6866">
              <w:rPr>
                <w:sz w:val="20"/>
                <w:szCs w:val="20"/>
              </w:rPr>
              <w:t>0</w:t>
            </w:r>
          </w:p>
        </w:tc>
        <w:tc>
          <w:tcPr>
            <w:tcW w:w="1095" w:type="dxa"/>
            <w:tcBorders>
              <w:top w:val="single" w:sz="12" w:space="0" w:color="auto"/>
              <w:bottom w:val="nil"/>
            </w:tcBorders>
            <w:shd w:val="clear" w:color="auto" w:fill="auto"/>
            <w:tcMar>
              <w:left w:w="105" w:type="dxa"/>
              <w:right w:w="105" w:type="dxa"/>
            </w:tcMar>
            <w:vAlign w:val="center"/>
          </w:tcPr>
          <w:p w14:paraId="3CAB4CC8" w14:textId="6AE720DE" w:rsidR="439441DB" w:rsidRPr="008F6866" w:rsidRDefault="439441DB" w:rsidP="007F074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F6866">
              <w:rPr>
                <w:sz w:val="20"/>
                <w:szCs w:val="20"/>
              </w:rPr>
              <w:t>0</w:t>
            </w:r>
          </w:p>
        </w:tc>
        <w:tc>
          <w:tcPr>
            <w:tcW w:w="1230" w:type="dxa"/>
            <w:tcBorders>
              <w:top w:val="single" w:sz="12" w:space="0" w:color="auto"/>
              <w:bottom w:val="nil"/>
            </w:tcBorders>
            <w:shd w:val="clear" w:color="auto" w:fill="auto"/>
            <w:tcMar>
              <w:left w:w="105" w:type="dxa"/>
              <w:right w:w="105" w:type="dxa"/>
            </w:tcMar>
            <w:vAlign w:val="center"/>
          </w:tcPr>
          <w:p w14:paraId="4730C862" w14:textId="13208866" w:rsidR="439441DB" w:rsidRPr="008F6866" w:rsidRDefault="439441DB" w:rsidP="007F074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F6866">
              <w:rPr>
                <w:sz w:val="20"/>
                <w:szCs w:val="20"/>
              </w:rPr>
              <w:t>0</w:t>
            </w:r>
          </w:p>
        </w:tc>
        <w:tc>
          <w:tcPr>
            <w:tcW w:w="1230" w:type="dxa"/>
            <w:tcBorders>
              <w:top w:val="single" w:sz="12" w:space="0" w:color="auto"/>
              <w:bottom w:val="nil"/>
            </w:tcBorders>
            <w:shd w:val="clear" w:color="auto" w:fill="auto"/>
            <w:tcMar>
              <w:left w:w="105" w:type="dxa"/>
              <w:right w:w="105" w:type="dxa"/>
            </w:tcMar>
            <w:vAlign w:val="center"/>
          </w:tcPr>
          <w:p w14:paraId="01A1B535" w14:textId="631C3CBF" w:rsidR="439441DB" w:rsidRPr="008F6866" w:rsidRDefault="439441DB" w:rsidP="007F074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F6866">
              <w:rPr>
                <w:sz w:val="20"/>
                <w:szCs w:val="20"/>
              </w:rPr>
              <w:t>0</w:t>
            </w:r>
          </w:p>
        </w:tc>
      </w:tr>
      <w:tr w:rsidR="439441DB" w:rsidRPr="008F6866" w14:paraId="654113E3" w14:textId="77777777" w:rsidTr="007F0746">
        <w:trPr>
          <w:trHeight w:val="300"/>
          <w:jc w:val="center"/>
        </w:trPr>
        <w:tc>
          <w:tcPr>
            <w:cnfStyle w:val="001000000000" w:firstRow="0" w:lastRow="0" w:firstColumn="1" w:lastColumn="0" w:oddVBand="0" w:evenVBand="0" w:oddHBand="0" w:evenHBand="0" w:firstRowFirstColumn="0" w:firstRowLastColumn="0" w:lastRowFirstColumn="0" w:lastRowLastColumn="0"/>
            <w:tcW w:w="2355" w:type="dxa"/>
            <w:tcBorders>
              <w:left w:val="none" w:sz="0" w:space="0" w:color="auto"/>
            </w:tcBorders>
            <w:shd w:val="clear" w:color="auto" w:fill="D9D9D9"/>
            <w:tcMar>
              <w:left w:w="105" w:type="dxa"/>
              <w:right w:w="105" w:type="dxa"/>
            </w:tcMar>
            <w:vAlign w:val="center"/>
          </w:tcPr>
          <w:p w14:paraId="3C7336B4" w14:textId="56137D37" w:rsidR="439441DB" w:rsidRPr="008F6866" w:rsidRDefault="439441DB" w:rsidP="007F0746">
            <w:pPr>
              <w:jc w:val="center"/>
              <w:rPr>
                <w:i w:val="0"/>
                <w:sz w:val="20"/>
                <w:szCs w:val="20"/>
              </w:rPr>
            </w:pPr>
            <w:r w:rsidRPr="008F6866">
              <w:rPr>
                <w:i w:val="0"/>
                <w:sz w:val="20"/>
                <w:szCs w:val="20"/>
              </w:rPr>
              <w:t>Low pressure</w:t>
            </w:r>
          </w:p>
        </w:tc>
        <w:tc>
          <w:tcPr>
            <w:tcW w:w="1095" w:type="dxa"/>
            <w:tcBorders>
              <w:top w:val="nil"/>
              <w:bottom w:val="nil"/>
            </w:tcBorders>
            <w:shd w:val="clear" w:color="auto" w:fill="D9D9D9"/>
            <w:tcMar>
              <w:left w:w="105" w:type="dxa"/>
              <w:right w:w="105" w:type="dxa"/>
            </w:tcMar>
            <w:vAlign w:val="center"/>
          </w:tcPr>
          <w:p w14:paraId="672352BA" w14:textId="6C9EDFF5" w:rsidR="439441DB" w:rsidRPr="008F6866" w:rsidRDefault="439441DB" w:rsidP="007F0746">
            <w:pPr>
              <w:jc w:val="center"/>
              <w:cnfStyle w:val="000000000000" w:firstRow="0" w:lastRow="0" w:firstColumn="0" w:lastColumn="0" w:oddVBand="0" w:evenVBand="0" w:oddHBand="0" w:evenHBand="0" w:firstRowFirstColumn="0" w:firstRowLastColumn="0" w:lastRowFirstColumn="0" w:lastRowLastColumn="0"/>
              <w:rPr>
                <w:sz w:val="20"/>
                <w:szCs w:val="20"/>
              </w:rPr>
            </w:pPr>
            <w:r w:rsidRPr="008F6866">
              <w:rPr>
                <w:sz w:val="20"/>
                <w:szCs w:val="20"/>
              </w:rPr>
              <w:t>39</w:t>
            </w:r>
          </w:p>
        </w:tc>
        <w:tc>
          <w:tcPr>
            <w:tcW w:w="1095" w:type="dxa"/>
            <w:tcBorders>
              <w:top w:val="nil"/>
              <w:bottom w:val="nil"/>
            </w:tcBorders>
            <w:shd w:val="clear" w:color="auto" w:fill="D9D9D9"/>
            <w:tcMar>
              <w:left w:w="105" w:type="dxa"/>
              <w:right w:w="105" w:type="dxa"/>
            </w:tcMar>
            <w:vAlign w:val="center"/>
          </w:tcPr>
          <w:p w14:paraId="2EEFDB91" w14:textId="66269220" w:rsidR="439441DB" w:rsidRPr="008F6866" w:rsidRDefault="439441DB" w:rsidP="007F0746">
            <w:pPr>
              <w:jc w:val="center"/>
              <w:cnfStyle w:val="000000000000" w:firstRow="0" w:lastRow="0" w:firstColumn="0" w:lastColumn="0" w:oddVBand="0" w:evenVBand="0" w:oddHBand="0" w:evenHBand="0" w:firstRowFirstColumn="0" w:firstRowLastColumn="0" w:lastRowFirstColumn="0" w:lastRowLastColumn="0"/>
              <w:rPr>
                <w:sz w:val="20"/>
                <w:szCs w:val="20"/>
              </w:rPr>
            </w:pPr>
            <w:r w:rsidRPr="008F6866">
              <w:rPr>
                <w:sz w:val="20"/>
                <w:szCs w:val="20"/>
              </w:rPr>
              <w:t>18</w:t>
            </w:r>
          </w:p>
        </w:tc>
        <w:tc>
          <w:tcPr>
            <w:tcW w:w="1095" w:type="dxa"/>
            <w:tcBorders>
              <w:top w:val="nil"/>
              <w:bottom w:val="nil"/>
            </w:tcBorders>
            <w:shd w:val="clear" w:color="auto" w:fill="D9D9D9"/>
            <w:tcMar>
              <w:left w:w="105" w:type="dxa"/>
              <w:right w:w="105" w:type="dxa"/>
            </w:tcMar>
            <w:vAlign w:val="center"/>
          </w:tcPr>
          <w:p w14:paraId="44A65321" w14:textId="3D0E4545" w:rsidR="439441DB" w:rsidRPr="008F6866" w:rsidRDefault="439441DB" w:rsidP="007F0746">
            <w:pPr>
              <w:jc w:val="center"/>
              <w:cnfStyle w:val="000000000000" w:firstRow="0" w:lastRow="0" w:firstColumn="0" w:lastColumn="0" w:oddVBand="0" w:evenVBand="0" w:oddHBand="0" w:evenHBand="0" w:firstRowFirstColumn="0" w:firstRowLastColumn="0" w:lastRowFirstColumn="0" w:lastRowLastColumn="0"/>
              <w:rPr>
                <w:sz w:val="20"/>
                <w:szCs w:val="20"/>
              </w:rPr>
            </w:pPr>
            <w:r w:rsidRPr="008F6866">
              <w:rPr>
                <w:sz w:val="20"/>
                <w:szCs w:val="20"/>
              </w:rPr>
              <w:t>35</w:t>
            </w:r>
          </w:p>
        </w:tc>
        <w:tc>
          <w:tcPr>
            <w:tcW w:w="1230" w:type="dxa"/>
            <w:tcBorders>
              <w:top w:val="nil"/>
              <w:bottom w:val="nil"/>
            </w:tcBorders>
            <w:shd w:val="clear" w:color="auto" w:fill="D9D9D9"/>
            <w:tcMar>
              <w:left w:w="105" w:type="dxa"/>
              <w:right w:w="105" w:type="dxa"/>
            </w:tcMar>
            <w:vAlign w:val="center"/>
          </w:tcPr>
          <w:p w14:paraId="0CD67C7B" w14:textId="3713A381" w:rsidR="439441DB" w:rsidRPr="008F6866" w:rsidRDefault="439441DB" w:rsidP="007F0746">
            <w:pPr>
              <w:jc w:val="center"/>
              <w:cnfStyle w:val="000000000000" w:firstRow="0" w:lastRow="0" w:firstColumn="0" w:lastColumn="0" w:oddVBand="0" w:evenVBand="0" w:oddHBand="0" w:evenHBand="0" w:firstRowFirstColumn="0" w:firstRowLastColumn="0" w:lastRowFirstColumn="0" w:lastRowLastColumn="0"/>
              <w:rPr>
                <w:sz w:val="20"/>
                <w:szCs w:val="20"/>
              </w:rPr>
            </w:pPr>
            <w:r w:rsidRPr="008F6866">
              <w:rPr>
                <w:sz w:val="20"/>
                <w:szCs w:val="20"/>
              </w:rPr>
              <w:t>25</w:t>
            </w:r>
          </w:p>
        </w:tc>
        <w:tc>
          <w:tcPr>
            <w:tcW w:w="1230" w:type="dxa"/>
            <w:tcBorders>
              <w:top w:val="nil"/>
              <w:bottom w:val="nil"/>
            </w:tcBorders>
            <w:shd w:val="clear" w:color="auto" w:fill="D9D9D9"/>
            <w:tcMar>
              <w:left w:w="105" w:type="dxa"/>
              <w:right w:w="105" w:type="dxa"/>
            </w:tcMar>
            <w:vAlign w:val="center"/>
          </w:tcPr>
          <w:p w14:paraId="70E440F8" w14:textId="21F3F9D8" w:rsidR="439441DB" w:rsidRPr="008F6866" w:rsidRDefault="439441DB" w:rsidP="007F0746">
            <w:pPr>
              <w:jc w:val="center"/>
              <w:cnfStyle w:val="000000000000" w:firstRow="0" w:lastRow="0" w:firstColumn="0" w:lastColumn="0" w:oddVBand="0" w:evenVBand="0" w:oddHBand="0" w:evenHBand="0" w:firstRowFirstColumn="0" w:firstRowLastColumn="0" w:lastRowFirstColumn="0" w:lastRowLastColumn="0"/>
              <w:rPr>
                <w:sz w:val="20"/>
                <w:szCs w:val="20"/>
              </w:rPr>
            </w:pPr>
            <w:r w:rsidRPr="008F6866">
              <w:rPr>
                <w:sz w:val="20"/>
                <w:szCs w:val="20"/>
              </w:rPr>
              <w:t>25</w:t>
            </w:r>
          </w:p>
        </w:tc>
      </w:tr>
      <w:tr w:rsidR="439441DB" w:rsidRPr="008F6866" w14:paraId="4367A47D" w14:textId="77777777" w:rsidTr="007F07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55" w:type="dxa"/>
            <w:tcBorders>
              <w:left w:val="none" w:sz="0" w:space="0" w:color="auto"/>
              <w:bottom w:val="none" w:sz="0" w:space="0" w:color="auto"/>
            </w:tcBorders>
            <w:shd w:val="clear" w:color="auto" w:fill="auto"/>
            <w:tcMar>
              <w:left w:w="105" w:type="dxa"/>
              <w:right w:w="105" w:type="dxa"/>
            </w:tcMar>
            <w:vAlign w:val="center"/>
          </w:tcPr>
          <w:p w14:paraId="62EBB3A0" w14:textId="6FA3C272" w:rsidR="439441DB" w:rsidRPr="008F6866" w:rsidRDefault="439441DB" w:rsidP="007F0746">
            <w:pPr>
              <w:jc w:val="center"/>
              <w:rPr>
                <w:i w:val="0"/>
                <w:sz w:val="20"/>
                <w:szCs w:val="20"/>
              </w:rPr>
            </w:pPr>
            <w:r w:rsidRPr="008F6866">
              <w:rPr>
                <w:i w:val="0"/>
                <w:sz w:val="20"/>
                <w:szCs w:val="20"/>
              </w:rPr>
              <w:t>Medium pressure</w:t>
            </w:r>
          </w:p>
        </w:tc>
        <w:tc>
          <w:tcPr>
            <w:tcW w:w="1095" w:type="dxa"/>
            <w:tcBorders>
              <w:top w:val="nil"/>
            </w:tcBorders>
            <w:shd w:val="clear" w:color="auto" w:fill="auto"/>
            <w:tcMar>
              <w:left w:w="105" w:type="dxa"/>
              <w:right w:w="105" w:type="dxa"/>
            </w:tcMar>
            <w:vAlign w:val="center"/>
          </w:tcPr>
          <w:p w14:paraId="01A9532E" w14:textId="7ADBA611" w:rsidR="439441DB" w:rsidRPr="008F6866" w:rsidRDefault="439441DB" w:rsidP="007F074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F6866">
              <w:rPr>
                <w:sz w:val="20"/>
                <w:szCs w:val="20"/>
              </w:rPr>
              <w:t>90</w:t>
            </w:r>
          </w:p>
        </w:tc>
        <w:tc>
          <w:tcPr>
            <w:tcW w:w="1095" w:type="dxa"/>
            <w:tcBorders>
              <w:top w:val="nil"/>
            </w:tcBorders>
            <w:shd w:val="clear" w:color="auto" w:fill="auto"/>
            <w:tcMar>
              <w:left w:w="105" w:type="dxa"/>
              <w:right w:w="105" w:type="dxa"/>
            </w:tcMar>
            <w:vAlign w:val="center"/>
          </w:tcPr>
          <w:p w14:paraId="4880DB5D" w14:textId="243F99AC" w:rsidR="439441DB" w:rsidRPr="008F6866" w:rsidRDefault="439441DB" w:rsidP="007F074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F6866">
              <w:rPr>
                <w:sz w:val="20"/>
                <w:szCs w:val="20"/>
              </w:rPr>
              <w:t>40</w:t>
            </w:r>
          </w:p>
        </w:tc>
        <w:tc>
          <w:tcPr>
            <w:tcW w:w="1095" w:type="dxa"/>
            <w:tcBorders>
              <w:top w:val="nil"/>
            </w:tcBorders>
            <w:shd w:val="clear" w:color="auto" w:fill="auto"/>
            <w:tcMar>
              <w:left w:w="105" w:type="dxa"/>
              <w:right w:w="105" w:type="dxa"/>
            </w:tcMar>
            <w:vAlign w:val="center"/>
          </w:tcPr>
          <w:p w14:paraId="6B7B1D88" w14:textId="7DF46099" w:rsidR="439441DB" w:rsidRPr="008F6866" w:rsidRDefault="439441DB" w:rsidP="007F074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F6866">
              <w:rPr>
                <w:sz w:val="20"/>
                <w:szCs w:val="20"/>
              </w:rPr>
              <w:t>80</w:t>
            </w:r>
          </w:p>
        </w:tc>
        <w:tc>
          <w:tcPr>
            <w:tcW w:w="1230" w:type="dxa"/>
            <w:tcBorders>
              <w:top w:val="nil"/>
            </w:tcBorders>
            <w:shd w:val="clear" w:color="auto" w:fill="auto"/>
            <w:tcMar>
              <w:left w:w="105" w:type="dxa"/>
              <w:right w:w="105" w:type="dxa"/>
            </w:tcMar>
            <w:vAlign w:val="center"/>
          </w:tcPr>
          <w:p w14:paraId="7B0E50B8" w14:textId="08748796" w:rsidR="439441DB" w:rsidRPr="008F6866" w:rsidRDefault="439441DB" w:rsidP="007F074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F6866">
              <w:rPr>
                <w:sz w:val="20"/>
                <w:szCs w:val="20"/>
              </w:rPr>
              <w:t>60</w:t>
            </w:r>
          </w:p>
        </w:tc>
        <w:tc>
          <w:tcPr>
            <w:tcW w:w="1230" w:type="dxa"/>
            <w:tcBorders>
              <w:top w:val="nil"/>
            </w:tcBorders>
            <w:shd w:val="clear" w:color="auto" w:fill="auto"/>
            <w:tcMar>
              <w:left w:w="105" w:type="dxa"/>
              <w:right w:w="105" w:type="dxa"/>
            </w:tcMar>
            <w:vAlign w:val="center"/>
          </w:tcPr>
          <w:p w14:paraId="6D44F59A" w14:textId="6FDE6E17" w:rsidR="439441DB" w:rsidRPr="008F6866" w:rsidRDefault="439441DB" w:rsidP="007F074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F6866">
              <w:rPr>
                <w:sz w:val="20"/>
                <w:szCs w:val="20"/>
              </w:rPr>
              <w:t>60</w:t>
            </w:r>
          </w:p>
        </w:tc>
      </w:tr>
      <w:tr w:rsidR="439441DB" w:rsidRPr="008F6866" w14:paraId="74FAF1A5" w14:textId="77777777" w:rsidTr="007F0746">
        <w:trPr>
          <w:trHeight w:val="300"/>
          <w:jc w:val="center"/>
        </w:trPr>
        <w:tc>
          <w:tcPr>
            <w:cnfStyle w:val="001000000000" w:firstRow="0" w:lastRow="0" w:firstColumn="1" w:lastColumn="0" w:oddVBand="0" w:evenVBand="0" w:oddHBand="0" w:evenHBand="0" w:firstRowFirstColumn="0" w:firstRowLastColumn="0" w:lastRowFirstColumn="0" w:lastRowLastColumn="0"/>
            <w:tcW w:w="2355" w:type="dxa"/>
            <w:tcBorders>
              <w:top w:val="none" w:sz="0" w:space="0" w:color="auto"/>
              <w:left w:val="none" w:sz="0" w:space="0" w:color="auto"/>
              <w:bottom w:val="none" w:sz="0" w:space="0" w:color="auto"/>
            </w:tcBorders>
            <w:shd w:val="clear" w:color="auto" w:fill="D9D9D9"/>
            <w:tcMar>
              <w:left w:w="105" w:type="dxa"/>
              <w:right w:w="105" w:type="dxa"/>
            </w:tcMar>
            <w:vAlign w:val="center"/>
          </w:tcPr>
          <w:p w14:paraId="6CE37B95" w14:textId="3A16DA56" w:rsidR="439441DB" w:rsidRPr="008F6866" w:rsidRDefault="439441DB" w:rsidP="007F0746">
            <w:pPr>
              <w:jc w:val="center"/>
              <w:rPr>
                <w:i w:val="0"/>
                <w:sz w:val="20"/>
                <w:szCs w:val="20"/>
              </w:rPr>
            </w:pPr>
            <w:r w:rsidRPr="008F6866">
              <w:rPr>
                <w:i w:val="0"/>
                <w:sz w:val="20"/>
                <w:szCs w:val="20"/>
              </w:rPr>
              <w:t>High pressure</w:t>
            </w:r>
          </w:p>
        </w:tc>
        <w:tc>
          <w:tcPr>
            <w:tcW w:w="1095" w:type="dxa"/>
            <w:shd w:val="clear" w:color="auto" w:fill="D9D9D9"/>
            <w:tcMar>
              <w:left w:w="105" w:type="dxa"/>
              <w:right w:w="105" w:type="dxa"/>
            </w:tcMar>
            <w:vAlign w:val="center"/>
          </w:tcPr>
          <w:p w14:paraId="64EB0BE6" w14:textId="6E96A56B" w:rsidR="439441DB" w:rsidRPr="008F6866" w:rsidRDefault="439441DB" w:rsidP="007F0746">
            <w:pPr>
              <w:jc w:val="center"/>
              <w:cnfStyle w:val="000000000000" w:firstRow="0" w:lastRow="0" w:firstColumn="0" w:lastColumn="0" w:oddVBand="0" w:evenVBand="0" w:oddHBand="0" w:evenHBand="0" w:firstRowFirstColumn="0" w:firstRowLastColumn="0" w:lastRowFirstColumn="0" w:lastRowLastColumn="0"/>
              <w:rPr>
                <w:sz w:val="20"/>
                <w:szCs w:val="20"/>
              </w:rPr>
            </w:pPr>
            <w:r w:rsidRPr="008F6866">
              <w:rPr>
                <w:sz w:val="20"/>
                <w:szCs w:val="20"/>
              </w:rPr>
              <w:t>100</w:t>
            </w:r>
          </w:p>
        </w:tc>
        <w:tc>
          <w:tcPr>
            <w:tcW w:w="1095" w:type="dxa"/>
            <w:shd w:val="clear" w:color="auto" w:fill="D9D9D9"/>
            <w:tcMar>
              <w:left w:w="105" w:type="dxa"/>
              <w:right w:w="105" w:type="dxa"/>
            </w:tcMar>
            <w:vAlign w:val="center"/>
          </w:tcPr>
          <w:p w14:paraId="051A44A6" w14:textId="099806A2" w:rsidR="439441DB" w:rsidRPr="008F6866" w:rsidRDefault="439441DB" w:rsidP="007F0746">
            <w:pPr>
              <w:jc w:val="center"/>
              <w:cnfStyle w:val="000000000000" w:firstRow="0" w:lastRow="0" w:firstColumn="0" w:lastColumn="0" w:oddVBand="0" w:evenVBand="0" w:oddHBand="0" w:evenHBand="0" w:firstRowFirstColumn="0" w:firstRowLastColumn="0" w:lastRowFirstColumn="0" w:lastRowLastColumn="0"/>
              <w:rPr>
                <w:sz w:val="20"/>
                <w:szCs w:val="20"/>
              </w:rPr>
            </w:pPr>
            <w:r w:rsidRPr="008F6866">
              <w:rPr>
                <w:sz w:val="20"/>
                <w:szCs w:val="20"/>
              </w:rPr>
              <w:t>80</w:t>
            </w:r>
          </w:p>
        </w:tc>
        <w:tc>
          <w:tcPr>
            <w:tcW w:w="1095" w:type="dxa"/>
            <w:shd w:val="clear" w:color="auto" w:fill="D9D9D9"/>
            <w:tcMar>
              <w:left w:w="105" w:type="dxa"/>
              <w:right w:w="105" w:type="dxa"/>
            </w:tcMar>
            <w:vAlign w:val="center"/>
          </w:tcPr>
          <w:p w14:paraId="76162E02" w14:textId="6E82ECCD" w:rsidR="439441DB" w:rsidRPr="008F6866" w:rsidRDefault="439441DB" w:rsidP="007F0746">
            <w:pPr>
              <w:jc w:val="center"/>
              <w:cnfStyle w:val="000000000000" w:firstRow="0" w:lastRow="0" w:firstColumn="0" w:lastColumn="0" w:oddVBand="0" w:evenVBand="0" w:oddHBand="0" w:evenHBand="0" w:firstRowFirstColumn="0" w:firstRowLastColumn="0" w:lastRowFirstColumn="0" w:lastRowLastColumn="0"/>
              <w:rPr>
                <w:sz w:val="20"/>
                <w:szCs w:val="20"/>
              </w:rPr>
            </w:pPr>
            <w:r w:rsidRPr="008F6866">
              <w:rPr>
                <w:sz w:val="20"/>
                <w:szCs w:val="20"/>
              </w:rPr>
              <w:t>90</w:t>
            </w:r>
          </w:p>
        </w:tc>
        <w:tc>
          <w:tcPr>
            <w:tcW w:w="1230" w:type="dxa"/>
            <w:shd w:val="clear" w:color="auto" w:fill="D9D9D9"/>
            <w:tcMar>
              <w:left w:w="105" w:type="dxa"/>
              <w:right w:w="105" w:type="dxa"/>
            </w:tcMar>
            <w:vAlign w:val="center"/>
          </w:tcPr>
          <w:p w14:paraId="4A32D70D" w14:textId="026DBC7D" w:rsidR="439441DB" w:rsidRPr="008F6866" w:rsidRDefault="439441DB" w:rsidP="007F0746">
            <w:pPr>
              <w:jc w:val="center"/>
              <w:cnfStyle w:val="000000000000" w:firstRow="0" w:lastRow="0" w:firstColumn="0" w:lastColumn="0" w:oddVBand="0" w:evenVBand="0" w:oddHBand="0" w:evenHBand="0" w:firstRowFirstColumn="0" w:firstRowLastColumn="0" w:lastRowFirstColumn="0" w:lastRowLastColumn="0"/>
              <w:rPr>
                <w:sz w:val="20"/>
                <w:szCs w:val="20"/>
              </w:rPr>
            </w:pPr>
            <w:r w:rsidRPr="008F6866">
              <w:rPr>
                <w:sz w:val="20"/>
                <w:szCs w:val="20"/>
              </w:rPr>
              <w:t>85</w:t>
            </w:r>
          </w:p>
        </w:tc>
        <w:tc>
          <w:tcPr>
            <w:tcW w:w="1230" w:type="dxa"/>
            <w:shd w:val="clear" w:color="auto" w:fill="D9D9D9"/>
            <w:tcMar>
              <w:left w:w="105" w:type="dxa"/>
              <w:right w:w="105" w:type="dxa"/>
            </w:tcMar>
            <w:vAlign w:val="center"/>
          </w:tcPr>
          <w:p w14:paraId="25AE42C2" w14:textId="1211D31F" w:rsidR="439441DB" w:rsidRPr="008F6866" w:rsidRDefault="439441DB" w:rsidP="007F0746">
            <w:pPr>
              <w:jc w:val="center"/>
              <w:cnfStyle w:val="000000000000" w:firstRow="0" w:lastRow="0" w:firstColumn="0" w:lastColumn="0" w:oddVBand="0" w:evenVBand="0" w:oddHBand="0" w:evenHBand="0" w:firstRowFirstColumn="0" w:firstRowLastColumn="0" w:lastRowFirstColumn="0" w:lastRowLastColumn="0"/>
              <w:rPr>
                <w:sz w:val="20"/>
                <w:szCs w:val="20"/>
              </w:rPr>
            </w:pPr>
            <w:r w:rsidRPr="008F6866">
              <w:rPr>
                <w:sz w:val="20"/>
                <w:szCs w:val="20"/>
              </w:rPr>
              <w:t>85</w:t>
            </w:r>
          </w:p>
        </w:tc>
      </w:tr>
    </w:tbl>
    <w:p w14:paraId="2AFA01A6" w14:textId="77777777" w:rsidR="00726E0D" w:rsidRPr="008F6866" w:rsidRDefault="00726E0D" w:rsidP="39CFF0FF">
      <w:pPr>
        <w:spacing w:after="60" w:line="300" w:lineRule="auto"/>
        <w:jc w:val="both"/>
        <w:rPr>
          <w:rFonts w:ascii="Calibri" w:eastAsia="Calibri" w:hAnsi="Calibri" w:cs="Calibri"/>
          <w:color w:val="000000" w:themeColor="text1"/>
        </w:rPr>
      </w:pPr>
    </w:p>
    <w:p w14:paraId="6B66AF50" w14:textId="31044129" w:rsidR="00DF6B6C" w:rsidRPr="008F6866" w:rsidRDefault="132C68B1" w:rsidP="00607402">
      <w:pPr>
        <w:spacing w:after="12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 xml:space="preserve">Simulation execution was automatized using scripts. The simulation period covered 120 years, from 2015 to 2135. As SSP climate scenarios are only established up to 2100, climate data beyond this year were randomly selected from the last 30 years of the corresponding scenario. For the historical scenario, climate data were randomly selected from the 30-year series throughout the simulation period. </w:t>
      </w:r>
      <w:r w:rsidR="39CFF0FF" w:rsidRPr="008F6866">
        <w:rPr>
          <w:rFonts w:ascii="Calibri" w:eastAsia="Calibri" w:hAnsi="Calibri" w:cs="Calibri"/>
          <w:color w:val="000000" w:themeColor="text1"/>
        </w:rPr>
        <w:t xml:space="preserve">Various files </w:t>
      </w:r>
      <w:r w:rsidR="00DF6B6C" w:rsidRPr="008F6866">
        <w:rPr>
          <w:rFonts w:ascii="Calibri" w:eastAsia="Calibri" w:hAnsi="Calibri" w:cs="Calibri"/>
          <w:color w:val="000000" w:themeColor="text1"/>
        </w:rPr>
        <w:t xml:space="preserve">were </w:t>
      </w:r>
      <w:r w:rsidR="39CFF0FF" w:rsidRPr="008F6866">
        <w:rPr>
          <w:rFonts w:ascii="Calibri" w:eastAsia="Calibri" w:hAnsi="Calibri" w:cs="Calibri"/>
          <w:color w:val="000000" w:themeColor="text1"/>
        </w:rPr>
        <w:t xml:space="preserve">required to run the simulations, including species parameters, inventory data, soil horizon descriptions, meteorological data, parameters for discretizing daily </w:t>
      </w:r>
      <w:r w:rsidR="00DF6B6C" w:rsidRPr="008F6866">
        <w:rPr>
          <w:rFonts w:ascii="Calibri" w:eastAsia="Calibri" w:hAnsi="Calibri" w:cs="Calibri"/>
          <w:color w:val="000000" w:themeColor="text1"/>
        </w:rPr>
        <w:t>meteo records to hourly records</w:t>
      </w:r>
      <w:r w:rsidR="39CFF0FF" w:rsidRPr="008F6866">
        <w:rPr>
          <w:rFonts w:ascii="Calibri" w:eastAsia="Calibri" w:hAnsi="Calibri" w:cs="Calibri"/>
          <w:color w:val="000000" w:themeColor="text1"/>
        </w:rPr>
        <w:t xml:space="preserve">, economic parameters, dendro-microhabitat parameters and </w:t>
      </w:r>
      <w:r w:rsidR="00726E0D" w:rsidRPr="008F6866">
        <w:rPr>
          <w:rFonts w:ascii="Calibri" w:eastAsia="Calibri" w:hAnsi="Calibri" w:cs="Calibri"/>
          <w:color w:val="000000" w:themeColor="text1"/>
        </w:rPr>
        <w:t xml:space="preserve">temporal evolution of </w:t>
      </w:r>
      <w:r w:rsidR="39CFF0FF" w:rsidRPr="008F6866">
        <w:rPr>
          <w:rFonts w:ascii="Calibri" w:eastAsia="Calibri" w:hAnsi="Calibri" w:cs="Calibri"/>
          <w:color w:val="000000" w:themeColor="text1"/>
        </w:rPr>
        <w:t>atmospheric CO</w:t>
      </w:r>
      <w:r w:rsidR="39CFF0FF" w:rsidRPr="008F6866">
        <w:rPr>
          <w:rFonts w:ascii="Calibri" w:eastAsia="Calibri" w:hAnsi="Calibri" w:cs="Calibri"/>
          <w:color w:val="000000" w:themeColor="text1"/>
          <w:vertAlign w:val="subscript"/>
        </w:rPr>
        <w:t>2</w:t>
      </w:r>
      <w:r w:rsidR="39CFF0FF" w:rsidRPr="008F6866">
        <w:rPr>
          <w:rFonts w:ascii="Calibri" w:eastAsia="Calibri" w:hAnsi="Calibri" w:cs="Calibri"/>
          <w:color w:val="000000" w:themeColor="text1"/>
        </w:rPr>
        <w:t xml:space="preserve"> concentration</w:t>
      </w:r>
      <w:r w:rsidR="00D42126" w:rsidRPr="008F6866">
        <w:rPr>
          <w:rFonts w:ascii="Calibri" w:eastAsia="Calibri" w:hAnsi="Calibri" w:cs="Calibri"/>
          <w:color w:val="000000" w:themeColor="text1"/>
        </w:rPr>
        <w:t>s</w:t>
      </w:r>
      <w:r w:rsidR="39CFF0FF" w:rsidRPr="008F6866">
        <w:rPr>
          <w:rFonts w:ascii="Calibri" w:eastAsia="Calibri" w:hAnsi="Calibri" w:cs="Calibri"/>
          <w:color w:val="000000" w:themeColor="text1"/>
        </w:rPr>
        <w:t>. The HET</w:t>
      </w:r>
      <w:r w:rsidR="3650A11D" w:rsidRPr="008F6866">
        <w:rPr>
          <w:rFonts w:ascii="Calibri" w:eastAsia="Calibri" w:hAnsi="Calibri" w:cs="Calibri"/>
          <w:color w:val="000000" w:themeColor="text1"/>
        </w:rPr>
        <w:t>E</w:t>
      </w:r>
      <w:r w:rsidR="39CFF0FF" w:rsidRPr="008F6866">
        <w:rPr>
          <w:rFonts w:ascii="Calibri" w:eastAsia="Calibri" w:hAnsi="Calibri" w:cs="Calibri"/>
          <w:color w:val="000000" w:themeColor="text1"/>
        </w:rPr>
        <w:t>ROFOR model provide</w:t>
      </w:r>
      <w:r w:rsidR="003F77BE" w:rsidRPr="008F6866">
        <w:rPr>
          <w:rFonts w:ascii="Calibri" w:eastAsia="Calibri" w:hAnsi="Calibri" w:cs="Calibri"/>
          <w:color w:val="000000" w:themeColor="text1"/>
        </w:rPr>
        <w:t>d</w:t>
      </w:r>
      <w:r w:rsidR="00DF6B6C" w:rsidRPr="008F6866">
        <w:rPr>
          <w:rFonts w:ascii="Calibri" w:eastAsia="Calibri" w:hAnsi="Calibri" w:cs="Calibri"/>
          <w:color w:val="000000" w:themeColor="text1"/>
        </w:rPr>
        <w:t xml:space="preserve"> outputs directly under the form of pre-processed indicators (see</w:t>
      </w:r>
      <w:r w:rsidR="00AD3B18" w:rsidRPr="008F6866">
        <w:rPr>
          <w:rFonts w:ascii="Calibri" w:eastAsia="Calibri" w:hAnsi="Calibri" w:cs="Calibri"/>
          <w:color w:val="000000" w:themeColor="text1"/>
        </w:rPr>
        <w:t xml:space="preserve"> </w:t>
      </w:r>
      <w:r w:rsidR="00AD3B18" w:rsidRPr="008F6866">
        <w:rPr>
          <w:rFonts w:ascii="Calibri" w:eastAsia="Calibri" w:hAnsi="Calibri" w:cs="Calibri"/>
          <w:color w:val="000000" w:themeColor="text1"/>
        </w:rPr>
        <w:fldChar w:fldCharType="begin"/>
      </w:r>
      <w:r w:rsidR="00AD3B18" w:rsidRPr="008F6866">
        <w:rPr>
          <w:rFonts w:ascii="Calibri" w:eastAsia="Calibri" w:hAnsi="Calibri" w:cs="Calibri"/>
          <w:color w:val="000000" w:themeColor="text1"/>
        </w:rPr>
        <w:instrText xml:space="preserve"> REF _Ref195652841 \h  \* MERGEFORMAT </w:instrText>
      </w:r>
      <w:r w:rsidR="00AD3B18" w:rsidRPr="008F6866">
        <w:rPr>
          <w:rFonts w:ascii="Calibri" w:eastAsia="Calibri" w:hAnsi="Calibri" w:cs="Calibri"/>
          <w:color w:val="000000" w:themeColor="text1"/>
        </w:rPr>
      </w:r>
      <w:r w:rsidR="00AD3B18"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Table I</w:t>
      </w:r>
      <w:r w:rsidR="00AD3B18" w:rsidRPr="008F6866">
        <w:rPr>
          <w:rFonts w:ascii="Calibri" w:eastAsia="Calibri" w:hAnsi="Calibri" w:cs="Calibri"/>
          <w:color w:val="000000" w:themeColor="text1"/>
        </w:rPr>
        <w:fldChar w:fldCharType="end"/>
      </w:r>
      <w:r w:rsidR="00AD3B18" w:rsidRPr="008F6866">
        <w:rPr>
          <w:rFonts w:ascii="Calibri" w:eastAsia="Calibri" w:hAnsi="Calibri" w:cs="Calibri"/>
          <w:color w:val="000000" w:themeColor="text1"/>
        </w:rPr>
        <w:t>)</w:t>
      </w:r>
      <w:r w:rsidR="00E62A28" w:rsidRPr="008F6866">
        <w:rPr>
          <w:rFonts w:ascii="Calibri" w:eastAsia="Calibri" w:hAnsi="Calibri" w:cs="Calibri"/>
          <w:color w:val="000000" w:themeColor="text1"/>
        </w:rPr>
        <w:t>.</w:t>
      </w:r>
      <w:r w:rsidR="00DF6B6C" w:rsidRPr="008F6866">
        <w:rPr>
          <w:rFonts w:ascii="Calibri" w:eastAsia="Calibri" w:hAnsi="Calibri" w:cs="Calibri"/>
          <w:color w:val="000000" w:themeColor="text1"/>
        </w:rPr>
        <w:t xml:space="preserve"> </w:t>
      </w:r>
      <w:r w:rsidR="00E62A28" w:rsidRPr="008F6866">
        <w:rPr>
          <w:rFonts w:ascii="Calibri" w:eastAsia="Calibri" w:hAnsi="Calibri" w:cs="Calibri"/>
          <w:color w:val="000000" w:themeColor="text1"/>
        </w:rPr>
        <w:t>These indicators</w:t>
      </w:r>
      <w:r w:rsidR="00DF6B6C" w:rsidRPr="008F6866">
        <w:rPr>
          <w:rFonts w:ascii="Calibri" w:eastAsia="Calibri" w:hAnsi="Calibri" w:cs="Calibri"/>
          <w:color w:val="000000" w:themeColor="text1"/>
        </w:rPr>
        <w:t xml:space="preserve"> were analysed and used to compare simulations so as to identify the </w:t>
      </w:r>
      <w:r w:rsidR="00430DCF" w:rsidRPr="008F6866">
        <w:rPr>
          <w:rFonts w:ascii="Calibri" w:eastAsia="Calibri" w:hAnsi="Calibri" w:cs="Calibri"/>
          <w:color w:val="000000" w:themeColor="text1"/>
        </w:rPr>
        <w:t>most appropriate</w:t>
      </w:r>
      <w:r w:rsidR="00DF6B6C" w:rsidRPr="008F6866">
        <w:rPr>
          <w:rFonts w:ascii="Calibri" w:eastAsia="Calibri" w:hAnsi="Calibri" w:cs="Calibri"/>
          <w:color w:val="000000" w:themeColor="text1"/>
        </w:rPr>
        <w:t xml:space="preserve"> management strategies for ensuring </w:t>
      </w:r>
      <w:r w:rsidR="00145B6F" w:rsidRPr="008F6866">
        <w:rPr>
          <w:rFonts w:ascii="Calibri" w:eastAsia="Calibri" w:hAnsi="Calibri" w:cs="Calibri"/>
          <w:color w:val="000000" w:themeColor="text1"/>
        </w:rPr>
        <w:t>sustainability and</w:t>
      </w:r>
      <w:r w:rsidR="00DF6B6C" w:rsidRPr="008F6866">
        <w:rPr>
          <w:rFonts w:ascii="Calibri" w:eastAsia="Calibri" w:hAnsi="Calibri" w:cs="Calibri"/>
          <w:color w:val="000000" w:themeColor="text1"/>
        </w:rPr>
        <w:t xml:space="preserve"> resilience of the Walloon forest</w:t>
      </w:r>
      <w:r w:rsidR="00E62A28" w:rsidRPr="008F6866">
        <w:rPr>
          <w:rFonts w:ascii="Calibri" w:eastAsia="Calibri" w:hAnsi="Calibri" w:cs="Calibri"/>
          <w:color w:val="000000" w:themeColor="text1"/>
        </w:rPr>
        <w:t xml:space="preserve"> while favouring the provision of climate services</w:t>
      </w:r>
      <w:r w:rsidR="00DF6B6C" w:rsidRPr="008F6866">
        <w:rPr>
          <w:rFonts w:ascii="Calibri" w:eastAsia="Calibri" w:hAnsi="Calibri" w:cs="Calibri"/>
          <w:color w:val="000000" w:themeColor="text1"/>
        </w:rPr>
        <w:t>.</w:t>
      </w:r>
    </w:p>
    <w:p w14:paraId="6B9E73A5" w14:textId="598DF37D" w:rsidR="009225A0" w:rsidRPr="008F6866" w:rsidRDefault="00EF0A94" w:rsidP="006352BD">
      <w:pPr>
        <w:spacing w:after="0" w:line="300" w:lineRule="auto"/>
        <w:jc w:val="both"/>
        <w:rPr>
          <w:rFonts w:ascii="Calibri" w:eastAsia="Calibri" w:hAnsi="Calibri" w:cs="Calibri"/>
          <w:color w:val="000000"/>
        </w:rPr>
      </w:pPr>
      <w:r w:rsidRPr="008F6866">
        <w:rPr>
          <w:rFonts w:ascii="Calibri" w:eastAsia="Calibri" w:hAnsi="Calibri" w:cs="Calibri"/>
          <w:color w:val="000000"/>
        </w:rPr>
        <w:t xml:space="preserve">The outcomes of the </w:t>
      </w:r>
      <w:r w:rsidR="006F7D7D" w:rsidRPr="008F6866">
        <w:rPr>
          <w:rFonts w:ascii="Calibri" w:eastAsia="Calibri" w:hAnsi="Calibri" w:cs="Calibri"/>
          <w:color w:val="000000"/>
        </w:rPr>
        <w:t xml:space="preserve">simulations dealing with the impact of climate change </w:t>
      </w:r>
      <w:r w:rsidRPr="008F6866">
        <w:rPr>
          <w:rFonts w:ascii="Calibri" w:eastAsia="Calibri" w:hAnsi="Calibri" w:cs="Calibri"/>
          <w:color w:val="000000"/>
        </w:rPr>
        <w:t xml:space="preserve">were analysed separately from </w:t>
      </w:r>
      <w:r w:rsidR="006F7D7D" w:rsidRPr="008F6866">
        <w:rPr>
          <w:rFonts w:ascii="Calibri" w:eastAsia="Calibri" w:hAnsi="Calibri" w:cs="Calibri"/>
          <w:color w:val="000000"/>
        </w:rPr>
        <w:t>those dealing with the effect of ungulates, but following the same approach.</w:t>
      </w:r>
      <w:r w:rsidRPr="008F6866">
        <w:rPr>
          <w:rFonts w:ascii="Calibri" w:eastAsia="Calibri" w:hAnsi="Calibri" w:cs="Calibri"/>
          <w:color w:val="000000"/>
        </w:rPr>
        <w:t xml:space="preserve"> </w:t>
      </w:r>
      <w:r w:rsidR="000D4B42" w:rsidRPr="008F6866">
        <w:rPr>
          <w:rFonts w:ascii="Calibri" w:eastAsia="Calibri" w:hAnsi="Calibri" w:cs="Calibri"/>
          <w:color w:val="000000"/>
        </w:rPr>
        <w:t xml:space="preserve">In a first step, indicators were grouped by types reflecting </w:t>
      </w:r>
      <w:r w:rsidRPr="008F6866">
        <w:rPr>
          <w:rFonts w:ascii="Calibri" w:eastAsia="Calibri" w:hAnsi="Calibri" w:cs="Calibri"/>
          <w:color w:val="000000"/>
        </w:rPr>
        <w:t xml:space="preserve">productivity and </w:t>
      </w:r>
      <w:r w:rsidR="00145B6F" w:rsidRPr="008F6866">
        <w:rPr>
          <w:rFonts w:ascii="Calibri" w:eastAsia="Calibri" w:hAnsi="Calibri" w:cs="Calibri"/>
          <w:color w:val="000000"/>
        </w:rPr>
        <w:t>financial profitability</w:t>
      </w:r>
      <w:r w:rsidRPr="008F6866">
        <w:rPr>
          <w:rFonts w:ascii="Calibri" w:eastAsia="Calibri" w:hAnsi="Calibri" w:cs="Calibri"/>
          <w:color w:val="000000"/>
        </w:rPr>
        <w:t>, climate service provision (e.g., evapotranspiration, carbon storage)</w:t>
      </w:r>
      <w:r w:rsidR="00145B6F" w:rsidRPr="008F6866">
        <w:rPr>
          <w:rFonts w:ascii="Calibri" w:eastAsia="Calibri" w:hAnsi="Calibri" w:cs="Calibri"/>
          <w:color w:val="000000"/>
        </w:rPr>
        <w:t>, diversity and resilience</w:t>
      </w:r>
      <w:r w:rsidR="00E62A28" w:rsidRPr="008F6866">
        <w:rPr>
          <w:rFonts w:ascii="Calibri" w:eastAsia="Calibri" w:hAnsi="Calibri" w:cs="Calibri"/>
          <w:color w:val="000000"/>
        </w:rPr>
        <w:t>.</w:t>
      </w:r>
      <w:r w:rsidR="00664ACF" w:rsidRPr="008F6866">
        <w:rPr>
          <w:rFonts w:ascii="Calibri" w:eastAsia="Calibri" w:hAnsi="Calibri" w:cs="Calibri"/>
          <w:color w:val="000000"/>
        </w:rPr>
        <w:t xml:space="preserve"> </w:t>
      </w:r>
      <w:r w:rsidR="00244EAC" w:rsidRPr="008F6866">
        <w:rPr>
          <w:rFonts w:ascii="Calibri" w:eastAsia="Calibri" w:hAnsi="Calibri" w:cs="Calibri"/>
          <w:color w:val="000000"/>
        </w:rPr>
        <w:t>F</w:t>
      </w:r>
      <w:r w:rsidR="00664ACF" w:rsidRPr="008F6866">
        <w:rPr>
          <w:rFonts w:ascii="Calibri" w:eastAsia="Calibri" w:hAnsi="Calibri" w:cs="Calibri"/>
          <w:color w:val="000000"/>
        </w:rPr>
        <w:t>or each of these groups of in</w:t>
      </w:r>
      <w:r w:rsidR="00430DCF" w:rsidRPr="008F6866">
        <w:rPr>
          <w:rFonts w:ascii="Calibri" w:eastAsia="Calibri" w:hAnsi="Calibri" w:cs="Calibri"/>
          <w:color w:val="000000"/>
        </w:rPr>
        <w:t>d</w:t>
      </w:r>
      <w:r w:rsidR="00664ACF" w:rsidRPr="008F6866">
        <w:rPr>
          <w:rFonts w:ascii="Calibri" w:eastAsia="Calibri" w:hAnsi="Calibri" w:cs="Calibri"/>
          <w:color w:val="000000"/>
        </w:rPr>
        <w:t xml:space="preserve">icators, a principal component analysis (PCA) was </w:t>
      </w:r>
      <w:r w:rsidR="00244EAC" w:rsidRPr="008F6866">
        <w:rPr>
          <w:rFonts w:ascii="Calibri" w:eastAsia="Calibri" w:hAnsi="Calibri" w:cs="Calibri"/>
          <w:color w:val="000000"/>
        </w:rPr>
        <w:t>carried out</w:t>
      </w:r>
      <w:r w:rsidR="00430DCF" w:rsidRPr="008F6866">
        <w:rPr>
          <w:rFonts w:ascii="Calibri" w:eastAsia="Calibri" w:hAnsi="Calibri" w:cs="Calibri"/>
          <w:color w:val="000000"/>
        </w:rPr>
        <w:t xml:space="preserve"> to </w:t>
      </w:r>
      <w:r w:rsidR="00244EAC" w:rsidRPr="008F6866">
        <w:rPr>
          <w:rFonts w:ascii="Calibri" w:eastAsia="Calibri" w:hAnsi="Calibri" w:cs="Calibri"/>
          <w:color w:val="000000"/>
        </w:rPr>
        <w:t>determine</w:t>
      </w:r>
      <w:r w:rsidR="00430DCF" w:rsidRPr="008F6866">
        <w:rPr>
          <w:rFonts w:ascii="Calibri" w:eastAsia="Calibri" w:hAnsi="Calibri" w:cs="Calibri"/>
          <w:color w:val="000000"/>
        </w:rPr>
        <w:t xml:space="preserve"> which indicator or combination of indicators </w:t>
      </w:r>
      <w:r w:rsidR="00133F88" w:rsidRPr="008F6866">
        <w:rPr>
          <w:rFonts w:ascii="Calibri" w:eastAsia="Calibri" w:hAnsi="Calibri" w:cs="Calibri"/>
          <w:color w:val="000000"/>
        </w:rPr>
        <w:t>explain</w:t>
      </w:r>
      <w:r w:rsidR="00E90F57" w:rsidRPr="008F6866">
        <w:rPr>
          <w:rFonts w:ascii="Calibri" w:eastAsia="Calibri" w:hAnsi="Calibri" w:cs="Calibri"/>
          <w:color w:val="000000"/>
        </w:rPr>
        <w:t>ed</w:t>
      </w:r>
      <w:r w:rsidR="00133F88" w:rsidRPr="008F6866">
        <w:rPr>
          <w:rFonts w:ascii="Calibri" w:eastAsia="Calibri" w:hAnsi="Calibri" w:cs="Calibri"/>
          <w:color w:val="000000"/>
        </w:rPr>
        <w:t xml:space="preserve"> most of the information </w:t>
      </w:r>
      <w:r w:rsidR="00244EAC" w:rsidRPr="008F6866">
        <w:rPr>
          <w:rFonts w:ascii="Calibri" w:eastAsia="Calibri" w:hAnsi="Calibri" w:cs="Calibri"/>
          <w:color w:val="000000"/>
        </w:rPr>
        <w:t>in the group.</w:t>
      </w:r>
      <w:r w:rsidR="002B6126" w:rsidRPr="008F6866">
        <w:rPr>
          <w:rFonts w:ascii="Calibri" w:eastAsia="Calibri" w:hAnsi="Calibri" w:cs="Calibri"/>
          <w:color w:val="000000"/>
        </w:rPr>
        <w:t xml:space="preserve"> </w:t>
      </w:r>
      <w:r w:rsidR="00C92DCF" w:rsidRPr="008F6866">
        <w:rPr>
          <w:rFonts w:ascii="Calibri" w:eastAsia="Calibri" w:hAnsi="Calibri" w:cs="Calibri"/>
          <w:color w:val="000000"/>
        </w:rPr>
        <w:t>Mixed linear</w:t>
      </w:r>
      <w:r w:rsidR="002B6126" w:rsidRPr="008F6866">
        <w:rPr>
          <w:rFonts w:ascii="Calibri" w:eastAsia="Calibri" w:hAnsi="Calibri" w:cs="Calibri"/>
          <w:color w:val="000000"/>
        </w:rPr>
        <w:t xml:space="preserve"> models </w:t>
      </w:r>
      <w:r w:rsidR="000D142B" w:rsidRPr="008F6866">
        <w:rPr>
          <w:rFonts w:ascii="Calibri" w:eastAsia="Calibri" w:hAnsi="Calibri" w:cs="Calibri"/>
          <w:color w:val="000000"/>
        </w:rPr>
        <w:t xml:space="preserve">were then fitted </w:t>
      </w:r>
      <w:r w:rsidR="002B6126" w:rsidRPr="008F6866">
        <w:rPr>
          <w:rFonts w:ascii="Calibri" w:eastAsia="Calibri" w:hAnsi="Calibri" w:cs="Calibri"/>
          <w:color w:val="000000"/>
        </w:rPr>
        <w:t xml:space="preserve">expressing the indicator(s) retained in each PCA as a function of the factors </w:t>
      </w:r>
      <w:r w:rsidR="009941FF" w:rsidRPr="008F6866">
        <w:rPr>
          <w:rFonts w:ascii="Calibri" w:eastAsia="Calibri" w:hAnsi="Calibri" w:cs="Calibri"/>
          <w:color w:val="000000"/>
        </w:rPr>
        <w:t>used to define the simulations (i.e., silvicultural route, climate scenario, climate model, ungulate pressure, atmospheric C0</w:t>
      </w:r>
      <w:r w:rsidR="009941FF" w:rsidRPr="008F6866">
        <w:rPr>
          <w:rFonts w:ascii="Calibri" w:eastAsia="Calibri" w:hAnsi="Calibri" w:cs="Calibri"/>
          <w:color w:val="000000"/>
          <w:vertAlign w:val="subscript"/>
        </w:rPr>
        <w:t>2</w:t>
      </w:r>
      <w:r w:rsidR="009941FF" w:rsidRPr="008F6866">
        <w:rPr>
          <w:rFonts w:ascii="Calibri" w:eastAsia="Calibri" w:hAnsi="Calibri" w:cs="Calibri"/>
          <w:color w:val="000000"/>
        </w:rPr>
        <w:t xml:space="preserve"> variation mode, site).</w:t>
      </w:r>
      <w:r w:rsidR="000D142B" w:rsidRPr="008F6866">
        <w:rPr>
          <w:rFonts w:ascii="Calibri" w:eastAsia="Calibri" w:hAnsi="Calibri" w:cs="Calibri"/>
          <w:color w:val="000000"/>
        </w:rPr>
        <w:t xml:space="preserve"> These models </w:t>
      </w:r>
      <w:r w:rsidR="00C92DCF" w:rsidRPr="008F6866">
        <w:rPr>
          <w:rFonts w:ascii="Calibri" w:eastAsia="Calibri" w:hAnsi="Calibri" w:cs="Calibri"/>
          <w:color w:val="000000"/>
        </w:rPr>
        <w:t>allowed statistical comparisons of indicator values among factor levels, as well as quantifying the importance of each factor on indicator variability</w:t>
      </w:r>
      <w:r w:rsidR="00E51329" w:rsidRPr="008F6866">
        <w:rPr>
          <w:rFonts w:ascii="Calibri" w:eastAsia="Calibri" w:hAnsi="Calibri" w:cs="Calibri"/>
          <w:color w:val="000000"/>
        </w:rPr>
        <w:t>.</w:t>
      </w:r>
    </w:p>
    <w:p w14:paraId="6A50DEFD" w14:textId="77777777" w:rsidR="006551F0" w:rsidRPr="008F6866" w:rsidRDefault="006551F0" w:rsidP="00607402">
      <w:pPr>
        <w:spacing w:after="0"/>
        <w:rPr>
          <w:rFonts w:ascii="CG Omega" w:eastAsia="CG Omega" w:hAnsi="CG Omega" w:cs="CG Omega"/>
          <w:b/>
        </w:rPr>
      </w:pPr>
    </w:p>
    <w:p w14:paraId="3B8772E4" w14:textId="77777777" w:rsidR="006551F0" w:rsidRPr="008F6866" w:rsidRDefault="006551F0" w:rsidP="006551F0">
      <w:pPr>
        <w:spacing w:after="60"/>
        <w:rPr>
          <w:b/>
        </w:rPr>
      </w:pPr>
      <w:r w:rsidRPr="008F6866">
        <w:rPr>
          <w:b/>
        </w:rPr>
        <w:t>WP7. Valorisation, dissemination, exploitation of results</w:t>
      </w:r>
    </w:p>
    <w:p w14:paraId="564F6CA5" w14:textId="77777777" w:rsidR="006551F0" w:rsidRPr="008F6866" w:rsidRDefault="006551F0" w:rsidP="006551F0">
      <w:pPr>
        <w:spacing w:after="60"/>
        <w:rPr>
          <w:b/>
        </w:rPr>
      </w:pPr>
      <w:r w:rsidRPr="008F6866">
        <w:rPr>
          <w:b/>
        </w:rPr>
        <w:t>Task 7.1 Website design and management</w:t>
      </w:r>
    </w:p>
    <w:p w14:paraId="5BAAF943" w14:textId="507FDCD6" w:rsidR="00A20EC1" w:rsidRPr="008F6866" w:rsidRDefault="232ABAF5" w:rsidP="00607402">
      <w:pPr>
        <w:spacing w:after="120" w:line="300" w:lineRule="auto"/>
        <w:jc w:val="both"/>
      </w:pPr>
      <w:r w:rsidRPr="008F6866">
        <w:rPr>
          <w:rFonts w:ascii="Calibri" w:eastAsia="Calibri" w:hAnsi="Calibri" w:cs="Calibri"/>
          <w:color w:val="000000" w:themeColor="text1"/>
        </w:rPr>
        <w:t xml:space="preserve">A website has been designed for the REGE+ project and is available at </w:t>
      </w:r>
      <w:hyperlink r:id="rId35">
        <w:r w:rsidRPr="008F6866">
          <w:rPr>
            <w:rFonts w:ascii="Calibri" w:eastAsia="Calibri" w:hAnsi="Calibri" w:cs="Calibri"/>
            <w:color w:val="0000FF"/>
            <w:u w:val="single"/>
          </w:rPr>
          <w:t>https://www.regeplus.be/</w:t>
        </w:r>
      </w:hyperlink>
      <w:r w:rsidRPr="008F6866">
        <w:rPr>
          <w:rFonts w:ascii="Calibri" w:eastAsia="Calibri" w:hAnsi="Calibri" w:cs="Calibri"/>
          <w:color w:val="000000" w:themeColor="text1"/>
        </w:rPr>
        <w:t xml:space="preserve"> and serves as a platform for project overview, for result and model dissemination and for interactive exchanges with stakeholders and end-users. It consists of different sections. A first section gives a general </w:t>
      </w:r>
      <w:hyperlink r:id="rId36">
        <w:r w:rsidRPr="008F6866">
          <w:rPr>
            <w:rFonts w:ascii="Calibri" w:eastAsia="Calibri" w:hAnsi="Calibri" w:cs="Calibri"/>
            <w:color w:val="0000FF"/>
            <w:u w:val="single"/>
          </w:rPr>
          <w:t>presentation of the project</w:t>
        </w:r>
      </w:hyperlink>
      <w:r w:rsidRPr="008F6866">
        <w:rPr>
          <w:rFonts w:ascii="Calibri" w:eastAsia="Calibri" w:hAnsi="Calibri" w:cs="Calibri"/>
          <w:color w:val="000000" w:themeColor="text1"/>
        </w:rPr>
        <w:t xml:space="preserve">, describing the research context, its objectives and the expected impacts. A second section presents the </w:t>
      </w:r>
      <w:hyperlink r:id="rId37" w:anchor="heterofor">
        <w:r w:rsidRPr="008F6866">
          <w:rPr>
            <w:rFonts w:ascii="Calibri" w:eastAsia="Calibri" w:hAnsi="Calibri" w:cs="Calibri"/>
            <w:color w:val="0000FF"/>
            <w:u w:val="single"/>
          </w:rPr>
          <w:t>HETEROFOR model</w:t>
        </w:r>
      </w:hyperlink>
      <w:r w:rsidRPr="008F6866">
        <w:rPr>
          <w:rFonts w:ascii="Calibri" w:eastAsia="Calibri" w:hAnsi="Calibri" w:cs="Calibri"/>
          <w:color w:val="000000" w:themeColor="text1"/>
        </w:rPr>
        <w:t xml:space="preserve"> and its functionalities and provides access to an installer containing a recent version of the model and to the model user manual. It is regularly updated as improvements are made to the model. A third section describes in detail each </w:t>
      </w:r>
      <w:hyperlink r:id="rId38" w:anchor="case">
        <w:r w:rsidRPr="008F6866">
          <w:rPr>
            <w:rFonts w:ascii="Calibri" w:eastAsia="Calibri" w:hAnsi="Calibri" w:cs="Calibri"/>
            <w:color w:val="0000FF"/>
            <w:u w:val="single"/>
          </w:rPr>
          <w:t>case study</w:t>
        </w:r>
      </w:hyperlink>
      <w:r w:rsidRPr="008F6866">
        <w:rPr>
          <w:rFonts w:ascii="Calibri" w:eastAsia="Calibri" w:hAnsi="Calibri" w:cs="Calibri"/>
          <w:color w:val="000000" w:themeColor="text1"/>
        </w:rPr>
        <w:t xml:space="preserve"> selected for the project and contains links to the corresponding HETEROFOR input data files enabling to perform simulations. A fourth section is devoted to the presentation of the </w:t>
      </w:r>
      <w:hyperlink r:id="rId39">
        <w:r w:rsidRPr="008F6866">
          <w:rPr>
            <w:rFonts w:ascii="Calibri" w:eastAsia="Calibri" w:hAnsi="Calibri" w:cs="Calibri"/>
            <w:color w:val="0000FF"/>
            <w:u w:val="single"/>
          </w:rPr>
          <w:t>project results</w:t>
        </w:r>
      </w:hyperlink>
      <w:r w:rsidRPr="008F6866">
        <w:rPr>
          <w:rFonts w:ascii="Calibri" w:eastAsia="Calibri" w:hAnsi="Calibri" w:cs="Calibri"/>
          <w:color w:val="000000" w:themeColor="text1"/>
        </w:rPr>
        <w:t xml:space="preserve"> and is designed as a blog allowing for interactive exchanges with stakeholders and end-users. A fifth section </w:t>
      </w:r>
      <w:r w:rsidRPr="008F6866">
        <w:rPr>
          <w:rFonts w:ascii="Calibri" w:eastAsia="Calibri" w:hAnsi="Calibri" w:cs="Calibri"/>
          <w:color w:val="000000" w:themeColor="text1"/>
        </w:rPr>
        <w:lastRenderedPageBreak/>
        <w:t xml:space="preserve">describes the main </w:t>
      </w:r>
      <w:hyperlink r:id="rId40">
        <w:r w:rsidRPr="008F6866">
          <w:rPr>
            <w:rFonts w:ascii="Calibri" w:eastAsia="Calibri" w:hAnsi="Calibri" w:cs="Calibri"/>
            <w:color w:val="0000FF"/>
            <w:u w:val="single"/>
          </w:rPr>
          <w:t>datasets</w:t>
        </w:r>
      </w:hyperlink>
      <w:r w:rsidRPr="008F6866">
        <w:rPr>
          <w:rFonts w:ascii="Calibri" w:eastAsia="Calibri" w:hAnsi="Calibri" w:cs="Calibri"/>
          <w:color w:val="000000" w:themeColor="text1"/>
        </w:rPr>
        <w:t xml:space="preserve"> used to initialize, calibrate and evaluate the model as well as outputs from the simulations. Finally, other sections are dedicated (i) to the </w:t>
      </w:r>
      <w:hyperlink r:id="rId41">
        <w:r w:rsidRPr="008F6866">
          <w:rPr>
            <w:rFonts w:ascii="Calibri" w:eastAsia="Calibri" w:hAnsi="Calibri" w:cs="Calibri"/>
            <w:color w:val="0000FF"/>
            <w:u w:val="single"/>
          </w:rPr>
          <w:t>news and events</w:t>
        </w:r>
      </w:hyperlink>
      <w:r w:rsidRPr="008F6866">
        <w:rPr>
          <w:rFonts w:ascii="Calibri" w:eastAsia="Calibri" w:hAnsi="Calibri" w:cs="Calibri"/>
          <w:color w:val="000000" w:themeColor="text1"/>
        </w:rPr>
        <w:t xml:space="preserve"> (e.g., meetings, field trainings, training courses) related to the project, (ii) to project detailed description, reporting and scientific and popularization </w:t>
      </w:r>
      <w:hyperlink r:id="rId42">
        <w:r w:rsidRPr="008F6866">
          <w:rPr>
            <w:rFonts w:ascii="Calibri" w:eastAsia="Calibri" w:hAnsi="Calibri" w:cs="Calibri"/>
            <w:color w:val="0000FF"/>
            <w:u w:val="single"/>
          </w:rPr>
          <w:t>publications</w:t>
        </w:r>
      </w:hyperlink>
      <w:r w:rsidRPr="008F6866">
        <w:rPr>
          <w:rFonts w:ascii="Calibri" w:eastAsia="Calibri" w:hAnsi="Calibri" w:cs="Calibri"/>
          <w:color w:val="000000" w:themeColor="text1"/>
        </w:rPr>
        <w:t xml:space="preserve"> associated with the project, (iii) to the presentation of the </w:t>
      </w:r>
      <w:hyperlink r:id="rId43">
        <w:r w:rsidRPr="008F6866">
          <w:rPr>
            <w:rFonts w:ascii="Calibri" w:eastAsia="Calibri" w:hAnsi="Calibri" w:cs="Calibri"/>
            <w:color w:val="0000FF"/>
            <w:u w:val="single"/>
          </w:rPr>
          <w:t>project partners and follow-up committee</w:t>
        </w:r>
      </w:hyperlink>
      <w:r w:rsidRPr="008F6866">
        <w:rPr>
          <w:rFonts w:ascii="Calibri" w:eastAsia="Calibri" w:hAnsi="Calibri" w:cs="Calibri"/>
          <w:color w:val="000000" w:themeColor="text1"/>
        </w:rPr>
        <w:t xml:space="preserve"> and (iv) to </w:t>
      </w:r>
      <w:hyperlink r:id="rId44">
        <w:r w:rsidRPr="008F6866">
          <w:rPr>
            <w:rFonts w:ascii="Calibri" w:eastAsia="Calibri" w:hAnsi="Calibri" w:cs="Calibri"/>
            <w:color w:val="0000FF"/>
            <w:u w:val="single"/>
          </w:rPr>
          <w:t>contact</w:t>
        </w:r>
      </w:hyperlink>
      <w:r w:rsidRPr="008F6866">
        <w:rPr>
          <w:rFonts w:ascii="Calibri" w:eastAsia="Calibri" w:hAnsi="Calibri" w:cs="Calibri"/>
          <w:color w:val="000000" w:themeColor="text1"/>
        </w:rPr>
        <w:t xml:space="preserve"> request with the project partners. The website is hosted at UCLouvain.</w:t>
      </w:r>
    </w:p>
    <w:p w14:paraId="50E327E4" w14:textId="77777777" w:rsidR="00A20EC1" w:rsidRPr="008F6866" w:rsidRDefault="00A20EC1" w:rsidP="00607402">
      <w:pPr>
        <w:spacing w:after="0"/>
      </w:pPr>
    </w:p>
    <w:p w14:paraId="447238F0" w14:textId="77777777" w:rsidR="00CC34C2" w:rsidRPr="008F6866" w:rsidRDefault="00CC34C2" w:rsidP="00C73410">
      <w:pPr>
        <w:pStyle w:val="Titre1"/>
        <w:rPr>
          <w:rFonts w:asciiTheme="minorHAnsi" w:hAnsiTheme="minorHAnsi"/>
        </w:rPr>
      </w:pPr>
      <w:bookmarkStart w:id="34" w:name="_Toc200703451"/>
      <w:r w:rsidRPr="008F6866">
        <w:rPr>
          <w:rFonts w:asciiTheme="minorHAnsi" w:hAnsiTheme="minorHAnsi"/>
        </w:rPr>
        <w:t>4. SCIENTIFIC RESULTS AND RECOMMENDATIONS</w:t>
      </w:r>
      <w:bookmarkEnd w:id="34"/>
    </w:p>
    <w:p w14:paraId="79A142B0" w14:textId="0BA137A8" w:rsidR="00DE4897" w:rsidRPr="008F6866" w:rsidRDefault="00DE4897" w:rsidP="00DE4897">
      <w:pPr>
        <w:spacing w:after="60"/>
        <w:rPr>
          <w:b/>
        </w:rPr>
      </w:pPr>
      <w:r w:rsidRPr="008F6866">
        <w:rPr>
          <w:b/>
        </w:rPr>
        <w:t>4.1 Ungulate impacts</w:t>
      </w:r>
    </w:p>
    <w:p w14:paraId="3A885BB7" w14:textId="77777777" w:rsidR="00DE4897" w:rsidRPr="008F6866" w:rsidRDefault="00DE4897" w:rsidP="009A22AC">
      <w:pPr>
        <w:spacing w:after="120"/>
        <w:jc w:val="both"/>
        <w:rPr>
          <w:rFonts w:ascii="Calibri" w:eastAsia="Calibri" w:hAnsi="Calibri" w:cs="Calibri"/>
        </w:rPr>
      </w:pPr>
      <w:r w:rsidRPr="008F6866">
        <w:rPr>
          <w:rFonts w:ascii="Calibri" w:eastAsia="Calibri" w:hAnsi="Calibri" w:cs="Calibri"/>
          <w:b/>
        </w:rPr>
        <w:t>Descriptive statistics of ungulate impacts on regeneration</w:t>
      </w:r>
    </w:p>
    <w:p w14:paraId="1C334609" w14:textId="29FF7305" w:rsidR="00DE4897" w:rsidRDefault="232ABAF5" w:rsidP="004A3E48">
      <w:pPr>
        <w:spacing w:after="0" w:line="300" w:lineRule="auto"/>
        <w:jc w:val="both"/>
        <w:rPr>
          <w:rFonts w:ascii="Calibri" w:eastAsia="Calibri" w:hAnsi="Calibri" w:cs="Calibri"/>
        </w:rPr>
      </w:pPr>
      <w:r w:rsidRPr="008F6866">
        <w:rPr>
          <w:rFonts w:ascii="Calibri" w:eastAsia="Calibri" w:hAnsi="Calibri" w:cs="Calibri"/>
        </w:rPr>
        <w:t>After 5 growing seasons (2016 to 2021), the 734 fenced-unfenced pairs of plots allowed foreseeing an important ungulate impact on the species composition of the recruited trees. Strong growth differences were observed across treatments and species</w:t>
      </w:r>
      <w:r w:rsidR="009A22AC" w:rsidRPr="008F6866">
        <w:rPr>
          <w:rFonts w:ascii="Calibri" w:eastAsia="Calibri" w:hAnsi="Calibri" w:cs="Calibri"/>
        </w:rPr>
        <w:t xml:space="preserve"> (</w:t>
      </w:r>
      <w:r w:rsidR="009A22AC" w:rsidRPr="008F6866">
        <w:rPr>
          <w:rFonts w:ascii="Calibri" w:eastAsia="Calibri" w:hAnsi="Calibri" w:cs="Calibri"/>
        </w:rPr>
        <w:fldChar w:fldCharType="begin"/>
      </w:r>
      <w:r w:rsidR="009A22AC" w:rsidRPr="008F6866">
        <w:rPr>
          <w:rFonts w:ascii="Calibri" w:eastAsia="Calibri" w:hAnsi="Calibri" w:cs="Calibri"/>
        </w:rPr>
        <w:instrText xml:space="preserve"> REF _Ref195629776 \h  \* MERGEFORMAT </w:instrText>
      </w:r>
      <w:r w:rsidR="009A22AC" w:rsidRPr="008F6866">
        <w:rPr>
          <w:rFonts w:ascii="Calibri" w:eastAsia="Calibri" w:hAnsi="Calibri" w:cs="Calibri"/>
        </w:rPr>
      </w:r>
      <w:r w:rsidR="009A22AC" w:rsidRPr="008F6866">
        <w:rPr>
          <w:rFonts w:ascii="Calibri" w:eastAsia="Calibri" w:hAnsi="Calibri" w:cs="Calibri"/>
        </w:rPr>
        <w:fldChar w:fldCharType="separate"/>
      </w:r>
      <w:r w:rsidR="00540DBF" w:rsidRPr="00540DBF">
        <w:rPr>
          <w:rFonts w:ascii="Calibri" w:eastAsia="Calibri" w:hAnsi="Calibri" w:cs="Calibri"/>
        </w:rPr>
        <w:t>Figure 12</w:t>
      </w:r>
      <w:r w:rsidR="009A22AC" w:rsidRPr="008F6866">
        <w:rPr>
          <w:rFonts w:ascii="Calibri" w:eastAsia="Calibri" w:hAnsi="Calibri" w:cs="Calibri"/>
        </w:rPr>
        <w:fldChar w:fldCharType="end"/>
      </w:r>
      <w:r w:rsidR="009A22AC" w:rsidRPr="008F6866">
        <w:rPr>
          <w:rFonts w:ascii="Calibri" w:eastAsia="Calibri" w:hAnsi="Calibri" w:cs="Calibri"/>
        </w:rPr>
        <w:t xml:space="preserve">). </w:t>
      </w:r>
      <w:r w:rsidRPr="008F6866">
        <w:rPr>
          <w:rFonts w:ascii="Calibri" w:eastAsia="Calibri" w:hAnsi="Calibri" w:cs="Calibri"/>
        </w:rPr>
        <w:t xml:space="preserve">The growth of some species was only moderately reduced, whereas that of other species was highly suppressed. The fastest growing species is </w:t>
      </w:r>
      <w:r w:rsidR="009A22AC" w:rsidRPr="008F6866">
        <w:rPr>
          <w:rFonts w:ascii="Calibri" w:eastAsia="Calibri" w:hAnsi="Calibri" w:cs="Calibri"/>
        </w:rPr>
        <w:t>expected to</w:t>
      </w:r>
      <w:r w:rsidRPr="008F6866">
        <w:rPr>
          <w:rFonts w:ascii="Calibri" w:eastAsia="Calibri" w:hAnsi="Calibri" w:cs="Calibri"/>
        </w:rPr>
        <w:t xml:space="preserve"> dominate the future stands whereas the others will be progressively suppressed and rarefied. With these observations, we can then predict which species can successfully regenerate across different conditions.</w:t>
      </w:r>
    </w:p>
    <w:p w14:paraId="42DEC019" w14:textId="77777777" w:rsidR="004A3E48" w:rsidRPr="008F6866" w:rsidRDefault="004A3E48" w:rsidP="009A22AC">
      <w:pPr>
        <w:spacing w:after="120" w:line="300" w:lineRule="auto"/>
        <w:jc w:val="both"/>
        <w:rPr>
          <w:rFonts w:ascii="Calibri" w:eastAsia="Calibri" w:hAnsi="Calibri" w:cs="Calibri"/>
        </w:rPr>
      </w:pPr>
    </w:p>
    <w:p w14:paraId="761296D7" w14:textId="4E7E6DC3" w:rsidR="00DE4897" w:rsidRPr="008F6866" w:rsidRDefault="00DE4897" w:rsidP="009A22AC">
      <w:pPr>
        <w:keepNext/>
        <w:spacing w:after="0"/>
        <w:jc w:val="center"/>
      </w:pPr>
      <w:r w:rsidRPr="008F6866">
        <w:rPr>
          <w:b/>
          <w:noProof/>
        </w:rPr>
        <w:drawing>
          <wp:inline distT="114300" distB="114300" distL="114300" distR="114300" wp14:anchorId="7E9D46FC" wp14:editId="45E1ECE7">
            <wp:extent cx="5219700" cy="3581400"/>
            <wp:effectExtent l="0" t="0" r="0" b="0"/>
            <wp:docPr id="206168098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5"/>
                    <a:srcRect t="4249" b="1356"/>
                    <a:stretch>
                      <a:fillRect/>
                    </a:stretch>
                  </pic:blipFill>
                  <pic:spPr>
                    <a:xfrm>
                      <a:off x="0" y="0"/>
                      <a:ext cx="5219700" cy="3581400"/>
                    </a:xfrm>
                    <a:prstGeom prst="rect">
                      <a:avLst/>
                    </a:prstGeom>
                    <a:ln/>
                  </pic:spPr>
                </pic:pic>
              </a:graphicData>
            </a:graphic>
          </wp:inline>
        </w:drawing>
      </w:r>
    </w:p>
    <w:p w14:paraId="6345A934" w14:textId="664A1BE8" w:rsidR="009A22AC" w:rsidRPr="008F6866" w:rsidRDefault="36E2585C" w:rsidP="39707634">
      <w:pPr>
        <w:pStyle w:val="Lgende"/>
        <w:jc w:val="center"/>
        <w:rPr>
          <w:b/>
          <w:bCs/>
          <w:i w:val="0"/>
          <w:iCs w:val="0"/>
          <w:color w:val="000000" w:themeColor="text1"/>
          <w:sz w:val="20"/>
          <w:szCs w:val="20"/>
        </w:rPr>
      </w:pPr>
      <w:bookmarkStart w:id="35" w:name="_Ref195629776"/>
      <w:r w:rsidRPr="008F6866">
        <w:rPr>
          <w:b/>
          <w:bCs/>
          <w:i w:val="0"/>
          <w:iCs w:val="0"/>
          <w:color w:val="000000" w:themeColor="text1"/>
          <w:sz w:val="20"/>
          <w:szCs w:val="20"/>
        </w:rPr>
        <w:t xml:space="preserve">Figure </w:t>
      </w:r>
      <w:r w:rsidRPr="008F6866">
        <w:rPr>
          <w:b/>
          <w:bCs/>
          <w:i w:val="0"/>
          <w:iCs w:val="0"/>
          <w:color w:val="000000" w:themeColor="text1"/>
          <w:sz w:val="20"/>
          <w:szCs w:val="20"/>
        </w:rPr>
        <w:fldChar w:fldCharType="begin"/>
      </w:r>
      <w:r w:rsidRPr="008F6866">
        <w:rPr>
          <w:b/>
          <w:bCs/>
          <w:i w:val="0"/>
          <w:iCs w:val="0"/>
          <w:color w:val="000000" w:themeColor="text1"/>
          <w:sz w:val="20"/>
          <w:szCs w:val="20"/>
        </w:rPr>
        <w:instrText xml:space="preserve"> SEQ Figure \* ARABIC </w:instrText>
      </w:r>
      <w:r w:rsidRPr="008F6866">
        <w:rPr>
          <w:b/>
          <w:bCs/>
          <w:i w:val="0"/>
          <w:iCs w:val="0"/>
          <w:color w:val="000000" w:themeColor="text1"/>
          <w:sz w:val="20"/>
          <w:szCs w:val="20"/>
        </w:rPr>
        <w:fldChar w:fldCharType="separate"/>
      </w:r>
      <w:r w:rsidR="00540DBF">
        <w:rPr>
          <w:b/>
          <w:bCs/>
          <w:i w:val="0"/>
          <w:iCs w:val="0"/>
          <w:noProof/>
          <w:color w:val="000000" w:themeColor="text1"/>
          <w:sz w:val="20"/>
          <w:szCs w:val="20"/>
        </w:rPr>
        <w:t>12</w:t>
      </w:r>
      <w:r w:rsidRPr="008F6866">
        <w:rPr>
          <w:b/>
          <w:bCs/>
          <w:i w:val="0"/>
          <w:iCs w:val="0"/>
          <w:color w:val="000000" w:themeColor="text1"/>
          <w:sz w:val="20"/>
          <w:szCs w:val="20"/>
        </w:rPr>
        <w:fldChar w:fldCharType="end"/>
      </w:r>
      <w:bookmarkEnd w:id="35"/>
      <w:r w:rsidRPr="008F6866">
        <w:rPr>
          <w:b/>
          <w:bCs/>
          <w:i w:val="0"/>
          <w:iCs w:val="0"/>
          <w:color w:val="000000" w:themeColor="text1"/>
          <w:sz w:val="20"/>
          <w:szCs w:val="20"/>
        </w:rPr>
        <w:t>. Evolution of seedling height through time in the fenced and unfenced plots. Within a species and a treatment (fenced or unfenced), squared dots without common letters denote significantly different means following the max-t test. Means are displayed with their 95% confidence intervals. The impact of ungulates is particularly strong on oak, rowan and birch seedlings.</w:t>
      </w:r>
    </w:p>
    <w:p w14:paraId="29EA7315" w14:textId="77777777" w:rsidR="009A22AC" w:rsidRPr="008F6866" w:rsidRDefault="009A22AC" w:rsidP="009A22AC">
      <w:pPr>
        <w:spacing w:after="0"/>
        <w:rPr>
          <w:lang w:eastAsia="fr-BE"/>
        </w:rPr>
      </w:pPr>
    </w:p>
    <w:p w14:paraId="079C0CEB" w14:textId="384F4695" w:rsidR="00DE4897" w:rsidRPr="008F6866" w:rsidRDefault="36E2585C" w:rsidP="008A4D83">
      <w:pPr>
        <w:spacing w:after="120" w:line="300" w:lineRule="auto"/>
        <w:jc w:val="both"/>
        <w:rPr>
          <w:rFonts w:ascii="Calibri" w:eastAsia="Calibri" w:hAnsi="Calibri" w:cs="Calibri"/>
        </w:rPr>
      </w:pPr>
      <w:bookmarkStart w:id="36" w:name="_heading=h.2grqrue"/>
      <w:bookmarkEnd w:id="36"/>
      <w:r w:rsidRPr="008F6866">
        <w:rPr>
          <w:rFonts w:ascii="Calibri" w:eastAsia="Calibri" w:hAnsi="Calibri" w:cs="Calibri"/>
        </w:rPr>
        <w:lastRenderedPageBreak/>
        <w:t xml:space="preserve">Considering seedling growth potential and browsing sensitivity, we classified the 6 most frequent species into 3 groups following the classification of </w:t>
      </w:r>
      <w:r w:rsidRPr="008F6866">
        <w:rPr>
          <w:i/>
          <w:iCs/>
        </w:rPr>
        <w:fldChar w:fldCharType="begin"/>
      </w:r>
      <w:r w:rsidR="006201C6">
        <w:rPr>
          <w:i/>
          <w:iCs/>
        </w:rPr>
        <w:instrText xml:space="preserve"> ADDIN EN.CITE &lt;EndNote&gt;&lt;Cite AuthorYear="1"&gt;&lt;Author&gt;Walters&lt;/Author&gt;&lt;Year&gt;2020&lt;/Year&gt;&lt;RecNum&gt;357&lt;/RecNum&gt;&lt;IDText&gt;Walters20&lt;/IDText&gt;&lt;DisplayText&gt;Walters&lt;style face="italic"&gt; et al.&lt;/style&gt; (2020)&lt;/DisplayText&gt;&lt;record&gt;&lt;rec-number&gt;357&lt;/rec-number&gt;&lt;foreign-keys&gt;&lt;key app="EN" db-id="0px2fzdxhrpdrre2w5f5pdryx90atadrdavt" timestamp="1713821115"&gt;357&lt;/key&gt;&lt;/foreign-keys&gt;&lt;ref-type name="Journal Article"&gt;17&lt;/ref-type&gt;&lt;contributors&gt;&lt;authors&gt;&lt;author&gt;Walters, M. B.&lt;/author&gt;&lt;author&gt;Farinosi, E. J.&lt;/author&gt;&lt;author&gt;Willis, J. L.&lt;/author&gt;&lt;/authors&gt;&lt;/contributors&gt;&lt;titles&gt;&lt;title&gt;Deer browsing and shrub competition set sapling recruitment height and interact with light to shape recruitment niches for temperate forest tree species&lt;/title&gt;&lt;secondary-title&gt;Forest Ecology and Management&lt;/secondary-title&gt;&lt;/titles&gt;&lt;periodical&gt;&lt;full-title&gt;Forest Ecology and Management&lt;/full-title&gt;&lt;/periodical&gt;&lt;pages&gt;118134&lt;/pages&gt;&lt;volume&gt;467&lt;/volume&gt;&lt;dates&gt;&lt;year&gt;2020&lt;/year&gt;&lt;/dates&gt;&lt;label&gt;Walters20&lt;/label&gt;&lt;work-type&gt;Article&lt;/work-type&gt;&lt;urls&gt;&lt;related-urls&gt;&lt;url&gt;https://www.scopus.com/inward/record.uri?eid=2-s2.0-85081117091&amp;amp;doi=10.1016%2fj.foreco.2020.118134&amp;amp;partnerID=40&amp;amp;md5=8868b19f1c67db03990fd38725710a58&lt;/url&gt;&lt;/related-urls&gt;&lt;/urls&gt;&lt;custom7&gt;118134&lt;/custom7&gt;&lt;electronic-resource-num&gt;10.1016/j.foreco.2020.118134&lt;/electronic-resource-num&gt;&lt;remote-database-name&gt;Scopus&lt;/remote-database-name&gt;&lt;/record&gt;&lt;/Cite&gt;&lt;/EndNote&gt;</w:instrText>
      </w:r>
      <w:r w:rsidRPr="008F6866">
        <w:rPr>
          <w:i/>
          <w:iCs/>
        </w:rPr>
        <w:fldChar w:fldCharType="separate"/>
      </w:r>
      <w:r w:rsidR="006201C6">
        <w:rPr>
          <w:i/>
          <w:iCs/>
          <w:noProof/>
        </w:rPr>
        <w:t>Walters et al. (2020)</w:t>
      </w:r>
      <w:r w:rsidRPr="008F6866">
        <w:rPr>
          <w:i/>
          <w:iCs/>
        </w:rPr>
        <w:fldChar w:fldCharType="end"/>
      </w:r>
      <w:r w:rsidRPr="008F6866">
        <w:rPr>
          <w:rFonts w:ascii="Calibri" w:eastAsia="Calibri" w:hAnsi="Calibri" w:cs="Calibri"/>
        </w:rPr>
        <w:t>. Beech (</w:t>
      </w:r>
      <w:r w:rsidRPr="008F6866">
        <w:rPr>
          <w:rFonts w:ascii="Calibri" w:eastAsia="Calibri" w:hAnsi="Calibri" w:cs="Calibri"/>
          <w:i/>
          <w:iCs/>
        </w:rPr>
        <w:t>Fagus sylvatica</w:t>
      </w:r>
      <w:r w:rsidRPr="008F6866">
        <w:rPr>
          <w:rFonts w:ascii="Calibri" w:eastAsia="Calibri" w:hAnsi="Calibri" w:cs="Calibri"/>
        </w:rPr>
        <w:t xml:space="preserve"> L.) and spruce (</w:t>
      </w:r>
      <w:r w:rsidRPr="008F6866">
        <w:rPr>
          <w:rFonts w:ascii="Calibri" w:eastAsia="Calibri" w:hAnsi="Calibri" w:cs="Calibri"/>
          <w:i/>
          <w:iCs/>
        </w:rPr>
        <w:t xml:space="preserve">Picea abies </w:t>
      </w:r>
      <w:r w:rsidRPr="008F6866">
        <w:rPr>
          <w:rFonts w:ascii="Calibri" w:eastAsia="Calibri" w:hAnsi="Calibri" w:cs="Calibri"/>
        </w:rPr>
        <w:t xml:space="preserve">(L.) H. Karst) belonged to the </w:t>
      </w:r>
      <w:r w:rsidRPr="008F6866">
        <w:rPr>
          <w:rFonts w:ascii="Calibri" w:eastAsia="Calibri" w:hAnsi="Calibri" w:cs="Calibri"/>
          <w:i/>
          <w:iCs/>
        </w:rPr>
        <w:t>broad</w:t>
      </w:r>
      <w:r w:rsidRPr="008F6866">
        <w:rPr>
          <w:rFonts w:ascii="Calibri" w:eastAsia="Calibri" w:hAnsi="Calibri" w:cs="Calibri"/>
        </w:rPr>
        <w:t xml:space="preserve"> group as these species are frequent, shade tolerant and browsing resistant. They can regenerate under the broadest range of light and ungulate pressure. Birch (</w:t>
      </w:r>
      <w:r w:rsidRPr="008F6866">
        <w:rPr>
          <w:rFonts w:ascii="Calibri" w:eastAsia="Calibri" w:hAnsi="Calibri" w:cs="Calibri"/>
          <w:i/>
          <w:iCs/>
        </w:rPr>
        <w:t xml:space="preserve">Betula pendula </w:t>
      </w:r>
      <w:r w:rsidRPr="008F6866">
        <w:rPr>
          <w:rFonts w:ascii="Calibri" w:eastAsia="Calibri" w:hAnsi="Calibri" w:cs="Calibri"/>
        </w:rPr>
        <w:t>Roth) and rowan (</w:t>
      </w:r>
      <w:r w:rsidRPr="008F6866">
        <w:rPr>
          <w:rFonts w:ascii="Calibri" w:eastAsia="Calibri" w:hAnsi="Calibri" w:cs="Calibri"/>
          <w:i/>
          <w:iCs/>
        </w:rPr>
        <w:t>Sorbus aucuparia</w:t>
      </w:r>
      <w:r w:rsidRPr="008F6866">
        <w:rPr>
          <w:rFonts w:ascii="Calibri" w:eastAsia="Calibri" w:hAnsi="Calibri" w:cs="Calibri"/>
        </w:rPr>
        <w:t xml:space="preserve"> L.) belonged to the </w:t>
      </w:r>
      <w:r w:rsidRPr="008F6866">
        <w:rPr>
          <w:rFonts w:ascii="Calibri" w:eastAsia="Calibri" w:hAnsi="Calibri" w:cs="Calibri"/>
          <w:i/>
          <w:iCs/>
        </w:rPr>
        <w:t>high-light</w:t>
      </w:r>
      <w:r w:rsidRPr="008F6866">
        <w:rPr>
          <w:rFonts w:ascii="Calibri" w:eastAsia="Calibri" w:hAnsi="Calibri" w:cs="Calibri"/>
        </w:rPr>
        <w:t xml:space="preserve"> group. They grow fast in high-light conditions but they are highly browsing sensitive and shade intolerant. Oak (</w:t>
      </w:r>
      <w:r w:rsidRPr="008F6866">
        <w:rPr>
          <w:rFonts w:ascii="Calibri" w:eastAsia="Calibri" w:hAnsi="Calibri" w:cs="Calibri"/>
          <w:i/>
          <w:iCs/>
        </w:rPr>
        <w:t>Quercus</w:t>
      </w:r>
      <w:r w:rsidRPr="008F6866">
        <w:rPr>
          <w:rFonts w:ascii="Calibri" w:eastAsia="Calibri" w:hAnsi="Calibri" w:cs="Calibri"/>
        </w:rPr>
        <w:t xml:space="preserve"> spp.) belonged to the </w:t>
      </w:r>
      <w:r w:rsidRPr="008F6866">
        <w:rPr>
          <w:rFonts w:ascii="Calibri" w:eastAsia="Calibri" w:hAnsi="Calibri" w:cs="Calibri"/>
          <w:i/>
          <w:iCs/>
        </w:rPr>
        <w:t>nowhere</w:t>
      </w:r>
      <w:r w:rsidRPr="008F6866">
        <w:rPr>
          <w:rFonts w:ascii="Calibri" w:eastAsia="Calibri" w:hAnsi="Calibri" w:cs="Calibri"/>
        </w:rPr>
        <w:t xml:space="preserve"> group. Its growth is limited in all the sampled conditions, and it is very browsing sensitive. Oak hardly regenerates naturally in most forests managed with a continuous cover (except maybe where nutrient or humidity constraints the development of other tree species). Finally, hornbeam (</w:t>
      </w:r>
      <w:r w:rsidRPr="008F6866">
        <w:rPr>
          <w:rFonts w:ascii="Calibri" w:eastAsia="Calibri" w:hAnsi="Calibri" w:cs="Calibri"/>
          <w:i/>
          <w:iCs/>
        </w:rPr>
        <w:t>Carpinus betulus</w:t>
      </w:r>
      <w:r w:rsidRPr="008F6866">
        <w:rPr>
          <w:rFonts w:ascii="Calibri" w:eastAsia="Calibri" w:hAnsi="Calibri" w:cs="Calibri"/>
        </w:rPr>
        <w:t xml:space="preserve"> L.) shares the characteristics of </w:t>
      </w:r>
      <w:r w:rsidRPr="008F6866">
        <w:rPr>
          <w:rFonts w:ascii="Calibri" w:eastAsia="Calibri" w:hAnsi="Calibri" w:cs="Calibri"/>
          <w:i/>
          <w:iCs/>
        </w:rPr>
        <w:t>high-light</w:t>
      </w:r>
      <w:r w:rsidRPr="008F6866">
        <w:rPr>
          <w:rFonts w:ascii="Calibri" w:eastAsia="Calibri" w:hAnsi="Calibri" w:cs="Calibri"/>
        </w:rPr>
        <w:t xml:space="preserve"> (high growth potential and palatability) and </w:t>
      </w:r>
      <w:r w:rsidRPr="008F6866">
        <w:rPr>
          <w:rFonts w:ascii="Calibri" w:eastAsia="Calibri" w:hAnsi="Calibri" w:cs="Calibri"/>
          <w:i/>
          <w:iCs/>
        </w:rPr>
        <w:t>broad</w:t>
      </w:r>
      <w:r w:rsidRPr="008F6866">
        <w:rPr>
          <w:rFonts w:ascii="Calibri" w:eastAsia="Calibri" w:hAnsi="Calibri" w:cs="Calibri"/>
        </w:rPr>
        <w:t xml:space="preserve"> groups (high growth under ungulate impact).</w:t>
      </w:r>
    </w:p>
    <w:p w14:paraId="08A8353E" w14:textId="71252D8A" w:rsidR="00DE4897" w:rsidRPr="008F6866" w:rsidRDefault="39CFF0FF" w:rsidP="008A4D83">
      <w:pPr>
        <w:spacing w:after="120" w:line="300" w:lineRule="auto"/>
        <w:jc w:val="both"/>
        <w:rPr>
          <w:rFonts w:ascii="Calibri" w:eastAsia="Calibri" w:hAnsi="Calibri" w:cs="Calibri"/>
        </w:rPr>
      </w:pPr>
      <w:r w:rsidRPr="008F6866">
        <w:rPr>
          <w:rFonts w:ascii="Calibri" w:eastAsia="Calibri" w:hAnsi="Calibri" w:cs="Calibri"/>
        </w:rPr>
        <w:t>Ungulates drastically reduced the recruitment potential of high-light species (birch, rowan) as their growth was clearly limited in the unfenced plots. When these species were present in the fenced plots, they had however the fastest growth</w:t>
      </w:r>
      <w:r w:rsidR="001837CF" w:rsidRPr="008F6866">
        <w:rPr>
          <w:rFonts w:ascii="Calibri" w:eastAsia="Calibri" w:hAnsi="Calibri" w:cs="Calibri"/>
        </w:rPr>
        <w:t xml:space="preserve"> </w:t>
      </w:r>
      <w:r w:rsidR="008A4D83" w:rsidRPr="008F6866">
        <w:rPr>
          <w:rFonts w:ascii="Calibri" w:eastAsia="Calibri" w:hAnsi="Calibri" w:cs="Calibri"/>
        </w:rPr>
        <w:t>(</w:t>
      </w:r>
      <w:r w:rsidR="001837CF" w:rsidRPr="008F6866">
        <w:rPr>
          <w:rFonts w:ascii="Calibri" w:eastAsia="Calibri" w:hAnsi="Calibri" w:cs="Calibri"/>
        </w:rPr>
        <w:fldChar w:fldCharType="begin"/>
      </w:r>
      <w:r w:rsidR="001837CF" w:rsidRPr="008F6866">
        <w:rPr>
          <w:rFonts w:ascii="Calibri" w:eastAsia="Calibri" w:hAnsi="Calibri" w:cs="Calibri"/>
        </w:rPr>
        <w:instrText xml:space="preserve"> REF _Ref195629776 \h </w:instrText>
      </w:r>
      <w:r w:rsidR="008A4D83" w:rsidRPr="008F6866">
        <w:rPr>
          <w:rFonts w:ascii="Calibri" w:eastAsia="Calibri" w:hAnsi="Calibri" w:cs="Calibri"/>
        </w:rPr>
        <w:instrText xml:space="preserve"> \* MERGEFORMAT </w:instrText>
      </w:r>
      <w:r w:rsidR="001837CF" w:rsidRPr="008F6866">
        <w:rPr>
          <w:rFonts w:ascii="Calibri" w:eastAsia="Calibri" w:hAnsi="Calibri" w:cs="Calibri"/>
        </w:rPr>
      </w:r>
      <w:r w:rsidR="001837CF" w:rsidRPr="008F6866">
        <w:rPr>
          <w:rFonts w:ascii="Calibri" w:eastAsia="Calibri" w:hAnsi="Calibri" w:cs="Calibri"/>
        </w:rPr>
        <w:fldChar w:fldCharType="separate"/>
      </w:r>
      <w:r w:rsidR="00540DBF" w:rsidRPr="00540DBF">
        <w:rPr>
          <w:rFonts w:ascii="Calibri" w:eastAsia="Calibri" w:hAnsi="Calibri" w:cs="Calibri"/>
        </w:rPr>
        <w:t>Figure 12</w:t>
      </w:r>
      <w:r w:rsidR="001837CF" w:rsidRPr="008F6866">
        <w:rPr>
          <w:rFonts w:ascii="Calibri" w:eastAsia="Calibri" w:hAnsi="Calibri" w:cs="Calibri"/>
        </w:rPr>
        <w:fldChar w:fldCharType="end"/>
      </w:r>
      <w:r w:rsidR="008A4D83" w:rsidRPr="008F6866">
        <w:rPr>
          <w:rFonts w:ascii="Calibri" w:eastAsia="Calibri" w:hAnsi="Calibri" w:cs="Calibri"/>
        </w:rPr>
        <w:t>)</w:t>
      </w:r>
      <w:r w:rsidRPr="008F6866">
        <w:rPr>
          <w:rFonts w:ascii="Calibri" w:eastAsia="Calibri" w:hAnsi="Calibri" w:cs="Calibri"/>
        </w:rPr>
        <w:t xml:space="preserve">. Ungulate impact is also important for oak but other key factors impede its regeneration (mainly the competition with the other species). The growth of oak seedlings was generally lower than that of the admixed species in both fenced and unfenced plots. Finally, the </w:t>
      </w:r>
      <w:r w:rsidRPr="008F6866">
        <w:rPr>
          <w:rFonts w:ascii="Calibri" w:eastAsia="Calibri" w:hAnsi="Calibri" w:cs="Calibri"/>
          <w:i/>
          <w:iCs/>
        </w:rPr>
        <w:t>broad</w:t>
      </w:r>
      <w:r w:rsidRPr="008F6866">
        <w:rPr>
          <w:rFonts w:ascii="Calibri" w:eastAsia="Calibri" w:hAnsi="Calibri" w:cs="Calibri"/>
        </w:rPr>
        <w:t xml:space="preserve"> species (beech, spruce) seemed to regenerate naturally easily in the sampled conditions and can even grow faster in unfenced plots. </w:t>
      </w:r>
    </w:p>
    <w:p w14:paraId="380F42E5" w14:textId="3546D2B9" w:rsidR="00DE4897" w:rsidRPr="008F6866" w:rsidRDefault="39CFF0FF" w:rsidP="008A4D83">
      <w:pPr>
        <w:spacing w:after="120" w:line="300" w:lineRule="auto"/>
        <w:jc w:val="both"/>
        <w:rPr>
          <w:rFonts w:ascii="Calibri" w:eastAsia="Calibri" w:hAnsi="Calibri" w:cs="Calibri"/>
        </w:rPr>
      </w:pPr>
      <w:r w:rsidRPr="008F6866">
        <w:rPr>
          <w:rFonts w:ascii="Calibri" w:eastAsia="Calibri" w:hAnsi="Calibri" w:cs="Calibri"/>
        </w:rPr>
        <w:t>Browsing additionally affected regeneration diversity and presumably future forest diversity (</w:t>
      </w:r>
      <w:r w:rsidR="008A4D83" w:rsidRPr="008F6866">
        <w:rPr>
          <w:rFonts w:ascii="Calibri" w:eastAsia="Calibri" w:hAnsi="Calibri" w:cs="Calibri"/>
        </w:rPr>
        <w:fldChar w:fldCharType="begin"/>
      </w:r>
      <w:r w:rsidR="008A4D83" w:rsidRPr="008F6866">
        <w:rPr>
          <w:rFonts w:ascii="Calibri" w:eastAsia="Calibri" w:hAnsi="Calibri" w:cs="Calibri"/>
        </w:rPr>
        <w:instrText xml:space="preserve"> REF _Ref195631722 \h  \* MERGEFORMAT </w:instrText>
      </w:r>
      <w:r w:rsidR="008A4D83" w:rsidRPr="008F6866">
        <w:rPr>
          <w:rFonts w:ascii="Calibri" w:eastAsia="Calibri" w:hAnsi="Calibri" w:cs="Calibri"/>
        </w:rPr>
      </w:r>
      <w:r w:rsidR="008A4D83" w:rsidRPr="008F6866">
        <w:rPr>
          <w:rFonts w:ascii="Calibri" w:eastAsia="Calibri" w:hAnsi="Calibri" w:cs="Calibri"/>
        </w:rPr>
        <w:fldChar w:fldCharType="separate"/>
      </w:r>
      <w:r w:rsidR="00540DBF" w:rsidRPr="00540DBF">
        <w:rPr>
          <w:rFonts w:ascii="Calibri" w:eastAsia="Calibri" w:hAnsi="Calibri" w:cs="Calibri"/>
        </w:rPr>
        <w:t>Figure 13</w:t>
      </w:r>
      <w:r w:rsidR="008A4D83" w:rsidRPr="008F6866">
        <w:rPr>
          <w:rFonts w:ascii="Calibri" w:eastAsia="Calibri" w:hAnsi="Calibri" w:cs="Calibri"/>
        </w:rPr>
        <w:fldChar w:fldCharType="end"/>
      </w:r>
      <w:r w:rsidRPr="008F6866">
        <w:rPr>
          <w:rFonts w:ascii="Calibri" w:eastAsia="Calibri" w:hAnsi="Calibri" w:cs="Calibri"/>
        </w:rPr>
        <w:t>A). As the broad species in the study area were not very tolerant to drought and warmer conditions, the effect of browsing is also affecting future forest resilience. At the end of the study period, the ecological affinity indexes (EAI,</w:t>
      </w:r>
      <w:r w:rsidR="008A4D83" w:rsidRPr="008F6866">
        <w:rPr>
          <w:rFonts w:ascii="Calibri" w:eastAsia="Calibri" w:hAnsi="Calibri" w:cs="Calibri"/>
        </w:rPr>
        <w:t xml:space="preserve"> </w:t>
      </w:r>
      <w:r w:rsidR="008A4D83" w:rsidRPr="008F6866">
        <w:rPr>
          <w:rFonts w:ascii="Calibri" w:eastAsia="Calibri" w:hAnsi="Calibri" w:cs="Calibri"/>
        </w:rPr>
        <w:fldChar w:fldCharType="begin"/>
      </w:r>
      <w:r w:rsidR="008A4D83" w:rsidRPr="008F6866">
        <w:rPr>
          <w:rFonts w:ascii="Calibri" w:eastAsia="Calibri" w:hAnsi="Calibri" w:cs="Calibri"/>
        </w:rPr>
        <w:instrText xml:space="preserve"> REF _Ref195631722 \h  \* MERGEFORMAT </w:instrText>
      </w:r>
      <w:r w:rsidR="008A4D83" w:rsidRPr="008F6866">
        <w:rPr>
          <w:rFonts w:ascii="Calibri" w:eastAsia="Calibri" w:hAnsi="Calibri" w:cs="Calibri"/>
        </w:rPr>
      </w:r>
      <w:r w:rsidR="008A4D83" w:rsidRPr="008F6866">
        <w:rPr>
          <w:rFonts w:ascii="Calibri" w:eastAsia="Calibri" w:hAnsi="Calibri" w:cs="Calibri"/>
        </w:rPr>
        <w:fldChar w:fldCharType="separate"/>
      </w:r>
      <w:r w:rsidR="00540DBF" w:rsidRPr="00540DBF">
        <w:rPr>
          <w:rFonts w:ascii="Calibri" w:eastAsia="Calibri" w:hAnsi="Calibri" w:cs="Calibri"/>
        </w:rPr>
        <w:t>Figure 13</w:t>
      </w:r>
      <w:r w:rsidR="008A4D83" w:rsidRPr="008F6866">
        <w:rPr>
          <w:rFonts w:ascii="Calibri" w:eastAsia="Calibri" w:hAnsi="Calibri" w:cs="Calibri"/>
        </w:rPr>
        <w:fldChar w:fldCharType="end"/>
      </w:r>
      <w:r w:rsidRPr="008F6866">
        <w:rPr>
          <w:rFonts w:ascii="Calibri" w:eastAsia="Calibri" w:hAnsi="Calibri" w:cs="Calibri"/>
        </w:rPr>
        <w:t>) of the seedling assemblage showed that the seedlings were composed of less heat and drought tolerant species (</w:t>
      </w:r>
      <w:r w:rsidR="008A4D83" w:rsidRPr="008F6866">
        <w:rPr>
          <w:rFonts w:ascii="Calibri" w:eastAsia="Calibri" w:hAnsi="Calibri" w:cs="Calibri"/>
        </w:rPr>
        <w:fldChar w:fldCharType="begin"/>
      </w:r>
      <w:r w:rsidR="008A4D83" w:rsidRPr="008F6866">
        <w:rPr>
          <w:rFonts w:ascii="Calibri" w:eastAsia="Calibri" w:hAnsi="Calibri" w:cs="Calibri"/>
        </w:rPr>
        <w:instrText xml:space="preserve"> REF _Ref195631722 \h  \* MERGEFORMAT </w:instrText>
      </w:r>
      <w:r w:rsidR="008A4D83" w:rsidRPr="008F6866">
        <w:rPr>
          <w:rFonts w:ascii="Calibri" w:eastAsia="Calibri" w:hAnsi="Calibri" w:cs="Calibri"/>
        </w:rPr>
      </w:r>
      <w:r w:rsidR="008A4D83" w:rsidRPr="008F6866">
        <w:rPr>
          <w:rFonts w:ascii="Calibri" w:eastAsia="Calibri" w:hAnsi="Calibri" w:cs="Calibri"/>
        </w:rPr>
        <w:fldChar w:fldCharType="separate"/>
      </w:r>
      <w:r w:rsidR="00540DBF" w:rsidRPr="00540DBF">
        <w:rPr>
          <w:rFonts w:ascii="Calibri" w:eastAsia="Calibri" w:hAnsi="Calibri" w:cs="Calibri"/>
        </w:rPr>
        <w:t>Figure 13</w:t>
      </w:r>
      <w:r w:rsidR="008A4D83" w:rsidRPr="008F6866">
        <w:rPr>
          <w:rFonts w:ascii="Calibri" w:eastAsia="Calibri" w:hAnsi="Calibri" w:cs="Calibri"/>
        </w:rPr>
        <w:fldChar w:fldCharType="end"/>
      </w:r>
      <w:r w:rsidRPr="008F6866">
        <w:rPr>
          <w:rFonts w:ascii="Calibri" w:eastAsia="Calibri" w:hAnsi="Calibri" w:cs="Calibri"/>
        </w:rPr>
        <w:t>B, C) and more shade tolerant species (</w:t>
      </w:r>
      <w:r w:rsidR="008A4D83" w:rsidRPr="008F6866">
        <w:rPr>
          <w:rFonts w:ascii="Calibri" w:eastAsia="Calibri" w:hAnsi="Calibri" w:cs="Calibri"/>
        </w:rPr>
        <w:fldChar w:fldCharType="begin"/>
      </w:r>
      <w:r w:rsidR="008A4D83" w:rsidRPr="008F6866">
        <w:rPr>
          <w:rFonts w:ascii="Calibri" w:eastAsia="Calibri" w:hAnsi="Calibri" w:cs="Calibri"/>
        </w:rPr>
        <w:instrText xml:space="preserve"> REF _Ref195631722 \h  \* MERGEFORMAT </w:instrText>
      </w:r>
      <w:r w:rsidR="008A4D83" w:rsidRPr="008F6866">
        <w:rPr>
          <w:rFonts w:ascii="Calibri" w:eastAsia="Calibri" w:hAnsi="Calibri" w:cs="Calibri"/>
        </w:rPr>
      </w:r>
      <w:r w:rsidR="008A4D83" w:rsidRPr="008F6866">
        <w:rPr>
          <w:rFonts w:ascii="Calibri" w:eastAsia="Calibri" w:hAnsi="Calibri" w:cs="Calibri"/>
        </w:rPr>
        <w:fldChar w:fldCharType="separate"/>
      </w:r>
      <w:r w:rsidR="00540DBF" w:rsidRPr="00540DBF">
        <w:rPr>
          <w:rFonts w:ascii="Calibri" w:eastAsia="Calibri" w:hAnsi="Calibri" w:cs="Calibri"/>
        </w:rPr>
        <w:t>Figure 13</w:t>
      </w:r>
      <w:r w:rsidR="008A4D83" w:rsidRPr="008F6866">
        <w:rPr>
          <w:rFonts w:ascii="Calibri" w:eastAsia="Calibri" w:hAnsi="Calibri" w:cs="Calibri"/>
        </w:rPr>
        <w:fldChar w:fldCharType="end"/>
      </w:r>
      <w:r w:rsidRPr="008F6866">
        <w:rPr>
          <w:rFonts w:ascii="Calibri" w:eastAsia="Calibri" w:hAnsi="Calibri" w:cs="Calibri"/>
        </w:rPr>
        <w:t>D).</w:t>
      </w:r>
    </w:p>
    <w:p w14:paraId="3C862DF3" w14:textId="77777777" w:rsidR="00DE4897" w:rsidRPr="008F6866" w:rsidRDefault="39CFF0FF" w:rsidP="008A4D83">
      <w:pPr>
        <w:keepNext/>
        <w:spacing w:after="120" w:line="300" w:lineRule="auto"/>
        <w:jc w:val="both"/>
        <w:rPr>
          <w:rFonts w:ascii="Calibri" w:eastAsia="Calibri" w:hAnsi="Calibri" w:cs="Calibri"/>
        </w:rPr>
      </w:pPr>
      <w:r w:rsidRPr="008F6866">
        <w:rPr>
          <w:rFonts w:ascii="Calibri" w:eastAsia="Calibri" w:hAnsi="Calibri" w:cs="Calibri"/>
        </w:rPr>
        <w:t xml:space="preserve">In conclusion, the results evidence that ungulates critically affect the growth of the species that are the most palatable, the less shade tolerant and the best adapted to future climatic conditions.  </w:t>
      </w:r>
    </w:p>
    <w:p w14:paraId="029D8631" w14:textId="7E5600A4" w:rsidR="00DE4897" w:rsidRPr="008F6866" w:rsidRDefault="00DE4897" w:rsidP="008A4D83">
      <w:pPr>
        <w:spacing w:after="120" w:line="300" w:lineRule="auto"/>
        <w:jc w:val="both"/>
        <w:rPr>
          <w:rFonts w:ascii="Calibri" w:eastAsia="Calibri" w:hAnsi="Calibri" w:cs="Calibri"/>
        </w:rPr>
      </w:pPr>
      <w:r w:rsidRPr="008F6866">
        <w:rPr>
          <w:rFonts w:ascii="Calibri" w:eastAsia="Calibri" w:hAnsi="Calibri" w:cs="Calibri"/>
        </w:rPr>
        <w:t>The complete description of this study has been published in the Open-Access journal “Forest” and is available online (</w:t>
      </w:r>
      <w:hyperlink r:id="rId46">
        <w:r w:rsidRPr="008F6866">
          <w:rPr>
            <w:rFonts w:ascii="Calibri" w:eastAsia="Calibri" w:hAnsi="Calibri" w:cs="Calibri"/>
            <w:color w:val="1155CC"/>
            <w:u w:val="single"/>
          </w:rPr>
          <w:t>https://hdl.handle.net/2268/307006</w:t>
        </w:r>
      </w:hyperlink>
      <w:r w:rsidRPr="008F6866">
        <w:rPr>
          <w:rFonts w:ascii="Calibri" w:eastAsia="Calibri" w:hAnsi="Calibri" w:cs="Calibri"/>
        </w:rPr>
        <w:t>)</w:t>
      </w:r>
      <w:r w:rsidR="008A4D83" w:rsidRPr="008F6866">
        <w:rPr>
          <w:rFonts w:ascii="Calibri" w:eastAsia="Calibri" w:hAnsi="Calibri" w:cs="Calibri"/>
        </w:rPr>
        <w:t xml:space="preserve"> </w:t>
      </w:r>
      <w:r w:rsidRPr="008F6866">
        <w:fldChar w:fldCharType="begin"/>
      </w:r>
      <w:r w:rsidR="001677B2">
        <w:instrText xml:space="preserve"> ADDIN EN.CITE &lt;EndNote&gt;&lt;Cite&gt;&lt;Author&gt;Candaele&lt;/Author&gt;&lt;Year&gt;2023&lt;/Year&gt;&lt;RecNum&gt;302&lt;/RecNum&gt;&lt;IDText&gt;Candaele23&lt;/IDText&gt;&lt;DisplayText&gt;(Candaele&lt;style face="italic"&gt; et al.&lt;/style&gt;, 2023)&lt;/DisplayText&gt;&lt;record&gt;&lt;rec-number&gt;302&lt;/rec-number&gt;&lt;foreign-keys&gt;&lt;key app="EN" db-id="0px2fzdxhrpdrre2w5f5pdryx90atadrdavt" timestamp="1705674045"&gt;302&lt;/key&gt;&lt;/foreign-keys&gt;&lt;ref-type name="Journal Article"&gt;17&lt;/ref-type&gt;&lt;contributors&gt;&lt;authors&gt;&lt;author&gt;Candaele, R.&lt;/author&gt;&lt;author&gt;Ligot, G.&lt;/author&gt;&lt;author&gt;Licoppe, A.&lt;/author&gt;&lt;author&gt;Lievens, J.&lt;/author&gt;&lt;author&gt;Fichefet, V.&lt;/author&gt;&lt;author&gt;Jonard, M.&lt;/author&gt;&lt;author&gt;André, F.&lt;/author&gt;&lt;author&gt;Lejeune, P.&lt;/author&gt;&lt;/authors&gt;&lt;/contributors&gt;&lt;titles&gt;&lt;title&gt;Interspecific Growth Reductions Caused by Wild Ungulates on Tree Seedlings and Their Implications for Temperate {Q}uercus-{F}agus Forests&lt;/title&gt;&lt;secondary-title&gt;Forests&lt;/secondary-title&gt;&lt;/titles&gt;&lt;periodical&gt;&lt;full-title&gt;Forests&lt;/full-title&gt;&lt;/periodical&gt;&lt;pages&gt;1330&lt;/pages&gt;&lt;volume&gt;14&lt;/volume&gt;&lt;number&gt;7&lt;/number&gt;&lt;dates&gt;&lt;year&gt;2023&lt;/year&gt;&lt;/dates&gt;&lt;label&gt;Candaele23&lt;/label&gt;&lt;work-type&gt;Article&lt;/work-type&gt;&lt;urls&gt;&lt;related-urls&gt;&lt;url&gt;https://www.scopus.com/inward/record.uri?eid=2-s2.0-85166268920&amp;amp;doi=10.3390%2ff14071330&amp;amp;partnerID=40&amp;amp;md5=baec94aad47ddae074cf4d93c246c4b8&lt;/url&gt;&lt;/related-urls&gt;&lt;/urls&gt;&lt;custom7&gt;1330&lt;/custom7&gt;&lt;electronic-resource-num&gt;10.3390/f14071330&lt;/electronic-resource-num&gt;&lt;remote-database-name&gt;Scopus&lt;/remote-database-name&gt;&lt;/record&gt;&lt;/Cite&gt;&lt;/EndNote&gt;</w:instrText>
      </w:r>
      <w:r w:rsidRPr="008F6866">
        <w:fldChar w:fldCharType="separate"/>
      </w:r>
      <w:r w:rsidR="001677B2">
        <w:rPr>
          <w:noProof/>
        </w:rPr>
        <w:t>(Candaele</w:t>
      </w:r>
      <w:r w:rsidR="001677B2" w:rsidRPr="001677B2">
        <w:rPr>
          <w:i/>
          <w:noProof/>
        </w:rPr>
        <w:t xml:space="preserve"> et al.</w:t>
      </w:r>
      <w:r w:rsidR="001677B2">
        <w:rPr>
          <w:noProof/>
        </w:rPr>
        <w:t>, 2023)</w:t>
      </w:r>
      <w:r w:rsidRPr="008F6866">
        <w:fldChar w:fldCharType="end"/>
      </w:r>
      <w:r w:rsidRPr="008F6866">
        <w:rPr>
          <w:rFonts w:ascii="Calibri" w:eastAsia="Calibri" w:hAnsi="Calibri" w:cs="Calibri"/>
        </w:rPr>
        <w:t>.</w:t>
      </w:r>
    </w:p>
    <w:p w14:paraId="7031C124" w14:textId="0D848DCB" w:rsidR="00DE4897" w:rsidRPr="008F6866" w:rsidRDefault="00DE4897" w:rsidP="008A4D83">
      <w:pPr>
        <w:keepNext/>
        <w:spacing w:after="0"/>
        <w:jc w:val="center"/>
      </w:pPr>
      <w:r w:rsidRPr="008F6866">
        <w:rPr>
          <w:noProof/>
        </w:rPr>
        <w:lastRenderedPageBreak/>
        <w:drawing>
          <wp:inline distT="114300" distB="114300" distL="114300" distR="114300" wp14:anchorId="47AA8DFE" wp14:editId="7516358B">
            <wp:extent cx="5069840" cy="3601720"/>
            <wp:effectExtent l="0" t="0" r="0" b="0"/>
            <wp:docPr id="206168098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7"/>
                    <a:srcRect/>
                    <a:stretch>
                      <a:fillRect/>
                    </a:stretch>
                  </pic:blipFill>
                  <pic:spPr>
                    <a:xfrm>
                      <a:off x="0" y="0"/>
                      <a:ext cx="5069840" cy="3601720"/>
                    </a:xfrm>
                    <a:prstGeom prst="rect">
                      <a:avLst/>
                    </a:prstGeom>
                    <a:ln/>
                  </pic:spPr>
                </pic:pic>
              </a:graphicData>
            </a:graphic>
          </wp:inline>
        </w:drawing>
      </w:r>
    </w:p>
    <w:p w14:paraId="782CEE17" w14:textId="4CD3C2B8" w:rsidR="008A4D83" w:rsidRPr="008F6866" w:rsidRDefault="36E2585C" w:rsidP="00B450BC">
      <w:pPr>
        <w:pStyle w:val="Lgende"/>
        <w:spacing w:after="0"/>
        <w:jc w:val="center"/>
        <w:rPr>
          <w:b/>
          <w:bCs/>
          <w:i w:val="0"/>
          <w:iCs w:val="0"/>
          <w:color w:val="000000" w:themeColor="text1"/>
          <w:sz w:val="20"/>
          <w:szCs w:val="20"/>
        </w:rPr>
      </w:pPr>
      <w:bookmarkStart w:id="37" w:name="_Ref195631722"/>
      <w:r w:rsidRPr="008F6866">
        <w:rPr>
          <w:b/>
          <w:bCs/>
          <w:i w:val="0"/>
          <w:iCs w:val="0"/>
          <w:color w:val="000000" w:themeColor="text1"/>
          <w:sz w:val="20"/>
          <w:szCs w:val="20"/>
        </w:rPr>
        <w:t xml:space="preserve">Figure </w:t>
      </w:r>
      <w:r w:rsidRPr="008F6866">
        <w:rPr>
          <w:b/>
          <w:bCs/>
          <w:i w:val="0"/>
          <w:iCs w:val="0"/>
          <w:color w:val="000000" w:themeColor="text1"/>
          <w:sz w:val="20"/>
          <w:szCs w:val="20"/>
        </w:rPr>
        <w:fldChar w:fldCharType="begin"/>
      </w:r>
      <w:r w:rsidRPr="008F6866">
        <w:rPr>
          <w:b/>
          <w:bCs/>
          <w:i w:val="0"/>
          <w:iCs w:val="0"/>
          <w:color w:val="000000" w:themeColor="text1"/>
          <w:sz w:val="20"/>
          <w:szCs w:val="20"/>
        </w:rPr>
        <w:instrText xml:space="preserve"> SEQ Figure \* ARABIC </w:instrText>
      </w:r>
      <w:r w:rsidRPr="008F6866">
        <w:rPr>
          <w:b/>
          <w:bCs/>
          <w:i w:val="0"/>
          <w:iCs w:val="0"/>
          <w:color w:val="000000" w:themeColor="text1"/>
          <w:sz w:val="20"/>
          <w:szCs w:val="20"/>
        </w:rPr>
        <w:fldChar w:fldCharType="separate"/>
      </w:r>
      <w:r w:rsidR="00540DBF">
        <w:rPr>
          <w:b/>
          <w:bCs/>
          <w:i w:val="0"/>
          <w:iCs w:val="0"/>
          <w:noProof/>
          <w:color w:val="000000" w:themeColor="text1"/>
          <w:sz w:val="20"/>
          <w:szCs w:val="20"/>
        </w:rPr>
        <w:t>13</w:t>
      </w:r>
      <w:r w:rsidRPr="008F6866">
        <w:rPr>
          <w:b/>
          <w:bCs/>
          <w:i w:val="0"/>
          <w:iCs w:val="0"/>
          <w:color w:val="000000" w:themeColor="text1"/>
          <w:sz w:val="20"/>
          <w:szCs w:val="20"/>
        </w:rPr>
        <w:fldChar w:fldCharType="end"/>
      </w:r>
      <w:bookmarkEnd w:id="37"/>
      <w:r w:rsidRPr="008F6866">
        <w:rPr>
          <w:b/>
          <w:bCs/>
          <w:i w:val="0"/>
          <w:iCs w:val="0"/>
          <w:color w:val="000000" w:themeColor="text1"/>
          <w:sz w:val="20"/>
          <w:szCs w:val="20"/>
        </w:rPr>
        <w:t xml:space="preserve">. Evolution of the species richness (A), Ecological Aptitude Index for temperature (B), atmospheric humidity (C) and light (D) in the fenced and unfenced plots. The species richness was computed as the number of species with minimum one seedling taller than 50 cm. The EAI are height weighted means of the seedling species aptitude scores from the Baseflore database </w:t>
      </w:r>
      <w:r w:rsidRPr="008F6866">
        <w:rPr>
          <w:b/>
          <w:bCs/>
          <w:i w:val="0"/>
          <w:iCs w:val="0"/>
          <w:color w:val="000000" w:themeColor="text1"/>
          <w:sz w:val="20"/>
          <w:szCs w:val="20"/>
        </w:rPr>
        <w:fldChar w:fldCharType="begin"/>
      </w:r>
      <w:r w:rsidR="00CC7A85">
        <w:rPr>
          <w:b/>
          <w:bCs/>
          <w:i w:val="0"/>
          <w:iCs w:val="0"/>
          <w:color w:val="000000" w:themeColor="text1"/>
          <w:sz w:val="20"/>
          <w:szCs w:val="20"/>
        </w:rPr>
        <w:instrText xml:space="preserve"> ADDIN EN.CITE &lt;EndNote&gt;&lt;Cite&gt;&lt;Author&gt;Julve&lt;/Author&gt;&lt;Year&gt;1998&lt;/Year&gt;&lt;RecNum&gt;359&lt;/RecNum&gt;&lt;IDText&gt;Julve98&lt;/IDText&gt;&lt;DisplayText&gt;(Julve, 1998)&lt;/DisplayText&gt;&lt;record&gt;&lt;rec-number&gt;359&lt;/rec-number&gt;&lt;foreign-keys&gt;&lt;key app="EN" db-id="0px2fzdxhrpdrre2w5f5pdryx90atadrdavt" timestamp="1713821354"&gt;359&lt;/key&gt;&lt;/foreign-keys&gt;&lt;ref-type name="Journal Article"&gt;17&lt;/ref-type&gt;&lt;contributors&gt;&lt;authors&gt;&lt;author&gt;Julve, P&lt;/author&gt;&lt;/authors&gt;&lt;/contributors&gt;&lt;titles&gt;&lt;title&gt;Baseflor. Index botanique, écologique et chorologique de la flore de France&lt;/title&gt;&lt;/titles&gt;&lt;dates&gt;&lt;year&gt;1998&lt;/year&gt;&lt;/dates&gt;&lt;label&gt;Julve98&lt;/label&gt;&lt;urls&gt;&lt;/urls&gt;&lt;/record&gt;&lt;/Cite&gt;&lt;/EndNote&gt;</w:instrText>
      </w:r>
      <w:r w:rsidRPr="008F6866">
        <w:rPr>
          <w:b/>
          <w:bCs/>
          <w:i w:val="0"/>
          <w:iCs w:val="0"/>
          <w:color w:val="000000" w:themeColor="text1"/>
          <w:sz w:val="20"/>
          <w:szCs w:val="20"/>
        </w:rPr>
        <w:fldChar w:fldCharType="separate"/>
      </w:r>
      <w:r w:rsidR="00CC7A85">
        <w:rPr>
          <w:b/>
          <w:bCs/>
          <w:i w:val="0"/>
          <w:iCs w:val="0"/>
          <w:noProof/>
          <w:color w:val="000000" w:themeColor="text1"/>
          <w:sz w:val="20"/>
          <w:szCs w:val="20"/>
        </w:rPr>
        <w:t>(Julve, 1998)</w:t>
      </w:r>
      <w:r w:rsidRPr="008F6866">
        <w:rPr>
          <w:b/>
          <w:bCs/>
          <w:i w:val="0"/>
          <w:iCs w:val="0"/>
          <w:color w:val="000000" w:themeColor="text1"/>
          <w:sz w:val="20"/>
          <w:szCs w:val="20"/>
        </w:rPr>
        <w:fldChar w:fldCharType="end"/>
      </w:r>
      <w:r w:rsidRPr="008F6866">
        <w:rPr>
          <w:b/>
          <w:bCs/>
          <w:i w:val="0"/>
          <w:iCs w:val="0"/>
          <w:color w:val="000000" w:themeColor="text1"/>
          <w:sz w:val="20"/>
          <w:szCs w:val="20"/>
        </w:rPr>
        <w:t>. The means are displayed with their 95% confidence intervals.</w:t>
      </w:r>
      <w:bookmarkStart w:id="38" w:name="_heading=h.vx1227"/>
      <w:bookmarkEnd w:id="38"/>
    </w:p>
    <w:p w14:paraId="4A62A9A7" w14:textId="77777777" w:rsidR="008A4D83" w:rsidRPr="008F6866" w:rsidRDefault="008A4D83" w:rsidP="008A4D83">
      <w:pPr>
        <w:spacing w:after="0"/>
        <w:rPr>
          <w:lang w:eastAsia="fr-BE"/>
        </w:rPr>
      </w:pPr>
    </w:p>
    <w:p w14:paraId="4729AF93" w14:textId="0CE2E9B8" w:rsidR="00DE4897" w:rsidRPr="008F6866" w:rsidRDefault="00DE4897" w:rsidP="00DE4897">
      <w:pPr>
        <w:spacing w:after="60"/>
        <w:rPr>
          <w:rFonts w:ascii="Calibri" w:eastAsia="Calibri" w:hAnsi="Calibri" w:cs="Calibri"/>
          <w:b/>
        </w:rPr>
      </w:pPr>
      <w:r w:rsidRPr="008F6866">
        <w:rPr>
          <w:rFonts w:ascii="Calibri" w:eastAsia="Calibri" w:hAnsi="Calibri" w:cs="Calibri"/>
          <w:b/>
        </w:rPr>
        <w:t>Models of ungulate impacts on regeneration</w:t>
      </w:r>
    </w:p>
    <w:p w14:paraId="5B2C3F29" w14:textId="2C945513" w:rsidR="00DE4897" w:rsidRDefault="39CFF0FF" w:rsidP="00955EDB">
      <w:pPr>
        <w:spacing w:after="0" w:line="300" w:lineRule="auto"/>
        <w:jc w:val="both"/>
        <w:rPr>
          <w:rFonts w:ascii="Calibri" w:eastAsia="Calibri" w:hAnsi="Calibri" w:cs="Calibri"/>
        </w:rPr>
      </w:pPr>
      <w:r w:rsidRPr="008F6866">
        <w:rPr>
          <w:rFonts w:ascii="Calibri" w:eastAsia="Calibri" w:hAnsi="Calibri" w:cs="Calibri"/>
        </w:rPr>
        <w:t>Besides evidencing the effects of ungulate browsing with descriptive statistics, it was expected to model the impact of browsing on regeneration development. It was required to model how browsing affects seedling height and ground vegetation biomass (seedlings and bramble). Using the data collected in 734 fenced-unfenced pairs of plots, we computed a large set of variables describing the impacts of browsing (response variables), local ungulate densities and environmental conditions (explanatory variables,</w:t>
      </w:r>
      <w:r w:rsidR="00AD3B18" w:rsidRPr="008F6866">
        <w:rPr>
          <w:rFonts w:ascii="Calibri" w:eastAsia="Calibri" w:hAnsi="Calibri" w:cs="Calibri"/>
        </w:rPr>
        <w:t xml:space="preserve"> </w:t>
      </w:r>
      <w:r w:rsidR="00AD3B18" w:rsidRPr="008F6866">
        <w:rPr>
          <w:rFonts w:ascii="Calibri" w:eastAsia="Calibri" w:hAnsi="Calibri" w:cs="Calibri"/>
        </w:rPr>
        <w:fldChar w:fldCharType="begin"/>
      </w:r>
      <w:r w:rsidR="00AD3B18" w:rsidRPr="008F6866">
        <w:rPr>
          <w:rFonts w:ascii="Calibri" w:eastAsia="Calibri" w:hAnsi="Calibri" w:cs="Calibri"/>
        </w:rPr>
        <w:instrText xml:space="preserve"> REF _Ref195652895 \h  \* MERGEFORMAT </w:instrText>
      </w:r>
      <w:r w:rsidR="00AD3B18" w:rsidRPr="008F6866">
        <w:rPr>
          <w:rFonts w:ascii="Calibri" w:eastAsia="Calibri" w:hAnsi="Calibri" w:cs="Calibri"/>
        </w:rPr>
      </w:r>
      <w:r w:rsidR="00AD3B18" w:rsidRPr="008F6866">
        <w:rPr>
          <w:rFonts w:ascii="Calibri" w:eastAsia="Calibri" w:hAnsi="Calibri" w:cs="Calibri"/>
        </w:rPr>
        <w:fldChar w:fldCharType="separate"/>
      </w:r>
      <w:r w:rsidR="00540DBF" w:rsidRPr="00540DBF">
        <w:rPr>
          <w:rFonts w:ascii="Calibri" w:eastAsia="Calibri" w:hAnsi="Calibri" w:cs="Calibri"/>
        </w:rPr>
        <w:t>Table VI</w:t>
      </w:r>
      <w:r w:rsidR="00AD3B18" w:rsidRPr="008F6866">
        <w:rPr>
          <w:rFonts w:ascii="Calibri" w:eastAsia="Calibri" w:hAnsi="Calibri" w:cs="Calibri"/>
        </w:rPr>
        <w:fldChar w:fldCharType="end"/>
      </w:r>
      <w:r w:rsidRPr="008F6866">
        <w:rPr>
          <w:rFonts w:ascii="Calibri" w:eastAsia="Calibri" w:hAnsi="Calibri" w:cs="Calibri"/>
        </w:rPr>
        <w:t>).</w:t>
      </w:r>
    </w:p>
    <w:p w14:paraId="470A2AD4" w14:textId="77777777" w:rsidR="00955EDB" w:rsidRPr="008F6866" w:rsidRDefault="00955EDB" w:rsidP="003C423B">
      <w:pPr>
        <w:spacing w:after="120" w:line="300" w:lineRule="auto"/>
        <w:jc w:val="both"/>
        <w:rPr>
          <w:rFonts w:ascii="Calibri" w:eastAsia="Calibri" w:hAnsi="Calibri" w:cs="Calibri"/>
        </w:rPr>
      </w:pPr>
    </w:p>
    <w:p w14:paraId="6DA58371" w14:textId="77777777" w:rsidR="00955EDB" w:rsidRPr="008F6866" w:rsidRDefault="00955EDB" w:rsidP="00955EDB">
      <w:pPr>
        <w:spacing w:after="60"/>
        <w:jc w:val="both"/>
        <w:rPr>
          <w:rFonts w:ascii="Calibri" w:eastAsia="Calibri" w:hAnsi="Calibri" w:cs="Calibri"/>
          <w:i/>
        </w:rPr>
      </w:pPr>
      <w:r w:rsidRPr="008F6866">
        <w:rPr>
          <w:rFonts w:ascii="Calibri" w:eastAsia="Calibri" w:hAnsi="Calibri" w:cs="Calibri"/>
          <w:i/>
        </w:rPr>
        <w:t>Height increment estimate</w:t>
      </w:r>
    </w:p>
    <w:p w14:paraId="01B087C1" w14:textId="77777777" w:rsidR="00955EDB" w:rsidRPr="008F6866" w:rsidRDefault="00955EDB" w:rsidP="00955EDB">
      <w:pPr>
        <w:spacing w:after="120" w:line="300" w:lineRule="auto"/>
        <w:jc w:val="both"/>
        <w:rPr>
          <w:rFonts w:ascii="Calibri" w:eastAsia="Calibri" w:hAnsi="Calibri" w:cs="Calibri"/>
        </w:rPr>
      </w:pPr>
      <w:r w:rsidRPr="008F6866">
        <w:rPr>
          <w:rFonts w:ascii="Calibri" w:eastAsia="Calibri" w:hAnsi="Calibri" w:cs="Calibri"/>
        </w:rPr>
        <w:t xml:space="preserve">For each year and plot, the height of the 5 tallest saplings was measured. For each year and plot, we had thus observations of the maximum height reached by the different study species. In some plots, one species could be monitored during the first censuses but not in the last ones (as the seedlings of that species were no longer among the 5 tallest seedlings). The height increment was computed for each plot and species with the first and last census available such as </w:t>
      </w:r>
      <w:r w:rsidRPr="008F6866">
        <w:rPr>
          <w:rFonts w:ascii="Calibri" w:eastAsia="Calibri" w:hAnsi="Calibri" w:cs="Calibri"/>
          <w:i/>
          <w:iCs/>
        </w:rPr>
        <w:t>iH</w:t>
      </w:r>
      <w:r w:rsidRPr="008F6866">
        <w:rPr>
          <w:rFonts w:ascii="Calibri" w:eastAsia="Calibri" w:hAnsi="Calibri" w:cs="Calibri"/>
        </w:rPr>
        <w:t xml:space="preserve"> = (</w:t>
      </w:r>
      <w:r w:rsidRPr="008F6866">
        <w:rPr>
          <w:rFonts w:ascii="Calibri" w:eastAsia="Calibri" w:hAnsi="Calibri" w:cs="Calibri"/>
          <w:i/>
          <w:iCs/>
        </w:rPr>
        <w:t>H</w:t>
      </w:r>
      <w:r w:rsidRPr="008F6866">
        <w:rPr>
          <w:rFonts w:ascii="Calibri" w:eastAsia="Calibri" w:hAnsi="Calibri" w:cs="Calibri"/>
          <w:i/>
          <w:iCs/>
          <w:vertAlign w:val="subscript"/>
        </w:rPr>
        <w:t>f</w:t>
      </w:r>
      <w:r w:rsidRPr="008F6866">
        <w:rPr>
          <w:rFonts w:ascii="Calibri" w:eastAsia="Calibri" w:hAnsi="Calibri" w:cs="Calibri"/>
        </w:rPr>
        <w:t xml:space="preserve"> - </w:t>
      </w:r>
      <w:r w:rsidRPr="008F6866">
        <w:rPr>
          <w:rFonts w:ascii="Calibri" w:eastAsia="Calibri" w:hAnsi="Calibri" w:cs="Calibri"/>
          <w:i/>
          <w:iCs/>
        </w:rPr>
        <w:t>H</w:t>
      </w:r>
      <w:r w:rsidRPr="008F6866">
        <w:rPr>
          <w:rFonts w:ascii="Calibri" w:eastAsia="Calibri" w:hAnsi="Calibri" w:cs="Calibri"/>
          <w:i/>
          <w:iCs/>
          <w:vertAlign w:val="subscript"/>
        </w:rPr>
        <w:t>i</w:t>
      </w:r>
      <w:r w:rsidRPr="008F6866">
        <w:rPr>
          <w:rFonts w:ascii="Calibri" w:eastAsia="Calibri" w:hAnsi="Calibri" w:cs="Calibri"/>
        </w:rPr>
        <w:t>)/</w:t>
      </w:r>
      <w:r w:rsidRPr="008F6866">
        <w:rPr>
          <w:rFonts w:ascii="Calibri" w:eastAsia="Calibri" w:hAnsi="Calibri" w:cs="Calibri"/>
          <w:i/>
          <w:iCs/>
        </w:rPr>
        <w:t>∆T</w:t>
      </w:r>
      <w:r w:rsidRPr="008F6866">
        <w:rPr>
          <w:rFonts w:ascii="Calibri" w:eastAsia="Calibri" w:hAnsi="Calibri" w:cs="Calibri"/>
        </w:rPr>
        <w:t xml:space="preserve">. Where </w:t>
      </w:r>
      <w:r w:rsidRPr="008F6866">
        <w:rPr>
          <w:rFonts w:ascii="Calibri" w:eastAsia="Calibri" w:hAnsi="Calibri" w:cs="Calibri"/>
          <w:i/>
          <w:iCs/>
        </w:rPr>
        <w:t>H</w:t>
      </w:r>
      <w:r w:rsidRPr="008F6866">
        <w:rPr>
          <w:rFonts w:ascii="Calibri" w:eastAsia="Calibri" w:hAnsi="Calibri" w:cs="Calibri"/>
          <w:i/>
          <w:iCs/>
          <w:vertAlign w:val="subscript"/>
        </w:rPr>
        <w:t>i</w:t>
      </w:r>
      <w:r w:rsidRPr="008F6866">
        <w:rPr>
          <w:rFonts w:ascii="Calibri" w:eastAsia="Calibri" w:hAnsi="Calibri" w:cs="Calibri"/>
        </w:rPr>
        <w:t xml:space="preserve"> and </w:t>
      </w:r>
      <w:r w:rsidRPr="008F6866">
        <w:rPr>
          <w:rFonts w:ascii="Calibri" w:eastAsia="Calibri" w:hAnsi="Calibri" w:cs="Calibri"/>
          <w:i/>
          <w:iCs/>
        </w:rPr>
        <w:t>H</w:t>
      </w:r>
      <w:r w:rsidRPr="008F6866">
        <w:rPr>
          <w:rFonts w:ascii="Calibri" w:eastAsia="Calibri" w:hAnsi="Calibri" w:cs="Calibri"/>
          <w:i/>
          <w:iCs/>
          <w:vertAlign w:val="subscript"/>
        </w:rPr>
        <w:t>f</w:t>
      </w:r>
      <w:r w:rsidRPr="008F6866">
        <w:rPr>
          <w:rFonts w:ascii="Calibri" w:eastAsia="Calibri" w:hAnsi="Calibri" w:cs="Calibri"/>
        </w:rPr>
        <w:t xml:space="preserve"> were the initial and final heights and </w:t>
      </w:r>
      <w:r w:rsidRPr="008F6866">
        <w:rPr>
          <w:rFonts w:ascii="Calibri" w:eastAsia="Calibri" w:hAnsi="Calibri" w:cs="Calibri"/>
          <w:i/>
          <w:iCs/>
        </w:rPr>
        <w:t>∆T</w:t>
      </w:r>
      <w:r w:rsidRPr="008F6866">
        <w:rPr>
          <w:rFonts w:ascii="Calibri" w:eastAsia="Calibri" w:hAnsi="Calibri" w:cs="Calibri"/>
        </w:rPr>
        <w:t xml:space="preserve"> is the number of years elapsed between the censuses. </w:t>
      </w:r>
      <w:r w:rsidRPr="008F6866">
        <w:rPr>
          <w:rFonts w:ascii="Calibri" w:eastAsia="Calibri" w:hAnsi="Calibri" w:cs="Calibri"/>
          <w:i/>
          <w:iCs/>
        </w:rPr>
        <w:t>∆T</w:t>
      </w:r>
      <w:r w:rsidRPr="008F6866">
        <w:rPr>
          <w:rFonts w:ascii="Calibri" w:eastAsia="Calibri" w:hAnsi="Calibri" w:cs="Calibri"/>
        </w:rPr>
        <w:t xml:space="preserve"> could differ between the paired plots (fenced or unfenced). </w:t>
      </w:r>
    </w:p>
    <w:p w14:paraId="6C54BAC5" w14:textId="77777777" w:rsidR="00955EDB" w:rsidRPr="008F6866" w:rsidRDefault="00955EDB" w:rsidP="00955EDB">
      <w:pPr>
        <w:spacing w:after="120" w:line="300" w:lineRule="auto"/>
        <w:jc w:val="both"/>
        <w:rPr>
          <w:rFonts w:ascii="Calibri" w:eastAsia="Calibri" w:hAnsi="Calibri" w:cs="Calibri"/>
        </w:rPr>
      </w:pPr>
      <w:r w:rsidRPr="008F6866">
        <w:rPr>
          <w:rFonts w:ascii="Calibri" w:eastAsia="Calibri" w:hAnsi="Calibri" w:cs="Calibri"/>
        </w:rPr>
        <w:t xml:space="preserve">For each plot pair, the height increment was estimated for fenced and unfenced conditions. The difference between the paired estimates was also computed. Such differences were only computed for the plot pairs in which </w:t>
      </w:r>
      <w:r w:rsidRPr="008F6866">
        <w:rPr>
          <w:rFonts w:ascii="Calibri" w:eastAsia="Calibri" w:hAnsi="Calibri" w:cs="Calibri"/>
          <w:i/>
          <w:iCs/>
        </w:rPr>
        <w:t>iH</w:t>
      </w:r>
      <w:r w:rsidRPr="008F6866">
        <w:rPr>
          <w:rFonts w:ascii="Calibri" w:eastAsia="Calibri" w:hAnsi="Calibri" w:cs="Calibri"/>
        </w:rPr>
        <w:t xml:space="preserve"> could be estimated for both fenced and unfenced plots.</w:t>
      </w:r>
    </w:p>
    <w:p w14:paraId="10C8B0C4" w14:textId="77777777" w:rsidR="003C423B" w:rsidRPr="008F6866" w:rsidRDefault="003C423B" w:rsidP="003C423B">
      <w:pPr>
        <w:spacing w:after="0" w:line="300" w:lineRule="auto"/>
        <w:jc w:val="both"/>
        <w:rPr>
          <w:rFonts w:ascii="Calibri" w:eastAsia="Calibri" w:hAnsi="Calibri" w:cs="Calibri"/>
        </w:rPr>
      </w:pPr>
    </w:p>
    <w:p w14:paraId="7B2BD3C8" w14:textId="0A4ECC85" w:rsidR="003C423B" w:rsidRPr="008F6866" w:rsidRDefault="003C423B" w:rsidP="003C423B">
      <w:pPr>
        <w:pStyle w:val="Lgende"/>
        <w:spacing w:after="60"/>
        <w:jc w:val="center"/>
        <w:rPr>
          <w:b/>
          <w:i w:val="0"/>
          <w:color w:val="000000" w:themeColor="text1"/>
          <w:sz w:val="20"/>
          <w:szCs w:val="20"/>
        </w:rPr>
      </w:pPr>
      <w:bookmarkStart w:id="39" w:name="_heading=h.3fwokq0" w:colFirst="0" w:colLast="0"/>
      <w:bookmarkStart w:id="40" w:name="_Ref195652895"/>
      <w:bookmarkStart w:id="41" w:name="_Ref195632200"/>
      <w:bookmarkEnd w:id="39"/>
      <w:r w:rsidRPr="008F6866">
        <w:rPr>
          <w:b/>
          <w:i w:val="0"/>
          <w:color w:val="000000" w:themeColor="text1"/>
          <w:sz w:val="20"/>
          <w:szCs w:val="20"/>
        </w:rPr>
        <w:t xml:space="preserve">Table </w:t>
      </w:r>
      <w:r w:rsidR="00EE472B">
        <w:rPr>
          <w:b/>
          <w:i w:val="0"/>
          <w:color w:val="000000" w:themeColor="text1"/>
          <w:sz w:val="20"/>
          <w:szCs w:val="20"/>
        </w:rPr>
        <w:fldChar w:fldCharType="begin"/>
      </w:r>
      <w:r w:rsidR="00EE472B">
        <w:rPr>
          <w:b/>
          <w:i w:val="0"/>
          <w:color w:val="000000" w:themeColor="text1"/>
          <w:sz w:val="20"/>
          <w:szCs w:val="20"/>
        </w:rPr>
        <w:instrText xml:space="preserve"> SEQ Table \* ROMAN </w:instrText>
      </w:r>
      <w:r w:rsidR="00EE472B">
        <w:rPr>
          <w:b/>
          <w:i w:val="0"/>
          <w:color w:val="000000" w:themeColor="text1"/>
          <w:sz w:val="20"/>
          <w:szCs w:val="20"/>
        </w:rPr>
        <w:fldChar w:fldCharType="separate"/>
      </w:r>
      <w:r w:rsidR="00540DBF">
        <w:rPr>
          <w:b/>
          <w:i w:val="0"/>
          <w:noProof/>
          <w:color w:val="000000" w:themeColor="text1"/>
          <w:sz w:val="20"/>
          <w:szCs w:val="20"/>
        </w:rPr>
        <w:t>VI</w:t>
      </w:r>
      <w:r w:rsidR="00EE472B">
        <w:rPr>
          <w:b/>
          <w:i w:val="0"/>
          <w:color w:val="000000" w:themeColor="text1"/>
          <w:sz w:val="20"/>
          <w:szCs w:val="20"/>
        </w:rPr>
        <w:fldChar w:fldCharType="end"/>
      </w:r>
      <w:bookmarkEnd w:id="40"/>
      <w:r w:rsidRPr="008F6866">
        <w:rPr>
          <w:b/>
          <w:i w:val="0"/>
          <w:color w:val="000000" w:themeColor="text1"/>
          <w:sz w:val="20"/>
          <w:szCs w:val="20"/>
        </w:rPr>
        <w:t>. Description and summary statistics of the tested model explanatory variables. These variables are indicators of ungulate densities and environmental conditions</w:t>
      </w:r>
      <w:bookmarkEnd w:id="41"/>
    </w:p>
    <w:tbl>
      <w:tblPr>
        <w:tblW w:w="9736" w:type="dxa"/>
        <w:tblLayout w:type="fixed"/>
        <w:tblLook w:val="0400" w:firstRow="0" w:lastRow="0" w:firstColumn="0" w:lastColumn="0" w:noHBand="0" w:noVBand="1"/>
      </w:tblPr>
      <w:tblGrid>
        <w:gridCol w:w="2268"/>
        <w:gridCol w:w="4395"/>
        <w:gridCol w:w="919"/>
        <w:gridCol w:w="718"/>
        <w:gridCol w:w="627"/>
        <w:gridCol w:w="809"/>
      </w:tblGrid>
      <w:tr w:rsidR="00DE4897" w:rsidRPr="008F6866" w14:paraId="4467B4A5" w14:textId="77777777" w:rsidTr="00A3040E">
        <w:trPr>
          <w:trHeight w:val="240"/>
        </w:trPr>
        <w:tc>
          <w:tcPr>
            <w:tcW w:w="2268" w:type="dxa"/>
            <w:tcBorders>
              <w:top w:val="single" w:sz="12" w:space="0" w:color="000000" w:themeColor="text1"/>
              <w:left w:val="nil"/>
              <w:bottom w:val="single" w:sz="12" w:space="0" w:color="000000" w:themeColor="text1"/>
              <w:right w:val="nil"/>
            </w:tcBorders>
            <w:shd w:val="clear" w:color="auto" w:fill="auto"/>
            <w:tcMar>
              <w:left w:w="28" w:type="dxa"/>
              <w:right w:w="28" w:type="dxa"/>
            </w:tcMar>
            <w:vAlign w:val="center"/>
          </w:tcPr>
          <w:p w14:paraId="04C17270" w14:textId="77777777" w:rsidR="00DE4897" w:rsidRPr="008F6866" w:rsidRDefault="00DE4897" w:rsidP="008D668B">
            <w:pPr>
              <w:pBdr>
                <w:top w:val="nil"/>
                <w:left w:val="nil"/>
                <w:bottom w:val="nil"/>
                <w:right w:val="nil"/>
                <w:between w:val="nil"/>
              </w:pBdr>
              <w:spacing w:after="120" w:line="240" w:lineRule="auto"/>
              <w:jc w:val="center"/>
              <w:rPr>
                <w:rFonts w:eastAsia="Times New Roman" w:cstheme="minorHAnsi"/>
                <w:b/>
                <w:color w:val="000000"/>
                <w:sz w:val="20"/>
                <w:szCs w:val="20"/>
              </w:rPr>
            </w:pPr>
            <w:r w:rsidRPr="008F6866">
              <w:rPr>
                <w:rFonts w:eastAsia="Times New Roman" w:cstheme="minorHAnsi"/>
                <w:b/>
                <w:color w:val="000000"/>
                <w:sz w:val="20"/>
                <w:szCs w:val="20"/>
              </w:rPr>
              <w:t>Variable</w:t>
            </w:r>
          </w:p>
        </w:tc>
        <w:tc>
          <w:tcPr>
            <w:tcW w:w="4395" w:type="dxa"/>
            <w:tcBorders>
              <w:top w:val="single" w:sz="12" w:space="0" w:color="000000" w:themeColor="text1"/>
              <w:left w:val="nil"/>
              <w:bottom w:val="single" w:sz="12" w:space="0" w:color="000000" w:themeColor="text1"/>
              <w:right w:val="nil"/>
            </w:tcBorders>
            <w:shd w:val="clear" w:color="auto" w:fill="auto"/>
            <w:tcMar>
              <w:left w:w="28" w:type="dxa"/>
              <w:right w:w="28" w:type="dxa"/>
            </w:tcMar>
            <w:vAlign w:val="center"/>
          </w:tcPr>
          <w:p w14:paraId="0C4FE245" w14:textId="77777777" w:rsidR="00DE4897" w:rsidRPr="008F6866" w:rsidRDefault="00DE4897" w:rsidP="008D668B">
            <w:pPr>
              <w:pBdr>
                <w:top w:val="nil"/>
                <w:left w:val="nil"/>
                <w:bottom w:val="nil"/>
                <w:right w:val="nil"/>
                <w:between w:val="nil"/>
              </w:pBdr>
              <w:spacing w:after="120" w:line="240" w:lineRule="auto"/>
              <w:jc w:val="center"/>
              <w:rPr>
                <w:rFonts w:eastAsia="Times New Roman" w:cstheme="minorHAnsi"/>
                <w:b/>
                <w:color w:val="000000"/>
                <w:sz w:val="20"/>
                <w:szCs w:val="20"/>
              </w:rPr>
            </w:pPr>
            <w:r w:rsidRPr="008F6866">
              <w:rPr>
                <w:rFonts w:eastAsia="Times New Roman" w:cstheme="minorHAnsi"/>
                <w:b/>
                <w:color w:val="000000"/>
                <w:sz w:val="20"/>
                <w:szCs w:val="20"/>
              </w:rPr>
              <w:t>Description</w:t>
            </w:r>
          </w:p>
        </w:tc>
        <w:tc>
          <w:tcPr>
            <w:tcW w:w="919" w:type="dxa"/>
            <w:tcBorders>
              <w:top w:val="single" w:sz="12" w:space="0" w:color="000000" w:themeColor="text1"/>
              <w:left w:val="nil"/>
              <w:bottom w:val="single" w:sz="12" w:space="0" w:color="000000" w:themeColor="text1"/>
              <w:right w:val="nil"/>
            </w:tcBorders>
            <w:shd w:val="clear" w:color="auto" w:fill="auto"/>
            <w:tcMar>
              <w:left w:w="28" w:type="dxa"/>
              <w:right w:w="28" w:type="dxa"/>
            </w:tcMar>
            <w:vAlign w:val="center"/>
          </w:tcPr>
          <w:p w14:paraId="6FA831A7" w14:textId="77777777" w:rsidR="00DE4897" w:rsidRPr="008F6866" w:rsidRDefault="00DE4897" w:rsidP="008D668B">
            <w:pPr>
              <w:pBdr>
                <w:top w:val="nil"/>
                <w:left w:val="nil"/>
                <w:bottom w:val="nil"/>
                <w:right w:val="nil"/>
                <w:between w:val="nil"/>
              </w:pBdr>
              <w:spacing w:after="120" w:line="240" w:lineRule="auto"/>
              <w:jc w:val="center"/>
              <w:rPr>
                <w:rFonts w:eastAsia="Times New Roman" w:cstheme="minorHAnsi"/>
                <w:b/>
                <w:color w:val="000000"/>
                <w:sz w:val="20"/>
                <w:szCs w:val="20"/>
              </w:rPr>
            </w:pPr>
            <w:r w:rsidRPr="008F6866">
              <w:rPr>
                <w:rFonts w:eastAsia="Times New Roman" w:cstheme="minorHAnsi"/>
                <w:b/>
                <w:color w:val="000000"/>
                <w:sz w:val="20"/>
                <w:szCs w:val="20"/>
              </w:rPr>
              <w:t>mean</w:t>
            </w:r>
          </w:p>
        </w:tc>
        <w:tc>
          <w:tcPr>
            <w:tcW w:w="718" w:type="dxa"/>
            <w:tcBorders>
              <w:top w:val="single" w:sz="12" w:space="0" w:color="000000" w:themeColor="text1"/>
              <w:left w:val="nil"/>
              <w:bottom w:val="single" w:sz="12" w:space="0" w:color="000000" w:themeColor="text1"/>
              <w:right w:val="nil"/>
            </w:tcBorders>
            <w:shd w:val="clear" w:color="auto" w:fill="auto"/>
            <w:tcMar>
              <w:left w:w="28" w:type="dxa"/>
              <w:right w:w="28" w:type="dxa"/>
            </w:tcMar>
            <w:vAlign w:val="center"/>
          </w:tcPr>
          <w:p w14:paraId="2285C38A" w14:textId="77777777" w:rsidR="00DE4897" w:rsidRPr="008F6866" w:rsidRDefault="39CFF0FF" w:rsidP="39CFF0FF">
            <w:pPr>
              <w:pBdr>
                <w:top w:val="nil"/>
                <w:left w:val="nil"/>
                <w:bottom w:val="nil"/>
                <w:right w:val="nil"/>
                <w:between w:val="nil"/>
              </w:pBdr>
              <w:spacing w:after="120" w:line="240" w:lineRule="auto"/>
              <w:jc w:val="center"/>
              <w:rPr>
                <w:rFonts w:eastAsia="Times New Roman" w:cstheme="minorHAnsi"/>
                <w:b/>
                <w:bCs/>
                <w:iCs/>
                <w:color w:val="000000"/>
                <w:sz w:val="20"/>
                <w:szCs w:val="20"/>
              </w:rPr>
            </w:pPr>
            <w:r w:rsidRPr="008F6866">
              <w:rPr>
                <w:rFonts w:eastAsia="Times New Roman" w:cstheme="minorHAnsi"/>
                <w:b/>
                <w:bCs/>
                <w:iCs/>
                <w:color w:val="000000" w:themeColor="text1"/>
                <w:sz w:val="20"/>
                <w:szCs w:val="20"/>
              </w:rPr>
              <w:t>s.d.</w:t>
            </w:r>
          </w:p>
        </w:tc>
        <w:tc>
          <w:tcPr>
            <w:tcW w:w="627" w:type="dxa"/>
            <w:tcBorders>
              <w:top w:val="single" w:sz="12" w:space="0" w:color="000000" w:themeColor="text1"/>
              <w:left w:val="nil"/>
              <w:bottom w:val="single" w:sz="12" w:space="0" w:color="000000" w:themeColor="text1"/>
              <w:right w:val="nil"/>
            </w:tcBorders>
            <w:shd w:val="clear" w:color="auto" w:fill="auto"/>
            <w:tcMar>
              <w:left w:w="28" w:type="dxa"/>
              <w:right w:w="28" w:type="dxa"/>
            </w:tcMar>
            <w:vAlign w:val="center"/>
          </w:tcPr>
          <w:p w14:paraId="00AB3FF5" w14:textId="77777777" w:rsidR="00DE4897" w:rsidRPr="008F6866" w:rsidRDefault="00DE4897" w:rsidP="008D668B">
            <w:pPr>
              <w:pBdr>
                <w:top w:val="nil"/>
                <w:left w:val="nil"/>
                <w:bottom w:val="nil"/>
                <w:right w:val="nil"/>
                <w:between w:val="nil"/>
              </w:pBdr>
              <w:spacing w:after="120" w:line="240" w:lineRule="auto"/>
              <w:jc w:val="center"/>
              <w:rPr>
                <w:rFonts w:eastAsia="Times New Roman" w:cstheme="minorHAnsi"/>
                <w:b/>
                <w:color w:val="000000"/>
                <w:sz w:val="20"/>
                <w:szCs w:val="20"/>
              </w:rPr>
            </w:pPr>
            <w:r w:rsidRPr="008F6866">
              <w:rPr>
                <w:rFonts w:eastAsia="Times New Roman" w:cstheme="minorHAnsi"/>
                <w:b/>
                <w:color w:val="000000"/>
                <w:sz w:val="20"/>
                <w:szCs w:val="20"/>
              </w:rPr>
              <w:t>min.</w:t>
            </w:r>
          </w:p>
        </w:tc>
        <w:tc>
          <w:tcPr>
            <w:tcW w:w="809" w:type="dxa"/>
            <w:tcBorders>
              <w:top w:val="single" w:sz="12" w:space="0" w:color="000000" w:themeColor="text1"/>
              <w:left w:val="nil"/>
              <w:bottom w:val="single" w:sz="12" w:space="0" w:color="000000" w:themeColor="text1"/>
              <w:right w:val="nil"/>
            </w:tcBorders>
            <w:shd w:val="clear" w:color="auto" w:fill="auto"/>
            <w:tcMar>
              <w:left w:w="28" w:type="dxa"/>
              <w:right w:w="28" w:type="dxa"/>
            </w:tcMar>
            <w:vAlign w:val="center"/>
          </w:tcPr>
          <w:p w14:paraId="44C13DAB" w14:textId="77777777" w:rsidR="00DE4897" w:rsidRPr="008F6866" w:rsidRDefault="00DE4897" w:rsidP="008D668B">
            <w:pPr>
              <w:pBdr>
                <w:top w:val="nil"/>
                <w:left w:val="nil"/>
                <w:bottom w:val="nil"/>
                <w:right w:val="nil"/>
                <w:between w:val="nil"/>
              </w:pBdr>
              <w:spacing w:after="120" w:line="240" w:lineRule="auto"/>
              <w:jc w:val="center"/>
              <w:rPr>
                <w:rFonts w:eastAsia="Times New Roman" w:cstheme="minorHAnsi"/>
                <w:b/>
                <w:color w:val="000000"/>
                <w:sz w:val="20"/>
                <w:szCs w:val="20"/>
              </w:rPr>
            </w:pPr>
            <w:r w:rsidRPr="008F6866">
              <w:rPr>
                <w:rFonts w:eastAsia="Times New Roman" w:cstheme="minorHAnsi"/>
                <w:b/>
                <w:color w:val="000000"/>
                <w:sz w:val="20"/>
                <w:szCs w:val="20"/>
              </w:rPr>
              <w:t>max.</w:t>
            </w:r>
          </w:p>
        </w:tc>
      </w:tr>
      <w:tr w:rsidR="00DE4897" w:rsidRPr="008F6866" w14:paraId="1494B713" w14:textId="77777777" w:rsidTr="00A3040E">
        <w:trPr>
          <w:trHeight w:val="240"/>
        </w:trPr>
        <w:tc>
          <w:tcPr>
            <w:tcW w:w="2268" w:type="dxa"/>
            <w:tcBorders>
              <w:top w:val="single" w:sz="12" w:space="0" w:color="000000" w:themeColor="text1"/>
              <w:left w:val="nil"/>
              <w:right w:val="nil"/>
            </w:tcBorders>
            <w:shd w:val="clear" w:color="auto" w:fill="auto"/>
            <w:tcMar>
              <w:left w:w="28" w:type="dxa"/>
              <w:right w:w="28" w:type="dxa"/>
            </w:tcMar>
            <w:vAlign w:val="center"/>
          </w:tcPr>
          <w:p w14:paraId="5989F5FB" w14:textId="77777777"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agri_dist</w:t>
            </w:r>
          </w:p>
        </w:tc>
        <w:tc>
          <w:tcPr>
            <w:tcW w:w="4395" w:type="dxa"/>
            <w:tcBorders>
              <w:top w:val="single" w:sz="12" w:space="0" w:color="000000" w:themeColor="text1"/>
              <w:left w:val="nil"/>
              <w:right w:val="nil"/>
            </w:tcBorders>
            <w:shd w:val="clear" w:color="auto" w:fill="auto"/>
            <w:tcMar>
              <w:left w:w="28" w:type="dxa"/>
              <w:right w:w="28" w:type="dxa"/>
            </w:tcMar>
            <w:vAlign w:val="center"/>
          </w:tcPr>
          <w:p w14:paraId="1CAE886F"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Distance from the nearest agricultural area (m)</w:t>
            </w:r>
          </w:p>
        </w:tc>
        <w:tc>
          <w:tcPr>
            <w:tcW w:w="919" w:type="dxa"/>
            <w:tcBorders>
              <w:top w:val="single" w:sz="12" w:space="0" w:color="000000" w:themeColor="text1"/>
              <w:left w:val="nil"/>
              <w:right w:val="nil"/>
            </w:tcBorders>
            <w:shd w:val="clear" w:color="auto" w:fill="auto"/>
            <w:tcMar>
              <w:left w:w="28" w:type="dxa"/>
              <w:right w:w="28" w:type="dxa"/>
            </w:tcMar>
            <w:vAlign w:val="center"/>
          </w:tcPr>
          <w:p w14:paraId="6EB4D387"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1 010.62</w:t>
            </w:r>
          </w:p>
        </w:tc>
        <w:tc>
          <w:tcPr>
            <w:tcW w:w="718" w:type="dxa"/>
            <w:tcBorders>
              <w:top w:val="single" w:sz="12" w:space="0" w:color="000000" w:themeColor="text1"/>
              <w:left w:val="nil"/>
              <w:right w:val="nil"/>
            </w:tcBorders>
            <w:shd w:val="clear" w:color="auto" w:fill="auto"/>
            <w:tcMar>
              <w:left w:w="28" w:type="dxa"/>
              <w:right w:w="28" w:type="dxa"/>
            </w:tcMar>
            <w:vAlign w:val="center"/>
          </w:tcPr>
          <w:p w14:paraId="2A23CDA4"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878.71</w:t>
            </w:r>
          </w:p>
        </w:tc>
        <w:tc>
          <w:tcPr>
            <w:tcW w:w="627" w:type="dxa"/>
            <w:tcBorders>
              <w:top w:val="single" w:sz="12" w:space="0" w:color="000000" w:themeColor="text1"/>
              <w:left w:val="nil"/>
              <w:right w:val="nil"/>
            </w:tcBorders>
            <w:shd w:val="clear" w:color="auto" w:fill="auto"/>
            <w:tcMar>
              <w:left w:w="28" w:type="dxa"/>
              <w:right w:w="28" w:type="dxa"/>
            </w:tcMar>
            <w:vAlign w:val="center"/>
          </w:tcPr>
          <w:p w14:paraId="3A94E020"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0</w:t>
            </w:r>
          </w:p>
        </w:tc>
        <w:tc>
          <w:tcPr>
            <w:tcW w:w="809" w:type="dxa"/>
            <w:tcBorders>
              <w:top w:val="single" w:sz="12" w:space="0" w:color="000000" w:themeColor="text1"/>
              <w:left w:val="nil"/>
              <w:right w:val="nil"/>
            </w:tcBorders>
            <w:shd w:val="clear" w:color="auto" w:fill="auto"/>
            <w:tcMar>
              <w:left w:w="28" w:type="dxa"/>
              <w:right w:w="28" w:type="dxa"/>
            </w:tcMar>
            <w:vAlign w:val="center"/>
          </w:tcPr>
          <w:p w14:paraId="7C66F367"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5 719.99</w:t>
            </w:r>
          </w:p>
        </w:tc>
      </w:tr>
      <w:tr w:rsidR="00DE4897" w:rsidRPr="008F6866" w14:paraId="7273E703" w14:textId="77777777" w:rsidTr="00A3040E">
        <w:trPr>
          <w:trHeight w:val="240"/>
        </w:trPr>
        <w:tc>
          <w:tcPr>
            <w:tcW w:w="2268" w:type="dxa"/>
            <w:tcBorders>
              <w:top w:val="nil"/>
              <w:left w:val="nil"/>
              <w:bottom w:val="nil"/>
              <w:right w:val="nil"/>
            </w:tcBorders>
            <w:shd w:val="clear" w:color="auto" w:fill="D9D9D9" w:themeFill="background1" w:themeFillShade="D9"/>
            <w:tcMar>
              <w:left w:w="28" w:type="dxa"/>
              <w:right w:w="28" w:type="dxa"/>
            </w:tcMar>
            <w:vAlign w:val="center"/>
          </w:tcPr>
          <w:p w14:paraId="284002BC" w14:textId="77777777"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ba</w:t>
            </w:r>
          </w:p>
        </w:tc>
        <w:tc>
          <w:tcPr>
            <w:tcW w:w="4395" w:type="dxa"/>
            <w:tcBorders>
              <w:top w:val="nil"/>
              <w:left w:val="nil"/>
              <w:bottom w:val="nil"/>
              <w:right w:val="nil"/>
            </w:tcBorders>
            <w:shd w:val="clear" w:color="auto" w:fill="D9D9D9" w:themeFill="background1" w:themeFillShade="D9"/>
            <w:tcMar>
              <w:left w:w="28" w:type="dxa"/>
              <w:right w:w="28" w:type="dxa"/>
            </w:tcMar>
            <w:vAlign w:val="center"/>
          </w:tcPr>
          <w:p w14:paraId="3AB5ADEE"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Basal area (m²/ha)</w:t>
            </w:r>
          </w:p>
        </w:tc>
        <w:tc>
          <w:tcPr>
            <w:tcW w:w="919" w:type="dxa"/>
            <w:tcBorders>
              <w:top w:val="nil"/>
              <w:left w:val="nil"/>
              <w:bottom w:val="nil"/>
              <w:right w:val="nil"/>
            </w:tcBorders>
            <w:shd w:val="clear" w:color="auto" w:fill="D9D9D9" w:themeFill="background1" w:themeFillShade="D9"/>
            <w:tcMar>
              <w:left w:w="28" w:type="dxa"/>
              <w:right w:w="28" w:type="dxa"/>
            </w:tcMar>
            <w:vAlign w:val="center"/>
          </w:tcPr>
          <w:p w14:paraId="66DE4FD0"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19.57</w:t>
            </w:r>
          </w:p>
        </w:tc>
        <w:tc>
          <w:tcPr>
            <w:tcW w:w="718" w:type="dxa"/>
            <w:tcBorders>
              <w:top w:val="nil"/>
              <w:left w:val="nil"/>
              <w:bottom w:val="nil"/>
              <w:right w:val="nil"/>
            </w:tcBorders>
            <w:shd w:val="clear" w:color="auto" w:fill="D9D9D9" w:themeFill="background1" w:themeFillShade="D9"/>
            <w:tcMar>
              <w:left w:w="28" w:type="dxa"/>
              <w:right w:w="28" w:type="dxa"/>
            </w:tcMar>
            <w:vAlign w:val="center"/>
          </w:tcPr>
          <w:p w14:paraId="79A8BBEC"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8.61</w:t>
            </w:r>
          </w:p>
        </w:tc>
        <w:tc>
          <w:tcPr>
            <w:tcW w:w="627" w:type="dxa"/>
            <w:tcBorders>
              <w:top w:val="nil"/>
              <w:left w:val="nil"/>
              <w:bottom w:val="nil"/>
              <w:right w:val="nil"/>
            </w:tcBorders>
            <w:shd w:val="clear" w:color="auto" w:fill="D9D9D9" w:themeFill="background1" w:themeFillShade="D9"/>
            <w:tcMar>
              <w:left w:w="28" w:type="dxa"/>
              <w:right w:w="28" w:type="dxa"/>
            </w:tcMar>
            <w:vAlign w:val="center"/>
          </w:tcPr>
          <w:p w14:paraId="593E3303"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0</w:t>
            </w:r>
          </w:p>
        </w:tc>
        <w:tc>
          <w:tcPr>
            <w:tcW w:w="809" w:type="dxa"/>
            <w:tcBorders>
              <w:top w:val="nil"/>
              <w:left w:val="nil"/>
              <w:bottom w:val="nil"/>
              <w:right w:val="nil"/>
            </w:tcBorders>
            <w:shd w:val="clear" w:color="auto" w:fill="D9D9D9" w:themeFill="background1" w:themeFillShade="D9"/>
            <w:tcMar>
              <w:left w:w="28" w:type="dxa"/>
              <w:right w:w="28" w:type="dxa"/>
            </w:tcMar>
            <w:vAlign w:val="center"/>
          </w:tcPr>
          <w:p w14:paraId="4237D1AE"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52</w:t>
            </w:r>
          </w:p>
        </w:tc>
      </w:tr>
      <w:tr w:rsidR="00DE4897" w:rsidRPr="008F6866" w14:paraId="1B393214" w14:textId="77777777" w:rsidTr="00A3040E">
        <w:trPr>
          <w:trHeight w:val="240"/>
        </w:trPr>
        <w:tc>
          <w:tcPr>
            <w:tcW w:w="2268" w:type="dxa"/>
            <w:tcBorders>
              <w:top w:val="nil"/>
              <w:left w:val="nil"/>
              <w:right w:val="nil"/>
            </w:tcBorders>
            <w:shd w:val="clear" w:color="auto" w:fill="auto"/>
            <w:tcMar>
              <w:left w:w="28" w:type="dxa"/>
              <w:right w:w="28" w:type="dxa"/>
            </w:tcMar>
            <w:vAlign w:val="center"/>
          </w:tcPr>
          <w:p w14:paraId="63724005" w14:textId="77777777"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build_dist</w:t>
            </w:r>
          </w:p>
        </w:tc>
        <w:tc>
          <w:tcPr>
            <w:tcW w:w="4395" w:type="dxa"/>
            <w:tcBorders>
              <w:top w:val="nil"/>
              <w:left w:val="nil"/>
              <w:right w:val="nil"/>
            </w:tcBorders>
            <w:shd w:val="clear" w:color="auto" w:fill="auto"/>
            <w:tcMar>
              <w:left w:w="28" w:type="dxa"/>
              <w:right w:w="28" w:type="dxa"/>
            </w:tcMar>
            <w:vAlign w:val="center"/>
          </w:tcPr>
          <w:p w14:paraId="310EE93E"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Distance from the nearest building (m)</w:t>
            </w:r>
          </w:p>
        </w:tc>
        <w:tc>
          <w:tcPr>
            <w:tcW w:w="919" w:type="dxa"/>
            <w:tcBorders>
              <w:top w:val="nil"/>
              <w:left w:val="nil"/>
              <w:right w:val="nil"/>
            </w:tcBorders>
            <w:shd w:val="clear" w:color="auto" w:fill="auto"/>
            <w:tcMar>
              <w:left w:w="28" w:type="dxa"/>
              <w:right w:w="28" w:type="dxa"/>
            </w:tcMar>
            <w:vAlign w:val="center"/>
          </w:tcPr>
          <w:p w14:paraId="2416B8CE"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710.95</w:t>
            </w:r>
          </w:p>
        </w:tc>
        <w:tc>
          <w:tcPr>
            <w:tcW w:w="718" w:type="dxa"/>
            <w:tcBorders>
              <w:top w:val="nil"/>
              <w:left w:val="nil"/>
              <w:right w:val="nil"/>
            </w:tcBorders>
            <w:shd w:val="clear" w:color="auto" w:fill="auto"/>
            <w:tcMar>
              <w:left w:w="28" w:type="dxa"/>
              <w:right w:w="28" w:type="dxa"/>
            </w:tcMar>
            <w:vAlign w:val="center"/>
          </w:tcPr>
          <w:p w14:paraId="16BC830A"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381.94</w:t>
            </w:r>
          </w:p>
        </w:tc>
        <w:tc>
          <w:tcPr>
            <w:tcW w:w="627" w:type="dxa"/>
            <w:tcBorders>
              <w:top w:val="nil"/>
              <w:left w:val="nil"/>
              <w:right w:val="nil"/>
            </w:tcBorders>
            <w:shd w:val="clear" w:color="auto" w:fill="auto"/>
            <w:tcMar>
              <w:left w:w="28" w:type="dxa"/>
              <w:right w:w="28" w:type="dxa"/>
            </w:tcMar>
            <w:vAlign w:val="center"/>
          </w:tcPr>
          <w:p w14:paraId="58FBE60E"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48.05</w:t>
            </w:r>
          </w:p>
        </w:tc>
        <w:tc>
          <w:tcPr>
            <w:tcW w:w="809" w:type="dxa"/>
            <w:tcBorders>
              <w:top w:val="nil"/>
              <w:left w:val="nil"/>
              <w:right w:val="nil"/>
            </w:tcBorders>
            <w:shd w:val="clear" w:color="auto" w:fill="auto"/>
            <w:tcMar>
              <w:left w:w="28" w:type="dxa"/>
              <w:right w:w="28" w:type="dxa"/>
            </w:tcMar>
            <w:vAlign w:val="center"/>
          </w:tcPr>
          <w:p w14:paraId="52B5959B"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2 147.93</w:t>
            </w:r>
          </w:p>
        </w:tc>
      </w:tr>
      <w:tr w:rsidR="00DE4897" w:rsidRPr="008F6866" w14:paraId="608591AD" w14:textId="77777777" w:rsidTr="00A3040E">
        <w:trPr>
          <w:trHeight w:val="480"/>
        </w:trPr>
        <w:tc>
          <w:tcPr>
            <w:tcW w:w="2268" w:type="dxa"/>
            <w:tcBorders>
              <w:top w:val="nil"/>
              <w:left w:val="nil"/>
              <w:bottom w:val="nil"/>
              <w:right w:val="nil"/>
            </w:tcBorders>
            <w:shd w:val="clear" w:color="auto" w:fill="D9D9D9" w:themeFill="background1" w:themeFillShade="D9"/>
            <w:tcMar>
              <w:left w:w="28" w:type="dxa"/>
              <w:right w:w="28" w:type="dxa"/>
            </w:tcMar>
            <w:vAlign w:val="center"/>
          </w:tcPr>
          <w:p w14:paraId="7C42E9C7" w14:textId="77777777"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carrying_capacity</w:t>
            </w:r>
          </w:p>
        </w:tc>
        <w:tc>
          <w:tcPr>
            <w:tcW w:w="4395" w:type="dxa"/>
            <w:tcBorders>
              <w:top w:val="nil"/>
              <w:left w:val="nil"/>
              <w:bottom w:val="nil"/>
              <w:right w:val="nil"/>
            </w:tcBorders>
            <w:shd w:val="clear" w:color="auto" w:fill="D9D9D9" w:themeFill="background1" w:themeFillShade="D9"/>
            <w:tcMar>
              <w:left w:w="28" w:type="dxa"/>
              <w:right w:w="28" w:type="dxa"/>
            </w:tcMar>
            <w:vAlign w:val="center"/>
          </w:tcPr>
          <w:p w14:paraId="2E0F6032" w14:textId="13FA1046"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Carrying capacity for red deer. Punctual estimation of the calf weight on November 15</w:t>
            </w:r>
            <w:r w:rsidR="0058036E" w:rsidRPr="008F6866">
              <w:rPr>
                <w:rFonts w:eastAsia="Times New Roman" w:cstheme="minorHAnsi"/>
                <w:iCs/>
                <w:color w:val="000000" w:themeColor="text1"/>
                <w:sz w:val="20"/>
                <w:szCs w:val="20"/>
              </w:rPr>
              <w:t xml:space="preserve"> </w:t>
            </w:r>
            <w:r w:rsidRPr="008F6866">
              <w:rPr>
                <w:rFonts w:eastAsia="Times New Roman" w:cstheme="minorHAnsi"/>
                <w:iCs/>
                <w:color w:val="000000" w:themeColor="text1"/>
                <w:sz w:val="20"/>
                <w:szCs w:val="20"/>
              </w:rPr>
              <w:t>(</w:t>
            </w:r>
            <w:r w:rsidR="00A3040E" w:rsidRPr="008F6866">
              <w:rPr>
                <w:rFonts w:eastAsia="Times New Roman" w:cstheme="minorHAnsi"/>
                <w:iCs/>
                <w:color w:val="000000" w:themeColor="text1"/>
                <w:sz w:val="20"/>
                <w:szCs w:val="20"/>
              </w:rPr>
              <w:t>k</w:t>
            </w:r>
            <w:r w:rsidRPr="008F6866">
              <w:rPr>
                <w:rFonts w:eastAsia="Times New Roman" w:cstheme="minorHAnsi"/>
                <w:iCs/>
                <w:color w:val="000000" w:themeColor="text1"/>
                <w:sz w:val="20"/>
                <w:szCs w:val="20"/>
              </w:rPr>
              <w:t>g)</w:t>
            </w:r>
          </w:p>
        </w:tc>
        <w:tc>
          <w:tcPr>
            <w:tcW w:w="919" w:type="dxa"/>
            <w:tcBorders>
              <w:top w:val="nil"/>
              <w:left w:val="nil"/>
              <w:bottom w:val="nil"/>
              <w:right w:val="nil"/>
            </w:tcBorders>
            <w:shd w:val="clear" w:color="auto" w:fill="D9D9D9" w:themeFill="background1" w:themeFillShade="D9"/>
            <w:tcMar>
              <w:left w:w="28" w:type="dxa"/>
              <w:right w:w="28" w:type="dxa"/>
            </w:tcMar>
            <w:vAlign w:val="center"/>
          </w:tcPr>
          <w:p w14:paraId="1EEA1D08"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38.73</w:t>
            </w:r>
          </w:p>
        </w:tc>
        <w:tc>
          <w:tcPr>
            <w:tcW w:w="718" w:type="dxa"/>
            <w:tcBorders>
              <w:top w:val="nil"/>
              <w:left w:val="nil"/>
              <w:bottom w:val="nil"/>
              <w:right w:val="nil"/>
            </w:tcBorders>
            <w:shd w:val="clear" w:color="auto" w:fill="D9D9D9" w:themeFill="background1" w:themeFillShade="D9"/>
            <w:tcMar>
              <w:left w:w="28" w:type="dxa"/>
              <w:right w:w="28" w:type="dxa"/>
            </w:tcMar>
            <w:vAlign w:val="center"/>
          </w:tcPr>
          <w:p w14:paraId="16687E98"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2.23</w:t>
            </w:r>
          </w:p>
        </w:tc>
        <w:tc>
          <w:tcPr>
            <w:tcW w:w="627" w:type="dxa"/>
            <w:tcBorders>
              <w:top w:val="nil"/>
              <w:left w:val="nil"/>
              <w:bottom w:val="nil"/>
              <w:right w:val="nil"/>
            </w:tcBorders>
            <w:shd w:val="clear" w:color="auto" w:fill="D9D9D9" w:themeFill="background1" w:themeFillShade="D9"/>
            <w:tcMar>
              <w:left w:w="28" w:type="dxa"/>
              <w:right w:w="28" w:type="dxa"/>
            </w:tcMar>
            <w:vAlign w:val="center"/>
          </w:tcPr>
          <w:p w14:paraId="41CD5A05"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33.08</w:t>
            </w:r>
          </w:p>
        </w:tc>
        <w:tc>
          <w:tcPr>
            <w:tcW w:w="809" w:type="dxa"/>
            <w:tcBorders>
              <w:top w:val="nil"/>
              <w:left w:val="nil"/>
              <w:bottom w:val="nil"/>
              <w:right w:val="nil"/>
            </w:tcBorders>
            <w:shd w:val="clear" w:color="auto" w:fill="D9D9D9" w:themeFill="background1" w:themeFillShade="D9"/>
            <w:tcMar>
              <w:left w:w="28" w:type="dxa"/>
              <w:right w:w="28" w:type="dxa"/>
            </w:tcMar>
            <w:vAlign w:val="center"/>
          </w:tcPr>
          <w:p w14:paraId="7E03529F"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44.3</w:t>
            </w:r>
          </w:p>
        </w:tc>
      </w:tr>
      <w:tr w:rsidR="00DE4897" w:rsidRPr="008F6866" w14:paraId="7D71032B" w14:textId="77777777" w:rsidTr="00A3040E">
        <w:trPr>
          <w:trHeight w:val="480"/>
        </w:trPr>
        <w:tc>
          <w:tcPr>
            <w:tcW w:w="2268" w:type="dxa"/>
            <w:tcBorders>
              <w:top w:val="nil"/>
              <w:left w:val="nil"/>
              <w:right w:val="nil"/>
            </w:tcBorders>
            <w:shd w:val="clear" w:color="auto" w:fill="auto"/>
            <w:tcMar>
              <w:left w:w="28" w:type="dxa"/>
              <w:right w:w="28" w:type="dxa"/>
            </w:tcMar>
            <w:vAlign w:val="center"/>
          </w:tcPr>
          <w:p w14:paraId="7F3273AF" w14:textId="77777777"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deer_AdultTotalRatio</w:t>
            </w:r>
          </w:p>
        </w:tc>
        <w:tc>
          <w:tcPr>
            <w:tcW w:w="4395" w:type="dxa"/>
            <w:tcBorders>
              <w:top w:val="nil"/>
              <w:left w:val="nil"/>
              <w:right w:val="nil"/>
            </w:tcBorders>
            <w:shd w:val="clear" w:color="auto" w:fill="auto"/>
            <w:tcMar>
              <w:left w:w="28" w:type="dxa"/>
              <w:right w:w="28" w:type="dxa"/>
            </w:tcMar>
            <w:vAlign w:val="center"/>
          </w:tcPr>
          <w:p w14:paraId="4D8CF89C"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Ratio of shot adult males red deer to total shot red deer</w:t>
            </w:r>
          </w:p>
        </w:tc>
        <w:tc>
          <w:tcPr>
            <w:tcW w:w="919" w:type="dxa"/>
            <w:tcBorders>
              <w:top w:val="nil"/>
              <w:left w:val="nil"/>
              <w:right w:val="nil"/>
            </w:tcBorders>
            <w:shd w:val="clear" w:color="auto" w:fill="auto"/>
            <w:tcMar>
              <w:left w:w="28" w:type="dxa"/>
              <w:right w:w="28" w:type="dxa"/>
            </w:tcMar>
            <w:vAlign w:val="center"/>
          </w:tcPr>
          <w:p w14:paraId="342A5236"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1.84</w:t>
            </w:r>
          </w:p>
        </w:tc>
        <w:tc>
          <w:tcPr>
            <w:tcW w:w="718" w:type="dxa"/>
            <w:tcBorders>
              <w:top w:val="nil"/>
              <w:left w:val="nil"/>
              <w:right w:val="nil"/>
            </w:tcBorders>
            <w:shd w:val="clear" w:color="auto" w:fill="auto"/>
            <w:tcMar>
              <w:left w:w="28" w:type="dxa"/>
              <w:right w:w="28" w:type="dxa"/>
            </w:tcMar>
            <w:vAlign w:val="center"/>
          </w:tcPr>
          <w:p w14:paraId="56A0BDC7"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2.75</w:t>
            </w:r>
          </w:p>
        </w:tc>
        <w:tc>
          <w:tcPr>
            <w:tcW w:w="627" w:type="dxa"/>
            <w:tcBorders>
              <w:top w:val="nil"/>
              <w:left w:val="nil"/>
              <w:right w:val="nil"/>
            </w:tcBorders>
            <w:shd w:val="clear" w:color="auto" w:fill="auto"/>
            <w:tcMar>
              <w:left w:w="28" w:type="dxa"/>
              <w:right w:w="28" w:type="dxa"/>
            </w:tcMar>
            <w:vAlign w:val="center"/>
          </w:tcPr>
          <w:p w14:paraId="6F9D652A"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0</w:t>
            </w:r>
          </w:p>
        </w:tc>
        <w:tc>
          <w:tcPr>
            <w:tcW w:w="809" w:type="dxa"/>
            <w:tcBorders>
              <w:top w:val="nil"/>
              <w:left w:val="nil"/>
              <w:right w:val="nil"/>
            </w:tcBorders>
            <w:shd w:val="clear" w:color="auto" w:fill="auto"/>
            <w:tcMar>
              <w:left w:w="28" w:type="dxa"/>
              <w:right w:w="28" w:type="dxa"/>
            </w:tcMar>
            <w:vAlign w:val="center"/>
          </w:tcPr>
          <w:p w14:paraId="043EEF5A"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22.02</w:t>
            </w:r>
          </w:p>
        </w:tc>
      </w:tr>
      <w:tr w:rsidR="00DE4897" w:rsidRPr="008F6866" w14:paraId="40EF7124" w14:textId="77777777" w:rsidTr="00A3040E">
        <w:trPr>
          <w:trHeight w:val="240"/>
        </w:trPr>
        <w:tc>
          <w:tcPr>
            <w:tcW w:w="2268" w:type="dxa"/>
            <w:tcBorders>
              <w:top w:val="nil"/>
              <w:left w:val="nil"/>
              <w:bottom w:val="nil"/>
              <w:right w:val="nil"/>
            </w:tcBorders>
            <w:shd w:val="clear" w:color="auto" w:fill="D9D9D9" w:themeFill="background1" w:themeFillShade="D9"/>
            <w:tcMar>
              <w:left w:w="28" w:type="dxa"/>
              <w:right w:w="28" w:type="dxa"/>
            </w:tcMar>
            <w:vAlign w:val="center"/>
          </w:tcPr>
          <w:p w14:paraId="739380A7"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elevation</w:t>
            </w:r>
          </w:p>
        </w:tc>
        <w:tc>
          <w:tcPr>
            <w:tcW w:w="4395" w:type="dxa"/>
            <w:tcBorders>
              <w:top w:val="nil"/>
              <w:left w:val="nil"/>
              <w:bottom w:val="nil"/>
              <w:right w:val="nil"/>
            </w:tcBorders>
            <w:shd w:val="clear" w:color="auto" w:fill="D9D9D9" w:themeFill="background1" w:themeFillShade="D9"/>
            <w:tcMar>
              <w:left w:w="28" w:type="dxa"/>
              <w:right w:w="28" w:type="dxa"/>
            </w:tcMar>
            <w:vAlign w:val="center"/>
          </w:tcPr>
          <w:p w14:paraId="7CBB8691" w14:textId="77777777"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Elevation a.s.l. (m)</w:t>
            </w:r>
          </w:p>
        </w:tc>
        <w:tc>
          <w:tcPr>
            <w:tcW w:w="919" w:type="dxa"/>
            <w:tcBorders>
              <w:top w:val="nil"/>
              <w:left w:val="nil"/>
              <w:bottom w:val="nil"/>
              <w:right w:val="nil"/>
            </w:tcBorders>
            <w:shd w:val="clear" w:color="auto" w:fill="D9D9D9" w:themeFill="background1" w:themeFillShade="D9"/>
            <w:tcMar>
              <w:left w:w="28" w:type="dxa"/>
              <w:right w:w="28" w:type="dxa"/>
            </w:tcMar>
            <w:vAlign w:val="center"/>
          </w:tcPr>
          <w:p w14:paraId="41266B47"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411.79</w:t>
            </w:r>
          </w:p>
        </w:tc>
        <w:tc>
          <w:tcPr>
            <w:tcW w:w="718" w:type="dxa"/>
            <w:tcBorders>
              <w:top w:val="nil"/>
              <w:left w:val="nil"/>
              <w:bottom w:val="nil"/>
              <w:right w:val="nil"/>
            </w:tcBorders>
            <w:shd w:val="clear" w:color="auto" w:fill="D9D9D9" w:themeFill="background1" w:themeFillShade="D9"/>
            <w:tcMar>
              <w:left w:w="28" w:type="dxa"/>
              <w:right w:w="28" w:type="dxa"/>
            </w:tcMar>
            <w:vAlign w:val="center"/>
          </w:tcPr>
          <w:p w14:paraId="79EE4D58"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114.71</w:t>
            </w:r>
          </w:p>
        </w:tc>
        <w:tc>
          <w:tcPr>
            <w:tcW w:w="627" w:type="dxa"/>
            <w:tcBorders>
              <w:top w:val="nil"/>
              <w:left w:val="nil"/>
              <w:bottom w:val="nil"/>
              <w:right w:val="nil"/>
            </w:tcBorders>
            <w:shd w:val="clear" w:color="auto" w:fill="D9D9D9" w:themeFill="background1" w:themeFillShade="D9"/>
            <w:tcMar>
              <w:left w:w="28" w:type="dxa"/>
              <w:right w:w="28" w:type="dxa"/>
            </w:tcMar>
            <w:vAlign w:val="center"/>
          </w:tcPr>
          <w:p w14:paraId="461A1EE8"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163</w:t>
            </w:r>
          </w:p>
        </w:tc>
        <w:tc>
          <w:tcPr>
            <w:tcW w:w="809" w:type="dxa"/>
            <w:tcBorders>
              <w:top w:val="nil"/>
              <w:left w:val="nil"/>
              <w:bottom w:val="nil"/>
              <w:right w:val="nil"/>
            </w:tcBorders>
            <w:shd w:val="clear" w:color="auto" w:fill="D9D9D9" w:themeFill="background1" w:themeFillShade="D9"/>
            <w:tcMar>
              <w:left w:w="28" w:type="dxa"/>
              <w:right w:w="28" w:type="dxa"/>
            </w:tcMar>
            <w:vAlign w:val="center"/>
          </w:tcPr>
          <w:p w14:paraId="73208085"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666</w:t>
            </w:r>
          </w:p>
        </w:tc>
      </w:tr>
      <w:tr w:rsidR="00DE4897" w:rsidRPr="008F6866" w14:paraId="59804DCE" w14:textId="77777777" w:rsidTr="00A3040E">
        <w:trPr>
          <w:trHeight w:val="960"/>
        </w:trPr>
        <w:tc>
          <w:tcPr>
            <w:tcW w:w="2268" w:type="dxa"/>
            <w:tcBorders>
              <w:top w:val="nil"/>
              <w:left w:val="nil"/>
              <w:right w:val="nil"/>
            </w:tcBorders>
            <w:shd w:val="clear" w:color="auto" w:fill="auto"/>
            <w:tcMar>
              <w:left w:w="28" w:type="dxa"/>
              <w:right w:w="28" w:type="dxa"/>
            </w:tcMar>
            <w:vAlign w:val="center"/>
          </w:tcPr>
          <w:p w14:paraId="3CD4519D" w14:textId="77777777"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game_shot</w:t>
            </w:r>
          </w:p>
        </w:tc>
        <w:tc>
          <w:tcPr>
            <w:tcW w:w="4395" w:type="dxa"/>
            <w:tcBorders>
              <w:top w:val="nil"/>
              <w:left w:val="nil"/>
              <w:right w:val="nil"/>
            </w:tcBorders>
            <w:shd w:val="clear" w:color="auto" w:fill="auto"/>
            <w:tcMar>
              <w:left w:w="28" w:type="dxa"/>
              <w:right w:w="28" w:type="dxa"/>
            </w:tcMar>
            <w:vAlign w:val="center"/>
          </w:tcPr>
          <w:p w14:paraId="384BBE37" w14:textId="77777777"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Ungulate density index: cumulated ungulate abundance index based on shot statistics at the hunting district (inspired from Kupfershmidt., 2020). Red deer = 1, roe deer = 1/5, fallow deer = 1/4, mouflon = 1/4. (ungulates/km²)</w:t>
            </w:r>
          </w:p>
        </w:tc>
        <w:tc>
          <w:tcPr>
            <w:tcW w:w="919" w:type="dxa"/>
            <w:tcBorders>
              <w:top w:val="nil"/>
              <w:left w:val="nil"/>
              <w:right w:val="nil"/>
            </w:tcBorders>
            <w:shd w:val="clear" w:color="auto" w:fill="auto"/>
            <w:tcMar>
              <w:left w:w="28" w:type="dxa"/>
              <w:right w:w="28" w:type="dxa"/>
            </w:tcMar>
            <w:vAlign w:val="center"/>
          </w:tcPr>
          <w:p w14:paraId="4CCD1713"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2.3</w:t>
            </w:r>
          </w:p>
        </w:tc>
        <w:tc>
          <w:tcPr>
            <w:tcW w:w="718" w:type="dxa"/>
            <w:tcBorders>
              <w:top w:val="nil"/>
              <w:left w:val="nil"/>
              <w:right w:val="nil"/>
            </w:tcBorders>
            <w:shd w:val="clear" w:color="auto" w:fill="auto"/>
            <w:tcMar>
              <w:left w:w="28" w:type="dxa"/>
              <w:right w:w="28" w:type="dxa"/>
            </w:tcMar>
            <w:vAlign w:val="center"/>
          </w:tcPr>
          <w:p w14:paraId="72FB1E99"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1.11</w:t>
            </w:r>
          </w:p>
        </w:tc>
        <w:tc>
          <w:tcPr>
            <w:tcW w:w="627" w:type="dxa"/>
            <w:tcBorders>
              <w:top w:val="nil"/>
              <w:left w:val="nil"/>
              <w:right w:val="nil"/>
            </w:tcBorders>
            <w:shd w:val="clear" w:color="auto" w:fill="auto"/>
            <w:tcMar>
              <w:left w:w="28" w:type="dxa"/>
              <w:right w:w="28" w:type="dxa"/>
            </w:tcMar>
            <w:vAlign w:val="center"/>
          </w:tcPr>
          <w:p w14:paraId="26D1C699"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0.4</w:t>
            </w:r>
          </w:p>
        </w:tc>
        <w:tc>
          <w:tcPr>
            <w:tcW w:w="809" w:type="dxa"/>
            <w:tcBorders>
              <w:top w:val="nil"/>
              <w:left w:val="nil"/>
              <w:right w:val="nil"/>
            </w:tcBorders>
            <w:shd w:val="clear" w:color="auto" w:fill="auto"/>
            <w:tcMar>
              <w:left w:w="28" w:type="dxa"/>
              <w:right w:w="28" w:type="dxa"/>
            </w:tcMar>
            <w:vAlign w:val="center"/>
          </w:tcPr>
          <w:p w14:paraId="58BCAE87"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6.98</w:t>
            </w:r>
          </w:p>
        </w:tc>
      </w:tr>
      <w:tr w:rsidR="00DE4897" w:rsidRPr="008F6866" w14:paraId="5AF567F2" w14:textId="77777777" w:rsidTr="00A3040E">
        <w:trPr>
          <w:trHeight w:val="480"/>
        </w:trPr>
        <w:tc>
          <w:tcPr>
            <w:tcW w:w="2268" w:type="dxa"/>
            <w:tcBorders>
              <w:top w:val="nil"/>
              <w:left w:val="nil"/>
              <w:bottom w:val="nil"/>
              <w:right w:val="nil"/>
            </w:tcBorders>
            <w:shd w:val="clear" w:color="auto" w:fill="D9D9D9" w:themeFill="background1" w:themeFillShade="D9"/>
            <w:tcMar>
              <w:left w:w="28" w:type="dxa"/>
              <w:right w:w="28" w:type="dxa"/>
            </w:tcMar>
            <w:vAlign w:val="center"/>
          </w:tcPr>
          <w:p w14:paraId="2A35ACBB"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palatability</w:t>
            </w:r>
          </w:p>
        </w:tc>
        <w:tc>
          <w:tcPr>
            <w:tcW w:w="4395" w:type="dxa"/>
            <w:tcBorders>
              <w:top w:val="nil"/>
              <w:left w:val="nil"/>
              <w:bottom w:val="nil"/>
              <w:right w:val="nil"/>
            </w:tcBorders>
            <w:shd w:val="clear" w:color="auto" w:fill="D9D9D9" w:themeFill="background1" w:themeFillShade="D9"/>
            <w:tcMar>
              <w:left w:w="28" w:type="dxa"/>
              <w:right w:w="28" w:type="dxa"/>
            </w:tcMar>
            <w:vAlign w:val="center"/>
          </w:tcPr>
          <w:p w14:paraId="6830540E"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The mean of species palatability weighted by biomass</w:t>
            </w:r>
          </w:p>
        </w:tc>
        <w:tc>
          <w:tcPr>
            <w:tcW w:w="919" w:type="dxa"/>
            <w:tcBorders>
              <w:top w:val="nil"/>
              <w:left w:val="nil"/>
              <w:bottom w:val="nil"/>
              <w:right w:val="nil"/>
            </w:tcBorders>
            <w:shd w:val="clear" w:color="auto" w:fill="D9D9D9" w:themeFill="background1" w:themeFillShade="D9"/>
            <w:tcMar>
              <w:left w:w="28" w:type="dxa"/>
              <w:right w:w="28" w:type="dxa"/>
            </w:tcMar>
            <w:vAlign w:val="center"/>
          </w:tcPr>
          <w:p w14:paraId="211579ED"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4.7</w:t>
            </w:r>
          </w:p>
        </w:tc>
        <w:tc>
          <w:tcPr>
            <w:tcW w:w="718" w:type="dxa"/>
            <w:tcBorders>
              <w:top w:val="nil"/>
              <w:left w:val="nil"/>
              <w:bottom w:val="nil"/>
              <w:right w:val="nil"/>
            </w:tcBorders>
            <w:shd w:val="clear" w:color="auto" w:fill="D9D9D9" w:themeFill="background1" w:themeFillShade="D9"/>
            <w:tcMar>
              <w:left w:w="28" w:type="dxa"/>
              <w:right w:w="28" w:type="dxa"/>
            </w:tcMar>
            <w:vAlign w:val="center"/>
          </w:tcPr>
          <w:p w14:paraId="4FF32E99"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2.5</w:t>
            </w:r>
          </w:p>
        </w:tc>
        <w:tc>
          <w:tcPr>
            <w:tcW w:w="627" w:type="dxa"/>
            <w:tcBorders>
              <w:top w:val="nil"/>
              <w:left w:val="nil"/>
              <w:bottom w:val="nil"/>
              <w:right w:val="nil"/>
            </w:tcBorders>
            <w:shd w:val="clear" w:color="auto" w:fill="D9D9D9" w:themeFill="background1" w:themeFillShade="D9"/>
            <w:tcMar>
              <w:left w:w="28" w:type="dxa"/>
              <w:right w:w="28" w:type="dxa"/>
            </w:tcMar>
            <w:vAlign w:val="center"/>
          </w:tcPr>
          <w:p w14:paraId="3F4F7195"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0.03</w:t>
            </w:r>
          </w:p>
        </w:tc>
        <w:tc>
          <w:tcPr>
            <w:tcW w:w="809" w:type="dxa"/>
            <w:tcBorders>
              <w:top w:val="nil"/>
              <w:left w:val="nil"/>
              <w:bottom w:val="nil"/>
              <w:right w:val="nil"/>
            </w:tcBorders>
            <w:shd w:val="clear" w:color="auto" w:fill="D9D9D9" w:themeFill="background1" w:themeFillShade="D9"/>
            <w:tcMar>
              <w:left w:w="28" w:type="dxa"/>
              <w:right w:w="28" w:type="dxa"/>
            </w:tcMar>
            <w:vAlign w:val="center"/>
          </w:tcPr>
          <w:p w14:paraId="65C53E56"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10</w:t>
            </w:r>
          </w:p>
        </w:tc>
      </w:tr>
      <w:tr w:rsidR="00DE4897" w:rsidRPr="008F6866" w14:paraId="29627F4C" w14:textId="77777777" w:rsidTr="00A3040E">
        <w:trPr>
          <w:trHeight w:val="480"/>
        </w:trPr>
        <w:tc>
          <w:tcPr>
            <w:tcW w:w="2268" w:type="dxa"/>
            <w:tcBorders>
              <w:top w:val="nil"/>
              <w:left w:val="nil"/>
              <w:right w:val="nil"/>
            </w:tcBorders>
            <w:shd w:val="clear" w:color="auto" w:fill="auto"/>
            <w:tcMar>
              <w:left w:w="28" w:type="dxa"/>
              <w:right w:w="28" w:type="dxa"/>
            </w:tcMar>
            <w:vAlign w:val="center"/>
          </w:tcPr>
          <w:p w14:paraId="13A18EAD" w14:textId="77777777"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palatability_biomass</w:t>
            </w:r>
          </w:p>
        </w:tc>
        <w:tc>
          <w:tcPr>
            <w:tcW w:w="4395" w:type="dxa"/>
            <w:tcBorders>
              <w:top w:val="nil"/>
              <w:left w:val="nil"/>
              <w:right w:val="nil"/>
            </w:tcBorders>
            <w:shd w:val="clear" w:color="auto" w:fill="auto"/>
            <w:tcMar>
              <w:left w:w="28" w:type="dxa"/>
              <w:right w:w="28" w:type="dxa"/>
            </w:tcMar>
            <w:vAlign w:val="center"/>
          </w:tcPr>
          <w:p w14:paraId="37EB3B92"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Sum of the products of biomass and palatability score by plot</w:t>
            </w:r>
          </w:p>
        </w:tc>
        <w:tc>
          <w:tcPr>
            <w:tcW w:w="919" w:type="dxa"/>
            <w:tcBorders>
              <w:top w:val="nil"/>
              <w:left w:val="nil"/>
              <w:right w:val="nil"/>
            </w:tcBorders>
            <w:shd w:val="clear" w:color="auto" w:fill="auto"/>
            <w:tcMar>
              <w:left w:w="28" w:type="dxa"/>
              <w:right w:w="28" w:type="dxa"/>
            </w:tcMar>
            <w:vAlign w:val="center"/>
          </w:tcPr>
          <w:p w14:paraId="565916C5"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194.35</w:t>
            </w:r>
          </w:p>
        </w:tc>
        <w:tc>
          <w:tcPr>
            <w:tcW w:w="718" w:type="dxa"/>
            <w:tcBorders>
              <w:top w:val="nil"/>
              <w:left w:val="nil"/>
              <w:right w:val="nil"/>
            </w:tcBorders>
            <w:shd w:val="clear" w:color="auto" w:fill="auto"/>
            <w:tcMar>
              <w:left w:w="28" w:type="dxa"/>
              <w:right w:w="28" w:type="dxa"/>
            </w:tcMar>
            <w:vAlign w:val="center"/>
          </w:tcPr>
          <w:p w14:paraId="32CB6F64"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251.85</w:t>
            </w:r>
          </w:p>
        </w:tc>
        <w:tc>
          <w:tcPr>
            <w:tcW w:w="627" w:type="dxa"/>
            <w:tcBorders>
              <w:top w:val="nil"/>
              <w:left w:val="nil"/>
              <w:right w:val="nil"/>
            </w:tcBorders>
            <w:shd w:val="clear" w:color="auto" w:fill="auto"/>
            <w:tcMar>
              <w:left w:w="28" w:type="dxa"/>
              <w:right w:w="28" w:type="dxa"/>
            </w:tcMar>
            <w:vAlign w:val="center"/>
          </w:tcPr>
          <w:p w14:paraId="417D116A"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0.01</w:t>
            </w:r>
          </w:p>
        </w:tc>
        <w:tc>
          <w:tcPr>
            <w:tcW w:w="809" w:type="dxa"/>
            <w:tcBorders>
              <w:top w:val="nil"/>
              <w:left w:val="nil"/>
              <w:right w:val="nil"/>
            </w:tcBorders>
            <w:shd w:val="clear" w:color="auto" w:fill="auto"/>
            <w:tcMar>
              <w:left w:w="28" w:type="dxa"/>
              <w:right w:w="28" w:type="dxa"/>
            </w:tcMar>
            <w:vAlign w:val="center"/>
          </w:tcPr>
          <w:p w14:paraId="7611F149"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2 265.81</w:t>
            </w:r>
          </w:p>
        </w:tc>
      </w:tr>
      <w:tr w:rsidR="00DE4897" w:rsidRPr="008F6866" w14:paraId="68D24DAF" w14:textId="77777777" w:rsidTr="00A3040E">
        <w:trPr>
          <w:trHeight w:val="240"/>
        </w:trPr>
        <w:tc>
          <w:tcPr>
            <w:tcW w:w="2268" w:type="dxa"/>
            <w:tcBorders>
              <w:top w:val="nil"/>
              <w:left w:val="nil"/>
              <w:bottom w:val="nil"/>
              <w:right w:val="nil"/>
            </w:tcBorders>
            <w:shd w:val="clear" w:color="auto" w:fill="D9D9D9" w:themeFill="background1" w:themeFillShade="D9"/>
            <w:tcMar>
              <w:left w:w="28" w:type="dxa"/>
              <w:right w:w="28" w:type="dxa"/>
            </w:tcMar>
            <w:vAlign w:val="center"/>
          </w:tcPr>
          <w:p w14:paraId="42BA512A" w14:textId="77777777"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path_dist</w:t>
            </w:r>
          </w:p>
        </w:tc>
        <w:tc>
          <w:tcPr>
            <w:tcW w:w="4395" w:type="dxa"/>
            <w:tcBorders>
              <w:top w:val="nil"/>
              <w:left w:val="nil"/>
              <w:bottom w:val="nil"/>
              <w:right w:val="nil"/>
            </w:tcBorders>
            <w:shd w:val="clear" w:color="auto" w:fill="D9D9D9" w:themeFill="background1" w:themeFillShade="D9"/>
            <w:tcMar>
              <w:left w:w="28" w:type="dxa"/>
              <w:right w:w="28" w:type="dxa"/>
            </w:tcMar>
            <w:vAlign w:val="center"/>
          </w:tcPr>
          <w:p w14:paraId="00C887D6"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Distance from the nearest path (m)</w:t>
            </w:r>
          </w:p>
        </w:tc>
        <w:tc>
          <w:tcPr>
            <w:tcW w:w="919" w:type="dxa"/>
            <w:tcBorders>
              <w:top w:val="nil"/>
              <w:left w:val="nil"/>
              <w:bottom w:val="nil"/>
              <w:right w:val="nil"/>
            </w:tcBorders>
            <w:shd w:val="clear" w:color="auto" w:fill="D9D9D9" w:themeFill="background1" w:themeFillShade="D9"/>
            <w:tcMar>
              <w:left w:w="28" w:type="dxa"/>
              <w:right w:w="28" w:type="dxa"/>
            </w:tcMar>
            <w:vAlign w:val="center"/>
          </w:tcPr>
          <w:p w14:paraId="280FCC79"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134.93</w:t>
            </w:r>
          </w:p>
        </w:tc>
        <w:tc>
          <w:tcPr>
            <w:tcW w:w="718" w:type="dxa"/>
            <w:tcBorders>
              <w:top w:val="nil"/>
              <w:left w:val="nil"/>
              <w:bottom w:val="nil"/>
              <w:right w:val="nil"/>
            </w:tcBorders>
            <w:shd w:val="clear" w:color="auto" w:fill="D9D9D9" w:themeFill="background1" w:themeFillShade="D9"/>
            <w:tcMar>
              <w:left w:w="28" w:type="dxa"/>
              <w:right w:w="28" w:type="dxa"/>
            </w:tcMar>
            <w:vAlign w:val="center"/>
          </w:tcPr>
          <w:p w14:paraId="01240C7D"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148.05</w:t>
            </w:r>
          </w:p>
        </w:tc>
        <w:tc>
          <w:tcPr>
            <w:tcW w:w="627" w:type="dxa"/>
            <w:tcBorders>
              <w:top w:val="nil"/>
              <w:left w:val="nil"/>
              <w:bottom w:val="nil"/>
              <w:right w:val="nil"/>
            </w:tcBorders>
            <w:shd w:val="clear" w:color="auto" w:fill="D9D9D9" w:themeFill="background1" w:themeFillShade="D9"/>
            <w:tcMar>
              <w:left w:w="28" w:type="dxa"/>
              <w:right w:w="28" w:type="dxa"/>
            </w:tcMar>
            <w:vAlign w:val="center"/>
          </w:tcPr>
          <w:p w14:paraId="5EFFBDCF"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0.33</w:t>
            </w:r>
          </w:p>
        </w:tc>
        <w:tc>
          <w:tcPr>
            <w:tcW w:w="809" w:type="dxa"/>
            <w:tcBorders>
              <w:top w:val="nil"/>
              <w:left w:val="nil"/>
              <w:bottom w:val="nil"/>
              <w:right w:val="nil"/>
            </w:tcBorders>
            <w:shd w:val="clear" w:color="auto" w:fill="D9D9D9" w:themeFill="background1" w:themeFillShade="D9"/>
            <w:tcMar>
              <w:left w:w="28" w:type="dxa"/>
              <w:right w:w="28" w:type="dxa"/>
            </w:tcMar>
            <w:vAlign w:val="center"/>
          </w:tcPr>
          <w:p w14:paraId="14219EB5"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992.51</w:t>
            </w:r>
          </w:p>
        </w:tc>
      </w:tr>
      <w:tr w:rsidR="00DE4897" w:rsidRPr="008F6866" w14:paraId="6F0F7C40" w14:textId="77777777" w:rsidTr="00A3040E">
        <w:trPr>
          <w:trHeight w:val="480"/>
        </w:trPr>
        <w:tc>
          <w:tcPr>
            <w:tcW w:w="2268" w:type="dxa"/>
            <w:tcBorders>
              <w:top w:val="nil"/>
              <w:left w:val="nil"/>
              <w:right w:val="nil"/>
            </w:tcBorders>
            <w:shd w:val="clear" w:color="auto" w:fill="auto"/>
            <w:tcMar>
              <w:left w:w="28" w:type="dxa"/>
              <w:right w:w="28" w:type="dxa"/>
            </w:tcMar>
            <w:vAlign w:val="center"/>
          </w:tcPr>
          <w:p w14:paraId="66FB1ACC" w14:textId="77777777"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redDeer_density</w:t>
            </w:r>
          </w:p>
        </w:tc>
        <w:tc>
          <w:tcPr>
            <w:tcW w:w="4395" w:type="dxa"/>
            <w:tcBorders>
              <w:top w:val="nil"/>
              <w:left w:val="nil"/>
              <w:right w:val="nil"/>
            </w:tcBorders>
            <w:shd w:val="clear" w:color="auto" w:fill="auto"/>
            <w:tcMar>
              <w:left w:w="28" w:type="dxa"/>
              <w:right w:w="28" w:type="dxa"/>
            </w:tcMar>
            <w:vAlign w:val="center"/>
          </w:tcPr>
          <w:p w14:paraId="4A3FF759"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Estimated red deer population at the beginning of the monitoring campaign in hunting districts, in 2016-2017 (deer/1000 ha)</w:t>
            </w:r>
          </w:p>
        </w:tc>
        <w:tc>
          <w:tcPr>
            <w:tcW w:w="919" w:type="dxa"/>
            <w:tcBorders>
              <w:top w:val="nil"/>
              <w:left w:val="nil"/>
              <w:right w:val="nil"/>
            </w:tcBorders>
            <w:shd w:val="clear" w:color="auto" w:fill="auto"/>
            <w:tcMar>
              <w:left w:w="28" w:type="dxa"/>
              <w:right w:w="28" w:type="dxa"/>
            </w:tcMar>
            <w:vAlign w:val="center"/>
          </w:tcPr>
          <w:p w14:paraId="1300F91C"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51.6</w:t>
            </w:r>
          </w:p>
        </w:tc>
        <w:tc>
          <w:tcPr>
            <w:tcW w:w="718" w:type="dxa"/>
            <w:tcBorders>
              <w:top w:val="nil"/>
              <w:left w:val="nil"/>
              <w:right w:val="nil"/>
            </w:tcBorders>
            <w:shd w:val="clear" w:color="auto" w:fill="auto"/>
            <w:tcMar>
              <w:left w:w="28" w:type="dxa"/>
              <w:right w:w="28" w:type="dxa"/>
            </w:tcMar>
            <w:vAlign w:val="center"/>
          </w:tcPr>
          <w:p w14:paraId="2761709A"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27.05</w:t>
            </w:r>
          </w:p>
        </w:tc>
        <w:tc>
          <w:tcPr>
            <w:tcW w:w="627" w:type="dxa"/>
            <w:tcBorders>
              <w:top w:val="nil"/>
              <w:left w:val="nil"/>
              <w:right w:val="nil"/>
            </w:tcBorders>
            <w:shd w:val="clear" w:color="auto" w:fill="auto"/>
            <w:tcMar>
              <w:left w:w="28" w:type="dxa"/>
              <w:right w:w="28" w:type="dxa"/>
            </w:tcMar>
            <w:vAlign w:val="center"/>
          </w:tcPr>
          <w:p w14:paraId="60299E15"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0</w:t>
            </w:r>
          </w:p>
        </w:tc>
        <w:tc>
          <w:tcPr>
            <w:tcW w:w="809" w:type="dxa"/>
            <w:tcBorders>
              <w:top w:val="nil"/>
              <w:left w:val="nil"/>
              <w:right w:val="nil"/>
            </w:tcBorders>
            <w:shd w:val="clear" w:color="auto" w:fill="auto"/>
            <w:tcMar>
              <w:left w:w="28" w:type="dxa"/>
              <w:right w:w="28" w:type="dxa"/>
            </w:tcMar>
            <w:vAlign w:val="center"/>
          </w:tcPr>
          <w:p w14:paraId="37A2792D"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165</w:t>
            </w:r>
          </w:p>
        </w:tc>
      </w:tr>
      <w:tr w:rsidR="00DE4897" w:rsidRPr="008F6866" w14:paraId="4D9049DE" w14:textId="77777777" w:rsidTr="00A3040E">
        <w:trPr>
          <w:trHeight w:val="480"/>
        </w:trPr>
        <w:tc>
          <w:tcPr>
            <w:tcW w:w="2268" w:type="dxa"/>
            <w:tcBorders>
              <w:top w:val="nil"/>
              <w:left w:val="nil"/>
              <w:bottom w:val="nil"/>
              <w:right w:val="nil"/>
            </w:tcBorders>
            <w:shd w:val="clear" w:color="auto" w:fill="D9D9D9" w:themeFill="background1" w:themeFillShade="D9"/>
            <w:tcMar>
              <w:left w:w="28" w:type="dxa"/>
              <w:right w:w="28" w:type="dxa"/>
            </w:tcMar>
            <w:vAlign w:val="center"/>
          </w:tcPr>
          <w:p w14:paraId="401E9956" w14:textId="77777777"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redDeer_shot_fd</w:t>
            </w:r>
          </w:p>
        </w:tc>
        <w:tc>
          <w:tcPr>
            <w:tcW w:w="4395" w:type="dxa"/>
            <w:tcBorders>
              <w:top w:val="nil"/>
              <w:left w:val="nil"/>
              <w:bottom w:val="nil"/>
              <w:right w:val="nil"/>
            </w:tcBorders>
            <w:shd w:val="clear" w:color="auto" w:fill="D9D9D9" w:themeFill="background1" w:themeFillShade="D9"/>
            <w:tcMar>
              <w:left w:w="28" w:type="dxa"/>
              <w:right w:w="28" w:type="dxa"/>
            </w:tcMar>
            <w:vAlign w:val="center"/>
          </w:tcPr>
          <w:p w14:paraId="70ED5C45"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Number of red deer harvested in forest district (deer/km²)</w:t>
            </w:r>
          </w:p>
        </w:tc>
        <w:tc>
          <w:tcPr>
            <w:tcW w:w="919" w:type="dxa"/>
            <w:tcBorders>
              <w:top w:val="nil"/>
              <w:left w:val="nil"/>
              <w:bottom w:val="nil"/>
              <w:right w:val="nil"/>
            </w:tcBorders>
            <w:shd w:val="clear" w:color="auto" w:fill="D9D9D9" w:themeFill="background1" w:themeFillShade="D9"/>
            <w:tcMar>
              <w:left w:w="28" w:type="dxa"/>
              <w:right w:w="28" w:type="dxa"/>
            </w:tcMar>
            <w:vAlign w:val="center"/>
          </w:tcPr>
          <w:p w14:paraId="5CF9AFB6"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1.85</w:t>
            </w:r>
          </w:p>
        </w:tc>
        <w:tc>
          <w:tcPr>
            <w:tcW w:w="718" w:type="dxa"/>
            <w:tcBorders>
              <w:top w:val="nil"/>
              <w:left w:val="nil"/>
              <w:bottom w:val="nil"/>
              <w:right w:val="nil"/>
            </w:tcBorders>
            <w:shd w:val="clear" w:color="auto" w:fill="D9D9D9" w:themeFill="background1" w:themeFillShade="D9"/>
            <w:tcMar>
              <w:left w:w="28" w:type="dxa"/>
              <w:right w:w="28" w:type="dxa"/>
            </w:tcMar>
            <w:vAlign w:val="center"/>
          </w:tcPr>
          <w:p w14:paraId="71D6C1A4"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1.42</w:t>
            </w:r>
          </w:p>
        </w:tc>
        <w:tc>
          <w:tcPr>
            <w:tcW w:w="627" w:type="dxa"/>
            <w:tcBorders>
              <w:top w:val="nil"/>
              <w:left w:val="nil"/>
              <w:bottom w:val="nil"/>
              <w:right w:val="nil"/>
            </w:tcBorders>
            <w:shd w:val="clear" w:color="auto" w:fill="D9D9D9" w:themeFill="background1" w:themeFillShade="D9"/>
            <w:tcMar>
              <w:left w:w="28" w:type="dxa"/>
              <w:right w:w="28" w:type="dxa"/>
            </w:tcMar>
            <w:vAlign w:val="center"/>
          </w:tcPr>
          <w:p w14:paraId="56CF9954"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0</w:t>
            </w:r>
          </w:p>
        </w:tc>
        <w:tc>
          <w:tcPr>
            <w:tcW w:w="809" w:type="dxa"/>
            <w:tcBorders>
              <w:top w:val="nil"/>
              <w:left w:val="nil"/>
              <w:bottom w:val="nil"/>
              <w:right w:val="nil"/>
            </w:tcBorders>
            <w:shd w:val="clear" w:color="auto" w:fill="D9D9D9" w:themeFill="background1" w:themeFillShade="D9"/>
            <w:tcMar>
              <w:left w:w="28" w:type="dxa"/>
              <w:right w:w="28" w:type="dxa"/>
            </w:tcMar>
            <w:vAlign w:val="center"/>
          </w:tcPr>
          <w:p w14:paraId="753A02F4"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8.27</w:t>
            </w:r>
          </w:p>
        </w:tc>
      </w:tr>
      <w:tr w:rsidR="00DE4897" w:rsidRPr="008F6866" w14:paraId="683CB16E" w14:textId="77777777" w:rsidTr="00A3040E">
        <w:trPr>
          <w:trHeight w:val="480"/>
        </w:trPr>
        <w:tc>
          <w:tcPr>
            <w:tcW w:w="2268" w:type="dxa"/>
            <w:tcBorders>
              <w:top w:val="nil"/>
              <w:left w:val="nil"/>
              <w:right w:val="nil"/>
            </w:tcBorders>
            <w:shd w:val="clear" w:color="auto" w:fill="auto"/>
            <w:tcMar>
              <w:left w:w="28" w:type="dxa"/>
              <w:right w:w="28" w:type="dxa"/>
            </w:tcMar>
            <w:vAlign w:val="center"/>
          </w:tcPr>
          <w:p w14:paraId="336EB3F9" w14:textId="77777777"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redDeer_shot_hd</w:t>
            </w:r>
          </w:p>
        </w:tc>
        <w:tc>
          <w:tcPr>
            <w:tcW w:w="4395" w:type="dxa"/>
            <w:tcBorders>
              <w:top w:val="nil"/>
              <w:left w:val="nil"/>
              <w:right w:val="nil"/>
            </w:tcBorders>
            <w:shd w:val="clear" w:color="auto" w:fill="auto"/>
            <w:tcMar>
              <w:left w:w="28" w:type="dxa"/>
              <w:right w:w="28" w:type="dxa"/>
            </w:tcMar>
            <w:vAlign w:val="center"/>
          </w:tcPr>
          <w:p w14:paraId="38FB27A2"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Number of red deer harvested in hunting districts (deer/km²)</w:t>
            </w:r>
          </w:p>
        </w:tc>
        <w:tc>
          <w:tcPr>
            <w:tcW w:w="919" w:type="dxa"/>
            <w:tcBorders>
              <w:top w:val="nil"/>
              <w:left w:val="nil"/>
              <w:right w:val="nil"/>
            </w:tcBorders>
            <w:shd w:val="clear" w:color="auto" w:fill="auto"/>
            <w:tcMar>
              <w:left w:w="28" w:type="dxa"/>
              <w:right w:w="28" w:type="dxa"/>
            </w:tcMar>
            <w:vAlign w:val="center"/>
          </w:tcPr>
          <w:p w14:paraId="162C32F8"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1.75</w:t>
            </w:r>
          </w:p>
        </w:tc>
        <w:tc>
          <w:tcPr>
            <w:tcW w:w="718" w:type="dxa"/>
            <w:tcBorders>
              <w:top w:val="nil"/>
              <w:left w:val="nil"/>
              <w:right w:val="nil"/>
            </w:tcBorders>
            <w:shd w:val="clear" w:color="auto" w:fill="auto"/>
            <w:tcMar>
              <w:left w:w="28" w:type="dxa"/>
              <w:right w:w="28" w:type="dxa"/>
            </w:tcMar>
            <w:vAlign w:val="center"/>
          </w:tcPr>
          <w:p w14:paraId="38AC01A7"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1.15</w:t>
            </w:r>
          </w:p>
        </w:tc>
        <w:tc>
          <w:tcPr>
            <w:tcW w:w="627" w:type="dxa"/>
            <w:tcBorders>
              <w:top w:val="nil"/>
              <w:left w:val="nil"/>
              <w:right w:val="nil"/>
            </w:tcBorders>
            <w:shd w:val="clear" w:color="auto" w:fill="auto"/>
            <w:tcMar>
              <w:left w:w="28" w:type="dxa"/>
              <w:right w:w="28" w:type="dxa"/>
            </w:tcMar>
            <w:vAlign w:val="center"/>
          </w:tcPr>
          <w:p w14:paraId="39C827EE"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0</w:t>
            </w:r>
          </w:p>
        </w:tc>
        <w:tc>
          <w:tcPr>
            <w:tcW w:w="809" w:type="dxa"/>
            <w:tcBorders>
              <w:top w:val="nil"/>
              <w:left w:val="nil"/>
              <w:right w:val="nil"/>
            </w:tcBorders>
            <w:shd w:val="clear" w:color="auto" w:fill="auto"/>
            <w:tcMar>
              <w:left w:w="28" w:type="dxa"/>
              <w:right w:w="28" w:type="dxa"/>
            </w:tcMar>
            <w:vAlign w:val="center"/>
          </w:tcPr>
          <w:p w14:paraId="4EB09B25"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6.56</w:t>
            </w:r>
          </w:p>
        </w:tc>
      </w:tr>
      <w:tr w:rsidR="00DE4897" w:rsidRPr="008F6866" w14:paraId="30DA5B9B" w14:textId="77777777" w:rsidTr="00A3040E">
        <w:trPr>
          <w:trHeight w:val="480"/>
        </w:trPr>
        <w:tc>
          <w:tcPr>
            <w:tcW w:w="2268" w:type="dxa"/>
            <w:tcBorders>
              <w:top w:val="nil"/>
              <w:left w:val="nil"/>
              <w:bottom w:val="nil"/>
              <w:right w:val="nil"/>
            </w:tcBorders>
            <w:shd w:val="clear" w:color="auto" w:fill="D9D9D9" w:themeFill="background1" w:themeFillShade="D9"/>
            <w:tcMar>
              <w:left w:w="28" w:type="dxa"/>
              <w:right w:w="28" w:type="dxa"/>
            </w:tcMar>
            <w:vAlign w:val="center"/>
          </w:tcPr>
          <w:p w14:paraId="7B6FC4BD" w14:textId="77777777"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redDeer_shot_hd_smooth</w:t>
            </w:r>
          </w:p>
        </w:tc>
        <w:tc>
          <w:tcPr>
            <w:tcW w:w="4395" w:type="dxa"/>
            <w:tcBorders>
              <w:top w:val="nil"/>
              <w:left w:val="nil"/>
              <w:bottom w:val="nil"/>
              <w:right w:val="nil"/>
            </w:tcBorders>
            <w:shd w:val="clear" w:color="auto" w:fill="D9D9D9" w:themeFill="background1" w:themeFillShade="D9"/>
            <w:tcMar>
              <w:left w:w="28" w:type="dxa"/>
              <w:right w:w="28" w:type="dxa"/>
            </w:tcMar>
            <w:vAlign w:val="center"/>
          </w:tcPr>
          <w:p w14:paraId="09DB8990"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Spatially smoothed indicator of the number of shot red deer (deer/km²)</w:t>
            </w:r>
          </w:p>
        </w:tc>
        <w:tc>
          <w:tcPr>
            <w:tcW w:w="919" w:type="dxa"/>
            <w:tcBorders>
              <w:top w:val="nil"/>
              <w:left w:val="nil"/>
              <w:bottom w:val="nil"/>
              <w:right w:val="nil"/>
            </w:tcBorders>
            <w:shd w:val="clear" w:color="auto" w:fill="D9D9D9" w:themeFill="background1" w:themeFillShade="D9"/>
            <w:tcMar>
              <w:left w:w="28" w:type="dxa"/>
              <w:right w:w="28" w:type="dxa"/>
            </w:tcMar>
            <w:vAlign w:val="center"/>
          </w:tcPr>
          <w:p w14:paraId="46391960"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0.24</w:t>
            </w:r>
          </w:p>
        </w:tc>
        <w:tc>
          <w:tcPr>
            <w:tcW w:w="718" w:type="dxa"/>
            <w:tcBorders>
              <w:top w:val="nil"/>
              <w:left w:val="nil"/>
              <w:bottom w:val="nil"/>
              <w:right w:val="nil"/>
            </w:tcBorders>
            <w:shd w:val="clear" w:color="auto" w:fill="D9D9D9" w:themeFill="background1" w:themeFillShade="D9"/>
            <w:tcMar>
              <w:left w:w="28" w:type="dxa"/>
              <w:right w:w="28" w:type="dxa"/>
            </w:tcMar>
            <w:vAlign w:val="center"/>
          </w:tcPr>
          <w:p w14:paraId="178F5D55"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0.15</w:t>
            </w:r>
          </w:p>
        </w:tc>
        <w:tc>
          <w:tcPr>
            <w:tcW w:w="627" w:type="dxa"/>
            <w:tcBorders>
              <w:top w:val="nil"/>
              <w:left w:val="nil"/>
              <w:bottom w:val="nil"/>
              <w:right w:val="nil"/>
            </w:tcBorders>
            <w:shd w:val="clear" w:color="auto" w:fill="D9D9D9" w:themeFill="background1" w:themeFillShade="D9"/>
            <w:tcMar>
              <w:left w:w="28" w:type="dxa"/>
              <w:right w:w="28" w:type="dxa"/>
            </w:tcMar>
            <w:vAlign w:val="center"/>
          </w:tcPr>
          <w:p w14:paraId="71FC371B"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0</w:t>
            </w:r>
          </w:p>
        </w:tc>
        <w:tc>
          <w:tcPr>
            <w:tcW w:w="809" w:type="dxa"/>
            <w:tcBorders>
              <w:top w:val="nil"/>
              <w:left w:val="nil"/>
              <w:bottom w:val="nil"/>
              <w:right w:val="nil"/>
            </w:tcBorders>
            <w:shd w:val="clear" w:color="auto" w:fill="D9D9D9" w:themeFill="background1" w:themeFillShade="D9"/>
            <w:tcMar>
              <w:left w:w="28" w:type="dxa"/>
              <w:right w:w="28" w:type="dxa"/>
            </w:tcMar>
            <w:vAlign w:val="center"/>
          </w:tcPr>
          <w:p w14:paraId="73DAED9B"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1.01</w:t>
            </w:r>
          </w:p>
        </w:tc>
      </w:tr>
      <w:tr w:rsidR="00DE4897" w:rsidRPr="008F6866" w14:paraId="1DD02801" w14:textId="77777777" w:rsidTr="00A3040E">
        <w:trPr>
          <w:trHeight w:val="240"/>
        </w:trPr>
        <w:tc>
          <w:tcPr>
            <w:tcW w:w="2268" w:type="dxa"/>
            <w:tcBorders>
              <w:top w:val="nil"/>
              <w:left w:val="nil"/>
              <w:right w:val="nil"/>
            </w:tcBorders>
            <w:shd w:val="clear" w:color="auto" w:fill="auto"/>
            <w:tcMar>
              <w:left w:w="28" w:type="dxa"/>
              <w:right w:w="28" w:type="dxa"/>
            </w:tcMar>
            <w:vAlign w:val="center"/>
          </w:tcPr>
          <w:p w14:paraId="43F90C5F" w14:textId="77777777"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roads_dist</w:t>
            </w:r>
          </w:p>
        </w:tc>
        <w:tc>
          <w:tcPr>
            <w:tcW w:w="4395" w:type="dxa"/>
            <w:tcBorders>
              <w:top w:val="nil"/>
              <w:left w:val="nil"/>
              <w:right w:val="nil"/>
            </w:tcBorders>
            <w:shd w:val="clear" w:color="auto" w:fill="auto"/>
            <w:tcMar>
              <w:left w:w="28" w:type="dxa"/>
              <w:right w:w="28" w:type="dxa"/>
            </w:tcMar>
            <w:vAlign w:val="center"/>
          </w:tcPr>
          <w:p w14:paraId="445C61CB"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Distance from the nearest road (m)</w:t>
            </w:r>
          </w:p>
        </w:tc>
        <w:tc>
          <w:tcPr>
            <w:tcW w:w="919" w:type="dxa"/>
            <w:tcBorders>
              <w:top w:val="nil"/>
              <w:left w:val="nil"/>
              <w:right w:val="nil"/>
            </w:tcBorders>
            <w:shd w:val="clear" w:color="auto" w:fill="auto"/>
            <w:tcMar>
              <w:left w:w="28" w:type="dxa"/>
              <w:right w:w="28" w:type="dxa"/>
            </w:tcMar>
            <w:vAlign w:val="center"/>
          </w:tcPr>
          <w:p w14:paraId="272074F3"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659.18</w:t>
            </w:r>
          </w:p>
        </w:tc>
        <w:tc>
          <w:tcPr>
            <w:tcW w:w="718" w:type="dxa"/>
            <w:tcBorders>
              <w:top w:val="nil"/>
              <w:left w:val="nil"/>
              <w:right w:val="nil"/>
            </w:tcBorders>
            <w:shd w:val="clear" w:color="auto" w:fill="auto"/>
            <w:tcMar>
              <w:left w:w="28" w:type="dxa"/>
              <w:right w:w="28" w:type="dxa"/>
            </w:tcMar>
            <w:vAlign w:val="center"/>
          </w:tcPr>
          <w:p w14:paraId="23335DB4"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535.8</w:t>
            </w:r>
          </w:p>
        </w:tc>
        <w:tc>
          <w:tcPr>
            <w:tcW w:w="627" w:type="dxa"/>
            <w:tcBorders>
              <w:top w:val="nil"/>
              <w:left w:val="nil"/>
              <w:right w:val="nil"/>
            </w:tcBorders>
            <w:shd w:val="clear" w:color="auto" w:fill="auto"/>
            <w:tcMar>
              <w:left w:w="28" w:type="dxa"/>
              <w:right w:w="28" w:type="dxa"/>
            </w:tcMar>
            <w:vAlign w:val="center"/>
          </w:tcPr>
          <w:p w14:paraId="049E8A8D"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3.43</w:t>
            </w:r>
          </w:p>
        </w:tc>
        <w:tc>
          <w:tcPr>
            <w:tcW w:w="809" w:type="dxa"/>
            <w:tcBorders>
              <w:top w:val="nil"/>
              <w:left w:val="nil"/>
              <w:right w:val="nil"/>
            </w:tcBorders>
            <w:shd w:val="clear" w:color="auto" w:fill="auto"/>
            <w:tcMar>
              <w:left w:w="28" w:type="dxa"/>
              <w:right w:w="28" w:type="dxa"/>
            </w:tcMar>
            <w:vAlign w:val="center"/>
          </w:tcPr>
          <w:p w14:paraId="5135F3A0" w14:textId="7B4F1356"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3</w:t>
            </w:r>
            <w:r w:rsidR="00A3040E" w:rsidRPr="008F6866">
              <w:rPr>
                <w:rFonts w:eastAsia="Times New Roman" w:cstheme="minorHAnsi"/>
                <w:color w:val="000000"/>
                <w:sz w:val="20"/>
                <w:szCs w:val="20"/>
              </w:rPr>
              <w:t xml:space="preserve"> </w:t>
            </w:r>
            <w:r w:rsidRPr="008F6866">
              <w:rPr>
                <w:rFonts w:eastAsia="Times New Roman" w:cstheme="minorHAnsi"/>
                <w:color w:val="000000"/>
                <w:sz w:val="20"/>
                <w:szCs w:val="20"/>
              </w:rPr>
              <w:t>560.07</w:t>
            </w:r>
          </w:p>
        </w:tc>
      </w:tr>
      <w:tr w:rsidR="00DE4897" w:rsidRPr="008F6866" w14:paraId="137C254A" w14:textId="77777777" w:rsidTr="00A3040E">
        <w:trPr>
          <w:trHeight w:val="240"/>
        </w:trPr>
        <w:tc>
          <w:tcPr>
            <w:tcW w:w="2268" w:type="dxa"/>
            <w:tcBorders>
              <w:top w:val="nil"/>
              <w:left w:val="nil"/>
              <w:bottom w:val="nil"/>
              <w:right w:val="nil"/>
            </w:tcBorders>
            <w:shd w:val="clear" w:color="auto" w:fill="D9D9D9" w:themeFill="background1" w:themeFillShade="D9"/>
            <w:tcMar>
              <w:left w:w="28" w:type="dxa"/>
              <w:right w:w="28" w:type="dxa"/>
            </w:tcMar>
            <w:vAlign w:val="center"/>
          </w:tcPr>
          <w:p w14:paraId="559B70E6" w14:textId="77777777"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roeDeer_shot_hd</w:t>
            </w:r>
          </w:p>
        </w:tc>
        <w:tc>
          <w:tcPr>
            <w:tcW w:w="4395" w:type="dxa"/>
            <w:tcBorders>
              <w:top w:val="nil"/>
              <w:left w:val="nil"/>
              <w:bottom w:val="nil"/>
              <w:right w:val="nil"/>
            </w:tcBorders>
            <w:shd w:val="clear" w:color="auto" w:fill="D9D9D9" w:themeFill="background1" w:themeFillShade="D9"/>
            <w:tcMar>
              <w:left w:w="28" w:type="dxa"/>
              <w:right w:w="28" w:type="dxa"/>
            </w:tcMar>
            <w:vAlign w:val="center"/>
          </w:tcPr>
          <w:p w14:paraId="47470CC8"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Number of shot wild boars in hunting districts (boar/km²)</w:t>
            </w:r>
          </w:p>
        </w:tc>
        <w:tc>
          <w:tcPr>
            <w:tcW w:w="919" w:type="dxa"/>
            <w:tcBorders>
              <w:top w:val="nil"/>
              <w:left w:val="nil"/>
              <w:bottom w:val="nil"/>
              <w:right w:val="nil"/>
            </w:tcBorders>
            <w:shd w:val="clear" w:color="auto" w:fill="D9D9D9" w:themeFill="background1" w:themeFillShade="D9"/>
            <w:tcMar>
              <w:left w:w="28" w:type="dxa"/>
              <w:right w:w="28" w:type="dxa"/>
            </w:tcMar>
            <w:vAlign w:val="center"/>
          </w:tcPr>
          <w:p w14:paraId="0BC23DB6"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2.67</w:t>
            </w:r>
          </w:p>
        </w:tc>
        <w:tc>
          <w:tcPr>
            <w:tcW w:w="718" w:type="dxa"/>
            <w:tcBorders>
              <w:top w:val="nil"/>
              <w:left w:val="nil"/>
              <w:bottom w:val="nil"/>
              <w:right w:val="nil"/>
            </w:tcBorders>
            <w:shd w:val="clear" w:color="auto" w:fill="D9D9D9" w:themeFill="background1" w:themeFillShade="D9"/>
            <w:tcMar>
              <w:left w:w="28" w:type="dxa"/>
              <w:right w:w="28" w:type="dxa"/>
            </w:tcMar>
            <w:vAlign w:val="center"/>
          </w:tcPr>
          <w:p w14:paraId="35C6158E"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1.55</w:t>
            </w:r>
          </w:p>
        </w:tc>
        <w:tc>
          <w:tcPr>
            <w:tcW w:w="627" w:type="dxa"/>
            <w:tcBorders>
              <w:top w:val="nil"/>
              <w:left w:val="nil"/>
              <w:bottom w:val="nil"/>
              <w:right w:val="nil"/>
            </w:tcBorders>
            <w:shd w:val="clear" w:color="auto" w:fill="D9D9D9" w:themeFill="background1" w:themeFillShade="D9"/>
            <w:tcMar>
              <w:left w:w="28" w:type="dxa"/>
              <w:right w:w="28" w:type="dxa"/>
            </w:tcMar>
            <w:vAlign w:val="center"/>
          </w:tcPr>
          <w:p w14:paraId="0B35C966"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0.62</w:t>
            </w:r>
          </w:p>
        </w:tc>
        <w:tc>
          <w:tcPr>
            <w:tcW w:w="809" w:type="dxa"/>
            <w:tcBorders>
              <w:top w:val="nil"/>
              <w:left w:val="nil"/>
              <w:bottom w:val="nil"/>
              <w:right w:val="nil"/>
            </w:tcBorders>
            <w:shd w:val="clear" w:color="auto" w:fill="D9D9D9" w:themeFill="background1" w:themeFillShade="D9"/>
            <w:tcMar>
              <w:left w:w="28" w:type="dxa"/>
              <w:right w:w="28" w:type="dxa"/>
            </w:tcMar>
            <w:vAlign w:val="center"/>
          </w:tcPr>
          <w:p w14:paraId="297BF53E"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6.78</w:t>
            </w:r>
          </w:p>
        </w:tc>
      </w:tr>
      <w:tr w:rsidR="00DE4897" w:rsidRPr="008F6866" w14:paraId="0B17441D" w14:textId="77777777" w:rsidTr="00A3040E">
        <w:trPr>
          <w:trHeight w:val="240"/>
        </w:trPr>
        <w:tc>
          <w:tcPr>
            <w:tcW w:w="2268" w:type="dxa"/>
            <w:tcBorders>
              <w:top w:val="nil"/>
              <w:left w:val="nil"/>
              <w:right w:val="nil"/>
            </w:tcBorders>
            <w:shd w:val="clear" w:color="auto" w:fill="auto"/>
            <w:tcMar>
              <w:left w:w="28" w:type="dxa"/>
              <w:right w:w="28" w:type="dxa"/>
            </w:tcMar>
            <w:vAlign w:val="center"/>
          </w:tcPr>
          <w:p w14:paraId="1CAF5297"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slope</w:t>
            </w:r>
          </w:p>
        </w:tc>
        <w:tc>
          <w:tcPr>
            <w:tcW w:w="4395" w:type="dxa"/>
            <w:tcBorders>
              <w:top w:val="nil"/>
              <w:left w:val="nil"/>
              <w:right w:val="nil"/>
            </w:tcBorders>
            <w:shd w:val="clear" w:color="auto" w:fill="auto"/>
            <w:tcMar>
              <w:left w:w="28" w:type="dxa"/>
              <w:right w:w="28" w:type="dxa"/>
            </w:tcMar>
            <w:vAlign w:val="center"/>
          </w:tcPr>
          <w:p w14:paraId="0D002202"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Slope (%)</w:t>
            </w:r>
          </w:p>
        </w:tc>
        <w:tc>
          <w:tcPr>
            <w:tcW w:w="919" w:type="dxa"/>
            <w:tcBorders>
              <w:top w:val="nil"/>
              <w:left w:val="nil"/>
              <w:right w:val="nil"/>
            </w:tcBorders>
            <w:shd w:val="clear" w:color="auto" w:fill="auto"/>
            <w:tcMar>
              <w:left w:w="28" w:type="dxa"/>
              <w:right w:w="28" w:type="dxa"/>
            </w:tcMar>
            <w:vAlign w:val="center"/>
          </w:tcPr>
          <w:p w14:paraId="59254E36"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9.53</w:t>
            </w:r>
          </w:p>
        </w:tc>
        <w:tc>
          <w:tcPr>
            <w:tcW w:w="718" w:type="dxa"/>
            <w:tcBorders>
              <w:top w:val="nil"/>
              <w:left w:val="nil"/>
              <w:right w:val="nil"/>
            </w:tcBorders>
            <w:shd w:val="clear" w:color="auto" w:fill="auto"/>
            <w:tcMar>
              <w:left w:w="28" w:type="dxa"/>
              <w:right w:w="28" w:type="dxa"/>
            </w:tcMar>
            <w:vAlign w:val="center"/>
          </w:tcPr>
          <w:p w14:paraId="07366342"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6.62</w:t>
            </w:r>
          </w:p>
        </w:tc>
        <w:tc>
          <w:tcPr>
            <w:tcW w:w="627" w:type="dxa"/>
            <w:tcBorders>
              <w:top w:val="nil"/>
              <w:left w:val="nil"/>
              <w:right w:val="nil"/>
            </w:tcBorders>
            <w:shd w:val="clear" w:color="auto" w:fill="auto"/>
            <w:tcMar>
              <w:left w:w="28" w:type="dxa"/>
              <w:right w:w="28" w:type="dxa"/>
            </w:tcMar>
            <w:vAlign w:val="center"/>
          </w:tcPr>
          <w:p w14:paraId="4C8A9532"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0.19</w:t>
            </w:r>
          </w:p>
        </w:tc>
        <w:tc>
          <w:tcPr>
            <w:tcW w:w="809" w:type="dxa"/>
            <w:tcBorders>
              <w:top w:val="nil"/>
              <w:left w:val="nil"/>
              <w:right w:val="nil"/>
            </w:tcBorders>
            <w:shd w:val="clear" w:color="auto" w:fill="auto"/>
            <w:tcMar>
              <w:left w:w="28" w:type="dxa"/>
              <w:right w:w="28" w:type="dxa"/>
            </w:tcMar>
            <w:vAlign w:val="center"/>
          </w:tcPr>
          <w:p w14:paraId="7B8A7E2B"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49.05</w:t>
            </w:r>
          </w:p>
        </w:tc>
      </w:tr>
      <w:tr w:rsidR="00DE4897" w:rsidRPr="008F6866" w14:paraId="32B44621" w14:textId="77777777" w:rsidTr="00A3040E">
        <w:trPr>
          <w:trHeight w:val="255"/>
        </w:trPr>
        <w:tc>
          <w:tcPr>
            <w:tcW w:w="2268" w:type="dxa"/>
            <w:tcBorders>
              <w:top w:val="nil"/>
              <w:left w:val="nil"/>
              <w:bottom w:val="single" w:sz="12" w:space="0" w:color="000000" w:themeColor="text1"/>
              <w:right w:val="nil"/>
            </w:tcBorders>
            <w:shd w:val="clear" w:color="auto" w:fill="D9D9D9" w:themeFill="background1" w:themeFillShade="D9"/>
            <w:tcMar>
              <w:left w:w="28" w:type="dxa"/>
              <w:right w:w="28" w:type="dxa"/>
            </w:tcMar>
            <w:vAlign w:val="center"/>
          </w:tcPr>
          <w:p w14:paraId="169CD631" w14:textId="77777777" w:rsidR="00DE4897" w:rsidRPr="008F6866" w:rsidRDefault="39CFF0FF" w:rsidP="39CFF0FF">
            <w:pPr>
              <w:pBdr>
                <w:top w:val="nil"/>
                <w:left w:val="nil"/>
                <w:bottom w:val="nil"/>
                <w:right w:val="nil"/>
                <w:between w:val="nil"/>
              </w:pBdr>
              <w:spacing w:after="120" w:line="240" w:lineRule="auto"/>
              <w:rPr>
                <w:rFonts w:eastAsia="Times New Roman" w:cstheme="minorHAnsi"/>
                <w:iCs/>
                <w:color w:val="000000"/>
                <w:sz w:val="20"/>
                <w:szCs w:val="20"/>
              </w:rPr>
            </w:pPr>
            <w:r w:rsidRPr="008F6866">
              <w:rPr>
                <w:rFonts w:eastAsia="Times New Roman" w:cstheme="minorHAnsi"/>
                <w:iCs/>
                <w:color w:val="000000" w:themeColor="text1"/>
                <w:sz w:val="20"/>
                <w:szCs w:val="20"/>
              </w:rPr>
              <w:t>wildBoar_shot_hd</w:t>
            </w:r>
          </w:p>
        </w:tc>
        <w:tc>
          <w:tcPr>
            <w:tcW w:w="4395" w:type="dxa"/>
            <w:tcBorders>
              <w:top w:val="nil"/>
              <w:left w:val="nil"/>
              <w:bottom w:val="single" w:sz="12" w:space="0" w:color="000000" w:themeColor="text1"/>
              <w:right w:val="nil"/>
            </w:tcBorders>
            <w:shd w:val="clear" w:color="auto" w:fill="D9D9D9" w:themeFill="background1" w:themeFillShade="D9"/>
            <w:tcMar>
              <w:left w:w="28" w:type="dxa"/>
              <w:right w:w="28" w:type="dxa"/>
            </w:tcMar>
            <w:vAlign w:val="center"/>
          </w:tcPr>
          <w:p w14:paraId="19D1DE7C" w14:textId="77777777" w:rsidR="00DE4897" w:rsidRPr="008F6866" w:rsidRDefault="00DE4897" w:rsidP="008D668B">
            <w:pPr>
              <w:pBdr>
                <w:top w:val="nil"/>
                <w:left w:val="nil"/>
                <w:bottom w:val="nil"/>
                <w:right w:val="nil"/>
                <w:between w:val="nil"/>
              </w:pBdr>
              <w:spacing w:after="120" w:line="240" w:lineRule="auto"/>
              <w:rPr>
                <w:rFonts w:eastAsia="Times New Roman" w:cstheme="minorHAnsi"/>
                <w:color w:val="000000"/>
                <w:sz w:val="20"/>
                <w:szCs w:val="20"/>
              </w:rPr>
            </w:pPr>
            <w:r w:rsidRPr="008F6866">
              <w:rPr>
                <w:rFonts w:eastAsia="Times New Roman" w:cstheme="minorHAnsi"/>
                <w:color w:val="000000"/>
                <w:sz w:val="20"/>
                <w:szCs w:val="20"/>
              </w:rPr>
              <w:t>Number of shot roe deer in hunting districts (deer/km²)</w:t>
            </w:r>
          </w:p>
        </w:tc>
        <w:tc>
          <w:tcPr>
            <w:tcW w:w="919" w:type="dxa"/>
            <w:tcBorders>
              <w:top w:val="nil"/>
              <w:left w:val="nil"/>
              <w:bottom w:val="single" w:sz="12" w:space="0" w:color="000000" w:themeColor="text1"/>
              <w:right w:val="nil"/>
            </w:tcBorders>
            <w:shd w:val="clear" w:color="auto" w:fill="D9D9D9" w:themeFill="background1" w:themeFillShade="D9"/>
            <w:tcMar>
              <w:left w:w="28" w:type="dxa"/>
              <w:right w:w="28" w:type="dxa"/>
            </w:tcMar>
            <w:vAlign w:val="center"/>
          </w:tcPr>
          <w:p w14:paraId="2350F5DE"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4.72</w:t>
            </w:r>
          </w:p>
        </w:tc>
        <w:tc>
          <w:tcPr>
            <w:tcW w:w="718" w:type="dxa"/>
            <w:tcBorders>
              <w:top w:val="nil"/>
              <w:left w:val="nil"/>
              <w:bottom w:val="single" w:sz="12" w:space="0" w:color="000000" w:themeColor="text1"/>
              <w:right w:val="nil"/>
            </w:tcBorders>
            <w:shd w:val="clear" w:color="auto" w:fill="D9D9D9" w:themeFill="background1" w:themeFillShade="D9"/>
            <w:tcMar>
              <w:left w:w="28" w:type="dxa"/>
              <w:right w:w="28" w:type="dxa"/>
            </w:tcMar>
            <w:vAlign w:val="center"/>
          </w:tcPr>
          <w:p w14:paraId="73F50FAD"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3.7</w:t>
            </w:r>
          </w:p>
        </w:tc>
        <w:tc>
          <w:tcPr>
            <w:tcW w:w="627" w:type="dxa"/>
            <w:tcBorders>
              <w:top w:val="nil"/>
              <w:left w:val="nil"/>
              <w:bottom w:val="single" w:sz="12" w:space="0" w:color="000000" w:themeColor="text1"/>
              <w:right w:val="nil"/>
            </w:tcBorders>
            <w:shd w:val="clear" w:color="auto" w:fill="D9D9D9" w:themeFill="background1" w:themeFillShade="D9"/>
            <w:tcMar>
              <w:left w:w="28" w:type="dxa"/>
              <w:right w:w="28" w:type="dxa"/>
            </w:tcMar>
            <w:vAlign w:val="center"/>
          </w:tcPr>
          <w:p w14:paraId="1B674B5F"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0.73</w:t>
            </w:r>
          </w:p>
        </w:tc>
        <w:tc>
          <w:tcPr>
            <w:tcW w:w="809" w:type="dxa"/>
            <w:tcBorders>
              <w:top w:val="nil"/>
              <w:left w:val="nil"/>
              <w:bottom w:val="single" w:sz="12" w:space="0" w:color="000000" w:themeColor="text1"/>
              <w:right w:val="nil"/>
            </w:tcBorders>
            <w:shd w:val="clear" w:color="auto" w:fill="D9D9D9" w:themeFill="background1" w:themeFillShade="D9"/>
            <w:tcMar>
              <w:left w:w="28" w:type="dxa"/>
              <w:right w:w="28" w:type="dxa"/>
            </w:tcMar>
            <w:vAlign w:val="center"/>
          </w:tcPr>
          <w:p w14:paraId="64C34829" w14:textId="77777777" w:rsidR="00DE4897" w:rsidRPr="008F6866" w:rsidRDefault="00DE4897" w:rsidP="008D668B">
            <w:pPr>
              <w:pBdr>
                <w:top w:val="nil"/>
                <w:left w:val="nil"/>
                <w:bottom w:val="nil"/>
                <w:right w:val="nil"/>
                <w:between w:val="nil"/>
              </w:pBdr>
              <w:spacing w:after="120" w:line="240" w:lineRule="auto"/>
              <w:jc w:val="right"/>
              <w:rPr>
                <w:rFonts w:eastAsia="Times New Roman" w:cstheme="minorHAnsi"/>
                <w:color w:val="000000"/>
                <w:sz w:val="20"/>
                <w:szCs w:val="20"/>
              </w:rPr>
            </w:pPr>
            <w:r w:rsidRPr="008F6866">
              <w:rPr>
                <w:rFonts w:eastAsia="Times New Roman" w:cstheme="minorHAnsi"/>
                <w:color w:val="000000"/>
                <w:sz w:val="20"/>
                <w:szCs w:val="20"/>
              </w:rPr>
              <w:t>18.09</w:t>
            </w:r>
          </w:p>
        </w:tc>
      </w:tr>
    </w:tbl>
    <w:p w14:paraId="3FA89CA7" w14:textId="77777777" w:rsidR="003C423B" w:rsidRPr="008F6866" w:rsidRDefault="003C423B" w:rsidP="003C423B">
      <w:pPr>
        <w:spacing w:after="0" w:line="300" w:lineRule="auto"/>
        <w:jc w:val="both"/>
        <w:rPr>
          <w:rFonts w:ascii="Calibri" w:eastAsia="Calibri" w:hAnsi="Calibri" w:cs="Calibri"/>
        </w:rPr>
      </w:pPr>
    </w:p>
    <w:p w14:paraId="35FC0F56" w14:textId="77777777" w:rsidR="00DE4897" w:rsidRPr="008F6866" w:rsidRDefault="00DE4897" w:rsidP="00DE4897">
      <w:pPr>
        <w:spacing w:after="60"/>
        <w:jc w:val="both"/>
        <w:rPr>
          <w:rFonts w:ascii="Calibri" w:eastAsia="Calibri" w:hAnsi="Calibri" w:cs="Calibri"/>
          <w:i/>
        </w:rPr>
      </w:pPr>
      <w:r w:rsidRPr="008F6866">
        <w:rPr>
          <w:rFonts w:ascii="Calibri" w:eastAsia="Calibri" w:hAnsi="Calibri" w:cs="Calibri"/>
          <w:i/>
        </w:rPr>
        <w:t>Biomass estimates</w:t>
      </w:r>
    </w:p>
    <w:p w14:paraId="5986F21F" w14:textId="77777777" w:rsidR="00E74F15" w:rsidRPr="008F6866" w:rsidRDefault="00DE4897" w:rsidP="00E74F15">
      <w:pPr>
        <w:spacing w:after="120" w:line="300" w:lineRule="auto"/>
        <w:jc w:val="both"/>
        <w:rPr>
          <w:rFonts w:ascii="Calibri" w:eastAsia="Calibri" w:hAnsi="Calibri" w:cs="Calibri"/>
        </w:rPr>
      </w:pPr>
      <w:r w:rsidRPr="008F6866">
        <w:rPr>
          <w:rFonts w:ascii="Calibri" w:eastAsia="Calibri" w:hAnsi="Calibri" w:cs="Calibri"/>
        </w:rPr>
        <w:t>Allometric relationships were fitted to predict the biomass of seedlings and ground vegetation. The biomass of seedlings was predicted in response to seedling maximum height (</w:t>
      </w:r>
      <m:oMath>
        <m:sSub>
          <m:sSubPr>
            <m:ctrlPr>
              <w:rPr>
                <w:rFonts w:ascii="Cambria Math" w:eastAsia="Calibri" w:hAnsi="Cambria Math" w:cs="Calibri"/>
                <w:i/>
              </w:rPr>
            </m:ctrlPr>
          </m:sSubPr>
          <m:e>
            <m:r>
              <w:rPr>
                <w:rFonts w:ascii="Cambria Math" w:eastAsia="Calibri" w:hAnsi="Cambria Math" w:cs="Calibri"/>
              </w:rPr>
              <m:t>H</m:t>
            </m:r>
          </m:e>
          <m:sub>
            <m:r>
              <w:rPr>
                <w:rFonts w:ascii="Cambria Math" w:eastAsia="Calibri" w:hAnsi="Cambria Math" w:cs="Calibri"/>
              </w:rPr>
              <m:t>max,sp</m:t>
            </m:r>
          </m:sub>
        </m:sSub>
      </m:oMath>
      <w:r w:rsidRPr="008F6866">
        <w:rPr>
          <w:rFonts w:ascii="Calibri" w:eastAsia="Calibri" w:hAnsi="Calibri" w:cs="Calibri"/>
        </w:rPr>
        <w:t>) and seedling density (</w:t>
      </w:r>
      <w:r w:rsidRPr="008F6866">
        <w:rPr>
          <w:rFonts w:ascii="Calibri" w:eastAsia="Calibri" w:hAnsi="Calibri" w:cs="Calibri"/>
          <w:i/>
          <w:iCs/>
        </w:rPr>
        <w:t>n</w:t>
      </w:r>
      <w:r w:rsidRPr="008F6866">
        <w:rPr>
          <w:rFonts w:ascii="Calibri" w:eastAsia="Calibri" w:hAnsi="Calibri" w:cs="Calibri"/>
          <w:i/>
          <w:iCs/>
          <w:vertAlign w:val="subscript"/>
        </w:rPr>
        <w:t>sp</w:t>
      </w:r>
      <w:r w:rsidRPr="008F6866">
        <w:rPr>
          <w:rFonts w:ascii="Calibri" w:eastAsia="Calibri" w:hAnsi="Calibri" w:cs="Calibri"/>
        </w:rPr>
        <w:t xml:space="preserve">) (Equation </w:t>
      </w:r>
      <w:r w:rsidR="003C423B" w:rsidRPr="008F6866">
        <w:rPr>
          <w:rFonts w:ascii="Calibri" w:eastAsia="Calibri" w:hAnsi="Calibri" w:cs="Calibri"/>
        </w:rPr>
        <w:t>4</w:t>
      </w:r>
      <w:r w:rsidRPr="008F6866">
        <w:rPr>
          <w:rFonts w:ascii="Calibri" w:eastAsia="Calibri" w:hAnsi="Calibri" w:cs="Calibri"/>
        </w:rPr>
        <w:t>.1).</w:t>
      </w:r>
    </w:p>
    <w:p w14:paraId="6FDA0E27" w14:textId="521E5EDD" w:rsidR="00DE4897" w:rsidRPr="008F6866" w:rsidRDefault="00000000" w:rsidP="00E74F15">
      <w:pPr>
        <w:spacing w:after="120" w:line="300" w:lineRule="auto"/>
        <w:ind w:firstLine="720"/>
        <w:jc w:val="both"/>
        <w:rPr>
          <w:rFonts w:ascii="Calibri" w:eastAsia="Calibri" w:hAnsi="Calibri" w:cs="Calibri"/>
        </w:rPr>
      </w:pPr>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sp</m:t>
            </m:r>
          </m:sub>
        </m:sSub>
        <m:r>
          <w:rPr>
            <w:rFonts w:ascii="Cambria Math" w:eastAsia="Cambria Math" w:hAnsi="Cambria Math" w:cs="Cambria Math"/>
          </w:rPr>
          <m:t xml:space="preserve">= a . </m:t>
        </m:r>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max,sp</m:t>
            </m:r>
          </m:sub>
          <m:sup>
            <m:r>
              <w:rPr>
                <w:rFonts w:ascii="Cambria Math" w:eastAsia="Cambria Math" w:hAnsi="Cambria Math" w:cs="Cambria Math"/>
              </w:rPr>
              <m:t>b</m:t>
            </m:r>
          </m:sup>
        </m:sSubSup>
        <m:r>
          <w:rPr>
            <w:rFonts w:ascii="Cambria Math" w:eastAsia="Cambria Math" w:hAnsi="Cambria Math" w:cs="Cambria Math"/>
          </w:rPr>
          <m:t xml:space="preserve">. </m:t>
        </m:r>
        <m:sSubSup>
          <m:sSubSupPr>
            <m:ctrlPr>
              <w:rPr>
                <w:rFonts w:ascii="Cambria Math" w:eastAsia="Cambria Math" w:hAnsi="Cambria Math" w:cs="Cambria Math"/>
              </w:rPr>
            </m:ctrlPr>
          </m:sSubSupPr>
          <m:e>
            <m:r>
              <w:rPr>
                <w:rFonts w:ascii="Cambria Math" w:eastAsia="Cambria Math" w:hAnsi="Cambria Math" w:cs="Cambria Math"/>
              </w:rPr>
              <m:t>n</m:t>
            </m:r>
          </m:e>
          <m:sub>
            <m:r>
              <w:rPr>
                <w:rFonts w:ascii="Cambria Math" w:eastAsia="Cambria Math" w:hAnsi="Cambria Math" w:cs="Cambria Math"/>
              </w:rPr>
              <m:t>sp</m:t>
            </m:r>
          </m:sub>
          <m:sup>
            <m:r>
              <w:rPr>
                <w:rFonts w:ascii="Cambria Math" w:eastAsia="Cambria Math" w:hAnsi="Cambria Math" w:cs="Cambria Math"/>
              </w:rPr>
              <m:t>c</m:t>
            </m:r>
          </m:sup>
        </m:sSubSup>
      </m:oMath>
      <w:r w:rsidR="00DE4897" w:rsidRPr="008F6866">
        <w:rPr>
          <w:rFonts w:ascii="Calibri" w:eastAsia="Calibri" w:hAnsi="Calibri" w:cs="Calibri"/>
        </w:rPr>
        <w:t xml:space="preserve">                                    </w:t>
      </w:r>
      <w:r w:rsidR="00DE4897" w:rsidRPr="008F6866">
        <w:rPr>
          <w:rFonts w:ascii="Calibri" w:eastAsia="Calibri" w:hAnsi="Calibri" w:cs="Calibri"/>
        </w:rPr>
        <w:tab/>
      </w:r>
      <w:r w:rsidR="00DE4897" w:rsidRPr="008F6866">
        <w:rPr>
          <w:rFonts w:ascii="Calibri" w:eastAsia="Calibri" w:hAnsi="Calibri" w:cs="Calibri"/>
        </w:rPr>
        <w:tab/>
      </w:r>
      <w:r w:rsidR="00DE4897" w:rsidRPr="008F6866">
        <w:rPr>
          <w:rFonts w:ascii="Calibri" w:eastAsia="Calibri" w:hAnsi="Calibri" w:cs="Calibri"/>
        </w:rPr>
        <w:tab/>
      </w:r>
      <w:r w:rsidR="00DE4897" w:rsidRPr="008F6866">
        <w:rPr>
          <w:rFonts w:ascii="Calibri" w:eastAsia="Calibri" w:hAnsi="Calibri" w:cs="Calibri"/>
        </w:rPr>
        <w:tab/>
      </w:r>
      <w:r w:rsidR="00E74F15" w:rsidRPr="008F6866">
        <w:rPr>
          <w:rFonts w:ascii="Calibri" w:eastAsia="Calibri" w:hAnsi="Calibri" w:cs="Calibri"/>
        </w:rPr>
        <w:tab/>
      </w:r>
      <w:r w:rsidR="00E74F15" w:rsidRPr="008F6866">
        <w:rPr>
          <w:rFonts w:ascii="Calibri" w:eastAsia="Calibri" w:hAnsi="Calibri" w:cs="Calibri"/>
        </w:rPr>
        <w:tab/>
      </w:r>
      <w:r w:rsidR="00DE4897" w:rsidRPr="008F6866">
        <w:rPr>
          <w:rFonts w:ascii="Calibri" w:eastAsia="Calibri" w:hAnsi="Calibri" w:cs="Calibri"/>
        </w:rPr>
        <w:t>(</w:t>
      </w:r>
      <w:r w:rsidR="003C423B" w:rsidRPr="008F6866">
        <w:rPr>
          <w:rFonts w:ascii="Calibri" w:eastAsia="Calibri" w:hAnsi="Calibri" w:cs="Calibri"/>
        </w:rPr>
        <w:t>4</w:t>
      </w:r>
      <w:r w:rsidR="00DE4897" w:rsidRPr="008F6866">
        <w:rPr>
          <w:rFonts w:ascii="Calibri" w:eastAsia="Calibri" w:hAnsi="Calibri" w:cs="Calibri"/>
        </w:rPr>
        <w:t>.1)</w:t>
      </w:r>
    </w:p>
    <w:p w14:paraId="7B6A69B0" w14:textId="0598DD29" w:rsidR="00E74F15" w:rsidRPr="008F6866" w:rsidRDefault="00DE4897" w:rsidP="00E74F15">
      <w:pPr>
        <w:spacing w:after="120" w:line="300" w:lineRule="auto"/>
        <w:jc w:val="both"/>
        <w:rPr>
          <w:rFonts w:ascii="Calibri" w:eastAsia="Calibri" w:hAnsi="Calibri" w:cs="Calibri"/>
        </w:rPr>
      </w:pPr>
      <w:r w:rsidRPr="008F6866">
        <w:rPr>
          <w:rFonts w:ascii="Calibri" w:eastAsia="Calibri" w:hAnsi="Calibri" w:cs="Calibri"/>
        </w:rPr>
        <w:lastRenderedPageBreak/>
        <w:t xml:space="preserve">where </w:t>
      </w:r>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sp</m:t>
            </m:r>
          </m:sub>
        </m:sSub>
      </m:oMath>
      <w:r w:rsidRPr="008F6866">
        <w:rPr>
          <w:rFonts w:ascii="Calibri" w:eastAsia="Calibri" w:hAnsi="Calibri" w:cs="Calibri"/>
        </w:rPr>
        <w:t xml:space="preserve"> (kg) was the biomass of species </w:t>
      </w:r>
      <w:r w:rsidRPr="008F6866">
        <w:rPr>
          <w:rFonts w:ascii="Calibri" w:eastAsia="Calibri" w:hAnsi="Calibri" w:cs="Calibri"/>
          <w:i/>
          <w:iCs/>
        </w:rPr>
        <w:t>sp</w:t>
      </w:r>
      <w:r w:rsidRPr="008F6866">
        <w:rPr>
          <w:rFonts w:ascii="Calibri" w:eastAsia="Calibri" w:hAnsi="Calibri" w:cs="Calibri"/>
        </w:rPr>
        <w:t xml:space="preserve"> and </w:t>
      </w:r>
      <w:r w:rsidRPr="008F6866">
        <w:rPr>
          <w:rFonts w:ascii="Calibri" w:eastAsia="Calibri" w:hAnsi="Calibri" w:cs="Calibri"/>
          <w:i/>
          <w:iCs/>
        </w:rPr>
        <w:t>a</w:t>
      </w:r>
      <w:r w:rsidRPr="008F6866">
        <w:rPr>
          <w:rFonts w:ascii="Calibri" w:eastAsia="Calibri" w:hAnsi="Calibri" w:cs="Calibri"/>
        </w:rPr>
        <w:t xml:space="preserve">, </w:t>
      </w:r>
      <w:r w:rsidRPr="008F6866">
        <w:rPr>
          <w:rFonts w:ascii="Calibri" w:eastAsia="Calibri" w:hAnsi="Calibri" w:cs="Calibri"/>
          <w:i/>
          <w:iCs/>
        </w:rPr>
        <w:t>b</w:t>
      </w:r>
      <w:r w:rsidRPr="008F6866">
        <w:rPr>
          <w:rFonts w:ascii="Calibri" w:eastAsia="Calibri" w:hAnsi="Calibri" w:cs="Calibri"/>
        </w:rPr>
        <w:t xml:space="preserve"> and </w:t>
      </w:r>
      <w:r w:rsidRPr="008F6866">
        <w:rPr>
          <w:rFonts w:ascii="Calibri" w:eastAsia="Calibri" w:hAnsi="Calibri" w:cs="Calibri"/>
          <w:i/>
          <w:iCs/>
        </w:rPr>
        <w:t>c</w:t>
      </w:r>
      <w:r w:rsidRPr="008F6866">
        <w:rPr>
          <w:rFonts w:ascii="Calibri" w:eastAsia="Calibri" w:hAnsi="Calibri" w:cs="Calibri"/>
        </w:rPr>
        <w:t xml:space="preserve"> were the fitted parameters. The biomass of bramble was estimated with the equations proposed by </w:t>
      </w:r>
      <w:r w:rsidRPr="008F6866">
        <w:rPr>
          <w:i/>
          <w:iCs/>
        </w:rPr>
        <w:fldChar w:fldCharType="begin"/>
      </w:r>
      <w:r w:rsidR="006201C6">
        <w:rPr>
          <w:i/>
          <w:iCs/>
        </w:rPr>
        <w:instrText xml:space="preserve"> ADDIN EN.CITE &lt;EndNote&gt;&lt;Cite AuthorYear="1"&gt;&lt;Author&gt;Balandier&lt;/Author&gt;&lt;Year&gt;2013&lt;/Year&gt;&lt;RecNum&gt;108&lt;/RecNum&gt;&lt;IDText&gt;Balandier13&lt;/IDText&gt;&lt;DisplayText&gt;Balandier&lt;style face="italic"&gt; et al.&lt;/style&gt; (2013)&lt;/DisplayText&gt;&lt;record&gt;&lt;rec-number&gt;108&lt;/rec-number&gt;&lt;foreign-keys&gt;&lt;key app="EN" db-id="0px2fzdxhrpdrre2w5f5pdryx90atadrdavt" timestamp="1657722602"&gt;108&lt;/key&gt;&lt;/foreign-keys&gt;&lt;ref-type name="Journal Article"&gt;17&lt;/ref-type&gt;&lt;contributors&gt;&lt;authors&gt;&lt;author&gt;Balandier, P.&lt;/author&gt;&lt;author&gt;Marquier, A.&lt;/author&gt;&lt;author&gt;Casella, E.&lt;/author&gt;&lt;author&gt;Kiewitt, A.&lt;/author&gt;&lt;author&gt;Coll, L.&lt;/author&gt;&lt;author&gt;Wehrlen, L.&lt;/author&gt;&lt;author&gt;Harmer, R.&lt;/author&gt;&lt;/authors&gt;&lt;/contributors&gt;&lt;titles&gt;&lt;title&gt;Architecture, cover and light interception by bramble (Rubus fruticosus): A common understorey weed in temperate forests&lt;/title&gt;&lt;secondary-title&gt;Forestry&lt;/secondary-title&gt;&lt;/titles&gt;&lt;periodical&gt;&lt;full-title&gt;Forestry&lt;/full-title&gt;&lt;/periodical&gt;&lt;pages&gt;39-46&lt;/pages&gt;&lt;volume&gt;86&lt;/volume&gt;&lt;number&gt;1&lt;/number&gt;&lt;dates&gt;&lt;year&gt;2013&lt;/year&gt;&lt;/dates&gt;&lt;label&gt;Balandier13&lt;/label&gt;&lt;urls&gt;&lt;related-urls&gt;&lt;url&gt;https://www.scopus.com/inward/record.uri?eid=2-s2.0-84872234943&amp;amp;doi=10.1093%2fforestry%2fcps066&amp;amp;partnerID=40&amp;amp;md5=c3c488384e5235e045997f7c2053ba8e&lt;/url&gt;&lt;/related-urls&gt;&lt;/urls&gt;&lt;electronic-resource-num&gt;10.1093/forestry/cps066&lt;/electronic-resource-num&gt;&lt;/record&gt;&lt;/Cite&gt;&lt;/EndNote&gt;</w:instrText>
      </w:r>
      <w:r w:rsidRPr="008F6866">
        <w:rPr>
          <w:i/>
          <w:iCs/>
        </w:rPr>
        <w:fldChar w:fldCharType="separate"/>
      </w:r>
      <w:r w:rsidR="006201C6">
        <w:rPr>
          <w:i/>
          <w:iCs/>
          <w:noProof/>
        </w:rPr>
        <w:t>Balandier et al. (2013)</w:t>
      </w:r>
      <w:r w:rsidRPr="008F6866">
        <w:rPr>
          <w:i/>
          <w:iCs/>
        </w:rPr>
        <w:fldChar w:fldCharType="end"/>
      </w:r>
      <w:r w:rsidRPr="008F6866">
        <w:rPr>
          <w:rFonts w:ascii="Calibri" w:eastAsia="Calibri" w:hAnsi="Calibri" w:cs="Calibri"/>
        </w:rPr>
        <w:t xml:space="preserve"> (Equation </w:t>
      </w:r>
      <w:r w:rsidR="003C423B" w:rsidRPr="008F6866">
        <w:rPr>
          <w:rFonts w:ascii="Calibri" w:eastAsia="Calibri" w:hAnsi="Calibri" w:cs="Calibri"/>
        </w:rPr>
        <w:t>4</w:t>
      </w:r>
      <w:r w:rsidRPr="008F6866">
        <w:rPr>
          <w:rFonts w:ascii="Calibri" w:eastAsia="Calibri" w:hAnsi="Calibri" w:cs="Calibri"/>
        </w:rPr>
        <w:t>.2).</w:t>
      </w:r>
    </w:p>
    <w:p w14:paraId="7BB9F943" w14:textId="35CD030E" w:rsidR="00DE4897" w:rsidRPr="008F6866" w:rsidRDefault="00000000" w:rsidP="00E74F15">
      <w:pPr>
        <w:spacing w:after="120" w:line="300" w:lineRule="auto"/>
        <w:ind w:firstLine="720"/>
        <w:jc w:val="both"/>
        <w:rPr>
          <w:rFonts w:ascii="Calibri" w:eastAsia="Calibri" w:hAnsi="Calibri" w:cs="Calibri"/>
        </w:rPr>
      </w:pPr>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bramble</m:t>
            </m:r>
          </m:sub>
        </m:sSub>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LAI</m:t>
            </m:r>
          </m:num>
          <m:den>
            <m:r>
              <w:rPr>
                <w:rFonts w:ascii="Cambria Math" w:eastAsia="Cambria Math" w:hAnsi="Cambria Math" w:cs="Cambria Math"/>
              </w:rPr>
              <m:t>SLA</m:t>
            </m:r>
          </m:den>
        </m:f>
      </m:oMath>
      <w:r w:rsidR="00DE4897" w:rsidRPr="008F6866">
        <w:rPr>
          <w:rFonts w:ascii="Calibri" w:eastAsia="Calibri" w:hAnsi="Calibri" w:cs="Calibri"/>
        </w:rPr>
        <w:t xml:space="preserve">                                                                     </w:t>
      </w:r>
      <w:r w:rsidR="00DE4897" w:rsidRPr="008F6866">
        <w:rPr>
          <w:rFonts w:ascii="Calibri" w:eastAsia="Calibri" w:hAnsi="Calibri" w:cs="Calibri"/>
        </w:rPr>
        <w:tab/>
      </w:r>
      <w:r w:rsidR="00DE4897" w:rsidRPr="008F6866">
        <w:rPr>
          <w:rFonts w:ascii="Calibri" w:eastAsia="Calibri" w:hAnsi="Calibri" w:cs="Calibri"/>
        </w:rPr>
        <w:tab/>
      </w:r>
      <w:r w:rsidR="00E74F15" w:rsidRPr="008F6866">
        <w:rPr>
          <w:rFonts w:ascii="Calibri" w:eastAsia="Calibri" w:hAnsi="Calibri" w:cs="Calibri"/>
        </w:rPr>
        <w:tab/>
      </w:r>
      <w:r w:rsidR="00E74F15" w:rsidRPr="008F6866">
        <w:rPr>
          <w:rFonts w:ascii="Calibri" w:eastAsia="Calibri" w:hAnsi="Calibri" w:cs="Calibri"/>
        </w:rPr>
        <w:tab/>
      </w:r>
      <w:r w:rsidR="00E74F15" w:rsidRPr="008F6866">
        <w:rPr>
          <w:rFonts w:ascii="Calibri" w:eastAsia="Calibri" w:hAnsi="Calibri" w:cs="Calibri"/>
        </w:rPr>
        <w:tab/>
      </w:r>
      <w:r w:rsidR="00DE4897" w:rsidRPr="008F6866">
        <w:rPr>
          <w:rFonts w:ascii="Calibri" w:eastAsia="Calibri" w:hAnsi="Calibri" w:cs="Calibri"/>
        </w:rPr>
        <w:t>(</w:t>
      </w:r>
      <w:r w:rsidR="003C423B" w:rsidRPr="008F6866">
        <w:rPr>
          <w:rFonts w:ascii="Calibri" w:eastAsia="Calibri" w:hAnsi="Calibri" w:cs="Calibri"/>
        </w:rPr>
        <w:t>4</w:t>
      </w:r>
      <w:r w:rsidR="00DE4897" w:rsidRPr="008F6866">
        <w:rPr>
          <w:rFonts w:ascii="Calibri" w:eastAsia="Calibri" w:hAnsi="Calibri" w:cs="Calibri"/>
        </w:rPr>
        <w:t>.2)</w:t>
      </w:r>
    </w:p>
    <w:p w14:paraId="289C6C4A" w14:textId="5817F51D" w:rsidR="00DE4897" w:rsidRPr="008F6866" w:rsidRDefault="00DE4897" w:rsidP="00E74F15">
      <w:pPr>
        <w:spacing w:after="120"/>
        <w:ind w:firstLine="720"/>
        <w:rPr>
          <w:rFonts w:ascii="Calibri" w:eastAsia="Calibri" w:hAnsi="Calibri" w:cs="Calibri"/>
        </w:rPr>
      </w:pPr>
      <m:oMath>
        <m:r>
          <w:rPr>
            <w:rFonts w:ascii="Cambria Math" w:eastAsia="Cambria Math" w:hAnsi="Cambria Math" w:cs="Cambria Math"/>
          </w:rPr>
          <m:t>LAI = (0.327 . log(cover))²</m:t>
        </m:r>
      </m:oMath>
      <w:r w:rsidRPr="008F6866">
        <w:rPr>
          <w:rFonts w:ascii="Calibri" w:eastAsia="Calibri" w:hAnsi="Calibri" w:cs="Calibri"/>
        </w:rPr>
        <w:t xml:space="preserve">                                                                        </w:t>
      </w:r>
      <w:r w:rsidR="00E74F15" w:rsidRPr="008F6866">
        <w:rPr>
          <w:rFonts w:ascii="Calibri" w:eastAsia="Calibri" w:hAnsi="Calibri" w:cs="Calibri"/>
        </w:rPr>
        <w:tab/>
      </w:r>
      <w:r w:rsidR="00E74F15" w:rsidRPr="008F6866">
        <w:rPr>
          <w:rFonts w:ascii="Calibri" w:eastAsia="Calibri" w:hAnsi="Calibri" w:cs="Calibri"/>
        </w:rPr>
        <w:tab/>
      </w:r>
      <w:r w:rsidR="00E74F15" w:rsidRPr="008F6866">
        <w:rPr>
          <w:rFonts w:ascii="Calibri" w:eastAsia="Calibri" w:hAnsi="Calibri" w:cs="Calibri"/>
        </w:rPr>
        <w:tab/>
      </w:r>
      <w:r w:rsidRPr="008F6866">
        <w:rPr>
          <w:rFonts w:ascii="Calibri" w:eastAsia="Calibri" w:hAnsi="Calibri" w:cs="Calibri"/>
        </w:rPr>
        <w:t>(</w:t>
      </w:r>
      <w:r w:rsidR="003C423B" w:rsidRPr="008F6866">
        <w:rPr>
          <w:rFonts w:ascii="Calibri" w:eastAsia="Calibri" w:hAnsi="Calibri" w:cs="Calibri"/>
        </w:rPr>
        <w:t>4</w:t>
      </w:r>
      <w:r w:rsidRPr="008F6866">
        <w:rPr>
          <w:rFonts w:ascii="Calibri" w:eastAsia="Calibri" w:hAnsi="Calibri" w:cs="Calibri"/>
        </w:rPr>
        <w:t>.3)</w:t>
      </w:r>
    </w:p>
    <w:p w14:paraId="13F30A8F" w14:textId="77777777" w:rsidR="00DE4897" w:rsidRPr="008F6866" w:rsidRDefault="00DE4897" w:rsidP="003C423B">
      <w:pPr>
        <w:spacing w:after="120" w:line="300" w:lineRule="auto"/>
        <w:jc w:val="both"/>
        <w:rPr>
          <w:rFonts w:ascii="Calibri" w:eastAsia="Calibri" w:hAnsi="Calibri" w:cs="Calibri"/>
        </w:rPr>
      </w:pPr>
      <w:r w:rsidRPr="008F6866">
        <w:rPr>
          <w:rFonts w:ascii="Calibri" w:eastAsia="Calibri" w:hAnsi="Calibri" w:cs="Calibri"/>
        </w:rPr>
        <w:t>where</w:t>
      </w:r>
      <w:r w:rsidRPr="008F6866">
        <w:rPr>
          <w:rFonts w:ascii="Calibri" w:eastAsia="Calibri" w:hAnsi="Calibri" w:cs="Calibri"/>
          <w:i/>
        </w:rPr>
        <w:t xml:space="preserve"> LAI</w:t>
      </w:r>
      <w:r w:rsidRPr="008F6866">
        <w:rPr>
          <w:rFonts w:ascii="Calibri" w:eastAsia="Calibri" w:hAnsi="Calibri" w:cs="Calibri"/>
        </w:rPr>
        <w:t xml:space="preserve"> is the leaf area index and </w:t>
      </w:r>
      <w:r w:rsidRPr="008F6866">
        <w:rPr>
          <w:rFonts w:ascii="Calibri" w:eastAsia="Calibri" w:hAnsi="Calibri" w:cs="Calibri"/>
          <w:i/>
        </w:rPr>
        <w:t>SLA</w:t>
      </w:r>
      <w:r w:rsidRPr="008F6866">
        <w:rPr>
          <w:rFonts w:ascii="Calibri" w:eastAsia="Calibri" w:hAnsi="Calibri" w:cs="Calibri"/>
        </w:rPr>
        <w:t xml:space="preserve"> (m²/kg) is the specific leaf area. </w:t>
      </w:r>
      <w:r w:rsidRPr="008F6866">
        <w:rPr>
          <w:rFonts w:ascii="Calibri" w:eastAsia="Calibri" w:hAnsi="Calibri" w:cs="Calibri"/>
          <w:i/>
        </w:rPr>
        <w:t>SLA</w:t>
      </w:r>
      <w:r w:rsidRPr="008F6866">
        <w:rPr>
          <w:rFonts w:ascii="Calibri" w:eastAsia="Calibri" w:hAnsi="Calibri" w:cs="Calibri"/>
        </w:rPr>
        <w:t xml:space="preserve"> was set to 26 m²/kg. The biomass of the ground vegetation (bramble and seedlings) was estimated for each plot and year. </w:t>
      </w:r>
    </w:p>
    <w:p w14:paraId="6DE8C1D9" w14:textId="77777777" w:rsidR="00DE4897" w:rsidRPr="008F6866" w:rsidRDefault="39CFF0FF" w:rsidP="003C423B">
      <w:pPr>
        <w:spacing w:after="120" w:line="300" w:lineRule="auto"/>
        <w:jc w:val="both"/>
        <w:rPr>
          <w:rFonts w:ascii="Calibri" w:eastAsia="Calibri" w:hAnsi="Calibri" w:cs="Calibri"/>
        </w:rPr>
      </w:pPr>
      <w:r w:rsidRPr="008F6866">
        <w:rPr>
          <w:rFonts w:ascii="Calibri" w:eastAsia="Calibri" w:hAnsi="Calibri" w:cs="Calibri"/>
        </w:rPr>
        <w:t>The biomass increment was computed similarly to the height increment. For each plot, we kept the first and last census available. In the plots without seedlings and bramble, the biomass was 0 g/m². The biomass increment was then computed from the difference between the initial and final biomass: (</w:t>
      </w:r>
      <w:r w:rsidRPr="008F6866">
        <w:rPr>
          <w:rFonts w:ascii="Calibri" w:eastAsia="Calibri" w:hAnsi="Calibri" w:cs="Calibri"/>
          <w:i/>
          <w:iCs/>
        </w:rPr>
        <w:t>B</w:t>
      </w:r>
      <w:r w:rsidRPr="008F6866">
        <w:rPr>
          <w:rFonts w:ascii="Calibri" w:eastAsia="Calibri" w:hAnsi="Calibri" w:cs="Calibri"/>
          <w:i/>
          <w:iCs/>
          <w:vertAlign w:val="subscript"/>
        </w:rPr>
        <w:t>f</w:t>
      </w:r>
      <w:r w:rsidRPr="008F6866">
        <w:rPr>
          <w:rFonts w:ascii="Calibri" w:eastAsia="Calibri" w:hAnsi="Calibri" w:cs="Calibri"/>
        </w:rPr>
        <w:t> - </w:t>
      </w:r>
      <w:r w:rsidRPr="008F6866">
        <w:rPr>
          <w:rFonts w:ascii="Calibri" w:eastAsia="Calibri" w:hAnsi="Calibri" w:cs="Calibri"/>
          <w:i/>
          <w:iCs/>
        </w:rPr>
        <w:t>B</w:t>
      </w:r>
      <w:r w:rsidRPr="008F6866">
        <w:rPr>
          <w:rFonts w:ascii="Calibri" w:eastAsia="Calibri" w:hAnsi="Calibri" w:cs="Calibri"/>
          <w:i/>
          <w:iCs/>
          <w:vertAlign w:val="subscript"/>
        </w:rPr>
        <w:t>i</w:t>
      </w:r>
      <w:r w:rsidRPr="008F6866">
        <w:rPr>
          <w:rFonts w:ascii="Calibri" w:eastAsia="Calibri" w:hAnsi="Calibri" w:cs="Calibri"/>
        </w:rPr>
        <w:t>)/</w:t>
      </w:r>
      <w:r w:rsidRPr="008F6866">
        <w:rPr>
          <w:rFonts w:ascii="Calibri" w:eastAsia="Calibri" w:hAnsi="Calibri" w:cs="Calibri"/>
          <w:i/>
          <w:iCs/>
        </w:rPr>
        <w:t>∆T</w:t>
      </w:r>
      <w:r w:rsidRPr="008F6866">
        <w:rPr>
          <w:rFonts w:ascii="Calibri" w:eastAsia="Calibri" w:hAnsi="Calibri" w:cs="Calibri"/>
        </w:rPr>
        <w:t>.</w:t>
      </w:r>
    </w:p>
    <w:p w14:paraId="5D69C6D3" w14:textId="554CE2A1" w:rsidR="00DE4897" w:rsidRPr="008F6866" w:rsidRDefault="00DE4897" w:rsidP="009E5D26">
      <w:pPr>
        <w:spacing w:after="0" w:line="300" w:lineRule="auto"/>
        <w:jc w:val="both"/>
        <w:rPr>
          <w:rFonts w:ascii="Calibri" w:eastAsia="Calibri" w:hAnsi="Calibri" w:cs="Calibri"/>
        </w:rPr>
      </w:pPr>
      <w:r w:rsidRPr="008F6866">
        <w:rPr>
          <w:rFonts w:ascii="Calibri" w:eastAsia="Calibri" w:hAnsi="Calibri" w:cs="Calibri"/>
        </w:rPr>
        <w:t>For each plot pair, the biomass increment was computed in fenced and unfenced conditions. The difference between the two estimates was used as an indicator of browsed biomass.</w:t>
      </w:r>
    </w:p>
    <w:p w14:paraId="019F251E" w14:textId="77777777" w:rsidR="003C423B" w:rsidRPr="008F6866" w:rsidRDefault="003C423B" w:rsidP="003C423B">
      <w:pPr>
        <w:spacing w:after="0" w:line="300" w:lineRule="auto"/>
        <w:jc w:val="both"/>
        <w:rPr>
          <w:rFonts w:ascii="Calibri" w:eastAsia="Calibri" w:hAnsi="Calibri" w:cs="Calibri"/>
        </w:rPr>
      </w:pPr>
    </w:p>
    <w:p w14:paraId="3DFD8058" w14:textId="77777777" w:rsidR="00DE4897" w:rsidRPr="008F6866" w:rsidRDefault="00DE4897" w:rsidP="00DE4897">
      <w:pPr>
        <w:spacing w:after="60"/>
        <w:jc w:val="both"/>
        <w:rPr>
          <w:rFonts w:ascii="Calibri" w:eastAsia="Calibri" w:hAnsi="Calibri" w:cs="Calibri"/>
          <w:i/>
        </w:rPr>
      </w:pPr>
      <w:r w:rsidRPr="008F6866">
        <w:rPr>
          <w:rFonts w:ascii="Calibri" w:eastAsia="Calibri" w:hAnsi="Calibri" w:cs="Calibri"/>
          <w:i/>
        </w:rPr>
        <w:t>Statistical analyses</w:t>
      </w:r>
    </w:p>
    <w:p w14:paraId="413174D4" w14:textId="1DEBAD01" w:rsidR="00DE4897" w:rsidRPr="008F6866" w:rsidRDefault="39CFF0FF" w:rsidP="003C423B">
      <w:pPr>
        <w:spacing w:after="120" w:line="300" w:lineRule="auto"/>
        <w:jc w:val="both"/>
        <w:rPr>
          <w:rFonts w:ascii="Calibri" w:eastAsia="Calibri" w:hAnsi="Calibri" w:cs="Calibri"/>
        </w:rPr>
      </w:pPr>
      <w:r w:rsidRPr="008F6866">
        <w:rPr>
          <w:rFonts w:ascii="Calibri" w:eastAsia="Calibri" w:hAnsi="Calibri" w:cs="Calibri"/>
        </w:rPr>
        <w:t>As our dataset contained many explanatory variables (</w:t>
      </w:r>
      <w:r w:rsidR="00AD3B18" w:rsidRPr="008F6866">
        <w:rPr>
          <w:rFonts w:ascii="Calibri" w:eastAsia="Calibri" w:hAnsi="Calibri" w:cs="Calibri"/>
        </w:rPr>
        <w:fldChar w:fldCharType="begin"/>
      </w:r>
      <w:r w:rsidR="00AD3B18" w:rsidRPr="008F6866">
        <w:rPr>
          <w:rFonts w:ascii="Calibri" w:eastAsia="Calibri" w:hAnsi="Calibri" w:cs="Calibri"/>
        </w:rPr>
        <w:instrText xml:space="preserve"> REF _Ref195652895 \h  \* MERGEFORMAT </w:instrText>
      </w:r>
      <w:r w:rsidR="00AD3B18" w:rsidRPr="008F6866">
        <w:rPr>
          <w:rFonts w:ascii="Calibri" w:eastAsia="Calibri" w:hAnsi="Calibri" w:cs="Calibri"/>
        </w:rPr>
      </w:r>
      <w:r w:rsidR="00AD3B18" w:rsidRPr="008F6866">
        <w:rPr>
          <w:rFonts w:ascii="Calibri" w:eastAsia="Calibri" w:hAnsi="Calibri" w:cs="Calibri"/>
        </w:rPr>
        <w:fldChar w:fldCharType="separate"/>
      </w:r>
      <w:r w:rsidR="00540DBF" w:rsidRPr="00540DBF">
        <w:rPr>
          <w:rFonts w:ascii="Calibri" w:eastAsia="Calibri" w:hAnsi="Calibri" w:cs="Calibri"/>
        </w:rPr>
        <w:t>Table VI</w:t>
      </w:r>
      <w:r w:rsidR="00AD3B18" w:rsidRPr="008F6866">
        <w:rPr>
          <w:rFonts w:ascii="Calibri" w:eastAsia="Calibri" w:hAnsi="Calibri" w:cs="Calibri"/>
        </w:rPr>
        <w:fldChar w:fldCharType="end"/>
      </w:r>
      <w:r w:rsidR="00AD3B18" w:rsidRPr="008F6866">
        <w:rPr>
          <w:rFonts w:ascii="Calibri" w:eastAsia="Calibri" w:hAnsi="Calibri" w:cs="Calibri"/>
        </w:rPr>
        <w:t>)</w:t>
      </w:r>
      <w:r w:rsidRPr="008F6866">
        <w:rPr>
          <w:rFonts w:ascii="Calibri" w:eastAsia="Calibri" w:hAnsi="Calibri" w:cs="Calibri"/>
        </w:rPr>
        <w:t>, with some of them being correlated, we carried out a principal component analysis to reduce the dimensionality and ease the interpretation. The principal component analysis was performed with all numeric variables. The principal component analysis was built on the correlation matrix ensuring that every variable had the same weight in the analysis. For each plot pair, we extracted the score of the two first principal components. Theses scores were next used as explanatory variables in some models.</w:t>
      </w:r>
    </w:p>
    <w:p w14:paraId="215BC016" w14:textId="15111BFE" w:rsidR="00DE4897" w:rsidRPr="008F6866" w:rsidRDefault="39CFF0FF" w:rsidP="003C423B">
      <w:pPr>
        <w:spacing w:after="120" w:line="300" w:lineRule="auto"/>
        <w:jc w:val="both"/>
        <w:rPr>
          <w:rFonts w:ascii="Calibri" w:eastAsia="Calibri" w:hAnsi="Calibri" w:cs="Calibri"/>
        </w:rPr>
      </w:pPr>
      <w:r w:rsidRPr="008F6866">
        <w:rPr>
          <w:rFonts w:ascii="Calibri" w:eastAsia="Calibri" w:hAnsi="Calibri" w:cs="Calibri"/>
        </w:rPr>
        <w:t xml:space="preserve">To model browsing impact, we fitted different linear mixed models (with lme4 R package) and linear models. At first, we tested whether the initial regeneration height and biomass were similar in the fenced and unfenced plots. It was tested fitting Equation </w:t>
      </w:r>
      <w:r w:rsidR="003C423B" w:rsidRPr="008F6866">
        <w:rPr>
          <w:rFonts w:ascii="Calibri" w:eastAsia="Calibri" w:hAnsi="Calibri" w:cs="Calibri"/>
        </w:rPr>
        <w:t>4</w:t>
      </w:r>
      <w:r w:rsidRPr="008F6866">
        <w:rPr>
          <w:rFonts w:ascii="Calibri" w:eastAsia="Calibri" w:hAnsi="Calibri" w:cs="Calibri"/>
        </w:rPr>
        <w:t xml:space="preserve">.4 and Equation </w:t>
      </w:r>
      <w:r w:rsidR="003C423B" w:rsidRPr="008F6866">
        <w:rPr>
          <w:rFonts w:ascii="Calibri" w:eastAsia="Calibri" w:hAnsi="Calibri" w:cs="Calibri"/>
        </w:rPr>
        <w:t>4</w:t>
      </w:r>
      <w:r w:rsidRPr="008F6866">
        <w:rPr>
          <w:rFonts w:ascii="Calibri" w:eastAsia="Calibri" w:hAnsi="Calibri" w:cs="Calibri"/>
        </w:rPr>
        <w:t>.5.</w:t>
      </w:r>
    </w:p>
    <w:p w14:paraId="005B861F" w14:textId="77777777" w:rsidR="00E74F15" w:rsidRPr="008F6866" w:rsidRDefault="00000000" w:rsidP="00E74F15">
      <w:pPr>
        <w:spacing w:after="60" w:line="300" w:lineRule="auto"/>
        <w:ind w:firstLine="720"/>
        <w:rPr>
          <w:rFonts w:ascii="Calibri" w:eastAsia="Calibri" w:hAnsi="Calibri" w:cs="Calibri"/>
        </w:rPr>
      </w:pP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sp,j,t,r</m:t>
            </m:r>
          </m:sub>
        </m:sSub>
        <m:r>
          <w:rPr>
            <w:rFonts w:ascii="Cambria Math" w:eastAsia="Cambria Math" w:hAnsi="Cambria Math" w:cs="Cambria Math"/>
          </w:rPr>
          <m:t>=a+</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r</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sp</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sp,t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α</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ϵ</m:t>
            </m:r>
          </m:e>
          <m:sub>
            <m:r>
              <w:rPr>
                <w:rFonts w:ascii="Cambria Math" w:eastAsia="Cambria Math" w:hAnsi="Cambria Math" w:cs="Cambria Math"/>
              </w:rPr>
              <m:t>j,sp,t,r</m:t>
            </m:r>
          </m:sub>
        </m:sSub>
      </m:oMath>
      <w:r w:rsidR="00DE4897" w:rsidRPr="008F6866">
        <w:rPr>
          <w:rFonts w:ascii="Calibri" w:eastAsia="Calibri" w:hAnsi="Calibri" w:cs="Calibri"/>
        </w:rPr>
        <w:t xml:space="preserve">    </w:t>
      </w:r>
      <w:r w:rsidR="00DE4897" w:rsidRPr="008F6866">
        <w:rPr>
          <w:rFonts w:ascii="Calibri" w:eastAsia="Calibri" w:hAnsi="Calibri" w:cs="Calibri"/>
        </w:rPr>
        <w:tab/>
      </w:r>
      <w:r w:rsidR="00DE4897" w:rsidRPr="008F6866">
        <w:rPr>
          <w:rFonts w:ascii="Calibri" w:eastAsia="Calibri" w:hAnsi="Calibri" w:cs="Calibri"/>
        </w:rPr>
        <w:tab/>
      </w:r>
      <w:r w:rsidR="00DE4897" w:rsidRPr="008F6866">
        <w:rPr>
          <w:rFonts w:ascii="Calibri" w:eastAsia="Calibri" w:hAnsi="Calibri" w:cs="Calibri"/>
        </w:rPr>
        <w:tab/>
      </w:r>
      <w:r w:rsidR="00DE4897" w:rsidRPr="008F6866">
        <w:rPr>
          <w:rFonts w:ascii="Calibri" w:eastAsia="Calibri" w:hAnsi="Calibri" w:cs="Calibri"/>
        </w:rPr>
        <w:tab/>
      </w:r>
      <w:r w:rsidR="00DE4897" w:rsidRPr="008F6866">
        <w:rPr>
          <w:rFonts w:ascii="Calibri" w:eastAsia="Calibri" w:hAnsi="Calibri" w:cs="Calibri"/>
        </w:rPr>
        <w:tab/>
        <w:t>(</w:t>
      </w:r>
      <w:r w:rsidR="003C423B" w:rsidRPr="008F6866">
        <w:rPr>
          <w:rFonts w:ascii="Calibri" w:eastAsia="Calibri" w:hAnsi="Calibri" w:cs="Calibri"/>
        </w:rPr>
        <w:t>4</w:t>
      </w:r>
      <w:r w:rsidR="00DE4897" w:rsidRPr="008F6866">
        <w:rPr>
          <w:rFonts w:ascii="Calibri" w:eastAsia="Calibri" w:hAnsi="Calibri" w:cs="Calibri"/>
        </w:rPr>
        <w:t>.4)</w:t>
      </w:r>
    </w:p>
    <w:p w14:paraId="7DF3EBDD" w14:textId="4746C0B4" w:rsidR="00DE4897" w:rsidRPr="008F6866" w:rsidRDefault="00000000" w:rsidP="00E74F15">
      <w:pPr>
        <w:spacing w:after="60" w:line="300" w:lineRule="auto"/>
        <w:ind w:firstLine="720"/>
        <w:rPr>
          <w:rFonts w:ascii="Calibri" w:eastAsia="Calibri" w:hAnsi="Calibri" w:cs="Calibri"/>
        </w:rPr>
      </w:pPr>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j,t,r</m:t>
            </m:r>
          </m:sub>
        </m:sSub>
        <m:r>
          <w:rPr>
            <w:rFonts w:ascii="Cambria Math" w:eastAsia="Cambria Math" w:hAnsi="Cambria Math" w:cs="Cambria Math"/>
          </w:rPr>
          <m:t>=a+</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r</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α</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ϵ</m:t>
            </m:r>
          </m:e>
          <m:sub>
            <m:r>
              <w:rPr>
                <w:rFonts w:ascii="Cambria Math" w:eastAsia="Cambria Math" w:hAnsi="Cambria Math" w:cs="Cambria Math"/>
              </w:rPr>
              <m:t>j,t,r</m:t>
            </m:r>
          </m:sub>
        </m:sSub>
      </m:oMath>
      <w:r w:rsidR="00DE4897" w:rsidRPr="008F6866">
        <w:rPr>
          <w:rFonts w:ascii="Calibri" w:eastAsia="Calibri" w:hAnsi="Calibri" w:cs="Calibri"/>
        </w:rPr>
        <w:t xml:space="preserve">     </w:t>
      </w:r>
      <w:r w:rsidR="00DE4897" w:rsidRPr="008F6866">
        <w:rPr>
          <w:rFonts w:ascii="Calibri" w:eastAsia="Calibri" w:hAnsi="Calibri" w:cs="Calibri"/>
        </w:rPr>
        <w:tab/>
      </w:r>
      <w:r w:rsidR="00DE4897" w:rsidRPr="008F6866">
        <w:rPr>
          <w:rFonts w:ascii="Calibri" w:eastAsia="Calibri" w:hAnsi="Calibri" w:cs="Calibri"/>
        </w:rPr>
        <w:tab/>
      </w:r>
      <w:r w:rsidR="00DE4897" w:rsidRPr="008F6866">
        <w:rPr>
          <w:rFonts w:ascii="Calibri" w:eastAsia="Calibri" w:hAnsi="Calibri" w:cs="Calibri"/>
        </w:rPr>
        <w:tab/>
      </w:r>
      <w:r w:rsidR="00DE4897" w:rsidRPr="008F6866">
        <w:rPr>
          <w:rFonts w:ascii="Calibri" w:eastAsia="Calibri" w:hAnsi="Calibri" w:cs="Calibri"/>
        </w:rPr>
        <w:tab/>
      </w:r>
      <w:r w:rsidR="00DE4897" w:rsidRPr="008F6866">
        <w:rPr>
          <w:rFonts w:ascii="Calibri" w:eastAsia="Calibri" w:hAnsi="Calibri" w:cs="Calibri"/>
        </w:rPr>
        <w:tab/>
      </w:r>
      <w:r w:rsidR="00DE4897" w:rsidRPr="008F6866">
        <w:rPr>
          <w:rFonts w:ascii="Calibri" w:eastAsia="Calibri" w:hAnsi="Calibri" w:cs="Calibri"/>
        </w:rPr>
        <w:tab/>
      </w:r>
      <w:r w:rsidR="00DE4897" w:rsidRPr="008F6866">
        <w:rPr>
          <w:rFonts w:ascii="Calibri" w:eastAsia="Calibri" w:hAnsi="Calibri" w:cs="Calibri"/>
        </w:rPr>
        <w:tab/>
        <w:t>(</w:t>
      </w:r>
      <w:r w:rsidR="003C423B" w:rsidRPr="008F6866">
        <w:rPr>
          <w:rFonts w:ascii="Calibri" w:eastAsia="Calibri" w:hAnsi="Calibri" w:cs="Calibri"/>
        </w:rPr>
        <w:t>4</w:t>
      </w:r>
      <w:r w:rsidR="00DE4897" w:rsidRPr="008F6866">
        <w:rPr>
          <w:rFonts w:ascii="Calibri" w:eastAsia="Calibri" w:hAnsi="Calibri" w:cs="Calibri"/>
        </w:rPr>
        <w:t>.5)</w:t>
      </w:r>
    </w:p>
    <w:p w14:paraId="11AC8A61" w14:textId="77777777" w:rsidR="00DE4897" w:rsidRPr="008F6866" w:rsidRDefault="00DE4897" w:rsidP="003C423B">
      <w:pPr>
        <w:spacing w:after="120" w:line="300" w:lineRule="auto"/>
        <w:jc w:val="both"/>
        <w:rPr>
          <w:rFonts w:ascii="Calibri" w:eastAsia="Calibri" w:hAnsi="Calibri" w:cs="Calibri"/>
        </w:rPr>
      </w:pPr>
      <w:r w:rsidRPr="008F6866">
        <w:rPr>
          <w:rFonts w:ascii="Calibri" w:eastAsia="Calibri" w:hAnsi="Calibri" w:cs="Calibri"/>
        </w:rPr>
        <w:t xml:space="preserve">where </w:t>
      </w: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sp,j,t,r</m:t>
            </m:r>
          </m:sub>
        </m:sSub>
      </m:oMath>
      <w:r w:rsidRPr="008F6866">
        <w:rPr>
          <w:rFonts w:ascii="Calibri" w:eastAsia="Calibri" w:hAnsi="Calibri" w:cs="Calibri"/>
        </w:rPr>
        <w:t xml:space="preserve"> was the maximum height of species </w:t>
      </w:r>
      <w:r w:rsidRPr="008F6866">
        <w:rPr>
          <w:rFonts w:ascii="Calibri" w:eastAsia="Calibri" w:hAnsi="Calibri" w:cs="Calibri"/>
          <w:i/>
          <w:iCs/>
        </w:rPr>
        <w:t>sp</w:t>
      </w:r>
      <w:r w:rsidRPr="008F6866">
        <w:rPr>
          <w:rFonts w:ascii="Calibri" w:eastAsia="Calibri" w:hAnsi="Calibri" w:cs="Calibri"/>
        </w:rPr>
        <w:t xml:space="preserve"> in plot pair </w:t>
      </w:r>
      <w:r w:rsidRPr="008F6866">
        <w:rPr>
          <w:rFonts w:ascii="Calibri" w:eastAsia="Calibri" w:hAnsi="Calibri" w:cs="Calibri"/>
          <w:i/>
          <w:iCs/>
        </w:rPr>
        <w:t>j</w:t>
      </w:r>
      <w:r w:rsidRPr="008F6866">
        <w:rPr>
          <w:rFonts w:ascii="Calibri" w:eastAsia="Calibri" w:hAnsi="Calibri" w:cs="Calibri"/>
        </w:rPr>
        <w:t xml:space="preserve"> and treatment </w:t>
      </w:r>
      <w:r w:rsidRPr="008F6866">
        <w:rPr>
          <w:rFonts w:ascii="Calibri" w:eastAsia="Calibri" w:hAnsi="Calibri" w:cs="Calibri"/>
          <w:i/>
          <w:iCs/>
        </w:rPr>
        <w:t>t</w:t>
      </w:r>
      <w:r w:rsidRPr="008F6866">
        <w:rPr>
          <w:rFonts w:ascii="Calibri" w:eastAsia="Calibri" w:hAnsi="Calibri" w:cs="Calibri"/>
        </w:rPr>
        <w:t xml:space="preserve">; </w:t>
      </w:r>
      <w:r w:rsidRPr="008F6866">
        <w:rPr>
          <w:rFonts w:ascii="Calibri" w:eastAsia="Calibri" w:hAnsi="Calibri" w:cs="Calibri"/>
          <w:i/>
          <w:iCs/>
        </w:rPr>
        <w:t>a</w:t>
      </w:r>
      <w:r w:rsidRPr="008F6866">
        <w:rPr>
          <w:rFonts w:ascii="Calibri" w:eastAsia="Calibri" w:hAnsi="Calibri" w:cs="Calibri"/>
        </w:rPr>
        <w:t xml:space="preserve">, </w:t>
      </w:r>
      <w:r w:rsidRPr="008F6866">
        <w:rPr>
          <w:rFonts w:ascii="Calibri" w:eastAsia="Calibri" w:hAnsi="Calibri" w:cs="Calibri"/>
          <w:i/>
          <w:iCs/>
        </w:rPr>
        <w:t>b</w:t>
      </w:r>
      <w:r w:rsidRPr="008F6866">
        <w:rPr>
          <w:rFonts w:ascii="Calibri" w:eastAsia="Calibri" w:hAnsi="Calibri" w:cs="Calibri"/>
          <w:i/>
          <w:iCs/>
          <w:vertAlign w:val="subscript"/>
        </w:rPr>
        <w:t>r</w:t>
      </w:r>
      <w:r w:rsidRPr="008F6866">
        <w:rPr>
          <w:rFonts w:ascii="Calibri" w:eastAsia="Calibri" w:hAnsi="Calibri" w:cs="Calibri"/>
        </w:rPr>
        <w:t xml:space="preserve">, </w:t>
      </w:r>
      <w:r w:rsidRPr="008F6866">
        <w:rPr>
          <w:rFonts w:ascii="Calibri" w:eastAsia="Calibri" w:hAnsi="Calibri" w:cs="Calibri"/>
          <w:i/>
          <w:iCs/>
        </w:rPr>
        <w:t>c</w:t>
      </w:r>
      <w:r w:rsidRPr="008F6866">
        <w:rPr>
          <w:rFonts w:ascii="Calibri" w:eastAsia="Calibri" w:hAnsi="Calibri" w:cs="Calibri"/>
          <w:i/>
          <w:iCs/>
          <w:vertAlign w:val="subscript"/>
        </w:rPr>
        <w:t>sp</w:t>
      </w:r>
      <w:r w:rsidRPr="008F6866">
        <w:rPr>
          <w:rFonts w:ascii="Calibri" w:eastAsia="Calibri" w:hAnsi="Calibri" w:cs="Calibri"/>
        </w:rPr>
        <w:t xml:space="preserve"> and </w:t>
      </w:r>
      <w:r w:rsidRPr="008F6866">
        <w:rPr>
          <w:rFonts w:ascii="Calibri" w:eastAsia="Calibri" w:hAnsi="Calibri" w:cs="Calibri"/>
          <w:i/>
          <w:iCs/>
        </w:rPr>
        <w:t>d</w:t>
      </w:r>
      <w:r w:rsidRPr="008F6866">
        <w:rPr>
          <w:rFonts w:ascii="Calibri" w:eastAsia="Calibri" w:hAnsi="Calibri" w:cs="Calibri"/>
          <w:i/>
          <w:iCs/>
          <w:vertAlign w:val="subscript"/>
        </w:rPr>
        <w:t>t</w:t>
      </w:r>
      <w:r w:rsidRPr="008F6866">
        <w:rPr>
          <w:rFonts w:ascii="Calibri" w:eastAsia="Calibri" w:hAnsi="Calibri" w:cs="Calibri"/>
        </w:rPr>
        <w:t xml:space="preserve"> were the fitted coefficients. The fixed effects were the region, the species, and the treatment (fenced/unfenced). The unexplained (random) variance was divided into two components: the between-plot variance (</w:t>
      </w:r>
      <w:r w:rsidRPr="008F6866">
        <w:rPr>
          <w:rFonts w:ascii="Calibri" w:eastAsia="Calibri" w:hAnsi="Calibri" w:cs="Calibri"/>
          <w:i/>
          <w:iCs/>
        </w:rPr>
        <w:t>σ</w:t>
      </w:r>
      <w:r w:rsidRPr="008F6866">
        <w:rPr>
          <w:rFonts w:ascii="Symbol" w:eastAsia="Symbol" w:hAnsi="Symbol" w:cs="Symbol"/>
          <w:i/>
          <w:iCs/>
          <w:vertAlign w:val="subscript"/>
        </w:rPr>
        <w:t></w:t>
      </w:r>
      <w:r w:rsidRPr="008F6866">
        <w:rPr>
          <w:rFonts w:ascii="Calibri" w:eastAsia="Calibri" w:hAnsi="Calibri" w:cs="Calibri"/>
        </w:rPr>
        <w:t>) and the within-plot variance (</w:t>
      </w:r>
      <w:r w:rsidRPr="008F6866">
        <w:rPr>
          <w:rFonts w:ascii="Calibri" w:eastAsia="Calibri" w:hAnsi="Calibri" w:cs="Calibri"/>
          <w:i/>
          <w:iCs/>
        </w:rPr>
        <w:t>σ</w:t>
      </w:r>
      <w:r w:rsidRPr="008F6866">
        <w:rPr>
          <w:rFonts w:ascii="Calibri" w:eastAsia="Calibri" w:hAnsi="Calibri" w:cs="Calibri"/>
          <w:i/>
          <w:iCs/>
          <w:vertAlign w:val="subscript"/>
        </w:rPr>
        <w:t>ε</w:t>
      </w:r>
      <w:r w:rsidRPr="008F6866">
        <w:rPr>
          <w:rFonts w:ascii="Calibri" w:eastAsia="Calibri" w:hAnsi="Calibri" w:cs="Calibri"/>
        </w:rPr>
        <w:t xml:space="preserve">). The intercept, </w:t>
      </w:r>
      <w:r w:rsidRPr="008F6866">
        <w:rPr>
          <w:rFonts w:ascii="Calibri" w:eastAsia="Calibri" w:hAnsi="Calibri" w:cs="Calibri"/>
          <w:i/>
          <w:iCs/>
        </w:rPr>
        <w:t>a</w:t>
      </w:r>
      <w:r w:rsidRPr="008F6866">
        <w:rPr>
          <w:rFonts w:ascii="Calibri" w:eastAsia="Calibri" w:hAnsi="Calibri" w:cs="Calibri"/>
        </w:rPr>
        <w:t>, of these models corresponded to the average estimate for beech regeneration in fenced plots in the Ardenne (default factor levels).</w:t>
      </w:r>
    </w:p>
    <w:p w14:paraId="74E9F216" w14:textId="77777777" w:rsidR="00E74F15" w:rsidRPr="008F6866" w:rsidRDefault="00DE4897" w:rsidP="00E74F15">
      <w:pPr>
        <w:spacing w:after="120" w:line="300" w:lineRule="auto"/>
        <w:jc w:val="both"/>
        <w:rPr>
          <w:rFonts w:ascii="Calibri" w:eastAsia="Calibri" w:hAnsi="Calibri" w:cs="Calibri"/>
        </w:rPr>
      </w:pPr>
      <w:r w:rsidRPr="008F6866">
        <w:rPr>
          <w:rFonts w:ascii="Calibri" w:eastAsia="Calibri" w:hAnsi="Calibri" w:cs="Calibri"/>
        </w:rPr>
        <w:t xml:space="preserve">The impact of browsing on seedling height growth was first assessed fitting Equation </w:t>
      </w:r>
      <w:r w:rsidR="003C423B" w:rsidRPr="008F6866">
        <w:rPr>
          <w:rFonts w:ascii="Calibri" w:eastAsia="Calibri" w:hAnsi="Calibri" w:cs="Calibri"/>
        </w:rPr>
        <w:t>4</w:t>
      </w:r>
      <w:r w:rsidRPr="008F6866">
        <w:rPr>
          <w:rFonts w:ascii="Calibri" w:eastAsia="Calibri" w:hAnsi="Calibri" w:cs="Calibri"/>
        </w:rPr>
        <w:t>.6.</w:t>
      </w:r>
    </w:p>
    <w:p w14:paraId="377D6215" w14:textId="695B76D0" w:rsidR="00DE4897" w:rsidRPr="008F6866" w:rsidRDefault="00DE4897" w:rsidP="00E74F15">
      <w:pPr>
        <w:spacing w:after="120" w:line="300" w:lineRule="auto"/>
        <w:ind w:firstLine="720"/>
        <w:jc w:val="both"/>
        <w:rPr>
          <w:rFonts w:ascii="Calibri" w:eastAsia="Calibri" w:hAnsi="Calibri" w:cs="Calibri"/>
        </w:rPr>
      </w:pPr>
      <m:oMath>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sp,j,t</m:t>
            </m:r>
          </m:sub>
        </m:sSub>
        <m:r>
          <w:rPr>
            <w:rFonts w:ascii="Cambria Math" w:eastAsia="Cambria Math" w:hAnsi="Cambria Math" w:cs="Cambria Math"/>
          </w:rPr>
          <m:t>=a+</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sp</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sp,t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α</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ϵ</m:t>
            </m:r>
          </m:e>
          <m:sub>
            <m:r>
              <w:rPr>
                <w:rFonts w:ascii="Cambria Math" w:eastAsia="Cambria Math" w:hAnsi="Cambria Math" w:cs="Cambria Math"/>
              </w:rPr>
              <m:t>j,sp,t</m:t>
            </m:r>
          </m:sub>
        </m:sSub>
      </m:oMath>
      <w:r w:rsidRPr="008F6866">
        <w:rPr>
          <w:rFonts w:ascii="Calibri" w:eastAsia="Calibri" w:hAnsi="Calibri" w:cs="Calibri"/>
        </w:rPr>
        <w:t xml:space="preserve">       </w:t>
      </w:r>
      <w:r w:rsidRPr="008F6866">
        <w:rPr>
          <w:rFonts w:ascii="Calibri" w:eastAsia="Calibri" w:hAnsi="Calibri" w:cs="Calibri"/>
        </w:rPr>
        <w:tab/>
      </w:r>
      <w:r w:rsidRPr="008F6866">
        <w:rPr>
          <w:rFonts w:ascii="Calibri" w:eastAsia="Calibri" w:hAnsi="Calibri" w:cs="Calibri"/>
        </w:rPr>
        <w:tab/>
      </w:r>
      <w:r w:rsidRPr="008F6866">
        <w:rPr>
          <w:rFonts w:ascii="Calibri" w:eastAsia="Calibri" w:hAnsi="Calibri" w:cs="Calibri"/>
        </w:rPr>
        <w:tab/>
      </w:r>
      <w:r w:rsidRPr="008F6866">
        <w:rPr>
          <w:rFonts w:ascii="Calibri" w:eastAsia="Calibri" w:hAnsi="Calibri" w:cs="Calibri"/>
        </w:rPr>
        <w:tab/>
      </w:r>
      <w:r w:rsidRPr="008F6866">
        <w:rPr>
          <w:rFonts w:ascii="Calibri" w:eastAsia="Calibri" w:hAnsi="Calibri" w:cs="Calibri"/>
        </w:rPr>
        <w:tab/>
      </w:r>
      <w:r w:rsidRPr="008F6866">
        <w:rPr>
          <w:rFonts w:ascii="Calibri" w:eastAsia="Calibri" w:hAnsi="Calibri" w:cs="Calibri"/>
        </w:rPr>
        <w:tab/>
        <w:t>(</w:t>
      </w:r>
      <w:r w:rsidR="003C423B" w:rsidRPr="008F6866">
        <w:rPr>
          <w:rFonts w:ascii="Calibri" w:eastAsia="Calibri" w:hAnsi="Calibri" w:cs="Calibri"/>
        </w:rPr>
        <w:t>4</w:t>
      </w:r>
      <w:r w:rsidRPr="008F6866">
        <w:rPr>
          <w:rFonts w:ascii="Calibri" w:eastAsia="Calibri" w:hAnsi="Calibri" w:cs="Calibri"/>
        </w:rPr>
        <w:t>.6)</w:t>
      </w:r>
    </w:p>
    <w:p w14:paraId="6028A3CE" w14:textId="16AFB8EB" w:rsidR="00DE4897" w:rsidRPr="008F6866" w:rsidRDefault="00DE4897" w:rsidP="00E74F15">
      <w:pPr>
        <w:spacing w:after="120" w:line="300" w:lineRule="auto"/>
        <w:jc w:val="both"/>
        <w:rPr>
          <w:rFonts w:ascii="Calibri" w:eastAsia="Calibri" w:hAnsi="Calibri" w:cs="Calibri"/>
        </w:rPr>
      </w:pPr>
      <w:r w:rsidRPr="008F6866">
        <w:rPr>
          <w:rFonts w:ascii="Calibri" w:eastAsia="Calibri" w:hAnsi="Calibri" w:cs="Calibri"/>
        </w:rPr>
        <w:t xml:space="preserve">where </w:t>
      </w:r>
      <m:oMath>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sp,j,t</m:t>
            </m:r>
          </m:sub>
        </m:sSub>
      </m:oMath>
      <w:r w:rsidRPr="008F6866">
        <w:rPr>
          <w:rFonts w:ascii="Calibri" w:eastAsia="Calibri" w:hAnsi="Calibri" w:cs="Calibri"/>
        </w:rPr>
        <w:t xml:space="preserve"> was the height increment of species </w:t>
      </w:r>
      <w:r w:rsidRPr="008F6866">
        <w:rPr>
          <w:rFonts w:ascii="Calibri" w:eastAsia="Calibri" w:hAnsi="Calibri" w:cs="Calibri"/>
          <w:i/>
          <w:iCs/>
        </w:rPr>
        <w:t>sp</w:t>
      </w:r>
      <w:r w:rsidRPr="008F6866">
        <w:rPr>
          <w:rFonts w:ascii="Calibri" w:eastAsia="Calibri" w:hAnsi="Calibri" w:cs="Calibri"/>
        </w:rPr>
        <w:t xml:space="preserve"> in plot pair </w:t>
      </w:r>
      <w:r w:rsidRPr="008F6866">
        <w:rPr>
          <w:rFonts w:ascii="Calibri" w:eastAsia="Calibri" w:hAnsi="Calibri" w:cs="Calibri"/>
          <w:i/>
          <w:iCs/>
        </w:rPr>
        <w:t>j</w:t>
      </w:r>
      <w:r w:rsidRPr="008F6866">
        <w:rPr>
          <w:rFonts w:ascii="Calibri" w:eastAsia="Calibri" w:hAnsi="Calibri" w:cs="Calibri"/>
        </w:rPr>
        <w:t xml:space="preserve"> and treatment </w:t>
      </w:r>
      <w:r w:rsidRPr="008F6866">
        <w:rPr>
          <w:rFonts w:ascii="Calibri" w:eastAsia="Calibri" w:hAnsi="Calibri" w:cs="Calibri"/>
          <w:i/>
          <w:iCs/>
        </w:rPr>
        <w:t>t</w:t>
      </w:r>
      <w:r w:rsidRPr="008F6866">
        <w:rPr>
          <w:rFonts w:ascii="Calibri" w:eastAsia="Calibri" w:hAnsi="Calibri" w:cs="Calibri"/>
        </w:rPr>
        <w:t xml:space="preserve">. As the interaction between species and treatment was significant, additional models were fitted separately for each study species. In these models, the scores of the two first principal components (PC1) and (PC2) were </w:t>
      </w:r>
      <w:r w:rsidRPr="008F6866">
        <w:rPr>
          <w:rFonts w:ascii="Calibri" w:eastAsia="Calibri" w:hAnsi="Calibri" w:cs="Calibri"/>
        </w:rPr>
        <w:lastRenderedPageBreak/>
        <w:t xml:space="preserve">added as explanatory variables (Equation </w:t>
      </w:r>
      <w:r w:rsidR="003C423B" w:rsidRPr="008F6866">
        <w:rPr>
          <w:rFonts w:ascii="Calibri" w:eastAsia="Calibri" w:hAnsi="Calibri" w:cs="Calibri"/>
        </w:rPr>
        <w:t>4</w:t>
      </w:r>
      <w:r w:rsidRPr="008F6866">
        <w:rPr>
          <w:rFonts w:ascii="Calibri" w:eastAsia="Calibri" w:hAnsi="Calibri" w:cs="Calibri"/>
        </w:rPr>
        <w:t xml:space="preserve">.7). We then tested whether browsing impacts depended on environmental conditions fitting </w:t>
      </w:r>
      <w:r w:rsidR="00F52D71" w:rsidRPr="008F6866">
        <w:rPr>
          <w:rFonts w:ascii="Calibri" w:eastAsia="Calibri" w:hAnsi="Calibri" w:cs="Calibri"/>
        </w:rPr>
        <w:t>E</w:t>
      </w:r>
      <w:r w:rsidRPr="008F6866">
        <w:rPr>
          <w:rFonts w:ascii="Calibri" w:eastAsia="Calibri" w:hAnsi="Calibri" w:cs="Calibri"/>
        </w:rPr>
        <w:t xml:space="preserve">quation </w:t>
      </w:r>
      <w:r w:rsidR="003C423B" w:rsidRPr="008F6866">
        <w:rPr>
          <w:rFonts w:ascii="Calibri" w:eastAsia="Calibri" w:hAnsi="Calibri" w:cs="Calibri"/>
        </w:rPr>
        <w:t>4</w:t>
      </w:r>
      <w:r w:rsidRPr="008F6866">
        <w:rPr>
          <w:rFonts w:ascii="Calibri" w:eastAsia="Calibri" w:hAnsi="Calibri" w:cs="Calibri"/>
        </w:rPr>
        <w:t>.7.</w:t>
      </w:r>
    </w:p>
    <w:p w14:paraId="197FB902" w14:textId="571DD277" w:rsidR="00DE4897" w:rsidRPr="006F3CC2" w:rsidRDefault="00DE4897" w:rsidP="006F3CC2">
      <w:pPr>
        <w:spacing w:after="120" w:line="300" w:lineRule="auto"/>
        <w:jc w:val="right"/>
        <w:rPr>
          <w:rFonts w:ascii="Calibri" w:eastAsia="Calibri" w:hAnsi="Calibri" w:cs="Calibri"/>
          <w:b/>
        </w:rPr>
      </w:pPr>
      <w:r w:rsidRPr="008F6866">
        <w:rPr>
          <w:rFonts w:ascii="Calibri" w:eastAsia="Calibri" w:hAnsi="Calibri" w:cs="Calibri"/>
        </w:rPr>
        <w:t xml:space="preserve">     </w:t>
      </w:r>
      <m:oMath>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j,t,r,sp</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sp</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t,sp</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sp</m:t>
            </m:r>
          </m:sub>
        </m:sSub>
        <m:r>
          <w:rPr>
            <w:rFonts w:ascii="Cambria Math" w:eastAsia="Cambria Math" w:hAnsi="Cambria Math" w:cs="Cambria Math"/>
          </w:rPr>
          <m:t>⋅PC</m:t>
        </m:r>
        <m:sSub>
          <m:sSubPr>
            <m:ctrlPr>
              <w:rPr>
                <w:rFonts w:ascii="Cambria Math" w:eastAsia="Cambria Math" w:hAnsi="Cambria Math" w:cs="Cambria Math"/>
              </w:rPr>
            </m:ctrlPr>
          </m:sSubPr>
          <m:e>
            <m:r>
              <w:rPr>
                <w:rFonts w:ascii="Cambria Math" w:eastAsia="Cambria Math" w:hAnsi="Cambria Math" w:cs="Cambria Math"/>
              </w:rPr>
              <m:t>1</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sp</m:t>
            </m:r>
          </m:sub>
        </m:sSub>
        <m:r>
          <w:rPr>
            <w:rFonts w:ascii="Cambria Math" w:eastAsia="Cambria Math" w:hAnsi="Cambria Math" w:cs="Cambria Math"/>
          </w:rPr>
          <m:t>⋅PC</m:t>
        </m:r>
        <m:sSub>
          <m:sSubPr>
            <m:ctrlPr>
              <w:rPr>
                <w:rFonts w:ascii="Cambria Math" w:eastAsia="Cambria Math" w:hAnsi="Cambria Math" w:cs="Cambria Math"/>
              </w:rPr>
            </m:ctrlPr>
          </m:sSubPr>
          <m:e>
            <m:r>
              <w:rPr>
                <w:rFonts w:ascii="Cambria Math" w:eastAsia="Cambria Math" w:hAnsi="Cambria Math" w:cs="Cambria Math"/>
              </w:rPr>
              <m:t>2</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t,sp</m:t>
            </m:r>
          </m:sub>
        </m:sSub>
        <m:r>
          <w:rPr>
            <w:rFonts w:ascii="Cambria Math" w:eastAsia="Cambria Math" w:hAnsi="Cambria Math" w:cs="Cambria Math"/>
          </w:rPr>
          <m:t>⋅PC</m:t>
        </m:r>
        <m:sSub>
          <m:sSubPr>
            <m:ctrlPr>
              <w:rPr>
                <w:rFonts w:ascii="Cambria Math" w:eastAsia="Cambria Math" w:hAnsi="Cambria Math" w:cs="Cambria Math"/>
              </w:rPr>
            </m:ctrlPr>
          </m:sSubPr>
          <m:e>
            <m:r>
              <w:rPr>
                <w:rFonts w:ascii="Cambria Math" w:eastAsia="Cambria Math" w:hAnsi="Cambria Math" w:cs="Cambria Math"/>
              </w:rPr>
              <m:t>1</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t,sp</m:t>
            </m:r>
          </m:sub>
        </m:sSub>
        <m:r>
          <w:rPr>
            <w:rFonts w:ascii="Cambria Math" w:eastAsia="Cambria Math" w:hAnsi="Cambria Math" w:cs="Cambria Math"/>
          </w:rPr>
          <m:t>⋅PC</m:t>
        </m:r>
        <m:sSub>
          <m:sSubPr>
            <m:ctrlPr>
              <w:rPr>
                <w:rFonts w:ascii="Cambria Math" w:eastAsia="Cambria Math" w:hAnsi="Cambria Math" w:cs="Cambria Math"/>
              </w:rPr>
            </m:ctrlPr>
          </m:sSubPr>
          <m:e>
            <m:r>
              <w:rPr>
                <w:rFonts w:ascii="Cambria Math" w:eastAsia="Cambria Math" w:hAnsi="Cambria Math" w:cs="Cambria Math"/>
              </w:rPr>
              <m:t>2</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α</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ϵ</m:t>
            </m:r>
          </m:e>
          <m:sub>
            <m:r>
              <w:rPr>
                <w:rFonts w:ascii="Cambria Math" w:eastAsia="Cambria Math" w:hAnsi="Cambria Math" w:cs="Cambria Math"/>
              </w:rPr>
              <m:t>j,sp,t,r</m:t>
            </m:r>
          </m:sub>
        </m:sSub>
      </m:oMath>
      <w:r w:rsidRPr="008F6866">
        <w:rPr>
          <w:rFonts w:ascii="Calibri" w:eastAsia="Calibri" w:hAnsi="Calibri" w:cs="Calibri"/>
        </w:rPr>
        <w:tab/>
        <w:t>(</w:t>
      </w:r>
      <w:r w:rsidR="003C423B" w:rsidRPr="008F6866">
        <w:rPr>
          <w:rFonts w:ascii="Calibri" w:eastAsia="Calibri" w:hAnsi="Calibri" w:cs="Calibri"/>
        </w:rPr>
        <w:t>4</w:t>
      </w:r>
      <w:r w:rsidRPr="008F6866">
        <w:rPr>
          <w:rFonts w:ascii="Calibri" w:eastAsia="Calibri" w:hAnsi="Calibri" w:cs="Calibri"/>
        </w:rPr>
        <w:t>.7)</w:t>
      </w:r>
    </w:p>
    <w:p w14:paraId="53E936ED" w14:textId="4EBE5651" w:rsidR="00DE4897" w:rsidRPr="008F6866" w:rsidRDefault="00DE4897" w:rsidP="00E74F15">
      <w:pPr>
        <w:spacing w:after="120" w:line="300" w:lineRule="auto"/>
        <w:jc w:val="both"/>
        <w:rPr>
          <w:rFonts w:ascii="Calibri" w:eastAsia="Calibri" w:hAnsi="Calibri" w:cs="Calibri"/>
        </w:rPr>
      </w:pPr>
      <w:r w:rsidRPr="008F6866">
        <w:rPr>
          <w:rFonts w:ascii="Calibri" w:eastAsia="Calibri" w:hAnsi="Calibri" w:cs="Calibri"/>
        </w:rPr>
        <w:t xml:space="preserve">Two other approaches were tested to model the effect of browsing on seedlings height. For each plot pair and species, we computed the difference between paired height increments (unfenced and fenced plots): </w:t>
      </w:r>
      <m:oMath>
        <m:r>
          <w:rPr>
            <w:rFonts w:ascii="Cambria Math" w:hAnsi="Cambria Math"/>
          </w:rPr>
          <m:t>Δ</m:t>
        </m:r>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j,sp</m:t>
            </m:r>
          </m:sub>
        </m:sSub>
        <m:r>
          <w:rPr>
            <w:rFonts w:ascii="Cambria Math" w:eastAsia="Cambria Math" w:hAnsi="Cambria Math" w:cs="Cambria Math"/>
          </w:rPr>
          <m:t xml:space="preserve"> = i</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t=fenced,j,sp</m:t>
            </m:r>
          </m:sub>
        </m:sSub>
        <m:r>
          <w:rPr>
            <w:rFonts w:ascii="Cambria Math" w:eastAsia="Cambria Math" w:hAnsi="Cambria Math" w:cs="Cambria Math"/>
          </w:rPr>
          <m:t xml:space="preserve"> -i</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t=unfenced,j,sp</m:t>
            </m:r>
          </m:sub>
        </m:sSub>
      </m:oMath>
      <w:r w:rsidRPr="008F6866">
        <w:rPr>
          <w:rFonts w:ascii="Calibri" w:eastAsia="Calibri" w:hAnsi="Calibri" w:cs="Calibri"/>
        </w:rPr>
        <w:t xml:space="preserve">. A linear model was fitted to predict </w:t>
      </w:r>
      <m:oMath>
        <m:r>
          <w:rPr>
            <w:rFonts w:ascii="Cambria Math" w:hAnsi="Cambria Math"/>
          </w:rPr>
          <m:t>Δ</m:t>
        </m:r>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j,sp</m:t>
            </m:r>
          </m:sub>
        </m:sSub>
      </m:oMath>
      <w:r w:rsidRPr="008F6866">
        <w:rPr>
          <w:rFonts w:ascii="Calibri" w:eastAsia="Calibri" w:hAnsi="Calibri" w:cs="Calibri"/>
        </w:rPr>
        <w:t xml:space="preserve"> in response to the two principal components across species (Equation </w:t>
      </w:r>
      <w:r w:rsidR="00E74F15" w:rsidRPr="008F6866">
        <w:rPr>
          <w:rFonts w:ascii="Calibri" w:eastAsia="Calibri" w:hAnsi="Calibri" w:cs="Calibri"/>
        </w:rPr>
        <w:t>4</w:t>
      </w:r>
      <w:r w:rsidRPr="008F6866">
        <w:rPr>
          <w:rFonts w:ascii="Calibri" w:eastAsia="Calibri" w:hAnsi="Calibri" w:cs="Calibri"/>
        </w:rPr>
        <w:t>.8).</w:t>
      </w:r>
    </w:p>
    <w:p w14:paraId="34ECFA97" w14:textId="2BC25036" w:rsidR="00DE4897" w:rsidRPr="008F6866" w:rsidRDefault="00DE4897" w:rsidP="00E74F15">
      <w:pPr>
        <w:spacing w:after="120" w:line="300" w:lineRule="auto"/>
        <w:jc w:val="right"/>
        <w:rPr>
          <w:rFonts w:ascii="Calibri" w:eastAsia="Calibri" w:hAnsi="Calibri" w:cs="Calibri"/>
        </w:rPr>
      </w:pPr>
      <w:r w:rsidRPr="008F6866">
        <w:rPr>
          <w:rFonts w:ascii="Calibri" w:eastAsia="Calibri" w:hAnsi="Calibri" w:cs="Calibri"/>
        </w:rPr>
        <w:t xml:space="preserve">     </w:t>
      </w:r>
      <m:oMath>
        <m:r>
          <w:rPr>
            <w:rFonts w:ascii="Cambria Math" w:hAnsi="Cambria Math"/>
          </w:rPr>
          <m:t>Δ</m:t>
        </m:r>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j,sp</m:t>
            </m:r>
          </m:sub>
        </m:sSub>
        <m:r>
          <w:rPr>
            <w:rFonts w:ascii="Cambria Math" w:eastAsia="Cambria Math" w:hAnsi="Cambria Math" w:cs="Cambria Math"/>
          </w:rPr>
          <m:t>=a+</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sp</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sp</m:t>
            </m:r>
          </m:sub>
        </m:sSub>
        <m:r>
          <w:rPr>
            <w:rFonts w:ascii="Cambria Math" w:eastAsia="Cambria Math" w:hAnsi="Cambria Math" w:cs="Cambria Math"/>
          </w:rPr>
          <m:t>⋅PC</m:t>
        </m:r>
        <m:sSub>
          <m:sSubPr>
            <m:ctrlPr>
              <w:rPr>
                <w:rFonts w:ascii="Cambria Math" w:eastAsia="Cambria Math" w:hAnsi="Cambria Math" w:cs="Cambria Math"/>
              </w:rPr>
            </m:ctrlPr>
          </m:sSubPr>
          <m:e>
            <m:r>
              <w:rPr>
                <w:rFonts w:ascii="Cambria Math" w:eastAsia="Cambria Math" w:hAnsi="Cambria Math" w:cs="Cambria Math"/>
              </w:rPr>
              <m:t>1</m:t>
            </m:r>
          </m:e>
          <m:sub>
            <m:r>
              <w:rPr>
                <w:rFonts w:ascii="Cambria Math" w:eastAsia="Cambria Math" w:hAnsi="Cambria Math" w:cs="Cambria Math"/>
              </w:rPr>
              <m:t>j</m:t>
            </m:r>
          </m:sub>
        </m:sSub>
        <m:r>
          <w:rPr>
            <w:rFonts w:ascii="Cambria Math" w:eastAsia="Cambria Math" w:hAnsi="Cambria Math" w:cs="Cambria Math"/>
          </w:rPr>
          <m:t>+d⋅PC</m:t>
        </m:r>
        <m:sSub>
          <m:sSubPr>
            <m:ctrlPr>
              <w:rPr>
                <w:rFonts w:ascii="Cambria Math" w:eastAsia="Cambria Math" w:hAnsi="Cambria Math" w:cs="Cambria Math"/>
              </w:rPr>
            </m:ctrlPr>
          </m:sSubPr>
          <m:e>
            <m:r>
              <w:rPr>
                <w:rFonts w:ascii="Cambria Math" w:eastAsia="Cambria Math" w:hAnsi="Cambria Math" w:cs="Cambria Math"/>
              </w:rPr>
              <m:t>2</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sp</m:t>
            </m:r>
          </m:sub>
        </m:sSub>
        <m:r>
          <w:rPr>
            <w:rFonts w:ascii="Cambria Math" w:eastAsia="Cambria Math" w:hAnsi="Cambria Math" w:cs="Cambria Math"/>
          </w:rPr>
          <m:t xml:space="preserve"> . i</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t=fenced,j</m:t>
            </m:r>
          </m:sub>
        </m:sSub>
        <m:r>
          <w:rPr>
            <w:rFonts w:ascii="Cambria Math" w:eastAsia="Cambria Math" w:hAnsi="Cambria Math" w:cs="Cambria Math"/>
          </w:rPr>
          <m:t xml:space="preserve"> + </m:t>
        </m:r>
        <m:sSub>
          <m:sSubPr>
            <m:ctrlPr>
              <w:rPr>
                <w:rFonts w:ascii="Cambria Math" w:eastAsia="Cambria Math" w:hAnsi="Cambria Math" w:cs="Cambria Math"/>
              </w:rPr>
            </m:ctrlPr>
          </m:sSubPr>
          <m:e>
            <m:r>
              <w:rPr>
                <w:rFonts w:ascii="Cambria Math" w:eastAsia="Cambria Math" w:hAnsi="Cambria Math" w:cs="Cambria Math"/>
              </w:rPr>
              <m:t>ϵ</m:t>
            </m:r>
          </m:e>
          <m:sub>
            <m:r>
              <w:rPr>
                <w:rFonts w:ascii="Cambria Math" w:eastAsia="Cambria Math" w:hAnsi="Cambria Math" w:cs="Cambria Math"/>
              </w:rPr>
              <m:t>j,sp</m:t>
            </m:r>
          </m:sub>
        </m:sSub>
      </m:oMath>
      <w:r w:rsidRPr="008F6866">
        <w:rPr>
          <w:rFonts w:ascii="Calibri" w:eastAsia="Calibri" w:hAnsi="Calibri" w:cs="Calibri"/>
        </w:rPr>
        <w:t xml:space="preserve">         </w:t>
      </w:r>
      <w:r w:rsidRPr="008F6866">
        <w:rPr>
          <w:rFonts w:ascii="Calibri" w:eastAsia="Calibri" w:hAnsi="Calibri" w:cs="Calibri"/>
        </w:rPr>
        <w:tab/>
      </w:r>
      <w:r w:rsidRPr="008F6866">
        <w:rPr>
          <w:rFonts w:ascii="Calibri" w:eastAsia="Calibri" w:hAnsi="Calibri" w:cs="Calibri"/>
        </w:rPr>
        <w:tab/>
      </w:r>
      <w:r w:rsidRPr="008F6866">
        <w:rPr>
          <w:rFonts w:ascii="Calibri" w:eastAsia="Calibri" w:hAnsi="Calibri" w:cs="Calibri"/>
        </w:rPr>
        <w:tab/>
        <w:t>(</w:t>
      </w:r>
      <w:r w:rsidR="00E74F15" w:rsidRPr="008F6866">
        <w:rPr>
          <w:rFonts w:ascii="Calibri" w:eastAsia="Calibri" w:hAnsi="Calibri" w:cs="Calibri"/>
        </w:rPr>
        <w:t>4</w:t>
      </w:r>
      <w:r w:rsidRPr="008F6866">
        <w:rPr>
          <w:rFonts w:ascii="Calibri" w:eastAsia="Calibri" w:hAnsi="Calibri" w:cs="Calibri"/>
        </w:rPr>
        <w:t>.8)</w:t>
      </w:r>
    </w:p>
    <w:p w14:paraId="02563A31" w14:textId="6C34C416" w:rsidR="00DE4897" w:rsidRPr="008F6866" w:rsidRDefault="00DE4897" w:rsidP="00E74F15">
      <w:pPr>
        <w:spacing w:after="120" w:line="300" w:lineRule="auto"/>
        <w:jc w:val="both"/>
        <w:rPr>
          <w:rFonts w:ascii="Calibri" w:eastAsia="Calibri" w:hAnsi="Calibri" w:cs="Calibri"/>
        </w:rPr>
      </w:pPr>
      <w:r w:rsidRPr="008F6866">
        <w:rPr>
          <w:rFonts w:ascii="Calibri" w:eastAsia="Calibri" w:hAnsi="Calibri" w:cs="Calibri"/>
        </w:rPr>
        <w:t xml:space="preserve">In addition, as it appeared that </w:t>
      </w:r>
      <m:oMath>
        <m:r>
          <w:rPr>
            <w:rFonts w:ascii="Cambria Math" w:hAnsi="Cambria Math"/>
          </w:rPr>
          <m:t>Δ</m:t>
        </m:r>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j,sp</m:t>
            </m:r>
          </m:sub>
        </m:sSub>
      </m:oMath>
      <w:r w:rsidRPr="008F6866">
        <w:rPr>
          <w:rFonts w:ascii="Calibri" w:eastAsia="Calibri" w:hAnsi="Calibri" w:cs="Calibri"/>
        </w:rPr>
        <w:t xml:space="preserve"> depended on </w:t>
      </w:r>
      <m:oMath>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t=fenced,j</m:t>
            </m:r>
          </m:sub>
        </m:sSub>
      </m:oMath>
      <w:r w:rsidRPr="008F6866">
        <w:rPr>
          <w:rFonts w:ascii="Calibri" w:eastAsia="Calibri" w:hAnsi="Calibri" w:cs="Calibri"/>
        </w:rPr>
        <w:t xml:space="preserve">, we fitted </w:t>
      </w:r>
      <w:r w:rsidR="00F52D71" w:rsidRPr="008F6866">
        <w:rPr>
          <w:rFonts w:ascii="Calibri" w:eastAsia="Calibri" w:hAnsi="Calibri" w:cs="Calibri"/>
        </w:rPr>
        <w:t>E</w:t>
      </w:r>
      <w:r w:rsidRPr="008F6866">
        <w:rPr>
          <w:rFonts w:ascii="Calibri" w:eastAsia="Calibri" w:hAnsi="Calibri" w:cs="Calibri"/>
        </w:rPr>
        <w:t xml:space="preserve">quation </w:t>
      </w:r>
      <w:r w:rsidR="00E74F15" w:rsidRPr="008F6866">
        <w:rPr>
          <w:rFonts w:ascii="Calibri" w:eastAsia="Calibri" w:hAnsi="Calibri" w:cs="Calibri"/>
        </w:rPr>
        <w:t>4</w:t>
      </w:r>
      <w:r w:rsidRPr="008F6866">
        <w:rPr>
          <w:rFonts w:ascii="Calibri" w:eastAsia="Calibri" w:hAnsi="Calibri" w:cs="Calibri"/>
        </w:rPr>
        <w:t>.9 to directly model the height increment of unprotected seedlings in response to the height increment of protected seedlings (considered as an indicator of the potential growth) and the two principal components.</w:t>
      </w:r>
    </w:p>
    <w:p w14:paraId="41031A48" w14:textId="7C44BDF4" w:rsidR="00DE4897" w:rsidRPr="008F6866" w:rsidRDefault="00DE4897" w:rsidP="00F52D71">
      <w:pPr>
        <w:spacing w:after="120" w:line="300" w:lineRule="auto"/>
        <w:jc w:val="right"/>
        <w:rPr>
          <w:rFonts w:ascii="Calibri" w:eastAsia="Calibri" w:hAnsi="Calibri" w:cs="Calibri"/>
        </w:rPr>
      </w:pPr>
      <w:r w:rsidRPr="008F6866">
        <w:rPr>
          <w:rFonts w:ascii="Calibri" w:eastAsia="Calibri" w:hAnsi="Calibri" w:cs="Calibri"/>
        </w:rPr>
        <w:t xml:space="preserve">      </w:t>
      </w:r>
      <m:oMath>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t=unfenced,j,sp</m:t>
            </m:r>
          </m:sub>
        </m:sSub>
        <m:r>
          <w:rPr>
            <w:rFonts w:ascii="Cambria Math" w:eastAsia="Cambria Math" w:hAnsi="Cambria Math" w:cs="Cambria Math"/>
          </w:rPr>
          <m:t xml:space="preserve"> =a+</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sp</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sp</m:t>
            </m:r>
          </m:sub>
        </m:sSub>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t=fenced,j</m:t>
            </m:r>
          </m:sub>
        </m:sSub>
        <m:r>
          <w:rPr>
            <w:rFonts w:ascii="Cambria Math" w:eastAsia="Cambria Math" w:hAnsi="Cambria Math" w:cs="Cambria Math"/>
          </w:rPr>
          <m:t xml:space="preserve"> + </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sp</m:t>
            </m:r>
          </m:sub>
        </m:sSub>
        <m:r>
          <w:rPr>
            <w:rFonts w:ascii="Cambria Math" w:eastAsia="Cambria Math" w:hAnsi="Cambria Math" w:cs="Cambria Math"/>
          </w:rPr>
          <m:t xml:space="preserve"> . PC</m:t>
        </m:r>
        <m:sSub>
          <m:sSubPr>
            <m:ctrlPr>
              <w:rPr>
                <w:rFonts w:ascii="Cambria Math" w:eastAsia="Cambria Math" w:hAnsi="Cambria Math" w:cs="Cambria Math"/>
              </w:rPr>
            </m:ctrlPr>
          </m:sSubPr>
          <m:e>
            <m:r>
              <w:rPr>
                <w:rFonts w:ascii="Cambria Math" w:eastAsia="Cambria Math" w:hAnsi="Cambria Math" w:cs="Cambria Math"/>
              </w:rPr>
              <m:t>1</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sp</m:t>
            </m:r>
          </m:sub>
        </m:sSub>
        <m:r>
          <w:rPr>
            <w:rFonts w:ascii="Cambria Math" w:eastAsia="Cambria Math" w:hAnsi="Cambria Math" w:cs="Cambria Math"/>
          </w:rPr>
          <m:t>⋅PC</m:t>
        </m:r>
        <m:sSub>
          <m:sSubPr>
            <m:ctrlPr>
              <w:rPr>
                <w:rFonts w:ascii="Cambria Math" w:eastAsia="Cambria Math" w:hAnsi="Cambria Math" w:cs="Cambria Math"/>
              </w:rPr>
            </m:ctrlPr>
          </m:sSubPr>
          <m:e>
            <m:r>
              <w:rPr>
                <w:rFonts w:ascii="Cambria Math" w:eastAsia="Cambria Math" w:hAnsi="Cambria Math" w:cs="Cambria Math"/>
              </w:rPr>
              <m:t>2</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ϵ</m:t>
            </m:r>
          </m:e>
          <m:sub>
            <m:r>
              <w:rPr>
                <w:rFonts w:ascii="Cambria Math" w:eastAsia="Cambria Math" w:hAnsi="Cambria Math" w:cs="Cambria Math"/>
              </w:rPr>
              <m:t>j,sp</m:t>
            </m:r>
          </m:sub>
        </m:sSub>
      </m:oMath>
      <w:r w:rsidRPr="008F6866">
        <w:rPr>
          <w:rFonts w:ascii="Calibri" w:eastAsia="Calibri" w:hAnsi="Calibri" w:cs="Calibri"/>
        </w:rPr>
        <w:tab/>
      </w:r>
      <w:r w:rsidRPr="008F6866">
        <w:rPr>
          <w:rFonts w:ascii="Calibri" w:eastAsia="Calibri" w:hAnsi="Calibri" w:cs="Calibri"/>
        </w:rPr>
        <w:tab/>
        <w:t>(</w:t>
      </w:r>
      <w:r w:rsidR="00E74F15" w:rsidRPr="008F6866">
        <w:rPr>
          <w:rFonts w:ascii="Calibri" w:eastAsia="Calibri" w:hAnsi="Calibri" w:cs="Calibri"/>
        </w:rPr>
        <w:t>4</w:t>
      </w:r>
      <w:r w:rsidRPr="008F6866">
        <w:rPr>
          <w:rFonts w:ascii="Calibri" w:eastAsia="Calibri" w:hAnsi="Calibri" w:cs="Calibri"/>
        </w:rPr>
        <w:t>.9)</w:t>
      </w:r>
    </w:p>
    <w:p w14:paraId="4307E7A6" w14:textId="77777777" w:rsidR="00E74F15" w:rsidRPr="008F6866" w:rsidRDefault="39CFF0FF" w:rsidP="00F52D71">
      <w:pPr>
        <w:spacing w:after="120" w:line="300" w:lineRule="auto"/>
        <w:jc w:val="both"/>
        <w:rPr>
          <w:rFonts w:ascii="Calibri" w:eastAsia="Calibri" w:hAnsi="Calibri" w:cs="Calibri"/>
        </w:rPr>
      </w:pPr>
      <w:r w:rsidRPr="008F6866">
        <w:rPr>
          <w:rFonts w:ascii="Calibri" w:eastAsia="Calibri" w:hAnsi="Calibri" w:cs="Calibri"/>
        </w:rPr>
        <w:t xml:space="preserve">The biomass of the ground vegetation was estimated at the plot level. The fitted models (Equation </w:t>
      </w:r>
      <w:r w:rsidR="00E74F15" w:rsidRPr="008F6866">
        <w:rPr>
          <w:rFonts w:ascii="Calibri" w:eastAsia="Calibri" w:hAnsi="Calibri" w:cs="Calibri"/>
        </w:rPr>
        <w:t>4</w:t>
      </w:r>
      <w:r w:rsidRPr="008F6866">
        <w:rPr>
          <w:rFonts w:ascii="Calibri" w:eastAsia="Calibri" w:hAnsi="Calibri" w:cs="Calibri"/>
        </w:rPr>
        <w:t>.10) were then very similar to the ones used to model the height increment but without the species effect.</w:t>
      </w:r>
    </w:p>
    <w:p w14:paraId="2DDC7FFF" w14:textId="58E34550" w:rsidR="00DE4897" w:rsidRPr="008F6866" w:rsidRDefault="00E74F15" w:rsidP="00F52D71">
      <w:pPr>
        <w:spacing w:after="120" w:line="300" w:lineRule="auto"/>
        <w:jc w:val="both"/>
        <w:rPr>
          <w:rFonts w:ascii="Calibri" w:eastAsia="Calibri" w:hAnsi="Calibri" w:cs="Calibri"/>
        </w:rPr>
      </w:pPr>
      <w:r w:rsidRPr="008F6866">
        <w:rPr>
          <w:rFonts w:ascii="Calibri" w:eastAsia="Calibri" w:hAnsi="Calibri" w:cs="Calibri"/>
        </w:rPr>
        <w:t xml:space="preserve">      </w:t>
      </w:r>
      <m:oMath>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j,t,r</m:t>
            </m:r>
          </m:sub>
        </m:sSub>
        <m:r>
          <w:rPr>
            <w:rFonts w:ascii="Cambria Math" w:eastAsia="Cambria Math" w:hAnsi="Cambria Math" w:cs="Cambria Math"/>
          </w:rPr>
          <m:t>=a+</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t</m:t>
            </m:r>
          </m:sub>
        </m:sSub>
        <m:r>
          <w:rPr>
            <w:rFonts w:ascii="Cambria Math" w:eastAsia="Cambria Math" w:hAnsi="Cambria Math" w:cs="Cambria Math"/>
          </w:rPr>
          <m:t>+c⋅PC</m:t>
        </m:r>
        <m:sSub>
          <m:sSubPr>
            <m:ctrlPr>
              <w:rPr>
                <w:rFonts w:ascii="Cambria Math" w:eastAsia="Cambria Math" w:hAnsi="Cambria Math" w:cs="Cambria Math"/>
              </w:rPr>
            </m:ctrlPr>
          </m:sSubPr>
          <m:e>
            <m:r>
              <w:rPr>
                <w:rFonts w:ascii="Cambria Math" w:eastAsia="Cambria Math" w:hAnsi="Cambria Math" w:cs="Cambria Math"/>
              </w:rPr>
              <m:t>1</m:t>
            </m:r>
          </m:e>
          <m:sub>
            <m:r>
              <w:rPr>
                <w:rFonts w:ascii="Cambria Math" w:eastAsia="Cambria Math" w:hAnsi="Cambria Math" w:cs="Cambria Math"/>
              </w:rPr>
              <m:t>j</m:t>
            </m:r>
          </m:sub>
        </m:sSub>
        <m:r>
          <w:rPr>
            <w:rFonts w:ascii="Cambria Math" w:eastAsia="Cambria Math" w:hAnsi="Cambria Math" w:cs="Cambria Math"/>
          </w:rPr>
          <m:t>+d⋅PC</m:t>
        </m:r>
        <m:sSub>
          <m:sSubPr>
            <m:ctrlPr>
              <w:rPr>
                <w:rFonts w:ascii="Cambria Math" w:eastAsia="Cambria Math" w:hAnsi="Cambria Math" w:cs="Cambria Math"/>
              </w:rPr>
            </m:ctrlPr>
          </m:sSubPr>
          <m:e>
            <m:r>
              <w:rPr>
                <w:rFonts w:ascii="Cambria Math" w:eastAsia="Cambria Math" w:hAnsi="Cambria Math" w:cs="Cambria Math"/>
              </w:rPr>
              <m:t>2</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α</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ϵ</m:t>
            </m:r>
          </m:e>
          <m:sub>
            <m:r>
              <w:rPr>
                <w:rFonts w:ascii="Cambria Math" w:eastAsia="Cambria Math" w:hAnsi="Cambria Math" w:cs="Cambria Math"/>
              </w:rPr>
              <m:t>j,sp,t,r</m:t>
            </m:r>
          </m:sub>
        </m:sSub>
      </m:oMath>
      <w:r w:rsidR="00DE4897" w:rsidRPr="008F6866">
        <w:rPr>
          <w:rFonts w:ascii="Calibri" w:eastAsia="Calibri" w:hAnsi="Calibri" w:cs="Calibri"/>
        </w:rPr>
        <w:t xml:space="preserve">           </w:t>
      </w:r>
      <w:r w:rsidR="00DE4897" w:rsidRPr="008F6866">
        <w:rPr>
          <w:rFonts w:ascii="Calibri" w:eastAsia="Calibri" w:hAnsi="Calibri" w:cs="Calibri"/>
        </w:rPr>
        <w:tab/>
      </w:r>
      <w:r w:rsidR="00DE4897" w:rsidRPr="008F6866">
        <w:rPr>
          <w:rFonts w:ascii="Calibri" w:eastAsia="Calibri" w:hAnsi="Calibri" w:cs="Calibri"/>
        </w:rPr>
        <w:tab/>
      </w:r>
      <w:r w:rsidR="00DE4897" w:rsidRPr="008F6866">
        <w:rPr>
          <w:rFonts w:ascii="Calibri" w:eastAsia="Calibri" w:hAnsi="Calibri" w:cs="Calibri"/>
        </w:rPr>
        <w:tab/>
      </w:r>
      <w:r w:rsidR="00DE4897" w:rsidRPr="008F6866">
        <w:rPr>
          <w:rFonts w:ascii="Calibri" w:eastAsia="Calibri" w:hAnsi="Calibri" w:cs="Calibri"/>
        </w:rPr>
        <w:tab/>
      </w:r>
      <w:r w:rsidR="00F52D71" w:rsidRPr="008F6866">
        <w:rPr>
          <w:rFonts w:ascii="Calibri" w:eastAsia="Calibri" w:hAnsi="Calibri" w:cs="Calibri"/>
        </w:rPr>
        <w:t xml:space="preserve">            </w:t>
      </w:r>
      <w:r w:rsidRPr="008F6866">
        <w:rPr>
          <w:rFonts w:ascii="Calibri" w:eastAsia="Calibri" w:hAnsi="Calibri" w:cs="Calibri"/>
        </w:rPr>
        <w:t>(4.10)</w:t>
      </w:r>
    </w:p>
    <w:p w14:paraId="71C4D8D9" w14:textId="45588C0E" w:rsidR="00F52D71" w:rsidRPr="008F6866" w:rsidRDefault="00DE4897" w:rsidP="00F52D71">
      <w:pPr>
        <w:spacing w:after="120" w:line="300" w:lineRule="auto"/>
        <w:jc w:val="both"/>
        <w:rPr>
          <w:rFonts w:ascii="Calibri" w:eastAsia="Calibri" w:hAnsi="Calibri" w:cs="Calibri"/>
        </w:rPr>
      </w:pPr>
      <w:r w:rsidRPr="008F6866">
        <w:rPr>
          <w:rFonts w:ascii="Calibri" w:eastAsia="Calibri" w:hAnsi="Calibri" w:cs="Calibri"/>
        </w:rPr>
        <w:t xml:space="preserve">Additionally, the reduction of the biomass increment in paired plots </w:t>
      </w:r>
      <m:oMath>
        <m:r>
          <w:rPr>
            <w:rFonts w:ascii="Cambria Math" w:eastAsia="Cambria Math" w:hAnsi="Cambria Math" w:cs="Cambria Math"/>
          </w:rPr>
          <m:t>(Δi</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j</m:t>
            </m:r>
          </m:sub>
        </m:sSub>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t=unfenced,j</m:t>
            </m:r>
          </m:sub>
        </m:sSub>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t=fenced,j</m:t>
            </m:r>
          </m:sub>
        </m:sSub>
      </m:oMath>
      <w:r w:rsidRPr="008F6866">
        <w:rPr>
          <w:rFonts w:ascii="Calibri" w:eastAsia="Calibri" w:hAnsi="Calibri" w:cs="Calibri"/>
        </w:rPr>
        <w:t xml:space="preserve">) was </w:t>
      </w:r>
      <w:r w:rsidR="006D35A3" w:rsidRPr="008F6866">
        <w:rPr>
          <w:rFonts w:ascii="Calibri" w:eastAsia="Calibri" w:hAnsi="Calibri" w:cs="Calibri"/>
        </w:rPr>
        <w:t>modelled</w:t>
      </w:r>
      <w:r w:rsidRPr="008F6866">
        <w:rPr>
          <w:rFonts w:ascii="Calibri" w:eastAsia="Calibri" w:hAnsi="Calibri" w:cs="Calibri"/>
        </w:rPr>
        <w:t xml:space="preserve"> in response to the treatment and principal components fitting Equation </w:t>
      </w:r>
      <w:r w:rsidR="00F52D71" w:rsidRPr="008F6866">
        <w:rPr>
          <w:rFonts w:ascii="Calibri" w:eastAsia="Calibri" w:hAnsi="Calibri" w:cs="Calibri"/>
        </w:rPr>
        <w:t>4.</w:t>
      </w:r>
      <w:r w:rsidRPr="008F6866">
        <w:rPr>
          <w:rFonts w:ascii="Calibri" w:eastAsia="Calibri" w:hAnsi="Calibri" w:cs="Calibri"/>
        </w:rPr>
        <w:t>11.</w:t>
      </w:r>
    </w:p>
    <w:p w14:paraId="1E561C57" w14:textId="79C7A5CE" w:rsidR="00DE4897" w:rsidRPr="008F6866" w:rsidRDefault="00F52D71" w:rsidP="00F52D71">
      <w:pPr>
        <w:spacing w:after="120" w:line="300" w:lineRule="auto"/>
        <w:jc w:val="both"/>
        <w:rPr>
          <w:rFonts w:ascii="Calibri" w:eastAsia="Calibri" w:hAnsi="Calibri" w:cs="Calibri"/>
        </w:rPr>
      </w:pPr>
      <w:r w:rsidRPr="008F6866">
        <w:rPr>
          <w:rFonts w:ascii="Calibri" w:eastAsia="Calibri" w:hAnsi="Calibri" w:cs="Calibri"/>
        </w:rPr>
        <w:t xml:space="preserve">     </w:t>
      </w:r>
      <m:oMath>
        <m:r>
          <w:rPr>
            <w:rFonts w:ascii="Cambria Math" w:hAnsi="Cambria Math"/>
          </w:rPr>
          <m:t>Δ</m:t>
        </m:r>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j</m:t>
            </m:r>
          </m:sub>
        </m:sSub>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t=unfenced,j</m:t>
            </m:r>
          </m:sub>
        </m:sSub>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t=fenced,j</m:t>
            </m:r>
          </m:sub>
        </m:sSub>
        <m:r>
          <w:rPr>
            <w:rFonts w:ascii="Cambria Math" w:eastAsia="Cambria Math" w:hAnsi="Cambria Math" w:cs="Cambria Math"/>
          </w:rPr>
          <m:t>=a+</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t</m:t>
            </m:r>
          </m:sub>
        </m:sSub>
        <m:r>
          <w:rPr>
            <w:rFonts w:ascii="Cambria Math" w:eastAsia="Cambria Math" w:hAnsi="Cambria Math" w:cs="Cambria Math"/>
          </w:rPr>
          <m:t>+c⋅PC</m:t>
        </m:r>
        <m:sSub>
          <m:sSubPr>
            <m:ctrlPr>
              <w:rPr>
                <w:rFonts w:ascii="Cambria Math" w:eastAsia="Cambria Math" w:hAnsi="Cambria Math" w:cs="Cambria Math"/>
              </w:rPr>
            </m:ctrlPr>
          </m:sSubPr>
          <m:e>
            <m:r>
              <w:rPr>
                <w:rFonts w:ascii="Cambria Math" w:eastAsia="Cambria Math" w:hAnsi="Cambria Math" w:cs="Cambria Math"/>
              </w:rPr>
              <m:t>1</m:t>
            </m:r>
          </m:e>
          <m:sub>
            <m:r>
              <w:rPr>
                <w:rFonts w:ascii="Cambria Math" w:eastAsia="Cambria Math" w:hAnsi="Cambria Math" w:cs="Cambria Math"/>
              </w:rPr>
              <m:t>j</m:t>
            </m:r>
          </m:sub>
        </m:sSub>
        <m:r>
          <w:rPr>
            <w:rFonts w:ascii="Cambria Math" w:eastAsia="Cambria Math" w:hAnsi="Cambria Math" w:cs="Cambria Math"/>
          </w:rPr>
          <m:t>+d⋅PC</m:t>
        </m:r>
        <m:sSub>
          <m:sSubPr>
            <m:ctrlPr>
              <w:rPr>
                <w:rFonts w:ascii="Cambria Math" w:eastAsia="Cambria Math" w:hAnsi="Cambria Math" w:cs="Cambria Math"/>
              </w:rPr>
            </m:ctrlPr>
          </m:sSubPr>
          <m:e>
            <m:r>
              <w:rPr>
                <w:rFonts w:ascii="Cambria Math" w:eastAsia="Cambria Math" w:hAnsi="Cambria Math" w:cs="Cambria Math"/>
              </w:rPr>
              <m:t>2</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t</m:t>
            </m:r>
          </m:sub>
        </m:sSub>
        <m:r>
          <w:rPr>
            <w:rFonts w:ascii="Cambria Math" w:eastAsia="Cambria Math" w:hAnsi="Cambria Math" w:cs="Cambria Math"/>
          </w:rPr>
          <m:t>⋅PC</m:t>
        </m:r>
        <m:sSub>
          <m:sSubPr>
            <m:ctrlPr>
              <w:rPr>
                <w:rFonts w:ascii="Cambria Math" w:eastAsia="Cambria Math" w:hAnsi="Cambria Math" w:cs="Cambria Math"/>
              </w:rPr>
            </m:ctrlPr>
          </m:sSubPr>
          <m:e>
            <m:r>
              <w:rPr>
                <w:rFonts w:ascii="Cambria Math" w:eastAsia="Cambria Math" w:hAnsi="Cambria Math" w:cs="Cambria Math"/>
              </w:rPr>
              <m:t>1</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ϵ</m:t>
            </m:r>
          </m:e>
          <m:sub>
            <m:r>
              <w:rPr>
                <w:rFonts w:ascii="Cambria Math" w:eastAsia="Cambria Math" w:hAnsi="Cambria Math" w:cs="Cambria Math"/>
              </w:rPr>
              <m:t>j,t</m:t>
            </m:r>
          </m:sub>
        </m:sSub>
      </m:oMath>
      <w:r w:rsidRPr="008F6866">
        <w:rPr>
          <w:rFonts w:ascii="Calibri" w:eastAsia="Calibri" w:hAnsi="Calibri" w:cs="Calibri"/>
        </w:rPr>
        <w:t xml:space="preserve">        </w:t>
      </w:r>
      <w:r w:rsidR="00DE4897" w:rsidRPr="008F6866">
        <w:rPr>
          <w:rFonts w:ascii="Calibri" w:eastAsia="Calibri" w:hAnsi="Calibri" w:cs="Calibri"/>
        </w:rPr>
        <w:t>(</w:t>
      </w:r>
      <w:r w:rsidRPr="008F6866">
        <w:rPr>
          <w:rFonts w:ascii="Calibri" w:eastAsia="Calibri" w:hAnsi="Calibri" w:cs="Calibri"/>
        </w:rPr>
        <w:t>4</w:t>
      </w:r>
      <w:r w:rsidR="00DE4897" w:rsidRPr="008F6866">
        <w:rPr>
          <w:rFonts w:ascii="Calibri" w:eastAsia="Calibri" w:hAnsi="Calibri" w:cs="Calibri"/>
        </w:rPr>
        <w:t>.1</w:t>
      </w:r>
      <w:r w:rsidR="007E5F03" w:rsidRPr="008F6866">
        <w:rPr>
          <w:rFonts w:ascii="Calibri" w:eastAsia="Calibri" w:hAnsi="Calibri" w:cs="Calibri"/>
        </w:rPr>
        <w:t>1</w:t>
      </w:r>
      <w:r w:rsidR="00DE4897" w:rsidRPr="008F6866">
        <w:rPr>
          <w:rFonts w:ascii="Calibri" w:eastAsia="Calibri" w:hAnsi="Calibri" w:cs="Calibri"/>
        </w:rPr>
        <w:t>)</w:t>
      </w:r>
    </w:p>
    <w:p w14:paraId="5DA7A6E1" w14:textId="77777777" w:rsidR="00F52D71" w:rsidRPr="008F6866" w:rsidRDefault="00F52D71" w:rsidP="00F52D71">
      <w:pPr>
        <w:spacing w:after="0" w:line="300" w:lineRule="auto"/>
        <w:jc w:val="both"/>
        <w:rPr>
          <w:rFonts w:ascii="Calibri" w:eastAsia="Calibri" w:hAnsi="Calibri" w:cs="Calibri"/>
        </w:rPr>
      </w:pPr>
    </w:p>
    <w:p w14:paraId="6889EDE0" w14:textId="77777777" w:rsidR="00DE4897" w:rsidRPr="008F6866" w:rsidRDefault="00DE4897" w:rsidP="00DE4897">
      <w:pPr>
        <w:spacing w:after="60"/>
        <w:jc w:val="both"/>
        <w:rPr>
          <w:rFonts w:ascii="Calibri" w:eastAsia="Calibri" w:hAnsi="Calibri" w:cs="Calibri"/>
          <w:i/>
        </w:rPr>
      </w:pPr>
      <w:r w:rsidRPr="008F6866">
        <w:rPr>
          <w:rFonts w:ascii="Calibri" w:eastAsia="Calibri" w:hAnsi="Calibri" w:cs="Calibri"/>
          <w:i/>
        </w:rPr>
        <w:t>Results and discussion</w:t>
      </w:r>
    </w:p>
    <w:p w14:paraId="0E779407" w14:textId="42EE7C48" w:rsidR="00DE4897" w:rsidRDefault="39CFF0FF" w:rsidP="39CFF0FF">
      <w:pPr>
        <w:spacing w:after="60" w:line="300" w:lineRule="auto"/>
        <w:jc w:val="both"/>
        <w:rPr>
          <w:rFonts w:ascii="Calibri" w:eastAsia="Calibri" w:hAnsi="Calibri" w:cs="Calibri"/>
        </w:rPr>
      </w:pPr>
      <w:r w:rsidRPr="008F6866">
        <w:rPr>
          <w:rFonts w:ascii="Calibri" w:eastAsia="Calibri" w:hAnsi="Calibri" w:cs="Calibri"/>
        </w:rPr>
        <w:t>The two first principal components explained 41 % of the total variability of the explanatory variables (</w:t>
      </w:r>
      <w:r w:rsidR="005E1BC3" w:rsidRPr="008F6866">
        <w:rPr>
          <w:rFonts w:ascii="Calibri" w:eastAsia="Calibri" w:hAnsi="Calibri" w:cs="Calibri"/>
        </w:rPr>
        <w:fldChar w:fldCharType="begin"/>
      </w:r>
      <w:r w:rsidR="005E1BC3" w:rsidRPr="008F6866">
        <w:rPr>
          <w:rFonts w:ascii="Calibri" w:eastAsia="Calibri" w:hAnsi="Calibri" w:cs="Calibri"/>
        </w:rPr>
        <w:instrText xml:space="preserve"> REF _Ref195644670 \h  \* MERGEFORMAT </w:instrText>
      </w:r>
      <w:r w:rsidR="005E1BC3" w:rsidRPr="008F6866">
        <w:rPr>
          <w:rFonts w:ascii="Calibri" w:eastAsia="Calibri" w:hAnsi="Calibri" w:cs="Calibri"/>
        </w:rPr>
      </w:r>
      <w:r w:rsidR="005E1BC3" w:rsidRPr="008F6866">
        <w:rPr>
          <w:rFonts w:ascii="Calibri" w:eastAsia="Calibri" w:hAnsi="Calibri" w:cs="Calibri"/>
        </w:rPr>
        <w:fldChar w:fldCharType="separate"/>
      </w:r>
      <w:r w:rsidR="00540DBF" w:rsidRPr="00540DBF">
        <w:rPr>
          <w:rFonts w:ascii="Calibri" w:eastAsia="Calibri" w:hAnsi="Calibri" w:cs="Calibri"/>
        </w:rPr>
        <w:t>Figure 14</w:t>
      </w:r>
      <w:r w:rsidR="005E1BC3" w:rsidRPr="008F6866">
        <w:rPr>
          <w:rFonts w:ascii="Calibri" w:eastAsia="Calibri" w:hAnsi="Calibri" w:cs="Calibri"/>
        </w:rPr>
        <w:fldChar w:fldCharType="end"/>
      </w:r>
      <w:r w:rsidRPr="008F6866">
        <w:rPr>
          <w:rFonts w:ascii="Calibri" w:eastAsia="Calibri" w:hAnsi="Calibri" w:cs="Calibri"/>
        </w:rPr>
        <w:t>). The first components depended mainly on estimates of red deer density whereas the second component depended on other environmental conditions.</w:t>
      </w:r>
    </w:p>
    <w:p w14:paraId="29B4A59C" w14:textId="77777777" w:rsidR="00D0011E" w:rsidRPr="008F6866" w:rsidRDefault="00D0011E" w:rsidP="00D0011E">
      <w:pPr>
        <w:spacing w:after="120" w:line="300" w:lineRule="auto"/>
        <w:jc w:val="both"/>
        <w:rPr>
          <w:rFonts w:ascii="Calibri" w:eastAsia="Calibri" w:hAnsi="Calibri" w:cs="Calibri"/>
        </w:rPr>
      </w:pPr>
      <w:r w:rsidRPr="008F6866">
        <w:rPr>
          <w:rFonts w:ascii="Calibri" w:eastAsia="Calibri" w:hAnsi="Calibri" w:cs="Calibri"/>
        </w:rPr>
        <w:t>Large scores on the first component were obtained for areas with low red deer density and, but to a lesser extent, high roe deer density. In the following, this principal component was inverted so to have large score in areas where red deer was abundant (</w:t>
      </w:r>
      <w:r w:rsidRPr="008F6866">
        <w:rPr>
          <w:rFonts w:ascii="Calibri" w:eastAsia="Calibri" w:hAnsi="Calibri" w:cs="Calibri"/>
        </w:rPr>
        <w:fldChar w:fldCharType="begin"/>
      </w:r>
      <w:r w:rsidRPr="008F6866">
        <w:rPr>
          <w:rFonts w:ascii="Calibri" w:eastAsia="Calibri" w:hAnsi="Calibri" w:cs="Calibri"/>
        </w:rPr>
        <w:instrText xml:space="preserve"> REF _Ref195644772 \h  \* MERGEFORMAT </w:instrText>
      </w:r>
      <w:r w:rsidRPr="008F6866">
        <w:rPr>
          <w:rFonts w:ascii="Calibri" w:eastAsia="Calibri" w:hAnsi="Calibri" w:cs="Calibri"/>
        </w:rPr>
      </w:r>
      <w:r w:rsidRPr="008F6866">
        <w:rPr>
          <w:rFonts w:ascii="Calibri" w:eastAsia="Calibri" w:hAnsi="Calibri" w:cs="Calibri"/>
        </w:rPr>
        <w:fldChar w:fldCharType="separate"/>
      </w:r>
      <w:r w:rsidRPr="00540DBF">
        <w:rPr>
          <w:rFonts w:ascii="Calibri" w:eastAsia="Calibri" w:hAnsi="Calibri" w:cs="Calibri"/>
        </w:rPr>
        <w:t>Figure 15</w:t>
      </w:r>
      <w:r w:rsidRPr="008F6866">
        <w:rPr>
          <w:rFonts w:ascii="Calibri" w:eastAsia="Calibri" w:hAnsi="Calibri" w:cs="Calibri"/>
        </w:rPr>
        <w:fldChar w:fldCharType="end"/>
      </w:r>
      <w:r w:rsidRPr="008F6866">
        <w:rPr>
          <w:rFonts w:ascii="Calibri" w:eastAsia="Calibri" w:hAnsi="Calibri" w:cs="Calibri"/>
        </w:rPr>
        <w:t>).</w:t>
      </w:r>
    </w:p>
    <w:p w14:paraId="1242176F" w14:textId="77777777" w:rsidR="00D0011E" w:rsidRPr="008F6866" w:rsidRDefault="00D0011E" w:rsidP="00D0011E">
      <w:pPr>
        <w:spacing w:after="120" w:line="300" w:lineRule="auto"/>
        <w:jc w:val="both"/>
        <w:rPr>
          <w:rFonts w:ascii="Calibri" w:eastAsia="Calibri" w:hAnsi="Calibri" w:cs="Calibri"/>
        </w:rPr>
      </w:pPr>
      <w:r w:rsidRPr="008F6866">
        <w:rPr>
          <w:rFonts w:ascii="Calibri" w:eastAsia="Calibri" w:hAnsi="Calibri" w:cs="Calibri"/>
        </w:rPr>
        <w:t xml:space="preserve">Large scores on the second component were obtained for plots at high elevation, far from roads and buildings, where the carrying capacity was low, wild boar population was small and the ground vegetation was less palatable. Such plots were mostly found in the large forest patches at high elevation in Ardenne. </w:t>
      </w:r>
    </w:p>
    <w:p w14:paraId="0C89C06D" w14:textId="77777777" w:rsidR="00D0011E" w:rsidRPr="008F6866" w:rsidRDefault="00D0011E" w:rsidP="00D0011E">
      <w:pPr>
        <w:spacing w:after="120" w:line="300" w:lineRule="auto"/>
        <w:jc w:val="both"/>
        <w:rPr>
          <w:rFonts w:ascii="Calibri" w:eastAsia="Calibri" w:hAnsi="Calibri" w:cs="Calibri"/>
        </w:rPr>
      </w:pPr>
      <w:r w:rsidRPr="008F6866">
        <w:rPr>
          <w:rFonts w:ascii="Calibri" w:eastAsia="Calibri" w:hAnsi="Calibri" w:cs="Calibri"/>
        </w:rPr>
        <w:t>In the following, for the sake of simplicity, we will sometimes refer to these gradients as gradients of red deer density and elevation. The reader must nevertheless keep in mind that other environmental characteristics were correlated to these variables.</w:t>
      </w:r>
    </w:p>
    <w:p w14:paraId="0197701C" w14:textId="77777777" w:rsidR="00D0011E" w:rsidRPr="008F6866" w:rsidRDefault="00D0011E" w:rsidP="39CFF0FF">
      <w:pPr>
        <w:spacing w:after="60" w:line="300" w:lineRule="auto"/>
        <w:jc w:val="both"/>
        <w:rPr>
          <w:rFonts w:ascii="Calibri" w:eastAsia="Calibri" w:hAnsi="Calibri" w:cs="Calibri"/>
        </w:rPr>
      </w:pPr>
    </w:p>
    <w:p w14:paraId="1C76885E" w14:textId="126F46DA" w:rsidR="00DE4897" w:rsidRPr="008F6866" w:rsidRDefault="00DE4897" w:rsidP="005E1BC3">
      <w:pPr>
        <w:keepNext/>
        <w:spacing w:after="0"/>
        <w:jc w:val="center"/>
      </w:pPr>
      <w:r w:rsidRPr="008F6866">
        <w:rPr>
          <w:noProof/>
        </w:rPr>
        <w:lastRenderedPageBreak/>
        <w:drawing>
          <wp:inline distT="0" distB="0" distL="0" distR="0" wp14:anchorId="70110164" wp14:editId="23B50435">
            <wp:extent cx="4229923" cy="3006337"/>
            <wp:effectExtent l="0" t="0" r="0" b="3810"/>
            <wp:docPr id="206168098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8"/>
                    <a:srcRect/>
                    <a:stretch>
                      <a:fillRect/>
                    </a:stretch>
                  </pic:blipFill>
                  <pic:spPr>
                    <a:xfrm>
                      <a:off x="0" y="0"/>
                      <a:ext cx="4239449" cy="3013108"/>
                    </a:xfrm>
                    <a:prstGeom prst="rect">
                      <a:avLst/>
                    </a:prstGeom>
                    <a:ln/>
                  </pic:spPr>
                </pic:pic>
              </a:graphicData>
            </a:graphic>
          </wp:inline>
        </w:drawing>
      </w:r>
    </w:p>
    <w:p w14:paraId="51FDCE65" w14:textId="32E575E5" w:rsidR="005E1BC3" w:rsidRPr="008F6866" w:rsidRDefault="36E2585C" w:rsidP="39707634">
      <w:pPr>
        <w:pStyle w:val="Lgende"/>
        <w:jc w:val="center"/>
        <w:rPr>
          <w:b/>
          <w:bCs/>
          <w:i w:val="0"/>
          <w:iCs w:val="0"/>
          <w:color w:val="000000" w:themeColor="text1"/>
          <w:sz w:val="20"/>
          <w:szCs w:val="20"/>
        </w:rPr>
      </w:pPr>
      <w:bookmarkStart w:id="42" w:name="_Ref195644670"/>
      <w:r w:rsidRPr="008F6866">
        <w:rPr>
          <w:b/>
          <w:bCs/>
          <w:i w:val="0"/>
          <w:iCs w:val="0"/>
          <w:color w:val="000000" w:themeColor="text1"/>
          <w:sz w:val="20"/>
          <w:szCs w:val="20"/>
        </w:rPr>
        <w:t xml:space="preserve">Figure </w:t>
      </w:r>
      <w:r w:rsidRPr="008F6866">
        <w:rPr>
          <w:b/>
          <w:bCs/>
          <w:i w:val="0"/>
          <w:iCs w:val="0"/>
          <w:color w:val="000000" w:themeColor="text1"/>
          <w:sz w:val="20"/>
          <w:szCs w:val="20"/>
        </w:rPr>
        <w:fldChar w:fldCharType="begin"/>
      </w:r>
      <w:r w:rsidRPr="008F6866">
        <w:rPr>
          <w:b/>
          <w:bCs/>
          <w:i w:val="0"/>
          <w:iCs w:val="0"/>
          <w:color w:val="000000" w:themeColor="text1"/>
          <w:sz w:val="20"/>
          <w:szCs w:val="20"/>
        </w:rPr>
        <w:instrText xml:space="preserve"> SEQ Figure \* ARABIC </w:instrText>
      </w:r>
      <w:r w:rsidRPr="008F6866">
        <w:rPr>
          <w:b/>
          <w:bCs/>
          <w:i w:val="0"/>
          <w:iCs w:val="0"/>
          <w:color w:val="000000" w:themeColor="text1"/>
          <w:sz w:val="20"/>
          <w:szCs w:val="20"/>
        </w:rPr>
        <w:fldChar w:fldCharType="separate"/>
      </w:r>
      <w:r w:rsidR="00540DBF">
        <w:rPr>
          <w:b/>
          <w:bCs/>
          <w:i w:val="0"/>
          <w:iCs w:val="0"/>
          <w:noProof/>
          <w:color w:val="000000" w:themeColor="text1"/>
          <w:sz w:val="20"/>
          <w:szCs w:val="20"/>
        </w:rPr>
        <w:t>14</w:t>
      </w:r>
      <w:r w:rsidRPr="008F6866">
        <w:rPr>
          <w:b/>
          <w:bCs/>
          <w:i w:val="0"/>
          <w:iCs w:val="0"/>
          <w:color w:val="000000" w:themeColor="text1"/>
          <w:sz w:val="20"/>
          <w:szCs w:val="20"/>
        </w:rPr>
        <w:fldChar w:fldCharType="end"/>
      </w:r>
      <w:bookmarkEnd w:id="42"/>
      <w:r w:rsidRPr="008F6866">
        <w:rPr>
          <w:b/>
          <w:bCs/>
          <w:i w:val="0"/>
          <w:iCs w:val="0"/>
          <w:color w:val="000000" w:themeColor="text1"/>
          <w:sz w:val="20"/>
          <w:szCs w:val="20"/>
        </w:rPr>
        <w:t>. Biplot of the principal component analyses with all quantitative explanatory variables. The arrows show the correlations between the explanatory variables and the two first principal components (Dim1 and Dim2)</w:t>
      </w:r>
    </w:p>
    <w:p w14:paraId="27990235" w14:textId="77777777" w:rsidR="00DE4897" w:rsidRPr="008F6866" w:rsidRDefault="00DE4897" w:rsidP="00DE4897">
      <w:pPr>
        <w:spacing w:after="120"/>
        <w:jc w:val="both"/>
        <w:rPr>
          <w:rFonts w:ascii="Calibri" w:eastAsia="Calibri" w:hAnsi="Calibri" w:cs="Calibri"/>
          <w:sz w:val="2"/>
          <w:szCs w:val="2"/>
        </w:rPr>
      </w:pPr>
      <w:bookmarkStart w:id="43" w:name="_heading=h.1v1yuxt"/>
      <w:bookmarkEnd w:id="43"/>
    </w:p>
    <w:p w14:paraId="33F685B2" w14:textId="3DFF42C4" w:rsidR="00DE4897" w:rsidRPr="008F6866" w:rsidRDefault="00DE4897" w:rsidP="005E1BC3">
      <w:pPr>
        <w:keepNext/>
        <w:spacing w:after="0"/>
        <w:jc w:val="center"/>
      </w:pPr>
      <w:r w:rsidRPr="008F6866">
        <w:rPr>
          <w:noProof/>
        </w:rPr>
        <w:drawing>
          <wp:inline distT="0" distB="0" distL="0" distR="0" wp14:anchorId="6346A51F" wp14:editId="24F64310">
            <wp:extent cx="4170716" cy="2414279"/>
            <wp:effectExtent l="0" t="0" r="1270" b="5080"/>
            <wp:docPr id="206168099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9"/>
                    <a:srcRect/>
                    <a:stretch>
                      <a:fillRect/>
                    </a:stretch>
                  </pic:blipFill>
                  <pic:spPr>
                    <a:xfrm>
                      <a:off x="0" y="0"/>
                      <a:ext cx="4186238" cy="2423264"/>
                    </a:xfrm>
                    <a:prstGeom prst="rect">
                      <a:avLst/>
                    </a:prstGeom>
                    <a:ln/>
                  </pic:spPr>
                </pic:pic>
              </a:graphicData>
            </a:graphic>
          </wp:inline>
        </w:drawing>
      </w:r>
    </w:p>
    <w:p w14:paraId="04B137EB" w14:textId="4E67F07C" w:rsidR="005E1BC3" w:rsidRPr="008F6866" w:rsidRDefault="005E1BC3" w:rsidP="005E1BC3">
      <w:pPr>
        <w:pStyle w:val="Lgende"/>
        <w:jc w:val="center"/>
        <w:rPr>
          <w:b/>
          <w:i w:val="0"/>
          <w:color w:val="000000" w:themeColor="text1"/>
          <w:sz w:val="20"/>
          <w:szCs w:val="20"/>
        </w:rPr>
      </w:pPr>
      <w:bookmarkStart w:id="44" w:name="_Ref195644772"/>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15</w:t>
      </w:r>
      <w:r w:rsidRPr="008F6866">
        <w:rPr>
          <w:b/>
          <w:i w:val="0"/>
          <w:color w:val="000000" w:themeColor="text1"/>
          <w:sz w:val="20"/>
          <w:szCs w:val="20"/>
        </w:rPr>
        <w:fldChar w:fldCharType="end"/>
      </w:r>
      <w:bookmarkEnd w:id="44"/>
      <w:r w:rsidRPr="008F6866">
        <w:rPr>
          <w:b/>
          <w:i w:val="0"/>
          <w:color w:val="000000" w:themeColor="text1"/>
          <w:sz w:val="20"/>
          <w:szCs w:val="20"/>
        </w:rPr>
        <w:t>. Relationship between the estimates of red deer density and the scores of the first principal component</w:t>
      </w:r>
    </w:p>
    <w:p w14:paraId="59C113D7" w14:textId="77777777" w:rsidR="00DE4897" w:rsidRPr="008F6866" w:rsidRDefault="39CFF0FF" w:rsidP="00F347FB">
      <w:pPr>
        <w:spacing w:after="120" w:line="300" w:lineRule="auto"/>
        <w:jc w:val="both"/>
        <w:rPr>
          <w:rFonts w:ascii="Calibri" w:eastAsia="Calibri" w:hAnsi="Calibri" w:cs="Calibri"/>
        </w:rPr>
      </w:pPr>
      <w:bookmarkStart w:id="45" w:name="_heading=h.4f1mdlm"/>
      <w:bookmarkEnd w:id="45"/>
      <w:r w:rsidRPr="008F6866">
        <w:rPr>
          <w:rFonts w:ascii="Calibri" w:eastAsia="Calibri" w:hAnsi="Calibri" w:cs="Calibri"/>
        </w:rPr>
        <w:t>Initially, the maximum height reached by the study species were similar in the fenced and unfenced plots. The initial height was lower than 67 cm for 90% of the observations. Few taller seedlings were nevertheless measured (the maximum initial height was 235 cm). When differences were observed, the highest seedlings were generally found in unfenced plots. On average, the differences were not significant except for birch. The seedlings were generally smaller in Ardenne and higher in Condroz. The species ranking in terms of initial height was birch, rowan, beech, hornbeam, spruce, oak and maple.</w:t>
      </w:r>
    </w:p>
    <w:p w14:paraId="5F2316B0" w14:textId="2FA9130C" w:rsidR="00DE4897" w:rsidRPr="008F6866" w:rsidRDefault="39CFF0FF" w:rsidP="00F347FB">
      <w:pPr>
        <w:spacing w:after="120" w:line="300" w:lineRule="auto"/>
        <w:jc w:val="both"/>
        <w:rPr>
          <w:rFonts w:ascii="Calibri" w:eastAsia="Calibri" w:hAnsi="Calibri" w:cs="Calibri"/>
        </w:rPr>
      </w:pPr>
      <w:r w:rsidRPr="008F6866">
        <w:rPr>
          <w:rFonts w:ascii="Calibri" w:eastAsia="Calibri" w:hAnsi="Calibri" w:cs="Calibri"/>
        </w:rPr>
        <w:t>In fenced plots, the species ranking in terms of mean height increment was (</w:t>
      </w:r>
      <w:r w:rsidR="00AD3B18" w:rsidRPr="008F6866">
        <w:rPr>
          <w:rFonts w:ascii="Calibri" w:eastAsia="Calibri" w:hAnsi="Calibri" w:cs="Calibri"/>
        </w:rPr>
        <w:fldChar w:fldCharType="begin"/>
      </w:r>
      <w:r w:rsidR="00AD3B18" w:rsidRPr="008F6866">
        <w:rPr>
          <w:rFonts w:ascii="Calibri" w:eastAsia="Calibri" w:hAnsi="Calibri" w:cs="Calibri"/>
        </w:rPr>
        <w:instrText xml:space="preserve"> REF _Ref195652973 \h  \* MERGEFORMAT </w:instrText>
      </w:r>
      <w:r w:rsidR="00AD3B18" w:rsidRPr="008F6866">
        <w:rPr>
          <w:rFonts w:ascii="Calibri" w:eastAsia="Calibri" w:hAnsi="Calibri" w:cs="Calibri"/>
        </w:rPr>
      </w:r>
      <w:r w:rsidR="00AD3B18" w:rsidRPr="008F6866">
        <w:rPr>
          <w:rFonts w:ascii="Calibri" w:eastAsia="Calibri" w:hAnsi="Calibri" w:cs="Calibri"/>
        </w:rPr>
        <w:fldChar w:fldCharType="separate"/>
      </w:r>
      <w:r w:rsidR="00540DBF" w:rsidRPr="00540DBF">
        <w:rPr>
          <w:rFonts w:ascii="Calibri" w:eastAsia="Calibri" w:hAnsi="Calibri" w:cs="Calibri"/>
        </w:rPr>
        <w:t>Table VII</w:t>
      </w:r>
      <w:r w:rsidR="00AD3B18" w:rsidRPr="008F6866">
        <w:rPr>
          <w:rFonts w:ascii="Calibri" w:eastAsia="Calibri" w:hAnsi="Calibri" w:cs="Calibri"/>
        </w:rPr>
        <w:fldChar w:fldCharType="end"/>
      </w:r>
      <w:r w:rsidR="00AD3B18" w:rsidRPr="008F6866">
        <w:rPr>
          <w:rFonts w:ascii="Calibri" w:eastAsia="Calibri" w:hAnsi="Calibri" w:cs="Calibri"/>
        </w:rPr>
        <w:t>)</w:t>
      </w:r>
      <w:r w:rsidRPr="008F6866">
        <w:rPr>
          <w:rFonts w:ascii="Calibri" w:eastAsia="Calibri" w:hAnsi="Calibri" w:cs="Calibri"/>
        </w:rPr>
        <w:t xml:space="preserve"> birch (25 cm/yr), rowan (18 cm/yr), hornbeam (17 cm/yr), beech (13 cm/yr), maple (11 cm/yr), spruce (10 cm/yr), and oak (7 cm/yr). This ranking was close to the one of the initial heights with different position for </w:t>
      </w:r>
      <w:r w:rsidRPr="008F6866">
        <w:rPr>
          <w:rFonts w:ascii="Calibri" w:eastAsia="Calibri" w:hAnsi="Calibri" w:cs="Calibri"/>
        </w:rPr>
        <w:lastRenderedPageBreak/>
        <w:t>hornbeam and maple (i.e., two palatable species). The height increments generally increased with the initial height of the seedlings, especially in fenced plots (</w:t>
      </w:r>
      <w:r w:rsidR="00F347FB" w:rsidRPr="008F6866">
        <w:rPr>
          <w:rFonts w:ascii="Calibri" w:eastAsia="Calibri" w:hAnsi="Calibri" w:cs="Calibri"/>
        </w:rPr>
        <w:fldChar w:fldCharType="begin"/>
      </w:r>
      <w:r w:rsidR="00F347FB" w:rsidRPr="008F6866">
        <w:rPr>
          <w:rFonts w:ascii="Calibri" w:eastAsia="Calibri" w:hAnsi="Calibri" w:cs="Calibri"/>
        </w:rPr>
        <w:instrText xml:space="preserve"> REF _Ref195645286 \h  \* MERGEFORMAT </w:instrText>
      </w:r>
      <w:r w:rsidR="00F347FB" w:rsidRPr="008F6866">
        <w:rPr>
          <w:rFonts w:ascii="Calibri" w:eastAsia="Calibri" w:hAnsi="Calibri" w:cs="Calibri"/>
        </w:rPr>
      </w:r>
      <w:r w:rsidR="00F347FB" w:rsidRPr="008F6866">
        <w:rPr>
          <w:rFonts w:ascii="Calibri" w:eastAsia="Calibri" w:hAnsi="Calibri" w:cs="Calibri"/>
        </w:rPr>
        <w:fldChar w:fldCharType="separate"/>
      </w:r>
      <w:r w:rsidR="00540DBF" w:rsidRPr="00540DBF">
        <w:rPr>
          <w:rFonts w:ascii="Calibri" w:eastAsia="Calibri" w:hAnsi="Calibri" w:cs="Calibri"/>
        </w:rPr>
        <w:t>Figure 16</w:t>
      </w:r>
      <w:r w:rsidR="00F347FB" w:rsidRPr="008F6866">
        <w:rPr>
          <w:rFonts w:ascii="Calibri" w:eastAsia="Calibri" w:hAnsi="Calibri" w:cs="Calibri"/>
        </w:rPr>
        <w:fldChar w:fldCharType="end"/>
      </w:r>
      <w:r w:rsidRPr="008F6866">
        <w:rPr>
          <w:rFonts w:ascii="Calibri" w:eastAsia="Calibri" w:hAnsi="Calibri" w:cs="Calibri"/>
        </w:rPr>
        <w:t>). In unfenced plots, the height increment was, for every study species but spruce, significantly lower in unfenced plots than in fenced plots (</w:t>
      </w:r>
      <w:r w:rsidR="00AD3B18" w:rsidRPr="008F6866">
        <w:rPr>
          <w:rFonts w:ascii="Calibri" w:eastAsia="Calibri" w:hAnsi="Calibri" w:cs="Calibri"/>
        </w:rPr>
        <w:fldChar w:fldCharType="begin"/>
      </w:r>
      <w:r w:rsidR="00AD3B18" w:rsidRPr="008F6866">
        <w:rPr>
          <w:rFonts w:ascii="Calibri" w:eastAsia="Calibri" w:hAnsi="Calibri" w:cs="Calibri"/>
        </w:rPr>
        <w:instrText xml:space="preserve"> REF _Ref195652973 \h  \* MERGEFORMAT </w:instrText>
      </w:r>
      <w:r w:rsidR="00AD3B18" w:rsidRPr="008F6866">
        <w:rPr>
          <w:rFonts w:ascii="Calibri" w:eastAsia="Calibri" w:hAnsi="Calibri" w:cs="Calibri"/>
        </w:rPr>
      </w:r>
      <w:r w:rsidR="00AD3B18" w:rsidRPr="008F6866">
        <w:rPr>
          <w:rFonts w:ascii="Calibri" w:eastAsia="Calibri" w:hAnsi="Calibri" w:cs="Calibri"/>
        </w:rPr>
        <w:fldChar w:fldCharType="separate"/>
      </w:r>
      <w:r w:rsidR="00540DBF" w:rsidRPr="00540DBF">
        <w:rPr>
          <w:rFonts w:ascii="Calibri" w:eastAsia="Calibri" w:hAnsi="Calibri" w:cs="Calibri"/>
        </w:rPr>
        <w:t>Table VII</w:t>
      </w:r>
      <w:r w:rsidR="00AD3B18" w:rsidRPr="008F6866">
        <w:rPr>
          <w:rFonts w:ascii="Calibri" w:eastAsia="Calibri" w:hAnsi="Calibri" w:cs="Calibri"/>
        </w:rPr>
        <w:fldChar w:fldCharType="end"/>
      </w:r>
      <w:r w:rsidRPr="008F6866">
        <w:rPr>
          <w:rFonts w:ascii="Calibri" w:eastAsia="Calibri" w:hAnsi="Calibri" w:cs="Calibri"/>
        </w:rPr>
        <w:t>). This reduction was about 15 cm/yr for birch (60 %), 15 cm for rowan (83%), 11 cm/yr for hornbeam (65%), 6 cm/yr for maple (54%) and 4 cm/yr for beech (30%) and oak (57%).</w:t>
      </w:r>
    </w:p>
    <w:p w14:paraId="03F2833E" w14:textId="77777777" w:rsidR="00F347FB" w:rsidRPr="008F6866" w:rsidRDefault="00F347FB" w:rsidP="00F347FB">
      <w:pPr>
        <w:spacing w:after="0" w:line="300" w:lineRule="auto"/>
        <w:jc w:val="both"/>
        <w:rPr>
          <w:rFonts w:ascii="Calibri" w:eastAsia="Calibri" w:hAnsi="Calibri" w:cs="Calibri"/>
        </w:rPr>
      </w:pPr>
    </w:p>
    <w:p w14:paraId="602A5A3E" w14:textId="0EB2F4F2" w:rsidR="00DE4897" w:rsidRPr="008F6866" w:rsidRDefault="00DE4897" w:rsidP="00971C64">
      <w:pPr>
        <w:keepNext/>
        <w:spacing w:after="0" w:line="300" w:lineRule="auto"/>
        <w:jc w:val="center"/>
      </w:pPr>
      <w:r w:rsidRPr="008F6866">
        <w:rPr>
          <w:noProof/>
        </w:rPr>
        <w:drawing>
          <wp:inline distT="0" distB="0" distL="0" distR="0" wp14:anchorId="3FE477BA" wp14:editId="526A012E">
            <wp:extent cx="5749537" cy="3078700"/>
            <wp:effectExtent l="0" t="0" r="3810" b="7620"/>
            <wp:docPr id="206168099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0"/>
                    <a:srcRect/>
                    <a:stretch>
                      <a:fillRect/>
                    </a:stretch>
                  </pic:blipFill>
                  <pic:spPr>
                    <a:xfrm>
                      <a:off x="0" y="0"/>
                      <a:ext cx="5809972" cy="3111061"/>
                    </a:xfrm>
                    <a:prstGeom prst="rect">
                      <a:avLst/>
                    </a:prstGeom>
                    <a:ln/>
                  </pic:spPr>
                </pic:pic>
              </a:graphicData>
            </a:graphic>
          </wp:inline>
        </w:drawing>
      </w:r>
    </w:p>
    <w:p w14:paraId="026BA835" w14:textId="2C86FC53" w:rsidR="00971C64" w:rsidRDefault="00971C64" w:rsidP="005032FC">
      <w:pPr>
        <w:pStyle w:val="Lgende"/>
        <w:spacing w:after="0"/>
        <w:jc w:val="center"/>
        <w:rPr>
          <w:b/>
          <w:i w:val="0"/>
          <w:color w:val="000000" w:themeColor="text1"/>
          <w:sz w:val="20"/>
          <w:szCs w:val="20"/>
        </w:rPr>
      </w:pPr>
      <w:bookmarkStart w:id="46" w:name="_Ref195645286"/>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16</w:t>
      </w:r>
      <w:r w:rsidRPr="008F6866">
        <w:rPr>
          <w:b/>
          <w:i w:val="0"/>
          <w:color w:val="000000" w:themeColor="text1"/>
          <w:sz w:val="20"/>
          <w:szCs w:val="20"/>
        </w:rPr>
        <w:fldChar w:fldCharType="end"/>
      </w:r>
      <w:bookmarkEnd w:id="46"/>
      <w:r w:rsidRPr="008F6866">
        <w:rPr>
          <w:b/>
          <w:i w:val="0"/>
          <w:color w:val="000000" w:themeColor="text1"/>
          <w:sz w:val="20"/>
          <w:szCs w:val="20"/>
        </w:rPr>
        <w:t>. Relationships between height increment and regeneration initial height across treatments and species</w:t>
      </w:r>
    </w:p>
    <w:p w14:paraId="222E2912" w14:textId="77777777" w:rsidR="009C5F50" w:rsidRDefault="009C5F50" w:rsidP="009C5F50">
      <w:pPr>
        <w:spacing w:after="0" w:line="300" w:lineRule="auto"/>
        <w:jc w:val="both"/>
        <w:rPr>
          <w:rFonts w:ascii="Calibri" w:eastAsia="Calibri" w:hAnsi="Calibri" w:cs="Calibri"/>
        </w:rPr>
      </w:pPr>
    </w:p>
    <w:p w14:paraId="2B2EB40A" w14:textId="45C1DC98" w:rsidR="00496892" w:rsidRPr="008F6866" w:rsidRDefault="00496892" w:rsidP="00496892">
      <w:pPr>
        <w:spacing w:after="120" w:line="300" w:lineRule="auto"/>
        <w:jc w:val="both"/>
        <w:rPr>
          <w:rFonts w:ascii="Calibri" w:eastAsia="Calibri" w:hAnsi="Calibri" w:cs="Calibri"/>
        </w:rPr>
      </w:pPr>
      <w:r w:rsidRPr="008F6866">
        <w:rPr>
          <w:rFonts w:ascii="Calibri" w:eastAsia="Calibri" w:hAnsi="Calibri" w:cs="Calibri"/>
        </w:rPr>
        <w:t xml:space="preserve">Fitting </w:t>
      </w:r>
      <w:r w:rsidR="00853AAD">
        <w:rPr>
          <w:rFonts w:ascii="Calibri" w:eastAsia="Calibri" w:hAnsi="Calibri" w:cs="Calibri"/>
        </w:rPr>
        <w:t>E</w:t>
      </w:r>
      <w:r w:rsidRPr="008F6866">
        <w:rPr>
          <w:rFonts w:ascii="Calibri" w:eastAsia="Calibri" w:hAnsi="Calibri" w:cs="Calibri"/>
        </w:rPr>
        <w:t>quation 4.7 (not showed), significant relationships were found between seedling height growth, red deer density indicators (expressed by the first principal component, PC1) and environmental conditions (PC2). The relationships were nevertheless species and treatment specific. For example, the height increment of hornbeam significantly depended on PC1 and PC2 (</w:t>
      </w:r>
      <w:r w:rsidRPr="008F6866">
        <w:rPr>
          <w:rFonts w:ascii="Calibri" w:eastAsia="Calibri" w:hAnsi="Calibri" w:cs="Calibri"/>
        </w:rPr>
        <w:fldChar w:fldCharType="begin"/>
      </w:r>
      <w:r w:rsidRPr="008F6866">
        <w:rPr>
          <w:rFonts w:ascii="Calibri" w:eastAsia="Calibri" w:hAnsi="Calibri" w:cs="Calibri"/>
        </w:rPr>
        <w:instrText xml:space="preserve"> REF _Ref195653059 \h  \* MERGEFORMAT </w:instrText>
      </w:r>
      <w:r w:rsidRPr="008F6866">
        <w:rPr>
          <w:rFonts w:ascii="Calibri" w:eastAsia="Calibri" w:hAnsi="Calibri" w:cs="Calibri"/>
        </w:rPr>
      </w:r>
      <w:r w:rsidRPr="008F6866">
        <w:rPr>
          <w:rFonts w:ascii="Calibri" w:eastAsia="Calibri" w:hAnsi="Calibri" w:cs="Calibri"/>
        </w:rPr>
        <w:fldChar w:fldCharType="separate"/>
      </w:r>
      <w:r w:rsidRPr="00540DBF">
        <w:rPr>
          <w:rFonts w:ascii="Calibri" w:eastAsia="Calibri" w:hAnsi="Calibri" w:cs="Calibri"/>
        </w:rPr>
        <w:t>Table VIII</w:t>
      </w:r>
      <w:r w:rsidRPr="008F6866">
        <w:rPr>
          <w:rFonts w:ascii="Calibri" w:eastAsia="Calibri" w:hAnsi="Calibri" w:cs="Calibri"/>
        </w:rPr>
        <w:fldChar w:fldCharType="end"/>
      </w:r>
      <w:r w:rsidRPr="008F6866">
        <w:rPr>
          <w:rFonts w:ascii="Calibri" w:eastAsia="Calibri" w:hAnsi="Calibri" w:cs="Calibri"/>
        </w:rPr>
        <w:t>). Nevertheless, the interpretation of such a model was considered delicate. On the one hand, protected hornbeam seedlings grew faster where red deer were abundant (P &lt; 0.001). On the other hand, unprotected seedlings grew significantly slower than protected seedlings (</w:t>
      </w:r>
      <w:r w:rsidRPr="008F6866">
        <w:rPr>
          <w:rFonts w:ascii="Calibri" w:eastAsia="Calibri" w:hAnsi="Calibri" w:cs="Calibri"/>
          <w:i/>
          <w:iCs/>
        </w:rPr>
        <w:t>b</w:t>
      </w:r>
      <w:r w:rsidRPr="008F6866">
        <w:rPr>
          <w:rFonts w:ascii="Calibri" w:eastAsia="Calibri" w:hAnsi="Calibri" w:cs="Calibri"/>
        </w:rPr>
        <w:t xml:space="preserve"> = -15,9 cm/yr, P &lt; 0.001) and the difference increased with the density of red deer (P &lt; 0.001). PC1, or the density of red deer, affected then positively (indirect effect) and negatively (direct effect likely due to browsing) the growth of hornbeam seedlings. Considering the two effects, unprotected hornbeam seedlings grew slightly faster in area with large red deer population (</w:t>
      </w:r>
      <w:r w:rsidRPr="008F6866">
        <w:rPr>
          <w:rFonts w:ascii="Calibri" w:eastAsia="Calibri" w:hAnsi="Calibri" w:cs="Calibri"/>
        </w:rPr>
        <w:fldChar w:fldCharType="begin"/>
      </w:r>
      <w:r w:rsidRPr="008F6866">
        <w:rPr>
          <w:rFonts w:ascii="Calibri" w:eastAsia="Calibri" w:hAnsi="Calibri" w:cs="Calibri"/>
        </w:rPr>
        <w:instrText xml:space="preserve"> REF _Ref195645820 \h  \* MERGEFORMAT </w:instrText>
      </w:r>
      <w:r w:rsidRPr="008F6866">
        <w:rPr>
          <w:rFonts w:ascii="Calibri" w:eastAsia="Calibri" w:hAnsi="Calibri" w:cs="Calibri"/>
        </w:rPr>
      </w:r>
      <w:r w:rsidRPr="008F6866">
        <w:rPr>
          <w:rFonts w:ascii="Calibri" w:eastAsia="Calibri" w:hAnsi="Calibri" w:cs="Calibri"/>
        </w:rPr>
        <w:fldChar w:fldCharType="separate"/>
      </w:r>
      <w:r w:rsidRPr="00540DBF">
        <w:rPr>
          <w:rFonts w:ascii="Calibri" w:eastAsia="Calibri" w:hAnsi="Calibri" w:cs="Calibri"/>
        </w:rPr>
        <w:t>Figure 17</w:t>
      </w:r>
      <w:r w:rsidRPr="008F6866">
        <w:rPr>
          <w:rFonts w:ascii="Calibri" w:eastAsia="Calibri" w:hAnsi="Calibri" w:cs="Calibri"/>
        </w:rPr>
        <w:fldChar w:fldCharType="end"/>
      </w:r>
      <w:r w:rsidRPr="008F6866">
        <w:rPr>
          <w:rFonts w:ascii="Calibri" w:eastAsia="Calibri" w:hAnsi="Calibri" w:cs="Calibri"/>
        </w:rPr>
        <w:t>).</w:t>
      </w:r>
    </w:p>
    <w:p w14:paraId="41022FDD" w14:textId="77777777" w:rsidR="00496892" w:rsidRPr="00496892" w:rsidRDefault="00496892" w:rsidP="00496892">
      <w:pPr>
        <w:rPr>
          <w:lang w:eastAsia="fr-BE"/>
        </w:rPr>
      </w:pPr>
    </w:p>
    <w:p w14:paraId="004356C6" w14:textId="77777777" w:rsidR="009C5F50" w:rsidRDefault="009C5F50">
      <w:pPr>
        <w:rPr>
          <w:rFonts w:ascii="Calibri" w:eastAsia="Calibri" w:hAnsi="Calibri" w:cs="Calibri"/>
          <w:b/>
          <w:iCs/>
          <w:color w:val="000000" w:themeColor="text1"/>
          <w:sz w:val="20"/>
          <w:szCs w:val="20"/>
          <w:lang w:eastAsia="fr-BE"/>
        </w:rPr>
      </w:pPr>
      <w:bookmarkStart w:id="47" w:name="_heading=h.2u6wntf"/>
      <w:bookmarkStart w:id="48" w:name="_heading=h.19c6y18" w:colFirst="0" w:colLast="0"/>
      <w:bookmarkStart w:id="49" w:name="_Ref195645231"/>
      <w:bookmarkStart w:id="50" w:name="_Ref195652973"/>
      <w:bookmarkEnd w:id="47"/>
      <w:bookmarkEnd w:id="48"/>
      <w:r>
        <w:rPr>
          <w:b/>
          <w:i/>
          <w:color w:val="000000" w:themeColor="text1"/>
          <w:sz w:val="20"/>
          <w:szCs w:val="20"/>
        </w:rPr>
        <w:br w:type="page"/>
      </w:r>
    </w:p>
    <w:p w14:paraId="0E058986" w14:textId="77777777" w:rsidR="004E5816" w:rsidRDefault="004E5816" w:rsidP="00971C64">
      <w:pPr>
        <w:pStyle w:val="Lgende"/>
        <w:spacing w:after="60"/>
        <w:jc w:val="center"/>
        <w:rPr>
          <w:b/>
          <w:i w:val="0"/>
          <w:color w:val="000000" w:themeColor="text1"/>
          <w:sz w:val="20"/>
          <w:szCs w:val="20"/>
        </w:rPr>
      </w:pPr>
    </w:p>
    <w:p w14:paraId="74865171" w14:textId="11A1FA21" w:rsidR="00971C64" w:rsidRPr="008F6866" w:rsidRDefault="00971C64" w:rsidP="00971C64">
      <w:pPr>
        <w:pStyle w:val="Lgende"/>
        <w:spacing w:after="60"/>
        <w:jc w:val="center"/>
        <w:rPr>
          <w:b/>
          <w:i w:val="0"/>
          <w:color w:val="000000" w:themeColor="text1"/>
          <w:sz w:val="20"/>
          <w:szCs w:val="20"/>
        </w:rPr>
      </w:pPr>
      <w:r w:rsidRPr="008F6866">
        <w:rPr>
          <w:b/>
          <w:i w:val="0"/>
          <w:color w:val="000000" w:themeColor="text1"/>
          <w:sz w:val="20"/>
          <w:szCs w:val="20"/>
        </w:rPr>
        <w:t xml:space="preserve">Table </w:t>
      </w:r>
      <w:bookmarkEnd w:id="49"/>
      <w:r w:rsidR="00EE472B">
        <w:rPr>
          <w:b/>
          <w:i w:val="0"/>
          <w:color w:val="000000" w:themeColor="text1"/>
          <w:sz w:val="20"/>
          <w:szCs w:val="20"/>
        </w:rPr>
        <w:fldChar w:fldCharType="begin"/>
      </w:r>
      <w:r w:rsidR="00EE472B">
        <w:rPr>
          <w:b/>
          <w:i w:val="0"/>
          <w:color w:val="000000" w:themeColor="text1"/>
          <w:sz w:val="20"/>
          <w:szCs w:val="20"/>
        </w:rPr>
        <w:instrText xml:space="preserve"> SEQ Table \* ROMAN </w:instrText>
      </w:r>
      <w:r w:rsidR="00EE472B">
        <w:rPr>
          <w:b/>
          <w:i w:val="0"/>
          <w:color w:val="000000" w:themeColor="text1"/>
          <w:sz w:val="20"/>
          <w:szCs w:val="20"/>
        </w:rPr>
        <w:fldChar w:fldCharType="separate"/>
      </w:r>
      <w:r w:rsidR="00540DBF">
        <w:rPr>
          <w:b/>
          <w:i w:val="0"/>
          <w:noProof/>
          <w:color w:val="000000" w:themeColor="text1"/>
          <w:sz w:val="20"/>
          <w:szCs w:val="20"/>
        </w:rPr>
        <w:t>VII</w:t>
      </w:r>
      <w:r w:rsidR="00EE472B">
        <w:rPr>
          <w:b/>
          <w:i w:val="0"/>
          <w:color w:val="000000" w:themeColor="text1"/>
          <w:sz w:val="20"/>
          <w:szCs w:val="20"/>
        </w:rPr>
        <w:fldChar w:fldCharType="end"/>
      </w:r>
      <w:bookmarkEnd w:id="50"/>
      <w:r w:rsidRPr="008F6866">
        <w:rPr>
          <w:b/>
          <w:i w:val="0"/>
          <w:color w:val="000000" w:themeColor="text1"/>
          <w:sz w:val="20"/>
          <w:szCs w:val="20"/>
        </w:rPr>
        <w:t>. Summary statistics of the linear mixed model of the height increment across treatments and species (Equation 4.6)</w:t>
      </w:r>
    </w:p>
    <w:tbl>
      <w:tblPr>
        <w:tblW w:w="9707" w:type="dxa"/>
        <w:jc w:val="center"/>
        <w:tblLayout w:type="fixed"/>
        <w:tblLook w:val="0400" w:firstRow="0" w:lastRow="0" w:firstColumn="0" w:lastColumn="0" w:noHBand="0" w:noVBand="1"/>
      </w:tblPr>
      <w:tblGrid>
        <w:gridCol w:w="5462"/>
        <w:gridCol w:w="1347"/>
        <w:gridCol w:w="1685"/>
        <w:gridCol w:w="1213"/>
      </w:tblGrid>
      <w:tr w:rsidR="00DE4897" w:rsidRPr="008F6866" w14:paraId="558E4C66" w14:textId="77777777" w:rsidTr="00971C64">
        <w:trPr>
          <w:trHeight w:val="315"/>
          <w:jc w:val="center"/>
        </w:trPr>
        <w:tc>
          <w:tcPr>
            <w:tcW w:w="5462" w:type="dxa"/>
            <w:tcBorders>
              <w:top w:val="single" w:sz="12" w:space="0" w:color="000000" w:themeColor="text1"/>
              <w:left w:val="nil"/>
              <w:bottom w:val="single" w:sz="12" w:space="0" w:color="000000" w:themeColor="text1"/>
              <w:right w:val="nil"/>
            </w:tcBorders>
            <w:shd w:val="clear" w:color="auto" w:fill="auto"/>
            <w:vAlign w:val="center"/>
          </w:tcPr>
          <w:p w14:paraId="6CB8E7C2"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Predictors</w:t>
            </w:r>
          </w:p>
        </w:tc>
        <w:tc>
          <w:tcPr>
            <w:tcW w:w="1347" w:type="dxa"/>
            <w:tcBorders>
              <w:top w:val="single" w:sz="12" w:space="0" w:color="000000" w:themeColor="text1"/>
              <w:left w:val="nil"/>
              <w:bottom w:val="single" w:sz="12" w:space="0" w:color="000000" w:themeColor="text1"/>
              <w:right w:val="nil"/>
            </w:tcBorders>
            <w:shd w:val="clear" w:color="auto" w:fill="auto"/>
            <w:vAlign w:val="center"/>
          </w:tcPr>
          <w:p w14:paraId="0C9FE6E7"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Estimates</w:t>
            </w:r>
          </w:p>
        </w:tc>
        <w:tc>
          <w:tcPr>
            <w:tcW w:w="1685" w:type="dxa"/>
            <w:tcBorders>
              <w:top w:val="single" w:sz="12" w:space="0" w:color="000000" w:themeColor="text1"/>
              <w:left w:val="nil"/>
              <w:bottom w:val="single" w:sz="12" w:space="0" w:color="000000" w:themeColor="text1"/>
              <w:right w:val="nil"/>
            </w:tcBorders>
            <w:shd w:val="clear" w:color="auto" w:fill="auto"/>
            <w:vAlign w:val="center"/>
          </w:tcPr>
          <w:p w14:paraId="6D69F545"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CI</w:t>
            </w:r>
          </w:p>
        </w:tc>
        <w:tc>
          <w:tcPr>
            <w:tcW w:w="1213" w:type="dxa"/>
            <w:tcBorders>
              <w:top w:val="single" w:sz="12" w:space="0" w:color="000000" w:themeColor="text1"/>
              <w:left w:val="nil"/>
              <w:bottom w:val="single" w:sz="12" w:space="0" w:color="000000" w:themeColor="text1"/>
              <w:right w:val="nil"/>
            </w:tcBorders>
            <w:shd w:val="clear" w:color="auto" w:fill="auto"/>
            <w:vAlign w:val="center"/>
          </w:tcPr>
          <w:p w14:paraId="14F3519A"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p</w:t>
            </w:r>
          </w:p>
        </w:tc>
      </w:tr>
      <w:tr w:rsidR="00DE4897" w:rsidRPr="008F6866" w14:paraId="0DBD6F21" w14:textId="77777777" w:rsidTr="00971C64">
        <w:trPr>
          <w:trHeight w:val="300"/>
          <w:jc w:val="center"/>
        </w:trPr>
        <w:tc>
          <w:tcPr>
            <w:tcW w:w="5462" w:type="dxa"/>
            <w:tcBorders>
              <w:top w:val="single" w:sz="12" w:space="0" w:color="000000" w:themeColor="text1"/>
              <w:left w:val="nil"/>
              <w:bottom w:val="nil"/>
              <w:right w:val="nil"/>
            </w:tcBorders>
            <w:shd w:val="clear" w:color="auto" w:fill="auto"/>
            <w:vAlign w:val="center"/>
          </w:tcPr>
          <w:p w14:paraId="4F15BB85"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(Intercept)</w:t>
            </w:r>
          </w:p>
        </w:tc>
        <w:tc>
          <w:tcPr>
            <w:tcW w:w="1347" w:type="dxa"/>
            <w:tcBorders>
              <w:top w:val="single" w:sz="12" w:space="0" w:color="000000" w:themeColor="text1"/>
              <w:left w:val="nil"/>
              <w:bottom w:val="nil"/>
              <w:right w:val="nil"/>
            </w:tcBorders>
            <w:shd w:val="clear" w:color="auto" w:fill="auto"/>
            <w:vAlign w:val="center"/>
          </w:tcPr>
          <w:p w14:paraId="0FC7CEB0"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12.94</w:t>
            </w:r>
          </w:p>
        </w:tc>
        <w:tc>
          <w:tcPr>
            <w:tcW w:w="1685" w:type="dxa"/>
            <w:tcBorders>
              <w:top w:val="single" w:sz="12" w:space="0" w:color="000000" w:themeColor="text1"/>
              <w:left w:val="nil"/>
              <w:bottom w:val="nil"/>
              <w:right w:val="nil"/>
            </w:tcBorders>
            <w:shd w:val="clear" w:color="auto" w:fill="auto"/>
            <w:vAlign w:val="center"/>
          </w:tcPr>
          <w:p w14:paraId="7F50E297"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11.81 – 14.06</w:t>
            </w:r>
          </w:p>
        </w:tc>
        <w:tc>
          <w:tcPr>
            <w:tcW w:w="1213" w:type="dxa"/>
            <w:tcBorders>
              <w:top w:val="single" w:sz="12" w:space="0" w:color="000000" w:themeColor="text1"/>
              <w:left w:val="nil"/>
              <w:bottom w:val="nil"/>
              <w:right w:val="nil"/>
            </w:tcBorders>
            <w:shd w:val="clear" w:color="auto" w:fill="auto"/>
            <w:vAlign w:val="center"/>
          </w:tcPr>
          <w:p w14:paraId="5D11C4F2"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0C6ED415" w14:textId="77777777" w:rsidTr="00971C64">
        <w:trPr>
          <w:trHeight w:val="300"/>
          <w:jc w:val="center"/>
        </w:trPr>
        <w:tc>
          <w:tcPr>
            <w:tcW w:w="5462" w:type="dxa"/>
            <w:tcBorders>
              <w:top w:val="nil"/>
              <w:left w:val="nil"/>
              <w:bottom w:val="nil"/>
              <w:right w:val="nil"/>
            </w:tcBorders>
            <w:shd w:val="clear" w:color="auto" w:fill="auto"/>
            <w:vAlign w:val="center"/>
          </w:tcPr>
          <w:p w14:paraId="375CF817"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[Picea spp.]</w:t>
            </w:r>
          </w:p>
        </w:tc>
        <w:tc>
          <w:tcPr>
            <w:tcW w:w="1347" w:type="dxa"/>
            <w:tcBorders>
              <w:top w:val="nil"/>
              <w:left w:val="nil"/>
              <w:bottom w:val="nil"/>
              <w:right w:val="nil"/>
            </w:tcBorders>
            <w:shd w:val="clear" w:color="auto" w:fill="auto"/>
            <w:vAlign w:val="center"/>
          </w:tcPr>
          <w:p w14:paraId="04A65F8E"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-3.26</w:t>
            </w:r>
          </w:p>
        </w:tc>
        <w:tc>
          <w:tcPr>
            <w:tcW w:w="1685" w:type="dxa"/>
            <w:tcBorders>
              <w:top w:val="nil"/>
              <w:left w:val="nil"/>
              <w:bottom w:val="nil"/>
              <w:right w:val="nil"/>
            </w:tcBorders>
            <w:shd w:val="clear" w:color="auto" w:fill="auto"/>
            <w:vAlign w:val="center"/>
          </w:tcPr>
          <w:p w14:paraId="7DAC6BDA"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-4.92 – -1.59</w:t>
            </w:r>
          </w:p>
        </w:tc>
        <w:tc>
          <w:tcPr>
            <w:tcW w:w="1213" w:type="dxa"/>
            <w:tcBorders>
              <w:top w:val="nil"/>
              <w:left w:val="nil"/>
              <w:bottom w:val="nil"/>
              <w:right w:val="nil"/>
            </w:tcBorders>
            <w:shd w:val="clear" w:color="auto" w:fill="auto"/>
            <w:vAlign w:val="center"/>
          </w:tcPr>
          <w:p w14:paraId="5AB27CE9"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04829364" w14:textId="77777777" w:rsidTr="00971C64">
        <w:trPr>
          <w:trHeight w:val="300"/>
          <w:jc w:val="center"/>
        </w:trPr>
        <w:tc>
          <w:tcPr>
            <w:tcW w:w="5462" w:type="dxa"/>
            <w:tcBorders>
              <w:top w:val="nil"/>
              <w:left w:val="nil"/>
              <w:bottom w:val="nil"/>
              <w:right w:val="nil"/>
            </w:tcBorders>
            <w:shd w:val="clear" w:color="auto" w:fill="auto"/>
            <w:vAlign w:val="center"/>
          </w:tcPr>
          <w:p w14:paraId="12CAF084" w14:textId="77777777" w:rsidR="00DE4897" w:rsidRPr="008F6866" w:rsidRDefault="39CFF0FF" w:rsidP="39CFF0FF">
            <w:pPr>
              <w:pBdr>
                <w:top w:val="nil"/>
                <w:left w:val="nil"/>
                <w:bottom w:val="nil"/>
                <w:right w:val="nil"/>
                <w:between w:val="nil"/>
              </w:pBdr>
              <w:spacing w:after="120" w:line="240" w:lineRule="auto"/>
              <w:jc w:val="both"/>
              <w:rPr>
                <w:rFonts w:cstheme="minorHAnsi"/>
                <w:iCs/>
                <w:color w:val="000000"/>
                <w:sz w:val="20"/>
                <w:szCs w:val="20"/>
              </w:rPr>
            </w:pPr>
            <w:r w:rsidRPr="008F6866">
              <w:rPr>
                <w:rFonts w:cstheme="minorHAnsi"/>
                <w:iCs/>
                <w:color w:val="000000" w:themeColor="text1"/>
                <w:sz w:val="20"/>
                <w:szCs w:val="20"/>
              </w:rPr>
              <w:t>species [Carpinus betulus L.]</w:t>
            </w:r>
          </w:p>
        </w:tc>
        <w:tc>
          <w:tcPr>
            <w:tcW w:w="1347" w:type="dxa"/>
            <w:tcBorders>
              <w:top w:val="nil"/>
              <w:left w:val="nil"/>
              <w:bottom w:val="nil"/>
              <w:right w:val="nil"/>
            </w:tcBorders>
            <w:shd w:val="clear" w:color="auto" w:fill="auto"/>
            <w:vAlign w:val="center"/>
          </w:tcPr>
          <w:p w14:paraId="0E79A4FD"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6.32</w:t>
            </w:r>
          </w:p>
        </w:tc>
        <w:tc>
          <w:tcPr>
            <w:tcW w:w="1685" w:type="dxa"/>
            <w:tcBorders>
              <w:top w:val="nil"/>
              <w:left w:val="nil"/>
              <w:bottom w:val="nil"/>
              <w:right w:val="nil"/>
            </w:tcBorders>
            <w:shd w:val="clear" w:color="auto" w:fill="auto"/>
            <w:vAlign w:val="center"/>
          </w:tcPr>
          <w:p w14:paraId="6BBB37C1"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4.08 – 8.56</w:t>
            </w:r>
          </w:p>
        </w:tc>
        <w:tc>
          <w:tcPr>
            <w:tcW w:w="1213" w:type="dxa"/>
            <w:tcBorders>
              <w:top w:val="nil"/>
              <w:left w:val="nil"/>
              <w:bottom w:val="nil"/>
              <w:right w:val="nil"/>
            </w:tcBorders>
            <w:shd w:val="clear" w:color="auto" w:fill="auto"/>
            <w:vAlign w:val="center"/>
          </w:tcPr>
          <w:p w14:paraId="0856C9A6"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35A374E6" w14:textId="77777777" w:rsidTr="00971C64">
        <w:trPr>
          <w:trHeight w:val="300"/>
          <w:jc w:val="center"/>
        </w:trPr>
        <w:tc>
          <w:tcPr>
            <w:tcW w:w="5462" w:type="dxa"/>
            <w:tcBorders>
              <w:top w:val="nil"/>
              <w:left w:val="nil"/>
              <w:bottom w:val="nil"/>
              <w:right w:val="nil"/>
            </w:tcBorders>
            <w:shd w:val="clear" w:color="auto" w:fill="auto"/>
            <w:vAlign w:val="center"/>
          </w:tcPr>
          <w:p w14:paraId="205D0BA4"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[Quercus spp.]</w:t>
            </w:r>
          </w:p>
        </w:tc>
        <w:tc>
          <w:tcPr>
            <w:tcW w:w="1347" w:type="dxa"/>
            <w:tcBorders>
              <w:top w:val="nil"/>
              <w:left w:val="nil"/>
              <w:bottom w:val="nil"/>
              <w:right w:val="nil"/>
            </w:tcBorders>
            <w:shd w:val="clear" w:color="auto" w:fill="auto"/>
            <w:vAlign w:val="center"/>
          </w:tcPr>
          <w:p w14:paraId="2C9461C7"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-6.13</w:t>
            </w:r>
          </w:p>
        </w:tc>
        <w:tc>
          <w:tcPr>
            <w:tcW w:w="1685" w:type="dxa"/>
            <w:tcBorders>
              <w:top w:val="nil"/>
              <w:left w:val="nil"/>
              <w:bottom w:val="nil"/>
              <w:right w:val="nil"/>
            </w:tcBorders>
            <w:shd w:val="clear" w:color="auto" w:fill="auto"/>
            <w:vAlign w:val="center"/>
          </w:tcPr>
          <w:p w14:paraId="5377E8E8"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-7.82 – -4.44</w:t>
            </w:r>
          </w:p>
        </w:tc>
        <w:tc>
          <w:tcPr>
            <w:tcW w:w="1213" w:type="dxa"/>
            <w:tcBorders>
              <w:top w:val="nil"/>
              <w:left w:val="nil"/>
              <w:bottom w:val="nil"/>
              <w:right w:val="nil"/>
            </w:tcBorders>
            <w:shd w:val="clear" w:color="auto" w:fill="auto"/>
            <w:vAlign w:val="center"/>
          </w:tcPr>
          <w:p w14:paraId="3A2EEF69"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5588C493" w14:textId="77777777" w:rsidTr="00971C64">
        <w:trPr>
          <w:trHeight w:val="300"/>
          <w:jc w:val="center"/>
        </w:trPr>
        <w:tc>
          <w:tcPr>
            <w:tcW w:w="5462" w:type="dxa"/>
            <w:tcBorders>
              <w:top w:val="nil"/>
              <w:left w:val="nil"/>
              <w:bottom w:val="nil"/>
              <w:right w:val="nil"/>
            </w:tcBorders>
            <w:shd w:val="clear" w:color="auto" w:fill="auto"/>
            <w:vAlign w:val="center"/>
          </w:tcPr>
          <w:p w14:paraId="5AC868A8"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[Betula spp.]</w:t>
            </w:r>
          </w:p>
        </w:tc>
        <w:tc>
          <w:tcPr>
            <w:tcW w:w="1347" w:type="dxa"/>
            <w:tcBorders>
              <w:top w:val="nil"/>
              <w:left w:val="nil"/>
              <w:bottom w:val="nil"/>
              <w:right w:val="nil"/>
            </w:tcBorders>
            <w:shd w:val="clear" w:color="auto" w:fill="auto"/>
            <w:vAlign w:val="center"/>
          </w:tcPr>
          <w:p w14:paraId="5563CB59"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12.12</w:t>
            </w:r>
          </w:p>
        </w:tc>
        <w:tc>
          <w:tcPr>
            <w:tcW w:w="1685" w:type="dxa"/>
            <w:tcBorders>
              <w:top w:val="nil"/>
              <w:left w:val="nil"/>
              <w:bottom w:val="nil"/>
              <w:right w:val="nil"/>
            </w:tcBorders>
            <w:shd w:val="clear" w:color="auto" w:fill="auto"/>
            <w:vAlign w:val="center"/>
          </w:tcPr>
          <w:p w14:paraId="707CF8C2"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9.86 – 14.39</w:t>
            </w:r>
          </w:p>
        </w:tc>
        <w:tc>
          <w:tcPr>
            <w:tcW w:w="1213" w:type="dxa"/>
            <w:tcBorders>
              <w:top w:val="nil"/>
              <w:left w:val="nil"/>
              <w:bottom w:val="nil"/>
              <w:right w:val="nil"/>
            </w:tcBorders>
            <w:shd w:val="clear" w:color="auto" w:fill="auto"/>
            <w:vAlign w:val="center"/>
          </w:tcPr>
          <w:p w14:paraId="05602C1B"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4AE7DCE1" w14:textId="77777777" w:rsidTr="00971C64">
        <w:trPr>
          <w:trHeight w:val="300"/>
          <w:jc w:val="center"/>
        </w:trPr>
        <w:tc>
          <w:tcPr>
            <w:tcW w:w="5462" w:type="dxa"/>
            <w:tcBorders>
              <w:top w:val="nil"/>
              <w:left w:val="nil"/>
              <w:bottom w:val="nil"/>
              <w:right w:val="nil"/>
            </w:tcBorders>
            <w:shd w:val="clear" w:color="auto" w:fill="auto"/>
            <w:vAlign w:val="center"/>
          </w:tcPr>
          <w:p w14:paraId="7AEA2127"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[Sorbus aucuparia L.]</w:t>
            </w:r>
          </w:p>
        </w:tc>
        <w:tc>
          <w:tcPr>
            <w:tcW w:w="1347" w:type="dxa"/>
            <w:tcBorders>
              <w:top w:val="nil"/>
              <w:left w:val="nil"/>
              <w:bottom w:val="nil"/>
              <w:right w:val="nil"/>
            </w:tcBorders>
            <w:shd w:val="clear" w:color="auto" w:fill="auto"/>
            <w:vAlign w:val="center"/>
          </w:tcPr>
          <w:p w14:paraId="0306C8A3"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6.04</w:t>
            </w:r>
          </w:p>
        </w:tc>
        <w:tc>
          <w:tcPr>
            <w:tcW w:w="1685" w:type="dxa"/>
            <w:tcBorders>
              <w:top w:val="nil"/>
              <w:left w:val="nil"/>
              <w:bottom w:val="nil"/>
              <w:right w:val="nil"/>
            </w:tcBorders>
            <w:shd w:val="clear" w:color="auto" w:fill="auto"/>
            <w:vAlign w:val="center"/>
          </w:tcPr>
          <w:p w14:paraId="364BC53F"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3.95 – 8.14</w:t>
            </w:r>
          </w:p>
        </w:tc>
        <w:tc>
          <w:tcPr>
            <w:tcW w:w="1213" w:type="dxa"/>
            <w:tcBorders>
              <w:top w:val="nil"/>
              <w:left w:val="nil"/>
              <w:bottom w:val="nil"/>
              <w:right w:val="nil"/>
            </w:tcBorders>
            <w:shd w:val="clear" w:color="auto" w:fill="auto"/>
            <w:vAlign w:val="center"/>
          </w:tcPr>
          <w:p w14:paraId="13DAC5ED"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38676CBE" w14:textId="77777777" w:rsidTr="00971C64">
        <w:trPr>
          <w:trHeight w:val="300"/>
          <w:jc w:val="center"/>
        </w:trPr>
        <w:tc>
          <w:tcPr>
            <w:tcW w:w="5462" w:type="dxa"/>
            <w:tcBorders>
              <w:top w:val="nil"/>
              <w:left w:val="nil"/>
              <w:bottom w:val="nil"/>
              <w:right w:val="nil"/>
            </w:tcBorders>
            <w:shd w:val="clear" w:color="auto" w:fill="auto"/>
            <w:vAlign w:val="center"/>
          </w:tcPr>
          <w:p w14:paraId="3C117E07"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[Acer spp.]</w:t>
            </w:r>
          </w:p>
        </w:tc>
        <w:tc>
          <w:tcPr>
            <w:tcW w:w="1347" w:type="dxa"/>
            <w:tcBorders>
              <w:top w:val="nil"/>
              <w:left w:val="nil"/>
              <w:bottom w:val="nil"/>
              <w:right w:val="nil"/>
            </w:tcBorders>
            <w:shd w:val="clear" w:color="auto" w:fill="auto"/>
            <w:vAlign w:val="center"/>
          </w:tcPr>
          <w:p w14:paraId="061CA7AA"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-2.18</w:t>
            </w:r>
          </w:p>
        </w:tc>
        <w:tc>
          <w:tcPr>
            <w:tcW w:w="1685" w:type="dxa"/>
            <w:tcBorders>
              <w:top w:val="nil"/>
              <w:left w:val="nil"/>
              <w:bottom w:val="nil"/>
              <w:right w:val="nil"/>
            </w:tcBorders>
            <w:shd w:val="clear" w:color="auto" w:fill="auto"/>
            <w:vAlign w:val="center"/>
          </w:tcPr>
          <w:p w14:paraId="1458E56D"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-5.09 – 0.73</w:t>
            </w:r>
          </w:p>
        </w:tc>
        <w:tc>
          <w:tcPr>
            <w:tcW w:w="1213" w:type="dxa"/>
            <w:tcBorders>
              <w:top w:val="nil"/>
              <w:left w:val="nil"/>
              <w:bottom w:val="nil"/>
              <w:right w:val="nil"/>
            </w:tcBorders>
            <w:shd w:val="clear" w:color="auto" w:fill="auto"/>
            <w:vAlign w:val="center"/>
          </w:tcPr>
          <w:p w14:paraId="316630B5"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0.142</w:t>
            </w:r>
          </w:p>
        </w:tc>
      </w:tr>
      <w:tr w:rsidR="00DE4897" w:rsidRPr="008F6866" w14:paraId="3301BAD6" w14:textId="77777777" w:rsidTr="00971C64">
        <w:trPr>
          <w:trHeight w:val="300"/>
          <w:jc w:val="center"/>
        </w:trPr>
        <w:tc>
          <w:tcPr>
            <w:tcW w:w="5462" w:type="dxa"/>
            <w:tcBorders>
              <w:top w:val="nil"/>
              <w:left w:val="nil"/>
              <w:bottom w:val="nil"/>
              <w:right w:val="nil"/>
            </w:tcBorders>
            <w:shd w:val="clear" w:color="auto" w:fill="auto"/>
            <w:vAlign w:val="center"/>
          </w:tcPr>
          <w:p w14:paraId="72C37875"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[Other species]</w:t>
            </w:r>
          </w:p>
        </w:tc>
        <w:tc>
          <w:tcPr>
            <w:tcW w:w="1347" w:type="dxa"/>
            <w:tcBorders>
              <w:top w:val="nil"/>
              <w:left w:val="nil"/>
              <w:bottom w:val="nil"/>
              <w:right w:val="nil"/>
            </w:tcBorders>
            <w:shd w:val="clear" w:color="auto" w:fill="auto"/>
            <w:vAlign w:val="center"/>
          </w:tcPr>
          <w:p w14:paraId="4FF10CA0"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4.34</w:t>
            </w:r>
          </w:p>
        </w:tc>
        <w:tc>
          <w:tcPr>
            <w:tcW w:w="1685" w:type="dxa"/>
            <w:tcBorders>
              <w:top w:val="nil"/>
              <w:left w:val="nil"/>
              <w:bottom w:val="nil"/>
              <w:right w:val="nil"/>
            </w:tcBorders>
            <w:shd w:val="clear" w:color="auto" w:fill="auto"/>
            <w:vAlign w:val="center"/>
          </w:tcPr>
          <w:p w14:paraId="6D7E3428"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2.39 – 6.29</w:t>
            </w:r>
          </w:p>
        </w:tc>
        <w:tc>
          <w:tcPr>
            <w:tcW w:w="1213" w:type="dxa"/>
            <w:tcBorders>
              <w:top w:val="nil"/>
              <w:left w:val="nil"/>
              <w:bottom w:val="nil"/>
              <w:right w:val="nil"/>
            </w:tcBorders>
            <w:shd w:val="clear" w:color="auto" w:fill="auto"/>
            <w:vAlign w:val="center"/>
          </w:tcPr>
          <w:p w14:paraId="1DA3E12A"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4CD1AF2C" w14:textId="77777777" w:rsidTr="00971C64">
        <w:trPr>
          <w:trHeight w:val="300"/>
          <w:jc w:val="center"/>
        </w:trPr>
        <w:tc>
          <w:tcPr>
            <w:tcW w:w="5462" w:type="dxa"/>
            <w:tcBorders>
              <w:top w:val="nil"/>
              <w:left w:val="nil"/>
              <w:bottom w:val="nil"/>
              <w:right w:val="nil"/>
            </w:tcBorders>
            <w:shd w:val="clear" w:color="auto" w:fill="auto"/>
            <w:vAlign w:val="center"/>
          </w:tcPr>
          <w:p w14:paraId="64696E85"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[Fagus sylvatica L.] × treatment [Unfenced]</w:t>
            </w:r>
          </w:p>
        </w:tc>
        <w:tc>
          <w:tcPr>
            <w:tcW w:w="1347" w:type="dxa"/>
            <w:tcBorders>
              <w:top w:val="nil"/>
              <w:left w:val="nil"/>
              <w:bottom w:val="nil"/>
              <w:right w:val="nil"/>
            </w:tcBorders>
            <w:shd w:val="clear" w:color="auto" w:fill="auto"/>
            <w:vAlign w:val="center"/>
          </w:tcPr>
          <w:p w14:paraId="3BC1C8CC"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-3.83</w:t>
            </w:r>
          </w:p>
        </w:tc>
        <w:tc>
          <w:tcPr>
            <w:tcW w:w="1685" w:type="dxa"/>
            <w:tcBorders>
              <w:top w:val="nil"/>
              <w:left w:val="nil"/>
              <w:bottom w:val="nil"/>
              <w:right w:val="nil"/>
            </w:tcBorders>
            <w:shd w:val="clear" w:color="auto" w:fill="auto"/>
            <w:vAlign w:val="center"/>
          </w:tcPr>
          <w:p w14:paraId="144103D8"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-5.19 – -2.47</w:t>
            </w:r>
          </w:p>
        </w:tc>
        <w:tc>
          <w:tcPr>
            <w:tcW w:w="1213" w:type="dxa"/>
            <w:tcBorders>
              <w:top w:val="nil"/>
              <w:left w:val="nil"/>
              <w:bottom w:val="nil"/>
              <w:right w:val="nil"/>
            </w:tcBorders>
            <w:shd w:val="clear" w:color="auto" w:fill="auto"/>
            <w:vAlign w:val="center"/>
          </w:tcPr>
          <w:p w14:paraId="1D3D1EC2"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72C492DF" w14:textId="77777777" w:rsidTr="00971C64">
        <w:trPr>
          <w:trHeight w:val="300"/>
          <w:jc w:val="center"/>
        </w:trPr>
        <w:tc>
          <w:tcPr>
            <w:tcW w:w="5462" w:type="dxa"/>
            <w:tcBorders>
              <w:top w:val="nil"/>
              <w:left w:val="nil"/>
              <w:bottom w:val="nil"/>
              <w:right w:val="nil"/>
            </w:tcBorders>
            <w:shd w:val="clear" w:color="auto" w:fill="auto"/>
            <w:vAlign w:val="center"/>
          </w:tcPr>
          <w:p w14:paraId="233A1BC1"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[Picea spp.] × treatment [Unfenced]</w:t>
            </w:r>
          </w:p>
        </w:tc>
        <w:tc>
          <w:tcPr>
            <w:tcW w:w="1347" w:type="dxa"/>
            <w:tcBorders>
              <w:top w:val="nil"/>
              <w:left w:val="nil"/>
              <w:bottom w:val="nil"/>
              <w:right w:val="nil"/>
            </w:tcBorders>
            <w:shd w:val="clear" w:color="auto" w:fill="auto"/>
            <w:vAlign w:val="center"/>
          </w:tcPr>
          <w:p w14:paraId="07477CC1"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-1.16</w:t>
            </w:r>
          </w:p>
        </w:tc>
        <w:tc>
          <w:tcPr>
            <w:tcW w:w="1685" w:type="dxa"/>
            <w:tcBorders>
              <w:top w:val="nil"/>
              <w:left w:val="nil"/>
              <w:bottom w:val="nil"/>
              <w:right w:val="nil"/>
            </w:tcBorders>
            <w:shd w:val="clear" w:color="auto" w:fill="auto"/>
            <w:vAlign w:val="center"/>
          </w:tcPr>
          <w:p w14:paraId="5C89B015"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-2.84 – 0.52</w:t>
            </w:r>
          </w:p>
        </w:tc>
        <w:tc>
          <w:tcPr>
            <w:tcW w:w="1213" w:type="dxa"/>
            <w:tcBorders>
              <w:top w:val="nil"/>
              <w:left w:val="nil"/>
              <w:bottom w:val="nil"/>
              <w:right w:val="nil"/>
            </w:tcBorders>
            <w:shd w:val="clear" w:color="auto" w:fill="auto"/>
            <w:vAlign w:val="center"/>
          </w:tcPr>
          <w:p w14:paraId="293509C5"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0.175</w:t>
            </w:r>
          </w:p>
        </w:tc>
      </w:tr>
      <w:tr w:rsidR="00DE4897" w:rsidRPr="008F6866" w14:paraId="6DA1CB11" w14:textId="77777777" w:rsidTr="00971C64">
        <w:trPr>
          <w:trHeight w:val="300"/>
          <w:jc w:val="center"/>
        </w:trPr>
        <w:tc>
          <w:tcPr>
            <w:tcW w:w="5462" w:type="dxa"/>
            <w:tcBorders>
              <w:top w:val="nil"/>
              <w:left w:val="nil"/>
              <w:bottom w:val="nil"/>
              <w:right w:val="nil"/>
            </w:tcBorders>
            <w:shd w:val="clear" w:color="auto" w:fill="auto"/>
            <w:vAlign w:val="center"/>
          </w:tcPr>
          <w:p w14:paraId="7A4359B6" w14:textId="77777777" w:rsidR="00DE4897" w:rsidRPr="008F6866" w:rsidRDefault="39CFF0FF" w:rsidP="39CFF0FF">
            <w:pPr>
              <w:pBdr>
                <w:top w:val="nil"/>
                <w:left w:val="nil"/>
                <w:bottom w:val="nil"/>
                <w:right w:val="nil"/>
                <w:between w:val="nil"/>
              </w:pBdr>
              <w:spacing w:after="120" w:line="240" w:lineRule="auto"/>
              <w:jc w:val="both"/>
              <w:rPr>
                <w:rFonts w:cstheme="minorHAnsi"/>
                <w:iCs/>
                <w:color w:val="000000"/>
                <w:sz w:val="20"/>
                <w:szCs w:val="20"/>
              </w:rPr>
            </w:pPr>
            <w:r w:rsidRPr="008F6866">
              <w:rPr>
                <w:rFonts w:cstheme="minorHAnsi"/>
                <w:iCs/>
                <w:color w:val="000000" w:themeColor="text1"/>
                <w:sz w:val="20"/>
                <w:szCs w:val="20"/>
              </w:rPr>
              <w:t>species [Carpinus betulus L.] × treatment [Unfenced]</w:t>
            </w:r>
          </w:p>
        </w:tc>
        <w:tc>
          <w:tcPr>
            <w:tcW w:w="1347" w:type="dxa"/>
            <w:tcBorders>
              <w:top w:val="nil"/>
              <w:left w:val="nil"/>
              <w:bottom w:val="nil"/>
              <w:right w:val="nil"/>
            </w:tcBorders>
            <w:shd w:val="clear" w:color="auto" w:fill="auto"/>
            <w:vAlign w:val="center"/>
          </w:tcPr>
          <w:p w14:paraId="04D5A01E"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-11.44</w:t>
            </w:r>
          </w:p>
        </w:tc>
        <w:tc>
          <w:tcPr>
            <w:tcW w:w="1685" w:type="dxa"/>
            <w:tcBorders>
              <w:top w:val="nil"/>
              <w:left w:val="nil"/>
              <w:bottom w:val="nil"/>
              <w:right w:val="nil"/>
            </w:tcBorders>
            <w:shd w:val="clear" w:color="auto" w:fill="auto"/>
            <w:vAlign w:val="center"/>
          </w:tcPr>
          <w:p w14:paraId="126C6243"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-13.94 – -8.95</w:t>
            </w:r>
          </w:p>
        </w:tc>
        <w:tc>
          <w:tcPr>
            <w:tcW w:w="1213" w:type="dxa"/>
            <w:tcBorders>
              <w:top w:val="nil"/>
              <w:left w:val="nil"/>
              <w:bottom w:val="nil"/>
              <w:right w:val="nil"/>
            </w:tcBorders>
            <w:shd w:val="clear" w:color="auto" w:fill="auto"/>
            <w:vAlign w:val="center"/>
          </w:tcPr>
          <w:p w14:paraId="63026321"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71802CDE" w14:textId="77777777" w:rsidTr="00971C64">
        <w:trPr>
          <w:trHeight w:val="300"/>
          <w:jc w:val="center"/>
        </w:trPr>
        <w:tc>
          <w:tcPr>
            <w:tcW w:w="5462" w:type="dxa"/>
            <w:tcBorders>
              <w:top w:val="nil"/>
              <w:left w:val="nil"/>
              <w:bottom w:val="nil"/>
              <w:right w:val="nil"/>
            </w:tcBorders>
            <w:shd w:val="clear" w:color="auto" w:fill="auto"/>
            <w:vAlign w:val="center"/>
          </w:tcPr>
          <w:p w14:paraId="72F84275"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[Quercus spp.] × treatment [Unfenced]</w:t>
            </w:r>
          </w:p>
        </w:tc>
        <w:tc>
          <w:tcPr>
            <w:tcW w:w="1347" w:type="dxa"/>
            <w:tcBorders>
              <w:top w:val="nil"/>
              <w:left w:val="nil"/>
              <w:bottom w:val="nil"/>
              <w:right w:val="nil"/>
            </w:tcBorders>
            <w:shd w:val="clear" w:color="auto" w:fill="auto"/>
            <w:vAlign w:val="center"/>
          </w:tcPr>
          <w:p w14:paraId="391A894D"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-3.85</w:t>
            </w:r>
          </w:p>
        </w:tc>
        <w:tc>
          <w:tcPr>
            <w:tcW w:w="1685" w:type="dxa"/>
            <w:tcBorders>
              <w:top w:val="nil"/>
              <w:left w:val="nil"/>
              <w:bottom w:val="nil"/>
              <w:right w:val="nil"/>
            </w:tcBorders>
            <w:shd w:val="clear" w:color="auto" w:fill="auto"/>
            <w:vAlign w:val="center"/>
          </w:tcPr>
          <w:p w14:paraId="4A12201F"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-5.72 – -1.97</w:t>
            </w:r>
          </w:p>
        </w:tc>
        <w:tc>
          <w:tcPr>
            <w:tcW w:w="1213" w:type="dxa"/>
            <w:tcBorders>
              <w:top w:val="nil"/>
              <w:left w:val="nil"/>
              <w:bottom w:val="nil"/>
              <w:right w:val="nil"/>
            </w:tcBorders>
            <w:shd w:val="clear" w:color="auto" w:fill="auto"/>
            <w:vAlign w:val="center"/>
          </w:tcPr>
          <w:p w14:paraId="3467143D"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3CEB5B64" w14:textId="77777777" w:rsidTr="00971C64">
        <w:trPr>
          <w:trHeight w:val="300"/>
          <w:jc w:val="center"/>
        </w:trPr>
        <w:tc>
          <w:tcPr>
            <w:tcW w:w="5462" w:type="dxa"/>
            <w:tcBorders>
              <w:top w:val="nil"/>
              <w:left w:val="nil"/>
              <w:bottom w:val="nil"/>
              <w:right w:val="nil"/>
            </w:tcBorders>
            <w:shd w:val="clear" w:color="auto" w:fill="auto"/>
            <w:vAlign w:val="center"/>
          </w:tcPr>
          <w:p w14:paraId="5D463024"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[Betula spp.] × treatment [Unfenced]</w:t>
            </w:r>
          </w:p>
        </w:tc>
        <w:tc>
          <w:tcPr>
            <w:tcW w:w="1347" w:type="dxa"/>
            <w:tcBorders>
              <w:top w:val="nil"/>
              <w:left w:val="nil"/>
              <w:bottom w:val="nil"/>
              <w:right w:val="nil"/>
            </w:tcBorders>
            <w:shd w:val="clear" w:color="auto" w:fill="auto"/>
            <w:vAlign w:val="center"/>
          </w:tcPr>
          <w:p w14:paraId="68B1B9B4"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-15.37</w:t>
            </w:r>
          </w:p>
        </w:tc>
        <w:tc>
          <w:tcPr>
            <w:tcW w:w="1685" w:type="dxa"/>
            <w:tcBorders>
              <w:top w:val="nil"/>
              <w:left w:val="nil"/>
              <w:bottom w:val="nil"/>
              <w:right w:val="nil"/>
            </w:tcBorders>
            <w:shd w:val="clear" w:color="auto" w:fill="auto"/>
            <w:vAlign w:val="center"/>
          </w:tcPr>
          <w:p w14:paraId="052E2C6D"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-18.20 – -12.54</w:t>
            </w:r>
          </w:p>
        </w:tc>
        <w:tc>
          <w:tcPr>
            <w:tcW w:w="1213" w:type="dxa"/>
            <w:tcBorders>
              <w:top w:val="nil"/>
              <w:left w:val="nil"/>
              <w:bottom w:val="nil"/>
              <w:right w:val="nil"/>
            </w:tcBorders>
            <w:shd w:val="clear" w:color="auto" w:fill="auto"/>
            <w:vAlign w:val="center"/>
          </w:tcPr>
          <w:p w14:paraId="576AF2A4"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2A54511B" w14:textId="77777777" w:rsidTr="00971C64">
        <w:trPr>
          <w:trHeight w:val="300"/>
          <w:jc w:val="center"/>
        </w:trPr>
        <w:tc>
          <w:tcPr>
            <w:tcW w:w="5462" w:type="dxa"/>
            <w:tcBorders>
              <w:top w:val="nil"/>
              <w:left w:val="nil"/>
              <w:bottom w:val="nil"/>
              <w:right w:val="nil"/>
            </w:tcBorders>
            <w:shd w:val="clear" w:color="auto" w:fill="auto"/>
            <w:vAlign w:val="center"/>
          </w:tcPr>
          <w:p w14:paraId="2C1DCEB1"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[Sorbus aucuparia L.] × treatment [Unfenced]</w:t>
            </w:r>
          </w:p>
        </w:tc>
        <w:tc>
          <w:tcPr>
            <w:tcW w:w="1347" w:type="dxa"/>
            <w:tcBorders>
              <w:top w:val="nil"/>
              <w:left w:val="nil"/>
              <w:bottom w:val="nil"/>
              <w:right w:val="nil"/>
            </w:tcBorders>
            <w:shd w:val="clear" w:color="auto" w:fill="auto"/>
            <w:vAlign w:val="center"/>
          </w:tcPr>
          <w:p w14:paraId="0E8F1B18"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-15.49</w:t>
            </w:r>
          </w:p>
        </w:tc>
        <w:tc>
          <w:tcPr>
            <w:tcW w:w="1685" w:type="dxa"/>
            <w:tcBorders>
              <w:top w:val="nil"/>
              <w:left w:val="nil"/>
              <w:bottom w:val="nil"/>
              <w:right w:val="nil"/>
            </w:tcBorders>
            <w:shd w:val="clear" w:color="auto" w:fill="auto"/>
            <w:vAlign w:val="center"/>
          </w:tcPr>
          <w:p w14:paraId="230F2370"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-18.03 – -12.96</w:t>
            </w:r>
          </w:p>
        </w:tc>
        <w:tc>
          <w:tcPr>
            <w:tcW w:w="1213" w:type="dxa"/>
            <w:tcBorders>
              <w:top w:val="nil"/>
              <w:left w:val="nil"/>
              <w:bottom w:val="nil"/>
              <w:right w:val="nil"/>
            </w:tcBorders>
            <w:shd w:val="clear" w:color="auto" w:fill="auto"/>
            <w:vAlign w:val="center"/>
          </w:tcPr>
          <w:p w14:paraId="16CF509D"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2D948DF1" w14:textId="77777777" w:rsidTr="00971C64">
        <w:trPr>
          <w:trHeight w:val="300"/>
          <w:jc w:val="center"/>
        </w:trPr>
        <w:tc>
          <w:tcPr>
            <w:tcW w:w="5462" w:type="dxa"/>
            <w:tcBorders>
              <w:top w:val="nil"/>
              <w:left w:val="nil"/>
              <w:bottom w:val="nil"/>
              <w:right w:val="nil"/>
            </w:tcBorders>
            <w:shd w:val="clear" w:color="auto" w:fill="auto"/>
            <w:vAlign w:val="center"/>
          </w:tcPr>
          <w:p w14:paraId="7FB849E1"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[Acer spp.] × treatment [Unfenced]</w:t>
            </w:r>
          </w:p>
        </w:tc>
        <w:tc>
          <w:tcPr>
            <w:tcW w:w="1347" w:type="dxa"/>
            <w:tcBorders>
              <w:top w:val="nil"/>
              <w:left w:val="nil"/>
              <w:bottom w:val="nil"/>
              <w:right w:val="nil"/>
            </w:tcBorders>
            <w:shd w:val="clear" w:color="auto" w:fill="auto"/>
            <w:vAlign w:val="center"/>
          </w:tcPr>
          <w:p w14:paraId="5BF72B1B"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-5.62</w:t>
            </w:r>
          </w:p>
        </w:tc>
        <w:tc>
          <w:tcPr>
            <w:tcW w:w="1685" w:type="dxa"/>
            <w:tcBorders>
              <w:top w:val="nil"/>
              <w:left w:val="nil"/>
              <w:bottom w:val="nil"/>
              <w:right w:val="nil"/>
            </w:tcBorders>
            <w:shd w:val="clear" w:color="auto" w:fill="auto"/>
            <w:vAlign w:val="center"/>
          </w:tcPr>
          <w:p w14:paraId="343D9A14"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-9.27 – -1.97</w:t>
            </w:r>
          </w:p>
        </w:tc>
        <w:tc>
          <w:tcPr>
            <w:tcW w:w="1213" w:type="dxa"/>
            <w:tcBorders>
              <w:top w:val="nil"/>
              <w:left w:val="nil"/>
              <w:bottom w:val="nil"/>
              <w:right w:val="nil"/>
            </w:tcBorders>
            <w:shd w:val="clear" w:color="auto" w:fill="auto"/>
            <w:vAlign w:val="center"/>
          </w:tcPr>
          <w:p w14:paraId="3A4CC0FD"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0.003</w:t>
            </w:r>
          </w:p>
        </w:tc>
      </w:tr>
      <w:tr w:rsidR="00DE4897" w:rsidRPr="008F6866" w14:paraId="636E7907" w14:textId="77777777" w:rsidTr="00971C64">
        <w:trPr>
          <w:trHeight w:val="300"/>
          <w:jc w:val="center"/>
        </w:trPr>
        <w:tc>
          <w:tcPr>
            <w:tcW w:w="5462" w:type="dxa"/>
            <w:tcBorders>
              <w:top w:val="nil"/>
              <w:left w:val="nil"/>
              <w:bottom w:val="single" w:sz="4" w:space="0" w:color="000000" w:themeColor="text1"/>
              <w:right w:val="nil"/>
            </w:tcBorders>
            <w:shd w:val="clear" w:color="auto" w:fill="auto"/>
            <w:vAlign w:val="center"/>
          </w:tcPr>
          <w:p w14:paraId="37161CD6"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[Other species] × treatment [Unfenced]</w:t>
            </w:r>
          </w:p>
        </w:tc>
        <w:tc>
          <w:tcPr>
            <w:tcW w:w="1347" w:type="dxa"/>
            <w:tcBorders>
              <w:top w:val="nil"/>
              <w:left w:val="nil"/>
              <w:bottom w:val="single" w:sz="4" w:space="0" w:color="000000" w:themeColor="text1"/>
              <w:right w:val="nil"/>
            </w:tcBorders>
            <w:shd w:val="clear" w:color="auto" w:fill="auto"/>
            <w:vAlign w:val="center"/>
          </w:tcPr>
          <w:p w14:paraId="665CFFC1"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-9.64</w:t>
            </w:r>
          </w:p>
        </w:tc>
        <w:tc>
          <w:tcPr>
            <w:tcW w:w="1685" w:type="dxa"/>
            <w:tcBorders>
              <w:top w:val="nil"/>
              <w:left w:val="nil"/>
              <w:bottom w:val="single" w:sz="4" w:space="0" w:color="000000" w:themeColor="text1"/>
              <w:right w:val="nil"/>
            </w:tcBorders>
            <w:shd w:val="clear" w:color="auto" w:fill="auto"/>
            <w:vAlign w:val="center"/>
          </w:tcPr>
          <w:p w14:paraId="18CC69EE"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-11.95 – -7.33</w:t>
            </w:r>
          </w:p>
        </w:tc>
        <w:tc>
          <w:tcPr>
            <w:tcW w:w="1213" w:type="dxa"/>
            <w:tcBorders>
              <w:top w:val="nil"/>
              <w:left w:val="nil"/>
              <w:bottom w:val="single" w:sz="4" w:space="0" w:color="000000" w:themeColor="text1"/>
              <w:right w:val="nil"/>
            </w:tcBorders>
            <w:shd w:val="clear" w:color="auto" w:fill="auto"/>
            <w:vAlign w:val="center"/>
          </w:tcPr>
          <w:p w14:paraId="750888A1"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6C20D970" w14:textId="77777777" w:rsidTr="00971C64">
        <w:trPr>
          <w:trHeight w:val="300"/>
          <w:jc w:val="center"/>
        </w:trPr>
        <w:tc>
          <w:tcPr>
            <w:tcW w:w="9707" w:type="dxa"/>
            <w:gridSpan w:val="4"/>
            <w:tcBorders>
              <w:top w:val="nil"/>
              <w:left w:val="nil"/>
              <w:bottom w:val="nil"/>
              <w:right w:val="nil"/>
            </w:tcBorders>
            <w:shd w:val="clear" w:color="auto" w:fill="auto"/>
            <w:vAlign w:val="center"/>
          </w:tcPr>
          <w:p w14:paraId="2025FB27"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Random Effects</w:t>
            </w:r>
          </w:p>
        </w:tc>
      </w:tr>
      <w:tr w:rsidR="00DE4897" w:rsidRPr="008F6866" w14:paraId="62286C07" w14:textId="77777777" w:rsidTr="00971C64">
        <w:trPr>
          <w:trHeight w:val="345"/>
          <w:jc w:val="center"/>
        </w:trPr>
        <w:tc>
          <w:tcPr>
            <w:tcW w:w="5462" w:type="dxa"/>
            <w:tcBorders>
              <w:top w:val="nil"/>
              <w:left w:val="nil"/>
              <w:bottom w:val="nil"/>
              <w:right w:val="nil"/>
            </w:tcBorders>
            <w:shd w:val="clear" w:color="auto" w:fill="auto"/>
            <w:vAlign w:val="center"/>
          </w:tcPr>
          <w:p w14:paraId="43428876"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σ</w:t>
            </w:r>
            <w:r w:rsidRPr="008F6866">
              <w:rPr>
                <w:rFonts w:cstheme="minorHAnsi"/>
                <w:color w:val="000000"/>
                <w:sz w:val="20"/>
                <w:szCs w:val="20"/>
                <w:vertAlign w:val="superscript"/>
              </w:rPr>
              <w:t>2</w:t>
            </w:r>
          </w:p>
        </w:tc>
        <w:tc>
          <w:tcPr>
            <w:tcW w:w="4245" w:type="dxa"/>
            <w:gridSpan w:val="3"/>
            <w:tcBorders>
              <w:top w:val="nil"/>
              <w:left w:val="nil"/>
              <w:bottom w:val="nil"/>
              <w:right w:val="nil"/>
            </w:tcBorders>
            <w:shd w:val="clear" w:color="auto" w:fill="auto"/>
            <w:vAlign w:val="center"/>
          </w:tcPr>
          <w:p w14:paraId="6A79EA8F"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81.2</w:t>
            </w:r>
          </w:p>
        </w:tc>
      </w:tr>
      <w:tr w:rsidR="00DE4897" w:rsidRPr="008F6866" w14:paraId="6755A935" w14:textId="77777777" w:rsidTr="00971C64">
        <w:trPr>
          <w:trHeight w:val="360"/>
          <w:jc w:val="center"/>
        </w:trPr>
        <w:tc>
          <w:tcPr>
            <w:tcW w:w="5462" w:type="dxa"/>
            <w:tcBorders>
              <w:top w:val="nil"/>
              <w:left w:val="nil"/>
              <w:bottom w:val="nil"/>
              <w:right w:val="nil"/>
            </w:tcBorders>
            <w:shd w:val="clear" w:color="auto" w:fill="auto"/>
            <w:vAlign w:val="center"/>
          </w:tcPr>
          <w:p w14:paraId="43C540F4"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τ</w:t>
            </w:r>
            <w:r w:rsidRPr="008F6866">
              <w:rPr>
                <w:rFonts w:cstheme="minorHAnsi"/>
                <w:color w:val="000000"/>
                <w:sz w:val="20"/>
                <w:szCs w:val="20"/>
                <w:vertAlign w:val="subscript"/>
              </w:rPr>
              <w:t>00</w:t>
            </w:r>
            <w:r w:rsidRPr="008F6866">
              <w:rPr>
                <w:rFonts w:cstheme="minorHAnsi"/>
                <w:color w:val="000000"/>
                <w:sz w:val="20"/>
                <w:szCs w:val="20"/>
              </w:rPr>
              <w:t xml:space="preserve"> </w:t>
            </w:r>
            <w:r w:rsidRPr="008F6866">
              <w:rPr>
                <w:rFonts w:cstheme="minorHAnsi"/>
                <w:color w:val="000000"/>
                <w:sz w:val="20"/>
                <w:szCs w:val="20"/>
                <w:vertAlign w:val="subscript"/>
              </w:rPr>
              <w:t>plot</w:t>
            </w:r>
          </w:p>
        </w:tc>
        <w:tc>
          <w:tcPr>
            <w:tcW w:w="4245" w:type="dxa"/>
            <w:gridSpan w:val="3"/>
            <w:tcBorders>
              <w:top w:val="nil"/>
              <w:left w:val="nil"/>
              <w:bottom w:val="nil"/>
              <w:right w:val="nil"/>
            </w:tcBorders>
            <w:shd w:val="clear" w:color="auto" w:fill="auto"/>
            <w:vAlign w:val="center"/>
          </w:tcPr>
          <w:p w14:paraId="0159A683"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47.65</w:t>
            </w:r>
          </w:p>
        </w:tc>
      </w:tr>
      <w:tr w:rsidR="00DE4897" w:rsidRPr="008F6866" w14:paraId="056B2FC7" w14:textId="77777777" w:rsidTr="00971C64">
        <w:trPr>
          <w:trHeight w:val="300"/>
          <w:jc w:val="center"/>
        </w:trPr>
        <w:tc>
          <w:tcPr>
            <w:tcW w:w="5462" w:type="dxa"/>
            <w:tcBorders>
              <w:top w:val="nil"/>
              <w:left w:val="nil"/>
              <w:bottom w:val="nil"/>
              <w:right w:val="nil"/>
            </w:tcBorders>
            <w:shd w:val="clear" w:color="auto" w:fill="auto"/>
            <w:vAlign w:val="center"/>
          </w:tcPr>
          <w:p w14:paraId="5C494A3E"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ICC</w:t>
            </w:r>
          </w:p>
        </w:tc>
        <w:tc>
          <w:tcPr>
            <w:tcW w:w="4245" w:type="dxa"/>
            <w:gridSpan w:val="3"/>
            <w:tcBorders>
              <w:top w:val="nil"/>
              <w:left w:val="nil"/>
              <w:bottom w:val="nil"/>
              <w:right w:val="nil"/>
            </w:tcBorders>
            <w:shd w:val="clear" w:color="auto" w:fill="auto"/>
            <w:vAlign w:val="center"/>
          </w:tcPr>
          <w:p w14:paraId="02B218B9"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0.37</w:t>
            </w:r>
          </w:p>
        </w:tc>
      </w:tr>
      <w:tr w:rsidR="00DE4897" w:rsidRPr="008F6866" w14:paraId="01BB2577" w14:textId="77777777" w:rsidTr="00971C64">
        <w:trPr>
          <w:trHeight w:val="360"/>
          <w:jc w:val="center"/>
        </w:trPr>
        <w:tc>
          <w:tcPr>
            <w:tcW w:w="5462" w:type="dxa"/>
            <w:tcBorders>
              <w:top w:val="nil"/>
              <w:left w:val="nil"/>
              <w:bottom w:val="nil"/>
              <w:right w:val="nil"/>
            </w:tcBorders>
            <w:shd w:val="clear" w:color="auto" w:fill="auto"/>
            <w:vAlign w:val="center"/>
          </w:tcPr>
          <w:p w14:paraId="7C148C1B"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 xml:space="preserve">N </w:t>
            </w:r>
            <w:r w:rsidRPr="008F6866">
              <w:rPr>
                <w:rFonts w:cstheme="minorHAnsi"/>
                <w:color w:val="000000"/>
                <w:sz w:val="20"/>
                <w:szCs w:val="20"/>
                <w:vertAlign w:val="subscript"/>
              </w:rPr>
              <w:t>plot</w:t>
            </w:r>
          </w:p>
        </w:tc>
        <w:tc>
          <w:tcPr>
            <w:tcW w:w="4245" w:type="dxa"/>
            <w:gridSpan w:val="3"/>
            <w:tcBorders>
              <w:top w:val="nil"/>
              <w:left w:val="nil"/>
              <w:bottom w:val="nil"/>
              <w:right w:val="nil"/>
            </w:tcBorders>
            <w:shd w:val="clear" w:color="auto" w:fill="auto"/>
            <w:vAlign w:val="center"/>
          </w:tcPr>
          <w:p w14:paraId="3B4FDC17"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686</w:t>
            </w:r>
          </w:p>
        </w:tc>
      </w:tr>
      <w:tr w:rsidR="00DE4897" w:rsidRPr="008F6866" w14:paraId="136C28E2" w14:textId="77777777" w:rsidTr="00971C64">
        <w:trPr>
          <w:trHeight w:val="300"/>
          <w:jc w:val="center"/>
        </w:trPr>
        <w:tc>
          <w:tcPr>
            <w:tcW w:w="5462" w:type="dxa"/>
            <w:tcBorders>
              <w:top w:val="nil"/>
              <w:left w:val="nil"/>
              <w:right w:val="nil"/>
            </w:tcBorders>
            <w:shd w:val="clear" w:color="auto" w:fill="auto"/>
            <w:vAlign w:val="center"/>
          </w:tcPr>
          <w:p w14:paraId="0399082C"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Observations</w:t>
            </w:r>
          </w:p>
        </w:tc>
        <w:tc>
          <w:tcPr>
            <w:tcW w:w="4245" w:type="dxa"/>
            <w:gridSpan w:val="3"/>
            <w:tcBorders>
              <w:top w:val="nil"/>
              <w:left w:val="nil"/>
              <w:right w:val="nil"/>
            </w:tcBorders>
            <w:shd w:val="clear" w:color="auto" w:fill="auto"/>
            <w:vAlign w:val="center"/>
          </w:tcPr>
          <w:p w14:paraId="20DB2D78"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2483</w:t>
            </w:r>
          </w:p>
        </w:tc>
      </w:tr>
      <w:tr w:rsidR="00DE4897" w:rsidRPr="008F6866" w14:paraId="7E5DEFEF" w14:textId="77777777" w:rsidTr="00971C64">
        <w:trPr>
          <w:trHeight w:val="360"/>
          <w:jc w:val="center"/>
        </w:trPr>
        <w:tc>
          <w:tcPr>
            <w:tcW w:w="5462" w:type="dxa"/>
            <w:tcBorders>
              <w:top w:val="nil"/>
              <w:left w:val="nil"/>
              <w:bottom w:val="single" w:sz="12" w:space="0" w:color="000000" w:themeColor="text1"/>
              <w:right w:val="nil"/>
            </w:tcBorders>
            <w:shd w:val="clear" w:color="auto" w:fill="auto"/>
            <w:vAlign w:val="center"/>
          </w:tcPr>
          <w:p w14:paraId="37691798"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Marginal R</w:t>
            </w:r>
            <w:r w:rsidRPr="008F6866">
              <w:rPr>
                <w:rFonts w:cstheme="minorHAnsi"/>
                <w:color w:val="000000"/>
                <w:sz w:val="20"/>
                <w:szCs w:val="20"/>
                <w:vertAlign w:val="superscript"/>
              </w:rPr>
              <w:t>2</w:t>
            </w:r>
            <w:r w:rsidRPr="008F6866">
              <w:rPr>
                <w:rFonts w:cstheme="minorHAnsi"/>
                <w:color w:val="000000"/>
                <w:sz w:val="20"/>
                <w:szCs w:val="20"/>
              </w:rPr>
              <w:t xml:space="preserve"> / Conditional R</w:t>
            </w:r>
            <w:r w:rsidRPr="008F6866">
              <w:rPr>
                <w:rFonts w:cstheme="minorHAnsi"/>
                <w:color w:val="000000"/>
                <w:sz w:val="20"/>
                <w:szCs w:val="20"/>
                <w:vertAlign w:val="superscript"/>
              </w:rPr>
              <w:t>2</w:t>
            </w:r>
          </w:p>
        </w:tc>
        <w:tc>
          <w:tcPr>
            <w:tcW w:w="4245" w:type="dxa"/>
            <w:gridSpan w:val="3"/>
            <w:tcBorders>
              <w:top w:val="nil"/>
              <w:left w:val="nil"/>
              <w:bottom w:val="single" w:sz="12" w:space="0" w:color="000000" w:themeColor="text1"/>
              <w:right w:val="nil"/>
            </w:tcBorders>
            <w:shd w:val="clear" w:color="auto" w:fill="auto"/>
            <w:vAlign w:val="center"/>
          </w:tcPr>
          <w:p w14:paraId="55BAE7DD"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0.172 / 0.478</w:t>
            </w:r>
          </w:p>
        </w:tc>
      </w:tr>
    </w:tbl>
    <w:p w14:paraId="74CA9E2E" w14:textId="77777777" w:rsidR="00DE4897" w:rsidRPr="008F6866" w:rsidRDefault="00DE4897" w:rsidP="00D208D5">
      <w:pPr>
        <w:spacing w:after="0"/>
        <w:jc w:val="both"/>
        <w:rPr>
          <w:rFonts w:ascii="Calibri" w:eastAsia="Calibri" w:hAnsi="Calibri" w:cs="Calibri"/>
        </w:rPr>
      </w:pPr>
    </w:p>
    <w:p w14:paraId="7C692267" w14:textId="77777777" w:rsidR="0011022C" w:rsidRDefault="0011022C" w:rsidP="00CE04BD">
      <w:pPr>
        <w:pStyle w:val="Lgende"/>
        <w:spacing w:after="60"/>
        <w:jc w:val="center"/>
        <w:rPr>
          <w:b/>
          <w:i w:val="0"/>
          <w:color w:val="000000" w:themeColor="text1"/>
          <w:sz w:val="20"/>
          <w:szCs w:val="20"/>
        </w:rPr>
      </w:pPr>
      <w:bookmarkStart w:id="51" w:name="_Ref195645649"/>
      <w:bookmarkStart w:id="52" w:name="_Ref195653059"/>
    </w:p>
    <w:p w14:paraId="2664E3F6" w14:textId="77777777" w:rsidR="004E5816" w:rsidRDefault="004E5816">
      <w:pPr>
        <w:rPr>
          <w:rFonts w:ascii="Calibri" w:eastAsia="Calibri" w:hAnsi="Calibri" w:cs="Calibri"/>
          <w:b/>
          <w:iCs/>
          <w:color w:val="000000" w:themeColor="text1"/>
          <w:sz w:val="20"/>
          <w:szCs w:val="20"/>
          <w:lang w:eastAsia="fr-BE"/>
        </w:rPr>
      </w:pPr>
      <w:r>
        <w:rPr>
          <w:b/>
          <w:i/>
          <w:color w:val="000000" w:themeColor="text1"/>
          <w:sz w:val="20"/>
          <w:szCs w:val="20"/>
        </w:rPr>
        <w:br w:type="page"/>
      </w:r>
    </w:p>
    <w:p w14:paraId="120484A2" w14:textId="0579A2BD" w:rsidR="00CE04BD" w:rsidRPr="008F6866" w:rsidRDefault="00CE04BD" w:rsidP="00CE04BD">
      <w:pPr>
        <w:pStyle w:val="Lgende"/>
        <w:spacing w:after="60"/>
        <w:jc w:val="center"/>
        <w:rPr>
          <w:b/>
          <w:i w:val="0"/>
          <w:color w:val="000000" w:themeColor="text1"/>
          <w:sz w:val="20"/>
          <w:szCs w:val="20"/>
        </w:rPr>
      </w:pPr>
      <w:r w:rsidRPr="008F6866">
        <w:rPr>
          <w:b/>
          <w:i w:val="0"/>
          <w:color w:val="000000" w:themeColor="text1"/>
          <w:sz w:val="20"/>
          <w:szCs w:val="20"/>
        </w:rPr>
        <w:lastRenderedPageBreak/>
        <w:t xml:space="preserve">Table </w:t>
      </w:r>
      <w:bookmarkEnd w:id="51"/>
      <w:r w:rsidR="00EE472B">
        <w:rPr>
          <w:b/>
          <w:i w:val="0"/>
          <w:color w:val="000000" w:themeColor="text1"/>
          <w:sz w:val="20"/>
          <w:szCs w:val="20"/>
        </w:rPr>
        <w:fldChar w:fldCharType="begin"/>
      </w:r>
      <w:r w:rsidR="00EE472B">
        <w:rPr>
          <w:b/>
          <w:i w:val="0"/>
          <w:color w:val="000000" w:themeColor="text1"/>
          <w:sz w:val="20"/>
          <w:szCs w:val="20"/>
        </w:rPr>
        <w:instrText xml:space="preserve"> SEQ Table \* ROMAN </w:instrText>
      </w:r>
      <w:r w:rsidR="00EE472B">
        <w:rPr>
          <w:b/>
          <w:i w:val="0"/>
          <w:color w:val="000000" w:themeColor="text1"/>
          <w:sz w:val="20"/>
          <w:szCs w:val="20"/>
        </w:rPr>
        <w:fldChar w:fldCharType="separate"/>
      </w:r>
      <w:r w:rsidR="00540DBF">
        <w:rPr>
          <w:b/>
          <w:i w:val="0"/>
          <w:noProof/>
          <w:color w:val="000000" w:themeColor="text1"/>
          <w:sz w:val="20"/>
          <w:szCs w:val="20"/>
        </w:rPr>
        <w:t>VIII</w:t>
      </w:r>
      <w:r w:rsidR="00EE472B">
        <w:rPr>
          <w:b/>
          <w:i w:val="0"/>
          <w:color w:val="000000" w:themeColor="text1"/>
          <w:sz w:val="20"/>
          <w:szCs w:val="20"/>
        </w:rPr>
        <w:fldChar w:fldCharType="end"/>
      </w:r>
      <w:bookmarkEnd w:id="52"/>
      <w:r w:rsidRPr="008F6866">
        <w:rPr>
          <w:b/>
          <w:i w:val="0"/>
          <w:color w:val="000000" w:themeColor="text1"/>
          <w:sz w:val="20"/>
          <w:szCs w:val="20"/>
        </w:rPr>
        <w:t>. Summary statistics of the linear mixed model of the height increment of hornbeam in response to treatment and the two first principal components scores (PC1 and PC2)</w:t>
      </w:r>
    </w:p>
    <w:tbl>
      <w:tblPr>
        <w:tblW w:w="9707" w:type="dxa"/>
        <w:jc w:val="center"/>
        <w:tblLayout w:type="fixed"/>
        <w:tblLook w:val="0400" w:firstRow="0" w:lastRow="0" w:firstColumn="0" w:lastColumn="0" w:noHBand="0" w:noVBand="1"/>
      </w:tblPr>
      <w:tblGrid>
        <w:gridCol w:w="3397"/>
        <w:gridCol w:w="1303"/>
        <w:gridCol w:w="800"/>
        <w:gridCol w:w="2103"/>
        <w:gridCol w:w="2104"/>
      </w:tblGrid>
      <w:tr w:rsidR="00DE4897" w:rsidRPr="008F6866" w14:paraId="448BCA43" w14:textId="77777777" w:rsidTr="00CE04BD">
        <w:trPr>
          <w:trHeight w:val="330"/>
          <w:jc w:val="center"/>
        </w:trPr>
        <w:tc>
          <w:tcPr>
            <w:tcW w:w="3397" w:type="dxa"/>
            <w:tcBorders>
              <w:top w:val="single" w:sz="12" w:space="0" w:color="000000"/>
              <w:left w:val="nil"/>
              <w:bottom w:val="single" w:sz="12" w:space="0" w:color="000000"/>
              <w:right w:val="nil"/>
            </w:tcBorders>
            <w:shd w:val="clear" w:color="auto" w:fill="auto"/>
            <w:vAlign w:val="center"/>
          </w:tcPr>
          <w:p w14:paraId="4D31AA5F" w14:textId="77777777" w:rsidR="00DE4897" w:rsidRPr="008F6866" w:rsidRDefault="00DE4897" w:rsidP="008D668B">
            <w:pPr>
              <w:spacing w:after="120" w:line="240" w:lineRule="auto"/>
              <w:rPr>
                <w:b/>
                <w:i/>
                <w:color w:val="000000"/>
                <w:sz w:val="20"/>
                <w:szCs w:val="20"/>
              </w:rPr>
            </w:pPr>
            <w:r w:rsidRPr="008F6866">
              <w:rPr>
                <w:b/>
                <w:i/>
                <w:color w:val="000000"/>
                <w:sz w:val="20"/>
                <w:szCs w:val="20"/>
              </w:rPr>
              <w:t>Predictors</w:t>
            </w:r>
          </w:p>
        </w:tc>
        <w:tc>
          <w:tcPr>
            <w:tcW w:w="2103" w:type="dxa"/>
            <w:gridSpan w:val="2"/>
            <w:tcBorders>
              <w:top w:val="single" w:sz="12" w:space="0" w:color="000000"/>
              <w:left w:val="nil"/>
              <w:bottom w:val="single" w:sz="12" w:space="0" w:color="000000"/>
              <w:right w:val="nil"/>
            </w:tcBorders>
            <w:shd w:val="clear" w:color="auto" w:fill="auto"/>
            <w:vAlign w:val="center"/>
          </w:tcPr>
          <w:p w14:paraId="0561E5FE" w14:textId="77777777" w:rsidR="00DE4897" w:rsidRPr="008F6866" w:rsidRDefault="00DE4897" w:rsidP="008D668B">
            <w:pPr>
              <w:spacing w:after="120" w:line="240" w:lineRule="auto"/>
              <w:jc w:val="center"/>
              <w:rPr>
                <w:b/>
                <w:i/>
                <w:color w:val="000000"/>
                <w:sz w:val="20"/>
                <w:szCs w:val="20"/>
              </w:rPr>
            </w:pPr>
            <w:r w:rsidRPr="008F6866">
              <w:rPr>
                <w:b/>
                <w:i/>
                <w:color w:val="000000"/>
                <w:sz w:val="20"/>
                <w:szCs w:val="20"/>
              </w:rPr>
              <w:t>Estimates</w:t>
            </w:r>
          </w:p>
        </w:tc>
        <w:tc>
          <w:tcPr>
            <w:tcW w:w="2103" w:type="dxa"/>
            <w:tcBorders>
              <w:top w:val="single" w:sz="12" w:space="0" w:color="000000"/>
              <w:left w:val="nil"/>
              <w:bottom w:val="single" w:sz="12" w:space="0" w:color="000000"/>
              <w:right w:val="nil"/>
            </w:tcBorders>
            <w:shd w:val="clear" w:color="auto" w:fill="auto"/>
            <w:vAlign w:val="center"/>
          </w:tcPr>
          <w:p w14:paraId="17C0EED5" w14:textId="77777777" w:rsidR="00DE4897" w:rsidRPr="008F6866" w:rsidRDefault="00DE4897" w:rsidP="008D668B">
            <w:pPr>
              <w:spacing w:after="120" w:line="240" w:lineRule="auto"/>
              <w:jc w:val="center"/>
              <w:rPr>
                <w:b/>
                <w:i/>
                <w:color w:val="000000"/>
                <w:sz w:val="20"/>
                <w:szCs w:val="20"/>
              </w:rPr>
            </w:pPr>
            <w:r w:rsidRPr="008F6866">
              <w:rPr>
                <w:b/>
                <w:i/>
                <w:color w:val="000000"/>
                <w:sz w:val="20"/>
                <w:szCs w:val="20"/>
              </w:rPr>
              <w:t>CI</w:t>
            </w:r>
          </w:p>
        </w:tc>
        <w:tc>
          <w:tcPr>
            <w:tcW w:w="2104" w:type="dxa"/>
            <w:tcBorders>
              <w:top w:val="single" w:sz="12" w:space="0" w:color="000000"/>
              <w:left w:val="nil"/>
              <w:bottom w:val="single" w:sz="12" w:space="0" w:color="000000"/>
              <w:right w:val="nil"/>
            </w:tcBorders>
            <w:shd w:val="clear" w:color="auto" w:fill="auto"/>
            <w:vAlign w:val="center"/>
          </w:tcPr>
          <w:p w14:paraId="5F9725A3" w14:textId="77777777" w:rsidR="00DE4897" w:rsidRPr="008F6866" w:rsidRDefault="00DE4897" w:rsidP="008D668B">
            <w:pPr>
              <w:spacing w:after="120" w:line="240" w:lineRule="auto"/>
              <w:jc w:val="center"/>
              <w:rPr>
                <w:b/>
                <w:i/>
                <w:color w:val="000000"/>
                <w:sz w:val="20"/>
                <w:szCs w:val="20"/>
              </w:rPr>
            </w:pPr>
            <w:r w:rsidRPr="008F6866">
              <w:rPr>
                <w:b/>
                <w:i/>
                <w:color w:val="000000"/>
                <w:sz w:val="20"/>
                <w:szCs w:val="20"/>
              </w:rPr>
              <w:t>p</w:t>
            </w:r>
          </w:p>
        </w:tc>
      </w:tr>
      <w:tr w:rsidR="00DE4897" w:rsidRPr="008F6866" w14:paraId="4E75243B" w14:textId="77777777" w:rsidTr="00CE04BD">
        <w:trPr>
          <w:trHeight w:val="300"/>
          <w:jc w:val="center"/>
        </w:trPr>
        <w:tc>
          <w:tcPr>
            <w:tcW w:w="3397" w:type="dxa"/>
            <w:tcBorders>
              <w:top w:val="single" w:sz="12" w:space="0" w:color="000000"/>
              <w:left w:val="nil"/>
              <w:bottom w:val="nil"/>
              <w:right w:val="nil"/>
            </w:tcBorders>
            <w:shd w:val="clear" w:color="auto" w:fill="auto"/>
          </w:tcPr>
          <w:p w14:paraId="41DB4355" w14:textId="77777777" w:rsidR="00DE4897" w:rsidRPr="008F6866" w:rsidRDefault="00DE4897" w:rsidP="008D668B">
            <w:pPr>
              <w:spacing w:after="120" w:line="240" w:lineRule="auto"/>
              <w:rPr>
                <w:color w:val="000000"/>
                <w:sz w:val="20"/>
                <w:szCs w:val="20"/>
              </w:rPr>
            </w:pPr>
            <w:r w:rsidRPr="008F6866">
              <w:rPr>
                <w:color w:val="000000"/>
                <w:sz w:val="20"/>
                <w:szCs w:val="20"/>
              </w:rPr>
              <w:t>(Intercept)</w:t>
            </w:r>
          </w:p>
        </w:tc>
        <w:tc>
          <w:tcPr>
            <w:tcW w:w="2103" w:type="dxa"/>
            <w:gridSpan w:val="2"/>
            <w:tcBorders>
              <w:top w:val="single" w:sz="12" w:space="0" w:color="000000"/>
              <w:left w:val="nil"/>
              <w:bottom w:val="nil"/>
              <w:right w:val="nil"/>
            </w:tcBorders>
            <w:shd w:val="clear" w:color="auto" w:fill="auto"/>
          </w:tcPr>
          <w:p w14:paraId="13B2E94D" w14:textId="77777777" w:rsidR="00DE4897" w:rsidRPr="008F6866" w:rsidRDefault="00DE4897" w:rsidP="008D668B">
            <w:pPr>
              <w:spacing w:after="120" w:line="240" w:lineRule="auto"/>
              <w:jc w:val="center"/>
              <w:rPr>
                <w:color w:val="000000"/>
                <w:sz w:val="20"/>
                <w:szCs w:val="20"/>
              </w:rPr>
            </w:pPr>
            <w:r w:rsidRPr="008F6866">
              <w:rPr>
                <w:color w:val="000000"/>
                <w:sz w:val="20"/>
                <w:szCs w:val="20"/>
              </w:rPr>
              <w:t>18.36</w:t>
            </w:r>
          </w:p>
        </w:tc>
        <w:tc>
          <w:tcPr>
            <w:tcW w:w="2103" w:type="dxa"/>
            <w:tcBorders>
              <w:top w:val="single" w:sz="12" w:space="0" w:color="000000"/>
              <w:left w:val="nil"/>
              <w:bottom w:val="nil"/>
              <w:right w:val="nil"/>
            </w:tcBorders>
            <w:shd w:val="clear" w:color="auto" w:fill="auto"/>
          </w:tcPr>
          <w:p w14:paraId="51ACE525" w14:textId="77777777" w:rsidR="00DE4897" w:rsidRPr="008F6866" w:rsidRDefault="00DE4897" w:rsidP="008D668B">
            <w:pPr>
              <w:spacing w:after="120" w:line="240" w:lineRule="auto"/>
              <w:jc w:val="center"/>
              <w:rPr>
                <w:color w:val="000000"/>
                <w:sz w:val="20"/>
                <w:szCs w:val="20"/>
              </w:rPr>
            </w:pPr>
            <w:r w:rsidRPr="008F6866">
              <w:rPr>
                <w:color w:val="000000"/>
                <w:sz w:val="20"/>
                <w:szCs w:val="20"/>
              </w:rPr>
              <w:t>12.91 – 23.80</w:t>
            </w:r>
          </w:p>
        </w:tc>
        <w:tc>
          <w:tcPr>
            <w:tcW w:w="2104" w:type="dxa"/>
            <w:tcBorders>
              <w:top w:val="single" w:sz="12" w:space="0" w:color="000000"/>
              <w:left w:val="nil"/>
              <w:bottom w:val="nil"/>
              <w:right w:val="nil"/>
            </w:tcBorders>
            <w:shd w:val="clear" w:color="auto" w:fill="auto"/>
          </w:tcPr>
          <w:p w14:paraId="70DFA2CA" w14:textId="77777777" w:rsidR="00DE4897" w:rsidRPr="008F6866" w:rsidRDefault="00DE4897" w:rsidP="008D668B">
            <w:pPr>
              <w:spacing w:after="120" w:line="240" w:lineRule="auto"/>
              <w:jc w:val="center"/>
              <w:rPr>
                <w:b/>
                <w:color w:val="000000"/>
                <w:sz w:val="20"/>
                <w:szCs w:val="20"/>
              </w:rPr>
            </w:pPr>
            <w:r w:rsidRPr="008F6866">
              <w:rPr>
                <w:b/>
                <w:color w:val="000000"/>
                <w:sz w:val="20"/>
                <w:szCs w:val="20"/>
              </w:rPr>
              <w:t>&lt;0.001</w:t>
            </w:r>
          </w:p>
        </w:tc>
      </w:tr>
      <w:tr w:rsidR="00DE4897" w:rsidRPr="008F6866" w14:paraId="20556671" w14:textId="77777777" w:rsidTr="00CE04BD">
        <w:trPr>
          <w:trHeight w:val="300"/>
          <w:jc w:val="center"/>
        </w:trPr>
        <w:tc>
          <w:tcPr>
            <w:tcW w:w="3397" w:type="dxa"/>
            <w:tcBorders>
              <w:top w:val="nil"/>
              <w:left w:val="nil"/>
              <w:bottom w:val="nil"/>
              <w:right w:val="nil"/>
            </w:tcBorders>
            <w:shd w:val="clear" w:color="auto" w:fill="auto"/>
          </w:tcPr>
          <w:p w14:paraId="7EFBC738" w14:textId="77777777" w:rsidR="00DE4897" w:rsidRPr="008F6866" w:rsidRDefault="00DE4897" w:rsidP="008D668B">
            <w:pPr>
              <w:spacing w:after="120" w:line="240" w:lineRule="auto"/>
              <w:rPr>
                <w:color w:val="000000"/>
                <w:sz w:val="20"/>
                <w:szCs w:val="20"/>
              </w:rPr>
            </w:pPr>
            <w:r w:rsidRPr="008F6866">
              <w:rPr>
                <w:color w:val="000000"/>
                <w:sz w:val="20"/>
                <w:szCs w:val="20"/>
              </w:rPr>
              <w:t>treatment [Unfenced]</w:t>
            </w:r>
          </w:p>
        </w:tc>
        <w:tc>
          <w:tcPr>
            <w:tcW w:w="2103" w:type="dxa"/>
            <w:gridSpan w:val="2"/>
            <w:tcBorders>
              <w:top w:val="nil"/>
              <w:left w:val="nil"/>
              <w:bottom w:val="nil"/>
              <w:right w:val="nil"/>
            </w:tcBorders>
            <w:shd w:val="clear" w:color="auto" w:fill="auto"/>
          </w:tcPr>
          <w:p w14:paraId="1C169CBE" w14:textId="77777777" w:rsidR="00DE4897" w:rsidRPr="008F6866" w:rsidRDefault="00DE4897" w:rsidP="008D668B">
            <w:pPr>
              <w:spacing w:after="120" w:line="240" w:lineRule="auto"/>
              <w:jc w:val="center"/>
              <w:rPr>
                <w:color w:val="000000"/>
                <w:sz w:val="20"/>
                <w:szCs w:val="20"/>
              </w:rPr>
            </w:pPr>
            <w:r w:rsidRPr="008F6866">
              <w:rPr>
                <w:color w:val="000000"/>
                <w:sz w:val="20"/>
                <w:szCs w:val="20"/>
              </w:rPr>
              <w:t>-15.88</w:t>
            </w:r>
          </w:p>
        </w:tc>
        <w:tc>
          <w:tcPr>
            <w:tcW w:w="2103" w:type="dxa"/>
            <w:tcBorders>
              <w:top w:val="nil"/>
              <w:left w:val="nil"/>
              <w:bottom w:val="nil"/>
              <w:right w:val="nil"/>
            </w:tcBorders>
            <w:shd w:val="clear" w:color="auto" w:fill="auto"/>
          </w:tcPr>
          <w:p w14:paraId="2A87DFFE" w14:textId="77777777" w:rsidR="00DE4897" w:rsidRPr="008F6866" w:rsidRDefault="00DE4897" w:rsidP="008D668B">
            <w:pPr>
              <w:spacing w:after="120" w:line="240" w:lineRule="auto"/>
              <w:jc w:val="center"/>
              <w:rPr>
                <w:color w:val="000000"/>
                <w:sz w:val="20"/>
                <w:szCs w:val="20"/>
              </w:rPr>
            </w:pPr>
            <w:r w:rsidRPr="008F6866">
              <w:rPr>
                <w:color w:val="000000"/>
                <w:sz w:val="20"/>
                <w:szCs w:val="20"/>
              </w:rPr>
              <w:t>-21.25 – -10.51</w:t>
            </w:r>
          </w:p>
        </w:tc>
        <w:tc>
          <w:tcPr>
            <w:tcW w:w="2104" w:type="dxa"/>
            <w:tcBorders>
              <w:top w:val="nil"/>
              <w:left w:val="nil"/>
              <w:bottom w:val="nil"/>
              <w:right w:val="nil"/>
            </w:tcBorders>
            <w:shd w:val="clear" w:color="auto" w:fill="auto"/>
          </w:tcPr>
          <w:p w14:paraId="39A8EB3D" w14:textId="77777777" w:rsidR="00DE4897" w:rsidRPr="008F6866" w:rsidRDefault="00DE4897" w:rsidP="008D668B">
            <w:pPr>
              <w:spacing w:after="120" w:line="240" w:lineRule="auto"/>
              <w:jc w:val="center"/>
              <w:rPr>
                <w:b/>
                <w:color w:val="000000"/>
                <w:sz w:val="20"/>
                <w:szCs w:val="20"/>
              </w:rPr>
            </w:pPr>
            <w:r w:rsidRPr="008F6866">
              <w:rPr>
                <w:b/>
                <w:color w:val="000000"/>
                <w:sz w:val="20"/>
                <w:szCs w:val="20"/>
              </w:rPr>
              <w:t>&lt;0.001</w:t>
            </w:r>
          </w:p>
        </w:tc>
      </w:tr>
      <w:tr w:rsidR="00DE4897" w:rsidRPr="008F6866" w14:paraId="5503FC4A" w14:textId="77777777" w:rsidTr="00CE04BD">
        <w:trPr>
          <w:trHeight w:val="300"/>
          <w:jc w:val="center"/>
        </w:trPr>
        <w:tc>
          <w:tcPr>
            <w:tcW w:w="3397" w:type="dxa"/>
            <w:tcBorders>
              <w:top w:val="nil"/>
              <w:left w:val="nil"/>
              <w:bottom w:val="nil"/>
              <w:right w:val="nil"/>
            </w:tcBorders>
            <w:shd w:val="clear" w:color="auto" w:fill="auto"/>
          </w:tcPr>
          <w:p w14:paraId="0747CA61" w14:textId="77777777" w:rsidR="00DE4897" w:rsidRPr="008F6866" w:rsidRDefault="00DE4897" w:rsidP="008D668B">
            <w:pPr>
              <w:spacing w:after="120" w:line="240" w:lineRule="auto"/>
              <w:rPr>
                <w:color w:val="000000"/>
                <w:sz w:val="20"/>
                <w:szCs w:val="20"/>
              </w:rPr>
            </w:pPr>
            <w:r w:rsidRPr="008F6866">
              <w:rPr>
                <w:color w:val="000000"/>
                <w:sz w:val="20"/>
                <w:szCs w:val="20"/>
              </w:rPr>
              <w:t>PC1</w:t>
            </w:r>
          </w:p>
        </w:tc>
        <w:tc>
          <w:tcPr>
            <w:tcW w:w="2103" w:type="dxa"/>
            <w:gridSpan w:val="2"/>
            <w:tcBorders>
              <w:top w:val="nil"/>
              <w:left w:val="nil"/>
              <w:bottom w:val="nil"/>
              <w:right w:val="nil"/>
            </w:tcBorders>
            <w:shd w:val="clear" w:color="auto" w:fill="auto"/>
          </w:tcPr>
          <w:p w14:paraId="682BB018" w14:textId="77777777" w:rsidR="00DE4897" w:rsidRPr="008F6866" w:rsidRDefault="00DE4897" w:rsidP="008D668B">
            <w:pPr>
              <w:spacing w:after="120" w:line="240" w:lineRule="auto"/>
              <w:jc w:val="center"/>
              <w:rPr>
                <w:color w:val="000000"/>
                <w:sz w:val="20"/>
                <w:szCs w:val="20"/>
              </w:rPr>
            </w:pPr>
            <w:r w:rsidRPr="008F6866">
              <w:rPr>
                <w:color w:val="000000"/>
                <w:sz w:val="20"/>
                <w:szCs w:val="20"/>
              </w:rPr>
              <w:t>1.26</w:t>
            </w:r>
          </w:p>
        </w:tc>
        <w:tc>
          <w:tcPr>
            <w:tcW w:w="2103" w:type="dxa"/>
            <w:tcBorders>
              <w:top w:val="nil"/>
              <w:left w:val="nil"/>
              <w:bottom w:val="nil"/>
              <w:right w:val="nil"/>
            </w:tcBorders>
            <w:shd w:val="clear" w:color="auto" w:fill="auto"/>
          </w:tcPr>
          <w:p w14:paraId="6F0F8625" w14:textId="77777777" w:rsidR="00DE4897" w:rsidRPr="008F6866" w:rsidRDefault="00DE4897" w:rsidP="008D668B">
            <w:pPr>
              <w:spacing w:after="120" w:line="240" w:lineRule="auto"/>
              <w:jc w:val="center"/>
              <w:rPr>
                <w:color w:val="000000"/>
                <w:sz w:val="20"/>
                <w:szCs w:val="20"/>
              </w:rPr>
            </w:pPr>
            <w:r w:rsidRPr="008F6866">
              <w:rPr>
                <w:color w:val="000000"/>
                <w:sz w:val="20"/>
                <w:szCs w:val="20"/>
              </w:rPr>
              <w:t>0.56 – 1.96</w:t>
            </w:r>
          </w:p>
        </w:tc>
        <w:tc>
          <w:tcPr>
            <w:tcW w:w="2104" w:type="dxa"/>
            <w:tcBorders>
              <w:top w:val="nil"/>
              <w:left w:val="nil"/>
              <w:bottom w:val="nil"/>
              <w:right w:val="nil"/>
            </w:tcBorders>
            <w:shd w:val="clear" w:color="auto" w:fill="auto"/>
          </w:tcPr>
          <w:p w14:paraId="419A3C31" w14:textId="77777777" w:rsidR="00DE4897" w:rsidRPr="008F6866" w:rsidRDefault="00DE4897" w:rsidP="008D668B">
            <w:pPr>
              <w:spacing w:after="120" w:line="240" w:lineRule="auto"/>
              <w:jc w:val="center"/>
              <w:rPr>
                <w:b/>
                <w:color w:val="000000"/>
                <w:sz w:val="20"/>
                <w:szCs w:val="20"/>
              </w:rPr>
            </w:pPr>
            <w:r w:rsidRPr="008F6866">
              <w:rPr>
                <w:b/>
                <w:color w:val="000000"/>
                <w:sz w:val="20"/>
                <w:szCs w:val="20"/>
              </w:rPr>
              <w:t>&lt;0.001</w:t>
            </w:r>
          </w:p>
        </w:tc>
      </w:tr>
      <w:tr w:rsidR="00DE4897" w:rsidRPr="008F6866" w14:paraId="72998184" w14:textId="77777777" w:rsidTr="00CE04BD">
        <w:trPr>
          <w:trHeight w:val="300"/>
          <w:jc w:val="center"/>
        </w:trPr>
        <w:tc>
          <w:tcPr>
            <w:tcW w:w="3397" w:type="dxa"/>
            <w:tcBorders>
              <w:top w:val="nil"/>
              <w:left w:val="nil"/>
              <w:bottom w:val="nil"/>
              <w:right w:val="nil"/>
            </w:tcBorders>
            <w:shd w:val="clear" w:color="auto" w:fill="auto"/>
          </w:tcPr>
          <w:p w14:paraId="14F29095" w14:textId="77777777" w:rsidR="00DE4897" w:rsidRPr="008F6866" w:rsidRDefault="00DE4897" w:rsidP="008D668B">
            <w:pPr>
              <w:spacing w:after="120" w:line="240" w:lineRule="auto"/>
              <w:rPr>
                <w:color w:val="000000"/>
                <w:sz w:val="20"/>
                <w:szCs w:val="20"/>
              </w:rPr>
            </w:pPr>
            <w:r w:rsidRPr="008F6866">
              <w:rPr>
                <w:color w:val="000000"/>
                <w:sz w:val="20"/>
                <w:szCs w:val="20"/>
              </w:rPr>
              <w:t>PC2</w:t>
            </w:r>
          </w:p>
        </w:tc>
        <w:tc>
          <w:tcPr>
            <w:tcW w:w="2103" w:type="dxa"/>
            <w:gridSpan w:val="2"/>
            <w:tcBorders>
              <w:top w:val="nil"/>
              <w:left w:val="nil"/>
              <w:bottom w:val="nil"/>
              <w:right w:val="nil"/>
            </w:tcBorders>
            <w:shd w:val="clear" w:color="auto" w:fill="auto"/>
          </w:tcPr>
          <w:p w14:paraId="38A1549C" w14:textId="77777777" w:rsidR="00DE4897" w:rsidRPr="008F6866" w:rsidRDefault="00DE4897" w:rsidP="008D668B">
            <w:pPr>
              <w:spacing w:after="120" w:line="240" w:lineRule="auto"/>
              <w:jc w:val="center"/>
              <w:rPr>
                <w:color w:val="000000"/>
                <w:sz w:val="20"/>
                <w:szCs w:val="20"/>
              </w:rPr>
            </w:pPr>
            <w:r w:rsidRPr="008F6866">
              <w:rPr>
                <w:color w:val="000000"/>
                <w:sz w:val="20"/>
                <w:szCs w:val="20"/>
              </w:rPr>
              <w:t>-0.84</w:t>
            </w:r>
          </w:p>
        </w:tc>
        <w:tc>
          <w:tcPr>
            <w:tcW w:w="2103" w:type="dxa"/>
            <w:tcBorders>
              <w:top w:val="nil"/>
              <w:left w:val="nil"/>
              <w:bottom w:val="nil"/>
              <w:right w:val="nil"/>
            </w:tcBorders>
            <w:shd w:val="clear" w:color="auto" w:fill="auto"/>
          </w:tcPr>
          <w:p w14:paraId="2037AC28" w14:textId="77777777" w:rsidR="00DE4897" w:rsidRPr="008F6866" w:rsidRDefault="00DE4897" w:rsidP="008D668B">
            <w:pPr>
              <w:spacing w:after="120" w:line="240" w:lineRule="auto"/>
              <w:jc w:val="center"/>
              <w:rPr>
                <w:color w:val="000000"/>
                <w:sz w:val="20"/>
                <w:szCs w:val="20"/>
              </w:rPr>
            </w:pPr>
            <w:r w:rsidRPr="008F6866">
              <w:rPr>
                <w:color w:val="000000"/>
                <w:sz w:val="20"/>
                <w:szCs w:val="20"/>
              </w:rPr>
              <w:t>-3.12 – 1.43</w:t>
            </w:r>
          </w:p>
        </w:tc>
        <w:tc>
          <w:tcPr>
            <w:tcW w:w="2104" w:type="dxa"/>
            <w:tcBorders>
              <w:top w:val="nil"/>
              <w:left w:val="nil"/>
              <w:bottom w:val="nil"/>
              <w:right w:val="nil"/>
            </w:tcBorders>
            <w:shd w:val="clear" w:color="auto" w:fill="auto"/>
          </w:tcPr>
          <w:p w14:paraId="12D438F3" w14:textId="77777777" w:rsidR="00DE4897" w:rsidRPr="008F6866" w:rsidRDefault="00DE4897" w:rsidP="008D668B">
            <w:pPr>
              <w:spacing w:after="120" w:line="240" w:lineRule="auto"/>
              <w:jc w:val="center"/>
              <w:rPr>
                <w:color w:val="000000"/>
                <w:sz w:val="20"/>
                <w:szCs w:val="20"/>
              </w:rPr>
            </w:pPr>
            <w:r w:rsidRPr="008F6866">
              <w:rPr>
                <w:color w:val="000000"/>
                <w:sz w:val="20"/>
                <w:szCs w:val="20"/>
              </w:rPr>
              <w:t>0.466</w:t>
            </w:r>
          </w:p>
        </w:tc>
      </w:tr>
      <w:tr w:rsidR="00DE4897" w:rsidRPr="008F6866" w14:paraId="1C190D32" w14:textId="77777777" w:rsidTr="00CE04BD">
        <w:trPr>
          <w:trHeight w:val="300"/>
          <w:jc w:val="center"/>
        </w:trPr>
        <w:tc>
          <w:tcPr>
            <w:tcW w:w="3397" w:type="dxa"/>
            <w:tcBorders>
              <w:top w:val="nil"/>
              <w:left w:val="nil"/>
              <w:bottom w:val="nil"/>
              <w:right w:val="nil"/>
            </w:tcBorders>
            <w:shd w:val="clear" w:color="auto" w:fill="auto"/>
          </w:tcPr>
          <w:p w14:paraId="060A8A7C" w14:textId="77777777" w:rsidR="00DE4897" w:rsidRPr="008F6866" w:rsidRDefault="00DE4897" w:rsidP="008D668B">
            <w:pPr>
              <w:spacing w:after="120" w:line="240" w:lineRule="auto"/>
              <w:rPr>
                <w:color w:val="000000"/>
                <w:sz w:val="20"/>
                <w:szCs w:val="20"/>
              </w:rPr>
            </w:pPr>
            <w:r w:rsidRPr="008F6866">
              <w:rPr>
                <w:color w:val="000000"/>
                <w:sz w:val="20"/>
                <w:szCs w:val="20"/>
              </w:rPr>
              <w:t>treatment [Unfenced] × PC1</w:t>
            </w:r>
          </w:p>
        </w:tc>
        <w:tc>
          <w:tcPr>
            <w:tcW w:w="2103" w:type="dxa"/>
            <w:gridSpan w:val="2"/>
            <w:tcBorders>
              <w:top w:val="nil"/>
              <w:left w:val="nil"/>
              <w:bottom w:val="nil"/>
              <w:right w:val="nil"/>
            </w:tcBorders>
            <w:shd w:val="clear" w:color="auto" w:fill="auto"/>
          </w:tcPr>
          <w:p w14:paraId="5D6F6F51" w14:textId="77777777" w:rsidR="00DE4897" w:rsidRPr="008F6866" w:rsidRDefault="00DE4897" w:rsidP="008D668B">
            <w:pPr>
              <w:spacing w:after="120" w:line="240" w:lineRule="auto"/>
              <w:jc w:val="center"/>
              <w:rPr>
                <w:color w:val="000000"/>
                <w:sz w:val="20"/>
                <w:szCs w:val="20"/>
              </w:rPr>
            </w:pPr>
            <w:r w:rsidRPr="008F6866">
              <w:rPr>
                <w:color w:val="000000"/>
                <w:sz w:val="20"/>
                <w:szCs w:val="20"/>
              </w:rPr>
              <w:t>-1.08</w:t>
            </w:r>
          </w:p>
        </w:tc>
        <w:tc>
          <w:tcPr>
            <w:tcW w:w="2103" w:type="dxa"/>
            <w:tcBorders>
              <w:top w:val="nil"/>
              <w:left w:val="nil"/>
              <w:bottom w:val="nil"/>
              <w:right w:val="nil"/>
            </w:tcBorders>
            <w:shd w:val="clear" w:color="auto" w:fill="auto"/>
          </w:tcPr>
          <w:p w14:paraId="170E6014" w14:textId="77777777" w:rsidR="00DE4897" w:rsidRPr="008F6866" w:rsidRDefault="00DE4897" w:rsidP="008D668B">
            <w:pPr>
              <w:spacing w:after="120" w:line="240" w:lineRule="auto"/>
              <w:jc w:val="center"/>
              <w:rPr>
                <w:color w:val="000000"/>
                <w:sz w:val="20"/>
                <w:szCs w:val="20"/>
              </w:rPr>
            </w:pPr>
            <w:r w:rsidRPr="008F6866">
              <w:rPr>
                <w:color w:val="000000"/>
                <w:sz w:val="20"/>
                <w:szCs w:val="20"/>
              </w:rPr>
              <w:t>-1.73 – -0.43</w:t>
            </w:r>
          </w:p>
        </w:tc>
        <w:tc>
          <w:tcPr>
            <w:tcW w:w="2104" w:type="dxa"/>
            <w:tcBorders>
              <w:top w:val="nil"/>
              <w:left w:val="nil"/>
              <w:bottom w:val="nil"/>
              <w:right w:val="nil"/>
            </w:tcBorders>
            <w:shd w:val="clear" w:color="auto" w:fill="auto"/>
          </w:tcPr>
          <w:p w14:paraId="1D889717" w14:textId="77777777" w:rsidR="00DE4897" w:rsidRPr="008F6866" w:rsidRDefault="00DE4897" w:rsidP="008D668B">
            <w:pPr>
              <w:spacing w:after="120" w:line="240" w:lineRule="auto"/>
              <w:jc w:val="center"/>
              <w:rPr>
                <w:b/>
                <w:color w:val="000000"/>
                <w:sz w:val="20"/>
                <w:szCs w:val="20"/>
              </w:rPr>
            </w:pPr>
            <w:r w:rsidRPr="008F6866">
              <w:rPr>
                <w:b/>
                <w:color w:val="000000"/>
                <w:sz w:val="20"/>
                <w:szCs w:val="20"/>
              </w:rPr>
              <w:t>0.001</w:t>
            </w:r>
          </w:p>
        </w:tc>
      </w:tr>
      <w:tr w:rsidR="00DE4897" w:rsidRPr="008F6866" w14:paraId="0CCD45C3" w14:textId="77777777" w:rsidTr="00CE04BD">
        <w:trPr>
          <w:trHeight w:val="300"/>
          <w:jc w:val="center"/>
        </w:trPr>
        <w:tc>
          <w:tcPr>
            <w:tcW w:w="3397" w:type="dxa"/>
            <w:tcBorders>
              <w:top w:val="nil"/>
              <w:left w:val="nil"/>
              <w:bottom w:val="nil"/>
              <w:right w:val="nil"/>
            </w:tcBorders>
            <w:shd w:val="clear" w:color="auto" w:fill="auto"/>
          </w:tcPr>
          <w:p w14:paraId="081C07B7" w14:textId="77777777" w:rsidR="00DE4897" w:rsidRPr="008F6866" w:rsidRDefault="00DE4897" w:rsidP="008D668B">
            <w:pPr>
              <w:spacing w:after="120" w:line="240" w:lineRule="auto"/>
              <w:rPr>
                <w:color w:val="000000"/>
                <w:sz w:val="20"/>
                <w:szCs w:val="20"/>
              </w:rPr>
            </w:pPr>
            <w:r w:rsidRPr="008F6866">
              <w:rPr>
                <w:color w:val="000000"/>
                <w:sz w:val="20"/>
                <w:szCs w:val="20"/>
              </w:rPr>
              <w:t>treatment [Unfenced] × PC2</w:t>
            </w:r>
          </w:p>
        </w:tc>
        <w:tc>
          <w:tcPr>
            <w:tcW w:w="2103" w:type="dxa"/>
            <w:gridSpan w:val="2"/>
            <w:tcBorders>
              <w:top w:val="nil"/>
              <w:left w:val="nil"/>
              <w:bottom w:val="nil"/>
              <w:right w:val="nil"/>
            </w:tcBorders>
            <w:shd w:val="clear" w:color="auto" w:fill="auto"/>
          </w:tcPr>
          <w:p w14:paraId="3660B513" w14:textId="77777777" w:rsidR="00DE4897" w:rsidRPr="008F6866" w:rsidRDefault="00DE4897" w:rsidP="008D668B">
            <w:pPr>
              <w:spacing w:after="120" w:line="240" w:lineRule="auto"/>
              <w:jc w:val="center"/>
              <w:rPr>
                <w:color w:val="000000"/>
                <w:sz w:val="20"/>
                <w:szCs w:val="20"/>
              </w:rPr>
            </w:pPr>
            <w:r w:rsidRPr="008F6866">
              <w:rPr>
                <w:color w:val="000000"/>
                <w:sz w:val="20"/>
                <w:szCs w:val="20"/>
              </w:rPr>
              <w:t>-2.5</w:t>
            </w:r>
          </w:p>
        </w:tc>
        <w:tc>
          <w:tcPr>
            <w:tcW w:w="2103" w:type="dxa"/>
            <w:tcBorders>
              <w:top w:val="nil"/>
              <w:left w:val="nil"/>
              <w:bottom w:val="nil"/>
              <w:right w:val="nil"/>
            </w:tcBorders>
            <w:shd w:val="clear" w:color="auto" w:fill="auto"/>
          </w:tcPr>
          <w:p w14:paraId="370F5938" w14:textId="77777777" w:rsidR="00DE4897" w:rsidRPr="008F6866" w:rsidRDefault="00DE4897" w:rsidP="008D668B">
            <w:pPr>
              <w:spacing w:after="120" w:line="240" w:lineRule="auto"/>
              <w:jc w:val="center"/>
              <w:rPr>
                <w:color w:val="000000"/>
                <w:sz w:val="20"/>
                <w:szCs w:val="20"/>
              </w:rPr>
            </w:pPr>
            <w:r w:rsidRPr="008F6866">
              <w:rPr>
                <w:color w:val="000000"/>
                <w:sz w:val="20"/>
                <w:szCs w:val="20"/>
              </w:rPr>
              <w:t>-4.68 – -0.31</w:t>
            </w:r>
          </w:p>
        </w:tc>
        <w:tc>
          <w:tcPr>
            <w:tcW w:w="2104" w:type="dxa"/>
            <w:tcBorders>
              <w:top w:val="nil"/>
              <w:left w:val="nil"/>
              <w:bottom w:val="nil"/>
              <w:right w:val="nil"/>
            </w:tcBorders>
            <w:shd w:val="clear" w:color="auto" w:fill="auto"/>
          </w:tcPr>
          <w:p w14:paraId="62DE7F7A" w14:textId="77777777" w:rsidR="00DE4897" w:rsidRPr="008F6866" w:rsidRDefault="00DE4897" w:rsidP="008D668B">
            <w:pPr>
              <w:spacing w:after="120" w:line="240" w:lineRule="auto"/>
              <w:jc w:val="center"/>
              <w:rPr>
                <w:b/>
                <w:color w:val="000000"/>
                <w:sz w:val="20"/>
                <w:szCs w:val="20"/>
              </w:rPr>
            </w:pPr>
            <w:r w:rsidRPr="008F6866">
              <w:rPr>
                <w:b/>
                <w:color w:val="000000"/>
                <w:sz w:val="20"/>
                <w:szCs w:val="20"/>
              </w:rPr>
              <w:t>0.025</w:t>
            </w:r>
          </w:p>
        </w:tc>
      </w:tr>
      <w:tr w:rsidR="00DE4897" w:rsidRPr="008F6866" w14:paraId="47D96E31" w14:textId="77777777" w:rsidTr="00CE04BD">
        <w:trPr>
          <w:trHeight w:val="300"/>
          <w:jc w:val="center"/>
        </w:trPr>
        <w:tc>
          <w:tcPr>
            <w:tcW w:w="9707" w:type="dxa"/>
            <w:gridSpan w:val="5"/>
            <w:tcBorders>
              <w:top w:val="single" w:sz="4" w:space="0" w:color="000000"/>
              <w:left w:val="nil"/>
              <w:bottom w:val="nil"/>
              <w:right w:val="nil"/>
            </w:tcBorders>
            <w:shd w:val="clear" w:color="auto" w:fill="auto"/>
            <w:vAlign w:val="center"/>
          </w:tcPr>
          <w:p w14:paraId="39FA0688" w14:textId="77777777" w:rsidR="00DE4897" w:rsidRPr="008F6866" w:rsidRDefault="00DE4897" w:rsidP="008D668B">
            <w:pPr>
              <w:spacing w:after="120" w:line="240" w:lineRule="auto"/>
              <w:rPr>
                <w:b/>
                <w:color w:val="000000"/>
                <w:sz w:val="20"/>
                <w:szCs w:val="20"/>
              </w:rPr>
            </w:pPr>
            <w:r w:rsidRPr="008F6866">
              <w:rPr>
                <w:b/>
                <w:color w:val="000000"/>
                <w:sz w:val="20"/>
                <w:szCs w:val="20"/>
              </w:rPr>
              <w:t>Random Effects</w:t>
            </w:r>
          </w:p>
        </w:tc>
      </w:tr>
      <w:tr w:rsidR="00DE4897" w:rsidRPr="008F6866" w14:paraId="2705FA6F" w14:textId="77777777" w:rsidTr="00CE04BD">
        <w:trPr>
          <w:trHeight w:val="345"/>
          <w:jc w:val="center"/>
        </w:trPr>
        <w:tc>
          <w:tcPr>
            <w:tcW w:w="3397" w:type="dxa"/>
            <w:tcBorders>
              <w:top w:val="nil"/>
              <w:left w:val="nil"/>
              <w:bottom w:val="nil"/>
              <w:right w:val="nil"/>
            </w:tcBorders>
            <w:shd w:val="clear" w:color="auto" w:fill="auto"/>
          </w:tcPr>
          <w:p w14:paraId="7B651F05" w14:textId="77777777" w:rsidR="00DE4897" w:rsidRPr="008F6866" w:rsidRDefault="00DE4897" w:rsidP="008D668B">
            <w:pPr>
              <w:spacing w:after="120" w:line="240" w:lineRule="auto"/>
              <w:rPr>
                <w:color w:val="000000"/>
                <w:sz w:val="20"/>
                <w:szCs w:val="20"/>
              </w:rPr>
            </w:pPr>
            <w:r w:rsidRPr="008F6866">
              <w:rPr>
                <w:color w:val="000000"/>
                <w:sz w:val="20"/>
                <w:szCs w:val="20"/>
              </w:rPr>
              <w:t>σ</w:t>
            </w:r>
            <w:r w:rsidRPr="008F6866">
              <w:rPr>
                <w:color w:val="000000"/>
                <w:sz w:val="20"/>
                <w:szCs w:val="20"/>
                <w:vertAlign w:val="superscript"/>
              </w:rPr>
              <w:t>2</w:t>
            </w:r>
          </w:p>
        </w:tc>
        <w:tc>
          <w:tcPr>
            <w:tcW w:w="1303" w:type="dxa"/>
            <w:tcBorders>
              <w:top w:val="nil"/>
              <w:left w:val="nil"/>
              <w:bottom w:val="nil"/>
              <w:right w:val="nil"/>
            </w:tcBorders>
            <w:shd w:val="clear" w:color="auto" w:fill="auto"/>
          </w:tcPr>
          <w:p w14:paraId="7163FF1F" w14:textId="77777777" w:rsidR="00DE4897" w:rsidRPr="008F6866" w:rsidRDefault="00DE4897" w:rsidP="008D668B">
            <w:pPr>
              <w:spacing w:after="120" w:line="240" w:lineRule="auto"/>
              <w:jc w:val="right"/>
              <w:rPr>
                <w:color w:val="000000"/>
                <w:sz w:val="20"/>
                <w:szCs w:val="20"/>
              </w:rPr>
            </w:pPr>
            <w:r w:rsidRPr="008F6866">
              <w:rPr>
                <w:color w:val="000000"/>
                <w:sz w:val="20"/>
                <w:szCs w:val="20"/>
              </w:rPr>
              <w:t>56.67</w:t>
            </w:r>
          </w:p>
        </w:tc>
        <w:tc>
          <w:tcPr>
            <w:tcW w:w="5007" w:type="dxa"/>
            <w:gridSpan w:val="3"/>
            <w:tcBorders>
              <w:top w:val="nil"/>
              <w:left w:val="nil"/>
              <w:bottom w:val="nil"/>
              <w:right w:val="nil"/>
            </w:tcBorders>
            <w:shd w:val="clear" w:color="auto" w:fill="auto"/>
          </w:tcPr>
          <w:p w14:paraId="243F2F4A" w14:textId="77777777" w:rsidR="00DE4897" w:rsidRPr="008F6866" w:rsidRDefault="00DE4897" w:rsidP="008D668B">
            <w:pPr>
              <w:spacing w:after="120" w:line="240" w:lineRule="auto"/>
              <w:rPr>
                <w:color w:val="000000"/>
                <w:sz w:val="20"/>
                <w:szCs w:val="20"/>
              </w:rPr>
            </w:pPr>
          </w:p>
        </w:tc>
      </w:tr>
      <w:tr w:rsidR="00DE4897" w:rsidRPr="008F6866" w14:paraId="5D7475FA" w14:textId="77777777" w:rsidTr="00CE04BD">
        <w:trPr>
          <w:trHeight w:val="360"/>
          <w:jc w:val="center"/>
        </w:trPr>
        <w:tc>
          <w:tcPr>
            <w:tcW w:w="3397" w:type="dxa"/>
            <w:tcBorders>
              <w:top w:val="nil"/>
              <w:left w:val="nil"/>
              <w:bottom w:val="nil"/>
              <w:right w:val="nil"/>
            </w:tcBorders>
            <w:shd w:val="clear" w:color="auto" w:fill="auto"/>
          </w:tcPr>
          <w:p w14:paraId="2B6531EB" w14:textId="77777777" w:rsidR="00DE4897" w:rsidRPr="008F6866" w:rsidRDefault="00DE4897" w:rsidP="008D668B">
            <w:pPr>
              <w:spacing w:after="120" w:line="240" w:lineRule="auto"/>
              <w:rPr>
                <w:color w:val="000000"/>
                <w:sz w:val="20"/>
                <w:szCs w:val="20"/>
              </w:rPr>
            </w:pPr>
            <w:r w:rsidRPr="008F6866">
              <w:rPr>
                <w:color w:val="000000"/>
                <w:sz w:val="20"/>
                <w:szCs w:val="20"/>
              </w:rPr>
              <w:t>τ</w:t>
            </w:r>
            <w:r w:rsidRPr="008F6866">
              <w:rPr>
                <w:color w:val="000000"/>
                <w:sz w:val="20"/>
                <w:szCs w:val="20"/>
                <w:vertAlign w:val="subscript"/>
              </w:rPr>
              <w:t>00</w:t>
            </w:r>
            <w:r w:rsidRPr="008F6866">
              <w:rPr>
                <w:color w:val="000000"/>
                <w:sz w:val="20"/>
                <w:szCs w:val="20"/>
              </w:rPr>
              <w:t xml:space="preserve"> </w:t>
            </w:r>
            <w:r w:rsidRPr="008F6866">
              <w:rPr>
                <w:color w:val="000000"/>
                <w:sz w:val="20"/>
                <w:szCs w:val="20"/>
                <w:vertAlign w:val="subscript"/>
              </w:rPr>
              <w:t>plot</w:t>
            </w:r>
          </w:p>
        </w:tc>
        <w:tc>
          <w:tcPr>
            <w:tcW w:w="1303" w:type="dxa"/>
            <w:tcBorders>
              <w:top w:val="nil"/>
              <w:left w:val="nil"/>
              <w:bottom w:val="nil"/>
              <w:right w:val="nil"/>
            </w:tcBorders>
            <w:shd w:val="clear" w:color="auto" w:fill="auto"/>
          </w:tcPr>
          <w:p w14:paraId="6438C3AF" w14:textId="77777777" w:rsidR="00DE4897" w:rsidRPr="008F6866" w:rsidRDefault="00DE4897" w:rsidP="008D668B">
            <w:pPr>
              <w:spacing w:after="120" w:line="240" w:lineRule="auto"/>
              <w:jc w:val="right"/>
              <w:rPr>
                <w:color w:val="000000"/>
                <w:sz w:val="20"/>
                <w:szCs w:val="20"/>
              </w:rPr>
            </w:pPr>
            <w:r w:rsidRPr="008F6866">
              <w:rPr>
                <w:color w:val="000000"/>
                <w:sz w:val="20"/>
                <w:szCs w:val="20"/>
              </w:rPr>
              <w:t>99.64</w:t>
            </w:r>
          </w:p>
        </w:tc>
        <w:tc>
          <w:tcPr>
            <w:tcW w:w="5007" w:type="dxa"/>
            <w:gridSpan w:val="3"/>
            <w:tcBorders>
              <w:top w:val="nil"/>
              <w:left w:val="nil"/>
              <w:bottom w:val="nil"/>
              <w:right w:val="nil"/>
            </w:tcBorders>
            <w:shd w:val="clear" w:color="auto" w:fill="auto"/>
          </w:tcPr>
          <w:p w14:paraId="70B7FD11" w14:textId="77777777" w:rsidR="00DE4897" w:rsidRPr="008F6866" w:rsidRDefault="00DE4897" w:rsidP="008D668B">
            <w:pPr>
              <w:spacing w:after="120" w:line="240" w:lineRule="auto"/>
              <w:rPr>
                <w:color w:val="000000"/>
                <w:sz w:val="20"/>
                <w:szCs w:val="20"/>
              </w:rPr>
            </w:pPr>
          </w:p>
        </w:tc>
      </w:tr>
      <w:tr w:rsidR="00DE4897" w:rsidRPr="008F6866" w14:paraId="7495350B" w14:textId="77777777" w:rsidTr="00CE04BD">
        <w:trPr>
          <w:trHeight w:val="300"/>
          <w:jc w:val="center"/>
        </w:trPr>
        <w:tc>
          <w:tcPr>
            <w:tcW w:w="3397" w:type="dxa"/>
            <w:tcBorders>
              <w:top w:val="nil"/>
              <w:left w:val="nil"/>
              <w:bottom w:val="nil"/>
              <w:right w:val="nil"/>
            </w:tcBorders>
            <w:shd w:val="clear" w:color="auto" w:fill="auto"/>
          </w:tcPr>
          <w:p w14:paraId="57DEDAF3" w14:textId="77777777" w:rsidR="00DE4897" w:rsidRPr="008F6866" w:rsidRDefault="00DE4897" w:rsidP="008D668B">
            <w:pPr>
              <w:spacing w:after="120" w:line="240" w:lineRule="auto"/>
              <w:rPr>
                <w:color w:val="000000"/>
                <w:sz w:val="20"/>
                <w:szCs w:val="20"/>
              </w:rPr>
            </w:pPr>
            <w:r w:rsidRPr="008F6866">
              <w:rPr>
                <w:color w:val="000000"/>
                <w:sz w:val="20"/>
                <w:szCs w:val="20"/>
              </w:rPr>
              <w:t>ICC</w:t>
            </w:r>
          </w:p>
        </w:tc>
        <w:tc>
          <w:tcPr>
            <w:tcW w:w="1303" w:type="dxa"/>
            <w:tcBorders>
              <w:top w:val="nil"/>
              <w:left w:val="nil"/>
              <w:bottom w:val="nil"/>
              <w:right w:val="nil"/>
            </w:tcBorders>
            <w:shd w:val="clear" w:color="auto" w:fill="auto"/>
          </w:tcPr>
          <w:p w14:paraId="1B828208" w14:textId="77777777" w:rsidR="00DE4897" w:rsidRPr="008F6866" w:rsidRDefault="00DE4897" w:rsidP="008D668B">
            <w:pPr>
              <w:spacing w:after="120" w:line="240" w:lineRule="auto"/>
              <w:jc w:val="right"/>
              <w:rPr>
                <w:color w:val="000000"/>
                <w:sz w:val="20"/>
                <w:szCs w:val="20"/>
              </w:rPr>
            </w:pPr>
            <w:r w:rsidRPr="008F6866">
              <w:rPr>
                <w:color w:val="000000"/>
                <w:sz w:val="20"/>
                <w:szCs w:val="20"/>
              </w:rPr>
              <w:t>0.64</w:t>
            </w:r>
          </w:p>
        </w:tc>
        <w:tc>
          <w:tcPr>
            <w:tcW w:w="5007" w:type="dxa"/>
            <w:gridSpan w:val="3"/>
            <w:tcBorders>
              <w:top w:val="nil"/>
              <w:left w:val="nil"/>
              <w:bottom w:val="nil"/>
              <w:right w:val="nil"/>
            </w:tcBorders>
            <w:shd w:val="clear" w:color="auto" w:fill="auto"/>
          </w:tcPr>
          <w:p w14:paraId="78C33A01" w14:textId="77777777" w:rsidR="00DE4897" w:rsidRPr="008F6866" w:rsidRDefault="00DE4897" w:rsidP="008D668B">
            <w:pPr>
              <w:spacing w:after="120" w:line="240" w:lineRule="auto"/>
              <w:rPr>
                <w:color w:val="000000"/>
                <w:sz w:val="20"/>
                <w:szCs w:val="20"/>
              </w:rPr>
            </w:pPr>
          </w:p>
        </w:tc>
      </w:tr>
      <w:tr w:rsidR="00DE4897" w:rsidRPr="008F6866" w14:paraId="0148B3A1" w14:textId="77777777" w:rsidTr="00CE04BD">
        <w:trPr>
          <w:trHeight w:val="375"/>
          <w:jc w:val="center"/>
        </w:trPr>
        <w:tc>
          <w:tcPr>
            <w:tcW w:w="3397" w:type="dxa"/>
            <w:tcBorders>
              <w:top w:val="nil"/>
              <w:left w:val="nil"/>
              <w:bottom w:val="nil"/>
              <w:right w:val="nil"/>
            </w:tcBorders>
            <w:shd w:val="clear" w:color="auto" w:fill="auto"/>
          </w:tcPr>
          <w:p w14:paraId="1B20CA6E" w14:textId="77777777" w:rsidR="00DE4897" w:rsidRPr="008F6866" w:rsidRDefault="00DE4897" w:rsidP="008D668B">
            <w:pPr>
              <w:spacing w:after="120" w:line="240" w:lineRule="auto"/>
              <w:rPr>
                <w:color w:val="000000"/>
                <w:sz w:val="20"/>
                <w:szCs w:val="20"/>
              </w:rPr>
            </w:pPr>
            <w:r w:rsidRPr="008F6866">
              <w:rPr>
                <w:color w:val="000000"/>
                <w:sz w:val="20"/>
                <w:szCs w:val="20"/>
              </w:rPr>
              <w:t xml:space="preserve">N </w:t>
            </w:r>
            <w:r w:rsidRPr="008F6866">
              <w:rPr>
                <w:color w:val="000000"/>
                <w:sz w:val="20"/>
                <w:szCs w:val="20"/>
                <w:vertAlign w:val="subscript"/>
              </w:rPr>
              <w:t>plot</w:t>
            </w:r>
          </w:p>
        </w:tc>
        <w:tc>
          <w:tcPr>
            <w:tcW w:w="1303" w:type="dxa"/>
            <w:tcBorders>
              <w:top w:val="nil"/>
              <w:left w:val="nil"/>
              <w:bottom w:val="single" w:sz="8" w:space="0" w:color="000000"/>
              <w:right w:val="nil"/>
            </w:tcBorders>
            <w:shd w:val="clear" w:color="auto" w:fill="auto"/>
          </w:tcPr>
          <w:p w14:paraId="540292EF" w14:textId="77777777" w:rsidR="00DE4897" w:rsidRPr="008F6866" w:rsidRDefault="00DE4897" w:rsidP="008D668B">
            <w:pPr>
              <w:spacing w:after="120" w:line="240" w:lineRule="auto"/>
              <w:jc w:val="right"/>
              <w:rPr>
                <w:color w:val="000000"/>
                <w:sz w:val="20"/>
                <w:szCs w:val="20"/>
              </w:rPr>
            </w:pPr>
            <w:r w:rsidRPr="008F6866">
              <w:rPr>
                <w:color w:val="000000"/>
                <w:sz w:val="20"/>
                <w:szCs w:val="20"/>
              </w:rPr>
              <w:t>125</w:t>
            </w:r>
          </w:p>
        </w:tc>
        <w:tc>
          <w:tcPr>
            <w:tcW w:w="5007" w:type="dxa"/>
            <w:gridSpan w:val="3"/>
            <w:tcBorders>
              <w:top w:val="nil"/>
              <w:left w:val="nil"/>
              <w:bottom w:val="single" w:sz="8" w:space="0" w:color="000000"/>
              <w:right w:val="nil"/>
            </w:tcBorders>
            <w:shd w:val="clear" w:color="auto" w:fill="auto"/>
          </w:tcPr>
          <w:p w14:paraId="01CBC4C7" w14:textId="77777777" w:rsidR="00DE4897" w:rsidRPr="008F6866" w:rsidRDefault="00DE4897" w:rsidP="008D668B">
            <w:pPr>
              <w:spacing w:after="120" w:line="240" w:lineRule="auto"/>
              <w:rPr>
                <w:color w:val="000000"/>
                <w:sz w:val="20"/>
                <w:szCs w:val="20"/>
              </w:rPr>
            </w:pPr>
          </w:p>
        </w:tc>
      </w:tr>
      <w:tr w:rsidR="00DE4897" w:rsidRPr="008F6866" w14:paraId="18E17EE7" w14:textId="77777777" w:rsidTr="00CE04BD">
        <w:trPr>
          <w:trHeight w:val="300"/>
          <w:jc w:val="center"/>
        </w:trPr>
        <w:tc>
          <w:tcPr>
            <w:tcW w:w="3397" w:type="dxa"/>
            <w:tcBorders>
              <w:top w:val="single" w:sz="8" w:space="0" w:color="000000"/>
              <w:left w:val="nil"/>
              <w:right w:val="nil"/>
            </w:tcBorders>
            <w:shd w:val="clear" w:color="auto" w:fill="auto"/>
          </w:tcPr>
          <w:p w14:paraId="5D1FD6D8" w14:textId="77777777" w:rsidR="00DE4897" w:rsidRPr="008F6866" w:rsidRDefault="00DE4897" w:rsidP="008D668B">
            <w:pPr>
              <w:spacing w:after="120" w:line="240" w:lineRule="auto"/>
              <w:rPr>
                <w:color w:val="000000"/>
                <w:sz w:val="20"/>
                <w:szCs w:val="20"/>
              </w:rPr>
            </w:pPr>
            <w:r w:rsidRPr="008F6866">
              <w:rPr>
                <w:color w:val="000000"/>
                <w:sz w:val="20"/>
                <w:szCs w:val="20"/>
              </w:rPr>
              <w:t>Observations</w:t>
            </w:r>
          </w:p>
        </w:tc>
        <w:tc>
          <w:tcPr>
            <w:tcW w:w="1303" w:type="dxa"/>
            <w:tcBorders>
              <w:top w:val="single" w:sz="8" w:space="0" w:color="000000"/>
              <w:left w:val="nil"/>
              <w:right w:val="nil"/>
            </w:tcBorders>
            <w:shd w:val="clear" w:color="auto" w:fill="auto"/>
          </w:tcPr>
          <w:p w14:paraId="29820584" w14:textId="77777777" w:rsidR="00DE4897" w:rsidRPr="008F6866" w:rsidRDefault="00DE4897" w:rsidP="008D668B">
            <w:pPr>
              <w:spacing w:after="120" w:line="240" w:lineRule="auto"/>
              <w:jc w:val="right"/>
              <w:rPr>
                <w:color w:val="000000"/>
                <w:sz w:val="20"/>
                <w:szCs w:val="20"/>
              </w:rPr>
            </w:pPr>
            <w:r w:rsidRPr="008F6866">
              <w:rPr>
                <w:color w:val="000000"/>
                <w:sz w:val="20"/>
                <w:szCs w:val="20"/>
              </w:rPr>
              <w:t>208</w:t>
            </w:r>
          </w:p>
        </w:tc>
        <w:tc>
          <w:tcPr>
            <w:tcW w:w="5007" w:type="dxa"/>
            <w:gridSpan w:val="3"/>
            <w:tcBorders>
              <w:top w:val="single" w:sz="8" w:space="0" w:color="000000"/>
              <w:left w:val="nil"/>
              <w:right w:val="nil"/>
            </w:tcBorders>
            <w:shd w:val="clear" w:color="auto" w:fill="auto"/>
          </w:tcPr>
          <w:p w14:paraId="7C1A52A5" w14:textId="77777777" w:rsidR="00DE4897" w:rsidRPr="008F6866" w:rsidRDefault="00DE4897" w:rsidP="008D668B">
            <w:pPr>
              <w:spacing w:after="120" w:line="240" w:lineRule="auto"/>
              <w:rPr>
                <w:color w:val="000000"/>
                <w:sz w:val="20"/>
                <w:szCs w:val="20"/>
              </w:rPr>
            </w:pPr>
          </w:p>
        </w:tc>
      </w:tr>
      <w:tr w:rsidR="00DE4897" w:rsidRPr="008F6866" w14:paraId="6F0D8046" w14:textId="77777777" w:rsidTr="00CE04BD">
        <w:trPr>
          <w:trHeight w:val="360"/>
          <w:jc w:val="center"/>
        </w:trPr>
        <w:tc>
          <w:tcPr>
            <w:tcW w:w="3397" w:type="dxa"/>
            <w:tcBorders>
              <w:top w:val="nil"/>
              <w:left w:val="nil"/>
              <w:bottom w:val="single" w:sz="12" w:space="0" w:color="000000"/>
              <w:right w:val="nil"/>
            </w:tcBorders>
            <w:shd w:val="clear" w:color="auto" w:fill="auto"/>
          </w:tcPr>
          <w:p w14:paraId="1DCE1A3E" w14:textId="77777777" w:rsidR="00DE4897" w:rsidRPr="008F6866" w:rsidRDefault="00DE4897" w:rsidP="008D668B">
            <w:pPr>
              <w:spacing w:after="120" w:line="240" w:lineRule="auto"/>
              <w:rPr>
                <w:color w:val="000000"/>
                <w:sz w:val="20"/>
                <w:szCs w:val="20"/>
              </w:rPr>
            </w:pPr>
            <w:r w:rsidRPr="008F6866">
              <w:rPr>
                <w:color w:val="000000"/>
                <w:sz w:val="20"/>
                <w:szCs w:val="20"/>
              </w:rPr>
              <w:t>Marginal R</w:t>
            </w:r>
            <w:r w:rsidRPr="008F6866">
              <w:rPr>
                <w:color w:val="000000"/>
                <w:sz w:val="20"/>
                <w:szCs w:val="20"/>
                <w:vertAlign w:val="superscript"/>
              </w:rPr>
              <w:t>2</w:t>
            </w:r>
            <w:r w:rsidRPr="008F6866">
              <w:rPr>
                <w:color w:val="000000"/>
                <w:sz w:val="20"/>
                <w:szCs w:val="20"/>
              </w:rPr>
              <w:t xml:space="preserve"> / Conditional R</w:t>
            </w:r>
            <w:r w:rsidRPr="008F6866">
              <w:rPr>
                <w:color w:val="000000"/>
                <w:sz w:val="20"/>
                <w:szCs w:val="20"/>
                <w:vertAlign w:val="superscript"/>
              </w:rPr>
              <w:t>2</w:t>
            </w:r>
          </w:p>
        </w:tc>
        <w:tc>
          <w:tcPr>
            <w:tcW w:w="1303" w:type="dxa"/>
            <w:tcBorders>
              <w:top w:val="nil"/>
              <w:left w:val="nil"/>
              <w:bottom w:val="single" w:sz="12" w:space="0" w:color="000000"/>
              <w:right w:val="nil"/>
            </w:tcBorders>
            <w:shd w:val="clear" w:color="auto" w:fill="auto"/>
          </w:tcPr>
          <w:p w14:paraId="06D18A74" w14:textId="77777777" w:rsidR="00DE4897" w:rsidRPr="008F6866" w:rsidRDefault="00DE4897" w:rsidP="008D668B">
            <w:pPr>
              <w:spacing w:after="120" w:line="240" w:lineRule="auto"/>
              <w:jc w:val="right"/>
              <w:rPr>
                <w:color w:val="000000"/>
                <w:sz w:val="20"/>
                <w:szCs w:val="20"/>
              </w:rPr>
            </w:pPr>
            <w:r w:rsidRPr="008F6866">
              <w:rPr>
                <w:color w:val="000000"/>
                <w:sz w:val="20"/>
                <w:szCs w:val="20"/>
              </w:rPr>
              <w:t>0.258 / 0.731</w:t>
            </w:r>
          </w:p>
        </w:tc>
        <w:tc>
          <w:tcPr>
            <w:tcW w:w="5007" w:type="dxa"/>
            <w:gridSpan w:val="3"/>
            <w:tcBorders>
              <w:top w:val="nil"/>
              <w:left w:val="nil"/>
              <w:bottom w:val="single" w:sz="12" w:space="0" w:color="000000"/>
              <w:right w:val="nil"/>
            </w:tcBorders>
            <w:shd w:val="clear" w:color="auto" w:fill="auto"/>
          </w:tcPr>
          <w:p w14:paraId="2FB93405" w14:textId="77777777" w:rsidR="00DE4897" w:rsidRPr="008F6866" w:rsidRDefault="00DE4897" w:rsidP="008D668B">
            <w:pPr>
              <w:spacing w:after="120" w:line="240" w:lineRule="auto"/>
              <w:rPr>
                <w:color w:val="000000"/>
                <w:sz w:val="20"/>
                <w:szCs w:val="20"/>
              </w:rPr>
            </w:pPr>
          </w:p>
        </w:tc>
      </w:tr>
    </w:tbl>
    <w:p w14:paraId="1929B808" w14:textId="77777777" w:rsidR="00DE4897" w:rsidRDefault="00DE4897" w:rsidP="00DE4897">
      <w:pPr>
        <w:jc w:val="both"/>
        <w:rPr>
          <w:rFonts w:ascii="Calibri" w:eastAsia="Calibri" w:hAnsi="Calibri" w:cs="Calibri"/>
        </w:rPr>
      </w:pPr>
    </w:p>
    <w:p w14:paraId="55A677C7" w14:textId="77777777" w:rsidR="004E5816" w:rsidRPr="008F6866" w:rsidRDefault="004E5816" w:rsidP="00DE4897">
      <w:pPr>
        <w:jc w:val="both"/>
        <w:rPr>
          <w:rFonts w:ascii="Calibri" w:eastAsia="Calibri" w:hAnsi="Calibri" w:cs="Calibri"/>
        </w:rPr>
      </w:pPr>
    </w:p>
    <w:p w14:paraId="7085C6EC" w14:textId="482F59B1" w:rsidR="00DE4897" w:rsidRPr="008F6866" w:rsidRDefault="00DE4897" w:rsidP="00D208D5">
      <w:pPr>
        <w:keepNext/>
        <w:spacing w:after="0"/>
        <w:jc w:val="center"/>
      </w:pPr>
      <w:bookmarkStart w:id="53" w:name="_heading=h.28h4qwu" w:colFirst="0" w:colLast="0"/>
      <w:bookmarkEnd w:id="53"/>
      <w:r w:rsidRPr="008F6866">
        <w:rPr>
          <w:noProof/>
        </w:rPr>
        <w:drawing>
          <wp:inline distT="0" distB="0" distL="0" distR="0" wp14:anchorId="24C8043D" wp14:editId="285766D6">
            <wp:extent cx="3095331" cy="2736244"/>
            <wp:effectExtent l="0" t="0" r="0" b="0"/>
            <wp:docPr id="206168099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1"/>
                    <a:srcRect/>
                    <a:stretch>
                      <a:fillRect/>
                    </a:stretch>
                  </pic:blipFill>
                  <pic:spPr>
                    <a:xfrm>
                      <a:off x="0" y="0"/>
                      <a:ext cx="3095331" cy="2736244"/>
                    </a:xfrm>
                    <a:prstGeom prst="rect">
                      <a:avLst/>
                    </a:prstGeom>
                    <a:ln/>
                  </pic:spPr>
                </pic:pic>
              </a:graphicData>
            </a:graphic>
          </wp:inline>
        </w:drawing>
      </w:r>
    </w:p>
    <w:p w14:paraId="5B90C459" w14:textId="575D12FD" w:rsidR="00CE04BD" w:rsidRPr="008F6866" w:rsidRDefault="00CE04BD" w:rsidP="00CE04BD">
      <w:pPr>
        <w:pStyle w:val="Lgende"/>
        <w:jc w:val="center"/>
        <w:rPr>
          <w:b/>
          <w:i w:val="0"/>
          <w:color w:val="000000" w:themeColor="text1"/>
          <w:sz w:val="20"/>
          <w:szCs w:val="20"/>
        </w:rPr>
      </w:pPr>
      <w:bookmarkStart w:id="54" w:name="_Ref195645820"/>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17</w:t>
      </w:r>
      <w:r w:rsidRPr="008F6866">
        <w:rPr>
          <w:b/>
          <w:i w:val="0"/>
          <w:color w:val="000000" w:themeColor="text1"/>
          <w:sz w:val="20"/>
          <w:szCs w:val="20"/>
        </w:rPr>
        <w:fldChar w:fldCharType="end"/>
      </w:r>
      <w:bookmarkEnd w:id="54"/>
      <w:r w:rsidRPr="008F6866">
        <w:rPr>
          <w:b/>
          <w:i w:val="0"/>
          <w:color w:val="000000" w:themeColor="text1"/>
          <w:sz w:val="20"/>
          <w:szCs w:val="20"/>
        </w:rPr>
        <w:t>. Model prediction of hornbeam seedling height in response to PC1 which is correlated to red deer density</w:t>
      </w:r>
    </w:p>
    <w:p w14:paraId="3EC84817" w14:textId="77777777" w:rsidR="004E5816" w:rsidRDefault="004E5816" w:rsidP="004E5816">
      <w:pPr>
        <w:spacing w:after="0" w:line="300" w:lineRule="auto"/>
        <w:jc w:val="both"/>
        <w:rPr>
          <w:rFonts w:ascii="Calibri" w:eastAsia="Calibri" w:hAnsi="Calibri" w:cs="Calibri"/>
        </w:rPr>
      </w:pPr>
    </w:p>
    <w:p w14:paraId="0046B399" w14:textId="6E4DEE9F" w:rsidR="00DE4897" w:rsidRPr="008F6866" w:rsidRDefault="00DE4897" w:rsidP="00D208D5">
      <w:pPr>
        <w:spacing w:after="120" w:line="300" w:lineRule="auto"/>
        <w:jc w:val="both"/>
        <w:rPr>
          <w:rFonts w:ascii="Calibri" w:eastAsia="Calibri" w:hAnsi="Calibri" w:cs="Calibri"/>
        </w:rPr>
      </w:pPr>
      <w:r w:rsidRPr="008F6866">
        <w:rPr>
          <w:rFonts w:ascii="Calibri" w:eastAsia="Calibri" w:hAnsi="Calibri" w:cs="Calibri"/>
        </w:rPr>
        <w:t xml:space="preserve">All species together, the mean height increment differences, </w:t>
      </w:r>
      <m:oMath>
        <m:r>
          <w:rPr>
            <w:rFonts w:ascii="Cambria Math" w:hAnsi="Cambria Math"/>
          </w:rPr>
          <m:t>Δ</m:t>
        </m:r>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j,sp</m:t>
            </m:r>
          </m:sub>
        </m:sSub>
      </m:oMath>
      <w:r w:rsidRPr="008F6866">
        <w:rPr>
          <w:rFonts w:ascii="Calibri" w:eastAsia="Calibri" w:hAnsi="Calibri" w:cs="Calibri"/>
        </w:rPr>
        <w:t xml:space="preserve">, was 5.9 cm/yr. Significant species-specific differences were observed. For example, the increment reduction for hornbeam seedlings was positively correlated with </w:t>
      </w:r>
      <m:oMath>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m:t>
            </m:r>
            <m:r>
              <m:rPr>
                <m:sty m:val="p"/>
              </m:rPr>
              <w:rPr>
                <w:rFonts w:ascii="Cambria Math" w:eastAsia="Cambria Math" w:hAnsi="Cambria Math" w:cs="Cambria Math"/>
              </w:rPr>
              <m:t>=</m:t>
            </m:r>
            <m:r>
              <w:rPr>
                <w:rFonts w:ascii="Cambria Math" w:eastAsia="Cambria Math" w:hAnsi="Cambria Math" w:cs="Cambria Math"/>
              </w:rPr>
              <m:t>fenced</m:t>
            </m:r>
            <m:r>
              <m:rPr>
                <m:sty m:val="p"/>
              </m:rPr>
              <w:rPr>
                <w:rFonts w:ascii="Cambria Math" w:eastAsia="Cambria Math" w:hAnsi="Cambria Math" w:cs="Cambria Math"/>
              </w:rPr>
              <m:t>,</m:t>
            </m:r>
            <m:r>
              <w:rPr>
                <w:rFonts w:ascii="Cambria Math" w:eastAsia="Cambria Math" w:hAnsi="Cambria Math" w:cs="Cambria Math"/>
              </w:rPr>
              <m:t>j</m:t>
            </m:r>
          </m:sub>
        </m:sSub>
      </m:oMath>
      <w:r w:rsidRPr="008F6866">
        <w:rPr>
          <w:rFonts w:ascii="Calibri" w:eastAsia="Calibri" w:hAnsi="Calibri" w:cs="Calibri"/>
        </w:rPr>
        <w:t>, PC1 and PC2</w:t>
      </w:r>
      <w:r w:rsidR="00D208D5" w:rsidRPr="008F6866">
        <w:rPr>
          <w:rFonts w:ascii="Calibri" w:eastAsia="Calibri" w:hAnsi="Calibri" w:cs="Calibri"/>
        </w:rPr>
        <w:t xml:space="preserve"> (</w:t>
      </w:r>
      <w:r w:rsidR="00AD3B18" w:rsidRPr="008F6866">
        <w:rPr>
          <w:rFonts w:ascii="Calibri" w:eastAsia="Calibri" w:hAnsi="Calibri" w:cs="Calibri"/>
        </w:rPr>
        <w:fldChar w:fldCharType="begin"/>
      </w:r>
      <w:r w:rsidR="00AD3B18" w:rsidRPr="008F6866">
        <w:rPr>
          <w:rFonts w:ascii="Calibri" w:eastAsia="Calibri" w:hAnsi="Calibri" w:cs="Calibri"/>
        </w:rPr>
        <w:instrText xml:space="preserve"> REF _Ref195653107 \h  \* MERGEFORMAT </w:instrText>
      </w:r>
      <w:r w:rsidR="00AD3B18" w:rsidRPr="008F6866">
        <w:rPr>
          <w:rFonts w:ascii="Calibri" w:eastAsia="Calibri" w:hAnsi="Calibri" w:cs="Calibri"/>
        </w:rPr>
      </w:r>
      <w:r w:rsidR="00AD3B18" w:rsidRPr="008F6866">
        <w:rPr>
          <w:rFonts w:ascii="Calibri" w:eastAsia="Calibri" w:hAnsi="Calibri" w:cs="Calibri"/>
        </w:rPr>
        <w:fldChar w:fldCharType="separate"/>
      </w:r>
      <w:r w:rsidR="00540DBF" w:rsidRPr="00540DBF">
        <w:rPr>
          <w:rFonts w:ascii="Calibri" w:eastAsia="Calibri" w:hAnsi="Calibri" w:cs="Calibri"/>
        </w:rPr>
        <w:t>Table IX</w:t>
      </w:r>
      <w:r w:rsidR="00AD3B18" w:rsidRPr="008F6866">
        <w:rPr>
          <w:rFonts w:ascii="Calibri" w:eastAsia="Calibri" w:hAnsi="Calibri" w:cs="Calibri"/>
        </w:rPr>
        <w:fldChar w:fldCharType="end"/>
      </w:r>
      <w:r w:rsidR="00D208D5" w:rsidRPr="008F6866">
        <w:rPr>
          <w:rFonts w:ascii="Calibri" w:eastAsia="Calibri" w:hAnsi="Calibri" w:cs="Calibri"/>
        </w:rPr>
        <w:t>)</w:t>
      </w:r>
      <w:r w:rsidRPr="008F6866">
        <w:rPr>
          <w:rFonts w:ascii="Calibri" w:eastAsia="Calibri" w:hAnsi="Calibri" w:cs="Calibri"/>
        </w:rPr>
        <w:t>.</w:t>
      </w:r>
      <w:bookmarkStart w:id="55" w:name="_heading=h.nmf14n" w:colFirst="0" w:colLast="0"/>
      <w:bookmarkEnd w:id="55"/>
    </w:p>
    <w:p w14:paraId="07B59979" w14:textId="77777777" w:rsidR="00D208D5" w:rsidRPr="008F6866" w:rsidRDefault="00D208D5" w:rsidP="00D208D5">
      <w:pPr>
        <w:spacing w:after="0" w:line="300" w:lineRule="auto"/>
        <w:jc w:val="both"/>
        <w:rPr>
          <w:rFonts w:ascii="Calibri" w:eastAsia="Calibri" w:hAnsi="Calibri" w:cs="Calibri"/>
        </w:rPr>
      </w:pPr>
    </w:p>
    <w:p w14:paraId="445C4209" w14:textId="2697AF73" w:rsidR="00D208D5" w:rsidRPr="008F6866" w:rsidRDefault="00D208D5" w:rsidP="00CA1107">
      <w:pPr>
        <w:pStyle w:val="Lgende"/>
        <w:spacing w:after="60"/>
        <w:jc w:val="center"/>
        <w:rPr>
          <w:b/>
          <w:i w:val="0"/>
          <w:color w:val="000000" w:themeColor="text1"/>
          <w:sz w:val="20"/>
          <w:szCs w:val="20"/>
        </w:rPr>
      </w:pPr>
      <w:bookmarkStart w:id="56" w:name="_Ref195645988"/>
      <w:bookmarkStart w:id="57" w:name="_Ref195653107"/>
      <w:r w:rsidRPr="008F6866">
        <w:rPr>
          <w:b/>
          <w:i w:val="0"/>
          <w:color w:val="000000" w:themeColor="text1"/>
          <w:sz w:val="20"/>
          <w:szCs w:val="20"/>
        </w:rPr>
        <w:lastRenderedPageBreak/>
        <w:t xml:space="preserve">Table </w:t>
      </w:r>
      <w:bookmarkEnd w:id="56"/>
      <w:r w:rsidR="00EE472B">
        <w:rPr>
          <w:b/>
          <w:i w:val="0"/>
          <w:color w:val="000000" w:themeColor="text1"/>
          <w:sz w:val="20"/>
          <w:szCs w:val="20"/>
        </w:rPr>
        <w:fldChar w:fldCharType="begin"/>
      </w:r>
      <w:r w:rsidR="00EE472B">
        <w:rPr>
          <w:b/>
          <w:i w:val="0"/>
          <w:color w:val="000000" w:themeColor="text1"/>
          <w:sz w:val="20"/>
          <w:szCs w:val="20"/>
        </w:rPr>
        <w:instrText xml:space="preserve"> SEQ Table \* ROMAN </w:instrText>
      </w:r>
      <w:r w:rsidR="00EE472B">
        <w:rPr>
          <w:b/>
          <w:i w:val="0"/>
          <w:color w:val="000000" w:themeColor="text1"/>
          <w:sz w:val="20"/>
          <w:szCs w:val="20"/>
        </w:rPr>
        <w:fldChar w:fldCharType="separate"/>
      </w:r>
      <w:r w:rsidR="00540DBF">
        <w:rPr>
          <w:b/>
          <w:i w:val="0"/>
          <w:noProof/>
          <w:color w:val="000000" w:themeColor="text1"/>
          <w:sz w:val="20"/>
          <w:szCs w:val="20"/>
        </w:rPr>
        <w:t>IX</w:t>
      </w:r>
      <w:r w:rsidR="00EE472B">
        <w:rPr>
          <w:b/>
          <w:i w:val="0"/>
          <w:color w:val="000000" w:themeColor="text1"/>
          <w:sz w:val="20"/>
          <w:szCs w:val="20"/>
        </w:rPr>
        <w:fldChar w:fldCharType="end"/>
      </w:r>
      <w:bookmarkEnd w:id="57"/>
      <w:r w:rsidRPr="008F6866">
        <w:rPr>
          <w:b/>
          <w:i w:val="0"/>
          <w:color w:val="000000" w:themeColor="text1"/>
          <w:sz w:val="20"/>
          <w:szCs w:val="20"/>
        </w:rPr>
        <w:t>. Summary statistics of the linear model of the height increment reduction of hornbeam in response to treatment and the two first principal components scores (PC1 and PC2)</w:t>
      </w:r>
    </w:p>
    <w:tbl>
      <w:tblPr>
        <w:tblW w:w="5580" w:type="dxa"/>
        <w:jc w:val="center"/>
        <w:tblLayout w:type="fixed"/>
        <w:tblLook w:val="0400" w:firstRow="0" w:lastRow="0" w:firstColumn="0" w:lastColumn="0" w:noHBand="0" w:noVBand="1"/>
      </w:tblPr>
      <w:tblGrid>
        <w:gridCol w:w="1916"/>
        <w:gridCol w:w="1187"/>
        <w:gridCol w:w="1317"/>
        <w:gridCol w:w="1160"/>
      </w:tblGrid>
      <w:tr w:rsidR="00DE4897" w:rsidRPr="008F6866" w14:paraId="1326A80D" w14:textId="77777777" w:rsidTr="008D668B">
        <w:trPr>
          <w:trHeight w:val="315"/>
          <w:jc w:val="center"/>
        </w:trPr>
        <w:tc>
          <w:tcPr>
            <w:tcW w:w="1916" w:type="dxa"/>
            <w:tcBorders>
              <w:top w:val="single" w:sz="12" w:space="0" w:color="000000"/>
              <w:left w:val="nil"/>
              <w:bottom w:val="single" w:sz="12" w:space="0" w:color="000000"/>
              <w:right w:val="nil"/>
            </w:tcBorders>
            <w:shd w:val="clear" w:color="auto" w:fill="auto"/>
            <w:vAlign w:val="center"/>
          </w:tcPr>
          <w:p w14:paraId="344B9EC2"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Predictors</w:t>
            </w:r>
          </w:p>
        </w:tc>
        <w:tc>
          <w:tcPr>
            <w:tcW w:w="1187" w:type="dxa"/>
            <w:tcBorders>
              <w:top w:val="single" w:sz="12" w:space="0" w:color="000000"/>
              <w:left w:val="nil"/>
              <w:bottom w:val="single" w:sz="12" w:space="0" w:color="000000"/>
              <w:right w:val="nil"/>
            </w:tcBorders>
            <w:shd w:val="clear" w:color="auto" w:fill="auto"/>
            <w:vAlign w:val="center"/>
          </w:tcPr>
          <w:p w14:paraId="541643DB"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Estimates</w:t>
            </w:r>
          </w:p>
        </w:tc>
        <w:tc>
          <w:tcPr>
            <w:tcW w:w="1317" w:type="dxa"/>
            <w:tcBorders>
              <w:top w:val="single" w:sz="12" w:space="0" w:color="000000"/>
              <w:left w:val="nil"/>
              <w:bottom w:val="single" w:sz="12" w:space="0" w:color="000000"/>
              <w:right w:val="nil"/>
            </w:tcBorders>
            <w:shd w:val="clear" w:color="auto" w:fill="auto"/>
            <w:vAlign w:val="center"/>
          </w:tcPr>
          <w:p w14:paraId="7535F80E"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CI</w:t>
            </w:r>
          </w:p>
        </w:tc>
        <w:tc>
          <w:tcPr>
            <w:tcW w:w="1160" w:type="dxa"/>
            <w:tcBorders>
              <w:top w:val="single" w:sz="12" w:space="0" w:color="000000"/>
              <w:left w:val="nil"/>
              <w:bottom w:val="single" w:sz="12" w:space="0" w:color="000000"/>
              <w:right w:val="nil"/>
            </w:tcBorders>
            <w:shd w:val="clear" w:color="auto" w:fill="auto"/>
            <w:vAlign w:val="center"/>
          </w:tcPr>
          <w:p w14:paraId="327A2693"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p</w:t>
            </w:r>
          </w:p>
        </w:tc>
      </w:tr>
      <w:tr w:rsidR="00DE4897" w:rsidRPr="008F6866" w14:paraId="34A8A263" w14:textId="77777777" w:rsidTr="008D668B">
        <w:trPr>
          <w:trHeight w:val="300"/>
          <w:jc w:val="center"/>
        </w:trPr>
        <w:tc>
          <w:tcPr>
            <w:tcW w:w="1916" w:type="dxa"/>
            <w:tcBorders>
              <w:top w:val="single" w:sz="12" w:space="0" w:color="000000"/>
              <w:left w:val="nil"/>
              <w:bottom w:val="nil"/>
              <w:right w:val="nil"/>
            </w:tcBorders>
            <w:shd w:val="clear" w:color="auto" w:fill="auto"/>
            <w:vAlign w:val="center"/>
          </w:tcPr>
          <w:p w14:paraId="4D09BB9C"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(Intercept)</w:t>
            </w:r>
          </w:p>
        </w:tc>
        <w:tc>
          <w:tcPr>
            <w:tcW w:w="1187" w:type="dxa"/>
            <w:tcBorders>
              <w:top w:val="single" w:sz="12" w:space="0" w:color="000000"/>
              <w:left w:val="nil"/>
              <w:bottom w:val="nil"/>
              <w:right w:val="nil"/>
            </w:tcBorders>
            <w:shd w:val="clear" w:color="auto" w:fill="auto"/>
            <w:vAlign w:val="center"/>
          </w:tcPr>
          <w:p w14:paraId="096F350E"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7.48</w:t>
            </w:r>
          </w:p>
        </w:tc>
        <w:tc>
          <w:tcPr>
            <w:tcW w:w="1317" w:type="dxa"/>
            <w:tcBorders>
              <w:top w:val="single" w:sz="12" w:space="0" w:color="000000"/>
              <w:left w:val="nil"/>
              <w:bottom w:val="nil"/>
              <w:right w:val="nil"/>
            </w:tcBorders>
            <w:shd w:val="clear" w:color="auto" w:fill="auto"/>
            <w:vAlign w:val="center"/>
          </w:tcPr>
          <w:p w14:paraId="0A530459"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2.38 – 12.58</w:t>
            </w:r>
          </w:p>
        </w:tc>
        <w:tc>
          <w:tcPr>
            <w:tcW w:w="1160" w:type="dxa"/>
            <w:tcBorders>
              <w:top w:val="single" w:sz="12" w:space="0" w:color="000000"/>
              <w:left w:val="nil"/>
              <w:bottom w:val="nil"/>
              <w:right w:val="nil"/>
            </w:tcBorders>
            <w:shd w:val="clear" w:color="auto" w:fill="auto"/>
            <w:vAlign w:val="center"/>
          </w:tcPr>
          <w:p w14:paraId="2DDA8EE5"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0.005</w:t>
            </w:r>
          </w:p>
        </w:tc>
      </w:tr>
      <w:tr w:rsidR="00DE4897" w:rsidRPr="008F6866" w14:paraId="1B67A4AE" w14:textId="77777777" w:rsidTr="008D668B">
        <w:trPr>
          <w:trHeight w:val="300"/>
          <w:jc w:val="center"/>
        </w:trPr>
        <w:tc>
          <w:tcPr>
            <w:tcW w:w="1916" w:type="dxa"/>
            <w:tcBorders>
              <w:top w:val="nil"/>
              <w:left w:val="nil"/>
              <w:bottom w:val="nil"/>
              <w:right w:val="nil"/>
            </w:tcBorders>
            <w:shd w:val="clear" w:color="auto" w:fill="auto"/>
            <w:vAlign w:val="center"/>
          </w:tcPr>
          <w:p w14:paraId="446A7679" w14:textId="6067412F" w:rsidR="00DE4897" w:rsidRPr="008F6866" w:rsidRDefault="00D208D5" w:rsidP="008D668B">
            <w:pPr>
              <w:rPr>
                <w:rFonts w:eastAsia="Cambria Math" w:cstheme="minorHAnsi"/>
                <w:color w:val="000000"/>
                <w:sz w:val="20"/>
                <w:szCs w:val="20"/>
              </w:rPr>
            </w:pPr>
            <m:oMathPara>
              <m:oMath>
                <m:r>
                  <m:rPr>
                    <m:sty m:val="p"/>
                  </m:rPr>
                  <w:rPr>
                    <w:rFonts w:ascii="Cambria Math" w:eastAsia="Cambria Math" w:hAnsi="Cambria Math" w:cstheme="minorHAnsi"/>
                    <w:color w:val="000000"/>
                    <w:sz w:val="20"/>
                    <w:szCs w:val="20"/>
                  </w:rPr>
                  <m:t>i</m:t>
                </m:r>
                <m:sSub>
                  <m:sSubPr>
                    <m:ctrlPr>
                      <w:rPr>
                        <w:rFonts w:ascii="Cambria Math" w:eastAsia="Cambria Math" w:hAnsi="Cambria Math" w:cstheme="minorHAnsi"/>
                        <w:color w:val="000000"/>
                        <w:sz w:val="20"/>
                        <w:szCs w:val="20"/>
                      </w:rPr>
                    </m:ctrlPr>
                  </m:sSubPr>
                  <m:e>
                    <m:r>
                      <m:rPr>
                        <m:sty m:val="p"/>
                      </m:rPr>
                      <w:rPr>
                        <w:rFonts w:ascii="Cambria Math" w:eastAsia="Cambria Math" w:hAnsi="Cambria Math" w:cstheme="minorHAnsi"/>
                        <w:color w:val="000000"/>
                        <w:sz w:val="20"/>
                        <w:szCs w:val="20"/>
                      </w:rPr>
                      <m:t>H</m:t>
                    </m:r>
                  </m:e>
                  <m:sub>
                    <m:r>
                      <m:rPr>
                        <m:sty m:val="p"/>
                      </m:rPr>
                      <w:rPr>
                        <w:rFonts w:ascii="Cambria Math" w:eastAsia="Cambria Math" w:hAnsi="Cambria Math" w:cstheme="minorHAnsi"/>
                        <w:color w:val="000000"/>
                        <w:sz w:val="20"/>
                        <w:szCs w:val="20"/>
                      </w:rPr>
                      <m:t>t=fenced,j</m:t>
                    </m:r>
                  </m:sub>
                </m:sSub>
              </m:oMath>
            </m:oMathPara>
          </w:p>
        </w:tc>
        <w:tc>
          <w:tcPr>
            <w:tcW w:w="1187" w:type="dxa"/>
            <w:tcBorders>
              <w:top w:val="nil"/>
              <w:left w:val="nil"/>
              <w:bottom w:val="nil"/>
              <w:right w:val="nil"/>
            </w:tcBorders>
            <w:shd w:val="clear" w:color="auto" w:fill="auto"/>
            <w:vAlign w:val="center"/>
          </w:tcPr>
          <w:p w14:paraId="434FD6E0"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0.47</w:t>
            </w:r>
          </w:p>
        </w:tc>
        <w:tc>
          <w:tcPr>
            <w:tcW w:w="1317" w:type="dxa"/>
            <w:tcBorders>
              <w:top w:val="nil"/>
              <w:left w:val="nil"/>
              <w:bottom w:val="nil"/>
              <w:right w:val="nil"/>
            </w:tcBorders>
            <w:shd w:val="clear" w:color="auto" w:fill="auto"/>
            <w:vAlign w:val="center"/>
          </w:tcPr>
          <w:p w14:paraId="68F31DD3"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0.34 – 0.61</w:t>
            </w:r>
          </w:p>
        </w:tc>
        <w:tc>
          <w:tcPr>
            <w:tcW w:w="1160" w:type="dxa"/>
            <w:tcBorders>
              <w:top w:val="nil"/>
              <w:left w:val="nil"/>
              <w:bottom w:val="nil"/>
              <w:right w:val="nil"/>
            </w:tcBorders>
            <w:shd w:val="clear" w:color="auto" w:fill="auto"/>
            <w:vAlign w:val="center"/>
          </w:tcPr>
          <w:p w14:paraId="51CC084F"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4712457F" w14:textId="77777777" w:rsidTr="008D668B">
        <w:trPr>
          <w:trHeight w:val="300"/>
          <w:jc w:val="center"/>
        </w:trPr>
        <w:tc>
          <w:tcPr>
            <w:tcW w:w="1916" w:type="dxa"/>
            <w:tcBorders>
              <w:top w:val="nil"/>
              <w:left w:val="nil"/>
              <w:bottom w:val="nil"/>
              <w:right w:val="nil"/>
            </w:tcBorders>
            <w:shd w:val="clear" w:color="auto" w:fill="auto"/>
            <w:vAlign w:val="center"/>
          </w:tcPr>
          <w:p w14:paraId="722562DA"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PC1</w:t>
            </w:r>
          </w:p>
        </w:tc>
        <w:tc>
          <w:tcPr>
            <w:tcW w:w="1187" w:type="dxa"/>
            <w:tcBorders>
              <w:top w:val="nil"/>
              <w:left w:val="nil"/>
              <w:bottom w:val="nil"/>
              <w:right w:val="nil"/>
            </w:tcBorders>
            <w:shd w:val="clear" w:color="auto" w:fill="auto"/>
            <w:vAlign w:val="center"/>
          </w:tcPr>
          <w:p w14:paraId="1F4E3584"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0.62</w:t>
            </w:r>
          </w:p>
        </w:tc>
        <w:tc>
          <w:tcPr>
            <w:tcW w:w="1317" w:type="dxa"/>
            <w:tcBorders>
              <w:top w:val="nil"/>
              <w:left w:val="nil"/>
              <w:bottom w:val="nil"/>
              <w:right w:val="nil"/>
            </w:tcBorders>
            <w:shd w:val="clear" w:color="auto" w:fill="auto"/>
            <w:vAlign w:val="center"/>
          </w:tcPr>
          <w:p w14:paraId="1667C739"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0.06 – 1.17</w:t>
            </w:r>
          </w:p>
        </w:tc>
        <w:tc>
          <w:tcPr>
            <w:tcW w:w="1160" w:type="dxa"/>
            <w:tcBorders>
              <w:top w:val="nil"/>
              <w:left w:val="nil"/>
              <w:bottom w:val="nil"/>
              <w:right w:val="nil"/>
            </w:tcBorders>
            <w:shd w:val="clear" w:color="auto" w:fill="auto"/>
            <w:vAlign w:val="center"/>
          </w:tcPr>
          <w:p w14:paraId="26528703"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0.029</w:t>
            </w:r>
          </w:p>
        </w:tc>
      </w:tr>
      <w:tr w:rsidR="00DE4897" w:rsidRPr="008F6866" w14:paraId="416F9919" w14:textId="77777777" w:rsidTr="008D668B">
        <w:trPr>
          <w:trHeight w:val="300"/>
          <w:jc w:val="center"/>
        </w:trPr>
        <w:tc>
          <w:tcPr>
            <w:tcW w:w="1916" w:type="dxa"/>
            <w:tcBorders>
              <w:top w:val="nil"/>
              <w:left w:val="nil"/>
              <w:bottom w:val="nil"/>
              <w:right w:val="nil"/>
            </w:tcBorders>
            <w:shd w:val="clear" w:color="auto" w:fill="auto"/>
            <w:vAlign w:val="center"/>
          </w:tcPr>
          <w:p w14:paraId="2300F6F3"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PC2</w:t>
            </w:r>
          </w:p>
        </w:tc>
        <w:tc>
          <w:tcPr>
            <w:tcW w:w="1187" w:type="dxa"/>
            <w:tcBorders>
              <w:top w:val="nil"/>
              <w:left w:val="nil"/>
              <w:bottom w:val="nil"/>
              <w:right w:val="nil"/>
            </w:tcBorders>
            <w:shd w:val="clear" w:color="auto" w:fill="auto"/>
            <w:vAlign w:val="center"/>
          </w:tcPr>
          <w:p w14:paraId="770E8BA3"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3.11</w:t>
            </w:r>
          </w:p>
        </w:tc>
        <w:tc>
          <w:tcPr>
            <w:tcW w:w="1317" w:type="dxa"/>
            <w:tcBorders>
              <w:top w:val="nil"/>
              <w:left w:val="nil"/>
              <w:bottom w:val="nil"/>
              <w:right w:val="nil"/>
            </w:tcBorders>
            <w:shd w:val="clear" w:color="auto" w:fill="auto"/>
            <w:vAlign w:val="center"/>
          </w:tcPr>
          <w:p w14:paraId="040FD15F"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1.17 – 5.04</w:t>
            </w:r>
          </w:p>
        </w:tc>
        <w:tc>
          <w:tcPr>
            <w:tcW w:w="1160" w:type="dxa"/>
            <w:tcBorders>
              <w:top w:val="nil"/>
              <w:left w:val="nil"/>
              <w:bottom w:val="nil"/>
              <w:right w:val="nil"/>
            </w:tcBorders>
            <w:shd w:val="clear" w:color="auto" w:fill="auto"/>
            <w:vAlign w:val="center"/>
          </w:tcPr>
          <w:p w14:paraId="6DDFE561"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0.002</w:t>
            </w:r>
          </w:p>
        </w:tc>
      </w:tr>
      <w:tr w:rsidR="00DE4897" w:rsidRPr="008F6866" w14:paraId="7F0C9181" w14:textId="77777777" w:rsidTr="008D668B">
        <w:trPr>
          <w:trHeight w:val="300"/>
          <w:jc w:val="center"/>
        </w:trPr>
        <w:tc>
          <w:tcPr>
            <w:tcW w:w="1916" w:type="dxa"/>
            <w:tcBorders>
              <w:top w:val="single" w:sz="4" w:space="0" w:color="000000"/>
              <w:left w:val="nil"/>
              <w:bottom w:val="nil"/>
              <w:right w:val="nil"/>
            </w:tcBorders>
            <w:shd w:val="clear" w:color="auto" w:fill="auto"/>
            <w:vAlign w:val="center"/>
          </w:tcPr>
          <w:p w14:paraId="71512C6B"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Observations</w:t>
            </w:r>
          </w:p>
        </w:tc>
        <w:tc>
          <w:tcPr>
            <w:tcW w:w="3664" w:type="dxa"/>
            <w:gridSpan w:val="3"/>
            <w:tcBorders>
              <w:top w:val="single" w:sz="4" w:space="0" w:color="000000"/>
              <w:left w:val="nil"/>
              <w:bottom w:val="nil"/>
              <w:right w:val="nil"/>
            </w:tcBorders>
            <w:shd w:val="clear" w:color="auto" w:fill="auto"/>
            <w:vAlign w:val="center"/>
          </w:tcPr>
          <w:p w14:paraId="52220AFE"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83</w:t>
            </w:r>
          </w:p>
        </w:tc>
      </w:tr>
      <w:tr w:rsidR="00DE4897" w:rsidRPr="008F6866" w14:paraId="6445EE81" w14:textId="77777777" w:rsidTr="008D668B">
        <w:trPr>
          <w:trHeight w:val="360"/>
          <w:jc w:val="center"/>
        </w:trPr>
        <w:tc>
          <w:tcPr>
            <w:tcW w:w="1916" w:type="dxa"/>
            <w:tcBorders>
              <w:top w:val="nil"/>
              <w:left w:val="nil"/>
              <w:bottom w:val="single" w:sz="12" w:space="0" w:color="000000"/>
              <w:right w:val="nil"/>
            </w:tcBorders>
            <w:shd w:val="clear" w:color="auto" w:fill="auto"/>
            <w:vAlign w:val="center"/>
          </w:tcPr>
          <w:p w14:paraId="2036FCE6"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R</w:t>
            </w:r>
            <w:r w:rsidRPr="008F6866">
              <w:rPr>
                <w:rFonts w:cstheme="minorHAnsi"/>
                <w:color w:val="000000"/>
                <w:sz w:val="20"/>
                <w:szCs w:val="20"/>
                <w:vertAlign w:val="superscript"/>
              </w:rPr>
              <w:t>2</w:t>
            </w:r>
            <w:r w:rsidRPr="008F6866">
              <w:rPr>
                <w:rFonts w:cstheme="minorHAnsi"/>
                <w:color w:val="000000"/>
                <w:sz w:val="20"/>
                <w:szCs w:val="20"/>
              </w:rPr>
              <w:t xml:space="preserve"> / R</w:t>
            </w:r>
            <w:r w:rsidRPr="008F6866">
              <w:rPr>
                <w:rFonts w:cstheme="minorHAnsi"/>
                <w:color w:val="000000"/>
                <w:sz w:val="20"/>
                <w:szCs w:val="20"/>
                <w:vertAlign w:val="superscript"/>
              </w:rPr>
              <w:t>2</w:t>
            </w:r>
            <w:r w:rsidRPr="008F6866">
              <w:rPr>
                <w:rFonts w:cstheme="minorHAnsi"/>
                <w:color w:val="000000"/>
                <w:sz w:val="20"/>
                <w:szCs w:val="20"/>
              </w:rPr>
              <w:t xml:space="preserve"> adjusted</w:t>
            </w:r>
          </w:p>
        </w:tc>
        <w:tc>
          <w:tcPr>
            <w:tcW w:w="3664" w:type="dxa"/>
            <w:gridSpan w:val="3"/>
            <w:tcBorders>
              <w:top w:val="nil"/>
              <w:left w:val="nil"/>
              <w:bottom w:val="single" w:sz="12" w:space="0" w:color="000000"/>
              <w:right w:val="nil"/>
            </w:tcBorders>
            <w:shd w:val="clear" w:color="auto" w:fill="auto"/>
            <w:vAlign w:val="center"/>
          </w:tcPr>
          <w:p w14:paraId="7890C0EB"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0.444 / 0.423</w:t>
            </w:r>
          </w:p>
        </w:tc>
      </w:tr>
    </w:tbl>
    <w:p w14:paraId="2EF62944" w14:textId="77777777" w:rsidR="00DE4897" w:rsidRPr="008F6866" w:rsidRDefault="00DE4897" w:rsidP="00DE4897">
      <w:pPr>
        <w:jc w:val="center"/>
        <w:rPr>
          <w:rFonts w:ascii="Calibri" w:eastAsia="Calibri" w:hAnsi="Calibri" w:cs="Calibri"/>
        </w:rPr>
      </w:pPr>
    </w:p>
    <w:p w14:paraId="3499D4B8" w14:textId="2AA7B0A0" w:rsidR="00DE4897" w:rsidRPr="008F6866" w:rsidRDefault="00DE4897" w:rsidP="00CA1107">
      <w:pPr>
        <w:keepNext/>
        <w:spacing w:after="0"/>
        <w:jc w:val="center"/>
      </w:pPr>
      <w:r w:rsidRPr="008F6866">
        <w:rPr>
          <w:noProof/>
        </w:rPr>
        <w:drawing>
          <wp:inline distT="0" distB="0" distL="0" distR="0" wp14:anchorId="3C10EEF1" wp14:editId="70AB6D2A">
            <wp:extent cx="4815840" cy="4333240"/>
            <wp:effectExtent l="0" t="0" r="3810" b="0"/>
            <wp:docPr id="206168099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2"/>
                    <a:srcRect/>
                    <a:stretch>
                      <a:fillRect/>
                    </a:stretch>
                  </pic:blipFill>
                  <pic:spPr>
                    <a:xfrm>
                      <a:off x="0" y="0"/>
                      <a:ext cx="4816379" cy="4333725"/>
                    </a:xfrm>
                    <a:prstGeom prst="rect">
                      <a:avLst/>
                    </a:prstGeom>
                    <a:ln/>
                  </pic:spPr>
                </pic:pic>
              </a:graphicData>
            </a:graphic>
          </wp:inline>
        </w:drawing>
      </w:r>
    </w:p>
    <w:p w14:paraId="7E2FAE9B" w14:textId="2B954A4B" w:rsidR="005E5F6D" w:rsidRDefault="005E5F6D" w:rsidP="0022152C">
      <w:pPr>
        <w:pStyle w:val="Lgende"/>
        <w:spacing w:after="0"/>
        <w:jc w:val="center"/>
        <w:rPr>
          <w:b/>
          <w:i w:val="0"/>
          <w:color w:val="000000" w:themeColor="text1"/>
          <w:sz w:val="20"/>
          <w:szCs w:val="20"/>
        </w:rPr>
      </w:pPr>
      <w:bookmarkStart w:id="58" w:name="_Ref195646145"/>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18</w:t>
      </w:r>
      <w:r w:rsidRPr="008F6866">
        <w:rPr>
          <w:b/>
          <w:i w:val="0"/>
          <w:color w:val="000000" w:themeColor="text1"/>
          <w:sz w:val="20"/>
          <w:szCs w:val="20"/>
        </w:rPr>
        <w:fldChar w:fldCharType="end"/>
      </w:r>
      <w:bookmarkEnd w:id="58"/>
      <w:r w:rsidRPr="008F6866">
        <w:rPr>
          <w:b/>
          <w:i w:val="0"/>
          <w:color w:val="000000" w:themeColor="text1"/>
          <w:sz w:val="20"/>
          <w:szCs w:val="20"/>
        </w:rPr>
        <w:t>. Observations and model predictions of the regeneration height increments in unfenced plots in response to the height increments in fenced plots. The predictions were computed for three values (quantiles 10%, 50% and 90%) of the first and second principal component (PC1 and PC2)</w:t>
      </w:r>
    </w:p>
    <w:p w14:paraId="4D7FFFB4" w14:textId="77777777" w:rsidR="0022152C" w:rsidRPr="0022152C" w:rsidRDefault="0022152C" w:rsidP="0022152C">
      <w:pPr>
        <w:spacing w:after="0"/>
        <w:rPr>
          <w:lang w:eastAsia="fr-BE"/>
        </w:rPr>
      </w:pPr>
    </w:p>
    <w:p w14:paraId="7B549E14" w14:textId="3ADEC975" w:rsidR="00DE4897" w:rsidRPr="008F6866" w:rsidRDefault="00DE4897" w:rsidP="00CA1107">
      <w:pPr>
        <w:spacing w:after="120" w:line="300" w:lineRule="auto"/>
        <w:jc w:val="both"/>
        <w:rPr>
          <w:rFonts w:ascii="Calibri" w:eastAsia="Calibri" w:hAnsi="Calibri" w:cs="Calibri"/>
        </w:rPr>
      </w:pPr>
      <w:bookmarkStart w:id="59" w:name="_heading=h.37m2jsg"/>
      <w:bookmarkEnd w:id="59"/>
      <w:r w:rsidRPr="008F6866">
        <w:rPr>
          <w:rFonts w:ascii="Calibri" w:eastAsia="Calibri" w:hAnsi="Calibri" w:cs="Calibri"/>
        </w:rPr>
        <w:t xml:space="preserve">Then, the growth of unprotected seedlings was modelled with </w:t>
      </w:r>
      <w:r w:rsidR="0022152C">
        <w:rPr>
          <w:rFonts w:ascii="Calibri" w:eastAsia="Calibri" w:hAnsi="Calibri" w:cs="Calibri"/>
        </w:rPr>
        <w:t>E</w:t>
      </w:r>
      <w:r w:rsidRPr="008F6866">
        <w:rPr>
          <w:rFonts w:ascii="Calibri" w:eastAsia="Calibri" w:hAnsi="Calibri" w:cs="Calibri"/>
        </w:rPr>
        <w:t xml:space="preserve">quation </w:t>
      </w:r>
      <w:r w:rsidR="005E5F6D" w:rsidRPr="008F6866">
        <w:rPr>
          <w:rFonts w:ascii="Calibri" w:eastAsia="Calibri" w:hAnsi="Calibri" w:cs="Calibri"/>
        </w:rPr>
        <w:t>4</w:t>
      </w:r>
      <w:r w:rsidRPr="008F6866">
        <w:rPr>
          <w:rFonts w:ascii="Calibri" w:eastAsia="Calibri" w:hAnsi="Calibri" w:cs="Calibri"/>
        </w:rPr>
        <w:t>.9</w:t>
      </w:r>
      <w:r w:rsidR="005E5F6D" w:rsidRPr="008F6866">
        <w:rPr>
          <w:rFonts w:ascii="Calibri" w:eastAsia="Calibri" w:hAnsi="Calibri" w:cs="Calibri"/>
        </w:rPr>
        <w:t xml:space="preserve"> (</w:t>
      </w:r>
      <w:r w:rsidR="00AD3B18" w:rsidRPr="008F6866">
        <w:rPr>
          <w:rFonts w:ascii="Calibri" w:eastAsia="Calibri" w:hAnsi="Calibri" w:cs="Calibri"/>
        </w:rPr>
        <w:fldChar w:fldCharType="begin"/>
      </w:r>
      <w:r w:rsidR="00AD3B18" w:rsidRPr="008F6866">
        <w:rPr>
          <w:rFonts w:ascii="Calibri" w:eastAsia="Calibri" w:hAnsi="Calibri" w:cs="Calibri"/>
        </w:rPr>
        <w:instrText xml:space="preserve"> REF _Ref195653152 \h  \* MERGEFORMAT </w:instrText>
      </w:r>
      <w:r w:rsidR="00AD3B18" w:rsidRPr="008F6866">
        <w:rPr>
          <w:rFonts w:ascii="Calibri" w:eastAsia="Calibri" w:hAnsi="Calibri" w:cs="Calibri"/>
        </w:rPr>
      </w:r>
      <w:r w:rsidR="00AD3B18" w:rsidRPr="008F6866">
        <w:rPr>
          <w:rFonts w:ascii="Calibri" w:eastAsia="Calibri" w:hAnsi="Calibri" w:cs="Calibri"/>
        </w:rPr>
        <w:fldChar w:fldCharType="separate"/>
      </w:r>
      <w:r w:rsidR="00540DBF" w:rsidRPr="00540DBF">
        <w:rPr>
          <w:rFonts w:ascii="Calibri" w:eastAsia="Calibri" w:hAnsi="Calibri" w:cs="Calibri"/>
        </w:rPr>
        <w:t>Table X</w:t>
      </w:r>
      <w:r w:rsidR="00AD3B18" w:rsidRPr="008F6866">
        <w:rPr>
          <w:rFonts w:ascii="Calibri" w:eastAsia="Calibri" w:hAnsi="Calibri" w:cs="Calibri"/>
        </w:rPr>
        <w:fldChar w:fldCharType="end"/>
      </w:r>
      <w:r w:rsidR="005E5F6D" w:rsidRPr="008F6866">
        <w:rPr>
          <w:rFonts w:ascii="Calibri" w:eastAsia="Calibri" w:hAnsi="Calibri" w:cs="Calibri"/>
        </w:rPr>
        <w:t>)</w:t>
      </w:r>
      <w:r w:rsidRPr="008F6866">
        <w:rPr>
          <w:rFonts w:ascii="Calibri" w:eastAsia="Calibri" w:hAnsi="Calibri" w:cs="Calibri"/>
        </w:rPr>
        <w:t>. With this model, the increment of unprotected seedlings depended on red deer density (PC1) only for hornbeam seedlings (P = 0.023). The growth of unprotected hornbeam, spruce and birch decreased also with the elevation (PC2). For example, for hornbeam, the effect of PC2 was greater than the effect of PC1 underlining the importance of local conditions in addition to the effect of ungulate density (</w:t>
      </w:r>
      <w:r w:rsidR="005E5F6D" w:rsidRPr="008F6866">
        <w:rPr>
          <w:rFonts w:ascii="Calibri" w:eastAsia="Calibri" w:hAnsi="Calibri" w:cs="Calibri"/>
        </w:rPr>
        <w:fldChar w:fldCharType="begin"/>
      </w:r>
      <w:r w:rsidR="005E5F6D" w:rsidRPr="008F6866">
        <w:rPr>
          <w:rFonts w:ascii="Calibri" w:eastAsia="Calibri" w:hAnsi="Calibri" w:cs="Calibri"/>
        </w:rPr>
        <w:instrText xml:space="preserve"> REF _Ref195646145 \h  \* MERGEFORMAT </w:instrText>
      </w:r>
      <w:r w:rsidR="005E5F6D" w:rsidRPr="008F6866">
        <w:rPr>
          <w:rFonts w:ascii="Calibri" w:eastAsia="Calibri" w:hAnsi="Calibri" w:cs="Calibri"/>
        </w:rPr>
      </w:r>
      <w:r w:rsidR="005E5F6D" w:rsidRPr="008F6866">
        <w:rPr>
          <w:rFonts w:ascii="Calibri" w:eastAsia="Calibri" w:hAnsi="Calibri" w:cs="Calibri"/>
        </w:rPr>
        <w:fldChar w:fldCharType="separate"/>
      </w:r>
      <w:r w:rsidR="00540DBF" w:rsidRPr="00540DBF">
        <w:rPr>
          <w:rFonts w:ascii="Calibri" w:eastAsia="Calibri" w:hAnsi="Calibri" w:cs="Calibri"/>
        </w:rPr>
        <w:t>Figure 18</w:t>
      </w:r>
      <w:r w:rsidR="005E5F6D" w:rsidRPr="008F6866">
        <w:rPr>
          <w:rFonts w:ascii="Calibri" w:eastAsia="Calibri" w:hAnsi="Calibri" w:cs="Calibri"/>
        </w:rPr>
        <w:fldChar w:fldCharType="end"/>
      </w:r>
      <w:r w:rsidRPr="008F6866">
        <w:rPr>
          <w:rFonts w:ascii="Calibri" w:eastAsia="Calibri" w:hAnsi="Calibri" w:cs="Calibri"/>
        </w:rPr>
        <w:t>).</w:t>
      </w:r>
    </w:p>
    <w:p w14:paraId="1CEDA06E" w14:textId="3455A223" w:rsidR="005E5F6D" w:rsidRPr="008F6866" w:rsidRDefault="005E5F6D" w:rsidP="005E5F6D">
      <w:pPr>
        <w:pStyle w:val="Lgende"/>
        <w:spacing w:after="60"/>
        <w:jc w:val="center"/>
        <w:rPr>
          <w:b/>
          <w:bCs/>
          <w:i w:val="0"/>
          <w:iCs w:val="0"/>
          <w:color w:val="000000" w:themeColor="text1"/>
          <w:sz w:val="20"/>
          <w:szCs w:val="20"/>
        </w:rPr>
      </w:pPr>
      <w:bookmarkStart w:id="60" w:name="_heading=h.1mrcu09"/>
      <w:bookmarkStart w:id="61" w:name="_Ref195646904"/>
      <w:bookmarkStart w:id="62" w:name="_Ref195653152"/>
      <w:bookmarkStart w:id="63" w:name="_Ref195646333"/>
      <w:bookmarkEnd w:id="60"/>
      <w:r w:rsidRPr="008F6866">
        <w:rPr>
          <w:b/>
          <w:i w:val="0"/>
          <w:color w:val="000000" w:themeColor="text1"/>
          <w:sz w:val="20"/>
          <w:szCs w:val="20"/>
        </w:rPr>
        <w:lastRenderedPageBreak/>
        <w:t xml:space="preserve">Table </w:t>
      </w:r>
      <w:bookmarkEnd w:id="61"/>
      <w:r w:rsidR="00EE472B">
        <w:rPr>
          <w:b/>
          <w:i w:val="0"/>
          <w:color w:val="000000" w:themeColor="text1"/>
          <w:sz w:val="20"/>
          <w:szCs w:val="20"/>
        </w:rPr>
        <w:fldChar w:fldCharType="begin"/>
      </w:r>
      <w:r w:rsidR="00EE472B">
        <w:rPr>
          <w:b/>
          <w:i w:val="0"/>
          <w:color w:val="000000" w:themeColor="text1"/>
          <w:sz w:val="20"/>
          <w:szCs w:val="20"/>
        </w:rPr>
        <w:instrText xml:space="preserve"> SEQ Table \* ROMAN </w:instrText>
      </w:r>
      <w:r w:rsidR="00EE472B">
        <w:rPr>
          <w:b/>
          <w:i w:val="0"/>
          <w:color w:val="000000" w:themeColor="text1"/>
          <w:sz w:val="20"/>
          <w:szCs w:val="20"/>
        </w:rPr>
        <w:fldChar w:fldCharType="separate"/>
      </w:r>
      <w:r w:rsidR="00540DBF">
        <w:rPr>
          <w:b/>
          <w:i w:val="0"/>
          <w:noProof/>
          <w:color w:val="000000" w:themeColor="text1"/>
          <w:sz w:val="20"/>
          <w:szCs w:val="20"/>
        </w:rPr>
        <w:t>X</w:t>
      </w:r>
      <w:r w:rsidR="00EE472B">
        <w:rPr>
          <w:b/>
          <w:i w:val="0"/>
          <w:color w:val="000000" w:themeColor="text1"/>
          <w:sz w:val="20"/>
          <w:szCs w:val="20"/>
        </w:rPr>
        <w:fldChar w:fldCharType="end"/>
      </w:r>
      <w:bookmarkEnd w:id="62"/>
      <w:r w:rsidRPr="008F6866">
        <w:rPr>
          <w:b/>
          <w:i w:val="0"/>
          <w:color w:val="000000" w:themeColor="text1"/>
          <w:sz w:val="20"/>
          <w:szCs w:val="20"/>
        </w:rPr>
        <w:t>. Summary statistics of the linear model of the height increment of unprotected seedlings response to the increment observed in fenced plots, species, PC1 and PC2 (Equation 4.9)</w:t>
      </w:r>
      <w:bookmarkEnd w:id="63"/>
    </w:p>
    <w:tbl>
      <w:tblPr>
        <w:tblW w:w="8160" w:type="dxa"/>
        <w:jc w:val="center"/>
        <w:tblLayout w:type="fixed"/>
        <w:tblLook w:val="0400" w:firstRow="0" w:lastRow="0" w:firstColumn="0" w:lastColumn="0" w:noHBand="0" w:noVBand="1"/>
      </w:tblPr>
      <w:tblGrid>
        <w:gridCol w:w="3980"/>
        <w:gridCol w:w="1240"/>
        <w:gridCol w:w="1700"/>
        <w:gridCol w:w="1240"/>
      </w:tblGrid>
      <w:tr w:rsidR="00DE4897" w:rsidRPr="008F6866" w14:paraId="1EB9B143" w14:textId="77777777" w:rsidTr="39CFF0FF">
        <w:trPr>
          <w:trHeight w:val="330"/>
          <w:jc w:val="center"/>
        </w:trPr>
        <w:tc>
          <w:tcPr>
            <w:tcW w:w="3980" w:type="dxa"/>
            <w:tcBorders>
              <w:top w:val="single" w:sz="12" w:space="0" w:color="000000" w:themeColor="text1"/>
              <w:left w:val="nil"/>
              <w:bottom w:val="single" w:sz="12" w:space="0" w:color="000000" w:themeColor="text1"/>
              <w:right w:val="nil"/>
            </w:tcBorders>
            <w:shd w:val="clear" w:color="auto" w:fill="auto"/>
            <w:vAlign w:val="center"/>
          </w:tcPr>
          <w:p w14:paraId="7D211DE5"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Predictors</w:t>
            </w:r>
          </w:p>
        </w:tc>
        <w:tc>
          <w:tcPr>
            <w:tcW w:w="1240" w:type="dxa"/>
            <w:tcBorders>
              <w:top w:val="single" w:sz="12" w:space="0" w:color="000000" w:themeColor="text1"/>
              <w:left w:val="nil"/>
              <w:bottom w:val="single" w:sz="12" w:space="0" w:color="000000" w:themeColor="text1"/>
              <w:right w:val="nil"/>
            </w:tcBorders>
            <w:shd w:val="clear" w:color="auto" w:fill="auto"/>
            <w:vAlign w:val="center"/>
          </w:tcPr>
          <w:p w14:paraId="7A84C2B7"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Estimates</w:t>
            </w:r>
          </w:p>
        </w:tc>
        <w:tc>
          <w:tcPr>
            <w:tcW w:w="1700" w:type="dxa"/>
            <w:tcBorders>
              <w:top w:val="single" w:sz="12" w:space="0" w:color="000000" w:themeColor="text1"/>
              <w:left w:val="nil"/>
              <w:bottom w:val="single" w:sz="12" w:space="0" w:color="000000" w:themeColor="text1"/>
              <w:right w:val="nil"/>
            </w:tcBorders>
            <w:shd w:val="clear" w:color="auto" w:fill="auto"/>
            <w:vAlign w:val="center"/>
          </w:tcPr>
          <w:p w14:paraId="522ECF4E" w14:textId="77777777" w:rsidR="00DE4897" w:rsidRPr="008F6866" w:rsidRDefault="00DE4897" w:rsidP="008D668B">
            <w:pPr>
              <w:pBdr>
                <w:top w:val="nil"/>
                <w:left w:val="nil"/>
                <w:bottom w:val="nil"/>
                <w:right w:val="nil"/>
                <w:between w:val="nil"/>
              </w:pBdr>
              <w:spacing w:after="120" w:line="240" w:lineRule="auto"/>
              <w:jc w:val="center"/>
              <w:rPr>
                <w:rFonts w:cstheme="minorHAnsi"/>
                <w:b/>
                <w:color w:val="000000"/>
                <w:sz w:val="20"/>
                <w:szCs w:val="20"/>
              </w:rPr>
            </w:pPr>
            <w:r w:rsidRPr="008F6866">
              <w:rPr>
                <w:rFonts w:cstheme="minorHAnsi"/>
                <w:b/>
                <w:color w:val="000000"/>
                <w:sz w:val="20"/>
                <w:szCs w:val="20"/>
              </w:rPr>
              <w:t>CI</w:t>
            </w:r>
          </w:p>
        </w:tc>
        <w:tc>
          <w:tcPr>
            <w:tcW w:w="1240" w:type="dxa"/>
            <w:tcBorders>
              <w:top w:val="single" w:sz="12" w:space="0" w:color="000000" w:themeColor="text1"/>
              <w:left w:val="nil"/>
              <w:bottom w:val="single" w:sz="12" w:space="0" w:color="000000" w:themeColor="text1"/>
              <w:right w:val="nil"/>
            </w:tcBorders>
            <w:shd w:val="clear" w:color="auto" w:fill="auto"/>
            <w:vAlign w:val="center"/>
          </w:tcPr>
          <w:p w14:paraId="68D3C1AB"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p</w:t>
            </w:r>
          </w:p>
        </w:tc>
      </w:tr>
      <w:tr w:rsidR="00DE4897" w:rsidRPr="008F6866" w14:paraId="6F731AE8" w14:textId="77777777" w:rsidTr="39CFF0FF">
        <w:trPr>
          <w:trHeight w:val="300"/>
          <w:jc w:val="center"/>
        </w:trPr>
        <w:tc>
          <w:tcPr>
            <w:tcW w:w="3980" w:type="dxa"/>
            <w:tcBorders>
              <w:top w:val="single" w:sz="12" w:space="0" w:color="000000" w:themeColor="text1"/>
              <w:left w:val="nil"/>
              <w:bottom w:val="nil"/>
              <w:right w:val="nil"/>
            </w:tcBorders>
            <w:shd w:val="clear" w:color="auto" w:fill="auto"/>
          </w:tcPr>
          <w:p w14:paraId="54D21FA5"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(Intercept)</w:t>
            </w:r>
          </w:p>
        </w:tc>
        <w:tc>
          <w:tcPr>
            <w:tcW w:w="1240" w:type="dxa"/>
            <w:tcBorders>
              <w:top w:val="single" w:sz="12" w:space="0" w:color="000000" w:themeColor="text1"/>
              <w:left w:val="nil"/>
              <w:bottom w:val="nil"/>
              <w:right w:val="nil"/>
            </w:tcBorders>
            <w:shd w:val="clear" w:color="auto" w:fill="auto"/>
            <w:vAlign w:val="center"/>
          </w:tcPr>
          <w:p w14:paraId="1C14E1A6"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3.19</w:t>
            </w:r>
          </w:p>
        </w:tc>
        <w:tc>
          <w:tcPr>
            <w:tcW w:w="1700" w:type="dxa"/>
            <w:tcBorders>
              <w:top w:val="single" w:sz="12" w:space="0" w:color="000000" w:themeColor="text1"/>
              <w:left w:val="nil"/>
              <w:bottom w:val="nil"/>
              <w:right w:val="nil"/>
            </w:tcBorders>
            <w:shd w:val="clear" w:color="auto" w:fill="auto"/>
            <w:vAlign w:val="center"/>
          </w:tcPr>
          <w:p w14:paraId="68215593"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1.58 – 4.79</w:t>
            </w:r>
          </w:p>
        </w:tc>
        <w:tc>
          <w:tcPr>
            <w:tcW w:w="1240" w:type="dxa"/>
            <w:tcBorders>
              <w:top w:val="single" w:sz="12" w:space="0" w:color="000000" w:themeColor="text1"/>
              <w:left w:val="nil"/>
              <w:bottom w:val="nil"/>
              <w:right w:val="nil"/>
            </w:tcBorders>
            <w:shd w:val="clear" w:color="auto" w:fill="auto"/>
            <w:vAlign w:val="center"/>
          </w:tcPr>
          <w:p w14:paraId="61DCD20D"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5C8A80A1" w14:textId="77777777" w:rsidTr="39CFF0FF">
        <w:trPr>
          <w:trHeight w:val="300"/>
          <w:jc w:val="center"/>
        </w:trPr>
        <w:tc>
          <w:tcPr>
            <w:tcW w:w="3980" w:type="dxa"/>
            <w:tcBorders>
              <w:top w:val="nil"/>
              <w:left w:val="nil"/>
              <w:bottom w:val="nil"/>
              <w:right w:val="nil"/>
            </w:tcBorders>
            <w:shd w:val="clear" w:color="auto" w:fill="auto"/>
          </w:tcPr>
          <w:p w14:paraId="2DDC1C7C"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[Picea spp.]</w:t>
            </w:r>
          </w:p>
        </w:tc>
        <w:tc>
          <w:tcPr>
            <w:tcW w:w="1240" w:type="dxa"/>
            <w:tcBorders>
              <w:top w:val="nil"/>
              <w:left w:val="nil"/>
              <w:bottom w:val="nil"/>
              <w:right w:val="nil"/>
            </w:tcBorders>
            <w:shd w:val="clear" w:color="auto" w:fill="auto"/>
            <w:vAlign w:val="center"/>
          </w:tcPr>
          <w:p w14:paraId="703D9198"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0.95</w:t>
            </w:r>
          </w:p>
        </w:tc>
        <w:tc>
          <w:tcPr>
            <w:tcW w:w="1700" w:type="dxa"/>
            <w:tcBorders>
              <w:top w:val="nil"/>
              <w:left w:val="nil"/>
              <w:bottom w:val="nil"/>
              <w:right w:val="nil"/>
            </w:tcBorders>
            <w:shd w:val="clear" w:color="auto" w:fill="auto"/>
            <w:vAlign w:val="center"/>
          </w:tcPr>
          <w:p w14:paraId="0507582D"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-1.49 – 3.39</w:t>
            </w:r>
          </w:p>
        </w:tc>
        <w:tc>
          <w:tcPr>
            <w:tcW w:w="1240" w:type="dxa"/>
            <w:tcBorders>
              <w:top w:val="nil"/>
              <w:left w:val="nil"/>
              <w:bottom w:val="nil"/>
              <w:right w:val="nil"/>
            </w:tcBorders>
            <w:shd w:val="clear" w:color="auto" w:fill="auto"/>
            <w:vAlign w:val="center"/>
          </w:tcPr>
          <w:p w14:paraId="05CE75D1"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0.444</w:t>
            </w:r>
          </w:p>
        </w:tc>
      </w:tr>
      <w:tr w:rsidR="00DE4897" w:rsidRPr="008F6866" w14:paraId="7E8DE6B6" w14:textId="77777777" w:rsidTr="39CFF0FF">
        <w:trPr>
          <w:trHeight w:val="300"/>
          <w:jc w:val="center"/>
        </w:trPr>
        <w:tc>
          <w:tcPr>
            <w:tcW w:w="3980" w:type="dxa"/>
            <w:tcBorders>
              <w:top w:val="nil"/>
              <w:left w:val="nil"/>
              <w:bottom w:val="nil"/>
              <w:right w:val="nil"/>
            </w:tcBorders>
            <w:shd w:val="clear" w:color="auto" w:fill="auto"/>
          </w:tcPr>
          <w:p w14:paraId="4875990C" w14:textId="77777777" w:rsidR="00DE4897" w:rsidRPr="008F6866" w:rsidRDefault="39CFF0FF" w:rsidP="39CFF0FF">
            <w:pPr>
              <w:pBdr>
                <w:top w:val="nil"/>
                <w:left w:val="nil"/>
                <w:bottom w:val="nil"/>
                <w:right w:val="nil"/>
                <w:between w:val="nil"/>
              </w:pBdr>
              <w:spacing w:after="120" w:line="240" w:lineRule="auto"/>
              <w:jc w:val="both"/>
              <w:rPr>
                <w:rFonts w:cstheme="minorHAnsi"/>
                <w:iCs/>
                <w:color w:val="000000"/>
                <w:sz w:val="20"/>
                <w:szCs w:val="20"/>
              </w:rPr>
            </w:pPr>
            <w:r w:rsidRPr="008F6866">
              <w:rPr>
                <w:rFonts w:cstheme="minorHAnsi"/>
                <w:iCs/>
                <w:color w:val="000000" w:themeColor="text1"/>
                <w:sz w:val="20"/>
                <w:szCs w:val="20"/>
              </w:rPr>
              <w:t>species [Carpinus betulus L.]</w:t>
            </w:r>
          </w:p>
        </w:tc>
        <w:tc>
          <w:tcPr>
            <w:tcW w:w="1240" w:type="dxa"/>
            <w:tcBorders>
              <w:top w:val="nil"/>
              <w:left w:val="nil"/>
              <w:bottom w:val="nil"/>
              <w:right w:val="nil"/>
            </w:tcBorders>
            <w:shd w:val="clear" w:color="auto" w:fill="auto"/>
            <w:vAlign w:val="center"/>
          </w:tcPr>
          <w:p w14:paraId="627D4529"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-10.66</w:t>
            </w:r>
          </w:p>
        </w:tc>
        <w:tc>
          <w:tcPr>
            <w:tcW w:w="1700" w:type="dxa"/>
            <w:tcBorders>
              <w:top w:val="nil"/>
              <w:left w:val="nil"/>
              <w:bottom w:val="nil"/>
              <w:right w:val="nil"/>
            </w:tcBorders>
            <w:shd w:val="clear" w:color="auto" w:fill="auto"/>
            <w:vAlign w:val="center"/>
          </w:tcPr>
          <w:p w14:paraId="7AD333FF"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-15.83 – -5.50</w:t>
            </w:r>
          </w:p>
        </w:tc>
        <w:tc>
          <w:tcPr>
            <w:tcW w:w="1240" w:type="dxa"/>
            <w:tcBorders>
              <w:top w:val="nil"/>
              <w:left w:val="nil"/>
              <w:bottom w:val="nil"/>
              <w:right w:val="nil"/>
            </w:tcBorders>
            <w:shd w:val="clear" w:color="auto" w:fill="auto"/>
            <w:vAlign w:val="center"/>
          </w:tcPr>
          <w:p w14:paraId="137EB261"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0A2390D5" w14:textId="77777777" w:rsidTr="39CFF0FF">
        <w:trPr>
          <w:trHeight w:val="300"/>
          <w:jc w:val="center"/>
        </w:trPr>
        <w:tc>
          <w:tcPr>
            <w:tcW w:w="3980" w:type="dxa"/>
            <w:tcBorders>
              <w:top w:val="nil"/>
              <w:left w:val="nil"/>
              <w:bottom w:val="nil"/>
              <w:right w:val="nil"/>
            </w:tcBorders>
            <w:shd w:val="clear" w:color="auto" w:fill="auto"/>
          </w:tcPr>
          <w:p w14:paraId="24D8CC28"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[Quercus spp.]</w:t>
            </w:r>
          </w:p>
        </w:tc>
        <w:tc>
          <w:tcPr>
            <w:tcW w:w="1240" w:type="dxa"/>
            <w:tcBorders>
              <w:top w:val="nil"/>
              <w:left w:val="nil"/>
              <w:bottom w:val="nil"/>
              <w:right w:val="nil"/>
            </w:tcBorders>
            <w:shd w:val="clear" w:color="auto" w:fill="auto"/>
            <w:vAlign w:val="center"/>
          </w:tcPr>
          <w:p w14:paraId="2C1CCDB5"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-2.91</w:t>
            </w:r>
          </w:p>
        </w:tc>
        <w:tc>
          <w:tcPr>
            <w:tcW w:w="1700" w:type="dxa"/>
            <w:tcBorders>
              <w:top w:val="nil"/>
              <w:left w:val="nil"/>
              <w:bottom w:val="nil"/>
              <w:right w:val="nil"/>
            </w:tcBorders>
            <w:shd w:val="clear" w:color="auto" w:fill="auto"/>
            <w:vAlign w:val="center"/>
          </w:tcPr>
          <w:p w14:paraId="680C74EA"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-5.34 – -0.49</w:t>
            </w:r>
          </w:p>
        </w:tc>
        <w:tc>
          <w:tcPr>
            <w:tcW w:w="1240" w:type="dxa"/>
            <w:tcBorders>
              <w:top w:val="nil"/>
              <w:left w:val="nil"/>
              <w:bottom w:val="nil"/>
              <w:right w:val="nil"/>
            </w:tcBorders>
            <w:shd w:val="clear" w:color="auto" w:fill="auto"/>
            <w:vAlign w:val="center"/>
          </w:tcPr>
          <w:p w14:paraId="40EE1EE2"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0.019</w:t>
            </w:r>
          </w:p>
        </w:tc>
      </w:tr>
      <w:tr w:rsidR="00DE4897" w:rsidRPr="008F6866" w14:paraId="75386C7D" w14:textId="77777777" w:rsidTr="39CFF0FF">
        <w:trPr>
          <w:trHeight w:val="300"/>
          <w:jc w:val="center"/>
        </w:trPr>
        <w:tc>
          <w:tcPr>
            <w:tcW w:w="3980" w:type="dxa"/>
            <w:tcBorders>
              <w:top w:val="nil"/>
              <w:left w:val="nil"/>
              <w:bottom w:val="nil"/>
              <w:right w:val="nil"/>
            </w:tcBorders>
            <w:shd w:val="clear" w:color="auto" w:fill="auto"/>
          </w:tcPr>
          <w:p w14:paraId="1177EEDC"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[Betula spp.]</w:t>
            </w:r>
          </w:p>
        </w:tc>
        <w:tc>
          <w:tcPr>
            <w:tcW w:w="1240" w:type="dxa"/>
            <w:tcBorders>
              <w:top w:val="nil"/>
              <w:left w:val="nil"/>
              <w:bottom w:val="nil"/>
              <w:right w:val="nil"/>
            </w:tcBorders>
            <w:shd w:val="clear" w:color="auto" w:fill="auto"/>
            <w:vAlign w:val="center"/>
          </w:tcPr>
          <w:p w14:paraId="4113193B"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9.76</w:t>
            </w:r>
          </w:p>
        </w:tc>
        <w:tc>
          <w:tcPr>
            <w:tcW w:w="1700" w:type="dxa"/>
            <w:tcBorders>
              <w:top w:val="nil"/>
              <w:left w:val="nil"/>
              <w:bottom w:val="nil"/>
              <w:right w:val="nil"/>
            </w:tcBorders>
            <w:shd w:val="clear" w:color="auto" w:fill="auto"/>
            <w:vAlign w:val="center"/>
          </w:tcPr>
          <w:p w14:paraId="14BBC5D3"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4.95 – 14.57</w:t>
            </w:r>
          </w:p>
        </w:tc>
        <w:tc>
          <w:tcPr>
            <w:tcW w:w="1240" w:type="dxa"/>
            <w:tcBorders>
              <w:top w:val="nil"/>
              <w:left w:val="nil"/>
              <w:bottom w:val="nil"/>
              <w:right w:val="nil"/>
            </w:tcBorders>
            <w:shd w:val="clear" w:color="auto" w:fill="auto"/>
            <w:vAlign w:val="center"/>
          </w:tcPr>
          <w:p w14:paraId="02A0FDE2"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0DF97C11" w14:textId="77777777" w:rsidTr="39CFF0FF">
        <w:trPr>
          <w:trHeight w:val="300"/>
          <w:jc w:val="center"/>
        </w:trPr>
        <w:tc>
          <w:tcPr>
            <w:tcW w:w="3980" w:type="dxa"/>
            <w:tcBorders>
              <w:top w:val="nil"/>
              <w:left w:val="nil"/>
              <w:bottom w:val="nil"/>
              <w:right w:val="nil"/>
            </w:tcBorders>
            <w:shd w:val="clear" w:color="auto" w:fill="auto"/>
          </w:tcPr>
          <w:p w14:paraId="10A6E9C2"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[Sorbus aucuparia L.]</w:t>
            </w:r>
          </w:p>
        </w:tc>
        <w:tc>
          <w:tcPr>
            <w:tcW w:w="1240" w:type="dxa"/>
            <w:tcBorders>
              <w:top w:val="nil"/>
              <w:left w:val="nil"/>
              <w:bottom w:val="nil"/>
              <w:right w:val="nil"/>
            </w:tcBorders>
            <w:shd w:val="clear" w:color="auto" w:fill="auto"/>
            <w:vAlign w:val="center"/>
          </w:tcPr>
          <w:p w14:paraId="6E6262B5"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-1.45</w:t>
            </w:r>
          </w:p>
        </w:tc>
        <w:tc>
          <w:tcPr>
            <w:tcW w:w="1700" w:type="dxa"/>
            <w:tcBorders>
              <w:top w:val="nil"/>
              <w:left w:val="nil"/>
              <w:bottom w:val="nil"/>
              <w:right w:val="nil"/>
            </w:tcBorders>
            <w:shd w:val="clear" w:color="auto" w:fill="auto"/>
            <w:vAlign w:val="center"/>
          </w:tcPr>
          <w:p w14:paraId="4F71B28A"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-5.77 – 2.87</w:t>
            </w:r>
          </w:p>
        </w:tc>
        <w:tc>
          <w:tcPr>
            <w:tcW w:w="1240" w:type="dxa"/>
            <w:tcBorders>
              <w:top w:val="nil"/>
              <w:left w:val="nil"/>
              <w:bottom w:val="nil"/>
              <w:right w:val="nil"/>
            </w:tcBorders>
            <w:shd w:val="clear" w:color="auto" w:fill="auto"/>
            <w:vAlign w:val="center"/>
          </w:tcPr>
          <w:p w14:paraId="57DB2A7A"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0.511</w:t>
            </w:r>
          </w:p>
        </w:tc>
      </w:tr>
      <w:tr w:rsidR="00DE4897" w:rsidRPr="008F6866" w14:paraId="27172A1E" w14:textId="77777777" w:rsidTr="39CFF0FF">
        <w:trPr>
          <w:trHeight w:val="300"/>
          <w:jc w:val="center"/>
        </w:trPr>
        <w:tc>
          <w:tcPr>
            <w:tcW w:w="3980" w:type="dxa"/>
            <w:tcBorders>
              <w:top w:val="nil"/>
              <w:left w:val="nil"/>
              <w:bottom w:val="nil"/>
              <w:right w:val="nil"/>
            </w:tcBorders>
            <w:shd w:val="clear" w:color="auto" w:fill="auto"/>
          </w:tcPr>
          <w:p w14:paraId="37194150"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[Acer spp.]</w:t>
            </w:r>
          </w:p>
        </w:tc>
        <w:tc>
          <w:tcPr>
            <w:tcW w:w="1240" w:type="dxa"/>
            <w:tcBorders>
              <w:top w:val="nil"/>
              <w:left w:val="nil"/>
              <w:bottom w:val="nil"/>
              <w:right w:val="nil"/>
            </w:tcBorders>
            <w:shd w:val="clear" w:color="auto" w:fill="auto"/>
            <w:vAlign w:val="center"/>
          </w:tcPr>
          <w:p w14:paraId="5EEB692F"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-4.89</w:t>
            </w:r>
          </w:p>
        </w:tc>
        <w:tc>
          <w:tcPr>
            <w:tcW w:w="1700" w:type="dxa"/>
            <w:tcBorders>
              <w:top w:val="nil"/>
              <w:left w:val="nil"/>
              <w:bottom w:val="nil"/>
              <w:right w:val="nil"/>
            </w:tcBorders>
            <w:shd w:val="clear" w:color="auto" w:fill="auto"/>
            <w:vAlign w:val="center"/>
          </w:tcPr>
          <w:p w14:paraId="082F2916"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-11.62 – 1.84</w:t>
            </w:r>
          </w:p>
        </w:tc>
        <w:tc>
          <w:tcPr>
            <w:tcW w:w="1240" w:type="dxa"/>
            <w:tcBorders>
              <w:top w:val="nil"/>
              <w:left w:val="nil"/>
              <w:bottom w:val="nil"/>
              <w:right w:val="nil"/>
            </w:tcBorders>
            <w:shd w:val="clear" w:color="auto" w:fill="auto"/>
            <w:vAlign w:val="center"/>
          </w:tcPr>
          <w:p w14:paraId="1447F1E2"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0.154</w:t>
            </w:r>
          </w:p>
        </w:tc>
      </w:tr>
      <w:tr w:rsidR="00DE4897" w:rsidRPr="008F6866" w14:paraId="7254339C" w14:textId="77777777" w:rsidTr="39CFF0FF">
        <w:trPr>
          <w:trHeight w:val="300"/>
          <w:jc w:val="center"/>
        </w:trPr>
        <w:tc>
          <w:tcPr>
            <w:tcW w:w="3980" w:type="dxa"/>
            <w:tcBorders>
              <w:top w:val="nil"/>
              <w:left w:val="nil"/>
              <w:bottom w:val="nil"/>
              <w:right w:val="nil"/>
            </w:tcBorders>
            <w:shd w:val="clear" w:color="auto" w:fill="auto"/>
          </w:tcPr>
          <w:p w14:paraId="3EB79186"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[Other species]</w:t>
            </w:r>
          </w:p>
        </w:tc>
        <w:tc>
          <w:tcPr>
            <w:tcW w:w="1240" w:type="dxa"/>
            <w:tcBorders>
              <w:top w:val="nil"/>
              <w:left w:val="nil"/>
              <w:bottom w:val="nil"/>
              <w:right w:val="nil"/>
            </w:tcBorders>
            <w:shd w:val="clear" w:color="auto" w:fill="auto"/>
            <w:vAlign w:val="center"/>
          </w:tcPr>
          <w:p w14:paraId="2356863E"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2.59</w:t>
            </w:r>
          </w:p>
        </w:tc>
        <w:tc>
          <w:tcPr>
            <w:tcW w:w="1700" w:type="dxa"/>
            <w:tcBorders>
              <w:top w:val="nil"/>
              <w:left w:val="nil"/>
              <w:bottom w:val="nil"/>
              <w:right w:val="nil"/>
            </w:tcBorders>
            <w:shd w:val="clear" w:color="auto" w:fill="auto"/>
            <w:vAlign w:val="center"/>
          </w:tcPr>
          <w:p w14:paraId="4968B3B7"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-0.80 – 5.97</w:t>
            </w:r>
          </w:p>
        </w:tc>
        <w:tc>
          <w:tcPr>
            <w:tcW w:w="1240" w:type="dxa"/>
            <w:tcBorders>
              <w:top w:val="nil"/>
              <w:left w:val="nil"/>
              <w:bottom w:val="nil"/>
              <w:right w:val="nil"/>
            </w:tcBorders>
            <w:shd w:val="clear" w:color="auto" w:fill="auto"/>
            <w:vAlign w:val="center"/>
          </w:tcPr>
          <w:p w14:paraId="50C3605A"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0.134</w:t>
            </w:r>
          </w:p>
        </w:tc>
      </w:tr>
      <w:tr w:rsidR="00DE4897" w:rsidRPr="008F6866" w14:paraId="63352CB0" w14:textId="77777777" w:rsidTr="39CFF0FF">
        <w:trPr>
          <w:trHeight w:val="300"/>
          <w:jc w:val="center"/>
        </w:trPr>
        <w:tc>
          <w:tcPr>
            <w:tcW w:w="3980" w:type="dxa"/>
            <w:tcBorders>
              <w:top w:val="nil"/>
              <w:left w:val="nil"/>
              <w:bottom w:val="nil"/>
              <w:right w:val="nil"/>
            </w:tcBorders>
            <w:shd w:val="clear" w:color="auto" w:fill="auto"/>
          </w:tcPr>
          <w:p w14:paraId="234CDC7D"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[Fagus sylvatica L.] × Fenced</w:t>
            </w:r>
          </w:p>
        </w:tc>
        <w:tc>
          <w:tcPr>
            <w:tcW w:w="1240" w:type="dxa"/>
            <w:tcBorders>
              <w:top w:val="nil"/>
              <w:left w:val="nil"/>
              <w:bottom w:val="nil"/>
              <w:right w:val="nil"/>
            </w:tcBorders>
            <w:shd w:val="clear" w:color="auto" w:fill="auto"/>
            <w:vAlign w:val="center"/>
          </w:tcPr>
          <w:p w14:paraId="56B361C7"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0.47</w:t>
            </w:r>
          </w:p>
        </w:tc>
        <w:tc>
          <w:tcPr>
            <w:tcW w:w="1700" w:type="dxa"/>
            <w:tcBorders>
              <w:top w:val="nil"/>
              <w:left w:val="nil"/>
              <w:bottom w:val="nil"/>
              <w:right w:val="nil"/>
            </w:tcBorders>
            <w:shd w:val="clear" w:color="auto" w:fill="auto"/>
            <w:vAlign w:val="center"/>
          </w:tcPr>
          <w:p w14:paraId="3ABAFC3D"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0.36 – 0.57</w:t>
            </w:r>
          </w:p>
        </w:tc>
        <w:tc>
          <w:tcPr>
            <w:tcW w:w="1240" w:type="dxa"/>
            <w:tcBorders>
              <w:top w:val="nil"/>
              <w:left w:val="nil"/>
              <w:bottom w:val="nil"/>
              <w:right w:val="nil"/>
            </w:tcBorders>
            <w:shd w:val="clear" w:color="auto" w:fill="auto"/>
            <w:vAlign w:val="center"/>
          </w:tcPr>
          <w:p w14:paraId="326B8E0C"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20D40A97" w14:textId="77777777" w:rsidTr="39CFF0FF">
        <w:trPr>
          <w:trHeight w:val="300"/>
          <w:jc w:val="center"/>
        </w:trPr>
        <w:tc>
          <w:tcPr>
            <w:tcW w:w="3980" w:type="dxa"/>
            <w:tcBorders>
              <w:top w:val="nil"/>
              <w:left w:val="nil"/>
              <w:bottom w:val="nil"/>
              <w:right w:val="nil"/>
            </w:tcBorders>
            <w:shd w:val="clear" w:color="auto" w:fill="auto"/>
          </w:tcPr>
          <w:p w14:paraId="0A003CF9"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[Picea spp.] × Fenced</w:t>
            </w:r>
          </w:p>
        </w:tc>
        <w:tc>
          <w:tcPr>
            <w:tcW w:w="1240" w:type="dxa"/>
            <w:tcBorders>
              <w:top w:val="nil"/>
              <w:left w:val="nil"/>
              <w:bottom w:val="nil"/>
              <w:right w:val="nil"/>
            </w:tcBorders>
            <w:shd w:val="clear" w:color="auto" w:fill="auto"/>
            <w:vAlign w:val="center"/>
          </w:tcPr>
          <w:p w14:paraId="462FD88D"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0.58</w:t>
            </w:r>
          </w:p>
        </w:tc>
        <w:tc>
          <w:tcPr>
            <w:tcW w:w="1700" w:type="dxa"/>
            <w:tcBorders>
              <w:top w:val="nil"/>
              <w:left w:val="nil"/>
              <w:bottom w:val="nil"/>
              <w:right w:val="nil"/>
            </w:tcBorders>
            <w:shd w:val="clear" w:color="auto" w:fill="auto"/>
            <w:vAlign w:val="center"/>
          </w:tcPr>
          <w:p w14:paraId="349366A0"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0.48 – 0.68</w:t>
            </w:r>
          </w:p>
        </w:tc>
        <w:tc>
          <w:tcPr>
            <w:tcW w:w="1240" w:type="dxa"/>
            <w:tcBorders>
              <w:top w:val="nil"/>
              <w:left w:val="nil"/>
              <w:bottom w:val="nil"/>
              <w:right w:val="nil"/>
            </w:tcBorders>
            <w:shd w:val="clear" w:color="auto" w:fill="auto"/>
            <w:vAlign w:val="center"/>
          </w:tcPr>
          <w:p w14:paraId="15D4D3F5"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181B1892" w14:textId="77777777" w:rsidTr="39CFF0FF">
        <w:trPr>
          <w:trHeight w:val="300"/>
          <w:jc w:val="center"/>
        </w:trPr>
        <w:tc>
          <w:tcPr>
            <w:tcW w:w="3980" w:type="dxa"/>
            <w:tcBorders>
              <w:top w:val="nil"/>
              <w:left w:val="nil"/>
              <w:bottom w:val="nil"/>
              <w:right w:val="nil"/>
            </w:tcBorders>
            <w:shd w:val="clear" w:color="auto" w:fill="auto"/>
          </w:tcPr>
          <w:p w14:paraId="01A6F942" w14:textId="77777777" w:rsidR="00DE4897" w:rsidRPr="008F6866" w:rsidRDefault="39CFF0FF" w:rsidP="39CFF0FF">
            <w:pPr>
              <w:pBdr>
                <w:top w:val="nil"/>
                <w:left w:val="nil"/>
                <w:bottom w:val="nil"/>
                <w:right w:val="nil"/>
                <w:between w:val="nil"/>
              </w:pBdr>
              <w:spacing w:after="120" w:line="240" w:lineRule="auto"/>
              <w:jc w:val="both"/>
              <w:rPr>
                <w:rFonts w:cstheme="minorHAnsi"/>
                <w:iCs/>
                <w:color w:val="000000"/>
                <w:sz w:val="20"/>
                <w:szCs w:val="20"/>
              </w:rPr>
            </w:pPr>
            <w:r w:rsidRPr="008F6866">
              <w:rPr>
                <w:rFonts w:cstheme="minorHAnsi"/>
                <w:iCs/>
                <w:color w:val="000000" w:themeColor="text1"/>
                <w:sz w:val="20"/>
                <w:szCs w:val="20"/>
              </w:rPr>
              <w:t>species [Carpinus betulus L.] × Fenced</w:t>
            </w:r>
          </w:p>
        </w:tc>
        <w:tc>
          <w:tcPr>
            <w:tcW w:w="1240" w:type="dxa"/>
            <w:tcBorders>
              <w:top w:val="nil"/>
              <w:left w:val="nil"/>
              <w:bottom w:val="nil"/>
              <w:right w:val="nil"/>
            </w:tcBorders>
            <w:shd w:val="clear" w:color="auto" w:fill="auto"/>
            <w:vAlign w:val="center"/>
          </w:tcPr>
          <w:p w14:paraId="7DB50781"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0.53</w:t>
            </w:r>
          </w:p>
        </w:tc>
        <w:tc>
          <w:tcPr>
            <w:tcW w:w="1700" w:type="dxa"/>
            <w:tcBorders>
              <w:top w:val="nil"/>
              <w:left w:val="nil"/>
              <w:bottom w:val="nil"/>
              <w:right w:val="nil"/>
            </w:tcBorders>
            <w:shd w:val="clear" w:color="auto" w:fill="auto"/>
            <w:vAlign w:val="center"/>
          </w:tcPr>
          <w:p w14:paraId="24EDD85A"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0.39 – 0.66</w:t>
            </w:r>
          </w:p>
        </w:tc>
        <w:tc>
          <w:tcPr>
            <w:tcW w:w="1240" w:type="dxa"/>
            <w:tcBorders>
              <w:top w:val="nil"/>
              <w:left w:val="nil"/>
              <w:bottom w:val="nil"/>
              <w:right w:val="nil"/>
            </w:tcBorders>
            <w:shd w:val="clear" w:color="auto" w:fill="auto"/>
            <w:vAlign w:val="center"/>
          </w:tcPr>
          <w:p w14:paraId="5391B6B5"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&lt;0.001</w:t>
            </w:r>
          </w:p>
        </w:tc>
      </w:tr>
      <w:tr w:rsidR="00DE4897" w:rsidRPr="008F6866" w14:paraId="6248B260" w14:textId="77777777" w:rsidTr="39CFF0FF">
        <w:trPr>
          <w:trHeight w:val="300"/>
          <w:jc w:val="center"/>
        </w:trPr>
        <w:tc>
          <w:tcPr>
            <w:tcW w:w="3980" w:type="dxa"/>
            <w:tcBorders>
              <w:top w:val="nil"/>
              <w:left w:val="nil"/>
              <w:bottom w:val="nil"/>
              <w:right w:val="nil"/>
            </w:tcBorders>
            <w:shd w:val="clear" w:color="auto" w:fill="auto"/>
          </w:tcPr>
          <w:p w14:paraId="628A5235"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[Quercus spp.] × Fenced</w:t>
            </w:r>
          </w:p>
        </w:tc>
        <w:tc>
          <w:tcPr>
            <w:tcW w:w="1240" w:type="dxa"/>
            <w:tcBorders>
              <w:top w:val="nil"/>
              <w:left w:val="nil"/>
              <w:bottom w:val="nil"/>
              <w:right w:val="nil"/>
            </w:tcBorders>
            <w:shd w:val="clear" w:color="auto" w:fill="auto"/>
            <w:vAlign w:val="center"/>
          </w:tcPr>
          <w:p w14:paraId="6F80ABCB"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0.17</w:t>
            </w:r>
          </w:p>
        </w:tc>
        <w:tc>
          <w:tcPr>
            <w:tcW w:w="1700" w:type="dxa"/>
            <w:tcBorders>
              <w:top w:val="nil"/>
              <w:left w:val="nil"/>
              <w:bottom w:val="nil"/>
              <w:right w:val="nil"/>
            </w:tcBorders>
            <w:shd w:val="clear" w:color="auto" w:fill="auto"/>
            <w:vAlign w:val="center"/>
          </w:tcPr>
          <w:p w14:paraId="364B8435"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-0.05 – 0.38</w:t>
            </w:r>
          </w:p>
        </w:tc>
        <w:tc>
          <w:tcPr>
            <w:tcW w:w="1240" w:type="dxa"/>
            <w:tcBorders>
              <w:top w:val="nil"/>
              <w:left w:val="nil"/>
              <w:bottom w:val="nil"/>
              <w:right w:val="nil"/>
            </w:tcBorders>
            <w:shd w:val="clear" w:color="auto" w:fill="auto"/>
            <w:vAlign w:val="center"/>
          </w:tcPr>
          <w:p w14:paraId="0A1BA9AB"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0.128</w:t>
            </w:r>
          </w:p>
        </w:tc>
      </w:tr>
      <w:tr w:rsidR="00DE4897" w:rsidRPr="008F6866" w14:paraId="1A15856B" w14:textId="77777777" w:rsidTr="39CFF0FF">
        <w:trPr>
          <w:trHeight w:val="300"/>
          <w:jc w:val="center"/>
        </w:trPr>
        <w:tc>
          <w:tcPr>
            <w:tcW w:w="3980" w:type="dxa"/>
            <w:tcBorders>
              <w:top w:val="nil"/>
              <w:left w:val="nil"/>
              <w:bottom w:val="nil"/>
              <w:right w:val="nil"/>
            </w:tcBorders>
            <w:shd w:val="clear" w:color="auto" w:fill="auto"/>
          </w:tcPr>
          <w:p w14:paraId="19F001FE"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[Betula spp.] × Fenced</w:t>
            </w:r>
          </w:p>
        </w:tc>
        <w:tc>
          <w:tcPr>
            <w:tcW w:w="1240" w:type="dxa"/>
            <w:tcBorders>
              <w:top w:val="nil"/>
              <w:left w:val="nil"/>
              <w:bottom w:val="nil"/>
              <w:right w:val="nil"/>
            </w:tcBorders>
            <w:shd w:val="clear" w:color="auto" w:fill="auto"/>
            <w:vAlign w:val="center"/>
          </w:tcPr>
          <w:p w14:paraId="27891D14"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0.18</w:t>
            </w:r>
          </w:p>
        </w:tc>
        <w:tc>
          <w:tcPr>
            <w:tcW w:w="1700" w:type="dxa"/>
            <w:tcBorders>
              <w:top w:val="nil"/>
              <w:left w:val="nil"/>
              <w:bottom w:val="nil"/>
              <w:right w:val="nil"/>
            </w:tcBorders>
            <w:shd w:val="clear" w:color="auto" w:fill="auto"/>
            <w:vAlign w:val="center"/>
          </w:tcPr>
          <w:p w14:paraId="522D5DC2"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0.07 – 0.29</w:t>
            </w:r>
          </w:p>
        </w:tc>
        <w:tc>
          <w:tcPr>
            <w:tcW w:w="1240" w:type="dxa"/>
            <w:tcBorders>
              <w:top w:val="nil"/>
              <w:left w:val="nil"/>
              <w:bottom w:val="nil"/>
              <w:right w:val="nil"/>
            </w:tcBorders>
            <w:shd w:val="clear" w:color="auto" w:fill="auto"/>
            <w:vAlign w:val="center"/>
          </w:tcPr>
          <w:p w14:paraId="3172BEFC"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0.002</w:t>
            </w:r>
          </w:p>
        </w:tc>
      </w:tr>
      <w:tr w:rsidR="00DE4897" w:rsidRPr="008F6866" w14:paraId="77E26114" w14:textId="77777777" w:rsidTr="39CFF0FF">
        <w:trPr>
          <w:trHeight w:val="300"/>
          <w:jc w:val="center"/>
        </w:trPr>
        <w:tc>
          <w:tcPr>
            <w:tcW w:w="3980" w:type="dxa"/>
            <w:tcBorders>
              <w:top w:val="nil"/>
              <w:left w:val="nil"/>
              <w:bottom w:val="nil"/>
              <w:right w:val="nil"/>
            </w:tcBorders>
            <w:shd w:val="clear" w:color="auto" w:fill="auto"/>
          </w:tcPr>
          <w:p w14:paraId="46AC125E"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[Sorbus aucuparia L.] × Fenced</w:t>
            </w:r>
          </w:p>
        </w:tc>
        <w:tc>
          <w:tcPr>
            <w:tcW w:w="1240" w:type="dxa"/>
            <w:tcBorders>
              <w:top w:val="nil"/>
              <w:left w:val="nil"/>
              <w:bottom w:val="nil"/>
              <w:right w:val="nil"/>
            </w:tcBorders>
            <w:shd w:val="clear" w:color="auto" w:fill="auto"/>
            <w:vAlign w:val="center"/>
          </w:tcPr>
          <w:p w14:paraId="52497857"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0.07</w:t>
            </w:r>
          </w:p>
        </w:tc>
        <w:tc>
          <w:tcPr>
            <w:tcW w:w="1700" w:type="dxa"/>
            <w:tcBorders>
              <w:top w:val="nil"/>
              <w:left w:val="nil"/>
              <w:bottom w:val="nil"/>
              <w:right w:val="nil"/>
            </w:tcBorders>
            <w:shd w:val="clear" w:color="auto" w:fill="auto"/>
            <w:vAlign w:val="center"/>
          </w:tcPr>
          <w:p w14:paraId="679A736D"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-0.09 – 0.23</w:t>
            </w:r>
          </w:p>
        </w:tc>
        <w:tc>
          <w:tcPr>
            <w:tcW w:w="1240" w:type="dxa"/>
            <w:tcBorders>
              <w:top w:val="nil"/>
              <w:left w:val="nil"/>
              <w:bottom w:val="nil"/>
              <w:right w:val="nil"/>
            </w:tcBorders>
            <w:shd w:val="clear" w:color="auto" w:fill="auto"/>
            <w:vAlign w:val="center"/>
          </w:tcPr>
          <w:p w14:paraId="2B4B03ED"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0.388</w:t>
            </w:r>
          </w:p>
        </w:tc>
      </w:tr>
      <w:tr w:rsidR="00DE4897" w:rsidRPr="008F6866" w14:paraId="24738531" w14:textId="77777777" w:rsidTr="39CFF0FF">
        <w:trPr>
          <w:trHeight w:val="300"/>
          <w:jc w:val="center"/>
        </w:trPr>
        <w:tc>
          <w:tcPr>
            <w:tcW w:w="3980" w:type="dxa"/>
            <w:tcBorders>
              <w:top w:val="nil"/>
              <w:left w:val="nil"/>
              <w:bottom w:val="nil"/>
              <w:right w:val="nil"/>
            </w:tcBorders>
            <w:shd w:val="clear" w:color="auto" w:fill="auto"/>
          </w:tcPr>
          <w:p w14:paraId="42B32F22"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[Acer spp.] × Fenced</w:t>
            </w:r>
          </w:p>
        </w:tc>
        <w:tc>
          <w:tcPr>
            <w:tcW w:w="1240" w:type="dxa"/>
            <w:tcBorders>
              <w:top w:val="nil"/>
              <w:left w:val="nil"/>
              <w:bottom w:val="nil"/>
              <w:right w:val="nil"/>
            </w:tcBorders>
            <w:shd w:val="clear" w:color="auto" w:fill="auto"/>
            <w:vAlign w:val="center"/>
          </w:tcPr>
          <w:p w14:paraId="6F23F05C"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0.29</w:t>
            </w:r>
          </w:p>
        </w:tc>
        <w:tc>
          <w:tcPr>
            <w:tcW w:w="1700" w:type="dxa"/>
            <w:tcBorders>
              <w:top w:val="nil"/>
              <w:left w:val="nil"/>
              <w:bottom w:val="nil"/>
              <w:right w:val="nil"/>
            </w:tcBorders>
            <w:shd w:val="clear" w:color="auto" w:fill="auto"/>
            <w:vAlign w:val="center"/>
          </w:tcPr>
          <w:p w14:paraId="50C8DE6D"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0.01 – 0.57</w:t>
            </w:r>
          </w:p>
        </w:tc>
        <w:tc>
          <w:tcPr>
            <w:tcW w:w="1240" w:type="dxa"/>
            <w:tcBorders>
              <w:top w:val="nil"/>
              <w:left w:val="nil"/>
              <w:bottom w:val="nil"/>
              <w:right w:val="nil"/>
            </w:tcBorders>
            <w:shd w:val="clear" w:color="auto" w:fill="auto"/>
            <w:vAlign w:val="center"/>
          </w:tcPr>
          <w:p w14:paraId="4509CFBE"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0.04</w:t>
            </w:r>
          </w:p>
        </w:tc>
      </w:tr>
      <w:tr w:rsidR="00DE4897" w:rsidRPr="008F6866" w14:paraId="003AD473" w14:textId="77777777" w:rsidTr="39CFF0FF">
        <w:trPr>
          <w:trHeight w:val="300"/>
          <w:jc w:val="center"/>
        </w:trPr>
        <w:tc>
          <w:tcPr>
            <w:tcW w:w="3980" w:type="dxa"/>
            <w:tcBorders>
              <w:top w:val="nil"/>
              <w:left w:val="nil"/>
              <w:bottom w:val="nil"/>
              <w:right w:val="nil"/>
            </w:tcBorders>
            <w:shd w:val="clear" w:color="auto" w:fill="auto"/>
          </w:tcPr>
          <w:p w14:paraId="7EC9621E"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[Other species] × Fenced</w:t>
            </w:r>
          </w:p>
        </w:tc>
        <w:tc>
          <w:tcPr>
            <w:tcW w:w="1240" w:type="dxa"/>
            <w:tcBorders>
              <w:top w:val="nil"/>
              <w:left w:val="nil"/>
              <w:bottom w:val="nil"/>
              <w:right w:val="nil"/>
            </w:tcBorders>
            <w:shd w:val="clear" w:color="auto" w:fill="auto"/>
            <w:vAlign w:val="center"/>
          </w:tcPr>
          <w:p w14:paraId="0EC61761"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0.14</w:t>
            </w:r>
          </w:p>
        </w:tc>
        <w:tc>
          <w:tcPr>
            <w:tcW w:w="1700" w:type="dxa"/>
            <w:tcBorders>
              <w:top w:val="nil"/>
              <w:left w:val="nil"/>
              <w:bottom w:val="nil"/>
              <w:right w:val="nil"/>
            </w:tcBorders>
            <w:shd w:val="clear" w:color="auto" w:fill="auto"/>
            <w:vAlign w:val="center"/>
          </w:tcPr>
          <w:p w14:paraId="607BAF17"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0.02 – 0.26</w:t>
            </w:r>
          </w:p>
        </w:tc>
        <w:tc>
          <w:tcPr>
            <w:tcW w:w="1240" w:type="dxa"/>
            <w:tcBorders>
              <w:top w:val="nil"/>
              <w:left w:val="nil"/>
              <w:bottom w:val="nil"/>
              <w:right w:val="nil"/>
            </w:tcBorders>
            <w:shd w:val="clear" w:color="auto" w:fill="auto"/>
            <w:vAlign w:val="center"/>
          </w:tcPr>
          <w:p w14:paraId="03F8F0CE"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0.027</w:t>
            </w:r>
          </w:p>
        </w:tc>
      </w:tr>
      <w:tr w:rsidR="00DE4897" w:rsidRPr="008F6866" w14:paraId="3095AD53" w14:textId="77777777" w:rsidTr="39CFF0FF">
        <w:trPr>
          <w:trHeight w:val="300"/>
          <w:jc w:val="center"/>
        </w:trPr>
        <w:tc>
          <w:tcPr>
            <w:tcW w:w="3980" w:type="dxa"/>
            <w:tcBorders>
              <w:top w:val="nil"/>
              <w:left w:val="nil"/>
              <w:bottom w:val="nil"/>
              <w:right w:val="nil"/>
            </w:tcBorders>
            <w:shd w:val="clear" w:color="auto" w:fill="auto"/>
          </w:tcPr>
          <w:p w14:paraId="6BF4E96F"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[Fagus sylvatica L.] × PC1</w:t>
            </w:r>
          </w:p>
        </w:tc>
        <w:tc>
          <w:tcPr>
            <w:tcW w:w="1240" w:type="dxa"/>
            <w:tcBorders>
              <w:top w:val="nil"/>
              <w:left w:val="nil"/>
              <w:bottom w:val="nil"/>
              <w:right w:val="nil"/>
            </w:tcBorders>
            <w:shd w:val="clear" w:color="auto" w:fill="auto"/>
            <w:vAlign w:val="center"/>
          </w:tcPr>
          <w:p w14:paraId="2DAC473B"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-0.34</w:t>
            </w:r>
          </w:p>
        </w:tc>
        <w:tc>
          <w:tcPr>
            <w:tcW w:w="1700" w:type="dxa"/>
            <w:tcBorders>
              <w:top w:val="nil"/>
              <w:left w:val="nil"/>
              <w:bottom w:val="nil"/>
              <w:right w:val="nil"/>
            </w:tcBorders>
            <w:shd w:val="clear" w:color="auto" w:fill="auto"/>
            <w:vAlign w:val="center"/>
          </w:tcPr>
          <w:p w14:paraId="453566B1"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-1.03 – 0.36</w:t>
            </w:r>
          </w:p>
        </w:tc>
        <w:tc>
          <w:tcPr>
            <w:tcW w:w="1240" w:type="dxa"/>
            <w:tcBorders>
              <w:top w:val="nil"/>
              <w:left w:val="nil"/>
              <w:bottom w:val="nil"/>
              <w:right w:val="nil"/>
            </w:tcBorders>
            <w:shd w:val="clear" w:color="auto" w:fill="auto"/>
            <w:vAlign w:val="center"/>
          </w:tcPr>
          <w:p w14:paraId="2CB18059"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0.346</w:t>
            </w:r>
          </w:p>
        </w:tc>
      </w:tr>
      <w:tr w:rsidR="00DE4897" w:rsidRPr="008F6866" w14:paraId="5E53B90E" w14:textId="77777777" w:rsidTr="39CFF0FF">
        <w:trPr>
          <w:trHeight w:val="300"/>
          <w:jc w:val="center"/>
        </w:trPr>
        <w:tc>
          <w:tcPr>
            <w:tcW w:w="3980" w:type="dxa"/>
            <w:tcBorders>
              <w:top w:val="nil"/>
              <w:left w:val="nil"/>
              <w:bottom w:val="nil"/>
              <w:right w:val="nil"/>
            </w:tcBorders>
            <w:shd w:val="clear" w:color="auto" w:fill="auto"/>
          </w:tcPr>
          <w:p w14:paraId="79271E91"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[Picea spp.] × PC1</w:t>
            </w:r>
          </w:p>
        </w:tc>
        <w:tc>
          <w:tcPr>
            <w:tcW w:w="1240" w:type="dxa"/>
            <w:tcBorders>
              <w:top w:val="nil"/>
              <w:left w:val="nil"/>
              <w:bottom w:val="nil"/>
              <w:right w:val="nil"/>
            </w:tcBorders>
            <w:shd w:val="clear" w:color="auto" w:fill="auto"/>
            <w:vAlign w:val="center"/>
          </w:tcPr>
          <w:p w14:paraId="6CCCA393"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0.74</w:t>
            </w:r>
          </w:p>
        </w:tc>
        <w:tc>
          <w:tcPr>
            <w:tcW w:w="1700" w:type="dxa"/>
            <w:tcBorders>
              <w:top w:val="nil"/>
              <w:left w:val="nil"/>
              <w:bottom w:val="nil"/>
              <w:right w:val="nil"/>
            </w:tcBorders>
            <w:shd w:val="clear" w:color="auto" w:fill="auto"/>
            <w:vAlign w:val="center"/>
          </w:tcPr>
          <w:p w14:paraId="01AC24D5"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-0.04 – 1.52</w:t>
            </w:r>
          </w:p>
        </w:tc>
        <w:tc>
          <w:tcPr>
            <w:tcW w:w="1240" w:type="dxa"/>
            <w:tcBorders>
              <w:top w:val="nil"/>
              <w:left w:val="nil"/>
              <w:bottom w:val="nil"/>
              <w:right w:val="nil"/>
            </w:tcBorders>
            <w:shd w:val="clear" w:color="auto" w:fill="auto"/>
            <w:vAlign w:val="center"/>
          </w:tcPr>
          <w:p w14:paraId="440DBE8B"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0.063</w:t>
            </w:r>
          </w:p>
        </w:tc>
      </w:tr>
      <w:tr w:rsidR="00DE4897" w:rsidRPr="008F6866" w14:paraId="55C9CE02" w14:textId="77777777" w:rsidTr="39CFF0FF">
        <w:trPr>
          <w:trHeight w:val="300"/>
          <w:jc w:val="center"/>
        </w:trPr>
        <w:tc>
          <w:tcPr>
            <w:tcW w:w="3980" w:type="dxa"/>
            <w:tcBorders>
              <w:top w:val="nil"/>
              <w:left w:val="nil"/>
              <w:bottom w:val="nil"/>
              <w:right w:val="nil"/>
            </w:tcBorders>
            <w:shd w:val="clear" w:color="auto" w:fill="auto"/>
          </w:tcPr>
          <w:p w14:paraId="4CEF47C5" w14:textId="77777777" w:rsidR="00DE4897" w:rsidRPr="008F6866" w:rsidRDefault="39CFF0FF" w:rsidP="39CFF0FF">
            <w:pPr>
              <w:pBdr>
                <w:top w:val="nil"/>
                <w:left w:val="nil"/>
                <w:bottom w:val="nil"/>
                <w:right w:val="nil"/>
                <w:between w:val="nil"/>
              </w:pBdr>
              <w:spacing w:after="120" w:line="240" w:lineRule="auto"/>
              <w:jc w:val="both"/>
              <w:rPr>
                <w:rFonts w:cstheme="minorHAnsi"/>
                <w:iCs/>
                <w:color w:val="000000"/>
                <w:sz w:val="20"/>
                <w:szCs w:val="20"/>
              </w:rPr>
            </w:pPr>
            <w:r w:rsidRPr="008F6866">
              <w:rPr>
                <w:rFonts w:cstheme="minorHAnsi"/>
                <w:iCs/>
                <w:color w:val="000000" w:themeColor="text1"/>
                <w:sz w:val="20"/>
                <w:szCs w:val="20"/>
              </w:rPr>
              <w:t>species [Carpinus betulus L.] × PC1</w:t>
            </w:r>
          </w:p>
        </w:tc>
        <w:tc>
          <w:tcPr>
            <w:tcW w:w="1240" w:type="dxa"/>
            <w:tcBorders>
              <w:top w:val="nil"/>
              <w:left w:val="nil"/>
              <w:bottom w:val="nil"/>
              <w:right w:val="nil"/>
            </w:tcBorders>
            <w:shd w:val="clear" w:color="auto" w:fill="auto"/>
            <w:vAlign w:val="center"/>
          </w:tcPr>
          <w:p w14:paraId="12A129CF"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-0.62</w:t>
            </w:r>
          </w:p>
        </w:tc>
        <w:tc>
          <w:tcPr>
            <w:tcW w:w="1700" w:type="dxa"/>
            <w:tcBorders>
              <w:top w:val="nil"/>
              <w:left w:val="nil"/>
              <w:bottom w:val="nil"/>
              <w:right w:val="nil"/>
            </w:tcBorders>
            <w:shd w:val="clear" w:color="auto" w:fill="auto"/>
            <w:vAlign w:val="center"/>
          </w:tcPr>
          <w:p w14:paraId="4BCDAA7D"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-1.15 – -0.08</w:t>
            </w:r>
          </w:p>
        </w:tc>
        <w:tc>
          <w:tcPr>
            <w:tcW w:w="1240" w:type="dxa"/>
            <w:tcBorders>
              <w:top w:val="nil"/>
              <w:left w:val="nil"/>
              <w:bottom w:val="nil"/>
              <w:right w:val="nil"/>
            </w:tcBorders>
            <w:shd w:val="clear" w:color="auto" w:fill="auto"/>
            <w:vAlign w:val="center"/>
          </w:tcPr>
          <w:p w14:paraId="2C125168"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0.023</w:t>
            </w:r>
          </w:p>
        </w:tc>
      </w:tr>
      <w:tr w:rsidR="00DE4897" w:rsidRPr="008F6866" w14:paraId="3471E165" w14:textId="77777777" w:rsidTr="39CFF0FF">
        <w:trPr>
          <w:trHeight w:val="300"/>
          <w:jc w:val="center"/>
        </w:trPr>
        <w:tc>
          <w:tcPr>
            <w:tcW w:w="3980" w:type="dxa"/>
            <w:tcBorders>
              <w:top w:val="nil"/>
              <w:left w:val="nil"/>
              <w:bottom w:val="nil"/>
              <w:right w:val="nil"/>
            </w:tcBorders>
            <w:shd w:val="clear" w:color="auto" w:fill="auto"/>
          </w:tcPr>
          <w:p w14:paraId="39F10AA7"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[Quercus spp.] × PC1</w:t>
            </w:r>
          </w:p>
        </w:tc>
        <w:tc>
          <w:tcPr>
            <w:tcW w:w="1240" w:type="dxa"/>
            <w:tcBorders>
              <w:top w:val="nil"/>
              <w:left w:val="nil"/>
              <w:bottom w:val="nil"/>
              <w:right w:val="nil"/>
            </w:tcBorders>
            <w:shd w:val="clear" w:color="auto" w:fill="auto"/>
            <w:vAlign w:val="center"/>
          </w:tcPr>
          <w:p w14:paraId="6F328008"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-0.25</w:t>
            </w:r>
          </w:p>
        </w:tc>
        <w:tc>
          <w:tcPr>
            <w:tcW w:w="1700" w:type="dxa"/>
            <w:tcBorders>
              <w:top w:val="nil"/>
              <w:left w:val="nil"/>
              <w:bottom w:val="nil"/>
              <w:right w:val="nil"/>
            </w:tcBorders>
            <w:shd w:val="clear" w:color="auto" w:fill="auto"/>
            <w:vAlign w:val="center"/>
          </w:tcPr>
          <w:p w14:paraId="7F66AB2A"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-0.94 – 0.44</w:t>
            </w:r>
          </w:p>
        </w:tc>
        <w:tc>
          <w:tcPr>
            <w:tcW w:w="1240" w:type="dxa"/>
            <w:tcBorders>
              <w:top w:val="nil"/>
              <w:left w:val="nil"/>
              <w:bottom w:val="nil"/>
              <w:right w:val="nil"/>
            </w:tcBorders>
            <w:shd w:val="clear" w:color="auto" w:fill="auto"/>
            <w:vAlign w:val="center"/>
          </w:tcPr>
          <w:p w14:paraId="20C158A1"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0.476</w:t>
            </w:r>
          </w:p>
        </w:tc>
      </w:tr>
      <w:tr w:rsidR="00DE4897" w:rsidRPr="008F6866" w14:paraId="379FEBEA" w14:textId="77777777" w:rsidTr="39CFF0FF">
        <w:trPr>
          <w:trHeight w:val="300"/>
          <w:jc w:val="center"/>
        </w:trPr>
        <w:tc>
          <w:tcPr>
            <w:tcW w:w="3980" w:type="dxa"/>
            <w:tcBorders>
              <w:top w:val="nil"/>
              <w:left w:val="nil"/>
              <w:bottom w:val="nil"/>
              <w:right w:val="nil"/>
            </w:tcBorders>
            <w:shd w:val="clear" w:color="auto" w:fill="auto"/>
          </w:tcPr>
          <w:p w14:paraId="0FE0AF6B"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[Betula spp.] × PC1</w:t>
            </w:r>
          </w:p>
        </w:tc>
        <w:tc>
          <w:tcPr>
            <w:tcW w:w="1240" w:type="dxa"/>
            <w:tcBorders>
              <w:top w:val="nil"/>
              <w:left w:val="nil"/>
              <w:bottom w:val="nil"/>
              <w:right w:val="nil"/>
            </w:tcBorders>
            <w:shd w:val="clear" w:color="auto" w:fill="auto"/>
            <w:vAlign w:val="center"/>
          </w:tcPr>
          <w:p w14:paraId="39B6598A"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-1.11</w:t>
            </w:r>
          </w:p>
        </w:tc>
        <w:tc>
          <w:tcPr>
            <w:tcW w:w="1700" w:type="dxa"/>
            <w:tcBorders>
              <w:top w:val="nil"/>
              <w:left w:val="nil"/>
              <w:bottom w:val="nil"/>
              <w:right w:val="nil"/>
            </w:tcBorders>
            <w:shd w:val="clear" w:color="auto" w:fill="auto"/>
            <w:vAlign w:val="center"/>
          </w:tcPr>
          <w:p w14:paraId="2395C96B"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-2.44 – 0.23</w:t>
            </w:r>
          </w:p>
        </w:tc>
        <w:tc>
          <w:tcPr>
            <w:tcW w:w="1240" w:type="dxa"/>
            <w:tcBorders>
              <w:top w:val="nil"/>
              <w:left w:val="nil"/>
              <w:bottom w:val="nil"/>
              <w:right w:val="nil"/>
            </w:tcBorders>
            <w:shd w:val="clear" w:color="auto" w:fill="auto"/>
            <w:vAlign w:val="center"/>
          </w:tcPr>
          <w:p w14:paraId="445CCFE2"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0.105</w:t>
            </w:r>
          </w:p>
        </w:tc>
      </w:tr>
      <w:tr w:rsidR="00DE4897" w:rsidRPr="008F6866" w14:paraId="5AF0D7E6" w14:textId="77777777" w:rsidTr="39CFF0FF">
        <w:trPr>
          <w:trHeight w:val="300"/>
          <w:jc w:val="center"/>
        </w:trPr>
        <w:tc>
          <w:tcPr>
            <w:tcW w:w="3980" w:type="dxa"/>
            <w:tcBorders>
              <w:top w:val="nil"/>
              <w:left w:val="nil"/>
              <w:bottom w:val="nil"/>
              <w:right w:val="nil"/>
            </w:tcBorders>
            <w:shd w:val="clear" w:color="auto" w:fill="auto"/>
          </w:tcPr>
          <w:p w14:paraId="0D2A4F8B" w14:textId="77777777" w:rsidR="00DE4897" w:rsidRPr="00900A11" w:rsidRDefault="00DE4897" w:rsidP="008D668B">
            <w:pPr>
              <w:pBdr>
                <w:top w:val="nil"/>
                <w:left w:val="nil"/>
                <w:bottom w:val="nil"/>
                <w:right w:val="nil"/>
                <w:between w:val="nil"/>
              </w:pBdr>
              <w:spacing w:after="120" w:line="240" w:lineRule="auto"/>
              <w:jc w:val="both"/>
              <w:rPr>
                <w:rFonts w:cstheme="minorHAnsi"/>
                <w:color w:val="000000"/>
                <w:sz w:val="20"/>
                <w:szCs w:val="20"/>
                <w:lang w:val="fr-BE"/>
              </w:rPr>
            </w:pPr>
            <w:r w:rsidRPr="00900A11">
              <w:rPr>
                <w:rFonts w:cstheme="minorHAnsi"/>
                <w:color w:val="000000"/>
                <w:sz w:val="20"/>
                <w:szCs w:val="20"/>
                <w:lang w:val="fr-BE"/>
              </w:rPr>
              <w:t>species [Sorbus aucuparia L.] × PC1</w:t>
            </w:r>
          </w:p>
        </w:tc>
        <w:tc>
          <w:tcPr>
            <w:tcW w:w="1240" w:type="dxa"/>
            <w:tcBorders>
              <w:top w:val="nil"/>
              <w:left w:val="nil"/>
              <w:bottom w:val="nil"/>
              <w:right w:val="nil"/>
            </w:tcBorders>
            <w:shd w:val="clear" w:color="auto" w:fill="auto"/>
            <w:vAlign w:val="center"/>
          </w:tcPr>
          <w:p w14:paraId="2B3A51AD"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0.22</w:t>
            </w:r>
          </w:p>
        </w:tc>
        <w:tc>
          <w:tcPr>
            <w:tcW w:w="1700" w:type="dxa"/>
            <w:tcBorders>
              <w:top w:val="nil"/>
              <w:left w:val="nil"/>
              <w:bottom w:val="nil"/>
              <w:right w:val="nil"/>
            </w:tcBorders>
            <w:shd w:val="clear" w:color="auto" w:fill="auto"/>
            <w:vAlign w:val="center"/>
          </w:tcPr>
          <w:p w14:paraId="775C2CF1"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-1.49 – 1.93</w:t>
            </w:r>
          </w:p>
        </w:tc>
        <w:tc>
          <w:tcPr>
            <w:tcW w:w="1240" w:type="dxa"/>
            <w:tcBorders>
              <w:top w:val="nil"/>
              <w:left w:val="nil"/>
              <w:bottom w:val="nil"/>
              <w:right w:val="nil"/>
            </w:tcBorders>
            <w:shd w:val="clear" w:color="auto" w:fill="auto"/>
            <w:vAlign w:val="center"/>
          </w:tcPr>
          <w:p w14:paraId="26350440"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0.799</w:t>
            </w:r>
          </w:p>
        </w:tc>
      </w:tr>
      <w:tr w:rsidR="00DE4897" w:rsidRPr="008F6866" w14:paraId="3CF0EFD7" w14:textId="77777777" w:rsidTr="39CFF0FF">
        <w:trPr>
          <w:trHeight w:val="300"/>
          <w:jc w:val="center"/>
        </w:trPr>
        <w:tc>
          <w:tcPr>
            <w:tcW w:w="3980" w:type="dxa"/>
            <w:tcBorders>
              <w:top w:val="nil"/>
              <w:left w:val="nil"/>
              <w:bottom w:val="nil"/>
              <w:right w:val="nil"/>
            </w:tcBorders>
            <w:shd w:val="clear" w:color="auto" w:fill="auto"/>
          </w:tcPr>
          <w:p w14:paraId="64978BC9"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[Acer spp.] × PC1</w:t>
            </w:r>
          </w:p>
        </w:tc>
        <w:tc>
          <w:tcPr>
            <w:tcW w:w="1240" w:type="dxa"/>
            <w:tcBorders>
              <w:top w:val="nil"/>
              <w:left w:val="nil"/>
              <w:bottom w:val="nil"/>
              <w:right w:val="nil"/>
            </w:tcBorders>
            <w:shd w:val="clear" w:color="auto" w:fill="auto"/>
            <w:vAlign w:val="center"/>
          </w:tcPr>
          <w:p w14:paraId="24DA9A2D"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-1.03</w:t>
            </w:r>
          </w:p>
        </w:tc>
        <w:tc>
          <w:tcPr>
            <w:tcW w:w="1700" w:type="dxa"/>
            <w:tcBorders>
              <w:top w:val="nil"/>
              <w:left w:val="nil"/>
              <w:bottom w:val="nil"/>
              <w:right w:val="nil"/>
            </w:tcBorders>
            <w:shd w:val="clear" w:color="auto" w:fill="auto"/>
            <w:vAlign w:val="center"/>
          </w:tcPr>
          <w:p w14:paraId="7159895C"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-2.92 – 0.86</w:t>
            </w:r>
          </w:p>
        </w:tc>
        <w:tc>
          <w:tcPr>
            <w:tcW w:w="1240" w:type="dxa"/>
            <w:tcBorders>
              <w:top w:val="nil"/>
              <w:left w:val="nil"/>
              <w:bottom w:val="nil"/>
              <w:right w:val="nil"/>
            </w:tcBorders>
            <w:shd w:val="clear" w:color="auto" w:fill="auto"/>
            <w:vAlign w:val="center"/>
          </w:tcPr>
          <w:p w14:paraId="12F78689"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0.285</w:t>
            </w:r>
          </w:p>
        </w:tc>
      </w:tr>
      <w:tr w:rsidR="00DE4897" w:rsidRPr="008F6866" w14:paraId="2219A065" w14:textId="77777777" w:rsidTr="39CFF0FF">
        <w:trPr>
          <w:trHeight w:val="300"/>
          <w:jc w:val="center"/>
        </w:trPr>
        <w:tc>
          <w:tcPr>
            <w:tcW w:w="3980" w:type="dxa"/>
            <w:tcBorders>
              <w:top w:val="nil"/>
              <w:left w:val="nil"/>
              <w:bottom w:val="nil"/>
              <w:right w:val="nil"/>
            </w:tcBorders>
            <w:shd w:val="clear" w:color="auto" w:fill="auto"/>
          </w:tcPr>
          <w:p w14:paraId="022DDC2F"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[Other species] × PC1</w:t>
            </w:r>
          </w:p>
        </w:tc>
        <w:tc>
          <w:tcPr>
            <w:tcW w:w="1240" w:type="dxa"/>
            <w:tcBorders>
              <w:top w:val="nil"/>
              <w:left w:val="nil"/>
              <w:bottom w:val="nil"/>
              <w:right w:val="nil"/>
            </w:tcBorders>
            <w:shd w:val="clear" w:color="auto" w:fill="auto"/>
            <w:vAlign w:val="center"/>
          </w:tcPr>
          <w:p w14:paraId="346498B8"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-0.7</w:t>
            </w:r>
          </w:p>
        </w:tc>
        <w:tc>
          <w:tcPr>
            <w:tcW w:w="1700" w:type="dxa"/>
            <w:tcBorders>
              <w:top w:val="nil"/>
              <w:left w:val="nil"/>
              <w:bottom w:val="nil"/>
              <w:right w:val="nil"/>
            </w:tcBorders>
            <w:shd w:val="clear" w:color="auto" w:fill="auto"/>
            <w:vAlign w:val="center"/>
          </w:tcPr>
          <w:p w14:paraId="124393AE"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-1.62 – 0.22</w:t>
            </w:r>
          </w:p>
        </w:tc>
        <w:tc>
          <w:tcPr>
            <w:tcW w:w="1240" w:type="dxa"/>
            <w:tcBorders>
              <w:top w:val="nil"/>
              <w:left w:val="nil"/>
              <w:bottom w:val="nil"/>
              <w:right w:val="nil"/>
            </w:tcBorders>
            <w:shd w:val="clear" w:color="auto" w:fill="auto"/>
            <w:vAlign w:val="center"/>
          </w:tcPr>
          <w:p w14:paraId="4585339B"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0.137</w:t>
            </w:r>
          </w:p>
        </w:tc>
      </w:tr>
      <w:tr w:rsidR="00DE4897" w:rsidRPr="008F6866" w14:paraId="22CACAA3" w14:textId="77777777" w:rsidTr="39CFF0FF">
        <w:trPr>
          <w:trHeight w:val="300"/>
          <w:jc w:val="center"/>
        </w:trPr>
        <w:tc>
          <w:tcPr>
            <w:tcW w:w="3980" w:type="dxa"/>
            <w:tcBorders>
              <w:top w:val="nil"/>
              <w:left w:val="nil"/>
              <w:bottom w:val="nil"/>
              <w:right w:val="nil"/>
            </w:tcBorders>
            <w:shd w:val="clear" w:color="auto" w:fill="auto"/>
          </w:tcPr>
          <w:p w14:paraId="4C2B096C"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[Fagus sylvatica L.] × PC2</w:t>
            </w:r>
          </w:p>
        </w:tc>
        <w:tc>
          <w:tcPr>
            <w:tcW w:w="1240" w:type="dxa"/>
            <w:tcBorders>
              <w:top w:val="nil"/>
              <w:left w:val="nil"/>
              <w:bottom w:val="nil"/>
              <w:right w:val="nil"/>
            </w:tcBorders>
            <w:shd w:val="clear" w:color="auto" w:fill="auto"/>
            <w:vAlign w:val="center"/>
          </w:tcPr>
          <w:p w14:paraId="2A15600F"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-0.54</w:t>
            </w:r>
          </w:p>
        </w:tc>
        <w:tc>
          <w:tcPr>
            <w:tcW w:w="1700" w:type="dxa"/>
            <w:tcBorders>
              <w:top w:val="nil"/>
              <w:left w:val="nil"/>
              <w:bottom w:val="nil"/>
              <w:right w:val="nil"/>
            </w:tcBorders>
            <w:shd w:val="clear" w:color="auto" w:fill="auto"/>
            <w:vAlign w:val="center"/>
          </w:tcPr>
          <w:p w14:paraId="1112E18A"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-1.25 – 0.18</w:t>
            </w:r>
          </w:p>
        </w:tc>
        <w:tc>
          <w:tcPr>
            <w:tcW w:w="1240" w:type="dxa"/>
            <w:tcBorders>
              <w:top w:val="nil"/>
              <w:left w:val="nil"/>
              <w:bottom w:val="nil"/>
              <w:right w:val="nil"/>
            </w:tcBorders>
            <w:shd w:val="clear" w:color="auto" w:fill="auto"/>
            <w:vAlign w:val="center"/>
          </w:tcPr>
          <w:p w14:paraId="1C63268E"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0.139</w:t>
            </w:r>
          </w:p>
        </w:tc>
      </w:tr>
      <w:tr w:rsidR="00DE4897" w:rsidRPr="008F6866" w14:paraId="280355DB" w14:textId="77777777" w:rsidTr="39CFF0FF">
        <w:trPr>
          <w:trHeight w:val="300"/>
          <w:jc w:val="center"/>
        </w:trPr>
        <w:tc>
          <w:tcPr>
            <w:tcW w:w="3980" w:type="dxa"/>
            <w:tcBorders>
              <w:top w:val="nil"/>
              <w:left w:val="nil"/>
              <w:bottom w:val="nil"/>
              <w:right w:val="nil"/>
            </w:tcBorders>
            <w:shd w:val="clear" w:color="auto" w:fill="auto"/>
          </w:tcPr>
          <w:p w14:paraId="58CC99C4"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[Picea spp.] × PC2</w:t>
            </w:r>
          </w:p>
        </w:tc>
        <w:tc>
          <w:tcPr>
            <w:tcW w:w="1240" w:type="dxa"/>
            <w:tcBorders>
              <w:top w:val="nil"/>
              <w:left w:val="nil"/>
              <w:bottom w:val="nil"/>
              <w:right w:val="nil"/>
            </w:tcBorders>
            <w:shd w:val="clear" w:color="auto" w:fill="auto"/>
            <w:vAlign w:val="center"/>
          </w:tcPr>
          <w:p w14:paraId="3C33EA24"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-0.94</w:t>
            </w:r>
          </w:p>
        </w:tc>
        <w:tc>
          <w:tcPr>
            <w:tcW w:w="1700" w:type="dxa"/>
            <w:tcBorders>
              <w:top w:val="nil"/>
              <w:left w:val="nil"/>
              <w:bottom w:val="nil"/>
              <w:right w:val="nil"/>
            </w:tcBorders>
            <w:shd w:val="clear" w:color="auto" w:fill="auto"/>
            <w:vAlign w:val="center"/>
          </w:tcPr>
          <w:p w14:paraId="2EAA3D2C"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-1.79 – -0.09</w:t>
            </w:r>
          </w:p>
        </w:tc>
        <w:tc>
          <w:tcPr>
            <w:tcW w:w="1240" w:type="dxa"/>
            <w:tcBorders>
              <w:top w:val="nil"/>
              <w:left w:val="nil"/>
              <w:bottom w:val="nil"/>
              <w:right w:val="nil"/>
            </w:tcBorders>
            <w:shd w:val="clear" w:color="auto" w:fill="auto"/>
            <w:vAlign w:val="center"/>
          </w:tcPr>
          <w:p w14:paraId="53F98F82"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0.030</w:t>
            </w:r>
          </w:p>
        </w:tc>
      </w:tr>
      <w:tr w:rsidR="00DE4897" w:rsidRPr="008F6866" w14:paraId="27603F88" w14:textId="77777777" w:rsidTr="39CFF0FF">
        <w:trPr>
          <w:trHeight w:val="300"/>
          <w:jc w:val="center"/>
        </w:trPr>
        <w:tc>
          <w:tcPr>
            <w:tcW w:w="3980" w:type="dxa"/>
            <w:tcBorders>
              <w:top w:val="nil"/>
              <w:left w:val="nil"/>
              <w:bottom w:val="nil"/>
              <w:right w:val="nil"/>
            </w:tcBorders>
            <w:shd w:val="clear" w:color="auto" w:fill="auto"/>
          </w:tcPr>
          <w:p w14:paraId="23016E0E" w14:textId="77777777" w:rsidR="00DE4897" w:rsidRPr="008F6866" w:rsidRDefault="39CFF0FF" w:rsidP="39CFF0FF">
            <w:pPr>
              <w:pBdr>
                <w:top w:val="nil"/>
                <w:left w:val="nil"/>
                <w:bottom w:val="nil"/>
                <w:right w:val="nil"/>
                <w:between w:val="nil"/>
              </w:pBdr>
              <w:spacing w:after="120" w:line="240" w:lineRule="auto"/>
              <w:jc w:val="both"/>
              <w:rPr>
                <w:rFonts w:cstheme="minorHAnsi"/>
                <w:iCs/>
                <w:color w:val="000000"/>
                <w:sz w:val="20"/>
                <w:szCs w:val="20"/>
              </w:rPr>
            </w:pPr>
            <w:r w:rsidRPr="008F6866">
              <w:rPr>
                <w:rFonts w:cstheme="minorHAnsi"/>
                <w:iCs/>
                <w:color w:val="000000" w:themeColor="text1"/>
                <w:sz w:val="20"/>
                <w:szCs w:val="20"/>
              </w:rPr>
              <w:t>species [Carpinus betulus L.] × PC2</w:t>
            </w:r>
          </w:p>
        </w:tc>
        <w:tc>
          <w:tcPr>
            <w:tcW w:w="1240" w:type="dxa"/>
            <w:tcBorders>
              <w:top w:val="nil"/>
              <w:left w:val="nil"/>
              <w:bottom w:val="nil"/>
              <w:right w:val="nil"/>
            </w:tcBorders>
            <w:shd w:val="clear" w:color="auto" w:fill="auto"/>
            <w:vAlign w:val="center"/>
          </w:tcPr>
          <w:p w14:paraId="08E7CB1B"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-3.11</w:t>
            </w:r>
          </w:p>
        </w:tc>
        <w:tc>
          <w:tcPr>
            <w:tcW w:w="1700" w:type="dxa"/>
            <w:tcBorders>
              <w:top w:val="nil"/>
              <w:left w:val="nil"/>
              <w:bottom w:val="nil"/>
              <w:right w:val="nil"/>
            </w:tcBorders>
            <w:shd w:val="clear" w:color="auto" w:fill="auto"/>
            <w:vAlign w:val="center"/>
          </w:tcPr>
          <w:p w14:paraId="3F67913E"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-4.97 – -1.25</w:t>
            </w:r>
          </w:p>
        </w:tc>
        <w:tc>
          <w:tcPr>
            <w:tcW w:w="1240" w:type="dxa"/>
            <w:tcBorders>
              <w:top w:val="nil"/>
              <w:left w:val="nil"/>
              <w:bottom w:val="nil"/>
              <w:right w:val="nil"/>
            </w:tcBorders>
            <w:shd w:val="clear" w:color="auto" w:fill="auto"/>
            <w:vAlign w:val="center"/>
          </w:tcPr>
          <w:p w14:paraId="033BC77A"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0.001</w:t>
            </w:r>
          </w:p>
        </w:tc>
      </w:tr>
      <w:tr w:rsidR="00DE4897" w:rsidRPr="008F6866" w14:paraId="75E82430" w14:textId="77777777" w:rsidTr="39CFF0FF">
        <w:trPr>
          <w:trHeight w:val="300"/>
          <w:jc w:val="center"/>
        </w:trPr>
        <w:tc>
          <w:tcPr>
            <w:tcW w:w="3980" w:type="dxa"/>
            <w:tcBorders>
              <w:top w:val="nil"/>
              <w:left w:val="nil"/>
              <w:bottom w:val="nil"/>
              <w:right w:val="nil"/>
            </w:tcBorders>
            <w:shd w:val="clear" w:color="auto" w:fill="auto"/>
          </w:tcPr>
          <w:p w14:paraId="3271FE54"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[Quercus spp.] × PC2</w:t>
            </w:r>
          </w:p>
        </w:tc>
        <w:tc>
          <w:tcPr>
            <w:tcW w:w="1240" w:type="dxa"/>
            <w:tcBorders>
              <w:top w:val="nil"/>
              <w:left w:val="nil"/>
              <w:bottom w:val="nil"/>
              <w:right w:val="nil"/>
            </w:tcBorders>
            <w:shd w:val="clear" w:color="auto" w:fill="auto"/>
            <w:vAlign w:val="center"/>
          </w:tcPr>
          <w:p w14:paraId="5A36B6A7"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-0.18</w:t>
            </w:r>
          </w:p>
        </w:tc>
        <w:tc>
          <w:tcPr>
            <w:tcW w:w="1700" w:type="dxa"/>
            <w:tcBorders>
              <w:top w:val="nil"/>
              <w:left w:val="nil"/>
              <w:bottom w:val="nil"/>
              <w:right w:val="nil"/>
            </w:tcBorders>
            <w:shd w:val="clear" w:color="auto" w:fill="auto"/>
            <w:vAlign w:val="center"/>
          </w:tcPr>
          <w:p w14:paraId="000A1238"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-1.22 – 0.86</w:t>
            </w:r>
          </w:p>
        </w:tc>
        <w:tc>
          <w:tcPr>
            <w:tcW w:w="1240" w:type="dxa"/>
            <w:tcBorders>
              <w:top w:val="nil"/>
              <w:left w:val="nil"/>
              <w:bottom w:val="nil"/>
              <w:right w:val="nil"/>
            </w:tcBorders>
            <w:shd w:val="clear" w:color="auto" w:fill="auto"/>
            <w:vAlign w:val="center"/>
          </w:tcPr>
          <w:p w14:paraId="1D6990E3"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0.733</w:t>
            </w:r>
          </w:p>
        </w:tc>
      </w:tr>
      <w:tr w:rsidR="00DE4897" w:rsidRPr="008F6866" w14:paraId="5A0C4035" w14:textId="77777777" w:rsidTr="39CFF0FF">
        <w:trPr>
          <w:trHeight w:val="300"/>
          <w:jc w:val="center"/>
        </w:trPr>
        <w:tc>
          <w:tcPr>
            <w:tcW w:w="3980" w:type="dxa"/>
            <w:tcBorders>
              <w:top w:val="nil"/>
              <w:left w:val="nil"/>
              <w:bottom w:val="nil"/>
              <w:right w:val="nil"/>
            </w:tcBorders>
            <w:shd w:val="clear" w:color="auto" w:fill="auto"/>
          </w:tcPr>
          <w:p w14:paraId="65C1371A"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[Betula spp.] × PC2</w:t>
            </w:r>
          </w:p>
        </w:tc>
        <w:tc>
          <w:tcPr>
            <w:tcW w:w="1240" w:type="dxa"/>
            <w:tcBorders>
              <w:top w:val="nil"/>
              <w:left w:val="nil"/>
              <w:bottom w:val="nil"/>
              <w:right w:val="nil"/>
            </w:tcBorders>
            <w:shd w:val="clear" w:color="auto" w:fill="auto"/>
            <w:vAlign w:val="center"/>
          </w:tcPr>
          <w:p w14:paraId="406BCF6A"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-1.51</w:t>
            </w:r>
          </w:p>
        </w:tc>
        <w:tc>
          <w:tcPr>
            <w:tcW w:w="1700" w:type="dxa"/>
            <w:tcBorders>
              <w:top w:val="nil"/>
              <w:left w:val="nil"/>
              <w:bottom w:val="nil"/>
              <w:right w:val="nil"/>
            </w:tcBorders>
            <w:shd w:val="clear" w:color="auto" w:fill="auto"/>
            <w:vAlign w:val="center"/>
          </w:tcPr>
          <w:p w14:paraId="0300EFBA"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-2.65 – -0.37</w:t>
            </w:r>
          </w:p>
        </w:tc>
        <w:tc>
          <w:tcPr>
            <w:tcW w:w="1240" w:type="dxa"/>
            <w:tcBorders>
              <w:top w:val="nil"/>
              <w:left w:val="nil"/>
              <w:bottom w:val="nil"/>
              <w:right w:val="nil"/>
            </w:tcBorders>
            <w:shd w:val="clear" w:color="auto" w:fill="auto"/>
            <w:vAlign w:val="center"/>
          </w:tcPr>
          <w:p w14:paraId="55F95A5B"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0.01</w:t>
            </w:r>
          </w:p>
        </w:tc>
      </w:tr>
      <w:tr w:rsidR="00DE4897" w:rsidRPr="008F6866" w14:paraId="3A90ED9B" w14:textId="77777777" w:rsidTr="39CFF0FF">
        <w:trPr>
          <w:trHeight w:val="300"/>
          <w:jc w:val="center"/>
        </w:trPr>
        <w:tc>
          <w:tcPr>
            <w:tcW w:w="3980" w:type="dxa"/>
            <w:tcBorders>
              <w:top w:val="nil"/>
              <w:left w:val="nil"/>
              <w:bottom w:val="nil"/>
              <w:right w:val="nil"/>
            </w:tcBorders>
            <w:shd w:val="clear" w:color="auto" w:fill="auto"/>
          </w:tcPr>
          <w:p w14:paraId="2308185B" w14:textId="77777777" w:rsidR="00DE4897" w:rsidRPr="00900A11" w:rsidRDefault="00DE4897" w:rsidP="008D668B">
            <w:pPr>
              <w:pBdr>
                <w:top w:val="nil"/>
                <w:left w:val="nil"/>
                <w:bottom w:val="nil"/>
                <w:right w:val="nil"/>
                <w:between w:val="nil"/>
              </w:pBdr>
              <w:spacing w:after="120" w:line="240" w:lineRule="auto"/>
              <w:jc w:val="both"/>
              <w:rPr>
                <w:rFonts w:cstheme="minorHAnsi"/>
                <w:color w:val="000000"/>
                <w:sz w:val="20"/>
                <w:szCs w:val="20"/>
                <w:lang w:val="fr-BE"/>
              </w:rPr>
            </w:pPr>
            <w:r w:rsidRPr="00900A11">
              <w:rPr>
                <w:rFonts w:cstheme="minorHAnsi"/>
                <w:color w:val="000000"/>
                <w:sz w:val="20"/>
                <w:szCs w:val="20"/>
                <w:lang w:val="fr-BE"/>
              </w:rPr>
              <w:t>species [Sorbus aucuparia L.] × PC2</w:t>
            </w:r>
          </w:p>
        </w:tc>
        <w:tc>
          <w:tcPr>
            <w:tcW w:w="1240" w:type="dxa"/>
            <w:tcBorders>
              <w:top w:val="nil"/>
              <w:left w:val="nil"/>
              <w:bottom w:val="nil"/>
              <w:right w:val="nil"/>
            </w:tcBorders>
            <w:shd w:val="clear" w:color="auto" w:fill="auto"/>
            <w:vAlign w:val="center"/>
          </w:tcPr>
          <w:p w14:paraId="089B3281"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0.73</w:t>
            </w:r>
          </w:p>
        </w:tc>
        <w:tc>
          <w:tcPr>
            <w:tcW w:w="1700" w:type="dxa"/>
            <w:tcBorders>
              <w:top w:val="nil"/>
              <w:left w:val="nil"/>
              <w:bottom w:val="nil"/>
              <w:right w:val="nil"/>
            </w:tcBorders>
            <w:shd w:val="clear" w:color="auto" w:fill="auto"/>
            <w:vAlign w:val="center"/>
          </w:tcPr>
          <w:p w14:paraId="44ED315D"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-0.66 – 2.11</w:t>
            </w:r>
          </w:p>
        </w:tc>
        <w:tc>
          <w:tcPr>
            <w:tcW w:w="1240" w:type="dxa"/>
            <w:tcBorders>
              <w:top w:val="nil"/>
              <w:left w:val="nil"/>
              <w:bottom w:val="nil"/>
              <w:right w:val="nil"/>
            </w:tcBorders>
            <w:shd w:val="clear" w:color="auto" w:fill="auto"/>
            <w:vAlign w:val="center"/>
          </w:tcPr>
          <w:p w14:paraId="5A8BA6F5"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0.302</w:t>
            </w:r>
          </w:p>
        </w:tc>
      </w:tr>
      <w:tr w:rsidR="00DE4897" w:rsidRPr="008F6866" w14:paraId="7EA25F8A" w14:textId="77777777" w:rsidTr="39CFF0FF">
        <w:trPr>
          <w:trHeight w:val="300"/>
          <w:jc w:val="center"/>
        </w:trPr>
        <w:tc>
          <w:tcPr>
            <w:tcW w:w="3980" w:type="dxa"/>
            <w:tcBorders>
              <w:top w:val="nil"/>
              <w:left w:val="nil"/>
              <w:bottom w:val="nil"/>
              <w:right w:val="nil"/>
            </w:tcBorders>
            <w:shd w:val="clear" w:color="auto" w:fill="auto"/>
          </w:tcPr>
          <w:p w14:paraId="64F81CA9"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[Acer spp.] × PC2</w:t>
            </w:r>
          </w:p>
        </w:tc>
        <w:tc>
          <w:tcPr>
            <w:tcW w:w="1240" w:type="dxa"/>
            <w:tcBorders>
              <w:top w:val="nil"/>
              <w:left w:val="nil"/>
              <w:bottom w:val="nil"/>
              <w:right w:val="nil"/>
            </w:tcBorders>
            <w:shd w:val="clear" w:color="auto" w:fill="auto"/>
            <w:vAlign w:val="center"/>
          </w:tcPr>
          <w:p w14:paraId="1D7078EE"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-1.74</w:t>
            </w:r>
          </w:p>
        </w:tc>
        <w:tc>
          <w:tcPr>
            <w:tcW w:w="1700" w:type="dxa"/>
            <w:tcBorders>
              <w:top w:val="nil"/>
              <w:left w:val="nil"/>
              <w:bottom w:val="nil"/>
              <w:right w:val="nil"/>
            </w:tcBorders>
            <w:shd w:val="clear" w:color="auto" w:fill="auto"/>
            <w:vAlign w:val="center"/>
          </w:tcPr>
          <w:p w14:paraId="7EDC0DC3"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-4.65 – 1.18</w:t>
            </w:r>
          </w:p>
        </w:tc>
        <w:tc>
          <w:tcPr>
            <w:tcW w:w="1240" w:type="dxa"/>
            <w:tcBorders>
              <w:top w:val="nil"/>
              <w:left w:val="nil"/>
              <w:bottom w:val="nil"/>
              <w:right w:val="nil"/>
            </w:tcBorders>
            <w:shd w:val="clear" w:color="auto" w:fill="auto"/>
            <w:vAlign w:val="center"/>
          </w:tcPr>
          <w:p w14:paraId="5B08E0BB"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0.243</w:t>
            </w:r>
          </w:p>
        </w:tc>
      </w:tr>
      <w:tr w:rsidR="00DE4897" w:rsidRPr="008F6866" w14:paraId="4EF1D80C" w14:textId="77777777" w:rsidTr="39CFF0FF">
        <w:trPr>
          <w:trHeight w:val="315"/>
          <w:jc w:val="center"/>
        </w:trPr>
        <w:tc>
          <w:tcPr>
            <w:tcW w:w="3980" w:type="dxa"/>
            <w:tcBorders>
              <w:top w:val="nil"/>
              <w:left w:val="nil"/>
              <w:bottom w:val="nil"/>
              <w:right w:val="nil"/>
            </w:tcBorders>
            <w:shd w:val="clear" w:color="auto" w:fill="auto"/>
          </w:tcPr>
          <w:p w14:paraId="363829C5"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species [Other species] × PC2</w:t>
            </w:r>
          </w:p>
        </w:tc>
        <w:tc>
          <w:tcPr>
            <w:tcW w:w="1240" w:type="dxa"/>
            <w:tcBorders>
              <w:top w:val="nil"/>
              <w:left w:val="nil"/>
              <w:bottom w:val="nil"/>
              <w:right w:val="nil"/>
            </w:tcBorders>
            <w:shd w:val="clear" w:color="auto" w:fill="auto"/>
            <w:vAlign w:val="center"/>
          </w:tcPr>
          <w:p w14:paraId="23A72F21"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0.42</w:t>
            </w:r>
          </w:p>
        </w:tc>
        <w:tc>
          <w:tcPr>
            <w:tcW w:w="1700" w:type="dxa"/>
            <w:tcBorders>
              <w:top w:val="nil"/>
              <w:left w:val="nil"/>
              <w:bottom w:val="nil"/>
              <w:right w:val="nil"/>
            </w:tcBorders>
            <w:shd w:val="clear" w:color="auto" w:fill="auto"/>
            <w:vAlign w:val="center"/>
          </w:tcPr>
          <w:p w14:paraId="5FC7C02E"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-0.78 – 1.63</w:t>
            </w:r>
          </w:p>
        </w:tc>
        <w:tc>
          <w:tcPr>
            <w:tcW w:w="1240" w:type="dxa"/>
            <w:tcBorders>
              <w:top w:val="nil"/>
              <w:left w:val="nil"/>
              <w:bottom w:val="nil"/>
              <w:right w:val="nil"/>
            </w:tcBorders>
            <w:shd w:val="clear" w:color="auto" w:fill="auto"/>
            <w:vAlign w:val="center"/>
          </w:tcPr>
          <w:p w14:paraId="0D249196"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0.49</w:t>
            </w:r>
          </w:p>
        </w:tc>
      </w:tr>
      <w:tr w:rsidR="00DE4897" w:rsidRPr="008F6866" w14:paraId="6DC00A89" w14:textId="77777777" w:rsidTr="39CFF0FF">
        <w:trPr>
          <w:trHeight w:val="300"/>
          <w:jc w:val="center"/>
        </w:trPr>
        <w:tc>
          <w:tcPr>
            <w:tcW w:w="3980" w:type="dxa"/>
            <w:tcBorders>
              <w:top w:val="single" w:sz="8" w:space="0" w:color="000000" w:themeColor="text1"/>
              <w:left w:val="nil"/>
              <w:right w:val="nil"/>
            </w:tcBorders>
            <w:shd w:val="clear" w:color="auto" w:fill="auto"/>
          </w:tcPr>
          <w:p w14:paraId="2EFA12D0"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Observations</w:t>
            </w:r>
          </w:p>
        </w:tc>
        <w:tc>
          <w:tcPr>
            <w:tcW w:w="4180" w:type="dxa"/>
            <w:gridSpan w:val="3"/>
            <w:tcBorders>
              <w:top w:val="single" w:sz="8" w:space="0" w:color="000000" w:themeColor="text1"/>
              <w:left w:val="nil"/>
              <w:right w:val="nil"/>
            </w:tcBorders>
            <w:shd w:val="clear" w:color="auto" w:fill="auto"/>
          </w:tcPr>
          <w:p w14:paraId="4AB06FDB"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896</w:t>
            </w:r>
          </w:p>
        </w:tc>
      </w:tr>
      <w:tr w:rsidR="00DE4897" w:rsidRPr="008F6866" w14:paraId="0609A485" w14:textId="77777777" w:rsidTr="39CFF0FF">
        <w:trPr>
          <w:trHeight w:val="360"/>
          <w:jc w:val="center"/>
        </w:trPr>
        <w:tc>
          <w:tcPr>
            <w:tcW w:w="3980" w:type="dxa"/>
            <w:tcBorders>
              <w:top w:val="nil"/>
              <w:left w:val="nil"/>
              <w:bottom w:val="single" w:sz="12" w:space="0" w:color="000000" w:themeColor="text1"/>
              <w:right w:val="nil"/>
            </w:tcBorders>
            <w:shd w:val="clear" w:color="auto" w:fill="auto"/>
          </w:tcPr>
          <w:p w14:paraId="7B610BC6"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R</w:t>
            </w:r>
            <w:r w:rsidRPr="008F6866">
              <w:rPr>
                <w:rFonts w:cstheme="minorHAnsi"/>
                <w:color w:val="000000"/>
                <w:sz w:val="20"/>
                <w:szCs w:val="20"/>
                <w:vertAlign w:val="superscript"/>
              </w:rPr>
              <w:t>2</w:t>
            </w:r>
            <w:r w:rsidRPr="008F6866">
              <w:rPr>
                <w:rFonts w:cstheme="minorHAnsi"/>
                <w:color w:val="000000"/>
                <w:sz w:val="20"/>
                <w:szCs w:val="20"/>
              </w:rPr>
              <w:t xml:space="preserve"> / R</w:t>
            </w:r>
            <w:r w:rsidRPr="008F6866">
              <w:rPr>
                <w:rFonts w:cstheme="minorHAnsi"/>
                <w:color w:val="000000"/>
                <w:sz w:val="20"/>
                <w:szCs w:val="20"/>
                <w:vertAlign w:val="superscript"/>
              </w:rPr>
              <w:t>2</w:t>
            </w:r>
            <w:r w:rsidRPr="008F6866">
              <w:rPr>
                <w:rFonts w:cstheme="minorHAnsi"/>
                <w:color w:val="000000"/>
                <w:sz w:val="20"/>
                <w:szCs w:val="20"/>
              </w:rPr>
              <w:t xml:space="preserve"> adjusted</w:t>
            </w:r>
          </w:p>
        </w:tc>
        <w:tc>
          <w:tcPr>
            <w:tcW w:w="4180" w:type="dxa"/>
            <w:gridSpan w:val="3"/>
            <w:tcBorders>
              <w:top w:val="nil"/>
              <w:left w:val="nil"/>
              <w:bottom w:val="single" w:sz="12" w:space="0" w:color="000000" w:themeColor="text1"/>
              <w:right w:val="nil"/>
            </w:tcBorders>
            <w:shd w:val="clear" w:color="auto" w:fill="auto"/>
          </w:tcPr>
          <w:p w14:paraId="550D9B3F"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0.599 / 0.585</w:t>
            </w:r>
          </w:p>
        </w:tc>
      </w:tr>
    </w:tbl>
    <w:p w14:paraId="3AF9339F" w14:textId="77777777" w:rsidR="00DE4897" w:rsidRPr="008F6866" w:rsidRDefault="00DE4897" w:rsidP="00DE4897">
      <w:pPr>
        <w:rPr>
          <w:rFonts w:ascii="Calibri" w:eastAsia="Calibri" w:hAnsi="Calibri" w:cs="Calibri"/>
          <w:sz w:val="10"/>
          <w:szCs w:val="10"/>
        </w:rPr>
      </w:pPr>
    </w:p>
    <w:p w14:paraId="053E222C" w14:textId="77777777" w:rsidR="00DE4897" w:rsidRPr="008F6866" w:rsidRDefault="39CFF0FF" w:rsidP="00CA1107">
      <w:pPr>
        <w:spacing w:after="120" w:line="300" w:lineRule="auto"/>
        <w:jc w:val="both"/>
        <w:rPr>
          <w:rFonts w:ascii="Calibri" w:eastAsia="Calibri" w:hAnsi="Calibri" w:cs="Calibri"/>
        </w:rPr>
      </w:pPr>
      <w:r w:rsidRPr="008F6866">
        <w:rPr>
          <w:rFonts w:ascii="Calibri" w:eastAsia="Calibri" w:hAnsi="Calibri" w:cs="Calibri"/>
        </w:rPr>
        <w:lastRenderedPageBreak/>
        <w:t>On average, the initial biomass of the ground vegetation was about 52 g/m² but its variability was substantial (s.d. = 87 g/m²) as its estimates ranged between 0 and 992 g/m². On average, the initial biomass was greater in the unfenced plots, but the difference was not significant (15.9 g/m², P = 0.165). The initial biomass was also very poorly correlated to PC1 (r = 0.075) and PC2 (r = 0.144).</w:t>
      </w:r>
    </w:p>
    <w:p w14:paraId="3BB1A96F" w14:textId="51C3300A" w:rsidR="00DE4897" w:rsidRPr="008F6866" w:rsidRDefault="39CFF0FF" w:rsidP="00E76AB5">
      <w:pPr>
        <w:spacing w:after="240" w:line="300" w:lineRule="auto"/>
        <w:jc w:val="both"/>
        <w:rPr>
          <w:rFonts w:ascii="Calibri" w:eastAsia="Calibri" w:hAnsi="Calibri" w:cs="Calibri"/>
        </w:rPr>
      </w:pPr>
      <w:r w:rsidRPr="008F6866">
        <w:rPr>
          <w:rFonts w:ascii="Calibri" w:eastAsia="Calibri" w:hAnsi="Calibri" w:cs="Calibri"/>
        </w:rPr>
        <w:t>The biomass increments increased slightly with the initial biomass</w:t>
      </w:r>
      <w:r w:rsidR="00CA1107" w:rsidRPr="008F6866">
        <w:rPr>
          <w:rFonts w:ascii="Calibri" w:eastAsia="Calibri" w:hAnsi="Calibri" w:cs="Calibri"/>
        </w:rPr>
        <w:t xml:space="preserve"> (</w:t>
      </w:r>
      <w:r w:rsidR="00CA1107" w:rsidRPr="008F6866">
        <w:rPr>
          <w:rFonts w:ascii="Calibri" w:eastAsia="Calibri" w:hAnsi="Calibri" w:cs="Calibri"/>
        </w:rPr>
        <w:fldChar w:fldCharType="begin"/>
      </w:r>
      <w:r w:rsidR="00CA1107" w:rsidRPr="008F6866">
        <w:rPr>
          <w:rFonts w:ascii="Calibri" w:eastAsia="Calibri" w:hAnsi="Calibri" w:cs="Calibri"/>
        </w:rPr>
        <w:instrText xml:space="preserve"> REF _Ref195646572 \h  \* MERGEFORMAT </w:instrText>
      </w:r>
      <w:r w:rsidR="00CA1107" w:rsidRPr="008F6866">
        <w:rPr>
          <w:rFonts w:ascii="Calibri" w:eastAsia="Calibri" w:hAnsi="Calibri" w:cs="Calibri"/>
        </w:rPr>
      </w:r>
      <w:r w:rsidR="00CA1107" w:rsidRPr="008F6866">
        <w:rPr>
          <w:rFonts w:ascii="Calibri" w:eastAsia="Calibri" w:hAnsi="Calibri" w:cs="Calibri"/>
        </w:rPr>
        <w:fldChar w:fldCharType="separate"/>
      </w:r>
      <w:r w:rsidR="00540DBF" w:rsidRPr="00540DBF">
        <w:rPr>
          <w:rFonts w:ascii="Calibri" w:eastAsia="Calibri" w:hAnsi="Calibri" w:cs="Calibri"/>
        </w:rPr>
        <w:t>Figure 19</w:t>
      </w:r>
      <w:r w:rsidR="00CA1107" w:rsidRPr="008F6866">
        <w:rPr>
          <w:rFonts w:ascii="Calibri" w:eastAsia="Calibri" w:hAnsi="Calibri" w:cs="Calibri"/>
        </w:rPr>
        <w:fldChar w:fldCharType="end"/>
      </w:r>
      <w:r w:rsidR="00CA1107" w:rsidRPr="008F6866">
        <w:rPr>
          <w:rFonts w:ascii="Calibri" w:eastAsia="Calibri" w:hAnsi="Calibri" w:cs="Calibri"/>
        </w:rPr>
        <w:t>,</w:t>
      </w:r>
      <w:r w:rsidR="00AD3B18" w:rsidRPr="008F6866">
        <w:rPr>
          <w:rFonts w:ascii="Calibri" w:eastAsia="Calibri" w:hAnsi="Calibri" w:cs="Calibri"/>
        </w:rPr>
        <w:t xml:space="preserve"> </w:t>
      </w:r>
      <w:r w:rsidR="00AD3B18" w:rsidRPr="008F6866">
        <w:rPr>
          <w:rFonts w:ascii="Calibri" w:eastAsia="Calibri" w:hAnsi="Calibri" w:cs="Calibri"/>
        </w:rPr>
        <w:fldChar w:fldCharType="begin"/>
      </w:r>
      <w:r w:rsidR="00AD3B18" w:rsidRPr="008F6866">
        <w:rPr>
          <w:rFonts w:ascii="Calibri" w:eastAsia="Calibri" w:hAnsi="Calibri" w:cs="Calibri"/>
        </w:rPr>
        <w:instrText xml:space="preserve"> REF _Ref195653204 \h  \* MERGEFORMAT </w:instrText>
      </w:r>
      <w:r w:rsidR="00AD3B18" w:rsidRPr="008F6866">
        <w:rPr>
          <w:rFonts w:ascii="Calibri" w:eastAsia="Calibri" w:hAnsi="Calibri" w:cs="Calibri"/>
        </w:rPr>
      </w:r>
      <w:r w:rsidR="00AD3B18" w:rsidRPr="008F6866">
        <w:rPr>
          <w:rFonts w:ascii="Calibri" w:eastAsia="Calibri" w:hAnsi="Calibri" w:cs="Calibri"/>
        </w:rPr>
        <w:fldChar w:fldCharType="separate"/>
      </w:r>
      <w:r w:rsidR="00540DBF" w:rsidRPr="00540DBF">
        <w:rPr>
          <w:rFonts w:ascii="Calibri" w:eastAsia="Calibri" w:hAnsi="Calibri" w:cs="Calibri"/>
        </w:rPr>
        <w:t>Table XI</w:t>
      </w:r>
      <w:r w:rsidR="00AD3B18" w:rsidRPr="008F6866">
        <w:rPr>
          <w:rFonts w:ascii="Calibri" w:eastAsia="Calibri" w:hAnsi="Calibri" w:cs="Calibri"/>
        </w:rPr>
        <w:fldChar w:fldCharType="end"/>
      </w:r>
      <w:r w:rsidR="00CA1107" w:rsidRPr="008F6866">
        <w:rPr>
          <w:rFonts w:ascii="Calibri" w:eastAsia="Calibri" w:hAnsi="Calibri" w:cs="Calibri"/>
        </w:rPr>
        <w:t>)</w:t>
      </w:r>
      <w:r w:rsidRPr="008F6866">
        <w:rPr>
          <w:rFonts w:ascii="Calibri" w:eastAsia="Calibri" w:hAnsi="Calibri" w:cs="Calibri"/>
        </w:rPr>
        <w:t>. The average biomass increment was 22 g/m²/yr. It was lower than 26 g/m²/yr in 75% of the plots. The biomass increment was significantly lower in the unfenced plots (-9.51 g/m²/yr, P &lt; 0.001,</w:t>
      </w:r>
      <w:r w:rsidR="008C75F4" w:rsidRPr="008F6866">
        <w:rPr>
          <w:rFonts w:ascii="Calibri" w:eastAsia="Calibri" w:hAnsi="Calibri" w:cs="Calibri"/>
        </w:rPr>
        <w:t xml:space="preserve"> </w:t>
      </w:r>
      <w:r w:rsidR="008C75F4" w:rsidRPr="008F6866">
        <w:rPr>
          <w:rFonts w:ascii="Calibri" w:eastAsia="Calibri" w:hAnsi="Calibri" w:cs="Calibri"/>
        </w:rPr>
        <w:fldChar w:fldCharType="begin"/>
      </w:r>
      <w:r w:rsidR="008C75F4" w:rsidRPr="008F6866">
        <w:rPr>
          <w:rFonts w:ascii="Calibri" w:eastAsia="Calibri" w:hAnsi="Calibri" w:cs="Calibri"/>
        </w:rPr>
        <w:instrText xml:space="preserve"> REF _Ref195653204 \h  \* MERGEFORMAT </w:instrText>
      </w:r>
      <w:r w:rsidR="008C75F4" w:rsidRPr="008F6866">
        <w:rPr>
          <w:rFonts w:ascii="Calibri" w:eastAsia="Calibri" w:hAnsi="Calibri" w:cs="Calibri"/>
        </w:rPr>
      </w:r>
      <w:r w:rsidR="008C75F4" w:rsidRPr="008F6866">
        <w:rPr>
          <w:rFonts w:ascii="Calibri" w:eastAsia="Calibri" w:hAnsi="Calibri" w:cs="Calibri"/>
        </w:rPr>
        <w:fldChar w:fldCharType="separate"/>
      </w:r>
      <w:r w:rsidR="00540DBF" w:rsidRPr="00540DBF">
        <w:rPr>
          <w:rFonts w:ascii="Calibri" w:eastAsia="Calibri" w:hAnsi="Calibri" w:cs="Calibri"/>
        </w:rPr>
        <w:t>Table XI</w:t>
      </w:r>
      <w:r w:rsidR="008C75F4" w:rsidRPr="008F6866">
        <w:rPr>
          <w:rFonts w:ascii="Calibri" w:eastAsia="Calibri" w:hAnsi="Calibri" w:cs="Calibri"/>
        </w:rPr>
        <w:fldChar w:fldCharType="end"/>
      </w:r>
      <w:r w:rsidRPr="008F6866">
        <w:rPr>
          <w:rFonts w:ascii="Calibri" w:eastAsia="Calibri" w:hAnsi="Calibri" w:cs="Calibri"/>
        </w:rPr>
        <w:t>). The biomass increment depended both on PC1 and PC2. Once again, the use of this model seemed limited as the abundance of red deer (PC1) had positive and negative effects.</w:t>
      </w:r>
    </w:p>
    <w:p w14:paraId="29BDCAB0" w14:textId="2EAA5EBC" w:rsidR="00DE4897" w:rsidRPr="008F6866" w:rsidRDefault="00DE4897" w:rsidP="00CA1107">
      <w:pPr>
        <w:keepNext/>
        <w:spacing w:after="0" w:line="259" w:lineRule="auto"/>
        <w:jc w:val="center"/>
      </w:pPr>
      <w:r w:rsidRPr="008F6866">
        <w:rPr>
          <w:noProof/>
        </w:rPr>
        <w:drawing>
          <wp:inline distT="0" distB="0" distL="0" distR="0" wp14:anchorId="7B87C762" wp14:editId="22F906CB">
            <wp:extent cx="4836160" cy="3256280"/>
            <wp:effectExtent l="0" t="0" r="2540" b="1270"/>
            <wp:docPr id="206168099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3"/>
                    <a:srcRect/>
                    <a:stretch>
                      <a:fillRect/>
                    </a:stretch>
                  </pic:blipFill>
                  <pic:spPr>
                    <a:xfrm>
                      <a:off x="0" y="0"/>
                      <a:ext cx="4837160" cy="3256953"/>
                    </a:xfrm>
                    <a:prstGeom prst="rect">
                      <a:avLst/>
                    </a:prstGeom>
                    <a:ln/>
                  </pic:spPr>
                </pic:pic>
              </a:graphicData>
            </a:graphic>
          </wp:inline>
        </w:drawing>
      </w:r>
    </w:p>
    <w:p w14:paraId="60F841A6" w14:textId="73CA2BEC" w:rsidR="00DE4897" w:rsidRDefault="00CA1107" w:rsidP="00024619">
      <w:pPr>
        <w:pStyle w:val="Lgende"/>
        <w:spacing w:after="0"/>
        <w:jc w:val="center"/>
        <w:rPr>
          <w:b/>
          <w:i w:val="0"/>
          <w:color w:val="000000" w:themeColor="text1"/>
          <w:sz w:val="20"/>
          <w:szCs w:val="20"/>
        </w:rPr>
      </w:pPr>
      <w:bookmarkStart w:id="64" w:name="_Ref195646572"/>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19</w:t>
      </w:r>
      <w:r w:rsidRPr="008F6866">
        <w:rPr>
          <w:b/>
          <w:i w:val="0"/>
          <w:color w:val="000000" w:themeColor="text1"/>
          <w:sz w:val="20"/>
          <w:szCs w:val="20"/>
        </w:rPr>
        <w:fldChar w:fldCharType="end"/>
      </w:r>
      <w:bookmarkEnd w:id="64"/>
      <w:r w:rsidRPr="008F6866">
        <w:rPr>
          <w:b/>
          <w:i w:val="0"/>
          <w:color w:val="000000" w:themeColor="text1"/>
          <w:sz w:val="20"/>
          <w:szCs w:val="20"/>
        </w:rPr>
        <w:t>. Relationships between the biomass increment and the initial biomass in fenced and unfenced plots</w:t>
      </w:r>
      <w:bookmarkStart w:id="65" w:name="_heading=h.46r0co2"/>
      <w:bookmarkEnd w:id="65"/>
    </w:p>
    <w:p w14:paraId="3441F7F8" w14:textId="77777777" w:rsidR="00024619" w:rsidRPr="00024619" w:rsidRDefault="00024619" w:rsidP="00024619">
      <w:pPr>
        <w:spacing w:after="0"/>
        <w:rPr>
          <w:lang w:eastAsia="fr-BE"/>
        </w:rPr>
      </w:pPr>
    </w:p>
    <w:p w14:paraId="297D29C3" w14:textId="77777777" w:rsidR="00E76AB5" w:rsidRPr="008F6866" w:rsidRDefault="00E76AB5" w:rsidP="00E76AB5">
      <w:pPr>
        <w:spacing w:after="60"/>
        <w:rPr>
          <w:rFonts w:ascii="Calibri" w:eastAsia="Calibri" w:hAnsi="Calibri" w:cs="Calibri"/>
          <w:i/>
        </w:rPr>
      </w:pPr>
      <w:r w:rsidRPr="008F6866">
        <w:rPr>
          <w:rFonts w:ascii="Calibri" w:eastAsia="Calibri" w:hAnsi="Calibri" w:cs="Calibri"/>
          <w:i/>
        </w:rPr>
        <w:t>Conclusions</w:t>
      </w:r>
    </w:p>
    <w:p w14:paraId="41B7D450" w14:textId="77777777" w:rsidR="00E76AB5" w:rsidRPr="008F6866" w:rsidRDefault="00E76AB5" w:rsidP="00E76AB5">
      <w:pPr>
        <w:spacing w:after="120" w:line="300" w:lineRule="auto"/>
        <w:jc w:val="both"/>
        <w:rPr>
          <w:rFonts w:ascii="Calibri" w:eastAsia="Calibri" w:hAnsi="Calibri" w:cs="Calibri"/>
        </w:rPr>
      </w:pPr>
      <w:r w:rsidRPr="008F6866">
        <w:rPr>
          <w:rFonts w:ascii="Calibri" w:eastAsia="Calibri" w:hAnsi="Calibri" w:cs="Calibri"/>
        </w:rPr>
        <w:t>Several equations were tested to model the effect of ungulate browsing on tree regeneration and ground vegetation. Relationships between browsing impacts and wild ungulate density were sought after but such relationships were not clearly evidenced. Unfortunately, for some species, the growing conditions were more favourable where red deer was abundant. This indirect and positive effect of ungulate density on seedling growth was found difficult to disentangle from the direct effect of browsing. Protected birch and hornbeam seedlings grew particularly faster in areas with abundant red deer. This effect might originate from (i) a correlation between red deer densities and different unmeasured environmental characteristics, (ii) the result of deer browsing prior to plot installation inducing different understory history, and (iii) greater efforts of field workers to set up the plots in good growing conditions in the areas with large red deer populations.</w:t>
      </w:r>
    </w:p>
    <w:p w14:paraId="0B786AFE" w14:textId="77777777" w:rsidR="00E76AB5" w:rsidRPr="00E76AB5" w:rsidRDefault="00E76AB5" w:rsidP="00E76AB5">
      <w:pPr>
        <w:rPr>
          <w:lang w:eastAsia="fr-BE"/>
        </w:rPr>
      </w:pPr>
    </w:p>
    <w:p w14:paraId="5A6B7630" w14:textId="5DFA35F0" w:rsidR="00CA1107" w:rsidRPr="008F6866" w:rsidRDefault="00CA1107" w:rsidP="00CA1107">
      <w:pPr>
        <w:pStyle w:val="Lgende"/>
        <w:spacing w:after="60"/>
        <w:jc w:val="center"/>
        <w:rPr>
          <w:b/>
          <w:bCs/>
          <w:i w:val="0"/>
          <w:iCs w:val="0"/>
          <w:color w:val="000000" w:themeColor="text1"/>
          <w:sz w:val="20"/>
          <w:szCs w:val="20"/>
        </w:rPr>
      </w:pPr>
      <w:bookmarkStart w:id="66" w:name="_heading=h.2lwamvv"/>
      <w:bookmarkStart w:id="67" w:name="_Ref195646647"/>
      <w:bookmarkStart w:id="68" w:name="_Ref195653204"/>
      <w:bookmarkEnd w:id="66"/>
      <w:r w:rsidRPr="008F6866">
        <w:rPr>
          <w:b/>
          <w:i w:val="0"/>
          <w:color w:val="000000" w:themeColor="text1"/>
          <w:sz w:val="20"/>
          <w:szCs w:val="20"/>
        </w:rPr>
        <w:lastRenderedPageBreak/>
        <w:t xml:space="preserve">Table </w:t>
      </w:r>
      <w:bookmarkEnd w:id="67"/>
      <w:r w:rsidR="00EE472B">
        <w:rPr>
          <w:b/>
          <w:i w:val="0"/>
          <w:color w:val="000000" w:themeColor="text1"/>
          <w:sz w:val="20"/>
          <w:szCs w:val="20"/>
        </w:rPr>
        <w:fldChar w:fldCharType="begin"/>
      </w:r>
      <w:r w:rsidR="00EE472B">
        <w:rPr>
          <w:b/>
          <w:i w:val="0"/>
          <w:color w:val="000000" w:themeColor="text1"/>
          <w:sz w:val="20"/>
          <w:szCs w:val="20"/>
        </w:rPr>
        <w:instrText xml:space="preserve"> SEQ Table \* ROMAN </w:instrText>
      </w:r>
      <w:r w:rsidR="00EE472B">
        <w:rPr>
          <w:b/>
          <w:i w:val="0"/>
          <w:color w:val="000000" w:themeColor="text1"/>
          <w:sz w:val="20"/>
          <w:szCs w:val="20"/>
        </w:rPr>
        <w:fldChar w:fldCharType="separate"/>
      </w:r>
      <w:r w:rsidR="00540DBF">
        <w:rPr>
          <w:b/>
          <w:i w:val="0"/>
          <w:noProof/>
          <w:color w:val="000000" w:themeColor="text1"/>
          <w:sz w:val="20"/>
          <w:szCs w:val="20"/>
        </w:rPr>
        <w:t>XI</w:t>
      </w:r>
      <w:r w:rsidR="00EE472B">
        <w:rPr>
          <w:b/>
          <w:i w:val="0"/>
          <w:color w:val="000000" w:themeColor="text1"/>
          <w:sz w:val="20"/>
          <w:szCs w:val="20"/>
        </w:rPr>
        <w:fldChar w:fldCharType="end"/>
      </w:r>
      <w:bookmarkEnd w:id="68"/>
      <w:r w:rsidRPr="008F6866">
        <w:rPr>
          <w:b/>
          <w:i w:val="0"/>
          <w:color w:val="000000" w:themeColor="text1"/>
          <w:sz w:val="20"/>
          <w:szCs w:val="20"/>
        </w:rPr>
        <w:t>. Summary statistics of the linear model of the biomass increment in response to the initial biomass, treatment, PC1 and PC2 (Equation 4.10)</w:t>
      </w:r>
    </w:p>
    <w:tbl>
      <w:tblPr>
        <w:tblW w:w="6860" w:type="dxa"/>
        <w:jc w:val="center"/>
        <w:tblLayout w:type="fixed"/>
        <w:tblLook w:val="0400" w:firstRow="0" w:lastRow="0" w:firstColumn="0" w:lastColumn="0" w:noHBand="0" w:noVBand="1"/>
      </w:tblPr>
      <w:tblGrid>
        <w:gridCol w:w="3001"/>
        <w:gridCol w:w="1276"/>
        <w:gridCol w:w="23"/>
        <w:gridCol w:w="1360"/>
        <w:gridCol w:w="1200"/>
      </w:tblGrid>
      <w:tr w:rsidR="00DE4897" w:rsidRPr="008F6866" w14:paraId="6BDA3149" w14:textId="77777777" w:rsidTr="008D668B">
        <w:trPr>
          <w:trHeight w:val="330"/>
          <w:jc w:val="center"/>
        </w:trPr>
        <w:tc>
          <w:tcPr>
            <w:tcW w:w="3001" w:type="dxa"/>
            <w:tcBorders>
              <w:top w:val="single" w:sz="12" w:space="0" w:color="000000"/>
              <w:left w:val="nil"/>
              <w:bottom w:val="single" w:sz="12" w:space="0" w:color="000000"/>
              <w:right w:val="nil"/>
            </w:tcBorders>
            <w:shd w:val="clear" w:color="auto" w:fill="auto"/>
            <w:vAlign w:val="center"/>
          </w:tcPr>
          <w:p w14:paraId="7FB78528" w14:textId="77777777" w:rsidR="00DE4897" w:rsidRPr="008F6866" w:rsidRDefault="00DE4897" w:rsidP="008D668B">
            <w:pPr>
              <w:pBdr>
                <w:top w:val="nil"/>
                <w:left w:val="nil"/>
                <w:bottom w:val="nil"/>
                <w:right w:val="nil"/>
                <w:between w:val="nil"/>
              </w:pBdr>
              <w:spacing w:after="120" w:line="240" w:lineRule="auto"/>
              <w:jc w:val="both"/>
              <w:rPr>
                <w:rFonts w:cstheme="minorHAnsi"/>
                <w:b/>
                <w:color w:val="000000"/>
                <w:sz w:val="20"/>
                <w:szCs w:val="20"/>
              </w:rPr>
            </w:pPr>
            <w:r w:rsidRPr="008F6866">
              <w:rPr>
                <w:rFonts w:cstheme="minorHAnsi"/>
                <w:b/>
                <w:color w:val="000000"/>
                <w:sz w:val="20"/>
                <w:szCs w:val="20"/>
              </w:rPr>
              <w:t>Predictors</w:t>
            </w:r>
          </w:p>
        </w:tc>
        <w:tc>
          <w:tcPr>
            <w:tcW w:w="1299" w:type="dxa"/>
            <w:gridSpan w:val="2"/>
            <w:tcBorders>
              <w:top w:val="single" w:sz="12" w:space="0" w:color="000000"/>
              <w:left w:val="nil"/>
              <w:bottom w:val="single" w:sz="12" w:space="0" w:color="000000"/>
              <w:right w:val="nil"/>
            </w:tcBorders>
            <w:shd w:val="clear" w:color="auto" w:fill="auto"/>
            <w:vAlign w:val="center"/>
          </w:tcPr>
          <w:p w14:paraId="3E7C42D9" w14:textId="77777777" w:rsidR="00DE4897" w:rsidRPr="008F6866" w:rsidRDefault="00DE4897" w:rsidP="008D668B">
            <w:pPr>
              <w:pBdr>
                <w:top w:val="nil"/>
                <w:left w:val="nil"/>
                <w:bottom w:val="nil"/>
                <w:right w:val="nil"/>
                <w:between w:val="nil"/>
              </w:pBdr>
              <w:spacing w:after="120" w:line="240" w:lineRule="auto"/>
              <w:jc w:val="right"/>
              <w:rPr>
                <w:rFonts w:cstheme="minorHAnsi"/>
                <w:b/>
                <w:color w:val="000000"/>
                <w:sz w:val="20"/>
                <w:szCs w:val="20"/>
              </w:rPr>
            </w:pPr>
            <w:r w:rsidRPr="008F6866">
              <w:rPr>
                <w:rFonts w:cstheme="minorHAnsi"/>
                <w:b/>
                <w:color w:val="000000"/>
                <w:sz w:val="20"/>
                <w:szCs w:val="20"/>
              </w:rPr>
              <w:t>Estimates</w:t>
            </w:r>
          </w:p>
        </w:tc>
        <w:tc>
          <w:tcPr>
            <w:tcW w:w="1360" w:type="dxa"/>
            <w:tcBorders>
              <w:top w:val="single" w:sz="12" w:space="0" w:color="000000"/>
              <w:left w:val="nil"/>
              <w:bottom w:val="single" w:sz="12" w:space="0" w:color="000000"/>
              <w:right w:val="nil"/>
            </w:tcBorders>
            <w:shd w:val="clear" w:color="auto" w:fill="auto"/>
            <w:vAlign w:val="center"/>
          </w:tcPr>
          <w:p w14:paraId="401D474A" w14:textId="77777777" w:rsidR="00DE4897" w:rsidRPr="008F6866" w:rsidRDefault="00DE4897" w:rsidP="008D668B">
            <w:pPr>
              <w:pBdr>
                <w:top w:val="nil"/>
                <w:left w:val="nil"/>
                <w:bottom w:val="nil"/>
                <w:right w:val="nil"/>
                <w:between w:val="nil"/>
              </w:pBdr>
              <w:spacing w:after="120" w:line="240" w:lineRule="auto"/>
              <w:jc w:val="center"/>
              <w:rPr>
                <w:rFonts w:cstheme="minorHAnsi"/>
                <w:b/>
                <w:color w:val="000000"/>
                <w:sz w:val="20"/>
                <w:szCs w:val="20"/>
              </w:rPr>
            </w:pPr>
            <w:r w:rsidRPr="008F6866">
              <w:rPr>
                <w:rFonts w:cstheme="minorHAnsi"/>
                <w:b/>
                <w:color w:val="000000"/>
                <w:sz w:val="20"/>
                <w:szCs w:val="20"/>
              </w:rPr>
              <w:t>CI</w:t>
            </w:r>
          </w:p>
        </w:tc>
        <w:tc>
          <w:tcPr>
            <w:tcW w:w="1200" w:type="dxa"/>
            <w:tcBorders>
              <w:top w:val="single" w:sz="12" w:space="0" w:color="000000"/>
              <w:left w:val="nil"/>
              <w:bottom w:val="single" w:sz="12" w:space="0" w:color="000000"/>
              <w:right w:val="nil"/>
            </w:tcBorders>
            <w:shd w:val="clear" w:color="auto" w:fill="auto"/>
            <w:vAlign w:val="center"/>
          </w:tcPr>
          <w:p w14:paraId="3E44AE29" w14:textId="77777777" w:rsidR="00DE4897" w:rsidRPr="008F6866" w:rsidRDefault="00DE4897" w:rsidP="008D668B">
            <w:pPr>
              <w:pBdr>
                <w:top w:val="nil"/>
                <w:left w:val="nil"/>
                <w:bottom w:val="nil"/>
                <w:right w:val="nil"/>
                <w:between w:val="nil"/>
              </w:pBdr>
              <w:spacing w:after="120" w:line="240" w:lineRule="auto"/>
              <w:jc w:val="right"/>
              <w:rPr>
                <w:rFonts w:cstheme="minorHAnsi"/>
                <w:b/>
                <w:color w:val="000000"/>
                <w:sz w:val="20"/>
                <w:szCs w:val="20"/>
              </w:rPr>
            </w:pPr>
            <w:r w:rsidRPr="008F6866">
              <w:rPr>
                <w:rFonts w:cstheme="minorHAnsi"/>
                <w:b/>
                <w:color w:val="000000"/>
                <w:sz w:val="20"/>
                <w:szCs w:val="20"/>
              </w:rPr>
              <w:t>p</w:t>
            </w:r>
          </w:p>
        </w:tc>
      </w:tr>
      <w:tr w:rsidR="00DE4897" w:rsidRPr="008F6866" w14:paraId="0680D15C" w14:textId="77777777" w:rsidTr="008D668B">
        <w:trPr>
          <w:trHeight w:val="300"/>
          <w:jc w:val="center"/>
        </w:trPr>
        <w:tc>
          <w:tcPr>
            <w:tcW w:w="3001" w:type="dxa"/>
            <w:tcBorders>
              <w:top w:val="single" w:sz="12" w:space="0" w:color="000000"/>
              <w:left w:val="nil"/>
              <w:bottom w:val="nil"/>
              <w:right w:val="nil"/>
            </w:tcBorders>
            <w:shd w:val="clear" w:color="auto" w:fill="auto"/>
          </w:tcPr>
          <w:p w14:paraId="2CA1A7EB"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(Intercept)</w:t>
            </w:r>
          </w:p>
        </w:tc>
        <w:tc>
          <w:tcPr>
            <w:tcW w:w="1299" w:type="dxa"/>
            <w:gridSpan w:val="2"/>
            <w:tcBorders>
              <w:top w:val="single" w:sz="12" w:space="0" w:color="000000"/>
              <w:left w:val="nil"/>
              <w:bottom w:val="nil"/>
              <w:right w:val="nil"/>
            </w:tcBorders>
            <w:shd w:val="clear" w:color="auto" w:fill="auto"/>
          </w:tcPr>
          <w:p w14:paraId="50B3B983" w14:textId="77777777" w:rsidR="00DE4897" w:rsidRPr="008F6866" w:rsidRDefault="00DE4897" w:rsidP="008D668B">
            <w:pPr>
              <w:pBdr>
                <w:top w:val="nil"/>
                <w:left w:val="nil"/>
                <w:bottom w:val="nil"/>
                <w:right w:val="nil"/>
                <w:between w:val="nil"/>
              </w:pBdr>
              <w:spacing w:after="120" w:line="240" w:lineRule="auto"/>
              <w:jc w:val="right"/>
              <w:rPr>
                <w:rFonts w:cstheme="minorHAnsi"/>
                <w:color w:val="000000"/>
                <w:sz w:val="20"/>
                <w:szCs w:val="20"/>
              </w:rPr>
            </w:pPr>
            <w:r w:rsidRPr="008F6866">
              <w:rPr>
                <w:rFonts w:cstheme="minorHAnsi"/>
                <w:color w:val="000000"/>
                <w:sz w:val="20"/>
                <w:szCs w:val="20"/>
              </w:rPr>
              <w:t>18</w:t>
            </w:r>
          </w:p>
        </w:tc>
        <w:tc>
          <w:tcPr>
            <w:tcW w:w="1360" w:type="dxa"/>
            <w:tcBorders>
              <w:top w:val="single" w:sz="12" w:space="0" w:color="000000"/>
              <w:left w:val="nil"/>
              <w:bottom w:val="nil"/>
              <w:right w:val="nil"/>
            </w:tcBorders>
            <w:shd w:val="clear" w:color="auto" w:fill="auto"/>
          </w:tcPr>
          <w:p w14:paraId="19E0B9F3"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14.72 – 21.29</w:t>
            </w:r>
          </w:p>
        </w:tc>
        <w:tc>
          <w:tcPr>
            <w:tcW w:w="1200" w:type="dxa"/>
            <w:tcBorders>
              <w:top w:val="single" w:sz="12" w:space="0" w:color="000000"/>
              <w:left w:val="nil"/>
              <w:bottom w:val="nil"/>
              <w:right w:val="nil"/>
            </w:tcBorders>
            <w:shd w:val="clear" w:color="auto" w:fill="auto"/>
          </w:tcPr>
          <w:p w14:paraId="5D4A4D35" w14:textId="77777777" w:rsidR="00DE4897" w:rsidRPr="008F6866" w:rsidRDefault="00DE4897" w:rsidP="008D668B">
            <w:pPr>
              <w:pBdr>
                <w:top w:val="nil"/>
                <w:left w:val="nil"/>
                <w:bottom w:val="nil"/>
                <w:right w:val="nil"/>
                <w:between w:val="nil"/>
              </w:pBdr>
              <w:spacing w:after="120" w:line="240" w:lineRule="auto"/>
              <w:jc w:val="right"/>
              <w:rPr>
                <w:rFonts w:cstheme="minorHAnsi"/>
                <w:b/>
                <w:color w:val="000000"/>
                <w:sz w:val="20"/>
                <w:szCs w:val="20"/>
              </w:rPr>
            </w:pPr>
            <w:r w:rsidRPr="008F6866">
              <w:rPr>
                <w:rFonts w:cstheme="minorHAnsi"/>
                <w:b/>
                <w:color w:val="000000"/>
                <w:sz w:val="20"/>
                <w:szCs w:val="20"/>
              </w:rPr>
              <w:t>&lt;0.001</w:t>
            </w:r>
          </w:p>
        </w:tc>
      </w:tr>
      <w:tr w:rsidR="00DE4897" w:rsidRPr="008F6866" w14:paraId="619761A9" w14:textId="77777777" w:rsidTr="008D668B">
        <w:trPr>
          <w:trHeight w:val="300"/>
          <w:jc w:val="center"/>
        </w:trPr>
        <w:tc>
          <w:tcPr>
            <w:tcW w:w="3001" w:type="dxa"/>
            <w:tcBorders>
              <w:top w:val="nil"/>
              <w:left w:val="nil"/>
              <w:bottom w:val="nil"/>
              <w:right w:val="nil"/>
            </w:tcBorders>
            <w:shd w:val="clear" w:color="auto" w:fill="auto"/>
          </w:tcPr>
          <w:p w14:paraId="16EC6781"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initial biomass</w:t>
            </w:r>
          </w:p>
        </w:tc>
        <w:tc>
          <w:tcPr>
            <w:tcW w:w="1299" w:type="dxa"/>
            <w:gridSpan w:val="2"/>
            <w:tcBorders>
              <w:top w:val="nil"/>
              <w:left w:val="nil"/>
              <w:bottom w:val="nil"/>
              <w:right w:val="nil"/>
            </w:tcBorders>
            <w:shd w:val="clear" w:color="auto" w:fill="auto"/>
          </w:tcPr>
          <w:p w14:paraId="064B725E" w14:textId="77777777" w:rsidR="00DE4897" w:rsidRPr="008F6866" w:rsidRDefault="00DE4897" w:rsidP="008D668B">
            <w:pPr>
              <w:pBdr>
                <w:top w:val="nil"/>
                <w:left w:val="nil"/>
                <w:bottom w:val="nil"/>
                <w:right w:val="nil"/>
                <w:between w:val="nil"/>
              </w:pBdr>
              <w:spacing w:after="120" w:line="240" w:lineRule="auto"/>
              <w:jc w:val="right"/>
              <w:rPr>
                <w:rFonts w:cstheme="minorHAnsi"/>
                <w:color w:val="000000"/>
                <w:sz w:val="20"/>
                <w:szCs w:val="20"/>
              </w:rPr>
            </w:pPr>
            <w:r w:rsidRPr="008F6866">
              <w:rPr>
                <w:rFonts w:cstheme="minorHAnsi"/>
                <w:color w:val="000000"/>
                <w:sz w:val="20"/>
                <w:szCs w:val="20"/>
              </w:rPr>
              <w:t>0.16</w:t>
            </w:r>
          </w:p>
        </w:tc>
        <w:tc>
          <w:tcPr>
            <w:tcW w:w="1360" w:type="dxa"/>
            <w:tcBorders>
              <w:top w:val="nil"/>
              <w:left w:val="nil"/>
              <w:bottom w:val="nil"/>
              <w:right w:val="nil"/>
            </w:tcBorders>
            <w:shd w:val="clear" w:color="auto" w:fill="auto"/>
          </w:tcPr>
          <w:p w14:paraId="176F43F6"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0.14 – 0.19</w:t>
            </w:r>
          </w:p>
        </w:tc>
        <w:tc>
          <w:tcPr>
            <w:tcW w:w="1200" w:type="dxa"/>
            <w:tcBorders>
              <w:top w:val="nil"/>
              <w:left w:val="nil"/>
              <w:bottom w:val="nil"/>
              <w:right w:val="nil"/>
            </w:tcBorders>
            <w:shd w:val="clear" w:color="auto" w:fill="auto"/>
          </w:tcPr>
          <w:p w14:paraId="228EF69B" w14:textId="77777777" w:rsidR="00DE4897" w:rsidRPr="008F6866" w:rsidRDefault="00DE4897" w:rsidP="008D668B">
            <w:pPr>
              <w:pBdr>
                <w:top w:val="nil"/>
                <w:left w:val="nil"/>
                <w:bottom w:val="nil"/>
                <w:right w:val="nil"/>
                <w:between w:val="nil"/>
              </w:pBdr>
              <w:spacing w:after="120" w:line="240" w:lineRule="auto"/>
              <w:jc w:val="right"/>
              <w:rPr>
                <w:rFonts w:cstheme="minorHAnsi"/>
                <w:b/>
                <w:color w:val="000000"/>
                <w:sz w:val="20"/>
                <w:szCs w:val="20"/>
              </w:rPr>
            </w:pPr>
            <w:r w:rsidRPr="008F6866">
              <w:rPr>
                <w:rFonts w:cstheme="minorHAnsi"/>
                <w:b/>
                <w:color w:val="000000"/>
                <w:sz w:val="20"/>
                <w:szCs w:val="20"/>
              </w:rPr>
              <w:t>&lt;0.001</w:t>
            </w:r>
          </w:p>
        </w:tc>
      </w:tr>
      <w:tr w:rsidR="00DE4897" w:rsidRPr="008F6866" w14:paraId="72570AC4" w14:textId="77777777" w:rsidTr="008D668B">
        <w:trPr>
          <w:trHeight w:val="300"/>
          <w:jc w:val="center"/>
        </w:trPr>
        <w:tc>
          <w:tcPr>
            <w:tcW w:w="3001" w:type="dxa"/>
            <w:tcBorders>
              <w:top w:val="nil"/>
              <w:left w:val="nil"/>
              <w:bottom w:val="nil"/>
              <w:right w:val="nil"/>
            </w:tcBorders>
            <w:shd w:val="clear" w:color="auto" w:fill="auto"/>
          </w:tcPr>
          <w:p w14:paraId="078A89EF"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treatment [Unfenced]</w:t>
            </w:r>
          </w:p>
        </w:tc>
        <w:tc>
          <w:tcPr>
            <w:tcW w:w="1299" w:type="dxa"/>
            <w:gridSpan w:val="2"/>
            <w:tcBorders>
              <w:top w:val="nil"/>
              <w:left w:val="nil"/>
              <w:bottom w:val="nil"/>
              <w:right w:val="nil"/>
            </w:tcBorders>
            <w:shd w:val="clear" w:color="auto" w:fill="auto"/>
          </w:tcPr>
          <w:p w14:paraId="68DA3AC3" w14:textId="77777777" w:rsidR="00DE4897" w:rsidRPr="008F6866" w:rsidRDefault="00DE4897" w:rsidP="008D668B">
            <w:pPr>
              <w:pBdr>
                <w:top w:val="nil"/>
                <w:left w:val="nil"/>
                <w:bottom w:val="nil"/>
                <w:right w:val="nil"/>
                <w:between w:val="nil"/>
              </w:pBdr>
              <w:spacing w:after="120" w:line="240" w:lineRule="auto"/>
              <w:jc w:val="right"/>
              <w:rPr>
                <w:rFonts w:cstheme="minorHAnsi"/>
                <w:color w:val="000000"/>
                <w:sz w:val="20"/>
                <w:szCs w:val="20"/>
              </w:rPr>
            </w:pPr>
            <w:r w:rsidRPr="008F6866">
              <w:rPr>
                <w:rFonts w:cstheme="minorHAnsi"/>
                <w:color w:val="000000"/>
                <w:sz w:val="20"/>
                <w:szCs w:val="20"/>
              </w:rPr>
              <w:t>-9.51</w:t>
            </w:r>
          </w:p>
        </w:tc>
        <w:tc>
          <w:tcPr>
            <w:tcW w:w="1360" w:type="dxa"/>
            <w:tcBorders>
              <w:top w:val="nil"/>
              <w:left w:val="nil"/>
              <w:bottom w:val="nil"/>
              <w:right w:val="nil"/>
            </w:tcBorders>
            <w:shd w:val="clear" w:color="auto" w:fill="auto"/>
          </w:tcPr>
          <w:p w14:paraId="170D39BD"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-12.40 – -6.63</w:t>
            </w:r>
          </w:p>
        </w:tc>
        <w:tc>
          <w:tcPr>
            <w:tcW w:w="1200" w:type="dxa"/>
            <w:tcBorders>
              <w:top w:val="nil"/>
              <w:left w:val="nil"/>
              <w:bottom w:val="nil"/>
              <w:right w:val="nil"/>
            </w:tcBorders>
            <w:shd w:val="clear" w:color="auto" w:fill="auto"/>
          </w:tcPr>
          <w:p w14:paraId="716CB48A" w14:textId="77777777" w:rsidR="00DE4897" w:rsidRPr="008F6866" w:rsidRDefault="00DE4897" w:rsidP="008D668B">
            <w:pPr>
              <w:pBdr>
                <w:top w:val="nil"/>
                <w:left w:val="nil"/>
                <w:bottom w:val="nil"/>
                <w:right w:val="nil"/>
                <w:between w:val="nil"/>
              </w:pBdr>
              <w:spacing w:after="120" w:line="240" w:lineRule="auto"/>
              <w:jc w:val="right"/>
              <w:rPr>
                <w:rFonts w:cstheme="minorHAnsi"/>
                <w:b/>
                <w:color w:val="000000"/>
                <w:sz w:val="20"/>
                <w:szCs w:val="20"/>
              </w:rPr>
            </w:pPr>
            <w:r w:rsidRPr="008F6866">
              <w:rPr>
                <w:rFonts w:cstheme="minorHAnsi"/>
                <w:b/>
                <w:color w:val="000000"/>
                <w:sz w:val="20"/>
                <w:szCs w:val="20"/>
              </w:rPr>
              <w:t>&lt;0.001</w:t>
            </w:r>
          </w:p>
        </w:tc>
      </w:tr>
      <w:tr w:rsidR="00DE4897" w:rsidRPr="008F6866" w14:paraId="7618B002" w14:textId="77777777" w:rsidTr="008D668B">
        <w:trPr>
          <w:trHeight w:val="300"/>
          <w:jc w:val="center"/>
        </w:trPr>
        <w:tc>
          <w:tcPr>
            <w:tcW w:w="3001" w:type="dxa"/>
            <w:tcBorders>
              <w:top w:val="nil"/>
              <w:left w:val="nil"/>
              <w:bottom w:val="nil"/>
              <w:right w:val="nil"/>
            </w:tcBorders>
            <w:shd w:val="clear" w:color="auto" w:fill="auto"/>
          </w:tcPr>
          <w:p w14:paraId="1044EC21"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PC1</w:t>
            </w:r>
          </w:p>
        </w:tc>
        <w:tc>
          <w:tcPr>
            <w:tcW w:w="1299" w:type="dxa"/>
            <w:gridSpan w:val="2"/>
            <w:tcBorders>
              <w:top w:val="nil"/>
              <w:left w:val="nil"/>
              <w:bottom w:val="nil"/>
              <w:right w:val="nil"/>
            </w:tcBorders>
            <w:shd w:val="clear" w:color="auto" w:fill="auto"/>
          </w:tcPr>
          <w:p w14:paraId="3F236942" w14:textId="77777777" w:rsidR="00DE4897" w:rsidRPr="008F6866" w:rsidRDefault="00DE4897" w:rsidP="008D668B">
            <w:pPr>
              <w:pBdr>
                <w:top w:val="nil"/>
                <w:left w:val="nil"/>
                <w:bottom w:val="nil"/>
                <w:right w:val="nil"/>
                <w:between w:val="nil"/>
              </w:pBdr>
              <w:spacing w:after="120" w:line="240" w:lineRule="auto"/>
              <w:jc w:val="right"/>
              <w:rPr>
                <w:rFonts w:cstheme="minorHAnsi"/>
                <w:color w:val="000000"/>
                <w:sz w:val="20"/>
                <w:szCs w:val="20"/>
              </w:rPr>
            </w:pPr>
            <w:r w:rsidRPr="008F6866">
              <w:rPr>
                <w:rFonts w:cstheme="minorHAnsi"/>
                <w:color w:val="000000"/>
                <w:sz w:val="20"/>
                <w:szCs w:val="20"/>
              </w:rPr>
              <w:t>3.32</w:t>
            </w:r>
          </w:p>
        </w:tc>
        <w:tc>
          <w:tcPr>
            <w:tcW w:w="1360" w:type="dxa"/>
            <w:tcBorders>
              <w:top w:val="nil"/>
              <w:left w:val="nil"/>
              <w:bottom w:val="nil"/>
              <w:right w:val="nil"/>
            </w:tcBorders>
            <w:shd w:val="clear" w:color="auto" w:fill="auto"/>
          </w:tcPr>
          <w:p w14:paraId="4C89D674"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1.85 – 4.78</w:t>
            </w:r>
          </w:p>
        </w:tc>
        <w:tc>
          <w:tcPr>
            <w:tcW w:w="1200" w:type="dxa"/>
            <w:tcBorders>
              <w:top w:val="nil"/>
              <w:left w:val="nil"/>
              <w:bottom w:val="nil"/>
              <w:right w:val="nil"/>
            </w:tcBorders>
            <w:shd w:val="clear" w:color="auto" w:fill="auto"/>
          </w:tcPr>
          <w:p w14:paraId="5EF4F2EF" w14:textId="77777777" w:rsidR="00DE4897" w:rsidRPr="008F6866" w:rsidRDefault="00DE4897" w:rsidP="008D668B">
            <w:pPr>
              <w:pBdr>
                <w:top w:val="nil"/>
                <w:left w:val="nil"/>
                <w:bottom w:val="nil"/>
                <w:right w:val="nil"/>
                <w:between w:val="nil"/>
              </w:pBdr>
              <w:spacing w:after="120" w:line="240" w:lineRule="auto"/>
              <w:jc w:val="right"/>
              <w:rPr>
                <w:rFonts w:cstheme="minorHAnsi"/>
                <w:b/>
                <w:color w:val="000000"/>
                <w:sz w:val="20"/>
                <w:szCs w:val="20"/>
              </w:rPr>
            </w:pPr>
            <w:r w:rsidRPr="008F6866">
              <w:rPr>
                <w:rFonts w:cstheme="minorHAnsi"/>
                <w:b/>
                <w:color w:val="000000"/>
                <w:sz w:val="20"/>
                <w:szCs w:val="20"/>
              </w:rPr>
              <w:t>&lt;0.001</w:t>
            </w:r>
          </w:p>
        </w:tc>
      </w:tr>
      <w:tr w:rsidR="00DE4897" w:rsidRPr="008F6866" w14:paraId="31F02371" w14:textId="77777777" w:rsidTr="008D668B">
        <w:trPr>
          <w:trHeight w:val="300"/>
          <w:jc w:val="center"/>
        </w:trPr>
        <w:tc>
          <w:tcPr>
            <w:tcW w:w="3001" w:type="dxa"/>
            <w:tcBorders>
              <w:top w:val="nil"/>
              <w:left w:val="nil"/>
              <w:bottom w:val="nil"/>
              <w:right w:val="nil"/>
            </w:tcBorders>
            <w:shd w:val="clear" w:color="auto" w:fill="auto"/>
          </w:tcPr>
          <w:p w14:paraId="2C25403A"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PC2</w:t>
            </w:r>
          </w:p>
        </w:tc>
        <w:tc>
          <w:tcPr>
            <w:tcW w:w="1299" w:type="dxa"/>
            <w:gridSpan w:val="2"/>
            <w:tcBorders>
              <w:top w:val="nil"/>
              <w:left w:val="nil"/>
              <w:bottom w:val="nil"/>
              <w:right w:val="nil"/>
            </w:tcBorders>
            <w:shd w:val="clear" w:color="auto" w:fill="auto"/>
          </w:tcPr>
          <w:p w14:paraId="2C1DC285" w14:textId="77777777" w:rsidR="00DE4897" w:rsidRPr="008F6866" w:rsidRDefault="00DE4897" w:rsidP="008D668B">
            <w:pPr>
              <w:pBdr>
                <w:top w:val="nil"/>
                <w:left w:val="nil"/>
                <w:bottom w:val="nil"/>
                <w:right w:val="nil"/>
                <w:between w:val="nil"/>
              </w:pBdr>
              <w:spacing w:after="120" w:line="240" w:lineRule="auto"/>
              <w:jc w:val="right"/>
              <w:rPr>
                <w:rFonts w:cstheme="minorHAnsi"/>
                <w:color w:val="000000"/>
                <w:sz w:val="20"/>
                <w:szCs w:val="20"/>
              </w:rPr>
            </w:pPr>
            <w:r w:rsidRPr="008F6866">
              <w:rPr>
                <w:rFonts w:cstheme="minorHAnsi"/>
                <w:color w:val="000000"/>
                <w:sz w:val="20"/>
                <w:szCs w:val="20"/>
              </w:rPr>
              <w:t>-3.37</w:t>
            </w:r>
          </w:p>
        </w:tc>
        <w:tc>
          <w:tcPr>
            <w:tcW w:w="1360" w:type="dxa"/>
            <w:tcBorders>
              <w:top w:val="nil"/>
              <w:left w:val="nil"/>
              <w:bottom w:val="nil"/>
              <w:right w:val="nil"/>
            </w:tcBorders>
            <w:shd w:val="clear" w:color="auto" w:fill="auto"/>
          </w:tcPr>
          <w:p w14:paraId="0CBC2CCE"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-5.06 – -1.69</w:t>
            </w:r>
          </w:p>
        </w:tc>
        <w:tc>
          <w:tcPr>
            <w:tcW w:w="1200" w:type="dxa"/>
            <w:tcBorders>
              <w:top w:val="nil"/>
              <w:left w:val="nil"/>
              <w:bottom w:val="nil"/>
              <w:right w:val="nil"/>
            </w:tcBorders>
            <w:shd w:val="clear" w:color="auto" w:fill="auto"/>
          </w:tcPr>
          <w:p w14:paraId="2A0F8F10" w14:textId="77777777" w:rsidR="00DE4897" w:rsidRPr="008F6866" w:rsidRDefault="00DE4897" w:rsidP="008D668B">
            <w:pPr>
              <w:pBdr>
                <w:top w:val="nil"/>
                <w:left w:val="nil"/>
                <w:bottom w:val="nil"/>
                <w:right w:val="nil"/>
                <w:between w:val="nil"/>
              </w:pBdr>
              <w:spacing w:after="120" w:line="240" w:lineRule="auto"/>
              <w:jc w:val="right"/>
              <w:rPr>
                <w:rFonts w:cstheme="minorHAnsi"/>
                <w:b/>
                <w:color w:val="000000"/>
                <w:sz w:val="20"/>
                <w:szCs w:val="20"/>
              </w:rPr>
            </w:pPr>
            <w:r w:rsidRPr="008F6866">
              <w:rPr>
                <w:rFonts w:cstheme="minorHAnsi"/>
                <w:b/>
                <w:color w:val="000000"/>
                <w:sz w:val="20"/>
                <w:szCs w:val="20"/>
              </w:rPr>
              <w:t>&lt;0.001</w:t>
            </w:r>
          </w:p>
        </w:tc>
      </w:tr>
      <w:tr w:rsidR="00DE4897" w:rsidRPr="008F6866" w14:paraId="695B4F8C" w14:textId="77777777" w:rsidTr="008D668B">
        <w:trPr>
          <w:trHeight w:val="300"/>
          <w:jc w:val="center"/>
        </w:trPr>
        <w:tc>
          <w:tcPr>
            <w:tcW w:w="3001" w:type="dxa"/>
            <w:tcBorders>
              <w:top w:val="nil"/>
              <w:left w:val="nil"/>
              <w:bottom w:val="nil"/>
              <w:right w:val="nil"/>
            </w:tcBorders>
            <w:shd w:val="clear" w:color="auto" w:fill="auto"/>
          </w:tcPr>
          <w:p w14:paraId="648C7C97"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treatment [Unfenced] × PC1</w:t>
            </w:r>
          </w:p>
        </w:tc>
        <w:tc>
          <w:tcPr>
            <w:tcW w:w="1299" w:type="dxa"/>
            <w:gridSpan w:val="2"/>
            <w:tcBorders>
              <w:top w:val="nil"/>
              <w:left w:val="nil"/>
              <w:bottom w:val="nil"/>
              <w:right w:val="nil"/>
            </w:tcBorders>
            <w:shd w:val="clear" w:color="auto" w:fill="auto"/>
          </w:tcPr>
          <w:p w14:paraId="7C94A530" w14:textId="77777777" w:rsidR="00DE4897" w:rsidRPr="008F6866" w:rsidRDefault="00DE4897" w:rsidP="008D668B">
            <w:pPr>
              <w:pBdr>
                <w:top w:val="nil"/>
                <w:left w:val="nil"/>
                <w:bottom w:val="nil"/>
                <w:right w:val="nil"/>
                <w:between w:val="nil"/>
              </w:pBdr>
              <w:spacing w:after="120" w:line="240" w:lineRule="auto"/>
              <w:jc w:val="right"/>
              <w:rPr>
                <w:rFonts w:cstheme="minorHAnsi"/>
                <w:color w:val="000000"/>
                <w:sz w:val="20"/>
                <w:szCs w:val="20"/>
              </w:rPr>
            </w:pPr>
            <w:r w:rsidRPr="008F6866">
              <w:rPr>
                <w:rFonts w:cstheme="minorHAnsi"/>
                <w:color w:val="000000"/>
                <w:sz w:val="20"/>
                <w:szCs w:val="20"/>
              </w:rPr>
              <w:t>-2.43</w:t>
            </w:r>
          </w:p>
        </w:tc>
        <w:tc>
          <w:tcPr>
            <w:tcW w:w="1360" w:type="dxa"/>
            <w:tcBorders>
              <w:top w:val="nil"/>
              <w:left w:val="nil"/>
              <w:bottom w:val="nil"/>
              <w:right w:val="nil"/>
            </w:tcBorders>
            <w:shd w:val="clear" w:color="auto" w:fill="auto"/>
          </w:tcPr>
          <w:p w14:paraId="6D9217B3"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-3.85 – -1.01</w:t>
            </w:r>
          </w:p>
        </w:tc>
        <w:tc>
          <w:tcPr>
            <w:tcW w:w="1200" w:type="dxa"/>
            <w:tcBorders>
              <w:top w:val="nil"/>
              <w:left w:val="nil"/>
              <w:bottom w:val="nil"/>
              <w:right w:val="nil"/>
            </w:tcBorders>
            <w:shd w:val="clear" w:color="auto" w:fill="auto"/>
          </w:tcPr>
          <w:p w14:paraId="18A41236" w14:textId="77777777" w:rsidR="00DE4897" w:rsidRPr="008F6866" w:rsidRDefault="00DE4897" w:rsidP="008D668B">
            <w:pPr>
              <w:pBdr>
                <w:top w:val="nil"/>
                <w:left w:val="nil"/>
                <w:bottom w:val="nil"/>
                <w:right w:val="nil"/>
                <w:between w:val="nil"/>
              </w:pBdr>
              <w:spacing w:after="120" w:line="240" w:lineRule="auto"/>
              <w:jc w:val="right"/>
              <w:rPr>
                <w:rFonts w:cstheme="minorHAnsi"/>
                <w:b/>
                <w:color w:val="000000"/>
                <w:sz w:val="20"/>
                <w:szCs w:val="20"/>
              </w:rPr>
            </w:pPr>
            <w:r w:rsidRPr="008F6866">
              <w:rPr>
                <w:rFonts w:cstheme="minorHAnsi"/>
                <w:b/>
                <w:color w:val="000000"/>
                <w:sz w:val="20"/>
                <w:szCs w:val="20"/>
              </w:rPr>
              <w:t>0.001</w:t>
            </w:r>
          </w:p>
        </w:tc>
      </w:tr>
      <w:tr w:rsidR="00DE4897" w:rsidRPr="008F6866" w14:paraId="686E6F09" w14:textId="77777777" w:rsidTr="008D668B">
        <w:trPr>
          <w:trHeight w:val="300"/>
          <w:jc w:val="center"/>
        </w:trPr>
        <w:tc>
          <w:tcPr>
            <w:tcW w:w="3001" w:type="dxa"/>
            <w:tcBorders>
              <w:top w:val="nil"/>
              <w:left w:val="nil"/>
              <w:bottom w:val="nil"/>
              <w:right w:val="nil"/>
            </w:tcBorders>
            <w:shd w:val="clear" w:color="auto" w:fill="auto"/>
          </w:tcPr>
          <w:p w14:paraId="6F0794F5"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treatment [Unfenced] × PC2</w:t>
            </w:r>
          </w:p>
        </w:tc>
        <w:tc>
          <w:tcPr>
            <w:tcW w:w="1299" w:type="dxa"/>
            <w:gridSpan w:val="2"/>
            <w:tcBorders>
              <w:top w:val="nil"/>
              <w:left w:val="nil"/>
              <w:bottom w:val="nil"/>
              <w:right w:val="nil"/>
            </w:tcBorders>
            <w:shd w:val="clear" w:color="auto" w:fill="auto"/>
          </w:tcPr>
          <w:p w14:paraId="10EA78D0" w14:textId="77777777" w:rsidR="00DE4897" w:rsidRPr="008F6866" w:rsidRDefault="00DE4897" w:rsidP="008D668B">
            <w:pPr>
              <w:pBdr>
                <w:top w:val="nil"/>
                <w:left w:val="nil"/>
                <w:bottom w:val="nil"/>
                <w:right w:val="nil"/>
                <w:between w:val="nil"/>
              </w:pBdr>
              <w:spacing w:after="120" w:line="240" w:lineRule="auto"/>
              <w:jc w:val="right"/>
              <w:rPr>
                <w:rFonts w:cstheme="minorHAnsi"/>
                <w:color w:val="000000"/>
                <w:sz w:val="20"/>
                <w:szCs w:val="20"/>
              </w:rPr>
            </w:pPr>
            <w:r w:rsidRPr="008F6866">
              <w:rPr>
                <w:rFonts w:cstheme="minorHAnsi"/>
                <w:color w:val="000000"/>
                <w:sz w:val="20"/>
                <w:szCs w:val="20"/>
              </w:rPr>
              <w:t>0.91</w:t>
            </w:r>
          </w:p>
        </w:tc>
        <w:tc>
          <w:tcPr>
            <w:tcW w:w="1360" w:type="dxa"/>
            <w:tcBorders>
              <w:top w:val="nil"/>
              <w:left w:val="nil"/>
              <w:bottom w:val="nil"/>
              <w:right w:val="nil"/>
            </w:tcBorders>
            <w:shd w:val="clear" w:color="auto" w:fill="auto"/>
          </w:tcPr>
          <w:p w14:paraId="0E297624" w14:textId="77777777" w:rsidR="00DE4897" w:rsidRPr="008F6866" w:rsidRDefault="00DE4897" w:rsidP="008D668B">
            <w:pPr>
              <w:pBdr>
                <w:top w:val="nil"/>
                <w:left w:val="nil"/>
                <w:bottom w:val="nil"/>
                <w:right w:val="nil"/>
                <w:between w:val="nil"/>
              </w:pBdr>
              <w:spacing w:after="120" w:line="240" w:lineRule="auto"/>
              <w:jc w:val="center"/>
              <w:rPr>
                <w:rFonts w:cstheme="minorHAnsi"/>
                <w:color w:val="000000"/>
                <w:sz w:val="20"/>
                <w:szCs w:val="20"/>
              </w:rPr>
            </w:pPr>
            <w:r w:rsidRPr="008F6866">
              <w:rPr>
                <w:rFonts w:cstheme="minorHAnsi"/>
                <w:color w:val="000000"/>
                <w:sz w:val="20"/>
                <w:szCs w:val="20"/>
              </w:rPr>
              <w:t>-0.71 – 2.53</w:t>
            </w:r>
          </w:p>
        </w:tc>
        <w:tc>
          <w:tcPr>
            <w:tcW w:w="1200" w:type="dxa"/>
            <w:tcBorders>
              <w:top w:val="nil"/>
              <w:left w:val="nil"/>
              <w:bottom w:val="nil"/>
              <w:right w:val="nil"/>
            </w:tcBorders>
            <w:shd w:val="clear" w:color="auto" w:fill="auto"/>
          </w:tcPr>
          <w:p w14:paraId="67A60DDB" w14:textId="77777777" w:rsidR="00DE4897" w:rsidRPr="008F6866" w:rsidRDefault="00DE4897" w:rsidP="008D668B">
            <w:pPr>
              <w:pBdr>
                <w:top w:val="nil"/>
                <w:left w:val="nil"/>
                <w:bottom w:val="nil"/>
                <w:right w:val="nil"/>
                <w:between w:val="nil"/>
              </w:pBdr>
              <w:spacing w:after="120" w:line="240" w:lineRule="auto"/>
              <w:jc w:val="right"/>
              <w:rPr>
                <w:rFonts w:cstheme="minorHAnsi"/>
                <w:color w:val="000000"/>
                <w:sz w:val="20"/>
                <w:szCs w:val="20"/>
              </w:rPr>
            </w:pPr>
            <w:r w:rsidRPr="008F6866">
              <w:rPr>
                <w:rFonts w:cstheme="minorHAnsi"/>
                <w:color w:val="000000"/>
                <w:sz w:val="20"/>
                <w:szCs w:val="20"/>
              </w:rPr>
              <w:t>0.271</w:t>
            </w:r>
          </w:p>
        </w:tc>
      </w:tr>
      <w:tr w:rsidR="00DE4897" w:rsidRPr="008F6866" w14:paraId="65C96B6F" w14:textId="77777777" w:rsidTr="008D668B">
        <w:trPr>
          <w:trHeight w:val="300"/>
          <w:jc w:val="center"/>
        </w:trPr>
        <w:tc>
          <w:tcPr>
            <w:tcW w:w="6860" w:type="dxa"/>
            <w:gridSpan w:val="5"/>
            <w:tcBorders>
              <w:top w:val="single" w:sz="4" w:space="0" w:color="000000"/>
              <w:left w:val="nil"/>
              <w:bottom w:val="nil"/>
              <w:right w:val="nil"/>
            </w:tcBorders>
            <w:shd w:val="clear" w:color="auto" w:fill="auto"/>
            <w:vAlign w:val="center"/>
          </w:tcPr>
          <w:p w14:paraId="6FA69C5C" w14:textId="77777777" w:rsidR="00DE4897" w:rsidRPr="008F6866" w:rsidRDefault="00DE4897" w:rsidP="008D668B">
            <w:pPr>
              <w:pBdr>
                <w:top w:val="nil"/>
                <w:left w:val="nil"/>
                <w:bottom w:val="nil"/>
                <w:right w:val="nil"/>
                <w:between w:val="nil"/>
              </w:pBdr>
              <w:spacing w:after="120" w:line="240" w:lineRule="auto"/>
              <w:rPr>
                <w:rFonts w:cstheme="minorHAnsi"/>
                <w:b/>
                <w:color w:val="000000"/>
                <w:sz w:val="20"/>
                <w:szCs w:val="20"/>
              </w:rPr>
            </w:pPr>
            <w:r w:rsidRPr="008F6866">
              <w:rPr>
                <w:rFonts w:cstheme="minorHAnsi"/>
                <w:b/>
                <w:color w:val="000000"/>
                <w:sz w:val="20"/>
                <w:szCs w:val="20"/>
              </w:rPr>
              <w:t>Random Effects</w:t>
            </w:r>
          </w:p>
        </w:tc>
      </w:tr>
      <w:tr w:rsidR="00DE4897" w:rsidRPr="008F6866" w14:paraId="4A005C15" w14:textId="77777777" w:rsidTr="008D668B">
        <w:trPr>
          <w:trHeight w:val="360"/>
          <w:jc w:val="center"/>
        </w:trPr>
        <w:tc>
          <w:tcPr>
            <w:tcW w:w="3001" w:type="dxa"/>
            <w:tcBorders>
              <w:top w:val="nil"/>
              <w:left w:val="nil"/>
              <w:bottom w:val="nil"/>
              <w:right w:val="nil"/>
            </w:tcBorders>
            <w:shd w:val="clear" w:color="auto" w:fill="auto"/>
          </w:tcPr>
          <w:p w14:paraId="7B2B5E75"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σ</w:t>
            </w:r>
            <w:r w:rsidRPr="008F6866">
              <w:rPr>
                <w:rFonts w:cstheme="minorHAnsi"/>
                <w:color w:val="000000"/>
                <w:sz w:val="20"/>
                <w:szCs w:val="20"/>
                <w:vertAlign w:val="superscript"/>
              </w:rPr>
              <w:t>2</w:t>
            </w:r>
          </w:p>
        </w:tc>
        <w:tc>
          <w:tcPr>
            <w:tcW w:w="1276" w:type="dxa"/>
            <w:tcBorders>
              <w:top w:val="nil"/>
              <w:left w:val="nil"/>
              <w:bottom w:val="nil"/>
              <w:right w:val="nil"/>
            </w:tcBorders>
            <w:shd w:val="clear" w:color="auto" w:fill="auto"/>
          </w:tcPr>
          <w:p w14:paraId="49D3A63D" w14:textId="77777777" w:rsidR="00DE4897" w:rsidRPr="008F6866" w:rsidRDefault="00DE4897" w:rsidP="008D668B">
            <w:pPr>
              <w:pBdr>
                <w:top w:val="nil"/>
                <w:left w:val="nil"/>
                <w:bottom w:val="nil"/>
                <w:right w:val="nil"/>
                <w:between w:val="nil"/>
              </w:pBdr>
              <w:spacing w:after="120" w:line="240" w:lineRule="auto"/>
              <w:jc w:val="right"/>
              <w:rPr>
                <w:rFonts w:cstheme="minorHAnsi"/>
                <w:color w:val="000000"/>
                <w:sz w:val="20"/>
                <w:szCs w:val="20"/>
              </w:rPr>
            </w:pPr>
            <w:r w:rsidRPr="008F6866">
              <w:rPr>
                <w:rFonts w:cstheme="minorHAnsi"/>
                <w:color w:val="000000"/>
                <w:sz w:val="20"/>
                <w:szCs w:val="20"/>
              </w:rPr>
              <w:t>739.12</w:t>
            </w:r>
          </w:p>
        </w:tc>
        <w:tc>
          <w:tcPr>
            <w:tcW w:w="2583" w:type="dxa"/>
            <w:gridSpan w:val="3"/>
            <w:tcBorders>
              <w:top w:val="nil"/>
              <w:left w:val="nil"/>
              <w:bottom w:val="nil"/>
              <w:right w:val="nil"/>
            </w:tcBorders>
            <w:shd w:val="clear" w:color="auto" w:fill="auto"/>
          </w:tcPr>
          <w:p w14:paraId="579D5630"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p>
        </w:tc>
      </w:tr>
      <w:tr w:rsidR="00DE4897" w:rsidRPr="008F6866" w14:paraId="1C1EDC48" w14:textId="77777777" w:rsidTr="008D668B">
        <w:trPr>
          <w:trHeight w:val="330"/>
          <w:jc w:val="center"/>
        </w:trPr>
        <w:tc>
          <w:tcPr>
            <w:tcW w:w="3001" w:type="dxa"/>
            <w:tcBorders>
              <w:top w:val="nil"/>
              <w:left w:val="nil"/>
              <w:bottom w:val="nil"/>
              <w:right w:val="nil"/>
            </w:tcBorders>
            <w:shd w:val="clear" w:color="auto" w:fill="auto"/>
          </w:tcPr>
          <w:p w14:paraId="0AD97A02"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τ</w:t>
            </w:r>
            <w:r w:rsidRPr="008F6866">
              <w:rPr>
                <w:rFonts w:cstheme="minorHAnsi"/>
                <w:color w:val="000000"/>
                <w:sz w:val="20"/>
                <w:szCs w:val="20"/>
                <w:vertAlign w:val="subscript"/>
              </w:rPr>
              <w:t>00</w:t>
            </w:r>
            <w:r w:rsidRPr="008F6866">
              <w:rPr>
                <w:rFonts w:cstheme="minorHAnsi"/>
                <w:color w:val="000000"/>
                <w:sz w:val="20"/>
                <w:szCs w:val="20"/>
              </w:rPr>
              <w:t> </w:t>
            </w:r>
            <w:r w:rsidRPr="008F6866">
              <w:rPr>
                <w:rFonts w:cstheme="minorHAnsi"/>
                <w:color w:val="000000"/>
                <w:sz w:val="20"/>
                <w:szCs w:val="20"/>
                <w:vertAlign w:val="subscript"/>
              </w:rPr>
              <w:t>plot</w:t>
            </w:r>
          </w:p>
        </w:tc>
        <w:tc>
          <w:tcPr>
            <w:tcW w:w="1276" w:type="dxa"/>
            <w:tcBorders>
              <w:top w:val="nil"/>
              <w:left w:val="nil"/>
              <w:bottom w:val="nil"/>
              <w:right w:val="nil"/>
            </w:tcBorders>
            <w:shd w:val="clear" w:color="auto" w:fill="auto"/>
          </w:tcPr>
          <w:p w14:paraId="542A532D" w14:textId="77777777" w:rsidR="00DE4897" w:rsidRPr="008F6866" w:rsidRDefault="00DE4897" w:rsidP="008D668B">
            <w:pPr>
              <w:pBdr>
                <w:top w:val="nil"/>
                <w:left w:val="nil"/>
                <w:bottom w:val="nil"/>
                <w:right w:val="nil"/>
                <w:between w:val="nil"/>
              </w:pBdr>
              <w:spacing w:after="120" w:line="240" w:lineRule="auto"/>
              <w:jc w:val="right"/>
              <w:rPr>
                <w:rFonts w:cstheme="minorHAnsi"/>
                <w:color w:val="000000"/>
                <w:sz w:val="20"/>
                <w:szCs w:val="20"/>
              </w:rPr>
            </w:pPr>
            <w:r w:rsidRPr="008F6866">
              <w:rPr>
                <w:rFonts w:cstheme="minorHAnsi"/>
                <w:color w:val="000000"/>
                <w:sz w:val="20"/>
                <w:szCs w:val="20"/>
              </w:rPr>
              <w:t>842.15</w:t>
            </w:r>
          </w:p>
        </w:tc>
        <w:tc>
          <w:tcPr>
            <w:tcW w:w="2583" w:type="dxa"/>
            <w:gridSpan w:val="3"/>
            <w:tcBorders>
              <w:top w:val="nil"/>
              <w:left w:val="nil"/>
              <w:bottom w:val="nil"/>
              <w:right w:val="nil"/>
            </w:tcBorders>
            <w:shd w:val="clear" w:color="auto" w:fill="auto"/>
          </w:tcPr>
          <w:p w14:paraId="76C5C4E1"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p>
        </w:tc>
      </w:tr>
      <w:tr w:rsidR="00DE4897" w:rsidRPr="008F6866" w14:paraId="3269B1D0" w14:textId="77777777" w:rsidTr="008D668B">
        <w:trPr>
          <w:trHeight w:val="300"/>
          <w:jc w:val="center"/>
        </w:trPr>
        <w:tc>
          <w:tcPr>
            <w:tcW w:w="3001" w:type="dxa"/>
            <w:tcBorders>
              <w:top w:val="nil"/>
              <w:left w:val="nil"/>
              <w:bottom w:val="nil"/>
              <w:right w:val="nil"/>
            </w:tcBorders>
            <w:shd w:val="clear" w:color="auto" w:fill="auto"/>
          </w:tcPr>
          <w:p w14:paraId="66F58966"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ICC</w:t>
            </w:r>
          </w:p>
        </w:tc>
        <w:tc>
          <w:tcPr>
            <w:tcW w:w="1276" w:type="dxa"/>
            <w:tcBorders>
              <w:top w:val="nil"/>
              <w:left w:val="nil"/>
              <w:bottom w:val="nil"/>
              <w:right w:val="nil"/>
            </w:tcBorders>
            <w:shd w:val="clear" w:color="auto" w:fill="auto"/>
          </w:tcPr>
          <w:p w14:paraId="74A506B0" w14:textId="77777777" w:rsidR="00DE4897" w:rsidRPr="008F6866" w:rsidRDefault="00DE4897" w:rsidP="008D668B">
            <w:pPr>
              <w:pBdr>
                <w:top w:val="nil"/>
                <w:left w:val="nil"/>
                <w:bottom w:val="nil"/>
                <w:right w:val="nil"/>
                <w:between w:val="nil"/>
              </w:pBdr>
              <w:spacing w:after="120" w:line="240" w:lineRule="auto"/>
              <w:jc w:val="right"/>
              <w:rPr>
                <w:rFonts w:cstheme="minorHAnsi"/>
                <w:color w:val="000000"/>
                <w:sz w:val="20"/>
                <w:szCs w:val="20"/>
              </w:rPr>
            </w:pPr>
            <w:r w:rsidRPr="008F6866">
              <w:rPr>
                <w:rFonts w:cstheme="minorHAnsi"/>
                <w:color w:val="000000"/>
                <w:sz w:val="20"/>
                <w:szCs w:val="20"/>
              </w:rPr>
              <w:t>0.53</w:t>
            </w:r>
          </w:p>
        </w:tc>
        <w:tc>
          <w:tcPr>
            <w:tcW w:w="2583" w:type="dxa"/>
            <w:gridSpan w:val="3"/>
            <w:tcBorders>
              <w:top w:val="nil"/>
              <w:left w:val="nil"/>
              <w:bottom w:val="nil"/>
              <w:right w:val="nil"/>
            </w:tcBorders>
            <w:shd w:val="clear" w:color="auto" w:fill="auto"/>
          </w:tcPr>
          <w:p w14:paraId="79FE78B5"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p>
        </w:tc>
      </w:tr>
      <w:tr w:rsidR="00DE4897" w:rsidRPr="008F6866" w14:paraId="268E64AA" w14:textId="77777777" w:rsidTr="008D668B">
        <w:trPr>
          <w:trHeight w:val="345"/>
          <w:jc w:val="center"/>
        </w:trPr>
        <w:tc>
          <w:tcPr>
            <w:tcW w:w="3001" w:type="dxa"/>
            <w:tcBorders>
              <w:top w:val="nil"/>
              <w:left w:val="nil"/>
              <w:bottom w:val="nil"/>
              <w:right w:val="nil"/>
            </w:tcBorders>
            <w:shd w:val="clear" w:color="auto" w:fill="auto"/>
          </w:tcPr>
          <w:p w14:paraId="1BD74E5C"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N </w:t>
            </w:r>
            <w:r w:rsidRPr="008F6866">
              <w:rPr>
                <w:rFonts w:cstheme="minorHAnsi"/>
                <w:color w:val="000000"/>
                <w:sz w:val="20"/>
                <w:szCs w:val="20"/>
                <w:vertAlign w:val="subscript"/>
              </w:rPr>
              <w:t>plot</w:t>
            </w:r>
          </w:p>
        </w:tc>
        <w:tc>
          <w:tcPr>
            <w:tcW w:w="1276" w:type="dxa"/>
            <w:tcBorders>
              <w:top w:val="nil"/>
              <w:left w:val="nil"/>
              <w:bottom w:val="single" w:sz="8" w:space="0" w:color="000000"/>
              <w:right w:val="nil"/>
            </w:tcBorders>
            <w:shd w:val="clear" w:color="auto" w:fill="auto"/>
          </w:tcPr>
          <w:p w14:paraId="2DE5D213" w14:textId="77777777" w:rsidR="00DE4897" w:rsidRPr="008F6866" w:rsidRDefault="00DE4897" w:rsidP="008D668B">
            <w:pPr>
              <w:pBdr>
                <w:top w:val="nil"/>
                <w:left w:val="nil"/>
                <w:bottom w:val="nil"/>
                <w:right w:val="nil"/>
                <w:between w:val="nil"/>
              </w:pBdr>
              <w:spacing w:after="120" w:line="240" w:lineRule="auto"/>
              <w:jc w:val="right"/>
              <w:rPr>
                <w:rFonts w:cstheme="minorHAnsi"/>
                <w:color w:val="000000"/>
                <w:sz w:val="20"/>
                <w:szCs w:val="20"/>
              </w:rPr>
            </w:pPr>
            <w:r w:rsidRPr="008F6866">
              <w:rPr>
                <w:rFonts w:cstheme="minorHAnsi"/>
                <w:color w:val="000000"/>
                <w:sz w:val="20"/>
                <w:szCs w:val="20"/>
              </w:rPr>
              <w:t>689</w:t>
            </w:r>
          </w:p>
        </w:tc>
        <w:tc>
          <w:tcPr>
            <w:tcW w:w="2583" w:type="dxa"/>
            <w:gridSpan w:val="3"/>
            <w:tcBorders>
              <w:top w:val="nil"/>
              <w:left w:val="nil"/>
              <w:bottom w:val="single" w:sz="8" w:space="0" w:color="000000"/>
              <w:right w:val="nil"/>
            </w:tcBorders>
            <w:shd w:val="clear" w:color="auto" w:fill="auto"/>
          </w:tcPr>
          <w:p w14:paraId="64B8F4A6"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p>
        </w:tc>
      </w:tr>
      <w:tr w:rsidR="00DE4897" w:rsidRPr="008F6866" w14:paraId="72393F01" w14:textId="77777777" w:rsidTr="008D668B">
        <w:trPr>
          <w:trHeight w:val="300"/>
          <w:jc w:val="center"/>
        </w:trPr>
        <w:tc>
          <w:tcPr>
            <w:tcW w:w="3001" w:type="dxa"/>
            <w:tcBorders>
              <w:top w:val="single" w:sz="8" w:space="0" w:color="000000"/>
              <w:left w:val="nil"/>
              <w:bottom w:val="nil"/>
              <w:right w:val="nil"/>
            </w:tcBorders>
            <w:shd w:val="clear" w:color="auto" w:fill="auto"/>
          </w:tcPr>
          <w:p w14:paraId="3FB897DD"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Observations</w:t>
            </w:r>
          </w:p>
        </w:tc>
        <w:tc>
          <w:tcPr>
            <w:tcW w:w="1276" w:type="dxa"/>
            <w:tcBorders>
              <w:top w:val="single" w:sz="8" w:space="0" w:color="000000"/>
              <w:left w:val="nil"/>
              <w:bottom w:val="nil"/>
              <w:right w:val="nil"/>
            </w:tcBorders>
            <w:shd w:val="clear" w:color="auto" w:fill="auto"/>
          </w:tcPr>
          <w:p w14:paraId="27A6C56A" w14:textId="77777777" w:rsidR="00DE4897" w:rsidRPr="008F6866" w:rsidRDefault="00DE4897" w:rsidP="008D668B">
            <w:pPr>
              <w:pBdr>
                <w:top w:val="nil"/>
                <w:left w:val="nil"/>
                <w:bottom w:val="nil"/>
                <w:right w:val="nil"/>
                <w:between w:val="nil"/>
              </w:pBdr>
              <w:spacing w:after="120" w:line="240" w:lineRule="auto"/>
              <w:jc w:val="right"/>
              <w:rPr>
                <w:rFonts w:cstheme="minorHAnsi"/>
                <w:color w:val="000000"/>
                <w:sz w:val="20"/>
                <w:szCs w:val="20"/>
              </w:rPr>
            </w:pPr>
            <w:r w:rsidRPr="008F6866">
              <w:rPr>
                <w:rFonts w:cstheme="minorHAnsi"/>
                <w:color w:val="000000"/>
                <w:sz w:val="20"/>
                <w:szCs w:val="20"/>
              </w:rPr>
              <w:t>1373</w:t>
            </w:r>
          </w:p>
        </w:tc>
        <w:tc>
          <w:tcPr>
            <w:tcW w:w="2583" w:type="dxa"/>
            <w:gridSpan w:val="3"/>
            <w:tcBorders>
              <w:top w:val="single" w:sz="8" w:space="0" w:color="000000"/>
              <w:left w:val="nil"/>
              <w:bottom w:val="nil"/>
              <w:right w:val="nil"/>
            </w:tcBorders>
            <w:shd w:val="clear" w:color="auto" w:fill="auto"/>
          </w:tcPr>
          <w:p w14:paraId="43F03BF7"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p>
        </w:tc>
      </w:tr>
      <w:tr w:rsidR="00DE4897" w:rsidRPr="008F6866" w14:paraId="38B8B3FF" w14:textId="77777777" w:rsidTr="008D668B">
        <w:trPr>
          <w:trHeight w:val="375"/>
          <w:jc w:val="center"/>
        </w:trPr>
        <w:tc>
          <w:tcPr>
            <w:tcW w:w="3001" w:type="dxa"/>
            <w:tcBorders>
              <w:top w:val="nil"/>
              <w:left w:val="nil"/>
              <w:bottom w:val="single" w:sz="12" w:space="0" w:color="000000"/>
              <w:right w:val="nil"/>
            </w:tcBorders>
            <w:shd w:val="clear" w:color="auto" w:fill="auto"/>
          </w:tcPr>
          <w:p w14:paraId="1933061F"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r w:rsidRPr="008F6866">
              <w:rPr>
                <w:rFonts w:cstheme="minorHAnsi"/>
                <w:color w:val="000000"/>
                <w:sz w:val="20"/>
                <w:szCs w:val="20"/>
              </w:rPr>
              <w:t>Marginal R</w:t>
            </w:r>
            <w:r w:rsidRPr="008F6866">
              <w:rPr>
                <w:rFonts w:cstheme="minorHAnsi"/>
                <w:color w:val="000000"/>
                <w:sz w:val="20"/>
                <w:szCs w:val="20"/>
                <w:vertAlign w:val="superscript"/>
              </w:rPr>
              <w:t>2</w:t>
            </w:r>
            <w:r w:rsidRPr="008F6866">
              <w:rPr>
                <w:rFonts w:cstheme="minorHAnsi"/>
                <w:color w:val="000000"/>
                <w:sz w:val="20"/>
                <w:szCs w:val="20"/>
              </w:rPr>
              <w:t> / Conditional R</w:t>
            </w:r>
            <w:r w:rsidRPr="008F6866">
              <w:rPr>
                <w:rFonts w:cstheme="minorHAnsi"/>
                <w:color w:val="000000"/>
                <w:sz w:val="20"/>
                <w:szCs w:val="20"/>
                <w:vertAlign w:val="superscript"/>
              </w:rPr>
              <w:t>2</w:t>
            </w:r>
          </w:p>
        </w:tc>
        <w:tc>
          <w:tcPr>
            <w:tcW w:w="1276" w:type="dxa"/>
            <w:tcBorders>
              <w:top w:val="nil"/>
              <w:left w:val="nil"/>
              <w:bottom w:val="single" w:sz="12" w:space="0" w:color="000000"/>
              <w:right w:val="nil"/>
            </w:tcBorders>
            <w:shd w:val="clear" w:color="auto" w:fill="auto"/>
          </w:tcPr>
          <w:p w14:paraId="557E975F" w14:textId="77777777" w:rsidR="00DE4897" w:rsidRPr="008F6866" w:rsidRDefault="00DE4897" w:rsidP="008D668B">
            <w:pPr>
              <w:pBdr>
                <w:top w:val="nil"/>
                <w:left w:val="nil"/>
                <w:bottom w:val="nil"/>
                <w:right w:val="nil"/>
                <w:between w:val="nil"/>
              </w:pBdr>
              <w:spacing w:after="120" w:line="240" w:lineRule="auto"/>
              <w:jc w:val="right"/>
              <w:rPr>
                <w:rFonts w:cstheme="minorHAnsi"/>
                <w:color w:val="000000"/>
                <w:sz w:val="20"/>
                <w:szCs w:val="20"/>
              </w:rPr>
            </w:pPr>
            <w:r w:rsidRPr="008F6866">
              <w:rPr>
                <w:rFonts w:cstheme="minorHAnsi"/>
                <w:color w:val="000000"/>
                <w:sz w:val="20"/>
                <w:szCs w:val="20"/>
              </w:rPr>
              <w:t>0.140 / 0.598</w:t>
            </w:r>
          </w:p>
        </w:tc>
        <w:tc>
          <w:tcPr>
            <w:tcW w:w="2583" w:type="dxa"/>
            <w:gridSpan w:val="3"/>
            <w:tcBorders>
              <w:top w:val="nil"/>
              <w:left w:val="nil"/>
              <w:bottom w:val="single" w:sz="12" w:space="0" w:color="000000"/>
              <w:right w:val="nil"/>
            </w:tcBorders>
            <w:shd w:val="clear" w:color="auto" w:fill="auto"/>
          </w:tcPr>
          <w:p w14:paraId="7481F59E" w14:textId="77777777" w:rsidR="00DE4897" w:rsidRPr="008F6866" w:rsidRDefault="00DE4897" w:rsidP="008D668B">
            <w:pPr>
              <w:pBdr>
                <w:top w:val="nil"/>
                <w:left w:val="nil"/>
                <w:bottom w:val="nil"/>
                <w:right w:val="nil"/>
                <w:between w:val="nil"/>
              </w:pBdr>
              <w:spacing w:after="120" w:line="240" w:lineRule="auto"/>
              <w:jc w:val="both"/>
              <w:rPr>
                <w:rFonts w:cstheme="minorHAnsi"/>
                <w:color w:val="000000"/>
                <w:sz w:val="20"/>
                <w:szCs w:val="20"/>
              </w:rPr>
            </w:pPr>
          </w:p>
        </w:tc>
      </w:tr>
    </w:tbl>
    <w:p w14:paraId="20DE1262" w14:textId="77777777" w:rsidR="00DE4897" w:rsidRPr="008F6866" w:rsidRDefault="00DE4897" w:rsidP="00DE4897">
      <w:pPr>
        <w:spacing w:after="60"/>
        <w:rPr>
          <w:rFonts w:ascii="Calibri" w:eastAsia="Calibri" w:hAnsi="Calibri" w:cs="Calibri"/>
          <w:i/>
        </w:rPr>
      </w:pPr>
    </w:p>
    <w:p w14:paraId="2A9E7136" w14:textId="3CBD0119" w:rsidR="00DE4897" w:rsidRPr="008F6866" w:rsidRDefault="00DE4897" w:rsidP="00CA1107">
      <w:pPr>
        <w:spacing w:after="120" w:line="300" w:lineRule="auto"/>
        <w:jc w:val="both"/>
        <w:rPr>
          <w:rFonts w:ascii="Calibri" w:eastAsia="Calibri" w:hAnsi="Calibri" w:cs="Calibri"/>
        </w:rPr>
      </w:pPr>
      <w:r w:rsidRPr="008F6866">
        <w:rPr>
          <w:rFonts w:ascii="Calibri" w:eastAsia="Calibri" w:hAnsi="Calibri" w:cs="Calibri"/>
        </w:rPr>
        <w:t xml:space="preserve">With this work, the impacts of browsing can now be modelled using the mean species-specific reduction of height increment, i.e., the estimates of parameter </w:t>
      </w:r>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sp,t</m:t>
            </m:r>
          </m:sub>
        </m:sSub>
      </m:oMath>
      <w:r w:rsidRPr="008F6866">
        <w:rPr>
          <w:rFonts w:ascii="Calibri" w:eastAsia="Calibri" w:hAnsi="Calibri" w:cs="Calibri"/>
        </w:rPr>
        <w:t xml:space="preserve"> of </w:t>
      </w:r>
      <w:r w:rsidR="00CA1107" w:rsidRPr="008F6866">
        <w:rPr>
          <w:rFonts w:ascii="Calibri" w:eastAsia="Calibri" w:hAnsi="Calibri" w:cs="Calibri"/>
        </w:rPr>
        <w:t>E</w:t>
      </w:r>
      <w:r w:rsidRPr="008F6866">
        <w:rPr>
          <w:rFonts w:ascii="Calibri" w:eastAsia="Calibri" w:hAnsi="Calibri" w:cs="Calibri"/>
        </w:rPr>
        <w:t xml:space="preserve">quation </w:t>
      </w:r>
      <w:r w:rsidR="00CA1107" w:rsidRPr="008F6866">
        <w:rPr>
          <w:rFonts w:ascii="Calibri" w:eastAsia="Calibri" w:hAnsi="Calibri" w:cs="Calibri"/>
        </w:rPr>
        <w:t>4</w:t>
      </w:r>
      <w:r w:rsidRPr="008F6866">
        <w:rPr>
          <w:rFonts w:ascii="Calibri" w:eastAsia="Calibri" w:hAnsi="Calibri" w:cs="Calibri"/>
        </w:rPr>
        <w:t xml:space="preserve">.6. This reduction corresponds to the mean height increment reduction (of species highest seedling) observed throughout the study area for relatively small seedlings (&lt; 60 cm). Eventually, for taller seedlings, the relative value of the height increment reduction could be used instead of the absolute value. The effect of environmental conditions and ungulate density could be considered fitting species-specific model of the height increment of unprotected seedlings (Equation </w:t>
      </w:r>
      <w:r w:rsidR="00CA1107" w:rsidRPr="008F6866">
        <w:rPr>
          <w:rFonts w:ascii="Calibri" w:eastAsia="Calibri" w:hAnsi="Calibri" w:cs="Calibri"/>
        </w:rPr>
        <w:t>4</w:t>
      </w:r>
      <w:r w:rsidRPr="008F6866">
        <w:rPr>
          <w:rFonts w:ascii="Calibri" w:eastAsia="Calibri" w:hAnsi="Calibri" w:cs="Calibri"/>
        </w:rPr>
        <w:t>.9, e.g.,</w:t>
      </w:r>
      <w:r w:rsidR="008C75F4" w:rsidRPr="008F6866">
        <w:rPr>
          <w:rFonts w:ascii="Calibri" w:eastAsia="Calibri" w:hAnsi="Calibri" w:cs="Calibri"/>
        </w:rPr>
        <w:t xml:space="preserve"> </w:t>
      </w:r>
      <w:r w:rsidR="008C75F4" w:rsidRPr="008F6866">
        <w:rPr>
          <w:rFonts w:ascii="Calibri" w:eastAsia="Calibri" w:hAnsi="Calibri" w:cs="Calibri"/>
        </w:rPr>
        <w:fldChar w:fldCharType="begin"/>
      </w:r>
      <w:r w:rsidR="008C75F4" w:rsidRPr="008F6866">
        <w:rPr>
          <w:rFonts w:ascii="Calibri" w:eastAsia="Calibri" w:hAnsi="Calibri" w:cs="Calibri"/>
        </w:rPr>
        <w:instrText xml:space="preserve"> REF _Ref195653152 \h  \* MERGEFORMAT </w:instrText>
      </w:r>
      <w:r w:rsidR="008C75F4" w:rsidRPr="008F6866">
        <w:rPr>
          <w:rFonts w:ascii="Calibri" w:eastAsia="Calibri" w:hAnsi="Calibri" w:cs="Calibri"/>
        </w:rPr>
      </w:r>
      <w:r w:rsidR="008C75F4" w:rsidRPr="008F6866">
        <w:rPr>
          <w:rFonts w:ascii="Calibri" w:eastAsia="Calibri" w:hAnsi="Calibri" w:cs="Calibri"/>
        </w:rPr>
        <w:fldChar w:fldCharType="separate"/>
      </w:r>
      <w:r w:rsidR="00540DBF" w:rsidRPr="00540DBF">
        <w:rPr>
          <w:rFonts w:ascii="Calibri" w:eastAsia="Calibri" w:hAnsi="Calibri" w:cs="Calibri"/>
        </w:rPr>
        <w:t>Table X</w:t>
      </w:r>
      <w:r w:rsidR="008C75F4" w:rsidRPr="008F6866">
        <w:rPr>
          <w:rFonts w:ascii="Calibri" w:eastAsia="Calibri" w:hAnsi="Calibri" w:cs="Calibri"/>
        </w:rPr>
        <w:fldChar w:fldCharType="end"/>
      </w:r>
      <w:r w:rsidRPr="008F6866">
        <w:rPr>
          <w:rFonts w:ascii="Calibri" w:eastAsia="Calibri" w:hAnsi="Calibri" w:cs="Calibri"/>
        </w:rPr>
        <w:t>). These models could also be improved fitting non-linear equations.</w:t>
      </w:r>
    </w:p>
    <w:p w14:paraId="1B69FB9D" w14:textId="6D5A83D8" w:rsidR="00DE4897" w:rsidRPr="008F6866" w:rsidRDefault="00DE4897" w:rsidP="000006B0">
      <w:pPr>
        <w:spacing w:after="0" w:line="300" w:lineRule="auto"/>
        <w:jc w:val="both"/>
        <w:rPr>
          <w:rFonts w:ascii="Calibri" w:eastAsia="Calibri" w:hAnsi="Calibri" w:cs="Calibri"/>
        </w:rPr>
      </w:pPr>
      <w:r w:rsidRPr="008F6866">
        <w:rPr>
          <w:rFonts w:ascii="Calibri" w:eastAsia="Calibri" w:hAnsi="Calibri" w:cs="Calibri"/>
        </w:rPr>
        <w:t xml:space="preserve">The impact of browsing could also be modelled using estimate of biomass increment reduction (parameter </w:t>
      </w:r>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t</m:t>
            </m:r>
          </m:sub>
        </m:sSub>
      </m:oMath>
      <w:r w:rsidRPr="008F6866">
        <w:rPr>
          <w:rFonts w:ascii="Calibri" w:eastAsia="Calibri" w:hAnsi="Calibri" w:cs="Calibri"/>
        </w:rPr>
        <w:t xml:space="preserve"> of </w:t>
      </w:r>
      <w:r w:rsidR="00CA1107" w:rsidRPr="008F6866">
        <w:rPr>
          <w:rFonts w:ascii="Calibri" w:eastAsia="Calibri" w:hAnsi="Calibri" w:cs="Calibri"/>
        </w:rPr>
        <w:t>E</w:t>
      </w:r>
      <w:r w:rsidRPr="008F6866">
        <w:rPr>
          <w:rFonts w:ascii="Calibri" w:eastAsia="Calibri" w:hAnsi="Calibri" w:cs="Calibri"/>
        </w:rPr>
        <w:t xml:space="preserve">quation </w:t>
      </w:r>
      <w:r w:rsidR="00CA1107" w:rsidRPr="008F6866">
        <w:rPr>
          <w:rFonts w:ascii="Calibri" w:eastAsia="Calibri" w:hAnsi="Calibri" w:cs="Calibri"/>
        </w:rPr>
        <w:t>4</w:t>
      </w:r>
      <w:r w:rsidRPr="008F6866">
        <w:rPr>
          <w:rFonts w:ascii="Calibri" w:eastAsia="Calibri" w:hAnsi="Calibri" w:cs="Calibri"/>
        </w:rPr>
        <w:t>.10). This reduction corresponds to the mean biomass increment reduction observed throughout the study area for relatively small seedlings. To accurately apply this approach, further work is required to improve the estimates of ground vegetation biomass and to develop additional equations or algorithms to simulate the biomass consumption of the different regeneration cohorts.</w:t>
      </w:r>
    </w:p>
    <w:p w14:paraId="4480D527" w14:textId="77777777" w:rsidR="00CA1107" w:rsidRPr="008F6866" w:rsidRDefault="00CA1107" w:rsidP="00CA1107">
      <w:pPr>
        <w:spacing w:after="0" w:line="300" w:lineRule="auto"/>
        <w:jc w:val="both"/>
        <w:rPr>
          <w:rFonts w:ascii="Calibri" w:eastAsia="Calibri" w:hAnsi="Calibri" w:cs="Calibri"/>
        </w:rPr>
      </w:pPr>
    </w:p>
    <w:p w14:paraId="4BE66517" w14:textId="77777777" w:rsidR="00DE4897" w:rsidRPr="008F6866" w:rsidRDefault="39CFF0FF" w:rsidP="39CFF0FF">
      <w:pPr>
        <w:spacing w:after="60"/>
        <w:jc w:val="both"/>
        <w:rPr>
          <w:rFonts w:ascii="Calibri" w:eastAsia="Calibri" w:hAnsi="Calibri" w:cs="Calibri"/>
          <w:b/>
          <w:bCs/>
        </w:rPr>
      </w:pPr>
      <w:r w:rsidRPr="008F6866">
        <w:rPr>
          <w:rFonts w:ascii="Calibri" w:eastAsia="Calibri" w:hAnsi="Calibri" w:cs="Calibri"/>
          <w:b/>
          <w:bCs/>
        </w:rPr>
        <w:t>Additional data and analyses of ungulate impacts on regeneration</w:t>
      </w:r>
    </w:p>
    <w:p w14:paraId="60C0FFE4" w14:textId="6AC69B66" w:rsidR="00DE4897" w:rsidRPr="008F6866" w:rsidRDefault="39CFF0FF" w:rsidP="002D37D3">
      <w:pPr>
        <w:pBdr>
          <w:top w:val="nil"/>
          <w:left w:val="nil"/>
          <w:bottom w:val="nil"/>
          <w:right w:val="nil"/>
          <w:between w:val="nil"/>
        </w:pBdr>
        <w:spacing w:after="120" w:line="300" w:lineRule="auto"/>
        <w:jc w:val="both"/>
        <w:rPr>
          <w:rFonts w:ascii="Calibri" w:eastAsia="Calibri" w:hAnsi="Calibri" w:cs="Calibri"/>
        </w:rPr>
      </w:pPr>
      <w:r w:rsidRPr="008F6866">
        <w:rPr>
          <w:rFonts w:ascii="Calibri" w:eastAsia="Calibri" w:hAnsi="Calibri" w:cs="Calibri"/>
        </w:rPr>
        <w:t xml:space="preserve">With the additional measurements taken in 2022 in the regeneration dynamic monitoring plots, the length of apical shoots was modelled in response to seedling initial heights with </w:t>
      </w:r>
      <w:r w:rsidR="002D37D3" w:rsidRPr="008F6866">
        <w:rPr>
          <w:rFonts w:ascii="Calibri" w:eastAsia="Calibri" w:hAnsi="Calibri" w:cs="Calibri"/>
        </w:rPr>
        <w:t>E</w:t>
      </w:r>
      <w:r w:rsidRPr="008F6866">
        <w:rPr>
          <w:rFonts w:ascii="Calibri" w:eastAsia="Calibri" w:hAnsi="Calibri" w:cs="Calibri"/>
        </w:rPr>
        <w:t xml:space="preserve">quation </w:t>
      </w:r>
      <w:r w:rsidR="002D37D3" w:rsidRPr="008F6866">
        <w:rPr>
          <w:rFonts w:ascii="Calibri" w:eastAsia="Calibri" w:hAnsi="Calibri" w:cs="Calibri"/>
        </w:rPr>
        <w:t>4</w:t>
      </w:r>
      <w:r w:rsidRPr="008F6866">
        <w:rPr>
          <w:rFonts w:ascii="Calibri" w:eastAsia="Calibri" w:hAnsi="Calibri" w:cs="Calibri"/>
        </w:rPr>
        <w:t>.12:</w:t>
      </w:r>
    </w:p>
    <w:p w14:paraId="6725B42E" w14:textId="46234A34" w:rsidR="00DE4897" w:rsidRPr="008F6866" w:rsidRDefault="00000000" w:rsidP="002D37D3">
      <w:pPr>
        <w:pBdr>
          <w:top w:val="nil"/>
          <w:left w:val="nil"/>
          <w:bottom w:val="nil"/>
          <w:right w:val="nil"/>
          <w:between w:val="nil"/>
        </w:pBdr>
        <w:spacing w:after="60" w:line="300" w:lineRule="auto"/>
        <w:ind w:firstLine="720"/>
        <w:rPr>
          <w:rFonts w:ascii="Calibri" w:eastAsia="Calibri" w:hAnsi="Calibri" w:cs="Calibri"/>
        </w:rPr>
      </w:pPr>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i,j,sp,b</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sp</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i,j,sp,b</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sp,b</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i,j,sp,b</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α</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ϵ</m:t>
            </m:r>
          </m:e>
          <m:sub>
            <m:r>
              <w:rPr>
                <w:rFonts w:ascii="Cambria Math" w:eastAsia="Cambria Math" w:hAnsi="Cambria Math" w:cs="Cambria Math"/>
              </w:rPr>
              <m:t>i,j,sp,b</m:t>
            </m:r>
          </m:sub>
        </m:sSub>
      </m:oMath>
      <w:r w:rsidR="00DE4897" w:rsidRPr="008F6866">
        <w:rPr>
          <w:rFonts w:ascii="Calibri" w:eastAsia="Calibri" w:hAnsi="Calibri" w:cs="Calibri"/>
        </w:rPr>
        <w:t xml:space="preserve">  </w:t>
      </w:r>
      <w:r w:rsidR="00DE4897" w:rsidRPr="008F6866">
        <w:rPr>
          <w:rFonts w:ascii="Calibri" w:eastAsia="Calibri" w:hAnsi="Calibri" w:cs="Calibri"/>
        </w:rPr>
        <w:tab/>
      </w:r>
      <w:r w:rsidR="00DE4897" w:rsidRPr="008F6866">
        <w:rPr>
          <w:rFonts w:ascii="Calibri" w:eastAsia="Calibri" w:hAnsi="Calibri" w:cs="Calibri"/>
        </w:rPr>
        <w:tab/>
      </w:r>
      <w:r w:rsidR="00DE4897" w:rsidRPr="008F6866">
        <w:rPr>
          <w:rFonts w:ascii="Calibri" w:eastAsia="Calibri" w:hAnsi="Calibri" w:cs="Calibri"/>
        </w:rPr>
        <w:tab/>
      </w:r>
      <w:r w:rsidR="00DE4897" w:rsidRPr="008F6866">
        <w:rPr>
          <w:rFonts w:ascii="Calibri" w:eastAsia="Calibri" w:hAnsi="Calibri" w:cs="Calibri"/>
        </w:rPr>
        <w:tab/>
        <w:t>(</w:t>
      </w:r>
      <w:r w:rsidR="002D37D3" w:rsidRPr="008F6866">
        <w:rPr>
          <w:rFonts w:ascii="Calibri" w:eastAsia="Calibri" w:hAnsi="Calibri" w:cs="Calibri"/>
        </w:rPr>
        <w:t>4</w:t>
      </w:r>
      <w:r w:rsidR="00DE4897" w:rsidRPr="008F6866">
        <w:rPr>
          <w:rFonts w:ascii="Calibri" w:eastAsia="Calibri" w:hAnsi="Calibri" w:cs="Calibri"/>
        </w:rPr>
        <w:t>.12)</w:t>
      </w:r>
    </w:p>
    <w:p w14:paraId="2C7E2732" w14:textId="72B38CD4" w:rsidR="00DE4897" w:rsidRPr="008F6866" w:rsidRDefault="00DE4897" w:rsidP="002D37D3">
      <w:pPr>
        <w:pBdr>
          <w:top w:val="nil"/>
          <w:left w:val="nil"/>
          <w:bottom w:val="nil"/>
          <w:right w:val="nil"/>
          <w:between w:val="nil"/>
        </w:pBdr>
        <w:spacing w:after="120" w:line="300" w:lineRule="auto"/>
        <w:jc w:val="both"/>
        <w:rPr>
          <w:rFonts w:ascii="Calibri" w:eastAsia="Calibri" w:hAnsi="Calibri" w:cs="Calibri"/>
        </w:rPr>
      </w:pPr>
      <w:r w:rsidRPr="008F6866">
        <w:rPr>
          <w:rFonts w:ascii="Calibri" w:eastAsia="Calibri" w:hAnsi="Calibri" w:cs="Calibri"/>
        </w:rPr>
        <w:lastRenderedPageBreak/>
        <w:t xml:space="preserve">where </w:t>
      </w:r>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i,j,sp,b</m:t>
            </m:r>
          </m:sub>
        </m:sSub>
      </m:oMath>
      <w:r w:rsidRPr="008F6866">
        <w:rPr>
          <w:rFonts w:ascii="Calibri" w:eastAsia="Calibri" w:hAnsi="Calibri" w:cs="Calibri"/>
        </w:rPr>
        <w:t xml:space="preserve"> was the length of the apical shoot of seedling </w:t>
      </w:r>
      <w:r w:rsidRPr="008F6866">
        <w:rPr>
          <w:rFonts w:ascii="Calibri" w:eastAsia="Calibri" w:hAnsi="Calibri" w:cs="Calibri"/>
          <w:i/>
          <w:iCs/>
        </w:rPr>
        <w:t>i</w:t>
      </w:r>
      <w:r w:rsidRPr="008F6866">
        <w:rPr>
          <w:rFonts w:ascii="Calibri" w:eastAsia="Calibri" w:hAnsi="Calibri" w:cs="Calibri"/>
        </w:rPr>
        <w:t xml:space="preserve">, in plot </w:t>
      </w:r>
      <w:r w:rsidRPr="008F6866">
        <w:rPr>
          <w:rFonts w:ascii="Calibri" w:eastAsia="Calibri" w:hAnsi="Calibri" w:cs="Calibri"/>
          <w:i/>
          <w:iCs/>
        </w:rPr>
        <w:t>j</w:t>
      </w:r>
      <w:r w:rsidRPr="008F6866">
        <w:rPr>
          <w:rFonts w:ascii="Calibri" w:eastAsia="Calibri" w:hAnsi="Calibri" w:cs="Calibri"/>
        </w:rPr>
        <w:t xml:space="preserve">, of species </w:t>
      </w:r>
      <w:r w:rsidRPr="008F6866">
        <w:rPr>
          <w:rFonts w:ascii="Calibri" w:eastAsia="Calibri" w:hAnsi="Calibri" w:cs="Calibri"/>
          <w:i/>
          <w:iCs/>
        </w:rPr>
        <w:t>sp</w:t>
      </w:r>
      <w:r w:rsidRPr="008F6866">
        <w:rPr>
          <w:rFonts w:ascii="Calibri" w:eastAsia="Calibri" w:hAnsi="Calibri" w:cs="Calibri"/>
        </w:rPr>
        <w:t xml:space="preserve">. </w:t>
      </w:r>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sp,b</m:t>
            </m:r>
          </m:sub>
        </m:sSub>
      </m:oMath>
      <w:r w:rsidRPr="008F6866">
        <w:rPr>
          <w:rFonts w:ascii="Calibri" w:eastAsia="Calibri" w:hAnsi="Calibri" w:cs="Calibri"/>
        </w:rPr>
        <w:t xml:space="preserve"> was the difference between normal and browsed shoot lengths. </w:t>
      </w: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i,j,sp,b</m:t>
            </m:r>
          </m:sub>
        </m:sSub>
      </m:oMath>
      <w:r w:rsidRPr="008F6866">
        <w:rPr>
          <w:rFonts w:ascii="Calibri" w:eastAsia="Calibri" w:hAnsi="Calibri" w:cs="Calibri"/>
        </w:rPr>
        <w:t xml:space="preserve"> was the initial height of the seedling, i.e. the height reached before budbreak. This model assumed that the shoot increments were proportional to seedling heights. The reduction of apical shoot length was significantly evidenced for beech, hornbeam and oak (</w:t>
      </w:r>
      <w:r w:rsidR="002D37D3" w:rsidRPr="008F6866">
        <w:rPr>
          <w:rFonts w:ascii="Calibri" w:eastAsia="Calibri" w:hAnsi="Calibri" w:cs="Calibri"/>
        </w:rPr>
        <w:fldChar w:fldCharType="begin"/>
      </w:r>
      <w:r w:rsidR="002D37D3" w:rsidRPr="008F6866">
        <w:rPr>
          <w:rFonts w:ascii="Calibri" w:eastAsia="Calibri" w:hAnsi="Calibri" w:cs="Calibri"/>
        </w:rPr>
        <w:instrText xml:space="preserve"> REF _Ref195647180 \h  \* MERGEFORMAT </w:instrText>
      </w:r>
      <w:r w:rsidR="002D37D3" w:rsidRPr="008F6866">
        <w:rPr>
          <w:rFonts w:ascii="Calibri" w:eastAsia="Calibri" w:hAnsi="Calibri" w:cs="Calibri"/>
        </w:rPr>
      </w:r>
      <w:r w:rsidR="002D37D3" w:rsidRPr="008F6866">
        <w:rPr>
          <w:rFonts w:ascii="Calibri" w:eastAsia="Calibri" w:hAnsi="Calibri" w:cs="Calibri"/>
        </w:rPr>
        <w:fldChar w:fldCharType="separate"/>
      </w:r>
      <w:r w:rsidR="00540DBF" w:rsidRPr="00540DBF">
        <w:rPr>
          <w:rFonts w:ascii="Calibri" w:eastAsia="Calibri" w:hAnsi="Calibri" w:cs="Calibri"/>
        </w:rPr>
        <w:t>Figure 20</w:t>
      </w:r>
      <w:r w:rsidR="002D37D3" w:rsidRPr="008F6866">
        <w:rPr>
          <w:rFonts w:ascii="Calibri" w:eastAsia="Calibri" w:hAnsi="Calibri" w:cs="Calibri"/>
        </w:rPr>
        <w:fldChar w:fldCharType="end"/>
      </w:r>
      <w:r w:rsidRPr="008F6866">
        <w:rPr>
          <w:rFonts w:ascii="Calibri" w:eastAsia="Calibri" w:hAnsi="Calibri" w:cs="Calibri"/>
        </w:rPr>
        <w:t>). The number of observations was likely too limited to evidence such an effect for the other species. The reduction of apical shoot length was the greatest for hornbeam seedlings and the smallest for spruce and rowan (</w:t>
      </w:r>
      <w:r w:rsidR="008C75F4" w:rsidRPr="008F6866">
        <w:rPr>
          <w:rFonts w:ascii="Calibri" w:eastAsia="Calibri" w:hAnsi="Calibri" w:cs="Calibri"/>
        </w:rPr>
        <w:fldChar w:fldCharType="begin"/>
      </w:r>
      <w:r w:rsidR="008C75F4" w:rsidRPr="008F6866">
        <w:rPr>
          <w:rFonts w:ascii="Calibri" w:eastAsia="Calibri" w:hAnsi="Calibri" w:cs="Calibri"/>
        </w:rPr>
        <w:instrText xml:space="preserve"> REF _Ref195653313 \h  \* MERGEFORMAT </w:instrText>
      </w:r>
      <w:r w:rsidR="008C75F4" w:rsidRPr="008F6866">
        <w:rPr>
          <w:rFonts w:ascii="Calibri" w:eastAsia="Calibri" w:hAnsi="Calibri" w:cs="Calibri"/>
        </w:rPr>
      </w:r>
      <w:r w:rsidR="008C75F4" w:rsidRPr="008F6866">
        <w:rPr>
          <w:rFonts w:ascii="Calibri" w:eastAsia="Calibri" w:hAnsi="Calibri" w:cs="Calibri"/>
        </w:rPr>
        <w:fldChar w:fldCharType="separate"/>
      </w:r>
      <w:r w:rsidR="00540DBF" w:rsidRPr="00540DBF">
        <w:rPr>
          <w:rFonts w:ascii="Calibri" w:eastAsia="Calibri" w:hAnsi="Calibri" w:cs="Calibri"/>
        </w:rPr>
        <w:t>Table XII</w:t>
      </w:r>
      <w:r w:rsidR="008C75F4" w:rsidRPr="008F6866">
        <w:rPr>
          <w:rFonts w:ascii="Calibri" w:eastAsia="Calibri" w:hAnsi="Calibri" w:cs="Calibri"/>
        </w:rPr>
        <w:fldChar w:fldCharType="end"/>
      </w:r>
      <w:r w:rsidRPr="008F6866">
        <w:rPr>
          <w:rFonts w:ascii="Calibri" w:eastAsia="Calibri" w:hAnsi="Calibri" w:cs="Calibri"/>
        </w:rPr>
        <w:t>).</w:t>
      </w:r>
    </w:p>
    <w:p w14:paraId="7EB284DF" w14:textId="77777777" w:rsidR="00DE4897" w:rsidRDefault="39CFF0FF" w:rsidP="000006B0">
      <w:pPr>
        <w:pBdr>
          <w:top w:val="nil"/>
          <w:left w:val="nil"/>
          <w:bottom w:val="nil"/>
          <w:right w:val="nil"/>
          <w:between w:val="nil"/>
        </w:pBdr>
        <w:spacing w:after="0" w:line="300" w:lineRule="auto"/>
        <w:jc w:val="both"/>
        <w:rPr>
          <w:rFonts w:ascii="Calibri" w:eastAsia="Calibri" w:hAnsi="Calibri" w:cs="Calibri"/>
        </w:rPr>
      </w:pPr>
      <w:r w:rsidRPr="008F6866">
        <w:rPr>
          <w:rFonts w:ascii="Calibri" w:eastAsia="Calibri" w:hAnsi="Calibri" w:cs="Calibri"/>
        </w:rPr>
        <w:t>The number of sampled seedlings and sites appeared too limited to fit general models and, particularly, to predict the probability of a given shoot to be browsed. We also had planned to estimate seedling initial biomass and biomass increment with only one census (measuring seedling height, diameter and the length of different apical and lateral shoots). This approach was finally found not accurate enough to evidence the effect of browsing on seedling biomass. Repeated measurements, that are logistically more demanding, are likely required to fit such a model. The collected data nevertheless confirmed and supplemented some earlier observations, particularly about the effect of browsing on seedling height growth.</w:t>
      </w:r>
    </w:p>
    <w:p w14:paraId="512BDE59" w14:textId="77777777" w:rsidR="000006B0" w:rsidRPr="008F6866" w:rsidRDefault="000006B0" w:rsidP="002D37D3">
      <w:pPr>
        <w:pBdr>
          <w:top w:val="nil"/>
          <w:left w:val="nil"/>
          <w:bottom w:val="nil"/>
          <w:right w:val="nil"/>
          <w:between w:val="nil"/>
        </w:pBdr>
        <w:spacing w:after="120" w:line="300" w:lineRule="auto"/>
        <w:jc w:val="both"/>
        <w:rPr>
          <w:rFonts w:ascii="Calibri" w:eastAsia="Calibri" w:hAnsi="Calibri" w:cs="Calibri"/>
        </w:rPr>
      </w:pPr>
    </w:p>
    <w:p w14:paraId="21A06BCE" w14:textId="3428CEEC" w:rsidR="00DE4897" w:rsidRPr="008F6866" w:rsidRDefault="00DE4897" w:rsidP="002D37D3">
      <w:pPr>
        <w:keepNext/>
        <w:pBdr>
          <w:top w:val="nil"/>
          <w:left w:val="nil"/>
          <w:bottom w:val="nil"/>
          <w:right w:val="nil"/>
          <w:between w:val="nil"/>
        </w:pBdr>
        <w:spacing w:after="0" w:line="300" w:lineRule="auto"/>
        <w:jc w:val="center"/>
      </w:pPr>
      <w:r w:rsidRPr="008F6866">
        <w:rPr>
          <w:noProof/>
        </w:rPr>
        <w:drawing>
          <wp:inline distT="0" distB="0" distL="0" distR="0" wp14:anchorId="46866DE4" wp14:editId="10749DC1">
            <wp:extent cx="4276725" cy="3799227"/>
            <wp:effectExtent l="0" t="0" r="0" b="0"/>
            <wp:docPr id="206168099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4"/>
                    <a:srcRect/>
                    <a:stretch>
                      <a:fillRect/>
                    </a:stretch>
                  </pic:blipFill>
                  <pic:spPr>
                    <a:xfrm>
                      <a:off x="0" y="0"/>
                      <a:ext cx="4283970" cy="3805663"/>
                    </a:xfrm>
                    <a:prstGeom prst="rect">
                      <a:avLst/>
                    </a:prstGeom>
                    <a:ln/>
                  </pic:spPr>
                </pic:pic>
              </a:graphicData>
            </a:graphic>
          </wp:inline>
        </w:drawing>
      </w:r>
    </w:p>
    <w:p w14:paraId="1C96FEAA" w14:textId="75FEFE38" w:rsidR="002D37D3" w:rsidRPr="008F6866" w:rsidRDefault="002D37D3" w:rsidP="002D37D3">
      <w:pPr>
        <w:pStyle w:val="Lgende"/>
        <w:jc w:val="center"/>
        <w:rPr>
          <w:b/>
          <w:i w:val="0"/>
          <w:color w:val="000000" w:themeColor="text1"/>
          <w:sz w:val="20"/>
          <w:szCs w:val="20"/>
        </w:rPr>
      </w:pPr>
      <w:bookmarkStart w:id="69" w:name="_Ref195647180"/>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20</w:t>
      </w:r>
      <w:r w:rsidRPr="008F6866">
        <w:rPr>
          <w:b/>
          <w:i w:val="0"/>
          <w:color w:val="000000" w:themeColor="text1"/>
          <w:sz w:val="20"/>
          <w:szCs w:val="20"/>
        </w:rPr>
        <w:fldChar w:fldCharType="end"/>
      </w:r>
      <w:bookmarkEnd w:id="69"/>
      <w:r w:rsidRPr="008F6866">
        <w:rPr>
          <w:b/>
          <w:i w:val="0"/>
          <w:color w:val="000000" w:themeColor="text1"/>
          <w:sz w:val="20"/>
          <w:szCs w:val="20"/>
        </w:rPr>
        <w:t>. Relationships between apical shoot length and initial seedling height</w:t>
      </w:r>
    </w:p>
    <w:p w14:paraId="34AA69F4" w14:textId="77777777" w:rsidR="000006B0" w:rsidRDefault="000006B0">
      <w:pPr>
        <w:rPr>
          <w:rFonts w:ascii="Calibri" w:eastAsia="Calibri" w:hAnsi="Calibri" w:cs="Calibri"/>
          <w:b/>
          <w:iCs/>
          <w:color w:val="000000" w:themeColor="text1"/>
          <w:sz w:val="20"/>
          <w:szCs w:val="20"/>
          <w:lang w:eastAsia="fr-BE"/>
        </w:rPr>
      </w:pPr>
      <w:bookmarkStart w:id="70" w:name="_heading=h.111kx3o" w:colFirst="0" w:colLast="0"/>
      <w:bookmarkStart w:id="71" w:name="_heading=h.3l18frh" w:colFirst="0" w:colLast="0"/>
      <w:bookmarkStart w:id="72" w:name="_Ref195647518"/>
      <w:bookmarkStart w:id="73" w:name="_Ref195653313"/>
      <w:bookmarkEnd w:id="70"/>
      <w:bookmarkEnd w:id="71"/>
      <w:r>
        <w:rPr>
          <w:b/>
          <w:i/>
          <w:color w:val="000000" w:themeColor="text1"/>
          <w:sz w:val="20"/>
          <w:szCs w:val="20"/>
        </w:rPr>
        <w:br w:type="page"/>
      </w:r>
    </w:p>
    <w:p w14:paraId="47FABFE3" w14:textId="659F8B28" w:rsidR="002D37D3" w:rsidRPr="008F6866" w:rsidRDefault="002D37D3" w:rsidP="002D37D3">
      <w:pPr>
        <w:pStyle w:val="Lgende"/>
        <w:spacing w:after="60"/>
        <w:jc w:val="center"/>
        <w:rPr>
          <w:b/>
          <w:i w:val="0"/>
          <w:color w:val="000000" w:themeColor="text1"/>
          <w:sz w:val="20"/>
          <w:szCs w:val="20"/>
        </w:rPr>
      </w:pPr>
      <w:r w:rsidRPr="008F6866">
        <w:rPr>
          <w:b/>
          <w:i w:val="0"/>
          <w:color w:val="000000" w:themeColor="text1"/>
          <w:sz w:val="20"/>
          <w:szCs w:val="20"/>
        </w:rPr>
        <w:lastRenderedPageBreak/>
        <w:t xml:space="preserve">Table </w:t>
      </w:r>
      <w:bookmarkEnd w:id="72"/>
      <w:r w:rsidR="00EE472B">
        <w:rPr>
          <w:b/>
          <w:i w:val="0"/>
          <w:color w:val="000000" w:themeColor="text1"/>
          <w:sz w:val="20"/>
          <w:szCs w:val="20"/>
        </w:rPr>
        <w:fldChar w:fldCharType="begin"/>
      </w:r>
      <w:r w:rsidR="00EE472B">
        <w:rPr>
          <w:b/>
          <w:i w:val="0"/>
          <w:color w:val="000000" w:themeColor="text1"/>
          <w:sz w:val="20"/>
          <w:szCs w:val="20"/>
        </w:rPr>
        <w:instrText xml:space="preserve"> SEQ Table \* ROMAN </w:instrText>
      </w:r>
      <w:r w:rsidR="00EE472B">
        <w:rPr>
          <w:b/>
          <w:i w:val="0"/>
          <w:color w:val="000000" w:themeColor="text1"/>
          <w:sz w:val="20"/>
          <w:szCs w:val="20"/>
        </w:rPr>
        <w:fldChar w:fldCharType="separate"/>
      </w:r>
      <w:r w:rsidR="00540DBF">
        <w:rPr>
          <w:b/>
          <w:i w:val="0"/>
          <w:noProof/>
          <w:color w:val="000000" w:themeColor="text1"/>
          <w:sz w:val="20"/>
          <w:szCs w:val="20"/>
        </w:rPr>
        <w:t>XII</w:t>
      </w:r>
      <w:r w:rsidR="00EE472B">
        <w:rPr>
          <w:b/>
          <w:i w:val="0"/>
          <w:color w:val="000000" w:themeColor="text1"/>
          <w:sz w:val="20"/>
          <w:szCs w:val="20"/>
        </w:rPr>
        <w:fldChar w:fldCharType="end"/>
      </w:r>
      <w:bookmarkEnd w:id="73"/>
      <w:r w:rsidRPr="008F6866">
        <w:rPr>
          <w:b/>
          <w:i w:val="0"/>
          <w:color w:val="000000" w:themeColor="text1"/>
          <w:sz w:val="20"/>
          <w:szCs w:val="20"/>
        </w:rPr>
        <w:t>. Summary statistics of the model of shoot length (Equation 4.12)</w:t>
      </w:r>
    </w:p>
    <w:tbl>
      <w:tblPr>
        <w:tblW w:w="5493" w:type="dxa"/>
        <w:jc w:val="center"/>
        <w:tblLayout w:type="fixed"/>
        <w:tblLook w:val="0400" w:firstRow="0" w:lastRow="0" w:firstColumn="0" w:lastColumn="0" w:noHBand="0" w:noVBand="1"/>
      </w:tblPr>
      <w:tblGrid>
        <w:gridCol w:w="2375"/>
        <w:gridCol w:w="798"/>
        <w:gridCol w:w="194"/>
        <w:gridCol w:w="1276"/>
        <w:gridCol w:w="850"/>
      </w:tblGrid>
      <w:tr w:rsidR="00DE4897" w:rsidRPr="008F6866" w14:paraId="4158314E" w14:textId="77777777" w:rsidTr="39CFF0FF">
        <w:trPr>
          <w:trHeight w:val="330"/>
          <w:jc w:val="center"/>
        </w:trPr>
        <w:tc>
          <w:tcPr>
            <w:tcW w:w="2375" w:type="dxa"/>
            <w:tcBorders>
              <w:top w:val="single" w:sz="12" w:space="0" w:color="000000" w:themeColor="text1"/>
              <w:left w:val="nil"/>
              <w:bottom w:val="single" w:sz="12" w:space="0" w:color="000000" w:themeColor="text1"/>
              <w:right w:val="nil"/>
            </w:tcBorders>
            <w:shd w:val="clear" w:color="auto" w:fill="auto"/>
            <w:vAlign w:val="center"/>
          </w:tcPr>
          <w:p w14:paraId="6F621BA1" w14:textId="77777777" w:rsidR="00DE4897" w:rsidRPr="008F6866" w:rsidRDefault="00DE4897" w:rsidP="008D668B">
            <w:pPr>
              <w:spacing w:after="120" w:line="240" w:lineRule="auto"/>
              <w:rPr>
                <w:b/>
                <w:i/>
                <w:color w:val="000000"/>
                <w:sz w:val="18"/>
                <w:szCs w:val="18"/>
              </w:rPr>
            </w:pPr>
            <w:r w:rsidRPr="008F6866">
              <w:rPr>
                <w:b/>
                <w:i/>
                <w:color w:val="000000"/>
                <w:sz w:val="18"/>
                <w:szCs w:val="18"/>
              </w:rPr>
              <w:t>Predictors</w:t>
            </w:r>
          </w:p>
        </w:tc>
        <w:tc>
          <w:tcPr>
            <w:tcW w:w="992" w:type="dxa"/>
            <w:gridSpan w:val="2"/>
            <w:tcBorders>
              <w:top w:val="single" w:sz="12" w:space="0" w:color="000000" w:themeColor="text1"/>
              <w:left w:val="nil"/>
              <w:bottom w:val="single" w:sz="12" w:space="0" w:color="000000" w:themeColor="text1"/>
              <w:right w:val="nil"/>
            </w:tcBorders>
            <w:shd w:val="clear" w:color="auto" w:fill="auto"/>
            <w:vAlign w:val="center"/>
          </w:tcPr>
          <w:p w14:paraId="21CAD1CC" w14:textId="77777777" w:rsidR="00DE4897" w:rsidRPr="008F6866" w:rsidRDefault="00DE4897" w:rsidP="008D668B">
            <w:pPr>
              <w:spacing w:after="120" w:line="240" w:lineRule="auto"/>
              <w:jc w:val="center"/>
              <w:rPr>
                <w:b/>
                <w:i/>
                <w:color w:val="000000"/>
                <w:sz w:val="18"/>
                <w:szCs w:val="18"/>
              </w:rPr>
            </w:pPr>
            <w:r w:rsidRPr="008F6866">
              <w:rPr>
                <w:b/>
                <w:i/>
                <w:color w:val="000000"/>
                <w:sz w:val="18"/>
                <w:szCs w:val="18"/>
              </w:rPr>
              <w:t>Estimates</w:t>
            </w:r>
          </w:p>
        </w:tc>
        <w:tc>
          <w:tcPr>
            <w:tcW w:w="1276" w:type="dxa"/>
            <w:tcBorders>
              <w:top w:val="single" w:sz="12" w:space="0" w:color="000000" w:themeColor="text1"/>
              <w:left w:val="nil"/>
              <w:bottom w:val="single" w:sz="12" w:space="0" w:color="000000" w:themeColor="text1"/>
              <w:right w:val="nil"/>
            </w:tcBorders>
            <w:shd w:val="clear" w:color="auto" w:fill="auto"/>
            <w:vAlign w:val="center"/>
          </w:tcPr>
          <w:p w14:paraId="7CDF3E92" w14:textId="77777777" w:rsidR="00DE4897" w:rsidRPr="008F6866" w:rsidRDefault="00DE4897" w:rsidP="008D668B">
            <w:pPr>
              <w:spacing w:after="120" w:line="240" w:lineRule="auto"/>
              <w:jc w:val="center"/>
              <w:rPr>
                <w:b/>
                <w:i/>
                <w:color w:val="000000"/>
                <w:sz w:val="18"/>
                <w:szCs w:val="18"/>
              </w:rPr>
            </w:pPr>
            <w:r w:rsidRPr="008F6866">
              <w:rPr>
                <w:b/>
                <w:i/>
                <w:color w:val="000000"/>
                <w:sz w:val="18"/>
                <w:szCs w:val="18"/>
              </w:rPr>
              <w:t>CI</w:t>
            </w:r>
          </w:p>
        </w:tc>
        <w:tc>
          <w:tcPr>
            <w:tcW w:w="850" w:type="dxa"/>
            <w:tcBorders>
              <w:top w:val="single" w:sz="12" w:space="0" w:color="000000" w:themeColor="text1"/>
              <w:left w:val="nil"/>
              <w:bottom w:val="single" w:sz="12" w:space="0" w:color="000000" w:themeColor="text1"/>
              <w:right w:val="nil"/>
            </w:tcBorders>
            <w:shd w:val="clear" w:color="auto" w:fill="auto"/>
            <w:vAlign w:val="center"/>
          </w:tcPr>
          <w:p w14:paraId="1B706179" w14:textId="77777777" w:rsidR="00DE4897" w:rsidRPr="008F6866" w:rsidRDefault="00DE4897" w:rsidP="008D668B">
            <w:pPr>
              <w:spacing w:after="120" w:line="240" w:lineRule="auto"/>
              <w:jc w:val="center"/>
              <w:rPr>
                <w:b/>
                <w:i/>
                <w:color w:val="000000"/>
                <w:sz w:val="18"/>
                <w:szCs w:val="18"/>
              </w:rPr>
            </w:pPr>
            <w:r w:rsidRPr="008F6866">
              <w:rPr>
                <w:b/>
                <w:i/>
                <w:color w:val="000000"/>
                <w:sz w:val="18"/>
                <w:szCs w:val="18"/>
              </w:rPr>
              <w:t>p</w:t>
            </w:r>
          </w:p>
        </w:tc>
      </w:tr>
      <w:tr w:rsidR="00DE4897" w:rsidRPr="008F6866" w14:paraId="32BAA11D" w14:textId="77777777" w:rsidTr="39CFF0FF">
        <w:trPr>
          <w:trHeight w:val="300"/>
          <w:jc w:val="center"/>
        </w:trPr>
        <w:tc>
          <w:tcPr>
            <w:tcW w:w="2375" w:type="dxa"/>
            <w:tcBorders>
              <w:top w:val="single" w:sz="12" w:space="0" w:color="000000" w:themeColor="text1"/>
              <w:left w:val="nil"/>
              <w:bottom w:val="nil"/>
              <w:right w:val="nil"/>
            </w:tcBorders>
            <w:shd w:val="clear" w:color="auto" w:fill="auto"/>
          </w:tcPr>
          <w:p w14:paraId="6F6848B6" w14:textId="77777777" w:rsidR="00DE4897" w:rsidRPr="008F6866" w:rsidRDefault="00DE4897" w:rsidP="008D668B">
            <w:pPr>
              <w:spacing w:after="120" w:line="240" w:lineRule="auto"/>
              <w:rPr>
                <w:color w:val="000000"/>
                <w:sz w:val="18"/>
                <w:szCs w:val="18"/>
              </w:rPr>
            </w:pPr>
            <w:r w:rsidRPr="008F6866">
              <w:rPr>
                <w:color w:val="000000"/>
                <w:sz w:val="18"/>
                <w:szCs w:val="18"/>
              </w:rPr>
              <w:t xml:space="preserve">a [Acer pseudoplatanus L.] </w:t>
            </w:r>
          </w:p>
        </w:tc>
        <w:tc>
          <w:tcPr>
            <w:tcW w:w="992" w:type="dxa"/>
            <w:gridSpan w:val="2"/>
            <w:tcBorders>
              <w:top w:val="single" w:sz="12" w:space="0" w:color="000000" w:themeColor="text1"/>
              <w:left w:val="nil"/>
              <w:bottom w:val="nil"/>
              <w:right w:val="nil"/>
            </w:tcBorders>
            <w:shd w:val="clear" w:color="auto" w:fill="auto"/>
          </w:tcPr>
          <w:p w14:paraId="0EBA63FC"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0.13</w:t>
            </w:r>
          </w:p>
        </w:tc>
        <w:tc>
          <w:tcPr>
            <w:tcW w:w="1276" w:type="dxa"/>
            <w:tcBorders>
              <w:top w:val="single" w:sz="12" w:space="0" w:color="000000" w:themeColor="text1"/>
              <w:left w:val="nil"/>
              <w:bottom w:val="nil"/>
              <w:right w:val="nil"/>
            </w:tcBorders>
            <w:shd w:val="clear" w:color="auto" w:fill="auto"/>
          </w:tcPr>
          <w:p w14:paraId="1F9A6363"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0.07 – 0.19</w:t>
            </w:r>
          </w:p>
        </w:tc>
        <w:tc>
          <w:tcPr>
            <w:tcW w:w="850" w:type="dxa"/>
            <w:tcBorders>
              <w:top w:val="single" w:sz="12" w:space="0" w:color="000000" w:themeColor="text1"/>
              <w:left w:val="nil"/>
              <w:bottom w:val="nil"/>
              <w:right w:val="nil"/>
            </w:tcBorders>
            <w:shd w:val="clear" w:color="auto" w:fill="auto"/>
          </w:tcPr>
          <w:p w14:paraId="00E38038" w14:textId="77777777" w:rsidR="00DE4897" w:rsidRPr="008F6866" w:rsidRDefault="00DE4897" w:rsidP="008D668B">
            <w:pPr>
              <w:spacing w:after="120" w:line="240" w:lineRule="auto"/>
              <w:jc w:val="center"/>
              <w:rPr>
                <w:b/>
                <w:color w:val="000000"/>
                <w:sz w:val="18"/>
                <w:szCs w:val="18"/>
              </w:rPr>
            </w:pPr>
            <w:r w:rsidRPr="008F6866">
              <w:rPr>
                <w:b/>
                <w:color w:val="000000"/>
                <w:sz w:val="18"/>
                <w:szCs w:val="18"/>
              </w:rPr>
              <w:t>&lt;0.001</w:t>
            </w:r>
          </w:p>
        </w:tc>
      </w:tr>
      <w:tr w:rsidR="00DE4897" w:rsidRPr="008F6866" w14:paraId="61426EE3" w14:textId="77777777" w:rsidTr="39CFF0FF">
        <w:trPr>
          <w:trHeight w:val="300"/>
          <w:jc w:val="center"/>
        </w:trPr>
        <w:tc>
          <w:tcPr>
            <w:tcW w:w="2375" w:type="dxa"/>
            <w:tcBorders>
              <w:top w:val="nil"/>
              <w:left w:val="nil"/>
              <w:bottom w:val="nil"/>
              <w:right w:val="nil"/>
            </w:tcBorders>
            <w:shd w:val="clear" w:color="auto" w:fill="auto"/>
          </w:tcPr>
          <w:p w14:paraId="3CC394ED" w14:textId="77777777" w:rsidR="00DE4897" w:rsidRPr="008F6866" w:rsidRDefault="00DE4897" w:rsidP="008D668B">
            <w:pPr>
              <w:spacing w:after="120" w:line="240" w:lineRule="auto"/>
              <w:rPr>
                <w:color w:val="000000"/>
                <w:sz w:val="18"/>
                <w:szCs w:val="18"/>
              </w:rPr>
            </w:pPr>
            <w:r w:rsidRPr="008F6866">
              <w:rPr>
                <w:color w:val="000000"/>
                <w:sz w:val="18"/>
                <w:szCs w:val="18"/>
              </w:rPr>
              <w:t xml:space="preserve">a [Betula spp.] </w:t>
            </w:r>
          </w:p>
        </w:tc>
        <w:tc>
          <w:tcPr>
            <w:tcW w:w="992" w:type="dxa"/>
            <w:gridSpan w:val="2"/>
            <w:tcBorders>
              <w:top w:val="nil"/>
              <w:left w:val="nil"/>
              <w:bottom w:val="nil"/>
              <w:right w:val="nil"/>
            </w:tcBorders>
            <w:shd w:val="clear" w:color="auto" w:fill="auto"/>
          </w:tcPr>
          <w:p w14:paraId="363520B4"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0.26</w:t>
            </w:r>
          </w:p>
        </w:tc>
        <w:tc>
          <w:tcPr>
            <w:tcW w:w="1276" w:type="dxa"/>
            <w:tcBorders>
              <w:top w:val="nil"/>
              <w:left w:val="nil"/>
              <w:bottom w:val="nil"/>
              <w:right w:val="nil"/>
            </w:tcBorders>
            <w:shd w:val="clear" w:color="auto" w:fill="auto"/>
          </w:tcPr>
          <w:p w14:paraId="2F345808"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0.16 – 0.36</w:t>
            </w:r>
          </w:p>
        </w:tc>
        <w:tc>
          <w:tcPr>
            <w:tcW w:w="850" w:type="dxa"/>
            <w:tcBorders>
              <w:top w:val="nil"/>
              <w:left w:val="nil"/>
              <w:bottom w:val="nil"/>
              <w:right w:val="nil"/>
            </w:tcBorders>
            <w:shd w:val="clear" w:color="auto" w:fill="auto"/>
          </w:tcPr>
          <w:p w14:paraId="0621FF0E" w14:textId="77777777" w:rsidR="00DE4897" w:rsidRPr="008F6866" w:rsidRDefault="00DE4897" w:rsidP="008D668B">
            <w:pPr>
              <w:spacing w:after="120" w:line="240" w:lineRule="auto"/>
              <w:jc w:val="center"/>
              <w:rPr>
                <w:b/>
                <w:color w:val="000000"/>
                <w:sz w:val="18"/>
                <w:szCs w:val="18"/>
              </w:rPr>
            </w:pPr>
            <w:r w:rsidRPr="008F6866">
              <w:rPr>
                <w:b/>
                <w:color w:val="000000"/>
                <w:sz w:val="18"/>
                <w:szCs w:val="18"/>
              </w:rPr>
              <w:t>&lt;0.001</w:t>
            </w:r>
          </w:p>
        </w:tc>
      </w:tr>
      <w:tr w:rsidR="00DE4897" w:rsidRPr="008F6866" w14:paraId="0A158309" w14:textId="77777777" w:rsidTr="39CFF0FF">
        <w:trPr>
          <w:trHeight w:val="300"/>
          <w:jc w:val="center"/>
        </w:trPr>
        <w:tc>
          <w:tcPr>
            <w:tcW w:w="2375" w:type="dxa"/>
            <w:tcBorders>
              <w:top w:val="nil"/>
              <w:left w:val="nil"/>
              <w:bottom w:val="nil"/>
              <w:right w:val="nil"/>
            </w:tcBorders>
            <w:shd w:val="clear" w:color="auto" w:fill="auto"/>
          </w:tcPr>
          <w:p w14:paraId="4CA4DA26" w14:textId="77777777" w:rsidR="00DE4897" w:rsidRPr="008F6866" w:rsidRDefault="39CFF0FF" w:rsidP="39CFF0FF">
            <w:pPr>
              <w:spacing w:after="120" w:line="240" w:lineRule="auto"/>
              <w:rPr>
                <w:color w:val="000000"/>
                <w:sz w:val="18"/>
                <w:szCs w:val="18"/>
              </w:rPr>
            </w:pPr>
            <w:r w:rsidRPr="008F6866">
              <w:rPr>
                <w:color w:val="000000" w:themeColor="text1"/>
                <w:sz w:val="18"/>
                <w:szCs w:val="18"/>
              </w:rPr>
              <w:t xml:space="preserve">a [Carpinus betulus L.] </w:t>
            </w:r>
          </w:p>
        </w:tc>
        <w:tc>
          <w:tcPr>
            <w:tcW w:w="992" w:type="dxa"/>
            <w:gridSpan w:val="2"/>
            <w:tcBorders>
              <w:top w:val="nil"/>
              <w:left w:val="nil"/>
              <w:bottom w:val="nil"/>
              <w:right w:val="nil"/>
            </w:tcBorders>
            <w:shd w:val="clear" w:color="auto" w:fill="auto"/>
          </w:tcPr>
          <w:p w14:paraId="6B51BBEB"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0.52</w:t>
            </w:r>
          </w:p>
        </w:tc>
        <w:tc>
          <w:tcPr>
            <w:tcW w:w="1276" w:type="dxa"/>
            <w:tcBorders>
              <w:top w:val="nil"/>
              <w:left w:val="nil"/>
              <w:bottom w:val="nil"/>
              <w:right w:val="nil"/>
            </w:tcBorders>
            <w:shd w:val="clear" w:color="auto" w:fill="auto"/>
          </w:tcPr>
          <w:p w14:paraId="39A31797"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0.47 – 0.56</w:t>
            </w:r>
          </w:p>
        </w:tc>
        <w:tc>
          <w:tcPr>
            <w:tcW w:w="850" w:type="dxa"/>
            <w:tcBorders>
              <w:top w:val="nil"/>
              <w:left w:val="nil"/>
              <w:bottom w:val="nil"/>
              <w:right w:val="nil"/>
            </w:tcBorders>
            <w:shd w:val="clear" w:color="auto" w:fill="auto"/>
          </w:tcPr>
          <w:p w14:paraId="40CCC104" w14:textId="77777777" w:rsidR="00DE4897" w:rsidRPr="008F6866" w:rsidRDefault="00DE4897" w:rsidP="008D668B">
            <w:pPr>
              <w:spacing w:after="120" w:line="240" w:lineRule="auto"/>
              <w:jc w:val="center"/>
              <w:rPr>
                <w:b/>
                <w:color w:val="000000"/>
                <w:sz w:val="18"/>
                <w:szCs w:val="18"/>
              </w:rPr>
            </w:pPr>
            <w:r w:rsidRPr="008F6866">
              <w:rPr>
                <w:b/>
                <w:color w:val="000000"/>
                <w:sz w:val="18"/>
                <w:szCs w:val="18"/>
              </w:rPr>
              <w:t>&lt;0.001</w:t>
            </w:r>
          </w:p>
        </w:tc>
      </w:tr>
      <w:tr w:rsidR="00DE4897" w:rsidRPr="008F6866" w14:paraId="188F5C00" w14:textId="77777777" w:rsidTr="39CFF0FF">
        <w:trPr>
          <w:trHeight w:val="300"/>
          <w:jc w:val="center"/>
        </w:trPr>
        <w:tc>
          <w:tcPr>
            <w:tcW w:w="2375" w:type="dxa"/>
            <w:tcBorders>
              <w:top w:val="nil"/>
              <w:left w:val="nil"/>
              <w:bottom w:val="nil"/>
              <w:right w:val="nil"/>
            </w:tcBorders>
            <w:shd w:val="clear" w:color="auto" w:fill="auto"/>
          </w:tcPr>
          <w:p w14:paraId="765095CE" w14:textId="77777777" w:rsidR="00DE4897" w:rsidRPr="008F6866" w:rsidRDefault="00DE4897" w:rsidP="008D668B">
            <w:pPr>
              <w:spacing w:after="120" w:line="240" w:lineRule="auto"/>
              <w:rPr>
                <w:color w:val="000000"/>
                <w:sz w:val="18"/>
                <w:szCs w:val="18"/>
              </w:rPr>
            </w:pPr>
            <w:r w:rsidRPr="008F6866">
              <w:rPr>
                <w:color w:val="000000"/>
                <w:sz w:val="18"/>
                <w:szCs w:val="18"/>
              </w:rPr>
              <w:t xml:space="preserve">a [Fagus sylvatica L.] </w:t>
            </w:r>
          </w:p>
        </w:tc>
        <w:tc>
          <w:tcPr>
            <w:tcW w:w="992" w:type="dxa"/>
            <w:gridSpan w:val="2"/>
            <w:tcBorders>
              <w:top w:val="nil"/>
              <w:left w:val="nil"/>
              <w:bottom w:val="nil"/>
              <w:right w:val="nil"/>
            </w:tcBorders>
            <w:shd w:val="clear" w:color="auto" w:fill="auto"/>
          </w:tcPr>
          <w:p w14:paraId="0C90001E"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0.23</w:t>
            </w:r>
          </w:p>
        </w:tc>
        <w:tc>
          <w:tcPr>
            <w:tcW w:w="1276" w:type="dxa"/>
            <w:tcBorders>
              <w:top w:val="nil"/>
              <w:left w:val="nil"/>
              <w:bottom w:val="nil"/>
              <w:right w:val="nil"/>
            </w:tcBorders>
            <w:shd w:val="clear" w:color="auto" w:fill="auto"/>
          </w:tcPr>
          <w:p w14:paraId="0B61312E"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0.20 – 0.25</w:t>
            </w:r>
          </w:p>
        </w:tc>
        <w:tc>
          <w:tcPr>
            <w:tcW w:w="850" w:type="dxa"/>
            <w:tcBorders>
              <w:top w:val="nil"/>
              <w:left w:val="nil"/>
              <w:bottom w:val="nil"/>
              <w:right w:val="nil"/>
            </w:tcBorders>
            <w:shd w:val="clear" w:color="auto" w:fill="auto"/>
          </w:tcPr>
          <w:p w14:paraId="2AA8609E" w14:textId="77777777" w:rsidR="00DE4897" w:rsidRPr="008F6866" w:rsidRDefault="00DE4897" w:rsidP="008D668B">
            <w:pPr>
              <w:spacing w:after="120" w:line="240" w:lineRule="auto"/>
              <w:jc w:val="center"/>
              <w:rPr>
                <w:b/>
                <w:color w:val="000000"/>
                <w:sz w:val="18"/>
                <w:szCs w:val="18"/>
              </w:rPr>
            </w:pPr>
            <w:r w:rsidRPr="008F6866">
              <w:rPr>
                <w:b/>
                <w:color w:val="000000"/>
                <w:sz w:val="18"/>
                <w:szCs w:val="18"/>
              </w:rPr>
              <w:t>&lt;0.001</w:t>
            </w:r>
          </w:p>
        </w:tc>
      </w:tr>
      <w:tr w:rsidR="00DE4897" w:rsidRPr="008F6866" w14:paraId="267A2083" w14:textId="77777777" w:rsidTr="39CFF0FF">
        <w:trPr>
          <w:trHeight w:val="300"/>
          <w:jc w:val="center"/>
        </w:trPr>
        <w:tc>
          <w:tcPr>
            <w:tcW w:w="2375" w:type="dxa"/>
            <w:tcBorders>
              <w:top w:val="nil"/>
              <w:left w:val="nil"/>
              <w:bottom w:val="nil"/>
              <w:right w:val="nil"/>
            </w:tcBorders>
            <w:shd w:val="clear" w:color="auto" w:fill="auto"/>
          </w:tcPr>
          <w:p w14:paraId="4EC9343B" w14:textId="77777777" w:rsidR="00DE4897" w:rsidRPr="008F6866" w:rsidRDefault="00DE4897" w:rsidP="008D668B">
            <w:pPr>
              <w:spacing w:after="120" w:line="240" w:lineRule="auto"/>
              <w:rPr>
                <w:color w:val="000000"/>
                <w:sz w:val="18"/>
                <w:szCs w:val="18"/>
              </w:rPr>
            </w:pPr>
            <w:r w:rsidRPr="008F6866">
              <w:rPr>
                <w:color w:val="000000"/>
                <w:sz w:val="18"/>
                <w:szCs w:val="18"/>
              </w:rPr>
              <w:t xml:space="preserve">a [Picea spp.] </w:t>
            </w:r>
          </w:p>
        </w:tc>
        <w:tc>
          <w:tcPr>
            <w:tcW w:w="992" w:type="dxa"/>
            <w:gridSpan w:val="2"/>
            <w:tcBorders>
              <w:top w:val="nil"/>
              <w:left w:val="nil"/>
              <w:bottom w:val="nil"/>
              <w:right w:val="nil"/>
            </w:tcBorders>
            <w:shd w:val="clear" w:color="auto" w:fill="auto"/>
          </w:tcPr>
          <w:p w14:paraId="17E5992C"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0.19</w:t>
            </w:r>
          </w:p>
        </w:tc>
        <w:tc>
          <w:tcPr>
            <w:tcW w:w="1276" w:type="dxa"/>
            <w:tcBorders>
              <w:top w:val="nil"/>
              <w:left w:val="nil"/>
              <w:bottom w:val="nil"/>
              <w:right w:val="nil"/>
            </w:tcBorders>
            <w:shd w:val="clear" w:color="auto" w:fill="auto"/>
          </w:tcPr>
          <w:p w14:paraId="5E31E960"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0.15 – 0.23</w:t>
            </w:r>
          </w:p>
        </w:tc>
        <w:tc>
          <w:tcPr>
            <w:tcW w:w="850" w:type="dxa"/>
            <w:tcBorders>
              <w:top w:val="nil"/>
              <w:left w:val="nil"/>
              <w:bottom w:val="nil"/>
              <w:right w:val="nil"/>
            </w:tcBorders>
            <w:shd w:val="clear" w:color="auto" w:fill="auto"/>
          </w:tcPr>
          <w:p w14:paraId="3BD2F126" w14:textId="77777777" w:rsidR="00DE4897" w:rsidRPr="008F6866" w:rsidRDefault="00DE4897" w:rsidP="008D668B">
            <w:pPr>
              <w:spacing w:after="120" w:line="240" w:lineRule="auto"/>
              <w:jc w:val="center"/>
              <w:rPr>
                <w:b/>
                <w:color w:val="000000"/>
                <w:sz w:val="18"/>
                <w:szCs w:val="18"/>
              </w:rPr>
            </w:pPr>
            <w:r w:rsidRPr="008F6866">
              <w:rPr>
                <w:b/>
                <w:color w:val="000000"/>
                <w:sz w:val="18"/>
                <w:szCs w:val="18"/>
              </w:rPr>
              <w:t>&lt;0.001</w:t>
            </w:r>
          </w:p>
        </w:tc>
      </w:tr>
      <w:tr w:rsidR="00DE4897" w:rsidRPr="008F6866" w14:paraId="7D9562EE" w14:textId="77777777" w:rsidTr="39CFF0FF">
        <w:trPr>
          <w:trHeight w:val="300"/>
          <w:jc w:val="center"/>
        </w:trPr>
        <w:tc>
          <w:tcPr>
            <w:tcW w:w="2375" w:type="dxa"/>
            <w:tcBorders>
              <w:top w:val="nil"/>
              <w:left w:val="nil"/>
              <w:bottom w:val="nil"/>
              <w:right w:val="nil"/>
            </w:tcBorders>
            <w:shd w:val="clear" w:color="auto" w:fill="auto"/>
          </w:tcPr>
          <w:p w14:paraId="363E1609" w14:textId="77777777" w:rsidR="00DE4897" w:rsidRPr="008F6866" w:rsidRDefault="00DE4897" w:rsidP="008D668B">
            <w:pPr>
              <w:spacing w:after="120" w:line="240" w:lineRule="auto"/>
              <w:rPr>
                <w:color w:val="000000"/>
                <w:sz w:val="18"/>
                <w:szCs w:val="18"/>
              </w:rPr>
            </w:pPr>
            <w:r w:rsidRPr="008F6866">
              <w:rPr>
                <w:color w:val="000000"/>
                <w:sz w:val="18"/>
                <w:szCs w:val="18"/>
              </w:rPr>
              <w:t xml:space="preserve">a [Quercus spp.] </w:t>
            </w:r>
          </w:p>
        </w:tc>
        <w:tc>
          <w:tcPr>
            <w:tcW w:w="992" w:type="dxa"/>
            <w:gridSpan w:val="2"/>
            <w:tcBorders>
              <w:top w:val="nil"/>
              <w:left w:val="nil"/>
              <w:bottom w:val="nil"/>
              <w:right w:val="nil"/>
            </w:tcBorders>
            <w:shd w:val="clear" w:color="auto" w:fill="auto"/>
          </w:tcPr>
          <w:p w14:paraId="06E025F3"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0.25</w:t>
            </w:r>
          </w:p>
        </w:tc>
        <w:tc>
          <w:tcPr>
            <w:tcW w:w="1276" w:type="dxa"/>
            <w:tcBorders>
              <w:top w:val="nil"/>
              <w:left w:val="nil"/>
              <w:bottom w:val="nil"/>
              <w:right w:val="nil"/>
            </w:tcBorders>
            <w:shd w:val="clear" w:color="auto" w:fill="auto"/>
          </w:tcPr>
          <w:p w14:paraId="601C841D"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0.18 – 0.32</w:t>
            </w:r>
          </w:p>
        </w:tc>
        <w:tc>
          <w:tcPr>
            <w:tcW w:w="850" w:type="dxa"/>
            <w:tcBorders>
              <w:top w:val="nil"/>
              <w:left w:val="nil"/>
              <w:bottom w:val="nil"/>
              <w:right w:val="nil"/>
            </w:tcBorders>
            <w:shd w:val="clear" w:color="auto" w:fill="auto"/>
          </w:tcPr>
          <w:p w14:paraId="41052626" w14:textId="77777777" w:rsidR="00DE4897" w:rsidRPr="008F6866" w:rsidRDefault="00DE4897" w:rsidP="008D668B">
            <w:pPr>
              <w:spacing w:after="120" w:line="240" w:lineRule="auto"/>
              <w:jc w:val="center"/>
              <w:rPr>
                <w:b/>
                <w:color w:val="000000"/>
                <w:sz w:val="18"/>
                <w:szCs w:val="18"/>
              </w:rPr>
            </w:pPr>
            <w:r w:rsidRPr="008F6866">
              <w:rPr>
                <w:b/>
                <w:color w:val="000000"/>
                <w:sz w:val="18"/>
                <w:szCs w:val="18"/>
              </w:rPr>
              <w:t>&lt;0.001</w:t>
            </w:r>
          </w:p>
        </w:tc>
      </w:tr>
      <w:tr w:rsidR="00DE4897" w:rsidRPr="008F6866" w14:paraId="39BC2790" w14:textId="77777777" w:rsidTr="39CFF0FF">
        <w:trPr>
          <w:trHeight w:val="300"/>
          <w:jc w:val="center"/>
        </w:trPr>
        <w:tc>
          <w:tcPr>
            <w:tcW w:w="2375" w:type="dxa"/>
            <w:tcBorders>
              <w:top w:val="nil"/>
              <w:left w:val="nil"/>
              <w:bottom w:val="nil"/>
              <w:right w:val="nil"/>
            </w:tcBorders>
            <w:shd w:val="clear" w:color="auto" w:fill="auto"/>
          </w:tcPr>
          <w:p w14:paraId="67015093" w14:textId="77777777" w:rsidR="00DE4897" w:rsidRPr="008F6866" w:rsidRDefault="00DE4897" w:rsidP="008D668B">
            <w:pPr>
              <w:spacing w:after="120" w:line="240" w:lineRule="auto"/>
              <w:rPr>
                <w:color w:val="000000"/>
                <w:sz w:val="18"/>
                <w:szCs w:val="18"/>
              </w:rPr>
            </w:pPr>
            <w:r w:rsidRPr="008F6866">
              <w:rPr>
                <w:color w:val="000000"/>
                <w:sz w:val="18"/>
                <w:szCs w:val="18"/>
              </w:rPr>
              <w:t xml:space="preserve">a [Sorbus aucuparia L.] </w:t>
            </w:r>
          </w:p>
        </w:tc>
        <w:tc>
          <w:tcPr>
            <w:tcW w:w="992" w:type="dxa"/>
            <w:gridSpan w:val="2"/>
            <w:tcBorders>
              <w:top w:val="nil"/>
              <w:left w:val="nil"/>
              <w:bottom w:val="nil"/>
              <w:right w:val="nil"/>
            </w:tcBorders>
            <w:shd w:val="clear" w:color="auto" w:fill="auto"/>
          </w:tcPr>
          <w:p w14:paraId="387D0B04"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0.03</w:t>
            </w:r>
          </w:p>
        </w:tc>
        <w:tc>
          <w:tcPr>
            <w:tcW w:w="1276" w:type="dxa"/>
            <w:tcBorders>
              <w:top w:val="nil"/>
              <w:left w:val="nil"/>
              <w:bottom w:val="nil"/>
              <w:right w:val="nil"/>
            </w:tcBorders>
            <w:shd w:val="clear" w:color="auto" w:fill="auto"/>
          </w:tcPr>
          <w:p w14:paraId="301C7CB5"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-0.22 – 0.28</w:t>
            </w:r>
          </w:p>
        </w:tc>
        <w:tc>
          <w:tcPr>
            <w:tcW w:w="850" w:type="dxa"/>
            <w:tcBorders>
              <w:top w:val="nil"/>
              <w:left w:val="nil"/>
              <w:bottom w:val="nil"/>
              <w:right w:val="nil"/>
            </w:tcBorders>
            <w:shd w:val="clear" w:color="auto" w:fill="auto"/>
          </w:tcPr>
          <w:p w14:paraId="4FE906F1"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0.832</w:t>
            </w:r>
          </w:p>
        </w:tc>
      </w:tr>
      <w:tr w:rsidR="00DE4897" w:rsidRPr="008F6866" w14:paraId="01000F2C" w14:textId="77777777" w:rsidTr="39CFF0FF">
        <w:trPr>
          <w:trHeight w:val="300"/>
          <w:jc w:val="center"/>
        </w:trPr>
        <w:tc>
          <w:tcPr>
            <w:tcW w:w="2375" w:type="dxa"/>
            <w:tcBorders>
              <w:top w:val="nil"/>
              <w:left w:val="nil"/>
              <w:bottom w:val="nil"/>
              <w:right w:val="nil"/>
            </w:tcBorders>
            <w:shd w:val="clear" w:color="auto" w:fill="auto"/>
          </w:tcPr>
          <w:p w14:paraId="02469B41" w14:textId="77777777" w:rsidR="00DE4897" w:rsidRPr="008F6866" w:rsidRDefault="00DE4897" w:rsidP="008D668B">
            <w:pPr>
              <w:spacing w:after="120" w:line="240" w:lineRule="auto"/>
              <w:rPr>
                <w:color w:val="000000"/>
                <w:sz w:val="18"/>
                <w:szCs w:val="18"/>
              </w:rPr>
            </w:pPr>
            <w:r w:rsidRPr="008F6866">
              <w:rPr>
                <w:color w:val="000000"/>
                <w:sz w:val="18"/>
                <w:szCs w:val="18"/>
              </w:rPr>
              <w:t xml:space="preserve">b [Acer pseudoplatanus L.] </w:t>
            </w:r>
          </w:p>
        </w:tc>
        <w:tc>
          <w:tcPr>
            <w:tcW w:w="992" w:type="dxa"/>
            <w:gridSpan w:val="2"/>
            <w:tcBorders>
              <w:top w:val="nil"/>
              <w:left w:val="nil"/>
              <w:bottom w:val="nil"/>
              <w:right w:val="nil"/>
            </w:tcBorders>
            <w:shd w:val="clear" w:color="auto" w:fill="auto"/>
          </w:tcPr>
          <w:p w14:paraId="69BEBB37"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-0.01</w:t>
            </w:r>
          </w:p>
        </w:tc>
        <w:tc>
          <w:tcPr>
            <w:tcW w:w="1276" w:type="dxa"/>
            <w:tcBorders>
              <w:top w:val="nil"/>
              <w:left w:val="nil"/>
              <w:bottom w:val="nil"/>
              <w:right w:val="nil"/>
            </w:tcBorders>
            <w:shd w:val="clear" w:color="auto" w:fill="auto"/>
          </w:tcPr>
          <w:p w14:paraId="55212C6F"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-0.14 – 0.11</w:t>
            </w:r>
          </w:p>
        </w:tc>
        <w:tc>
          <w:tcPr>
            <w:tcW w:w="850" w:type="dxa"/>
            <w:tcBorders>
              <w:top w:val="nil"/>
              <w:left w:val="nil"/>
              <w:bottom w:val="nil"/>
              <w:right w:val="nil"/>
            </w:tcBorders>
            <w:shd w:val="clear" w:color="auto" w:fill="auto"/>
          </w:tcPr>
          <w:p w14:paraId="74B28E0A"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0.853</w:t>
            </w:r>
          </w:p>
        </w:tc>
      </w:tr>
      <w:tr w:rsidR="00DE4897" w:rsidRPr="008F6866" w14:paraId="3FFD7359" w14:textId="77777777" w:rsidTr="39CFF0FF">
        <w:trPr>
          <w:trHeight w:val="300"/>
          <w:jc w:val="center"/>
        </w:trPr>
        <w:tc>
          <w:tcPr>
            <w:tcW w:w="2375" w:type="dxa"/>
            <w:tcBorders>
              <w:top w:val="nil"/>
              <w:left w:val="nil"/>
              <w:bottom w:val="nil"/>
              <w:right w:val="nil"/>
            </w:tcBorders>
            <w:shd w:val="clear" w:color="auto" w:fill="auto"/>
          </w:tcPr>
          <w:p w14:paraId="7A52B012" w14:textId="77777777" w:rsidR="00DE4897" w:rsidRPr="008F6866" w:rsidRDefault="00DE4897" w:rsidP="008D668B">
            <w:pPr>
              <w:spacing w:after="120" w:line="240" w:lineRule="auto"/>
              <w:rPr>
                <w:color w:val="000000"/>
                <w:sz w:val="18"/>
                <w:szCs w:val="18"/>
              </w:rPr>
            </w:pPr>
            <w:r w:rsidRPr="008F6866">
              <w:rPr>
                <w:color w:val="000000"/>
                <w:sz w:val="18"/>
                <w:szCs w:val="18"/>
              </w:rPr>
              <w:t xml:space="preserve">b [Betula spp.] </w:t>
            </w:r>
          </w:p>
        </w:tc>
        <w:tc>
          <w:tcPr>
            <w:tcW w:w="992" w:type="dxa"/>
            <w:gridSpan w:val="2"/>
            <w:tcBorders>
              <w:top w:val="nil"/>
              <w:left w:val="nil"/>
              <w:bottom w:val="nil"/>
              <w:right w:val="nil"/>
            </w:tcBorders>
            <w:shd w:val="clear" w:color="auto" w:fill="auto"/>
          </w:tcPr>
          <w:p w14:paraId="51399F5F"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-0.07</w:t>
            </w:r>
          </w:p>
        </w:tc>
        <w:tc>
          <w:tcPr>
            <w:tcW w:w="1276" w:type="dxa"/>
            <w:tcBorders>
              <w:top w:val="nil"/>
              <w:left w:val="nil"/>
              <w:bottom w:val="nil"/>
              <w:right w:val="nil"/>
            </w:tcBorders>
            <w:shd w:val="clear" w:color="auto" w:fill="auto"/>
          </w:tcPr>
          <w:p w14:paraId="2AA3D60E"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-0.19 – 0.05</w:t>
            </w:r>
          </w:p>
        </w:tc>
        <w:tc>
          <w:tcPr>
            <w:tcW w:w="850" w:type="dxa"/>
            <w:tcBorders>
              <w:top w:val="nil"/>
              <w:left w:val="nil"/>
              <w:bottom w:val="nil"/>
              <w:right w:val="nil"/>
            </w:tcBorders>
            <w:shd w:val="clear" w:color="auto" w:fill="auto"/>
          </w:tcPr>
          <w:p w14:paraId="6A57A90E"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0.253</w:t>
            </w:r>
          </w:p>
        </w:tc>
      </w:tr>
      <w:tr w:rsidR="00DE4897" w:rsidRPr="008F6866" w14:paraId="08088488" w14:textId="77777777" w:rsidTr="39CFF0FF">
        <w:trPr>
          <w:trHeight w:val="300"/>
          <w:jc w:val="center"/>
        </w:trPr>
        <w:tc>
          <w:tcPr>
            <w:tcW w:w="2375" w:type="dxa"/>
            <w:tcBorders>
              <w:top w:val="nil"/>
              <w:left w:val="nil"/>
              <w:bottom w:val="nil"/>
              <w:right w:val="nil"/>
            </w:tcBorders>
            <w:shd w:val="clear" w:color="auto" w:fill="auto"/>
          </w:tcPr>
          <w:p w14:paraId="793F016F" w14:textId="77777777" w:rsidR="00DE4897" w:rsidRPr="008F6866" w:rsidRDefault="39CFF0FF" w:rsidP="39CFF0FF">
            <w:pPr>
              <w:spacing w:after="120" w:line="240" w:lineRule="auto"/>
              <w:rPr>
                <w:color w:val="000000"/>
                <w:sz w:val="18"/>
                <w:szCs w:val="18"/>
              </w:rPr>
            </w:pPr>
            <w:r w:rsidRPr="008F6866">
              <w:rPr>
                <w:color w:val="000000" w:themeColor="text1"/>
                <w:sz w:val="18"/>
                <w:szCs w:val="18"/>
              </w:rPr>
              <w:t xml:space="preserve">b [Carpinus betulus L.] </w:t>
            </w:r>
          </w:p>
        </w:tc>
        <w:tc>
          <w:tcPr>
            <w:tcW w:w="992" w:type="dxa"/>
            <w:gridSpan w:val="2"/>
            <w:tcBorders>
              <w:top w:val="nil"/>
              <w:left w:val="nil"/>
              <w:bottom w:val="nil"/>
              <w:right w:val="nil"/>
            </w:tcBorders>
            <w:shd w:val="clear" w:color="auto" w:fill="auto"/>
          </w:tcPr>
          <w:p w14:paraId="0126F2F1"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-0.18</w:t>
            </w:r>
          </w:p>
        </w:tc>
        <w:tc>
          <w:tcPr>
            <w:tcW w:w="1276" w:type="dxa"/>
            <w:tcBorders>
              <w:top w:val="nil"/>
              <w:left w:val="nil"/>
              <w:bottom w:val="nil"/>
              <w:right w:val="nil"/>
            </w:tcBorders>
            <w:shd w:val="clear" w:color="auto" w:fill="auto"/>
          </w:tcPr>
          <w:p w14:paraId="4E42C584"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-0.26 – -0.11</w:t>
            </w:r>
          </w:p>
        </w:tc>
        <w:tc>
          <w:tcPr>
            <w:tcW w:w="850" w:type="dxa"/>
            <w:tcBorders>
              <w:top w:val="nil"/>
              <w:left w:val="nil"/>
              <w:bottom w:val="nil"/>
              <w:right w:val="nil"/>
            </w:tcBorders>
            <w:shd w:val="clear" w:color="auto" w:fill="auto"/>
          </w:tcPr>
          <w:p w14:paraId="72A03B1C" w14:textId="77777777" w:rsidR="00DE4897" w:rsidRPr="008F6866" w:rsidRDefault="00DE4897" w:rsidP="008D668B">
            <w:pPr>
              <w:spacing w:after="120" w:line="240" w:lineRule="auto"/>
              <w:jc w:val="center"/>
              <w:rPr>
                <w:b/>
                <w:color w:val="000000"/>
                <w:sz w:val="18"/>
                <w:szCs w:val="18"/>
              </w:rPr>
            </w:pPr>
            <w:r w:rsidRPr="008F6866">
              <w:rPr>
                <w:b/>
                <w:color w:val="000000"/>
                <w:sz w:val="18"/>
                <w:szCs w:val="18"/>
              </w:rPr>
              <w:t>&lt;0.001</w:t>
            </w:r>
          </w:p>
        </w:tc>
      </w:tr>
      <w:tr w:rsidR="00DE4897" w:rsidRPr="008F6866" w14:paraId="5E95CA82" w14:textId="77777777" w:rsidTr="39CFF0FF">
        <w:trPr>
          <w:trHeight w:val="300"/>
          <w:jc w:val="center"/>
        </w:trPr>
        <w:tc>
          <w:tcPr>
            <w:tcW w:w="2375" w:type="dxa"/>
            <w:tcBorders>
              <w:top w:val="nil"/>
              <w:left w:val="nil"/>
              <w:bottom w:val="nil"/>
              <w:right w:val="nil"/>
            </w:tcBorders>
            <w:shd w:val="clear" w:color="auto" w:fill="auto"/>
          </w:tcPr>
          <w:p w14:paraId="49D1037D" w14:textId="77777777" w:rsidR="00DE4897" w:rsidRPr="008F6866" w:rsidRDefault="00DE4897" w:rsidP="008D668B">
            <w:pPr>
              <w:spacing w:after="120" w:line="240" w:lineRule="auto"/>
              <w:rPr>
                <w:color w:val="000000"/>
                <w:sz w:val="18"/>
                <w:szCs w:val="18"/>
              </w:rPr>
            </w:pPr>
            <w:r w:rsidRPr="008F6866">
              <w:rPr>
                <w:color w:val="000000"/>
                <w:sz w:val="18"/>
                <w:szCs w:val="18"/>
              </w:rPr>
              <w:t xml:space="preserve">b [Fagus sylvatica L.] </w:t>
            </w:r>
          </w:p>
        </w:tc>
        <w:tc>
          <w:tcPr>
            <w:tcW w:w="992" w:type="dxa"/>
            <w:gridSpan w:val="2"/>
            <w:tcBorders>
              <w:top w:val="nil"/>
              <w:left w:val="nil"/>
              <w:bottom w:val="nil"/>
              <w:right w:val="nil"/>
            </w:tcBorders>
            <w:shd w:val="clear" w:color="auto" w:fill="auto"/>
          </w:tcPr>
          <w:p w14:paraId="727FA115"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-0.09</w:t>
            </w:r>
          </w:p>
        </w:tc>
        <w:tc>
          <w:tcPr>
            <w:tcW w:w="1276" w:type="dxa"/>
            <w:tcBorders>
              <w:top w:val="nil"/>
              <w:left w:val="nil"/>
              <w:bottom w:val="nil"/>
              <w:right w:val="nil"/>
            </w:tcBorders>
            <w:shd w:val="clear" w:color="auto" w:fill="auto"/>
          </w:tcPr>
          <w:p w14:paraId="25539831"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-0.13 – -0.05</w:t>
            </w:r>
          </w:p>
        </w:tc>
        <w:tc>
          <w:tcPr>
            <w:tcW w:w="850" w:type="dxa"/>
            <w:tcBorders>
              <w:top w:val="nil"/>
              <w:left w:val="nil"/>
              <w:bottom w:val="nil"/>
              <w:right w:val="nil"/>
            </w:tcBorders>
            <w:shd w:val="clear" w:color="auto" w:fill="auto"/>
          </w:tcPr>
          <w:p w14:paraId="1302697E" w14:textId="77777777" w:rsidR="00DE4897" w:rsidRPr="008F6866" w:rsidRDefault="00DE4897" w:rsidP="008D668B">
            <w:pPr>
              <w:spacing w:after="120" w:line="240" w:lineRule="auto"/>
              <w:jc w:val="center"/>
              <w:rPr>
                <w:b/>
                <w:color w:val="000000"/>
                <w:sz w:val="18"/>
                <w:szCs w:val="18"/>
              </w:rPr>
            </w:pPr>
            <w:r w:rsidRPr="008F6866">
              <w:rPr>
                <w:b/>
                <w:color w:val="000000"/>
                <w:sz w:val="18"/>
                <w:szCs w:val="18"/>
              </w:rPr>
              <w:t>&lt;0.001</w:t>
            </w:r>
          </w:p>
        </w:tc>
      </w:tr>
      <w:tr w:rsidR="00DE4897" w:rsidRPr="008F6866" w14:paraId="18EF18F4" w14:textId="77777777" w:rsidTr="39CFF0FF">
        <w:trPr>
          <w:trHeight w:val="300"/>
          <w:jc w:val="center"/>
        </w:trPr>
        <w:tc>
          <w:tcPr>
            <w:tcW w:w="2375" w:type="dxa"/>
            <w:tcBorders>
              <w:top w:val="nil"/>
              <w:left w:val="nil"/>
              <w:bottom w:val="nil"/>
              <w:right w:val="nil"/>
            </w:tcBorders>
            <w:shd w:val="clear" w:color="auto" w:fill="auto"/>
          </w:tcPr>
          <w:p w14:paraId="3386BEDC" w14:textId="77777777" w:rsidR="00DE4897" w:rsidRPr="008F6866" w:rsidRDefault="00DE4897" w:rsidP="008D668B">
            <w:pPr>
              <w:spacing w:after="120" w:line="240" w:lineRule="auto"/>
              <w:rPr>
                <w:color w:val="000000"/>
                <w:sz w:val="18"/>
                <w:szCs w:val="18"/>
              </w:rPr>
            </w:pPr>
            <w:r w:rsidRPr="008F6866">
              <w:rPr>
                <w:color w:val="000000"/>
                <w:sz w:val="18"/>
                <w:szCs w:val="18"/>
              </w:rPr>
              <w:t xml:space="preserve">b [Picea spp.] </w:t>
            </w:r>
          </w:p>
        </w:tc>
        <w:tc>
          <w:tcPr>
            <w:tcW w:w="992" w:type="dxa"/>
            <w:gridSpan w:val="2"/>
            <w:tcBorders>
              <w:top w:val="nil"/>
              <w:left w:val="nil"/>
              <w:bottom w:val="nil"/>
              <w:right w:val="nil"/>
            </w:tcBorders>
            <w:shd w:val="clear" w:color="auto" w:fill="auto"/>
          </w:tcPr>
          <w:p w14:paraId="5354CB66"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w:t>
            </w:r>
          </w:p>
        </w:tc>
        <w:tc>
          <w:tcPr>
            <w:tcW w:w="1276" w:type="dxa"/>
            <w:tcBorders>
              <w:top w:val="nil"/>
              <w:left w:val="nil"/>
              <w:bottom w:val="nil"/>
              <w:right w:val="nil"/>
            </w:tcBorders>
            <w:shd w:val="clear" w:color="auto" w:fill="auto"/>
          </w:tcPr>
          <w:p w14:paraId="770BDAD9"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-0.20 – 0.21</w:t>
            </w:r>
          </w:p>
        </w:tc>
        <w:tc>
          <w:tcPr>
            <w:tcW w:w="850" w:type="dxa"/>
            <w:tcBorders>
              <w:top w:val="nil"/>
              <w:left w:val="nil"/>
              <w:bottom w:val="nil"/>
              <w:right w:val="nil"/>
            </w:tcBorders>
            <w:shd w:val="clear" w:color="auto" w:fill="auto"/>
          </w:tcPr>
          <w:p w14:paraId="1CD7AC06"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0.966</w:t>
            </w:r>
          </w:p>
        </w:tc>
      </w:tr>
      <w:tr w:rsidR="00DE4897" w:rsidRPr="008F6866" w14:paraId="585DE16B" w14:textId="77777777" w:rsidTr="39CFF0FF">
        <w:trPr>
          <w:trHeight w:val="300"/>
          <w:jc w:val="center"/>
        </w:trPr>
        <w:tc>
          <w:tcPr>
            <w:tcW w:w="2375" w:type="dxa"/>
            <w:tcBorders>
              <w:top w:val="nil"/>
              <w:left w:val="nil"/>
              <w:bottom w:val="nil"/>
              <w:right w:val="nil"/>
            </w:tcBorders>
            <w:shd w:val="clear" w:color="auto" w:fill="auto"/>
          </w:tcPr>
          <w:p w14:paraId="279D1A04" w14:textId="77777777" w:rsidR="00DE4897" w:rsidRPr="008F6866" w:rsidRDefault="00DE4897" w:rsidP="008D668B">
            <w:pPr>
              <w:spacing w:after="120" w:line="240" w:lineRule="auto"/>
              <w:rPr>
                <w:color w:val="000000"/>
                <w:sz w:val="18"/>
                <w:szCs w:val="18"/>
              </w:rPr>
            </w:pPr>
            <w:r w:rsidRPr="008F6866">
              <w:rPr>
                <w:color w:val="000000"/>
                <w:sz w:val="18"/>
                <w:szCs w:val="18"/>
              </w:rPr>
              <w:t>b [Quercus spp.]</w:t>
            </w:r>
          </w:p>
        </w:tc>
        <w:tc>
          <w:tcPr>
            <w:tcW w:w="992" w:type="dxa"/>
            <w:gridSpan w:val="2"/>
            <w:tcBorders>
              <w:top w:val="nil"/>
              <w:left w:val="nil"/>
              <w:bottom w:val="nil"/>
              <w:right w:val="nil"/>
            </w:tcBorders>
            <w:shd w:val="clear" w:color="auto" w:fill="auto"/>
          </w:tcPr>
          <w:p w14:paraId="50FBC8F8"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-0.14</w:t>
            </w:r>
          </w:p>
        </w:tc>
        <w:tc>
          <w:tcPr>
            <w:tcW w:w="1276" w:type="dxa"/>
            <w:tcBorders>
              <w:top w:val="nil"/>
              <w:left w:val="nil"/>
              <w:bottom w:val="nil"/>
              <w:right w:val="nil"/>
            </w:tcBorders>
            <w:shd w:val="clear" w:color="auto" w:fill="auto"/>
          </w:tcPr>
          <w:p w14:paraId="6659B0CD"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-0.27 – -0.02</w:t>
            </w:r>
          </w:p>
        </w:tc>
        <w:tc>
          <w:tcPr>
            <w:tcW w:w="850" w:type="dxa"/>
            <w:tcBorders>
              <w:top w:val="nil"/>
              <w:left w:val="nil"/>
              <w:bottom w:val="nil"/>
              <w:right w:val="nil"/>
            </w:tcBorders>
            <w:shd w:val="clear" w:color="auto" w:fill="auto"/>
          </w:tcPr>
          <w:p w14:paraId="19E09918" w14:textId="77777777" w:rsidR="00DE4897" w:rsidRPr="008F6866" w:rsidRDefault="00DE4897" w:rsidP="008D668B">
            <w:pPr>
              <w:spacing w:after="120" w:line="240" w:lineRule="auto"/>
              <w:jc w:val="center"/>
              <w:rPr>
                <w:b/>
                <w:color w:val="000000"/>
                <w:sz w:val="18"/>
                <w:szCs w:val="18"/>
              </w:rPr>
            </w:pPr>
            <w:r w:rsidRPr="008F6866">
              <w:rPr>
                <w:b/>
                <w:color w:val="000000"/>
                <w:sz w:val="18"/>
                <w:szCs w:val="18"/>
              </w:rPr>
              <w:t>0.027</w:t>
            </w:r>
          </w:p>
        </w:tc>
      </w:tr>
      <w:tr w:rsidR="00DE4897" w:rsidRPr="008F6866" w14:paraId="38D4F104" w14:textId="77777777" w:rsidTr="39CFF0FF">
        <w:trPr>
          <w:trHeight w:val="300"/>
          <w:jc w:val="center"/>
        </w:trPr>
        <w:tc>
          <w:tcPr>
            <w:tcW w:w="2375" w:type="dxa"/>
            <w:tcBorders>
              <w:top w:val="nil"/>
              <w:left w:val="nil"/>
              <w:bottom w:val="nil"/>
              <w:right w:val="nil"/>
            </w:tcBorders>
            <w:shd w:val="clear" w:color="auto" w:fill="auto"/>
          </w:tcPr>
          <w:p w14:paraId="249DAC73" w14:textId="77777777" w:rsidR="00DE4897" w:rsidRPr="008F6866" w:rsidRDefault="00DE4897" w:rsidP="008D668B">
            <w:pPr>
              <w:spacing w:after="120" w:line="240" w:lineRule="auto"/>
              <w:rPr>
                <w:color w:val="000000"/>
                <w:sz w:val="18"/>
                <w:szCs w:val="18"/>
              </w:rPr>
            </w:pPr>
            <w:r w:rsidRPr="008F6866">
              <w:rPr>
                <w:color w:val="000000"/>
                <w:sz w:val="18"/>
                <w:szCs w:val="18"/>
              </w:rPr>
              <w:t>b [Sorbus aucuparia L.]</w:t>
            </w:r>
          </w:p>
        </w:tc>
        <w:tc>
          <w:tcPr>
            <w:tcW w:w="992" w:type="dxa"/>
            <w:gridSpan w:val="2"/>
            <w:tcBorders>
              <w:top w:val="nil"/>
              <w:left w:val="nil"/>
              <w:bottom w:val="nil"/>
              <w:right w:val="nil"/>
            </w:tcBorders>
            <w:shd w:val="clear" w:color="auto" w:fill="auto"/>
          </w:tcPr>
          <w:p w14:paraId="4FED84CE"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0.06</w:t>
            </w:r>
          </w:p>
        </w:tc>
        <w:tc>
          <w:tcPr>
            <w:tcW w:w="1276" w:type="dxa"/>
            <w:tcBorders>
              <w:top w:val="nil"/>
              <w:left w:val="nil"/>
              <w:bottom w:val="nil"/>
              <w:right w:val="nil"/>
            </w:tcBorders>
            <w:shd w:val="clear" w:color="auto" w:fill="auto"/>
          </w:tcPr>
          <w:p w14:paraId="660CA22F"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-0.20 – 0.32</w:t>
            </w:r>
          </w:p>
        </w:tc>
        <w:tc>
          <w:tcPr>
            <w:tcW w:w="850" w:type="dxa"/>
            <w:tcBorders>
              <w:top w:val="nil"/>
              <w:left w:val="nil"/>
              <w:bottom w:val="nil"/>
              <w:right w:val="nil"/>
            </w:tcBorders>
            <w:shd w:val="clear" w:color="auto" w:fill="auto"/>
          </w:tcPr>
          <w:p w14:paraId="0DB6CCA1" w14:textId="77777777" w:rsidR="00DE4897" w:rsidRPr="008F6866" w:rsidRDefault="00DE4897" w:rsidP="008D668B">
            <w:pPr>
              <w:spacing w:after="120" w:line="240" w:lineRule="auto"/>
              <w:jc w:val="center"/>
              <w:rPr>
                <w:color w:val="000000"/>
                <w:sz w:val="18"/>
                <w:szCs w:val="18"/>
              </w:rPr>
            </w:pPr>
            <w:r w:rsidRPr="008F6866">
              <w:rPr>
                <w:color w:val="000000"/>
                <w:sz w:val="18"/>
                <w:szCs w:val="18"/>
              </w:rPr>
              <w:t>0.663</w:t>
            </w:r>
          </w:p>
        </w:tc>
      </w:tr>
      <w:tr w:rsidR="00DE4897" w:rsidRPr="008F6866" w14:paraId="0E511B48" w14:textId="77777777" w:rsidTr="39CFF0FF">
        <w:trPr>
          <w:trHeight w:val="300"/>
          <w:jc w:val="center"/>
        </w:trPr>
        <w:tc>
          <w:tcPr>
            <w:tcW w:w="5493" w:type="dxa"/>
            <w:gridSpan w:val="5"/>
            <w:tcBorders>
              <w:top w:val="single" w:sz="4" w:space="0" w:color="000000" w:themeColor="text1"/>
              <w:left w:val="nil"/>
              <w:bottom w:val="nil"/>
              <w:right w:val="nil"/>
            </w:tcBorders>
            <w:shd w:val="clear" w:color="auto" w:fill="auto"/>
            <w:vAlign w:val="center"/>
          </w:tcPr>
          <w:p w14:paraId="5C2EE697" w14:textId="77777777" w:rsidR="00DE4897" w:rsidRPr="008F6866" w:rsidRDefault="00DE4897" w:rsidP="008D668B">
            <w:pPr>
              <w:spacing w:after="120" w:line="240" w:lineRule="auto"/>
              <w:rPr>
                <w:b/>
                <w:color w:val="000000"/>
                <w:sz w:val="18"/>
                <w:szCs w:val="18"/>
              </w:rPr>
            </w:pPr>
            <w:r w:rsidRPr="008F6866">
              <w:rPr>
                <w:b/>
                <w:color w:val="000000"/>
                <w:sz w:val="18"/>
                <w:szCs w:val="18"/>
              </w:rPr>
              <w:t>Random Effects</w:t>
            </w:r>
          </w:p>
        </w:tc>
      </w:tr>
      <w:tr w:rsidR="00DE4897" w:rsidRPr="008F6866" w14:paraId="760CA987" w14:textId="77777777" w:rsidTr="39CFF0FF">
        <w:trPr>
          <w:trHeight w:val="360"/>
          <w:jc w:val="center"/>
        </w:trPr>
        <w:tc>
          <w:tcPr>
            <w:tcW w:w="2375" w:type="dxa"/>
            <w:tcBorders>
              <w:top w:val="nil"/>
              <w:left w:val="nil"/>
              <w:bottom w:val="nil"/>
              <w:right w:val="nil"/>
            </w:tcBorders>
            <w:shd w:val="clear" w:color="auto" w:fill="auto"/>
          </w:tcPr>
          <w:p w14:paraId="58904643" w14:textId="77777777" w:rsidR="00DE4897" w:rsidRPr="008F6866" w:rsidRDefault="00DE4897" w:rsidP="008D668B">
            <w:pPr>
              <w:spacing w:after="120" w:line="240" w:lineRule="auto"/>
              <w:rPr>
                <w:color w:val="000000"/>
                <w:sz w:val="18"/>
                <w:szCs w:val="18"/>
              </w:rPr>
            </w:pPr>
            <w:r w:rsidRPr="008F6866">
              <w:rPr>
                <w:color w:val="000000"/>
                <w:sz w:val="18"/>
                <w:szCs w:val="18"/>
              </w:rPr>
              <w:t>σ</w:t>
            </w:r>
            <w:r w:rsidRPr="008F6866">
              <w:rPr>
                <w:color w:val="000000"/>
                <w:sz w:val="18"/>
                <w:szCs w:val="18"/>
                <w:vertAlign w:val="superscript"/>
              </w:rPr>
              <w:t>2</w:t>
            </w:r>
          </w:p>
        </w:tc>
        <w:tc>
          <w:tcPr>
            <w:tcW w:w="798" w:type="dxa"/>
            <w:tcBorders>
              <w:top w:val="nil"/>
              <w:left w:val="nil"/>
              <w:bottom w:val="nil"/>
              <w:right w:val="nil"/>
            </w:tcBorders>
            <w:shd w:val="clear" w:color="auto" w:fill="auto"/>
          </w:tcPr>
          <w:p w14:paraId="31E45F84" w14:textId="77777777" w:rsidR="00DE4897" w:rsidRPr="008F6866" w:rsidRDefault="00DE4897" w:rsidP="008D668B">
            <w:pPr>
              <w:spacing w:after="120" w:line="240" w:lineRule="auto"/>
              <w:jc w:val="right"/>
              <w:rPr>
                <w:color w:val="000000"/>
                <w:sz w:val="18"/>
                <w:szCs w:val="18"/>
              </w:rPr>
            </w:pPr>
            <w:r w:rsidRPr="008F6866">
              <w:rPr>
                <w:color w:val="000000"/>
                <w:sz w:val="18"/>
                <w:szCs w:val="18"/>
              </w:rPr>
              <w:t>31.39</w:t>
            </w:r>
          </w:p>
        </w:tc>
        <w:tc>
          <w:tcPr>
            <w:tcW w:w="2320" w:type="dxa"/>
            <w:gridSpan w:val="3"/>
            <w:tcBorders>
              <w:top w:val="nil"/>
              <w:left w:val="nil"/>
              <w:bottom w:val="nil"/>
              <w:right w:val="nil"/>
            </w:tcBorders>
            <w:shd w:val="clear" w:color="auto" w:fill="auto"/>
          </w:tcPr>
          <w:p w14:paraId="2131295D" w14:textId="77777777" w:rsidR="00DE4897" w:rsidRPr="008F6866" w:rsidRDefault="00DE4897" w:rsidP="008D668B">
            <w:pPr>
              <w:spacing w:after="120" w:line="240" w:lineRule="auto"/>
              <w:rPr>
                <w:color w:val="000000"/>
                <w:sz w:val="18"/>
                <w:szCs w:val="18"/>
              </w:rPr>
            </w:pPr>
          </w:p>
        </w:tc>
      </w:tr>
      <w:tr w:rsidR="00DE4897" w:rsidRPr="008F6866" w14:paraId="58C4DE03" w14:textId="77777777" w:rsidTr="39CFF0FF">
        <w:trPr>
          <w:trHeight w:val="330"/>
          <w:jc w:val="center"/>
        </w:trPr>
        <w:tc>
          <w:tcPr>
            <w:tcW w:w="2375" w:type="dxa"/>
            <w:tcBorders>
              <w:top w:val="nil"/>
              <w:left w:val="nil"/>
              <w:bottom w:val="nil"/>
              <w:right w:val="nil"/>
            </w:tcBorders>
            <w:shd w:val="clear" w:color="auto" w:fill="auto"/>
          </w:tcPr>
          <w:p w14:paraId="5ED08A97" w14:textId="77777777" w:rsidR="00DE4897" w:rsidRPr="008F6866" w:rsidRDefault="00DE4897" w:rsidP="008D668B">
            <w:pPr>
              <w:spacing w:after="120" w:line="240" w:lineRule="auto"/>
              <w:rPr>
                <w:color w:val="000000"/>
                <w:sz w:val="18"/>
                <w:szCs w:val="18"/>
              </w:rPr>
            </w:pPr>
            <w:r w:rsidRPr="008F6866">
              <w:rPr>
                <w:color w:val="000000"/>
                <w:sz w:val="18"/>
                <w:szCs w:val="18"/>
              </w:rPr>
              <w:t>τ</w:t>
            </w:r>
            <w:r w:rsidRPr="008F6866">
              <w:rPr>
                <w:color w:val="000000"/>
                <w:sz w:val="18"/>
                <w:szCs w:val="18"/>
                <w:vertAlign w:val="subscript"/>
              </w:rPr>
              <w:t>00</w:t>
            </w:r>
            <w:r w:rsidRPr="008F6866">
              <w:rPr>
                <w:color w:val="000000"/>
                <w:sz w:val="18"/>
                <w:szCs w:val="18"/>
              </w:rPr>
              <w:t> </w:t>
            </w:r>
            <w:r w:rsidRPr="008F6866">
              <w:rPr>
                <w:color w:val="000000"/>
                <w:sz w:val="18"/>
                <w:szCs w:val="18"/>
                <w:vertAlign w:val="subscript"/>
              </w:rPr>
              <w:t>plot</w:t>
            </w:r>
          </w:p>
        </w:tc>
        <w:tc>
          <w:tcPr>
            <w:tcW w:w="798" w:type="dxa"/>
            <w:tcBorders>
              <w:top w:val="nil"/>
              <w:left w:val="nil"/>
              <w:bottom w:val="nil"/>
              <w:right w:val="nil"/>
            </w:tcBorders>
            <w:shd w:val="clear" w:color="auto" w:fill="auto"/>
          </w:tcPr>
          <w:p w14:paraId="0161A816" w14:textId="77777777" w:rsidR="00DE4897" w:rsidRPr="008F6866" w:rsidRDefault="00DE4897" w:rsidP="008D668B">
            <w:pPr>
              <w:spacing w:after="120" w:line="240" w:lineRule="auto"/>
              <w:jc w:val="right"/>
              <w:rPr>
                <w:color w:val="000000"/>
                <w:sz w:val="18"/>
                <w:szCs w:val="18"/>
              </w:rPr>
            </w:pPr>
            <w:r w:rsidRPr="008F6866">
              <w:rPr>
                <w:color w:val="000000"/>
                <w:sz w:val="18"/>
                <w:szCs w:val="18"/>
              </w:rPr>
              <w:t>9.59</w:t>
            </w:r>
          </w:p>
        </w:tc>
        <w:tc>
          <w:tcPr>
            <w:tcW w:w="2320" w:type="dxa"/>
            <w:gridSpan w:val="3"/>
            <w:tcBorders>
              <w:top w:val="nil"/>
              <w:left w:val="nil"/>
              <w:bottom w:val="nil"/>
              <w:right w:val="nil"/>
            </w:tcBorders>
            <w:shd w:val="clear" w:color="auto" w:fill="auto"/>
          </w:tcPr>
          <w:p w14:paraId="1A7A16AE" w14:textId="77777777" w:rsidR="00DE4897" w:rsidRPr="008F6866" w:rsidRDefault="00DE4897" w:rsidP="008D668B">
            <w:pPr>
              <w:spacing w:after="120" w:line="240" w:lineRule="auto"/>
              <w:rPr>
                <w:color w:val="000000"/>
                <w:sz w:val="18"/>
                <w:szCs w:val="18"/>
              </w:rPr>
            </w:pPr>
          </w:p>
        </w:tc>
      </w:tr>
      <w:tr w:rsidR="00DE4897" w:rsidRPr="008F6866" w14:paraId="7596EF48" w14:textId="77777777" w:rsidTr="39CFF0FF">
        <w:trPr>
          <w:trHeight w:val="300"/>
          <w:jc w:val="center"/>
        </w:trPr>
        <w:tc>
          <w:tcPr>
            <w:tcW w:w="2375" w:type="dxa"/>
            <w:tcBorders>
              <w:top w:val="nil"/>
              <w:left w:val="nil"/>
              <w:bottom w:val="nil"/>
              <w:right w:val="nil"/>
            </w:tcBorders>
            <w:shd w:val="clear" w:color="auto" w:fill="auto"/>
          </w:tcPr>
          <w:p w14:paraId="13860567" w14:textId="77777777" w:rsidR="00DE4897" w:rsidRPr="008F6866" w:rsidRDefault="00DE4897" w:rsidP="008D668B">
            <w:pPr>
              <w:spacing w:after="120" w:line="240" w:lineRule="auto"/>
              <w:rPr>
                <w:color w:val="000000"/>
                <w:sz w:val="18"/>
                <w:szCs w:val="18"/>
              </w:rPr>
            </w:pPr>
            <w:r w:rsidRPr="008F6866">
              <w:rPr>
                <w:color w:val="000000"/>
                <w:sz w:val="18"/>
                <w:szCs w:val="18"/>
              </w:rPr>
              <w:t>ICC</w:t>
            </w:r>
          </w:p>
        </w:tc>
        <w:tc>
          <w:tcPr>
            <w:tcW w:w="798" w:type="dxa"/>
            <w:tcBorders>
              <w:top w:val="nil"/>
              <w:left w:val="nil"/>
              <w:bottom w:val="nil"/>
              <w:right w:val="nil"/>
            </w:tcBorders>
            <w:shd w:val="clear" w:color="auto" w:fill="auto"/>
          </w:tcPr>
          <w:p w14:paraId="1789F638" w14:textId="77777777" w:rsidR="00DE4897" w:rsidRPr="008F6866" w:rsidRDefault="00DE4897" w:rsidP="008D668B">
            <w:pPr>
              <w:spacing w:after="120" w:line="240" w:lineRule="auto"/>
              <w:jc w:val="right"/>
              <w:rPr>
                <w:color w:val="000000"/>
                <w:sz w:val="18"/>
                <w:szCs w:val="18"/>
              </w:rPr>
            </w:pPr>
            <w:r w:rsidRPr="008F6866">
              <w:rPr>
                <w:color w:val="000000"/>
                <w:sz w:val="18"/>
                <w:szCs w:val="18"/>
              </w:rPr>
              <w:t>0.23</w:t>
            </w:r>
          </w:p>
        </w:tc>
        <w:tc>
          <w:tcPr>
            <w:tcW w:w="2320" w:type="dxa"/>
            <w:gridSpan w:val="3"/>
            <w:tcBorders>
              <w:top w:val="nil"/>
              <w:left w:val="nil"/>
              <w:bottom w:val="nil"/>
              <w:right w:val="nil"/>
            </w:tcBorders>
            <w:shd w:val="clear" w:color="auto" w:fill="auto"/>
          </w:tcPr>
          <w:p w14:paraId="22B785DB" w14:textId="77777777" w:rsidR="00DE4897" w:rsidRPr="008F6866" w:rsidRDefault="00DE4897" w:rsidP="008D668B">
            <w:pPr>
              <w:spacing w:after="120" w:line="240" w:lineRule="auto"/>
              <w:rPr>
                <w:color w:val="000000"/>
                <w:sz w:val="18"/>
                <w:szCs w:val="18"/>
              </w:rPr>
            </w:pPr>
          </w:p>
        </w:tc>
      </w:tr>
      <w:tr w:rsidR="00DE4897" w:rsidRPr="008F6866" w14:paraId="1638984A" w14:textId="77777777" w:rsidTr="39CFF0FF">
        <w:trPr>
          <w:trHeight w:val="345"/>
          <w:jc w:val="center"/>
        </w:trPr>
        <w:tc>
          <w:tcPr>
            <w:tcW w:w="2375" w:type="dxa"/>
            <w:tcBorders>
              <w:top w:val="nil"/>
              <w:left w:val="nil"/>
              <w:bottom w:val="nil"/>
              <w:right w:val="nil"/>
            </w:tcBorders>
            <w:shd w:val="clear" w:color="auto" w:fill="auto"/>
          </w:tcPr>
          <w:p w14:paraId="3A669D5C" w14:textId="77777777" w:rsidR="00DE4897" w:rsidRPr="008F6866" w:rsidRDefault="00DE4897" w:rsidP="008D668B">
            <w:pPr>
              <w:spacing w:after="120" w:line="240" w:lineRule="auto"/>
              <w:rPr>
                <w:color w:val="000000"/>
                <w:sz w:val="18"/>
                <w:szCs w:val="18"/>
              </w:rPr>
            </w:pPr>
            <w:r w:rsidRPr="008F6866">
              <w:rPr>
                <w:color w:val="000000"/>
                <w:sz w:val="18"/>
                <w:szCs w:val="18"/>
              </w:rPr>
              <w:t>N </w:t>
            </w:r>
            <w:r w:rsidRPr="008F6866">
              <w:rPr>
                <w:color w:val="000000"/>
                <w:sz w:val="18"/>
                <w:szCs w:val="18"/>
                <w:vertAlign w:val="subscript"/>
              </w:rPr>
              <w:t>plot</w:t>
            </w:r>
          </w:p>
        </w:tc>
        <w:tc>
          <w:tcPr>
            <w:tcW w:w="798" w:type="dxa"/>
            <w:tcBorders>
              <w:top w:val="nil"/>
              <w:left w:val="nil"/>
              <w:bottom w:val="single" w:sz="8" w:space="0" w:color="000000" w:themeColor="text1"/>
              <w:right w:val="nil"/>
            </w:tcBorders>
            <w:shd w:val="clear" w:color="auto" w:fill="auto"/>
          </w:tcPr>
          <w:p w14:paraId="0DAFA42C" w14:textId="77777777" w:rsidR="00DE4897" w:rsidRPr="008F6866" w:rsidRDefault="00DE4897" w:rsidP="008D668B">
            <w:pPr>
              <w:spacing w:after="120" w:line="240" w:lineRule="auto"/>
              <w:jc w:val="right"/>
              <w:rPr>
                <w:color w:val="000000"/>
                <w:sz w:val="18"/>
                <w:szCs w:val="18"/>
              </w:rPr>
            </w:pPr>
            <w:r w:rsidRPr="008F6866">
              <w:rPr>
                <w:color w:val="000000"/>
                <w:sz w:val="18"/>
                <w:szCs w:val="18"/>
              </w:rPr>
              <w:t>83</w:t>
            </w:r>
          </w:p>
        </w:tc>
        <w:tc>
          <w:tcPr>
            <w:tcW w:w="2320" w:type="dxa"/>
            <w:gridSpan w:val="3"/>
            <w:tcBorders>
              <w:top w:val="nil"/>
              <w:left w:val="nil"/>
              <w:bottom w:val="single" w:sz="8" w:space="0" w:color="000000" w:themeColor="text1"/>
              <w:right w:val="nil"/>
            </w:tcBorders>
            <w:shd w:val="clear" w:color="auto" w:fill="auto"/>
          </w:tcPr>
          <w:p w14:paraId="2639E5FB" w14:textId="77777777" w:rsidR="00DE4897" w:rsidRPr="008F6866" w:rsidRDefault="00DE4897" w:rsidP="008D668B">
            <w:pPr>
              <w:spacing w:after="120" w:line="240" w:lineRule="auto"/>
              <w:rPr>
                <w:color w:val="000000"/>
                <w:sz w:val="18"/>
                <w:szCs w:val="18"/>
              </w:rPr>
            </w:pPr>
          </w:p>
        </w:tc>
      </w:tr>
      <w:tr w:rsidR="00DE4897" w:rsidRPr="008F6866" w14:paraId="33FF3A1C" w14:textId="77777777" w:rsidTr="39CFF0FF">
        <w:trPr>
          <w:trHeight w:val="300"/>
          <w:jc w:val="center"/>
        </w:trPr>
        <w:tc>
          <w:tcPr>
            <w:tcW w:w="2375" w:type="dxa"/>
            <w:tcBorders>
              <w:top w:val="single" w:sz="8" w:space="0" w:color="000000" w:themeColor="text1"/>
              <w:left w:val="nil"/>
              <w:right w:val="nil"/>
            </w:tcBorders>
            <w:shd w:val="clear" w:color="auto" w:fill="auto"/>
          </w:tcPr>
          <w:p w14:paraId="14371B03" w14:textId="77777777" w:rsidR="00DE4897" w:rsidRPr="008F6866" w:rsidRDefault="00DE4897" w:rsidP="008D668B">
            <w:pPr>
              <w:spacing w:after="120" w:line="240" w:lineRule="auto"/>
              <w:rPr>
                <w:color w:val="000000"/>
                <w:sz w:val="18"/>
                <w:szCs w:val="18"/>
              </w:rPr>
            </w:pPr>
            <w:r w:rsidRPr="008F6866">
              <w:rPr>
                <w:color w:val="000000"/>
                <w:sz w:val="18"/>
                <w:szCs w:val="18"/>
              </w:rPr>
              <w:t>Observations</w:t>
            </w:r>
          </w:p>
        </w:tc>
        <w:tc>
          <w:tcPr>
            <w:tcW w:w="798" w:type="dxa"/>
            <w:tcBorders>
              <w:top w:val="single" w:sz="8" w:space="0" w:color="000000" w:themeColor="text1"/>
              <w:left w:val="nil"/>
              <w:right w:val="nil"/>
            </w:tcBorders>
            <w:shd w:val="clear" w:color="auto" w:fill="auto"/>
          </w:tcPr>
          <w:p w14:paraId="21140A8C" w14:textId="77777777" w:rsidR="00DE4897" w:rsidRPr="008F6866" w:rsidRDefault="00DE4897" w:rsidP="008D668B">
            <w:pPr>
              <w:spacing w:after="120" w:line="240" w:lineRule="auto"/>
              <w:jc w:val="right"/>
              <w:rPr>
                <w:color w:val="000000"/>
                <w:sz w:val="18"/>
                <w:szCs w:val="18"/>
              </w:rPr>
            </w:pPr>
            <w:r w:rsidRPr="008F6866">
              <w:rPr>
                <w:color w:val="000000"/>
                <w:sz w:val="18"/>
                <w:szCs w:val="18"/>
              </w:rPr>
              <w:t>664</w:t>
            </w:r>
          </w:p>
        </w:tc>
        <w:tc>
          <w:tcPr>
            <w:tcW w:w="2320" w:type="dxa"/>
            <w:gridSpan w:val="3"/>
            <w:tcBorders>
              <w:top w:val="single" w:sz="8" w:space="0" w:color="000000" w:themeColor="text1"/>
              <w:left w:val="nil"/>
              <w:right w:val="nil"/>
            </w:tcBorders>
            <w:shd w:val="clear" w:color="auto" w:fill="auto"/>
          </w:tcPr>
          <w:p w14:paraId="18E56924" w14:textId="77777777" w:rsidR="00DE4897" w:rsidRPr="008F6866" w:rsidRDefault="00DE4897" w:rsidP="008D668B">
            <w:pPr>
              <w:spacing w:after="120" w:line="240" w:lineRule="auto"/>
              <w:rPr>
                <w:color w:val="000000"/>
                <w:sz w:val="18"/>
                <w:szCs w:val="18"/>
              </w:rPr>
            </w:pPr>
          </w:p>
        </w:tc>
      </w:tr>
      <w:tr w:rsidR="00DE4897" w:rsidRPr="008F6866" w14:paraId="0E93F60D" w14:textId="77777777" w:rsidTr="39CFF0FF">
        <w:trPr>
          <w:trHeight w:val="375"/>
          <w:jc w:val="center"/>
        </w:trPr>
        <w:tc>
          <w:tcPr>
            <w:tcW w:w="2375" w:type="dxa"/>
            <w:tcBorders>
              <w:top w:val="nil"/>
              <w:left w:val="nil"/>
              <w:bottom w:val="single" w:sz="12" w:space="0" w:color="000000" w:themeColor="text1"/>
              <w:right w:val="nil"/>
            </w:tcBorders>
            <w:shd w:val="clear" w:color="auto" w:fill="auto"/>
          </w:tcPr>
          <w:p w14:paraId="61650834" w14:textId="77777777" w:rsidR="00DE4897" w:rsidRPr="008F6866" w:rsidRDefault="00DE4897" w:rsidP="008D668B">
            <w:pPr>
              <w:spacing w:after="120" w:line="240" w:lineRule="auto"/>
              <w:rPr>
                <w:color w:val="000000"/>
                <w:sz w:val="18"/>
                <w:szCs w:val="18"/>
              </w:rPr>
            </w:pPr>
            <w:r w:rsidRPr="008F6866">
              <w:rPr>
                <w:color w:val="000000"/>
                <w:sz w:val="18"/>
                <w:szCs w:val="18"/>
              </w:rPr>
              <w:t>Marginal R</w:t>
            </w:r>
            <w:r w:rsidRPr="008F6866">
              <w:rPr>
                <w:color w:val="000000"/>
                <w:sz w:val="18"/>
                <w:szCs w:val="18"/>
                <w:vertAlign w:val="superscript"/>
              </w:rPr>
              <w:t>2</w:t>
            </w:r>
            <w:r w:rsidRPr="008F6866">
              <w:rPr>
                <w:color w:val="000000"/>
                <w:sz w:val="18"/>
                <w:szCs w:val="18"/>
              </w:rPr>
              <w:t> / Conditional R</w:t>
            </w:r>
            <w:r w:rsidRPr="008F6866">
              <w:rPr>
                <w:color w:val="000000"/>
                <w:sz w:val="18"/>
                <w:szCs w:val="18"/>
                <w:vertAlign w:val="superscript"/>
              </w:rPr>
              <w:t>2</w:t>
            </w:r>
          </w:p>
        </w:tc>
        <w:tc>
          <w:tcPr>
            <w:tcW w:w="3118" w:type="dxa"/>
            <w:gridSpan w:val="4"/>
            <w:tcBorders>
              <w:top w:val="nil"/>
              <w:left w:val="nil"/>
              <w:bottom w:val="single" w:sz="12" w:space="0" w:color="000000" w:themeColor="text1"/>
              <w:right w:val="nil"/>
            </w:tcBorders>
            <w:shd w:val="clear" w:color="auto" w:fill="auto"/>
          </w:tcPr>
          <w:p w14:paraId="7BF8B064" w14:textId="77777777" w:rsidR="00DE4897" w:rsidRPr="008F6866" w:rsidRDefault="00DE4897" w:rsidP="008D668B">
            <w:pPr>
              <w:spacing w:after="120" w:line="240" w:lineRule="auto"/>
              <w:rPr>
                <w:color w:val="000000"/>
                <w:sz w:val="18"/>
                <w:szCs w:val="18"/>
              </w:rPr>
            </w:pPr>
            <w:r w:rsidRPr="008F6866">
              <w:rPr>
                <w:color w:val="000000"/>
                <w:sz w:val="18"/>
                <w:szCs w:val="18"/>
              </w:rPr>
              <w:t>0.496 / 0.614</w:t>
            </w:r>
          </w:p>
        </w:tc>
      </w:tr>
    </w:tbl>
    <w:p w14:paraId="38C0E6E7" w14:textId="77777777" w:rsidR="00074064" w:rsidRPr="008F6866" w:rsidRDefault="00074064" w:rsidP="00DE4897">
      <w:pPr>
        <w:spacing w:after="60"/>
        <w:jc w:val="both"/>
        <w:rPr>
          <w:rFonts w:ascii="Calibri" w:eastAsia="Calibri" w:hAnsi="Calibri" w:cs="Calibri"/>
          <w:b/>
        </w:rPr>
      </w:pPr>
    </w:p>
    <w:p w14:paraId="5D52FECD" w14:textId="751EC6E3" w:rsidR="00DE4897" w:rsidRPr="008F6866" w:rsidRDefault="00DE4897" w:rsidP="00DE4897">
      <w:pPr>
        <w:spacing w:after="60"/>
        <w:jc w:val="both"/>
        <w:rPr>
          <w:rFonts w:ascii="Calibri" w:eastAsia="Calibri" w:hAnsi="Calibri" w:cs="Calibri"/>
        </w:rPr>
      </w:pPr>
      <w:r w:rsidRPr="008F6866">
        <w:rPr>
          <w:rFonts w:ascii="Calibri" w:eastAsia="Calibri" w:hAnsi="Calibri" w:cs="Calibri"/>
          <w:b/>
        </w:rPr>
        <w:t>Bark peeling</w:t>
      </w:r>
    </w:p>
    <w:p w14:paraId="5405F382" w14:textId="69F3D829" w:rsidR="00DE4897" w:rsidRPr="008F6866" w:rsidRDefault="36E2585C" w:rsidP="00F776BB">
      <w:pPr>
        <w:spacing w:after="120" w:line="300" w:lineRule="auto"/>
        <w:jc w:val="both"/>
        <w:rPr>
          <w:rFonts w:ascii="Calibri" w:eastAsia="Calibri" w:hAnsi="Calibri" w:cs="Calibri"/>
        </w:rPr>
      </w:pPr>
      <w:r w:rsidRPr="008F6866">
        <w:rPr>
          <w:rFonts w:ascii="Calibri" w:eastAsia="Calibri" w:hAnsi="Calibri" w:cs="Calibri"/>
        </w:rPr>
        <w:t>The drivers and characteristics of bark</w:t>
      </w:r>
      <w:r w:rsidR="00795D9B">
        <w:rPr>
          <w:rFonts w:ascii="Calibri" w:eastAsia="Calibri" w:hAnsi="Calibri" w:cs="Calibri"/>
        </w:rPr>
        <w:t xml:space="preserve"> peeling</w:t>
      </w:r>
      <w:r w:rsidRPr="008F6866">
        <w:rPr>
          <w:rFonts w:ascii="Calibri" w:eastAsia="Calibri" w:hAnsi="Calibri" w:cs="Calibri"/>
        </w:rPr>
        <w:t xml:space="preserve"> damage on spruce trees have been relatively well described in the literature </w:t>
      </w:r>
      <w:r w:rsidR="39CFF0FF" w:rsidRPr="008F6866">
        <w:fldChar w:fldCharType="begin">
          <w:fldData xml:space="preserve">PEVuZE5vdGU+PENpdGU+PEF1dGhvcj5DYW5kYWVsZTwvQXV0aG9yPjxZZWFyPjIwMjE8L1llYXI+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</w:fldData>
        </w:fldChar>
      </w:r>
      <w:r w:rsidR="001677B2">
        <w:instrText xml:space="preserve"> ADDIN EN.CITE </w:instrText>
      </w:r>
      <w:r w:rsidR="001677B2">
        <w:fldChar w:fldCharType="begin">
          <w:fldData xml:space="preserve">PEVuZE5vdGU+PENpdGU+PEF1dGhvcj5DYW5kYWVsZTwvQXV0aG9yPjxZZWFyPjIwMjE8L1llYXI+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</w:fldData>
        </w:fldChar>
      </w:r>
      <w:r w:rsidR="001677B2">
        <w:instrText xml:space="preserve"> ADDIN EN.CITE.DATA </w:instrText>
      </w:r>
      <w:r w:rsidR="001677B2">
        <w:fldChar w:fldCharType="end"/>
      </w:r>
      <w:r w:rsidR="39CFF0FF" w:rsidRPr="008F6866">
        <w:fldChar w:fldCharType="separate"/>
      </w:r>
      <w:r w:rsidR="001677B2">
        <w:rPr>
          <w:noProof/>
        </w:rPr>
        <w:t>(Candaele</w:t>
      </w:r>
      <w:r w:rsidR="001677B2" w:rsidRPr="001677B2">
        <w:rPr>
          <w:i/>
          <w:noProof/>
        </w:rPr>
        <w:t xml:space="preserve"> et al.</w:t>
      </w:r>
      <w:r w:rsidR="001677B2">
        <w:rPr>
          <w:noProof/>
        </w:rPr>
        <w:t>, 2021; Cukor</w:t>
      </w:r>
      <w:r w:rsidR="001677B2" w:rsidRPr="001677B2">
        <w:rPr>
          <w:i/>
          <w:noProof/>
        </w:rPr>
        <w:t xml:space="preserve"> et al.</w:t>
      </w:r>
      <w:r w:rsidR="001677B2">
        <w:rPr>
          <w:noProof/>
        </w:rPr>
        <w:t>, 2019; Gill, 1992a; Gill, 1992b; Vospernik, 2006)</w:t>
      </w:r>
      <w:r w:rsidR="39CFF0FF" w:rsidRPr="008F6866">
        <w:fldChar w:fldCharType="end"/>
      </w:r>
      <w:r w:rsidRPr="008F6866">
        <w:rPr>
          <w:rFonts w:ascii="Calibri" w:eastAsia="Calibri" w:hAnsi="Calibri" w:cs="Calibri"/>
        </w:rPr>
        <w:t xml:space="preserve">. We also have valuable information on the subsequent decay in the stems and well-detailed models of forest stand dynamics and forest management </w:t>
      </w:r>
      <w:r w:rsidR="39CFF0FF" w:rsidRPr="008F6866">
        <w:fldChar w:fldCharType="begin">
          <w:fldData xml:space="preserve">PEVuZE5vdGU+PENpdGU+PEF1dGhvcj5CdXJuZXZpxI1hPC9BdXRob3I+PFllYXI+MjAxNjwvWWVh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</w:fldData>
        </w:fldChar>
      </w:r>
      <w:r w:rsidR="001677B2">
        <w:instrText xml:space="preserve"> ADDIN EN.CITE </w:instrText>
      </w:r>
      <w:r w:rsidR="001677B2">
        <w:fldChar w:fldCharType="begin">
          <w:fldData xml:space="preserve">PEVuZE5vdGU+PENpdGU+PEF1dGhvcj5CdXJuZXZpxI1hPC9BdXRob3I+PFllYXI+MjAxNjwvWWVh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</w:fldData>
        </w:fldChar>
      </w:r>
      <w:r w:rsidR="001677B2">
        <w:instrText xml:space="preserve"> ADDIN EN.CITE.DATA </w:instrText>
      </w:r>
      <w:r w:rsidR="001677B2">
        <w:fldChar w:fldCharType="end"/>
      </w:r>
      <w:r w:rsidR="39CFF0FF" w:rsidRPr="008F6866">
        <w:fldChar w:fldCharType="separate"/>
      </w:r>
      <w:r w:rsidR="001677B2">
        <w:rPr>
          <w:noProof/>
        </w:rPr>
        <w:t>(Burneviča</w:t>
      </w:r>
      <w:r w:rsidR="001677B2" w:rsidRPr="001677B2">
        <w:rPr>
          <w:i/>
          <w:noProof/>
        </w:rPr>
        <w:t xml:space="preserve"> et al.</w:t>
      </w:r>
      <w:r w:rsidR="001677B2">
        <w:rPr>
          <w:noProof/>
        </w:rPr>
        <w:t>, 2016; Čermák and Strejček, 2007; Vacek</w:t>
      </w:r>
      <w:r w:rsidR="001677B2" w:rsidRPr="001677B2">
        <w:rPr>
          <w:i/>
          <w:noProof/>
        </w:rPr>
        <w:t xml:space="preserve"> et al.</w:t>
      </w:r>
      <w:r w:rsidR="001677B2">
        <w:rPr>
          <w:noProof/>
        </w:rPr>
        <w:t>, 2020)</w:t>
      </w:r>
      <w:r w:rsidR="39CFF0FF" w:rsidRPr="008F6866">
        <w:fldChar w:fldCharType="end"/>
      </w:r>
      <w:r w:rsidRPr="008F6866">
        <w:rPr>
          <w:rFonts w:ascii="Calibri" w:eastAsia="Calibri" w:hAnsi="Calibri" w:cs="Calibri"/>
        </w:rPr>
        <w:t>. This information has already been implemented in HETEROFOR but some improvements and tests were still needed.</w:t>
      </w:r>
    </w:p>
    <w:p w14:paraId="035BB7CB" w14:textId="26309C1D" w:rsidR="00DE4897" w:rsidRPr="008F6866" w:rsidRDefault="39CFF0FF" w:rsidP="00F776BB">
      <w:pPr>
        <w:spacing w:after="120" w:line="300" w:lineRule="auto"/>
        <w:jc w:val="both"/>
        <w:rPr>
          <w:rFonts w:ascii="Calibri" w:eastAsia="Calibri" w:hAnsi="Calibri" w:cs="Calibri"/>
        </w:rPr>
      </w:pPr>
      <w:r w:rsidRPr="008F6866">
        <w:rPr>
          <w:rFonts w:ascii="Calibri" w:eastAsia="Calibri" w:hAnsi="Calibri" w:cs="Calibri"/>
        </w:rPr>
        <w:t>Although it was not planned within the initial activities of this project, we decided to assess the impact of bark</w:t>
      </w:r>
      <w:r w:rsidR="00795D9B">
        <w:rPr>
          <w:rFonts w:ascii="Calibri" w:eastAsia="Calibri" w:hAnsi="Calibri" w:cs="Calibri"/>
        </w:rPr>
        <w:t xml:space="preserve"> peeling</w:t>
      </w:r>
      <w:r w:rsidRPr="008F6866">
        <w:rPr>
          <w:rFonts w:ascii="Calibri" w:eastAsia="Calibri" w:hAnsi="Calibri" w:cs="Calibri"/>
        </w:rPr>
        <w:t xml:space="preserve"> on entire timber production cycles of Norway spruce. This study was found necessary to test and improve our last developments, particularly about the impacts of ungulate damage and those used to assess the profitability of silvicultural routes (in Economics2 library), while answering to relevant questions. The complete description of this study has been published in the European Journal of Forest Research in 2023 and is available online (</w:t>
      </w:r>
      <w:hyperlink r:id="rId55">
        <w:r w:rsidRPr="008F6866">
          <w:rPr>
            <w:rFonts w:ascii="Calibri" w:eastAsia="Calibri" w:hAnsi="Calibri" w:cs="Calibri"/>
            <w:color w:val="1155CC"/>
            <w:u w:val="single"/>
          </w:rPr>
          <w:t>https://hdl.handle.net/2268/301794</w:t>
        </w:r>
      </w:hyperlink>
      <w:r w:rsidRPr="008F6866">
        <w:rPr>
          <w:rFonts w:ascii="Calibri" w:eastAsia="Calibri" w:hAnsi="Calibri" w:cs="Calibri"/>
        </w:rPr>
        <w:t>)</w:t>
      </w:r>
      <w:r w:rsidR="008656BF" w:rsidRPr="008F6866">
        <w:rPr>
          <w:rFonts w:ascii="Calibri" w:eastAsia="Calibri" w:hAnsi="Calibri" w:cs="Calibri"/>
        </w:rPr>
        <w:t xml:space="preserve"> </w:t>
      </w:r>
      <w:r w:rsidR="00DE4897" w:rsidRPr="008F6866">
        <w:fldChar w:fldCharType="begin"/>
      </w:r>
      <w:r w:rsidR="001677B2">
        <w:instrText xml:space="preserve"> ADDIN EN.CITE &lt;EndNote&gt;&lt;Cite&gt;&lt;Author&gt;Ligot&lt;/Author&gt;&lt;Year&gt;2023&lt;/Year&gt;&lt;RecNum&gt;368&lt;/RecNum&gt;&lt;IDText&gt;Ligot23&lt;/IDText&gt;&lt;DisplayText&gt;(Ligot&lt;style face="italic"&gt; et al.&lt;/style&gt;, 2023)&lt;/DisplayText&gt;&lt;record&gt;&lt;rec-number&gt;368&lt;/rec-number&gt;&lt;foreign-keys&gt;&lt;key app="EN" db-id="0px2fzdxhrpdrre2w5f5pdryx90atadrdavt" timestamp="1713823973"&gt;368&lt;/key&gt;&lt;/foreign-keys&gt;&lt;ref-type name="Journal Article"&gt;17&lt;/ref-type&gt;&lt;contributors&gt;&lt;authors&gt;&lt;author&gt;Ligot, G.&lt;/author&gt;&lt;author&gt;Gheysen, T.&lt;/author&gt;&lt;author&gt;Perin, J.&lt;/author&gt;&lt;author&gt;Candaele, R.&lt;/author&gt;&lt;author&gt;de Coligny, F.&lt;/author&gt;&lt;author&gt;Licoppe, A.&lt;/author&gt;&lt;author&gt;Lejeune, P.&lt;/author&gt;&lt;/authors&gt;&lt;/contributors&gt;&lt;titles&gt;&lt;title&gt;From the simulation of forest plantation dynamics to the quantification of bark-stripping damage by ungulates&lt;/title&gt;&lt;secondary-title&gt;European Journal of Forest Research&lt;/secondary-title&gt;&lt;/titles&gt;&lt;periodical&gt;&lt;full-title&gt;European Journal of Forest Research&lt;/full-title&gt;&lt;/periodical&gt;&lt;pages&gt;899-916&lt;/pages&gt;&lt;volume&gt;142&lt;/volume&gt;&lt;number&gt;4&lt;/number&gt;&lt;dates&gt;&lt;year&gt;2023&lt;/year&gt;&lt;/dates&gt;&lt;label&gt;Ligot23&lt;/label&gt;&lt;work-type&gt;Article&lt;/work-type&gt;&lt;urls&gt;&lt;related-urls&gt;&lt;url&gt;https://www.scopus.com/inward/record.uri?eid=2-s2.0-85152798592&amp;amp;doi=10.1007%2fs10342-023-01565-w&amp;amp;partnerID=40&amp;amp;md5=4b746087ca12f4ab81aca18a7b7b5be1&lt;/url&gt;&lt;/related-urls&gt;&lt;/urls&gt;&lt;electronic-resource-num&gt;10.1007/s10342-023-01565-w&lt;/electronic-resource-num&gt;&lt;remote-database-name&gt;Scopus&lt;/remote-database-name&gt;&lt;/record&gt;&lt;/Cite&gt;&lt;/EndNote&gt;</w:instrText>
      </w:r>
      <w:r w:rsidR="00DE4897" w:rsidRPr="008F6866">
        <w:fldChar w:fldCharType="separate"/>
      </w:r>
      <w:r w:rsidR="001677B2">
        <w:rPr>
          <w:noProof/>
        </w:rPr>
        <w:t>(Ligot</w:t>
      </w:r>
      <w:r w:rsidR="001677B2" w:rsidRPr="001677B2">
        <w:rPr>
          <w:i/>
          <w:noProof/>
        </w:rPr>
        <w:t xml:space="preserve"> et al.</w:t>
      </w:r>
      <w:r w:rsidR="001677B2">
        <w:rPr>
          <w:noProof/>
        </w:rPr>
        <w:t>, 2023)</w:t>
      </w:r>
      <w:r w:rsidR="00DE4897" w:rsidRPr="008F6866">
        <w:fldChar w:fldCharType="end"/>
      </w:r>
      <w:r w:rsidRPr="008F6866">
        <w:rPr>
          <w:rFonts w:ascii="Calibri" w:eastAsia="Calibri" w:hAnsi="Calibri" w:cs="Calibri"/>
        </w:rPr>
        <w:t>. Here, only few key features are described.</w:t>
      </w:r>
    </w:p>
    <w:p w14:paraId="70A699FF" w14:textId="31DB89DC" w:rsidR="00DE4897" w:rsidRPr="008F6866" w:rsidRDefault="39CFF0FF" w:rsidP="00F776BB">
      <w:pPr>
        <w:spacing w:after="120" w:line="300" w:lineRule="auto"/>
        <w:jc w:val="both"/>
        <w:rPr>
          <w:rFonts w:ascii="Calibri" w:eastAsia="Calibri" w:hAnsi="Calibri" w:cs="Calibri"/>
        </w:rPr>
      </w:pPr>
      <w:r w:rsidRPr="008F6866">
        <w:rPr>
          <w:rFonts w:ascii="Calibri" w:eastAsia="Calibri" w:hAnsi="Calibri" w:cs="Calibri"/>
        </w:rPr>
        <w:t>Assessing the financial impact of bark</w:t>
      </w:r>
      <w:r w:rsidR="00795D9B">
        <w:rPr>
          <w:rFonts w:ascii="Calibri" w:eastAsia="Calibri" w:hAnsi="Calibri" w:cs="Calibri"/>
        </w:rPr>
        <w:t xml:space="preserve"> peeling</w:t>
      </w:r>
      <w:r w:rsidRPr="008F6866">
        <w:rPr>
          <w:rFonts w:ascii="Calibri" w:eastAsia="Calibri" w:hAnsi="Calibri" w:cs="Calibri"/>
        </w:rPr>
        <w:t xml:space="preserve"> damage on timber production was interesting as it requires considering multiple variables and processes over a long period of time (&gt;50 years). </w:t>
      </w:r>
      <w:r w:rsidRPr="008F6866">
        <w:rPr>
          <w:rFonts w:ascii="Calibri" w:eastAsia="Calibri" w:hAnsi="Calibri" w:cs="Calibri"/>
        </w:rPr>
        <w:lastRenderedPageBreak/>
        <w:t xml:space="preserve">Consequently, most studies have focused on certain processes but rarely made a comprehensive assessment of financial losses. </w:t>
      </w:r>
      <w:r w:rsidR="00DE4897" w:rsidRPr="008F6866">
        <w:fldChar w:fldCharType="begin"/>
      </w:r>
      <w:r w:rsidR="006201C6">
        <w:instrText xml:space="preserve"> ADDIN EN.CITE &lt;EndNote&gt;&lt;Cite AuthorYear="1"&gt;&lt;Author&gt;Gill&lt;/Author&gt;&lt;Year&gt;2000&lt;/Year&gt;&lt;RecNum&gt;369&lt;/RecNum&gt;&lt;IDText&gt;Gill00&lt;/IDText&gt;&lt;DisplayText&gt;Gill&lt;style face="italic"&gt; et al.&lt;/style&gt; (2000)&lt;/DisplayText&gt;&lt;record&gt;&lt;rec-number&gt;369&lt;/rec-number&gt;&lt;foreign-keys&gt;&lt;key app="EN" db-id="0px2fzdxhrpdrre2w5f5pdryx90atadrdavt" timestamp="1713824195"&gt;369&lt;/key&gt;&lt;/foreign-keys&gt;&lt;ref-type name="Book"&gt;6&lt;/ref-type&gt;&lt;contributors&gt;&lt;authors&gt;&lt;author&gt;Gill, Robin&lt;/author&gt;&lt;author&gt;Webber, Joan&lt;/author&gt;&lt;author&gt;Peace, Andrew&lt;/author&gt;&lt;/authors&gt;&lt;/contributors&gt;&lt;titles&gt;&lt;title&gt;The Economic Implications of Deer Damage - A review of current evidence&lt;/title&gt;&lt;/titles&gt;&lt;section&gt;Technical Report.&lt;/section&gt;&lt;dates&gt;&lt;year&gt;2000&lt;/year&gt;&lt;/dates&gt;&lt;publisher&gt;Forest Research Agency. Surrey.&lt;/publisher&gt;&lt;label&gt;Gill00&lt;/label&gt;&lt;work-type&gt;Technical Report.&lt;/work-type&gt;&lt;urls&gt;&lt;/urls&gt;&lt;electronic-resource-num&gt;10.13140/RG.2.2.26224.05122&lt;/electronic-resource-num&gt;&lt;/record&gt;&lt;/Cite&gt;&lt;/EndNote&gt;</w:instrText>
      </w:r>
      <w:r w:rsidR="00DE4897" w:rsidRPr="008F6866">
        <w:fldChar w:fldCharType="separate"/>
      </w:r>
      <w:r w:rsidR="006201C6">
        <w:rPr>
          <w:noProof/>
        </w:rPr>
        <w:t>Gill</w:t>
      </w:r>
      <w:r w:rsidR="006201C6" w:rsidRPr="006201C6">
        <w:rPr>
          <w:i/>
          <w:noProof/>
        </w:rPr>
        <w:t xml:space="preserve"> et al.</w:t>
      </w:r>
      <w:r w:rsidR="006201C6">
        <w:rPr>
          <w:noProof/>
        </w:rPr>
        <w:t xml:space="preserve"> (2000)</w:t>
      </w:r>
      <w:r w:rsidR="00DE4897" w:rsidRPr="008F6866">
        <w:fldChar w:fldCharType="end"/>
      </w:r>
      <w:r w:rsidRPr="008F6866">
        <w:rPr>
          <w:rFonts w:ascii="Calibri" w:eastAsia="Calibri" w:hAnsi="Calibri" w:cs="Calibri"/>
        </w:rPr>
        <w:t xml:space="preserve"> illustrated how such an assessment could be made with elementary models, but acknowledged that their approach was limited and that further models had to be developed to estimate yield losses, particularly for Norway spruce. In line with what has been proposed to assess the economic impacts of browsing by roe deer</w:t>
      </w:r>
      <w:r w:rsidR="008656BF" w:rsidRPr="008F6866">
        <w:rPr>
          <w:rFonts w:ascii="Calibri" w:eastAsia="Calibri" w:hAnsi="Calibri" w:cs="Calibri"/>
        </w:rPr>
        <w:t xml:space="preserve"> </w:t>
      </w:r>
      <w:r w:rsidR="00DE4897" w:rsidRPr="008F6866">
        <w:fldChar w:fldCharType="begin">
          <w:fldData xml:space="preserve">PEVuZE5vdGU+PENpdGU+PEF1dGhvcj5SYWtvdG9hcmlzb248L0F1dGhvcj48WWVhcj4yMDA5PC9Z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</w:fldData>
        </w:fldChar>
      </w:r>
      <w:r w:rsidR="001677B2">
        <w:instrText xml:space="preserve"> ADDIN EN.CITE </w:instrText>
      </w:r>
      <w:r w:rsidR="001677B2">
        <w:fldChar w:fldCharType="begin">
          <w:fldData xml:space="preserve">PEVuZE5vdGU+PENpdGU+PEF1dGhvcj5SYWtvdG9hcmlzb248L0F1dGhvcj48WWVhcj4yMDA5PC9Z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</w:fldData>
        </w:fldChar>
      </w:r>
      <w:r w:rsidR="001677B2">
        <w:instrText xml:space="preserve"> ADDIN EN.CITE.DATA </w:instrText>
      </w:r>
      <w:r w:rsidR="001677B2">
        <w:fldChar w:fldCharType="end"/>
      </w:r>
      <w:r w:rsidR="00DE4897" w:rsidRPr="008F6866">
        <w:fldChar w:fldCharType="separate"/>
      </w:r>
      <w:r w:rsidR="001677B2">
        <w:rPr>
          <w:noProof/>
        </w:rPr>
        <w:t>(Rakotoarison, 2009; Ward</w:t>
      </w:r>
      <w:r w:rsidR="001677B2" w:rsidRPr="001677B2">
        <w:rPr>
          <w:i/>
          <w:noProof/>
        </w:rPr>
        <w:t xml:space="preserve"> et al.</w:t>
      </w:r>
      <w:r w:rsidR="001677B2">
        <w:rPr>
          <w:noProof/>
        </w:rPr>
        <w:t>, 2004)</w:t>
      </w:r>
      <w:r w:rsidR="00DE4897" w:rsidRPr="008F6866">
        <w:fldChar w:fldCharType="end"/>
      </w:r>
      <w:r w:rsidRPr="008F6866">
        <w:rPr>
          <w:rFonts w:ascii="Calibri" w:eastAsia="Calibri" w:hAnsi="Calibri" w:cs="Calibri"/>
        </w:rPr>
        <w:t xml:space="preserve"> or moose</w:t>
      </w:r>
      <w:r w:rsidR="008656BF" w:rsidRPr="008F6866">
        <w:rPr>
          <w:rFonts w:ascii="Calibri" w:eastAsia="Calibri" w:hAnsi="Calibri" w:cs="Calibri"/>
        </w:rPr>
        <w:t xml:space="preserve"> </w:t>
      </w:r>
      <w:r w:rsidR="00DE4897" w:rsidRPr="008F6866">
        <w:fldChar w:fldCharType="begin"/>
      </w:r>
      <w:r w:rsidR="00CC7A85">
        <w:instrText xml:space="preserve"> ADDIN EN.CITE &lt;EndNote&gt;&lt;Cite&gt;&lt;Author&gt;Wam&lt;/Author&gt;&lt;Year&gt;2007&lt;/Year&gt;&lt;RecNum&gt;372&lt;/RecNum&gt;&lt;IDText&gt;Wam07&lt;/IDText&gt;&lt;DisplayText&gt;(Wam and Hofstad, 2007)&lt;/DisplayText&gt;&lt;record&gt;&lt;rec-number&gt;372&lt;/rec-number&gt;&lt;foreign-keys&gt;&lt;key app="EN" db-id="0px2fzdxhrpdrre2w5f5pdryx90atadrdavt" timestamp="1713824378"&gt;372&lt;/key&gt;&lt;/foreign-keys&gt;&lt;ref-type name="Journal Article"&gt;17&lt;/ref-type&gt;&lt;contributors&gt;&lt;authors&gt;&lt;author&gt;Wam, H. K.&lt;/author&gt;&lt;author&gt;Hofstad, O.&lt;/author&gt;&lt;/authors&gt;&lt;/contributors&gt;&lt;titles&gt;&lt;title&gt;Taking timber browsing damage into account: A density dependant matrix model for the optimal harvest of moose in Scandinavia&lt;/title&gt;&lt;secondary-title&gt;Ecological Economics&lt;/secondary-title&gt;&lt;/titles&gt;&lt;periodical&gt;&lt;full-title&gt;Ecological Economics&lt;/full-title&gt;&lt;/periodical&gt;&lt;pages&gt;45-55&lt;/pages&gt;&lt;volume&gt;62&lt;/volume&gt;&lt;number&gt;1&lt;/number&gt;&lt;dates&gt;&lt;year&gt;2007&lt;/year&gt;&lt;/dates&gt;&lt;label&gt;Wam07&lt;/label&gt;&lt;work-type&gt;Article&lt;/work-type&gt;&lt;urls&gt;&lt;related-urls&gt;&lt;url&gt;https://www.scopus.com/inward/record.uri?eid=2-s2.0-33947366393&amp;amp;doi=10.1016%2fj.ecolecon.2007.01.001&amp;amp;partnerID=40&amp;amp;md5=53ea9619512e625e7d68071710d82671&lt;/url&gt;&lt;/related-urls&gt;&lt;/urls&gt;&lt;electronic-resource-num&gt;10.1016/j.ecolecon.2007.01.001&lt;/electronic-resource-num&gt;&lt;remote-database-name&gt;Scopus&lt;/remote-database-name&gt;&lt;/record&gt;&lt;/Cite&gt;&lt;/EndNote&gt;</w:instrText>
      </w:r>
      <w:r w:rsidR="00DE4897" w:rsidRPr="008F6866">
        <w:fldChar w:fldCharType="separate"/>
      </w:r>
      <w:r w:rsidR="00CC7A85">
        <w:rPr>
          <w:noProof/>
        </w:rPr>
        <w:t>(Wam and Hofstad, 2007)</w:t>
      </w:r>
      <w:r w:rsidR="00DE4897" w:rsidRPr="008F6866">
        <w:fldChar w:fldCharType="end"/>
      </w:r>
      <w:r w:rsidRPr="008F6866">
        <w:rPr>
          <w:rFonts w:ascii="Calibri" w:eastAsia="Calibri" w:hAnsi="Calibri" w:cs="Calibri"/>
        </w:rPr>
        <w:t>, an assessment can be made by modelling forest dynamics and interactions with ungulate populations</w:t>
      </w:r>
      <w:r w:rsidR="00F776BB" w:rsidRPr="008F6866">
        <w:rPr>
          <w:rFonts w:ascii="Calibri" w:eastAsia="Calibri" w:hAnsi="Calibri" w:cs="Calibri"/>
        </w:rPr>
        <w:t xml:space="preserve"> </w:t>
      </w:r>
      <w:r w:rsidR="00DE4897" w:rsidRPr="008F6866">
        <w:fldChar w:fldCharType="begin"/>
      </w:r>
      <w:r w:rsidR="00CC7A85">
        <w:instrText xml:space="preserve"> ADDIN EN.CITE &lt;EndNote&gt;&lt;Cite&gt;&lt;Author&gt;Weisberg&lt;/Author&gt;&lt;Year&gt;2003&lt;/Year&gt;&lt;RecNum&gt;373&lt;/RecNum&gt;&lt;IDText&gt;Weisberg03a&lt;/IDText&gt;&lt;DisplayText&gt;(Weisberg and Bugmann, 2003)&lt;/DisplayText&gt;&lt;record&gt;&lt;rec-number&gt;373&lt;/rec-number&gt;&lt;foreign-keys&gt;&lt;key app="EN" db-id="0px2fzdxhrpdrre2w5f5pdryx90atadrdavt" timestamp="1713824447"&gt;373&lt;/key&gt;&lt;/foreign-keys&gt;&lt;ref-type name="Journal Article"&gt;17&lt;/ref-type&gt;&lt;contributors&gt;&lt;authors&gt;&lt;author&gt;Weisberg, P. J.&lt;/author&gt;&lt;author&gt;Bugmann, H.&lt;/author&gt;&lt;/authors&gt;&lt;/contributors&gt;&lt;titles&gt;&lt;title&gt;Forest dynamics and ungulate herbivory: From leaf to landscape&lt;/title&gt;&lt;secondary-title&gt;Forest Ecology and Management&lt;/secondary-title&gt;&lt;/titles&gt;&lt;periodical&gt;&lt;full-title&gt;Forest Ecology and Management&lt;/full-title&gt;&lt;/periodical&gt;&lt;pages&gt;1-12&lt;/pages&gt;&lt;volume&gt;181&lt;/volume&gt;&lt;number&gt;1-2&lt;/number&gt;&lt;dates&gt;&lt;year&gt;2003&lt;/year&gt;&lt;/dates&gt;&lt;label&gt;Weisberg03a&lt;/label&gt;&lt;work-type&gt;Article&lt;/work-type&gt;&lt;urls&gt;&lt;related-urls&gt;&lt;url&gt;https://www.scopus.com/inward/record.uri?eid=2-s2.0-0013305120&amp;amp;doi=10.1016%2fS0378-1127%2803%2900123-3&amp;amp;partnerID=40&amp;amp;md5=c20ea28d7149c9a580f1689498f6e063&lt;/url&gt;&lt;/related-urls&gt;&lt;/urls&gt;&lt;electronic-resource-num&gt;10.1016/S0378-1127(03)00123-3&lt;/electronic-resource-num&gt;&lt;remote-database-name&gt;Scopus&lt;/remote-database-name&gt;&lt;/record&gt;&lt;/Cite&gt;&lt;/EndNote&gt;</w:instrText>
      </w:r>
      <w:r w:rsidR="00DE4897" w:rsidRPr="008F6866">
        <w:fldChar w:fldCharType="separate"/>
      </w:r>
      <w:r w:rsidR="00CC7A85">
        <w:rPr>
          <w:noProof/>
        </w:rPr>
        <w:t>(Weisberg and Bugmann, 2003)</w:t>
      </w:r>
      <w:r w:rsidR="00DE4897" w:rsidRPr="008F6866">
        <w:fldChar w:fldCharType="end"/>
      </w:r>
      <w:r w:rsidRPr="008F6866">
        <w:rPr>
          <w:rFonts w:ascii="Calibri" w:eastAsia="Calibri" w:hAnsi="Calibri" w:cs="Calibri"/>
        </w:rPr>
        <w:t xml:space="preserve">. Once models are established, they can be used to predict the costs and revenues of different management strategies for various protective treatments and/or environmental conditions (e.g., ungulate density). </w:t>
      </w:r>
    </w:p>
    <w:p w14:paraId="426EAEC4" w14:textId="511C522B" w:rsidR="00DE4897" w:rsidRPr="008F6866" w:rsidRDefault="39CFF0FF" w:rsidP="00F776BB">
      <w:pPr>
        <w:spacing w:after="120" w:line="300" w:lineRule="auto"/>
        <w:jc w:val="both"/>
        <w:rPr>
          <w:rFonts w:ascii="Calibri" w:eastAsia="Calibri" w:hAnsi="Calibri" w:cs="Calibri"/>
        </w:rPr>
      </w:pPr>
      <w:r w:rsidRPr="008F6866">
        <w:rPr>
          <w:rFonts w:ascii="Calibri" w:eastAsia="Calibri" w:hAnsi="Calibri" w:cs="Calibri"/>
        </w:rPr>
        <w:t>To fill this gap, we coupled a model of the forest dynamics and management of even-aged coniferous stands (GYMNOS) with models of bark</w:t>
      </w:r>
      <w:r w:rsidR="00861BF6">
        <w:rPr>
          <w:rFonts w:ascii="Calibri" w:eastAsia="Calibri" w:hAnsi="Calibri" w:cs="Calibri"/>
        </w:rPr>
        <w:t xml:space="preserve"> peeling</w:t>
      </w:r>
      <w:r w:rsidRPr="008F6866">
        <w:rPr>
          <w:rFonts w:ascii="Calibri" w:eastAsia="Calibri" w:hAnsi="Calibri" w:cs="Calibri"/>
        </w:rPr>
        <w:t xml:space="preserve"> damage. We then conducted a virtual experiment to address several questions: does bark</w:t>
      </w:r>
      <w:r w:rsidR="00861BF6">
        <w:rPr>
          <w:rFonts w:ascii="Calibri" w:eastAsia="Calibri" w:hAnsi="Calibri" w:cs="Calibri"/>
        </w:rPr>
        <w:t xml:space="preserve"> peeling</w:t>
      </w:r>
      <w:r w:rsidRPr="008F6866">
        <w:rPr>
          <w:rFonts w:ascii="Calibri" w:eastAsia="Calibri" w:hAnsi="Calibri" w:cs="Calibri"/>
        </w:rPr>
        <w:t xml:space="preserve"> damage substantially harm the profitability of Norway spruce plantations? Should rotation be shortened in the stands that are highly impacted by bark</w:t>
      </w:r>
      <w:r w:rsidR="00861BF6">
        <w:rPr>
          <w:rFonts w:ascii="Calibri" w:eastAsia="Calibri" w:hAnsi="Calibri" w:cs="Calibri"/>
        </w:rPr>
        <w:t xml:space="preserve"> peeling</w:t>
      </w:r>
      <w:r w:rsidRPr="008F6866">
        <w:rPr>
          <w:rFonts w:ascii="Calibri" w:eastAsia="Calibri" w:hAnsi="Calibri" w:cs="Calibri"/>
        </w:rPr>
        <w:t xml:space="preserve"> damage? Is it more cost-effective to protect plantations with fences or to protect individual trees against bark</w:t>
      </w:r>
      <w:r w:rsidR="006C4C05">
        <w:rPr>
          <w:rFonts w:ascii="Calibri" w:eastAsia="Calibri" w:hAnsi="Calibri" w:cs="Calibri"/>
        </w:rPr>
        <w:t xml:space="preserve"> peeling</w:t>
      </w:r>
      <w:r w:rsidRPr="008F6866">
        <w:rPr>
          <w:rFonts w:ascii="Calibri" w:eastAsia="Calibri" w:hAnsi="Calibri" w:cs="Calibri"/>
        </w:rPr>
        <w:t xml:space="preserve"> at the time of the first thinning (i.e., after some damage has already occurred)? </w:t>
      </w:r>
    </w:p>
    <w:p w14:paraId="2B337B08" w14:textId="1AC27A67" w:rsidR="00DE4897" w:rsidRPr="008F6866" w:rsidRDefault="39CFF0FF" w:rsidP="00F776BB">
      <w:pPr>
        <w:spacing w:after="120" w:line="300" w:lineRule="auto"/>
        <w:jc w:val="both"/>
        <w:rPr>
          <w:rFonts w:ascii="Calibri" w:eastAsia="Calibri" w:hAnsi="Calibri" w:cs="Calibri"/>
        </w:rPr>
      </w:pPr>
      <w:r w:rsidRPr="008F6866">
        <w:rPr>
          <w:rFonts w:ascii="Calibri" w:eastAsia="Calibri" w:hAnsi="Calibri" w:cs="Calibri"/>
        </w:rPr>
        <w:t>The cost of bark</w:t>
      </w:r>
      <w:r w:rsidR="006C4C05">
        <w:rPr>
          <w:rFonts w:ascii="Calibri" w:eastAsia="Calibri" w:hAnsi="Calibri" w:cs="Calibri"/>
        </w:rPr>
        <w:t xml:space="preserve"> peeling</w:t>
      </w:r>
      <w:r w:rsidRPr="008F6866">
        <w:rPr>
          <w:rFonts w:ascii="Calibri" w:eastAsia="Calibri" w:hAnsi="Calibri" w:cs="Calibri"/>
        </w:rPr>
        <w:t xml:space="preserve"> damage was found to be substantial depending on the rate of bark</w:t>
      </w:r>
      <w:r w:rsidR="006C4C05">
        <w:rPr>
          <w:rFonts w:ascii="Calibri" w:eastAsia="Calibri" w:hAnsi="Calibri" w:cs="Calibri"/>
        </w:rPr>
        <w:t xml:space="preserve"> peeling</w:t>
      </w:r>
      <w:r w:rsidRPr="008F6866">
        <w:rPr>
          <w:rFonts w:ascii="Calibri" w:eastAsia="Calibri" w:hAnsi="Calibri" w:cs="Calibri"/>
        </w:rPr>
        <w:t xml:space="preserve"> damage (</w:t>
      </w:r>
      <w:r w:rsidRPr="008F6866">
        <w:rPr>
          <w:rFonts w:ascii="Calibri" w:eastAsia="Calibri" w:hAnsi="Calibri" w:cs="Calibri"/>
          <w:i/>
          <w:iCs/>
        </w:rPr>
        <w:t>BSR</w:t>
      </w:r>
      <w:r w:rsidRPr="008F6866">
        <w:rPr>
          <w:rFonts w:ascii="Calibri" w:eastAsia="Calibri" w:hAnsi="Calibri" w:cs="Calibri"/>
        </w:rPr>
        <w:t>), discount rate (</w:t>
      </w:r>
      <w:r w:rsidRPr="008F6866">
        <w:rPr>
          <w:rFonts w:ascii="Calibri" w:eastAsia="Calibri" w:hAnsi="Calibri" w:cs="Calibri"/>
          <w:i/>
          <w:iCs/>
        </w:rPr>
        <w:t>r</w:t>
      </w:r>
      <w:r w:rsidRPr="008F6866">
        <w:rPr>
          <w:rFonts w:ascii="Calibri" w:eastAsia="Calibri" w:hAnsi="Calibri" w:cs="Calibri"/>
        </w:rPr>
        <w:t>), and, to a lesser extent, site index (SI,</w:t>
      </w:r>
      <w:r w:rsidR="00F776BB" w:rsidRPr="008F6866">
        <w:rPr>
          <w:rFonts w:ascii="Calibri" w:eastAsia="Calibri" w:hAnsi="Calibri" w:cs="Calibri"/>
        </w:rPr>
        <w:t xml:space="preserve"> </w:t>
      </w:r>
      <w:r w:rsidR="00F776BB" w:rsidRPr="008F6866">
        <w:rPr>
          <w:rFonts w:ascii="Calibri" w:eastAsia="Calibri" w:hAnsi="Calibri" w:cs="Calibri"/>
        </w:rPr>
        <w:fldChar w:fldCharType="begin"/>
      </w:r>
      <w:r w:rsidR="00F776BB" w:rsidRPr="008F6866">
        <w:rPr>
          <w:rFonts w:ascii="Calibri" w:eastAsia="Calibri" w:hAnsi="Calibri" w:cs="Calibri"/>
        </w:rPr>
        <w:instrText xml:space="preserve"> REF _Ref195648472 \h  \* MERGEFORMAT </w:instrText>
      </w:r>
      <w:r w:rsidR="00F776BB" w:rsidRPr="008F6866">
        <w:rPr>
          <w:rFonts w:ascii="Calibri" w:eastAsia="Calibri" w:hAnsi="Calibri" w:cs="Calibri"/>
        </w:rPr>
      </w:r>
      <w:r w:rsidR="00F776BB" w:rsidRPr="008F6866">
        <w:rPr>
          <w:rFonts w:ascii="Calibri" w:eastAsia="Calibri" w:hAnsi="Calibri" w:cs="Calibri"/>
        </w:rPr>
        <w:fldChar w:fldCharType="separate"/>
      </w:r>
      <w:r w:rsidR="00540DBF" w:rsidRPr="00540DBF">
        <w:rPr>
          <w:rFonts w:ascii="Calibri" w:eastAsia="Calibri" w:hAnsi="Calibri" w:cs="Calibri"/>
        </w:rPr>
        <w:t>Figure 21</w:t>
      </w:r>
      <w:r w:rsidR="00F776BB" w:rsidRPr="008F6866">
        <w:rPr>
          <w:rFonts w:ascii="Calibri" w:eastAsia="Calibri" w:hAnsi="Calibri" w:cs="Calibri"/>
        </w:rPr>
        <w:fldChar w:fldCharType="end"/>
      </w:r>
      <w:r w:rsidRPr="008F6866">
        <w:rPr>
          <w:rFonts w:ascii="Calibri" w:eastAsia="Calibri" w:hAnsi="Calibri" w:cs="Calibri"/>
        </w:rPr>
        <w:t>). With high bark</w:t>
      </w:r>
      <w:r w:rsidR="00DB2DD2">
        <w:rPr>
          <w:rFonts w:ascii="Calibri" w:eastAsia="Calibri" w:hAnsi="Calibri" w:cs="Calibri"/>
        </w:rPr>
        <w:t xml:space="preserve"> peeling </w:t>
      </w:r>
      <w:r w:rsidRPr="008F6866">
        <w:rPr>
          <w:rFonts w:ascii="Calibri" w:eastAsia="Calibri" w:hAnsi="Calibri" w:cs="Calibri"/>
        </w:rPr>
        <w:t>rate (</w:t>
      </w:r>
      <w:r w:rsidRPr="008F6866">
        <w:rPr>
          <w:rFonts w:ascii="Calibri" w:eastAsia="Calibri" w:hAnsi="Calibri" w:cs="Calibri"/>
          <w:i/>
          <w:iCs/>
        </w:rPr>
        <w:t>BSR</w:t>
      </w:r>
      <w:r w:rsidRPr="008F6866">
        <w:rPr>
          <w:rFonts w:ascii="Calibri" w:eastAsia="Calibri" w:hAnsi="Calibri" w:cs="Calibri"/>
        </w:rPr>
        <w:t xml:space="preserve"> = 10%) and without protection, around 85% of the trees harvested at the final cut contained decayed wood and the volume of this decayed wood accounted for 15% of stand volume.  </w:t>
      </w:r>
    </w:p>
    <w:p w14:paraId="7103B5F9" w14:textId="4546E12B" w:rsidR="00DE4897" w:rsidRPr="008F6866" w:rsidRDefault="00DE4897" w:rsidP="00F776BB">
      <w:pPr>
        <w:spacing w:after="120" w:line="300" w:lineRule="auto"/>
        <w:jc w:val="both"/>
        <w:rPr>
          <w:rFonts w:ascii="Calibri" w:eastAsia="Calibri" w:hAnsi="Calibri" w:cs="Calibri"/>
        </w:rPr>
      </w:pPr>
      <w:r w:rsidRPr="008F6866">
        <w:rPr>
          <w:rFonts w:ascii="Calibri" w:eastAsia="Calibri" w:hAnsi="Calibri" w:cs="Calibri"/>
        </w:rPr>
        <w:t>Within the study area, the mean bark</w:t>
      </w:r>
      <w:r w:rsidR="00DB2DD2">
        <w:rPr>
          <w:rFonts w:ascii="Calibri" w:eastAsia="Calibri" w:hAnsi="Calibri" w:cs="Calibri"/>
        </w:rPr>
        <w:t xml:space="preserve"> peeling</w:t>
      </w:r>
      <w:r w:rsidRPr="008F6866">
        <w:rPr>
          <w:rFonts w:ascii="Calibri" w:eastAsia="Calibri" w:hAnsi="Calibri" w:cs="Calibri"/>
        </w:rPr>
        <w:t xml:space="preserve"> rate was about 4%</w:t>
      </w:r>
      <w:r w:rsidR="00F776BB" w:rsidRPr="008F6866">
        <w:rPr>
          <w:rFonts w:ascii="Calibri" w:eastAsia="Calibri" w:hAnsi="Calibri" w:cs="Calibri"/>
        </w:rPr>
        <w:t xml:space="preserve"> </w:t>
      </w:r>
      <w:r w:rsidRPr="008F6866">
        <w:fldChar w:fldCharType="begin"/>
      </w:r>
      <w:r w:rsidR="001677B2">
        <w:instrText xml:space="preserve"> ADDIN EN.CITE &lt;EndNote&gt;&lt;Cite&gt;&lt;Author&gt;Gheysen&lt;/Author&gt;&lt;Year&gt;2011&lt;/Year&gt;&lt;RecNum&gt;310&lt;/RecNum&gt;&lt;IDText&gt;Gheysen11&lt;/IDText&gt;&lt;DisplayText&gt;(Gheysen&lt;style face="italic"&gt; et al.&lt;/style&gt;, 2011)&lt;/DisplayText&gt;&lt;record&gt;&lt;rec-number&gt;310&lt;/rec-number&gt;&lt;foreign-keys&gt;&lt;key app="EN" db-id="0px2fzdxhrpdrre2w5f5pdryx90atadrdavt" timestamp="1713779812"&gt;310&lt;/key&gt;&lt;/foreign-keys&gt;&lt;ref-type name="Journal Article"&gt;17&lt;/ref-type&gt;&lt;contributors&gt;&lt;authors&gt;&lt;author&gt;Gheysen, T.&lt;/author&gt;&lt;author&gt;Brostaux, Y.&lt;/author&gt;&lt;author&gt;Hébert, J.&lt;/author&gt;&lt;author&gt;Ligot, G.&lt;/author&gt;&lt;author&gt;Rondeux, J.&lt;/author&gt;&lt;author&gt;Lejeune, P.&lt;/author&gt;&lt;/authors&gt;&lt;/contributors&gt;&lt;titles&gt;&lt;title&gt;A regional inventory and monitoring setup to evaluate bark peeling damage by red deer (Cervus elaphus) in coniferous plantations in Southern Belgium&lt;/title&gt;&lt;secondary-title&gt;Environmental Monitoring and Assessment&lt;/secondary-title&gt;&lt;/titles&gt;&lt;periodical&gt;&lt;full-title&gt;Environmental Monitoring and Assessment&lt;/full-title&gt;&lt;/periodical&gt;&lt;pages&gt;335-345&lt;/pages&gt;&lt;volume&gt;181&lt;/volume&gt;&lt;number&gt;1-4&lt;/number&gt;&lt;dates&gt;&lt;year&gt;2011&lt;/year&gt;&lt;/dates&gt;&lt;label&gt;Gheysen11&lt;/label&gt;&lt;work-type&gt;Article&lt;/work-type&gt;&lt;urls&gt;&lt;related-urls&gt;&lt;url&gt;https://www.scopus.com/inward/record.uri?eid=2-s2.0-80054742858&amp;amp;doi=10.1007%2fs10661-010-1832-6&amp;amp;partnerID=40&amp;amp;md5=196d82a2e9ae13f04684868696b71408&lt;/url&gt;&lt;/related-urls&gt;&lt;/urls&gt;&lt;electronic-resource-num&gt;10.1007/s10661-010-1832-6&lt;/electronic-resource-num&gt;&lt;remote-database-name&gt;Scopus&lt;/remote-database-name&gt;&lt;/record&gt;&lt;/Cite&gt;&lt;/EndNote&gt;</w:instrText>
      </w:r>
      <w:r w:rsidRPr="008F6866">
        <w:fldChar w:fldCharType="separate"/>
      </w:r>
      <w:r w:rsidR="001677B2">
        <w:rPr>
          <w:noProof/>
        </w:rPr>
        <w:t>(Gheysen</w:t>
      </w:r>
      <w:r w:rsidR="001677B2" w:rsidRPr="001677B2">
        <w:rPr>
          <w:i/>
          <w:noProof/>
        </w:rPr>
        <w:t xml:space="preserve"> et al.</w:t>
      </w:r>
      <w:r w:rsidR="001677B2">
        <w:rPr>
          <w:noProof/>
        </w:rPr>
        <w:t>, 2011)</w:t>
      </w:r>
      <w:r w:rsidRPr="008F6866">
        <w:fldChar w:fldCharType="end"/>
      </w:r>
      <w:r w:rsidRPr="008F6866">
        <w:rPr>
          <w:rFonts w:ascii="Calibri" w:eastAsia="Calibri" w:hAnsi="Calibri" w:cs="Calibri"/>
        </w:rPr>
        <w:t xml:space="preserve">. This rate also corresponds to the damage rate tolerated by the forest administration. In Southern Belgium, Norway spruce yields 14.7 m³/ha on average, which corresponds to a site index of 27 m (stand dominant height reached at 50 years of age). If we choose a discount rate of </w:t>
      </w:r>
      <w:r w:rsidRPr="008F6866">
        <w:rPr>
          <w:rFonts w:ascii="Calibri" w:eastAsia="Calibri" w:hAnsi="Calibri" w:cs="Calibri"/>
          <w:i/>
        </w:rPr>
        <w:t>r</w:t>
      </w:r>
      <w:r w:rsidRPr="008F6866">
        <w:rPr>
          <w:rFonts w:ascii="Calibri" w:eastAsia="Calibri" w:hAnsi="Calibri" w:cs="Calibri"/>
        </w:rPr>
        <w:t> = 2%, the average opportunity cost of bark</w:t>
      </w:r>
      <w:r w:rsidR="00DB2DD2">
        <w:rPr>
          <w:rFonts w:ascii="Calibri" w:eastAsia="Calibri" w:hAnsi="Calibri" w:cs="Calibri"/>
        </w:rPr>
        <w:t xml:space="preserve"> peeling</w:t>
      </w:r>
      <w:r w:rsidRPr="008F6866">
        <w:rPr>
          <w:rFonts w:ascii="Calibri" w:eastAsia="Calibri" w:hAnsi="Calibri" w:cs="Calibri"/>
        </w:rPr>
        <w:t xml:space="preserve"> damage is 2 647 €/ha which corresponds to an annuity of 53 €/ha/year (</w:t>
      </w:r>
      <w:r w:rsidR="00F776BB" w:rsidRPr="008F6866">
        <w:rPr>
          <w:rFonts w:ascii="Calibri" w:eastAsia="Calibri" w:hAnsi="Calibri" w:cs="Calibri"/>
        </w:rPr>
        <w:fldChar w:fldCharType="begin"/>
      </w:r>
      <w:r w:rsidR="00F776BB" w:rsidRPr="008F6866">
        <w:rPr>
          <w:rFonts w:ascii="Calibri" w:eastAsia="Calibri" w:hAnsi="Calibri" w:cs="Calibri"/>
        </w:rPr>
        <w:instrText xml:space="preserve"> REF _Ref195648472 \h  \* MERGEFORMAT </w:instrText>
      </w:r>
      <w:r w:rsidR="00F776BB" w:rsidRPr="008F6866">
        <w:rPr>
          <w:rFonts w:ascii="Calibri" w:eastAsia="Calibri" w:hAnsi="Calibri" w:cs="Calibri"/>
        </w:rPr>
      </w:r>
      <w:r w:rsidR="00F776BB" w:rsidRPr="008F6866">
        <w:rPr>
          <w:rFonts w:ascii="Calibri" w:eastAsia="Calibri" w:hAnsi="Calibri" w:cs="Calibri"/>
        </w:rPr>
        <w:fldChar w:fldCharType="separate"/>
      </w:r>
      <w:r w:rsidR="00540DBF" w:rsidRPr="00540DBF">
        <w:rPr>
          <w:rFonts w:ascii="Calibri" w:eastAsia="Calibri" w:hAnsi="Calibri" w:cs="Calibri"/>
        </w:rPr>
        <w:t>Figure 21</w:t>
      </w:r>
      <w:r w:rsidR="00F776BB" w:rsidRPr="008F6866">
        <w:rPr>
          <w:rFonts w:ascii="Calibri" w:eastAsia="Calibri" w:hAnsi="Calibri" w:cs="Calibri"/>
        </w:rPr>
        <w:fldChar w:fldCharType="end"/>
      </w:r>
      <w:r w:rsidRPr="008F6866">
        <w:rPr>
          <w:rFonts w:ascii="Calibri" w:eastAsia="Calibri" w:hAnsi="Calibri" w:cs="Calibri"/>
        </w:rPr>
        <w:t xml:space="preserve">). These figures are high, corresponding to a loss of net revenue of 19%. This cost is also of the same order of magnitude as the plantation costs or hunting leases. </w:t>
      </w:r>
    </w:p>
    <w:p w14:paraId="76B21F54" w14:textId="13243F58" w:rsidR="00DE4897" w:rsidRPr="008F6866" w:rsidRDefault="39CFF0FF" w:rsidP="00F776BB">
      <w:pPr>
        <w:spacing w:after="120" w:line="300" w:lineRule="auto"/>
        <w:jc w:val="both"/>
        <w:rPr>
          <w:rFonts w:ascii="Calibri" w:eastAsia="Calibri" w:hAnsi="Calibri" w:cs="Calibri"/>
        </w:rPr>
      </w:pPr>
      <w:r w:rsidRPr="008F6866">
        <w:rPr>
          <w:rFonts w:ascii="Calibri" w:eastAsia="Calibri" w:hAnsi="Calibri" w:cs="Calibri"/>
        </w:rPr>
        <w:t>Forest managers may additionally be tempted to shorten the rotation in stands where bark</w:t>
      </w:r>
      <w:r w:rsidR="00DB2DD2">
        <w:rPr>
          <w:rFonts w:ascii="Calibri" w:eastAsia="Calibri" w:hAnsi="Calibri" w:cs="Calibri"/>
        </w:rPr>
        <w:t xml:space="preserve"> peeling </w:t>
      </w:r>
      <w:r w:rsidRPr="008F6866">
        <w:rPr>
          <w:rFonts w:ascii="Calibri" w:eastAsia="Calibri" w:hAnsi="Calibri" w:cs="Calibri"/>
        </w:rPr>
        <w:t>damage is observed because they are eager to start a new rotation. However, we found that the optimum rotation should either remain the same or be only slightly lengthened irrespective of the discount rate used. In old stands, new bark</w:t>
      </w:r>
      <w:r w:rsidR="00DB2DD2">
        <w:rPr>
          <w:rFonts w:ascii="Calibri" w:eastAsia="Calibri" w:hAnsi="Calibri" w:cs="Calibri"/>
        </w:rPr>
        <w:t xml:space="preserve"> peeling</w:t>
      </w:r>
      <w:r w:rsidRPr="008F6866">
        <w:rPr>
          <w:rFonts w:ascii="Calibri" w:eastAsia="Calibri" w:hAnsi="Calibri" w:cs="Calibri"/>
        </w:rPr>
        <w:t xml:space="preserve"> damage becomes less likely</w:t>
      </w:r>
      <w:r w:rsidR="00F776BB" w:rsidRPr="008F6866">
        <w:rPr>
          <w:rFonts w:ascii="Calibri" w:eastAsia="Calibri" w:hAnsi="Calibri" w:cs="Calibri"/>
        </w:rPr>
        <w:t xml:space="preserve"> </w:t>
      </w:r>
      <w:r w:rsidR="00DE4897" w:rsidRPr="008F6866">
        <w:fldChar w:fldCharType="begin">
          <w:fldData xml:space="preserve">PEVuZE5vdGU+PENpdGU+PEF1dGhvcj5Wb3NwZXJuaWs8L0F1dGhvcj48WWVhcj4yMDA2PC9ZZWFy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</w:fldData>
        </w:fldChar>
      </w:r>
      <w:r w:rsidR="001677B2">
        <w:instrText xml:space="preserve"> ADDIN EN.CITE </w:instrText>
      </w:r>
      <w:r w:rsidR="001677B2">
        <w:fldChar w:fldCharType="begin">
          <w:fldData xml:space="preserve">PEVuZE5vdGU+PENpdGU+PEF1dGhvcj5Wb3NwZXJuaWs8L0F1dGhvcj48WWVhcj4yMDA2PC9ZZWFy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</w:fldData>
        </w:fldChar>
      </w:r>
      <w:r w:rsidR="001677B2">
        <w:instrText xml:space="preserve"> ADDIN EN.CITE.DATA </w:instrText>
      </w:r>
      <w:r w:rsidR="001677B2">
        <w:fldChar w:fldCharType="end"/>
      </w:r>
      <w:r w:rsidR="00DE4897" w:rsidRPr="008F6866">
        <w:fldChar w:fldCharType="separate"/>
      </w:r>
      <w:r w:rsidR="001677B2">
        <w:rPr>
          <w:noProof/>
        </w:rPr>
        <w:t>(Gill</w:t>
      </w:r>
      <w:r w:rsidR="001677B2" w:rsidRPr="001677B2">
        <w:rPr>
          <w:i/>
          <w:noProof/>
        </w:rPr>
        <w:t xml:space="preserve"> et al.</w:t>
      </w:r>
      <w:r w:rsidR="001677B2">
        <w:rPr>
          <w:noProof/>
        </w:rPr>
        <w:t>, 2000; Jerina</w:t>
      </w:r>
      <w:r w:rsidR="001677B2" w:rsidRPr="001677B2">
        <w:rPr>
          <w:i/>
          <w:noProof/>
        </w:rPr>
        <w:t xml:space="preserve"> et al.</w:t>
      </w:r>
      <w:r w:rsidR="001677B2">
        <w:rPr>
          <w:noProof/>
        </w:rPr>
        <w:t>, 2008; Vospernik, 2006)</w:t>
      </w:r>
      <w:r w:rsidR="00DE4897" w:rsidRPr="008F6866">
        <w:fldChar w:fldCharType="end"/>
      </w:r>
      <w:r w:rsidRPr="008F6866">
        <w:rPr>
          <w:rFonts w:ascii="Calibri" w:eastAsia="Calibri" w:hAnsi="Calibri" w:cs="Calibri"/>
        </w:rPr>
        <w:t xml:space="preserve"> and the spread of the decay is very low</w:t>
      </w:r>
      <w:r w:rsidR="00F776BB" w:rsidRPr="008F6866">
        <w:rPr>
          <w:rFonts w:ascii="Calibri" w:eastAsia="Calibri" w:hAnsi="Calibri" w:cs="Calibri"/>
        </w:rPr>
        <w:t xml:space="preserve"> </w:t>
      </w:r>
      <w:r w:rsidR="00DE4897" w:rsidRPr="008F6866">
        <w:fldChar w:fldCharType="begin">
          <w:fldData xml:space="preserve">PEVuZE5vdGU+PENpdGU+PEF1dGhvcj5Mw7ZmZmxlcjwvQXV0aG9yPjxZZWFyPjE5NzU8L1llYXI+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</w:fldData>
        </w:fldChar>
      </w:r>
      <w:r w:rsidR="001677B2">
        <w:instrText xml:space="preserve"> ADDIN EN.CITE </w:instrText>
      </w:r>
      <w:r w:rsidR="001677B2">
        <w:fldChar w:fldCharType="begin">
          <w:fldData xml:space="preserve">PEVuZE5vdGU+PENpdGU+PEF1dGhvcj5Mw7ZmZmxlcjwvQXV0aG9yPjxZZWFyPjE5NzU8L1llYXI+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</w:fldData>
        </w:fldChar>
      </w:r>
      <w:r w:rsidR="001677B2">
        <w:instrText xml:space="preserve"> ADDIN EN.CITE.DATA </w:instrText>
      </w:r>
      <w:r w:rsidR="001677B2">
        <w:fldChar w:fldCharType="end"/>
      </w:r>
      <w:r w:rsidR="00DE4897" w:rsidRPr="008F6866">
        <w:fldChar w:fldCharType="separate"/>
      </w:r>
      <w:r w:rsidR="001677B2">
        <w:rPr>
          <w:noProof/>
        </w:rPr>
        <w:t>(Čermák</w:t>
      </w:r>
      <w:r w:rsidR="001677B2" w:rsidRPr="001677B2">
        <w:rPr>
          <w:i/>
          <w:noProof/>
        </w:rPr>
        <w:t xml:space="preserve"> et al.</w:t>
      </w:r>
      <w:r w:rsidR="001677B2">
        <w:rPr>
          <w:noProof/>
        </w:rPr>
        <w:t>, 2004; Čermák and Strejček, 2007; Löffler, 1975)</w:t>
      </w:r>
      <w:r w:rsidR="00DE4897" w:rsidRPr="008F6866">
        <w:fldChar w:fldCharType="end"/>
      </w:r>
      <w:r w:rsidRPr="008F6866">
        <w:rPr>
          <w:rFonts w:ascii="Calibri" w:eastAsia="Calibri" w:hAnsi="Calibri" w:cs="Calibri"/>
        </w:rPr>
        <w:t>. Considerations about the rotation length should therefore first consider the effects of the discount rate, site index and certainly also, though not examined here, the risk of future disturbance to stands and other ecosystem services.</w:t>
      </w:r>
    </w:p>
    <w:p w14:paraId="1B12CB76" w14:textId="77777777" w:rsidR="00F776BB" w:rsidRPr="008F6866" w:rsidRDefault="00F776BB" w:rsidP="00F776BB">
      <w:pPr>
        <w:spacing w:after="0" w:line="300" w:lineRule="auto"/>
        <w:jc w:val="both"/>
        <w:rPr>
          <w:rFonts w:ascii="Calibri" w:eastAsia="Calibri" w:hAnsi="Calibri" w:cs="Calibri"/>
        </w:rPr>
      </w:pPr>
    </w:p>
    <w:p w14:paraId="2A68DE97" w14:textId="54852A09" w:rsidR="00DE4897" w:rsidRPr="008F6866" w:rsidRDefault="00DE4897" w:rsidP="00F776BB">
      <w:pPr>
        <w:keepNext/>
        <w:spacing w:after="0" w:line="300" w:lineRule="auto"/>
        <w:jc w:val="center"/>
      </w:pPr>
      <w:r w:rsidRPr="008F6866">
        <w:rPr>
          <w:noProof/>
        </w:rPr>
        <w:lastRenderedPageBreak/>
        <w:drawing>
          <wp:inline distT="0" distB="0" distL="0" distR="0" wp14:anchorId="66BD9BF4" wp14:editId="1314DE1F">
            <wp:extent cx="6163945" cy="3684905"/>
            <wp:effectExtent l="0" t="0" r="0" b="0"/>
            <wp:docPr id="206168099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6"/>
                    <a:srcRect/>
                    <a:stretch>
                      <a:fillRect/>
                    </a:stretch>
                  </pic:blipFill>
                  <pic:spPr>
                    <a:xfrm>
                      <a:off x="0" y="0"/>
                      <a:ext cx="6163945" cy="3684905"/>
                    </a:xfrm>
                    <a:prstGeom prst="rect">
                      <a:avLst/>
                    </a:prstGeom>
                    <a:ln/>
                  </pic:spPr>
                </pic:pic>
              </a:graphicData>
            </a:graphic>
          </wp:inline>
        </w:drawing>
      </w:r>
    </w:p>
    <w:p w14:paraId="13AA6BE5" w14:textId="6519BE2C" w:rsidR="00F776BB" w:rsidRPr="008F6866" w:rsidRDefault="00F776BB" w:rsidP="00F776BB">
      <w:pPr>
        <w:pStyle w:val="Lgende"/>
        <w:jc w:val="center"/>
        <w:rPr>
          <w:b/>
          <w:i w:val="0"/>
          <w:color w:val="000000" w:themeColor="text1"/>
          <w:sz w:val="20"/>
          <w:szCs w:val="20"/>
        </w:rPr>
      </w:pPr>
      <w:bookmarkStart w:id="74" w:name="_Ref195648472"/>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21</w:t>
      </w:r>
      <w:r w:rsidRPr="008F6866">
        <w:rPr>
          <w:b/>
          <w:i w:val="0"/>
          <w:color w:val="000000" w:themeColor="text1"/>
          <w:sz w:val="20"/>
          <w:szCs w:val="20"/>
        </w:rPr>
        <w:fldChar w:fldCharType="end"/>
      </w:r>
      <w:bookmarkEnd w:id="74"/>
      <w:r w:rsidRPr="008F6866">
        <w:rPr>
          <w:b/>
          <w:i w:val="0"/>
          <w:color w:val="000000" w:themeColor="text1"/>
          <w:sz w:val="20"/>
          <w:szCs w:val="20"/>
        </w:rPr>
        <w:t>. Relationships between the annuity of the opportunity cost of bark</w:t>
      </w:r>
      <w:r w:rsidR="000E4C7B">
        <w:rPr>
          <w:b/>
          <w:i w:val="0"/>
          <w:color w:val="000000" w:themeColor="text1"/>
          <w:sz w:val="20"/>
          <w:szCs w:val="20"/>
        </w:rPr>
        <w:t xml:space="preserve"> peeling</w:t>
      </w:r>
      <w:r w:rsidRPr="008F6866">
        <w:rPr>
          <w:b/>
          <w:i w:val="0"/>
          <w:color w:val="000000" w:themeColor="text1"/>
          <w:sz w:val="20"/>
          <w:szCs w:val="20"/>
        </w:rPr>
        <w:t xml:space="preserve"> damage, bark</w:t>
      </w:r>
      <w:r w:rsidR="000E4C7B">
        <w:rPr>
          <w:b/>
          <w:i w:val="0"/>
          <w:color w:val="000000" w:themeColor="text1"/>
          <w:sz w:val="20"/>
          <w:szCs w:val="20"/>
        </w:rPr>
        <w:t xml:space="preserve"> peeling</w:t>
      </w:r>
      <w:r w:rsidRPr="008F6866">
        <w:rPr>
          <w:b/>
          <w:i w:val="0"/>
          <w:color w:val="000000" w:themeColor="text1"/>
          <w:sz w:val="20"/>
          <w:szCs w:val="20"/>
        </w:rPr>
        <w:t xml:space="preserve"> rate, discount rate, and site index</w:t>
      </w:r>
    </w:p>
    <w:p w14:paraId="5DC74DEF" w14:textId="77777777" w:rsidR="00F776BB" w:rsidRPr="008F6866" w:rsidRDefault="00F776BB" w:rsidP="00F776BB">
      <w:pPr>
        <w:spacing w:after="0" w:line="300" w:lineRule="auto"/>
        <w:rPr>
          <w:lang w:eastAsia="fr-BE"/>
        </w:rPr>
      </w:pPr>
    </w:p>
    <w:p w14:paraId="7D59995F" w14:textId="799C921B" w:rsidR="00DE4897" w:rsidRPr="008F6866" w:rsidRDefault="39CFF0FF" w:rsidP="00E2615D">
      <w:pPr>
        <w:spacing w:after="120" w:line="300" w:lineRule="auto"/>
        <w:jc w:val="both"/>
        <w:rPr>
          <w:rFonts w:ascii="Calibri" w:eastAsia="Calibri" w:hAnsi="Calibri" w:cs="Calibri"/>
        </w:rPr>
      </w:pPr>
      <w:bookmarkStart w:id="75" w:name="_heading=h.206ipza" w:colFirst="0" w:colLast="0"/>
      <w:bookmarkEnd w:id="75"/>
      <w:r w:rsidRPr="008F6866">
        <w:rPr>
          <w:rFonts w:ascii="Calibri" w:eastAsia="Calibri" w:hAnsi="Calibri" w:cs="Calibri"/>
        </w:rPr>
        <w:t>Fencing to protect trees against bark</w:t>
      </w:r>
      <w:r w:rsidR="000E4C7B">
        <w:rPr>
          <w:rFonts w:ascii="Calibri" w:eastAsia="Calibri" w:hAnsi="Calibri" w:cs="Calibri"/>
        </w:rPr>
        <w:t xml:space="preserve"> peeling</w:t>
      </w:r>
      <w:r w:rsidRPr="008F6866">
        <w:rPr>
          <w:rFonts w:ascii="Calibri" w:eastAsia="Calibri" w:hAnsi="Calibri" w:cs="Calibri"/>
        </w:rPr>
        <w:t xml:space="preserve"> damage was found unlikely to be cost-effective. In most cases, its cost was appreciably greater than the opportunity cost of the damage. Moreover, we probably underestimated its cost because the fence maintenance costs were not counted. Fences in forests usually last about 15 years, much less than the time trees need protection against bark</w:t>
      </w:r>
      <w:r w:rsidR="000E4C7B">
        <w:rPr>
          <w:rFonts w:ascii="Calibri" w:eastAsia="Calibri" w:hAnsi="Calibri" w:cs="Calibri"/>
        </w:rPr>
        <w:t xml:space="preserve"> peeling</w:t>
      </w:r>
      <w:r w:rsidRPr="008F6866">
        <w:rPr>
          <w:rFonts w:ascii="Calibri" w:eastAsia="Calibri" w:hAnsi="Calibri" w:cs="Calibri"/>
        </w:rPr>
        <w:t xml:space="preserve"> damage (about 40 years). Fences were cost-effective only when the chosen discount rate was low (</w:t>
      </w:r>
      <w:r w:rsidRPr="008F6866">
        <w:rPr>
          <w:rFonts w:ascii="Calibri" w:eastAsia="Calibri" w:hAnsi="Calibri" w:cs="Calibri"/>
          <w:i/>
          <w:iCs/>
        </w:rPr>
        <w:t>r</w:t>
      </w:r>
      <w:r w:rsidR="00E15188">
        <w:rPr>
          <w:rFonts w:ascii="Calibri" w:eastAsia="Calibri" w:hAnsi="Calibri" w:cs="Calibri"/>
        </w:rPr>
        <w:t> </w:t>
      </w:r>
      <w:r w:rsidRPr="008F6866">
        <w:rPr>
          <w:rFonts w:ascii="Calibri" w:eastAsia="Calibri" w:hAnsi="Calibri" w:cs="Calibri"/>
        </w:rPr>
        <w:t>&lt;</w:t>
      </w:r>
      <w:r w:rsidR="00E15188">
        <w:rPr>
          <w:rFonts w:ascii="Calibri" w:eastAsia="Calibri" w:hAnsi="Calibri" w:cs="Calibri"/>
        </w:rPr>
        <w:t> </w:t>
      </w:r>
      <w:r w:rsidRPr="008F6866">
        <w:rPr>
          <w:rFonts w:ascii="Calibri" w:eastAsia="Calibri" w:hAnsi="Calibri" w:cs="Calibri"/>
        </w:rPr>
        <w:t>1%), the bark</w:t>
      </w:r>
      <w:r w:rsidR="000E4C7B">
        <w:rPr>
          <w:rFonts w:ascii="Calibri" w:eastAsia="Calibri" w:hAnsi="Calibri" w:cs="Calibri"/>
        </w:rPr>
        <w:t xml:space="preserve"> peeling</w:t>
      </w:r>
      <w:r w:rsidRPr="008F6866">
        <w:rPr>
          <w:rFonts w:ascii="Calibri" w:eastAsia="Calibri" w:hAnsi="Calibri" w:cs="Calibri"/>
        </w:rPr>
        <w:t xml:space="preserve"> rate high and/or likely when saplings need also to be protected from browsing</w:t>
      </w:r>
      <w:r w:rsidR="00F776BB" w:rsidRPr="008F6866">
        <w:rPr>
          <w:rFonts w:ascii="Calibri" w:eastAsia="Calibri" w:hAnsi="Calibri" w:cs="Calibri"/>
        </w:rPr>
        <w:t xml:space="preserve"> </w:t>
      </w:r>
      <w:r w:rsidR="00DE4897" w:rsidRPr="008F6866">
        <w:fldChar w:fldCharType="begin"/>
      </w:r>
      <w:r w:rsidR="001677B2">
        <w:instrText xml:space="preserve"> ADDIN EN.CITE &lt;EndNote&gt;&lt;Cite&gt;&lt;Author&gt;Jensen&lt;/Author&gt;&lt;Year&gt;2012&lt;/Year&gt;&lt;RecNum&gt;376&lt;/RecNum&gt;&lt;IDText&gt;Jensen12&lt;/IDText&gt;&lt;DisplayText&gt;(Jensen&lt;style face="italic"&gt; et al.&lt;/style&gt;, 2012)&lt;/DisplayText&gt;&lt;record&gt;&lt;rec-number&gt;376&lt;/rec-number&gt;&lt;foreign-keys&gt;&lt;key app="EN" db-id="0px2fzdxhrpdrre2w5f5pdryx90atadrdavt" timestamp="1713824893"&gt;376&lt;/key&gt;&lt;/foreign-keys&gt;&lt;ref-type name="Journal Article"&gt;17&lt;/ref-type&gt;&lt;contributors&gt;&lt;authors&gt;&lt;author&gt;Jensen, A. M.&lt;/author&gt;&lt;author&gt;Götmark, F.&lt;/author&gt;&lt;author&gt;Löf, M.&lt;/author&gt;&lt;/authors&gt;&lt;/contributors&gt;&lt;titles&gt;&lt;title&gt;Shrubs protect oak seedlings against ungulate browsing in temperate broadleaved forests of conservation interest: A field experiment&lt;/title&gt;&lt;secondary-title&gt;Forest Ecology and Management&lt;/secondary-title&gt;&lt;/titles&gt;&lt;periodical&gt;&lt;full-title&gt;Forest Ecology and Management&lt;/full-title&gt;&lt;/periodical&gt;&lt;pages&gt;187-193&lt;/pages&gt;&lt;volume&gt;266&lt;/volume&gt;&lt;dates&gt;&lt;year&gt;2012&lt;/year&gt;&lt;/dates&gt;&lt;label&gt;Jensen12&lt;/label&gt;&lt;work-type&gt;Article&lt;/work-type&gt;&lt;urls&gt;&lt;related-urls&gt;&lt;url&gt;https://www.scopus.com/inward/record.uri?eid=2-s2.0-84255198275&amp;amp;doi=10.1016%2fj.foreco.2011.11.022&amp;amp;partnerID=40&amp;amp;md5=1c99030e20f4fac9efa709488747d703&lt;/url&gt;&lt;/related-urls&gt;&lt;/urls&gt;&lt;electronic-resource-num&gt;10.1016/j.foreco.2011.11.022&lt;/electronic-resource-num&gt;&lt;remote-database-name&gt;Scopus&lt;/remote-database-name&gt;&lt;/record&gt;&lt;/Cite&gt;&lt;/EndNote&gt;</w:instrText>
      </w:r>
      <w:r w:rsidR="00DE4897" w:rsidRPr="008F6866">
        <w:fldChar w:fldCharType="separate"/>
      </w:r>
      <w:r w:rsidR="001677B2">
        <w:rPr>
          <w:noProof/>
        </w:rPr>
        <w:t>(Jensen</w:t>
      </w:r>
      <w:r w:rsidR="001677B2" w:rsidRPr="001677B2">
        <w:rPr>
          <w:i/>
          <w:noProof/>
        </w:rPr>
        <w:t xml:space="preserve"> et al.</w:t>
      </w:r>
      <w:r w:rsidR="001677B2">
        <w:rPr>
          <w:noProof/>
        </w:rPr>
        <w:t>, 2012)</w:t>
      </w:r>
      <w:r w:rsidR="00DE4897" w:rsidRPr="008F6866">
        <w:fldChar w:fldCharType="end"/>
      </w:r>
      <w:r w:rsidRPr="008F6866">
        <w:rPr>
          <w:rFonts w:ascii="Calibri" w:eastAsia="Calibri" w:hAnsi="Calibri" w:cs="Calibri"/>
        </w:rPr>
        <w:t>.</w:t>
      </w:r>
    </w:p>
    <w:p w14:paraId="715DC4E6" w14:textId="64831FBA" w:rsidR="00DE4897" w:rsidRPr="008F6866" w:rsidRDefault="39CFF0FF" w:rsidP="00E2615D">
      <w:pPr>
        <w:spacing w:after="120" w:line="300" w:lineRule="auto"/>
        <w:jc w:val="both"/>
        <w:rPr>
          <w:rFonts w:ascii="Calibri" w:eastAsia="Calibri" w:hAnsi="Calibri" w:cs="Calibri"/>
        </w:rPr>
      </w:pPr>
      <w:r w:rsidRPr="008F6866">
        <w:rPr>
          <w:rFonts w:ascii="Calibri" w:eastAsia="Calibri" w:hAnsi="Calibri" w:cs="Calibri"/>
        </w:rPr>
        <w:t>Cheaper protections might however be cost-effective particularly in the most productive stands. In this study, we assumed that such individual protections were placed at the time of the first thinning (at 17-29 years of age). At that time, the trees are big enough to be pruned and their bark scraped to protect them against bark</w:t>
      </w:r>
      <w:r w:rsidR="000E4C7B">
        <w:rPr>
          <w:rFonts w:ascii="Calibri" w:eastAsia="Calibri" w:hAnsi="Calibri" w:cs="Calibri"/>
        </w:rPr>
        <w:t xml:space="preserve"> peeling</w:t>
      </w:r>
      <w:r w:rsidRPr="008F6866">
        <w:rPr>
          <w:rFonts w:ascii="Calibri" w:eastAsia="Calibri" w:hAnsi="Calibri" w:cs="Calibri"/>
        </w:rPr>
        <w:t>. Nevertheless, a substantial proportion of the trees may already be damaged at that age</w:t>
      </w:r>
      <w:r w:rsidR="00F776BB" w:rsidRPr="008F6866">
        <w:rPr>
          <w:rFonts w:ascii="Calibri" w:eastAsia="Calibri" w:hAnsi="Calibri" w:cs="Calibri"/>
        </w:rPr>
        <w:t xml:space="preserve"> </w:t>
      </w:r>
      <w:r w:rsidR="00DE4897" w:rsidRPr="008F6866">
        <w:fldChar w:fldCharType="begin">
          <w:fldData xml:space="preserve">PEVuZE5vdGU+PENpdGU+PEF1dGhvcj5DYW5kYWVsZTwvQXV0aG9yPjxZZWFyPjIwMjE8L1llYXI+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</w:fldData>
        </w:fldChar>
      </w:r>
      <w:r w:rsidR="001677B2">
        <w:instrText xml:space="preserve"> ADDIN EN.CITE </w:instrText>
      </w:r>
      <w:r w:rsidR="001677B2">
        <w:fldChar w:fldCharType="begin">
          <w:fldData xml:space="preserve">PEVuZE5vdGU+PENpdGU+PEF1dGhvcj5DYW5kYWVsZTwvQXV0aG9yPjxZZWFyPjIwMjE8L1llYXI+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</w:fldData>
        </w:fldChar>
      </w:r>
      <w:r w:rsidR="001677B2">
        <w:instrText xml:space="preserve"> ADDIN EN.CITE.DATA </w:instrText>
      </w:r>
      <w:r w:rsidR="001677B2">
        <w:fldChar w:fldCharType="end"/>
      </w:r>
      <w:r w:rsidR="00DE4897" w:rsidRPr="008F6866">
        <w:fldChar w:fldCharType="separate"/>
      </w:r>
      <w:r w:rsidR="001677B2">
        <w:rPr>
          <w:noProof/>
        </w:rPr>
        <w:t>(Candaele</w:t>
      </w:r>
      <w:r w:rsidR="001677B2" w:rsidRPr="001677B2">
        <w:rPr>
          <w:i/>
          <w:noProof/>
        </w:rPr>
        <w:t xml:space="preserve"> et al.</w:t>
      </w:r>
      <w:r w:rsidR="001677B2">
        <w:rPr>
          <w:noProof/>
        </w:rPr>
        <w:t>, 2021; Gill, 1992b; Vospernik, 2006)</w:t>
      </w:r>
      <w:r w:rsidR="00DE4897" w:rsidRPr="008F6866">
        <w:fldChar w:fldCharType="end"/>
      </w:r>
      <w:r w:rsidRPr="008F6866">
        <w:rPr>
          <w:rFonts w:ascii="Calibri" w:eastAsia="Calibri" w:hAnsi="Calibri" w:cs="Calibri"/>
        </w:rPr>
        <w:t>. In the simulations with high bark</w:t>
      </w:r>
      <w:r w:rsidR="006644EE">
        <w:rPr>
          <w:rFonts w:ascii="Calibri" w:eastAsia="Calibri" w:hAnsi="Calibri" w:cs="Calibri"/>
        </w:rPr>
        <w:t xml:space="preserve"> peeling</w:t>
      </w:r>
      <w:r w:rsidRPr="008F6866">
        <w:rPr>
          <w:rFonts w:ascii="Calibri" w:eastAsia="Calibri" w:hAnsi="Calibri" w:cs="Calibri"/>
        </w:rPr>
        <w:t xml:space="preserve"> rates, individual protections could be fitted on already damaged trees, so having no effect or a very small effect on future timber value. This occurred mostly in the less productive stands and when the bark</w:t>
      </w:r>
      <w:r w:rsidR="006644EE">
        <w:rPr>
          <w:rFonts w:ascii="Calibri" w:eastAsia="Calibri" w:hAnsi="Calibri" w:cs="Calibri"/>
        </w:rPr>
        <w:t xml:space="preserve"> peeling</w:t>
      </w:r>
      <w:r w:rsidRPr="008F6866">
        <w:rPr>
          <w:rFonts w:ascii="Calibri" w:eastAsia="Calibri" w:hAnsi="Calibri" w:cs="Calibri"/>
        </w:rPr>
        <w:t xml:space="preserve"> rate was very high. In the most productive stand, the first thinning occurs earlier, and enough healthy crop trees can probably be found making individual protection a valid solution. In less fertile stands, individual protection should be fitted several years before the first thinning.</w:t>
      </w:r>
    </w:p>
    <w:p w14:paraId="3557A145" w14:textId="57A92B53" w:rsidR="00DE4897" w:rsidRPr="008F6866" w:rsidRDefault="39CFF0FF" w:rsidP="00E2615D">
      <w:pPr>
        <w:spacing w:after="120" w:line="300" w:lineRule="auto"/>
        <w:jc w:val="both"/>
        <w:rPr>
          <w:rFonts w:ascii="Calibri" w:eastAsia="Calibri" w:hAnsi="Calibri" w:cs="Calibri"/>
        </w:rPr>
      </w:pPr>
      <w:r w:rsidRPr="008F6866">
        <w:rPr>
          <w:rFonts w:ascii="Calibri" w:eastAsia="Calibri" w:hAnsi="Calibri" w:cs="Calibri"/>
        </w:rPr>
        <w:t>Levels of wild ungulate populations have usually been adjusted to the damage levels, with limited regard to the actual cost of such damage. The model we propose in this study can be used to assess the cost of bark</w:t>
      </w:r>
      <w:r w:rsidR="006644EE">
        <w:rPr>
          <w:rFonts w:ascii="Calibri" w:eastAsia="Calibri" w:hAnsi="Calibri" w:cs="Calibri"/>
        </w:rPr>
        <w:t xml:space="preserve"> peeling</w:t>
      </w:r>
      <w:r w:rsidRPr="008F6866">
        <w:rPr>
          <w:rFonts w:ascii="Calibri" w:eastAsia="Calibri" w:hAnsi="Calibri" w:cs="Calibri"/>
        </w:rPr>
        <w:t xml:space="preserve"> damage balancing long-term revenues against short-term costs of protection </w:t>
      </w:r>
      <w:r w:rsidRPr="008F6866">
        <w:rPr>
          <w:rFonts w:ascii="Calibri" w:eastAsia="Calibri" w:hAnsi="Calibri" w:cs="Calibri"/>
        </w:rPr>
        <w:lastRenderedPageBreak/>
        <w:t>measures and long-term costs of bark</w:t>
      </w:r>
      <w:r w:rsidR="006644EE">
        <w:rPr>
          <w:rFonts w:ascii="Calibri" w:eastAsia="Calibri" w:hAnsi="Calibri" w:cs="Calibri"/>
        </w:rPr>
        <w:t xml:space="preserve"> peeling</w:t>
      </w:r>
      <w:r w:rsidRPr="008F6866">
        <w:rPr>
          <w:rFonts w:ascii="Calibri" w:eastAsia="Calibri" w:hAnsi="Calibri" w:cs="Calibri"/>
        </w:rPr>
        <w:t xml:space="preserve"> damage. Knowing the true cost of bark</w:t>
      </w:r>
      <w:r w:rsidR="006644EE">
        <w:rPr>
          <w:rFonts w:ascii="Calibri" w:eastAsia="Calibri" w:hAnsi="Calibri" w:cs="Calibri"/>
        </w:rPr>
        <w:t xml:space="preserve"> peeling</w:t>
      </w:r>
      <w:r w:rsidRPr="008F6866">
        <w:rPr>
          <w:rFonts w:ascii="Calibri" w:eastAsia="Calibri" w:hAnsi="Calibri" w:cs="Calibri"/>
        </w:rPr>
        <w:t xml:space="preserve"> damage is essential to improving the economic efficiency of deer and forest management. </w:t>
      </w:r>
    </w:p>
    <w:p w14:paraId="12B79960" w14:textId="4C6E1F4A" w:rsidR="00DE4897" w:rsidRPr="008F6866" w:rsidRDefault="39CFF0FF" w:rsidP="00D246E3">
      <w:pPr>
        <w:spacing w:after="0" w:line="300" w:lineRule="auto"/>
        <w:jc w:val="both"/>
        <w:rPr>
          <w:rFonts w:ascii="Calibri" w:eastAsia="Calibri" w:hAnsi="Calibri" w:cs="Calibri"/>
        </w:rPr>
      </w:pPr>
      <w:r w:rsidRPr="008F6866">
        <w:rPr>
          <w:rFonts w:ascii="Calibri" w:eastAsia="Calibri" w:hAnsi="Calibri" w:cs="Calibri"/>
        </w:rPr>
        <w:t>This study also demonstrated the use of the Economics2 library as well as the algorithms used to simulate the impact of ungulate damage.</w:t>
      </w:r>
    </w:p>
    <w:p w14:paraId="37B3360C" w14:textId="77777777" w:rsidR="00E2615D" w:rsidRPr="008F6866" w:rsidRDefault="00E2615D" w:rsidP="00E2615D">
      <w:pPr>
        <w:spacing w:after="0" w:line="300" w:lineRule="auto"/>
        <w:jc w:val="both"/>
        <w:rPr>
          <w:rFonts w:ascii="Calibri" w:eastAsia="Calibri" w:hAnsi="Calibri" w:cs="Calibri"/>
        </w:rPr>
      </w:pPr>
    </w:p>
    <w:p w14:paraId="2883B40B" w14:textId="4C900E14" w:rsidR="00DE4897" w:rsidRPr="008F6866" w:rsidRDefault="00DE4897" w:rsidP="00DE4897">
      <w:pPr>
        <w:rPr>
          <w:b/>
        </w:rPr>
      </w:pPr>
      <w:r w:rsidRPr="008F6866">
        <w:rPr>
          <w:b/>
        </w:rPr>
        <w:t>4.2 Rainfall limitation experiment</w:t>
      </w:r>
    </w:p>
    <w:p w14:paraId="5F9EDE5D" w14:textId="49F39157" w:rsidR="00DE4897" w:rsidRPr="008F6866" w:rsidRDefault="39CFF0FF" w:rsidP="0043390A">
      <w:pPr>
        <w:spacing w:after="120" w:line="300" w:lineRule="auto"/>
        <w:jc w:val="both"/>
        <w:rPr>
          <w:rFonts w:ascii="Calibri" w:eastAsia="Calibri" w:hAnsi="Calibri" w:cs="Calibri"/>
        </w:rPr>
      </w:pPr>
      <w:r w:rsidRPr="008F6866">
        <w:rPr>
          <w:rFonts w:ascii="Calibri" w:eastAsia="Calibri" w:hAnsi="Calibri" w:cs="Calibri"/>
        </w:rPr>
        <w:t>The temporal dynamics of the average volumetric soil water content (SWC) measured for the upper 30 cm soil layers in the experimental units of the rainfall limitation experiment is presented in</w:t>
      </w:r>
      <w:r w:rsidR="00E2615D" w:rsidRPr="008F6866">
        <w:rPr>
          <w:rFonts w:ascii="Calibri" w:eastAsia="Calibri" w:hAnsi="Calibri" w:cs="Calibri"/>
        </w:rPr>
        <w:t xml:space="preserve"> </w:t>
      </w:r>
      <w:r w:rsidR="00E2615D" w:rsidRPr="008F6866">
        <w:rPr>
          <w:rFonts w:ascii="Calibri" w:eastAsia="Calibri" w:hAnsi="Calibri" w:cs="Calibri"/>
        </w:rPr>
        <w:fldChar w:fldCharType="begin"/>
      </w:r>
      <w:r w:rsidR="00E2615D" w:rsidRPr="008F6866">
        <w:rPr>
          <w:rFonts w:ascii="Calibri" w:eastAsia="Calibri" w:hAnsi="Calibri" w:cs="Calibri"/>
        </w:rPr>
        <w:instrText xml:space="preserve"> REF _Ref195649177 \h  \* MERGEFORMAT </w:instrText>
      </w:r>
      <w:r w:rsidR="00E2615D" w:rsidRPr="008F6866">
        <w:rPr>
          <w:rFonts w:ascii="Calibri" w:eastAsia="Calibri" w:hAnsi="Calibri" w:cs="Calibri"/>
        </w:rPr>
      </w:r>
      <w:r w:rsidR="00E2615D" w:rsidRPr="008F6866">
        <w:rPr>
          <w:rFonts w:ascii="Calibri" w:eastAsia="Calibri" w:hAnsi="Calibri" w:cs="Calibri"/>
        </w:rPr>
        <w:fldChar w:fldCharType="separate"/>
      </w:r>
      <w:r w:rsidR="00540DBF" w:rsidRPr="00540DBF">
        <w:rPr>
          <w:rFonts w:ascii="Calibri" w:eastAsia="Calibri" w:hAnsi="Calibri" w:cs="Calibri"/>
        </w:rPr>
        <w:t>Figure</w:t>
      </w:r>
      <w:r w:rsidR="00D246E3">
        <w:rPr>
          <w:rFonts w:ascii="Calibri" w:eastAsia="Calibri" w:hAnsi="Calibri" w:cs="Calibri"/>
        </w:rPr>
        <w:t> </w:t>
      </w:r>
      <w:r w:rsidR="00540DBF" w:rsidRPr="00540DBF">
        <w:rPr>
          <w:rFonts w:ascii="Calibri" w:eastAsia="Calibri" w:hAnsi="Calibri" w:cs="Calibri"/>
        </w:rPr>
        <w:t>22</w:t>
      </w:r>
      <w:r w:rsidR="00E2615D" w:rsidRPr="008F6866">
        <w:rPr>
          <w:rFonts w:ascii="Calibri" w:eastAsia="Calibri" w:hAnsi="Calibri" w:cs="Calibri"/>
        </w:rPr>
        <w:fldChar w:fldCharType="end"/>
      </w:r>
      <w:r w:rsidRPr="008F6866">
        <w:rPr>
          <w:rFonts w:ascii="Calibri" w:eastAsia="Calibri" w:hAnsi="Calibri" w:cs="Calibri"/>
        </w:rPr>
        <w:t>(a) for the 07/06/2021-</w:t>
      </w:r>
      <w:r w:rsidR="00616DA8" w:rsidRPr="008F6866">
        <w:rPr>
          <w:rFonts w:ascii="Calibri" w:eastAsia="Calibri" w:hAnsi="Calibri" w:cs="Calibri"/>
        </w:rPr>
        <w:t>31</w:t>
      </w:r>
      <w:r w:rsidRPr="008F6866">
        <w:rPr>
          <w:rFonts w:ascii="Calibri" w:eastAsia="Calibri" w:hAnsi="Calibri" w:cs="Calibri"/>
        </w:rPr>
        <w:t>/</w:t>
      </w:r>
      <w:r w:rsidR="00616DA8" w:rsidRPr="008F6866">
        <w:rPr>
          <w:rFonts w:ascii="Calibri" w:eastAsia="Calibri" w:hAnsi="Calibri" w:cs="Calibri"/>
        </w:rPr>
        <w:t>12</w:t>
      </w:r>
      <w:r w:rsidRPr="008F6866">
        <w:rPr>
          <w:rFonts w:ascii="Calibri" w:eastAsia="Calibri" w:hAnsi="Calibri" w:cs="Calibri"/>
        </w:rPr>
        <w:t xml:space="preserve">/2024 period. During most of the first growing season covered by these measurements (07/2021-08/2021), SWC values remained high given the large rainfall depth observed during that period, especially during July. Yet, systematically lower average SWC values were found in the ‘treatment’ units compared with the ‘control’ units, though the differences were sometimes limited. After a SWC decrease during a drier period in September 2021, larger differences were observed due to a faster SWC recharge in the control until reaching maximum SWC values in early spring 2022 where the treatment effect is again reduced. Then, a general SWC decrease occurred, especially in the treatment units for which temporary SWC recharge peaks due to rainfall events were much more attenuated in the treatment compared with the control. The SWC decrease was particularly pronounced for the severe drought period from 07/2022-09/2022 at the end of which very low SWC values around 0.18 m³/m³ were observed in both the control and the treatment. When the rain was back, the SWC recharge was again faster for the control, leading to much higher SWC values in the control compared with the treatment. In contrast to 2022, significant SWC differences among both modalities prevailed until the start of the 2023 growing season. Yet, the absence of rainfall for one month (from mid-May to Mid-June) induced a steep decrease of SWC and led again to low values (around 0.20 m³/m³) in all units which persisted until the end of July. Then, larger rainfall events enabled partial </w:t>
      </w:r>
      <w:r w:rsidR="00A42345" w:rsidRPr="008F6866">
        <w:rPr>
          <w:rFonts w:ascii="Calibri" w:eastAsia="Calibri" w:hAnsi="Calibri" w:cs="Calibri"/>
        </w:rPr>
        <w:t xml:space="preserve">recharging </w:t>
      </w:r>
      <w:r w:rsidRPr="008F6866">
        <w:rPr>
          <w:rFonts w:ascii="Calibri" w:eastAsia="Calibri" w:hAnsi="Calibri" w:cs="Calibri"/>
        </w:rPr>
        <w:t xml:space="preserve">of the soil with water in the control during the last part of the growing period while SWC values remained low for the treatment. </w:t>
      </w:r>
      <w:r w:rsidR="00A42345" w:rsidRPr="008F6866">
        <w:rPr>
          <w:rFonts w:ascii="Calibri" w:eastAsia="Calibri" w:hAnsi="Calibri" w:cs="Calibri"/>
        </w:rPr>
        <w:t>This</w:t>
      </w:r>
      <w:r w:rsidR="00DF4EBA" w:rsidRPr="008F6866">
        <w:rPr>
          <w:rFonts w:ascii="Calibri" w:eastAsia="Calibri" w:hAnsi="Calibri" w:cs="Calibri"/>
        </w:rPr>
        <w:t xml:space="preserve"> was followed by</w:t>
      </w:r>
      <w:r w:rsidRPr="008F6866">
        <w:rPr>
          <w:rFonts w:ascii="Calibri" w:eastAsia="Calibri" w:hAnsi="Calibri" w:cs="Calibri"/>
        </w:rPr>
        <w:t xml:space="preserve"> a new short dry period in early October</w:t>
      </w:r>
      <w:r w:rsidR="00DF4EBA" w:rsidRPr="008F6866">
        <w:rPr>
          <w:rFonts w:ascii="Calibri" w:eastAsia="Calibri" w:hAnsi="Calibri" w:cs="Calibri"/>
        </w:rPr>
        <w:t xml:space="preserve">, after which </w:t>
      </w:r>
      <w:r w:rsidRPr="008F6866">
        <w:rPr>
          <w:rFonts w:ascii="Calibri" w:eastAsia="Calibri" w:hAnsi="Calibri" w:cs="Calibri"/>
        </w:rPr>
        <w:t>a general SWC increase occurred with a faster recharge in the control compared with the treatment, following a pattern similar to that observed during the previous dormant period.</w:t>
      </w:r>
      <w:r w:rsidR="00E910C7" w:rsidRPr="008F6866">
        <w:rPr>
          <w:rFonts w:ascii="Calibri" w:eastAsia="Calibri" w:hAnsi="Calibri" w:cs="Calibri"/>
        </w:rPr>
        <w:t xml:space="preserve"> </w:t>
      </w:r>
      <w:r w:rsidR="003636ED" w:rsidRPr="008F6866">
        <w:rPr>
          <w:rFonts w:ascii="Calibri" w:eastAsia="Calibri" w:hAnsi="Calibri" w:cs="Calibri"/>
        </w:rPr>
        <w:t xml:space="preserve">The first half of 2024 was characterized by regular rainfall, which kept the soil continuously close to saturation until mid-July. </w:t>
      </w:r>
      <w:r w:rsidR="000474F8" w:rsidRPr="008F6866">
        <w:rPr>
          <w:rFonts w:ascii="Calibri" w:eastAsia="Calibri" w:hAnsi="Calibri" w:cs="Calibri"/>
        </w:rPr>
        <w:t xml:space="preserve">SWC </w:t>
      </w:r>
      <w:r w:rsidR="009A4232" w:rsidRPr="008F6866">
        <w:rPr>
          <w:rFonts w:ascii="Calibri" w:eastAsia="Calibri" w:hAnsi="Calibri" w:cs="Calibri"/>
        </w:rPr>
        <w:t xml:space="preserve">then </w:t>
      </w:r>
      <w:r w:rsidR="000474F8" w:rsidRPr="008F6866">
        <w:rPr>
          <w:rFonts w:ascii="Calibri" w:eastAsia="Calibri" w:hAnsi="Calibri" w:cs="Calibri"/>
        </w:rPr>
        <w:t>decreased</w:t>
      </w:r>
      <w:r w:rsidR="009A4232" w:rsidRPr="008F6866">
        <w:rPr>
          <w:rFonts w:ascii="Calibri" w:eastAsia="Calibri" w:hAnsi="Calibri" w:cs="Calibri"/>
        </w:rPr>
        <w:t>,</w:t>
      </w:r>
      <w:r w:rsidR="00310091" w:rsidRPr="008F6866">
        <w:rPr>
          <w:rFonts w:ascii="Calibri" w:eastAsia="Calibri" w:hAnsi="Calibri" w:cs="Calibri"/>
        </w:rPr>
        <w:t xml:space="preserve"> reach</w:t>
      </w:r>
      <w:r w:rsidR="009A4232" w:rsidRPr="008F6866">
        <w:rPr>
          <w:rFonts w:ascii="Calibri" w:eastAsia="Calibri" w:hAnsi="Calibri" w:cs="Calibri"/>
        </w:rPr>
        <w:t>ing</w:t>
      </w:r>
      <w:r w:rsidR="00310091" w:rsidRPr="008F6866">
        <w:rPr>
          <w:rFonts w:ascii="Calibri" w:eastAsia="Calibri" w:hAnsi="Calibri" w:cs="Calibri"/>
        </w:rPr>
        <w:t xml:space="preserve"> </w:t>
      </w:r>
      <w:r w:rsidR="004E5EA9" w:rsidRPr="008F6866">
        <w:rPr>
          <w:rFonts w:ascii="Calibri" w:eastAsia="Calibri" w:hAnsi="Calibri" w:cs="Calibri"/>
        </w:rPr>
        <w:t>minimum values in early September at level</w:t>
      </w:r>
      <w:r w:rsidR="009A4232" w:rsidRPr="008F6866">
        <w:rPr>
          <w:rFonts w:ascii="Calibri" w:eastAsia="Calibri" w:hAnsi="Calibri" w:cs="Calibri"/>
        </w:rPr>
        <w:t>s comparable</w:t>
      </w:r>
      <w:r w:rsidR="004E5EA9" w:rsidRPr="008F6866">
        <w:rPr>
          <w:rFonts w:ascii="Calibri" w:eastAsia="Calibri" w:hAnsi="Calibri" w:cs="Calibri"/>
        </w:rPr>
        <w:t xml:space="preserve"> to th</w:t>
      </w:r>
      <w:r w:rsidR="009A4232" w:rsidRPr="008F6866">
        <w:rPr>
          <w:rFonts w:ascii="Calibri" w:eastAsia="Calibri" w:hAnsi="Calibri" w:cs="Calibri"/>
        </w:rPr>
        <w:t>ose</w:t>
      </w:r>
      <w:r w:rsidR="004E5EA9" w:rsidRPr="008F6866">
        <w:rPr>
          <w:rFonts w:ascii="Calibri" w:eastAsia="Calibri" w:hAnsi="Calibri" w:cs="Calibri"/>
        </w:rPr>
        <w:t xml:space="preserve"> observed </w:t>
      </w:r>
      <w:r w:rsidR="009A4232" w:rsidRPr="008F6866">
        <w:rPr>
          <w:rFonts w:ascii="Calibri" w:eastAsia="Calibri" w:hAnsi="Calibri" w:cs="Calibri"/>
        </w:rPr>
        <w:t>in</w:t>
      </w:r>
      <w:r w:rsidR="004E5EA9" w:rsidRPr="008F6866">
        <w:rPr>
          <w:rFonts w:ascii="Calibri" w:eastAsia="Calibri" w:hAnsi="Calibri" w:cs="Calibri"/>
        </w:rPr>
        <w:t xml:space="preserve"> </w:t>
      </w:r>
      <w:r w:rsidR="009A4232" w:rsidRPr="008F6866">
        <w:rPr>
          <w:rFonts w:ascii="Calibri" w:eastAsia="Calibri" w:hAnsi="Calibri" w:cs="Calibri"/>
        </w:rPr>
        <w:t xml:space="preserve">the </w:t>
      </w:r>
      <w:r w:rsidR="004E5EA9" w:rsidRPr="008F6866">
        <w:rPr>
          <w:rFonts w:ascii="Calibri" w:eastAsia="Calibri" w:hAnsi="Calibri" w:cs="Calibri"/>
        </w:rPr>
        <w:t>previous years, while remaining this time significantly higher</w:t>
      </w:r>
      <w:r w:rsidR="009A4232" w:rsidRPr="008F6866">
        <w:rPr>
          <w:rFonts w:ascii="Calibri" w:eastAsia="Calibri" w:hAnsi="Calibri" w:cs="Calibri"/>
        </w:rPr>
        <w:t xml:space="preserve"> on average</w:t>
      </w:r>
      <w:r w:rsidR="004E5EA9" w:rsidRPr="008F6866">
        <w:rPr>
          <w:rFonts w:ascii="Calibri" w:eastAsia="Calibri" w:hAnsi="Calibri" w:cs="Calibri"/>
        </w:rPr>
        <w:t xml:space="preserve"> in the control units </w:t>
      </w:r>
      <w:r w:rsidR="009A4232" w:rsidRPr="008F6866">
        <w:rPr>
          <w:rFonts w:ascii="Calibri" w:eastAsia="Calibri" w:hAnsi="Calibri" w:cs="Calibri"/>
        </w:rPr>
        <w:t>than in</w:t>
      </w:r>
      <w:r w:rsidR="004E5EA9" w:rsidRPr="008F6866">
        <w:rPr>
          <w:rFonts w:ascii="Calibri" w:eastAsia="Calibri" w:hAnsi="Calibri" w:cs="Calibri"/>
        </w:rPr>
        <w:t xml:space="preserve"> the treatment </w:t>
      </w:r>
      <w:r w:rsidR="009A4232" w:rsidRPr="008F6866">
        <w:rPr>
          <w:rFonts w:ascii="Calibri" w:eastAsia="Calibri" w:hAnsi="Calibri" w:cs="Calibri"/>
        </w:rPr>
        <w:t>unit</w:t>
      </w:r>
      <w:r w:rsidR="004E5EA9" w:rsidRPr="008F6866">
        <w:rPr>
          <w:rFonts w:ascii="Calibri" w:eastAsia="Calibri" w:hAnsi="Calibri" w:cs="Calibri"/>
        </w:rPr>
        <w:t xml:space="preserve">s. </w:t>
      </w:r>
      <w:r w:rsidR="001B4D9C" w:rsidRPr="008F6866">
        <w:rPr>
          <w:rFonts w:ascii="Calibri" w:eastAsia="Calibri" w:hAnsi="Calibri" w:cs="Calibri"/>
        </w:rPr>
        <w:t xml:space="preserve">However, precipitation events continued </w:t>
      </w:r>
      <w:r w:rsidR="0061699B" w:rsidRPr="008F6866">
        <w:rPr>
          <w:rFonts w:ascii="Calibri" w:eastAsia="Calibri" w:hAnsi="Calibri" w:cs="Calibri"/>
        </w:rPr>
        <w:t xml:space="preserve">to occur </w:t>
      </w:r>
      <w:r w:rsidR="001B4D9C" w:rsidRPr="008F6866">
        <w:rPr>
          <w:rFonts w:ascii="Calibri" w:eastAsia="Calibri" w:hAnsi="Calibri" w:cs="Calibri"/>
        </w:rPr>
        <w:t xml:space="preserve">and more sustained rainfall soon </w:t>
      </w:r>
      <w:r w:rsidR="009A4232" w:rsidRPr="008F6866">
        <w:rPr>
          <w:rFonts w:ascii="Calibri" w:eastAsia="Calibri" w:hAnsi="Calibri" w:cs="Calibri"/>
        </w:rPr>
        <w:t>caused</w:t>
      </w:r>
      <w:r w:rsidR="001B4D9C" w:rsidRPr="008F6866">
        <w:rPr>
          <w:rFonts w:ascii="Calibri" w:eastAsia="Calibri" w:hAnsi="Calibri" w:cs="Calibri"/>
        </w:rPr>
        <w:t xml:space="preserve"> </w:t>
      </w:r>
      <w:r w:rsidR="0061699B" w:rsidRPr="008F6866">
        <w:rPr>
          <w:rFonts w:ascii="Calibri" w:eastAsia="Calibri" w:hAnsi="Calibri" w:cs="Calibri"/>
        </w:rPr>
        <w:t>SWC to</w:t>
      </w:r>
      <w:r w:rsidR="001B4D9C" w:rsidRPr="008F6866">
        <w:rPr>
          <w:rFonts w:ascii="Calibri" w:eastAsia="Calibri" w:hAnsi="Calibri" w:cs="Calibri"/>
        </w:rPr>
        <w:t xml:space="preserve"> increase </w:t>
      </w:r>
      <w:r w:rsidR="0061699B" w:rsidRPr="008F6866">
        <w:rPr>
          <w:rFonts w:ascii="Calibri" w:eastAsia="Calibri" w:hAnsi="Calibri" w:cs="Calibri"/>
        </w:rPr>
        <w:t>again</w:t>
      </w:r>
      <w:r w:rsidR="001B4D9C" w:rsidRPr="008F6866">
        <w:rPr>
          <w:rFonts w:ascii="Calibri" w:eastAsia="Calibri" w:hAnsi="Calibri" w:cs="Calibri"/>
        </w:rPr>
        <w:t>.</w:t>
      </w:r>
      <w:r w:rsidR="003636ED" w:rsidRPr="008F6866">
        <w:rPr>
          <w:rFonts w:ascii="Calibri" w:eastAsia="Calibri" w:hAnsi="Calibri" w:cs="Calibri"/>
        </w:rPr>
        <w:t xml:space="preserve"> </w:t>
      </w:r>
      <w:r w:rsidRPr="008F6866">
        <w:rPr>
          <w:rFonts w:ascii="Calibri" w:eastAsia="Calibri" w:hAnsi="Calibri" w:cs="Calibri"/>
        </w:rPr>
        <w:t xml:space="preserve">These results indicate that the roofs generally significantly reduce SWC, except when severe droughts take place and induce dryness in all experimental units. Moreover, the roof effect is particularly marked during the post-drought recharge periods. </w:t>
      </w:r>
      <w:r w:rsidR="00E2615D" w:rsidRPr="008F6866">
        <w:rPr>
          <w:rFonts w:ascii="Calibri" w:eastAsia="Calibri" w:hAnsi="Calibri" w:cs="Calibri"/>
        </w:rPr>
        <w:fldChar w:fldCharType="begin"/>
      </w:r>
      <w:r w:rsidR="00E2615D" w:rsidRPr="008F6866">
        <w:rPr>
          <w:rFonts w:ascii="Calibri" w:eastAsia="Calibri" w:hAnsi="Calibri" w:cs="Calibri"/>
        </w:rPr>
        <w:instrText xml:space="preserve"> REF _Ref195649177 \h  \* MERGEFORMAT </w:instrText>
      </w:r>
      <w:r w:rsidR="00E2615D" w:rsidRPr="008F6866">
        <w:rPr>
          <w:rFonts w:ascii="Calibri" w:eastAsia="Calibri" w:hAnsi="Calibri" w:cs="Calibri"/>
        </w:rPr>
      </w:r>
      <w:r w:rsidR="00E2615D" w:rsidRPr="008F6866">
        <w:rPr>
          <w:rFonts w:ascii="Calibri" w:eastAsia="Calibri" w:hAnsi="Calibri" w:cs="Calibri"/>
        </w:rPr>
        <w:fldChar w:fldCharType="separate"/>
      </w:r>
      <w:r w:rsidR="00540DBF" w:rsidRPr="00540DBF">
        <w:rPr>
          <w:rFonts w:ascii="Calibri" w:eastAsia="Calibri" w:hAnsi="Calibri" w:cs="Calibri"/>
        </w:rPr>
        <w:t>Figure 22</w:t>
      </w:r>
      <w:r w:rsidR="00E2615D" w:rsidRPr="008F6866">
        <w:rPr>
          <w:rFonts w:ascii="Calibri" w:eastAsia="Calibri" w:hAnsi="Calibri" w:cs="Calibri"/>
        </w:rPr>
        <w:fldChar w:fldCharType="end"/>
      </w:r>
      <w:r w:rsidRPr="008F6866">
        <w:rPr>
          <w:rFonts w:ascii="Calibri" w:eastAsia="Calibri" w:hAnsi="Calibri" w:cs="Calibri"/>
        </w:rPr>
        <w:t>(b) shows the temporal evolution of the soil water potential (SWP) measured in parallel to SWC using the tensiometer probes installed in the more intensively equipped beech zone (referred to as “Beech zone 3” in the following). For 2022, similar patterns are observed for the control and the treatment units, with a progressive decrease during the severe drought period, followed by a rapid increase once rainfall occurs again (see</w:t>
      </w:r>
      <w:r w:rsidR="00950FE9" w:rsidRPr="008F6866">
        <w:rPr>
          <w:rFonts w:ascii="Calibri" w:eastAsia="Calibri" w:hAnsi="Calibri" w:cs="Calibri"/>
        </w:rPr>
        <w:t xml:space="preserve"> </w:t>
      </w:r>
      <w:r w:rsidR="00950FE9" w:rsidRPr="008F6866">
        <w:rPr>
          <w:rFonts w:ascii="Calibri" w:eastAsia="Calibri" w:hAnsi="Calibri" w:cs="Calibri"/>
        </w:rPr>
        <w:fldChar w:fldCharType="begin"/>
      </w:r>
      <w:r w:rsidR="00950FE9" w:rsidRPr="008F6866">
        <w:rPr>
          <w:rFonts w:ascii="Calibri" w:eastAsia="Calibri" w:hAnsi="Calibri" w:cs="Calibri"/>
        </w:rPr>
        <w:instrText xml:space="preserve"> REF _Ref195649661 \h  \* MERGEFORMAT </w:instrText>
      </w:r>
      <w:r w:rsidR="00950FE9" w:rsidRPr="008F6866">
        <w:rPr>
          <w:rFonts w:ascii="Calibri" w:eastAsia="Calibri" w:hAnsi="Calibri" w:cs="Calibri"/>
        </w:rPr>
      </w:r>
      <w:r w:rsidR="00950FE9" w:rsidRPr="008F6866">
        <w:rPr>
          <w:rFonts w:ascii="Calibri" w:eastAsia="Calibri" w:hAnsi="Calibri" w:cs="Calibri"/>
        </w:rPr>
        <w:fldChar w:fldCharType="separate"/>
      </w:r>
      <w:r w:rsidR="00540DBF" w:rsidRPr="00540DBF">
        <w:rPr>
          <w:rFonts w:ascii="Calibri" w:eastAsia="Calibri" w:hAnsi="Calibri" w:cs="Calibri"/>
        </w:rPr>
        <w:t>Figure 23</w:t>
      </w:r>
      <w:r w:rsidR="00950FE9" w:rsidRPr="008F6866">
        <w:rPr>
          <w:rFonts w:ascii="Calibri" w:eastAsia="Calibri" w:hAnsi="Calibri" w:cs="Calibri"/>
        </w:rPr>
        <w:fldChar w:fldCharType="end"/>
      </w:r>
      <w:r w:rsidRPr="008F6866">
        <w:rPr>
          <w:rFonts w:ascii="Calibri" w:eastAsia="Calibri" w:hAnsi="Calibri" w:cs="Calibri"/>
        </w:rPr>
        <w:t xml:space="preserve">(a) for a more detailed view of this period). Yet, the decrease started earlier in the treatment while, like for </w:t>
      </w:r>
      <w:r w:rsidRPr="008F6866">
        <w:rPr>
          <w:rFonts w:ascii="Calibri" w:eastAsia="Calibri" w:hAnsi="Calibri" w:cs="Calibri"/>
        </w:rPr>
        <w:lastRenderedPageBreak/>
        <w:t xml:space="preserve">SWC, the recovery was somewhat delayed compared with the control. Then, a new peak, more pronounced in the control, arose during autumn before reaching values constantly close to zero until June 2023. During the 2023 growing season, SWP showed only little variations and remained close to zero in the control. In contrast, somewhat lower average SWP values were observed in the treatment, though associated with a large variability among probes. </w:t>
      </w:r>
      <w:r w:rsidR="00706E16" w:rsidRPr="008F6866">
        <w:rPr>
          <w:rFonts w:ascii="Calibri" w:eastAsia="Calibri" w:hAnsi="Calibri" w:cs="Calibri"/>
        </w:rPr>
        <w:t>A</w:t>
      </w:r>
      <w:r w:rsidRPr="008F6866">
        <w:rPr>
          <w:rFonts w:ascii="Calibri" w:eastAsia="Calibri" w:hAnsi="Calibri" w:cs="Calibri"/>
        </w:rPr>
        <w:t xml:space="preserve"> pronounced SWP decrease occurred in both modalities after the growing period, in early October, and then reached near-zero values.</w:t>
      </w:r>
      <w:r w:rsidR="00706E16" w:rsidRPr="008F6866">
        <w:rPr>
          <w:rFonts w:ascii="Calibri" w:eastAsia="Calibri" w:hAnsi="Calibri" w:cs="Calibri"/>
        </w:rPr>
        <w:t xml:space="preserve"> </w:t>
      </w:r>
      <w:r w:rsidR="007A7DEB" w:rsidRPr="008F6866">
        <w:rPr>
          <w:rFonts w:ascii="Calibri" w:eastAsia="Calibri" w:hAnsi="Calibri" w:cs="Calibri"/>
        </w:rPr>
        <w:t xml:space="preserve">The regular rainfall during 2024 maintained SWP continuously close to zero, with only a </w:t>
      </w:r>
      <w:r w:rsidR="00806458" w:rsidRPr="008F6866">
        <w:rPr>
          <w:rFonts w:ascii="Calibri" w:eastAsia="Calibri" w:hAnsi="Calibri" w:cs="Calibri"/>
        </w:rPr>
        <w:t>limited</w:t>
      </w:r>
      <w:r w:rsidR="007A7DEB" w:rsidRPr="008F6866">
        <w:rPr>
          <w:rFonts w:ascii="Calibri" w:eastAsia="Calibri" w:hAnsi="Calibri" w:cs="Calibri"/>
        </w:rPr>
        <w:t xml:space="preserve"> decrease in the treatment units at the end of the vegetation period.</w:t>
      </w:r>
    </w:p>
    <w:p w14:paraId="6CC583DA" w14:textId="6A1F0BBF" w:rsidR="00DE4897" w:rsidRPr="008F6866" w:rsidRDefault="39CFF0FF" w:rsidP="0043390A">
      <w:pPr>
        <w:spacing w:after="120" w:line="300" w:lineRule="auto"/>
        <w:jc w:val="both"/>
        <w:rPr>
          <w:rFonts w:ascii="Calibri" w:eastAsia="Calibri" w:hAnsi="Calibri" w:cs="Calibri"/>
        </w:rPr>
      </w:pPr>
      <w:r w:rsidRPr="008F6866">
        <w:rPr>
          <w:rFonts w:ascii="Calibri" w:eastAsia="Calibri" w:hAnsi="Calibri" w:cs="Calibri"/>
        </w:rPr>
        <w:t>Similarly as depicted above for SWP (see</w:t>
      </w:r>
      <w:r w:rsidR="00950FE9" w:rsidRPr="008F6866">
        <w:rPr>
          <w:rFonts w:ascii="Calibri" w:eastAsia="Calibri" w:hAnsi="Calibri" w:cs="Calibri"/>
        </w:rPr>
        <w:t xml:space="preserve"> </w:t>
      </w:r>
      <w:r w:rsidR="00950FE9" w:rsidRPr="008F6866">
        <w:rPr>
          <w:rFonts w:ascii="Calibri" w:eastAsia="Calibri" w:hAnsi="Calibri" w:cs="Calibri"/>
        </w:rPr>
        <w:fldChar w:fldCharType="begin"/>
      </w:r>
      <w:r w:rsidR="00950FE9" w:rsidRPr="008F6866">
        <w:rPr>
          <w:rFonts w:ascii="Calibri" w:eastAsia="Calibri" w:hAnsi="Calibri" w:cs="Calibri"/>
        </w:rPr>
        <w:instrText xml:space="preserve"> REF _Ref195649177 \h  \* MERGEFORMAT </w:instrText>
      </w:r>
      <w:r w:rsidR="00950FE9" w:rsidRPr="008F6866">
        <w:rPr>
          <w:rFonts w:ascii="Calibri" w:eastAsia="Calibri" w:hAnsi="Calibri" w:cs="Calibri"/>
        </w:rPr>
      </w:r>
      <w:r w:rsidR="00950FE9" w:rsidRPr="008F6866">
        <w:rPr>
          <w:rFonts w:ascii="Calibri" w:eastAsia="Calibri" w:hAnsi="Calibri" w:cs="Calibri"/>
        </w:rPr>
        <w:fldChar w:fldCharType="separate"/>
      </w:r>
      <w:r w:rsidR="00540DBF" w:rsidRPr="00540DBF">
        <w:rPr>
          <w:rFonts w:ascii="Calibri" w:eastAsia="Calibri" w:hAnsi="Calibri" w:cs="Calibri"/>
        </w:rPr>
        <w:t>Figure 22</w:t>
      </w:r>
      <w:r w:rsidR="00950FE9" w:rsidRPr="008F6866">
        <w:rPr>
          <w:rFonts w:ascii="Calibri" w:eastAsia="Calibri" w:hAnsi="Calibri" w:cs="Calibri"/>
        </w:rPr>
        <w:fldChar w:fldCharType="end"/>
      </w:r>
      <w:r w:rsidR="00950FE9" w:rsidRPr="008F6866">
        <w:rPr>
          <w:rFonts w:ascii="Calibri" w:eastAsia="Calibri" w:hAnsi="Calibri" w:cs="Calibri"/>
        </w:rPr>
        <w:t xml:space="preserve">(b) and </w:t>
      </w:r>
      <w:r w:rsidR="00950FE9" w:rsidRPr="008F6866">
        <w:rPr>
          <w:rFonts w:ascii="Calibri" w:eastAsia="Calibri" w:hAnsi="Calibri" w:cs="Calibri"/>
        </w:rPr>
        <w:fldChar w:fldCharType="begin"/>
      </w:r>
      <w:r w:rsidR="00950FE9" w:rsidRPr="008F6866">
        <w:rPr>
          <w:rFonts w:ascii="Calibri" w:eastAsia="Calibri" w:hAnsi="Calibri" w:cs="Calibri"/>
        </w:rPr>
        <w:instrText xml:space="preserve"> REF _Ref195649661 \h  \* MERGEFORMAT </w:instrText>
      </w:r>
      <w:r w:rsidR="00950FE9" w:rsidRPr="008F6866">
        <w:rPr>
          <w:rFonts w:ascii="Calibri" w:eastAsia="Calibri" w:hAnsi="Calibri" w:cs="Calibri"/>
        </w:rPr>
      </w:r>
      <w:r w:rsidR="00950FE9" w:rsidRPr="008F6866">
        <w:rPr>
          <w:rFonts w:ascii="Calibri" w:eastAsia="Calibri" w:hAnsi="Calibri" w:cs="Calibri"/>
        </w:rPr>
        <w:fldChar w:fldCharType="separate"/>
      </w:r>
      <w:r w:rsidR="00540DBF" w:rsidRPr="00540DBF">
        <w:rPr>
          <w:rFonts w:ascii="Calibri" w:eastAsia="Calibri" w:hAnsi="Calibri" w:cs="Calibri"/>
        </w:rPr>
        <w:t>Figure 23</w:t>
      </w:r>
      <w:r w:rsidR="00950FE9" w:rsidRPr="008F6866">
        <w:rPr>
          <w:rFonts w:ascii="Calibri" w:eastAsia="Calibri" w:hAnsi="Calibri" w:cs="Calibri"/>
        </w:rPr>
        <w:fldChar w:fldCharType="end"/>
      </w:r>
      <w:r w:rsidR="00950FE9" w:rsidRPr="008F6866">
        <w:rPr>
          <w:rFonts w:ascii="Calibri" w:eastAsia="Calibri" w:hAnsi="Calibri" w:cs="Calibri"/>
        </w:rPr>
        <w:t>(a)</w:t>
      </w:r>
      <w:r w:rsidRPr="008F6866">
        <w:rPr>
          <w:rFonts w:ascii="Calibri" w:eastAsia="Calibri" w:hAnsi="Calibri" w:cs="Calibri"/>
        </w:rPr>
        <w:t>), the stem water potential measured on seedlings during the 2022 growing period decreased progressively during the drought before increasing during the subsequent rainfalls (</w:t>
      </w:r>
      <w:r w:rsidR="00950FE9" w:rsidRPr="008F6866">
        <w:rPr>
          <w:rFonts w:ascii="Calibri" w:eastAsia="Calibri" w:hAnsi="Calibri" w:cs="Calibri"/>
        </w:rPr>
        <w:fldChar w:fldCharType="begin"/>
      </w:r>
      <w:r w:rsidR="00950FE9" w:rsidRPr="008F6866">
        <w:rPr>
          <w:rFonts w:ascii="Calibri" w:eastAsia="Calibri" w:hAnsi="Calibri" w:cs="Calibri"/>
        </w:rPr>
        <w:instrText xml:space="preserve"> REF _Ref195649661 \h  \* MERGEFORMAT </w:instrText>
      </w:r>
      <w:r w:rsidR="00950FE9" w:rsidRPr="008F6866">
        <w:rPr>
          <w:rFonts w:ascii="Calibri" w:eastAsia="Calibri" w:hAnsi="Calibri" w:cs="Calibri"/>
        </w:rPr>
      </w:r>
      <w:r w:rsidR="00950FE9" w:rsidRPr="008F6866">
        <w:rPr>
          <w:rFonts w:ascii="Calibri" w:eastAsia="Calibri" w:hAnsi="Calibri" w:cs="Calibri"/>
        </w:rPr>
        <w:fldChar w:fldCharType="separate"/>
      </w:r>
      <w:r w:rsidR="00540DBF" w:rsidRPr="00540DBF">
        <w:rPr>
          <w:rFonts w:ascii="Calibri" w:eastAsia="Calibri" w:hAnsi="Calibri" w:cs="Calibri"/>
        </w:rPr>
        <w:t>Figure 23</w:t>
      </w:r>
      <w:r w:rsidR="00950FE9" w:rsidRPr="008F6866">
        <w:rPr>
          <w:rFonts w:ascii="Calibri" w:eastAsia="Calibri" w:hAnsi="Calibri" w:cs="Calibri"/>
        </w:rPr>
        <w:fldChar w:fldCharType="end"/>
      </w:r>
      <w:r w:rsidRPr="008F6866">
        <w:rPr>
          <w:rFonts w:ascii="Calibri" w:eastAsia="Calibri" w:hAnsi="Calibri" w:cs="Calibri"/>
        </w:rPr>
        <w:t>(b)). Nevertheless, stem water potential variations were much more pronounced for the control compared with the treatment, giving rise to more negative stem water potential values for the seedlings in the control and to increasing differences between both units as the drought progressed. These results would indicate that the seedlings under the roof were less stressed than those in the control. Several hypotheses can be made to explain these quite unexpected results. A first hypothesis could be that seedlings of both modalities presented contrasted fine root abundances and distributions. Such differences could result from a higher root mortality by anoxia for the seedlings in the control that were subject to higher SWC levels during the preceding wet summer of 2021 and/or from the development of fine roots in more deeper soil horizons by the seedlings under the roof as an adaptation to the drier conditions. Another explanation would be that the seedlings in the treatment unit were exposed to less stressful conditions due to the lower radiation reaching them compared with the control unit, as attested by the PAR measurements presented in</w:t>
      </w:r>
      <w:r w:rsidR="00950FE9" w:rsidRPr="008F6866">
        <w:rPr>
          <w:rFonts w:ascii="Calibri" w:eastAsia="Calibri" w:hAnsi="Calibri" w:cs="Calibri"/>
        </w:rPr>
        <w:t xml:space="preserve"> </w:t>
      </w:r>
      <w:r w:rsidR="00950FE9" w:rsidRPr="008F6866">
        <w:rPr>
          <w:rFonts w:ascii="Calibri" w:eastAsia="Calibri" w:hAnsi="Calibri" w:cs="Calibri"/>
        </w:rPr>
        <w:fldChar w:fldCharType="begin"/>
      </w:r>
      <w:r w:rsidR="00950FE9" w:rsidRPr="008F6866">
        <w:rPr>
          <w:rFonts w:ascii="Calibri" w:eastAsia="Calibri" w:hAnsi="Calibri" w:cs="Calibri"/>
        </w:rPr>
        <w:instrText xml:space="preserve"> REF _Ref195649661 \h  \* MERGEFORMAT </w:instrText>
      </w:r>
      <w:r w:rsidR="00950FE9" w:rsidRPr="008F6866">
        <w:rPr>
          <w:rFonts w:ascii="Calibri" w:eastAsia="Calibri" w:hAnsi="Calibri" w:cs="Calibri"/>
        </w:rPr>
      </w:r>
      <w:r w:rsidR="00950FE9" w:rsidRPr="008F6866">
        <w:rPr>
          <w:rFonts w:ascii="Calibri" w:eastAsia="Calibri" w:hAnsi="Calibri" w:cs="Calibri"/>
        </w:rPr>
        <w:fldChar w:fldCharType="separate"/>
      </w:r>
      <w:r w:rsidR="00540DBF" w:rsidRPr="00540DBF">
        <w:rPr>
          <w:rFonts w:ascii="Calibri" w:eastAsia="Calibri" w:hAnsi="Calibri" w:cs="Calibri"/>
        </w:rPr>
        <w:t>Figure 23</w:t>
      </w:r>
      <w:r w:rsidR="00950FE9" w:rsidRPr="008F6866">
        <w:rPr>
          <w:rFonts w:ascii="Calibri" w:eastAsia="Calibri" w:hAnsi="Calibri" w:cs="Calibri"/>
        </w:rPr>
        <w:fldChar w:fldCharType="end"/>
      </w:r>
      <w:r w:rsidRPr="008F6866">
        <w:rPr>
          <w:rFonts w:ascii="Calibri" w:eastAsia="Calibri" w:hAnsi="Calibri" w:cs="Calibri"/>
        </w:rPr>
        <w:t xml:space="preserve">(c). These lower radiation levels in the treatment unit would partly arise from the interception of a part of the radiation by the roof structure but might also result from contrasted light environments for the two modalities within the stand, although these </w:t>
      </w:r>
      <w:r w:rsidR="003F0500" w:rsidRPr="008F6866">
        <w:rPr>
          <w:rFonts w:ascii="Calibri" w:eastAsia="Calibri" w:hAnsi="Calibri" w:cs="Calibri"/>
        </w:rPr>
        <w:t xml:space="preserve">were </w:t>
      </w:r>
      <w:r w:rsidRPr="008F6866">
        <w:rPr>
          <w:rFonts w:ascii="Calibri" w:eastAsia="Calibri" w:hAnsi="Calibri" w:cs="Calibri"/>
        </w:rPr>
        <w:t xml:space="preserve">only a few meters apart. The analysis of the hemispherical photos taken above each unit (and above the roof in the case of the treatment unit) </w:t>
      </w:r>
      <w:r w:rsidR="003F0500" w:rsidRPr="008F6866">
        <w:rPr>
          <w:rFonts w:ascii="Calibri" w:eastAsia="Calibri" w:hAnsi="Calibri" w:cs="Calibri"/>
        </w:rPr>
        <w:t xml:space="preserve">revealed </w:t>
      </w:r>
      <w:r w:rsidRPr="008F6866">
        <w:rPr>
          <w:rFonts w:ascii="Calibri" w:eastAsia="Calibri" w:hAnsi="Calibri" w:cs="Calibri"/>
        </w:rPr>
        <w:t>that, for the period corresponding to those measurements, the average percentage of the incident PAR radiation that reached the treatment unit was around 3% while it amounted to 9% for the control unit (</w:t>
      </w:r>
      <w:r w:rsidR="0043390A" w:rsidRPr="008F6866">
        <w:rPr>
          <w:rFonts w:ascii="Calibri" w:eastAsia="Calibri" w:hAnsi="Calibri" w:cs="Calibri"/>
        </w:rPr>
        <w:fldChar w:fldCharType="begin"/>
      </w:r>
      <w:r w:rsidR="0043390A" w:rsidRPr="008F6866">
        <w:rPr>
          <w:rFonts w:ascii="Calibri" w:eastAsia="Calibri" w:hAnsi="Calibri" w:cs="Calibri"/>
        </w:rPr>
        <w:instrText xml:space="preserve"> REF _Ref195650064 \h  \* MERGEFORMAT </w:instrText>
      </w:r>
      <w:r w:rsidR="0043390A" w:rsidRPr="008F6866">
        <w:rPr>
          <w:rFonts w:ascii="Calibri" w:eastAsia="Calibri" w:hAnsi="Calibri" w:cs="Calibri"/>
        </w:rPr>
      </w:r>
      <w:r w:rsidR="0043390A" w:rsidRPr="008F6866">
        <w:rPr>
          <w:rFonts w:ascii="Calibri" w:eastAsia="Calibri" w:hAnsi="Calibri" w:cs="Calibri"/>
        </w:rPr>
        <w:fldChar w:fldCharType="separate"/>
      </w:r>
      <w:r w:rsidR="00540DBF" w:rsidRPr="00540DBF">
        <w:rPr>
          <w:rFonts w:ascii="Calibri" w:eastAsia="Calibri" w:hAnsi="Calibri" w:cs="Calibri"/>
        </w:rPr>
        <w:t>Figure 24</w:t>
      </w:r>
      <w:r w:rsidR="0043390A" w:rsidRPr="008F6866">
        <w:rPr>
          <w:rFonts w:ascii="Calibri" w:eastAsia="Calibri" w:hAnsi="Calibri" w:cs="Calibri"/>
        </w:rPr>
        <w:fldChar w:fldCharType="end"/>
      </w:r>
      <w:r w:rsidRPr="008F6866">
        <w:rPr>
          <w:rFonts w:ascii="Calibri" w:eastAsia="Calibri" w:hAnsi="Calibri" w:cs="Calibri"/>
        </w:rPr>
        <w:t>(a)). This indicates that the differences in radiation levels between both units would mainly arise from a ‘location’ effect and that the ‘roof’ effect would be relatively minor. Given these different exposures to radiation, the seedlings under the roof would have been subject to a lower atmospheric demand for water than in the control.</w:t>
      </w:r>
    </w:p>
    <w:p w14:paraId="70603BE0" w14:textId="77777777" w:rsidR="00DE4897" w:rsidRPr="008F6866" w:rsidRDefault="00DE4897" w:rsidP="00E2615D">
      <w:pPr>
        <w:spacing w:after="0"/>
        <w:jc w:val="both"/>
        <w:rPr>
          <w:rFonts w:ascii="Calibri" w:eastAsia="Calibri" w:hAnsi="Calibri" w:cs="Calibri"/>
          <w:sz w:val="2"/>
          <w:szCs w:val="2"/>
        </w:rPr>
      </w:pPr>
    </w:p>
    <w:tbl>
      <w:tblPr>
        <w:tblW w:w="9697" w:type="dxa"/>
        <w:tblBorders>
          <w:top w:val="nil"/>
          <w:left w:val="nil"/>
          <w:bottom w:val="nil"/>
          <w:right w:val="nil"/>
          <w:insideH w:val="nil"/>
          <w:insideV w:val="nil"/>
        </w:tblBorders>
        <w:tblLayout w:type="fixed"/>
        <w:tblLook w:val="0400" w:firstRow="0" w:lastRow="0" w:firstColumn="0" w:lastColumn="0" w:noHBand="0" w:noVBand="1"/>
      </w:tblPr>
      <w:tblGrid>
        <w:gridCol w:w="9697"/>
      </w:tblGrid>
      <w:tr w:rsidR="00DE4897" w:rsidRPr="008F6866" w14:paraId="309A008C" w14:textId="77777777" w:rsidTr="4EBA9570">
        <w:trPr>
          <w:trHeight w:val="200"/>
        </w:trPr>
        <w:tc>
          <w:tcPr>
            <w:tcW w:w="9697" w:type="dxa"/>
          </w:tcPr>
          <w:p w14:paraId="36E5FFFB" w14:textId="574013FD" w:rsidR="00DE4897" w:rsidRPr="008F6866" w:rsidRDefault="0020116C" w:rsidP="00E2615D">
            <w:pPr>
              <w:pStyle w:val="NormalWeb"/>
              <w:spacing w:after="0" w:afterAutospacing="0"/>
              <w:rPr>
                <w:lang w:val="en-GB"/>
              </w:rPr>
            </w:pPr>
            <w:r w:rsidRPr="008F6866">
              <w:rPr>
                <w:lang w:val="en-GB"/>
              </w:rPr>
              <w:lastRenderedPageBreak/>
              <w:t xml:space="preserve"> </w:t>
            </w:r>
            <w:r w:rsidRPr="008F6866">
              <w:rPr>
                <w:noProof/>
                <w:lang w:val="en-GB"/>
              </w:rPr>
              <w:drawing>
                <wp:inline distT="0" distB="0" distL="0" distR="0" wp14:anchorId="39467441" wp14:editId="7DDC924A">
                  <wp:extent cx="5962650" cy="3576742"/>
                  <wp:effectExtent l="0" t="0" r="0" b="5080"/>
                  <wp:docPr id="25" name="Image 25" descr="D:\andref\Documents\EFOR\RegePlus\DroughtExperiment\Analyses\Analyses2025\AvgSWCvsTime_Felix_all_ssHS23_2_EN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dref\Documents\EFOR\RegePlus\DroughtExperiment\Analyses\Analyses2025\AvgSWCvsTime_Felix_all_ssHS23_2_EN_report.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72551" cy="3642667"/>
                          </a:xfrm>
                          <a:prstGeom prst="rect">
                            <a:avLst/>
                          </a:prstGeom>
                          <a:noFill/>
                          <a:ln>
                            <a:noFill/>
                          </a:ln>
                        </pic:spPr>
                      </pic:pic>
                    </a:graphicData>
                  </a:graphic>
                </wp:inline>
              </w:drawing>
            </w:r>
          </w:p>
        </w:tc>
      </w:tr>
      <w:tr w:rsidR="00950FE9" w:rsidRPr="008F6866" w14:paraId="60F65910" w14:textId="77777777" w:rsidTr="4EBA9570">
        <w:trPr>
          <w:trHeight w:val="200"/>
        </w:trPr>
        <w:tc>
          <w:tcPr>
            <w:tcW w:w="9697" w:type="dxa"/>
          </w:tcPr>
          <w:p w14:paraId="5A8CA72D" w14:textId="031586C0" w:rsidR="00950FE9" w:rsidRPr="008F6866" w:rsidRDefault="00950FE9" w:rsidP="00950FE9">
            <w:pPr>
              <w:spacing w:after="0"/>
              <w:jc w:val="center"/>
            </w:pPr>
            <w:r w:rsidRPr="008F6866">
              <w:t>(a)</w:t>
            </w:r>
          </w:p>
        </w:tc>
      </w:tr>
      <w:tr w:rsidR="00DE4897" w:rsidRPr="008F6866" w14:paraId="56FEC6C2" w14:textId="77777777" w:rsidTr="4EBA9570">
        <w:trPr>
          <w:trHeight w:val="200"/>
        </w:trPr>
        <w:tc>
          <w:tcPr>
            <w:tcW w:w="9697" w:type="dxa"/>
          </w:tcPr>
          <w:p w14:paraId="1F13D5D3" w14:textId="7F9F15CF" w:rsidR="00E2615D" w:rsidRPr="008F6866" w:rsidRDefault="00DE4897" w:rsidP="00E2615D">
            <w:pPr>
              <w:spacing w:after="0"/>
              <w:jc w:val="both"/>
            </w:pPr>
            <w:r w:rsidRPr="008F6866">
              <w:t xml:space="preserve">   </w:t>
            </w:r>
            <w:r w:rsidRPr="008F6866">
              <w:rPr>
                <w:noProof/>
              </w:rPr>
              <w:drawing>
                <wp:inline distT="0" distB="0" distL="0" distR="0" wp14:anchorId="756C9B64" wp14:editId="06E8BE2D">
                  <wp:extent cx="5480050" cy="3394538"/>
                  <wp:effectExtent l="0" t="0" r="635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80050" cy="3394538"/>
                          </a:xfrm>
                          <a:prstGeom prst="rect">
                            <a:avLst/>
                          </a:prstGeom>
                        </pic:spPr>
                      </pic:pic>
                    </a:graphicData>
                  </a:graphic>
                </wp:inline>
              </w:drawing>
            </w:r>
          </w:p>
        </w:tc>
      </w:tr>
      <w:tr w:rsidR="00950FE9" w:rsidRPr="008F6866" w14:paraId="4611DC1D" w14:textId="77777777" w:rsidTr="4EBA9570">
        <w:trPr>
          <w:trHeight w:val="200"/>
        </w:trPr>
        <w:tc>
          <w:tcPr>
            <w:tcW w:w="9697" w:type="dxa"/>
          </w:tcPr>
          <w:p w14:paraId="69F3B91F" w14:textId="13D75C63" w:rsidR="00950FE9" w:rsidRPr="008F6866" w:rsidRDefault="00950FE9" w:rsidP="00950FE9">
            <w:pPr>
              <w:spacing w:after="0"/>
              <w:jc w:val="center"/>
            </w:pPr>
            <w:r w:rsidRPr="008F6866">
              <w:t>(b)</w:t>
            </w:r>
          </w:p>
        </w:tc>
      </w:tr>
    </w:tbl>
    <w:p w14:paraId="54BDEE23" w14:textId="440A9452" w:rsidR="00DE4897" w:rsidRPr="008F6866" w:rsidRDefault="00E2615D" w:rsidP="00E2615D">
      <w:pPr>
        <w:pStyle w:val="Lgende"/>
        <w:jc w:val="center"/>
        <w:rPr>
          <w:b/>
          <w:i w:val="0"/>
          <w:color w:val="000000" w:themeColor="text1"/>
          <w:sz w:val="20"/>
          <w:szCs w:val="20"/>
        </w:rPr>
      </w:pPr>
      <w:bookmarkStart w:id="76" w:name="_Ref195649177"/>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22</w:t>
      </w:r>
      <w:r w:rsidRPr="008F6866">
        <w:rPr>
          <w:b/>
          <w:i w:val="0"/>
          <w:color w:val="000000" w:themeColor="text1"/>
          <w:sz w:val="20"/>
          <w:szCs w:val="20"/>
        </w:rPr>
        <w:fldChar w:fldCharType="end"/>
      </w:r>
      <w:bookmarkEnd w:id="76"/>
      <w:r w:rsidRPr="008F6866">
        <w:rPr>
          <w:b/>
          <w:i w:val="0"/>
          <w:color w:val="000000" w:themeColor="text1"/>
          <w:sz w:val="20"/>
          <w:szCs w:val="20"/>
        </w:rPr>
        <w:t>. Temporal variation of (a) soil volumetric water content and (b) soil water potential measured in the ‘control’ and the ‘treatment’ units of the rainfall limitation experiment. Lines are daily average values and shaded areas around the lines are corresponding 95% confidence intervals. Results presented in subfigure (a) consider all experimental zones while data in subfigure (b) only concern to the more intensively equipped beech zone. The green shaded areas delimit for each year the period between 15/04 and 15/09, corresponding approximately to the vegetation period, the dashed purple line delimits the measurement period covered by</w:t>
      </w:r>
      <w:r w:rsidR="0043390A" w:rsidRPr="008F6866">
        <w:rPr>
          <w:b/>
          <w:i w:val="0"/>
          <w:color w:val="000000" w:themeColor="text1"/>
          <w:sz w:val="20"/>
          <w:szCs w:val="20"/>
        </w:rPr>
        <w:t xml:space="preserve"> </w:t>
      </w:r>
      <w:r w:rsidR="0043390A" w:rsidRPr="008F6866">
        <w:rPr>
          <w:b/>
          <w:i w:val="0"/>
          <w:color w:val="000000" w:themeColor="text1"/>
          <w:sz w:val="20"/>
          <w:szCs w:val="20"/>
        </w:rPr>
        <w:fldChar w:fldCharType="begin"/>
      </w:r>
      <w:r w:rsidR="0043390A" w:rsidRPr="008F6866">
        <w:rPr>
          <w:b/>
          <w:i w:val="0"/>
          <w:color w:val="000000" w:themeColor="text1"/>
          <w:sz w:val="20"/>
          <w:szCs w:val="20"/>
        </w:rPr>
        <w:instrText xml:space="preserve"> REF _Ref195649661 \h  \* MERGEFORMAT </w:instrText>
      </w:r>
      <w:r w:rsidR="0043390A" w:rsidRPr="008F6866">
        <w:rPr>
          <w:b/>
          <w:i w:val="0"/>
          <w:color w:val="000000" w:themeColor="text1"/>
          <w:sz w:val="20"/>
          <w:szCs w:val="20"/>
        </w:rPr>
      </w:r>
      <w:r w:rsidR="0043390A" w:rsidRPr="008F6866">
        <w:rPr>
          <w:b/>
          <w:i w:val="0"/>
          <w:color w:val="000000" w:themeColor="text1"/>
          <w:sz w:val="20"/>
          <w:szCs w:val="20"/>
        </w:rPr>
        <w:fldChar w:fldCharType="separate"/>
      </w:r>
      <w:r w:rsidR="00540DBF" w:rsidRPr="008F6866">
        <w:rPr>
          <w:b/>
          <w:i w:val="0"/>
          <w:color w:val="000000" w:themeColor="text1"/>
          <w:sz w:val="20"/>
          <w:szCs w:val="20"/>
        </w:rPr>
        <w:t xml:space="preserve">Figure </w:t>
      </w:r>
      <w:r w:rsidR="00540DBF">
        <w:rPr>
          <w:b/>
          <w:i w:val="0"/>
          <w:noProof/>
          <w:color w:val="000000" w:themeColor="text1"/>
          <w:sz w:val="20"/>
          <w:szCs w:val="20"/>
        </w:rPr>
        <w:t>23</w:t>
      </w:r>
      <w:r w:rsidR="0043390A" w:rsidRPr="008F6866">
        <w:rPr>
          <w:b/>
          <w:i w:val="0"/>
          <w:color w:val="000000" w:themeColor="text1"/>
          <w:sz w:val="20"/>
          <w:szCs w:val="20"/>
        </w:rPr>
        <w:fldChar w:fldCharType="end"/>
      </w:r>
      <w:r w:rsidRPr="008F6866">
        <w:rPr>
          <w:b/>
          <w:i w:val="0"/>
          <w:color w:val="000000" w:themeColor="text1"/>
          <w:sz w:val="20"/>
          <w:szCs w:val="20"/>
        </w:rPr>
        <w:t>. Daily incident rainfall depth is also provided in subfigure (a).</w:t>
      </w:r>
    </w:p>
    <w:p w14:paraId="1565985F" w14:textId="77777777" w:rsidR="00DE4897" w:rsidRPr="008F6866" w:rsidRDefault="00DE4897" w:rsidP="003A1EF3">
      <w:pPr>
        <w:spacing w:after="0"/>
        <w:jc w:val="both"/>
        <w:rPr>
          <w:rFonts w:ascii="Calibri" w:eastAsia="Calibri" w:hAnsi="Calibri" w:cs="Calibri"/>
          <w:sz w:val="2"/>
          <w:szCs w:val="2"/>
        </w:rPr>
      </w:pPr>
    </w:p>
    <w:tbl>
      <w:tblPr>
        <w:tblW w:w="9697" w:type="dxa"/>
        <w:tblBorders>
          <w:top w:val="nil"/>
          <w:left w:val="nil"/>
          <w:bottom w:val="nil"/>
          <w:right w:val="nil"/>
          <w:insideH w:val="nil"/>
          <w:insideV w:val="nil"/>
        </w:tblBorders>
        <w:tblLayout w:type="fixed"/>
        <w:tblCellMar>
          <w:left w:w="0" w:type="dxa"/>
          <w:right w:w="0" w:type="dxa"/>
        </w:tblCellMar>
        <w:tblLook w:val="0400" w:firstRow="0" w:lastRow="0" w:firstColumn="0" w:lastColumn="0" w:noHBand="0" w:noVBand="1"/>
      </w:tblPr>
      <w:tblGrid>
        <w:gridCol w:w="4848"/>
        <w:gridCol w:w="4849"/>
      </w:tblGrid>
      <w:tr w:rsidR="00DE4897" w:rsidRPr="008F6866" w14:paraId="6F9EFEEF" w14:textId="77777777" w:rsidTr="00AB4B49">
        <w:trPr>
          <w:trHeight w:val="200"/>
        </w:trPr>
        <w:tc>
          <w:tcPr>
            <w:tcW w:w="4848" w:type="dxa"/>
          </w:tcPr>
          <w:p w14:paraId="75933E50" w14:textId="77777777" w:rsidR="00DE4897" w:rsidRPr="008F6866" w:rsidRDefault="00DE4897" w:rsidP="003A1EF3">
            <w:pPr>
              <w:spacing w:after="0"/>
              <w:jc w:val="center"/>
            </w:pPr>
            <w:r w:rsidRPr="008F6866">
              <w:rPr>
                <w:noProof/>
              </w:rPr>
              <w:lastRenderedPageBreak/>
              <w:drawing>
                <wp:inline distT="114300" distB="114300" distL="114300" distR="114300" wp14:anchorId="57B1CD20" wp14:editId="7DE64A2C">
                  <wp:extent cx="2970000" cy="1778400"/>
                  <wp:effectExtent l="0" t="0" r="1905" b="0"/>
                  <wp:docPr id="206168096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9"/>
                          <a:srcRect/>
                          <a:stretch>
                            <a:fillRect/>
                          </a:stretch>
                        </pic:blipFill>
                        <pic:spPr>
                          <a:xfrm>
                            <a:off x="0" y="0"/>
                            <a:ext cx="2970000" cy="1778400"/>
                          </a:xfrm>
                          <a:prstGeom prst="rect">
                            <a:avLst/>
                          </a:prstGeom>
                          <a:ln/>
                        </pic:spPr>
                      </pic:pic>
                    </a:graphicData>
                  </a:graphic>
                </wp:inline>
              </w:drawing>
            </w:r>
          </w:p>
        </w:tc>
        <w:tc>
          <w:tcPr>
            <w:tcW w:w="4849" w:type="dxa"/>
          </w:tcPr>
          <w:p w14:paraId="2CCA800B" w14:textId="77777777" w:rsidR="00DE4897" w:rsidRPr="008F6866" w:rsidRDefault="00DE4897" w:rsidP="003A1EF3">
            <w:pPr>
              <w:spacing w:after="0"/>
              <w:jc w:val="center"/>
            </w:pPr>
            <w:r w:rsidRPr="008F6866">
              <w:rPr>
                <w:noProof/>
              </w:rPr>
              <w:drawing>
                <wp:inline distT="114300" distB="114300" distL="114300" distR="114300" wp14:anchorId="2151A8E5" wp14:editId="06B87B64">
                  <wp:extent cx="2970000" cy="1778400"/>
                  <wp:effectExtent l="0" t="0" r="1905" b="0"/>
                  <wp:docPr id="206168097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0"/>
                          <a:srcRect/>
                          <a:stretch>
                            <a:fillRect/>
                          </a:stretch>
                        </pic:blipFill>
                        <pic:spPr>
                          <a:xfrm>
                            <a:off x="0" y="0"/>
                            <a:ext cx="2970000" cy="1778400"/>
                          </a:xfrm>
                          <a:prstGeom prst="rect">
                            <a:avLst/>
                          </a:prstGeom>
                          <a:ln/>
                        </pic:spPr>
                      </pic:pic>
                    </a:graphicData>
                  </a:graphic>
                </wp:inline>
              </w:drawing>
            </w:r>
          </w:p>
        </w:tc>
      </w:tr>
      <w:tr w:rsidR="00DE4897" w:rsidRPr="008F6866" w14:paraId="79FB6816" w14:textId="77777777" w:rsidTr="00AB4B49">
        <w:trPr>
          <w:trHeight w:val="200"/>
        </w:trPr>
        <w:tc>
          <w:tcPr>
            <w:tcW w:w="4848" w:type="dxa"/>
          </w:tcPr>
          <w:p w14:paraId="41A707F7" w14:textId="77777777" w:rsidR="00DE4897" w:rsidRPr="008F6866" w:rsidRDefault="00DE4897" w:rsidP="003A1EF3">
            <w:pPr>
              <w:spacing w:after="0"/>
              <w:jc w:val="center"/>
            </w:pPr>
            <w:r w:rsidRPr="008F6866">
              <w:t>(a)</w:t>
            </w:r>
          </w:p>
        </w:tc>
        <w:tc>
          <w:tcPr>
            <w:tcW w:w="4849" w:type="dxa"/>
          </w:tcPr>
          <w:p w14:paraId="3FE9735C" w14:textId="77777777" w:rsidR="00DE4897" w:rsidRPr="008F6866" w:rsidRDefault="00DE4897" w:rsidP="003A1EF3">
            <w:pPr>
              <w:spacing w:after="0"/>
              <w:jc w:val="center"/>
            </w:pPr>
            <w:r w:rsidRPr="008F6866">
              <w:t>(b)</w:t>
            </w:r>
          </w:p>
        </w:tc>
      </w:tr>
      <w:tr w:rsidR="00DE4897" w:rsidRPr="008F6866" w14:paraId="7CB170E5" w14:textId="77777777" w:rsidTr="00AB4B49">
        <w:trPr>
          <w:trHeight w:val="200"/>
        </w:trPr>
        <w:tc>
          <w:tcPr>
            <w:tcW w:w="4848" w:type="dxa"/>
          </w:tcPr>
          <w:p w14:paraId="3CD501C3" w14:textId="77777777" w:rsidR="00DE4897" w:rsidRPr="008F6866" w:rsidRDefault="00DE4897" w:rsidP="003A1EF3">
            <w:pPr>
              <w:spacing w:after="0"/>
              <w:jc w:val="center"/>
            </w:pPr>
            <w:r w:rsidRPr="008F6866">
              <w:rPr>
                <w:noProof/>
              </w:rPr>
              <w:drawing>
                <wp:inline distT="114300" distB="114300" distL="114300" distR="114300" wp14:anchorId="43C08236" wp14:editId="6E62531D">
                  <wp:extent cx="2970000" cy="1778400"/>
                  <wp:effectExtent l="0" t="0" r="1905" b="0"/>
                  <wp:docPr id="20616809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srcRect/>
                          <a:stretch>
                            <a:fillRect/>
                          </a:stretch>
                        </pic:blipFill>
                        <pic:spPr>
                          <a:xfrm>
                            <a:off x="0" y="0"/>
                            <a:ext cx="2970000" cy="1778400"/>
                          </a:xfrm>
                          <a:prstGeom prst="rect">
                            <a:avLst/>
                          </a:prstGeom>
                          <a:ln/>
                        </pic:spPr>
                      </pic:pic>
                    </a:graphicData>
                  </a:graphic>
                </wp:inline>
              </w:drawing>
            </w:r>
          </w:p>
        </w:tc>
        <w:tc>
          <w:tcPr>
            <w:tcW w:w="4849" w:type="dxa"/>
            <w:vMerge w:val="restart"/>
            <w:vAlign w:val="center"/>
          </w:tcPr>
          <w:p w14:paraId="52B173B9" w14:textId="77777777" w:rsidR="00DE4897" w:rsidRPr="008F6866" w:rsidRDefault="00DE4897" w:rsidP="003A1EF3">
            <w:pPr>
              <w:spacing w:after="0"/>
              <w:jc w:val="center"/>
            </w:pPr>
            <w:r w:rsidRPr="008F6866">
              <w:rPr>
                <w:noProof/>
              </w:rPr>
              <w:drawing>
                <wp:inline distT="114300" distB="114300" distL="114300" distR="114300" wp14:anchorId="5C66A745" wp14:editId="7E623D86">
                  <wp:extent cx="993600" cy="705600"/>
                  <wp:effectExtent l="0" t="0" r="0" b="0"/>
                  <wp:docPr id="2061680978"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2"/>
                          <a:srcRect/>
                          <a:stretch>
                            <a:fillRect/>
                          </a:stretch>
                        </pic:blipFill>
                        <pic:spPr>
                          <a:xfrm>
                            <a:off x="0" y="0"/>
                            <a:ext cx="993600" cy="705600"/>
                          </a:xfrm>
                          <a:prstGeom prst="rect">
                            <a:avLst/>
                          </a:prstGeom>
                          <a:ln/>
                        </pic:spPr>
                      </pic:pic>
                    </a:graphicData>
                  </a:graphic>
                </wp:inline>
              </w:drawing>
            </w:r>
          </w:p>
        </w:tc>
      </w:tr>
      <w:tr w:rsidR="00DE4897" w:rsidRPr="008F6866" w14:paraId="09CFCB8D" w14:textId="77777777" w:rsidTr="00AB4B49">
        <w:trPr>
          <w:trHeight w:val="200"/>
        </w:trPr>
        <w:tc>
          <w:tcPr>
            <w:tcW w:w="4848" w:type="dxa"/>
          </w:tcPr>
          <w:p w14:paraId="3E450896" w14:textId="77777777" w:rsidR="00DE4897" w:rsidRPr="008F6866" w:rsidRDefault="00DE4897" w:rsidP="003A1EF3">
            <w:pPr>
              <w:spacing w:after="0"/>
              <w:jc w:val="center"/>
            </w:pPr>
            <w:r w:rsidRPr="008F6866">
              <w:t>(c)</w:t>
            </w:r>
          </w:p>
        </w:tc>
        <w:tc>
          <w:tcPr>
            <w:tcW w:w="4849" w:type="dxa"/>
            <w:vMerge/>
            <w:vAlign w:val="center"/>
          </w:tcPr>
          <w:p w14:paraId="79674505" w14:textId="77777777" w:rsidR="00DE4897" w:rsidRPr="008F6866" w:rsidRDefault="00DE4897" w:rsidP="003A1EF3">
            <w:pPr>
              <w:spacing w:after="0"/>
              <w:jc w:val="center"/>
            </w:pPr>
          </w:p>
        </w:tc>
      </w:tr>
    </w:tbl>
    <w:p w14:paraId="0F83A19F" w14:textId="151620F1" w:rsidR="00950FE9" w:rsidRPr="008F6866" w:rsidRDefault="00950FE9" w:rsidP="00950FE9">
      <w:pPr>
        <w:pStyle w:val="Lgende"/>
        <w:jc w:val="center"/>
        <w:rPr>
          <w:b/>
          <w:i w:val="0"/>
          <w:color w:val="000000" w:themeColor="text1"/>
          <w:sz w:val="20"/>
          <w:szCs w:val="20"/>
        </w:rPr>
      </w:pPr>
      <w:bookmarkStart w:id="77" w:name="_heading=h.4k668n3" w:colFirst="0" w:colLast="0"/>
      <w:bookmarkStart w:id="78" w:name="_Ref195649661"/>
      <w:bookmarkEnd w:id="77"/>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23</w:t>
      </w:r>
      <w:r w:rsidRPr="008F6866">
        <w:rPr>
          <w:b/>
          <w:i w:val="0"/>
          <w:color w:val="000000" w:themeColor="text1"/>
          <w:sz w:val="20"/>
          <w:szCs w:val="20"/>
        </w:rPr>
        <w:fldChar w:fldCharType="end"/>
      </w:r>
      <w:bookmarkEnd w:id="78"/>
      <w:r w:rsidRPr="008F6866">
        <w:rPr>
          <w:b/>
          <w:i w:val="0"/>
          <w:color w:val="000000" w:themeColor="text1"/>
          <w:sz w:val="20"/>
          <w:szCs w:val="20"/>
        </w:rPr>
        <w:t>. Temporal variation of (a) soil water potential, (b) seedling stem water potential and (c) photosynthetically active radiation (PAR) measured in the ‘control’ and the ‘treatment’ units of the more intensively equipped beech zone (“Beech zone 3”) of the rainfall limitation experiment. Lines are daily average values and shaded areas around the lines delimit minimum and maximum measured values. The measurement period corresponds to the time window bounded by the dashed purple line in</w:t>
      </w:r>
      <w:r w:rsidR="0043390A" w:rsidRPr="008F6866">
        <w:rPr>
          <w:b/>
          <w:i w:val="0"/>
          <w:color w:val="000000" w:themeColor="text1"/>
          <w:sz w:val="20"/>
          <w:szCs w:val="20"/>
        </w:rPr>
        <w:t xml:space="preserve"> </w:t>
      </w:r>
      <w:r w:rsidR="0043390A" w:rsidRPr="008F6866">
        <w:rPr>
          <w:b/>
          <w:i w:val="0"/>
          <w:color w:val="000000" w:themeColor="text1"/>
          <w:sz w:val="20"/>
          <w:szCs w:val="20"/>
        </w:rPr>
        <w:fldChar w:fldCharType="begin"/>
      </w:r>
      <w:r w:rsidR="0043390A" w:rsidRPr="008F6866">
        <w:rPr>
          <w:b/>
          <w:i w:val="0"/>
          <w:color w:val="000000" w:themeColor="text1"/>
          <w:sz w:val="20"/>
          <w:szCs w:val="20"/>
        </w:rPr>
        <w:instrText xml:space="preserve"> REF _Ref195649177 \h  \* MERGEFORMAT </w:instrText>
      </w:r>
      <w:r w:rsidR="0043390A" w:rsidRPr="008F6866">
        <w:rPr>
          <w:b/>
          <w:i w:val="0"/>
          <w:color w:val="000000" w:themeColor="text1"/>
          <w:sz w:val="20"/>
          <w:szCs w:val="20"/>
        </w:rPr>
      </w:r>
      <w:r w:rsidR="0043390A" w:rsidRPr="008F6866">
        <w:rPr>
          <w:b/>
          <w:i w:val="0"/>
          <w:color w:val="000000" w:themeColor="text1"/>
          <w:sz w:val="20"/>
          <w:szCs w:val="20"/>
        </w:rPr>
        <w:fldChar w:fldCharType="separate"/>
      </w:r>
      <w:r w:rsidR="00540DBF" w:rsidRPr="008F6866">
        <w:rPr>
          <w:b/>
          <w:i w:val="0"/>
          <w:color w:val="000000" w:themeColor="text1"/>
          <w:sz w:val="20"/>
          <w:szCs w:val="20"/>
        </w:rPr>
        <w:t xml:space="preserve">Figure </w:t>
      </w:r>
      <w:r w:rsidR="00540DBF">
        <w:rPr>
          <w:b/>
          <w:i w:val="0"/>
          <w:noProof/>
          <w:color w:val="000000" w:themeColor="text1"/>
          <w:sz w:val="20"/>
          <w:szCs w:val="20"/>
        </w:rPr>
        <w:t>22</w:t>
      </w:r>
      <w:r w:rsidR="0043390A" w:rsidRPr="008F6866">
        <w:rPr>
          <w:b/>
          <w:i w:val="0"/>
          <w:color w:val="000000" w:themeColor="text1"/>
          <w:sz w:val="20"/>
          <w:szCs w:val="20"/>
        </w:rPr>
        <w:fldChar w:fldCharType="end"/>
      </w:r>
      <w:r w:rsidRPr="008F6866">
        <w:rPr>
          <w:b/>
          <w:i w:val="0"/>
          <w:color w:val="000000" w:themeColor="text1"/>
          <w:sz w:val="20"/>
          <w:szCs w:val="20"/>
        </w:rPr>
        <w:t>. Daily incident rainfall depth is also provided in subfigures (a-b)</w:t>
      </w:r>
    </w:p>
    <w:p w14:paraId="10FCE887" w14:textId="755C3ECF" w:rsidR="00DE4897" w:rsidRPr="008F6866" w:rsidRDefault="39CFF0FF" w:rsidP="0043390A">
      <w:pPr>
        <w:spacing w:after="120" w:line="300" w:lineRule="auto"/>
        <w:jc w:val="both"/>
        <w:rPr>
          <w:rFonts w:ascii="Calibri" w:eastAsia="Calibri" w:hAnsi="Calibri" w:cs="Calibri"/>
        </w:rPr>
      </w:pPr>
      <w:r w:rsidRPr="008F6866">
        <w:rPr>
          <w:rFonts w:ascii="Calibri" w:eastAsia="Calibri" w:hAnsi="Calibri" w:cs="Calibri"/>
        </w:rPr>
        <w:t xml:space="preserve">Finally, a lack of control of the measurement variability due to the low number of repetitions (i.e., 1 or 2 repetitions for each modality, depending on the period) might also partly explain such results. In other respects, these results would argue in favour of the practice of regeneration under cover, in the shelter of adult trees, than through clearcuttings in which more stressful conditions would occur for the seedlings. It is worth to note, that the differences in transmitted radiation percentages among the control and the treatment units </w:t>
      </w:r>
      <w:r w:rsidR="003F0500" w:rsidRPr="008F6866">
        <w:rPr>
          <w:rFonts w:ascii="Calibri" w:eastAsia="Calibri" w:hAnsi="Calibri" w:cs="Calibri"/>
        </w:rPr>
        <w:t xml:space="preserve">were </w:t>
      </w:r>
      <w:r w:rsidRPr="008F6866">
        <w:rPr>
          <w:rFonts w:ascii="Calibri" w:eastAsia="Calibri" w:hAnsi="Calibri" w:cs="Calibri"/>
        </w:rPr>
        <w:t>much less pronounced and not systematic for the five other experimental zones</w:t>
      </w:r>
      <w:r w:rsidR="0043390A" w:rsidRPr="008F6866">
        <w:rPr>
          <w:rFonts w:ascii="Calibri" w:eastAsia="Calibri" w:hAnsi="Calibri" w:cs="Calibri"/>
        </w:rPr>
        <w:t xml:space="preserve"> (</w:t>
      </w:r>
      <w:r w:rsidR="0043390A" w:rsidRPr="008F6866">
        <w:rPr>
          <w:rFonts w:ascii="Calibri" w:eastAsia="Calibri" w:hAnsi="Calibri" w:cs="Calibri"/>
        </w:rPr>
        <w:fldChar w:fldCharType="begin"/>
      </w:r>
      <w:r w:rsidR="0043390A" w:rsidRPr="008F6866">
        <w:rPr>
          <w:rFonts w:ascii="Calibri" w:eastAsia="Calibri" w:hAnsi="Calibri" w:cs="Calibri"/>
        </w:rPr>
        <w:instrText xml:space="preserve"> REF _Ref195650064 \h  \* MERGEFORMAT </w:instrText>
      </w:r>
      <w:r w:rsidR="0043390A" w:rsidRPr="008F6866">
        <w:rPr>
          <w:rFonts w:ascii="Calibri" w:eastAsia="Calibri" w:hAnsi="Calibri" w:cs="Calibri"/>
        </w:rPr>
      </w:r>
      <w:r w:rsidR="0043390A" w:rsidRPr="008F6866">
        <w:rPr>
          <w:rFonts w:ascii="Calibri" w:eastAsia="Calibri" w:hAnsi="Calibri" w:cs="Calibri"/>
        </w:rPr>
        <w:fldChar w:fldCharType="separate"/>
      </w:r>
      <w:r w:rsidR="00540DBF" w:rsidRPr="00540DBF">
        <w:rPr>
          <w:rFonts w:ascii="Calibri" w:eastAsia="Calibri" w:hAnsi="Calibri" w:cs="Calibri"/>
        </w:rPr>
        <w:t>Figure 24</w:t>
      </w:r>
      <w:r w:rsidR="0043390A" w:rsidRPr="008F6866">
        <w:rPr>
          <w:rFonts w:ascii="Calibri" w:eastAsia="Calibri" w:hAnsi="Calibri" w:cs="Calibri"/>
        </w:rPr>
        <w:fldChar w:fldCharType="end"/>
      </w:r>
      <w:r w:rsidR="0043390A" w:rsidRPr="008F6866">
        <w:rPr>
          <w:rFonts w:ascii="Calibri" w:eastAsia="Calibri" w:hAnsi="Calibri" w:cs="Calibri"/>
        </w:rPr>
        <w:t>(a))</w:t>
      </w:r>
      <w:r w:rsidRPr="008F6866">
        <w:rPr>
          <w:rFonts w:ascii="Calibri" w:eastAsia="Calibri" w:hAnsi="Calibri" w:cs="Calibri"/>
        </w:rPr>
        <w:t>. Regarding leaf water potential (</w:t>
      </w:r>
      <w:r w:rsidR="0043390A" w:rsidRPr="008F6866">
        <w:rPr>
          <w:rFonts w:ascii="Calibri" w:eastAsia="Calibri" w:hAnsi="Calibri" w:cs="Calibri"/>
        </w:rPr>
        <w:fldChar w:fldCharType="begin"/>
      </w:r>
      <w:r w:rsidR="0043390A" w:rsidRPr="008F6866">
        <w:rPr>
          <w:rFonts w:ascii="Calibri" w:eastAsia="Calibri" w:hAnsi="Calibri" w:cs="Calibri"/>
        </w:rPr>
        <w:instrText xml:space="preserve"> REF _Ref195650064 \h  \* MERGEFORMAT </w:instrText>
      </w:r>
      <w:r w:rsidR="0043390A" w:rsidRPr="008F6866">
        <w:rPr>
          <w:rFonts w:ascii="Calibri" w:eastAsia="Calibri" w:hAnsi="Calibri" w:cs="Calibri"/>
        </w:rPr>
      </w:r>
      <w:r w:rsidR="0043390A" w:rsidRPr="008F6866">
        <w:rPr>
          <w:rFonts w:ascii="Calibri" w:eastAsia="Calibri" w:hAnsi="Calibri" w:cs="Calibri"/>
        </w:rPr>
        <w:fldChar w:fldCharType="separate"/>
      </w:r>
      <w:r w:rsidR="00540DBF" w:rsidRPr="00540DBF">
        <w:rPr>
          <w:rFonts w:ascii="Calibri" w:eastAsia="Calibri" w:hAnsi="Calibri" w:cs="Calibri"/>
        </w:rPr>
        <w:t>Figure 24</w:t>
      </w:r>
      <w:r w:rsidR="0043390A" w:rsidRPr="008F6866">
        <w:rPr>
          <w:rFonts w:ascii="Calibri" w:eastAsia="Calibri" w:hAnsi="Calibri" w:cs="Calibri"/>
        </w:rPr>
        <w:fldChar w:fldCharType="end"/>
      </w:r>
      <w:r w:rsidRPr="008F6866">
        <w:rPr>
          <w:rFonts w:ascii="Calibri" w:eastAsia="Calibri" w:hAnsi="Calibri" w:cs="Calibri"/>
        </w:rPr>
        <w:t>(b)), which was measured in all experimental units using the Scholander bomb, higher values (i.e., less negative values) for beech tend</w:t>
      </w:r>
      <w:r w:rsidR="003F0500" w:rsidRPr="008F6866">
        <w:rPr>
          <w:rFonts w:ascii="Calibri" w:eastAsia="Calibri" w:hAnsi="Calibri" w:cs="Calibri"/>
        </w:rPr>
        <w:t>ed</w:t>
      </w:r>
      <w:r w:rsidRPr="008F6866">
        <w:rPr>
          <w:rFonts w:ascii="Calibri" w:eastAsia="Calibri" w:hAnsi="Calibri" w:cs="Calibri"/>
        </w:rPr>
        <w:t xml:space="preserve"> to be observed in zones which receive</w:t>
      </w:r>
      <w:r w:rsidR="003F0500" w:rsidRPr="008F6866">
        <w:rPr>
          <w:rFonts w:ascii="Calibri" w:eastAsia="Calibri" w:hAnsi="Calibri" w:cs="Calibri"/>
        </w:rPr>
        <w:t>d</w:t>
      </w:r>
      <w:r w:rsidRPr="008F6866">
        <w:rPr>
          <w:rFonts w:ascii="Calibri" w:eastAsia="Calibri" w:hAnsi="Calibri" w:cs="Calibri"/>
        </w:rPr>
        <w:t xml:space="preserve"> the least radiation (see</w:t>
      </w:r>
      <w:r w:rsidR="0043390A" w:rsidRPr="008F6866">
        <w:rPr>
          <w:rFonts w:ascii="Calibri" w:eastAsia="Calibri" w:hAnsi="Calibri" w:cs="Calibri"/>
        </w:rPr>
        <w:t xml:space="preserve"> </w:t>
      </w:r>
      <w:r w:rsidR="0043390A" w:rsidRPr="008F6866">
        <w:rPr>
          <w:rFonts w:ascii="Calibri" w:eastAsia="Calibri" w:hAnsi="Calibri" w:cs="Calibri"/>
        </w:rPr>
        <w:fldChar w:fldCharType="begin"/>
      </w:r>
      <w:r w:rsidR="0043390A" w:rsidRPr="008F6866">
        <w:rPr>
          <w:rFonts w:ascii="Calibri" w:eastAsia="Calibri" w:hAnsi="Calibri" w:cs="Calibri"/>
        </w:rPr>
        <w:instrText xml:space="preserve"> REF _Ref195650064 \h  \* MERGEFORMAT </w:instrText>
      </w:r>
      <w:r w:rsidR="0043390A" w:rsidRPr="008F6866">
        <w:rPr>
          <w:rFonts w:ascii="Calibri" w:eastAsia="Calibri" w:hAnsi="Calibri" w:cs="Calibri"/>
        </w:rPr>
      </w:r>
      <w:r w:rsidR="0043390A" w:rsidRPr="008F6866">
        <w:rPr>
          <w:rFonts w:ascii="Calibri" w:eastAsia="Calibri" w:hAnsi="Calibri" w:cs="Calibri"/>
        </w:rPr>
        <w:fldChar w:fldCharType="separate"/>
      </w:r>
      <w:r w:rsidR="00540DBF" w:rsidRPr="00540DBF">
        <w:rPr>
          <w:rFonts w:ascii="Calibri" w:eastAsia="Calibri" w:hAnsi="Calibri" w:cs="Calibri"/>
        </w:rPr>
        <w:t>Figure 24</w:t>
      </w:r>
      <w:r w:rsidR="0043390A" w:rsidRPr="008F6866">
        <w:rPr>
          <w:rFonts w:ascii="Calibri" w:eastAsia="Calibri" w:hAnsi="Calibri" w:cs="Calibri"/>
        </w:rPr>
        <w:fldChar w:fldCharType="end"/>
      </w:r>
      <w:r w:rsidRPr="008F6866">
        <w:rPr>
          <w:rFonts w:ascii="Calibri" w:eastAsia="Calibri" w:hAnsi="Calibri" w:cs="Calibri"/>
        </w:rPr>
        <w:t xml:space="preserve">(a)). Such observations agree with those made above for stem water potential between the control and the treatment units of the beech zone 3. Yet, such a trend </w:t>
      </w:r>
      <w:r w:rsidR="003F0500" w:rsidRPr="008F6866">
        <w:rPr>
          <w:rFonts w:ascii="Calibri" w:eastAsia="Calibri" w:hAnsi="Calibri" w:cs="Calibri"/>
        </w:rPr>
        <w:t xml:space="preserve">was </w:t>
      </w:r>
      <w:r w:rsidRPr="008F6866">
        <w:rPr>
          <w:rFonts w:ascii="Calibri" w:eastAsia="Calibri" w:hAnsi="Calibri" w:cs="Calibri"/>
        </w:rPr>
        <w:t xml:space="preserve">not found for oak and, for both species, the treatment effect </w:t>
      </w:r>
      <w:r w:rsidR="003F0500" w:rsidRPr="008F6866">
        <w:rPr>
          <w:rFonts w:ascii="Calibri" w:eastAsia="Calibri" w:hAnsi="Calibri" w:cs="Calibri"/>
        </w:rPr>
        <w:t xml:space="preserve">was </w:t>
      </w:r>
      <w:r w:rsidRPr="008F6866">
        <w:rPr>
          <w:rFonts w:ascii="Calibri" w:eastAsia="Calibri" w:hAnsi="Calibri" w:cs="Calibri"/>
        </w:rPr>
        <w:t>systematically not significant (</w:t>
      </w:r>
      <w:r w:rsidR="0043390A" w:rsidRPr="008F6866">
        <w:rPr>
          <w:rFonts w:ascii="Calibri" w:eastAsia="Calibri" w:hAnsi="Calibri" w:cs="Calibri"/>
        </w:rPr>
        <w:fldChar w:fldCharType="begin"/>
      </w:r>
      <w:r w:rsidR="0043390A" w:rsidRPr="008F6866">
        <w:rPr>
          <w:rFonts w:ascii="Calibri" w:eastAsia="Calibri" w:hAnsi="Calibri" w:cs="Calibri"/>
        </w:rPr>
        <w:instrText xml:space="preserve"> REF _Ref195650064 \h  \* MERGEFORMAT </w:instrText>
      </w:r>
      <w:r w:rsidR="0043390A" w:rsidRPr="008F6866">
        <w:rPr>
          <w:rFonts w:ascii="Calibri" w:eastAsia="Calibri" w:hAnsi="Calibri" w:cs="Calibri"/>
        </w:rPr>
      </w:r>
      <w:r w:rsidR="0043390A" w:rsidRPr="008F6866">
        <w:rPr>
          <w:rFonts w:ascii="Calibri" w:eastAsia="Calibri" w:hAnsi="Calibri" w:cs="Calibri"/>
        </w:rPr>
        <w:fldChar w:fldCharType="separate"/>
      </w:r>
      <w:r w:rsidR="00540DBF" w:rsidRPr="00540DBF">
        <w:rPr>
          <w:rFonts w:ascii="Calibri" w:eastAsia="Calibri" w:hAnsi="Calibri" w:cs="Calibri"/>
        </w:rPr>
        <w:t>Figure 24</w:t>
      </w:r>
      <w:r w:rsidR="0043390A" w:rsidRPr="008F6866">
        <w:rPr>
          <w:rFonts w:ascii="Calibri" w:eastAsia="Calibri" w:hAnsi="Calibri" w:cs="Calibri"/>
        </w:rPr>
        <w:fldChar w:fldCharType="end"/>
      </w:r>
      <w:r w:rsidRPr="008F6866">
        <w:rPr>
          <w:rFonts w:ascii="Calibri" w:eastAsia="Calibri" w:hAnsi="Calibri" w:cs="Calibri"/>
        </w:rPr>
        <w:t>(b)). In other respects, the somewhat higher leaf water potential values observed for beech compared with oak might be explained by contrasting responses of both species when facing drought. Indeed, beech is acknowledged to limit the variations of water potential through rapid stomata closure when dry conditions appear (isohydric strategy) while oak is known to keep its stomata open and maintain high photosynthetic but also transpiration rates for longer periods, leading thereby to a significant decrease of water potential under stressful conditions (anisohydric strategy).</w:t>
      </w:r>
    </w:p>
    <w:tbl>
      <w:tblPr>
        <w:tblW w:w="9697" w:type="dxa"/>
        <w:tblBorders>
          <w:top w:val="nil"/>
          <w:left w:val="nil"/>
          <w:bottom w:val="nil"/>
          <w:right w:val="nil"/>
          <w:insideH w:val="nil"/>
          <w:insideV w:val="nil"/>
        </w:tblBorders>
        <w:tblLayout w:type="fixed"/>
        <w:tblCellMar>
          <w:left w:w="0" w:type="dxa"/>
          <w:right w:w="0" w:type="dxa"/>
        </w:tblCellMar>
        <w:tblLook w:val="0400" w:firstRow="0" w:lastRow="0" w:firstColumn="0" w:lastColumn="0" w:noHBand="0" w:noVBand="1"/>
      </w:tblPr>
      <w:tblGrid>
        <w:gridCol w:w="4848"/>
        <w:gridCol w:w="4849"/>
      </w:tblGrid>
      <w:tr w:rsidR="00DE4897" w:rsidRPr="008F6866" w14:paraId="4EBEBD33" w14:textId="77777777" w:rsidTr="00AB4B49">
        <w:tc>
          <w:tcPr>
            <w:tcW w:w="4848" w:type="dxa"/>
          </w:tcPr>
          <w:p w14:paraId="51712DAD" w14:textId="77777777" w:rsidR="00DE4897" w:rsidRPr="008F6866" w:rsidRDefault="00DE4897" w:rsidP="003A1EF3">
            <w:pPr>
              <w:spacing w:after="0"/>
              <w:jc w:val="both"/>
            </w:pPr>
            <w:r w:rsidRPr="008F6866">
              <w:rPr>
                <w:noProof/>
              </w:rPr>
              <w:lastRenderedPageBreak/>
              <w:drawing>
                <wp:inline distT="0" distB="0" distL="0" distR="0" wp14:anchorId="56A256C8" wp14:editId="2F15A770">
                  <wp:extent cx="2876400" cy="1728000"/>
                  <wp:effectExtent l="0" t="0" r="635" b="5715"/>
                  <wp:docPr id="2061680971"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3"/>
                          <a:srcRect/>
                          <a:stretch>
                            <a:fillRect/>
                          </a:stretch>
                        </pic:blipFill>
                        <pic:spPr>
                          <a:xfrm>
                            <a:off x="0" y="0"/>
                            <a:ext cx="2876400" cy="1728000"/>
                          </a:xfrm>
                          <a:prstGeom prst="rect">
                            <a:avLst/>
                          </a:prstGeom>
                          <a:ln/>
                        </pic:spPr>
                      </pic:pic>
                    </a:graphicData>
                  </a:graphic>
                </wp:inline>
              </w:drawing>
            </w:r>
          </w:p>
        </w:tc>
        <w:tc>
          <w:tcPr>
            <w:tcW w:w="4849" w:type="dxa"/>
          </w:tcPr>
          <w:p w14:paraId="7DF22D3F" w14:textId="77777777" w:rsidR="00DE4897" w:rsidRPr="008F6866" w:rsidRDefault="00DE4897" w:rsidP="003A1EF3">
            <w:pPr>
              <w:spacing w:after="0"/>
              <w:jc w:val="both"/>
            </w:pPr>
            <w:r w:rsidRPr="008F6866">
              <w:rPr>
                <w:noProof/>
              </w:rPr>
              <w:drawing>
                <wp:inline distT="0" distB="0" distL="0" distR="0" wp14:anchorId="61799F84" wp14:editId="6CC53672">
                  <wp:extent cx="2880000" cy="1728000"/>
                  <wp:effectExtent l="0" t="0" r="0" b="5715"/>
                  <wp:docPr id="2061680960"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4"/>
                          <a:srcRect/>
                          <a:stretch>
                            <a:fillRect/>
                          </a:stretch>
                        </pic:blipFill>
                        <pic:spPr>
                          <a:xfrm>
                            <a:off x="0" y="0"/>
                            <a:ext cx="2880000" cy="1728000"/>
                          </a:xfrm>
                          <a:prstGeom prst="rect">
                            <a:avLst/>
                          </a:prstGeom>
                          <a:ln/>
                        </pic:spPr>
                      </pic:pic>
                    </a:graphicData>
                  </a:graphic>
                </wp:inline>
              </w:drawing>
            </w:r>
          </w:p>
        </w:tc>
      </w:tr>
      <w:tr w:rsidR="00DE4897" w:rsidRPr="008F6866" w14:paraId="49BEAD10" w14:textId="77777777" w:rsidTr="00AB4B49">
        <w:tc>
          <w:tcPr>
            <w:tcW w:w="4848" w:type="dxa"/>
          </w:tcPr>
          <w:p w14:paraId="066D3C5A" w14:textId="77777777" w:rsidR="00DE4897" w:rsidRPr="008F6866" w:rsidRDefault="00DE4897" w:rsidP="003A1EF3">
            <w:pPr>
              <w:spacing w:after="0"/>
              <w:jc w:val="center"/>
            </w:pPr>
            <w:r w:rsidRPr="008F6866">
              <w:t>(a)</w:t>
            </w:r>
          </w:p>
        </w:tc>
        <w:tc>
          <w:tcPr>
            <w:tcW w:w="4849" w:type="dxa"/>
          </w:tcPr>
          <w:p w14:paraId="27B0EE9C" w14:textId="77777777" w:rsidR="00DE4897" w:rsidRPr="008F6866" w:rsidRDefault="00DE4897" w:rsidP="003A1EF3">
            <w:pPr>
              <w:spacing w:after="0"/>
              <w:jc w:val="center"/>
            </w:pPr>
            <w:r w:rsidRPr="008F6866">
              <w:t>(b)</w:t>
            </w:r>
          </w:p>
        </w:tc>
      </w:tr>
      <w:tr w:rsidR="00DE4897" w:rsidRPr="008F6866" w14:paraId="74F3D3C2" w14:textId="77777777" w:rsidTr="00AB4B49">
        <w:tc>
          <w:tcPr>
            <w:tcW w:w="9697" w:type="dxa"/>
            <w:gridSpan w:val="2"/>
          </w:tcPr>
          <w:p w14:paraId="33022936" w14:textId="77777777" w:rsidR="00DE4897" w:rsidRPr="008F6866" w:rsidRDefault="00DE4897" w:rsidP="003A1EF3">
            <w:pPr>
              <w:keepNext/>
              <w:spacing w:after="0"/>
              <w:jc w:val="center"/>
              <w:rPr>
                <w:rFonts w:ascii="Arial" w:eastAsia="Arial" w:hAnsi="Arial" w:cs="Arial"/>
                <w:b/>
              </w:rPr>
            </w:pPr>
            <w:r w:rsidRPr="008F6866">
              <w:rPr>
                <w:rFonts w:ascii="Arial" w:eastAsia="Arial" w:hAnsi="Arial" w:cs="Arial"/>
                <w:b/>
                <w:color w:val="00B050"/>
              </w:rPr>
              <w:t>Control</w:t>
            </w:r>
            <w:r w:rsidRPr="008F6866">
              <w:rPr>
                <w:rFonts w:ascii="Arial" w:eastAsia="Arial" w:hAnsi="Arial" w:cs="Arial"/>
                <w:b/>
              </w:rPr>
              <w:t xml:space="preserve">    </w:t>
            </w:r>
            <w:r w:rsidRPr="008F6866">
              <w:rPr>
                <w:rFonts w:ascii="Arial" w:eastAsia="Arial" w:hAnsi="Arial" w:cs="Arial"/>
                <w:b/>
                <w:color w:val="FF0000"/>
              </w:rPr>
              <w:t>Treatment</w:t>
            </w:r>
          </w:p>
        </w:tc>
      </w:tr>
    </w:tbl>
    <w:p w14:paraId="491FCB54" w14:textId="344822A3" w:rsidR="0043390A" w:rsidRPr="008F6866" w:rsidRDefault="0043390A" w:rsidP="00AB4B49">
      <w:pPr>
        <w:pStyle w:val="Lgende"/>
        <w:spacing w:after="0"/>
        <w:jc w:val="center"/>
        <w:rPr>
          <w:b/>
          <w:i w:val="0"/>
          <w:color w:val="000000" w:themeColor="text1"/>
          <w:sz w:val="20"/>
          <w:szCs w:val="20"/>
        </w:rPr>
      </w:pPr>
      <w:bookmarkStart w:id="79" w:name="_Ref195650064"/>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24</w:t>
      </w:r>
      <w:r w:rsidRPr="008F6866">
        <w:rPr>
          <w:b/>
          <w:i w:val="0"/>
          <w:color w:val="000000" w:themeColor="text1"/>
          <w:sz w:val="20"/>
          <w:szCs w:val="20"/>
        </w:rPr>
        <w:fldChar w:fldCharType="end"/>
      </w:r>
      <w:bookmarkEnd w:id="79"/>
      <w:r w:rsidRPr="008F6866">
        <w:rPr>
          <w:b/>
          <w:i w:val="0"/>
          <w:color w:val="000000" w:themeColor="text1"/>
          <w:sz w:val="20"/>
          <w:szCs w:val="20"/>
        </w:rPr>
        <w:t xml:space="preserve">. Comparison among experimental zones and treatments (a) of transmitted radiation estimated from hemispherical photographs analysis and (b) of seedling leaf water potential measured with the Scholander pressure bomb. Repetitions shown for each zone </w:t>
      </w:r>
      <w:r w:rsidRPr="008F6866">
        <w:rPr>
          <w:b/>
          <w:i w:val="0"/>
          <w:color w:val="000000" w:themeColor="text1"/>
          <w:sz w:val="20"/>
          <w:szCs w:val="20"/>
        </w:rPr>
        <w:t> treatment combination in subfigure (a) are results from either different photographs or different image thresholding options for a given photograph. Different letters in subfigure (b) indicate statistically significant differences (P ≤ 0.05)</w:t>
      </w:r>
    </w:p>
    <w:p w14:paraId="66FC8456" w14:textId="77777777" w:rsidR="003B338D" w:rsidRPr="008F6866" w:rsidRDefault="003B338D" w:rsidP="003B338D">
      <w:pPr>
        <w:spacing w:after="0" w:line="300" w:lineRule="auto"/>
        <w:rPr>
          <w:lang w:eastAsia="fr-BE"/>
        </w:rPr>
      </w:pPr>
    </w:p>
    <w:p w14:paraId="77006BD2" w14:textId="09B332D4" w:rsidR="00DE4897" w:rsidRPr="008F6866" w:rsidRDefault="39CFF0FF" w:rsidP="005A0261">
      <w:pPr>
        <w:spacing w:after="120" w:line="300" w:lineRule="auto"/>
        <w:jc w:val="both"/>
        <w:rPr>
          <w:rFonts w:ascii="Calibri" w:eastAsia="Calibri" w:hAnsi="Calibri" w:cs="Calibri"/>
        </w:rPr>
      </w:pPr>
      <w:r w:rsidRPr="008F6866">
        <w:rPr>
          <w:rFonts w:ascii="Calibri" w:eastAsia="Calibri" w:hAnsi="Calibri" w:cs="Calibri"/>
        </w:rPr>
        <w:t>Results from the dendrometric measurements performed on the 32 seedlings selected in each experimental unit are presented in</w:t>
      </w:r>
      <w:r w:rsidR="003D710D" w:rsidRPr="008F6866">
        <w:rPr>
          <w:rFonts w:ascii="Calibri" w:eastAsia="Calibri" w:hAnsi="Calibri" w:cs="Calibri"/>
        </w:rPr>
        <w:t xml:space="preserve"> </w:t>
      </w:r>
      <w:r w:rsidR="003D710D" w:rsidRPr="008F6866">
        <w:rPr>
          <w:rFonts w:ascii="Calibri" w:eastAsia="Calibri" w:hAnsi="Calibri" w:cs="Calibri"/>
        </w:rPr>
        <w:fldChar w:fldCharType="begin"/>
      </w:r>
      <w:r w:rsidR="003D710D" w:rsidRPr="008F6866">
        <w:rPr>
          <w:rFonts w:ascii="Calibri" w:eastAsia="Calibri" w:hAnsi="Calibri" w:cs="Calibri"/>
        </w:rPr>
        <w:instrText xml:space="preserve"> REF _Ref195650854 \h  \* MERGEFORMAT </w:instrText>
      </w:r>
      <w:r w:rsidR="003D710D" w:rsidRPr="008F6866">
        <w:rPr>
          <w:rFonts w:ascii="Calibri" w:eastAsia="Calibri" w:hAnsi="Calibri" w:cs="Calibri"/>
        </w:rPr>
      </w:r>
      <w:r w:rsidR="003D710D" w:rsidRPr="008F6866">
        <w:rPr>
          <w:rFonts w:ascii="Calibri" w:eastAsia="Calibri" w:hAnsi="Calibri" w:cs="Calibri"/>
        </w:rPr>
        <w:fldChar w:fldCharType="separate"/>
      </w:r>
      <w:r w:rsidR="00540DBF" w:rsidRPr="00540DBF">
        <w:rPr>
          <w:rFonts w:ascii="Calibri" w:eastAsia="Calibri" w:hAnsi="Calibri" w:cs="Calibri"/>
        </w:rPr>
        <w:t>Figure 25</w:t>
      </w:r>
      <w:r w:rsidR="003D710D" w:rsidRPr="008F6866">
        <w:rPr>
          <w:rFonts w:ascii="Calibri" w:eastAsia="Calibri" w:hAnsi="Calibri" w:cs="Calibri"/>
        </w:rPr>
        <w:fldChar w:fldCharType="end"/>
      </w:r>
      <w:r w:rsidR="001419ED" w:rsidRPr="008F6866">
        <w:rPr>
          <w:rFonts w:ascii="Calibri" w:eastAsia="Calibri" w:hAnsi="Calibri" w:cs="Calibri"/>
        </w:rPr>
        <w:t>. As mentioned</w:t>
      </w:r>
      <w:r w:rsidR="00B244E0" w:rsidRPr="008F6866">
        <w:rPr>
          <w:rFonts w:ascii="Calibri" w:eastAsia="Calibri" w:hAnsi="Calibri" w:cs="Calibri"/>
        </w:rPr>
        <w:t xml:space="preserve"> above</w:t>
      </w:r>
      <w:r w:rsidR="001419ED" w:rsidRPr="008F6866">
        <w:rPr>
          <w:rFonts w:ascii="Calibri" w:eastAsia="Calibri" w:hAnsi="Calibri" w:cs="Calibri"/>
        </w:rPr>
        <w:t>, apical shoot increment was measured for e</w:t>
      </w:r>
      <w:r w:rsidR="00B244E0" w:rsidRPr="008F6866">
        <w:rPr>
          <w:rFonts w:ascii="Calibri" w:eastAsia="Calibri" w:hAnsi="Calibri" w:cs="Calibri"/>
        </w:rPr>
        <w:t>ach</w:t>
      </w:r>
      <w:r w:rsidR="001419ED" w:rsidRPr="008F6866">
        <w:rPr>
          <w:rFonts w:ascii="Calibri" w:eastAsia="Calibri" w:hAnsi="Calibri" w:cs="Calibri"/>
        </w:rPr>
        <w:t xml:space="preserve"> year (</w:t>
      </w:r>
      <w:r w:rsidR="003D710D" w:rsidRPr="008F6866">
        <w:rPr>
          <w:rFonts w:ascii="Calibri" w:eastAsia="Calibri" w:hAnsi="Calibri" w:cs="Calibri"/>
        </w:rPr>
        <w:fldChar w:fldCharType="begin"/>
      </w:r>
      <w:r w:rsidR="003D710D" w:rsidRPr="008F6866">
        <w:rPr>
          <w:rFonts w:ascii="Calibri" w:eastAsia="Calibri" w:hAnsi="Calibri" w:cs="Calibri"/>
        </w:rPr>
        <w:instrText xml:space="preserve"> REF _Ref195650854 \h  \* MERGEFORMAT </w:instrText>
      </w:r>
      <w:r w:rsidR="003D710D" w:rsidRPr="008F6866">
        <w:rPr>
          <w:rFonts w:ascii="Calibri" w:eastAsia="Calibri" w:hAnsi="Calibri" w:cs="Calibri"/>
        </w:rPr>
      </w:r>
      <w:r w:rsidR="003D710D" w:rsidRPr="008F6866">
        <w:rPr>
          <w:rFonts w:ascii="Calibri" w:eastAsia="Calibri" w:hAnsi="Calibri" w:cs="Calibri"/>
        </w:rPr>
        <w:fldChar w:fldCharType="separate"/>
      </w:r>
      <w:r w:rsidR="00540DBF" w:rsidRPr="00540DBF">
        <w:rPr>
          <w:rFonts w:ascii="Calibri" w:eastAsia="Calibri" w:hAnsi="Calibri" w:cs="Calibri"/>
        </w:rPr>
        <w:t>Figure 25</w:t>
      </w:r>
      <w:r w:rsidR="003D710D" w:rsidRPr="008F6866">
        <w:rPr>
          <w:rFonts w:ascii="Calibri" w:eastAsia="Calibri" w:hAnsi="Calibri" w:cs="Calibri"/>
        </w:rPr>
        <w:fldChar w:fldCharType="end"/>
      </w:r>
      <w:r w:rsidR="001419ED" w:rsidRPr="008F6866">
        <w:rPr>
          <w:rFonts w:ascii="Calibri" w:eastAsia="Calibri" w:hAnsi="Calibri" w:cs="Calibri"/>
        </w:rPr>
        <w:t>(b))</w:t>
      </w:r>
      <w:r w:rsidRPr="008F6866">
        <w:rPr>
          <w:rFonts w:ascii="Calibri" w:eastAsia="Calibri" w:hAnsi="Calibri" w:cs="Calibri"/>
        </w:rPr>
        <w:t xml:space="preserve"> </w:t>
      </w:r>
      <w:r w:rsidR="001419ED" w:rsidRPr="008F6866">
        <w:rPr>
          <w:rFonts w:ascii="Calibri" w:eastAsia="Calibri" w:hAnsi="Calibri" w:cs="Calibri"/>
        </w:rPr>
        <w:t xml:space="preserve">while </w:t>
      </w:r>
      <w:r w:rsidRPr="008F6866">
        <w:rPr>
          <w:rFonts w:ascii="Calibri" w:eastAsia="Calibri" w:hAnsi="Calibri" w:cs="Calibri"/>
        </w:rPr>
        <w:t xml:space="preserve">collar diameter </w:t>
      </w:r>
      <w:r w:rsidR="00B244E0" w:rsidRPr="008F6866">
        <w:rPr>
          <w:rFonts w:ascii="Calibri" w:eastAsia="Calibri" w:hAnsi="Calibri" w:cs="Calibri"/>
        </w:rPr>
        <w:t xml:space="preserve">measurements were not performed in 2024 </w:t>
      </w:r>
      <w:r w:rsidRPr="008F6866">
        <w:rPr>
          <w:rFonts w:ascii="Calibri" w:eastAsia="Calibri" w:hAnsi="Calibri" w:cs="Calibri"/>
        </w:rPr>
        <w:t>(</w:t>
      </w:r>
      <w:r w:rsidR="003D710D" w:rsidRPr="008F6866">
        <w:rPr>
          <w:rFonts w:ascii="Calibri" w:eastAsia="Calibri" w:hAnsi="Calibri" w:cs="Calibri"/>
        </w:rPr>
        <w:fldChar w:fldCharType="begin"/>
      </w:r>
      <w:r w:rsidR="003D710D" w:rsidRPr="008F6866">
        <w:rPr>
          <w:rFonts w:ascii="Calibri" w:eastAsia="Calibri" w:hAnsi="Calibri" w:cs="Calibri"/>
        </w:rPr>
        <w:instrText xml:space="preserve"> REF _Ref195650854 \h  \* MERGEFORMAT </w:instrText>
      </w:r>
      <w:r w:rsidR="003D710D" w:rsidRPr="008F6866">
        <w:rPr>
          <w:rFonts w:ascii="Calibri" w:eastAsia="Calibri" w:hAnsi="Calibri" w:cs="Calibri"/>
        </w:rPr>
      </w:r>
      <w:r w:rsidR="003D710D" w:rsidRPr="008F6866">
        <w:rPr>
          <w:rFonts w:ascii="Calibri" w:eastAsia="Calibri" w:hAnsi="Calibri" w:cs="Calibri"/>
        </w:rPr>
        <w:fldChar w:fldCharType="separate"/>
      </w:r>
      <w:r w:rsidR="00540DBF" w:rsidRPr="00540DBF">
        <w:rPr>
          <w:rFonts w:ascii="Calibri" w:eastAsia="Calibri" w:hAnsi="Calibri" w:cs="Calibri"/>
        </w:rPr>
        <w:t>Figure 25</w:t>
      </w:r>
      <w:r w:rsidR="003D710D" w:rsidRPr="008F6866">
        <w:rPr>
          <w:rFonts w:ascii="Calibri" w:eastAsia="Calibri" w:hAnsi="Calibri" w:cs="Calibri"/>
        </w:rPr>
        <w:fldChar w:fldCharType="end"/>
      </w:r>
      <w:r w:rsidRPr="008F6866">
        <w:rPr>
          <w:rFonts w:ascii="Calibri" w:eastAsia="Calibri" w:hAnsi="Calibri" w:cs="Calibri"/>
        </w:rPr>
        <w:t>(a))</w:t>
      </w:r>
      <w:r w:rsidR="00B244E0" w:rsidRPr="008F6866">
        <w:rPr>
          <w:rFonts w:ascii="Calibri" w:eastAsia="Calibri" w:hAnsi="Calibri" w:cs="Calibri"/>
        </w:rPr>
        <w:t>.</w:t>
      </w:r>
      <w:r w:rsidRPr="008F6866">
        <w:rPr>
          <w:rFonts w:ascii="Calibri" w:eastAsia="Calibri" w:hAnsi="Calibri" w:cs="Calibri"/>
        </w:rPr>
        <w:t xml:space="preserve"> So as to avoid the influence of the size effect on growth in the comparisons among treatments, growing years and species, increment data are presented in relative values.</w:t>
      </w:r>
    </w:p>
    <w:p w14:paraId="66354C53" w14:textId="51A164B6" w:rsidR="00DE4897" w:rsidRPr="008F6866" w:rsidRDefault="00C65092" w:rsidP="005A0261">
      <w:pPr>
        <w:spacing w:after="120" w:line="300" w:lineRule="auto"/>
        <w:jc w:val="both"/>
        <w:rPr>
          <w:rFonts w:ascii="Calibri" w:eastAsia="Calibri" w:hAnsi="Calibri" w:cs="Calibri"/>
        </w:rPr>
      </w:pPr>
      <w:r w:rsidRPr="008F6866">
        <w:rPr>
          <w:rFonts w:ascii="Calibri" w:eastAsia="Calibri" w:hAnsi="Calibri" w:cs="Calibri"/>
        </w:rPr>
        <w:t xml:space="preserve">A significant decrease </w:t>
      </w:r>
      <w:r w:rsidR="00976C20" w:rsidRPr="008F6866">
        <w:rPr>
          <w:rFonts w:ascii="Calibri" w:eastAsia="Calibri" w:hAnsi="Calibri" w:cs="Calibri"/>
        </w:rPr>
        <w:t>in</w:t>
      </w:r>
      <w:r w:rsidRPr="008F6866">
        <w:rPr>
          <w:rFonts w:ascii="Calibri" w:eastAsia="Calibri" w:hAnsi="Calibri" w:cs="Calibri"/>
        </w:rPr>
        <w:t xml:space="preserve"> collar diameter relative increment </w:t>
      </w:r>
      <w:r w:rsidR="000B19C9" w:rsidRPr="008F6866">
        <w:rPr>
          <w:rFonts w:ascii="Calibri" w:eastAsia="Calibri" w:hAnsi="Calibri" w:cs="Calibri"/>
        </w:rPr>
        <w:t>wa</w:t>
      </w:r>
      <w:r w:rsidR="00976C20" w:rsidRPr="008F6866">
        <w:rPr>
          <w:rFonts w:ascii="Calibri" w:eastAsia="Calibri" w:hAnsi="Calibri" w:cs="Calibri"/>
        </w:rPr>
        <w:t xml:space="preserve">s observed between 2021 and 2022 for both species, while relative increment values </w:t>
      </w:r>
      <w:r w:rsidR="000B19C9" w:rsidRPr="008F6866">
        <w:rPr>
          <w:rFonts w:ascii="Calibri" w:eastAsia="Calibri" w:hAnsi="Calibri" w:cs="Calibri"/>
        </w:rPr>
        <w:t>we</w:t>
      </w:r>
      <w:r w:rsidR="00803E28" w:rsidRPr="008F6866">
        <w:rPr>
          <w:rFonts w:ascii="Calibri" w:eastAsia="Calibri" w:hAnsi="Calibri" w:cs="Calibri"/>
        </w:rPr>
        <w:t>re comparable</w:t>
      </w:r>
      <w:r w:rsidR="00976C20" w:rsidRPr="008F6866">
        <w:rPr>
          <w:rFonts w:ascii="Calibri" w:eastAsia="Calibri" w:hAnsi="Calibri" w:cs="Calibri"/>
        </w:rPr>
        <w:t xml:space="preserve"> between </w:t>
      </w:r>
      <w:r w:rsidR="00803E28" w:rsidRPr="008F6866">
        <w:rPr>
          <w:rFonts w:ascii="Calibri" w:eastAsia="Calibri" w:hAnsi="Calibri" w:cs="Calibri"/>
        </w:rPr>
        <w:t>2022 and 2023</w:t>
      </w:r>
      <w:r w:rsidR="00976C20" w:rsidRPr="008F6866">
        <w:rPr>
          <w:rFonts w:ascii="Calibri" w:eastAsia="Calibri" w:hAnsi="Calibri" w:cs="Calibri"/>
        </w:rPr>
        <w:t>.</w:t>
      </w:r>
      <w:r w:rsidR="00803E28" w:rsidRPr="008F6866">
        <w:rPr>
          <w:rFonts w:ascii="Calibri" w:eastAsia="Calibri" w:hAnsi="Calibri" w:cs="Calibri"/>
        </w:rPr>
        <w:t xml:space="preserve"> </w:t>
      </w:r>
      <w:r w:rsidR="006A563F" w:rsidRPr="008F6866">
        <w:rPr>
          <w:rFonts w:ascii="Calibri" w:eastAsia="Calibri" w:hAnsi="Calibri" w:cs="Calibri"/>
        </w:rPr>
        <w:t xml:space="preserve">A similar pattern </w:t>
      </w:r>
      <w:r w:rsidR="000B19C9" w:rsidRPr="008F6866">
        <w:rPr>
          <w:rFonts w:ascii="Calibri" w:eastAsia="Calibri" w:hAnsi="Calibri" w:cs="Calibri"/>
        </w:rPr>
        <w:t>wa</w:t>
      </w:r>
      <w:r w:rsidR="006A563F" w:rsidRPr="008F6866">
        <w:rPr>
          <w:rFonts w:ascii="Calibri" w:eastAsia="Calibri" w:hAnsi="Calibri" w:cs="Calibri"/>
        </w:rPr>
        <w:t xml:space="preserve">s observed for relative shoot increment </w:t>
      </w:r>
      <w:r w:rsidR="00D30485" w:rsidRPr="008F6866">
        <w:rPr>
          <w:rFonts w:ascii="Calibri" w:eastAsia="Calibri" w:hAnsi="Calibri" w:cs="Calibri"/>
        </w:rPr>
        <w:t>i</w:t>
      </w:r>
      <w:r w:rsidR="006A563F" w:rsidRPr="008F6866">
        <w:rPr>
          <w:rFonts w:ascii="Calibri" w:eastAsia="Calibri" w:hAnsi="Calibri" w:cs="Calibri"/>
        </w:rPr>
        <w:t xml:space="preserve">n the same years, </w:t>
      </w:r>
      <w:r w:rsidR="00A279CE" w:rsidRPr="008F6866">
        <w:rPr>
          <w:rFonts w:ascii="Calibri" w:eastAsia="Calibri" w:hAnsi="Calibri" w:cs="Calibri"/>
        </w:rPr>
        <w:t xml:space="preserve">with the exception </w:t>
      </w:r>
      <w:r w:rsidR="008608D2" w:rsidRPr="008F6866">
        <w:rPr>
          <w:rFonts w:ascii="Calibri" w:eastAsia="Calibri" w:hAnsi="Calibri" w:cs="Calibri"/>
        </w:rPr>
        <w:t xml:space="preserve">that for beech </w:t>
      </w:r>
      <w:r w:rsidR="007130B7" w:rsidRPr="008F6866">
        <w:rPr>
          <w:rFonts w:ascii="Calibri" w:eastAsia="Calibri" w:hAnsi="Calibri" w:cs="Calibri"/>
        </w:rPr>
        <w:t xml:space="preserve">the decrease </w:t>
      </w:r>
      <w:r w:rsidR="00D30485" w:rsidRPr="008F6866">
        <w:rPr>
          <w:rFonts w:ascii="Calibri" w:eastAsia="Calibri" w:hAnsi="Calibri" w:cs="Calibri"/>
        </w:rPr>
        <w:t>in</w:t>
      </w:r>
      <w:r w:rsidR="007130B7" w:rsidRPr="008F6866">
        <w:rPr>
          <w:rFonts w:ascii="Calibri" w:eastAsia="Calibri" w:hAnsi="Calibri" w:cs="Calibri"/>
        </w:rPr>
        <w:t xml:space="preserve"> increment values </w:t>
      </w:r>
      <w:r w:rsidR="000B19C9" w:rsidRPr="008F6866">
        <w:rPr>
          <w:rFonts w:ascii="Calibri" w:eastAsia="Calibri" w:hAnsi="Calibri" w:cs="Calibri"/>
        </w:rPr>
        <w:t>wa</w:t>
      </w:r>
      <w:r w:rsidR="007130B7" w:rsidRPr="008F6866">
        <w:rPr>
          <w:rFonts w:ascii="Calibri" w:eastAsia="Calibri" w:hAnsi="Calibri" w:cs="Calibri"/>
        </w:rPr>
        <w:t>s more pronounced between 2022 and 2023 than between 2021 and 2022.</w:t>
      </w:r>
      <w:r w:rsidR="00BA31EB" w:rsidRPr="008F6866">
        <w:rPr>
          <w:rFonts w:ascii="Calibri" w:eastAsia="Calibri" w:hAnsi="Calibri" w:cs="Calibri"/>
        </w:rPr>
        <w:t xml:space="preserve"> </w:t>
      </w:r>
      <w:r w:rsidR="000B19C9" w:rsidRPr="008F6866">
        <w:rPr>
          <w:rFonts w:ascii="Calibri" w:eastAsia="Calibri" w:hAnsi="Calibri" w:cs="Calibri"/>
        </w:rPr>
        <w:t>A</w:t>
      </w:r>
      <w:r w:rsidR="00644D5E" w:rsidRPr="008F6866">
        <w:rPr>
          <w:rFonts w:ascii="Calibri" w:eastAsia="Calibri" w:hAnsi="Calibri" w:cs="Calibri"/>
        </w:rPr>
        <w:t xml:space="preserve"> significant</w:t>
      </w:r>
      <w:r w:rsidR="000B19C9" w:rsidRPr="008F6866">
        <w:rPr>
          <w:rFonts w:ascii="Calibri" w:eastAsia="Calibri" w:hAnsi="Calibri" w:cs="Calibri"/>
        </w:rPr>
        <w:t xml:space="preserve"> increase </w:t>
      </w:r>
      <w:r w:rsidR="00C873E2" w:rsidRPr="008F6866">
        <w:rPr>
          <w:rFonts w:ascii="Calibri" w:eastAsia="Calibri" w:hAnsi="Calibri" w:cs="Calibri"/>
        </w:rPr>
        <w:t>in</w:t>
      </w:r>
      <w:r w:rsidR="000B19C9" w:rsidRPr="008F6866">
        <w:rPr>
          <w:rFonts w:ascii="Calibri" w:eastAsia="Calibri" w:hAnsi="Calibri" w:cs="Calibri"/>
        </w:rPr>
        <w:t xml:space="preserve"> relative shoot increment occurred for oak in 2024 compared </w:t>
      </w:r>
      <w:r w:rsidR="00C873E2" w:rsidRPr="008F6866">
        <w:rPr>
          <w:rFonts w:ascii="Calibri" w:eastAsia="Calibri" w:hAnsi="Calibri" w:cs="Calibri"/>
        </w:rPr>
        <w:t>to</w:t>
      </w:r>
      <w:r w:rsidR="000B19C9" w:rsidRPr="008F6866">
        <w:rPr>
          <w:rFonts w:ascii="Calibri" w:eastAsia="Calibri" w:hAnsi="Calibri" w:cs="Calibri"/>
        </w:rPr>
        <w:t xml:space="preserve"> 2023, reaching an intermediate level between 2023-2024 and 2021.</w:t>
      </w:r>
      <w:r w:rsidR="00644D5E" w:rsidRPr="008F6866">
        <w:rPr>
          <w:rFonts w:ascii="Calibri" w:eastAsia="Calibri" w:hAnsi="Calibri" w:cs="Calibri"/>
        </w:rPr>
        <w:t xml:space="preserve"> In contrast, for beech, relative shoot increment continued to decrease in 2024, although not significantly.</w:t>
      </w:r>
      <w:r w:rsidR="00C8248D" w:rsidRPr="008F6866">
        <w:rPr>
          <w:rFonts w:ascii="Calibri" w:eastAsia="Calibri" w:hAnsi="Calibri" w:cs="Calibri"/>
        </w:rPr>
        <w:t xml:space="preserve"> The decline in growth between 2021 and 2022 </w:t>
      </w:r>
      <w:r w:rsidR="39CFF0FF" w:rsidRPr="008F6866">
        <w:rPr>
          <w:rFonts w:ascii="Calibri" w:eastAsia="Calibri" w:hAnsi="Calibri" w:cs="Calibri"/>
        </w:rPr>
        <w:t>would arise from the contrasted meteorological conditions characterising those years, especially with regard to rainfall amount and the resulting soil water content level, large rainfall depths and permanently high soil water contents having occurred during the growing period 2021 and inversely for 2022 (see</w:t>
      </w:r>
      <w:r w:rsidR="003D710D" w:rsidRPr="008F6866">
        <w:rPr>
          <w:rFonts w:ascii="Calibri" w:eastAsia="Calibri" w:hAnsi="Calibri" w:cs="Calibri"/>
        </w:rPr>
        <w:t xml:space="preserve"> </w:t>
      </w:r>
      <w:r w:rsidR="003D710D" w:rsidRPr="008F6866">
        <w:rPr>
          <w:rFonts w:ascii="Calibri" w:eastAsia="Calibri" w:hAnsi="Calibri" w:cs="Calibri"/>
        </w:rPr>
        <w:fldChar w:fldCharType="begin"/>
      </w:r>
      <w:r w:rsidR="003D710D" w:rsidRPr="008F6866">
        <w:rPr>
          <w:rFonts w:ascii="Calibri" w:eastAsia="Calibri" w:hAnsi="Calibri" w:cs="Calibri"/>
        </w:rPr>
        <w:instrText xml:space="preserve"> REF _Ref195649177 \h  \* MERGEFORMAT </w:instrText>
      </w:r>
      <w:r w:rsidR="003D710D" w:rsidRPr="008F6866">
        <w:rPr>
          <w:rFonts w:ascii="Calibri" w:eastAsia="Calibri" w:hAnsi="Calibri" w:cs="Calibri"/>
        </w:rPr>
      </w:r>
      <w:r w:rsidR="003D710D" w:rsidRPr="008F6866">
        <w:rPr>
          <w:rFonts w:ascii="Calibri" w:eastAsia="Calibri" w:hAnsi="Calibri" w:cs="Calibri"/>
        </w:rPr>
        <w:fldChar w:fldCharType="separate"/>
      </w:r>
      <w:r w:rsidR="00540DBF" w:rsidRPr="00540DBF">
        <w:rPr>
          <w:rFonts w:ascii="Calibri" w:eastAsia="Calibri" w:hAnsi="Calibri" w:cs="Calibri"/>
        </w:rPr>
        <w:t>Figure 22</w:t>
      </w:r>
      <w:r w:rsidR="003D710D" w:rsidRPr="008F6866">
        <w:rPr>
          <w:rFonts w:ascii="Calibri" w:eastAsia="Calibri" w:hAnsi="Calibri" w:cs="Calibri"/>
        </w:rPr>
        <w:fldChar w:fldCharType="end"/>
      </w:r>
      <w:r w:rsidR="39CFF0FF" w:rsidRPr="008F6866">
        <w:rPr>
          <w:rFonts w:ascii="Calibri" w:eastAsia="Calibri" w:hAnsi="Calibri" w:cs="Calibri"/>
        </w:rPr>
        <w:t xml:space="preserve">(a)). </w:t>
      </w:r>
      <w:r w:rsidR="00635E04" w:rsidRPr="008F6866">
        <w:rPr>
          <w:rFonts w:ascii="Calibri" w:eastAsia="Calibri" w:hAnsi="Calibri" w:cs="Calibri"/>
        </w:rPr>
        <w:t xml:space="preserve">The </w:t>
      </w:r>
      <w:r w:rsidR="0083114F" w:rsidRPr="008F6866">
        <w:rPr>
          <w:rFonts w:ascii="Calibri" w:eastAsia="Calibri" w:hAnsi="Calibri" w:cs="Calibri"/>
        </w:rPr>
        <w:t xml:space="preserve">persistence of the relative </w:t>
      </w:r>
      <w:r w:rsidR="00635E04" w:rsidRPr="008F6866">
        <w:rPr>
          <w:rFonts w:ascii="Calibri" w:eastAsia="Calibri" w:hAnsi="Calibri" w:cs="Calibri"/>
        </w:rPr>
        <w:t xml:space="preserve">increment values measured for 2023 </w:t>
      </w:r>
      <w:r w:rsidR="0083114F" w:rsidRPr="008F6866">
        <w:rPr>
          <w:rFonts w:ascii="Calibri" w:eastAsia="Calibri" w:hAnsi="Calibri" w:cs="Calibri"/>
        </w:rPr>
        <w:t>at levels generally</w:t>
      </w:r>
      <w:r w:rsidR="00635E04" w:rsidRPr="008F6866">
        <w:rPr>
          <w:rFonts w:ascii="Calibri" w:eastAsia="Calibri" w:hAnsi="Calibri" w:cs="Calibri"/>
        </w:rPr>
        <w:t xml:space="preserve"> similar to </w:t>
      </w:r>
      <w:r w:rsidR="00C207B5" w:rsidRPr="008F6866">
        <w:rPr>
          <w:rFonts w:ascii="Calibri" w:eastAsia="Calibri" w:hAnsi="Calibri" w:cs="Calibri"/>
        </w:rPr>
        <w:t xml:space="preserve">those for </w:t>
      </w:r>
      <w:r w:rsidR="00635E04" w:rsidRPr="008F6866">
        <w:rPr>
          <w:rFonts w:ascii="Calibri" w:eastAsia="Calibri" w:hAnsi="Calibri" w:cs="Calibri"/>
        </w:rPr>
        <w:t xml:space="preserve">2022 </w:t>
      </w:r>
      <w:r w:rsidR="0083114F" w:rsidRPr="008F6866">
        <w:rPr>
          <w:rFonts w:ascii="Calibri" w:eastAsia="Calibri" w:hAnsi="Calibri" w:cs="Calibri"/>
        </w:rPr>
        <w:t xml:space="preserve">indicated </w:t>
      </w:r>
      <w:r w:rsidR="39CFF0FF" w:rsidRPr="008F6866">
        <w:rPr>
          <w:rFonts w:ascii="Calibri" w:eastAsia="Calibri" w:hAnsi="Calibri" w:cs="Calibri"/>
        </w:rPr>
        <w:t xml:space="preserve">that seedling growth did not respond positively to the more favourable </w:t>
      </w:r>
      <w:r w:rsidR="0083114F" w:rsidRPr="008F6866">
        <w:rPr>
          <w:rFonts w:ascii="Calibri" w:eastAsia="Calibri" w:hAnsi="Calibri" w:cs="Calibri"/>
        </w:rPr>
        <w:t xml:space="preserve">conditions of </w:t>
      </w:r>
      <w:r w:rsidR="39CFF0FF" w:rsidRPr="008F6866">
        <w:rPr>
          <w:rFonts w:ascii="Calibri" w:eastAsia="Calibri" w:hAnsi="Calibri" w:cs="Calibri"/>
        </w:rPr>
        <w:t>soil water availability for the 2023 growing season compared with 2022 (see</w:t>
      </w:r>
      <w:r w:rsidR="003D710D" w:rsidRPr="008F6866">
        <w:rPr>
          <w:rFonts w:ascii="Calibri" w:eastAsia="Calibri" w:hAnsi="Calibri" w:cs="Calibri"/>
        </w:rPr>
        <w:t xml:space="preserve"> </w:t>
      </w:r>
      <w:r w:rsidR="003D710D" w:rsidRPr="008F6866">
        <w:rPr>
          <w:rFonts w:ascii="Calibri" w:eastAsia="Calibri" w:hAnsi="Calibri" w:cs="Calibri"/>
        </w:rPr>
        <w:fldChar w:fldCharType="begin"/>
      </w:r>
      <w:r w:rsidR="003D710D" w:rsidRPr="008F6866">
        <w:rPr>
          <w:rFonts w:ascii="Calibri" w:eastAsia="Calibri" w:hAnsi="Calibri" w:cs="Calibri"/>
        </w:rPr>
        <w:instrText xml:space="preserve"> REF _Ref195649177 \h  \* MERGEFORMAT </w:instrText>
      </w:r>
      <w:r w:rsidR="003D710D" w:rsidRPr="008F6866">
        <w:rPr>
          <w:rFonts w:ascii="Calibri" w:eastAsia="Calibri" w:hAnsi="Calibri" w:cs="Calibri"/>
        </w:rPr>
      </w:r>
      <w:r w:rsidR="003D710D" w:rsidRPr="008F6866">
        <w:rPr>
          <w:rFonts w:ascii="Calibri" w:eastAsia="Calibri" w:hAnsi="Calibri" w:cs="Calibri"/>
        </w:rPr>
        <w:fldChar w:fldCharType="separate"/>
      </w:r>
      <w:r w:rsidR="00540DBF" w:rsidRPr="00540DBF">
        <w:rPr>
          <w:rFonts w:ascii="Calibri" w:eastAsia="Calibri" w:hAnsi="Calibri" w:cs="Calibri"/>
        </w:rPr>
        <w:t>Figure 22</w:t>
      </w:r>
      <w:r w:rsidR="003D710D" w:rsidRPr="008F6866">
        <w:rPr>
          <w:rFonts w:ascii="Calibri" w:eastAsia="Calibri" w:hAnsi="Calibri" w:cs="Calibri"/>
        </w:rPr>
        <w:fldChar w:fldCharType="end"/>
      </w:r>
      <w:r w:rsidR="39CFF0FF" w:rsidRPr="008F6866">
        <w:rPr>
          <w:rFonts w:ascii="Calibri" w:eastAsia="Calibri" w:hAnsi="Calibri" w:cs="Calibri"/>
        </w:rPr>
        <w:t>). This might be explained by prolonged adverse effect</w:t>
      </w:r>
      <w:r w:rsidR="007D241A" w:rsidRPr="008F6866">
        <w:rPr>
          <w:rFonts w:ascii="Calibri" w:eastAsia="Calibri" w:hAnsi="Calibri" w:cs="Calibri"/>
        </w:rPr>
        <w:t>s</w:t>
      </w:r>
      <w:r w:rsidR="39CFF0FF" w:rsidRPr="008F6866">
        <w:rPr>
          <w:rFonts w:ascii="Calibri" w:eastAsia="Calibri" w:hAnsi="Calibri" w:cs="Calibri"/>
        </w:rPr>
        <w:t xml:space="preserve"> of the 2022 severe drought on the 2023 growth of the collar diameter for both species and of the apical shoot for oak.</w:t>
      </w:r>
      <w:r w:rsidR="00C207B5" w:rsidRPr="008F6866">
        <w:rPr>
          <w:rFonts w:ascii="Calibri" w:eastAsia="Calibri" w:hAnsi="Calibri" w:cs="Calibri"/>
        </w:rPr>
        <w:t xml:space="preserve"> </w:t>
      </w:r>
      <w:r w:rsidR="007D241A" w:rsidRPr="008F6866">
        <w:rPr>
          <w:rFonts w:ascii="Calibri" w:eastAsia="Calibri" w:hAnsi="Calibri" w:cs="Calibri"/>
        </w:rPr>
        <w:t xml:space="preserve">The resumption of more sustained apical shoot relative increment for oak in 2024 suggested a lessening of these adverse effects and a recovery of seedling vitality </w:t>
      </w:r>
      <w:r w:rsidR="00D51E94" w:rsidRPr="008F6866">
        <w:rPr>
          <w:rFonts w:ascii="Calibri" w:eastAsia="Calibri" w:hAnsi="Calibri" w:cs="Calibri"/>
        </w:rPr>
        <w:t xml:space="preserve">for this species. In contrast, </w:t>
      </w:r>
      <w:r w:rsidR="00371A6D" w:rsidRPr="008F6866">
        <w:rPr>
          <w:rFonts w:ascii="Calibri" w:eastAsia="Calibri" w:hAnsi="Calibri" w:cs="Calibri"/>
        </w:rPr>
        <w:t xml:space="preserve">the </w:t>
      </w:r>
      <w:r w:rsidR="00D51E94" w:rsidRPr="008F6866">
        <w:rPr>
          <w:rFonts w:ascii="Calibri" w:eastAsia="Calibri" w:hAnsi="Calibri" w:cs="Calibri"/>
        </w:rPr>
        <w:t>results for</w:t>
      </w:r>
      <w:r w:rsidR="39CFF0FF" w:rsidRPr="008F6866">
        <w:rPr>
          <w:rFonts w:ascii="Calibri" w:eastAsia="Calibri" w:hAnsi="Calibri" w:cs="Calibri"/>
        </w:rPr>
        <w:t xml:space="preserve"> the apical shoot of beech would rather indicate </w:t>
      </w:r>
      <w:r w:rsidR="004263A0" w:rsidRPr="008F6866">
        <w:rPr>
          <w:rFonts w:ascii="Calibri" w:eastAsia="Calibri" w:hAnsi="Calibri" w:cs="Calibri"/>
        </w:rPr>
        <w:t xml:space="preserve">a </w:t>
      </w:r>
      <w:r w:rsidR="00A15851" w:rsidRPr="008F6866">
        <w:rPr>
          <w:rFonts w:ascii="Calibri" w:eastAsia="Calibri" w:hAnsi="Calibri" w:cs="Calibri"/>
        </w:rPr>
        <w:t>delayed</w:t>
      </w:r>
      <w:r w:rsidR="39CFF0FF" w:rsidRPr="008F6866">
        <w:rPr>
          <w:rFonts w:ascii="Calibri" w:eastAsia="Calibri" w:hAnsi="Calibri" w:cs="Calibri"/>
        </w:rPr>
        <w:t xml:space="preserve"> effect of water </w:t>
      </w:r>
      <w:r w:rsidR="004263A0" w:rsidRPr="008F6866">
        <w:rPr>
          <w:rFonts w:ascii="Calibri" w:eastAsia="Calibri" w:hAnsi="Calibri" w:cs="Calibri"/>
        </w:rPr>
        <w:t xml:space="preserve">deficit </w:t>
      </w:r>
      <w:r w:rsidR="39CFF0FF" w:rsidRPr="008F6866">
        <w:rPr>
          <w:rFonts w:ascii="Calibri" w:eastAsia="Calibri" w:hAnsi="Calibri" w:cs="Calibri"/>
        </w:rPr>
        <w:t>on growth,</w:t>
      </w:r>
      <w:r w:rsidR="004263A0" w:rsidRPr="008F6866">
        <w:rPr>
          <w:rFonts w:ascii="Calibri" w:eastAsia="Calibri" w:hAnsi="Calibri" w:cs="Calibri"/>
        </w:rPr>
        <w:t xml:space="preserve"> with</w:t>
      </w:r>
      <w:r w:rsidR="39CFF0FF" w:rsidRPr="008F6866">
        <w:rPr>
          <w:rFonts w:ascii="Calibri" w:eastAsia="Calibri" w:hAnsi="Calibri" w:cs="Calibri"/>
        </w:rPr>
        <w:t xml:space="preserve"> the </w:t>
      </w:r>
      <w:r w:rsidR="00A15851" w:rsidRPr="008F6866">
        <w:rPr>
          <w:rFonts w:ascii="Calibri" w:eastAsia="Calibri" w:hAnsi="Calibri" w:cs="Calibri"/>
        </w:rPr>
        <w:t xml:space="preserve">main reduction of </w:t>
      </w:r>
      <w:r w:rsidR="39CFF0FF" w:rsidRPr="008F6866">
        <w:rPr>
          <w:rFonts w:ascii="Calibri" w:eastAsia="Calibri" w:hAnsi="Calibri" w:cs="Calibri"/>
        </w:rPr>
        <w:t xml:space="preserve">shoot increment </w:t>
      </w:r>
      <w:r w:rsidR="00A15851" w:rsidRPr="008F6866">
        <w:rPr>
          <w:rFonts w:ascii="Calibri" w:eastAsia="Calibri" w:hAnsi="Calibri" w:cs="Calibri"/>
        </w:rPr>
        <w:t xml:space="preserve">being observed </w:t>
      </w:r>
      <w:r w:rsidR="39CFF0FF" w:rsidRPr="008F6866">
        <w:rPr>
          <w:rFonts w:ascii="Calibri" w:eastAsia="Calibri" w:hAnsi="Calibri" w:cs="Calibri"/>
        </w:rPr>
        <w:t>in 2023 instead of 2022.</w:t>
      </w:r>
      <w:r w:rsidR="00AB5703" w:rsidRPr="008F6866">
        <w:rPr>
          <w:rFonts w:ascii="Calibri" w:eastAsia="Calibri" w:hAnsi="Calibri" w:cs="Calibri"/>
        </w:rPr>
        <w:t xml:space="preserve"> </w:t>
      </w:r>
      <w:r w:rsidR="39CFF0FF" w:rsidRPr="008F6866">
        <w:rPr>
          <w:rFonts w:ascii="Calibri" w:eastAsia="Calibri" w:hAnsi="Calibri" w:cs="Calibri"/>
        </w:rPr>
        <w:t>Another explanation for the generally low level of growth in 2023 could be the dry period at the start of the growing season on that year (see</w:t>
      </w:r>
      <w:r w:rsidR="003D710D" w:rsidRPr="008F6866">
        <w:rPr>
          <w:rFonts w:ascii="Calibri" w:eastAsia="Calibri" w:hAnsi="Calibri" w:cs="Calibri"/>
        </w:rPr>
        <w:t xml:space="preserve"> </w:t>
      </w:r>
      <w:r w:rsidR="003D710D" w:rsidRPr="008F6866">
        <w:rPr>
          <w:rFonts w:ascii="Calibri" w:eastAsia="Calibri" w:hAnsi="Calibri" w:cs="Calibri"/>
        </w:rPr>
        <w:fldChar w:fldCharType="begin"/>
      </w:r>
      <w:r w:rsidR="003D710D" w:rsidRPr="008F6866">
        <w:rPr>
          <w:rFonts w:ascii="Calibri" w:eastAsia="Calibri" w:hAnsi="Calibri" w:cs="Calibri"/>
        </w:rPr>
        <w:instrText xml:space="preserve"> REF _Ref195649177 \h  \* MERGEFORMAT </w:instrText>
      </w:r>
      <w:r w:rsidR="003D710D" w:rsidRPr="008F6866">
        <w:rPr>
          <w:rFonts w:ascii="Calibri" w:eastAsia="Calibri" w:hAnsi="Calibri" w:cs="Calibri"/>
        </w:rPr>
      </w:r>
      <w:r w:rsidR="003D710D" w:rsidRPr="008F6866">
        <w:rPr>
          <w:rFonts w:ascii="Calibri" w:eastAsia="Calibri" w:hAnsi="Calibri" w:cs="Calibri"/>
        </w:rPr>
        <w:fldChar w:fldCharType="separate"/>
      </w:r>
      <w:r w:rsidR="00540DBF" w:rsidRPr="00540DBF">
        <w:rPr>
          <w:rFonts w:ascii="Calibri" w:eastAsia="Calibri" w:hAnsi="Calibri" w:cs="Calibri"/>
        </w:rPr>
        <w:t>Figure 22</w:t>
      </w:r>
      <w:r w:rsidR="003D710D" w:rsidRPr="008F6866">
        <w:rPr>
          <w:rFonts w:ascii="Calibri" w:eastAsia="Calibri" w:hAnsi="Calibri" w:cs="Calibri"/>
        </w:rPr>
        <w:fldChar w:fldCharType="end"/>
      </w:r>
      <w:r w:rsidR="39CFF0FF" w:rsidRPr="008F6866">
        <w:rPr>
          <w:rFonts w:ascii="Calibri" w:eastAsia="Calibri" w:hAnsi="Calibri" w:cs="Calibri"/>
        </w:rPr>
        <w:t xml:space="preserve">(a)). Yet, the temporality of the shoot growth (shoot </w:t>
      </w:r>
      <w:r w:rsidR="39CFF0FF" w:rsidRPr="008F6866">
        <w:rPr>
          <w:rFonts w:ascii="Calibri" w:eastAsia="Calibri" w:hAnsi="Calibri" w:cs="Calibri"/>
        </w:rPr>
        <w:lastRenderedPageBreak/>
        <w:t>increment was measured a first time in July and repeated during the dormant season) showed that most of the increment occurred before July in 2023, no or only negligible additional growth was observed during the second part of the growing season despite the partial SWC recharge.</w:t>
      </w:r>
      <w:r w:rsidR="00A015C0" w:rsidRPr="008F6866">
        <w:rPr>
          <w:rFonts w:ascii="Calibri" w:eastAsia="Calibri" w:hAnsi="Calibri" w:cs="Calibri"/>
        </w:rPr>
        <w:t xml:space="preserve"> Furthermore, such a hypothesis </w:t>
      </w:r>
      <w:r w:rsidR="003C4A0D" w:rsidRPr="008F6866">
        <w:rPr>
          <w:rFonts w:ascii="Calibri" w:eastAsia="Calibri" w:hAnsi="Calibri" w:cs="Calibri"/>
        </w:rPr>
        <w:t xml:space="preserve">of reduced </w:t>
      </w:r>
      <w:r w:rsidR="008D3EEE" w:rsidRPr="008F6866">
        <w:rPr>
          <w:rFonts w:ascii="Calibri" w:eastAsia="Calibri" w:hAnsi="Calibri" w:cs="Calibri"/>
        </w:rPr>
        <w:t xml:space="preserve">growth </w:t>
      </w:r>
      <w:r w:rsidR="003C4A0D" w:rsidRPr="008F6866">
        <w:rPr>
          <w:rFonts w:ascii="Calibri" w:eastAsia="Calibri" w:hAnsi="Calibri" w:cs="Calibri"/>
        </w:rPr>
        <w:t xml:space="preserve">due to </w:t>
      </w:r>
      <w:r w:rsidR="00A015C0" w:rsidRPr="008F6866">
        <w:rPr>
          <w:rFonts w:ascii="Calibri" w:eastAsia="Calibri" w:hAnsi="Calibri" w:cs="Calibri"/>
        </w:rPr>
        <w:t xml:space="preserve">temporary </w:t>
      </w:r>
      <w:r w:rsidR="008D3EEE" w:rsidRPr="008F6866">
        <w:rPr>
          <w:rFonts w:ascii="Calibri" w:eastAsia="Calibri" w:hAnsi="Calibri" w:cs="Calibri"/>
        </w:rPr>
        <w:t xml:space="preserve">water shortage does not hold for 2024 given </w:t>
      </w:r>
      <w:r w:rsidR="003C4A0D" w:rsidRPr="008F6866">
        <w:rPr>
          <w:rFonts w:ascii="Calibri" w:eastAsia="Calibri" w:hAnsi="Calibri" w:cs="Calibri"/>
        </w:rPr>
        <w:t>the sustained water supply over the growing season for that year.</w:t>
      </w:r>
      <w:r w:rsidR="00633974" w:rsidRPr="008F6866">
        <w:rPr>
          <w:rFonts w:ascii="Calibri" w:eastAsia="Calibri" w:hAnsi="Calibri" w:cs="Calibri"/>
        </w:rPr>
        <w:t xml:space="preserve"> Beyond the delayed effect of water deficit, the continuation of low increment values for beech in 2024 would arise from the particularly low level of radiation observed for 2024. The lower values of relative apical shoot increment found for oak in 2024 compared to 2021 could also be explained by this lack of light in 2024.</w:t>
      </w:r>
    </w:p>
    <w:p w14:paraId="778E86A1" w14:textId="66419778" w:rsidR="00DE4897" w:rsidRPr="008F6866" w:rsidRDefault="39CFF0FF" w:rsidP="00AB4B49">
      <w:pPr>
        <w:spacing w:after="0" w:line="300" w:lineRule="auto"/>
        <w:jc w:val="both"/>
        <w:rPr>
          <w:rFonts w:ascii="Calibri" w:eastAsia="Calibri" w:hAnsi="Calibri" w:cs="Calibri"/>
        </w:rPr>
      </w:pPr>
      <w:r w:rsidRPr="008F6866">
        <w:rPr>
          <w:rFonts w:ascii="Calibri" w:eastAsia="Calibri" w:hAnsi="Calibri" w:cs="Calibri"/>
        </w:rPr>
        <w:t xml:space="preserve">In other respects, the treatment effect </w:t>
      </w:r>
      <w:r w:rsidR="004D5B32" w:rsidRPr="008F6866">
        <w:rPr>
          <w:rFonts w:ascii="Calibri" w:eastAsia="Calibri" w:hAnsi="Calibri" w:cs="Calibri"/>
        </w:rPr>
        <w:t xml:space="preserve">was </w:t>
      </w:r>
      <w:r w:rsidRPr="008F6866">
        <w:rPr>
          <w:rFonts w:ascii="Calibri" w:eastAsia="Calibri" w:hAnsi="Calibri" w:cs="Calibri"/>
        </w:rPr>
        <w:t>systematically not significant for both dendrometric variables and both species, whatever the year. For 2021 and 2022, this could notably be explained by the quite similar SWC levels observed in the control and the treatment units over those two years. Nevertheless, the same observations also apply to 2023</w:t>
      </w:r>
      <w:r w:rsidR="004D5B32" w:rsidRPr="008F6866">
        <w:rPr>
          <w:rFonts w:ascii="Calibri" w:eastAsia="Calibri" w:hAnsi="Calibri" w:cs="Calibri"/>
        </w:rPr>
        <w:t xml:space="preserve"> and 2024</w:t>
      </w:r>
      <w:r w:rsidRPr="008F6866">
        <w:rPr>
          <w:rFonts w:ascii="Calibri" w:eastAsia="Calibri" w:hAnsi="Calibri" w:cs="Calibri"/>
        </w:rPr>
        <w:t xml:space="preserve"> despite the relatively better soil water availability for the control compared with the treatment for th</w:t>
      </w:r>
      <w:r w:rsidR="002803C1" w:rsidRPr="008F6866">
        <w:rPr>
          <w:rFonts w:ascii="Calibri" w:eastAsia="Calibri" w:hAnsi="Calibri" w:cs="Calibri"/>
        </w:rPr>
        <w:t>ose</w:t>
      </w:r>
      <w:r w:rsidRPr="008F6866">
        <w:rPr>
          <w:rFonts w:ascii="Calibri" w:eastAsia="Calibri" w:hAnsi="Calibri" w:cs="Calibri"/>
        </w:rPr>
        <w:t xml:space="preserve"> year</w:t>
      </w:r>
      <w:r w:rsidR="002803C1" w:rsidRPr="008F6866">
        <w:rPr>
          <w:rFonts w:ascii="Calibri" w:eastAsia="Calibri" w:hAnsi="Calibri" w:cs="Calibri"/>
        </w:rPr>
        <w:t>s</w:t>
      </w:r>
      <w:r w:rsidRPr="008F6866">
        <w:rPr>
          <w:rFonts w:ascii="Calibri" w:eastAsia="Calibri" w:hAnsi="Calibri" w:cs="Calibri"/>
        </w:rPr>
        <w:t xml:space="preserve"> as reflected (i) by the higher SWC values in the former modality (see</w:t>
      </w:r>
      <w:r w:rsidR="005A0261" w:rsidRPr="008F6866">
        <w:rPr>
          <w:rFonts w:ascii="Calibri" w:eastAsia="Calibri" w:hAnsi="Calibri" w:cs="Calibri"/>
        </w:rPr>
        <w:t xml:space="preserve"> </w:t>
      </w:r>
      <w:r w:rsidR="005A0261" w:rsidRPr="008F6866">
        <w:rPr>
          <w:rFonts w:ascii="Calibri" w:eastAsia="Calibri" w:hAnsi="Calibri" w:cs="Calibri"/>
        </w:rPr>
        <w:fldChar w:fldCharType="begin"/>
      </w:r>
      <w:r w:rsidR="005A0261" w:rsidRPr="008F6866">
        <w:rPr>
          <w:rFonts w:ascii="Calibri" w:eastAsia="Calibri" w:hAnsi="Calibri" w:cs="Calibri"/>
        </w:rPr>
        <w:instrText xml:space="preserve"> REF _Ref195649177 \h  \* MERGEFORMAT </w:instrText>
      </w:r>
      <w:r w:rsidR="005A0261" w:rsidRPr="008F6866">
        <w:rPr>
          <w:rFonts w:ascii="Calibri" w:eastAsia="Calibri" w:hAnsi="Calibri" w:cs="Calibri"/>
        </w:rPr>
      </w:r>
      <w:r w:rsidR="005A0261" w:rsidRPr="008F6866">
        <w:rPr>
          <w:rFonts w:ascii="Calibri" w:eastAsia="Calibri" w:hAnsi="Calibri" w:cs="Calibri"/>
        </w:rPr>
        <w:fldChar w:fldCharType="separate"/>
      </w:r>
      <w:r w:rsidR="00540DBF" w:rsidRPr="00540DBF">
        <w:rPr>
          <w:rFonts w:ascii="Calibri" w:eastAsia="Calibri" w:hAnsi="Calibri" w:cs="Calibri"/>
        </w:rPr>
        <w:t>Figure 22</w:t>
      </w:r>
      <w:r w:rsidR="005A0261" w:rsidRPr="008F6866">
        <w:rPr>
          <w:rFonts w:ascii="Calibri" w:eastAsia="Calibri" w:hAnsi="Calibri" w:cs="Calibri"/>
        </w:rPr>
        <w:fldChar w:fldCharType="end"/>
      </w:r>
      <w:r w:rsidRPr="008F6866">
        <w:rPr>
          <w:rFonts w:ascii="Calibri" w:eastAsia="Calibri" w:hAnsi="Calibri" w:cs="Calibri"/>
        </w:rPr>
        <w:t>(a)) and (ii)</w:t>
      </w:r>
      <w:r w:rsidR="002803C1" w:rsidRPr="008F6866">
        <w:rPr>
          <w:rFonts w:ascii="Calibri" w:eastAsia="Calibri" w:hAnsi="Calibri" w:cs="Calibri"/>
        </w:rPr>
        <w:t>, for 2023,</w:t>
      </w:r>
      <w:r w:rsidRPr="008F6866">
        <w:rPr>
          <w:rFonts w:ascii="Calibri" w:eastAsia="Calibri" w:hAnsi="Calibri" w:cs="Calibri"/>
        </w:rPr>
        <w:t xml:space="preserve"> by the lower SWP values in the treatment compared with the control (see</w:t>
      </w:r>
      <w:r w:rsidR="005A0261" w:rsidRPr="008F6866">
        <w:rPr>
          <w:rFonts w:ascii="Calibri" w:eastAsia="Calibri" w:hAnsi="Calibri" w:cs="Calibri"/>
        </w:rPr>
        <w:t xml:space="preserve"> </w:t>
      </w:r>
      <w:r w:rsidR="005A0261" w:rsidRPr="008F6866">
        <w:rPr>
          <w:rFonts w:ascii="Calibri" w:eastAsia="Calibri" w:hAnsi="Calibri" w:cs="Calibri"/>
        </w:rPr>
        <w:fldChar w:fldCharType="begin"/>
      </w:r>
      <w:r w:rsidR="005A0261" w:rsidRPr="008F6866">
        <w:rPr>
          <w:rFonts w:ascii="Calibri" w:eastAsia="Calibri" w:hAnsi="Calibri" w:cs="Calibri"/>
        </w:rPr>
        <w:instrText xml:space="preserve"> REF _Ref195649177 \h  \* MERGEFORMAT </w:instrText>
      </w:r>
      <w:r w:rsidR="005A0261" w:rsidRPr="008F6866">
        <w:rPr>
          <w:rFonts w:ascii="Calibri" w:eastAsia="Calibri" w:hAnsi="Calibri" w:cs="Calibri"/>
        </w:rPr>
      </w:r>
      <w:r w:rsidR="005A0261" w:rsidRPr="008F6866">
        <w:rPr>
          <w:rFonts w:ascii="Calibri" w:eastAsia="Calibri" w:hAnsi="Calibri" w:cs="Calibri"/>
        </w:rPr>
        <w:fldChar w:fldCharType="separate"/>
      </w:r>
      <w:r w:rsidR="00540DBF" w:rsidRPr="00540DBF">
        <w:rPr>
          <w:rFonts w:ascii="Calibri" w:eastAsia="Calibri" w:hAnsi="Calibri" w:cs="Calibri"/>
        </w:rPr>
        <w:t>Figure 22</w:t>
      </w:r>
      <w:r w:rsidR="005A0261" w:rsidRPr="008F6866">
        <w:rPr>
          <w:rFonts w:ascii="Calibri" w:eastAsia="Calibri" w:hAnsi="Calibri" w:cs="Calibri"/>
        </w:rPr>
        <w:fldChar w:fldCharType="end"/>
      </w:r>
      <w:r w:rsidRPr="008F6866">
        <w:rPr>
          <w:rFonts w:ascii="Calibri" w:eastAsia="Calibri" w:hAnsi="Calibri" w:cs="Calibri"/>
        </w:rPr>
        <w:t>(b)).</w:t>
      </w:r>
      <w:r w:rsidR="00DD314A" w:rsidRPr="008F6866">
        <w:rPr>
          <w:rFonts w:ascii="Calibri" w:eastAsia="Calibri" w:hAnsi="Calibri" w:cs="Calibri"/>
        </w:rPr>
        <w:t xml:space="preserve"> </w:t>
      </w:r>
      <w:r w:rsidR="00DA5153" w:rsidRPr="008F6866">
        <w:rPr>
          <w:rFonts w:ascii="Calibri" w:eastAsia="Calibri" w:hAnsi="Calibri" w:cs="Calibri"/>
        </w:rPr>
        <w:t>Yet, these differences of water availability among treatments remained quite limited and were most likely not sufficient to induce differences in growth between modalities.</w:t>
      </w:r>
    </w:p>
    <w:p w14:paraId="02EC2502" w14:textId="77777777" w:rsidR="005A0261" w:rsidRPr="008F6866" w:rsidRDefault="005A0261" w:rsidP="005A0261">
      <w:pPr>
        <w:spacing w:after="0" w:line="300" w:lineRule="auto"/>
        <w:jc w:val="both"/>
        <w:rPr>
          <w:rFonts w:ascii="Calibri" w:eastAsia="Calibri" w:hAnsi="Calibri" w:cs="Calibri"/>
        </w:rPr>
      </w:pPr>
    </w:p>
    <w:tbl>
      <w:tblPr>
        <w:tblW w:w="9697" w:type="dxa"/>
        <w:tblCellMar>
          <w:left w:w="0" w:type="dxa"/>
          <w:right w:w="0" w:type="dxa"/>
        </w:tblCellMar>
        <w:tblLook w:val="0400" w:firstRow="0" w:lastRow="0" w:firstColumn="0" w:lastColumn="0" w:noHBand="0" w:noVBand="1"/>
      </w:tblPr>
      <w:tblGrid>
        <w:gridCol w:w="4848"/>
        <w:gridCol w:w="4849"/>
      </w:tblGrid>
      <w:tr w:rsidR="00DE4897" w:rsidRPr="008F6866" w14:paraId="484DA259" w14:textId="77777777" w:rsidTr="00217DE0">
        <w:tc>
          <w:tcPr>
            <w:tcW w:w="4848" w:type="dxa"/>
          </w:tcPr>
          <w:p w14:paraId="31CFB4FE" w14:textId="4F9BF6A3" w:rsidR="00DE4897" w:rsidRPr="008F6866" w:rsidRDefault="00575A44" w:rsidP="00BE0D7F">
            <w:pPr>
              <w:pStyle w:val="NormalWeb"/>
              <w:spacing w:before="0" w:beforeAutospacing="0" w:after="0" w:afterAutospacing="0"/>
              <w:rPr>
                <w:lang w:val="en-GB"/>
              </w:rPr>
            </w:pPr>
            <w:r w:rsidRPr="008F6866">
              <w:rPr>
                <w:noProof/>
                <w:lang w:val="en-GB"/>
              </w:rPr>
              <w:drawing>
                <wp:inline distT="0" distB="0" distL="0" distR="0" wp14:anchorId="78125DCF" wp14:editId="4DF82CB9">
                  <wp:extent cx="2880000" cy="1728000"/>
                  <wp:effectExtent l="0" t="0" r="0" b="5715"/>
                  <wp:docPr id="27" name="Image 27" descr="D:\andref\Documents\EFOR\RegePlus\DroughtExperiment\Analyses\Analyses2025\reliD_COLLAR_showZoneEffectFALSE_boxPlo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dref\Documents\EFOR\RegePlus\DroughtExperiment\Analyses\Analyses2025\reliD_COLLAR_showZoneEffectFALSE_boxPlot_E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80000" cy="1728000"/>
                          </a:xfrm>
                          <a:prstGeom prst="rect">
                            <a:avLst/>
                          </a:prstGeom>
                          <a:noFill/>
                          <a:ln>
                            <a:noFill/>
                          </a:ln>
                        </pic:spPr>
                      </pic:pic>
                    </a:graphicData>
                  </a:graphic>
                </wp:inline>
              </w:drawing>
            </w:r>
          </w:p>
        </w:tc>
        <w:tc>
          <w:tcPr>
            <w:tcW w:w="4849" w:type="dxa"/>
          </w:tcPr>
          <w:p w14:paraId="085F3A56" w14:textId="6628B7D8" w:rsidR="00DE4897" w:rsidRPr="008F6866" w:rsidRDefault="0079008D" w:rsidP="00BE0D7F">
            <w:pPr>
              <w:pStyle w:val="NormalWeb"/>
              <w:spacing w:before="0" w:beforeAutospacing="0" w:after="0" w:afterAutospacing="0"/>
              <w:rPr>
                <w:lang w:val="en-GB"/>
              </w:rPr>
            </w:pPr>
            <w:r w:rsidRPr="008F6866">
              <w:rPr>
                <w:noProof/>
                <w:lang w:val="en-GB"/>
              </w:rPr>
              <w:drawing>
                <wp:inline distT="0" distB="0" distL="0" distR="0" wp14:anchorId="08C7BC04" wp14:editId="1AB2872B">
                  <wp:extent cx="2890800" cy="1731600"/>
                  <wp:effectExtent l="0" t="0" r="5080" b="2540"/>
                  <wp:docPr id="28" name="Image 28" descr="D:\andref\Documents\EFOR\RegePlus\DroughtExperiment\Analyses\Analyses2025\relSHOOT_TOTAL_cm_showZoneEffectFALSE_boxPlo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dref\Documents\EFOR\RegePlus\DroughtExperiment\Analyses\Analyses2025\relSHOOT_TOTAL_cm_showZoneEffectFALSE_boxPlot_E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90800" cy="1731600"/>
                          </a:xfrm>
                          <a:prstGeom prst="rect">
                            <a:avLst/>
                          </a:prstGeom>
                          <a:noFill/>
                          <a:ln>
                            <a:noFill/>
                          </a:ln>
                        </pic:spPr>
                      </pic:pic>
                    </a:graphicData>
                  </a:graphic>
                </wp:inline>
              </w:drawing>
            </w:r>
          </w:p>
        </w:tc>
      </w:tr>
      <w:tr w:rsidR="00DE4897" w:rsidRPr="008F6866" w14:paraId="02D2A5F6" w14:textId="77777777" w:rsidTr="00217DE0">
        <w:tc>
          <w:tcPr>
            <w:tcW w:w="4848" w:type="dxa"/>
          </w:tcPr>
          <w:p w14:paraId="655A1782" w14:textId="77777777" w:rsidR="00DE4897" w:rsidRPr="008F6866" w:rsidRDefault="00DE4897" w:rsidP="00BE0D7F">
            <w:pPr>
              <w:spacing w:after="0"/>
              <w:jc w:val="center"/>
            </w:pPr>
            <w:r w:rsidRPr="008F6866">
              <w:t>(a)</w:t>
            </w:r>
          </w:p>
        </w:tc>
        <w:tc>
          <w:tcPr>
            <w:tcW w:w="4849" w:type="dxa"/>
          </w:tcPr>
          <w:p w14:paraId="4C44B4A3" w14:textId="77777777" w:rsidR="00DE4897" w:rsidRPr="008F6866" w:rsidRDefault="00DE4897" w:rsidP="00BE0D7F">
            <w:pPr>
              <w:spacing w:after="0"/>
              <w:jc w:val="center"/>
            </w:pPr>
            <w:r w:rsidRPr="008F6866">
              <w:t>(b)</w:t>
            </w:r>
          </w:p>
        </w:tc>
      </w:tr>
    </w:tbl>
    <w:p w14:paraId="3E324C17" w14:textId="77777777" w:rsidR="00DE4897" w:rsidRPr="008F6866" w:rsidRDefault="00DE4897" w:rsidP="00BE0D7F">
      <w:pPr>
        <w:keepNext/>
        <w:spacing w:after="0"/>
        <w:jc w:val="center"/>
        <w:rPr>
          <w:rFonts w:ascii="Calibri" w:eastAsia="Calibri" w:hAnsi="Calibri" w:cs="Calibri"/>
          <w:b/>
          <w:highlight w:val="yellow"/>
        </w:rPr>
      </w:pPr>
      <w:r w:rsidRPr="008F6866">
        <w:rPr>
          <w:rFonts w:ascii="Arial" w:eastAsia="Arial" w:hAnsi="Arial" w:cs="Arial"/>
          <w:b/>
          <w:color w:val="00B050"/>
        </w:rPr>
        <w:t>Control</w:t>
      </w:r>
      <w:r w:rsidRPr="008F6866">
        <w:rPr>
          <w:rFonts w:ascii="Arial" w:eastAsia="Arial" w:hAnsi="Arial" w:cs="Arial"/>
          <w:b/>
        </w:rPr>
        <w:t xml:space="preserve">    </w:t>
      </w:r>
      <w:r w:rsidRPr="008F6866">
        <w:rPr>
          <w:rFonts w:ascii="Arial" w:eastAsia="Arial" w:hAnsi="Arial" w:cs="Arial"/>
          <w:b/>
          <w:color w:val="FF0000"/>
        </w:rPr>
        <w:t>Treatment</w:t>
      </w:r>
    </w:p>
    <w:p w14:paraId="7A98EC1C" w14:textId="0FB4EAA1" w:rsidR="007D1014" w:rsidRPr="008E5271" w:rsidRDefault="003D710D" w:rsidP="008E5271">
      <w:pPr>
        <w:pStyle w:val="Lgende"/>
        <w:jc w:val="center"/>
        <w:rPr>
          <w:b/>
          <w:i w:val="0"/>
          <w:color w:val="000000" w:themeColor="text1"/>
          <w:sz w:val="20"/>
          <w:szCs w:val="20"/>
        </w:rPr>
      </w:pPr>
      <w:bookmarkStart w:id="80" w:name="_heading=h.1egqt2p"/>
      <w:bookmarkStart w:id="81" w:name="_Ref195650854"/>
      <w:bookmarkEnd w:id="80"/>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25</w:t>
      </w:r>
      <w:r w:rsidRPr="008F6866">
        <w:rPr>
          <w:b/>
          <w:i w:val="0"/>
          <w:color w:val="000000" w:themeColor="text1"/>
          <w:sz w:val="20"/>
          <w:szCs w:val="20"/>
        </w:rPr>
        <w:fldChar w:fldCharType="end"/>
      </w:r>
      <w:bookmarkEnd w:id="81"/>
      <w:r w:rsidRPr="008F6866">
        <w:rPr>
          <w:b/>
          <w:i w:val="0"/>
          <w:color w:val="000000" w:themeColor="text1"/>
          <w:sz w:val="20"/>
          <w:szCs w:val="20"/>
        </w:rPr>
        <w:t>. Comparison of measurements of seedling (a) collar diameter increment and (b) terminal shoot increment among years and treatments. Different letters indicate statistically significant differences (P ≤ 0.05)</w:t>
      </w:r>
    </w:p>
    <w:p w14:paraId="73DBC4A0" w14:textId="77777777" w:rsidR="005B111B" w:rsidRPr="005B111B" w:rsidRDefault="005B111B" w:rsidP="005B111B">
      <w:pPr>
        <w:spacing w:line="300" w:lineRule="auto"/>
        <w:jc w:val="both"/>
        <w:rPr>
          <w:rFonts w:ascii="Calibri" w:eastAsia="Calibri" w:hAnsi="Calibri" w:cs="Calibri"/>
        </w:rPr>
      </w:pPr>
      <w:r w:rsidRPr="005B111B">
        <w:rPr>
          <w:rFonts w:ascii="Calibri" w:eastAsia="Calibri" w:hAnsi="Calibri" w:cs="Calibri"/>
        </w:rPr>
        <w:t>To further investigate and quantify the effects on seedling growth of the different factors considered in this experiment, the following mixed-effect model was fitted for both species:</w:t>
      </w:r>
    </w:p>
    <w:p w14:paraId="664AD66E" w14:textId="67A716D8" w:rsidR="00B94384" w:rsidRDefault="005B111B" w:rsidP="00E95848">
      <w:pPr>
        <w:spacing w:after="0" w:line="300" w:lineRule="auto"/>
        <w:ind w:firstLine="720"/>
        <w:jc w:val="both"/>
        <w:rPr>
          <w:rFonts w:ascii="Calibri" w:eastAsia="Calibri" w:hAnsi="Calibri" w:cs="Calibri"/>
        </w:rPr>
      </w:pPr>
      <w:r w:rsidRPr="005B111B">
        <w:rPr>
          <w:rFonts w:ascii="Calibri" w:eastAsia="Calibri" w:hAnsi="Calibri" w:cs="Calibri"/>
          <w:i/>
          <w:iCs/>
        </w:rPr>
        <w:t>iShoot</w:t>
      </w:r>
      <w:r w:rsidRPr="005B111B">
        <w:rPr>
          <w:rFonts w:ascii="Calibri" w:eastAsia="Calibri" w:hAnsi="Calibri" w:cs="Calibri"/>
          <w:i/>
          <w:iCs/>
          <w:vertAlign w:val="subscript"/>
        </w:rPr>
        <w:t>resid</w:t>
      </w:r>
      <w:r w:rsidRPr="005B111B">
        <w:rPr>
          <w:rFonts w:ascii="Calibri" w:eastAsia="Calibri" w:hAnsi="Calibri" w:cs="Calibri"/>
        </w:rPr>
        <w:t xml:space="preserve"> ~ </w:t>
      </w:r>
      <w:r w:rsidRPr="005B111B">
        <w:rPr>
          <w:rFonts w:ascii="Calibri" w:eastAsia="Calibri" w:hAnsi="Calibri" w:cs="Calibri"/>
          <w:i/>
          <w:iCs/>
        </w:rPr>
        <w:t>SWC</w:t>
      </w:r>
      <w:r w:rsidRPr="005B111B">
        <w:rPr>
          <w:rFonts w:ascii="Calibri" w:eastAsia="Calibri" w:hAnsi="Calibri" w:cs="Calibri"/>
          <w:i/>
          <w:iCs/>
          <w:vertAlign w:val="subscript"/>
        </w:rPr>
        <w:t>growing</w:t>
      </w:r>
      <w:r w:rsidRPr="005B111B">
        <w:rPr>
          <w:rFonts w:ascii="Calibri" w:eastAsia="Calibri" w:hAnsi="Calibri" w:cs="Calibri"/>
        </w:rPr>
        <w:t xml:space="preserve"> + </w:t>
      </w:r>
      <w:r w:rsidRPr="005B111B">
        <w:rPr>
          <w:rFonts w:ascii="Calibri" w:eastAsia="Calibri" w:hAnsi="Calibri" w:cs="Calibri"/>
          <w:i/>
          <w:iCs/>
        </w:rPr>
        <w:t>Treat</w:t>
      </w:r>
      <w:r w:rsidRPr="005B111B">
        <w:rPr>
          <w:rFonts w:ascii="Calibri" w:eastAsia="Calibri" w:hAnsi="Calibri" w:cs="Calibri"/>
        </w:rPr>
        <w:t xml:space="preserve"> + </w:t>
      </w:r>
      <w:r w:rsidRPr="005B111B">
        <w:rPr>
          <w:rFonts w:ascii="Calibri" w:eastAsia="Calibri" w:hAnsi="Calibri" w:cs="Calibri"/>
          <w:i/>
          <w:iCs/>
        </w:rPr>
        <w:t>Zone</w:t>
      </w:r>
      <w:r w:rsidRPr="005B111B">
        <w:rPr>
          <w:rFonts w:ascii="Calibri" w:eastAsia="Calibri" w:hAnsi="Calibri" w:cs="Calibri"/>
        </w:rPr>
        <w:t xml:space="preserve"> + </w:t>
      </w:r>
      <w:r w:rsidRPr="005B111B">
        <w:rPr>
          <w:rFonts w:ascii="Calibri" w:eastAsia="Calibri" w:hAnsi="Calibri" w:cs="Calibri"/>
          <w:i/>
          <w:iCs/>
        </w:rPr>
        <w:t>SWC</w:t>
      </w:r>
      <w:r w:rsidRPr="005B111B">
        <w:rPr>
          <w:rFonts w:ascii="Calibri" w:eastAsia="Calibri" w:hAnsi="Calibri" w:cs="Calibri"/>
          <w:i/>
          <w:iCs/>
          <w:vertAlign w:val="subscript"/>
        </w:rPr>
        <w:t>growing</w:t>
      </w:r>
      <w:r w:rsidRPr="005B111B">
        <w:rPr>
          <w:rFonts w:ascii="Calibri" w:eastAsia="Calibri" w:hAnsi="Calibri" w:cs="Calibri"/>
        </w:rPr>
        <w:t xml:space="preserve"> x </w:t>
      </w:r>
      <w:r w:rsidRPr="005B111B">
        <w:rPr>
          <w:rFonts w:ascii="Calibri" w:eastAsia="Calibri" w:hAnsi="Calibri" w:cs="Calibri"/>
          <w:i/>
          <w:iCs/>
        </w:rPr>
        <w:t>Treat</w:t>
      </w:r>
      <w:r w:rsidRPr="005B111B">
        <w:rPr>
          <w:rFonts w:ascii="Calibri" w:eastAsia="Calibri" w:hAnsi="Calibri" w:cs="Calibri"/>
        </w:rPr>
        <w:t xml:space="preserve"> + </w:t>
      </w:r>
      <w:r w:rsidRPr="005B111B">
        <w:rPr>
          <w:rFonts w:ascii="Calibri" w:eastAsia="Calibri" w:hAnsi="Calibri" w:cs="Calibri"/>
          <w:i/>
          <w:iCs/>
        </w:rPr>
        <w:t>SWC</w:t>
      </w:r>
      <w:r w:rsidRPr="005B111B">
        <w:rPr>
          <w:rFonts w:ascii="Calibri" w:eastAsia="Calibri" w:hAnsi="Calibri" w:cs="Calibri"/>
          <w:i/>
          <w:iCs/>
          <w:vertAlign w:val="subscript"/>
        </w:rPr>
        <w:t>growing</w:t>
      </w:r>
      <w:r w:rsidRPr="005B111B">
        <w:rPr>
          <w:rFonts w:ascii="Calibri" w:eastAsia="Calibri" w:hAnsi="Calibri" w:cs="Calibri"/>
        </w:rPr>
        <w:t xml:space="preserve"> x </w:t>
      </w:r>
      <w:r w:rsidRPr="005B111B">
        <w:rPr>
          <w:rFonts w:ascii="Calibri" w:eastAsia="Calibri" w:hAnsi="Calibri" w:cs="Calibri"/>
          <w:i/>
          <w:iCs/>
        </w:rPr>
        <w:t>Zone</w:t>
      </w:r>
      <w:r w:rsidRPr="005B111B">
        <w:rPr>
          <w:rFonts w:ascii="Calibri" w:eastAsia="Calibri" w:hAnsi="Calibri" w:cs="Calibri"/>
        </w:rPr>
        <w:t xml:space="preserve"> + </w:t>
      </w:r>
      <w:r w:rsidRPr="005B111B">
        <w:rPr>
          <w:rFonts w:ascii="Calibri" w:eastAsia="Calibri" w:hAnsi="Calibri" w:cs="Calibri"/>
          <w:i/>
          <w:iCs/>
        </w:rPr>
        <w:t>Treat</w:t>
      </w:r>
      <w:r w:rsidRPr="005B111B">
        <w:rPr>
          <w:rFonts w:ascii="Calibri" w:eastAsia="Calibri" w:hAnsi="Calibri" w:cs="Calibri"/>
        </w:rPr>
        <w:t xml:space="preserve"> x </w:t>
      </w:r>
      <w:r w:rsidRPr="005B111B">
        <w:rPr>
          <w:rFonts w:ascii="Calibri" w:eastAsia="Calibri" w:hAnsi="Calibri" w:cs="Calibri"/>
          <w:i/>
          <w:iCs/>
        </w:rPr>
        <w:t>Zone</w:t>
      </w:r>
      <w:r w:rsidRPr="005B111B">
        <w:rPr>
          <w:rFonts w:ascii="Calibri" w:eastAsia="Calibri" w:hAnsi="Calibri" w:cs="Calibri"/>
        </w:rPr>
        <w:t xml:space="preserve"> + </w:t>
      </w:r>
    </w:p>
    <w:p w14:paraId="5113318C" w14:textId="53D20383" w:rsidR="005B111B" w:rsidRPr="005B111B" w:rsidRDefault="005B111B" w:rsidP="00E95848">
      <w:pPr>
        <w:spacing w:line="300" w:lineRule="auto"/>
        <w:ind w:left="1440" w:firstLine="720"/>
        <w:jc w:val="both"/>
        <w:rPr>
          <w:rFonts w:ascii="Calibri" w:eastAsia="Calibri" w:hAnsi="Calibri" w:cs="Calibri"/>
        </w:rPr>
      </w:pPr>
      <w:r w:rsidRPr="005B111B">
        <w:rPr>
          <w:rFonts w:ascii="Calibri" w:eastAsia="Calibri" w:hAnsi="Calibri" w:cs="Calibri"/>
          <w:i/>
          <w:iCs/>
        </w:rPr>
        <w:t>SWC</w:t>
      </w:r>
      <w:r w:rsidRPr="005B111B">
        <w:rPr>
          <w:rFonts w:ascii="Calibri" w:eastAsia="Calibri" w:hAnsi="Calibri" w:cs="Calibri"/>
          <w:i/>
          <w:iCs/>
          <w:vertAlign w:val="subscript"/>
        </w:rPr>
        <w:t>growing</w:t>
      </w:r>
      <w:r w:rsidRPr="005B111B">
        <w:rPr>
          <w:rFonts w:ascii="Calibri" w:eastAsia="Calibri" w:hAnsi="Calibri" w:cs="Calibri"/>
        </w:rPr>
        <w:t xml:space="preserve"> x </w:t>
      </w:r>
      <w:r w:rsidRPr="005B111B">
        <w:rPr>
          <w:rFonts w:ascii="Calibri" w:eastAsia="Calibri" w:hAnsi="Calibri" w:cs="Calibri"/>
          <w:i/>
          <w:iCs/>
        </w:rPr>
        <w:t>Treat</w:t>
      </w:r>
      <w:r w:rsidRPr="005B111B">
        <w:rPr>
          <w:rFonts w:ascii="Calibri" w:eastAsia="Calibri" w:hAnsi="Calibri" w:cs="Calibri"/>
        </w:rPr>
        <w:t xml:space="preserve"> x </w:t>
      </w:r>
      <w:r w:rsidRPr="005B111B">
        <w:rPr>
          <w:rFonts w:ascii="Calibri" w:eastAsia="Calibri" w:hAnsi="Calibri" w:cs="Calibri"/>
          <w:i/>
          <w:iCs/>
        </w:rPr>
        <w:t>Zone</w:t>
      </w:r>
      <w:r w:rsidRPr="005B111B">
        <w:rPr>
          <w:rFonts w:ascii="Calibri" w:eastAsia="Calibri" w:hAnsi="Calibri" w:cs="Calibri"/>
        </w:rPr>
        <w:t xml:space="preserve"> + </w:t>
      </w:r>
      <w:r w:rsidRPr="005B111B">
        <w:rPr>
          <w:rFonts w:ascii="Calibri" w:eastAsia="Calibri" w:hAnsi="Calibri" w:cs="Calibri"/>
          <w:i/>
          <w:iCs/>
        </w:rPr>
        <w:t>α</w:t>
      </w:r>
      <w:r w:rsidRPr="005B111B">
        <w:rPr>
          <w:rFonts w:ascii="Calibri" w:eastAsia="Calibri" w:hAnsi="Calibri" w:cs="Calibri"/>
        </w:rPr>
        <w:t xml:space="preserve"> + </w:t>
      </w:r>
      <w:r w:rsidRPr="005B111B">
        <w:rPr>
          <w:rFonts w:ascii="Calibri" w:eastAsia="Calibri" w:hAnsi="Calibri" w:cs="Calibri"/>
          <w:i/>
          <w:iCs/>
        </w:rPr>
        <w:t>ε</w:t>
      </w:r>
      <w:r w:rsidRPr="005B111B">
        <w:rPr>
          <w:rFonts w:ascii="Calibri" w:eastAsia="Calibri" w:hAnsi="Calibri" w:cs="Calibri"/>
        </w:rPr>
        <w:t xml:space="preserve"> </w:t>
      </w:r>
      <w:r w:rsidR="00E95848">
        <w:rPr>
          <w:rFonts w:ascii="Calibri" w:eastAsia="Calibri" w:hAnsi="Calibri" w:cs="Calibri"/>
        </w:rPr>
        <w:tab/>
      </w:r>
      <w:r w:rsidR="00E95848">
        <w:rPr>
          <w:rFonts w:ascii="Calibri" w:eastAsia="Calibri" w:hAnsi="Calibri" w:cs="Calibri"/>
        </w:rPr>
        <w:tab/>
      </w:r>
      <w:r w:rsidR="00E95848">
        <w:rPr>
          <w:rFonts w:ascii="Calibri" w:eastAsia="Calibri" w:hAnsi="Calibri" w:cs="Calibri"/>
        </w:rPr>
        <w:tab/>
      </w:r>
      <w:r w:rsidR="00E95848">
        <w:rPr>
          <w:rFonts w:ascii="Calibri" w:eastAsia="Calibri" w:hAnsi="Calibri" w:cs="Calibri"/>
        </w:rPr>
        <w:tab/>
      </w:r>
      <w:r w:rsidR="00E95848">
        <w:rPr>
          <w:rFonts w:ascii="Calibri" w:eastAsia="Calibri" w:hAnsi="Calibri" w:cs="Calibri"/>
        </w:rPr>
        <w:tab/>
      </w:r>
      <w:r w:rsidRPr="005B111B">
        <w:rPr>
          <w:rFonts w:ascii="Calibri" w:eastAsia="Calibri" w:hAnsi="Calibri" w:cs="Calibri"/>
        </w:rPr>
        <w:t>(</w:t>
      </w:r>
      <w:r w:rsidR="00B94384">
        <w:rPr>
          <w:rFonts w:ascii="Calibri" w:eastAsia="Calibri" w:hAnsi="Calibri" w:cs="Calibri"/>
        </w:rPr>
        <w:t>4.13</w:t>
      </w:r>
      <w:r w:rsidRPr="005B111B">
        <w:rPr>
          <w:rFonts w:ascii="Calibri" w:eastAsia="Calibri" w:hAnsi="Calibri" w:cs="Calibri"/>
        </w:rPr>
        <w:t>)</w:t>
      </w:r>
    </w:p>
    <w:p w14:paraId="6860B8C6" w14:textId="58E7C1F4" w:rsidR="005B111B" w:rsidRPr="005B111B" w:rsidRDefault="005B111B" w:rsidP="005B111B">
      <w:pPr>
        <w:spacing w:line="300" w:lineRule="auto"/>
        <w:jc w:val="both"/>
        <w:rPr>
          <w:rFonts w:ascii="Calibri" w:eastAsia="Calibri" w:hAnsi="Calibri" w:cs="Calibri"/>
        </w:rPr>
      </w:pPr>
      <w:r w:rsidRPr="005B111B">
        <w:rPr>
          <w:rFonts w:ascii="Calibri" w:eastAsia="Calibri" w:hAnsi="Calibri" w:cs="Calibri"/>
        </w:rPr>
        <w:t>in which shoot increment is expressed as a function of average soil water content over the growing season (</w:t>
      </w:r>
      <w:r w:rsidR="00EB282E" w:rsidRPr="005B111B">
        <w:rPr>
          <w:rFonts w:ascii="Calibri" w:eastAsia="Calibri" w:hAnsi="Calibri" w:cs="Calibri"/>
          <w:i/>
          <w:iCs/>
        </w:rPr>
        <w:t>SWC</w:t>
      </w:r>
      <w:r w:rsidR="00EB282E" w:rsidRPr="005B111B">
        <w:rPr>
          <w:rFonts w:ascii="Calibri" w:eastAsia="Calibri" w:hAnsi="Calibri" w:cs="Calibri"/>
          <w:i/>
          <w:iCs/>
          <w:vertAlign w:val="subscript"/>
        </w:rPr>
        <w:t>growing</w:t>
      </w:r>
      <w:r w:rsidRPr="005B111B">
        <w:rPr>
          <w:rFonts w:ascii="Calibri" w:eastAsia="Calibri" w:hAnsi="Calibri" w:cs="Calibri"/>
        </w:rPr>
        <w:t>), the treatment (</w:t>
      </w:r>
      <w:r w:rsidRPr="00EB282E">
        <w:rPr>
          <w:rFonts w:ascii="Calibri" w:eastAsia="Calibri" w:hAnsi="Calibri" w:cs="Calibri"/>
          <w:i/>
          <w:iCs/>
        </w:rPr>
        <w:t>Treat</w:t>
      </w:r>
      <w:r w:rsidRPr="005B111B">
        <w:rPr>
          <w:rFonts w:ascii="Calibri" w:eastAsia="Calibri" w:hAnsi="Calibri" w:cs="Calibri"/>
        </w:rPr>
        <w:t xml:space="preserve">: control </w:t>
      </w:r>
      <w:r w:rsidRPr="00EB282E">
        <w:rPr>
          <w:rFonts w:ascii="Calibri" w:eastAsia="Calibri" w:hAnsi="Calibri" w:cs="Calibri"/>
          <w:i/>
          <w:iCs/>
        </w:rPr>
        <w:t>vs</w:t>
      </w:r>
      <w:r w:rsidRPr="005B111B">
        <w:rPr>
          <w:rFonts w:ascii="Calibri" w:eastAsia="Calibri" w:hAnsi="Calibri" w:cs="Calibri"/>
        </w:rPr>
        <w:t xml:space="preserve"> roof units), the experimental zone (</w:t>
      </w:r>
      <w:r w:rsidRPr="00EB282E">
        <w:rPr>
          <w:rFonts w:ascii="Calibri" w:eastAsia="Calibri" w:hAnsi="Calibri" w:cs="Calibri"/>
          <w:i/>
          <w:iCs/>
        </w:rPr>
        <w:t>Zone</w:t>
      </w:r>
      <w:r w:rsidRPr="005B111B">
        <w:rPr>
          <w:rFonts w:ascii="Calibri" w:eastAsia="Calibri" w:hAnsi="Calibri" w:cs="Calibri"/>
        </w:rPr>
        <w:t>) and the seedling individual (</w:t>
      </w:r>
      <w:r w:rsidRPr="00EB282E">
        <w:rPr>
          <w:rFonts w:ascii="Calibri" w:eastAsia="Calibri" w:hAnsi="Calibri" w:cs="Calibri"/>
          <w:i/>
          <w:iCs/>
        </w:rPr>
        <w:t>α</w:t>
      </w:r>
      <w:r w:rsidRPr="005B111B">
        <w:rPr>
          <w:rFonts w:ascii="Calibri" w:eastAsia="Calibri" w:hAnsi="Calibri" w:cs="Calibri"/>
        </w:rPr>
        <w:t>). The three first explanatory variables were set as fixed effects while the seedling individual was considered as random term. In this model, shoot increment corresponds to</w:t>
      </w:r>
    </w:p>
    <w:p w14:paraId="619D79DD" w14:textId="2909D641" w:rsidR="005B111B" w:rsidRPr="005B111B" w:rsidRDefault="005B111B" w:rsidP="005B111B">
      <w:pPr>
        <w:spacing w:line="300" w:lineRule="auto"/>
        <w:jc w:val="both"/>
        <w:rPr>
          <w:rFonts w:ascii="Calibri" w:eastAsia="Calibri" w:hAnsi="Calibri" w:cs="Calibri"/>
        </w:rPr>
      </w:pPr>
      <w:r w:rsidRPr="005B111B">
        <w:rPr>
          <w:rFonts w:ascii="Calibri" w:eastAsia="Calibri" w:hAnsi="Calibri" w:cs="Calibri"/>
        </w:rPr>
        <w:tab/>
      </w:r>
      <w:r w:rsidRPr="004F3146">
        <w:rPr>
          <w:rFonts w:ascii="Calibri" w:eastAsia="Calibri" w:hAnsi="Calibri" w:cs="Calibri"/>
          <w:i/>
          <w:iCs/>
        </w:rPr>
        <w:t>iShoot</w:t>
      </w:r>
      <w:r w:rsidRPr="004F3146">
        <w:rPr>
          <w:rFonts w:ascii="Calibri" w:eastAsia="Calibri" w:hAnsi="Calibri" w:cs="Calibri"/>
          <w:i/>
          <w:iCs/>
          <w:vertAlign w:val="subscript"/>
        </w:rPr>
        <w:t>resid</w:t>
      </w:r>
      <w:r w:rsidRPr="005B111B">
        <w:rPr>
          <w:rFonts w:ascii="Calibri" w:eastAsia="Calibri" w:hAnsi="Calibri" w:cs="Calibri"/>
        </w:rPr>
        <w:t xml:space="preserve"> = </w:t>
      </w:r>
      <w:r w:rsidRPr="004F3146">
        <w:rPr>
          <w:rFonts w:ascii="Calibri" w:eastAsia="Calibri" w:hAnsi="Calibri" w:cs="Calibri"/>
          <w:i/>
          <w:iCs/>
        </w:rPr>
        <w:t>iShoot</w:t>
      </w:r>
      <w:r w:rsidRPr="004F3146">
        <w:rPr>
          <w:rFonts w:ascii="Calibri" w:eastAsia="Calibri" w:hAnsi="Calibri" w:cs="Calibri"/>
          <w:i/>
          <w:iCs/>
          <w:vertAlign w:val="subscript"/>
        </w:rPr>
        <w:t>meas</w:t>
      </w:r>
      <w:r w:rsidRPr="005B111B">
        <w:rPr>
          <w:rFonts w:ascii="Calibri" w:eastAsia="Calibri" w:hAnsi="Calibri" w:cs="Calibri"/>
        </w:rPr>
        <w:t xml:space="preserve"> – </w:t>
      </w:r>
      <w:r w:rsidRPr="004F3146">
        <w:rPr>
          <w:rFonts w:ascii="Calibri" w:eastAsia="Calibri" w:hAnsi="Calibri" w:cs="Calibri"/>
          <w:i/>
          <w:iCs/>
        </w:rPr>
        <w:t>iShoot</w:t>
      </w:r>
      <w:r w:rsidRPr="004F3146">
        <w:rPr>
          <w:rFonts w:ascii="Calibri" w:eastAsia="Calibri" w:hAnsi="Calibri" w:cs="Calibri"/>
          <w:i/>
          <w:iCs/>
          <w:vertAlign w:val="subscript"/>
        </w:rPr>
        <w:t>pred</w:t>
      </w:r>
      <w:r w:rsidRPr="005B111B">
        <w:rPr>
          <w:rFonts w:ascii="Calibri" w:eastAsia="Calibri" w:hAnsi="Calibri" w:cs="Calibri"/>
        </w:rPr>
        <w:t xml:space="preserve"> </w:t>
      </w:r>
      <w:r w:rsidR="004F3146">
        <w:rPr>
          <w:rFonts w:ascii="Calibri" w:eastAsia="Calibri" w:hAnsi="Calibri" w:cs="Calibri"/>
        </w:rPr>
        <w:tab/>
      </w:r>
      <w:r w:rsidR="004F3146">
        <w:rPr>
          <w:rFonts w:ascii="Calibri" w:eastAsia="Calibri" w:hAnsi="Calibri" w:cs="Calibri"/>
        </w:rPr>
        <w:tab/>
      </w:r>
      <w:r w:rsidR="004F3146">
        <w:rPr>
          <w:rFonts w:ascii="Calibri" w:eastAsia="Calibri" w:hAnsi="Calibri" w:cs="Calibri"/>
        </w:rPr>
        <w:tab/>
      </w:r>
      <w:r w:rsidR="004F3146">
        <w:rPr>
          <w:rFonts w:ascii="Calibri" w:eastAsia="Calibri" w:hAnsi="Calibri" w:cs="Calibri"/>
        </w:rPr>
        <w:tab/>
      </w:r>
      <w:r w:rsidR="004F3146">
        <w:rPr>
          <w:rFonts w:ascii="Calibri" w:eastAsia="Calibri" w:hAnsi="Calibri" w:cs="Calibri"/>
        </w:rPr>
        <w:tab/>
      </w:r>
      <w:r w:rsidR="004F3146">
        <w:rPr>
          <w:rFonts w:ascii="Calibri" w:eastAsia="Calibri" w:hAnsi="Calibri" w:cs="Calibri"/>
        </w:rPr>
        <w:tab/>
      </w:r>
      <w:r w:rsidRPr="005B111B">
        <w:rPr>
          <w:rFonts w:ascii="Calibri" w:eastAsia="Calibri" w:hAnsi="Calibri" w:cs="Calibri"/>
        </w:rPr>
        <w:t>(</w:t>
      </w:r>
      <w:r w:rsidR="004F3146">
        <w:rPr>
          <w:rFonts w:ascii="Calibri" w:eastAsia="Calibri" w:hAnsi="Calibri" w:cs="Calibri"/>
        </w:rPr>
        <w:t>4.14</w:t>
      </w:r>
      <w:r w:rsidRPr="005B111B">
        <w:rPr>
          <w:rFonts w:ascii="Calibri" w:eastAsia="Calibri" w:hAnsi="Calibri" w:cs="Calibri"/>
        </w:rPr>
        <w:t>)</w:t>
      </w:r>
    </w:p>
    <w:p w14:paraId="71590FBD" w14:textId="07843805" w:rsidR="005B111B" w:rsidRPr="005B111B" w:rsidRDefault="005B111B" w:rsidP="005B111B">
      <w:pPr>
        <w:spacing w:line="300" w:lineRule="auto"/>
        <w:jc w:val="both"/>
        <w:rPr>
          <w:rFonts w:ascii="Calibri" w:eastAsia="Calibri" w:hAnsi="Calibri" w:cs="Calibri"/>
        </w:rPr>
      </w:pPr>
      <w:r w:rsidRPr="005B111B">
        <w:rPr>
          <w:rFonts w:ascii="Calibri" w:eastAsia="Calibri" w:hAnsi="Calibri" w:cs="Calibri"/>
        </w:rPr>
        <w:lastRenderedPageBreak/>
        <w:t xml:space="preserve">with </w:t>
      </w:r>
      <w:r w:rsidRPr="004F3146">
        <w:rPr>
          <w:rFonts w:ascii="Calibri" w:eastAsia="Calibri" w:hAnsi="Calibri" w:cs="Calibri"/>
          <w:i/>
          <w:iCs/>
        </w:rPr>
        <w:t>iShoot</w:t>
      </w:r>
      <w:r w:rsidRPr="004F3146">
        <w:rPr>
          <w:rFonts w:ascii="Calibri" w:eastAsia="Calibri" w:hAnsi="Calibri" w:cs="Calibri"/>
          <w:i/>
          <w:iCs/>
          <w:vertAlign w:val="subscript"/>
        </w:rPr>
        <w:t>meas</w:t>
      </w:r>
      <w:r w:rsidRPr="005B111B">
        <w:rPr>
          <w:rFonts w:ascii="Calibri" w:eastAsia="Calibri" w:hAnsi="Calibri" w:cs="Calibri"/>
        </w:rPr>
        <w:t xml:space="preserve"> being the measured yearly shoot increment and </w:t>
      </w:r>
      <w:r w:rsidRPr="004F3146">
        <w:rPr>
          <w:rFonts w:ascii="Calibri" w:eastAsia="Calibri" w:hAnsi="Calibri" w:cs="Calibri"/>
          <w:i/>
          <w:iCs/>
        </w:rPr>
        <w:t>iShoot</w:t>
      </w:r>
      <w:r w:rsidRPr="004F3146">
        <w:rPr>
          <w:rFonts w:ascii="Calibri" w:eastAsia="Calibri" w:hAnsi="Calibri" w:cs="Calibri"/>
          <w:i/>
          <w:iCs/>
          <w:vertAlign w:val="subscript"/>
        </w:rPr>
        <w:t>pred</w:t>
      </w:r>
      <w:r w:rsidRPr="005B111B">
        <w:rPr>
          <w:rFonts w:ascii="Calibri" w:eastAsia="Calibri" w:hAnsi="Calibri" w:cs="Calibri"/>
        </w:rPr>
        <w:t xml:space="preserve"> is the yearly increment predicted based on the relationship established for each species by</w:t>
      </w:r>
      <w:r w:rsidR="000D3638">
        <w:rPr>
          <w:rFonts w:ascii="Calibri" w:eastAsia="Calibri" w:hAnsi="Calibri" w:cs="Calibri"/>
        </w:rPr>
        <w:t xml:space="preserve"> </w:t>
      </w:r>
      <w:r w:rsidR="001F0441">
        <w:rPr>
          <w:rFonts w:ascii="Calibri" w:eastAsia="Calibri" w:hAnsi="Calibri" w:cs="Calibri"/>
        </w:rPr>
        <w:fldChar w:fldCharType="begin"/>
      </w:r>
      <w:r w:rsidR="001F0441">
        <w:rPr>
          <w:rFonts w:ascii="Calibri" w:eastAsia="Calibri" w:hAnsi="Calibri" w:cs="Calibri"/>
        </w:rPr>
        <w:instrText xml:space="preserve"> ADDIN EN.CITE &lt;EndNote&gt;&lt;Cite AuthorYear="1"&gt;&lt;Author&gt;Ligot&lt;/Author&gt;&lt;Year&gt;2013&lt;/Year&gt;&lt;RecNum&gt;19&lt;/RecNum&gt;&lt;DisplayText&gt;Ligot&lt;style face="italic"&gt; et al.&lt;/style&gt; (2013a)&lt;/DisplayText&gt;&lt;record&gt;&lt;rec-number&gt;19&lt;/rec-number&gt;&lt;foreign-keys&gt;&lt;key app="EN" db-id="0px2fzdxhrpdrre2w5f5pdryx90atadrdavt" timestamp="1537786013"&gt;19&lt;/key&gt;&lt;/foreign-keys&gt;&lt;ref-type name="Journal Article"&gt;17&lt;/ref-type&gt;&lt;contributors&gt;&lt;authors&gt;&lt;author&gt;Ligot, Gauthier&lt;/author&gt;&lt;author&gt;Balandier, Philippe&lt;/author&gt;&lt;author&gt;Fayolle, Adeline&lt;/author&gt;&lt;author&gt;Lejeune, Philippe&lt;/author&gt;&lt;author&gt;Claessens, Hugues&lt;/author&gt;&lt;/authors&gt;&lt;/contributors&gt;&lt;titles&gt;&lt;title&gt;Height competition between Quercus petraea and Fagus sylvatica natural regeneration in mixed and uneven-aged stands&lt;/title&gt;&lt;secondary-title&gt;Forest Ecology and Management&lt;/secondary-title&gt;&lt;/titles&gt;&lt;periodical&gt;&lt;full-title&gt;Forest Ecology and Management&lt;/full-title&gt;&lt;/periodical&gt;&lt;pages&gt;391-398&lt;/pages&gt;&lt;volume&gt;304&lt;/volume&gt;&lt;keywords&gt;&lt;keyword&gt;Regeneration&lt;/keyword&gt;&lt;keyword&gt;Shade tolerance&lt;/keyword&gt;&lt;keyword&gt;Uneven-aged mixed deciduous stand&lt;/keyword&gt;&lt;keyword&gt;Forest dynamic&lt;/keyword&gt;&lt;keyword&gt;Continuous-cover forestry&lt;/keyword&gt;&lt;keyword&gt;Light&lt;/keyword&gt;&lt;/keywords&gt;&lt;dates&gt;&lt;year&gt;2013&lt;/year&gt;&lt;/dates&gt;&lt;isbn&gt;0378-1127&lt;/isbn&gt;&lt;label&gt;Ligot13a&lt;/label&gt;&lt;urls&gt;&lt;related-urls&gt;&lt;url&gt;http://www.sciencedirect.com/science/article/pii/S0378112713003496&lt;/url&gt;&lt;/related-urls&gt;&lt;/urls&gt;&lt;electronic-resource-num&gt;https://doi.org/10.1016/j.foreco.2013.05.050&lt;/electronic-resource-num&gt;&lt;/record&gt;&lt;/Cite&gt;&lt;/EndNote&gt;</w:instrText>
      </w:r>
      <w:r w:rsidR="001F0441">
        <w:rPr>
          <w:rFonts w:ascii="Calibri" w:eastAsia="Calibri" w:hAnsi="Calibri" w:cs="Calibri"/>
        </w:rPr>
        <w:fldChar w:fldCharType="separate"/>
      </w:r>
      <w:r w:rsidR="001F0441">
        <w:rPr>
          <w:rFonts w:ascii="Calibri" w:eastAsia="Calibri" w:hAnsi="Calibri" w:cs="Calibri"/>
          <w:noProof/>
        </w:rPr>
        <w:t>Ligot</w:t>
      </w:r>
      <w:r w:rsidR="001F0441" w:rsidRPr="001F0441">
        <w:rPr>
          <w:rFonts w:ascii="Calibri" w:eastAsia="Calibri" w:hAnsi="Calibri" w:cs="Calibri"/>
          <w:i/>
          <w:noProof/>
        </w:rPr>
        <w:t xml:space="preserve"> et al.</w:t>
      </w:r>
      <w:r w:rsidR="001F0441">
        <w:rPr>
          <w:rFonts w:ascii="Calibri" w:eastAsia="Calibri" w:hAnsi="Calibri" w:cs="Calibri"/>
          <w:noProof/>
        </w:rPr>
        <w:t xml:space="preserve"> (2013a)</w:t>
      </w:r>
      <w:r w:rsidR="001F0441">
        <w:rPr>
          <w:rFonts w:ascii="Calibri" w:eastAsia="Calibri" w:hAnsi="Calibri" w:cs="Calibri"/>
        </w:rPr>
        <w:fldChar w:fldCharType="end"/>
      </w:r>
      <w:r w:rsidRPr="005B111B">
        <w:rPr>
          <w:rFonts w:ascii="Calibri" w:eastAsia="Calibri" w:hAnsi="Calibri" w:cs="Calibri"/>
        </w:rPr>
        <w:t>, relating seedling height growth to the percentage of above canopy light at the seedling level (</w:t>
      </w:r>
      <w:r w:rsidRPr="00584CAC">
        <w:rPr>
          <w:rFonts w:ascii="Calibri" w:eastAsia="Calibri" w:hAnsi="Calibri" w:cs="Calibri"/>
          <w:i/>
          <w:iCs/>
        </w:rPr>
        <w:t>PACL</w:t>
      </w:r>
      <w:r w:rsidRPr="005B111B">
        <w:rPr>
          <w:rFonts w:ascii="Calibri" w:eastAsia="Calibri" w:hAnsi="Calibri" w:cs="Calibri"/>
        </w:rPr>
        <w:t xml:space="preserve">) and the seedling total height. This transformation removed from the data the effects on seedling growth of individual size and of differences in light levels between experimental units and zones. Thereby, a positive </w:t>
      </w:r>
      <w:r w:rsidR="00965C92" w:rsidRPr="004F3146">
        <w:rPr>
          <w:rFonts w:ascii="Calibri" w:eastAsia="Calibri" w:hAnsi="Calibri" w:cs="Calibri"/>
          <w:i/>
          <w:iCs/>
        </w:rPr>
        <w:t>iShoot</w:t>
      </w:r>
      <w:r w:rsidR="00965C92" w:rsidRPr="004F3146">
        <w:rPr>
          <w:rFonts w:ascii="Calibri" w:eastAsia="Calibri" w:hAnsi="Calibri" w:cs="Calibri"/>
          <w:i/>
          <w:iCs/>
          <w:vertAlign w:val="subscript"/>
        </w:rPr>
        <w:t>resid</w:t>
      </w:r>
      <w:r w:rsidRPr="005B111B">
        <w:rPr>
          <w:rFonts w:ascii="Calibri" w:eastAsia="Calibri" w:hAnsi="Calibri" w:cs="Calibri"/>
        </w:rPr>
        <w:t xml:space="preserve"> value would indicate an observed above-average increment, and inversely for a negative </w:t>
      </w:r>
      <w:r w:rsidR="00965C92" w:rsidRPr="004F3146">
        <w:rPr>
          <w:rFonts w:ascii="Calibri" w:eastAsia="Calibri" w:hAnsi="Calibri" w:cs="Calibri"/>
          <w:i/>
          <w:iCs/>
        </w:rPr>
        <w:t>iShoot</w:t>
      </w:r>
      <w:r w:rsidR="00965C92" w:rsidRPr="004F3146">
        <w:rPr>
          <w:rFonts w:ascii="Calibri" w:eastAsia="Calibri" w:hAnsi="Calibri" w:cs="Calibri"/>
          <w:i/>
          <w:iCs/>
          <w:vertAlign w:val="subscript"/>
        </w:rPr>
        <w:t>resid</w:t>
      </w:r>
      <w:r w:rsidR="00965C92" w:rsidRPr="005B111B">
        <w:rPr>
          <w:rFonts w:ascii="Calibri" w:eastAsia="Calibri" w:hAnsi="Calibri" w:cs="Calibri"/>
        </w:rPr>
        <w:t xml:space="preserve"> </w:t>
      </w:r>
      <w:r w:rsidRPr="005B111B">
        <w:rPr>
          <w:rFonts w:ascii="Calibri" w:eastAsia="Calibri" w:hAnsi="Calibri" w:cs="Calibri"/>
        </w:rPr>
        <w:t>value.  Transmitted radiation, determined from the hemispherical photographs</w:t>
      </w:r>
      <w:r w:rsidR="0023495C">
        <w:rPr>
          <w:rFonts w:ascii="Calibri" w:eastAsia="Calibri" w:hAnsi="Calibri" w:cs="Calibri"/>
        </w:rPr>
        <w:t xml:space="preserve"> </w:t>
      </w:r>
      <w:r w:rsidR="0023495C" w:rsidRPr="007B5346">
        <w:rPr>
          <w:rFonts w:ascii="Calibri" w:eastAsia="Calibri" w:hAnsi="Calibri" w:cs="Calibri"/>
        </w:rPr>
        <w:t xml:space="preserve">(see </w:t>
      </w:r>
      <w:r w:rsidR="007B5346" w:rsidRPr="007B5346">
        <w:rPr>
          <w:rFonts w:ascii="Calibri" w:eastAsia="Calibri" w:hAnsi="Calibri" w:cs="Calibri"/>
        </w:rPr>
        <w:fldChar w:fldCharType="begin"/>
      </w:r>
      <w:r w:rsidR="007B5346" w:rsidRPr="007B5346">
        <w:rPr>
          <w:rFonts w:ascii="Calibri" w:eastAsia="Calibri" w:hAnsi="Calibri" w:cs="Calibri"/>
        </w:rPr>
        <w:instrText xml:space="preserve"> REF _Ref195650064 \h  \* MERGEFORMAT </w:instrText>
      </w:r>
      <w:r w:rsidR="007B5346" w:rsidRPr="007B5346">
        <w:rPr>
          <w:rFonts w:ascii="Calibri" w:eastAsia="Calibri" w:hAnsi="Calibri" w:cs="Calibri"/>
        </w:rPr>
      </w:r>
      <w:r w:rsidR="007B5346" w:rsidRPr="007B5346">
        <w:rPr>
          <w:rFonts w:ascii="Calibri" w:eastAsia="Calibri" w:hAnsi="Calibri" w:cs="Calibri"/>
        </w:rPr>
        <w:fldChar w:fldCharType="separate"/>
      </w:r>
      <w:r w:rsidR="007B5346" w:rsidRPr="007B5346">
        <w:rPr>
          <w:color w:val="000000" w:themeColor="text1"/>
        </w:rPr>
        <w:t xml:space="preserve">Figure </w:t>
      </w:r>
      <w:r w:rsidR="007B5346" w:rsidRPr="007B5346">
        <w:rPr>
          <w:noProof/>
          <w:color w:val="000000" w:themeColor="text1"/>
        </w:rPr>
        <w:t>24</w:t>
      </w:r>
      <w:r w:rsidR="007B5346" w:rsidRPr="007B5346">
        <w:rPr>
          <w:rFonts w:ascii="Calibri" w:eastAsia="Calibri" w:hAnsi="Calibri" w:cs="Calibri"/>
        </w:rPr>
        <w:fldChar w:fldCharType="end"/>
      </w:r>
      <w:r w:rsidR="007B5346" w:rsidRPr="007B5346">
        <w:rPr>
          <w:rFonts w:ascii="Calibri" w:eastAsia="Calibri" w:hAnsi="Calibri" w:cs="Calibri"/>
        </w:rPr>
        <w:t>(a))</w:t>
      </w:r>
      <w:r w:rsidRPr="007B5346">
        <w:rPr>
          <w:rFonts w:ascii="Calibri" w:eastAsia="Calibri" w:hAnsi="Calibri" w:cs="Calibri"/>
        </w:rPr>
        <w:t>,</w:t>
      </w:r>
      <w:r w:rsidRPr="005B111B">
        <w:rPr>
          <w:rFonts w:ascii="Calibri" w:eastAsia="Calibri" w:hAnsi="Calibri" w:cs="Calibri"/>
        </w:rPr>
        <w:t xml:space="preserve"> was used as </w:t>
      </w:r>
      <w:r w:rsidRPr="00584CAC">
        <w:rPr>
          <w:rFonts w:ascii="Calibri" w:eastAsia="Calibri" w:hAnsi="Calibri" w:cs="Calibri"/>
          <w:i/>
          <w:iCs/>
        </w:rPr>
        <w:t>PACL</w:t>
      </w:r>
      <w:r w:rsidRPr="005B111B">
        <w:rPr>
          <w:rFonts w:ascii="Calibri" w:eastAsia="Calibri" w:hAnsi="Calibri" w:cs="Calibri"/>
        </w:rPr>
        <w:t xml:space="preserve"> values in</w:t>
      </w:r>
      <w:r w:rsidR="00503A92">
        <w:rPr>
          <w:rFonts w:ascii="Calibri" w:eastAsia="Calibri" w:hAnsi="Calibri" w:cs="Calibri"/>
        </w:rPr>
        <w:t xml:space="preserve"> </w:t>
      </w:r>
      <w:r w:rsidR="00503A92">
        <w:rPr>
          <w:rFonts w:ascii="Calibri" w:eastAsia="Calibri" w:hAnsi="Calibri" w:cs="Calibri"/>
        </w:rPr>
        <w:fldChar w:fldCharType="begin"/>
      </w:r>
      <w:r w:rsidR="00503A92">
        <w:rPr>
          <w:rFonts w:ascii="Calibri" w:eastAsia="Calibri" w:hAnsi="Calibri" w:cs="Calibri"/>
        </w:rPr>
        <w:instrText xml:space="preserve"> ADDIN EN.CITE &lt;EndNote&gt;&lt;Cite AuthorYear="1"&gt;&lt;Author&gt;Ligot&lt;/Author&gt;&lt;Year&gt;2013&lt;/Year&gt;&lt;RecNum&gt;19&lt;/RecNum&gt;&lt;DisplayText&gt;Ligot&lt;style face="italic"&gt; et al.&lt;/style&gt; (2013a)&lt;/DisplayText&gt;&lt;record&gt;&lt;rec-number&gt;19&lt;/rec-number&gt;&lt;foreign-keys&gt;&lt;key app="EN" db-id="0px2fzdxhrpdrre2w5f5pdryx90atadrdavt" timestamp="1537786013"&gt;19&lt;/key&gt;&lt;/foreign-keys&gt;&lt;ref-type name="Journal Article"&gt;17&lt;/ref-type&gt;&lt;contributors&gt;&lt;authors&gt;&lt;author&gt;Ligot, Gauthier&lt;/author&gt;&lt;author&gt;Balandier, Philippe&lt;/author&gt;&lt;author&gt;Fayolle, Adeline&lt;/author&gt;&lt;author&gt;Lejeune, Philippe&lt;/author&gt;&lt;author&gt;Claessens, Hugues&lt;/author&gt;&lt;/authors&gt;&lt;/contributors&gt;&lt;titles&gt;&lt;title&gt;Height competition between Quercus petraea and Fagus sylvatica natural regeneration in mixed and uneven-aged stands&lt;/title&gt;&lt;secondary-title&gt;Forest Ecology and Management&lt;/secondary-title&gt;&lt;/titles&gt;&lt;periodical&gt;&lt;full-title&gt;Forest Ecology and Management&lt;/full-title&gt;&lt;/periodical&gt;&lt;pages&gt;391-398&lt;/pages&gt;&lt;volume&gt;304&lt;/volume&gt;&lt;keywords&gt;&lt;keyword&gt;Regeneration&lt;/keyword&gt;&lt;keyword&gt;Shade tolerance&lt;/keyword&gt;&lt;keyword&gt;Uneven-aged mixed deciduous stand&lt;/keyword&gt;&lt;keyword&gt;Forest dynamic&lt;/keyword&gt;&lt;keyword&gt;Continuous-cover forestry&lt;/keyword&gt;&lt;keyword&gt;Light&lt;/keyword&gt;&lt;/keywords&gt;&lt;dates&gt;&lt;year&gt;2013&lt;/year&gt;&lt;/dates&gt;&lt;isbn&gt;0378-1127&lt;/isbn&gt;&lt;label&gt;Ligot13a&lt;/label&gt;&lt;urls&gt;&lt;related-urls&gt;&lt;url&gt;http://www.sciencedirect.com/science/article/pii/S0378112713003496&lt;/url&gt;&lt;/related-urls&gt;&lt;/urls&gt;&lt;electronic-resource-num&gt;https://doi.org/10.1016/j.foreco.2013.05.050&lt;/electronic-resource-num&gt;&lt;/record&gt;&lt;/Cite&gt;&lt;/EndNote&gt;</w:instrText>
      </w:r>
      <w:r w:rsidR="00503A92">
        <w:rPr>
          <w:rFonts w:ascii="Calibri" w:eastAsia="Calibri" w:hAnsi="Calibri" w:cs="Calibri"/>
        </w:rPr>
        <w:fldChar w:fldCharType="separate"/>
      </w:r>
      <w:r w:rsidR="00503A92">
        <w:rPr>
          <w:rFonts w:ascii="Calibri" w:eastAsia="Calibri" w:hAnsi="Calibri" w:cs="Calibri"/>
          <w:noProof/>
        </w:rPr>
        <w:t>Ligot</w:t>
      </w:r>
      <w:r w:rsidR="00503A92" w:rsidRPr="00503A92">
        <w:rPr>
          <w:rFonts w:ascii="Calibri" w:eastAsia="Calibri" w:hAnsi="Calibri" w:cs="Calibri"/>
          <w:i/>
          <w:noProof/>
        </w:rPr>
        <w:t xml:space="preserve"> et al.</w:t>
      </w:r>
      <w:r w:rsidR="00503A92">
        <w:rPr>
          <w:rFonts w:ascii="Calibri" w:eastAsia="Calibri" w:hAnsi="Calibri" w:cs="Calibri"/>
          <w:noProof/>
        </w:rPr>
        <w:t xml:space="preserve"> (2013a)</w:t>
      </w:r>
      <w:r w:rsidR="00503A92">
        <w:rPr>
          <w:rFonts w:ascii="Calibri" w:eastAsia="Calibri" w:hAnsi="Calibri" w:cs="Calibri"/>
        </w:rPr>
        <w:fldChar w:fldCharType="end"/>
      </w:r>
      <w:r w:rsidRPr="005B111B">
        <w:rPr>
          <w:rFonts w:ascii="Calibri" w:eastAsia="Calibri" w:hAnsi="Calibri" w:cs="Calibri"/>
        </w:rPr>
        <w:t xml:space="preserve"> equation.</w:t>
      </w:r>
    </w:p>
    <w:p w14:paraId="2142B2CF" w14:textId="0620970B" w:rsidR="00793BEA" w:rsidRDefault="005B111B" w:rsidP="005B111B">
      <w:pPr>
        <w:spacing w:line="300" w:lineRule="auto"/>
        <w:jc w:val="both"/>
        <w:rPr>
          <w:rFonts w:ascii="Calibri" w:eastAsia="Calibri" w:hAnsi="Calibri" w:cs="Calibri"/>
        </w:rPr>
      </w:pPr>
      <w:r w:rsidRPr="005B111B">
        <w:rPr>
          <w:rFonts w:ascii="Calibri" w:eastAsia="Calibri" w:hAnsi="Calibri" w:cs="Calibri"/>
        </w:rPr>
        <w:t>The fitting results are presented in</w:t>
      </w:r>
      <w:r w:rsidR="006532BA">
        <w:rPr>
          <w:rFonts w:ascii="Calibri" w:eastAsia="Calibri" w:hAnsi="Calibri" w:cs="Calibri"/>
        </w:rPr>
        <w:t xml:space="preserve"> </w:t>
      </w:r>
      <w:r w:rsidR="00620A97">
        <w:rPr>
          <w:rFonts w:ascii="Calibri" w:eastAsia="Calibri" w:hAnsi="Calibri" w:cs="Calibri"/>
        </w:rPr>
        <w:fldChar w:fldCharType="begin"/>
      </w:r>
      <w:r w:rsidR="00620A97">
        <w:rPr>
          <w:rFonts w:ascii="Calibri" w:eastAsia="Calibri" w:hAnsi="Calibri" w:cs="Calibri"/>
        </w:rPr>
        <w:instrText xml:space="preserve"> REF _Ref200123828 \h </w:instrText>
      </w:r>
      <w:r w:rsidR="0014449F">
        <w:rPr>
          <w:rFonts w:ascii="Calibri" w:eastAsia="Calibri" w:hAnsi="Calibri" w:cs="Calibri"/>
        </w:rPr>
        <w:instrText xml:space="preserve"> \* MERGEFORMAT </w:instrText>
      </w:r>
      <w:r w:rsidR="00620A97">
        <w:rPr>
          <w:rFonts w:ascii="Calibri" w:eastAsia="Calibri" w:hAnsi="Calibri" w:cs="Calibri"/>
        </w:rPr>
      </w:r>
      <w:r w:rsidR="00620A97">
        <w:rPr>
          <w:rFonts w:ascii="Calibri" w:eastAsia="Calibri" w:hAnsi="Calibri" w:cs="Calibri"/>
        </w:rPr>
        <w:fldChar w:fldCharType="separate"/>
      </w:r>
      <w:r w:rsidR="00620A97" w:rsidRPr="0014449F">
        <w:rPr>
          <w:rFonts w:ascii="Calibri" w:eastAsia="Calibri" w:hAnsi="Calibri" w:cs="Calibri"/>
        </w:rPr>
        <w:t>Figure 26</w:t>
      </w:r>
      <w:r w:rsidR="00620A97">
        <w:rPr>
          <w:rFonts w:ascii="Calibri" w:eastAsia="Calibri" w:hAnsi="Calibri" w:cs="Calibri"/>
        </w:rPr>
        <w:fldChar w:fldCharType="end"/>
      </w:r>
      <w:r w:rsidRPr="005B111B">
        <w:rPr>
          <w:rFonts w:ascii="Calibri" w:eastAsia="Calibri" w:hAnsi="Calibri" w:cs="Calibri"/>
        </w:rPr>
        <w:t xml:space="preserve"> and</w:t>
      </w:r>
      <w:r w:rsidR="00620A97">
        <w:rPr>
          <w:rFonts w:ascii="Calibri" w:eastAsia="Calibri" w:hAnsi="Calibri" w:cs="Calibri"/>
        </w:rPr>
        <w:t xml:space="preserve"> </w:t>
      </w:r>
      <w:r w:rsidR="0014449F">
        <w:rPr>
          <w:rFonts w:ascii="Calibri" w:eastAsia="Calibri" w:hAnsi="Calibri" w:cs="Calibri"/>
        </w:rPr>
        <w:fldChar w:fldCharType="begin"/>
      </w:r>
      <w:r w:rsidR="0014449F">
        <w:rPr>
          <w:rFonts w:ascii="Calibri" w:eastAsia="Calibri" w:hAnsi="Calibri" w:cs="Calibri"/>
        </w:rPr>
        <w:instrText xml:space="preserve"> REF _Ref200123887 \h  \* MERGEFORMAT </w:instrText>
      </w:r>
      <w:r w:rsidR="0014449F">
        <w:rPr>
          <w:rFonts w:ascii="Calibri" w:eastAsia="Calibri" w:hAnsi="Calibri" w:cs="Calibri"/>
        </w:rPr>
      </w:r>
      <w:r w:rsidR="0014449F">
        <w:rPr>
          <w:rFonts w:ascii="Calibri" w:eastAsia="Calibri" w:hAnsi="Calibri" w:cs="Calibri"/>
        </w:rPr>
        <w:fldChar w:fldCharType="separate"/>
      </w:r>
      <w:r w:rsidR="0014449F" w:rsidRPr="0014449F">
        <w:rPr>
          <w:rFonts w:ascii="Calibri" w:eastAsia="Calibri" w:hAnsi="Calibri" w:cs="Calibri"/>
        </w:rPr>
        <w:t>Table XIII</w:t>
      </w:r>
      <w:r w:rsidR="0014449F">
        <w:rPr>
          <w:rFonts w:ascii="Calibri" w:eastAsia="Calibri" w:hAnsi="Calibri" w:cs="Calibri"/>
        </w:rPr>
        <w:fldChar w:fldCharType="end"/>
      </w:r>
      <w:r w:rsidRPr="005B111B">
        <w:rPr>
          <w:rFonts w:ascii="Calibri" w:eastAsia="Calibri" w:hAnsi="Calibri" w:cs="Calibri"/>
        </w:rPr>
        <w:t xml:space="preserve">. For oak, the average soil water content over the growing season showed a positive effect on shoot increment, as indicated by the increasing </w:t>
      </w:r>
      <w:r w:rsidR="0014449F" w:rsidRPr="004F3146">
        <w:rPr>
          <w:rFonts w:ascii="Calibri" w:eastAsia="Calibri" w:hAnsi="Calibri" w:cs="Calibri"/>
          <w:i/>
          <w:iCs/>
        </w:rPr>
        <w:t>iShoot</w:t>
      </w:r>
      <w:r w:rsidR="0014449F" w:rsidRPr="004F3146">
        <w:rPr>
          <w:rFonts w:ascii="Calibri" w:eastAsia="Calibri" w:hAnsi="Calibri" w:cs="Calibri"/>
          <w:i/>
          <w:iCs/>
          <w:vertAlign w:val="subscript"/>
        </w:rPr>
        <w:t>resid</w:t>
      </w:r>
      <w:r w:rsidRPr="005B111B">
        <w:rPr>
          <w:rFonts w:ascii="Calibri" w:eastAsia="Calibri" w:hAnsi="Calibri" w:cs="Calibri"/>
        </w:rPr>
        <w:t xml:space="preserve"> values as </w:t>
      </w:r>
      <w:r w:rsidR="0014449F" w:rsidRPr="005B111B">
        <w:rPr>
          <w:rFonts w:ascii="Calibri" w:eastAsia="Calibri" w:hAnsi="Calibri" w:cs="Calibri"/>
          <w:i/>
          <w:iCs/>
        </w:rPr>
        <w:t>SWC</w:t>
      </w:r>
      <w:r w:rsidR="0014449F" w:rsidRPr="005B111B">
        <w:rPr>
          <w:rFonts w:ascii="Calibri" w:eastAsia="Calibri" w:hAnsi="Calibri" w:cs="Calibri"/>
          <w:i/>
          <w:iCs/>
          <w:vertAlign w:val="subscript"/>
        </w:rPr>
        <w:t>growing</w:t>
      </w:r>
      <w:r w:rsidRPr="005B111B">
        <w:rPr>
          <w:rFonts w:ascii="Calibri" w:eastAsia="Calibri" w:hAnsi="Calibri" w:cs="Calibri"/>
        </w:rPr>
        <w:t xml:space="preserve"> increased. This effect was more pronounced in the treated units than in the control units, suggesting that soil water content had a stronger influence on seedling growth under limited water supply. In addition, for a given soil water content, height growth in the treated units was on average systematically higher than in the control unit. This observation can be interpreted as the result of a protective effect of the roof on the underlying seedlings by maintaining a more favourable microclimate, notably during extreme weather events such as late frosts or heat waves. In other respects, as aforementioned, it may also result from the adaptation of the seedlings under the roofs to drier conditions through the development of roots at greater depths, making them more resilient to drought than the seedlings in the control units. Similar observations apply to beech. In this case, however, the SWC effect was much less marked than for oak and appeared as not significant in the control units. For both species, the treatment and the zone effects accounted for 1% and 4% of the total variability, respectively. Inter-individual variability represented 8% and 12% of the total variability for oak and beech, </w:t>
      </w:r>
      <w:r w:rsidRPr="00C23D86">
        <w:rPr>
          <w:rFonts w:ascii="Calibri" w:eastAsia="Calibri" w:hAnsi="Calibri" w:cs="Calibri"/>
        </w:rPr>
        <w:t>respectively</w:t>
      </w:r>
      <w:r w:rsidR="001F6525" w:rsidRPr="00C23D86">
        <w:rPr>
          <w:rFonts w:ascii="Calibri" w:eastAsia="Calibri" w:hAnsi="Calibri" w:cs="Calibri"/>
        </w:rPr>
        <w:t xml:space="preserve"> (</w:t>
      </w:r>
      <w:r w:rsidR="00C23D86" w:rsidRPr="00C23D86">
        <w:rPr>
          <w:rFonts w:ascii="Calibri" w:eastAsia="Calibri" w:hAnsi="Calibri" w:cs="Calibri"/>
        </w:rPr>
        <w:fldChar w:fldCharType="begin"/>
      </w:r>
      <w:r w:rsidR="00C23D86" w:rsidRPr="00C23D86">
        <w:rPr>
          <w:rFonts w:ascii="Calibri" w:eastAsia="Calibri" w:hAnsi="Calibri" w:cs="Calibri"/>
        </w:rPr>
        <w:instrText xml:space="preserve"> REF _Ref200123887 \h  \* MERGEFORMAT </w:instrText>
      </w:r>
      <w:r w:rsidR="00C23D86" w:rsidRPr="00C23D86">
        <w:rPr>
          <w:rFonts w:ascii="Calibri" w:eastAsia="Calibri" w:hAnsi="Calibri" w:cs="Calibri"/>
        </w:rPr>
      </w:r>
      <w:r w:rsidR="00C23D86" w:rsidRPr="00C23D86">
        <w:rPr>
          <w:rFonts w:ascii="Calibri" w:eastAsia="Calibri" w:hAnsi="Calibri" w:cs="Calibri"/>
        </w:rPr>
        <w:fldChar w:fldCharType="separate"/>
      </w:r>
      <w:r w:rsidR="00C23D86" w:rsidRPr="00C23D86">
        <w:rPr>
          <w:color w:val="000000" w:themeColor="text1"/>
        </w:rPr>
        <w:t xml:space="preserve">Table </w:t>
      </w:r>
      <w:r w:rsidR="00C23D86" w:rsidRPr="00C23D86">
        <w:rPr>
          <w:noProof/>
          <w:color w:val="000000" w:themeColor="text1"/>
        </w:rPr>
        <w:t>XIII</w:t>
      </w:r>
      <w:r w:rsidR="00C23D86" w:rsidRPr="00C23D86">
        <w:rPr>
          <w:rFonts w:ascii="Calibri" w:eastAsia="Calibri" w:hAnsi="Calibri" w:cs="Calibri"/>
        </w:rPr>
        <w:fldChar w:fldCharType="end"/>
      </w:r>
      <w:r w:rsidR="00C23D86" w:rsidRPr="00C23D86">
        <w:rPr>
          <w:rFonts w:ascii="Calibri" w:eastAsia="Calibri" w:hAnsi="Calibri" w:cs="Calibri"/>
        </w:rPr>
        <w:t>)</w:t>
      </w:r>
      <w:r w:rsidRPr="00C23D86">
        <w:rPr>
          <w:rFonts w:ascii="Calibri" w:eastAsia="Calibri" w:hAnsi="Calibri" w:cs="Calibri"/>
        </w:rPr>
        <w:t>.</w:t>
      </w:r>
      <w:r w:rsidRPr="005B111B">
        <w:rPr>
          <w:rFonts w:ascii="Calibri" w:eastAsia="Calibri" w:hAnsi="Calibri" w:cs="Calibri"/>
        </w:rPr>
        <w:t xml:space="preserve"> Finally, the dominant contribution of residual variability observed for each species indicates that a large part of measured seedling growth variability is influenced by factors other than those considered in the fitted model. These factors would notably include the atmospheric evaporative demand, which is governed by air temperature, relative humidity, wind and radiation. These variables were not directly measured at our experimental site and did not necessarily vary concomitantly with soil water availability.</w:t>
      </w:r>
    </w:p>
    <w:p w14:paraId="7948A285" w14:textId="77777777" w:rsidR="00512659" w:rsidRDefault="00512659" w:rsidP="00BF4034">
      <w:pPr>
        <w:pStyle w:val="Lgende"/>
        <w:keepNext/>
        <w:spacing w:after="0"/>
        <w:jc w:val="center"/>
        <w:rPr>
          <w:b/>
          <w:bCs/>
          <w:i w:val="0"/>
          <w:iCs w:val="0"/>
          <w:color w:val="000000" w:themeColor="text1"/>
          <w:sz w:val="20"/>
          <w:szCs w:val="20"/>
        </w:rPr>
      </w:pPr>
      <w:bookmarkStart w:id="82" w:name="_Ref200123887"/>
    </w:p>
    <w:p w14:paraId="11CAC2C4" w14:textId="700E8D1E" w:rsidR="00BF4034" w:rsidRPr="002A08EB" w:rsidRDefault="00BF4034" w:rsidP="00BF4034">
      <w:pPr>
        <w:pStyle w:val="Lgende"/>
        <w:keepNext/>
        <w:spacing w:after="0"/>
        <w:jc w:val="center"/>
        <w:rPr>
          <w:b/>
          <w:bCs/>
          <w:i w:val="0"/>
          <w:iCs w:val="0"/>
          <w:color w:val="000000" w:themeColor="text1"/>
          <w:sz w:val="20"/>
          <w:szCs w:val="20"/>
        </w:rPr>
      </w:pPr>
      <w:r w:rsidRPr="002A08EB">
        <w:rPr>
          <w:b/>
          <w:bCs/>
          <w:i w:val="0"/>
          <w:iCs w:val="0"/>
          <w:color w:val="000000" w:themeColor="text1"/>
          <w:sz w:val="20"/>
          <w:szCs w:val="20"/>
        </w:rPr>
        <w:t xml:space="preserve">Table </w:t>
      </w:r>
      <w:r w:rsidRPr="002A08EB">
        <w:rPr>
          <w:b/>
          <w:bCs/>
          <w:i w:val="0"/>
          <w:iCs w:val="0"/>
          <w:color w:val="000000" w:themeColor="text1"/>
          <w:sz w:val="20"/>
          <w:szCs w:val="20"/>
        </w:rPr>
        <w:fldChar w:fldCharType="begin"/>
      </w:r>
      <w:r w:rsidRPr="002A08EB">
        <w:rPr>
          <w:b/>
          <w:bCs/>
          <w:i w:val="0"/>
          <w:iCs w:val="0"/>
          <w:color w:val="000000" w:themeColor="text1"/>
          <w:sz w:val="20"/>
          <w:szCs w:val="20"/>
        </w:rPr>
        <w:instrText xml:space="preserve"> SEQ Table \* ROMAN </w:instrText>
      </w:r>
      <w:r w:rsidRPr="002A08EB">
        <w:rPr>
          <w:b/>
          <w:bCs/>
          <w:i w:val="0"/>
          <w:iCs w:val="0"/>
          <w:color w:val="000000" w:themeColor="text1"/>
          <w:sz w:val="20"/>
          <w:szCs w:val="20"/>
        </w:rPr>
        <w:fldChar w:fldCharType="separate"/>
      </w:r>
      <w:r>
        <w:rPr>
          <w:b/>
          <w:bCs/>
          <w:i w:val="0"/>
          <w:iCs w:val="0"/>
          <w:noProof/>
          <w:color w:val="000000" w:themeColor="text1"/>
          <w:sz w:val="20"/>
          <w:szCs w:val="20"/>
        </w:rPr>
        <w:t>XIII</w:t>
      </w:r>
      <w:r w:rsidRPr="002A08EB">
        <w:rPr>
          <w:b/>
          <w:bCs/>
          <w:i w:val="0"/>
          <w:iCs w:val="0"/>
          <w:color w:val="000000" w:themeColor="text1"/>
          <w:sz w:val="20"/>
          <w:szCs w:val="20"/>
        </w:rPr>
        <w:fldChar w:fldCharType="end"/>
      </w:r>
      <w:bookmarkEnd w:id="82"/>
      <w:r w:rsidRPr="002A08EB">
        <w:rPr>
          <w:b/>
          <w:bCs/>
          <w:i w:val="0"/>
          <w:iCs w:val="0"/>
          <w:color w:val="000000" w:themeColor="text1"/>
          <w:sz w:val="20"/>
          <w:szCs w:val="20"/>
        </w:rPr>
        <w:t xml:space="preserve">. Percentage of seedling residual height growth total variability explained </w:t>
      </w:r>
    </w:p>
    <w:p w14:paraId="2A9E9718" w14:textId="77777777" w:rsidR="00BF4034" w:rsidRPr="002A08EB" w:rsidRDefault="00BF4034" w:rsidP="00BF4034">
      <w:pPr>
        <w:pStyle w:val="Lgende"/>
        <w:keepNext/>
        <w:spacing w:after="0"/>
        <w:jc w:val="center"/>
        <w:rPr>
          <w:b/>
          <w:bCs/>
          <w:i w:val="0"/>
          <w:iCs w:val="0"/>
          <w:color w:val="000000" w:themeColor="text1"/>
          <w:sz w:val="20"/>
          <w:szCs w:val="20"/>
        </w:rPr>
      </w:pPr>
      <w:r w:rsidRPr="002A08EB">
        <w:rPr>
          <w:b/>
          <w:bCs/>
          <w:i w:val="0"/>
          <w:iCs w:val="0"/>
          <w:color w:val="000000" w:themeColor="text1"/>
          <w:sz w:val="20"/>
          <w:szCs w:val="20"/>
        </w:rPr>
        <w:t>by each factor considered in the mixed-effect model 4.13</w:t>
      </w:r>
    </w:p>
    <w:tbl>
      <w:tblPr>
        <w:tblStyle w:val="Grilledutableau"/>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0"/>
        <w:gridCol w:w="1134"/>
        <w:gridCol w:w="1134"/>
      </w:tblGrid>
      <w:tr w:rsidR="00BF4034" w14:paraId="0C741B0C" w14:textId="77777777" w:rsidTr="0054079D">
        <w:trPr>
          <w:jc w:val="center"/>
        </w:trPr>
        <w:tc>
          <w:tcPr>
            <w:tcW w:w="1040" w:type="dxa"/>
            <w:tcBorders>
              <w:top w:val="single" w:sz="12" w:space="0" w:color="auto"/>
              <w:bottom w:val="single" w:sz="12" w:space="0" w:color="auto"/>
            </w:tcBorders>
          </w:tcPr>
          <w:p w14:paraId="21174EE9" w14:textId="77777777" w:rsidR="00BF4034" w:rsidRPr="000510B6" w:rsidRDefault="00BF4034" w:rsidP="0054079D">
            <w:pPr>
              <w:jc w:val="center"/>
              <w:rPr>
                <w:rFonts w:ascii="Calibri" w:eastAsia="Calibri" w:hAnsi="Calibri" w:cs="Calibri"/>
                <w:b/>
                <w:bCs/>
                <w:sz w:val="18"/>
                <w:szCs w:val="18"/>
              </w:rPr>
            </w:pPr>
            <w:r w:rsidRPr="000510B6">
              <w:rPr>
                <w:rFonts w:ascii="Calibri" w:eastAsia="Calibri" w:hAnsi="Calibri" w:cs="Calibri"/>
                <w:b/>
                <w:bCs/>
                <w:sz w:val="18"/>
                <w:szCs w:val="18"/>
              </w:rPr>
              <w:t>Effect</w:t>
            </w:r>
          </w:p>
        </w:tc>
        <w:tc>
          <w:tcPr>
            <w:tcW w:w="1134" w:type="dxa"/>
            <w:tcBorders>
              <w:top w:val="single" w:sz="12" w:space="0" w:color="auto"/>
              <w:bottom w:val="single" w:sz="12" w:space="0" w:color="auto"/>
            </w:tcBorders>
          </w:tcPr>
          <w:p w14:paraId="163AF64C" w14:textId="77777777" w:rsidR="00BF4034" w:rsidRPr="000510B6" w:rsidRDefault="00BF4034" w:rsidP="0054079D">
            <w:pPr>
              <w:jc w:val="center"/>
              <w:rPr>
                <w:rFonts w:ascii="Calibri" w:eastAsia="Calibri" w:hAnsi="Calibri" w:cs="Calibri"/>
                <w:b/>
                <w:bCs/>
                <w:sz w:val="18"/>
                <w:szCs w:val="18"/>
              </w:rPr>
            </w:pPr>
            <w:r w:rsidRPr="000510B6">
              <w:rPr>
                <w:rFonts w:ascii="Calibri" w:eastAsia="Calibri" w:hAnsi="Calibri" w:cs="Calibri"/>
                <w:b/>
                <w:bCs/>
                <w:sz w:val="18"/>
                <w:szCs w:val="18"/>
              </w:rPr>
              <w:t>Oak</w:t>
            </w:r>
          </w:p>
        </w:tc>
        <w:tc>
          <w:tcPr>
            <w:tcW w:w="1134" w:type="dxa"/>
            <w:tcBorders>
              <w:top w:val="single" w:sz="12" w:space="0" w:color="auto"/>
              <w:bottom w:val="single" w:sz="12" w:space="0" w:color="auto"/>
            </w:tcBorders>
          </w:tcPr>
          <w:p w14:paraId="6F07772E" w14:textId="77777777" w:rsidR="00BF4034" w:rsidRPr="000510B6" w:rsidRDefault="00BF4034" w:rsidP="0054079D">
            <w:pPr>
              <w:jc w:val="center"/>
              <w:rPr>
                <w:rFonts w:ascii="Calibri" w:eastAsia="Calibri" w:hAnsi="Calibri" w:cs="Calibri"/>
                <w:b/>
                <w:bCs/>
                <w:sz w:val="18"/>
                <w:szCs w:val="18"/>
              </w:rPr>
            </w:pPr>
            <w:r w:rsidRPr="000510B6">
              <w:rPr>
                <w:rFonts w:ascii="Calibri" w:eastAsia="Calibri" w:hAnsi="Calibri" w:cs="Calibri"/>
                <w:b/>
                <w:bCs/>
                <w:sz w:val="18"/>
                <w:szCs w:val="18"/>
              </w:rPr>
              <w:t>Beech</w:t>
            </w:r>
          </w:p>
        </w:tc>
      </w:tr>
      <w:tr w:rsidR="00BF4034" w14:paraId="3DFB7428" w14:textId="77777777" w:rsidTr="0054079D">
        <w:trPr>
          <w:jc w:val="center"/>
        </w:trPr>
        <w:tc>
          <w:tcPr>
            <w:tcW w:w="1040" w:type="dxa"/>
            <w:tcBorders>
              <w:top w:val="single" w:sz="12" w:space="0" w:color="auto"/>
            </w:tcBorders>
          </w:tcPr>
          <w:p w14:paraId="5D3E4E3C" w14:textId="77777777" w:rsidR="00BF4034" w:rsidRPr="00C133DC" w:rsidRDefault="00BF4034" w:rsidP="0054079D">
            <w:pPr>
              <w:jc w:val="both"/>
              <w:rPr>
                <w:rFonts w:ascii="Calibri" w:eastAsia="Calibri" w:hAnsi="Calibri" w:cs="Calibri"/>
                <w:i/>
                <w:iCs/>
                <w:sz w:val="18"/>
                <w:szCs w:val="18"/>
              </w:rPr>
            </w:pPr>
            <w:r w:rsidRPr="00C133DC">
              <w:rPr>
                <w:rFonts w:ascii="Calibri" w:eastAsia="Calibri" w:hAnsi="Calibri" w:cs="Calibri"/>
                <w:i/>
                <w:iCs/>
                <w:sz w:val="18"/>
                <w:szCs w:val="18"/>
              </w:rPr>
              <w:t>SWC</w:t>
            </w:r>
            <w:r w:rsidRPr="00C133DC">
              <w:rPr>
                <w:rFonts w:ascii="Calibri" w:eastAsia="Calibri" w:hAnsi="Calibri" w:cs="Calibri"/>
                <w:i/>
                <w:iCs/>
                <w:sz w:val="18"/>
                <w:szCs w:val="18"/>
                <w:vertAlign w:val="subscript"/>
              </w:rPr>
              <w:t>growing</w:t>
            </w:r>
          </w:p>
        </w:tc>
        <w:tc>
          <w:tcPr>
            <w:tcW w:w="1134" w:type="dxa"/>
            <w:tcBorders>
              <w:top w:val="single" w:sz="12" w:space="0" w:color="auto"/>
            </w:tcBorders>
            <w:tcMar>
              <w:right w:w="312" w:type="dxa"/>
            </w:tcMar>
          </w:tcPr>
          <w:p w14:paraId="3A4C3A73" w14:textId="77777777" w:rsidR="00BF4034" w:rsidRPr="00C133DC" w:rsidRDefault="00BF4034" w:rsidP="0054079D">
            <w:pPr>
              <w:ind w:right="85"/>
              <w:jc w:val="right"/>
              <w:rPr>
                <w:rFonts w:ascii="Calibri" w:eastAsia="Calibri" w:hAnsi="Calibri" w:cs="Calibri"/>
                <w:sz w:val="18"/>
                <w:szCs w:val="18"/>
              </w:rPr>
            </w:pPr>
            <w:r w:rsidRPr="00C133DC">
              <w:rPr>
                <w:rFonts w:ascii="Calibri" w:eastAsia="Calibri" w:hAnsi="Calibri" w:cs="Calibri"/>
                <w:sz w:val="18"/>
                <w:szCs w:val="18"/>
              </w:rPr>
              <w:t>24%</w:t>
            </w:r>
          </w:p>
        </w:tc>
        <w:tc>
          <w:tcPr>
            <w:tcW w:w="1134" w:type="dxa"/>
            <w:tcBorders>
              <w:top w:val="single" w:sz="12" w:space="0" w:color="auto"/>
            </w:tcBorders>
            <w:tcMar>
              <w:right w:w="312" w:type="dxa"/>
            </w:tcMar>
          </w:tcPr>
          <w:p w14:paraId="196B21C6" w14:textId="77777777" w:rsidR="00BF4034" w:rsidRPr="00C133DC" w:rsidRDefault="00BF4034" w:rsidP="0054079D">
            <w:pPr>
              <w:jc w:val="right"/>
              <w:rPr>
                <w:rFonts w:ascii="Calibri" w:eastAsia="Calibri" w:hAnsi="Calibri" w:cs="Calibri"/>
                <w:sz w:val="18"/>
                <w:szCs w:val="18"/>
              </w:rPr>
            </w:pPr>
            <w:r w:rsidRPr="00C133DC">
              <w:rPr>
                <w:rFonts w:ascii="Calibri" w:eastAsia="Calibri" w:hAnsi="Calibri" w:cs="Calibri"/>
                <w:sz w:val="18"/>
                <w:szCs w:val="18"/>
              </w:rPr>
              <w:t>5%</w:t>
            </w:r>
          </w:p>
        </w:tc>
      </w:tr>
      <w:tr w:rsidR="00BF4034" w14:paraId="12E90752" w14:textId="77777777" w:rsidTr="0054079D">
        <w:trPr>
          <w:jc w:val="center"/>
        </w:trPr>
        <w:tc>
          <w:tcPr>
            <w:tcW w:w="1040" w:type="dxa"/>
          </w:tcPr>
          <w:p w14:paraId="72A40A74" w14:textId="77777777" w:rsidR="00BF4034" w:rsidRPr="00C133DC" w:rsidRDefault="00BF4034" w:rsidP="0054079D">
            <w:pPr>
              <w:jc w:val="both"/>
              <w:rPr>
                <w:rFonts w:ascii="Calibri" w:eastAsia="Calibri" w:hAnsi="Calibri" w:cs="Calibri"/>
                <w:i/>
                <w:iCs/>
                <w:sz w:val="18"/>
                <w:szCs w:val="18"/>
              </w:rPr>
            </w:pPr>
            <w:r w:rsidRPr="00C133DC">
              <w:rPr>
                <w:rFonts w:ascii="Calibri" w:eastAsia="Calibri" w:hAnsi="Calibri" w:cs="Calibri"/>
                <w:i/>
                <w:iCs/>
                <w:sz w:val="18"/>
                <w:szCs w:val="18"/>
              </w:rPr>
              <w:t>Treat</w:t>
            </w:r>
          </w:p>
        </w:tc>
        <w:tc>
          <w:tcPr>
            <w:tcW w:w="1134" w:type="dxa"/>
            <w:tcMar>
              <w:right w:w="312" w:type="dxa"/>
            </w:tcMar>
          </w:tcPr>
          <w:p w14:paraId="1A3201DF" w14:textId="77777777" w:rsidR="00BF4034" w:rsidRPr="00C133DC" w:rsidRDefault="00BF4034" w:rsidP="0054079D">
            <w:pPr>
              <w:ind w:right="85"/>
              <w:jc w:val="right"/>
              <w:rPr>
                <w:rFonts w:ascii="Calibri" w:eastAsia="Calibri" w:hAnsi="Calibri" w:cs="Calibri"/>
                <w:sz w:val="18"/>
                <w:szCs w:val="18"/>
              </w:rPr>
            </w:pPr>
            <w:r w:rsidRPr="00C133DC">
              <w:rPr>
                <w:rFonts w:ascii="Calibri" w:eastAsia="Calibri" w:hAnsi="Calibri" w:cs="Calibri"/>
                <w:sz w:val="18"/>
                <w:szCs w:val="18"/>
              </w:rPr>
              <w:t>1%</w:t>
            </w:r>
          </w:p>
        </w:tc>
        <w:tc>
          <w:tcPr>
            <w:tcW w:w="1134" w:type="dxa"/>
            <w:tcMar>
              <w:right w:w="312" w:type="dxa"/>
            </w:tcMar>
          </w:tcPr>
          <w:p w14:paraId="0B7E9A10" w14:textId="77777777" w:rsidR="00BF4034" w:rsidRPr="00C133DC" w:rsidRDefault="00BF4034" w:rsidP="0054079D">
            <w:pPr>
              <w:jc w:val="right"/>
              <w:rPr>
                <w:rFonts w:ascii="Calibri" w:eastAsia="Calibri" w:hAnsi="Calibri" w:cs="Calibri"/>
                <w:sz w:val="18"/>
                <w:szCs w:val="18"/>
              </w:rPr>
            </w:pPr>
            <w:r w:rsidRPr="00C133DC">
              <w:rPr>
                <w:rFonts w:ascii="Calibri" w:eastAsia="Calibri" w:hAnsi="Calibri" w:cs="Calibri"/>
                <w:sz w:val="18"/>
                <w:szCs w:val="18"/>
              </w:rPr>
              <w:t>1%</w:t>
            </w:r>
          </w:p>
        </w:tc>
      </w:tr>
      <w:tr w:rsidR="00BF4034" w14:paraId="7314B58D" w14:textId="77777777" w:rsidTr="0054079D">
        <w:trPr>
          <w:jc w:val="center"/>
        </w:trPr>
        <w:tc>
          <w:tcPr>
            <w:tcW w:w="1040" w:type="dxa"/>
          </w:tcPr>
          <w:p w14:paraId="10CA8E6A" w14:textId="77777777" w:rsidR="00BF4034" w:rsidRPr="00C133DC" w:rsidRDefault="00BF4034" w:rsidP="0054079D">
            <w:pPr>
              <w:jc w:val="both"/>
              <w:rPr>
                <w:rFonts w:ascii="Calibri" w:eastAsia="Calibri" w:hAnsi="Calibri" w:cs="Calibri"/>
                <w:i/>
                <w:iCs/>
                <w:sz w:val="18"/>
                <w:szCs w:val="18"/>
              </w:rPr>
            </w:pPr>
            <w:r w:rsidRPr="00C133DC">
              <w:rPr>
                <w:rFonts w:ascii="Calibri" w:eastAsia="Calibri" w:hAnsi="Calibri" w:cs="Calibri"/>
                <w:i/>
                <w:iCs/>
                <w:sz w:val="18"/>
                <w:szCs w:val="18"/>
              </w:rPr>
              <w:t>Zone</w:t>
            </w:r>
          </w:p>
        </w:tc>
        <w:tc>
          <w:tcPr>
            <w:tcW w:w="1134" w:type="dxa"/>
            <w:tcMar>
              <w:right w:w="312" w:type="dxa"/>
            </w:tcMar>
          </w:tcPr>
          <w:p w14:paraId="45C61FC5" w14:textId="77777777" w:rsidR="00BF4034" w:rsidRPr="00C133DC" w:rsidRDefault="00BF4034" w:rsidP="0054079D">
            <w:pPr>
              <w:ind w:right="85"/>
              <w:jc w:val="right"/>
              <w:rPr>
                <w:rFonts w:ascii="Calibri" w:eastAsia="Calibri" w:hAnsi="Calibri" w:cs="Calibri"/>
                <w:sz w:val="18"/>
                <w:szCs w:val="18"/>
              </w:rPr>
            </w:pPr>
            <w:r w:rsidRPr="00C133DC">
              <w:rPr>
                <w:rFonts w:ascii="Calibri" w:eastAsia="Calibri" w:hAnsi="Calibri" w:cs="Calibri"/>
                <w:sz w:val="18"/>
                <w:szCs w:val="18"/>
              </w:rPr>
              <w:t>4%</w:t>
            </w:r>
          </w:p>
        </w:tc>
        <w:tc>
          <w:tcPr>
            <w:tcW w:w="1134" w:type="dxa"/>
            <w:tcMar>
              <w:right w:w="312" w:type="dxa"/>
            </w:tcMar>
          </w:tcPr>
          <w:p w14:paraId="5CBDA94C" w14:textId="77777777" w:rsidR="00BF4034" w:rsidRPr="00C133DC" w:rsidRDefault="00BF4034" w:rsidP="0054079D">
            <w:pPr>
              <w:jc w:val="right"/>
              <w:rPr>
                <w:rFonts w:ascii="Calibri" w:eastAsia="Calibri" w:hAnsi="Calibri" w:cs="Calibri"/>
                <w:sz w:val="18"/>
                <w:szCs w:val="18"/>
              </w:rPr>
            </w:pPr>
            <w:r w:rsidRPr="00C133DC">
              <w:rPr>
                <w:rFonts w:ascii="Calibri" w:eastAsia="Calibri" w:hAnsi="Calibri" w:cs="Calibri"/>
                <w:sz w:val="18"/>
                <w:szCs w:val="18"/>
              </w:rPr>
              <w:t>4%</w:t>
            </w:r>
          </w:p>
        </w:tc>
      </w:tr>
      <w:tr w:rsidR="00BF4034" w14:paraId="39E90471" w14:textId="77777777" w:rsidTr="0054079D">
        <w:trPr>
          <w:jc w:val="center"/>
        </w:trPr>
        <w:tc>
          <w:tcPr>
            <w:tcW w:w="1040" w:type="dxa"/>
          </w:tcPr>
          <w:p w14:paraId="7C85E678" w14:textId="77777777" w:rsidR="00BF4034" w:rsidRPr="00C133DC" w:rsidRDefault="00BF4034" w:rsidP="0054079D">
            <w:pPr>
              <w:jc w:val="both"/>
              <w:rPr>
                <w:rFonts w:ascii="Calibri" w:eastAsia="Calibri" w:hAnsi="Calibri" w:cs="Calibri"/>
                <w:i/>
                <w:iCs/>
                <w:sz w:val="18"/>
                <w:szCs w:val="18"/>
              </w:rPr>
            </w:pPr>
            <w:r w:rsidRPr="00C133DC">
              <w:rPr>
                <w:rFonts w:ascii="Calibri" w:eastAsia="Calibri" w:hAnsi="Calibri" w:cs="Calibri"/>
                <w:i/>
                <w:iCs/>
                <w:sz w:val="18"/>
                <w:szCs w:val="18"/>
              </w:rPr>
              <w:t>α</w:t>
            </w:r>
          </w:p>
        </w:tc>
        <w:tc>
          <w:tcPr>
            <w:tcW w:w="1134" w:type="dxa"/>
            <w:tcMar>
              <w:right w:w="312" w:type="dxa"/>
            </w:tcMar>
          </w:tcPr>
          <w:p w14:paraId="37E77A5D" w14:textId="77777777" w:rsidR="00BF4034" w:rsidRPr="00C133DC" w:rsidRDefault="00BF4034" w:rsidP="0054079D">
            <w:pPr>
              <w:ind w:right="85"/>
              <w:jc w:val="right"/>
              <w:rPr>
                <w:rFonts w:ascii="Calibri" w:eastAsia="Calibri" w:hAnsi="Calibri" w:cs="Calibri"/>
                <w:sz w:val="18"/>
                <w:szCs w:val="18"/>
              </w:rPr>
            </w:pPr>
            <w:r w:rsidRPr="00C133DC">
              <w:rPr>
                <w:rFonts w:ascii="Calibri" w:eastAsia="Calibri" w:hAnsi="Calibri" w:cs="Calibri"/>
                <w:sz w:val="18"/>
                <w:szCs w:val="18"/>
              </w:rPr>
              <w:t>8%</w:t>
            </w:r>
          </w:p>
        </w:tc>
        <w:tc>
          <w:tcPr>
            <w:tcW w:w="1134" w:type="dxa"/>
            <w:tcMar>
              <w:right w:w="312" w:type="dxa"/>
            </w:tcMar>
          </w:tcPr>
          <w:p w14:paraId="464E037F" w14:textId="77777777" w:rsidR="00BF4034" w:rsidRPr="00C133DC" w:rsidRDefault="00BF4034" w:rsidP="0054079D">
            <w:pPr>
              <w:jc w:val="right"/>
              <w:rPr>
                <w:rFonts w:ascii="Calibri" w:eastAsia="Calibri" w:hAnsi="Calibri" w:cs="Calibri"/>
                <w:sz w:val="18"/>
                <w:szCs w:val="18"/>
              </w:rPr>
            </w:pPr>
            <w:r w:rsidRPr="00C133DC">
              <w:rPr>
                <w:rFonts w:ascii="Calibri" w:eastAsia="Calibri" w:hAnsi="Calibri" w:cs="Calibri"/>
                <w:sz w:val="18"/>
                <w:szCs w:val="18"/>
              </w:rPr>
              <w:t>12%</w:t>
            </w:r>
          </w:p>
        </w:tc>
      </w:tr>
      <w:tr w:rsidR="00BF4034" w14:paraId="2614E042" w14:textId="77777777" w:rsidTr="0054079D">
        <w:trPr>
          <w:jc w:val="center"/>
        </w:trPr>
        <w:tc>
          <w:tcPr>
            <w:tcW w:w="1040" w:type="dxa"/>
          </w:tcPr>
          <w:p w14:paraId="3B5C2CB5" w14:textId="77777777" w:rsidR="00BF4034" w:rsidRPr="00C133DC" w:rsidRDefault="00BF4034" w:rsidP="0054079D">
            <w:pPr>
              <w:jc w:val="both"/>
              <w:rPr>
                <w:rFonts w:ascii="Calibri" w:eastAsia="Calibri" w:hAnsi="Calibri" w:cs="Calibri"/>
                <w:i/>
                <w:iCs/>
                <w:sz w:val="18"/>
                <w:szCs w:val="18"/>
              </w:rPr>
            </w:pPr>
            <w:r w:rsidRPr="00C133DC">
              <w:rPr>
                <w:rFonts w:ascii="Calibri" w:eastAsia="Calibri" w:hAnsi="Calibri" w:cs="Calibri"/>
                <w:i/>
                <w:iCs/>
                <w:sz w:val="18"/>
                <w:szCs w:val="18"/>
              </w:rPr>
              <w:t>Residuals</w:t>
            </w:r>
          </w:p>
        </w:tc>
        <w:tc>
          <w:tcPr>
            <w:tcW w:w="1134" w:type="dxa"/>
            <w:tcMar>
              <w:right w:w="312" w:type="dxa"/>
            </w:tcMar>
          </w:tcPr>
          <w:p w14:paraId="5A2BE46F" w14:textId="77777777" w:rsidR="00BF4034" w:rsidRPr="00C133DC" w:rsidRDefault="00BF4034" w:rsidP="0054079D">
            <w:pPr>
              <w:ind w:right="85"/>
              <w:jc w:val="right"/>
              <w:rPr>
                <w:rFonts w:ascii="Calibri" w:eastAsia="Calibri" w:hAnsi="Calibri" w:cs="Calibri"/>
                <w:sz w:val="18"/>
                <w:szCs w:val="18"/>
              </w:rPr>
            </w:pPr>
            <w:r w:rsidRPr="00C133DC">
              <w:rPr>
                <w:rFonts w:ascii="Calibri" w:eastAsia="Calibri" w:hAnsi="Calibri" w:cs="Calibri"/>
                <w:sz w:val="18"/>
                <w:szCs w:val="18"/>
              </w:rPr>
              <w:t>63%</w:t>
            </w:r>
          </w:p>
        </w:tc>
        <w:tc>
          <w:tcPr>
            <w:tcW w:w="1134" w:type="dxa"/>
            <w:tcMar>
              <w:right w:w="312" w:type="dxa"/>
            </w:tcMar>
          </w:tcPr>
          <w:p w14:paraId="60E75781" w14:textId="77777777" w:rsidR="00BF4034" w:rsidRPr="00C133DC" w:rsidRDefault="00BF4034" w:rsidP="0054079D">
            <w:pPr>
              <w:jc w:val="right"/>
              <w:rPr>
                <w:rFonts w:ascii="Calibri" w:eastAsia="Calibri" w:hAnsi="Calibri" w:cs="Calibri"/>
                <w:sz w:val="18"/>
                <w:szCs w:val="18"/>
              </w:rPr>
            </w:pPr>
            <w:r w:rsidRPr="00C133DC">
              <w:rPr>
                <w:rFonts w:ascii="Calibri" w:eastAsia="Calibri" w:hAnsi="Calibri" w:cs="Calibri"/>
                <w:sz w:val="18"/>
                <w:szCs w:val="18"/>
              </w:rPr>
              <w:t>78%</w:t>
            </w:r>
          </w:p>
        </w:tc>
      </w:tr>
    </w:tbl>
    <w:p w14:paraId="36951EC9" w14:textId="62401926" w:rsidR="00BF4034" w:rsidRDefault="00BF4034" w:rsidP="005B111B">
      <w:pPr>
        <w:spacing w:line="300" w:lineRule="auto"/>
        <w:jc w:val="both"/>
        <w:rPr>
          <w:rFonts w:ascii="Calibri" w:eastAsia="Calibri" w:hAnsi="Calibri" w:cs="Calibri"/>
          <w:highlight w:val="yellow"/>
        </w:rPr>
      </w:pPr>
    </w:p>
    <w:p w14:paraId="5011A0B8" w14:textId="77777777" w:rsidR="00BF4034" w:rsidRDefault="00BF4034">
      <w:pPr>
        <w:rPr>
          <w:rFonts w:ascii="Calibri" w:eastAsia="Calibri" w:hAnsi="Calibri" w:cs="Calibri"/>
          <w:highlight w:val="yellow"/>
        </w:rPr>
      </w:pPr>
      <w:r>
        <w:rPr>
          <w:rFonts w:ascii="Calibri" w:eastAsia="Calibri" w:hAnsi="Calibri" w:cs="Calibri"/>
          <w:highlight w:val="yellow"/>
        </w:rPr>
        <w:br w:type="page"/>
      </w:r>
    </w:p>
    <w:p w14:paraId="3F27504B" w14:textId="77777777" w:rsidR="00BF4034" w:rsidRPr="00512659" w:rsidRDefault="00BF4034" w:rsidP="005B111B">
      <w:pPr>
        <w:spacing w:line="300" w:lineRule="auto"/>
        <w:jc w:val="both"/>
        <w:rPr>
          <w:rFonts w:ascii="Calibri" w:eastAsia="Calibri" w:hAnsi="Calibri" w:cs="Calibri"/>
          <w:sz w:val="2"/>
          <w:szCs w:val="2"/>
          <w:highlight w:val="yellow"/>
        </w:rPr>
      </w:pPr>
    </w:p>
    <w:tbl>
      <w:tblPr>
        <w:tblW w:w="9697" w:type="dxa"/>
        <w:tblCellMar>
          <w:left w:w="0" w:type="dxa"/>
          <w:right w:w="0" w:type="dxa"/>
        </w:tblCellMar>
        <w:tblLook w:val="0400" w:firstRow="0" w:lastRow="0" w:firstColumn="0" w:lastColumn="0" w:noHBand="0" w:noVBand="1"/>
      </w:tblPr>
      <w:tblGrid>
        <w:gridCol w:w="4848"/>
        <w:gridCol w:w="4849"/>
      </w:tblGrid>
      <w:tr w:rsidR="007E12B3" w:rsidRPr="008F6866" w14:paraId="1F6CD482" w14:textId="77777777" w:rsidTr="00217DE0">
        <w:tc>
          <w:tcPr>
            <w:tcW w:w="4848" w:type="dxa"/>
          </w:tcPr>
          <w:p w14:paraId="2B869D5D" w14:textId="2187D15F" w:rsidR="007E12B3" w:rsidRPr="00F16DEF" w:rsidRDefault="00F16DEF" w:rsidP="007E12B3">
            <w:pPr>
              <w:pStyle w:val="NormalWeb"/>
              <w:spacing w:before="0" w:beforeAutospacing="0" w:after="0" w:afterAutospacing="0"/>
              <w:jc w:val="center"/>
              <w:rPr>
                <w:rFonts w:ascii="Arial" w:hAnsi="Arial" w:cs="Arial"/>
                <w:noProof/>
                <w:sz w:val="20"/>
                <w:szCs w:val="20"/>
              </w:rPr>
            </w:pPr>
            <w:r w:rsidRPr="00F16DEF">
              <w:rPr>
                <w:rFonts w:ascii="Arial" w:hAnsi="Arial" w:cs="Arial"/>
                <w:noProof/>
                <w:sz w:val="20"/>
                <w:szCs w:val="20"/>
              </w:rPr>
              <w:t>oak</w:t>
            </w:r>
          </w:p>
        </w:tc>
        <w:tc>
          <w:tcPr>
            <w:tcW w:w="4849" w:type="dxa"/>
          </w:tcPr>
          <w:p w14:paraId="664FD35F" w14:textId="6C3144B0" w:rsidR="007E12B3" w:rsidRPr="00F16DEF" w:rsidRDefault="00F16DEF" w:rsidP="007E12B3">
            <w:pPr>
              <w:pStyle w:val="NormalWeb"/>
              <w:spacing w:before="0" w:beforeAutospacing="0" w:after="0" w:afterAutospacing="0"/>
              <w:jc w:val="center"/>
              <w:rPr>
                <w:rFonts w:ascii="Arial" w:hAnsi="Arial" w:cs="Arial"/>
                <w:noProof/>
                <w:sz w:val="20"/>
                <w:szCs w:val="20"/>
              </w:rPr>
            </w:pPr>
            <w:r w:rsidRPr="00F16DEF">
              <w:rPr>
                <w:rFonts w:ascii="Arial" w:hAnsi="Arial" w:cs="Arial"/>
                <w:noProof/>
                <w:sz w:val="20"/>
                <w:szCs w:val="20"/>
              </w:rPr>
              <w:t>beech</w:t>
            </w:r>
          </w:p>
        </w:tc>
      </w:tr>
      <w:tr w:rsidR="00636D0E" w:rsidRPr="008F6866" w14:paraId="41783C86" w14:textId="77777777" w:rsidTr="00217DE0">
        <w:tc>
          <w:tcPr>
            <w:tcW w:w="4848" w:type="dxa"/>
          </w:tcPr>
          <w:p w14:paraId="525FBBCA" w14:textId="7ADF3726" w:rsidR="00636D0E" w:rsidRPr="008F6866" w:rsidRDefault="000551AE" w:rsidP="00DF0D80">
            <w:pPr>
              <w:pStyle w:val="NormalWeb"/>
              <w:spacing w:before="0" w:beforeAutospacing="0" w:after="0" w:afterAutospacing="0"/>
              <w:rPr>
                <w:lang w:val="en-GB"/>
              </w:rPr>
            </w:pPr>
            <w:r>
              <w:rPr>
                <w:noProof/>
              </w:rPr>
              <w:drawing>
                <wp:inline distT="0" distB="0" distL="0" distR="0" wp14:anchorId="6053A06B" wp14:editId="3565BA6D">
                  <wp:extent cx="2880000" cy="2055600"/>
                  <wp:effectExtent l="0" t="0" r="0" b="1905"/>
                  <wp:docPr id="13490428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80000" cy="2055600"/>
                          </a:xfrm>
                          <a:prstGeom prst="rect">
                            <a:avLst/>
                          </a:prstGeom>
                          <a:noFill/>
                        </pic:spPr>
                      </pic:pic>
                    </a:graphicData>
                  </a:graphic>
                </wp:inline>
              </w:drawing>
            </w:r>
          </w:p>
        </w:tc>
        <w:tc>
          <w:tcPr>
            <w:tcW w:w="4849" w:type="dxa"/>
          </w:tcPr>
          <w:p w14:paraId="3DB41AE3" w14:textId="5F85B769" w:rsidR="00636D0E" w:rsidRPr="008F6866" w:rsidRDefault="007E12B3" w:rsidP="00DF0D80">
            <w:pPr>
              <w:pStyle w:val="NormalWeb"/>
              <w:spacing w:before="0" w:beforeAutospacing="0" w:after="0" w:afterAutospacing="0"/>
              <w:rPr>
                <w:lang w:val="en-GB"/>
              </w:rPr>
            </w:pPr>
            <w:r>
              <w:rPr>
                <w:noProof/>
              </w:rPr>
              <w:drawing>
                <wp:inline distT="0" distB="0" distL="0" distR="0" wp14:anchorId="27DA1DA6" wp14:editId="1AADBDFE">
                  <wp:extent cx="2880000" cy="2055600"/>
                  <wp:effectExtent l="0" t="0" r="0" b="1905"/>
                  <wp:docPr id="14120707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000" cy="2055600"/>
                          </a:xfrm>
                          <a:prstGeom prst="rect">
                            <a:avLst/>
                          </a:prstGeom>
                          <a:noFill/>
                        </pic:spPr>
                      </pic:pic>
                    </a:graphicData>
                  </a:graphic>
                </wp:inline>
              </w:drawing>
            </w:r>
          </w:p>
        </w:tc>
      </w:tr>
      <w:tr w:rsidR="00636D0E" w:rsidRPr="008F6866" w14:paraId="0DDB0799" w14:textId="77777777" w:rsidTr="00217DE0">
        <w:tc>
          <w:tcPr>
            <w:tcW w:w="4848" w:type="dxa"/>
          </w:tcPr>
          <w:p w14:paraId="3CB6B426" w14:textId="77777777" w:rsidR="00636D0E" w:rsidRPr="008F6866" w:rsidRDefault="00636D0E" w:rsidP="00DF0D80">
            <w:pPr>
              <w:spacing w:after="0"/>
              <w:jc w:val="center"/>
            </w:pPr>
            <w:r w:rsidRPr="008F6866">
              <w:t>(a)</w:t>
            </w:r>
          </w:p>
        </w:tc>
        <w:tc>
          <w:tcPr>
            <w:tcW w:w="4849" w:type="dxa"/>
          </w:tcPr>
          <w:p w14:paraId="4829FCFB" w14:textId="77777777" w:rsidR="00636D0E" w:rsidRPr="008F6866" w:rsidRDefault="00636D0E" w:rsidP="00DF0D80">
            <w:pPr>
              <w:spacing w:after="0"/>
              <w:jc w:val="center"/>
            </w:pPr>
            <w:r w:rsidRPr="008F6866">
              <w:t>(b)</w:t>
            </w:r>
          </w:p>
        </w:tc>
      </w:tr>
      <w:tr w:rsidR="00552A56" w:rsidRPr="008F6866" w14:paraId="30046601" w14:textId="77777777" w:rsidTr="00217DE0">
        <w:tc>
          <w:tcPr>
            <w:tcW w:w="4848" w:type="dxa"/>
            <w:vAlign w:val="center"/>
          </w:tcPr>
          <w:p w14:paraId="73F792CC" w14:textId="5BF3E6B2" w:rsidR="00552A56" w:rsidRPr="008F6866" w:rsidRDefault="00552A56" w:rsidP="00552A56">
            <w:pPr>
              <w:spacing w:after="0"/>
              <w:jc w:val="right"/>
            </w:pPr>
            <w:r>
              <w:rPr>
                <w:rFonts w:ascii="Arial" w:eastAsia="Arial" w:hAnsi="Arial" w:cs="Arial"/>
                <w:b/>
                <w:color w:val="00B050"/>
              </w:rPr>
              <w:t>Control</w:t>
            </w:r>
            <w:r>
              <w:rPr>
                <w:rFonts w:ascii="Arial" w:eastAsia="Arial" w:hAnsi="Arial" w:cs="Arial"/>
                <w:b/>
              </w:rPr>
              <w:t xml:space="preserve">    </w:t>
            </w:r>
            <w:r>
              <w:rPr>
                <w:rFonts w:ascii="Arial" w:eastAsia="Arial" w:hAnsi="Arial" w:cs="Arial"/>
                <w:b/>
                <w:color w:val="FF0000"/>
              </w:rPr>
              <w:t>Treatment</w:t>
            </w:r>
          </w:p>
        </w:tc>
        <w:tc>
          <w:tcPr>
            <w:tcW w:w="4849" w:type="dxa"/>
            <w:vAlign w:val="center"/>
          </w:tcPr>
          <w:p w14:paraId="7BC78348" w14:textId="36E6121B" w:rsidR="00552A56" w:rsidRPr="008F6866" w:rsidRDefault="00552A56" w:rsidP="00552A56">
            <w:pPr>
              <w:spacing w:after="0"/>
            </w:pPr>
            <w:r>
              <w:rPr>
                <w:noProof/>
              </w:rPr>
              <w:drawing>
                <wp:inline distT="0" distB="0" distL="0" distR="0" wp14:anchorId="33516EAD" wp14:editId="560FA6A8">
                  <wp:extent cx="1524000" cy="260350"/>
                  <wp:effectExtent l="0" t="0" r="0" b="6350"/>
                  <wp:docPr id="1606537784" name="Image 3" descr="Une image contenant texte,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37784" name="Image 3" descr="Une image contenant texte, diagramme, ligne, capture d’écran&#10;&#10;Le contenu généré par l’IA peut être incorrect."/>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2333" t="85555" r="16949" b="2307"/>
                          <a:stretch>
                            <a:fillRect/>
                          </a:stretch>
                        </pic:blipFill>
                        <pic:spPr bwMode="auto">
                          <a:xfrm>
                            <a:off x="0" y="0"/>
                            <a:ext cx="1524600" cy="2604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4695EB" w14:textId="53218E61" w:rsidR="00636D0E" w:rsidRDefault="00636D0E" w:rsidP="00636D0E">
      <w:pPr>
        <w:pStyle w:val="Lgende"/>
        <w:jc w:val="center"/>
        <w:rPr>
          <w:b/>
          <w:i w:val="0"/>
          <w:color w:val="000000" w:themeColor="text1"/>
          <w:sz w:val="20"/>
          <w:szCs w:val="20"/>
        </w:rPr>
      </w:pPr>
      <w:bookmarkStart w:id="83" w:name="_Ref200123828"/>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26</w:t>
      </w:r>
      <w:r w:rsidRPr="008F6866">
        <w:rPr>
          <w:b/>
          <w:i w:val="0"/>
          <w:color w:val="000000" w:themeColor="text1"/>
          <w:sz w:val="20"/>
          <w:szCs w:val="20"/>
        </w:rPr>
        <w:fldChar w:fldCharType="end"/>
      </w:r>
      <w:bookmarkEnd w:id="83"/>
      <w:r w:rsidRPr="008F6866">
        <w:rPr>
          <w:b/>
          <w:i w:val="0"/>
          <w:color w:val="000000" w:themeColor="text1"/>
          <w:sz w:val="20"/>
          <w:szCs w:val="20"/>
        </w:rPr>
        <w:t xml:space="preserve">. </w:t>
      </w:r>
      <w:r w:rsidR="00CA57E2">
        <w:rPr>
          <w:b/>
          <w:i w:val="0"/>
          <w:color w:val="000000" w:themeColor="text1"/>
          <w:sz w:val="20"/>
          <w:szCs w:val="20"/>
        </w:rPr>
        <w:t xml:space="preserve">Influence of </w:t>
      </w:r>
      <w:r w:rsidR="00ED660A">
        <w:rPr>
          <w:b/>
          <w:i w:val="0"/>
          <w:color w:val="000000" w:themeColor="text1"/>
          <w:sz w:val="20"/>
          <w:szCs w:val="20"/>
        </w:rPr>
        <w:t xml:space="preserve">the </w:t>
      </w:r>
      <w:r w:rsidR="00CA57E2">
        <w:rPr>
          <w:b/>
          <w:i w:val="0"/>
          <w:color w:val="000000" w:themeColor="text1"/>
          <w:sz w:val="20"/>
          <w:szCs w:val="20"/>
        </w:rPr>
        <w:t xml:space="preserve">average soil water content during the growing season </w:t>
      </w:r>
      <w:r w:rsidR="003A13F3">
        <w:rPr>
          <w:b/>
          <w:i w:val="0"/>
          <w:color w:val="000000" w:themeColor="text1"/>
          <w:sz w:val="20"/>
          <w:szCs w:val="20"/>
        </w:rPr>
        <w:t>and of</w:t>
      </w:r>
      <w:r w:rsidR="003A737C">
        <w:rPr>
          <w:b/>
          <w:i w:val="0"/>
          <w:color w:val="000000" w:themeColor="text1"/>
          <w:sz w:val="20"/>
          <w:szCs w:val="20"/>
        </w:rPr>
        <w:t xml:space="preserve"> the</w:t>
      </w:r>
      <w:r w:rsidR="003A13F3">
        <w:rPr>
          <w:b/>
          <w:i w:val="0"/>
          <w:color w:val="000000" w:themeColor="text1"/>
          <w:sz w:val="20"/>
          <w:szCs w:val="20"/>
        </w:rPr>
        <w:t xml:space="preserve"> rainfall limitation treatment </w:t>
      </w:r>
      <w:r w:rsidR="007629A0">
        <w:rPr>
          <w:b/>
          <w:i w:val="0"/>
          <w:color w:val="000000" w:themeColor="text1"/>
          <w:sz w:val="20"/>
          <w:szCs w:val="20"/>
        </w:rPr>
        <w:t>on seedling</w:t>
      </w:r>
      <w:r w:rsidR="00C07FE5">
        <w:rPr>
          <w:b/>
          <w:i w:val="0"/>
          <w:color w:val="000000" w:themeColor="text1"/>
          <w:sz w:val="20"/>
          <w:szCs w:val="20"/>
        </w:rPr>
        <w:t xml:space="preserve"> residual</w:t>
      </w:r>
      <w:r w:rsidR="007629A0">
        <w:rPr>
          <w:b/>
          <w:i w:val="0"/>
          <w:color w:val="000000" w:themeColor="text1"/>
          <w:sz w:val="20"/>
          <w:szCs w:val="20"/>
        </w:rPr>
        <w:t xml:space="preserve"> height growth</w:t>
      </w:r>
      <w:r w:rsidR="00C07FE5">
        <w:rPr>
          <w:b/>
          <w:i w:val="0"/>
          <w:color w:val="000000" w:themeColor="text1"/>
          <w:sz w:val="20"/>
          <w:szCs w:val="20"/>
        </w:rPr>
        <w:t xml:space="preserve"> (see Eq</w:t>
      </w:r>
      <w:r w:rsidR="00512659">
        <w:rPr>
          <w:b/>
          <w:i w:val="0"/>
          <w:color w:val="000000" w:themeColor="text1"/>
          <w:sz w:val="20"/>
          <w:szCs w:val="20"/>
        </w:rPr>
        <w:t>uation</w:t>
      </w:r>
      <w:r w:rsidR="00C07FE5">
        <w:rPr>
          <w:b/>
          <w:i w:val="0"/>
          <w:color w:val="000000" w:themeColor="text1"/>
          <w:sz w:val="20"/>
          <w:szCs w:val="20"/>
        </w:rPr>
        <w:t xml:space="preserve"> </w:t>
      </w:r>
      <w:r w:rsidR="00AA719C">
        <w:rPr>
          <w:b/>
          <w:i w:val="0"/>
          <w:color w:val="000000" w:themeColor="text1"/>
          <w:sz w:val="20"/>
          <w:szCs w:val="20"/>
        </w:rPr>
        <w:t>4.14)</w:t>
      </w:r>
    </w:p>
    <w:p w14:paraId="3AF4829F" w14:textId="77777777" w:rsidR="00130D92" w:rsidRDefault="00130D92" w:rsidP="00512659">
      <w:pPr>
        <w:spacing w:after="0" w:line="300" w:lineRule="auto"/>
        <w:jc w:val="both"/>
        <w:rPr>
          <w:rFonts w:ascii="Calibri" w:eastAsia="Calibri" w:hAnsi="Calibri" w:cs="Calibri"/>
          <w:highlight w:val="yellow"/>
        </w:rPr>
      </w:pPr>
    </w:p>
    <w:p w14:paraId="5FB9DF10" w14:textId="43713691" w:rsidR="00DE4897" w:rsidRPr="008F6866" w:rsidRDefault="00770FF4" w:rsidP="00770FF4">
      <w:pPr>
        <w:rPr>
          <w:b/>
        </w:rPr>
      </w:pPr>
      <w:r w:rsidRPr="008F6866">
        <w:rPr>
          <w:b/>
        </w:rPr>
        <w:t>4</w:t>
      </w:r>
      <w:r w:rsidR="00DE4897" w:rsidRPr="008F6866">
        <w:rPr>
          <w:b/>
        </w:rPr>
        <w:t>.3 Establishment of climate projection scenarios</w:t>
      </w:r>
    </w:p>
    <w:p w14:paraId="78AF5A40" w14:textId="77777777" w:rsidR="00DE4897" w:rsidRPr="008F6866" w:rsidRDefault="00DE4897" w:rsidP="00DE4897">
      <w:pPr>
        <w:spacing w:after="120"/>
        <w:jc w:val="both"/>
        <w:rPr>
          <w:rFonts w:ascii="Calibri" w:eastAsia="Calibri" w:hAnsi="Calibri" w:cs="Calibri"/>
          <w:b/>
        </w:rPr>
      </w:pPr>
      <w:r w:rsidRPr="008F6866">
        <w:rPr>
          <w:rFonts w:ascii="Calibri" w:eastAsia="Calibri" w:hAnsi="Calibri" w:cs="Calibri"/>
          <w:b/>
        </w:rPr>
        <w:t>Validation of the disaggregation procedure</w:t>
      </w:r>
    </w:p>
    <w:p w14:paraId="29E278A1" w14:textId="053801BB" w:rsidR="00DE4897" w:rsidRPr="008F6866" w:rsidRDefault="39CFF0FF" w:rsidP="003A3ECD">
      <w:pPr>
        <w:spacing w:after="120" w:line="300" w:lineRule="auto"/>
        <w:jc w:val="both"/>
      </w:pPr>
      <w:r w:rsidRPr="008F6866">
        <w:t>The disaggregation methods as currently presented were validated using a leave-one-out method (see Task 1.6). The results are shown in</w:t>
      </w:r>
      <w:r w:rsidR="008C75F4" w:rsidRPr="008F6866">
        <w:t xml:space="preserve"> </w:t>
      </w:r>
      <w:r w:rsidR="008C75F4" w:rsidRPr="008F6866">
        <w:fldChar w:fldCharType="begin"/>
      </w:r>
      <w:r w:rsidR="008C75F4" w:rsidRPr="008F6866">
        <w:instrText xml:space="preserve"> REF _Ref195653344 \h  \* MERGEFORMAT </w:instrText>
      </w:r>
      <w:r w:rsidR="008C75F4" w:rsidRPr="008F6866">
        <w:fldChar w:fldCharType="separate"/>
      </w:r>
      <w:r w:rsidR="00540DBF" w:rsidRPr="00540DBF">
        <w:t>Table XIV</w:t>
      </w:r>
      <w:r w:rsidR="008C75F4" w:rsidRPr="008F6866">
        <w:fldChar w:fldCharType="end"/>
      </w:r>
      <w:r w:rsidR="003A3ECD" w:rsidRPr="008F6866">
        <w:t xml:space="preserve"> </w:t>
      </w:r>
      <w:r w:rsidRPr="008F6866">
        <w:t>wherein a comparison is also made with temporal downscaling methods provided in literature. It appears that the proposed methods perform as good or mostly better than those reported in literature.</w:t>
      </w:r>
    </w:p>
    <w:p w14:paraId="0B7680D5" w14:textId="4F552286" w:rsidR="003A3ECD" w:rsidRPr="008F6866" w:rsidRDefault="003A3ECD" w:rsidP="003A3ECD">
      <w:pPr>
        <w:pStyle w:val="Lgende"/>
        <w:spacing w:after="60"/>
        <w:jc w:val="center"/>
        <w:rPr>
          <w:b/>
          <w:i w:val="0"/>
          <w:color w:val="000000" w:themeColor="text1"/>
          <w:sz w:val="20"/>
          <w:szCs w:val="20"/>
        </w:rPr>
      </w:pPr>
      <w:bookmarkStart w:id="84" w:name="_Ref195651793"/>
      <w:bookmarkStart w:id="85" w:name="_Ref195653344"/>
      <w:r w:rsidRPr="008F6866">
        <w:rPr>
          <w:b/>
          <w:i w:val="0"/>
          <w:color w:val="000000" w:themeColor="text1"/>
          <w:sz w:val="20"/>
          <w:szCs w:val="20"/>
        </w:rPr>
        <w:t xml:space="preserve">Table </w:t>
      </w:r>
      <w:bookmarkEnd w:id="84"/>
      <w:r w:rsidR="00EE472B">
        <w:rPr>
          <w:b/>
          <w:i w:val="0"/>
          <w:color w:val="000000" w:themeColor="text1"/>
          <w:sz w:val="20"/>
          <w:szCs w:val="20"/>
        </w:rPr>
        <w:fldChar w:fldCharType="begin"/>
      </w:r>
      <w:r w:rsidR="00EE472B">
        <w:rPr>
          <w:b/>
          <w:i w:val="0"/>
          <w:color w:val="000000" w:themeColor="text1"/>
          <w:sz w:val="20"/>
          <w:szCs w:val="20"/>
        </w:rPr>
        <w:instrText xml:space="preserve"> SEQ Table \* ROMAN </w:instrText>
      </w:r>
      <w:r w:rsidR="00EE472B">
        <w:rPr>
          <w:b/>
          <w:i w:val="0"/>
          <w:color w:val="000000" w:themeColor="text1"/>
          <w:sz w:val="20"/>
          <w:szCs w:val="20"/>
        </w:rPr>
        <w:fldChar w:fldCharType="separate"/>
      </w:r>
      <w:r w:rsidR="00540DBF">
        <w:rPr>
          <w:b/>
          <w:i w:val="0"/>
          <w:noProof/>
          <w:color w:val="000000" w:themeColor="text1"/>
          <w:sz w:val="20"/>
          <w:szCs w:val="20"/>
        </w:rPr>
        <w:t>XIV</w:t>
      </w:r>
      <w:r w:rsidR="00EE472B">
        <w:rPr>
          <w:b/>
          <w:i w:val="0"/>
          <w:color w:val="000000" w:themeColor="text1"/>
          <w:sz w:val="20"/>
          <w:szCs w:val="20"/>
        </w:rPr>
        <w:fldChar w:fldCharType="end"/>
      </w:r>
      <w:bookmarkEnd w:id="85"/>
      <w:r w:rsidRPr="008F6866">
        <w:rPr>
          <w:b/>
          <w:i w:val="0"/>
          <w:color w:val="000000" w:themeColor="text1"/>
          <w:sz w:val="20"/>
          <w:szCs w:val="20"/>
        </w:rPr>
        <w:t>. Validation results as obtained in different studies and in our study (last row) for incoming solar radiation (RS), temperature (T), precipitation (P), relative humidity (RH) and wind speed (W). The scores used include the correlation (r) and the root mean squared error (RMSE)</w:t>
      </w:r>
    </w:p>
    <w:tbl>
      <w:tblPr>
        <w:tblW w:w="9726" w:type="dxa"/>
        <w:tblBorders>
          <w:top w:val="nil"/>
          <w:left w:val="nil"/>
          <w:bottom w:val="nil"/>
          <w:right w:val="nil"/>
          <w:insideH w:val="nil"/>
          <w:insideV w:val="nil"/>
        </w:tblBorders>
        <w:tblLayout w:type="fixed"/>
        <w:tblCellMar>
          <w:left w:w="28" w:type="dxa"/>
          <w:right w:w="28" w:type="dxa"/>
        </w:tblCellMar>
        <w:tblLook w:val="0400" w:firstRow="0" w:lastRow="0" w:firstColumn="0" w:lastColumn="0" w:noHBand="0" w:noVBand="1"/>
      </w:tblPr>
      <w:tblGrid>
        <w:gridCol w:w="1440"/>
        <w:gridCol w:w="567"/>
        <w:gridCol w:w="708"/>
        <w:gridCol w:w="567"/>
        <w:gridCol w:w="709"/>
        <w:gridCol w:w="992"/>
        <w:gridCol w:w="1134"/>
        <w:gridCol w:w="851"/>
        <w:gridCol w:w="1118"/>
        <w:gridCol w:w="848"/>
        <w:gridCol w:w="792"/>
      </w:tblGrid>
      <w:tr w:rsidR="003A3ECD" w:rsidRPr="008F6866" w14:paraId="6AB05331" w14:textId="77777777" w:rsidTr="003A3ECD">
        <w:tc>
          <w:tcPr>
            <w:tcW w:w="1440" w:type="dxa"/>
            <w:vMerge w:val="restart"/>
            <w:tcBorders>
              <w:top w:val="single" w:sz="12" w:space="0" w:color="000000"/>
            </w:tcBorders>
            <w:vAlign w:val="center"/>
          </w:tcPr>
          <w:p w14:paraId="153D06B1" w14:textId="77777777" w:rsidR="003A3ECD" w:rsidRPr="008F6866" w:rsidRDefault="003A3ECD" w:rsidP="00EE652B">
            <w:pPr>
              <w:spacing w:after="0"/>
              <w:jc w:val="center"/>
              <w:rPr>
                <w:rFonts w:cstheme="minorHAnsi"/>
                <w:b/>
                <w:color w:val="000000"/>
                <w:sz w:val="20"/>
                <w:szCs w:val="20"/>
              </w:rPr>
            </w:pPr>
            <w:r w:rsidRPr="008F6866">
              <w:rPr>
                <w:rFonts w:cstheme="minorHAnsi"/>
                <w:b/>
                <w:color w:val="000000"/>
                <w:sz w:val="20"/>
                <w:szCs w:val="20"/>
              </w:rPr>
              <w:t>Study</w:t>
            </w:r>
          </w:p>
        </w:tc>
        <w:tc>
          <w:tcPr>
            <w:tcW w:w="1275" w:type="dxa"/>
            <w:gridSpan w:val="2"/>
            <w:tcBorders>
              <w:top w:val="single" w:sz="12" w:space="0" w:color="000000"/>
            </w:tcBorders>
          </w:tcPr>
          <w:p w14:paraId="613666E0" w14:textId="77777777" w:rsidR="003A3ECD" w:rsidRPr="008F6866" w:rsidRDefault="003A3ECD" w:rsidP="00EE652B">
            <w:pPr>
              <w:spacing w:after="0"/>
              <w:jc w:val="center"/>
              <w:rPr>
                <w:rFonts w:cstheme="minorHAnsi"/>
                <w:b/>
                <w:color w:val="000000"/>
                <w:sz w:val="20"/>
                <w:szCs w:val="20"/>
              </w:rPr>
            </w:pPr>
            <w:r w:rsidRPr="008F6866">
              <w:rPr>
                <w:rFonts w:cstheme="minorHAnsi"/>
                <w:b/>
                <w:color w:val="000000"/>
                <w:sz w:val="20"/>
                <w:szCs w:val="20"/>
              </w:rPr>
              <w:t>R</w:t>
            </w:r>
            <w:r w:rsidRPr="008F6866">
              <w:rPr>
                <w:rFonts w:cstheme="minorHAnsi"/>
                <w:b/>
                <w:color w:val="000000"/>
                <w:sz w:val="20"/>
                <w:szCs w:val="20"/>
                <w:vertAlign w:val="subscript"/>
              </w:rPr>
              <w:t>s</w:t>
            </w:r>
          </w:p>
        </w:tc>
        <w:tc>
          <w:tcPr>
            <w:tcW w:w="1276" w:type="dxa"/>
            <w:gridSpan w:val="2"/>
            <w:tcBorders>
              <w:top w:val="single" w:sz="12" w:space="0" w:color="000000"/>
            </w:tcBorders>
          </w:tcPr>
          <w:p w14:paraId="7F159083" w14:textId="77777777" w:rsidR="003A3ECD" w:rsidRPr="008F6866" w:rsidRDefault="003A3ECD" w:rsidP="00EE652B">
            <w:pPr>
              <w:spacing w:after="0"/>
              <w:jc w:val="center"/>
              <w:rPr>
                <w:rFonts w:cstheme="minorHAnsi"/>
                <w:b/>
                <w:color w:val="000000"/>
                <w:sz w:val="20"/>
                <w:szCs w:val="20"/>
              </w:rPr>
            </w:pPr>
            <w:r w:rsidRPr="008F6866">
              <w:rPr>
                <w:rFonts w:cstheme="minorHAnsi"/>
                <w:b/>
                <w:color w:val="000000"/>
                <w:sz w:val="20"/>
                <w:szCs w:val="20"/>
              </w:rPr>
              <w:t>T</w:t>
            </w:r>
          </w:p>
        </w:tc>
        <w:tc>
          <w:tcPr>
            <w:tcW w:w="2126" w:type="dxa"/>
            <w:gridSpan w:val="2"/>
            <w:tcBorders>
              <w:top w:val="single" w:sz="12" w:space="0" w:color="000000"/>
            </w:tcBorders>
          </w:tcPr>
          <w:p w14:paraId="7955FC6E" w14:textId="77777777" w:rsidR="003A3ECD" w:rsidRPr="008F6866" w:rsidRDefault="003A3ECD" w:rsidP="00EE652B">
            <w:pPr>
              <w:spacing w:after="0"/>
              <w:jc w:val="center"/>
              <w:rPr>
                <w:rFonts w:cstheme="minorHAnsi"/>
                <w:b/>
                <w:color w:val="000000"/>
                <w:sz w:val="20"/>
                <w:szCs w:val="20"/>
              </w:rPr>
            </w:pPr>
            <w:r w:rsidRPr="008F6866">
              <w:rPr>
                <w:rFonts w:cstheme="minorHAnsi"/>
                <w:b/>
                <w:color w:val="000000"/>
                <w:sz w:val="20"/>
                <w:szCs w:val="20"/>
              </w:rPr>
              <w:t>P</w:t>
            </w:r>
          </w:p>
        </w:tc>
        <w:tc>
          <w:tcPr>
            <w:tcW w:w="1969" w:type="dxa"/>
            <w:gridSpan w:val="2"/>
            <w:tcBorders>
              <w:top w:val="single" w:sz="12" w:space="0" w:color="000000"/>
            </w:tcBorders>
          </w:tcPr>
          <w:p w14:paraId="72C1F820" w14:textId="77777777" w:rsidR="003A3ECD" w:rsidRPr="008F6866" w:rsidRDefault="003A3ECD" w:rsidP="00EE652B">
            <w:pPr>
              <w:spacing w:after="0"/>
              <w:jc w:val="center"/>
              <w:rPr>
                <w:rFonts w:cstheme="minorHAnsi"/>
                <w:b/>
                <w:color w:val="000000"/>
                <w:sz w:val="20"/>
                <w:szCs w:val="20"/>
              </w:rPr>
            </w:pPr>
            <w:r w:rsidRPr="008F6866">
              <w:rPr>
                <w:rFonts w:cstheme="minorHAnsi"/>
                <w:b/>
                <w:color w:val="000000"/>
                <w:sz w:val="20"/>
                <w:szCs w:val="20"/>
              </w:rPr>
              <w:t>RH</w:t>
            </w:r>
          </w:p>
        </w:tc>
        <w:tc>
          <w:tcPr>
            <w:tcW w:w="1640" w:type="dxa"/>
            <w:gridSpan w:val="2"/>
            <w:tcBorders>
              <w:top w:val="single" w:sz="12" w:space="0" w:color="000000"/>
            </w:tcBorders>
          </w:tcPr>
          <w:p w14:paraId="1658E0AF" w14:textId="77777777" w:rsidR="003A3ECD" w:rsidRPr="008F6866" w:rsidRDefault="003A3ECD" w:rsidP="00EE652B">
            <w:pPr>
              <w:spacing w:after="0"/>
              <w:jc w:val="center"/>
              <w:rPr>
                <w:rFonts w:cstheme="minorHAnsi"/>
                <w:b/>
                <w:color w:val="000000"/>
                <w:sz w:val="20"/>
                <w:szCs w:val="20"/>
              </w:rPr>
            </w:pPr>
            <w:r w:rsidRPr="008F6866">
              <w:rPr>
                <w:rFonts w:cstheme="minorHAnsi"/>
                <w:b/>
                <w:color w:val="000000"/>
                <w:sz w:val="20"/>
                <w:szCs w:val="20"/>
              </w:rPr>
              <w:t>W</w:t>
            </w:r>
          </w:p>
        </w:tc>
      </w:tr>
      <w:tr w:rsidR="003A3ECD" w:rsidRPr="008F6866" w14:paraId="05195795" w14:textId="77777777" w:rsidTr="003A3ECD">
        <w:tc>
          <w:tcPr>
            <w:tcW w:w="1440" w:type="dxa"/>
            <w:vMerge/>
            <w:tcBorders>
              <w:top w:val="single" w:sz="12" w:space="0" w:color="000000"/>
            </w:tcBorders>
            <w:vAlign w:val="center"/>
          </w:tcPr>
          <w:p w14:paraId="097472CB" w14:textId="77777777" w:rsidR="003A3ECD" w:rsidRPr="008F6866" w:rsidRDefault="003A3ECD" w:rsidP="00EE652B">
            <w:pPr>
              <w:pBdr>
                <w:top w:val="nil"/>
                <w:left w:val="nil"/>
                <w:bottom w:val="nil"/>
                <w:right w:val="nil"/>
                <w:between w:val="nil"/>
              </w:pBdr>
              <w:spacing w:after="0"/>
              <w:rPr>
                <w:rFonts w:cstheme="minorHAnsi"/>
                <w:b/>
                <w:color w:val="000000"/>
                <w:sz w:val="20"/>
                <w:szCs w:val="20"/>
              </w:rPr>
            </w:pPr>
          </w:p>
        </w:tc>
        <w:tc>
          <w:tcPr>
            <w:tcW w:w="567" w:type="dxa"/>
            <w:tcBorders>
              <w:bottom w:val="single" w:sz="12" w:space="0" w:color="000000"/>
            </w:tcBorders>
          </w:tcPr>
          <w:p w14:paraId="5364901D" w14:textId="77777777" w:rsidR="003A3ECD" w:rsidRPr="008F6866" w:rsidRDefault="003A3ECD" w:rsidP="00EE652B">
            <w:pPr>
              <w:spacing w:after="0"/>
              <w:jc w:val="center"/>
              <w:rPr>
                <w:rFonts w:cstheme="minorHAnsi"/>
                <w:b/>
                <w:color w:val="000000"/>
                <w:sz w:val="20"/>
                <w:szCs w:val="20"/>
              </w:rPr>
            </w:pPr>
            <w:r w:rsidRPr="008F6866">
              <w:rPr>
                <w:rFonts w:cstheme="minorHAnsi"/>
                <w:b/>
                <w:color w:val="000000"/>
                <w:sz w:val="20"/>
                <w:szCs w:val="20"/>
              </w:rPr>
              <w:t>r</w:t>
            </w:r>
          </w:p>
        </w:tc>
        <w:tc>
          <w:tcPr>
            <w:tcW w:w="708" w:type="dxa"/>
            <w:tcBorders>
              <w:bottom w:val="single" w:sz="12" w:space="0" w:color="000000"/>
            </w:tcBorders>
          </w:tcPr>
          <w:p w14:paraId="53F9957B" w14:textId="77777777" w:rsidR="003A3ECD" w:rsidRPr="008F6866" w:rsidRDefault="003A3ECD" w:rsidP="00EE652B">
            <w:pPr>
              <w:spacing w:after="0"/>
              <w:jc w:val="center"/>
              <w:rPr>
                <w:rFonts w:cstheme="minorHAnsi"/>
                <w:b/>
                <w:color w:val="000000"/>
                <w:sz w:val="20"/>
                <w:szCs w:val="20"/>
              </w:rPr>
            </w:pPr>
            <w:r w:rsidRPr="008F6866">
              <w:rPr>
                <w:rFonts w:cstheme="minorHAnsi"/>
                <w:b/>
                <w:color w:val="000000"/>
                <w:sz w:val="20"/>
                <w:szCs w:val="20"/>
              </w:rPr>
              <w:t>RMSE</w:t>
            </w:r>
          </w:p>
        </w:tc>
        <w:tc>
          <w:tcPr>
            <w:tcW w:w="567" w:type="dxa"/>
            <w:tcBorders>
              <w:bottom w:val="single" w:sz="12" w:space="0" w:color="000000"/>
            </w:tcBorders>
          </w:tcPr>
          <w:p w14:paraId="28E86D92" w14:textId="77777777" w:rsidR="003A3ECD" w:rsidRPr="008F6866" w:rsidRDefault="003A3ECD" w:rsidP="00EE652B">
            <w:pPr>
              <w:spacing w:after="0"/>
              <w:jc w:val="center"/>
              <w:rPr>
                <w:rFonts w:cstheme="minorHAnsi"/>
                <w:b/>
                <w:color w:val="000000"/>
                <w:sz w:val="20"/>
                <w:szCs w:val="20"/>
              </w:rPr>
            </w:pPr>
            <w:r w:rsidRPr="008F6866">
              <w:rPr>
                <w:rFonts w:cstheme="minorHAnsi"/>
                <w:b/>
                <w:color w:val="000000"/>
                <w:sz w:val="20"/>
                <w:szCs w:val="20"/>
              </w:rPr>
              <w:t>r</w:t>
            </w:r>
          </w:p>
        </w:tc>
        <w:tc>
          <w:tcPr>
            <w:tcW w:w="709" w:type="dxa"/>
            <w:tcBorders>
              <w:bottom w:val="single" w:sz="12" w:space="0" w:color="000000"/>
            </w:tcBorders>
          </w:tcPr>
          <w:p w14:paraId="77C0445D" w14:textId="77777777" w:rsidR="003A3ECD" w:rsidRPr="008F6866" w:rsidRDefault="003A3ECD" w:rsidP="00EE652B">
            <w:pPr>
              <w:spacing w:after="0"/>
              <w:jc w:val="center"/>
              <w:rPr>
                <w:rFonts w:cstheme="minorHAnsi"/>
                <w:b/>
                <w:color w:val="000000"/>
                <w:sz w:val="20"/>
                <w:szCs w:val="20"/>
              </w:rPr>
            </w:pPr>
            <w:r w:rsidRPr="008F6866">
              <w:rPr>
                <w:rFonts w:cstheme="minorHAnsi"/>
                <w:b/>
                <w:color w:val="000000"/>
                <w:sz w:val="20"/>
                <w:szCs w:val="20"/>
              </w:rPr>
              <w:t>RMSE</w:t>
            </w:r>
          </w:p>
        </w:tc>
        <w:tc>
          <w:tcPr>
            <w:tcW w:w="992" w:type="dxa"/>
            <w:tcBorders>
              <w:bottom w:val="single" w:sz="12" w:space="0" w:color="000000"/>
            </w:tcBorders>
          </w:tcPr>
          <w:p w14:paraId="260BAB2F" w14:textId="77777777" w:rsidR="003A3ECD" w:rsidRPr="008F6866" w:rsidRDefault="003A3ECD" w:rsidP="00EE652B">
            <w:pPr>
              <w:spacing w:after="0"/>
              <w:jc w:val="center"/>
              <w:rPr>
                <w:rFonts w:cstheme="minorHAnsi"/>
                <w:b/>
                <w:color w:val="000000"/>
                <w:sz w:val="20"/>
                <w:szCs w:val="20"/>
              </w:rPr>
            </w:pPr>
            <w:r w:rsidRPr="008F6866">
              <w:rPr>
                <w:rFonts w:cstheme="minorHAnsi"/>
                <w:b/>
                <w:color w:val="000000"/>
                <w:sz w:val="20"/>
                <w:szCs w:val="20"/>
              </w:rPr>
              <w:t>r</w:t>
            </w:r>
          </w:p>
        </w:tc>
        <w:tc>
          <w:tcPr>
            <w:tcW w:w="1134" w:type="dxa"/>
            <w:tcBorders>
              <w:bottom w:val="single" w:sz="12" w:space="0" w:color="000000"/>
            </w:tcBorders>
          </w:tcPr>
          <w:p w14:paraId="28B2E63E" w14:textId="77777777" w:rsidR="003A3ECD" w:rsidRPr="008F6866" w:rsidRDefault="003A3ECD" w:rsidP="00EE652B">
            <w:pPr>
              <w:spacing w:after="0"/>
              <w:jc w:val="center"/>
              <w:rPr>
                <w:rFonts w:cstheme="minorHAnsi"/>
                <w:b/>
                <w:color w:val="000000"/>
                <w:sz w:val="20"/>
                <w:szCs w:val="20"/>
              </w:rPr>
            </w:pPr>
            <w:r w:rsidRPr="008F6866">
              <w:rPr>
                <w:rFonts w:cstheme="minorHAnsi"/>
                <w:b/>
                <w:color w:val="000000"/>
                <w:sz w:val="20"/>
                <w:szCs w:val="20"/>
              </w:rPr>
              <w:t>RMSE</w:t>
            </w:r>
          </w:p>
        </w:tc>
        <w:tc>
          <w:tcPr>
            <w:tcW w:w="851" w:type="dxa"/>
            <w:tcBorders>
              <w:bottom w:val="single" w:sz="12" w:space="0" w:color="000000"/>
            </w:tcBorders>
          </w:tcPr>
          <w:p w14:paraId="7237ACE4" w14:textId="77777777" w:rsidR="003A3ECD" w:rsidRPr="008F6866" w:rsidRDefault="003A3ECD" w:rsidP="00EE652B">
            <w:pPr>
              <w:spacing w:after="0"/>
              <w:jc w:val="center"/>
              <w:rPr>
                <w:rFonts w:cstheme="minorHAnsi"/>
                <w:b/>
                <w:color w:val="000000"/>
                <w:sz w:val="20"/>
                <w:szCs w:val="20"/>
              </w:rPr>
            </w:pPr>
            <w:r w:rsidRPr="008F6866">
              <w:rPr>
                <w:rFonts w:cstheme="minorHAnsi"/>
                <w:b/>
                <w:color w:val="000000"/>
                <w:sz w:val="20"/>
                <w:szCs w:val="20"/>
              </w:rPr>
              <w:t>r</w:t>
            </w:r>
          </w:p>
        </w:tc>
        <w:tc>
          <w:tcPr>
            <w:tcW w:w="1118" w:type="dxa"/>
            <w:tcBorders>
              <w:bottom w:val="single" w:sz="12" w:space="0" w:color="000000"/>
            </w:tcBorders>
          </w:tcPr>
          <w:p w14:paraId="5CF094E5" w14:textId="77777777" w:rsidR="003A3ECD" w:rsidRPr="008F6866" w:rsidRDefault="003A3ECD" w:rsidP="00EE652B">
            <w:pPr>
              <w:spacing w:after="0"/>
              <w:jc w:val="center"/>
              <w:rPr>
                <w:rFonts w:cstheme="minorHAnsi"/>
                <w:b/>
                <w:color w:val="000000"/>
                <w:sz w:val="20"/>
                <w:szCs w:val="20"/>
              </w:rPr>
            </w:pPr>
            <w:r w:rsidRPr="008F6866">
              <w:rPr>
                <w:rFonts w:cstheme="minorHAnsi"/>
                <w:b/>
                <w:color w:val="000000"/>
                <w:sz w:val="20"/>
                <w:szCs w:val="20"/>
              </w:rPr>
              <w:t>RMSE</w:t>
            </w:r>
          </w:p>
        </w:tc>
        <w:tc>
          <w:tcPr>
            <w:tcW w:w="848" w:type="dxa"/>
            <w:tcBorders>
              <w:bottom w:val="single" w:sz="12" w:space="0" w:color="000000"/>
            </w:tcBorders>
          </w:tcPr>
          <w:p w14:paraId="148D0EF4" w14:textId="77777777" w:rsidR="003A3ECD" w:rsidRPr="008F6866" w:rsidRDefault="003A3ECD" w:rsidP="00EE652B">
            <w:pPr>
              <w:spacing w:after="0"/>
              <w:jc w:val="center"/>
              <w:rPr>
                <w:rFonts w:cstheme="minorHAnsi"/>
                <w:b/>
                <w:color w:val="000000"/>
                <w:sz w:val="20"/>
                <w:szCs w:val="20"/>
              </w:rPr>
            </w:pPr>
            <w:r w:rsidRPr="008F6866">
              <w:rPr>
                <w:rFonts w:cstheme="minorHAnsi"/>
                <w:b/>
                <w:color w:val="000000"/>
                <w:sz w:val="20"/>
                <w:szCs w:val="20"/>
              </w:rPr>
              <w:t>r</w:t>
            </w:r>
          </w:p>
        </w:tc>
        <w:tc>
          <w:tcPr>
            <w:tcW w:w="792" w:type="dxa"/>
            <w:tcBorders>
              <w:bottom w:val="single" w:sz="12" w:space="0" w:color="000000"/>
            </w:tcBorders>
          </w:tcPr>
          <w:p w14:paraId="0283607D" w14:textId="77777777" w:rsidR="003A3ECD" w:rsidRPr="008F6866" w:rsidRDefault="003A3ECD" w:rsidP="00EE652B">
            <w:pPr>
              <w:spacing w:after="0"/>
              <w:jc w:val="center"/>
              <w:rPr>
                <w:rFonts w:cstheme="minorHAnsi"/>
                <w:b/>
                <w:color w:val="000000"/>
                <w:sz w:val="20"/>
                <w:szCs w:val="20"/>
              </w:rPr>
            </w:pPr>
            <w:r w:rsidRPr="008F6866">
              <w:rPr>
                <w:rFonts w:cstheme="minorHAnsi"/>
                <w:b/>
                <w:color w:val="000000"/>
                <w:sz w:val="20"/>
                <w:szCs w:val="20"/>
              </w:rPr>
              <w:t>RMSE</w:t>
            </w:r>
          </w:p>
        </w:tc>
      </w:tr>
      <w:tr w:rsidR="003A3ECD" w:rsidRPr="008F6866" w14:paraId="3899D8E7" w14:textId="77777777" w:rsidTr="003A3ECD">
        <w:tc>
          <w:tcPr>
            <w:tcW w:w="1440" w:type="dxa"/>
            <w:tcBorders>
              <w:top w:val="single" w:sz="12" w:space="0" w:color="000000"/>
            </w:tcBorders>
          </w:tcPr>
          <w:p w14:paraId="38419D23" w14:textId="73FE3E84" w:rsidR="003A3ECD" w:rsidRPr="008F6866" w:rsidRDefault="003A3ECD" w:rsidP="00EE652B">
            <w:pPr>
              <w:spacing w:after="0"/>
              <w:rPr>
                <w:rFonts w:cstheme="minorHAnsi"/>
                <w:color w:val="000000"/>
                <w:sz w:val="20"/>
                <w:szCs w:val="20"/>
              </w:rPr>
            </w:pPr>
            <w:r w:rsidRPr="008F6866">
              <w:rPr>
                <w:rFonts w:cstheme="minorHAnsi"/>
                <w:color w:val="000000"/>
                <w:sz w:val="20"/>
                <w:szCs w:val="20"/>
              </w:rPr>
              <w:fldChar w:fldCharType="begin"/>
            </w:r>
            <w:r w:rsidR="006201C6">
              <w:rPr>
                <w:rFonts w:cstheme="minorHAnsi"/>
                <w:color w:val="000000"/>
                <w:sz w:val="20"/>
                <w:szCs w:val="20"/>
              </w:rPr>
              <w:instrText xml:space="preserve"> ADDIN EN.CITE &lt;EndNote&gt;&lt;Cite AuthorYear="1"&gt;&lt;Author&gt;Bregaglio&lt;/Author&gt;&lt;Year&gt;2010&lt;/Year&gt;&lt;RecNum&gt;377&lt;/RecNum&gt;&lt;IDText&gt;Bregaglio10&lt;/IDText&gt;&lt;DisplayText&gt;Bregaglio&lt;style face="italic"&gt; et al.&lt;/style&gt; (2010)&lt;/DisplayText&gt;&lt;record&gt;&lt;rec-number&gt;377&lt;/rec-number&gt;&lt;foreign-keys&gt;&lt;key app="EN" db-id="0px2fzdxhrpdrre2w5f5pdryx90atadrdavt" timestamp="1713949243"&gt;377&lt;/key&gt;&lt;/foreign-keys&gt;&lt;ref-type name="Journal Article"&gt;17&lt;/ref-type&gt;&lt;contributors&gt;&lt;authors&gt;&lt;author&gt;Bregaglio, S.&lt;/author&gt;&lt;author&gt;Donatelli, M.&lt;/author&gt;&lt;author&gt;Confalonieri, R.&lt;/author&gt;&lt;author&gt;Acutis, M.&lt;/author&gt;&lt;author&gt;Orlandini, S.&lt;/author&gt;&lt;/authors&gt;&lt;/contributors&gt;&lt;titles&gt;&lt;title&gt;An integrated evaluation of thirteen modelling solutions for the generation of hourly values of air relative humidity&lt;/title&gt;&lt;secondary-title&gt;Theoretical and Applied Climatology&lt;/secondary-title&gt;&lt;/titles&gt;&lt;periodical&gt;&lt;full-title&gt;Theoretical and Applied Climatology&lt;/full-title&gt;&lt;/periodical&gt;&lt;pages&gt;429-438&lt;/pages&gt;&lt;volume&gt;102&lt;/volume&gt;&lt;number&gt;3&lt;/number&gt;&lt;dates&gt;&lt;year&gt;2010&lt;/year&gt;&lt;/dates&gt;&lt;label&gt;Bregaglio10&lt;/label&gt;&lt;work-type&gt;Article&lt;/work-type&gt;&lt;urls&gt;&lt;related-urls&gt;&lt;url&gt;https://www.scopus.com/inward/record.uri?eid=2-s2.0-78249260622&amp;amp;doi=10.1007%2fs00704-010-0274-y&amp;amp;partnerID=40&amp;amp;md5=931cadc6e2b1e331e7f5b529a6aab7fb&lt;/url&gt;&lt;/related-urls&gt;&lt;/urls&gt;&lt;electronic-resource-num&gt;10.1007/s00704-010-0274-y&lt;/electronic-resource-num&gt;&lt;remote-database-name&gt;Scopus&lt;/remote-database-name&gt;&lt;/record&gt;&lt;/Cite&gt;&lt;/EndNote&gt;</w:instrText>
            </w:r>
            <w:r w:rsidRPr="008F6866">
              <w:rPr>
                <w:rFonts w:cstheme="minorHAnsi"/>
                <w:color w:val="000000"/>
                <w:sz w:val="20"/>
                <w:szCs w:val="20"/>
              </w:rPr>
              <w:fldChar w:fldCharType="separate"/>
            </w:r>
            <w:r w:rsidR="006201C6">
              <w:rPr>
                <w:rFonts w:cstheme="minorHAnsi"/>
                <w:noProof/>
                <w:color w:val="000000"/>
                <w:sz w:val="20"/>
                <w:szCs w:val="20"/>
              </w:rPr>
              <w:t>Bregaglio</w:t>
            </w:r>
            <w:r w:rsidR="006201C6" w:rsidRPr="006201C6">
              <w:rPr>
                <w:rFonts w:cstheme="minorHAnsi"/>
                <w:i/>
                <w:noProof/>
                <w:color w:val="000000"/>
                <w:sz w:val="20"/>
                <w:szCs w:val="20"/>
              </w:rPr>
              <w:t xml:space="preserve"> et al.</w:t>
            </w:r>
            <w:r w:rsidR="006201C6">
              <w:rPr>
                <w:rFonts w:cstheme="minorHAnsi"/>
                <w:noProof/>
                <w:color w:val="000000"/>
                <w:sz w:val="20"/>
                <w:szCs w:val="20"/>
              </w:rPr>
              <w:t xml:space="preserve"> (2010)</w:t>
            </w:r>
            <w:r w:rsidRPr="008F6866">
              <w:rPr>
                <w:rFonts w:cstheme="minorHAnsi"/>
                <w:color w:val="000000"/>
                <w:sz w:val="20"/>
                <w:szCs w:val="20"/>
              </w:rPr>
              <w:fldChar w:fldCharType="end"/>
            </w:r>
          </w:p>
        </w:tc>
        <w:tc>
          <w:tcPr>
            <w:tcW w:w="567" w:type="dxa"/>
            <w:tcBorders>
              <w:top w:val="single" w:sz="12" w:space="0" w:color="000000"/>
            </w:tcBorders>
          </w:tcPr>
          <w:p w14:paraId="4836266A"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708" w:type="dxa"/>
            <w:tcBorders>
              <w:top w:val="single" w:sz="12" w:space="0" w:color="000000"/>
            </w:tcBorders>
          </w:tcPr>
          <w:p w14:paraId="606C91D7"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567" w:type="dxa"/>
            <w:tcBorders>
              <w:top w:val="single" w:sz="12" w:space="0" w:color="000000"/>
            </w:tcBorders>
          </w:tcPr>
          <w:p w14:paraId="4023BD12"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709" w:type="dxa"/>
            <w:tcBorders>
              <w:top w:val="single" w:sz="12" w:space="0" w:color="000000"/>
            </w:tcBorders>
          </w:tcPr>
          <w:p w14:paraId="36193ED2"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992" w:type="dxa"/>
            <w:tcBorders>
              <w:top w:val="single" w:sz="12" w:space="0" w:color="000000"/>
            </w:tcBorders>
          </w:tcPr>
          <w:p w14:paraId="018BCB9F"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1134" w:type="dxa"/>
            <w:tcBorders>
              <w:top w:val="single" w:sz="12" w:space="0" w:color="000000"/>
            </w:tcBorders>
          </w:tcPr>
          <w:p w14:paraId="6B0F3141"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851" w:type="dxa"/>
            <w:tcBorders>
              <w:top w:val="single" w:sz="12" w:space="0" w:color="000000"/>
            </w:tcBorders>
          </w:tcPr>
          <w:p w14:paraId="40E1880B"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0.04-0.46</w:t>
            </w:r>
          </w:p>
        </w:tc>
        <w:tc>
          <w:tcPr>
            <w:tcW w:w="1118" w:type="dxa"/>
            <w:tcBorders>
              <w:top w:val="single" w:sz="12" w:space="0" w:color="000000"/>
            </w:tcBorders>
          </w:tcPr>
          <w:p w14:paraId="272CF5EC"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11.25-19.75</w:t>
            </w:r>
          </w:p>
        </w:tc>
        <w:tc>
          <w:tcPr>
            <w:tcW w:w="848" w:type="dxa"/>
            <w:tcBorders>
              <w:top w:val="single" w:sz="12" w:space="0" w:color="000000"/>
            </w:tcBorders>
          </w:tcPr>
          <w:p w14:paraId="02E3361B"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792" w:type="dxa"/>
            <w:tcBorders>
              <w:top w:val="single" w:sz="12" w:space="0" w:color="000000"/>
            </w:tcBorders>
          </w:tcPr>
          <w:p w14:paraId="619F5557"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r>
      <w:tr w:rsidR="003A3ECD" w:rsidRPr="008F6866" w14:paraId="1BE14AB0" w14:textId="77777777" w:rsidTr="003A3ECD">
        <w:tc>
          <w:tcPr>
            <w:tcW w:w="1440" w:type="dxa"/>
            <w:shd w:val="clear" w:color="auto" w:fill="BFBFBF"/>
          </w:tcPr>
          <w:p w14:paraId="0122EEC9" w14:textId="1FBF152F" w:rsidR="003A3ECD" w:rsidRPr="008F6866" w:rsidRDefault="003A3ECD" w:rsidP="00EE652B">
            <w:pPr>
              <w:spacing w:after="0"/>
              <w:rPr>
                <w:rFonts w:cstheme="minorHAnsi"/>
                <w:color w:val="000000"/>
                <w:sz w:val="20"/>
                <w:szCs w:val="20"/>
              </w:rPr>
            </w:pPr>
            <w:r w:rsidRPr="008F6866">
              <w:rPr>
                <w:rFonts w:cstheme="minorHAnsi"/>
                <w:color w:val="000000"/>
                <w:sz w:val="20"/>
                <w:szCs w:val="20"/>
              </w:rPr>
              <w:fldChar w:fldCharType="begin"/>
            </w:r>
            <w:r w:rsidR="006201C6">
              <w:rPr>
                <w:rFonts w:cstheme="minorHAnsi"/>
                <w:color w:val="000000"/>
                <w:sz w:val="20"/>
                <w:szCs w:val="20"/>
              </w:rPr>
              <w:instrText xml:space="preserve"> ADDIN EN.CITE &lt;EndNote&gt;&lt;Cite AuthorYear="1"&gt;&lt;Author&gt;Debele&lt;/Author&gt;&lt;Year&gt;2007&lt;/Year&gt;&lt;RecNum&gt;378&lt;/RecNum&gt;&lt;IDText&gt;Debele07&lt;/IDText&gt;&lt;DisplayText&gt;Debele&lt;style face="italic"&gt; et al.&lt;/style&gt; (2007)&lt;/DisplayText&gt;&lt;record&gt;&lt;rec-number&gt;378&lt;/rec-number&gt;&lt;foreign-keys&gt;&lt;key app="EN" db-id="0px2fzdxhrpdrre2w5f5pdryx90atadrdavt" timestamp="1713949363"&gt;378&lt;/key&gt;&lt;/foreign-keys&gt;&lt;ref-type name="Journal Article"&gt;17&lt;/ref-type&gt;&lt;contributors&gt;&lt;authors&gt;&lt;author&gt;Debele, B.&lt;/author&gt;&lt;author&gt;Srinivasan, R.&lt;/author&gt;&lt;author&gt;Yves Parlange, J.&lt;/author&gt;&lt;/authors&gt;&lt;/contributors&gt;&lt;titles&gt;&lt;title&gt;Accuracy evaluation of weather data generation and disaggregation methods at finer timescales&lt;/title&gt;&lt;secondary-title&gt;Advances in Water Resources&lt;/secondary-title&gt;&lt;/titles&gt;&lt;periodical&gt;&lt;full-title&gt;Advances in Water Resources&lt;/full-title&gt;&lt;/periodical&gt;&lt;pages&gt;1286-1300&lt;/pages&gt;&lt;volume&gt;30&lt;/volume&gt;&lt;number&gt;5&lt;/number&gt;&lt;dates&gt;&lt;year&gt;2007&lt;/year&gt;&lt;/dates&gt;&lt;label&gt;Debele07&lt;/label&gt;&lt;work-type&gt;Article&lt;/work-type&gt;&lt;urls&gt;&lt;related-urls&gt;&lt;url&gt;https://www.scopus.com/inward/record.uri?eid=2-s2.0-33847312259&amp;amp;doi=10.1016%2fj.advwatres.2006.11.009&amp;amp;partnerID=40&amp;amp;md5=e5877dfba68d7ecce14df94f202f1479&lt;/url&gt;&lt;/related-urls&gt;&lt;/urls&gt;&lt;electronic-resource-num&gt;10.1016/j.advwatres.2006.11.009&lt;/electronic-resource-num&gt;&lt;remote-database-name&gt;Scopus&lt;/remote-database-name&gt;&lt;/record&gt;&lt;/Cite&gt;&lt;/EndNote&gt;</w:instrText>
            </w:r>
            <w:r w:rsidRPr="008F6866">
              <w:rPr>
                <w:rFonts w:cstheme="minorHAnsi"/>
                <w:color w:val="000000"/>
                <w:sz w:val="20"/>
                <w:szCs w:val="20"/>
              </w:rPr>
              <w:fldChar w:fldCharType="separate"/>
            </w:r>
            <w:r w:rsidR="006201C6">
              <w:rPr>
                <w:rFonts w:cstheme="minorHAnsi"/>
                <w:noProof/>
                <w:color w:val="000000"/>
                <w:sz w:val="20"/>
                <w:szCs w:val="20"/>
              </w:rPr>
              <w:t>Debele</w:t>
            </w:r>
            <w:r w:rsidR="006201C6" w:rsidRPr="006201C6">
              <w:rPr>
                <w:rFonts w:cstheme="minorHAnsi"/>
                <w:i/>
                <w:noProof/>
                <w:color w:val="000000"/>
                <w:sz w:val="20"/>
                <w:szCs w:val="20"/>
              </w:rPr>
              <w:t xml:space="preserve"> et al.</w:t>
            </w:r>
            <w:r w:rsidR="006201C6">
              <w:rPr>
                <w:rFonts w:cstheme="minorHAnsi"/>
                <w:noProof/>
                <w:color w:val="000000"/>
                <w:sz w:val="20"/>
                <w:szCs w:val="20"/>
              </w:rPr>
              <w:t xml:space="preserve"> (2007)</w:t>
            </w:r>
            <w:r w:rsidRPr="008F6866">
              <w:rPr>
                <w:rFonts w:cstheme="minorHAnsi"/>
                <w:color w:val="000000"/>
                <w:sz w:val="20"/>
                <w:szCs w:val="20"/>
              </w:rPr>
              <w:fldChar w:fldCharType="end"/>
            </w:r>
          </w:p>
        </w:tc>
        <w:tc>
          <w:tcPr>
            <w:tcW w:w="567" w:type="dxa"/>
            <w:shd w:val="clear" w:color="auto" w:fill="BFBFBF"/>
          </w:tcPr>
          <w:p w14:paraId="342F58D5"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708" w:type="dxa"/>
            <w:shd w:val="clear" w:color="auto" w:fill="BFBFBF"/>
          </w:tcPr>
          <w:p w14:paraId="176FA59F"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567" w:type="dxa"/>
            <w:shd w:val="clear" w:color="auto" w:fill="BFBFBF"/>
          </w:tcPr>
          <w:p w14:paraId="31317342"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0.97</w:t>
            </w:r>
          </w:p>
        </w:tc>
        <w:tc>
          <w:tcPr>
            <w:tcW w:w="709" w:type="dxa"/>
            <w:shd w:val="clear" w:color="auto" w:fill="BFBFBF"/>
          </w:tcPr>
          <w:p w14:paraId="511F666E"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2.37</w:t>
            </w:r>
          </w:p>
        </w:tc>
        <w:tc>
          <w:tcPr>
            <w:tcW w:w="992" w:type="dxa"/>
            <w:shd w:val="clear" w:color="auto" w:fill="BFBFBF"/>
          </w:tcPr>
          <w:p w14:paraId="3CA97C0A"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0.35-0.55</w:t>
            </w:r>
          </w:p>
        </w:tc>
        <w:tc>
          <w:tcPr>
            <w:tcW w:w="1134" w:type="dxa"/>
            <w:shd w:val="clear" w:color="auto" w:fill="BFBFBF"/>
          </w:tcPr>
          <w:p w14:paraId="4D086758"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0.58-0.88</w:t>
            </w:r>
          </w:p>
        </w:tc>
        <w:tc>
          <w:tcPr>
            <w:tcW w:w="851" w:type="dxa"/>
            <w:shd w:val="clear" w:color="auto" w:fill="BFBFBF"/>
          </w:tcPr>
          <w:p w14:paraId="56718165"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0.51</w:t>
            </w:r>
          </w:p>
        </w:tc>
        <w:tc>
          <w:tcPr>
            <w:tcW w:w="1118" w:type="dxa"/>
            <w:shd w:val="clear" w:color="auto" w:fill="BFBFBF"/>
          </w:tcPr>
          <w:p w14:paraId="5B7DE525"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19.12</w:t>
            </w:r>
          </w:p>
        </w:tc>
        <w:tc>
          <w:tcPr>
            <w:tcW w:w="848" w:type="dxa"/>
            <w:shd w:val="clear" w:color="auto" w:fill="BFBFBF"/>
          </w:tcPr>
          <w:p w14:paraId="07CC9409"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0.48-0.77</w:t>
            </w:r>
          </w:p>
        </w:tc>
        <w:tc>
          <w:tcPr>
            <w:tcW w:w="792" w:type="dxa"/>
            <w:shd w:val="clear" w:color="auto" w:fill="BFBFBF"/>
          </w:tcPr>
          <w:p w14:paraId="4E57DDB5"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2.5-3.7</w:t>
            </w:r>
          </w:p>
        </w:tc>
      </w:tr>
      <w:tr w:rsidR="003A3ECD" w:rsidRPr="008F6866" w14:paraId="3F496F7A" w14:textId="77777777" w:rsidTr="003A3ECD">
        <w:tc>
          <w:tcPr>
            <w:tcW w:w="1440" w:type="dxa"/>
          </w:tcPr>
          <w:p w14:paraId="2CFB04ED" w14:textId="7E965216" w:rsidR="003A3ECD" w:rsidRPr="008F6866" w:rsidRDefault="003A3ECD" w:rsidP="00EE652B">
            <w:pPr>
              <w:spacing w:after="0"/>
              <w:rPr>
                <w:rFonts w:cstheme="minorHAnsi"/>
                <w:color w:val="000000"/>
                <w:sz w:val="20"/>
                <w:szCs w:val="20"/>
              </w:rPr>
            </w:pPr>
            <w:r w:rsidRPr="008F6866">
              <w:rPr>
                <w:rFonts w:cstheme="minorHAnsi"/>
                <w:color w:val="000000"/>
                <w:sz w:val="20"/>
                <w:szCs w:val="20"/>
              </w:rPr>
              <w:fldChar w:fldCharType="begin"/>
            </w:r>
            <w:r w:rsidR="006201C6">
              <w:rPr>
                <w:rFonts w:cstheme="minorHAnsi"/>
                <w:color w:val="000000"/>
                <w:sz w:val="20"/>
                <w:szCs w:val="20"/>
              </w:rPr>
              <w:instrText xml:space="preserve"> ADDIN EN.CITE &lt;EndNote&gt;&lt;Cite AuthorYear="1"&gt;&lt;Author&gt;Fadhel&lt;/Author&gt;&lt;Year&gt;2017&lt;/Year&gt;&lt;RecNum&gt;379&lt;/RecNum&gt;&lt;IDText&gt;Fadhel17&lt;/IDText&gt;&lt;DisplayText&gt;Fadhel&lt;style face="italic"&gt; et al.&lt;/style&gt; (2017)&lt;/DisplayText&gt;&lt;record&gt;&lt;rec-number&gt;379&lt;/rec-number&gt;&lt;foreign-keys&gt;&lt;key app="EN" db-id="0px2fzdxhrpdrre2w5f5pdryx90atadrdavt" timestamp="1713949422"&gt;379&lt;/key&gt;&lt;/foreign-keys&gt;&lt;ref-type name="Journal Article"&gt;17&lt;/ref-type&gt;&lt;contributors&gt;&lt;authors&gt;&lt;author&gt;Fadhel, S.&lt;/author&gt;&lt;author&gt;Rico-Ramirez, M. A.&lt;/author&gt;&lt;author&gt;Han, D.&lt;/author&gt;&lt;/authors&gt;&lt;/contributors&gt;&lt;titles&gt;&lt;title&gt;Uncertainty of Intensity–Duration–Frequency (IDF) curves due to varied climate baseline periods&lt;/title&gt;&lt;secondary-title&gt;Journal of Hydrology&lt;/secondary-title&gt;&lt;/titles&gt;&lt;periodical&gt;&lt;full-title&gt;Journal of Hydrology&lt;/full-title&gt;&lt;/periodical&gt;&lt;pages&gt;600-612&lt;/pages&gt;&lt;volume&gt;547&lt;/volume&gt;&lt;dates&gt;&lt;year&gt;2017&lt;/year&gt;&lt;/dates&gt;&lt;label&gt;Fadhel17&lt;/label&gt;&lt;work-type&gt;Article&lt;/work-type&gt;&lt;urls&gt;&lt;related-urls&gt;&lt;url&gt;https://www.scopus.com/inward/record.uri?eid=2-s2.0-85013769304&amp;amp;doi=10.1016%2fj.jhydrol.2017.02.013&amp;amp;partnerID=40&amp;amp;md5=c7d77460f60ec9146447f9c5e8ed94fc&lt;/url&gt;&lt;/related-urls&gt;&lt;/urls&gt;&lt;electronic-resource-num&gt;10.1016/j.jhydrol.2017.02.013&lt;/electronic-resource-num&gt;&lt;remote-database-name&gt;Scopus&lt;/remote-database-name&gt;&lt;/record&gt;&lt;/Cite&gt;&lt;/EndNote&gt;</w:instrText>
            </w:r>
            <w:r w:rsidRPr="008F6866">
              <w:rPr>
                <w:rFonts w:cstheme="minorHAnsi"/>
                <w:color w:val="000000"/>
                <w:sz w:val="20"/>
                <w:szCs w:val="20"/>
              </w:rPr>
              <w:fldChar w:fldCharType="separate"/>
            </w:r>
            <w:r w:rsidR="006201C6">
              <w:rPr>
                <w:rFonts w:cstheme="minorHAnsi"/>
                <w:noProof/>
                <w:color w:val="000000"/>
                <w:sz w:val="20"/>
                <w:szCs w:val="20"/>
              </w:rPr>
              <w:t>Fadhel</w:t>
            </w:r>
            <w:r w:rsidR="006201C6" w:rsidRPr="006201C6">
              <w:rPr>
                <w:rFonts w:cstheme="minorHAnsi"/>
                <w:i/>
                <w:noProof/>
                <w:color w:val="000000"/>
                <w:sz w:val="20"/>
                <w:szCs w:val="20"/>
              </w:rPr>
              <w:t xml:space="preserve"> et al.</w:t>
            </w:r>
            <w:r w:rsidR="006201C6">
              <w:rPr>
                <w:rFonts w:cstheme="minorHAnsi"/>
                <w:noProof/>
                <w:color w:val="000000"/>
                <w:sz w:val="20"/>
                <w:szCs w:val="20"/>
              </w:rPr>
              <w:t xml:space="preserve"> (2017)</w:t>
            </w:r>
            <w:r w:rsidRPr="008F6866">
              <w:rPr>
                <w:rFonts w:cstheme="minorHAnsi"/>
                <w:color w:val="000000"/>
                <w:sz w:val="20"/>
                <w:szCs w:val="20"/>
              </w:rPr>
              <w:fldChar w:fldCharType="end"/>
            </w:r>
          </w:p>
        </w:tc>
        <w:tc>
          <w:tcPr>
            <w:tcW w:w="567" w:type="dxa"/>
          </w:tcPr>
          <w:p w14:paraId="34F8BA69"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708" w:type="dxa"/>
          </w:tcPr>
          <w:p w14:paraId="45141E78"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567" w:type="dxa"/>
          </w:tcPr>
          <w:p w14:paraId="2FE1B0A5"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709" w:type="dxa"/>
          </w:tcPr>
          <w:p w14:paraId="004275A0"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992" w:type="dxa"/>
          </w:tcPr>
          <w:p w14:paraId="10A719C6"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1134" w:type="dxa"/>
          </w:tcPr>
          <w:p w14:paraId="75947F91"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3.44-3.46</w:t>
            </w:r>
          </w:p>
        </w:tc>
        <w:tc>
          <w:tcPr>
            <w:tcW w:w="851" w:type="dxa"/>
          </w:tcPr>
          <w:p w14:paraId="5CEEE68D"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1118" w:type="dxa"/>
          </w:tcPr>
          <w:p w14:paraId="540F8B75"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848" w:type="dxa"/>
          </w:tcPr>
          <w:p w14:paraId="7365F858"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792" w:type="dxa"/>
          </w:tcPr>
          <w:p w14:paraId="29F536F0"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r>
      <w:tr w:rsidR="003A3ECD" w:rsidRPr="008F6866" w14:paraId="3C26B0A8" w14:textId="77777777" w:rsidTr="003A3ECD">
        <w:trPr>
          <w:trHeight w:val="210"/>
        </w:trPr>
        <w:tc>
          <w:tcPr>
            <w:tcW w:w="1440" w:type="dxa"/>
            <w:shd w:val="clear" w:color="auto" w:fill="BFBFBF"/>
          </w:tcPr>
          <w:p w14:paraId="7F46706F" w14:textId="05818F2D" w:rsidR="003A3ECD" w:rsidRPr="008F6866" w:rsidRDefault="003A3ECD" w:rsidP="00EE652B">
            <w:pPr>
              <w:spacing w:after="0"/>
              <w:rPr>
                <w:rFonts w:cstheme="minorHAnsi"/>
                <w:color w:val="000000"/>
                <w:sz w:val="20"/>
                <w:szCs w:val="20"/>
              </w:rPr>
            </w:pPr>
            <w:r w:rsidRPr="008F6866">
              <w:rPr>
                <w:rFonts w:cstheme="minorHAnsi"/>
                <w:color w:val="000000"/>
                <w:sz w:val="20"/>
                <w:szCs w:val="20"/>
              </w:rPr>
              <w:fldChar w:fldCharType="begin"/>
            </w:r>
            <w:r w:rsidR="006201C6">
              <w:rPr>
                <w:rFonts w:cstheme="minorHAnsi"/>
                <w:color w:val="000000"/>
                <w:sz w:val="20"/>
                <w:szCs w:val="20"/>
              </w:rPr>
              <w:instrText xml:space="preserve"> ADDIN EN.CITE &lt;EndNote&gt;&lt;Cite AuthorYear="1"&gt;&lt;Author&gt;Förster&lt;/Author&gt;&lt;Year&gt;2016&lt;/Year&gt;&lt;RecNum&gt;328&lt;/RecNum&gt;&lt;IDText&gt;Forster16&lt;/IDText&gt;&lt;DisplayText&gt;Förster&lt;style face="italic"&gt; et al.&lt;/style&gt; (2016)&lt;/DisplayText&gt;&lt;record&gt;&lt;rec-number&gt;328&lt;/rec-number&gt;&lt;foreign-keys&gt;&lt;key app="EN" db-id="0px2fzdxhrpdrre2w5f5pdryx90atadrdavt" timestamp="1713801415"&gt;328&lt;/key&gt;&lt;/foreign-keys&gt;&lt;ref-type name="Journal Article"&gt;17&lt;/ref-type&gt;&lt;contributors&gt;&lt;authors&gt;&lt;author&gt;Förster, K.&lt;/author&gt;&lt;author&gt;Hanzer, F.&lt;/author&gt;&lt;author&gt;Winter, B.&lt;/author&gt;&lt;author&gt;Marke, T.&lt;/author&gt;&lt;author&gt;Strasser, U.&lt;/author&gt;&lt;/authors&gt;&lt;/contributors&gt;&lt;titles&gt;&lt;title&gt;An open-source MEteoroLOgical observation time series DISaggregation Tool (MELODIST v0.1.1)&lt;/title&gt;&lt;secondary-title&gt;Geoscientific Model Development&lt;/secondary-title&gt;&lt;/titles&gt;&lt;periodical&gt;&lt;full-title&gt;Geoscientific Model Development&lt;/full-title&gt;&lt;/periodical&gt;&lt;pages&gt;2315-2333&lt;/pages&gt;&lt;volume&gt;9&lt;/volume&gt;&lt;number&gt;7&lt;/number&gt;&lt;dates&gt;&lt;year&gt;2016&lt;/year&gt;&lt;/dates&gt;&lt;label&gt;Forster16&lt;/label&gt;&lt;work-type&gt;Article&lt;/work-type&gt;&lt;urls&gt;&lt;related-urls&gt;&lt;url&gt;https://www.scopus.com/inward/record.uri?eid=2-s2.0-84977609438&amp;amp;doi=10.5194%2fgmd-9-2315-2016&amp;amp;partnerID=40&amp;amp;md5=05f6f42ae00af4eed2fea86fabdc3a43&lt;/url&gt;&lt;/related-urls&gt;&lt;/urls&gt;&lt;electronic-resource-num&gt;10.5194/gmd-9-2315-2016&lt;/electronic-resource-num&gt;&lt;remote-database-name&gt;Scopus&lt;/remote-database-name&gt;&lt;/record&gt;&lt;/Cite&gt;&lt;/EndNote&gt;</w:instrText>
            </w:r>
            <w:r w:rsidRPr="008F6866">
              <w:rPr>
                <w:rFonts w:cstheme="minorHAnsi"/>
                <w:color w:val="000000"/>
                <w:sz w:val="20"/>
                <w:szCs w:val="20"/>
              </w:rPr>
              <w:fldChar w:fldCharType="separate"/>
            </w:r>
            <w:r w:rsidR="006201C6">
              <w:rPr>
                <w:rFonts w:cstheme="minorHAnsi"/>
                <w:noProof/>
                <w:color w:val="000000"/>
                <w:sz w:val="20"/>
                <w:szCs w:val="20"/>
              </w:rPr>
              <w:t>Förster</w:t>
            </w:r>
            <w:r w:rsidR="006201C6" w:rsidRPr="006201C6">
              <w:rPr>
                <w:rFonts w:cstheme="minorHAnsi"/>
                <w:i/>
                <w:noProof/>
                <w:color w:val="000000"/>
                <w:sz w:val="20"/>
                <w:szCs w:val="20"/>
              </w:rPr>
              <w:t xml:space="preserve"> et al.</w:t>
            </w:r>
            <w:r w:rsidR="006201C6">
              <w:rPr>
                <w:rFonts w:cstheme="minorHAnsi"/>
                <w:noProof/>
                <w:color w:val="000000"/>
                <w:sz w:val="20"/>
                <w:szCs w:val="20"/>
              </w:rPr>
              <w:t xml:space="preserve"> (2016)</w:t>
            </w:r>
            <w:r w:rsidRPr="008F6866">
              <w:rPr>
                <w:rFonts w:cstheme="minorHAnsi"/>
                <w:color w:val="000000"/>
                <w:sz w:val="20"/>
                <w:szCs w:val="20"/>
              </w:rPr>
              <w:fldChar w:fldCharType="end"/>
            </w:r>
          </w:p>
        </w:tc>
        <w:tc>
          <w:tcPr>
            <w:tcW w:w="567" w:type="dxa"/>
            <w:shd w:val="clear" w:color="auto" w:fill="BFBFBF"/>
          </w:tcPr>
          <w:p w14:paraId="4C545FB7"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0.94</w:t>
            </w:r>
          </w:p>
        </w:tc>
        <w:tc>
          <w:tcPr>
            <w:tcW w:w="708" w:type="dxa"/>
            <w:shd w:val="clear" w:color="auto" w:fill="BFBFBF"/>
          </w:tcPr>
          <w:p w14:paraId="5BE8C007"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46.6</w:t>
            </w:r>
          </w:p>
        </w:tc>
        <w:tc>
          <w:tcPr>
            <w:tcW w:w="567" w:type="dxa"/>
            <w:shd w:val="clear" w:color="auto" w:fill="BFBFBF"/>
          </w:tcPr>
          <w:p w14:paraId="0B1BB080"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0.96</w:t>
            </w:r>
          </w:p>
        </w:tc>
        <w:tc>
          <w:tcPr>
            <w:tcW w:w="709" w:type="dxa"/>
            <w:shd w:val="clear" w:color="auto" w:fill="BFBFBF"/>
          </w:tcPr>
          <w:p w14:paraId="404EDDD1"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1.94</w:t>
            </w:r>
          </w:p>
        </w:tc>
        <w:tc>
          <w:tcPr>
            <w:tcW w:w="992" w:type="dxa"/>
            <w:shd w:val="clear" w:color="auto" w:fill="BFBFBF"/>
          </w:tcPr>
          <w:p w14:paraId="2CA0610F"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1134" w:type="dxa"/>
            <w:shd w:val="clear" w:color="auto" w:fill="BFBFBF"/>
          </w:tcPr>
          <w:p w14:paraId="1FB856E4"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w:t>
            </w:r>
          </w:p>
        </w:tc>
        <w:tc>
          <w:tcPr>
            <w:tcW w:w="851" w:type="dxa"/>
            <w:shd w:val="clear" w:color="auto" w:fill="BFBFBF"/>
          </w:tcPr>
          <w:p w14:paraId="7DEA2584"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0.49</w:t>
            </w:r>
          </w:p>
        </w:tc>
        <w:tc>
          <w:tcPr>
            <w:tcW w:w="1118" w:type="dxa"/>
            <w:shd w:val="clear" w:color="auto" w:fill="BFBFBF"/>
          </w:tcPr>
          <w:p w14:paraId="1AAE3E1A"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15.08</w:t>
            </w:r>
          </w:p>
        </w:tc>
        <w:tc>
          <w:tcPr>
            <w:tcW w:w="848" w:type="dxa"/>
            <w:shd w:val="clear" w:color="auto" w:fill="BFBFBF"/>
          </w:tcPr>
          <w:p w14:paraId="29913CBF"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0.72</w:t>
            </w:r>
          </w:p>
        </w:tc>
        <w:tc>
          <w:tcPr>
            <w:tcW w:w="792" w:type="dxa"/>
            <w:shd w:val="clear" w:color="auto" w:fill="BFBFBF"/>
          </w:tcPr>
          <w:p w14:paraId="43D421EF"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1.33</w:t>
            </w:r>
          </w:p>
        </w:tc>
      </w:tr>
      <w:tr w:rsidR="003A3ECD" w:rsidRPr="008F6866" w14:paraId="7F127459" w14:textId="77777777" w:rsidTr="003A3ECD">
        <w:tc>
          <w:tcPr>
            <w:tcW w:w="1440" w:type="dxa"/>
          </w:tcPr>
          <w:p w14:paraId="3353E6E9" w14:textId="19B494B9" w:rsidR="003A3ECD" w:rsidRPr="008F6866" w:rsidRDefault="003A3ECD" w:rsidP="00EE652B">
            <w:pPr>
              <w:spacing w:after="0"/>
              <w:rPr>
                <w:rFonts w:cstheme="minorHAnsi"/>
                <w:color w:val="000000"/>
                <w:sz w:val="20"/>
                <w:szCs w:val="20"/>
              </w:rPr>
            </w:pPr>
            <w:r w:rsidRPr="008F6866">
              <w:rPr>
                <w:rFonts w:cstheme="minorHAnsi"/>
                <w:color w:val="000000"/>
                <w:sz w:val="20"/>
                <w:szCs w:val="20"/>
              </w:rPr>
              <w:fldChar w:fldCharType="begin"/>
            </w:r>
            <w:r w:rsidR="006201C6">
              <w:rPr>
                <w:rFonts w:cstheme="minorHAnsi"/>
                <w:color w:val="000000"/>
                <w:sz w:val="20"/>
                <w:szCs w:val="20"/>
              </w:rPr>
              <w:instrText xml:space="preserve"> ADDIN EN.CITE &lt;EndNote&gt;&lt;Cite AuthorYear="1"&gt;&lt;Author&gt;Lu&lt;/Author&gt;&lt;Year&gt;2014&lt;/Year&gt;&lt;RecNum&gt;380&lt;/RecNum&gt;&lt;IDText&gt;Lu14&lt;/IDText&gt;&lt;DisplayText&gt;Lu and Qin (2014)&lt;/DisplayText&gt;&lt;record&gt;&lt;rec-number&gt;380&lt;/rec-number&gt;&lt;foreign-keys&gt;&lt;key app="EN" db-id="0px2fzdxhrpdrre2w5f5pdryx90atadrdavt" timestamp="1713949576"&gt;380&lt;/key&gt;&lt;/foreign-keys&gt;&lt;ref-type name="Journal Article"&gt;17&lt;/ref-type&gt;&lt;contributors&gt;&lt;authors&gt;&lt;author&gt;Lu, Y.&lt;/author&gt;&lt;author&gt;Qin, X. S.&lt;/author&gt;&lt;/authors&gt;&lt;/contributors&gt;&lt;titles&gt;&lt;title&gt;Multisite rainfall downscaling and disaggregation in a tropical urban area&lt;/title&gt;&lt;secondary-title&gt;Journal of Hydrology&lt;/secondary-title&gt;&lt;/titles&gt;&lt;periodical&gt;&lt;full-title&gt;Journal of Hydrology&lt;/full-title&gt;&lt;/periodical&gt;&lt;pages&gt;55-65&lt;/pages&gt;&lt;volume&gt;509&lt;/volume&gt;&lt;dates&gt;&lt;year&gt;2014&lt;/year&gt;&lt;/dates&gt;&lt;label&gt;Lu14&lt;/label&gt;&lt;work-type&gt;Article&lt;/work-type&gt;&lt;urls&gt;&lt;related-urls&gt;&lt;url&gt;https://www.scopus.com/inward/record.uri?eid=2-s2.0-84890092676&amp;amp;doi=10.1016%2fj.jhydrol.2013.11.027&amp;amp;partnerID=40&amp;amp;md5=2b2726416cd9fab3b5ec8a43c601f756&lt;/url&gt;&lt;/related-urls&gt;&lt;/urls&gt;&lt;electronic-resource-num&gt;10.1016/j.jhydrol.2013.11.027&lt;/electronic-resource-num&gt;&lt;remote-database-name&gt;Scopus&lt;/remote-database-name&gt;&lt;/record&gt;&lt;/Cite&gt;&lt;/EndNote&gt;</w:instrText>
            </w:r>
            <w:r w:rsidRPr="008F6866">
              <w:rPr>
                <w:rFonts w:cstheme="minorHAnsi"/>
                <w:color w:val="000000"/>
                <w:sz w:val="20"/>
                <w:szCs w:val="20"/>
              </w:rPr>
              <w:fldChar w:fldCharType="separate"/>
            </w:r>
            <w:r w:rsidR="006201C6">
              <w:rPr>
                <w:rFonts w:cstheme="minorHAnsi"/>
                <w:noProof/>
                <w:color w:val="000000"/>
                <w:sz w:val="20"/>
                <w:szCs w:val="20"/>
              </w:rPr>
              <w:t>Lu and Qin (2014)</w:t>
            </w:r>
            <w:r w:rsidRPr="008F6866">
              <w:rPr>
                <w:rFonts w:cstheme="minorHAnsi"/>
                <w:color w:val="000000"/>
                <w:sz w:val="20"/>
                <w:szCs w:val="20"/>
              </w:rPr>
              <w:fldChar w:fldCharType="end"/>
            </w:r>
          </w:p>
        </w:tc>
        <w:tc>
          <w:tcPr>
            <w:tcW w:w="567" w:type="dxa"/>
          </w:tcPr>
          <w:p w14:paraId="34CE563B" w14:textId="77777777" w:rsidR="003A3ECD" w:rsidRPr="008F6866" w:rsidRDefault="003A3ECD" w:rsidP="00EE652B">
            <w:pPr>
              <w:spacing w:after="0"/>
              <w:jc w:val="center"/>
              <w:rPr>
                <w:rFonts w:cstheme="minorHAnsi"/>
                <w:color w:val="000000"/>
                <w:sz w:val="20"/>
                <w:szCs w:val="20"/>
              </w:rPr>
            </w:pPr>
          </w:p>
        </w:tc>
        <w:tc>
          <w:tcPr>
            <w:tcW w:w="708" w:type="dxa"/>
          </w:tcPr>
          <w:p w14:paraId="6ACEEA40" w14:textId="77777777" w:rsidR="003A3ECD" w:rsidRPr="008F6866" w:rsidRDefault="003A3ECD" w:rsidP="00EE652B">
            <w:pPr>
              <w:spacing w:after="0"/>
              <w:jc w:val="center"/>
              <w:rPr>
                <w:rFonts w:cstheme="minorHAnsi"/>
                <w:color w:val="000000"/>
                <w:sz w:val="20"/>
                <w:szCs w:val="20"/>
              </w:rPr>
            </w:pPr>
          </w:p>
        </w:tc>
        <w:tc>
          <w:tcPr>
            <w:tcW w:w="567" w:type="dxa"/>
          </w:tcPr>
          <w:p w14:paraId="1EFD8AC5" w14:textId="77777777" w:rsidR="003A3ECD" w:rsidRPr="008F6866" w:rsidRDefault="003A3ECD" w:rsidP="00EE652B">
            <w:pPr>
              <w:spacing w:after="0"/>
              <w:jc w:val="center"/>
              <w:rPr>
                <w:rFonts w:cstheme="minorHAnsi"/>
                <w:color w:val="000000"/>
                <w:sz w:val="20"/>
                <w:szCs w:val="20"/>
              </w:rPr>
            </w:pPr>
          </w:p>
        </w:tc>
        <w:tc>
          <w:tcPr>
            <w:tcW w:w="709" w:type="dxa"/>
          </w:tcPr>
          <w:p w14:paraId="7FC1623B" w14:textId="77777777" w:rsidR="003A3ECD" w:rsidRPr="008F6866" w:rsidRDefault="003A3ECD" w:rsidP="00EE652B">
            <w:pPr>
              <w:spacing w:after="0"/>
              <w:jc w:val="center"/>
              <w:rPr>
                <w:rFonts w:cstheme="minorHAnsi"/>
                <w:color w:val="000000"/>
                <w:sz w:val="20"/>
                <w:szCs w:val="20"/>
              </w:rPr>
            </w:pPr>
          </w:p>
        </w:tc>
        <w:tc>
          <w:tcPr>
            <w:tcW w:w="992" w:type="dxa"/>
          </w:tcPr>
          <w:p w14:paraId="38E27A41" w14:textId="77777777" w:rsidR="003A3ECD" w:rsidRPr="008F6866" w:rsidRDefault="003A3ECD" w:rsidP="00EE652B">
            <w:pPr>
              <w:spacing w:after="0"/>
              <w:jc w:val="center"/>
              <w:rPr>
                <w:rFonts w:cstheme="minorHAnsi"/>
                <w:color w:val="000000"/>
                <w:sz w:val="20"/>
                <w:szCs w:val="20"/>
              </w:rPr>
            </w:pPr>
          </w:p>
        </w:tc>
        <w:tc>
          <w:tcPr>
            <w:tcW w:w="1134" w:type="dxa"/>
          </w:tcPr>
          <w:p w14:paraId="6378DD2A"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1.98-4.06</w:t>
            </w:r>
          </w:p>
        </w:tc>
        <w:tc>
          <w:tcPr>
            <w:tcW w:w="851" w:type="dxa"/>
          </w:tcPr>
          <w:p w14:paraId="2EC96E06" w14:textId="77777777" w:rsidR="003A3ECD" w:rsidRPr="008F6866" w:rsidRDefault="003A3ECD" w:rsidP="00EE652B">
            <w:pPr>
              <w:spacing w:after="0"/>
              <w:jc w:val="center"/>
              <w:rPr>
                <w:rFonts w:cstheme="minorHAnsi"/>
                <w:color w:val="000000"/>
                <w:sz w:val="20"/>
                <w:szCs w:val="20"/>
              </w:rPr>
            </w:pPr>
          </w:p>
        </w:tc>
        <w:tc>
          <w:tcPr>
            <w:tcW w:w="1118" w:type="dxa"/>
          </w:tcPr>
          <w:p w14:paraId="008EA6E3" w14:textId="77777777" w:rsidR="003A3ECD" w:rsidRPr="008F6866" w:rsidRDefault="003A3ECD" w:rsidP="00EE652B">
            <w:pPr>
              <w:spacing w:after="0"/>
              <w:jc w:val="center"/>
              <w:rPr>
                <w:rFonts w:cstheme="minorHAnsi"/>
                <w:color w:val="000000"/>
                <w:sz w:val="20"/>
                <w:szCs w:val="20"/>
              </w:rPr>
            </w:pPr>
          </w:p>
        </w:tc>
        <w:tc>
          <w:tcPr>
            <w:tcW w:w="848" w:type="dxa"/>
          </w:tcPr>
          <w:p w14:paraId="7BA5099C" w14:textId="77777777" w:rsidR="003A3ECD" w:rsidRPr="008F6866" w:rsidRDefault="003A3ECD" w:rsidP="00EE652B">
            <w:pPr>
              <w:spacing w:after="0"/>
              <w:jc w:val="center"/>
              <w:rPr>
                <w:rFonts w:cstheme="minorHAnsi"/>
                <w:color w:val="000000"/>
                <w:sz w:val="20"/>
                <w:szCs w:val="20"/>
              </w:rPr>
            </w:pPr>
          </w:p>
        </w:tc>
        <w:tc>
          <w:tcPr>
            <w:tcW w:w="792" w:type="dxa"/>
          </w:tcPr>
          <w:p w14:paraId="056E99E4" w14:textId="77777777" w:rsidR="003A3ECD" w:rsidRPr="008F6866" w:rsidRDefault="003A3ECD" w:rsidP="00EE652B">
            <w:pPr>
              <w:spacing w:after="0"/>
              <w:jc w:val="center"/>
              <w:rPr>
                <w:rFonts w:cstheme="minorHAnsi"/>
                <w:color w:val="000000"/>
                <w:sz w:val="20"/>
                <w:szCs w:val="20"/>
              </w:rPr>
            </w:pPr>
          </w:p>
        </w:tc>
      </w:tr>
      <w:tr w:rsidR="003A3ECD" w:rsidRPr="008F6866" w14:paraId="2CC8A6C8" w14:textId="77777777" w:rsidTr="003A3ECD">
        <w:tc>
          <w:tcPr>
            <w:tcW w:w="1440" w:type="dxa"/>
            <w:tcBorders>
              <w:bottom w:val="single" w:sz="12" w:space="0" w:color="000000"/>
            </w:tcBorders>
            <w:shd w:val="clear" w:color="auto" w:fill="BFBFBF"/>
          </w:tcPr>
          <w:p w14:paraId="02068734" w14:textId="77777777" w:rsidR="003A3ECD" w:rsidRPr="008F6866" w:rsidRDefault="003A3ECD" w:rsidP="00EE652B">
            <w:pPr>
              <w:spacing w:after="0"/>
              <w:rPr>
                <w:rFonts w:cstheme="minorHAnsi"/>
                <w:color w:val="000000"/>
                <w:sz w:val="20"/>
                <w:szCs w:val="20"/>
              </w:rPr>
            </w:pPr>
            <w:r w:rsidRPr="008F6866">
              <w:rPr>
                <w:rFonts w:cstheme="minorHAnsi"/>
                <w:color w:val="000000"/>
                <w:sz w:val="20"/>
                <w:szCs w:val="20"/>
              </w:rPr>
              <w:t>Our study</w:t>
            </w:r>
          </w:p>
        </w:tc>
        <w:tc>
          <w:tcPr>
            <w:tcW w:w="567" w:type="dxa"/>
            <w:tcBorders>
              <w:bottom w:val="single" w:sz="12" w:space="0" w:color="000000"/>
            </w:tcBorders>
            <w:shd w:val="clear" w:color="auto" w:fill="BFBFBF"/>
          </w:tcPr>
          <w:p w14:paraId="4F7D7596"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0.96</w:t>
            </w:r>
          </w:p>
        </w:tc>
        <w:tc>
          <w:tcPr>
            <w:tcW w:w="708" w:type="dxa"/>
            <w:tcBorders>
              <w:bottom w:val="single" w:sz="12" w:space="0" w:color="000000"/>
            </w:tcBorders>
            <w:shd w:val="clear" w:color="auto" w:fill="BFBFBF"/>
          </w:tcPr>
          <w:p w14:paraId="1B14CEF8"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57.1</w:t>
            </w:r>
          </w:p>
        </w:tc>
        <w:tc>
          <w:tcPr>
            <w:tcW w:w="567" w:type="dxa"/>
            <w:tcBorders>
              <w:bottom w:val="single" w:sz="12" w:space="0" w:color="000000"/>
            </w:tcBorders>
            <w:shd w:val="clear" w:color="auto" w:fill="BFBFBF"/>
          </w:tcPr>
          <w:p w14:paraId="0854B18D"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0.98</w:t>
            </w:r>
          </w:p>
        </w:tc>
        <w:tc>
          <w:tcPr>
            <w:tcW w:w="709" w:type="dxa"/>
            <w:tcBorders>
              <w:bottom w:val="single" w:sz="12" w:space="0" w:color="000000"/>
            </w:tcBorders>
            <w:shd w:val="clear" w:color="auto" w:fill="BFBFBF"/>
          </w:tcPr>
          <w:p w14:paraId="342C1D34"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1.42</w:t>
            </w:r>
          </w:p>
        </w:tc>
        <w:tc>
          <w:tcPr>
            <w:tcW w:w="992" w:type="dxa"/>
            <w:tcBorders>
              <w:bottom w:val="single" w:sz="12" w:space="0" w:color="000000"/>
            </w:tcBorders>
            <w:shd w:val="clear" w:color="auto" w:fill="BFBFBF"/>
          </w:tcPr>
          <w:p w14:paraId="1B692976"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0.41</w:t>
            </w:r>
          </w:p>
        </w:tc>
        <w:tc>
          <w:tcPr>
            <w:tcW w:w="1134" w:type="dxa"/>
            <w:tcBorders>
              <w:bottom w:val="single" w:sz="12" w:space="0" w:color="000000"/>
            </w:tcBorders>
            <w:shd w:val="clear" w:color="auto" w:fill="BFBFBF"/>
          </w:tcPr>
          <w:p w14:paraId="2C6857FB"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0.51</w:t>
            </w:r>
          </w:p>
        </w:tc>
        <w:tc>
          <w:tcPr>
            <w:tcW w:w="851" w:type="dxa"/>
            <w:tcBorders>
              <w:bottom w:val="single" w:sz="12" w:space="0" w:color="000000"/>
            </w:tcBorders>
            <w:shd w:val="clear" w:color="auto" w:fill="BFBFBF"/>
          </w:tcPr>
          <w:p w14:paraId="3A03EFEE"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0.63</w:t>
            </w:r>
          </w:p>
        </w:tc>
        <w:tc>
          <w:tcPr>
            <w:tcW w:w="1118" w:type="dxa"/>
            <w:tcBorders>
              <w:bottom w:val="single" w:sz="12" w:space="0" w:color="000000"/>
            </w:tcBorders>
            <w:shd w:val="clear" w:color="auto" w:fill="BFBFBF"/>
          </w:tcPr>
          <w:p w14:paraId="44185CB2"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14.20</w:t>
            </w:r>
          </w:p>
        </w:tc>
        <w:tc>
          <w:tcPr>
            <w:tcW w:w="848" w:type="dxa"/>
            <w:tcBorders>
              <w:bottom w:val="single" w:sz="12" w:space="0" w:color="000000"/>
            </w:tcBorders>
            <w:shd w:val="clear" w:color="auto" w:fill="BFBFBF"/>
          </w:tcPr>
          <w:p w14:paraId="75A8ED55"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0.82</w:t>
            </w:r>
          </w:p>
        </w:tc>
        <w:tc>
          <w:tcPr>
            <w:tcW w:w="792" w:type="dxa"/>
            <w:tcBorders>
              <w:bottom w:val="single" w:sz="12" w:space="0" w:color="000000"/>
            </w:tcBorders>
            <w:shd w:val="clear" w:color="auto" w:fill="BFBFBF"/>
          </w:tcPr>
          <w:p w14:paraId="6CA5B975" w14:textId="77777777" w:rsidR="003A3ECD" w:rsidRPr="008F6866" w:rsidRDefault="003A3ECD" w:rsidP="00EE652B">
            <w:pPr>
              <w:spacing w:after="0"/>
              <w:jc w:val="center"/>
              <w:rPr>
                <w:rFonts w:cstheme="minorHAnsi"/>
                <w:color w:val="000000"/>
                <w:sz w:val="20"/>
                <w:szCs w:val="20"/>
              </w:rPr>
            </w:pPr>
            <w:r w:rsidRPr="008F6866">
              <w:rPr>
                <w:rFonts w:cstheme="minorHAnsi"/>
                <w:color w:val="000000"/>
                <w:sz w:val="20"/>
                <w:szCs w:val="20"/>
              </w:rPr>
              <w:t>0.88</w:t>
            </w:r>
          </w:p>
        </w:tc>
      </w:tr>
    </w:tbl>
    <w:p w14:paraId="24426E8B" w14:textId="77AB8CF1" w:rsidR="00DE4897" w:rsidRPr="008F6866" w:rsidRDefault="39CFF0FF" w:rsidP="39CFF0FF">
      <w:pPr>
        <w:jc w:val="both"/>
        <w:rPr>
          <w:rFonts w:eastAsia="Calibri"/>
          <w:i/>
          <w:iCs/>
          <w:color w:val="000000"/>
          <w:sz w:val="18"/>
          <w:szCs w:val="18"/>
        </w:rPr>
      </w:pPr>
      <w:r w:rsidRPr="008F6866">
        <w:rPr>
          <w:i/>
          <w:iCs/>
          <w:color w:val="000000" w:themeColor="text1"/>
          <w:sz w:val="18"/>
          <w:szCs w:val="18"/>
        </w:rPr>
        <w:t>Note that this table only compares the statistical performances of disaggregation schemes, while computational efficiency is an important factor for analysing century-long data which is the case for the REGE+ project.</w:t>
      </w:r>
    </w:p>
    <w:p w14:paraId="456B49D4" w14:textId="77777777" w:rsidR="001E3624" w:rsidRDefault="001E3624">
      <w:pPr>
        <w:rPr>
          <w:rFonts w:cstheme="minorHAnsi"/>
          <w:b/>
        </w:rPr>
      </w:pPr>
      <w:r>
        <w:rPr>
          <w:rFonts w:cstheme="minorHAnsi"/>
          <w:b/>
        </w:rPr>
        <w:br w:type="page"/>
      </w:r>
    </w:p>
    <w:p w14:paraId="23979427" w14:textId="180CFDA4" w:rsidR="00DE4897" w:rsidRPr="008F6866" w:rsidRDefault="00DE4897" w:rsidP="00DE4897">
      <w:pPr>
        <w:jc w:val="both"/>
        <w:rPr>
          <w:rFonts w:eastAsia="Calibri" w:cstheme="minorHAnsi"/>
          <w:b/>
        </w:rPr>
      </w:pPr>
      <w:r w:rsidRPr="008F6866">
        <w:rPr>
          <w:rFonts w:cstheme="minorHAnsi"/>
          <w:b/>
        </w:rPr>
        <w:lastRenderedPageBreak/>
        <w:t>Evaluation of the bias correction methods</w:t>
      </w:r>
    </w:p>
    <w:p w14:paraId="091B64DA" w14:textId="7BDA71C2" w:rsidR="00DE4897" w:rsidRPr="008F6866" w:rsidRDefault="00DE4897" w:rsidP="00533D04">
      <w:pPr>
        <w:spacing w:after="120" w:line="300" w:lineRule="auto"/>
        <w:jc w:val="both"/>
        <w:rPr>
          <w:rFonts w:cstheme="minorHAnsi"/>
        </w:rPr>
      </w:pPr>
      <w:r w:rsidRPr="008F6866">
        <w:rPr>
          <w:rFonts w:cstheme="minorHAnsi"/>
        </w:rPr>
        <w:t>To evaluate the performance of the bias correction methods (additive/scaling and quantile mapping), we computed the Mean Absolute Error (MAE) between the models and observational data for both the uncorrected and bias-corrected datasets. The MAE is applied to each site and model separately.</w:t>
      </w:r>
      <w:r w:rsidR="00533D04" w:rsidRPr="008F6866">
        <w:rPr>
          <w:rFonts w:cstheme="minorHAnsi"/>
        </w:rPr>
        <w:t xml:space="preserve"> </w:t>
      </w:r>
      <w:r w:rsidR="00533D04" w:rsidRPr="008F6866">
        <w:rPr>
          <w:rFonts w:cstheme="minorHAnsi"/>
        </w:rPr>
        <w:fldChar w:fldCharType="begin"/>
      </w:r>
      <w:r w:rsidR="00533D04" w:rsidRPr="008F6866">
        <w:rPr>
          <w:rFonts w:cstheme="minorHAnsi"/>
        </w:rPr>
        <w:instrText xml:space="preserve"> REF _Ref195653886 \h  \* MERGEFORMAT </w:instrText>
      </w:r>
      <w:r w:rsidR="00533D04" w:rsidRPr="008F6866">
        <w:rPr>
          <w:rFonts w:cstheme="minorHAnsi"/>
        </w:rPr>
      </w:r>
      <w:r w:rsidR="00533D04" w:rsidRPr="008F6866">
        <w:rPr>
          <w:rFonts w:cstheme="minorHAnsi"/>
        </w:rPr>
        <w:fldChar w:fldCharType="separate"/>
      </w:r>
      <w:r w:rsidR="00540DBF" w:rsidRPr="00540DBF">
        <w:rPr>
          <w:rFonts w:cstheme="minorHAnsi"/>
        </w:rPr>
        <w:t>Table XV</w:t>
      </w:r>
      <w:r w:rsidR="00533D04" w:rsidRPr="008F6866">
        <w:rPr>
          <w:rFonts w:cstheme="minorHAnsi"/>
        </w:rPr>
        <w:fldChar w:fldCharType="end"/>
      </w:r>
      <w:r w:rsidRPr="008F6866">
        <w:rPr>
          <w:rFonts w:cstheme="minorHAnsi"/>
        </w:rPr>
        <w:t xml:space="preserve"> presents the average MAE computed across the eleven sites and eleven CMIP6 models for the six variables that we bias-corrected.</w:t>
      </w:r>
    </w:p>
    <w:p w14:paraId="7AF8BA03" w14:textId="2A0428A2" w:rsidR="00DE4897" w:rsidRPr="008F6866" w:rsidRDefault="00DE4897" w:rsidP="004B0FF6">
      <w:pPr>
        <w:spacing w:after="0" w:line="300" w:lineRule="auto"/>
        <w:jc w:val="both"/>
        <w:rPr>
          <w:rFonts w:cstheme="minorHAnsi"/>
        </w:rPr>
      </w:pPr>
      <w:r w:rsidRPr="008F6866">
        <w:rPr>
          <w:rFonts w:cstheme="minorHAnsi"/>
        </w:rPr>
        <w:t xml:space="preserve">The additive and scaling methods reduce the average (site and model) bias of near-surface relative humidity, total precipitation, short-wave incoming radiation, near-surface wind speed, near-surface air temperature, near-surface minimum air temperature by 4.23%, </w:t>
      </w:r>
      <m:oMath>
        <m:r>
          <w:rPr>
            <w:rFonts w:ascii="Cambria Math" w:hAnsi="Cambria Math" w:cstheme="minorHAnsi"/>
          </w:rPr>
          <m:t xml:space="preserve">0.2 </m:t>
        </m:r>
        <m:r>
          <m:rPr>
            <m:sty m:val="p"/>
          </m:rPr>
          <w:rPr>
            <w:rFonts w:ascii="Cambria Math" w:hAnsi="Cambria Math" w:cstheme="minorHAnsi"/>
          </w:rPr>
          <m:t xml:space="preserve">mm </m:t>
        </m:r>
        <m:sSup>
          <m:sSupPr>
            <m:ctrlPr>
              <w:rPr>
                <w:rFonts w:ascii="Cambria Math" w:hAnsi="Cambria Math" w:cstheme="minorHAnsi"/>
              </w:rPr>
            </m:ctrlPr>
          </m:sSupPr>
          <m:e>
            <m:r>
              <m:rPr>
                <m:sty m:val="p"/>
              </m:rPr>
              <w:rPr>
                <w:rFonts w:ascii="Cambria Math" w:hAnsi="Cambria Math" w:cstheme="minorHAnsi"/>
              </w:rPr>
              <m:t>day</m:t>
            </m:r>
          </m:e>
          <m:sup>
            <m:r>
              <m:rPr>
                <m:sty m:val="p"/>
              </m:rPr>
              <w:rPr>
                <w:rFonts w:ascii="Cambria Math" w:hAnsi="Cambria Math" w:cstheme="minorHAnsi"/>
              </w:rPr>
              <m:t>-1</m:t>
            </m:r>
          </m:sup>
        </m:sSup>
      </m:oMath>
      <w:r w:rsidRPr="008F6866">
        <w:rPr>
          <w:rFonts w:eastAsiaTheme="minorEastAsia" w:cstheme="minorHAnsi"/>
        </w:rPr>
        <w:t xml:space="preserve">, </w:t>
      </w:r>
      <m:oMath>
        <m:r>
          <w:rPr>
            <w:rFonts w:ascii="Cambria Math" w:eastAsiaTheme="minorEastAsia" w:hAnsi="Cambria Math" w:cstheme="minorHAnsi"/>
          </w:rPr>
          <m:t xml:space="preserve">14.28 </m:t>
        </m:r>
        <m:r>
          <m:rPr>
            <m:sty m:val="p"/>
          </m:rPr>
          <w:rPr>
            <w:rFonts w:ascii="Cambria Math" w:hAnsi="Cambria Math" w:cstheme="minorHAnsi"/>
          </w:rPr>
          <m:t xml:space="preserve">W </m:t>
        </m:r>
        <m:sSup>
          <m:sSupPr>
            <m:ctrlPr>
              <w:rPr>
                <w:rFonts w:ascii="Cambria Math" w:hAnsi="Cambria Math" w:cstheme="minorHAnsi"/>
              </w:rPr>
            </m:ctrlPr>
          </m:sSupPr>
          <m:e>
            <m:r>
              <m:rPr>
                <m:sty m:val="p"/>
              </m:rPr>
              <w:rPr>
                <w:rFonts w:ascii="Cambria Math" w:hAnsi="Cambria Math" w:cstheme="minorHAnsi"/>
              </w:rPr>
              <m:t>m</m:t>
            </m:r>
          </m:e>
          <m:sup>
            <m:r>
              <m:rPr>
                <m:sty m:val="p"/>
              </m:rPr>
              <w:rPr>
                <w:rFonts w:ascii="Cambria Math" w:hAnsi="Cambria Math" w:cstheme="minorHAnsi"/>
              </w:rPr>
              <m:t>-2</m:t>
            </m:r>
          </m:sup>
        </m:sSup>
      </m:oMath>
      <w:r w:rsidRPr="008F6866">
        <w:rPr>
          <w:rFonts w:eastAsiaTheme="minorEastAsia" w:cstheme="minorHAnsi"/>
        </w:rPr>
        <w:t xml:space="preserve">, </w:t>
      </w:r>
      <m:oMath>
        <m:r>
          <w:rPr>
            <w:rFonts w:ascii="Cambria Math" w:eastAsiaTheme="minorEastAsia" w:hAnsi="Cambria Math" w:cstheme="minorHAnsi"/>
          </w:rPr>
          <m:t xml:space="preserve">0.42 </m:t>
        </m:r>
        <m:r>
          <m:rPr>
            <m:sty m:val="p"/>
          </m:rPr>
          <w:rPr>
            <w:rFonts w:ascii="Cambria Math" w:hAnsi="Cambria Math" w:cstheme="minorHAnsi"/>
          </w:rPr>
          <m:t xml:space="preserve">m </m:t>
        </m:r>
        <m:sSup>
          <m:sSupPr>
            <m:ctrlPr>
              <w:rPr>
                <w:rFonts w:ascii="Cambria Math" w:hAnsi="Cambria Math" w:cstheme="minorHAnsi"/>
              </w:rPr>
            </m:ctrlPr>
          </m:sSupPr>
          <m:e>
            <m:r>
              <m:rPr>
                <m:sty m:val="p"/>
              </m:rPr>
              <w:rPr>
                <w:rFonts w:ascii="Cambria Math" w:hAnsi="Cambria Math" w:cstheme="minorHAnsi"/>
              </w:rPr>
              <m:t>s</m:t>
            </m:r>
          </m:e>
          <m:sup>
            <m:r>
              <m:rPr>
                <m:sty m:val="p"/>
              </m:rPr>
              <w:rPr>
                <w:rFonts w:ascii="Cambria Math" w:hAnsi="Cambria Math" w:cstheme="minorHAnsi"/>
              </w:rPr>
              <m:t>-1</m:t>
            </m:r>
          </m:sup>
        </m:sSup>
      </m:oMath>
      <w:r w:rsidRPr="008F6866">
        <w:rPr>
          <w:rFonts w:eastAsiaTheme="minorEastAsia" w:cstheme="minorHAnsi"/>
        </w:rPr>
        <w:t xml:space="preserve">, 1.05 °C and 1.67 °C, respectively. It corresponds to a reduction of the initial bias of 68%, 29%, 69%, 51%, 63% and 73%, respectively. </w:t>
      </w:r>
      <w:r w:rsidRPr="008F6866">
        <w:rPr>
          <w:rFonts w:cstheme="minorHAnsi"/>
        </w:rPr>
        <w:t xml:space="preserve">The quantile mapping (ISIMIP3) method reduces the average (site and model) bias of near-surface relative humidity, total precipitation, short-wave incoming radiation, near-surface wind speed, near-surface air temperature, near-surface minimum air temperature by 4.26%, </w:t>
      </w:r>
      <m:oMath>
        <m:r>
          <w:rPr>
            <w:rFonts w:ascii="Cambria Math" w:hAnsi="Cambria Math" w:cstheme="minorHAnsi"/>
          </w:rPr>
          <m:t xml:space="preserve">0.23 </m:t>
        </m:r>
        <m:r>
          <m:rPr>
            <m:sty m:val="p"/>
          </m:rPr>
          <w:rPr>
            <w:rFonts w:ascii="Cambria Math" w:hAnsi="Cambria Math" w:cstheme="minorHAnsi"/>
          </w:rPr>
          <m:t xml:space="preserve">mm </m:t>
        </m:r>
        <m:sSup>
          <m:sSupPr>
            <m:ctrlPr>
              <w:rPr>
                <w:rFonts w:ascii="Cambria Math" w:hAnsi="Cambria Math" w:cstheme="minorHAnsi"/>
              </w:rPr>
            </m:ctrlPr>
          </m:sSupPr>
          <m:e>
            <m:r>
              <m:rPr>
                <m:sty m:val="p"/>
              </m:rPr>
              <w:rPr>
                <w:rFonts w:ascii="Cambria Math" w:hAnsi="Cambria Math" w:cstheme="minorHAnsi"/>
              </w:rPr>
              <m:t>day</m:t>
            </m:r>
          </m:e>
          <m:sup>
            <m:r>
              <m:rPr>
                <m:sty m:val="p"/>
              </m:rPr>
              <w:rPr>
                <w:rFonts w:ascii="Cambria Math" w:hAnsi="Cambria Math" w:cstheme="minorHAnsi"/>
              </w:rPr>
              <m:t>-1</m:t>
            </m:r>
          </m:sup>
        </m:sSup>
      </m:oMath>
      <w:r w:rsidRPr="008F6866">
        <w:rPr>
          <w:rFonts w:eastAsiaTheme="minorEastAsia" w:cstheme="minorHAnsi"/>
        </w:rPr>
        <w:t xml:space="preserve">, </w:t>
      </w:r>
      <m:oMath>
        <m:r>
          <w:rPr>
            <w:rFonts w:ascii="Cambria Math" w:eastAsiaTheme="minorEastAsia" w:hAnsi="Cambria Math" w:cstheme="minorHAnsi"/>
          </w:rPr>
          <m:t xml:space="preserve">14.5 </m:t>
        </m:r>
        <m:r>
          <m:rPr>
            <m:sty m:val="p"/>
          </m:rPr>
          <w:rPr>
            <w:rFonts w:ascii="Cambria Math" w:hAnsi="Cambria Math" w:cstheme="minorHAnsi"/>
          </w:rPr>
          <m:t xml:space="preserve">W </m:t>
        </m:r>
        <m:sSup>
          <m:sSupPr>
            <m:ctrlPr>
              <w:rPr>
                <w:rFonts w:ascii="Cambria Math" w:hAnsi="Cambria Math" w:cstheme="minorHAnsi"/>
              </w:rPr>
            </m:ctrlPr>
          </m:sSupPr>
          <m:e>
            <m:r>
              <m:rPr>
                <m:sty m:val="p"/>
              </m:rPr>
              <w:rPr>
                <w:rFonts w:ascii="Cambria Math" w:hAnsi="Cambria Math" w:cstheme="minorHAnsi"/>
              </w:rPr>
              <m:t>m</m:t>
            </m:r>
          </m:e>
          <m:sup>
            <m:r>
              <m:rPr>
                <m:sty m:val="p"/>
              </m:rPr>
              <w:rPr>
                <w:rFonts w:ascii="Cambria Math" w:hAnsi="Cambria Math" w:cstheme="minorHAnsi"/>
              </w:rPr>
              <m:t>-2</m:t>
            </m:r>
          </m:sup>
        </m:sSup>
      </m:oMath>
      <w:r w:rsidRPr="008F6866">
        <w:rPr>
          <w:rFonts w:eastAsiaTheme="minorEastAsia" w:cstheme="minorHAnsi"/>
        </w:rPr>
        <w:t xml:space="preserve">, </w:t>
      </w:r>
      <m:oMath>
        <m:r>
          <w:rPr>
            <w:rFonts w:ascii="Cambria Math" w:eastAsiaTheme="minorEastAsia" w:hAnsi="Cambria Math" w:cstheme="minorHAnsi"/>
          </w:rPr>
          <m:t xml:space="preserve">0.42 </m:t>
        </m:r>
        <m:r>
          <m:rPr>
            <m:sty m:val="p"/>
          </m:rPr>
          <w:rPr>
            <w:rFonts w:ascii="Cambria Math" w:hAnsi="Cambria Math" w:cstheme="minorHAnsi"/>
          </w:rPr>
          <m:t xml:space="preserve">m </m:t>
        </m:r>
        <m:sSup>
          <m:sSupPr>
            <m:ctrlPr>
              <w:rPr>
                <w:rFonts w:ascii="Cambria Math" w:hAnsi="Cambria Math" w:cstheme="minorHAnsi"/>
              </w:rPr>
            </m:ctrlPr>
          </m:sSupPr>
          <m:e>
            <m:r>
              <m:rPr>
                <m:sty m:val="p"/>
              </m:rPr>
              <w:rPr>
                <w:rFonts w:ascii="Cambria Math" w:hAnsi="Cambria Math" w:cstheme="minorHAnsi"/>
              </w:rPr>
              <m:t>s</m:t>
            </m:r>
          </m:e>
          <m:sup>
            <m:r>
              <m:rPr>
                <m:sty m:val="p"/>
              </m:rPr>
              <w:rPr>
                <w:rFonts w:ascii="Cambria Math" w:hAnsi="Cambria Math" w:cstheme="minorHAnsi"/>
              </w:rPr>
              <m:t>-1</m:t>
            </m:r>
          </m:sup>
        </m:sSup>
      </m:oMath>
      <w:r w:rsidRPr="008F6866">
        <w:rPr>
          <w:rFonts w:eastAsiaTheme="minorEastAsia" w:cstheme="minorHAnsi"/>
        </w:rPr>
        <w:t>, 1.04 °C and 1.67 °C, respectively. It corresponds to a reduction of the initial bias of 69%, 33%, 70%, 51%, 62% and 73%, respectively.</w:t>
      </w:r>
      <w:r w:rsidR="00533D04" w:rsidRPr="008F6866">
        <w:rPr>
          <w:rFonts w:eastAsiaTheme="minorEastAsia" w:cstheme="minorHAnsi"/>
        </w:rPr>
        <w:t xml:space="preserve"> </w:t>
      </w:r>
      <w:r w:rsidR="00533D04" w:rsidRPr="008F6866">
        <w:rPr>
          <w:rFonts w:eastAsiaTheme="minorEastAsia" w:cstheme="minorHAnsi"/>
        </w:rPr>
        <w:fldChar w:fldCharType="begin"/>
      </w:r>
      <w:r w:rsidR="00533D04" w:rsidRPr="008F6866">
        <w:rPr>
          <w:rFonts w:eastAsiaTheme="minorEastAsia" w:cstheme="minorHAnsi"/>
        </w:rPr>
        <w:instrText xml:space="preserve"> REF _Ref195653886 \h  \* MERGEFORMAT </w:instrText>
      </w:r>
      <w:r w:rsidR="00533D04" w:rsidRPr="008F6866">
        <w:rPr>
          <w:rFonts w:eastAsiaTheme="minorEastAsia" w:cstheme="minorHAnsi"/>
        </w:rPr>
      </w:r>
      <w:r w:rsidR="00533D04" w:rsidRPr="008F6866">
        <w:rPr>
          <w:rFonts w:eastAsiaTheme="minorEastAsia" w:cstheme="minorHAnsi"/>
        </w:rPr>
        <w:fldChar w:fldCharType="separate"/>
      </w:r>
      <w:r w:rsidR="00540DBF" w:rsidRPr="00540DBF">
        <w:rPr>
          <w:rFonts w:eastAsiaTheme="minorEastAsia" w:cstheme="minorHAnsi"/>
        </w:rPr>
        <w:t>Table</w:t>
      </w:r>
      <w:r w:rsidR="00501C59">
        <w:rPr>
          <w:rFonts w:eastAsiaTheme="minorEastAsia" w:cstheme="minorHAnsi"/>
        </w:rPr>
        <w:t> </w:t>
      </w:r>
      <w:r w:rsidR="00540DBF" w:rsidRPr="00540DBF">
        <w:rPr>
          <w:rFonts w:eastAsiaTheme="minorEastAsia" w:cstheme="minorHAnsi"/>
        </w:rPr>
        <w:t>XV</w:t>
      </w:r>
      <w:r w:rsidR="00533D04" w:rsidRPr="008F6866">
        <w:rPr>
          <w:rFonts w:eastAsiaTheme="minorEastAsia" w:cstheme="minorHAnsi"/>
        </w:rPr>
        <w:fldChar w:fldCharType="end"/>
      </w:r>
      <w:r w:rsidRPr="008F6866">
        <w:rPr>
          <w:rFonts w:eastAsiaTheme="minorEastAsia" w:cstheme="minorHAnsi"/>
        </w:rPr>
        <w:t xml:space="preserve"> indicates that the two bias-corrections systematically reduce the model climatological biases for all variables. Also, the additive/scaling and quantile mapping approaches display similar performances. This was expected, as the MAE only provides bias-correction performances for the climatological mean of the distribution. </w:t>
      </w:r>
      <w:r w:rsidRPr="008F6866">
        <w:rPr>
          <w:rFonts w:cstheme="minorHAnsi"/>
        </w:rPr>
        <w:t>We evaluated other aspects of the distribution. For this purpose, boxplots representing the daily distributions of the six corrected variables are presented in</w:t>
      </w:r>
      <w:r w:rsidR="008F4D7B" w:rsidRPr="008F6866">
        <w:rPr>
          <w:rFonts w:cstheme="minorHAnsi"/>
        </w:rPr>
        <w:t xml:space="preserve"> </w:t>
      </w:r>
      <w:r w:rsidR="008F4D7B" w:rsidRPr="008F6866">
        <w:rPr>
          <w:rFonts w:cstheme="minorHAnsi"/>
        </w:rPr>
        <w:fldChar w:fldCharType="begin"/>
      </w:r>
      <w:r w:rsidR="008F4D7B" w:rsidRPr="008F6866">
        <w:rPr>
          <w:rFonts w:cstheme="minorHAnsi"/>
        </w:rPr>
        <w:instrText xml:space="preserve"> REF _Ref195653605 \h  \* MERGEFORMAT </w:instrText>
      </w:r>
      <w:r w:rsidR="008F4D7B" w:rsidRPr="008F6866">
        <w:rPr>
          <w:rFonts w:cstheme="minorHAnsi"/>
        </w:rPr>
      </w:r>
      <w:r w:rsidR="008F4D7B" w:rsidRPr="008F6866">
        <w:rPr>
          <w:rFonts w:cstheme="minorHAnsi"/>
        </w:rPr>
        <w:fldChar w:fldCharType="separate"/>
      </w:r>
      <w:r w:rsidR="00540DBF" w:rsidRPr="00540DBF">
        <w:rPr>
          <w:rFonts w:cstheme="minorHAnsi"/>
        </w:rPr>
        <w:t>Figure 27</w:t>
      </w:r>
      <w:r w:rsidR="008F4D7B" w:rsidRPr="008F6866">
        <w:rPr>
          <w:rFonts w:cstheme="minorHAnsi"/>
        </w:rPr>
        <w:fldChar w:fldCharType="end"/>
      </w:r>
      <w:r w:rsidRPr="008F6866">
        <w:rPr>
          <w:rFonts w:cstheme="minorHAnsi"/>
        </w:rPr>
        <w:t xml:space="preserve"> (additive/scaling corrections) and</w:t>
      </w:r>
      <w:r w:rsidR="008F4D7B" w:rsidRPr="008F6866">
        <w:rPr>
          <w:rFonts w:cstheme="minorHAnsi"/>
        </w:rPr>
        <w:t xml:space="preserve"> </w:t>
      </w:r>
      <w:r w:rsidR="008F4D7B" w:rsidRPr="008F6866">
        <w:rPr>
          <w:rFonts w:cstheme="minorHAnsi"/>
        </w:rPr>
        <w:fldChar w:fldCharType="begin"/>
      </w:r>
      <w:r w:rsidR="008F4D7B" w:rsidRPr="008F6866">
        <w:rPr>
          <w:rFonts w:cstheme="minorHAnsi"/>
        </w:rPr>
        <w:instrText xml:space="preserve"> REF _Ref195653624 \h  \* MERGEFORMAT </w:instrText>
      </w:r>
      <w:r w:rsidR="008F4D7B" w:rsidRPr="008F6866">
        <w:rPr>
          <w:rFonts w:cstheme="minorHAnsi"/>
        </w:rPr>
      </w:r>
      <w:r w:rsidR="008F4D7B" w:rsidRPr="008F6866">
        <w:rPr>
          <w:rFonts w:cstheme="minorHAnsi"/>
        </w:rPr>
        <w:fldChar w:fldCharType="separate"/>
      </w:r>
      <w:r w:rsidR="00540DBF" w:rsidRPr="00540DBF">
        <w:rPr>
          <w:rFonts w:cstheme="minorHAnsi"/>
        </w:rPr>
        <w:t>Figure 28</w:t>
      </w:r>
      <w:r w:rsidR="008F4D7B" w:rsidRPr="008F6866">
        <w:rPr>
          <w:rFonts w:cstheme="minorHAnsi"/>
        </w:rPr>
        <w:fldChar w:fldCharType="end"/>
      </w:r>
      <w:r w:rsidRPr="008F6866">
        <w:rPr>
          <w:rFonts w:cstheme="minorHAnsi"/>
        </w:rPr>
        <w:t xml:space="preserve"> (quantile mapping correction). Key aspects of the correction performances and their limitations are outlined below.</w:t>
      </w:r>
    </w:p>
    <w:p w14:paraId="4A3E8C34" w14:textId="77777777" w:rsidR="00533D04" w:rsidRPr="008F6866" w:rsidRDefault="00533D04" w:rsidP="001E00DD">
      <w:pPr>
        <w:spacing w:after="0" w:line="240" w:lineRule="auto"/>
        <w:jc w:val="both"/>
        <w:rPr>
          <w:rFonts w:cstheme="minorHAnsi"/>
        </w:rPr>
      </w:pPr>
    </w:p>
    <w:p w14:paraId="26330869" w14:textId="308A2920" w:rsidR="008F4D7B" w:rsidRPr="008F6866" w:rsidRDefault="008F4D7B" w:rsidP="008F4D7B">
      <w:pPr>
        <w:pStyle w:val="Lgende"/>
        <w:spacing w:after="60"/>
        <w:jc w:val="center"/>
        <w:rPr>
          <w:b/>
          <w:i w:val="0"/>
          <w:color w:val="000000" w:themeColor="text1"/>
          <w:sz w:val="20"/>
          <w:szCs w:val="20"/>
        </w:rPr>
      </w:pPr>
      <w:bookmarkStart w:id="86" w:name="_Ref195653886"/>
      <w:r w:rsidRPr="008F6866">
        <w:rPr>
          <w:b/>
          <w:i w:val="0"/>
          <w:color w:val="000000" w:themeColor="text1"/>
          <w:sz w:val="20"/>
          <w:szCs w:val="20"/>
        </w:rPr>
        <w:t xml:space="preserve">Table </w:t>
      </w:r>
      <w:r w:rsidR="00EE472B">
        <w:rPr>
          <w:b/>
          <w:i w:val="0"/>
          <w:color w:val="000000" w:themeColor="text1"/>
          <w:sz w:val="20"/>
          <w:szCs w:val="20"/>
        </w:rPr>
        <w:fldChar w:fldCharType="begin"/>
      </w:r>
      <w:r w:rsidR="00EE472B">
        <w:rPr>
          <w:b/>
          <w:i w:val="0"/>
          <w:color w:val="000000" w:themeColor="text1"/>
          <w:sz w:val="20"/>
          <w:szCs w:val="20"/>
        </w:rPr>
        <w:instrText xml:space="preserve"> SEQ Table \* ROMAN </w:instrText>
      </w:r>
      <w:r w:rsidR="00EE472B">
        <w:rPr>
          <w:b/>
          <w:i w:val="0"/>
          <w:color w:val="000000" w:themeColor="text1"/>
          <w:sz w:val="20"/>
          <w:szCs w:val="20"/>
        </w:rPr>
        <w:fldChar w:fldCharType="separate"/>
      </w:r>
      <w:r w:rsidR="00540DBF">
        <w:rPr>
          <w:b/>
          <w:i w:val="0"/>
          <w:noProof/>
          <w:color w:val="000000" w:themeColor="text1"/>
          <w:sz w:val="20"/>
          <w:szCs w:val="20"/>
        </w:rPr>
        <w:t>XV</w:t>
      </w:r>
      <w:r w:rsidR="00EE472B">
        <w:rPr>
          <w:b/>
          <w:i w:val="0"/>
          <w:color w:val="000000" w:themeColor="text1"/>
          <w:sz w:val="20"/>
          <w:szCs w:val="20"/>
        </w:rPr>
        <w:fldChar w:fldCharType="end"/>
      </w:r>
      <w:bookmarkEnd w:id="86"/>
      <w:r w:rsidRPr="008F6866">
        <w:rPr>
          <w:b/>
          <w:i w:val="0"/>
          <w:color w:val="000000" w:themeColor="text1"/>
          <w:sz w:val="20"/>
          <w:szCs w:val="20"/>
        </w:rPr>
        <w:t>. Validation of the bias-correction methods using the MAE. The MAE is applied to monthly-mean climatological values. Only the average MAE computed for the 11 sites and 11 models is presented. Results for each variable are divided into 2 columns, one for the uncorrected (raw) and one for the bias-corrected (BC) data over the validation period. For the first correction, the additive method is used for air temperature and minimum air temperature while the scaling method is used for the other variables</w:t>
      </w:r>
    </w:p>
    <w:tbl>
      <w:tblPr>
        <w:tblStyle w:val="Grilledutableau"/>
        <w:tblW w:w="9350" w:type="dxa"/>
        <w:tblBorders>
          <w:insideV w:val="none" w:sz="0" w:space="0" w:color="auto"/>
        </w:tblBorders>
        <w:tblLayout w:type="fixed"/>
        <w:tblLook w:val="04A0" w:firstRow="1" w:lastRow="0" w:firstColumn="1" w:lastColumn="0" w:noHBand="0" w:noVBand="1"/>
      </w:tblPr>
      <w:tblGrid>
        <w:gridCol w:w="1701"/>
        <w:gridCol w:w="637"/>
        <w:gridCol w:w="637"/>
        <w:gridCol w:w="638"/>
        <w:gridCol w:w="637"/>
        <w:gridCol w:w="638"/>
        <w:gridCol w:w="637"/>
        <w:gridCol w:w="637"/>
        <w:gridCol w:w="638"/>
        <w:gridCol w:w="637"/>
        <w:gridCol w:w="638"/>
        <w:gridCol w:w="637"/>
        <w:gridCol w:w="638"/>
      </w:tblGrid>
      <w:tr w:rsidR="00DE4897" w:rsidRPr="008F6866" w14:paraId="6A05E9FC" w14:textId="77777777" w:rsidTr="00533D04">
        <w:tc>
          <w:tcPr>
            <w:tcW w:w="1701" w:type="dxa"/>
            <w:tcBorders>
              <w:top w:val="single" w:sz="12" w:space="0" w:color="auto"/>
              <w:left w:val="nil"/>
              <w:bottom w:val="nil"/>
            </w:tcBorders>
          </w:tcPr>
          <w:p w14:paraId="1F99CCD5" w14:textId="77777777" w:rsidR="00DE4897" w:rsidRPr="008F6866" w:rsidRDefault="00DE4897" w:rsidP="008D668B">
            <w:pPr>
              <w:keepNext/>
              <w:keepLines/>
              <w:jc w:val="both"/>
              <w:rPr>
                <w:rFonts w:asciiTheme="minorHAnsi" w:hAnsiTheme="minorHAnsi" w:cstheme="minorHAnsi"/>
                <w:bCs/>
              </w:rPr>
            </w:pPr>
            <w:r w:rsidRPr="008F6866">
              <w:rPr>
                <w:rFonts w:asciiTheme="minorHAnsi" w:hAnsiTheme="minorHAnsi" w:cstheme="minorHAnsi"/>
                <w:bCs/>
              </w:rPr>
              <w:t>Correction</w:t>
            </w:r>
          </w:p>
        </w:tc>
        <w:tc>
          <w:tcPr>
            <w:tcW w:w="1274" w:type="dxa"/>
            <w:gridSpan w:val="2"/>
            <w:tcBorders>
              <w:top w:val="single" w:sz="12" w:space="0" w:color="auto"/>
              <w:bottom w:val="nil"/>
            </w:tcBorders>
          </w:tcPr>
          <w:p w14:paraId="6A53D347" w14:textId="77777777" w:rsidR="00DE4897" w:rsidRPr="008F6866" w:rsidRDefault="00DE4897" w:rsidP="008F4D7B">
            <w:pPr>
              <w:keepNext/>
              <w:keepLines/>
              <w:jc w:val="center"/>
              <w:rPr>
                <w:rFonts w:asciiTheme="minorHAnsi" w:hAnsiTheme="minorHAnsi" w:cstheme="minorHAnsi"/>
              </w:rPr>
            </w:pPr>
            <w:r w:rsidRPr="008F6866">
              <w:rPr>
                <w:rFonts w:asciiTheme="minorHAnsi" w:hAnsiTheme="minorHAnsi" w:cstheme="minorHAnsi"/>
              </w:rPr>
              <w:t>Near-surface relative humidity (%)</w:t>
            </w:r>
          </w:p>
        </w:tc>
        <w:tc>
          <w:tcPr>
            <w:tcW w:w="1275" w:type="dxa"/>
            <w:gridSpan w:val="2"/>
            <w:tcBorders>
              <w:top w:val="single" w:sz="12" w:space="0" w:color="auto"/>
              <w:bottom w:val="nil"/>
            </w:tcBorders>
          </w:tcPr>
          <w:p w14:paraId="2CDD4B12" w14:textId="77777777" w:rsidR="00DE4897" w:rsidRPr="008F6866" w:rsidRDefault="00DE4897" w:rsidP="008F4D7B">
            <w:pPr>
              <w:keepNext/>
              <w:keepLines/>
              <w:jc w:val="center"/>
              <w:rPr>
                <w:rFonts w:asciiTheme="minorHAnsi" w:hAnsiTheme="minorHAnsi" w:cstheme="minorHAnsi"/>
              </w:rPr>
            </w:pPr>
            <w:r w:rsidRPr="008F6866">
              <w:rPr>
                <w:rFonts w:asciiTheme="minorHAnsi" w:hAnsiTheme="minorHAnsi" w:cstheme="minorHAnsi"/>
              </w:rPr>
              <w:t>Precipitation (</w:t>
            </w:r>
            <m:oMath>
              <m:r>
                <m:rPr>
                  <m:sty m:val="p"/>
                </m:rPr>
                <w:rPr>
                  <w:rFonts w:ascii="Cambria Math" w:hAnsi="Cambria Math" w:cstheme="minorHAnsi"/>
                </w:rPr>
                <m:t xml:space="preserve">mm </m:t>
              </m:r>
              <m:sSup>
                <m:sSupPr>
                  <m:ctrlPr>
                    <w:rPr>
                      <w:rFonts w:ascii="Cambria Math" w:hAnsi="Cambria Math" w:cstheme="minorHAnsi"/>
                    </w:rPr>
                  </m:ctrlPr>
                </m:sSupPr>
                <m:e>
                  <m:r>
                    <m:rPr>
                      <m:sty m:val="p"/>
                    </m:rPr>
                    <w:rPr>
                      <w:rFonts w:ascii="Cambria Math" w:hAnsi="Cambria Math" w:cstheme="minorHAnsi"/>
                    </w:rPr>
                    <m:t>day</m:t>
                  </m:r>
                </m:e>
                <m:sup>
                  <m:r>
                    <m:rPr>
                      <m:sty m:val="p"/>
                    </m:rPr>
                    <w:rPr>
                      <w:rFonts w:ascii="Cambria Math" w:hAnsi="Cambria Math" w:cstheme="minorHAnsi"/>
                    </w:rPr>
                    <m:t>-1</m:t>
                  </m:r>
                </m:sup>
              </m:sSup>
            </m:oMath>
            <w:r w:rsidRPr="008F6866">
              <w:rPr>
                <w:rFonts w:asciiTheme="minorHAnsi" w:eastAsiaTheme="minorEastAsia" w:hAnsiTheme="minorHAnsi" w:cstheme="minorHAnsi"/>
              </w:rPr>
              <w:t>)</w:t>
            </w:r>
          </w:p>
        </w:tc>
        <w:tc>
          <w:tcPr>
            <w:tcW w:w="1275" w:type="dxa"/>
            <w:gridSpan w:val="2"/>
            <w:tcBorders>
              <w:top w:val="single" w:sz="12" w:space="0" w:color="auto"/>
              <w:bottom w:val="nil"/>
            </w:tcBorders>
          </w:tcPr>
          <w:p w14:paraId="4095CA2E" w14:textId="77777777" w:rsidR="00DE4897" w:rsidRPr="008F6866" w:rsidRDefault="00DE4897" w:rsidP="008F4D7B">
            <w:pPr>
              <w:keepNext/>
              <w:keepLines/>
              <w:jc w:val="center"/>
              <w:rPr>
                <w:rFonts w:asciiTheme="minorHAnsi" w:hAnsiTheme="minorHAnsi" w:cstheme="minorHAnsi"/>
              </w:rPr>
            </w:pPr>
            <w:r w:rsidRPr="008F6866">
              <w:rPr>
                <w:rFonts w:asciiTheme="minorHAnsi" w:hAnsiTheme="minorHAnsi" w:cstheme="minorHAnsi"/>
              </w:rPr>
              <w:t>Short-wave incoming radiation (</w:t>
            </w:r>
            <m:oMath>
              <m:r>
                <m:rPr>
                  <m:sty m:val="p"/>
                </m:rPr>
                <w:rPr>
                  <w:rFonts w:ascii="Cambria Math" w:hAnsi="Cambria Math" w:cstheme="minorHAnsi"/>
                </w:rPr>
                <m:t xml:space="preserve">W </m:t>
              </m:r>
              <m:sSup>
                <m:sSupPr>
                  <m:ctrlPr>
                    <w:rPr>
                      <w:rFonts w:ascii="Cambria Math" w:hAnsi="Cambria Math" w:cstheme="minorHAnsi"/>
                    </w:rPr>
                  </m:ctrlPr>
                </m:sSupPr>
                <m:e>
                  <m:r>
                    <m:rPr>
                      <m:sty m:val="p"/>
                    </m:rPr>
                    <w:rPr>
                      <w:rFonts w:ascii="Cambria Math" w:hAnsi="Cambria Math" w:cstheme="minorHAnsi"/>
                    </w:rPr>
                    <m:t>m</m:t>
                  </m:r>
                </m:e>
                <m:sup>
                  <m:r>
                    <m:rPr>
                      <m:sty m:val="p"/>
                    </m:rPr>
                    <w:rPr>
                      <w:rFonts w:ascii="Cambria Math" w:hAnsi="Cambria Math" w:cstheme="minorHAnsi"/>
                    </w:rPr>
                    <m:t>-2</m:t>
                  </m:r>
                </m:sup>
              </m:sSup>
            </m:oMath>
            <w:r w:rsidRPr="008F6866">
              <w:rPr>
                <w:rFonts w:asciiTheme="minorHAnsi" w:eastAsiaTheme="minorEastAsia" w:hAnsiTheme="minorHAnsi" w:cstheme="minorHAnsi"/>
              </w:rPr>
              <w:t>)</w:t>
            </w:r>
          </w:p>
        </w:tc>
        <w:tc>
          <w:tcPr>
            <w:tcW w:w="1275" w:type="dxa"/>
            <w:gridSpan w:val="2"/>
            <w:tcBorders>
              <w:top w:val="single" w:sz="12" w:space="0" w:color="auto"/>
              <w:bottom w:val="nil"/>
            </w:tcBorders>
          </w:tcPr>
          <w:p w14:paraId="4D7A1BFB" w14:textId="77777777" w:rsidR="00DE4897" w:rsidRPr="008F6866" w:rsidRDefault="00DE4897" w:rsidP="008F4D7B">
            <w:pPr>
              <w:keepNext/>
              <w:keepLines/>
              <w:jc w:val="center"/>
              <w:rPr>
                <w:rFonts w:asciiTheme="minorHAnsi" w:hAnsiTheme="minorHAnsi" w:cstheme="minorHAnsi"/>
              </w:rPr>
            </w:pPr>
            <w:r w:rsidRPr="008F6866">
              <w:rPr>
                <w:rFonts w:asciiTheme="minorHAnsi" w:hAnsiTheme="minorHAnsi" w:cstheme="minorHAnsi"/>
              </w:rPr>
              <w:t>Wind speed (</w:t>
            </w:r>
            <m:oMath>
              <m:r>
                <m:rPr>
                  <m:sty m:val="p"/>
                </m:rPr>
                <w:rPr>
                  <w:rFonts w:ascii="Cambria Math" w:hAnsi="Cambria Math" w:cstheme="minorHAnsi"/>
                </w:rPr>
                <m:t xml:space="preserve">m </m:t>
              </m:r>
              <m:sSup>
                <m:sSupPr>
                  <m:ctrlPr>
                    <w:rPr>
                      <w:rFonts w:ascii="Cambria Math" w:hAnsi="Cambria Math" w:cstheme="minorHAnsi"/>
                    </w:rPr>
                  </m:ctrlPr>
                </m:sSupPr>
                <m:e>
                  <m:r>
                    <m:rPr>
                      <m:sty m:val="p"/>
                    </m:rPr>
                    <w:rPr>
                      <w:rFonts w:ascii="Cambria Math" w:hAnsi="Cambria Math" w:cstheme="minorHAnsi"/>
                    </w:rPr>
                    <m:t>s</m:t>
                  </m:r>
                </m:e>
                <m:sup>
                  <m:r>
                    <m:rPr>
                      <m:sty m:val="p"/>
                    </m:rPr>
                    <w:rPr>
                      <w:rFonts w:ascii="Cambria Math" w:hAnsi="Cambria Math" w:cstheme="minorHAnsi"/>
                    </w:rPr>
                    <m:t>-1</m:t>
                  </m:r>
                </m:sup>
              </m:sSup>
            </m:oMath>
            <w:r w:rsidRPr="008F6866">
              <w:rPr>
                <w:rFonts w:asciiTheme="minorHAnsi" w:eastAsiaTheme="minorEastAsia" w:hAnsiTheme="minorHAnsi" w:cstheme="minorHAnsi"/>
              </w:rPr>
              <w:t>)</w:t>
            </w:r>
          </w:p>
        </w:tc>
        <w:tc>
          <w:tcPr>
            <w:tcW w:w="1275" w:type="dxa"/>
            <w:gridSpan w:val="2"/>
            <w:tcBorders>
              <w:top w:val="single" w:sz="12" w:space="0" w:color="auto"/>
              <w:bottom w:val="nil"/>
            </w:tcBorders>
          </w:tcPr>
          <w:p w14:paraId="60903AC8" w14:textId="77777777" w:rsidR="00DE4897" w:rsidRPr="008F6866" w:rsidRDefault="00DE4897" w:rsidP="008F4D7B">
            <w:pPr>
              <w:keepNext/>
              <w:keepLines/>
              <w:jc w:val="center"/>
              <w:rPr>
                <w:rFonts w:asciiTheme="minorHAnsi" w:hAnsiTheme="minorHAnsi" w:cstheme="minorHAnsi"/>
                <w:bCs/>
              </w:rPr>
            </w:pPr>
            <w:r w:rsidRPr="008F6866">
              <w:rPr>
                <w:rFonts w:asciiTheme="minorHAnsi" w:hAnsiTheme="minorHAnsi" w:cstheme="minorHAnsi"/>
              </w:rPr>
              <w:t>Air temperature (°C)</w:t>
            </w:r>
          </w:p>
        </w:tc>
        <w:tc>
          <w:tcPr>
            <w:tcW w:w="1275" w:type="dxa"/>
            <w:gridSpan w:val="2"/>
            <w:tcBorders>
              <w:top w:val="single" w:sz="12" w:space="0" w:color="auto"/>
              <w:bottom w:val="nil"/>
              <w:right w:val="nil"/>
            </w:tcBorders>
          </w:tcPr>
          <w:p w14:paraId="182BF941" w14:textId="77777777" w:rsidR="00DE4897" w:rsidRPr="008F6866" w:rsidRDefault="00DE4897" w:rsidP="008F4D7B">
            <w:pPr>
              <w:keepNext/>
              <w:keepLines/>
              <w:jc w:val="center"/>
              <w:rPr>
                <w:rFonts w:asciiTheme="minorHAnsi" w:hAnsiTheme="minorHAnsi" w:cstheme="minorHAnsi"/>
                <w:bCs/>
              </w:rPr>
            </w:pPr>
            <w:r w:rsidRPr="008F6866">
              <w:rPr>
                <w:rFonts w:asciiTheme="minorHAnsi" w:hAnsiTheme="minorHAnsi" w:cstheme="minorHAnsi"/>
                <w:bCs/>
              </w:rPr>
              <w:t>Minimum air temperature (°C)</w:t>
            </w:r>
          </w:p>
        </w:tc>
      </w:tr>
      <w:tr w:rsidR="00DE4897" w:rsidRPr="008F6866" w14:paraId="0066E4E0" w14:textId="77777777" w:rsidTr="00533D04">
        <w:tc>
          <w:tcPr>
            <w:tcW w:w="1701" w:type="dxa"/>
            <w:tcBorders>
              <w:top w:val="nil"/>
              <w:left w:val="nil"/>
              <w:bottom w:val="single" w:sz="12" w:space="0" w:color="auto"/>
              <w:right w:val="nil"/>
            </w:tcBorders>
          </w:tcPr>
          <w:p w14:paraId="7FEE4B4C" w14:textId="77777777" w:rsidR="00DE4897" w:rsidRPr="008F6866" w:rsidRDefault="00DE4897" w:rsidP="008D668B">
            <w:pPr>
              <w:keepNext/>
              <w:keepLines/>
              <w:jc w:val="both"/>
              <w:rPr>
                <w:rFonts w:asciiTheme="minorHAnsi" w:hAnsiTheme="minorHAnsi" w:cstheme="minorHAnsi"/>
                <w:bCs/>
              </w:rPr>
            </w:pPr>
          </w:p>
        </w:tc>
        <w:tc>
          <w:tcPr>
            <w:tcW w:w="637" w:type="dxa"/>
            <w:tcBorders>
              <w:top w:val="nil"/>
              <w:left w:val="nil"/>
              <w:bottom w:val="single" w:sz="12" w:space="0" w:color="auto"/>
              <w:right w:val="nil"/>
            </w:tcBorders>
          </w:tcPr>
          <w:p w14:paraId="73CBB23E" w14:textId="77777777" w:rsidR="00DE4897" w:rsidRPr="008F6866" w:rsidRDefault="00DE4897" w:rsidP="008F4D7B">
            <w:pPr>
              <w:keepNext/>
              <w:keepLines/>
              <w:jc w:val="center"/>
              <w:rPr>
                <w:rFonts w:asciiTheme="minorHAnsi" w:hAnsiTheme="minorHAnsi" w:cstheme="minorHAnsi"/>
              </w:rPr>
            </w:pPr>
            <w:r w:rsidRPr="008F6866">
              <w:rPr>
                <w:rFonts w:asciiTheme="minorHAnsi" w:hAnsiTheme="minorHAnsi" w:cstheme="minorHAnsi"/>
              </w:rPr>
              <w:t>Raw</w:t>
            </w:r>
          </w:p>
        </w:tc>
        <w:tc>
          <w:tcPr>
            <w:tcW w:w="637" w:type="dxa"/>
            <w:tcBorders>
              <w:top w:val="nil"/>
              <w:left w:val="nil"/>
              <w:bottom w:val="single" w:sz="12" w:space="0" w:color="auto"/>
              <w:right w:val="nil"/>
            </w:tcBorders>
          </w:tcPr>
          <w:p w14:paraId="6881FCAA" w14:textId="77777777" w:rsidR="00DE4897" w:rsidRPr="008F6866" w:rsidRDefault="00DE4897" w:rsidP="008F4D7B">
            <w:pPr>
              <w:keepNext/>
              <w:keepLines/>
              <w:jc w:val="center"/>
              <w:rPr>
                <w:rFonts w:asciiTheme="minorHAnsi" w:hAnsiTheme="minorHAnsi" w:cstheme="minorHAnsi"/>
              </w:rPr>
            </w:pPr>
            <w:r w:rsidRPr="008F6866">
              <w:rPr>
                <w:rFonts w:asciiTheme="minorHAnsi" w:hAnsiTheme="minorHAnsi" w:cstheme="minorHAnsi"/>
              </w:rPr>
              <w:t>BC</w:t>
            </w:r>
          </w:p>
        </w:tc>
        <w:tc>
          <w:tcPr>
            <w:tcW w:w="638" w:type="dxa"/>
            <w:tcBorders>
              <w:top w:val="nil"/>
              <w:left w:val="nil"/>
              <w:bottom w:val="single" w:sz="12" w:space="0" w:color="auto"/>
              <w:right w:val="nil"/>
            </w:tcBorders>
          </w:tcPr>
          <w:p w14:paraId="5DC7079B" w14:textId="77777777" w:rsidR="00DE4897" w:rsidRPr="008F6866" w:rsidRDefault="00DE4897" w:rsidP="008F4D7B">
            <w:pPr>
              <w:keepNext/>
              <w:keepLines/>
              <w:jc w:val="center"/>
              <w:rPr>
                <w:rFonts w:asciiTheme="minorHAnsi" w:hAnsiTheme="minorHAnsi" w:cstheme="minorHAnsi"/>
              </w:rPr>
            </w:pPr>
            <w:r w:rsidRPr="008F6866">
              <w:rPr>
                <w:rFonts w:asciiTheme="minorHAnsi" w:hAnsiTheme="minorHAnsi" w:cstheme="minorHAnsi"/>
              </w:rPr>
              <w:t>Raw</w:t>
            </w:r>
          </w:p>
        </w:tc>
        <w:tc>
          <w:tcPr>
            <w:tcW w:w="637" w:type="dxa"/>
            <w:tcBorders>
              <w:top w:val="nil"/>
              <w:left w:val="nil"/>
              <w:bottom w:val="single" w:sz="12" w:space="0" w:color="auto"/>
              <w:right w:val="nil"/>
            </w:tcBorders>
          </w:tcPr>
          <w:p w14:paraId="377BBD32" w14:textId="77777777" w:rsidR="00DE4897" w:rsidRPr="008F6866" w:rsidRDefault="00DE4897" w:rsidP="008F4D7B">
            <w:pPr>
              <w:keepNext/>
              <w:keepLines/>
              <w:jc w:val="center"/>
              <w:rPr>
                <w:rFonts w:asciiTheme="minorHAnsi" w:hAnsiTheme="minorHAnsi" w:cstheme="minorHAnsi"/>
              </w:rPr>
            </w:pPr>
            <w:r w:rsidRPr="008F6866">
              <w:rPr>
                <w:rFonts w:asciiTheme="minorHAnsi" w:hAnsiTheme="minorHAnsi" w:cstheme="minorHAnsi"/>
              </w:rPr>
              <w:t>BC</w:t>
            </w:r>
          </w:p>
        </w:tc>
        <w:tc>
          <w:tcPr>
            <w:tcW w:w="638" w:type="dxa"/>
            <w:tcBorders>
              <w:top w:val="nil"/>
              <w:left w:val="nil"/>
              <w:bottom w:val="single" w:sz="12" w:space="0" w:color="auto"/>
              <w:right w:val="nil"/>
            </w:tcBorders>
          </w:tcPr>
          <w:p w14:paraId="2115F29E" w14:textId="77777777" w:rsidR="00DE4897" w:rsidRPr="008F6866" w:rsidRDefault="00DE4897" w:rsidP="008F4D7B">
            <w:pPr>
              <w:keepNext/>
              <w:keepLines/>
              <w:jc w:val="center"/>
              <w:rPr>
                <w:rFonts w:asciiTheme="minorHAnsi" w:hAnsiTheme="minorHAnsi" w:cstheme="minorHAnsi"/>
              </w:rPr>
            </w:pPr>
            <w:r w:rsidRPr="008F6866">
              <w:rPr>
                <w:rFonts w:asciiTheme="minorHAnsi" w:hAnsiTheme="minorHAnsi" w:cstheme="minorHAnsi"/>
              </w:rPr>
              <w:t>Raw</w:t>
            </w:r>
          </w:p>
        </w:tc>
        <w:tc>
          <w:tcPr>
            <w:tcW w:w="637" w:type="dxa"/>
            <w:tcBorders>
              <w:top w:val="nil"/>
              <w:left w:val="nil"/>
              <w:bottom w:val="single" w:sz="12" w:space="0" w:color="auto"/>
              <w:right w:val="nil"/>
            </w:tcBorders>
          </w:tcPr>
          <w:p w14:paraId="62096DDD" w14:textId="77777777" w:rsidR="00DE4897" w:rsidRPr="008F6866" w:rsidRDefault="00DE4897" w:rsidP="008F4D7B">
            <w:pPr>
              <w:keepNext/>
              <w:keepLines/>
              <w:jc w:val="center"/>
              <w:rPr>
                <w:rFonts w:asciiTheme="minorHAnsi" w:hAnsiTheme="minorHAnsi" w:cstheme="minorHAnsi"/>
              </w:rPr>
            </w:pPr>
            <w:r w:rsidRPr="008F6866">
              <w:rPr>
                <w:rFonts w:asciiTheme="minorHAnsi" w:hAnsiTheme="minorHAnsi" w:cstheme="minorHAnsi"/>
              </w:rPr>
              <w:t>BC</w:t>
            </w:r>
          </w:p>
        </w:tc>
        <w:tc>
          <w:tcPr>
            <w:tcW w:w="637" w:type="dxa"/>
            <w:tcBorders>
              <w:top w:val="nil"/>
              <w:left w:val="nil"/>
              <w:bottom w:val="single" w:sz="12" w:space="0" w:color="auto"/>
              <w:right w:val="nil"/>
            </w:tcBorders>
          </w:tcPr>
          <w:p w14:paraId="1EC8A8A7" w14:textId="77777777" w:rsidR="00DE4897" w:rsidRPr="008F6866" w:rsidRDefault="00DE4897" w:rsidP="008F4D7B">
            <w:pPr>
              <w:keepNext/>
              <w:keepLines/>
              <w:jc w:val="center"/>
              <w:rPr>
                <w:rFonts w:asciiTheme="minorHAnsi" w:hAnsiTheme="minorHAnsi" w:cstheme="minorHAnsi"/>
              </w:rPr>
            </w:pPr>
            <w:r w:rsidRPr="008F6866">
              <w:rPr>
                <w:rFonts w:asciiTheme="minorHAnsi" w:hAnsiTheme="minorHAnsi" w:cstheme="minorHAnsi"/>
              </w:rPr>
              <w:t>Raw</w:t>
            </w:r>
          </w:p>
        </w:tc>
        <w:tc>
          <w:tcPr>
            <w:tcW w:w="638" w:type="dxa"/>
            <w:tcBorders>
              <w:top w:val="nil"/>
              <w:left w:val="nil"/>
              <w:bottom w:val="single" w:sz="12" w:space="0" w:color="auto"/>
              <w:right w:val="nil"/>
            </w:tcBorders>
          </w:tcPr>
          <w:p w14:paraId="12FAE1B1" w14:textId="77777777" w:rsidR="00DE4897" w:rsidRPr="008F6866" w:rsidRDefault="00DE4897" w:rsidP="008F4D7B">
            <w:pPr>
              <w:keepNext/>
              <w:keepLines/>
              <w:jc w:val="center"/>
              <w:rPr>
                <w:rFonts w:asciiTheme="minorHAnsi" w:hAnsiTheme="minorHAnsi" w:cstheme="minorHAnsi"/>
              </w:rPr>
            </w:pPr>
            <w:r w:rsidRPr="008F6866">
              <w:rPr>
                <w:rFonts w:asciiTheme="minorHAnsi" w:hAnsiTheme="minorHAnsi" w:cstheme="minorHAnsi"/>
              </w:rPr>
              <w:t>BC</w:t>
            </w:r>
          </w:p>
        </w:tc>
        <w:tc>
          <w:tcPr>
            <w:tcW w:w="637" w:type="dxa"/>
            <w:tcBorders>
              <w:top w:val="nil"/>
              <w:left w:val="nil"/>
              <w:bottom w:val="single" w:sz="12" w:space="0" w:color="auto"/>
              <w:right w:val="nil"/>
            </w:tcBorders>
          </w:tcPr>
          <w:p w14:paraId="3DB100AB" w14:textId="77777777" w:rsidR="00DE4897" w:rsidRPr="008F6866" w:rsidRDefault="00DE4897" w:rsidP="008F4D7B">
            <w:pPr>
              <w:keepNext/>
              <w:keepLines/>
              <w:jc w:val="center"/>
              <w:rPr>
                <w:rFonts w:asciiTheme="minorHAnsi" w:hAnsiTheme="minorHAnsi" w:cstheme="minorHAnsi"/>
              </w:rPr>
            </w:pPr>
            <w:r w:rsidRPr="008F6866">
              <w:rPr>
                <w:rFonts w:asciiTheme="minorHAnsi" w:hAnsiTheme="minorHAnsi" w:cstheme="minorHAnsi"/>
              </w:rPr>
              <w:t>Raw</w:t>
            </w:r>
          </w:p>
        </w:tc>
        <w:tc>
          <w:tcPr>
            <w:tcW w:w="638" w:type="dxa"/>
            <w:tcBorders>
              <w:top w:val="nil"/>
              <w:left w:val="nil"/>
              <w:bottom w:val="single" w:sz="12" w:space="0" w:color="auto"/>
              <w:right w:val="nil"/>
            </w:tcBorders>
          </w:tcPr>
          <w:p w14:paraId="4A7370E5" w14:textId="77777777" w:rsidR="00DE4897" w:rsidRPr="008F6866" w:rsidRDefault="00DE4897" w:rsidP="008F4D7B">
            <w:pPr>
              <w:keepNext/>
              <w:keepLines/>
              <w:jc w:val="center"/>
              <w:rPr>
                <w:rFonts w:asciiTheme="minorHAnsi" w:hAnsiTheme="minorHAnsi" w:cstheme="minorHAnsi"/>
                <w:bCs/>
              </w:rPr>
            </w:pPr>
            <w:r w:rsidRPr="008F6866">
              <w:rPr>
                <w:rFonts w:asciiTheme="minorHAnsi" w:hAnsiTheme="minorHAnsi" w:cstheme="minorHAnsi"/>
                <w:bCs/>
              </w:rPr>
              <w:t>BC</w:t>
            </w:r>
          </w:p>
        </w:tc>
        <w:tc>
          <w:tcPr>
            <w:tcW w:w="637" w:type="dxa"/>
            <w:tcBorders>
              <w:top w:val="nil"/>
              <w:left w:val="nil"/>
              <w:bottom w:val="single" w:sz="12" w:space="0" w:color="auto"/>
              <w:right w:val="nil"/>
            </w:tcBorders>
          </w:tcPr>
          <w:p w14:paraId="49BED3B0" w14:textId="77777777" w:rsidR="00DE4897" w:rsidRPr="008F6866" w:rsidRDefault="00DE4897" w:rsidP="008F4D7B">
            <w:pPr>
              <w:keepNext/>
              <w:keepLines/>
              <w:jc w:val="center"/>
              <w:rPr>
                <w:rFonts w:asciiTheme="minorHAnsi" w:hAnsiTheme="minorHAnsi" w:cstheme="minorHAnsi"/>
                <w:bCs/>
              </w:rPr>
            </w:pPr>
            <w:r w:rsidRPr="008F6866">
              <w:rPr>
                <w:rFonts w:asciiTheme="minorHAnsi" w:hAnsiTheme="minorHAnsi" w:cstheme="minorHAnsi"/>
                <w:bCs/>
              </w:rPr>
              <w:t>Raw</w:t>
            </w:r>
          </w:p>
        </w:tc>
        <w:tc>
          <w:tcPr>
            <w:tcW w:w="638" w:type="dxa"/>
            <w:tcBorders>
              <w:top w:val="nil"/>
              <w:left w:val="nil"/>
              <w:bottom w:val="single" w:sz="12" w:space="0" w:color="auto"/>
              <w:right w:val="nil"/>
            </w:tcBorders>
          </w:tcPr>
          <w:p w14:paraId="38CBE041" w14:textId="77777777" w:rsidR="00DE4897" w:rsidRPr="008F6866" w:rsidRDefault="00DE4897" w:rsidP="008F4D7B">
            <w:pPr>
              <w:keepNext/>
              <w:keepLines/>
              <w:jc w:val="center"/>
              <w:rPr>
                <w:rFonts w:asciiTheme="minorHAnsi" w:hAnsiTheme="minorHAnsi" w:cstheme="minorHAnsi"/>
                <w:bCs/>
              </w:rPr>
            </w:pPr>
            <w:r w:rsidRPr="008F6866">
              <w:rPr>
                <w:rFonts w:asciiTheme="minorHAnsi" w:hAnsiTheme="minorHAnsi" w:cstheme="minorHAnsi"/>
                <w:bCs/>
              </w:rPr>
              <w:t>BC</w:t>
            </w:r>
          </w:p>
        </w:tc>
      </w:tr>
      <w:tr w:rsidR="00DE4897" w:rsidRPr="008F6866" w14:paraId="1B4AC3C5" w14:textId="77777777" w:rsidTr="008F4D7B">
        <w:tc>
          <w:tcPr>
            <w:tcW w:w="1701" w:type="dxa"/>
            <w:tcBorders>
              <w:top w:val="single" w:sz="12" w:space="0" w:color="auto"/>
              <w:left w:val="nil"/>
              <w:bottom w:val="nil"/>
              <w:right w:val="nil"/>
            </w:tcBorders>
          </w:tcPr>
          <w:p w14:paraId="06670EE4" w14:textId="77777777" w:rsidR="00DE4897" w:rsidRPr="008F6866" w:rsidRDefault="00DE4897" w:rsidP="008D668B">
            <w:pPr>
              <w:keepNext/>
              <w:keepLines/>
              <w:jc w:val="both"/>
              <w:rPr>
                <w:rFonts w:asciiTheme="minorHAnsi" w:hAnsiTheme="minorHAnsi" w:cstheme="minorHAnsi"/>
                <w:bCs/>
              </w:rPr>
            </w:pPr>
            <w:r w:rsidRPr="008F6866">
              <w:rPr>
                <w:rFonts w:asciiTheme="minorHAnsi" w:hAnsiTheme="minorHAnsi" w:cstheme="minorHAnsi"/>
              </w:rPr>
              <w:t>Additive/scaling</w:t>
            </w:r>
          </w:p>
        </w:tc>
        <w:tc>
          <w:tcPr>
            <w:tcW w:w="637" w:type="dxa"/>
            <w:tcBorders>
              <w:top w:val="single" w:sz="12" w:space="0" w:color="auto"/>
              <w:left w:val="nil"/>
              <w:bottom w:val="nil"/>
              <w:right w:val="nil"/>
            </w:tcBorders>
          </w:tcPr>
          <w:p w14:paraId="3AB2E612" w14:textId="77777777" w:rsidR="00DE4897" w:rsidRPr="008F6866" w:rsidRDefault="00DE4897" w:rsidP="008D668B">
            <w:pPr>
              <w:keepNext/>
              <w:keepLines/>
              <w:jc w:val="both"/>
              <w:rPr>
                <w:rFonts w:asciiTheme="minorHAnsi" w:hAnsiTheme="minorHAnsi" w:cstheme="minorHAnsi"/>
                <w:bCs/>
              </w:rPr>
            </w:pPr>
            <w:r w:rsidRPr="008F6866">
              <w:rPr>
                <w:rFonts w:asciiTheme="minorHAnsi" w:hAnsiTheme="minorHAnsi" w:cstheme="minorHAnsi"/>
              </w:rPr>
              <w:t>6.19</w:t>
            </w:r>
          </w:p>
        </w:tc>
        <w:tc>
          <w:tcPr>
            <w:tcW w:w="637" w:type="dxa"/>
            <w:tcBorders>
              <w:top w:val="single" w:sz="12" w:space="0" w:color="auto"/>
              <w:left w:val="nil"/>
              <w:bottom w:val="nil"/>
              <w:right w:val="nil"/>
            </w:tcBorders>
          </w:tcPr>
          <w:p w14:paraId="7C310CF3" w14:textId="77777777" w:rsidR="00DE4897" w:rsidRPr="008F6866" w:rsidRDefault="00DE4897" w:rsidP="008D668B">
            <w:pPr>
              <w:keepNext/>
              <w:keepLines/>
              <w:jc w:val="both"/>
              <w:rPr>
                <w:rFonts w:asciiTheme="minorHAnsi" w:hAnsiTheme="minorHAnsi" w:cstheme="minorHAnsi"/>
                <w:bCs/>
              </w:rPr>
            </w:pPr>
            <w:r w:rsidRPr="008F6866">
              <w:rPr>
                <w:rFonts w:asciiTheme="minorHAnsi" w:hAnsiTheme="minorHAnsi" w:cstheme="minorHAnsi"/>
              </w:rPr>
              <w:t>1.96</w:t>
            </w:r>
          </w:p>
        </w:tc>
        <w:tc>
          <w:tcPr>
            <w:tcW w:w="638" w:type="dxa"/>
            <w:tcBorders>
              <w:top w:val="single" w:sz="12" w:space="0" w:color="auto"/>
              <w:left w:val="nil"/>
              <w:bottom w:val="nil"/>
              <w:right w:val="nil"/>
            </w:tcBorders>
          </w:tcPr>
          <w:p w14:paraId="00CABA1F" w14:textId="77777777" w:rsidR="00DE4897" w:rsidRPr="008F6866" w:rsidRDefault="00DE4897" w:rsidP="008D668B">
            <w:pPr>
              <w:keepNext/>
              <w:keepLines/>
              <w:jc w:val="both"/>
              <w:rPr>
                <w:rFonts w:asciiTheme="minorHAnsi" w:hAnsiTheme="minorHAnsi" w:cstheme="minorHAnsi"/>
                <w:bCs/>
              </w:rPr>
            </w:pPr>
            <w:r w:rsidRPr="008F6866">
              <w:rPr>
                <w:rFonts w:asciiTheme="minorHAnsi" w:hAnsiTheme="minorHAnsi" w:cstheme="minorHAnsi"/>
                <w:bCs/>
              </w:rPr>
              <w:t>0.69</w:t>
            </w:r>
          </w:p>
        </w:tc>
        <w:tc>
          <w:tcPr>
            <w:tcW w:w="637" w:type="dxa"/>
            <w:tcBorders>
              <w:top w:val="single" w:sz="12" w:space="0" w:color="auto"/>
              <w:left w:val="nil"/>
              <w:bottom w:val="nil"/>
              <w:right w:val="nil"/>
            </w:tcBorders>
          </w:tcPr>
          <w:p w14:paraId="7C52E3D7" w14:textId="77777777" w:rsidR="00DE4897" w:rsidRPr="008F6866" w:rsidRDefault="00DE4897" w:rsidP="008D668B">
            <w:pPr>
              <w:keepNext/>
              <w:keepLines/>
              <w:jc w:val="both"/>
              <w:rPr>
                <w:rFonts w:asciiTheme="minorHAnsi" w:hAnsiTheme="minorHAnsi" w:cstheme="minorHAnsi"/>
                <w:bCs/>
              </w:rPr>
            </w:pPr>
            <w:r w:rsidRPr="008F6866">
              <w:rPr>
                <w:rFonts w:asciiTheme="minorHAnsi" w:hAnsiTheme="minorHAnsi" w:cstheme="minorHAnsi"/>
              </w:rPr>
              <w:t>0.49</w:t>
            </w:r>
          </w:p>
        </w:tc>
        <w:tc>
          <w:tcPr>
            <w:tcW w:w="638" w:type="dxa"/>
            <w:tcBorders>
              <w:top w:val="single" w:sz="12" w:space="0" w:color="auto"/>
              <w:left w:val="nil"/>
              <w:bottom w:val="nil"/>
              <w:right w:val="nil"/>
            </w:tcBorders>
          </w:tcPr>
          <w:p w14:paraId="12FBB23C" w14:textId="77777777" w:rsidR="00DE4897" w:rsidRPr="008F6866" w:rsidRDefault="00DE4897" w:rsidP="008D668B">
            <w:pPr>
              <w:keepNext/>
              <w:keepLines/>
              <w:jc w:val="both"/>
              <w:rPr>
                <w:rFonts w:asciiTheme="minorHAnsi" w:hAnsiTheme="minorHAnsi" w:cstheme="minorHAnsi"/>
                <w:bCs/>
              </w:rPr>
            </w:pPr>
            <w:r w:rsidRPr="008F6866">
              <w:rPr>
                <w:rFonts w:asciiTheme="minorHAnsi" w:hAnsiTheme="minorHAnsi" w:cstheme="minorHAnsi"/>
              </w:rPr>
              <w:t>20.6</w:t>
            </w:r>
          </w:p>
        </w:tc>
        <w:tc>
          <w:tcPr>
            <w:tcW w:w="637" w:type="dxa"/>
            <w:tcBorders>
              <w:top w:val="single" w:sz="12" w:space="0" w:color="auto"/>
              <w:left w:val="nil"/>
              <w:bottom w:val="nil"/>
              <w:right w:val="nil"/>
            </w:tcBorders>
          </w:tcPr>
          <w:p w14:paraId="5CF161DD" w14:textId="77777777" w:rsidR="00DE4897" w:rsidRPr="008F6866" w:rsidRDefault="00DE4897" w:rsidP="008D668B">
            <w:pPr>
              <w:keepNext/>
              <w:keepLines/>
              <w:jc w:val="both"/>
              <w:rPr>
                <w:rFonts w:asciiTheme="minorHAnsi" w:hAnsiTheme="minorHAnsi" w:cstheme="minorHAnsi"/>
                <w:bCs/>
              </w:rPr>
            </w:pPr>
            <w:r w:rsidRPr="008F6866">
              <w:rPr>
                <w:rFonts w:asciiTheme="minorHAnsi" w:hAnsiTheme="minorHAnsi" w:cstheme="minorHAnsi"/>
              </w:rPr>
              <w:t>6.32</w:t>
            </w:r>
          </w:p>
        </w:tc>
        <w:tc>
          <w:tcPr>
            <w:tcW w:w="637" w:type="dxa"/>
            <w:tcBorders>
              <w:top w:val="single" w:sz="12" w:space="0" w:color="auto"/>
              <w:left w:val="nil"/>
              <w:bottom w:val="nil"/>
              <w:right w:val="nil"/>
            </w:tcBorders>
          </w:tcPr>
          <w:p w14:paraId="334452B9" w14:textId="77777777" w:rsidR="00DE4897" w:rsidRPr="008F6866" w:rsidRDefault="00DE4897" w:rsidP="008D668B">
            <w:pPr>
              <w:keepNext/>
              <w:keepLines/>
              <w:jc w:val="both"/>
              <w:rPr>
                <w:rFonts w:asciiTheme="minorHAnsi" w:hAnsiTheme="minorHAnsi" w:cstheme="minorHAnsi"/>
                <w:bCs/>
              </w:rPr>
            </w:pPr>
            <w:r w:rsidRPr="008F6866">
              <w:rPr>
                <w:rFonts w:asciiTheme="minorHAnsi" w:hAnsiTheme="minorHAnsi" w:cstheme="minorHAnsi"/>
              </w:rPr>
              <w:t>0.82</w:t>
            </w:r>
          </w:p>
        </w:tc>
        <w:tc>
          <w:tcPr>
            <w:tcW w:w="638" w:type="dxa"/>
            <w:tcBorders>
              <w:top w:val="single" w:sz="12" w:space="0" w:color="auto"/>
              <w:left w:val="nil"/>
              <w:bottom w:val="nil"/>
              <w:right w:val="nil"/>
            </w:tcBorders>
          </w:tcPr>
          <w:p w14:paraId="5F264B36" w14:textId="77777777" w:rsidR="00DE4897" w:rsidRPr="008F6866" w:rsidRDefault="00DE4897" w:rsidP="008D668B">
            <w:pPr>
              <w:keepNext/>
              <w:keepLines/>
              <w:jc w:val="both"/>
              <w:rPr>
                <w:rFonts w:asciiTheme="minorHAnsi" w:hAnsiTheme="minorHAnsi" w:cstheme="minorHAnsi"/>
                <w:bCs/>
              </w:rPr>
            </w:pPr>
            <w:r w:rsidRPr="008F6866">
              <w:rPr>
                <w:rFonts w:asciiTheme="minorHAnsi" w:hAnsiTheme="minorHAnsi" w:cstheme="minorHAnsi"/>
              </w:rPr>
              <w:t>0.40</w:t>
            </w:r>
          </w:p>
        </w:tc>
        <w:tc>
          <w:tcPr>
            <w:tcW w:w="637" w:type="dxa"/>
            <w:tcBorders>
              <w:top w:val="single" w:sz="12" w:space="0" w:color="auto"/>
              <w:left w:val="nil"/>
              <w:bottom w:val="nil"/>
              <w:right w:val="nil"/>
            </w:tcBorders>
          </w:tcPr>
          <w:p w14:paraId="5B2045CF" w14:textId="77777777" w:rsidR="00DE4897" w:rsidRPr="008F6866" w:rsidRDefault="00DE4897" w:rsidP="008D668B">
            <w:pPr>
              <w:keepNext/>
              <w:keepLines/>
              <w:jc w:val="both"/>
              <w:rPr>
                <w:rFonts w:asciiTheme="minorHAnsi" w:hAnsiTheme="minorHAnsi" w:cstheme="minorHAnsi"/>
                <w:bCs/>
              </w:rPr>
            </w:pPr>
            <w:r w:rsidRPr="008F6866">
              <w:rPr>
                <w:rFonts w:asciiTheme="minorHAnsi" w:hAnsiTheme="minorHAnsi" w:cstheme="minorHAnsi"/>
              </w:rPr>
              <w:t>1.67</w:t>
            </w:r>
          </w:p>
        </w:tc>
        <w:tc>
          <w:tcPr>
            <w:tcW w:w="638" w:type="dxa"/>
            <w:tcBorders>
              <w:top w:val="single" w:sz="12" w:space="0" w:color="auto"/>
              <w:left w:val="nil"/>
              <w:bottom w:val="nil"/>
              <w:right w:val="nil"/>
            </w:tcBorders>
          </w:tcPr>
          <w:p w14:paraId="00230552" w14:textId="77777777" w:rsidR="00DE4897" w:rsidRPr="008F6866" w:rsidRDefault="00DE4897" w:rsidP="008D668B">
            <w:pPr>
              <w:keepNext/>
              <w:keepLines/>
              <w:jc w:val="both"/>
              <w:rPr>
                <w:rFonts w:asciiTheme="minorHAnsi" w:hAnsiTheme="minorHAnsi" w:cstheme="minorHAnsi"/>
                <w:bCs/>
              </w:rPr>
            </w:pPr>
            <w:r w:rsidRPr="008F6866">
              <w:rPr>
                <w:rFonts w:asciiTheme="minorHAnsi" w:hAnsiTheme="minorHAnsi" w:cstheme="minorHAnsi"/>
              </w:rPr>
              <w:t>0.62</w:t>
            </w:r>
          </w:p>
        </w:tc>
        <w:tc>
          <w:tcPr>
            <w:tcW w:w="637" w:type="dxa"/>
            <w:tcBorders>
              <w:top w:val="single" w:sz="12" w:space="0" w:color="auto"/>
              <w:left w:val="nil"/>
              <w:bottom w:val="nil"/>
              <w:right w:val="nil"/>
            </w:tcBorders>
          </w:tcPr>
          <w:p w14:paraId="5A8FDC93" w14:textId="77777777" w:rsidR="00DE4897" w:rsidRPr="008F6866" w:rsidRDefault="00DE4897" w:rsidP="008D668B">
            <w:pPr>
              <w:keepNext/>
              <w:keepLines/>
              <w:jc w:val="both"/>
              <w:rPr>
                <w:rFonts w:asciiTheme="minorHAnsi" w:hAnsiTheme="minorHAnsi" w:cstheme="minorHAnsi"/>
                <w:bCs/>
              </w:rPr>
            </w:pPr>
            <w:r w:rsidRPr="008F6866">
              <w:rPr>
                <w:rFonts w:asciiTheme="minorHAnsi" w:hAnsiTheme="minorHAnsi" w:cstheme="minorHAnsi"/>
              </w:rPr>
              <w:t>2.28</w:t>
            </w:r>
          </w:p>
        </w:tc>
        <w:tc>
          <w:tcPr>
            <w:tcW w:w="638" w:type="dxa"/>
            <w:tcBorders>
              <w:top w:val="single" w:sz="12" w:space="0" w:color="auto"/>
              <w:left w:val="nil"/>
              <w:bottom w:val="nil"/>
              <w:right w:val="nil"/>
            </w:tcBorders>
          </w:tcPr>
          <w:p w14:paraId="5C0DDFAC" w14:textId="77777777" w:rsidR="00DE4897" w:rsidRPr="008F6866" w:rsidRDefault="00DE4897" w:rsidP="008D668B">
            <w:pPr>
              <w:keepNext/>
              <w:keepLines/>
              <w:jc w:val="both"/>
              <w:rPr>
                <w:rFonts w:asciiTheme="minorHAnsi" w:hAnsiTheme="minorHAnsi" w:cstheme="minorHAnsi"/>
                <w:bCs/>
              </w:rPr>
            </w:pPr>
            <w:r w:rsidRPr="008F6866">
              <w:rPr>
                <w:rFonts w:asciiTheme="minorHAnsi" w:hAnsiTheme="minorHAnsi" w:cstheme="minorHAnsi"/>
              </w:rPr>
              <w:t>0.61</w:t>
            </w:r>
          </w:p>
        </w:tc>
      </w:tr>
      <w:tr w:rsidR="00DE4897" w:rsidRPr="008F6866" w14:paraId="6F7AB774" w14:textId="77777777" w:rsidTr="008F4D7B">
        <w:tc>
          <w:tcPr>
            <w:tcW w:w="1701" w:type="dxa"/>
            <w:tcBorders>
              <w:top w:val="nil"/>
              <w:left w:val="nil"/>
              <w:bottom w:val="single" w:sz="12" w:space="0" w:color="auto"/>
              <w:right w:val="nil"/>
            </w:tcBorders>
          </w:tcPr>
          <w:p w14:paraId="1E4520D4" w14:textId="77777777" w:rsidR="00DE4897" w:rsidRPr="008F6866" w:rsidRDefault="00DE4897" w:rsidP="008D668B">
            <w:pPr>
              <w:keepNext/>
              <w:keepLines/>
              <w:jc w:val="both"/>
              <w:rPr>
                <w:rFonts w:asciiTheme="minorHAnsi" w:hAnsiTheme="minorHAnsi" w:cstheme="minorHAnsi"/>
              </w:rPr>
            </w:pPr>
            <w:r w:rsidRPr="008F6866">
              <w:rPr>
                <w:rFonts w:asciiTheme="minorHAnsi" w:hAnsiTheme="minorHAnsi" w:cstheme="minorHAnsi"/>
              </w:rPr>
              <w:t>Quantile mapping</w:t>
            </w:r>
          </w:p>
        </w:tc>
        <w:tc>
          <w:tcPr>
            <w:tcW w:w="637" w:type="dxa"/>
            <w:tcBorders>
              <w:top w:val="nil"/>
              <w:left w:val="nil"/>
              <w:bottom w:val="single" w:sz="12" w:space="0" w:color="auto"/>
              <w:right w:val="nil"/>
            </w:tcBorders>
          </w:tcPr>
          <w:p w14:paraId="5D092AB3" w14:textId="77777777" w:rsidR="00DE4897" w:rsidRPr="008F6866" w:rsidRDefault="00DE4897" w:rsidP="008D668B">
            <w:pPr>
              <w:pStyle w:val="NormalWeb"/>
              <w:keepNext/>
              <w:keepLines/>
              <w:spacing w:before="0" w:beforeAutospacing="0" w:after="0" w:afterAutospacing="0"/>
              <w:jc w:val="both"/>
              <w:rPr>
                <w:rFonts w:asciiTheme="minorHAnsi" w:hAnsiTheme="minorHAnsi" w:cstheme="minorHAnsi"/>
                <w:sz w:val="20"/>
                <w:szCs w:val="20"/>
                <w:lang w:val="en-GB"/>
              </w:rPr>
            </w:pPr>
            <w:r w:rsidRPr="008F6866">
              <w:rPr>
                <w:rFonts w:asciiTheme="minorHAnsi" w:hAnsiTheme="minorHAnsi" w:cstheme="minorHAnsi"/>
                <w:sz w:val="20"/>
                <w:szCs w:val="20"/>
                <w:lang w:val="en-GB"/>
              </w:rPr>
              <w:t>6.19</w:t>
            </w:r>
          </w:p>
        </w:tc>
        <w:tc>
          <w:tcPr>
            <w:tcW w:w="637" w:type="dxa"/>
            <w:tcBorders>
              <w:top w:val="nil"/>
              <w:left w:val="nil"/>
              <w:bottom w:val="single" w:sz="12" w:space="0" w:color="auto"/>
              <w:right w:val="nil"/>
            </w:tcBorders>
          </w:tcPr>
          <w:p w14:paraId="43B7EC05" w14:textId="77777777" w:rsidR="00DE4897" w:rsidRPr="008F6866" w:rsidRDefault="00DE4897" w:rsidP="008D668B">
            <w:pPr>
              <w:pStyle w:val="NormalWeb"/>
              <w:keepNext/>
              <w:keepLines/>
              <w:spacing w:before="0" w:beforeAutospacing="0" w:after="0" w:afterAutospacing="0"/>
              <w:jc w:val="both"/>
              <w:rPr>
                <w:rFonts w:asciiTheme="minorHAnsi" w:hAnsiTheme="minorHAnsi" w:cstheme="minorHAnsi"/>
                <w:sz w:val="20"/>
                <w:szCs w:val="20"/>
                <w:lang w:val="en-GB"/>
              </w:rPr>
            </w:pPr>
            <w:r w:rsidRPr="008F6866">
              <w:rPr>
                <w:rFonts w:asciiTheme="minorHAnsi" w:hAnsiTheme="minorHAnsi" w:cstheme="minorHAnsi"/>
                <w:sz w:val="20"/>
                <w:szCs w:val="20"/>
                <w:lang w:val="en-GB"/>
              </w:rPr>
              <w:t>1.93</w:t>
            </w:r>
          </w:p>
        </w:tc>
        <w:tc>
          <w:tcPr>
            <w:tcW w:w="638" w:type="dxa"/>
            <w:tcBorders>
              <w:top w:val="nil"/>
              <w:left w:val="nil"/>
              <w:bottom w:val="single" w:sz="12" w:space="0" w:color="auto"/>
              <w:right w:val="nil"/>
            </w:tcBorders>
          </w:tcPr>
          <w:p w14:paraId="01E6513D" w14:textId="77777777" w:rsidR="00DE4897" w:rsidRPr="008F6866" w:rsidRDefault="00DE4897" w:rsidP="008D668B">
            <w:pPr>
              <w:pStyle w:val="NormalWeb"/>
              <w:keepNext/>
              <w:keepLines/>
              <w:spacing w:before="0" w:beforeAutospacing="0" w:after="0" w:afterAutospacing="0"/>
              <w:jc w:val="both"/>
              <w:rPr>
                <w:rFonts w:asciiTheme="minorHAnsi" w:hAnsiTheme="minorHAnsi" w:cstheme="minorHAnsi"/>
                <w:sz w:val="20"/>
                <w:szCs w:val="20"/>
                <w:lang w:val="en-GB"/>
              </w:rPr>
            </w:pPr>
            <w:r w:rsidRPr="008F6866">
              <w:rPr>
                <w:rFonts w:asciiTheme="minorHAnsi" w:hAnsiTheme="minorHAnsi" w:cstheme="minorHAnsi"/>
                <w:sz w:val="20"/>
                <w:szCs w:val="20"/>
                <w:lang w:val="en-GB"/>
              </w:rPr>
              <w:t>0.69</w:t>
            </w:r>
          </w:p>
        </w:tc>
        <w:tc>
          <w:tcPr>
            <w:tcW w:w="637" w:type="dxa"/>
            <w:tcBorders>
              <w:top w:val="nil"/>
              <w:left w:val="nil"/>
              <w:bottom w:val="single" w:sz="12" w:space="0" w:color="auto"/>
              <w:right w:val="nil"/>
            </w:tcBorders>
          </w:tcPr>
          <w:p w14:paraId="7BC74754" w14:textId="77777777" w:rsidR="00DE4897" w:rsidRPr="008F6866" w:rsidRDefault="00DE4897" w:rsidP="008D668B">
            <w:pPr>
              <w:pStyle w:val="NormalWeb"/>
              <w:keepNext/>
              <w:keepLines/>
              <w:spacing w:before="0" w:beforeAutospacing="0" w:after="0" w:afterAutospacing="0"/>
              <w:jc w:val="both"/>
              <w:rPr>
                <w:rFonts w:asciiTheme="minorHAnsi" w:hAnsiTheme="minorHAnsi" w:cstheme="minorHAnsi"/>
                <w:sz w:val="20"/>
                <w:szCs w:val="20"/>
                <w:lang w:val="en-GB"/>
              </w:rPr>
            </w:pPr>
            <w:r w:rsidRPr="008F6866">
              <w:rPr>
                <w:rFonts w:asciiTheme="minorHAnsi" w:hAnsiTheme="minorHAnsi" w:cstheme="minorHAnsi"/>
                <w:sz w:val="20"/>
                <w:szCs w:val="20"/>
                <w:lang w:val="en-GB"/>
              </w:rPr>
              <w:t>0.46</w:t>
            </w:r>
          </w:p>
        </w:tc>
        <w:tc>
          <w:tcPr>
            <w:tcW w:w="638" w:type="dxa"/>
            <w:tcBorders>
              <w:top w:val="nil"/>
              <w:left w:val="nil"/>
              <w:bottom w:val="single" w:sz="12" w:space="0" w:color="auto"/>
              <w:right w:val="nil"/>
            </w:tcBorders>
          </w:tcPr>
          <w:p w14:paraId="27086E3C" w14:textId="77777777" w:rsidR="00DE4897" w:rsidRPr="008F6866" w:rsidRDefault="00DE4897" w:rsidP="008D668B">
            <w:pPr>
              <w:pStyle w:val="NormalWeb"/>
              <w:keepNext/>
              <w:keepLines/>
              <w:spacing w:before="0" w:beforeAutospacing="0" w:after="0" w:afterAutospacing="0"/>
              <w:jc w:val="both"/>
              <w:rPr>
                <w:rFonts w:asciiTheme="minorHAnsi" w:hAnsiTheme="minorHAnsi" w:cstheme="minorHAnsi"/>
                <w:sz w:val="20"/>
                <w:szCs w:val="20"/>
                <w:lang w:val="en-GB"/>
              </w:rPr>
            </w:pPr>
            <w:r w:rsidRPr="008F6866">
              <w:rPr>
                <w:rFonts w:asciiTheme="minorHAnsi" w:hAnsiTheme="minorHAnsi" w:cstheme="minorHAnsi"/>
                <w:sz w:val="20"/>
                <w:szCs w:val="20"/>
                <w:lang w:val="en-GB"/>
              </w:rPr>
              <w:t>20.6</w:t>
            </w:r>
          </w:p>
        </w:tc>
        <w:tc>
          <w:tcPr>
            <w:tcW w:w="637" w:type="dxa"/>
            <w:tcBorders>
              <w:top w:val="nil"/>
              <w:left w:val="nil"/>
              <w:bottom w:val="single" w:sz="12" w:space="0" w:color="auto"/>
              <w:right w:val="nil"/>
            </w:tcBorders>
          </w:tcPr>
          <w:p w14:paraId="0979C300" w14:textId="77777777" w:rsidR="00DE4897" w:rsidRPr="008F6866" w:rsidRDefault="00DE4897" w:rsidP="008D668B">
            <w:pPr>
              <w:pStyle w:val="NormalWeb"/>
              <w:keepNext/>
              <w:keepLines/>
              <w:spacing w:before="0" w:beforeAutospacing="0" w:after="0" w:afterAutospacing="0"/>
              <w:jc w:val="both"/>
              <w:rPr>
                <w:rFonts w:asciiTheme="minorHAnsi" w:hAnsiTheme="minorHAnsi" w:cstheme="minorHAnsi"/>
                <w:sz w:val="20"/>
                <w:szCs w:val="20"/>
                <w:lang w:val="en-GB"/>
              </w:rPr>
            </w:pPr>
            <w:r w:rsidRPr="008F6866">
              <w:rPr>
                <w:rFonts w:asciiTheme="minorHAnsi" w:hAnsiTheme="minorHAnsi" w:cstheme="minorHAnsi"/>
                <w:sz w:val="20"/>
                <w:szCs w:val="20"/>
                <w:lang w:val="en-GB"/>
              </w:rPr>
              <w:t>6.10</w:t>
            </w:r>
          </w:p>
        </w:tc>
        <w:tc>
          <w:tcPr>
            <w:tcW w:w="637" w:type="dxa"/>
            <w:tcBorders>
              <w:top w:val="nil"/>
              <w:left w:val="nil"/>
              <w:bottom w:val="single" w:sz="12" w:space="0" w:color="auto"/>
              <w:right w:val="nil"/>
            </w:tcBorders>
          </w:tcPr>
          <w:p w14:paraId="1F3A8A41" w14:textId="77777777" w:rsidR="00DE4897" w:rsidRPr="008F6866" w:rsidRDefault="00DE4897" w:rsidP="008D668B">
            <w:pPr>
              <w:pStyle w:val="NormalWeb"/>
              <w:keepNext/>
              <w:keepLines/>
              <w:spacing w:before="0" w:beforeAutospacing="0" w:after="0" w:afterAutospacing="0"/>
              <w:jc w:val="both"/>
              <w:rPr>
                <w:rFonts w:asciiTheme="minorHAnsi" w:hAnsiTheme="minorHAnsi" w:cstheme="minorHAnsi"/>
                <w:sz w:val="20"/>
                <w:szCs w:val="20"/>
                <w:lang w:val="en-GB"/>
              </w:rPr>
            </w:pPr>
            <w:r w:rsidRPr="008F6866">
              <w:rPr>
                <w:rFonts w:asciiTheme="minorHAnsi" w:hAnsiTheme="minorHAnsi" w:cstheme="minorHAnsi"/>
                <w:sz w:val="20"/>
                <w:szCs w:val="20"/>
                <w:lang w:val="en-GB"/>
              </w:rPr>
              <w:t>0.82</w:t>
            </w:r>
          </w:p>
        </w:tc>
        <w:tc>
          <w:tcPr>
            <w:tcW w:w="638" w:type="dxa"/>
            <w:tcBorders>
              <w:top w:val="nil"/>
              <w:left w:val="nil"/>
              <w:bottom w:val="single" w:sz="12" w:space="0" w:color="auto"/>
              <w:right w:val="nil"/>
            </w:tcBorders>
          </w:tcPr>
          <w:p w14:paraId="23D69C62" w14:textId="77777777" w:rsidR="00DE4897" w:rsidRPr="008F6866" w:rsidRDefault="00DE4897" w:rsidP="008D668B">
            <w:pPr>
              <w:pStyle w:val="NormalWeb"/>
              <w:keepNext/>
              <w:keepLines/>
              <w:spacing w:before="0" w:beforeAutospacing="0" w:after="0" w:afterAutospacing="0"/>
              <w:jc w:val="both"/>
              <w:rPr>
                <w:rFonts w:asciiTheme="minorHAnsi" w:hAnsiTheme="minorHAnsi" w:cstheme="minorHAnsi"/>
                <w:sz w:val="20"/>
                <w:szCs w:val="20"/>
                <w:lang w:val="en-GB"/>
              </w:rPr>
            </w:pPr>
            <w:r w:rsidRPr="008F6866">
              <w:rPr>
                <w:rFonts w:asciiTheme="minorHAnsi" w:hAnsiTheme="minorHAnsi" w:cstheme="minorHAnsi"/>
                <w:sz w:val="20"/>
                <w:szCs w:val="20"/>
                <w:lang w:val="en-GB"/>
              </w:rPr>
              <w:t>0.40</w:t>
            </w:r>
          </w:p>
        </w:tc>
        <w:tc>
          <w:tcPr>
            <w:tcW w:w="637" w:type="dxa"/>
            <w:tcBorders>
              <w:top w:val="nil"/>
              <w:left w:val="nil"/>
              <w:bottom w:val="single" w:sz="12" w:space="0" w:color="auto"/>
              <w:right w:val="nil"/>
            </w:tcBorders>
          </w:tcPr>
          <w:p w14:paraId="7B3A1AFD" w14:textId="77777777" w:rsidR="00DE4897" w:rsidRPr="008F6866" w:rsidRDefault="00DE4897" w:rsidP="008D668B">
            <w:pPr>
              <w:pStyle w:val="NormalWeb"/>
              <w:keepNext/>
              <w:keepLines/>
              <w:spacing w:before="0" w:beforeAutospacing="0" w:after="0" w:afterAutospacing="0"/>
              <w:jc w:val="both"/>
              <w:rPr>
                <w:rFonts w:asciiTheme="minorHAnsi" w:hAnsiTheme="minorHAnsi" w:cstheme="minorHAnsi"/>
                <w:sz w:val="20"/>
                <w:szCs w:val="20"/>
                <w:lang w:val="en-GB"/>
              </w:rPr>
            </w:pPr>
            <w:r w:rsidRPr="008F6866">
              <w:rPr>
                <w:rFonts w:asciiTheme="minorHAnsi" w:hAnsiTheme="minorHAnsi" w:cstheme="minorHAnsi"/>
                <w:sz w:val="20"/>
                <w:szCs w:val="20"/>
                <w:lang w:val="en-GB"/>
              </w:rPr>
              <w:t>1.67</w:t>
            </w:r>
          </w:p>
        </w:tc>
        <w:tc>
          <w:tcPr>
            <w:tcW w:w="638" w:type="dxa"/>
            <w:tcBorders>
              <w:top w:val="nil"/>
              <w:left w:val="nil"/>
              <w:bottom w:val="single" w:sz="12" w:space="0" w:color="auto"/>
              <w:right w:val="nil"/>
            </w:tcBorders>
          </w:tcPr>
          <w:p w14:paraId="7F2A4F5F" w14:textId="77777777" w:rsidR="00DE4897" w:rsidRPr="008F6866" w:rsidRDefault="00DE4897" w:rsidP="008D668B">
            <w:pPr>
              <w:pStyle w:val="NormalWeb"/>
              <w:keepNext/>
              <w:keepLines/>
              <w:spacing w:before="0" w:beforeAutospacing="0" w:after="0" w:afterAutospacing="0"/>
              <w:jc w:val="both"/>
              <w:rPr>
                <w:rFonts w:asciiTheme="minorHAnsi" w:hAnsiTheme="minorHAnsi" w:cstheme="minorHAnsi"/>
                <w:sz w:val="20"/>
                <w:szCs w:val="20"/>
                <w:lang w:val="en-GB"/>
              </w:rPr>
            </w:pPr>
            <w:r w:rsidRPr="008F6866">
              <w:rPr>
                <w:rFonts w:asciiTheme="minorHAnsi" w:hAnsiTheme="minorHAnsi" w:cstheme="minorHAnsi"/>
                <w:sz w:val="20"/>
                <w:szCs w:val="20"/>
                <w:lang w:val="en-GB"/>
              </w:rPr>
              <w:t>0.63</w:t>
            </w:r>
          </w:p>
        </w:tc>
        <w:tc>
          <w:tcPr>
            <w:tcW w:w="637" w:type="dxa"/>
            <w:tcBorders>
              <w:top w:val="nil"/>
              <w:left w:val="nil"/>
              <w:bottom w:val="single" w:sz="12" w:space="0" w:color="auto"/>
              <w:right w:val="nil"/>
            </w:tcBorders>
          </w:tcPr>
          <w:p w14:paraId="1533EC45" w14:textId="77777777" w:rsidR="00DE4897" w:rsidRPr="008F6866" w:rsidRDefault="00DE4897" w:rsidP="008D668B">
            <w:pPr>
              <w:pStyle w:val="NormalWeb"/>
              <w:keepNext/>
              <w:keepLines/>
              <w:spacing w:before="0" w:beforeAutospacing="0" w:after="0" w:afterAutospacing="0"/>
              <w:jc w:val="both"/>
              <w:rPr>
                <w:rFonts w:asciiTheme="minorHAnsi" w:hAnsiTheme="minorHAnsi" w:cstheme="minorHAnsi"/>
                <w:sz w:val="20"/>
                <w:szCs w:val="20"/>
                <w:lang w:val="en-GB"/>
              </w:rPr>
            </w:pPr>
            <w:r w:rsidRPr="008F6866">
              <w:rPr>
                <w:rFonts w:asciiTheme="minorHAnsi" w:hAnsiTheme="minorHAnsi" w:cstheme="minorHAnsi"/>
                <w:sz w:val="20"/>
                <w:szCs w:val="20"/>
                <w:lang w:val="en-GB"/>
              </w:rPr>
              <w:t>2.28</w:t>
            </w:r>
          </w:p>
        </w:tc>
        <w:tc>
          <w:tcPr>
            <w:tcW w:w="638" w:type="dxa"/>
            <w:tcBorders>
              <w:top w:val="nil"/>
              <w:left w:val="nil"/>
              <w:bottom w:val="single" w:sz="12" w:space="0" w:color="auto"/>
              <w:right w:val="nil"/>
            </w:tcBorders>
          </w:tcPr>
          <w:p w14:paraId="03FBD72E" w14:textId="77777777" w:rsidR="00DE4897" w:rsidRPr="008F6866" w:rsidRDefault="00DE4897" w:rsidP="008D668B">
            <w:pPr>
              <w:pStyle w:val="NormalWeb"/>
              <w:keepNext/>
              <w:keepLines/>
              <w:spacing w:before="0" w:beforeAutospacing="0" w:after="0" w:afterAutospacing="0"/>
              <w:jc w:val="both"/>
              <w:rPr>
                <w:rFonts w:asciiTheme="minorHAnsi" w:hAnsiTheme="minorHAnsi" w:cstheme="minorHAnsi"/>
                <w:sz w:val="20"/>
                <w:szCs w:val="20"/>
                <w:lang w:val="en-GB"/>
              </w:rPr>
            </w:pPr>
            <w:r w:rsidRPr="008F6866">
              <w:rPr>
                <w:rFonts w:asciiTheme="minorHAnsi" w:hAnsiTheme="minorHAnsi" w:cstheme="minorHAnsi"/>
                <w:sz w:val="20"/>
                <w:szCs w:val="20"/>
                <w:lang w:val="en-GB"/>
              </w:rPr>
              <w:t>0.61</w:t>
            </w:r>
          </w:p>
        </w:tc>
      </w:tr>
    </w:tbl>
    <w:p w14:paraId="67AF46CE" w14:textId="77777777" w:rsidR="00DE4897" w:rsidRPr="008F6866" w:rsidRDefault="00DE4897" w:rsidP="001E00DD">
      <w:pPr>
        <w:spacing w:after="0"/>
        <w:jc w:val="both"/>
        <w:rPr>
          <w:rFonts w:cstheme="minorHAnsi"/>
          <w:b/>
        </w:rPr>
      </w:pPr>
    </w:p>
    <w:p w14:paraId="4A3C4E50" w14:textId="77777777" w:rsidR="00DE4897" w:rsidRPr="008F6866" w:rsidRDefault="00DE4897" w:rsidP="00DE4897">
      <w:pPr>
        <w:jc w:val="both"/>
        <w:rPr>
          <w:rFonts w:cstheme="minorHAnsi"/>
          <w:b/>
        </w:rPr>
      </w:pPr>
      <w:r w:rsidRPr="008F6866">
        <w:rPr>
          <w:rFonts w:cstheme="minorHAnsi"/>
          <w:b/>
        </w:rPr>
        <w:t>Near-surface relative humidity</w:t>
      </w:r>
    </w:p>
    <w:p w14:paraId="0695281C" w14:textId="49636226" w:rsidR="00DE4897" w:rsidRPr="008F6866" w:rsidRDefault="00DE4897" w:rsidP="00533D04">
      <w:pPr>
        <w:spacing w:after="120" w:line="300" w:lineRule="auto"/>
        <w:jc w:val="both"/>
        <w:rPr>
          <w:rFonts w:cstheme="minorHAnsi"/>
        </w:rPr>
      </w:pPr>
      <w:r w:rsidRPr="008F6866">
        <w:rPr>
          <w:rFonts w:cstheme="minorHAnsi"/>
        </w:rPr>
        <w:t xml:space="preserve">Near-surface relative humidity is not adequately represented by some climate models. Models like CMCC-ESM2, INM-CM4-8, and INM-CM5-0 produce consistently low relative humidity values. Models like ACCESS-ESM1-5, CMCC-ESM2, INM-CM4-8, INM-CM5-0, and IPSL-CM6A-LR display an excessively wide inter-quartile range. The scaling correction helps mitigate the aforementioned problems. However, the correction doesn't always improve the median value of the distribution in models like MPI-ESM1-2-LR and IPSL-CM6A-LR. Additionally, this correction does not accurately represent extreme </w:t>
      </w:r>
      <w:r w:rsidRPr="008F6866">
        <w:rPr>
          <w:rFonts w:cstheme="minorHAnsi"/>
        </w:rPr>
        <w:lastRenderedPageBreak/>
        <w:t>values in some models. In particular, the right tail of the distribution is characterized by values exceeding 100% in all models except CanESM5 and IPSL-CM6A-LR. These values, which surpass 100%, are already present in the raw dataset and are not introduced by the correction. The method does not remove these values but, instead, the scaling factor applied can make them even larger.</w:t>
      </w:r>
    </w:p>
    <w:p w14:paraId="233073DE" w14:textId="77777777" w:rsidR="00DE4897" w:rsidRPr="008F6866" w:rsidRDefault="00DE4897" w:rsidP="00533D04">
      <w:pPr>
        <w:spacing w:after="120" w:line="300" w:lineRule="auto"/>
        <w:jc w:val="both"/>
        <w:rPr>
          <w:rFonts w:cstheme="minorHAnsi"/>
        </w:rPr>
      </w:pPr>
      <w:r w:rsidRPr="008F6866">
        <w:rPr>
          <w:rFonts w:cstheme="minorHAnsi"/>
        </w:rPr>
        <w:t>The scaling correction also occasionally generates negative values (ACCESS-ESM1-5: 112 days, MPI-ESM1-2-HR: 52 days, MPI-ESM1-2-LR: 5 days out of 10958). Negative values are found for all sites, but Baileux, Louvain-la-Neuve and Uccle. The scaling factor calculated based on (100%-relative humidity) proves to be highly sensitive to consistent disparities between model outputs and observational data. While scaling factors exhibit only minor variations around a value of 1 for relative humidity, values greater than 3 are possible for (100%-relative humidity). Such a high coefficient results in significant adjustments to (100%-relative humidity), which can surpass 100%. This leads to bias-corrected relative humidity values turning negative after transformation.</w:t>
      </w:r>
    </w:p>
    <w:p w14:paraId="057C8724" w14:textId="06682C25" w:rsidR="00DE4897" w:rsidRPr="008F6866" w:rsidRDefault="00DE4897" w:rsidP="001E00DD">
      <w:pPr>
        <w:spacing w:after="0" w:line="300" w:lineRule="auto"/>
        <w:jc w:val="both"/>
        <w:rPr>
          <w:rFonts w:cstheme="minorHAnsi"/>
        </w:rPr>
      </w:pPr>
      <w:r w:rsidRPr="008F6866">
        <w:rPr>
          <w:rFonts w:cstheme="minorHAnsi"/>
        </w:rPr>
        <w:t>The ISIMIP3 method provides better results for relative humidity. This correction improves the median value of the distribution in all models. Besides, there are no values above 100% (because there are no supersaturated values in the observations). The lowest simulated values also agree with observations.</w:t>
      </w:r>
    </w:p>
    <w:p w14:paraId="6572348C" w14:textId="77777777" w:rsidR="00533D04" w:rsidRPr="008F6866" w:rsidRDefault="00533D04" w:rsidP="00533D04">
      <w:pPr>
        <w:spacing w:after="0" w:line="300" w:lineRule="auto"/>
        <w:jc w:val="both"/>
        <w:rPr>
          <w:rFonts w:cstheme="minorHAnsi"/>
        </w:rPr>
      </w:pPr>
    </w:p>
    <w:p w14:paraId="155910AD" w14:textId="77777777" w:rsidR="00DE4897" w:rsidRPr="008F6866" w:rsidRDefault="00DE4897" w:rsidP="00DE4897">
      <w:pPr>
        <w:jc w:val="both"/>
        <w:rPr>
          <w:rFonts w:cstheme="minorHAnsi"/>
          <w:b/>
          <w:i/>
        </w:rPr>
      </w:pPr>
      <w:r w:rsidRPr="008F6866">
        <w:rPr>
          <w:rFonts w:cstheme="minorHAnsi"/>
          <w:b/>
          <w:i/>
        </w:rPr>
        <w:t>Total precipitation</w:t>
      </w:r>
    </w:p>
    <w:p w14:paraId="14E170DA" w14:textId="6F561F32" w:rsidR="00DE4897" w:rsidRPr="008F6866" w:rsidRDefault="00DE4897" w:rsidP="00F522A4">
      <w:pPr>
        <w:spacing w:after="120" w:line="300" w:lineRule="auto"/>
        <w:jc w:val="both"/>
        <w:rPr>
          <w:rFonts w:cstheme="minorHAnsi"/>
          <w:b/>
        </w:rPr>
      </w:pPr>
      <w:r w:rsidRPr="008F6866">
        <w:rPr>
          <w:rFonts w:cstheme="minorHAnsi"/>
        </w:rPr>
        <w:t>The errors in GCM daily precipitation afflict the entire intensity spectrum. In many cases there are artificially large amounts of drizzle in the models, i.e. days with low precipitation, while the observations suggest a larger number of dry days. The mean of the distribution is also biased, and the observed high precipitation events are not properly reproduced</w:t>
      </w:r>
      <w:r w:rsidR="00533D04" w:rsidRPr="008F6866">
        <w:rPr>
          <w:rFonts w:cstheme="minorHAnsi"/>
        </w:rPr>
        <w:t xml:space="preserve"> </w:t>
      </w:r>
      <w:r w:rsidRPr="008F6866">
        <w:rPr>
          <w:rFonts w:cstheme="minorHAnsi"/>
        </w:rPr>
        <w:fldChar w:fldCharType="begin"/>
      </w:r>
      <w:r w:rsidR="00CC7A85">
        <w:rPr>
          <w:rFonts w:cstheme="minorHAnsi"/>
        </w:rPr>
        <w:instrText xml:space="preserve"> ADDIN EN.CITE &lt;EndNote&gt;&lt;Cite&gt;&lt;Author&gt;Dai&lt;/Author&gt;&lt;Year&gt;2006&lt;/Year&gt;&lt;RecNum&gt;381&lt;/RecNum&gt;&lt;IDText&gt;Dai06&lt;/IDText&gt;&lt;DisplayText&gt;(Dai, 2006)&lt;/DisplayText&gt;&lt;record&gt;&lt;rec-number&gt;381&lt;/rec-number&gt;&lt;foreign-keys&gt;&lt;key app="EN" db-id="0px2fzdxhrpdrre2w5f5pdryx90atadrdavt" timestamp="1713949972"&gt;381&lt;/key&gt;&lt;/foreign-keys&gt;&lt;ref-type name="Journal Article"&gt;17&lt;/ref-type&gt;&lt;contributors&gt;&lt;authors&gt;&lt;author&gt;Dai, A.&lt;/author&gt;&lt;/authors&gt;&lt;/contributors&gt;&lt;titles&gt;&lt;title&gt;Precipitation characteristics in eighteen coupled climate models&lt;/title&gt;&lt;secondary-title&gt;Journal of Climate&lt;/secondary-title&gt;&lt;/titles&gt;&lt;periodical&gt;&lt;full-title&gt;Journal of Climate&lt;/full-title&gt;&lt;/periodical&gt;&lt;pages&gt;4605-4630&lt;/pages&gt;&lt;volume&gt;19&lt;/volume&gt;&lt;number&gt;18&lt;/number&gt;&lt;dates&gt;&lt;year&gt;2006&lt;/year&gt;&lt;/dates&gt;&lt;label&gt;Dai06&lt;/label&gt;&lt;work-type&gt;Article&lt;/work-type&gt;&lt;urls&gt;&lt;related-urls&gt;&lt;url&gt;https://www.scopus.com/inward/record.uri?eid=2-s2.0-33646451521&amp;amp;doi=10.1175%2fJCLI3884.1&amp;amp;partnerID=40&amp;amp;md5=753360f5ac724a192a681128c390248f&lt;/url&gt;&lt;/related-urls&gt;&lt;/urls&gt;&lt;electronic-resource-num&gt;10.1175/JCLI3884.1&lt;/electronic-resource-num&gt;&lt;remote-database-name&gt;Scopus&lt;/remote-database-name&gt;&lt;/record&gt;&lt;/Cite&gt;&lt;/EndNote&gt;</w:instrText>
      </w:r>
      <w:r w:rsidRPr="008F6866">
        <w:rPr>
          <w:rFonts w:cstheme="minorHAnsi"/>
        </w:rPr>
        <w:fldChar w:fldCharType="separate"/>
      </w:r>
      <w:r w:rsidR="00CC7A85">
        <w:rPr>
          <w:rFonts w:cstheme="minorHAnsi"/>
          <w:noProof/>
        </w:rPr>
        <w:t>(Dai, 2006)</w:t>
      </w:r>
      <w:r w:rsidRPr="008F6866">
        <w:rPr>
          <w:rFonts w:cstheme="minorHAnsi"/>
        </w:rPr>
        <w:fldChar w:fldCharType="end"/>
      </w:r>
      <w:r w:rsidRPr="008F6866">
        <w:rPr>
          <w:rFonts w:cstheme="minorHAnsi"/>
        </w:rPr>
        <w:t xml:space="preserve">. This is in essence what </w:t>
      </w:r>
      <w:r w:rsidR="00533D04" w:rsidRPr="008F6866">
        <w:rPr>
          <w:rFonts w:cstheme="minorHAnsi"/>
        </w:rPr>
        <w:fldChar w:fldCharType="begin"/>
      </w:r>
      <w:r w:rsidR="00533D04" w:rsidRPr="008F6866">
        <w:rPr>
          <w:rFonts w:cstheme="minorHAnsi"/>
        </w:rPr>
        <w:instrText xml:space="preserve"> REF _Ref195653605 \h  \* MERGEFORMAT </w:instrText>
      </w:r>
      <w:r w:rsidR="00533D04" w:rsidRPr="008F6866">
        <w:rPr>
          <w:rFonts w:cstheme="minorHAnsi"/>
        </w:rPr>
      </w:r>
      <w:r w:rsidR="00533D04" w:rsidRPr="008F6866">
        <w:rPr>
          <w:rFonts w:cstheme="minorHAnsi"/>
        </w:rPr>
        <w:fldChar w:fldCharType="separate"/>
      </w:r>
      <w:r w:rsidR="00540DBF" w:rsidRPr="00540DBF">
        <w:rPr>
          <w:rFonts w:cstheme="minorHAnsi"/>
        </w:rPr>
        <w:t>Figure 27</w:t>
      </w:r>
      <w:r w:rsidR="00533D04" w:rsidRPr="008F6866">
        <w:rPr>
          <w:rFonts w:cstheme="minorHAnsi"/>
        </w:rPr>
        <w:fldChar w:fldCharType="end"/>
      </w:r>
      <w:r w:rsidR="00533D04" w:rsidRPr="008F6866">
        <w:rPr>
          <w:rFonts w:cstheme="minorHAnsi"/>
        </w:rPr>
        <w:t xml:space="preserve"> </w:t>
      </w:r>
      <w:r w:rsidRPr="008F6866">
        <w:rPr>
          <w:rFonts w:cstheme="minorHAnsi"/>
        </w:rPr>
        <w:t>and</w:t>
      </w:r>
      <w:r w:rsidR="00533D04" w:rsidRPr="008F6866">
        <w:rPr>
          <w:rFonts w:cstheme="minorHAnsi"/>
        </w:rPr>
        <w:t xml:space="preserve"> </w:t>
      </w:r>
      <w:r w:rsidR="00533D04" w:rsidRPr="008F6866">
        <w:rPr>
          <w:rFonts w:cstheme="minorHAnsi"/>
        </w:rPr>
        <w:fldChar w:fldCharType="begin"/>
      </w:r>
      <w:r w:rsidR="00533D04" w:rsidRPr="008F6866">
        <w:rPr>
          <w:rFonts w:cstheme="minorHAnsi"/>
        </w:rPr>
        <w:instrText xml:space="preserve"> REF _Ref195653624 \h  \* MERGEFORMAT </w:instrText>
      </w:r>
      <w:r w:rsidR="00533D04" w:rsidRPr="008F6866">
        <w:rPr>
          <w:rFonts w:cstheme="minorHAnsi"/>
        </w:rPr>
      </w:r>
      <w:r w:rsidR="00533D04" w:rsidRPr="008F6866">
        <w:rPr>
          <w:rFonts w:cstheme="minorHAnsi"/>
        </w:rPr>
        <w:fldChar w:fldCharType="separate"/>
      </w:r>
      <w:r w:rsidR="00540DBF" w:rsidRPr="00540DBF">
        <w:rPr>
          <w:rFonts w:cstheme="minorHAnsi"/>
        </w:rPr>
        <w:t>Figure 28</w:t>
      </w:r>
      <w:r w:rsidR="00533D04" w:rsidRPr="008F6866">
        <w:rPr>
          <w:rFonts w:cstheme="minorHAnsi"/>
        </w:rPr>
        <w:fldChar w:fldCharType="end"/>
      </w:r>
      <w:r w:rsidR="00533D04" w:rsidRPr="008F6866">
        <w:rPr>
          <w:rFonts w:cstheme="minorHAnsi"/>
        </w:rPr>
        <w:t xml:space="preserve"> </w:t>
      </w:r>
      <w:r w:rsidRPr="008F6866">
        <w:rPr>
          <w:rFonts w:cstheme="minorHAnsi"/>
        </w:rPr>
        <w:t>show.</w:t>
      </w:r>
    </w:p>
    <w:p w14:paraId="27B310EC" w14:textId="56E21705" w:rsidR="00DE4897" w:rsidRPr="008F6866" w:rsidRDefault="00533D04" w:rsidP="00F522A4">
      <w:pPr>
        <w:spacing w:after="120" w:line="300" w:lineRule="auto"/>
        <w:jc w:val="both"/>
        <w:rPr>
          <w:rFonts w:cstheme="minorHAnsi"/>
        </w:rPr>
      </w:pPr>
      <w:r w:rsidRPr="008F6866">
        <w:rPr>
          <w:rFonts w:cstheme="minorHAnsi"/>
        </w:rPr>
        <w:fldChar w:fldCharType="begin"/>
      </w:r>
      <w:r w:rsidRPr="008F6866">
        <w:rPr>
          <w:rFonts w:cstheme="minorHAnsi"/>
        </w:rPr>
        <w:instrText xml:space="preserve"> REF _Ref195653605 \h  \* MERGEFORMAT </w:instrText>
      </w:r>
      <w:r w:rsidRPr="008F6866">
        <w:rPr>
          <w:rFonts w:cstheme="minorHAnsi"/>
        </w:rPr>
      </w:r>
      <w:r w:rsidRPr="008F6866">
        <w:rPr>
          <w:rFonts w:cstheme="minorHAnsi"/>
        </w:rPr>
        <w:fldChar w:fldCharType="separate"/>
      </w:r>
      <w:r w:rsidR="00540DBF" w:rsidRPr="00540DBF">
        <w:rPr>
          <w:rFonts w:cstheme="minorHAnsi"/>
        </w:rPr>
        <w:t>Figure 27</w:t>
      </w:r>
      <w:r w:rsidRPr="008F6866">
        <w:rPr>
          <w:rFonts w:cstheme="minorHAnsi"/>
        </w:rPr>
        <w:fldChar w:fldCharType="end"/>
      </w:r>
      <w:r w:rsidRPr="008F6866">
        <w:rPr>
          <w:rFonts w:cstheme="minorHAnsi"/>
        </w:rPr>
        <w:t xml:space="preserve"> </w:t>
      </w:r>
      <w:r w:rsidR="00DE4897" w:rsidRPr="008F6866">
        <w:rPr>
          <w:rFonts w:cstheme="minorHAnsi"/>
        </w:rPr>
        <w:t>shows that the scaling correction only reduces the bias in the median in half of the models (ACCESS-ESM1-5, IPSL-CM6A-LR, MPI-ESM1-2-HR, MPI-ESM1-2-LR and MRI-ESM2-0), while the median is systematically improved using ISIMIP3. The value of the lower quartile, which is different from 0 in most models, shows that the correction does not significantly increase the number of dry days (see</w:t>
      </w:r>
      <w:r w:rsidR="00F522A4" w:rsidRPr="008F6866">
        <w:rPr>
          <w:rFonts w:cstheme="minorHAnsi"/>
        </w:rPr>
        <w:t xml:space="preserve"> </w:t>
      </w:r>
      <w:r w:rsidR="00F522A4" w:rsidRPr="007C35B5">
        <w:rPr>
          <w:rFonts w:cstheme="minorHAnsi"/>
        </w:rPr>
        <w:fldChar w:fldCharType="begin"/>
      </w:r>
      <w:r w:rsidR="00F522A4" w:rsidRPr="007C35B5">
        <w:rPr>
          <w:rFonts w:cstheme="minorHAnsi"/>
        </w:rPr>
        <w:instrText xml:space="preserve"> REF _Ref195654486 \h  \* MERGEFORMAT </w:instrText>
      </w:r>
      <w:r w:rsidR="00F522A4" w:rsidRPr="007C35B5">
        <w:rPr>
          <w:rFonts w:cstheme="minorHAnsi"/>
        </w:rPr>
      </w:r>
      <w:r w:rsidR="00F522A4" w:rsidRPr="007C35B5">
        <w:rPr>
          <w:rFonts w:cstheme="minorHAnsi"/>
        </w:rPr>
        <w:fldChar w:fldCharType="separate"/>
      </w:r>
      <w:r w:rsidR="00540DBF" w:rsidRPr="007C35B5">
        <w:rPr>
          <w:rFonts w:cstheme="minorHAnsi"/>
        </w:rPr>
        <w:t xml:space="preserve">Table </w:t>
      </w:r>
      <w:r w:rsidR="00540DBF" w:rsidRPr="007C35B5">
        <w:rPr>
          <w:noProof/>
          <w:color w:val="000000" w:themeColor="text1"/>
        </w:rPr>
        <w:t>XVI</w:t>
      </w:r>
      <w:r w:rsidR="00F522A4" w:rsidRPr="007C35B5">
        <w:rPr>
          <w:rFonts w:cstheme="minorHAnsi"/>
        </w:rPr>
        <w:fldChar w:fldCharType="end"/>
      </w:r>
      <w:r w:rsidR="00DE4897" w:rsidRPr="007C35B5">
        <w:rPr>
          <w:rFonts w:cstheme="minorHAnsi"/>
        </w:rPr>
        <w:t>).</w:t>
      </w:r>
      <w:r w:rsidR="00DE4897" w:rsidRPr="008F6866">
        <w:rPr>
          <w:rFonts w:cstheme="minorHAnsi"/>
        </w:rPr>
        <w:t xml:space="preserve"> This is because the scaling correction does not provide separate corrections for precipitation occurrence and intensity. This distinction is implemented in ISIMIP3.  </w:t>
      </w:r>
    </w:p>
    <w:p w14:paraId="0AD84B0C" w14:textId="44BDB05A" w:rsidR="00DE4897" w:rsidRDefault="00DE4897" w:rsidP="00F522A4">
      <w:pPr>
        <w:spacing w:after="120" w:line="300" w:lineRule="auto"/>
        <w:jc w:val="both"/>
        <w:rPr>
          <w:rFonts w:cstheme="minorHAnsi"/>
        </w:rPr>
      </w:pPr>
      <w:r w:rsidRPr="008F6866">
        <w:rPr>
          <w:rFonts w:cstheme="minorHAnsi"/>
        </w:rPr>
        <w:t>The scaling method was found effective for correcting the bias in high precipitation simulations of the EURO-CORDEX RCMs in Europe</w:t>
      </w:r>
      <w:r w:rsidR="00F522A4" w:rsidRPr="008F6866">
        <w:rPr>
          <w:rFonts w:cstheme="minorHAnsi"/>
        </w:rPr>
        <w:t xml:space="preserve"> </w:t>
      </w:r>
      <w:r w:rsidRPr="008F6866">
        <w:rPr>
          <w:rFonts w:cstheme="minorHAnsi"/>
        </w:rPr>
        <w:fldChar w:fldCharType="begin"/>
      </w:r>
      <w:r w:rsidR="001677B2">
        <w:rPr>
          <w:rFonts w:cstheme="minorHAnsi"/>
        </w:rPr>
        <w:instrText xml:space="preserve"> ADDIN EN.CITE &lt;EndNote&gt;&lt;Cite&gt;&lt;Author&gt;Hosseinzadehtalaei&lt;/Author&gt;&lt;Year&gt;2020&lt;/Year&gt;&lt;RecNum&gt;382&lt;/RecNum&gt;&lt;IDText&gt;Hosseinzadehtalaei20&lt;/IDText&gt;&lt;DisplayText&gt;(Hosseinzadehtalaei&lt;style face="italic"&gt; et al.&lt;/style&gt;, 2020)&lt;/DisplayText&gt;&lt;record&gt;&lt;rec-number&gt;382&lt;/rec-number&gt;&lt;foreign-keys&gt;&lt;key app="EN" db-id="0px2fzdxhrpdrre2w5f5pdryx90atadrdavt" timestamp="1713950156"&gt;382&lt;/key&gt;&lt;/foreign-keys&gt;&lt;ref-type name="Journal Article"&gt;17&lt;/ref-type&gt;&lt;contributors&gt;&lt;authors&gt;&lt;author&gt;Hosseinzadehtalaei, P.&lt;/author&gt;&lt;author&gt;Tabari, H.&lt;/author&gt;&lt;author&gt;Willems, P.&lt;/author&gt;&lt;/authors&gt;&lt;/contributors&gt;&lt;titles&gt;&lt;title&gt;Climate change impact on short-duration extreme precipitation and intensity–duration–frequency curves over Europe&lt;/title&gt;&lt;secondary-title&gt;Journal of Hydrology&lt;/secondary-title&gt;&lt;/titles&gt;&lt;periodical&gt;&lt;full-title&gt;Journal of Hydrology&lt;/full-title&gt;&lt;/periodical&gt;&lt;pages&gt;125249&lt;/pages&gt;&lt;volume&gt;590&lt;/volume&gt;&lt;dates&gt;&lt;year&gt;2020&lt;/year&gt;&lt;/dates&gt;&lt;label&gt;Hosseinzadehtalaei20&lt;/label&gt;&lt;work-type&gt;Article&lt;/work-type&gt;&lt;urls&gt;&lt;related-urls&gt;&lt;url&gt;https://www.scopus.com/inward/record.uri?eid=2-s2.0-85087336521&amp;amp;doi=10.1016%2fj.jhydrol.2020.125249&amp;amp;partnerID=40&amp;amp;md5=7cc822ab719e7d7f9a75a2d32814fb1b&lt;/url&gt;&lt;/related-urls&gt;&lt;/urls&gt;&lt;custom7&gt;125249&lt;/custom7&gt;&lt;electronic-resource-num&gt;10.1016/j.jhydrol.2020.125249&lt;/electronic-resource-num&gt;&lt;remote-database-name&gt;Scopus&lt;/remote-database-name&gt;&lt;/record&gt;&lt;/Cite&gt;&lt;/EndNote&gt;</w:instrText>
      </w:r>
      <w:r w:rsidRPr="008F6866">
        <w:rPr>
          <w:rFonts w:cstheme="minorHAnsi"/>
        </w:rPr>
        <w:fldChar w:fldCharType="separate"/>
      </w:r>
      <w:r w:rsidR="001677B2">
        <w:rPr>
          <w:rFonts w:cstheme="minorHAnsi"/>
          <w:noProof/>
        </w:rPr>
        <w:t>(Hosseinzadehtalaei</w:t>
      </w:r>
      <w:r w:rsidR="001677B2" w:rsidRPr="001677B2">
        <w:rPr>
          <w:rFonts w:cstheme="minorHAnsi"/>
          <w:i/>
          <w:noProof/>
        </w:rPr>
        <w:t xml:space="preserve"> et al.</w:t>
      </w:r>
      <w:r w:rsidR="001677B2">
        <w:rPr>
          <w:rFonts w:cstheme="minorHAnsi"/>
          <w:noProof/>
        </w:rPr>
        <w:t>, 2020)</w:t>
      </w:r>
      <w:r w:rsidRPr="008F6866">
        <w:rPr>
          <w:rFonts w:cstheme="minorHAnsi"/>
        </w:rPr>
        <w:fldChar w:fldCharType="end"/>
      </w:r>
      <w:r w:rsidRPr="008F6866">
        <w:rPr>
          <w:rFonts w:cstheme="minorHAnsi"/>
        </w:rPr>
        <w:t xml:space="preserve"> and the CMIP5 GCMs in Belgium</w:t>
      </w:r>
      <w:r w:rsidR="00F522A4" w:rsidRPr="008F6866">
        <w:rPr>
          <w:rFonts w:cstheme="minorHAnsi"/>
        </w:rPr>
        <w:t xml:space="preserve"> </w:t>
      </w:r>
      <w:r w:rsidRPr="008F6866">
        <w:rPr>
          <w:rFonts w:cstheme="minorHAnsi"/>
        </w:rPr>
        <w:fldChar w:fldCharType="begin"/>
      </w:r>
      <w:r w:rsidR="001677B2">
        <w:rPr>
          <w:rFonts w:cstheme="minorHAnsi"/>
        </w:rPr>
        <w:instrText xml:space="preserve"> ADDIN EN.CITE &lt;EndNote&gt;&lt;Cite&gt;&lt;Author&gt;Hosseinzadehtalaei&lt;/Author&gt;&lt;Year&gt;2017&lt;/Year&gt;&lt;RecNum&gt;383&lt;/RecNum&gt;&lt;IDText&gt;Hosseinzadehtalaei17&lt;/IDText&gt;&lt;DisplayText&gt;(Hosseinzadehtalaei&lt;style face="italic"&gt; et al.&lt;/style&gt;, 2017)&lt;/DisplayText&gt;&lt;record&gt;&lt;rec-number&gt;383&lt;/rec-number&gt;&lt;foreign-keys&gt;&lt;key app="EN" db-id="0px2fzdxhrpdrre2w5f5pdryx90atadrdavt" timestamp="1713950249"&gt;383&lt;/key&gt;&lt;/foreign-keys&gt;&lt;ref-type name="Journal Article"&gt;17&lt;/ref-type&gt;&lt;contributors&gt;&lt;authors&gt;&lt;author&gt;Hosseinzadehtalaei, P.&lt;/author&gt;&lt;author&gt;Tabari, H.&lt;/author&gt;&lt;author&gt;Willems, P.&lt;/author&gt;&lt;/authors&gt;&lt;/contributors&gt;&lt;titles&gt;&lt;title&gt;Uncertainty assessment for climate change impact on intense precipitation: how many model runs do we need?&lt;/title&gt;&lt;secondary-title&gt;International Journal of Climatology&lt;/secondary-title&gt;&lt;/titles&gt;&lt;periodical&gt;&lt;full-title&gt;International Journal of Climatology&lt;/full-title&gt;&lt;/periodical&gt;&lt;pages&gt;1105-1117&lt;/pages&gt;&lt;volume&gt;37&lt;/volume&gt;&lt;dates&gt;&lt;year&gt;2017&lt;/year&gt;&lt;/dates&gt;&lt;label&gt;Hosseinzadehtalaei17&lt;/label&gt;&lt;work-type&gt;Article&lt;/work-type&gt;&lt;urls&gt;&lt;related-urls&gt;&lt;url&gt;https://www.scopus.com/inward/record.uri?eid=2-s2.0-85017563240&amp;amp;doi=10.1002%2fjoc.5069&amp;amp;partnerID=40&amp;amp;md5=3b60067a44987ad75c259c3b98678bcf&lt;/url&gt;&lt;/related-urls&gt;&lt;/urls&gt;&lt;electronic-resource-num&gt;10.1002/joc.5069&lt;/electronic-resource-num&gt;&lt;remote-database-name&gt;Scopus&lt;/remote-database-name&gt;&lt;/record&gt;&lt;/Cite&gt;&lt;/EndNote&gt;</w:instrText>
      </w:r>
      <w:r w:rsidRPr="008F6866">
        <w:rPr>
          <w:rFonts w:cstheme="minorHAnsi"/>
        </w:rPr>
        <w:fldChar w:fldCharType="separate"/>
      </w:r>
      <w:r w:rsidR="001677B2">
        <w:rPr>
          <w:rFonts w:cstheme="minorHAnsi"/>
          <w:noProof/>
        </w:rPr>
        <w:t>(Hosseinzadehtalaei</w:t>
      </w:r>
      <w:r w:rsidR="001677B2" w:rsidRPr="001677B2">
        <w:rPr>
          <w:rFonts w:cstheme="minorHAnsi"/>
          <w:i/>
          <w:noProof/>
        </w:rPr>
        <w:t xml:space="preserve"> et al.</w:t>
      </w:r>
      <w:r w:rsidR="001677B2">
        <w:rPr>
          <w:rFonts w:cstheme="minorHAnsi"/>
          <w:noProof/>
        </w:rPr>
        <w:t>, 2017)</w:t>
      </w:r>
      <w:r w:rsidRPr="008F6866">
        <w:rPr>
          <w:rFonts w:cstheme="minorHAnsi"/>
        </w:rPr>
        <w:fldChar w:fldCharType="end"/>
      </w:r>
      <w:r w:rsidRPr="008F6866">
        <w:rPr>
          <w:rFonts w:cstheme="minorHAnsi"/>
        </w:rPr>
        <w:t xml:space="preserve">. </w:t>
      </w:r>
      <w:r w:rsidR="00F522A4" w:rsidRPr="008F6866">
        <w:rPr>
          <w:rFonts w:cstheme="minorHAnsi"/>
        </w:rPr>
        <w:fldChar w:fldCharType="begin"/>
      </w:r>
      <w:r w:rsidR="00F522A4" w:rsidRPr="008F6866">
        <w:rPr>
          <w:rFonts w:cstheme="minorHAnsi"/>
        </w:rPr>
        <w:instrText xml:space="preserve"> REF _Ref195653605 \h  \* MERGEFORMAT </w:instrText>
      </w:r>
      <w:r w:rsidR="00F522A4" w:rsidRPr="008F6866">
        <w:rPr>
          <w:rFonts w:cstheme="minorHAnsi"/>
        </w:rPr>
      </w:r>
      <w:r w:rsidR="00F522A4" w:rsidRPr="008F6866">
        <w:rPr>
          <w:rFonts w:cstheme="minorHAnsi"/>
        </w:rPr>
        <w:fldChar w:fldCharType="separate"/>
      </w:r>
      <w:r w:rsidR="00540DBF" w:rsidRPr="00540DBF">
        <w:rPr>
          <w:rFonts w:cstheme="minorHAnsi"/>
        </w:rPr>
        <w:t>Figure 27</w:t>
      </w:r>
      <w:r w:rsidR="00F522A4" w:rsidRPr="008F6866">
        <w:rPr>
          <w:rFonts w:cstheme="minorHAnsi"/>
        </w:rPr>
        <w:fldChar w:fldCharType="end"/>
      </w:r>
      <w:r w:rsidR="00F522A4" w:rsidRPr="008F6866">
        <w:rPr>
          <w:rFonts w:cstheme="minorHAnsi"/>
        </w:rPr>
        <w:t xml:space="preserve"> </w:t>
      </w:r>
      <w:r w:rsidRPr="008F6866">
        <w:rPr>
          <w:rFonts w:cstheme="minorHAnsi"/>
        </w:rPr>
        <w:t>agrees with those two studies. It shows that the upper quartile (75</w:t>
      </w:r>
      <w:r w:rsidRPr="008F6866">
        <w:rPr>
          <w:rFonts w:cstheme="minorHAnsi"/>
          <w:vertAlign w:val="superscript"/>
        </w:rPr>
        <w:t>th</w:t>
      </w:r>
      <w:r w:rsidRPr="008F6866">
        <w:rPr>
          <w:rFonts w:cstheme="minorHAnsi"/>
        </w:rPr>
        <w:t xml:space="preserve"> percentile) of the </w:t>
      </w:r>
      <w:r w:rsidR="0050248C" w:rsidRPr="008F6866">
        <w:rPr>
          <w:rFonts w:cstheme="minorHAnsi"/>
        </w:rPr>
        <w:t>modelled</w:t>
      </w:r>
      <w:r w:rsidRPr="008F6866">
        <w:rPr>
          <w:rFonts w:cstheme="minorHAnsi"/>
        </w:rPr>
        <w:t xml:space="preserve"> distribution gets closer to the observations. Nevertheless, extremes are not systematically better represented (ACCESS-CM2 and MRI-ESM2-0) using the scaling method. The ISIMIP3 method do not solve this problem. Contrary to the scaling method, ISIMIP3 does not produce extremely high values (</w:t>
      </w:r>
      <m:oMath>
        <m:r>
          <w:rPr>
            <w:rFonts w:ascii="Cambria Math" w:hAnsi="Cambria Math" w:cstheme="minorHAnsi"/>
          </w:rPr>
          <m:t xml:space="preserve">183 </m:t>
        </m:r>
        <m:r>
          <m:rPr>
            <m:sty m:val="p"/>
          </m:rPr>
          <w:rPr>
            <w:rFonts w:ascii="Cambria Math" w:hAnsi="Cambria Math" w:cstheme="minorHAnsi"/>
          </w:rPr>
          <m:t xml:space="preserve">mm </m:t>
        </m:r>
        <m:sSup>
          <m:sSupPr>
            <m:ctrlPr>
              <w:rPr>
                <w:rFonts w:ascii="Cambria Math" w:hAnsi="Cambria Math" w:cstheme="minorHAnsi"/>
              </w:rPr>
            </m:ctrlPr>
          </m:sSupPr>
          <m:e>
            <m:r>
              <m:rPr>
                <m:sty m:val="p"/>
              </m:rPr>
              <w:rPr>
                <w:rFonts w:ascii="Cambria Math" w:hAnsi="Cambria Math" w:cstheme="minorHAnsi"/>
              </w:rPr>
              <m:t>day</m:t>
            </m:r>
          </m:e>
          <m:sup>
            <m:r>
              <m:rPr>
                <m:sty m:val="p"/>
              </m:rPr>
              <w:rPr>
                <w:rFonts w:ascii="Cambria Math" w:hAnsi="Cambria Math" w:cstheme="minorHAnsi"/>
              </w:rPr>
              <m:t>-1</m:t>
            </m:r>
          </m:sup>
        </m:sSup>
      </m:oMath>
      <w:r w:rsidRPr="008F6866">
        <w:rPr>
          <w:rFonts w:eastAsiaTheme="minorEastAsia" w:cstheme="minorHAnsi"/>
        </w:rPr>
        <w:t xml:space="preserve"> for ACCESS-CM2, </w:t>
      </w:r>
      <m:oMath>
        <m:r>
          <w:rPr>
            <w:rFonts w:ascii="Cambria Math" w:hAnsi="Cambria Math" w:cstheme="minorHAnsi"/>
          </w:rPr>
          <m:t xml:space="preserve">175 </m:t>
        </m:r>
        <m:r>
          <m:rPr>
            <m:sty m:val="p"/>
          </m:rPr>
          <w:rPr>
            <w:rFonts w:ascii="Cambria Math" w:hAnsi="Cambria Math" w:cstheme="minorHAnsi"/>
          </w:rPr>
          <m:t xml:space="preserve">mm </m:t>
        </m:r>
        <m:sSup>
          <m:sSupPr>
            <m:ctrlPr>
              <w:rPr>
                <w:rFonts w:ascii="Cambria Math" w:hAnsi="Cambria Math" w:cstheme="minorHAnsi"/>
              </w:rPr>
            </m:ctrlPr>
          </m:sSupPr>
          <m:e>
            <m:r>
              <m:rPr>
                <m:sty m:val="p"/>
              </m:rPr>
              <w:rPr>
                <w:rFonts w:ascii="Cambria Math" w:hAnsi="Cambria Math" w:cstheme="minorHAnsi"/>
              </w:rPr>
              <m:t>day</m:t>
            </m:r>
          </m:e>
          <m:sup>
            <m:r>
              <m:rPr>
                <m:sty m:val="p"/>
              </m:rPr>
              <w:rPr>
                <w:rFonts w:ascii="Cambria Math" w:hAnsi="Cambria Math" w:cstheme="minorHAnsi"/>
              </w:rPr>
              <m:t>-1</m:t>
            </m:r>
          </m:sup>
        </m:sSup>
      </m:oMath>
      <w:r w:rsidRPr="008F6866">
        <w:rPr>
          <w:rFonts w:eastAsiaTheme="minorEastAsia" w:cstheme="minorHAnsi"/>
        </w:rPr>
        <w:t xml:space="preserve"> for INM-CM5</w:t>
      </w:r>
      <w:r w:rsidR="007B7B5F">
        <w:rPr>
          <w:rFonts w:eastAsiaTheme="minorEastAsia" w:cstheme="minorHAnsi"/>
        </w:rPr>
        <w:noBreakHyphen/>
      </w:r>
      <w:r w:rsidRPr="008F6866">
        <w:rPr>
          <w:rFonts w:eastAsiaTheme="minorEastAsia" w:cstheme="minorHAnsi"/>
        </w:rPr>
        <w:t xml:space="preserve">0), but the highest value of the distributions is systematically underestimated. Reasons for this limitation are not clear and we can only formulate some hypotheses. </w:t>
      </w:r>
      <w:r w:rsidRPr="008F6866">
        <w:rPr>
          <w:rFonts w:cstheme="minorHAnsi"/>
        </w:rPr>
        <w:t xml:space="preserve">It is possible that parametric quantile mapping for precipitation is not always appropriate for correcting the right queue of the distribution. </w:t>
      </w:r>
      <w:r w:rsidRPr="008F6866">
        <w:rPr>
          <w:rFonts w:eastAsiaTheme="minorEastAsia" w:cstheme="minorHAnsi"/>
        </w:rPr>
        <w:t>In a lesser extent, t</w:t>
      </w:r>
      <w:r w:rsidRPr="008F6866">
        <w:rPr>
          <w:rFonts w:cstheme="minorHAnsi"/>
        </w:rPr>
        <w:t xml:space="preserve">he imperfect generation of pseudo future observations (refer to the ISIMIP3 </w:t>
      </w:r>
      <w:r w:rsidRPr="008F6866">
        <w:rPr>
          <w:rFonts w:cstheme="minorHAnsi"/>
        </w:rPr>
        <w:lastRenderedPageBreak/>
        <w:t>protocol) can also limit the quality of the adjustment. In fact, the distributions over the calibration and validation periods might be different and the underlying climate change signal might differ on models and observations.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0"/>
        <w:gridCol w:w="4530"/>
      </w:tblGrid>
      <w:tr w:rsidR="00071D93" w14:paraId="23CB6E48" w14:textId="77777777" w:rsidTr="007E5F45">
        <w:trPr>
          <w:jc w:val="center"/>
        </w:trPr>
        <w:tc>
          <w:tcPr>
            <w:tcW w:w="4530" w:type="dxa"/>
          </w:tcPr>
          <w:p w14:paraId="5CA9A9FD" w14:textId="3DDF763B" w:rsidR="00071D93" w:rsidRDefault="00071D93" w:rsidP="00071D93">
            <w:pPr>
              <w:spacing w:line="300" w:lineRule="auto"/>
              <w:jc w:val="center"/>
              <w:rPr>
                <w:rFonts w:cstheme="minorHAnsi"/>
              </w:rPr>
            </w:pPr>
            <w:r w:rsidRPr="008F6866">
              <w:rPr>
                <w:rFonts w:asciiTheme="minorHAnsi" w:hAnsiTheme="minorHAnsi" w:cstheme="minorHAnsi"/>
                <w:b/>
                <w:noProof/>
              </w:rPr>
              <w:t>Relative humidity</w:t>
            </w:r>
          </w:p>
        </w:tc>
        <w:tc>
          <w:tcPr>
            <w:tcW w:w="4530" w:type="dxa"/>
          </w:tcPr>
          <w:p w14:paraId="73EB4538" w14:textId="40C7859B" w:rsidR="00071D93" w:rsidRDefault="00071D93" w:rsidP="00071D93">
            <w:pPr>
              <w:spacing w:line="300" w:lineRule="auto"/>
              <w:jc w:val="center"/>
              <w:rPr>
                <w:rFonts w:cstheme="minorHAnsi"/>
              </w:rPr>
            </w:pPr>
            <w:r w:rsidRPr="008F6866">
              <w:rPr>
                <w:rFonts w:asciiTheme="minorHAnsi" w:hAnsiTheme="minorHAnsi" w:cstheme="minorHAnsi"/>
                <w:b/>
              </w:rPr>
              <w:t>Precipitation</w:t>
            </w:r>
          </w:p>
        </w:tc>
      </w:tr>
      <w:tr w:rsidR="00071D93" w14:paraId="0C025773" w14:textId="77777777" w:rsidTr="007E5F45">
        <w:trPr>
          <w:jc w:val="center"/>
        </w:trPr>
        <w:tc>
          <w:tcPr>
            <w:tcW w:w="4530" w:type="dxa"/>
            <w:vAlign w:val="center"/>
          </w:tcPr>
          <w:p w14:paraId="4E527A3A" w14:textId="403121B2" w:rsidR="00071D93" w:rsidRDefault="00071D93" w:rsidP="00071D93">
            <w:pPr>
              <w:spacing w:line="300" w:lineRule="auto"/>
              <w:jc w:val="center"/>
              <w:rPr>
                <w:rFonts w:cstheme="minorHAnsi"/>
              </w:rPr>
            </w:pPr>
            <w:r w:rsidRPr="008F6866">
              <w:rPr>
                <w:rFonts w:cstheme="minorHAnsi"/>
                <w:noProof/>
              </w:rPr>
              <w:drawing>
                <wp:inline distT="0" distB="0" distL="0" distR="0" wp14:anchorId="37E66DDA" wp14:editId="1E1102EA">
                  <wp:extent cx="2519570" cy="1895475"/>
                  <wp:effectExtent l="0" t="0" r="0" b="0"/>
                  <wp:docPr id="67263963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51063" name="Picture 76"/>
                          <pic:cNvPicPr/>
                        </pic:nvPicPr>
                        <pic:blipFill rotWithShape="1">
                          <a:blip r:embed="rId70" cstate="print">
                            <a:extLst>
                              <a:ext uri="{28A0092B-C50C-407E-A947-70E740481C1C}">
                                <a14:useLocalDpi xmlns:a14="http://schemas.microsoft.com/office/drawing/2010/main" val="0"/>
                              </a:ext>
                            </a:extLst>
                          </a:blip>
                          <a:srcRect b="26405"/>
                          <a:stretch/>
                        </pic:blipFill>
                        <pic:spPr bwMode="auto">
                          <a:xfrm>
                            <a:off x="0" y="0"/>
                            <a:ext cx="2520000" cy="1895799"/>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vAlign w:val="center"/>
          </w:tcPr>
          <w:p w14:paraId="4D27D424" w14:textId="20E61B8F" w:rsidR="00071D93" w:rsidRDefault="00071D93" w:rsidP="00071D93">
            <w:pPr>
              <w:spacing w:line="300" w:lineRule="auto"/>
              <w:jc w:val="center"/>
              <w:rPr>
                <w:rFonts w:cstheme="minorHAnsi"/>
              </w:rPr>
            </w:pPr>
            <w:r w:rsidRPr="008F6866">
              <w:rPr>
                <w:rFonts w:cstheme="minorHAnsi"/>
                <w:noProof/>
              </w:rPr>
              <w:drawing>
                <wp:inline distT="0" distB="0" distL="0" distR="0" wp14:anchorId="36BC0E79" wp14:editId="67840368">
                  <wp:extent cx="2519586" cy="1924050"/>
                  <wp:effectExtent l="0" t="0" r="0" b="0"/>
                  <wp:docPr id="17828893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45928" name="Picture 47"/>
                          <pic:cNvPicPr/>
                        </pic:nvPicPr>
                        <pic:blipFill rotWithShape="1">
                          <a:blip r:embed="rId71" cstate="print">
                            <a:extLst>
                              <a:ext uri="{28A0092B-C50C-407E-A947-70E740481C1C}">
                                <a14:useLocalDpi xmlns:a14="http://schemas.microsoft.com/office/drawing/2010/main" val="0"/>
                              </a:ext>
                            </a:extLst>
                          </a:blip>
                          <a:srcRect b="26563"/>
                          <a:stretch/>
                        </pic:blipFill>
                        <pic:spPr bwMode="auto">
                          <a:xfrm>
                            <a:off x="0" y="0"/>
                            <a:ext cx="2520000" cy="1924367"/>
                          </a:xfrm>
                          <a:prstGeom prst="rect">
                            <a:avLst/>
                          </a:prstGeom>
                          <a:ln>
                            <a:noFill/>
                          </a:ln>
                          <a:extLst>
                            <a:ext uri="{53640926-AAD7-44D8-BBD7-CCE9431645EC}">
                              <a14:shadowObscured xmlns:a14="http://schemas.microsoft.com/office/drawing/2010/main"/>
                            </a:ext>
                          </a:extLst>
                        </pic:spPr>
                      </pic:pic>
                    </a:graphicData>
                  </a:graphic>
                </wp:inline>
              </w:drawing>
            </w:r>
          </w:p>
        </w:tc>
      </w:tr>
      <w:tr w:rsidR="00071D93" w14:paraId="09DEF9C0" w14:textId="77777777" w:rsidTr="007E5F45">
        <w:trPr>
          <w:jc w:val="center"/>
        </w:trPr>
        <w:tc>
          <w:tcPr>
            <w:tcW w:w="4530" w:type="dxa"/>
          </w:tcPr>
          <w:p w14:paraId="50E19F9B" w14:textId="4CF10330" w:rsidR="00071D93" w:rsidRDefault="00071D93" w:rsidP="00071D93">
            <w:pPr>
              <w:spacing w:line="300" w:lineRule="auto"/>
              <w:jc w:val="center"/>
              <w:rPr>
                <w:rFonts w:cstheme="minorHAnsi"/>
              </w:rPr>
            </w:pPr>
            <w:r w:rsidRPr="008F6866">
              <w:rPr>
                <w:rFonts w:asciiTheme="minorHAnsi" w:hAnsiTheme="minorHAnsi" w:cstheme="minorHAnsi"/>
                <w:b/>
              </w:rPr>
              <w:t>Short-wave incoming radiation</w:t>
            </w:r>
          </w:p>
        </w:tc>
        <w:tc>
          <w:tcPr>
            <w:tcW w:w="4530" w:type="dxa"/>
          </w:tcPr>
          <w:p w14:paraId="7AB4EC6D" w14:textId="55143096" w:rsidR="00071D93" w:rsidRDefault="00071D93" w:rsidP="00071D93">
            <w:pPr>
              <w:spacing w:line="300" w:lineRule="auto"/>
              <w:jc w:val="center"/>
              <w:rPr>
                <w:rFonts w:cstheme="minorHAnsi"/>
              </w:rPr>
            </w:pPr>
            <w:r w:rsidRPr="008F6866">
              <w:rPr>
                <w:rFonts w:asciiTheme="minorHAnsi" w:hAnsiTheme="minorHAnsi" w:cstheme="minorHAnsi"/>
                <w:b/>
              </w:rPr>
              <w:t>Wind at 10 m</w:t>
            </w:r>
          </w:p>
        </w:tc>
      </w:tr>
      <w:tr w:rsidR="00071D93" w14:paraId="4F43FF4C" w14:textId="77777777" w:rsidTr="007E5F45">
        <w:trPr>
          <w:jc w:val="center"/>
        </w:trPr>
        <w:tc>
          <w:tcPr>
            <w:tcW w:w="4530" w:type="dxa"/>
            <w:vAlign w:val="center"/>
          </w:tcPr>
          <w:p w14:paraId="4A2000CF" w14:textId="2E90BA36" w:rsidR="00071D93" w:rsidRDefault="00071D93" w:rsidP="00071D93">
            <w:pPr>
              <w:spacing w:line="300" w:lineRule="auto"/>
              <w:jc w:val="center"/>
              <w:rPr>
                <w:rFonts w:cstheme="minorHAnsi"/>
              </w:rPr>
            </w:pPr>
            <w:r w:rsidRPr="008F6866">
              <w:rPr>
                <w:rFonts w:cstheme="minorHAnsi"/>
                <w:noProof/>
              </w:rPr>
              <w:drawing>
                <wp:inline distT="0" distB="0" distL="0" distR="0" wp14:anchorId="014479B8" wp14:editId="3AFE41FD">
                  <wp:extent cx="2519680" cy="1866900"/>
                  <wp:effectExtent l="0" t="0" r="0" b="0"/>
                  <wp:docPr id="132211842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80214" name="Picture 77"/>
                          <pic:cNvPicPr/>
                        </pic:nvPicPr>
                        <pic:blipFill rotWithShape="1">
                          <a:blip r:embed="rId72" cstate="print">
                            <a:extLst>
                              <a:ext uri="{28A0092B-C50C-407E-A947-70E740481C1C}">
                                <a14:useLocalDpi xmlns:a14="http://schemas.microsoft.com/office/drawing/2010/main" val="0"/>
                              </a:ext>
                            </a:extLst>
                          </a:blip>
                          <a:srcRect b="26288"/>
                          <a:stretch/>
                        </pic:blipFill>
                        <pic:spPr bwMode="auto">
                          <a:xfrm>
                            <a:off x="0" y="0"/>
                            <a:ext cx="2520000" cy="1867137"/>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vAlign w:val="center"/>
          </w:tcPr>
          <w:p w14:paraId="48CBD8AB" w14:textId="020168EC" w:rsidR="00071D93" w:rsidRDefault="00071D93" w:rsidP="00071D93">
            <w:pPr>
              <w:spacing w:line="300" w:lineRule="auto"/>
              <w:jc w:val="center"/>
              <w:rPr>
                <w:rFonts w:cstheme="minorHAnsi"/>
              </w:rPr>
            </w:pPr>
            <w:r w:rsidRPr="008F6866">
              <w:rPr>
                <w:rFonts w:cstheme="minorHAnsi"/>
                <w:noProof/>
              </w:rPr>
              <w:drawing>
                <wp:inline distT="0" distB="0" distL="0" distR="0" wp14:anchorId="0B22D937" wp14:editId="52F3BE4A">
                  <wp:extent cx="2519586" cy="1924050"/>
                  <wp:effectExtent l="0" t="0" r="0" b="0"/>
                  <wp:docPr id="194069184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07302" name="Picture 49"/>
                          <pic:cNvPicPr/>
                        </pic:nvPicPr>
                        <pic:blipFill rotWithShape="1">
                          <a:blip r:embed="rId73" cstate="print">
                            <a:extLst>
                              <a:ext uri="{28A0092B-C50C-407E-A947-70E740481C1C}">
                                <a14:useLocalDpi xmlns:a14="http://schemas.microsoft.com/office/drawing/2010/main" val="0"/>
                              </a:ext>
                            </a:extLst>
                          </a:blip>
                          <a:srcRect b="26563"/>
                          <a:stretch/>
                        </pic:blipFill>
                        <pic:spPr bwMode="auto">
                          <a:xfrm>
                            <a:off x="0" y="0"/>
                            <a:ext cx="2520000" cy="1924367"/>
                          </a:xfrm>
                          <a:prstGeom prst="rect">
                            <a:avLst/>
                          </a:prstGeom>
                          <a:ln>
                            <a:noFill/>
                          </a:ln>
                          <a:extLst>
                            <a:ext uri="{53640926-AAD7-44D8-BBD7-CCE9431645EC}">
                              <a14:shadowObscured xmlns:a14="http://schemas.microsoft.com/office/drawing/2010/main"/>
                            </a:ext>
                          </a:extLst>
                        </pic:spPr>
                      </pic:pic>
                    </a:graphicData>
                  </a:graphic>
                </wp:inline>
              </w:drawing>
            </w:r>
          </w:p>
        </w:tc>
      </w:tr>
      <w:tr w:rsidR="00071D93" w14:paraId="65C3A8D4" w14:textId="77777777" w:rsidTr="007E5F45">
        <w:trPr>
          <w:jc w:val="center"/>
        </w:trPr>
        <w:tc>
          <w:tcPr>
            <w:tcW w:w="4530" w:type="dxa"/>
          </w:tcPr>
          <w:p w14:paraId="12498963" w14:textId="00C8601C" w:rsidR="00071D93" w:rsidRDefault="00071D93" w:rsidP="00071D93">
            <w:pPr>
              <w:spacing w:line="300" w:lineRule="auto"/>
              <w:jc w:val="center"/>
              <w:rPr>
                <w:rFonts w:cstheme="minorHAnsi"/>
              </w:rPr>
            </w:pPr>
            <w:r w:rsidRPr="008F6866">
              <w:rPr>
                <w:rFonts w:asciiTheme="minorHAnsi" w:hAnsiTheme="minorHAnsi" w:cstheme="minorHAnsi"/>
                <w:b/>
              </w:rPr>
              <w:t>Temperature at 2 m</w:t>
            </w:r>
          </w:p>
        </w:tc>
        <w:tc>
          <w:tcPr>
            <w:tcW w:w="4530" w:type="dxa"/>
          </w:tcPr>
          <w:p w14:paraId="2A2843F4" w14:textId="221BB398" w:rsidR="00071D93" w:rsidRDefault="00071D93" w:rsidP="00071D93">
            <w:pPr>
              <w:spacing w:line="300" w:lineRule="auto"/>
              <w:jc w:val="center"/>
              <w:rPr>
                <w:rFonts w:cstheme="minorHAnsi"/>
              </w:rPr>
            </w:pPr>
            <w:r w:rsidRPr="008F6866">
              <w:rPr>
                <w:rFonts w:asciiTheme="minorHAnsi" w:hAnsiTheme="minorHAnsi" w:cstheme="minorHAnsi"/>
                <w:b/>
              </w:rPr>
              <w:t>Minimum temperature at 2 m</w:t>
            </w:r>
          </w:p>
        </w:tc>
      </w:tr>
      <w:tr w:rsidR="00071D93" w14:paraId="0AA5939C" w14:textId="77777777" w:rsidTr="007E5F45">
        <w:trPr>
          <w:jc w:val="center"/>
        </w:trPr>
        <w:tc>
          <w:tcPr>
            <w:tcW w:w="4530" w:type="dxa"/>
            <w:vAlign w:val="center"/>
          </w:tcPr>
          <w:p w14:paraId="030D3C93" w14:textId="08D0913D" w:rsidR="00071D93" w:rsidRDefault="00071D93" w:rsidP="00071D93">
            <w:pPr>
              <w:spacing w:line="300" w:lineRule="auto"/>
              <w:jc w:val="center"/>
              <w:rPr>
                <w:rFonts w:cstheme="minorHAnsi"/>
              </w:rPr>
            </w:pPr>
            <w:r w:rsidRPr="008F6866">
              <w:rPr>
                <w:rFonts w:cstheme="minorHAnsi"/>
                <w:noProof/>
              </w:rPr>
              <w:drawing>
                <wp:inline distT="0" distB="0" distL="0" distR="0" wp14:anchorId="44608BD4" wp14:editId="46E12679">
                  <wp:extent cx="2520000" cy="2576000"/>
                  <wp:effectExtent l="0" t="0" r="0" b="0"/>
                  <wp:docPr id="137271989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oxplot_validation_1961_2021_raw_bc_additive_ta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20000" cy="2576000"/>
                          </a:xfrm>
                          <a:prstGeom prst="rect">
                            <a:avLst/>
                          </a:prstGeom>
                        </pic:spPr>
                      </pic:pic>
                    </a:graphicData>
                  </a:graphic>
                </wp:inline>
              </w:drawing>
            </w:r>
          </w:p>
        </w:tc>
        <w:tc>
          <w:tcPr>
            <w:tcW w:w="4530" w:type="dxa"/>
            <w:vAlign w:val="center"/>
          </w:tcPr>
          <w:p w14:paraId="2DD9768C" w14:textId="7A5D736B" w:rsidR="00071D93" w:rsidRDefault="00071D93" w:rsidP="00071D93">
            <w:pPr>
              <w:spacing w:line="300" w:lineRule="auto"/>
              <w:jc w:val="center"/>
              <w:rPr>
                <w:rFonts w:cstheme="minorHAnsi"/>
              </w:rPr>
            </w:pPr>
            <w:r w:rsidRPr="008F6866">
              <w:rPr>
                <w:rFonts w:cstheme="minorHAnsi"/>
                <w:noProof/>
              </w:rPr>
              <w:drawing>
                <wp:inline distT="0" distB="0" distL="0" distR="0" wp14:anchorId="6E21DBC2" wp14:editId="23F8A67A">
                  <wp:extent cx="2520000" cy="2576000"/>
                  <wp:effectExtent l="0" t="0" r="0" b="0"/>
                  <wp:docPr id="73108935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48301" name="Picture 7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20000" cy="2576000"/>
                          </a:xfrm>
                          <a:prstGeom prst="rect">
                            <a:avLst/>
                          </a:prstGeom>
                        </pic:spPr>
                      </pic:pic>
                    </a:graphicData>
                  </a:graphic>
                </wp:inline>
              </w:drawing>
            </w:r>
          </w:p>
        </w:tc>
      </w:tr>
    </w:tbl>
    <w:p w14:paraId="11D4661A" w14:textId="77777777" w:rsidR="007E5F45" w:rsidRPr="008F6866" w:rsidRDefault="007E5F45" w:rsidP="007E5F45">
      <w:pPr>
        <w:pStyle w:val="Lgende"/>
        <w:jc w:val="center"/>
        <w:rPr>
          <w:rFonts w:asciiTheme="minorHAnsi" w:hAnsiTheme="minorHAnsi" w:cstheme="minorHAnsi"/>
          <w:b/>
          <w:i w:val="0"/>
          <w:color w:val="000000" w:themeColor="text1"/>
          <w:sz w:val="20"/>
          <w:szCs w:val="20"/>
        </w:rPr>
      </w:pPr>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Pr>
          <w:b/>
          <w:i w:val="0"/>
          <w:noProof/>
          <w:color w:val="000000" w:themeColor="text1"/>
          <w:sz w:val="20"/>
          <w:szCs w:val="20"/>
        </w:rPr>
        <w:t>27</w:t>
      </w:r>
      <w:r w:rsidRPr="008F6866">
        <w:rPr>
          <w:b/>
          <w:i w:val="0"/>
          <w:color w:val="000000" w:themeColor="text1"/>
          <w:sz w:val="20"/>
          <w:szCs w:val="20"/>
        </w:rPr>
        <w:fldChar w:fldCharType="end"/>
      </w:r>
      <w:r w:rsidRPr="008F6866">
        <w:rPr>
          <w:b/>
          <w:i w:val="0"/>
          <w:color w:val="000000" w:themeColor="text1"/>
          <w:sz w:val="20"/>
          <w:szCs w:val="20"/>
        </w:rPr>
        <w:t>. Boxplots for the raw and bias-corrected (additive for temperatures and scaling for the others) daily model data. Each box represents the distribution over the 11 sites. Raw data, bias-corrected data, observations are in blue, orange and green, respectively. Variables shown are the near-surface relative humidity, the total precipitation, the surface downwelling shortwave radiation, the near-surface wind speed, the near-surface temperature and the minimum near-surface temperature. Numbers at the bottom and top of each box are the minimum and maximum distribution values, respectively</w:t>
      </w:r>
    </w:p>
    <w:tbl>
      <w:tblPr>
        <w:tblStyle w:val="Grilledutableau"/>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DE4897" w:rsidRPr="008F6866" w14:paraId="793BB0EA" w14:textId="77777777" w:rsidTr="00770FF4">
        <w:trPr>
          <w:cantSplit/>
        </w:trPr>
        <w:tc>
          <w:tcPr>
            <w:tcW w:w="4675" w:type="dxa"/>
          </w:tcPr>
          <w:p w14:paraId="5C89E9AA" w14:textId="77777777" w:rsidR="00DE4897" w:rsidRPr="008F6866" w:rsidRDefault="00DE4897" w:rsidP="008D668B">
            <w:pPr>
              <w:pageBreakBefore/>
              <w:jc w:val="center"/>
              <w:rPr>
                <w:rFonts w:asciiTheme="minorHAnsi" w:hAnsiTheme="minorHAnsi" w:cstheme="minorHAnsi"/>
                <w:b/>
                <w:noProof/>
              </w:rPr>
            </w:pPr>
            <w:r w:rsidRPr="008F6866">
              <w:rPr>
                <w:rFonts w:asciiTheme="minorHAnsi" w:hAnsiTheme="minorHAnsi" w:cstheme="minorHAnsi"/>
                <w:b/>
                <w:noProof/>
              </w:rPr>
              <w:lastRenderedPageBreak/>
              <w:t>Relative humidity</w:t>
            </w:r>
          </w:p>
        </w:tc>
        <w:tc>
          <w:tcPr>
            <w:tcW w:w="4675" w:type="dxa"/>
          </w:tcPr>
          <w:p w14:paraId="31D5FC45" w14:textId="77777777" w:rsidR="00DE4897" w:rsidRPr="008F6866" w:rsidRDefault="00DE4897" w:rsidP="008D668B">
            <w:pPr>
              <w:keepLines/>
              <w:jc w:val="center"/>
              <w:rPr>
                <w:rFonts w:asciiTheme="minorHAnsi" w:hAnsiTheme="minorHAnsi" w:cstheme="minorHAnsi"/>
                <w:b/>
              </w:rPr>
            </w:pPr>
            <w:r w:rsidRPr="008F6866">
              <w:rPr>
                <w:rFonts w:asciiTheme="minorHAnsi" w:hAnsiTheme="minorHAnsi" w:cstheme="minorHAnsi"/>
                <w:b/>
              </w:rPr>
              <w:t>Precipitation</w:t>
            </w:r>
          </w:p>
        </w:tc>
      </w:tr>
      <w:tr w:rsidR="00DE4897" w:rsidRPr="008F6866" w14:paraId="6378CB6E" w14:textId="77777777" w:rsidTr="00770FF4">
        <w:trPr>
          <w:cantSplit/>
        </w:trPr>
        <w:tc>
          <w:tcPr>
            <w:tcW w:w="4675" w:type="dxa"/>
          </w:tcPr>
          <w:p w14:paraId="01FEF6A6" w14:textId="77777777" w:rsidR="00DE4897" w:rsidRPr="008F6866" w:rsidRDefault="00DE4897" w:rsidP="008D668B">
            <w:pPr>
              <w:keepLines/>
              <w:jc w:val="center"/>
              <w:rPr>
                <w:rFonts w:asciiTheme="minorHAnsi" w:hAnsiTheme="minorHAnsi" w:cstheme="minorHAnsi"/>
              </w:rPr>
            </w:pPr>
            <w:r w:rsidRPr="008F6866">
              <w:rPr>
                <w:rFonts w:cstheme="minorHAnsi"/>
                <w:noProof/>
              </w:rPr>
              <w:drawing>
                <wp:inline distT="0" distB="0" distL="0" distR="0" wp14:anchorId="195AE83A" wp14:editId="4F8BCA24">
                  <wp:extent cx="2519570" cy="18954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oxplot_validation_1961_2021_raw_bc_isimip3_hurs.png"/>
                          <pic:cNvPicPr/>
                        </pic:nvPicPr>
                        <pic:blipFill rotWithShape="1">
                          <a:blip r:embed="rId76" cstate="print">
                            <a:extLst>
                              <a:ext uri="{28A0092B-C50C-407E-A947-70E740481C1C}">
                                <a14:useLocalDpi xmlns:a14="http://schemas.microsoft.com/office/drawing/2010/main" val="0"/>
                              </a:ext>
                            </a:extLst>
                          </a:blip>
                          <a:srcRect b="26405"/>
                          <a:stretch/>
                        </pic:blipFill>
                        <pic:spPr bwMode="auto">
                          <a:xfrm>
                            <a:off x="0" y="0"/>
                            <a:ext cx="2520000" cy="1895799"/>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2D48F8AD" w14:textId="77777777" w:rsidR="00DE4897" w:rsidRPr="008F6866" w:rsidRDefault="00DE4897" w:rsidP="008D668B">
            <w:pPr>
              <w:keepLines/>
              <w:jc w:val="center"/>
              <w:rPr>
                <w:rFonts w:asciiTheme="minorHAnsi" w:hAnsiTheme="minorHAnsi" w:cstheme="minorHAnsi"/>
              </w:rPr>
            </w:pPr>
            <w:r w:rsidRPr="008F6866">
              <w:rPr>
                <w:rFonts w:cstheme="minorHAnsi"/>
                <w:noProof/>
              </w:rPr>
              <w:drawing>
                <wp:inline distT="0" distB="0" distL="0" distR="0" wp14:anchorId="40D6B573" wp14:editId="07FBC59D">
                  <wp:extent cx="2519586" cy="19240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oxplot_validation_1961_2021_raw_bc_isimip3_pr.png"/>
                          <pic:cNvPicPr/>
                        </pic:nvPicPr>
                        <pic:blipFill rotWithShape="1">
                          <a:blip r:embed="rId77" cstate="print">
                            <a:extLst>
                              <a:ext uri="{28A0092B-C50C-407E-A947-70E740481C1C}">
                                <a14:useLocalDpi xmlns:a14="http://schemas.microsoft.com/office/drawing/2010/main" val="0"/>
                              </a:ext>
                            </a:extLst>
                          </a:blip>
                          <a:srcRect b="26563"/>
                          <a:stretch/>
                        </pic:blipFill>
                        <pic:spPr bwMode="auto">
                          <a:xfrm>
                            <a:off x="0" y="0"/>
                            <a:ext cx="2520000" cy="1924367"/>
                          </a:xfrm>
                          <a:prstGeom prst="rect">
                            <a:avLst/>
                          </a:prstGeom>
                          <a:ln>
                            <a:noFill/>
                          </a:ln>
                          <a:extLst>
                            <a:ext uri="{53640926-AAD7-44D8-BBD7-CCE9431645EC}">
                              <a14:shadowObscured xmlns:a14="http://schemas.microsoft.com/office/drawing/2010/main"/>
                            </a:ext>
                          </a:extLst>
                        </pic:spPr>
                      </pic:pic>
                    </a:graphicData>
                  </a:graphic>
                </wp:inline>
              </w:drawing>
            </w:r>
          </w:p>
        </w:tc>
      </w:tr>
      <w:tr w:rsidR="00DE4897" w:rsidRPr="008F6866" w14:paraId="6F678D5C" w14:textId="77777777" w:rsidTr="00770FF4">
        <w:trPr>
          <w:cantSplit/>
        </w:trPr>
        <w:tc>
          <w:tcPr>
            <w:tcW w:w="4675" w:type="dxa"/>
          </w:tcPr>
          <w:p w14:paraId="2C212FDA" w14:textId="77777777" w:rsidR="00DE4897" w:rsidRPr="008F6866" w:rsidRDefault="00DE4897" w:rsidP="008D668B">
            <w:pPr>
              <w:keepLines/>
              <w:jc w:val="center"/>
              <w:rPr>
                <w:rFonts w:asciiTheme="minorHAnsi" w:hAnsiTheme="minorHAnsi" w:cstheme="minorHAnsi"/>
                <w:b/>
              </w:rPr>
            </w:pPr>
            <w:r w:rsidRPr="008F6866">
              <w:rPr>
                <w:rFonts w:asciiTheme="minorHAnsi" w:hAnsiTheme="minorHAnsi" w:cstheme="minorHAnsi"/>
                <w:b/>
              </w:rPr>
              <w:t>Short-wave incoming radiation</w:t>
            </w:r>
          </w:p>
        </w:tc>
        <w:tc>
          <w:tcPr>
            <w:tcW w:w="4675" w:type="dxa"/>
          </w:tcPr>
          <w:p w14:paraId="10357F76" w14:textId="77777777" w:rsidR="00DE4897" w:rsidRPr="008F6866" w:rsidRDefault="00DE4897" w:rsidP="008D668B">
            <w:pPr>
              <w:keepLines/>
              <w:jc w:val="center"/>
              <w:rPr>
                <w:rFonts w:asciiTheme="minorHAnsi" w:hAnsiTheme="minorHAnsi" w:cstheme="minorHAnsi"/>
                <w:b/>
              </w:rPr>
            </w:pPr>
            <w:r w:rsidRPr="008F6866">
              <w:rPr>
                <w:rFonts w:asciiTheme="minorHAnsi" w:hAnsiTheme="minorHAnsi" w:cstheme="minorHAnsi"/>
                <w:b/>
              </w:rPr>
              <w:t>Wind at 10 m</w:t>
            </w:r>
          </w:p>
        </w:tc>
      </w:tr>
      <w:tr w:rsidR="00DE4897" w:rsidRPr="008F6866" w14:paraId="4BCFFBF6" w14:textId="77777777" w:rsidTr="00770FF4">
        <w:trPr>
          <w:cantSplit/>
        </w:trPr>
        <w:tc>
          <w:tcPr>
            <w:tcW w:w="4675" w:type="dxa"/>
          </w:tcPr>
          <w:p w14:paraId="72A6E4CD" w14:textId="77777777" w:rsidR="00DE4897" w:rsidRPr="008F6866" w:rsidRDefault="00DE4897" w:rsidP="008D668B">
            <w:pPr>
              <w:keepLines/>
              <w:jc w:val="center"/>
              <w:rPr>
                <w:rFonts w:asciiTheme="minorHAnsi" w:hAnsiTheme="minorHAnsi" w:cstheme="minorHAnsi"/>
              </w:rPr>
            </w:pPr>
            <w:r w:rsidRPr="008F6866">
              <w:rPr>
                <w:rFonts w:cstheme="minorHAnsi"/>
                <w:noProof/>
              </w:rPr>
              <w:drawing>
                <wp:inline distT="0" distB="0" distL="0" distR="0" wp14:anchorId="60D8BA6D" wp14:editId="7574CFBF">
                  <wp:extent cx="2519680" cy="18669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oxplot_validation_1961_2021_raw_bc_isimip3_rsds.png"/>
                          <pic:cNvPicPr/>
                        </pic:nvPicPr>
                        <pic:blipFill rotWithShape="1">
                          <a:blip r:embed="rId78" cstate="print">
                            <a:extLst>
                              <a:ext uri="{28A0092B-C50C-407E-A947-70E740481C1C}">
                                <a14:useLocalDpi xmlns:a14="http://schemas.microsoft.com/office/drawing/2010/main" val="0"/>
                              </a:ext>
                            </a:extLst>
                          </a:blip>
                          <a:srcRect b="26288"/>
                          <a:stretch/>
                        </pic:blipFill>
                        <pic:spPr bwMode="auto">
                          <a:xfrm>
                            <a:off x="0" y="0"/>
                            <a:ext cx="2520000" cy="1867137"/>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07A47959" w14:textId="77777777" w:rsidR="00DE4897" w:rsidRPr="008F6866" w:rsidRDefault="00DE4897" w:rsidP="008D668B">
            <w:pPr>
              <w:keepLines/>
              <w:jc w:val="center"/>
              <w:rPr>
                <w:rFonts w:asciiTheme="minorHAnsi" w:hAnsiTheme="minorHAnsi" w:cstheme="minorHAnsi"/>
              </w:rPr>
            </w:pPr>
            <w:r w:rsidRPr="008F6866">
              <w:rPr>
                <w:rFonts w:cstheme="minorHAnsi"/>
                <w:noProof/>
              </w:rPr>
              <w:drawing>
                <wp:inline distT="0" distB="0" distL="0" distR="0" wp14:anchorId="1D52BEA9" wp14:editId="0A691F02">
                  <wp:extent cx="2519586" cy="19240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oxplot_validation_1961_2021_raw_bc_isimip3_sfcWind.png"/>
                          <pic:cNvPicPr/>
                        </pic:nvPicPr>
                        <pic:blipFill rotWithShape="1">
                          <a:blip r:embed="rId79" cstate="print">
                            <a:extLst>
                              <a:ext uri="{28A0092B-C50C-407E-A947-70E740481C1C}">
                                <a14:useLocalDpi xmlns:a14="http://schemas.microsoft.com/office/drawing/2010/main" val="0"/>
                              </a:ext>
                            </a:extLst>
                          </a:blip>
                          <a:srcRect b="26563"/>
                          <a:stretch/>
                        </pic:blipFill>
                        <pic:spPr bwMode="auto">
                          <a:xfrm>
                            <a:off x="0" y="0"/>
                            <a:ext cx="2520000" cy="1924367"/>
                          </a:xfrm>
                          <a:prstGeom prst="rect">
                            <a:avLst/>
                          </a:prstGeom>
                          <a:ln>
                            <a:noFill/>
                          </a:ln>
                          <a:extLst>
                            <a:ext uri="{53640926-AAD7-44D8-BBD7-CCE9431645EC}">
                              <a14:shadowObscured xmlns:a14="http://schemas.microsoft.com/office/drawing/2010/main"/>
                            </a:ext>
                          </a:extLst>
                        </pic:spPr>
                      </pic:pic>
                    </a:graphicData>
                  </a:graphic>
                </wp:inline>
              </w:drawing>
            </w:r>
          </w:p>
        </w:tc>
      </w:tr>
      <w:tr w:rsidR="00DE4897" w:rsidRPr="008F6866" w14:paraId="0B9805F1" w14:textId="77777777" w:rsidTr="00770FF4">
        <w:trPr>
          <w:cantSplit/>
        </w:trPr>
        <w:tc>
          <w:tcPr>
            <w:tcW w:w="4675" w:type="dxa"/>
          </w:tcPr>
          <w:p w14:paraId="0501E1CA" w14:textId="77777777" w:rsidR="00DE4897" w:rsidRPr="008F6866" w:rsidRDefault="00DE4897" w:rsidP="008D668B">
            <w:pPr>
              <w:keepLines/>
              <w:jc w:val="center"/>
              <w:rPr>
                <w:rFonts w:asciiTheme="minorHAnsi" w:hAnsiTheme="minorHAnsi" w:cstheme="minorHAnsi"/>
                <w:b/>
              </w:rPr>
            </w:pPr>
            <w:r w:rsidRPr="008F6866">
              <w:rPr>
                <w:rFonts w:asciiTheme="minorHAnsi" w:hAnsiTheme="minorHAnsi" w:cstheme="minorHAnsi"/>
                <w:b/>
              </w:rPr>
              <w:t>Temperature at 2 m</w:t>
            </w:r>
          </w:p>
        </w:tc>
        <w:tc>
          <w:tcPr>
            <w:tcW w:w="4675" w:type="dxa"/>
          </w:tcPr>
          <w:p w14:paraId="343FB88F" w14:textId="77777777" w:rsidR="00DE4897" w:rsidRPr="008F6866" w:rsidRDefault="00DE4897" w:rsidP="008D668B">
            <w:pPr>
              <w:keepLines/>
              <w:jc w:val="center"/>
              <w:rPr>
                <w:rFonts w:asciiTheme="minorHAnsi" w:hAnsiTheme="minorHAnsi" w:cstheme="minorHAnsi"/>
                <w:b/>
              </w:rPr>
            </w:pPr>
            <w:r w:rsidRPr="008F6866">
              <w:rPr>
                <w:rFonts w:asciiTheme="minorHAnsi" w:hAnsiTheme="minorHAnsi" w:cstheme="minorHAnsi"/>
                <w:b/>
              </w:rPr>
              <w:t>Minimum temperature at 2 m</w:t>
            </w:r>
          </w:p>
        </w:tc>
      </w:tr>
      <w:tr w:rsidR="00DE4897" w:rsidRPr="008F6866" w14:paraId="22A19498" w14:textId="77777777" w:rsidTr="00770FF4">
        <w:trPr>
          <w:cantSplit/>
          <w:trHeight w:val="2123"/>
        </w:trPr>
        <w:tc>
          <w:tcPr>
            <w:tcW w:w="4675" w:type="dxa"/>
          </w:tcPr>
          <w:p w14:paraId="6228A6AC" w14:textId="77777777" w:rsidR="00DE4897" w:rsidRPr="008F6866" w:rsidRDefault="00DE4897" w:rsidP="008D668B">
            <w:pPr>
              <w:jc w:val="center"/>
              <w:rPr>
                <w:rFonts w:asciiTheme="minorHAnsi" w:hAnsiTheme="minorHAnsi" w:cstheme="minorHAnsi"/>
              </w:rPr>
            </w:pPr>
            <w:r w:rsidRPr="008F6866">
              <w:rPr>
                <w:rFonts w:cstheme="minorHAnsi"/>
                <w:noProof/>
              </w:rPr>
              <w:drawing>
                <wp:inline distT="0" distB="0" distL="0" distR="0" wp14:anchorId="7DD73962" wp14:editId="44C16481">
                  <wp:extent cx="2520000" cy="2576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oxplot_validation_1961_2021_raw_bc_isimip3_tas.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20000" cy="2576000"/>
                          </a:xfrm>
                          <a:prstGeom prst="rect">
                            <a:avLst/>
                          </a:prstGeom>
                        </pic:spPr>
                      </pic:pic>
                    </a:graphicData>
                  </a:graphic>
                </wp:inline>
              </w:drawing>
            </w:r>
          </w:p>
        </w:tc>
        <w:tc>
          <w:tcPr>
            <w:tcW w:w="4675" w:type="dxa"/>
          </w:tcPr>
          <w:p w14:paraId="4C8EF032" w14:textId="77777777" w:rsidR="00DE4897" w:rsidRPr="008F6866" w:rsidRDefault="00DE4897" w:rsidP="008D668B">
            <w:pPr>
              <w:keepNext/>
              <w:jc w:val="center"/>
              <w:rPr>
                <w:rFonts w:asciiTheme="minorHAnsi" w:hAnsiTheme="minorHAnsi" w:cstheme="minorHAnsi"/>
              </w:rPr>
            </w:pPr>
            <w:r w:rsidRPr="008F6866">
              <w:rPr>
                <w:rFonts w:cstheme="minorHAnsi"/>
                <w:noProof/>
              </w:rPr>
              <w:drawing>
                <wp:inline distT="0" distB="0" distL="0" distR="0" wp14:anchorId="4A39851A" wp14:editId="1BB400ED">
                  <wp:extent cx="2520000" cy="2576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oxplot_validation_1961_2021_raw_bc_isimip3_tasmin.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520000" cy="2576000"/>
                          </a:xfrm>
                          <a:prstGeom prst="rect">
                            <a:avLst/>
                          </a:prstGeom>
                        </pic:spPr>
                      </pic:pic>
                    </a:graphicData>
                  </a:graphic>
                </wp:inline>
              </w:drawing>
            </w:r>
          </w:p>
        </w:tc>
      </w:tr>
    </w:tbl>
    <w:p w14:paraId="425DF36D" w14:textId="6A0DF9D9" w:rsidR="00533D04" w:rsidRPr="008F6866" w:rsidRDefault="008F4D7B" w:rsidP="00F522A4">
      <w:pPr>
        <w:pStyle w:val="Lgende"/>
        <w:jc w:val="center"/>
        <w:rPr>
          <w:rFonts w:asciiTheme="minorHAnsi" w:hAnsiTheme="minorHAnsi" w:cstheme="minorHAnsi"/>
          <w:b/>
          <w:i w:val="0"/>
          <w:color w:val="000000" w:themeColor="text1"/>
          <w:sz w:val="20"/>
          <w:szCs w:val="20"/>
        </w:rPr>
      </w:pPr>
      <w:bookmarkStart w:id="87" w:name="_Ref195653624"/>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28</w:t>
      </w:r>
      <w:r w:rsidRPr="008F6866">
        <w:rPr>
          <w:b/>
          <w:i w:val="0"/>
          <w:color w:val="000000" w:themeColor="text1"/>
          <w:sz w:val="20"/>
          <w:szCs w:val="20"/>
        </w:rPr>
        <w:fldChar w:fldCharType="end"/>
      </w:r>
      <w:bookmarkEnd w:id="87"/>
      <w:r w:rsidRPr="008F6866">
        <w:rPr>
          <w:b/>
          <w:i w:val="0"/>
          <w:color w:val="000000" w:themeColor="text1"/>
          <w:sz w:val="20"/>
          <w:szCs w:val="20"/>
        </w:rPr>
        <w:t>. Boxplots for the raw and bias-corrected (ISIMIP3 method) daily model data. Each box represents the distribution over the 11 sites. Raw data, bias-corrected data, observations are in blue, orange and green, respectively. Variables shown are the near-surface relative humidity, the total precipitation, the surface downwelling shortwave radiation, the near-surface wind speed, the near-surface temperature and the minimum near-surface temperature. Numbers at the bottom and top of each box are the minimum and maximum distribution values, respectively</w:t>
      </w:r>
    </w:p>
    <w:p w14:paraId="6D690BBE" w14:textId="77777777" w:rsidR="00F522A4" w:rsidRPr="008F6866" w:rsidRDefault="00F522A4" w:rsidP="00533D04">
      <w:pPr>
        <w:pStyle w:val="Lgende"/>
        <w:spacing w:after="60"/>
        <w:jc w:val="center"/>
        <w:rPr>
          <w:b/>
          <w:i w:val="0"/>
          <w:color w:val="000000" w:themeColor="text1"/>
          <w:sz w:val="20"/>
          <w:szCs w:val="20"/>
        </w:rPr>
      </w:pPr>
      <w:bookmarkStart w:id="88" w:name="_Ref195654486"/>
    </w:p>
    <w:p w14:paraId="32490224" w14:textId="77777777" w:rsidR="001E7B38" w:rsidRDefault="001E7B38">
      <w:pPr>
        <w:rPr>
          <w:rFonts w:ascii="Calibri" w:eastAsia="Calibri" w:hAnsi="Calibri" w:cs="Calibri"/>
          <w:b/>
          <w:iCs/>
          <w:color w:val="000000" w:themeColor="text1"/>
          <w:sz w:val="20"/>
          <w:szCs w:val="20"/>
          <w:lang w:eastAsia="fr-BE"/>
        </w:rPr>
      </w:pPr>
      <w:r>
        <w:rPr>
          <w:b/>
          <w:i/>
          <w:color w:val="000000" w:themeColor="text1"/>
          <w:sz w:val="20"/>
          <w:szCs w:val="20"/>
        </w:rPr>
        <w:br w:type="page"/>
      </w:r>
    </w:p>
    <w:p w14:paraId="68A8E399" w14:textId="5713EBC6" w:rsidR="00533D04" w:rsidRPr="008F6866" w:rsidRDefault="00533D04" w:rsidP="00533D04">
      <w:pPr>
        <w:pStyle w:val="Lgende"/>
        <w:spacing w:after="60"/>
        <w:jc w:val="center"/>
        <w:rPr>
          <w:b/>
          <w:i w:val="0"/>
          <w:color w:val="000000" w:themeColor="text1"/>
          <w:sz w:val="20"/>
          <w:szCs w:val="20"/>
        </w:rPr>
      </w:pPr>
      <w:r w:rsidRPr="008F6866">
        <w:rPr>
          <w:b/>
          <w:i w:val="0"/>
          <w:color w:val="000000" w:themeColor="text1"/>
          <w:sz w:val="20"/>
          <w:szCs w:val="20"/>
        </w:rPr>
        <w:lastRenderedPageBreak/>
        <w:t xml:space="preserve">Table </w:t>
      </w:r>
      <w:r w:rsidR="00EE472B">
        <w:rPr>
          <w:b/>
          <w:i w:val="0"/>
          <w:color w:val="000000" w:themeColor="text1"/>
          <w:sz w:val="20"/>
          <w:szCs w:val="20"/>
        </w:rPr>
        <w:fldChar w:fldCharType="begin"/>
      </w:r>
      <w:r w:rsidR="00EE472B">
        <w:rPr>
          <w:b/>
          <w:i w:val="0"/>
          <w:color w:val="000000" w:themeColor="text1"/>
          <w:sz w:val="20"/>
          <w:szCs w:val="20"/>
        </w:rPr>
        <w:instrText xml:space="preserve"> SEQ Table \* ROMAN </w:instrText>
      </w:r>
      <w:r w:rsidR="00EE472B">
        <w:rPr>
          <w:b/>
          <w:i w:val="0"/>
          <w:color w:val="000000" w:themeColor="text1"/>
          <w:sz w:val="20"/>
          <w:szCs w:val="20"/>
        </w:rPr>
        <w:fldChar w:fldCharType="separate"/>
      </w:r>
      <w:r w:rsidR="00540DBF">
        <w:rPr>
          <w:b/>
          <w:i w:val="0"/>
          <w:noProof/>
          <w:color w:val="000000" w:themeColor="text1"/>
          <w:sz w:val="20"/>
          <w:szCs w:val="20"/>
        </w:rPr>
        <w:t>XVI</w:t>
      </w:r>
      <w:r w:rsidR="00EE472B">
        <w:rPr>
          <w:b/>
          <w:i w:val="0"/>
          <w:color w:val="000000" w:themeColor="text1"/>
          <w:sz w:val="20"/>
          <w:szCs w:val="20"/>
        </w:rPr>
        <w:fldChar w:fldCharType="end"/>
      </w:r>
      <w:bookmarkEnd w:id="88"/>
      <w:r w:rsidRPr="008F6866">
        <w:rPr>
          <w:b/>
          <w:i w:val="0"/>
          <w:color w:val="000000" w:themeColor="text1"/>
          <w:sz w:val="20"/>
          <w:szCs w:val="20"/>
        </w:rPr>
        <w:t>. Number of dry days in the raw and bias-corrected (scaling and quantile mapping corrections) model data over the validation period 1992-2021. Values are averaged over the 11 sites. The number of dry days is calculated based on daily occurrence counts of Pr&lt;0.1 mm day</w:t>
      </w:r>
      <w:r w:rsidRPr="008F6866">
        <w:rPr>
          <w:b/>
          <w:i w:val="0"/>
          <w:color w:val="000000" w:themeColor="text1"/>
          <w:sz w:val="20"/>
          <w:szCs w:val="20"/>
          <w:vertAlign w:val="superscript"/>
        </w:rPr>
        <w:t>-1</w:t>
      </w:r>
    </w:p>
    <w:tbl>
      <w:tblPr>
        <w:tblStyle w:val="Grilledutableau"/>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672"/>
        <w:gridCol w:w="672"/>
        <w:gridCol w:w="672"/>
        <w:gridCol w:w="672"/>
        <w:gridCol w:w="672"/>
        <w:gridCol w:w="672"/>
        <w:gridCol w:w="672"/>
        <w:gridCol w:w="672"/>
        <w:gridCol w:w="672"/>
        <w:gridCol w:w="672"/>
        <w:gridCol w:w="672"/>
        <w:gridCol w:w="672"/>
      </w:tblGrid>
      <w:tr w:rsidR="00DE4897" w:rsidRPr="008F6866" w14:paraId="376DDD55" w14:textId="77777777" w:rsidTr="00533D04">
        <w:trPr>
          <w:trHeight w:val="1526"/>
        </w:trPr>
        <w:tc>
          <w:tcPr>
            <w:tcW w:w="1286" w:type="dxa"/>
            <w:tcBorders>
              <w:top w:val="single" w:sz="12" w:space="0" w:color="auto"/>
              <w:bottom w:val="single" w:sz="12" w:space="0" w:color="auto"/>
            </w:tcBorders>
            <w:vAlign w:val="center"/>
          </w:tcPr>
          <w:p w14:paraId="19C7851C" w14:textId="77777777" w:rsidR="00DE4897" w:rsidRPr="008F6866" w:rsidRDefault="00DE4897" w:rsidP="008D668B">
            <w:pPr>
              <w:keepNext/>
              <w:keepLines/>
              <w:jc w:val="center"/>
              <w:rPr>
                <w:rFonts w:asciiTheme="minorHAnsi" w:hAnsiTheme="minorHAnsi" w:cstheme="minorHAnsi"/>
              </w:rPr>
            </w:pPr>
            <w:r w:rsidRPr="008F6866">
              <w:rPr>
                <w:rFonts w:asciiTheme="minorHAnsi" w:hAnsiTheme="minorHAnsi" w:cstheme="minorHAnsi"/>
              </w:rPr>
              <w:t>Correction</w:t>
            </w:r>
          </w:p>
        </w:tc>
        <w:tc>
          <w:tcPr>
            <w:tcW w:w="672" w:type="dxa"/>
            <w:tcBorders>
              <w:top w:val="single" w:sz="12" w:space="0" w:color="auto"/>
              <w:bottom w:val="single" w:sz="12" w:space="0" w:color="auto"/>
            </w:tcBorders>
            <w:textDirection w:val="btLr"/>
          </w:tcPr>
          <w:p w14:paraId="164A4F27" w14:textId="77777777" w:rsidR="00DE4897" w:rsidRPr="008F6866" w:rsidRDefault="00DE4897" w:rsidP="008D668B">
            <w:pPr>
              <w:keepNext/>
              <w:keepLines/>
              <w:ind w:left="113" w:right="113"/>
              <w:jc w:val="center"/>
              <w:rPr>
                <w:rFonts w:asciiTheme="minorHAnsi" w:hAnsiTheme="minorHAnsi" w:cstheme="minorHAnsi"/>
              </w:rPr>
            </w:pPr>
            <w:r w:rsidRPr="008F6866">
              <w:rPr>
                <w:rFonts w:asciiTheme="minorHAnsi" w:hAnsiTheme="minorHAnsi" w:cstheme="minorHAnsi"/>
              </w:rPr>
              <w:t>ACCESS-CM2</w:t>
            </w:r>
          </w:p>
        </w:tc>
        <w:tc>
          <w:tcPr>
            <w:tcW w:w="672" w:type="dxa"/>
            <w:tcBorders>
              <w:top w:val="single" w:sz="12" w:space="0" w:color="auto"/>
              <w:bottom w:val="single" w:sz="12" w:space="0" w:color="auto"/>
            </w:tcBorders>
            <w:textDirection w:val="btLr"/>
          </w:tcPr>
          <w:p w14:paraId="3BCB45B0" w14:textId="77777777" w:rsidR="00DE4897" w:rsidRPr="008F6866" w:rsidRDefault="00DE4897" w:rsidP="008D668B">
            <w:pPr>
              <w:keepNext/>
              <w:keepLines/>
              <w:ind w:left="113" w:right="113"/>
              <w:jc w:val="center"/>
              <w:rPr>
                <w:rFonts w:asciiTheme="minorHAnsi" w:hAnsiTheme="minorHAnsi" w:cstheme="minorHAnsi"/>
              </w:rPr>
            </w:pPr>
            <w:r w:rsidRPr="008F6866">
              <w:rPr>
                <w:rFonts w:asciiTheme="minorHAnsi" w:hAnsiTheme="minorHAnsi" w:cstheme="minorHAnsi"/>
              </w:rPr>
              <w:t>ACCESS-ESM1-5</w:t>
            </w:r>
          </w:p>
        </w:tc>
        <w:tc>
          <w:tcPr>
            <w:tcW w:w="672" w:type="dxa"/>
            <w:tcBorders>
              <w:top w:val="single" w:sz="12" w:space="0" w:color="auto"/>
              <w:bottom w:val="single" w:sz="12" w:space="0" w:color="auto"/>
            </w:tcBorders>
            <w:textDirection w:val="btLr"/>
          </w:tcPr>
          <w:p w14:paraId="003D4576" w14:textId="77777777" w:rsidR="00DE4897" w:rsidRPr="008F6866" w:rsidRDefault="00DE4897" w:rsidP="008D668B">
            <w:pPr>
              <w:keepNext/>
              <w:keepLines/>
              <w:ind w:left="113" w:right="113"/>
              <w:jc w:val="center"/>
              <w:rPr>
                <w:rFonts w:asciiTheme="minorHAnsi" w:hAnsiTheme="minorHAnsi" w:cstheme="minorHAnsi"/>
              </w:rPr>
            </w:pPr>
            <w:r w:rsidRPr="008F6866">
              <w:rPr>
                <w:rFonts w:asciiTheme="minorHAnsi" w:hAnsiTheme="minorHAnsi" w:cstheme="minorHAnsi"/>
              </w:rPr>
              <w:t>CanESM5</w:t>
            </w:r>
          </w:p>
        </w:tc>
        <w:tc>
          <w:tcPr>
            <w:tcW w:w="672" w:type="dxa"/>
            <w:tcBorders>
              <w:top w:val="single" w:sz="12" w:space="0" w:color="auto"/>
              <w:bottom w:val="single" w:sz="12" w:space="0" w:color="auto"/>
            </w:tcBorders>
            <w:textDirection w:val="btLr"/>
          </w:tcPr>
          <w:p w14:paraId="499E6F26" w14:textId="77777777" w:rsidR="00DE4897" w:rsidRPr="008F6866" w:rsidRDefault="00DE4897" w:rsidP="008D668B">
            <w:pPr>
              <w:keepNext/>
              <w:keepLines/>
              <w:ind w:left="113" w:right="113"/>
              <w:jc w:val="center"/>
              <w:rPr>
                <w:rFonts w:asciiTheme="minorHAnsi" w:hAnsiTheme="minorHAnsi" w:cstheme="minorHAnsi"/>
              </w:rPr>
            </w:pPr>
            <w:r w:rsidRPr="008F6866">
              <w:rPr>
                <w:rFonts w:asciiTheme="minorHAnsi" w:hAnsiTheme="minorHAnsi" w:cstheme="minorHAnsi"/>
              </w:rPr>
              <w:t>CMCC-ESM2</w:t>
            </w:r>
          </w:p>
        </w:tc>
        <w:tc>
          <w:tcPr>
            <w:tcW w:w="672" w:type="dxa"/>
            <w:tcBorders>
              <w:top w:val="single" w:sz="12" w:space="0" w:color="auto"/>
              <w:bottom w:val="single" w:sz="12" w:space="0" w:color="auto"/>
            </w:tcBorders>
            <w:textDirection w:val="btLr"/>
          </w:tcPr>
          <w:p w14:paraId="5E1ACFE2" w14:textId="77777777" w:rsidR="00DE4897" w:rsidRPr="008F6866" w:rsidRDefault="00DE4897" w:rsidP="008D668B">
            <w:pPr>
              <w:keepNext/>
              <w:keepLines/>
              <w:ind w:left="113" w:right="113"/>
              <w:jc w:val="center"/>
              <w:rPr>
                <w:rFonts w:asciiTheme="minorHAnsi" w:hAnsiTheme="minorHAnsi" w:cstheme="minorHAnsi"/>
              </w:rPr>
            </w:pPr>
            <w:r w:rsidRPr="008F6866">
              <w:rPr>
                <w:rFonts w:asciiTheme="minorHAnsi" w:hAnsiTheme="minorHAnsi" w:cstheme="minorHAnsi"/>
              </w:rPr>
              <w:t>INM-CM4-8</w:t>
            </w:r>
          </w:p>
        </w:tc>
        <w:tc>
          <w:tcPr>
            <w:tcW w:w="672" w:type="dxa"/>
            <w:tcBorders>
              <w:top w:val="single" w:sz="12" w:space="0" w:color="auto"/>
              <w:bottom w:val="single" w:sz="12" w:space="0" w:color="auto"/>
            </w:tcBorders>
            <w:textDirection w:val="btLr"/>
          </w:tcPr>
          <w:p w14:paraId="45A5F97A" w14:textId="77777777" w:rsidR="00DE4897" w:rsidRPr="008F6866" w:rsidRDefault="00DE4897" w:rsidP="008D668B">
            <w:pPr>
              <w:keepNext/>
              <w:keepLines/>
              <w:ind w:left="113" w:right="113"/>
              <w:jc w:val="center"/>
              <w:rPr>
                <w:rFonts w:asciiTheme="minorHAnsi" w:hAnsiTheme="minorHAnsi" w:cstheme="minorHAnsi"/>
              </w:rPr>
            </w:pPr>
            <w:r w:rsidRPr="008F6866">
              <w:rPr>
                <w:rFonts w:asciiTheme="minorHAnsi" w:hAnsiTheme="minorHAnsi" w:cstheme="minorHAnsi"/>
              </w:rPr>
              <w:t>INM-CM5-0</w:t>
            </w:r>
          </w:p>
        </w:tc>
        <w:tc>
          <w:tcPr>
            <w:tcW w:w="672" w:type="dxa"/>
            <w:tcBorders>
              <w:top w:val="single" w:sz="12" w:space="0" w:color="auto"/>
              <w:bottom w:val="single" w:sz="12" w:space="0" w:color="auto"/>
            </w:tcBorders>
            <w:textDirection w:val="btLr"/>
          </w:tcPr>
          <w:p w14:paraId="0B609823" w14:textId="77777777" w:rsidR="00DE4897" w:rsidRPr="008F6866" w:rsidRDefault="00DE4897" w:rsidP="008D668B">
            <w:pPr>
              <w:keepNext/>
              <w:keepLines/>
              <w:ind w:left="113" w:right="113"/>
              <w:jc w:val="center"/>
              <w:rPr>
                <w:rFonts w:asciiTheme="minorHAnsi" w:hAnsiTheme="minorHAnsi" w:cstheme="minorHAnsi"/>
              </w:rPr>
            </w:pPr>
            <w:r w:rsidRPr="008F6866">
              <w:rPr>
                <w:rFonts w:asciiTheme="minorHAnsi" w:hAnsiTheme="minorHAnsi" w:cstheme="minorHAnsi"/>
              </w:rPr>
              <w:t>IPSL-CM6A-LR</w:t>
            </w:r>
          </w:p>
        </w:tc>
        <w:tc>
          <w:tcPr>
            <w:tcW w:w="672" w:type="dxa"/>
            <w:tcBorders>
              <w:top w:val="single" w:sz="12" w:space="0" w:color="auto"/>
              <w:bottom w:val="single" w:sz="12" w:space="0" w:color="auto"/>
            </w:tcBorders>
            <w:textDirection w:val="btLr"/>
          </w:tcPr>
          <w:p w14:paraId="13B92FE3" w14:textId="77777777" w:rsidR="00DE4897" w:rsidRPr="008F6866" w:rsidRDefault="00DE4897" w:rsidP="008D668B">
            <w:pPr>
              <w:keepNext/>
              <w:keepLines/>
              <w:ind w:left="113" w:right="113"/>
              <w:jc w:val="center"/>
              <w:rPr>
                <w:rFonts w:asciiTheme="minorHAnsi" w:hAnsiTheme="minorHAnsi" w:cstheme="minorHAnsi"/>
              </w:rPr>
            </w:pPr>
            <w:r w:rsidRPr="008F6866">
              <w:rPr>
                <w:rFonts w:asciiTheme="minorHAnsi" w:hAnsiTheme="minorHAnsi" w:cstheme="minorHAnsi"/>
              </w:rPr>
              <w:t>MIROC6</w:t>
            </w:r>
          </w:p>
        </w:tc>
        <w:tc>
          <w:tcPr>
            <w:tcW w:w="672" w:type="dxa"/>
            <w:tcBorders>
              <w:top w:val="single" w:sz="12" w:space="0" w:color="auto"/>
              <w:bottom w:val="single" w:sz="12" w:space="0" w:color="auto"/>
            </w:tcBorders>
            <w:textDirection w:val="btLr"/>
          </w:tcPr>
          <w:p w14:paraId="426EE1A5" w14:textId="77777777" w:rsidR="00DE4897" w:rsidRPr="008F6866" w:rsidRDefault="00DE4897" w:rsidP="008D668B">
            <w:pPr>
              <w:keepNext/>
              <w:keepLines/>
              <w:ind w:left="113" w:right="113"/>
              <w:jc w:val="center"/>
              <w:rPr>
                <w:rFonts w:asciiTheme="minorHAnsi" w:hAnsiTheme="minorHAnsi" w:cstheme="minorHAnsi"/>
              </w:rPr>
            </w:pPr>
            <w:r w:rsidRPr="008F6866">
              <w:rPr>
                <w:rFonts w:asciiTheme="minorHAnsi" w:hAnsiTheme="minorHAnsi" w:cstheme="minorHAnsi"/>
              </w:rPr>
              <w:t>MPI-ESM1-2-HR</w:t>
            </w:r>
          </w:p>
        </w:tc>
        <w:tc>
          <w:tcPr>
            <w:tcW w:w="672" w:type="dxa"/>
            <w:tcBorders>
              <w:top w:val="single" w:sz="12" w:space="0" w:color="auto"/>
              <w:bottom w:val="single" w:sz="12" w:space="0" w:color="auto"/>
            </w:tcBorders>
            <w:textDirection w:val="btLr"/>
          </w:tcPr>
          <w:p w14:paraId="32D34A0A" w14:textId="77777777" w:rsidR="00DE4897" w:rsidRPr="008F6866" w:rsidRDefault="00DE4897" w:rsidP="008D668B">
            <w:pPr>
              <w:keepNext/>
              <w:keepLines/>
              <w:ind w:left="113" w:right="113"/>
              <w:jc w:val="center"/>
              <w:rPr>
                <w:rFonts w:asciiTheme="minorHAnsi" w:hAnsiTheme="minorHAnsi" w:cstheme="minorHAnsi"/>
              </w:rPr>
            </w:pPr>
            <w:r w:rsidRPr="008F6866">
              <w:rPr>
                <w:rFonts w:asciiTheme="minorHAnsi" w:hAnsiTheme="minorHAnsi" w:cstheme="minorHAnsi"/>
              </w:rPr>
              <w:t>MPI-ESM1-2-LR</w:t>
            </w:r>
          </w:p>
        </w:tc>
        <w:tc>
          <w:tcPr>
            <w:tcW w:w="672" w:type="dxa"/>
            <w:tcBorders>
              <w:top w:val="single" w:sz="12" w:space="0" w:color="auto"/>
              <w:bottom w:val="single" w:sz="12" w:space="0" w:color="auto"/>
            </w:tcBorders>
            <w:textDirection w:val="btLr"/>
          </w:tcPr>
          <w:p w14:paraId="6ECC25F7" w14:textId="77777777" w:rsidR="00DE4897" w:rsidRPr="008F6866" w:rsidRDefault="00DE4897" w:rsidP="008D668B">
            <w:pPr>
              <w:keepNext/>
              <w:keepLines/>
              <w:ind w:left="113" w:right="113"/>
              <w:jc w:val="center"/>
              <w:rPr>
                <w:rFonts w:asciiTheme="minorHAnsi" w:hAnsiTheme="minorHAnsi" w:cstheme="minorHAnsi"/>
              </w:rPr>
            </w:pPr>
            <w:r w:rsidRPr="008F6866">
              <w:rPr>
                <w:rFonts w:asciiTheme="minorHAnsi" w:hAnsiTheme="minorHAnsi" w:cstheme="minorHAnsi"/>
              </w:rPr>
              <w:t>MRI-ESM2-0</w:t>
            </w:r>
          </w:p>
        </w:tc>
        <w:tc>
          <w:tcPr>
            <w:tcW w:w="672" w:type="dxa"/>
            <w:tcBorders>
              <w:top w:val="single" w:sz="12" w:space="0" w:color="auto"/>
              <w:bottom w:val="single" w:sz="12" w:space="0" w:color="auto"/>
            </w:tcBorders>
            <w:textDirection w:val="btLr"/>
          </w:tcPr>
          <w:p w14:paraId="28D967BF" w14:textId="77777777" w:rsidR="00DE4897" w:rsidRPr="008F6866" w:rsidRDefault="00DE4897" w:rsidP="008D668B">
            <w:pPr>
              <w:keepNext/>
              <w:keepLines/>
              <w:ind w:left="113" w:right="113"/>
              <w:jc w:val="center"/>
              <w:rPr>
                <w:rFonts w:asciiTheme="minorHAnsi" w:hAnsiTheme="minorHAnsi" w:cstheme="minorHAnsi"/>
              </w:rPr>
            </w:pPr>
            <w:r w:rsidRPr="008F6866">
              <w:rPr>
                <w:rFonts w:asciiTheme="minorHAnsi" w:hAnsiTheme="minorHAnsi" w:cstheme="minorHAnsi"/>
              </w:rPr>
              <w:t>Observations</w:t>
            </w:r>
          </w:p>
        </w:tc>
      </w:tr>
      <w:tr w:rsidR="00DE4897" w:rsidRPr="008F6866" w14:paraId="2B47D65C" w14:textId="77777777" w:rsidTr="00533D04">
        <w:tc>
          <w:tcPr>
            <w:tcW w:w="1286" w:type="dxa"/>
            <w:tcBorders>
              <w:top w:val="single" w:sz="12" w:space="0" w:color="auto"/>
            </w:tcBorders>
            <w:vAlign w:val="center"/>
          </w:tcPr>
          <w:p w14:paraId="0CD0E2A5" w14:textId="77777777" w:rsidR="00DE4897" w:rsidRPr="008F6866" w:rsidRDefault="00DE4897" w:rsidP="008D668B">
            <w:pPr>
              <w:keepNext/>
              <w:keepLines/>
              <w:jc w:val="center"/>
              <w:rPr>
                <w:rFonts w:asciiTheme="minorHAnsi" w:hAnsiTheme="minorHAnsi" w:cstheme="minorHAnsi"/>
              </w:rPr>
            </w:pPr>
            <w:r w:rsidRPr="008F6866">
              <w:rPr>
                <w:rFonts w:asciiTheme="minorHAnsi" w:hAnsiTheme="minorHAnsi" w:cstheme="minorHAnsi"/>
              </w:rPr>
              <w:t>Raw</w:t>
            </w:r>
          </w:p>
        </w:tc>
        <w:tc>
          <w:tcPr>
            <w:tcW w:w="672" w:type="dxa"/>
            <w:tcBorders>
              <w:top w:val="single" w:sz="12" w:space="0" w:color="auto"/>
              <w:left w:val="nil"/>
              <w:bottom w:val="nil"/>
              <w:right w:val="nil"/>
            </w:tcBorders>
            <w:shd w:val="clear" w:color="auto" w:fill="auto"/>
            <w:vAlign w:val="center"/>
          </w:tcPr>
          <w:p w14:paraId="44938279" w14:textId="295069ED"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3</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021</w:t>
            </w:r>
          </w:p>
        </w:tc>
        <w:tc>
          <w:tcPr>
            <w:tcW w:w="672" w:type="dxa"/>
            <w:tcBorders>
              <w:top w:val="single" w:sz="12" w:space="0" w:color="auto"/>
              <w:left w:val="nil"/>
              <w:bottom w:val="nil"/>
              <w:right w:val="nil"/>
            </w:tcBorders>
            <w:shd w:val="clear" w:color="auto" w:fill="auto"/>
            <w:vAlign w:val="center"/>
          </w:tcPr>
          <w:p w14:paraId="6A012E14" w14:textId="38CEB9ED"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2</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808</w:t>
            </w:r>
          </w:p>
        </w:tc>
        <w:tc>
          <w:tcPr>
            <w:tcW w:w="672" w:type="dxa"/>
            <w:tcBorders>
              <w:top w:val="single" w:sz="12" w:space="0" w:color="auto"/>
              <w:left w:val="nil"/>
              <w:bottom w:val="nil"/>
              <w:right w:val="nil"/>
            </w:tcBorders>
            <w:shd w:val="clear" w:color="auto" w:fill="auto"/>
            <w:vAlign w:val="center"/>
          </w:tcPr>
          <w:p w14:paraId="4A51921A" w14:textId="14304285"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3</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188</w:t>
            </w:r>
          </w:p>
        </w:tc>
        <w:tc>
          <w:tcPr>
            <w:tcW w:w="672" w:type="dxa"/>
            <w:tcBorders>
              <w:top w:val="single" w:sz="12" w:space="0" w:color="auto"/>
              <w:left w:val="nil"/>
              <w:bottom w:val="nil"/>
              <w:right w:val="nil"/>
            </w:tcBorders>
            <w:shd w:val="clear" w:color="auto" w:fill="auto"/>
            <w:vAlign w:val="center"/>
          </w:tcPr>
          <w:p w14:paraId="365ECB4F" w14:textId="1A74962D"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3</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399</w:t>
            </w:r>
          </w:p>
        </w:tc>
        <w:tc>
          <w:tcPr>
            <w:tcW w:w="672" w:type="dxa"/>
            <w:tcBorders>
              <w:top w:val="single" w:sz="12" w:space="0" w:color="auto"/>
              <w:left w:val="nil"/>
              <w:bottom w:val="nil"/>
              <w:right w:val="nil"/>
            </w:tcBorders>
            <w:shd w:val="clear" w:color="auto" w:fill="auto"/>
            <w:vAlign w:val="center"/>
          </w:tcPr>
          <w:p w14:paraId="6DAA63B2" w14:textId="36BDA9F5"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3</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985</w:t>
            </w:r>
          </w:p>
        </w:tc>
        <w:tc>
          <w:tcPr>
            <w:tcW w:w="672" w:type="dxa"/>
            <w:tcBorders>
              <w:top w:val="single" w:sz="12" w:space="0" w:color="auto"/>
              <w:left w:val="nil"/>
              <w:bottom w:val="nil"/>
              <w:right w:val="nil"/>
            </w:tcBorders>
            <w:shd w:val="clear" w:color="auto" w:fill="auto"/>
            <w:vAlign w:val="center"/>
          </w:tcPr>
          <w:p w14:paraId="3CBFA73D" w14:textId="252DE37D"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3</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667</w:t>
            </w:r>
          </w:p>
        </w:tc>
        <w:tc>
          <w:tcPr>
            <w:tcW w:w="672" w:type="dxa"/>
            <w:tcBorders>
              <w:top w:val="single" w:sz="12" w:space="0" w:color="auto"/>
              <w:left w:val="nil"/>
              <w:bottom w:val="nil"/>
              <w:right w:val="nil"/>
            </w:tcBorders>
            <w:shd w:val="clear" w:color="auto" w:fill="auto"/>
            <w:vAlign w:val="center"/>
          </w:tcPr>
          <w:p w14:paraId="1F7FA781" w14:textId="306525E6"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4</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290</w:t>
            </w:r>
          </w:p>
        </w:tc>
        <w:tc>
          <w:tcPr>
            <w:tcW w:w="672" w:type="dxa"/>
            <w:tcBorders>
              <w:top w:val="single" w:sz="12" w:space="0" w:color="auto"/>
              <w:left w:val="nil"/>
              <w:bottom w:val="nil"/>
              <w:right w:val="nil"/>
            </w:tcBorders>
            <w:shd w:val="clear" w:color="auto" w:fill="auto"/>
            <w:vAlign w:val="center"/>
          </w:tcPr>
          <w:p w14:paraId="7F49B941" w14:textId="336BA480"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3</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033</w:t>
            </w:r>
          </w:p>
        </w:tc>
        <w:tc>
          <w:tcPr>
            <w:tcW w:w="672" w:type="dxa"/>
            <w:tcBorders>
              <w:top w:val="single" w:sz="12" w:space="0" w:color="auto"/>
              <w:left w:val="nil"/>
              <w:bottom w:val="nil"/>
              <w:right w:val="nil"/>
            </w:tcBorders>
            <w:shd w:val="clear" w:color="auto" w:fill="auto"/>
            <w:vAlign w:val="center"/>
          </w:tcPr>
          <w:p w14:paraId="4A54F80F" w14:textId="0924D0D8"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2</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279</w:t>
            </w:r>
          </w:p>
        </w:tc>
        <w:tc>
          <w:tcPr>
            <w:tcW w:w="672" w:type="dxa"/>
            <w:tcBorders>
              <w:top w:val="single" w:sz="12" w:space="0" w:color="auto"/>
              <w:left w:val="nil"/>
              <w:bottom w:val="nil"/>
              <w:right w:val="nil"/>
            </w:tcBorders>
            <w:shd w:val="clear" w:color="auto" w:fill="auto"/>
            <w:vAlign w:val="center"/>
          </w:tcPr>
          <w:p w14:paraId="38BD449F" w14:textId="646C967B"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2</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324</w:t>
            </w:r>
          </w:p>
        </w:tc>
        <w:tc>
          <w:tcPr>
            <w:tcW w:w="672" w:type="dxa"/>
            <w:tcBorders>
              <w:top w:val="single" w:sz="12" w:space="0" w:color="auto"/>
              <w:left w:val="nil"/>
              <w:bottom w:val="nil"/>
              <w:right w:val="nil"/>
            </w:tcBorders>
            <w:shd w:val="clear" w:color="auto" w:fill="auto"/>
            <w:vAlign w:val="center"/>
          </w:tcPr>
          <w:p w14:paraId="4FFE5430" w14:textId="5C399D5B"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3</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013</w:t>
            </w:r>
          </w:p>
        </w:tc>
        <w:tc>
          <w:tcPr>
            <w:tcW w:w="672" w:type="dxa"/>
            <w:tcBorders>
              <w:top w:val="single" w:sz="12" w:space="0" w:color="auto"/>
              <w:left w:val="nil"/>
              <w:bottom w:val="nil"/>
              <w:right w:val="nil"/>
            </w:tcBorders>
            <w:shd w:val="clear" w:color="auto" w:fill="auto"/>
            <w:vAlign w:val="center"/>
          </w:tcPr>
          <w:p w14:paraId="6AF099C4" w14:textId="2956A140"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4</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630</w:t>
            </w:r>
          </w:p>
        </w:tc>
      </w:tr>
      <w:tr w:rsidR="00DE4897" w:rsidRPr="008F6866" w14:paraId="1B70E46D" w14:textId="77777777" w:rsidTr="008D668B">
        <w:tc>
          <w:tcPr>
            <w:tcW w:w="1286" w:type="dxa"/>
            <w:vAlign w:val="center"/>
          </w:tcPr>
          <w:p w14:paraId="7DF75F76" w14:textId="77777777" w:rsidR="00DE4897" w:rsidRPr="008F6866" w:rsidRDefault="00DE4897" w:rsidP="008D668B">
            <w:pPr>
              <w:keepNext/>
              <w:keepLines/>
              <w:jc w:val="center"/>
              <w:rPr>
                <w:rFonts w:asciiTheme="minorHAnsi" w:hAnsiTheme="minorHAnsi" w:cstheme="minorHAnsi"/>
              </w:rPr>
            </w:pPr>
            <w:r w:rsidRPr="008F6866">
              <w:rPr>
                <w:rFonts w:asciiTheme="minorHAnsi" w:hAnsiTheme="minorHAnsi" w:cstheme="minorHAnsi"/>
              </w:rPr>
              <w:t>Scaling</w:t>
            </w:r>
          </w:p>
        </w:tc>
        <w:tc>
          <w:tcPr>
            <w:tcW w:w="672" w:type="dxa"/>
            <w:tcBorders>
              <w:top w:val="nil"/>
              <w:left w:val="nil"/>
              <w:right w:val="nil"/>
            </w:tcBorders>
            <w:shd w:val="clear" w:color="auto" w:fill="auto"/>
            <w:vAlign w:val="center"/>
          </w:tcPr>
          <w:p w14:paraId="16161C1E" w14:textId="0CFC6DF6"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2</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957</w:t>
            </w:r>
          </w:p>
        </w:tc>
        <w:tc>
          <w:tcPr>
            <w:tcW w:w="672" w:type="dxa"/>
            <w:tcBorders>
              <w:top w:val="nil"/>
              <w:left w:val="nil"/>
              <w:right w:val="nil"/>
            </w:tcBorders>
            <w:shd w:val="clear" w:color="auto" w:fill="auto"/>
            <w:vAlign w:val="center"/>
          </w:tcPr>
          <w:p w14:paraId="69417440" w14:textId="6DBF9183"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2</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781</w:t>
            </w:r>
          </w:p>
        </w:tc>
        <w:tc>
          <w:tcPr>
            <w:tcW w:w="672" w:type="dxa"/>
            <w:tcBorders>
              <w:top w:val="nil"/>
              <w:left w:val="nil"/>
              <w:right w:val="nil"/>
            </w:tcBorders>
            <w:shd w:val="clear" w:color="auto" w:fill="auto"/>
            <w:vAlign w:val="center"/>
          </w:tcPr>
          <w:p w14:paraId="0F15B4C9" w14:textId="42DF864E"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3</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044</w:t>
            </w:r>
          </w:p>
        </w:tc>
        <w:tc>
          <w:tcPr>
            <w:tcW w:w="672" w:type="dxa"/>
            <w:tcBorders>
              <w:top w:val="nil"/>
              <w:left w:val="nil"/>
              <w:right w:val="nil"/>
            </w:tcBorders>
            <w:shd w:val="clear" w:color="auto" w:fill="auto"/>
            <w:vAlign w:val="center"/>
          </w:tcPr>
          <w:p w14:paraId="4EC54E52" w14:textId="05B1F61F"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3</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248</w:t>
            </w:r>
          </w:p>
        </w:tc>
        <w:tc>
          <w:tcPr>
            <w:tcW w:w="672" w:type="dxa"/>
            <w:tcBorders>
              <w:top w:val="nil"/>
              <w:left w:val="nil"/>
              <w:right w:val="nil"/>
            </w:tcBorders>
            <w:shd w:val="clear" w:color="auto" w:fill="auto"/>
            <w:vAlign w:val="center"/>
          </w:tcPr>
          <w:p w14:paraId="025A8EB0" w14:textId="19F713C2"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3</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748</w:t>
            </w:r>
          </w:p>
        </w:tc>
        <w:tc>
          <w:tcPr>
            <w:tcW w:w="672" w:type="dxa"/>
            <w:tcBorders>
              <w:top w:val="nil"/>
              <w:left w:val="nil"/>
              <w:right w:val="nil"/>
            </w:tcBorders>
            <w:shd w:val="clear" w:color="auto" w:fill="auto"/>
            <w:vAlign w:val="center"/>
          </w:tcPr>
          <w:p w14:paraId="6720A2D1" w14:textId="6C7CF0D3"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3</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424</w:t>
            </w:r>
          </w:p>
        </w:tc>
        <w:tc>
          <w:tcPr>
            <w:tcW w:w="672" w:type="dxa"/>
            <w:tcBorders>
              <w:top w:val="nil"/>
              <w:left w:val="nil"/>
              <w:right w:val="nil"/>
            </w:tcBorders>
            <w:shd w:val="clear" w:color="auto" w:fill="auto"/>
            <w:vAlign w:val="center"/>
          </w:tcPr>
          <w:p w14:paraId="6A13248F" w14:textId="07D5CEA4"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4</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370</w:t>
            </w:r>
          </w:p>
        </w:tc>
        <w:tc>
          <w:tcPr>
            <w:tcW w:w="672" w:type="dxa"/>
            <w:tcBorders>
              <w:top w:val="nil"/>
              <w:left w:val="nil"/>
              <w:right w:val="nil"/>
            </w:tcBorders>
            <w:shd w:val="clear" w:color="auto" w:fill="auto"/>
            <w:vAlign w:val="center"/>
          </w:tcPr>
          <w:p w14:paraId="7B6E83B9" w14:textId="439281F7"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2</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993</w:t>
            </w:r>
          </w:p>
        </w:tc>
        <w:tc>
          <w:tcPr>
            <w:tcW w:w="672" w:type="dxa"/>
            <w:tcBorders>
              <w:top w:val="nil"/>
              <w:left w:val="nil"/>
              <w:right w:val="nil"/>
            </w:tcBorders>
            <w:shd w:val="clear" w:color="auto" w:fill="auto"/>
            <w:vAlign w:val="center"/>
          </w:tcPr>
          <w:p w14:paraId="59C0411F" w14:textId="18F4F9EE"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2</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351</w:t>
            </w:r>
          </w:p>
        </w:tc>
        <w:tc>
          <w:tcPr>
            <w:tcW w:w="672" w:type="dxa"/>
            <w:tcBorders>
              <w:top w:val="nil"/>
              <w:left w:val="nil"/>
              <w:right w:val="nil"/>
            </w:tcBorders>
            <w:shd w:val="clear" w:color="auto" w:fill="auto"/>
            <w:vAlign w:val="center"/>
          </w:tcPr>
          <w:p w14:paraId="3F8F3846" w14:textId="34D5C660"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2</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365</w:t>
            </w:r>
          </w:p>
        </w:tc>
        <w:tc>
          <w:tcPr>
            <w:tcW w:w="672" w:type="dxa"/>
            <w:tcBorders>
              <w:top w:val="nil"/>
              <w:left w:val="nil"/>
              <w:right w:val="nil"/>
            </w:tcBorders>
            <w:shd w:val="clear" w:color="auto" w:fill="auto"/>
            <w:vAlign w:val="center"/>
          </w:tcPr>
          <w:p w14:paraId="746EB27D" w14:textId="434C2BD0"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3</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030</w:t>
            </w:r>
          </w:p>
        </w:tc>
        <w:tc>
          <w:tcPr>
            <w:tcW w:w="672" w:type="dxa"/>
            <w:tcBorders>
              <w:top w:val="nil"/>
              <w:left w:val="nil"/>
              <w:right w:val="nil"/>
            </w:tcBorders>
            <w:shd w:val="clear" w:color="auto" w:fill="auto"/>
            <w:vAlign w:val="center"/>
          </w:tcPr>
          <w:p w14:paraId="55C2562D" w14:textId="7B74CB05"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4</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630</w:t>
            </w:r>
          </w:p>
        </w:tc>
      </w:tr>
      <w:tr w:rsidR="00DE4897" w:rsidRPr="008F6866" w14:paraId="1A5552F0" w14:textId="77777777" w:rsidTr="00533D04">
        <w:trPr>
          <w:trHeight w:val="608"/>
        </w:trPr>
        <w:tc>
          <w:tcPr>
            <w:tcW w:w="1286" w:type="dxa"/>
            <w:tcBorders>
              <w:bottom w:val="single" w:sz="12" w:space="0" w:color="auto"/>
            </w:tcBorders>
            <w:vAlign w:val="center"/>
          </w:tcPr>
          <w:p w14:paraId="54F7E889" w14:textId="77777777" w:rsidR="00DE4897" w:rsidRPr="008F6866" w:rsidRDefault="00DE4897" w:rsidP="008D668B">
            <w:pPr>
              <w:keepNext/>
              <w:keepLines/>
              <w:jc w:val="center"/>
              <w:rPr>
                <w:rFonts w:asciiTheme="minorHAnsi" w:hAnsiTheme="minorHAnsi" w:cstheme="minorHAnsi"/>
              </w:rPr>
            </w:pPr>
            <w:r w:rsidRPr="008F6866">
              <w:rPr>
                <w:rFonts w:asciiTheme="minorHAnsi" w:hAnsiTheme="minorHAnsi" w:cstheme="minorHAnsi"/>
              </w:rPr>
              <w:t>Quantile mapping</w:t>
            </w:r>
          </w:p>
        </w:tc>
        <w:tc>
          <w:tcPr>
            <w:tcW w:w="672" w:type="dxa"/>
            <w:tcBorders>
              <w:top w:val="nil"/>
              <w:left w:val="nil"/>
              <w:bottom w:val="single" w:sz="12" w:space="0" w:color="auto"/>
              <w:right w:val="nil"/>
            </w:tcBorders>
            <w:shd w:val="clear" w:color="auto" w:fill="auto"/>
            <w:vAlign w:val="center"/>
          </w:tcPr>
          <w:p w14:paraId="45A0BFCA" w14:textId="4B132712"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4</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556</w:t>
            </w:r>
          </w:p>
        </w:tc>
        <w:tc>
          <w:tcPr>
            <w:tcW w:w="672" w:type="dxa"/>
            <w:tcBorders>
              <w:top w:val="nil"/>
              <w:left w:val="nil"/>
              <w:bottom w:val="single" w:sz="12" w:space="0" w:color="auto"/>
              <w:right w:val="nil"/>
            </w:tcBorders>
            <w:shd w:val="clear" w:color="auto" w:fill="auto"/>
            <w:vAlign w:val="center"/>
          </w:tcPr>
          <w:p w14:paraId="42EA7110" w14:textId="693E3550"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4</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910</w:t>
            </w:r>
          </w:p>
        </w:tc>
        <w:tc>
          <w:tcPr>
            <w:tcW w:w="672" w:type="dxa"/>
            <w:tcBorders>
              <w:top w:val="nil"/>
              <w:left w:val="nil"/>
              <w:bottom w:val="single" w:sz="12" w:space="0" w:color="auto"/>
              <w:right w:val="nil"/>
            </w:tcBorders>
            <w:shd w:val="clear" w:color="auto" w:fill="auto"/>
            <w:vAlign w:val="center"/>
          </w:tcPr>
          <w:p w14:paraId="370053FF" w14:textId="12903F77"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4</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550</w:t>
            </w:r>
          </w:p>
        </w:tc>
        <w:tc>
          <w:tcPr>
            <w:tcW w:w="672" w:type="dxa"/>
            <w:tcBorders>
              <w:top w:val="nil"/>
              <w:left w:val="nil"/>
              <w:bottom w:val="single" w:sz="12" w:space="0" w:color="auto"/>
              <w:right w:val="nil"/>
            </w:tcBorders>
            <w:shd w:val="clear" w:color="auto" w:fill="auto"/>
            <w:vAlign w:val="center"/>
          </w:tcPr>
          <w:p w14:paraId="22A327AB" w14:textId="173BB877"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4</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562</w:t>
            </w:r>
          </w:p>
        </w:tc>
        <w:tc>
          <w:tcPr>
            <w:tcW w:w="672" w:type="dxa"/>
            <w:tcBorders>
              <w:top w:val="nil"/>
              <w:left w:val="nil"/>
              <w:bottom w:val="single" w:sz="12" w:space="0" w:color="auto"/>
              <w:right w:val="nil"/>
            </w:tcBorders>
            <w:shd w:val="clear" w:color="auto" w:fill="auto"/>
            <w:vAlign w:val="center"/>
          </w:tcPr>
          <w:p w14:paraId="68359047" w14:textId="69205F5B"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4</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766</w:t>
            </w:r>
          </w:p>
        </w:tc>
        <w:tc>
          <w:tcPr>
            <w:tcW w:w="672" w:type="dxa"/>
            <w:tcBorders>
              <w:top w:val="nil"/>
              <w:left w:val="nil"/>
              <w:bottom w:val="single" w:sz="12" w:space="0" w:color="auto"/>
              <w:right w:val="nil"/>
            </w:tcBorders>
            <w:shd w:val="clear" w:color="auto" w:fill="auto"/>
            <w:vAlign w:val="center"/>
          </w:tcPr>
          <w:p w14:paraId="69ECE6BB" w14:textId="102FB442"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4</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367</w:t>
            </w:r>
          </w:p>
        </w:tc>
        <w:tc>
          <w:tcPr>
            <w:tcW w:w="672" w:type="dxa"/>
            <w:tcBorders>
              <w:top w:val="nil"/>
              <w:left w:val="nil"/>
              <w:bottom w:val="single" w:sz="12" w:space="0" w:color="auto"/>
              <w:right w:val="nil"/>
            </w:tcBorders>
            <w:shd w:val="clear" w:color="auto" w:fill="auto"/>
            <w:vAlign w:val="center"/>
          </w:tcPr>
          <w:p w14:paraId="405C8633" w14:textId="11230725"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4</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779</w:t>
            </w:r>
          </w:p>
        </w:tc>
        <w:tc>
          <w:tcPr>
            <w:tcW w:w="672" w:type="dxa"/>
            <w:tcBorders>
              <w:top w:val="nil"/>
              <w:left w:val="nil"/>
              <w:bottom w:val="single" w:sz="12" w:space="0" w:color="auto"/>
              <w:right w:val="nil"/>
            </w:tcBorders>
            <w:shd w:val="clear" w:color="auto" w:fill="auto"/>
            <w:vAlign w:val="center"/>
          </w:tcPr>
          <w:p w14:paraId="38952C71" w14:textId="6690B4CC"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4</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559</w:t>
            </w:r>
          </w:p>
        </w:tc>
        <w:tc>
          <w:tcPr>
            <w:tcW w:w="672" w:type="dxa"/>
            <w:tcBorders>
              <w:top w:val="nil"/>
              <w:left w:val="nil"/>
              <w:bottom w:val="single" w:sz="12" w:space="0" w:color="auto"/>
              <w:right w:val="nil"/>
            </w:tcBorders>
            <w:shd w:val="clear" w:color="auto" w:fill="auto"/>
            <w:vAlign w:val="center"/>
          </w:tcPr>
          <w:p w14:paraId="4DD6C3B1" w14:textId="5874EEAB"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4</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600</w:t>
            </w:r>
          </w:p>
        </w:tc>
        <w:tc>
          <w:tcPr>
            <w:tcW w:w="672" w:type="dxa"/>
            <w:tcBorders>
              <w:top w:val="nil"/>
              <w:left w:val="nil"/>
              <w:bottom w:val="single" w:sz="12" w:space="0" w:color="auto"/>
              <w:right w:val="nil"/>
            </w:tcBorders>
            <w:shd w:val="clear" w:color="auto" w:fill="auto"/>
            <w:vAlign w:val="center"/>
          </w:tcPr>
          <w:p w14:paraId="431E3292" w14:textId="0828149D"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4</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769</w:t>
            </w:r>
          </w:p>
        </w:tc>
        <w:tc>
          <w:tcPr>
            <w:tcW w:w="672" w:type="dxa"/>
            <w:tcBorders>
              <w:top w:val="nil"/>
              <w:left w:val="nil"/>
              <w:bottom w:val="single" w:sz="12" w:space="0" w:color="auto"/>
              <w:right w:val="nil"/>
            </w:tcBorders>
            <w:shd w:val="clear" w:color="auto" w:fill="auto"/>
            <w:vAlign w:val="center"/>
          </w:tcPr>
          <w:p w14:paraId="7886D9A3" w14:textId="04AB864F"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4</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318</w:t>
            </w:r>
          </w:p>
        </w:tc>
        <w:tc>
          <w:tcPr>
            <w:tcW w:w="672" w:type="dxa"/>
            <w:tcBorders>
              <w:top w:val="nil"/>
              <w:left w:val="nil"/>
              <w:bottom w:val="single" w:sz="12" w:space="0" w:color="auto"/>
              <w:right w:val="nil"/>
            </w:tcBorders>
            <w:shd w:val="clear" w:color="auto" w:fill="auto"/>
            <w:vAlign w:val="center"/>
          </w:tcPr>
          <w:p w14:paraId="685830CF" w14:textId="4A9D768D" w:rsidR="00DE4897" w:rsidRPr="008F6866" w:rsidRDefault="00DE4897" w:rsidP="008D668B">
            <w:pPr>
              <w:pStyle w:val="NormalWeb"/>
              <w:spacing w:before="0" w:beforeAutospacing="0" w:after="0" w:afterAutospacing="0"/>
              <w:jc w:val="center"/>
              <w:textAlignment w:val="bottom"/>
              <w:rPr>
                <w:rFonts w:asciiTheme="minorHAnsi" w:hAnsiTheme="minorHAnsi" w:cstheme="minorHAnsi"/>
                <w:sz w:val="20"/>
                <w:szCs w:val="20"/>
                <w:lang w:val="en-GB"/>
              </w:rPr>
            </w:pPr>
            <w:r w:rsidRPr="008F6866">
              <w:rPr>
                <w:rFonts w:asciiTheme="minorHAnsi" w:hAnsiTheme="minorHAnsi" w:cstheme="minorHAnsi"/>
                <w:sz w:val="20"/>
                <w:szCs w:val="20"/>
                <w:lang w:val="en-GB"/>
              </w:rPr>
              <w:t>4</w:t>
            </w:r>
            <w:r w:rsidR="00533D04" w:rsidRPr="008F6866">
              <w:rPr>
                <w:rFonts w:asciiTheme="minorHAnsi" w:hAnsiTheme="minorHAnsi" w:cstheme="minorHAnsi"/>
                <w:sz w:val="20"/>
                <w:szCs w:val="20"/>
                <w:lang w:val="en-GB"/>
              </w:rPr>
              <w:t xml:space="preserve"> </w:t>
            </w:r>
            <w:r w:rsidRPr="008F6866">
              <w:rPr>
                <w:rFonts w:asciiTheme="minorHAnsi" w:hAnsiTheme="minorHAnsi" w:cstheme="minorHAnsi"/>
                <w:sz w:val="20"/>
                <w:szCs w:val="20"/>
                <w:lang w:val="en-GB"/>
              </w:rPr>
              <w:t>630</w:t>
            </w:r>
          </w:p>
        </w:tc>
      </w:tr>
    </w:tbl>
    <w:p w14:paraId="565B7D94" w14:textId="77777777" w:rsidR="00DE4897" w:rsidRPr="008F6866" w:rsidRDefault="00DE4897" w:rsidP="00DE4897">
      <w:pPr>
        <w:pStyle w:val="Captionrege"/>
        <w:rPr>
          <w:rFonts w:asciiTheme="minorHAnsi" w:hAnsiTheme="minorHAnsi" w:cstheme="minorHAnsi"/>
          <w:sz w:val="20"/>
          <w:szCs w:val="20"/>
          <w:lang w:val="en-GB"/>
        </w:rPr>
      </w:pPr>
    </w:p>
    <w:p w14:paraId="0EED800B" w14:textId="77777777" w:rsidR="00DE4897" w:rsidRPr="008F6866" w:rsidRDefault="00DE4897" w:rsidP="00DE4897">
      <w:pPr>
        <w:keepNext/>
        <w:keepLines/>
        <w:jc w:val="both"/>
        <w:rPr>
          <w:rFonts w:cstheme="minorHAnsi"/>
          <w:b/>
        </w:rPr>
      </w:pPr>
      <w:r w:rsidRPr="008F6866">
        <w:rPr>
          <w:rFonts w:cstheme="minorHAnsi"/>
          <w:b/>
        </w:rPr>
        <w:t>Near-surface wind speed</w:t>
      </w:r>
    </w:p>
    <w:p w14:paraId="21B29B0D" w14:textId="2862C25D" w:rsidR="00DE4897" w:rsidRPr="008F6866" w:rsidRDefault="00DE4897" w:rsidP="003E4EDA">
      <w:pPr>
        <w:spacing w:after="0" w:line="300" w:lineRule="auto"/>
        <w:jc w:val="both"/>
        <w:rPr>
          <w:rFonts w:cstheme="minorHAnsi"/>
        </w:rPr>
      </w:pPr>
      <w:r w:rsidRPr="008F6866">
        <w:rPr>
          <w:rFonts w:cstheme="minorHAnsi"/>
        </w:rPr>
        <w:t>The ISIMIP3 method rarely outperforms the scaling method. Improvements compared with the raw data are only apparent for models which show the larger biases (MIROC6, MRI-ESM2-0). The limited improvements seen for both methods primarily pertain to the holdout method, where the first half of the data is used for calibration and the second half for validation. In fact, the observed wind speed shows a negative trend over the validation period. As none of the models capture this trend, the imprint of this trend is not incorporated into the pseudo observations used to correct the model over the validation period.</w:t>
      </w:r>
    </w:p>
    <w:p w14:paraId="6FC7432C" w14:textId="77777777" w:rsidR="00E068BA" w:rsidRPr="008F6866" w:rsidRDefault="00E068BA" w:rsidP="00E068BA">
      <w:pPr>
        <w:spacing w:after="0" w:line="300" w:lineRule="auto"/>
        <w:jc w:val="both"/>
        <w:rPr>
          <w:rFonts w:cstheme="minorHAnsi"/>
        </w:rPr>
      </w:pPr>
    </w:p>
    <w:p w14:paraId="5BF31065" w14:textId="77777777" w:rsidR="00DE4897" w:rsidRPr="008F6866" w:rsidRDefault="00DE4897" w:rsidP="00DE4897">
      <w:pPr>
        <w:jc w:val="both"/>
        <w:rPr>
          <w:rFonts w:eastAsia="Calibri" w:cstheme="minorHAnsi"/>
          <w:b/>
        </w:rPr>
      </w:pPr>
      <w:r w:rsidRPr="008F6866">
        <w:rPr>
          <w:rFonts w:cstheme="minorHAnsi"/>
          <w:b/>
        </w:rPr>
        <w:t>Near-surface temperature</w:t>
      </w:r>
    </w:p>
    <w:p w14:paraId="3482DF3B" w14:textId="7B4A8EF2" w:rsidR="00DE4897" w:rsidRPr="008F6866" w:rsidRDefault="39CFF0FF" w:rsidP="003E4EDA">
      <w:pPr>
        <w:spacing w:after="0" w:line="300" w:lineRule="auto"/>
        <w:jc w:val="both"/>
      </w:pPr>
      <w:r w:rsidRPr="008F6866">
        <w:t>Both corrections demonstrate comparable performance, consistently enhancing the first, second, and third quartiles of the distribution, with few exceptions. However, both methods noticeably struggle to improve the lowest values of the distribution in models that simulate a bias-low minimum value compared with observations.</w:t>
      </w:r>
    </w:p>
    <w:p w14:paraId="765AD16C" w14:textId="77777777" w:rsidR="00E068BA" w:rsidRPr="008F6866" w:rsidRDefault="00E068BA" w:rsidP="00E068BA">
      <w:pPr>
        <w:spacing w:after="0" w:line="300" w:lineRule="auto"/>
        <w:jc w:val="both"/>
        <w:rPr>
          <w:rFonts w:eastAsia="Calibri"/>
          <w:b/>
          <w:bCs/>
        </w:rPr>
      </w:pPr>
    </w:p>
    <w:p w14:paraId="1BBA9734" w14:textId="77777777" w:rsidR="00DE4897" w:rsidRPr="008F6866" w:rsidRDefault="00DE4897" w:rsidP="00DE4897">
      <w:pPr>
        <w:jc w:val="both"/>
        <w:rPr>
          <w:rFonts w:eastAsia="Calibri" w:cstheme="minorHAnsi"/>
          <w:b/>
        </w:rPr>
      </w:pPr>
      <w:r w:rsidRPr="008F6866">
        <w:rPr>
          <w:rFonts w:cstheme="minorHAnsi"/>
          <w:b/>
        </w:rPr>
        <w:t>Dry spell duration</w:t>
      </w:r>
    </w:p>
    <w:p w14:paraId="60476547" w14:textId="1F1A9659" w:rsidR="00DE4897" w:rsidRPr="008F6866" w:rsidRDefault="00DE4897" w:rsidP="00983A12">
      <w:pPr>
        <w:spacing w:after="120" w:line="300" w:lineRule="auto"/>
        <w:jc w:val="both"/>
        <w:rPr>
          <w:rFonts w:eastAsiaTheme="minorEastAsia" w:cstheme="minorHAnsi"/>
        </w:rPr>
      </w:pPr>
      <w:r w:rsidRPr="008F6866">
        <w:rPr>
          <w:rFonts w:cstheme="minorHAnsi"/>
        </w:rPr>
        <w:t xml:space="preserve">As mentioned in </w:t>
      </w:r>
      <w:r w:rsidRPr="008F6866">
        <w:rPr>
          <w:rFonts w:cstheme="minorHAnsi"/>
        </w:rPr>
        <w:fldChar w:fldCharType="begin"/>
      </w:r>
      <w:r w:rsidR="006201C6">
        <w:rPr>
          <w:rFonts w:cstheme="minorHAnsi"/>
        </w:rPr>
        <w:instrText xml:space="preserve"> ADDIN EN.CITE &lt;EndNote&gt;&lt;Cite AuthorYear="1"&gt;&lt;Author&gt;Maraun&lt;/Author&gt;&lt;Year&gt;2016&lt;/Year&gt;&lt;RecNum&gt;384&lt;/RecNum&gt;&lt;IDText&gt;Maraun16&lt;/IDText&gt;&lt;DisplayText&gt;Maraun (2016)&lt;/DisplayText&gt;&lt;record&gt;&lt;rec-number&gt;384&lt;/rec-number&gt;&lt;foreign-keys&gt;&lt;key app="EN" db-id="0px2fzdxhrpdrre2w5f5pdryx90atadrdavt" timestamp="1713950541"&gt;384&lt;/key&gt;&lt;/foreign-keys&gt;&lt;ref-type name="Journal Article"&gt;17&lt;/ref-type&gt;&lt;contributors&gt;&lt;authors&gt;&lt;author&gt;Maraun, D.&lt;/author&gt;&lt;/authors&gt;&lt;/contributors&gt;&lt;titles&gt;&lt;title&gt;Bias Correcting Climate Change Simulations - a Critical Review&lt;/title&gt;&lt;secondary-title&gt;Current Climate Change Reports&lt;/secondary-title&gt;&lt;/titles&gt;&lt;periodical&gt;&lt;full-title&gt;Current Climate Change Reports&lt;/full-title&gt;&lt;/periodical&gt;&lt;pages&gt;211-220&lt;/pages&gt;&lt;volume&gt;2&lt;/volume&gt;&lt;number&gt;4&lt;/number&gt;&lt;dates&gt;&lt;year&gt;2016&lt;/year&gt;&lt;/dates&gt;&lt;label&gt;Maraun16&lt;/label&gt;&lt;work-type&gt;Review&lt;/work-type&gt;&lt;urls&gt;&lt;related-urls&gt;&lt;url&gt;https://www.scopus.com/inward/record.uri?eid=2-s2.0-85016163604&amp;amp;doi=10.1007%2fs40641-016-0050-x&amp;amp;partnerID=40&amp;amp;md5=17c759473a0b118115a49773c9e20c57&lt;/url&gt;&lt;/related-urls&gt;&lt;/urls&gt;&lt;electronic-resource-num&gt;10.1007/s40641-016-0050-x&lt;/electronic-resource-num&gt;&lt;remote-database-name&gt;Scopus&lt;/remote-database-name&gt;&lt;/record&gt;&lt;/Cite&gt;&lt;/EndNote&gt;</w:instrText>
      </w:r>
      <w:r w:rsidRPr="008F6866">
        <w:rPr>
          <w:rFonts w:cstheme="minorHAnsi"/>
        </w:rPr>
        <w:fldChar w:fldCharType="separate"/>
      </w:r>
      <w:r w:rsidR="006201C6">
        <w:rPr>
          <w:rFonts w:cstheme="minorHAnsi"/>
          <w:noProof/>
        </w:rPr>
        <w:t>Maraun (2016)</w:t>
      </w:r>
      <w:r w:rsidRPr="008F6866">
        <w:rPr>
          <w:rFonts w:cstheme="minorHAnsi"/>
        </w:rPr>
        <w:fldChar w:fldCharType="end"/>
      </w:r>
      <w:r w:rsidRPr="008F6866">
        <w:rPr>
          <w:rFonts w:cstheme="minorHAnsi"/>
        </w:rPr>
        <w:t>, often marginal aspects of the correction are evaluated, typically calibrated to match observations. Consequently, the performance of a bias correction might be overestimated. One should therefore evaluate aspects which have not been calibrated. For this reason, we evaluated the dry spell length distribution, an important parameter for forests. We focus on the ISIMIP3 correction, as the occurrence of dry days is not corrected with the scaling method.</w:t>
      </w:r>
    </w:p>
    <w:p w14:paraId="2E054842" w14:textId="1C973649" w:rsidR="00DE4897" w:rsidRPr="008F6866" w:rsidRDefault="00DE4897" w:rsidP="00983A12">
      <w:pPr>
        <w:spacing w:after="120" w:line="300" w:lineRule="auto"/>
        <w:jc w:val="both"/>
        <w:rPr>
          <w:rFonts w:cstheme="minorHAnsi"/>
        </w:rPr>
      </w:pPr>
      <w:r w:rsidRPr="008F6866">
        <w:rPr>
          <w:rFonts w:cstheme="minorHAnsi"/>
        </w:rPr>
        <w:t>The dry spell length distribution is presented in</w:t>
      </w:r>
      <w:r w:rsidR="00983A12" w:rsidRPr="008F6866">
        <w:rPr>
          <w:rFonts w:cstheme="minorHAnsi"/>
        </w:rPr>
        <w:t xml:space="preserve"> </w:t>
      </w:r>
      <w:r w:rsidR="00983A12" w:rsidRPr="008F6866">
        <w:rPr>
          <w:rFonts w:cstheme="minorHAnsi"/>
        </w:rPr>
        <w:fldChar w:fldCharType="begin"/>
      </w:r>
      <w:r w:rsidR="00983A12" w:rsidRPr="008F6866">
        <w:rPr>
          <w:rFonts w:cstheme="minorHAnsi"/>
        </w:rPr>
        <w:instrText xml:space="preserve"> REF _Ref195655758 \h  \* MERGEFORMAT </w:instrText>
      </w:r>
      <w:r w:rsidR="00983A12" w:rsidRPr="008F6866">
        <w:rPr>
          <w:rFonts w:cstheme="minorHAnsi"/>
        </w:rPr>
      </w:r>
      <w:r w:rsidR="00983A12" w:rsidRPr="008F6866">
        <w:rPr>
          <w:rFonts w:cstheme="minorHAnsi"/>
        </w:rPr>
        <w:fldChar w:fldCharType="separate"/>
      </w:r>
      <w:r w:rsidR="00540DBF" w:rsidRPr="00540DBF">
        <w:rPr>
          <w:rFonts w:cstheme="minorHAnsi"/>
        </w:rPr>
        <w:t>Figure 29</w:t>
      </w:r>
      <w:r w:rsidR="00983A12" w:rsidRPr="008F6866">
        <w:rPr>
          <w:rFonts w:cstheme="minorHAnsi"/>
        </w:rPr>
        <w:fldChar w:fldCharType="end"/>
      </w:r>
      <w:r w:rsidRPr="008F6866">
        <w:rPr>
          <w:rFonts w:cstheme="minorHAnsi"/>
        </w:rPr>
        <w:t xml:space="preserve"> for two dry-day criteria: Pr&lt;0.1 mm day</w:t>
      </w:r>
      <w:r w:rsidRPr="008F6866">
        <w:rPr>
          <w:rFonts w:cstheme="minorHAnsi"/>
          <w:vertAlign w:val="superscript"/>
        </w:rPr>
        <w:t>-1</w:t>
      </w:r>
      <w:r w:rsidRPr="008F6866">
        <w:rPr>
          <w:rFonts w:cstheme="minorHAnsi"/>
        </w:rPr>
        <w:t xml:space="preserve"> and Pr&lt;1 mm day</w:t>
      </w:r>
      <w:r w:rsidRPr="008F6866">
        <w:rPr>
          <w:rFonts w:cstheme="minorHAnsi"/>
          <w:vertAlign w:val="superscript"/>
        </w:rPr>
        <w:t>-1</w:t>
      </w:r>
      <w:r w:rsidRPr="008F6866">
        <w:rPr>
          <w:rFonts w:cstheme="minorHAnsi"/>
        </w:rPr>
        <w:t>. For the sake of brevity, we show the distributions for MPI-ESM1-2-LR only, which is enough to discuss the general features. Some statistics of the dry spell length distribution are given in</w:t>
      </w:r>
      <w:r w:rsidR="00983A12" w:rsidRPr="00D03CB9">
        <w:rPr>
          <w:rFonts w:cstheme="minorHAnsi"/>
        </w:rPr>
        <w:fldChar w:fldCharType="begin"/>
      </w:r>
      <w:r w:rsidR="00983A12" w:rsidRPr="00D03CB9">
        <w:rPr>
          <w:rFonts w:cstheme="minorHAnsi"/>
        </w:rPr>
        <w:instrText xml:space="preserve"> REF _Ref195655816 \h  \* MERGEFORMAT </w:instrText>
      </w:r>
      <w:r w:rsidR="00983A12" w:rsidRPr="00D03CB9">
        <w:rPr>
          <w:rFonts w:cstheme="minorHAnsi"/>
        </w:rPr>
      </w:r>
      <w:r w:rsidR="00983A12" w:rsidRPr="00D03CB9">
        <w:rPr>
          <w:rFonts w:cstheme="minorHAnsi"/>
        </w:rPr>
        <w:fldChar w:fldCharType="separate"/>
      </w:r>
      <w:r w:rsidR="00D03CB9" w:rsidRPr="00D03CB9">
        <w:rPr>
          <w:rFonts w:cstheme="minorHAnsi"/>
        </w:rPr>
        <w:t xml:space="preserve"> </w:t>
      </w:r>
      <w:r w:rsidR="00540DBF" w:rsidRPr="00D03CB9">
        <w:rPr>
          <w:rFonts w:cstheme="minorHAnsi"/>
        </w:rPr>
        <w:t xml:space="preserve">Table </w:t>
      </w:r>
      <w:r w:rsidR="00540DBF" w:rsidRPr="00D03CB9">
        <w:rPr>
          <w:noProof/>
          <w:color w:val="000000" w:themeColor="text1"/>
        </w:rPr>
        <w:t>XVII</w:t>
      </w:r>
      <w:r w:rsidR="00983A12" w:rsidRPr="00D03CB9">
        <w:rPr>
          <w:rFonts w:cstheme="minorHAnsi"/>
        </w:rPr>
        <w:fldChar w:fldCharType="end"/>
      </w:r>
      <w:r w:rsidRPr="00D03CB9">
        <w:rPr>
          <w:rFonts w:cstheme="minorHAnsi"/>
        </w:rPr>
        <w:t>.</w:t>
      </w:r>
      <w:r w:rsidR="00983A12" w:rsidRPr="008F6866">
        <w:rPr>
          <w:rFonts w:cstheme="minorHAnsi"/>
        </w:rPr>
        <w:t xml:space="preserve"> </w:t>
      </w:r>
      <w:r w:rsidR="00983A12" w:rsidRPr="008F6866">
        <w:rPr>
          <w:rFonts w:cstheme="minorHAnsi"/>
        </w:rPr>
        <w:fldChar w:fldCharType="begin"/>
      </w:r>
      <w:r w:rsidR="00983A12" w:rsidRPr="008F6866">
        <w:rPr>
          <w:rFonts w:cstheme="minorHAnsi"/>
        </w:rPr>
        <w:instrText xml:space="preserve"> REF _Ref195655878 \h  \* MERGEFORMAT </w:instrText>
      </w:r>
      <w:r w:rsidR="00983A12" w:rsidRPr="008F6866">
        <w:rPr>
          <w:rFonts w:cstheme="minorHAnsi"/>
        </w:rPr>
      </w:r>
      <w:r w:rsidR="00983A12" w:rsidRPr="008F6866">
        <w:rPr>
          <w:rFonts w:cstheme="minorHAnsi"/>
        </w:rPr>
        <w:fldChar w:fldCharType="separate"/>
      </w:r>
      <w:r w:rsidR="00540DBF" w:rsidRPr="00540DBF">
        <w:rPr>
          <w:rFonts w:cstheme="minorHAnsi"/>
        </w:rPr>
        <w:t>Figure 30</w:t>
      </w:r>
      <w:r w:rsidR="00983A12" w:rsidRPr="008F6866">
        <w:rPr>
          <w:rFonts w:cstheme="minorHAnsi"/>
        </w:rPr>
        <w:fldChar w:fldCharType="end"/>
      </w:r>
      <w:r w:rsidRPr="008F6866">
        <w:rPr>
          <w:rFonts w:cstheme="minorHAnsi"/>
        </w:rPr>
        <w:t xml:space="preserve"> shows that MPI-ESM1-2-LR satisfactorily reproduces the shape of the distribution, which is also true for the other models. Most differences between the simulated and observed distributions are found for Pr&lt;0.1 mm day</w:t>
      </w:r>
      <w:r w:rsidRPr="008F6866">
        <w:rPr>
          <w:rFonts w:cstheme="minorHAnsi"/>
          <w:vertAlign w:val="superscript"/>
        </w:rPr>
        <w:t>-1</w:t>
      </w:r>
      <w:r w:rsidRPr="008F6866">
        <w:rPr>
          <w:rFonts w:cstheme="minorHAnsi"/>
        </w:rPr>
        <w:t xml:space="preserve">. Using this criterion, CMIP6 models tend to underestimate the number of dry spells for all spell lengths, which is a consequence of the drizzle effect. Model data </w:t>
      </w:r>
      <w:r w:rsidRPr="008F6866">
        <w:rPr>
          <w:rFonts w:cstheme="minorHAnsi"/>
        </w:rPr>
        <w:lastRenderedPageBreak/>
        <w:t>better agree with the observations when a 1 mm day</w:t>
      </w:r>
      <w:r w:rsidRPr="008F6866">
        <w:rPr>
          <w:rFonts w:cstheme="minorHAnsi"/>
          <w:vertAlign w:val="superscript"/>
        </w:rPr>
        <w:t>-1</w:t>
      </w:r>
      <w:r w:rsidRPr="008F6866">
        <w:rPr>
          <w:rFonts w:cstheme="minorHAnsi"/>
        </w:rPr>
        <w:t xml:space="preserve"> threshold is used to detect dry sequences. Also, most of the models simulate </w:t>
      </w:r>
      <w:r w:rsidR="00055E2D" w:rsidRPr="008F6866">
        <w:rPr>
          <w:rFonts w:cstheme="minorHAnsi"/>
        </w:rPr>
        <w:t>drier</w:t>
      </w:r>
      <w:r w:rsidRPr="008F6866">
        <w:rPr>
          <w:rFonts w:cstheme="minorHAnsi"/>
        </w:rPr>
        <w:t xml:space="preserve"> single-days than observed for a 1 mm day</w:t>
      </w:r>
      <w:r w:rsidR="00983A12" w:rsidRPr="008F6866">
        <w:rPr>
          <w:rFonts w:cstheme="minorHAnsi"/>
          <w:vertAlign w:val="superscript"/>
        </w:rPr>
        <w:noBreakHyphen/>
      </w:r>
      <w:r w:rsidRPr="008F6866">
        <w:rPr>
          <w:rFonts w:cstheme="minorHAnsi"/>
          <w:vertAlign w:val="superscript"/>
        </w:rPr>
        <w:t xml:space="preserve">1 </w:t>
      </w:r>
      <w:r w:rsidRPr="008F6866">
        <w:rPr>
          <w:rFonts w:cstheme="minorHAnsi"/>
        </w:rPr>
        <w:t>threshold, while the opposite situation occurs when a 0.1 mm day</w:t>
      </w:r>
      <w:r w:rsidRPr="008F6866">
        <w:rPr>
          <w:rFonts w:cstheme="minorHAnsi"/>
          <w:vertAlign w:val="superscript"/>
        </w:rPr>
        <w:t xml:space="preserve">-1 </w:t>
      </w:r>
      <w:r w:rsidRPr="008F6866">
        <w:rPr>
          <w:rFonts w:cstheme="minorHAnsi"/>
        </w:rPr>
        <w:t xml:space="preserve">threshold is used. </w:t>
      </w:r>
    </w:p>
    <w:p w14:paraId="1BB1E24C" w14:textId="250CCA51" w:rsidR="00DE4897" w:rsidRPr="008F6866" w:rsidRDefault="00DE4897" w:rsidP="00983A12">
      <w:pPr>
        <w:spacing w:after="120" w:line="300" w:lineRule="auto"/>
        <w:jc w:val="both"/>
        <w:rPr>
          <w:rFonts w:cstheme="minorHAnsi"/>
        </w:rPr>
      </w:pPr>
      <w:r w:rsidRPr="008F6866">
        <w:rPr>
          <w:rFonts w:cstheme="minorHAnsi"/>
        </w:rPr>
        <w:t xml:space="preserve">The bias-correction modifies the mean dry spell length, which is almost systematically improved whatever the criterion </w:t>
      </w:r>
      <w:r w:rsidRPr="006403D5">
        <w:rPr>
          <w:rFonts w:cstheme="minorHAnsi"/>
        </w:rPr>
        <w:t>(see</w:t>
      </w:r>
      <w:r w:rsidR="00983A12" w:rsidRPr="006403D5">
        <w:rPr>
          <w:rFonts w:cstheme="minorHAnsi"/>
        </w:rPr>
        <w:t xml:space="preserve"> </w:t>
      </w:r>
      <w:r w:rsidR="00983A12" w:rsidRPr="006403D5">
        <w:rPr>
          <w:rFonts w:cstheme="minorHAnsi"/>
        </w:rPr>
        <w:fldChar w:fldCharType="begin"/>
      </w:r>
      <w:r w:rsidR="00983A12" w:rsidRPr="006403D5">
        <w:rPr>
          <w:rFonts w:cstheme="minorHAnsi"/>
        </w:rPr>
        <w:instrText xml:space="preserve"> REF _Ref195655928 \h  \* MERGEFORMAT </w:instrText>
      </w:r>
      <w:r w:rsidR="00983A12" w:rsidRPr="006403D5">
        <w:rPr>
          <w:rFonts w:cstheme="minorHAnsi"/>
        </w:rPr>
      </w:r>
      <w:r w:rsidR="00983A12" w:rsidRPr="006403D5">
        <w:rPr>
          <w:rFonts w:cstheme="minorHAnsi"/>
        </w:rPr>
        <w:fldChar w:fldCharType="separate"/>
      </w:r>
      <w:r w:rsidR="00540DBF" w:rsidRPr="006403D5">
        <w:rPr>
          <w:rFonts w:cstheme="minorHAnsi"/>
        </w:rPr>
        <w:t xml:space="preserve">Table </w:t>
      </w:r>
      <w:r w:rsidR="00540DBF" w:rsidRPr="006403D5">
        <w:rPr>
          <w:noProof/>
          <w:color w:val="000000" w:themeColor="text1"/>
        </w:rPr>
        <w:t>XVII</w:t>
      </w:r>
      <w:r w:rsidR="00983A12" w:rsidRPr="006403D5">
        <w:rPr>
          <w:rFonts w:cstheme="minorHAnsi"/>
        </w:rPr>
        <w:fldChar w:fldCharType="end"/>
      </w:r>
      <w:r w:rsidRPr="006403D5">
        <w:rPr>
          <w:rFonts w:cstheme="minorHAnsi"/>
        </w:rPr>
        <w:t>).</w:t>
      </w:r>
      <w:r w:rsidRPr="008F6866">
        <w:rPr>
          <w:rFonts w:cstheme="minorHAnsi"/>
        </w:rPr>
        <w:t xml:space="preserve"> Improvements for the dry spell length variance are more contrasted where the added value of the ISIMIP3 correction is found for the 0.1 mm day</w:t>
      </w:r>
      <w:r w:rsidRPr="008F6866">
        <w:rPr>
          <w:rFonts w:cstheme="minorHAnsi"/>
          <w:vertAlign w:val="superscript"/>
        </w:rPr>
        <w:t>-1</w:t>
      </w:r>
      <w:r w:rsidRPr="008F6866">
        <w:rPr>
          <w:rFonts w:cstheme="minorHAnsi"/>
        </w:rPr>
        <w:t xml:space="preserve"> criterion. Improvements in the longest dry spell length also depend on the chosen criterion. For the 0.1 mm day</w:t>
      </w:r>
      <w:r w:rsidR="00983A12" w:rsidRPr="008F6866">
        <w:rPr>
          <w:rFonts w:cstheme="minorHAnsi"/>
          <w:vertAlign w:val="superscript"/>
        </w:rPr>
        <w:noBreakHyphen/>
      </w:r>
      <w:r w:rsidRPr="008F6866">
        <w:rPr>
          <w:rFonts w:cstheme="minorHAnsi"/>
          <w:vertAlign w:val="superscript"/>
        </w:rPr>
        <w:t>1</w:t>
      </w:r>
      <w:r w:rsidRPr="008F6866">
        <w:rPr>
          <w:rFonts w:cstheme="minorHAnsi"/>
        </w:rPr>
        <w:t xml:space="preserve"> threshold, the longest dry spell length gets closer to the observations in 9 of the 11 models. For the 1</w:t>
      </w:r>
      <w:r w:rsidR="00983A12" w:rsidRPr="008F6866">
        <w:rPr>
          <w:rFonts w:cstheme="minorHAnsi"/>
        </w:rPr>
        <w:t> </w:t>
      </w:r>
      <w:r w:rsidRPr="008F6866">
        <w:rPr>
          <w:rFonts w:cstheme="minorHAnsi"/>
        </w:rPr>
        <w:t>mm day</w:t>
      </w:r>
      <w:r w:rsidRPr="008F6866">
        <w:rPr>
          <w:rFonts w:cstheme="minorHAnsi"/>
          <w:vertAlign w:val="superscript"/>
        </w:rPr>
        <w:t>-1</w:t>
      </w:r>
      <w:r w:rsidRPr="008F6866">
        <w:rPr>
          <w:rFonts w:cstheme="minorHAnsi"/>
        </w:rPr>
        <w:t xml:space="preserve"> threshold, the longest dry spell length deviates more from the observations in 5 of the 11</w:t>
      </w:r>
      <w:r w:rsidR="00E5495F">
        <w:rPr>
          <w:rFonts w:cstheme="minorHAnsi"/>
        </w:rPr>
        <w:t> </w:t>
      </w:r>
      <w:r w:rsidRPr="008F6866">
        <w:rPr>
          <w:rFonts w:cstheme="minorHAnsi"/>
        </w:rPr>
        <w:t>models. Differences between the two criteria is a direct consequence of the threshold used for adjusting the dry-day frequency (0.1 mm day</w:t>
      </w:r>
      <w:r w:rsidRPr="008F6866">
        <w:rPr>
          <w:rFonts w:cstheme="minorHAnsi"/>
          <w:vertAlign w:val="superscript"/>
        </w:rPr>
        <w:t>-1</w:t>
      </w:r>
      <w:r w:rsidRPr="008F6866">
        <w:rPr>
          <w:rFonts w:cstheme="minorHAnsi"/>
        </w:rPr>
        <w:t>, see</w:t>
      </w:r>
      <w:r w:rsidR="00983A12" w:rsidRPr="008F6866">
        <w:rPr>
          <w:rFonts w:cstheme="minorHAnsi"/>
        </w:rPr>
        <w:t xml:space="preserve"> </w:t>
      </w:r>
      <w:r w:rsidR="00983A12" w:rsidRPr="008F6866">
        <w:rPr>
          <w:rFonts w:cstheme="minorHAnsi"/>
        </w:rPr>
        <w:fldChar w:fldCharType="begin"/>
      </w:r>
      <w:r w:rsidR="00983A12" w:rsidRPr="008F6866">
        <w:rPr>
          <w:rFonts w:cstheme="minorHAnsi"/>
        </w:rPr>
        <w:instrText xml:space="preserve"> REF _Ref195652647 \h  \* MERGEFORMAT </w:instrText>
      </w:r>
      <w:r w:rsidR="00983A12" w:rsidRPr="008F6866">
        <w:rPr>
          <w:rFonts w:cstheme="minorHAnsi"/>
        </w:rPr>
      </w:r>
      <w:r w:rsidR="00983A12" w:rsidRPr="008F6866">
        <w:rPr>
          <w:rFonts w:cstheme="minorHAnsi"/>
        </w:rPr>
        <w:fldChar w:fldCharType="separate"/>
      </w:r>
      <w:r w:rsidR="00540DBF" w:rsidRPr="00540DBF">
        <w:rPr>
          <w:rFonts w:cstheme="minorHAnsi"/>
        </w:rPr>
        <w:t>Table III</w:t>
      </w:r>
      <w:r w:rsidR="00983A12" w:rsidRPr="008F6866">
        <w:rPr>
          <w:rFonts w:cstheme="minorHAnsi"/>
        </w:rPr>
        <w:fldChar w:fldCharType="end"/>
      </w:r>
      <w:r w:rsidRPr="008F6866">
        <w:rPr>
          <w:rFonts w:cstheme="minorHAnsi"/>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DE4897" w:rsidRPr="008F6866" w14:paraId="78724726" w14:textId="77777777" w:rsidTr="008D668B">
        <w:tc>
          <w:tcPr>
            <w:tcW w:w="4508" w:type="dxa"/>
            <w:vAlign w:val="center"/>
          </w:tcPr>
          <w:p w14:paraId="12433AAE" w14:textId="77777777" w:rsidR="00DE4897" w:rsidRPr="008F6866" w:rsidRDefault="00DE4897" w:rsidP="008D668B">
            <w:pPr>
              <w:keepNext/>
              <w:keepLines/>
              <w:ind w:firstLine="708"/>
              <w:jc w:val="center"/>
              <w:rPr>
                <w:rFonts w:asciiTheme="minorHAnsi" w:eastAsiaTheme="minorEastAsia" w:hAnsiTheme="minorHAnsi" w:cstheme="minorHAnsi"/>
              </w:rPr>
            </w:pPr>
            <w:r w:rsidRPr="008F6866">
              <w:rPr>
                <w:rFonts w:eastAsiaTheme="minorEastAsia" w:cstheme="minorHAnsi"/>
                <w:noProof/>
              </w:rPr>
              <w:drawing>
                <wp:inline distT="0" distB="0" distL="0" distR="0" wp14:anchorId="63944CB4" wp14:editId="4B4F6F9B">
                  <wp:extent cx="2520000" cy="1890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L_distribution_pr_01_validation_1992_2021_bc_isimip3_MPI-ESM1-2-LR_sitemean.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520000" cy="1890140"/>
                          </a:xfrm>
                          <a:prstGeom prst="rect">
                            <a:avLst/>
                          </a:prstGeom>
                        </pic:spPr>
                      </pic:pic>
                    </a:graphicData>
                  </a:graphic>
                </wp:inline>
              </w:drawing>
            </w:r>
          </w:p>
        </w:tc>
        <w:tc>
          <w:tcPr>
            <w:tcW w:w="4508" w:type="dxa"/>
          </w:tcPr>
          <w:p w14:paraId="382EDA1C" w14:textId="77777777" w:rsidR="00DE4897" w:rsidRPr="008F6866" w:rsidRDefault="00DE4897" w:rsidP="008D668B">
            <w:pPr>
              <w:keepNext/>
              <w:keepLines/>
              <w:jc w:val="both"/>
              <w:rPr>
                <w:rFonts w:asciiTheme="minorHAnsi" w:eastAsiaTheme="minorEastAsia" w:hAnsiTheme="minorHAnsi" w:cstheme="minorHAnsi"/>
              </w:rPr>
            </w:pPr>
            <w:r w:rsidRPr="008F6866">
              <w:rPr>
                <w:rFonts w:eastAsiaTheme="minorEastAsia" w:cstheme="minorHAnsi"/>
                <w:noProof/>
              </w:rPr>
              <w:drawing>
                <wp:inline distT="0" distB="0" distL="0" distR="0" wp14:anchorId="41795B76" wp14:editId="67B682A6">
                  <wp:extent cx="2520000" cy="18901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L_distribution_pr_1_validation_1992_2021_bc_isimip3_MPI-ESM1-2-LR_sitemean.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520000" cy="1890140"/>
                          </a:xfrm>
                          <a:prstGeom prst="rect">
                            <a:avLst/>
                          </a:prstGeom>
                        </pic:spPr>
                      </pic:pic>
                    </a:graphicData>
                  </a:graphic>
                </wp:inline>
              </w:drawing>
            </w:r>
          </w:p>
        </w:tc>
      </w:tr>
    </w:tbl>
    <w:p w14:paraId="7CF395E1" w14:textId="6C4894FB" w:rsidR="00E068BA" w:rsidRPr="008F6866" w:rsidRDefault="00E068BA" w:rsidP="00E068BA">
      <w:pPr>
        <w:pStyle w:val="Lgende"/>
        <w:jc w:val="center"/>
        <w:rPr>
          <w:rFonts w:asciiTheme="minorHAnsi" w:hAnsiTheme="minorHAnsi" w:cstheme="minorBidi"/>
          <w:b/>
          <w:i w:val="0"/>
          <w:color w:val="000000" w:themeColor="text1"/>
          <w:sz w:val="20"/>
          <w:szCs w:val="20"/>
        </w:rPr>
      </w:pPr>
      <w:bookmarkStart w:id="89" w:name="_Ref195655758"/>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29</w:t>
      </w:r>
      <w:r w:rsidRPr="008F6866">
        <w:rPr>
          <w:b/>
          <w:i w:val="0"/>
          <w:color w:val="000000" w:themeColor="text1"/>
          <w:sz w:val="20"/>
          <w:szCs w:val="20"/>
        </w:rPr>
        <w:fldChar w:fldCharType="end"/>
      </w:r>
      <w:bookmarkEnd w:id="89"/>
      <w:r w:rsidRPr="008F6866">
        <w:rPr>
          <w:b/>
          <w:i w:val="0"/>
          <w:color w:val="000000" w:themeColor="text1"/>
          <w:sz w:val="20"/>
          <w:szCs w:val="20"/>
        </w:rPr>
        <w:t>. Dry spell length distribution in the raw model data (blue), bias-corrected (ISIMIP3 correction) model data (orange) and observations (green) over the period 1992-2021. A day is considered as dry if Pr&lt;0.1 mm day</w:t>
      </w:r>
      <w:r w:rsidRPr="008F6866">
        <w:rPr>
          <w:b/>
          <w:i w:val="0"/>
          <w:color w:val="000000" w:themeColor="text1"/>
          <w:sz w:val="20"/>
          <w:szCs w:val="20"/>
          <w:vertAlign w:val="superscript"/>
        </w:rPr>
        <w:t>-1</w:t>
      </w:r>
      <w:r w:rsidRPr="008F6866">
        <w:rPr>
          <w:b/>
          <w:i w:val="0"/>
          <w:color w:val="000000" w:themeColor="text1"/>
          <w:sz w:val="20"/>
          <w:szCs w:val="20"/>
        </w:rPr>
        <w:t xml:space="preserve"> (left) or Pr&lt;1 mm day</w:t>
      </w:r>
      <w:r w:rsidRPr="008F6866">
        <w:rPr>
          <w:b/>
          <w:i w:val="0"/>
          <w:color w:val="000000" w:themeColor="text1"/>
          <w:sz w:val="20"/>
          <w:szCs w:val="20"/>
          <w:vertAlign w:val="superscript"/>
        </w:rPr>
        <w:t>-1</w:t>
      </w:r>
      <w:r w:rsidRPr="008F6866">
        <w:rPr>
          <w:b/>
          <w:i w:val="0"/>
          <w:color w:val="000000" w:themeColor="text1"/>
          <w:sz w:val="20"/>
          <w:szCs w:val="20"/>
        </w:rPr>
        <w:t xml:space="preserve"> (right). Remember that the dry-day frequency is adjusted using the criterion Pr&lt;0.1 mm day</w:t>
      </w:r>
      <w:r w:rsidRPr="008F6866">
        <w:rPr>
          <w:b/>
          <w:i w:val="0"/>
          <w:color w:val="000000" w:themeColor="text1"/>
          <w:sz w:val="20"/>
          <w:szCs w:val="20"/>
          <w:vertAlign w:val="superscript"/>
        </w:rPr>
        <w:t>-1</w:t>
      </w:r>
      <w:r w:rsidRPr="008F6866">
        <w:rPr>
          <w:b/>
          <w:i w:val="0"/>
          <w:color w:val="000000" w:themeColor="text1"/>
          <w:sz w:val="20"/>
          <w:szCs w:val="20"/>
        </w:rPr>
        <w:t>. Only the site-mean distribution is presented for MPI-ESM1-2-LR</w:t>
      </w:r>
    </w:p>
    <w:p w14:paraId="6D6135FB" w14:textId="0F2A42CF" w:rsidR="004737B8" w:rsidRPr="008F6866" w:rsidRDefault="004737B8" w:rsidP="00637510">
      <w:pPr>
        <w:pStyle w:val="Lgende"/>
        <w:jc w:val="center"/>
        <w:rPr>
          <w:b/>
          <w:i w:val="0"/>
          <w:color w:val="000000" w:themeColor="text1"/>
          <w:sz w:val="20"/>
          <w:szCs w:val="20"/>
        </w:rPr>
      </w:pPr>
      <w:bookmarkStart w:id="90" w:name="_Ref195655816"/>
      <w:bookmarkStart w:id="91" w:name="_Ref195655928"/>
    </w:p>
    <w:p w14:paraId="4324685A" w14:textId="1D3BA1D6" w:rsidR="00E068BA" w:rsidRPr="008F6866" w:rsidRDefault="00E068BA" w:rsidP="00637510">
      <w:pPr>
        <w:pStyle w:val="Lgende"/>
        <w:jc w:val="center"/>
        <w:rPr>
          <w:b/>
          <w:i w:val="0"/>
          <w:color w:val="000000" w:themeColor="text1"/>
          <w:sz w:val="20"/>
          <w:szCs w:val="20"/>
        </w:rPr>
      </w:pPr>
      <w:r w:rsidRPr="008F6866">
        <w:rPr>
          <w:b/>
          <w:i w:val="0"/>
          <w:color w:val="000000" w:themeColor="text1"/>
          <w:sz w:val="20"/>
          <w:szCs w:val="20"/>
        </w:rPr>
        <w:t xml:space="preserve">Table </w:t>
      </w:r>
      <w:r w:rsidR="00EE472B">
        <w:rPr>
          <w:b/>
          <w:i w:val="0"/>
          <w:color w:val="000000" w:themeColor="text1"/>
          <w:sz w:val="20"/>
          <w:szCs w:val="20"/>
        </w:rPr>
        <w:fldChar w:fldCharType="begin"/>
      </w:r>
      <w:r w:rsidR="00EE472B">
        <w:rPr>
          <w:b/>
          <w:i w:val="0"/>
          <w:color w:val="000000" w:themeColor="text1"/>
          <w:sz w:val="20"/>
          <w:szCs w:val="20"/>
        </w:rPr>
        <w:instrText xml:space="preserve"> SEQ Table \* ROMAN </w:instrText>
      </w:r>
      <w:r w:rsidR="00EE472B">
        <w:rPr>
          <w:b/>
          <w:i w:val="0"/>
          <w:color w:val="000000" w:themeColor="text1"/>
          <w:sz w:val="20"/>
          <w:szCs w:val="20"/>
        </w:rPr>
        <w:fldChar w:fldCharType="separate"/>
      </w:r>
      <w:r w:rsidR="00540DBF">
        <w:rPr>
          <w:b/>
          <w:i w:val="0"/>
          <w:noProof/>
          <w:color w:val="000000" w:themeColor="text1"/>
          <w:sz w:val="20"/>
          <w:szCs w:val="20"/>
        </w:rPr>
        <w:t>XVII</w:t>
      </w:r>
      <w:r w:rsidR="00EE472B">
        <w:rPr>
          <w:b/>
          <w:i w:val="0"/>
          <w:color w:val="000000" w:themeColor="text1"/>
          <w:sz w:val="20"/>
          <w:szCs w:val="20"/>
        </w:rPr>
        <w:fldChar w:fldCharType="end"/>
      </w:r>
      <w:bookmarkEnd w:id="90"/>
      <w:r w:rsidR="00637510" w:rsidRPr="008F6866">
        <w:rPr>
          <w:b/>
          <w:i w:val="0"/>
          <w:color w:val="000000" w:themeColor="text1"/>
          <w:sz w:val="20"/>
          <w:szCs w:val="20"/>
        </w:rPr>
        <w:t>. Dry spell length (DSL) statistics for the raw CMIP6 data, the bias-corrected (ISIMIP3 correction) model data and the observations over the validation period 1992-2021. A dry spell is defined as a set of consecutive days with daily rainfall amounts below thresholds of 1 mm day</w:t>
      </w:r>
      <w:r w:rsidR="00637510" w:rsidRPr="008F6866">
        <w:rPr>
          <w:b/>
          <w:i w:val="0"/>
          <w:color w:val="000000" w:themeColor="text1"/>
          <w:sz w:val="20"/>
          <w:szCs w:val="20"/>
          <w:vertAlign w:val="superscript"/>
        </w:rPr>
        <w:t>-1</w:t>
      </w:r>
      <w:r w:rsidR="00637510" w:rsidRPr="008F6866">
        <w:rPr>
          <w:b/>
          <w:i w:val="0"/>
          <w:color w:val="000000" w:themeColor="text1"/>
          <w:sz w:val="20"/>
          <w:szCs w:val="20"/>
        </w:rPr>
        <w:t>. The upper (lower) row is for the raw (bias-corrected) model values. Only the mean distribution over the 11 sites is presented. For raw model data, the mean is computed over independent sites.</w:t>
      </w:r>
      <w:bookmarkEnd w:id="91"/>
    </w:p>
    <w:tbl>
      <w:tblPr>
        <w:tblStyle w:val="TableauGrille1Clair-Accentuation1"/>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637"/>
        <w:gridCol w:w="637"/>
        <w:gridCol w:w="638"/>
        <w:gridCol w:w="637"/>
        <w:gridCol w:w="638"/>
        <w:gridCol w:w="637"/>
        <w:gridCol w:w="637"/>
        <w:gridCol w:w="638"/>
        <w:gridCol w:w="637"/>
        <w:gridCol w:w="638"/>
        <w:gridCol w:w="637"/>
        <w:gridCol w:w="638"/>
      </w:tblGrid>
      <w:tr w:rsidR="00DE4897" w:rsidRPr="008F6866" w14:paraId="4A25B592" w14:textId="77777777" w:rsidTr="00637510">
        <w:trPr>
          <w:cnfStyle w:val="100000000000" w:firstRow="1" w:lastRow="0" w:firstColumn="0" w:lastColumn="0" w:oddVBand="0" w:evenVBand="0" w:oddHBand="0" w:evenHBand="0" w:firstRowFirstColumn="0" w:firstRowLastColumn="0" w:lastRowFirstColumn="0" w:lastRowLastColumn="0"/>
          <w:trHeight w:val="1588"/>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12" w:space="0" w:color="auto"/>
              <w:bottom w:val="single" w:sz="12" w:space="0" w:color="auto"/>
            </w:tcBorders>
            <w:textDirection w:val="btLr"/>
          </w:tcPr>
          <w:p w14:paraId="2E6F745F" w14:textId="77777777" w:rsidR="00DE4897" w:rsidRPr="008F6866" w:rsidRDefault="00DE4897" w:rsidP="008D668B">
            <w:pPr>
              <w:keepNext/>
              <w:keepLines/>
              <w:ind w:left="113" w:right="113"/>
              <w:jc w:val="center"/>
              <w:rPr>
                <w:rFonts w:asciiTheme="minorHAnsi" w:hAnsiTheme="minorHAnsi" w:cstheme="minorHAnsi"/>
                <w:b w:val="0"/>
                <w:color w:val="auto"/>
                <w:sz w:val="20"/>
                <w:szCs w:val="20"/>
                <w:lang w:val="en-GB"/>
              </w:rPr>
            </w:pPr>
          </w:p>
        </w:tc>
        <w:tc>
          <w:tcPr>
            <w:tcW w:w="637" w:type="dxa"/>
            <w:tcBorders>
              <w:top w:val="single" w:sz="12" w:space="0" w:color="auto"/>
              <w:bottom w:val="single" w:sz="12" w:space="0" w:color="auto"/>
            </w:tcBorders>
            <w:textDirection w:val="btLr"/>
          </w:tcPr>
          <w:p w14:paraId="04D01963" w14:textId="77777777" w:rsidR="00DE4897" w:rsidRPr="008F6866" w:rsidRDefault="00DE4897" w:rsidP="008D668B">
            <w:pPr>
              <w:keepNext/>
              <w:keepLines/>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lang w:val="en-GB"/>
              </w:rPr>
            </w:pPr>
            <w:r w:rsidRPr="008F6866">
              <w:rPr>
                <w:rFonts w:asciiTheme="minorHAnsi" w:hAnsiTheme="minorHAnsi" w:cstheme="minorHAnsi"/>
                <w:b w:val="0"/>
                <w:sz w:val="20"/>
                <w:szCs w:val="20"/>
                <w:lang w:val="en-GB"/>
              </w:rPr>
              <w:t>ACCESS-CM2</w:t>
            </w:r>
          </w:p>
        </w:tc>
        <w:tc>
          <w:tcPr>
            <w:tcW w:w="637" w:type="dxa"/>
            <w:tcBorders>
              <w:top w:val="single" w:sz="12" w:space="0" w:color="auto"/>
              <w:bottom w:val="single" w:sz="12" w:space="0" w:color="auto"/>
            </w:tcBorders>
            <w:textDirection w:val="btLr"/>
          </w:tcPr>
          <w:p w14:paraId="3E6A9945" w14:textId="77777777" w:rsidR="00DE4897" w:rsidRPr="008F6866" w:rsidRDefault="00DE4897" w:rsidP="008D668B">
            <w:pPr>
              <w:keepNext/>
              <w:keepLines/>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lang w:val="en-GB"/>
              </w:rPr>
            </w:pPr>
            <w:r w:rsidRPr="008F6866">
              <w:rPr>
                <w:rFonts w:asciiTheme="minorHAnsi" w:hAnsiTheme="minorHAnsi" w:cstheme="minorHAnsi"/>
                <w:b w:val="0"/>
                <w:sz w:val="20"/>
                <w:szCs w:val="20"/>
                <w:lang w:val="en-GB"/>
              </w:rPr>
              <w:t>ACCESS-ESM1-5</w:t>
            </w:r>
          </w:p>
        </w:tc>
        <w:tc>
          <w:tcPr>
            <w:tcW w:w="638" w:type="dxa"/>
            <w:tcBorders>
              <w:top w:val="single" w:sz="12" w:space="0" w:color="auto"/>
              <w:bottom w:val="single" w:sz="12" w:space="0" w:color="auto"/>
            </w:tcBorders>
            <w:textDirection w:val="btLr"/>
          </w:tcPr>
          <w:p w14:paraId="1A86CFA6" w14:textId="77777777" w:rsidR="00DE4897" w:rsidRPr="008F6866" w:rsidRDefault="00DE4897" w:rsidP="008D668B">
            <w:pPr>
              <w:keepNext/>
              <w:keepLines/>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lang w:val="en-GB"/>
              </w:rPr>
            </w:pPr>
            <w:r w:rsidRPr="008F6866">
              <w:rPr>
                <w:rFonts w:asciiTheme="minorHAnsi" w:hAnsiTheme="minorHAnsi" w:cstheme="minorHAnsi"/>
                <w:b w:val="0"/>
                <w:sz w:val="20"/>
                <w:szCs w:val="20"/>
                <w:lang w:val="en-GB"/>
              </w:rPr>
              <w:t>CanESM5</w:t>
            </w:r>
          </w:p>
        </w:tc>
        <w:tc>
          <w:tcPr>
            <w:tcW w:w="637" w:type="dxa"/>
            <w:tcBorders>
              <w:top w:val="single" w:sz="12" w:space="0" w:color="auto"/>
              <w:bottom w:val="single" w:sz="12" w:space="0" w:color="auto"/>
            </w:tcBorders>
            <w:textDirection w:val="btLr"/>
          </w:tcPr>
          <w:p w14:paraId="40D8D624" w14:textId="77777777" w:rsidR="00DE4897" w:rsidRPr="008F6866" w:rsidRDefault="00DE4897" w:rsidP="008D668B">
            <w:pPr>
              <w:keepNext/>
              <w:keepLines/>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lang w:val="en-GB"/>
              </w:rPr>
            </w:pPr>
            <w:r w:rsidRPr="008F6866">
              <w:rPr>
                <w:rFonts w:asciiTheme="minorHAnsi" w:hAnsiTheme="minorHAnsi" w:cstheme="minorHAnsi"/>
                <w:b w:val="0"/>
                <w:sz w:val="20"/>
                <w:szCs w:val="20"/>
                <w:lang w:val="en-GB"/>
              </w:rPr>
              <w:t>CMCC-ESM2</w:t>
            </w:r>
          </w:p>
        </w:tc>
        <w:tc>
          <w:tcPr>
            <w:tcW w:w="638" w:type="dxa"/>
            <w:tcBorders>
              <w:top w:val="single" w:sz="12" w:space="0" w:color="auto"/>
              <w:bottom w:val="single" w:sz="12" w:space="0" w:color="auto"/>
            </w:tcBorders>
            <w:textDirection w:val="btLr"/>
          </w:tcPr>
          <w:p w14:paraId="599BFDD1" w14:textId="77777777" w:rsidR="00DE4897" w:rsidRPr="008F6866" w:rsidRDefault="00DE4897" w:rsidP="008D668B">
            <w:pPr>
              <w:keepNext/>
              <w:keepLines/>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lang w:val="en-GB"/>
              </w:rPr>
            </w:pPr>
            <w:r w:rsidRPr="008F6866">
              <w:rPr>
                <w:rFonts w:asciiTheme="minorHAnsi" w:hAnsiTheme="minorHAnsi" w:cstheme="minorHAnsi"/>
                <w:b w:val="0"/>
                <w:sz w:val="20"/>
                <w:szCs w:val="20"/>
                <w:lang w:val="en-GB"/>
              </w:rPr>
              <w:t>INM-CM4-8</w:t>
            </w:r>
          </w:p>
        </w:tc>
        <w:tc>
          <w:tcPr>
            <w:tcW w:w="637" w:type="dxa"/>
            <w:tcBorders>
              <w:top w:val="single" w:sz="12" w:space="0" w:color="auto"/>
              <w:bottom w:val="single" w:sz="12" w:space="0" w:color="auto"/>
            </w:tcBorders>
            <w:textDirection w:val="btLr"/>
          </w:tcPr>
          <w:p w14:paraId="5065137E" w14:textId="77777777" w:rsidR="00DE4897" w:rsidRPr="008F6866" w:rsidRDefault="00DE4897" w:rsidP="008D668B">
            <w:pPr>
              <w:keepNext/>
              <w:keepLines/>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lang w:val="en-GB"/>
              </w:rPr>
            </w:pPr>
            <w:r w:rsidRPr="008F6866">
              <w:rPr>
                <w:rFonts w:asciiTheme="minorHAnsi" w:hAnsiTheme="minorHAnsi" w:cstheme="minorHAnsi"/>
                <w:b w:val="0"/>
                <w:sz w:val="20"/>
                <w:szCs w:val="20"/>
                <w:lang w:val="en-GB"/>
              </w:rPr>
              <w:t>INM-CM5-0</w:t>
            </w:r>
          </w:p>
        </w:tc>
        <w:tc>
          <w:tcPr>
            <w:tcW w:w="637" w:type="dxa"/>
            <w:tcBorders>
              <w:top w:val="single" w:sz="12" w:space="0" w:color="auto"/>
              <w:bottom w:val="single" w:sz="12" w:space="0" w:color="auto"/>
            </w:tcBorders>
            <w:textDirection w:val="btLr"/>
          </w:tcPr>
          <w:p w14:paraId="50A99713" w14:textId="77777777" w:rsidR="00DE4897" w:rsidRPr="008F6866" w:rsidRDefault="00DE4897" w:rsidP="008D668B">
            <w:pPr>
              <w:keepNext/>
              <w:keepLines/>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lang w:val="en-GB"/>
              </w:rPr>
            </w:pPr>
            <w:r w:rsidRPr="008F6866">
              <w:rPr>
                <w:rFonts w:asciiTheme="minorHAnsi" w:hAnsiTheme="minorHAnsi" w:cstheme="minorHAnsi"/>
                <w:b w:val="0"/>
                <w:sz w:val="20"/>
                <w:szCs w:val="20"/>
                <w:lang w:val="en-GB"/>
              </w:rPr>
              <w:t>IPSL-CM6A-LR</w:t>
            </w:r>
          </w:p>
        </w:tc>
        <w:tc>
          <w:tcPr>
            <w:tcW w:w="638" w:type="dxa"/>
            <w:tcBorders>
              <w:top w:val="single" w:sz="12" w:space="0" w:color="auto"/>
              <w:bottom w:val="single" w:sz="12" w:space="0" w:color="auto"/>
            </w:tcBorders>
            <w:textDirection w:val="btLr"/>
          </w:tcPr>
          <w:p w14:paraId="151586A0" w14:textId="77777777" w:rsidR="00DE4897" w:rsidRPr="008F6866" w:rsidRDefault="00DE4897" w:rsidP="008D668B">
            <w:pPr>
              <w:keepNext/>
              <w:keepLines/>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lang w:val="en-GB"/>
              </w:rPr>
            </w:pPr>
            <w:r w:rsidRPr="008F6866">
              <w:rPr>
                <w:rFonts w:asciiTheme="minorHAnsi" w:hAnsiTheme="minorHAnsi" w:cstheme="minorHAnsi"/>
                <w:b w:val="0"/>
                <w:sz w:val="20"/>
                <w:szCs w:val="20"/>
                <w:lang w:val="en-GB"/>
              </w:rPr>
              <w:t>MIROC6</w:t>
            </w:r>
          </w:p>
        </w:tc>
        <w:tc>
          <w:tcPr>
            <w:tcW w:w="637" w:type="dxa"/>
            <w:tcBorders>
              <w:top w:val="single" w:sz="12" w:space="0" w:color="auto"/>
              <w:bottom w:val="single" w:sz="12" w:space="0" w:color="auto"/>
            </w:tcBorders>
            <w:textDirection w:val="btLr"/>
          </w:tcPr>
          <w:p w14:paraId="75DA6FFA" w14:textId="77777777" w:rsidR="00DE4897" w:rsidRPr="008F6866" w:rsidRDefault="00DE4897" w:rsidP="008D668B">
            <w:pPr>
              <w:keepNext/>
              <w:keepLines/>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lang w:val="en-GB"/>
              </w:rPr>
            </w:pPr>
            <w:r w:rsidRPr="008F6866">
              <w:rPr>
                <w:rFonts w:asciiTheme="minorHAnsi" w:hAnsiTheme="minorHAnsi" w:cstheme="minorHAnsi"/>
                <w:b w:val="0"/>
                <w:sz w:val="20"/>
                <w:szCs w:val="20"/>
                <w:lang w:val="en-GB"/>
              </w:rPr>
              <w:t>MPI-ESM1-2-HR</w:t>
            </w:r>
          </w:p>
        </w:tc>
        <w:tc>
          <w:tcPr>
            <w:tcW w:w="638" w:type="dxa"/>
            <w:tcBorders>
              <w:top w:val="single" w:sz="12" w:space="0" w:color="auto"/>
              <w:bottom w:val="single" w:sz="12" w:space="0" w:color="auto"/>
            </w:tcBorders>
            <w:textDirection w:val="btLr"/>
          </w:tcPr>
          <w:p w14:paraId="5806D170" w14:textId="77777777" w:rsidR="00DE4897" w:rsidRPr="008F6866" w:rsidRDefault="00DE4897" w:rsidP="008D668B">
            <w:pPr>
              <w:keepNext/>
              <w:keepLines/>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lang w:val="en-GB"/>
              </w:rPr>
            </w:pPr>
            <w:r w:rsidRPr="008F6866">
              <w:rPr>
                <w:rFonts w:asciiTheme="minorHAnsi" w:hAnsiTheme="minorHAnsi" w:cstheme="minorHAnsi"/>
                <w:b w:val="0"/>
                <w:sz w:val="20"/>
                <w:szCs w:val="20"/>
                <w:lang w:val="en-GB"/>
              </w:rPr>
              <w:t>MPI-ESM1-2-LR</w:t>
            </w:r>
          </w:p>
        </w:tc>
        <w:tc>
          <w:tcPr>
            <w:tcW w:w="637" w:type="dxa"/>
            <w:tcBorders>
              <w:top w:val="single" w:sz="12" w:space="0" w:color="auto"/>
              <w:bottom w:val="single" w:sz="12" w:space="0" w:color="auto"/>
            </w:tcBorders>
            <w:textDirection w:val="btLr"/>
          </w:tcPr>
          <w:p w14:paraId="189DAD33" w14:textId="77777777" w:rsidR="00DE4897" w:rsidRPr="008F6866" w:rsidRDefault="00DE4897" w:rsidP="008D668B">
            <w:pPr>
              <w:keepNext/>
              <w:keepLines/>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lang w:val="en-GB"/>
              </w:rPr>
            </w:pPr>
            <w:r w:rsidRPr="008F6866">
              <w:rPr>
                <w:rFonts w:asciiTheme="minorHAnsi" w:hAnsiTheme="minorHAnsi" w:cstheme="minorHAnsi"/>
                <w:b w:val="0"/>
                <w:sz w:val="20"/>
                <w:szCs w:val="20"/>
                <w:lang w:val="en-GB"/>
              </w:rPr>
              <w:t>MRI-ESM2-0</w:t>
            </w:r>
          </w:p>
        </w:tc>
        <w:tc>
          <w:tcPr>
            <w:tcW w:w="638" w:type="dxa"/>
            <w:tcBorders>
              <w:top w:val="single" w:sz="12" w:space="0" w:color="auto"/>
              <w:bottom w:val="single" w:sz="12" w:space="0" w:color="auto"/>
            </w:tcBorders>
            <w:textDirection w:val="btLr"/>
          </w:tcPr>
          <w:p w14:paraId="740A4C80" w14:textId="77777777" w:rsidR="00DE4897" w:rsidRPr="008F6866" w:rsidRDefault="39CFF0FF" w:rsidP="39CFF0FF">
            <w:pPr>
              <w:keepNext/>
              <w:keepLines/>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en-GB"/>
              </w:rPr>
            </w:pPr>
            <w:r w:rsidRPr="008F6866">
              <w:rPr>
                <w:rFonts w:asciiTheme="minorHAnsi" w:hAnsiTheme="minorHAnsi" w:cstheme="minorHAnsi"/>
                <w:b w:val="0"/>
                <w:bCs w:val="0"/>
                <w:sz w:val="20"/>
                <w:szCs w:val="20"/>
                <w:lang w:val="en-GB"/>
              </w:rPr>
              <w:t>Observations</w:t>
            </w:r>
          </w:p>
        </w:tc>
      </w:tr>
      <w:tr w:rsidR="00DE4897" w:rsidRPr="008F6866" w14:paraId="06BD358F" w14:textId="77777777" w:rsidTr="00637510">
        <w:trPr>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12" w:space="0" w:color="auto"/>
            </w:tcBorders>
          </w:tcPr>
          <w:p w14:paraId="23B3919C" w14:textId="77777777" w:rsidR="00DE4897" w:rsidRPr="008F6866" w:rsidRDefault="39CFF0FF" w:rsidP="39CFF0FF">
            <w:pPr>
              <w:keepNext/>
              <w:keepLines/>
              <w:jc w:val="center"/>
              <w:rPr>
                <w:rFonts w:asciiTheme="minorHAnsi" w:hAnsiTheme="minorHAnsi" w:cstheme="minorHAnsi"/>
                <w:b w:val="0"/>
                <w:bCs w:val="0"/>
                <w:color w:val="auto"/>
                <w:sz w:val="20"/>
                <w:szCs w:val="20"/>
                <w:lang w:val="en-GB"/>
              </w:rPr>
            </w:pPr>
            <w:r w:rsidRPr="008F6866">
              <w:rPr>
                <w:rFonts w:asciiTheme="minorHAnsi" w:hAnsiTheme="minorHAnsi" w:cstheme="minorHAnsi"/>
                <w:b w:val="0"/>
                <w:bCs w:val="0"/>
                <w:sz w:val="20"/>
                <w:szCs w:val="20"/>
                <w:lang w:val="en-GB"/>
              </w:rPr>
              <w:t>DSL mean</w:t>
            </w:r>
          </w:p>
        </w:tc>
        <w:tc>
          <w:tcPr>
            <w:tcW w:w="637" w:type="dxa"/>
            <w:tcBorders>
              <w:top w:val="single" w:sz="12" w:space="0" w:color="auto"/>
            </w:tcBorders>
          </w:tcPr>
          <w:p w14:paraId="3AE5D2E8"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3.62</w:t>
            </w:r>
          </w:p>
          <w:p w14:paraId="1DD8E1D4"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3.87</w:t>
            </w:r>
          </w:p>
        </w:tc>
        <w:tc>
          <w:tcPr>
            <w:tcW w:w="637" w:type="dxa"/>
            <w:tcBorders>
              <w:top w:val="single" w:sz="12" w:space="0" w:color="auto"/>
            </w:tcBorders>
          </w:tcPr>
          <w:p w14:paraId="245C49CD"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3.57</w:t>
            </w:r>
          </w:p>
          <w:p w14:paraId="0387F167"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3.93</w:t>
            </w:r>
          </w:p>
        </w:tc>
        <w:tc>
          <w:tcPr>
            <w:tcW w:w="638" w:type="dxa"/>
            <w:tcBorders>
              <w:top w:val="single" w:sz="12" w:space="0" w:color="auto"/>
            </w:tcBorders>
          </w:tcPr>
          <w:p w14:paraId="1144AB2D"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3.46</w:t>
            </w:r>
          </w:p>
          <w:p w14:paraId="12679E04"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3.57</w:t>
            </w:r>
          </w:p>
        </w:tc>
        <w:tc>
          <w:tcPr>
            <w:tcW w:w="637" w:type="dxa"/>
            <w:tcBorders>
              <w:top w:val="single" w:sz="12" w:space="0" w:color="auto"/>
            </w:tcBorders>
          </w:tcPr>
          <w:p w14:paraId="2C25A990"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3.75</w:t>
            </w:r>
          </w:p>
          <w:p w14:paraId="3BE6D64D"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3.91</w:t>
            </w:r>
          </w:p>
        </w:tc>
        <w:tc>
          <w:tcPr>
            <w:tcW w:w="638" w:type="dxa"/>
            <w:tcBorders>
              <w:top w:val="single" w:sz="12" w:space="0" w:color="auto"/>
            </w:tcBorders>
          </w:tcPr>
          <w:p w14:paraId="21B80B69"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4.10</w:t>
            </w:r>
          </w:p>
          <w:p w14:paraId="2C9A80E7"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3.76</w:t>
            </w:r>
          </w:p>
        </w:tc>
        <w:tc>
          <w:tcPr>
            <w:tcW w:w="637" w:type="dxa"/>
            <w:tcBorders>
              <w:top w:val="single" w:sz="12" w:space="0" w:color="auto"/>
            </w:tcBorders>
          </w:tcPr>
          <w:p w14:paraId="3E4FFBE1"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3.67</w:t>
            </w:r>
          </w:p>
          <w:p w14:paraId="1D7EB80A"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3.49</w:t>
            </w:r>
          </w:p>
        </w:tc>
        <w:tc>
          <w:tcPr>
            <w:tcW w:w="637" w:type="dxa"/>
            <w:tcBorders>
              <w:top w:val="single" w:sz="12" w:space="0" w:color="auto"/>
            </w:tcBorders>
          </w:tcPr>
          <w:p w14:paraId="21670E2F"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3.53</w:t>
            </w:r>
          </w:p>
          <w:p w14:paraId="0997DD8C"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3.73</w:t>
            </w:r>
          </w:p>
        </w:tc>
        <w:tc>
          <w:tcPr>
            <w:tcW w:w="638" w:type="dxa"/>
            <w:tcBorders>
              <w:top w:val="single" w:sz="12" w:space="0" w:color="auto"/>
            </w:tcBorders>
          </w:tcPr>
          <w:p w14:paraId="221AE761"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3.39</w:t>
            </w:r>
          </w:p>
          <w:p w14:paraId="7D2B2B75"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3.57</w:t>
            </w:r>
          </w:p>
        </w:tc>
        <w:tc>
          <w:tcPr>
            <w:tcW w:w="637" w:type="dxa"/>
            <w:tcBorders>
              <w:top w:val="single" w:sz="12" w:space="0" w:color="auto"/>
            </w:tcBorders>
          </w:tcPr>
          <w:p w14:paraId="7C2F22AF"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3.28</w:t>
            </w:r>
          </w:p>
          <w:p w14:paraId="37528517"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3.81</w:t>
            </w:r>
          </w:p>
        </w:tc>
        <w:tc>
          <w:tcPr>
            <w:tcW w:w="638" w:type="dxa"/>
            <w:tcBorders>
              <w:top w:val="single" w:sz="12" w:space="0" w:color="auto"/>
            </w:tcBorders>
          </w:tcPr>
          <w:p w14:paraId="73C8A463"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3.51</w:t>
            </w:r>
          </w:p>
          <w:p w14:paraId="73574C6B"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3.92</w:t>
            </w:r>
          </w:p>
        </w:tc>
        <w:tc>
          <w:tcPr>
            <w:tcW w:w="637" w:type="dxa"/>
            <w:tcBorders>
              <w:top w:val="single" w:sz="12" w:space="0" w:color="auto"/>
            </w:tcBorders>
          </w:tcPr>
          <w:p w14:paraId="771B98C8"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3.10</w:t>
            </w:r>
          </w:p>
          <w:p w14:paraId="78C130DB"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3.44</w:t>
            </w:r>
          </w:p>
        </w:tc>
        <w:tc>
          <w:tcPr>
            <w:tcW w:w="638" w:type="dxa"/>
            <w:tcBorders>
              <w:top w:val="single" w:sz="12" w:space="0" w:color="auto"/>
            </w:tcBorders>
          </w:tcPr>
          <w:p w14:paraId="267C39AC"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sz w:val="20"/>
                <w:szCs w:val="20"/>
                <w:lang w:val="en-GB"/>
              </w:rPr>
              <w:t>3.84</w:t>
            </w:r>
          </w:p>
        </w:tc>
      </w:tr>
      <w:tr w:rsidR="00DE4897" w:rsidRPr="008F6866" w14:paraId="6E75A665" w14:textId="77777777" w:rsidTr="00637510">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vAlign w:val="center"/>
          </w:tcPr>
          <w:p w14:paraId="23BC59A9" w14:textId="77777777" w:rsidR="00DE4897" w:rsidRPr="008F6866" w:rsidRDefault="00DE4897" w:rsidP="008D668B">
            <w:pPr>
              <w:keepNext/>
              <w:keepLines/>
              <w:jc w:val="center"/>
              <w:rPr>
                <w:rFonts w:asciiTheme="minorHAnsi" w:hAnsiTheme="minorHAnsi" w:cstheme="minorHAnsi"/>
                <w:b w:val="0"/>
                <w:color w:val="auto"/>
                <w:sz w:val="20"/>
                <w:szCs w:val="20"/>
                <w:lang w:val="en-GB"/>
              </w:rPr>
            </w:pPr>
            <w:r w:rsidRPr="008F6866">
              <w:rPr>
                <w:rFonts w:asciiTheme="minorHAnsi" w:hAnsiTheme="minorHAnsi" w:cstheme="minorHAnsi"/>
                <w:b w:val="0"/>
                <w:sz w:val="20"/>
                <w:szCs w:val="20"/>
                <w:lang w:val="en-GB"/>
              </w:rPr>
              <w:t>DSL standard deviation</w:t>
            </w:r>
          </w:p>
        </w:tc>
        <w:tc>
          <w:tcPr>
            <w:tcW w:w="637" w:type="dxa"/>
            <w:shd w:val="clear" w:color="auto" w:fill="D9D9D9"/>
            <w:vAlign w:val="center"/>
          </w:tcPr>
          <w:p w14:paraId="0BC87067"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4.01</w:t>
            </w:r>
          </w:p>
          <w:p w14:paraId="238CE840"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4.25</w:t>
            </w:r>
          </w:p>
        </w:tc>
        <w:tc>
          <w:tcPr>
            <w:tcW w:w="637" w:type="dxa"/>
            <w:shd w:val="clear" w:color="auto" w:fill="D9D9D9"/>
            <w:vAlign w:val="center"/>
          </w:tcPr>
          <w:p w14:paraId="6FB6A801"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4.29</w:t>
            </w:r>
          </w:p>
          <w:p w14:paraId="4D581683"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4.35</w:t>
            </w:r>
          </w:p>
        </w:tc>
        <w:tc>
          <w:tcPr>
            <w:tcW w:w="638" w:type="dxa"/>
            <w:shd w:val="clear" w:color="auto" w:fill="D9D9D9"/>
            <w:vAlign w:val="center"/>
          </w:tcPr>
          <w:p w14:paraId="47648C03"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4.04</w:t>
            </w:r>
          </w:p>
          <w:p w14:paraId="775C228F"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3.89</w:t>
            </w:r>
          </w:p>
        </w:tc>
        <w:tc>
          <w:tcPr>
            <w:tcW w:w="637" w:type="dxa"/>
            <w:shd w:val="clear" w:color="auto" w:fill="D9D9D9"/>
            <w:vAlign w:val="center"/>
          </w:tcPr>
          <w:p w14:paraId="24A6AF21"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4.07</w:t>
            </w:r>
          </w:p>
          <w:p w14:paraId="29993D1C"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4.29</w:t>
            </w:r>
          </w:p>
        </w:tc>
        <w:tc>
          <w:tcPr>
            <w:tcW w:w="638" w:type="dxa"/>
            <w:shd w:val="clear" w:color="auto" w:fill="D9D9D9"/>
            <w:vAlign w:val="center"/>
          </w:tcPr>
          <w:p w14:paraId="76CA36E2"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4.67</w:t>
            </w:r>
          </w:p>
          <w:p w14:paraId="46A86287"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3.77</w:t>
            </w:r>
          </w:p>
        </w:tc>
        <w:tc>
          <w:tcPr>
            <w:tcW w:w="637" w:type="dxa"/>
            <w:shd w:val="clear" w:color="auto" w:fill="D9D9D9"/>
            <w:vAlign w:val="center"/>
          </w:tcPr>
          <w:p w14:paraId="44D8BA92"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3.85</w:t>
            </w:r>
          </w:p>
          <w:p w14:paraId="497A5199"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3.51</w:t>
            </w:r>
          </w:p>
        </w:tc>
        <w:tc>
          <w:tcPr>
            <w:tcW w:w="637" w:type="dxa"/>
            <w:shd w:val="clear" w:color="auto" w:fill="D9D9D9"/>
            <w:vAlign w:val="center"/>
          </w:tcPr>
          <w:p w14:paraId="74993D42"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3.74</w:t>
            </w:r>
          </w:p>
          <w:p w14:paraId="35D015A6"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3.81</w:t>
            </w:r>
          </w:p>
        </w:tc>
        <w:tc>
          <w:tcPr>
            <w:tcW w:w="638" w:type="dxa"/>
            <w:shd w:val="clear" w:color="auto" w:fill="D9D9D9"/>
            <w:vAlign w:val="center"/>
          </w:tcPr>
          <w:p w14:paraId="0ADB40C6"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3.40</w:t>
            </w:r>
          </w:p>
          <w:p w14:paraId="185099A4"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3.60</w:t>
            </w:r>
          </w:p>
        </w:tc>
        <w:tc>
          <w:tcPr>
            <w:tcW w:w="637" w:type="dxa"/>
            <w:shd w:val="clear" w:color="auto" w:fill="D9D9D9"/>
            <w:vAlign w:val="center"/>
          </w:tcPr>
          <w:p w14:paraId="6722D469"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3.41</w:t>
            </w:r>
          </w:p>
          <w:p w14:paraId="3E3BA3F3"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4.10</w:t>
            </w:r>
          </w:p>
        </w:tc>
        <w:tc>
          <w:tcPr>
            <w:tcW w:w="638" w:type="dxa"/>
            <w:shd w:val="clear" w:color="auto" w:fill="D9D9D9"/>
            <w:vAlign w:val="center"/>
          </w:tcPr>
          <w:p w14:paraId="110D7906"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3.99</w:t>
            </w:r>
          </w:p>
          <w:p w14:paraId="4CE88331"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4.49</w:t>
            </w:r>
          </w:p>
        </w:tc>
        <w:tc>
          <w:tcPr>
            <w:tcW w:w="637" w:type="dxa"/>
            <w:shd w:val="clear" w:color="auto" w:fill="D9D9D9"/>
            <w:vAlign w:val="center"/>
          </w:tcPr>
          <w:p w14:paraId="0EFDC87E"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3.06</w:t>
            </w:r>
          </w:p>
          <w:p w14:paraId="39014D82"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3.47</w:t>
            </w:r>
          </w:p>
        </w:tc>
        <w:tc>
          <w:tcPr>
            <w:tcW w:w="638" w:type="dxa"/>
            <w:shd w:val="clear" w:color="auto" w:fill="D9D9D9"/>
            <w:vAlign w:val="center"/>
          </w:tcPr>
          <w:p w14:paraId="020755DD"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sz w:val="20"/>
                <w:szCs w:val="20"/>
                <w:lang w:val="en-GB"/>
              </w:rPr>
              <w:t>3.98</w:t>
            </w:r>
          </w:p>
        </w:tc>
      </w:tr>
      <w:tr w:rsidR="00DE4897" w:rsidRPr="008F6866" w14:paraId="1945FBF2" w14:textId="77777777" w:rsidTr="00637510">
        <w:trPr>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single" w:sz="12" w:space="0" w:color="auto"/>
            </w:tcBorders>
          </w:tcPr>
          <w:p w14:paraId="327D69DB" w14:textId="77777777" w:rsidR="00DE4897" w:rsidRPr="008F6866" w:rsidRDefault="00DE4897" w:rsidP="008D668B">
            <w:pPr>
              <w:keepNext/>
              <w:keepLines/>
              <w:jc w:val="center"/>
              <w:rPr>
                <w:rFonts w:asciiTheme="minorHAnsi" w:hAnsiTheme="minorHAnsi" w:cstheme="minorHAnsi"/>
                <w:b w:val="0"/>
                <w:color w:val="auto"/>
                <w:sz w:val="20"/>
                <w:szCs w:val="20"/>
                <w:lang w:val="en-GB"/>
              </w:rPr>
            </w:pPr>
            <w:r w:rsidRPr="008F6866">
              <w:rPr>
                <w:rFonts w:asciiTheme="minorHAnsi" w:hAnsiTheme="minorHAnsi" w:cstheme="minorHAnsi"/>
                <w:b w:val="0"/>
                <w:sz w:val="20"/>
                <w:szCs w:val="20"/>
                <w:lang w:val="en-GB"/>
              </w:rPr>
              <w:t>Longest DSL</w:t>
            </w:r>
          </w:p>
        </w:tc>
        <w:tc>
          <w:tcPr>
            <w:tcW w:w="637" w:type="dxa"/>
            <w:tcBorders>
              <w:bottom w:val="single" w:sz="12" w:space="0" w:color="auto"/>
            </w:tcBorders>
          </w:tcPr>
          <w:p w14:paraId="1052B607"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36</w:t>
            </w:r>
          </w:p>
          <w:p w14:paraId="501DD840"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38</w:t>
            </w:r>
          </w:p>
        </w:tc>
        <w:tc>
          <w:tcPr>
            <w:tcW w:w="637" w:type="dxa"/>
            <w:tcBorders>
              <w:bottom w:val="single" w:sz="12" w:space="0" w:color="auto"/>
            </w:tcBorders>
          </w:tcPr>
          <w:p w14:paraId="23FDE173"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43</w:t>
            </w:r>
          </w:p>
          <w:p w14:paraId="5DBEB638"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42</w:t>
            </w:r>
          </w:p>
        </w:tc>
        <w:tc>
          <w:tcPr>
            <w:tcW w:w="638" w:type="dxa"/>
            <w:tcBorders>
              <w:bottom w:val="single" w:sz="12" w:space="0" w:color="auto"/>
            </w:tcBorders>
          </w:tcPr>
          <w:p w14:paraId="78615A15"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43</w:t>
            </w:r>
          </w:p>
          <w:p w14:paraId="49C9CC5E"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39</w:t>
            </w:r>
          </w:p>
        </w:tc>
        <w:tc>
          <w:tcPr>
            <w:tcW w:w="637" w:type="dxa"/>
            <w:tcBorders>
              <w:bottom w:val="single" w:sz="12" w:space="0" w:color="auto"/>
            </w:tcBorders>
          </w:tcPr>
          <w:p w14:paraId="5DB20BFC"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67</w:t>
            </w:r>
          </w:p>
          <w:p w14:paraId="1282BA96"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67</w:t>
            </w:r>
          </w:p>
        </w:tc>
        <w:tc>
          <w:tcPr>
            <w:tcW w:w="638" w:type="dxa"/>
            <w:tcBorders>
              <w:bottom w:val="single" w:sz="12" w:space="0" w:color="auto"/>
            </w:tcBorders>
          </w:tcPr>
          <w:p w14:paraId="3C3CBF85"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44</w:t>
            </w:r>
          </w:p>
          <w:p w14:paraId="018C1F8C"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32</w:t>
            </w:r>
          </w:p>
        </w:tc>
        <w:tc>
          <w:tcPr>
            <w:tcW w:w="637" w:type="dxa"/>
            <w:tcBorders>
              <w:bottom w:val="single" w:sz="12" w:space="0" w:color="auto"/>
            </w:tcBorders>
          </w:tcPr>
          <w:p w14:paraId="77A2E33F"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43</w:t>
            </w:r>
          </w:p>
          <w:p w14:paraId="3EF4DA3B"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31</w:t>
            </w:r>
          </w:p>
        </w:tc>
        <w:tc>
          <w:tcPr>
            <w:tcW w:w="637" w:type="dxa"/>
            <w:tcBorders>
              <w:bottom w:val="single" w:sz="12" w:space="0" w:color="auto"/>
            </w:tcBorders>
          </w:tcPr>
          <w:p w14:paraId="5264CF7E"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49</w:t>
            </w:r>
          </w:p>
          <w:p w14:paraId="0078E83F"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49</w:t>
            </w:r>
          </w:p>
        </w:tc>
        <w:tc>
          <w:tcPr>
            <w:tcW w:w="638" w:type="dxa"/>
            <w:tcBorders>
              <w:bottom w:val="single" w:sz="12" w:space="0" w:color="auto"/>
            </w:tcBorders>
          </w:tcPr>
          <w:p w14:paraId="397279B3"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36</w:t>
            </w:r>
          </w:p>
          <w:p w14:paraId="77B3A66F"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36</w:t>
            </w:r>
          </w:p>
        </w:tc>
        <w:tc>
          <w:tcPr>
            <w:tcW w:w="637" w:type="dxa"/>
            <w:tcBorders>
              <w:bottom w:val="single" w:sz="12" w:space="0" w:color="auto"/>
            </w:tcBorders>
          </w:tcPr>
          <w:p w14:paraId="4204F6E5"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37</w:t>
            </w:r>
          </w:p>
          <w:p w14:paraId="538091B9"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47</w:t>
            </w:r>
          </w:p>
        </w:tc>
        <w:tc>
          <w:tcPr>
            <w:tcW w:w="638" w:type="dxa"/>
            <w:tcBorders>
              <w:bottom w:val="single" w:sz="12" w:space="0" w:color="auto"/>
            </w:tcBorders>
          </w:tcPr>
          <w:p w14:paraId="06633A95"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50</w:t>
            </w:r>
          </w:p>
          <w:p w14:paraId="27CB0779"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51</w:t>
            </w:r>
          </w:p>
        </w:tc>
        <w:tc>
          <w:tcPr>
            <w:tcW w:w="637" w:type="dxa"/>
            <w:tcBorders>
              <w:bottom w:val="single" w:sz="12" w:space="0" w:color="auto"/>
            </w:tcBorders>
          </w:tcPr>
          <w:p w14:paraId="32EA8047"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31</w:t>
            </w:r>
          </w:p>
          <w:p w14:paraId="6947FD08"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color w:val="auto"/>
                <w:sz w:val="20"/>
                <w:szCs w:val="20"/>
                <w:lang w:val="en-GB"/>
              </w:rPr>
              <w:t>31</w:t>
            </w:r>
          </w:p>
        </w:tc>
        <w:tc>
          <w:tcPr>
            <w:tcW w:w="638" w:type="dxa"/>
            <w:tcBorders>
              <w:bottom w:val="single" w:sz="12" w:space="0" w:color="auto"/>
            </w:tcBorders>
          </w:tcPr>
          <w:p w14:paraId="09C30290" w14:textId="77777777" w:rsidR="00DE4897" w:rsidRPr="008F6866" w:rsidRDefault="00DE4897" w:rsidP="008D668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n-GB"/>
              </w:rPr>
            </w:pPr>
            <w:r w:rsidRPr="008F6866">
              <w:rPr>
                <w:rFonts w:asciiTheme="minorHAnsi" w:hAnsiTheme="minorHAnsi" w:cstheme="minorHAnsi"/>
                <w:sz w:val="20"/>
                <w:szCs w:val="20"/>
                <w:lang w:val="en-GB"/>
              </w:rPr>
              <w:t>45</w:t>
            </w:r>
          </w:p>
        </w:tc>
      </w:tr>
    </w:tbl>
    <w:p w14:paraId="2CDF3E25" w14:textId="77777777" w:rsidR="00DE4897" w:rsidRPr="008F6866" w:rsidRDefault="00DE4897" w:rsidP="00DE4897">
      <w:pPr>
        <w:jc w:val="both"/>
        <w:rPr>
          <w:rFonts w:eastAsia="Calibri" w:cstheme="minorHAnsi"/>
          <w:b/>
        </w:rPr>
      </w:pPr>
    </w:p>
    <w:p w14:paraId="1825A716" w14:textId="77777777" w:rsidR="003E6E7F" w:rsidRDefault="003E6E7F">
      <w:pPr>
        <w:rPr>
          <w:rFonts w:cstheme="minorHAnsi"/>
          <w:b/>
        </w:rPr>
      </w:pPr>
      <w:r>
        <w:rPr>
          <w:rFonts w:cstheme="minorHAnsi"/>
          <w:b/>
        </w:rPr>
        <w:br w:type="page"/>
      </w:r>
    </w:p>
    <w:p w14:paraId="0B5FD302" w14:textId="0038A52F" w:rsidR="00DE4897" w:rsidRPr="008F6866" w:rsidRDefault="00DE4897" w:rsidP="00DE4897">
      <w:pPr>
        <w:jc w:val="both"/>
        <w:rPr>
          <w:rFonts w:eastAsia="Calibri" w:cstheme="minorHAnsi"/>
          <w:b/>
        </w:rPr>
      </w:pPr>
      <w:r w:rsidRPr="008F6866">
        <w:rPr>
          <w:rFonts w:cstheme="minorHAnsi"/>
          <w:b/>
        </w:rPr>
        <w:lastRenderedPageBreak/>
        <w:t>Climate change signals</w:t>
      </w:r>
    </w:p>
    <w:p w14:paraId="762EA4BA" w14:textId="095C9660" w:rsidR="00DE4897" w:rsidRPr="008F6866" w:rsidRDefault="39CFF0FF" w:rsidP="00F371F2">
      <w:pPr>
        <w:spacing w:after="120" w:line="300" w:lineRule="auto"/>
        <w:jc w:val="both"/>
      </w:pPr>
      <w:r w:rsidRPr="008F6866">
        <w:t xml:space="preserve">A document was made by RMI that includes a graphical representation of the climate-change signals of the 11 CMIP6 models. In addition, for each model and each variable the signals were tabulated. This may facilitate the choice of GCM data that will be used to force the forest model. In this report, we present the climate change signals simulated by the six models that we selected (see </w:t>
      </w:r>
      <w:r w:rsidR="000D7CDE" w:rsidRPr="008F6866">
        <w:t>Task 3.1</w:t>
      </w:r>
      <w:r w:rsidRPr="008F6866">
        <w:t>). Changes are identified by comparing raw projected values to present-day values. We compute changes for three-time horizons in the 21</w:t>
      </w:r>
      <w:r w:rsidRPr="008F6866">
        <w:rPr>
          <w:vertAlign w:val="superscript"/>
        </w:rPr>
        <w:t>th</w:t>
      </w:r>
      <w:r w:rsidRPr="008F6866">
        <w:t xml:space="preserve"> century. As changes are mostly important for trees during the vegetation growing season, we focus on this period in the following. The vegetation growing season includes days between the 15</w:t>
      </w:r>
      <w:r w:rsidRPr="008F6866">
        <w:rPr>
          <w:vertAlign w:val="superscript"/>
        </w:rPr>
        <w:t>th</w:t>
      </w:r>
      <w:r w:rsidRPr="008F6866">
        <w:t xml:space="preserve"> of April and the 15</w:t>
      </w:r>
      <w:r w:rsidRPr="008F6866">
        <w:rPr>
          <w:vertAlign w:val="superscript"/>
        </w:rPr>
        <w:t>th</w:t>
      </w:r>
      <w:r w:rsidRPr="008F6866">
        <w:t xml:space="preserve"> of November.</w:t>
      </w:r>
    </w:p>
    <w:p w14:paraId="76726BD4" w14:textId="5F847A0C" w:rsidR="00DE4897" w:rsidRPr="008F6866" w:rsidRDefault="000D7CDE" w:rsidP="00F371F2">
      <w:pPr>
        <w:spacing w:after="120" w:line="300" w:lineRule="auto"/>
        <w:jc w:val="both"/>
        <w:rPr>
          <w:rFonts w:cstheme="minorHAnsi"/>
        </w:rPr>
      </w:pPr>
      <w:r w:rsidRPr="008F6866">
        <w:rPr>
          <w:rFonts w:cstheme="minorHAnsi"/>
        </w:rPr>
        <w:fldChar w:fldCharType="begin"/>
      </w:r>
      <w:r w:rsidRPr="008F6866">
        <w:rPr>
          <w:rFonts w:cstheme="minorHAnsi"/>
        </w:rPr>
        <w:instrText xml:space="preserve"> REF _Ref195655878 \h  \* MERGEFORMAT </w:instrText>
      </w:r>
      <w:r w:rsidRPr="008F6866">
        <w:rPr>
          <w:rFonts w:cstheme="minorHAnsi"/>
        </w:rPr>
      </w:r>
      <w:r w:rsidRPr="008F6866">
        <w:rPr>
          <w:rFonts w:cstheme="minorHAnsi"/>
        </w:rPr>
        <w:fldChar w:fldCharType="separate"/>
      </w:r>
      <w:r w:rsidR="00540DBF" w:rsidRPr="00540DBF">
        <w:rPr>
          <w:rFonts w:cstheme="minorHAnsi"/>
        </w:rPr>
        <w:t>Figure 30</w:t>
      </w:r>
      <w:r w:rsidRPr="008F6866">
        <w:rPr>
          <w:rFonts w:cstheme="minorHAnsi"/>
        </w:rPr>
        <w:fldChar w:fldCharType="end"/>
      </w:r>
      <w:r w:rsidRPr="008F6866">
        <w:rPr>
          <w:rFonts w:cstheme="minorHAnsi"/>
        </w:rPr>
        <w:t xml:space="preserve"> </w:t>
      </w:r>
      <w:r w:rsidR="00DE4897" w:rsidRPr="008F6866">
        <w:rPr>
          <w:rFonts w:cstheme="minorHAnsi"/>
        </w:rPr>
        <w:t xml:space="preserve">shows the diversity of model responses to climate change for the four SSP scenarios. Contrasted signals are found among the variables that we </w:t>
      </w:r>
      <w:r w:rsidR="00363318" w:rsidRPr="008F6866">
        <w:rPr>
          <w:rFonts w:cstheme="minorHAnsi"/>
        </w:rPr>
        <w:t>analysed</w:t>
      </w:r>
      <w:r w:rsidR="00DE4897" w:rsidRPr="008F6866">
        <w:rPr>
          <w:rFonts w:cstheme="minorHAnsi"/>
        </w:rPr>
        <w:t>.</w:t>
      </w:r>
    </w:p>
    <w:p w14:paraId="2232CF95" w14:textId="3F2F6CF6" w:rsidR="00540E63" w:rsidRPr="008F6866" w:rsidRDefault="00DE4897" w:rsidP="00F371F2">
      <w:pPr>
        <w:spacing w:after="120" w:line="300" w:lineRule="auto"/>
        <w:jc w:val="both"/>
        <w:rPr>
          <w:rFonts w:cstheme="minorHAnsi"/>
        </w:rPr>
      </w:pPr>
      <w:r w:rsidRPr="008F6866">
        <w:rPr>
          <w:rFonts w:cstheme="minorHAnsi"/>
        </w:rPr>
        <w:t xml:space="preserve">For the near-surface temperature, all models agree on the sign of the changes. They simulate a warming irrespective of the scenario and the period investigated. Projections suggest that temperatures across Europe, Belgium in particular, will continue to increase at a higher rate than the global average as reported in </w:t>
      </w:r>
      <w:r w:rsidRPr="008F6866">
        <w:rPr>
          <w:rFonts w:cstheme="minorHAnsi"/>
        </w:rPr>
        <w:fldChar w:fldCharType="begin"/>
      </w:r>
      <w:r w:rsidR="006201C6">
        <w:rPr>
          <w:rFonts w:cstheme="minorHAnsi"/>
        </w:rPr>
        <w:instrText xml:space="preserve"> ADDIN EN.CITE &lt;EndNote&gt;&lt;Cite AuthorYear="1"&gt;&lt;Author&gt;IPCC&lt;/Author&gt;&lt;Year&gt;2021&lt;/Year&gt;&lt;RecNum&gt;385&lt;/RecNum&gt;&lt;IDText&gt;IPCC21&lt;/IDText&gt;&lt;DisplayText&gt;IPCC (2021)&lt;/DisplayText&gt;&lt;record&gt;&lt;rec-number&gt;385&lt;/rec-number&gt;&lt;foreign-keys&gt;&lt;key app="EN" db-id="0px2fzdxhrpdrre2w5f5pdryx90atadrdavt" timestamp="1713951622"&gt;385&lt;/key&gt;&lt;/foreign-keys&gt;&lt;ref-type name="Report"&gt;27&lt;/ref-type&gt;&lt;contributors&gt;&lt;authors&gt;&lt;author&gt;IPCC&lt;/author&gt;&lt;/authors&gt;&lt;/contributors&gt;&lt;titles&gt;&lt;title&gt;Climate Change 2021: The Physical Science Basis. Contribution of Working Group I to the Sixth Assessment Report of the Intergovernmental Panel on Climate Change&lt;/title&gt;&lt;/titles&gt;&lt;pages&gt;2391p&lt;/pages&gt;&lt;dates&gt;&lt;year&gt;2021&lt;/year&gt;&lt;/dates&gt;&lt;pub-location&gt;Cambridge, United Kingdom and New York, NY, USA&lt;/pub-location&gt;&lt;publisher&gt;Cambridge University Press&lt;/publisher&gt;&lt;label&gt;IPCC21&lt;/label&gt;&lt;urls&gt;&lt;/urls&gt;&lt;/record&gt;&lt;/Cite&gt;&lt;/EndNote&gt;</w:instrText>
      </w:r>
      <w:r w:rsidRPr="008F6866">
        <w:rPr>
          <w:rFonts w:cstheme="minorHAnsi"/>
        </w:rPr>
        <w:fldChar w:fldCharType="separate"/>
      </w:r>
      <w:r w:rsidR="006201C6">
        <w:rPr>
          <w:rFonts w:cstheme="minorHAnsi"/>
          <w:noProof/>
        </w:rPr>
        <w:t>IPCC (2021)</w:t>
      </w:r>
      <w:r w:rsidRPr="008F6866">
        <w:rPr>
          <w:rFonts w:cstheme="minorHAnsi"/>
        </w:rPr>
        <w:fldChar w:fldCharType="end"/>
      </w:r>
      <w:r w:rsidRPr="008F6866">
        <w:rPr>
          <w:rFonts w:cstheme="minorHAnsi"/>
        </w:rPr>
        <w:t xml:space="preserve"> (not shown). The effect of scenarios on temperature is visible from the middle of the century, when they start differentiating. It can be seen that the model uncertainty increases with lead time and also with more severe scenarios as reported in previous studies</w:t>
      </w:r>
      <w:r w:rsidR="000D7CDE" w:rsidRPr="008F6866">
        <w:rPr>
          <w:rFonts w:cstheme="minorHAnsi"/>
        </w:rPr>
        <w:t xml:space="preserve"> </w:t>
      </w:r>
      <w:r w:rsidRPr="008F6866">
        <w:rPr>
          <w:rFonts w:cstheme="minorHAnsi"/>
        </w:rPr>
        <w:fldChar w:fldCharType="begin"/>
      </w:r>
      <w:r w:rsidR="00CC7A85">
        <w:rPr>
          <w:rFonts w:cstheme="minorHAnsi"/>
        </w:rPr>
        <w:instrText xml:space="preserve"> ADDIN EN.CITE &lt;EndNote&gt;&lt;Cite&gt;&lt;Author&gt;Tabari&lt;/Author&gt;&lt;Year&gt;2022&lt;/Year&gt;&lt;RecNum&gt;301&lt;/RecNum&gt;&lt;IDText&gt;Tabari22&lt;/IDText&gt;&lt;DisplayText&gt;(Tabari and Willems, 2022)&lt;/DisplayText&gt;&lt;record&gt;&lt;rec-number&gt;301&lt;/rec-number&gt;&lt;foreign-keys&gt;&lt;key app="EN" db-id="0px2fzdxhrpdrre2w5f5pdryx90atadrdavt" timestamp="1705673854"&gt;301&lt;/key&gt;&lt;/foreign-keys&gt;&lt;ref-type name="Journal Article"&gt;17&lt;/ref-type&gt;&lt;contributors&gt;&lt;authors&gt;&lt;author&gt;Tabari, H.&lt;/author&gt;&lt;author&gt;Willems, P.&lt;/author&gt;&lt;/authors&gt;&lt;/contributors&gt;&lt;titles&gt;&lt;title&gt;Trivariate Analysis of Changes in Drought Characteristics in the {CMIP6} Multimodel Ensemble at Global Warming Levels of 1.5°, 2°, and 3°C&lt;/title&gt;&lt;secondary-title&gt;Journal of Climate&lt;/secondary-title&gt;&lt;/titles&gt;&lt;periodical&gt;&lt;full-title&gt;Journal of Climate&lt;/full-title&gt;&lt;/periodical&gt;&lt;pages&gt;5823-5837&lt;/pages&gt;&lt;volume&gt;35&lt;/volume&gt;&lt;number&gt;18&lt;/number&gt;&lt;dates&gt;&lt;year&gt;2022&lt;/year&gt;&lt;/dates&gt;&lt;label&gt;Tabari22&lt;/label&gt;&lt;work-type&gt;Article&lt;/work-type&gt;&lt;urls&gt;&lt;related-urls&gt;&lt;url&gt;https://www.scopus.com/inward/record.uri?eid=2-s2.0-85141506524&amp;amp;doi=10.1175%2fJCLI-D-21-0993.1&amp;amp;partnerID=40&amp;amp;md5=ae14db0aed99f18f6489e33f46ea1acc&lt;/url&gt;&lt;/related-urls&gt;&lt;/urls&gt;&lt;electronic-resource-num&gt;10.1175/JCLI-D-21-0993.1&lt;/electronic-resource-num&gt;&lt;remote-database-name&gt;Scopus&lt;/remote-database-name&gt;&lt;/record&gt;&lt;/Cite&gt;&lt;/EndNote&gt;</w:instrText>
      </w:r>
      <w:r w:rsidRPr="008F6866">
        <w:rPr>
          <w:rFonts w:cstheme="minorHAnsi"/>
        </w:rPr>
        <w:fldChar w:fldCharType="separate"/>
      </w:r>
      <w:r w:rsidR="00CC7A85">
        <w:rPr>
          <w:rFonts w:cstheme="minorHAnsi"/>
          <w:noProof/>
        </w:rPr>
        <w:t>(Tabari and Willems, 2022)</w:t>
      </w:r>
      <w:r w:rsidRPr="008F6866">
        <w:rPr>
          <w:rFonts w:cstheme="minorHAnsi"/>
        </w:rPr>
        <w:fldChar w:fldCharType="end"/>
      </w:r>
      <w:r w:rsidRPr="008F6866">
        <w:rPr>
          <w:rFonts w:cstheme="minorHAnsi"/>
        </w:rPr>
        <w:t>. Changes in temperature will equally affect the growing and the vegetation dormant seasons (not shown).</w:t>
      </w:r>
    </w:p>
    <w:p w14:paraId="6ABFA8DE" w14:textId="0CFF6770" w:rsidR="00DE4897" w:rsidRDefault="00DE4897" w:rsidP="00315CA3">
      <w:pPr>
        <w:spacing w:after="0" w:line="300" w:lineRule="auto"/>
        <w:jc w:val="both"/>
        <w:rPr>
          <w:rFonts w:cstheme="minorHAnsi"/>
        </w:rPr>
      </w:pPr>
      <w:r w:rsidRPr="008F6866">
        <w:rPr>
          <w:rFonts w:cstheme="minorHAnsi"/>
        </w:rPr>
        <w:t>The model responses for precipitation exhibit stark contrasts depending on the period of the year (i.e., growing or dormant season) and the specific scenario under investigation. Across all scenarios and future periods, models consistently indicate an increase in precipitation during the dormant vegetation period. Conversely, a trend towards decreased precipitation during the growing vegetation period emerges from the middle of the century in most models. Under the SSP5-8.5 scenario, relative changes in precipitation reach up to -20%. However, noteworthy exceptions exist, with certain models projecting an augmentation in precipitation towards the end of the century for scenarios SSP1-2.6 and SSP2-4.5 for the growing season. This underscores the necessity of incorporating multiple models in impact studies, as exemplified in REGE+. To complement the analysis for precipitation, we examined modifications in the distribution of consecutive dry days for the vegetation growing season. The distribution is summarized in three categories. The first category counts the number of consecutive days reporting no precipitation (</w:t>
      </w:r>
      <m:oMath>
        <m:r>
          <w:rPr>
            <w:rFonts w:ascii="Cambria Math" w:hAnsi="Cambria Math" w:cstheme="minorHAnsi"/>
          </w:rPr>
          <m:t xml:space="preserve">Pr&lt;1 </m:t>
        </m:r>
        <m:r>
          <m:rPr>
            <m:sty m:val="p"/>
          </m:rPr>
          <w:rPr>
            <w:rFonts w:ascii="Cambria Math" w:hAnsi="Cambria Math" w:cstheme="minorHAnsi"/>
          </w:rPr>
          <m:t>mm</m:t>
        </m:r>
      </m:oMath>
      <w:r w:rsidRPr="008F6866">
        <w:rPr>
          <w:rFonts w:cstheme="minorHAnsi"/>
        </w:rPr>
        <w:t>) for droughts that do not exceed one week, the second the number of consecutive days with no rain for droughts lasting between one and two weeks. The third category reports consecutive dry days for droughts lasting more than two weeks. As illustrated in</w:t>
      </w:r>
      <w:r w:rsidR="000D7CDE" w:rsidRPr="008F6866">
        <w:rPr>
          <w:rFonts w:cstheme="minorHAnsi"/>
        </w:rPr>
        <w:t xml:space="preserve"> </w:t>
      </w:r>
      <w:r w:rsidR="000D7CDE" w:rsidRPr="008F6866">
        <w:rPr>
          <w:rFonts w:cstheme="minorHAnsi"/>
        </w:rPr>
        <w:fldChar w:fldCharType="begin"/>
      </w:r>
      <w:r w:rsidR="000D7CDE" w:rsidRPr="008F6866">
        <w:rPr>
          <w:rFonts w:cstheme="minorHAnsi"/>
        </w:rPr>
        <w:instrText xml:space="preserve"> REF _Ref195656505 \h  \* MERGEFORMAT </w:instrText>
      </w:r>
      <w:r w:rsidR="000D7CDE" w:rsidRPr="008F6866">
        <w:rPr>
          <w:rFonts w:cstheme="minorHAnsi"/>
        </w:rPr>
      </w:r>
      <w:r w:rsidR="000D7CDE" w:rsidRPr="008F6866">
        <w:rPr>
          <w:rFonts w:cstheme="minorHAnsi"/>
        </w:rPr>
        <w:fldChar w:fldCharType="separate"/>
      </w:r>
      <w:r w:rsidR="00540DBF" w:rsidRPr="00540DBF">
        <w:rPr>
          <w:rFonts w:cstheme="minorHAnsi"/>
        </w:rPr>
        <w:t>Figure 31</w:t>
      </w:r>
      <w:r w:rsidR="000D7CDE" w:rsidRPr="008F6866">
        <w:rPr>
          <w:rFonts w:cstheme="minorHAnsi"/>
        </w:rPr>
        <w:fldChar w:fldCharType="end"/>
      </w:r>
      <w:r w:rsidRPr="008F6866">
        <w:rPr>
          <w:rFonts w:cstheme="minorHAnsi"/>
        </w:rPr>
        <w:t xml:space="preserve">, the number of consecutive dry days for droughts lasting less than one week is projected to decrease by the end of the century. This reduction is consistently simulated by all models across all scenarios, with the magnitude of the decline amplifying with forcing levels. This decline stems from a general reduction in the occurrence of droughts spanning one to seven days. Conversely, opposing trends are anticipated for droughts lasting longer than two weeks, with models predicting an increase </w:t>
      </w:r>
      <w:r w:rsidR="00853E2F">
        <w:rPr>
          <w:rFonts w:cstheme="minorHAnsi"/>
        </w:rPr>
        <w:t xml:space="preserve">in the </w:t>
      </w:r>
      <w:r w:rsidRPr="008F6866">
        <w:rPr>
          <w:rFonts w:cstheme="minorHAnsi"/>
        </w:rPr>
        <w:t xml:space="preserve">number of consecutive dry days, leading to more frequent and prolonged long-term droughts. Furthermore, in this category, the severity of the scenario plays a significant role, with more severe </w:t>
      </w:r>
      <w:r w:rsidRPr="008F6866">
        <w:rPr>
          <w:rFonts w:cstheme="minorHAnsi"/>
        </w:rPr>
        <w:lastRenderedPageBreak/>
        <w:t>scenarios resulting in increased frequency and duration of droughts (not shown). Additionally, the projected number of consecutive dry days under the SSP5-8.5 scenario by the end of the century corresponds to relative changes ranging between 140% and 200% compared to the last three decades.</w:t>
      </w:r>
    </w:p>
    <w:p w14:paraId="1FFEE857" w14:textId="77777777" w:rsidR="00315CA3" w:rsidRDefault="00315CA3" w:rsidP="00F371F2">
      <w:pPr>
        <w:spacing w:after="120" w:line="300" w:lineRule="auto"/>
        <w:jc w:val="both"/>
        <w:rPr>
          <w:rFonts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0"/>
        <w:gridCol w:w="4530"/>
      </w:tblGrid>
      <w:tr w:rsidR="00540E63" w:rsidRPr="008F6866" w14:paraId="5E6FF625" w14:textId="77777777" w:rsidTr="00E15EBA">
        <w:tc>
          <w:tcPr>
            <w:tcW w:w="4530" w:type="dxa"/>
          </w:tcPr>
          <w:p w14:paraId="64813082" w14:textId="77777777" w:rsidR="00540E63" w:rsidRPr="008F6866" w:rsidRDefault="00540E63" w:rsidP="00E15EBA">
            <w:pPr>
              <w:spacing w:line="300" w:lineRule="auto"/>
              <w:jc w:val="center"/>
              <w:rPr>
                <w:rFonts w:asciiTheme="minorHAnsi" w:hAnsiTheme="minorHAnsi" w:cstheme="minorHAnsi"/>
                <w:b/>
              </w:rPr>
            </w:pPr>
            <w:r w:rsidRPr="008F6866">
              <w:rPr>
                <w:rFonts w:asciiTheme="minorHAnsi" w:hAnsiTheme="minorHAnsi" w:cstheme="minorHAnsi"/>
                <w:b/>
              </w:rPr>
              <w:t>Relative humidity</w:t>
            </w:r>
          </w:p>
        </w:tc>
        <w:tc>
          <w:tcPr>
            <w:tcW w:w="4530" w:type="dxa"/>
          </w:tcPr>
          <w:p w14:paraId="4B2ED360" w14:textId="77777777" w:rsidR="00540E63" w:rsidRPr="008F6866" w:rsidRDefault="00540E63" w:rsidP="00E15EBA">
            <w:pPr>
              <w:spacing w:line="300" w:lineRule="auto"/>
              <w:jc w:val="center"/>
              <w:rPr>
                <w:rFonts w:asciiTheme="minorHAnsi" w:hAnsiTheme="minorHAnsi" w:cstheme="minorHAnsi"/>
                <w:b/>
              </w:rPr>
            </w:pPr>
            <w:r w:rsidRPr="008F6866">
              <w:rPr>
                <w:rFonts w:asciiTheme="minorHAnsi" w:hAnsiTheme="minorHAnsi" w:cstheme="minorHAnsi"/>
                <w:b/>
              </w:rPr>
              <w:t>Precipitation</w:t>
            </w:r>
          </w:p>
        </w:tc>
      </w:tr>
      <w:tr w:rsidR="00540E63" w:rsidRPr="008F6866" w14:paraId="076DB80F" w14:textId="77777777" w:rsidTr="00E15EBA">
        <w:tc>
          <w:tcPr>
            <w:tcW w:w="4530" w:type="dxa"/>
          </w:tcPr>
          <w:p w14:paraId="0842D558" w14:textId="77777777" w:rsidR="00540E63" w:rsidRPr="008F6866" w:rsidRDefault="00540E63" w:rsidP="00E15EBA">
            <w:pPr>
              <w:spacing w:line="300" w:lineRule="auto"/>
              <w:rPr>
                <w:rFonts w:cstheme="minorHAnsi"/>
                <w:noProof/>
              </w:rPr>
            </w:pPr>
            <w:r w:rsidRPr="008F6866">
              <w:rPr>
                <w:rFonts w:cstheme="minorHAnsi"/>
                <w:noProof/>
              </w:rPr>
              <w:drawing>
                <wp:inline distT="0" distB="0" distL="0" distR="0" wp14:anchorId="5FC2CF9C" wp14:editId="4FA37AB3">
                  <wp:extent cx="2855033" cy="2237806"/>
                  <wp:effectExtent l="0" t="0" r="254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68808" cy="2248603"/>
                          </a:xfrm>
                          <a:prstGeom prst="rect">
                            <a:avLst/>
                          </a:prstGeom>
                          <a:noFill/>
                          <a:ln>
                            <a:noFill/>
                          </a:ln>
                        </pic:spPr>
                      </pic:pic>
                    </a:graphicData>
                  </a:graphic>
                </wp:inline>
              </w:drawing>
            </w:r>
          </w:p>
        </w:tc>
        <w:tc>
          <w:tcPr>
            <w:tcW w:w="4530" w:type="dxa"/>
          </w:tcPr>
          <w:p w14:paraId="06FF33AA" w14:textId="77777777" w:rsidR="00540E63" w:rsidRPr="008F6866" w:rsidRDefault="00540E63" w:rsidP="00E15EBA">
            <w:pPr>
              <w:spacing w:line="300" w:lineRule="auto"/>
              <w:jc w:val="both"/>
              <w:rPr>
                <w:rFonts w:cstheme="minorHAnsi"/>
              </w:rPr>
            </w:pPr>
            <w:r w:rsidRPr="008F6866">
              <w:rPr>
                <w:rFonts w:cstheme="minorHAnsi"/>
                <w:noProof/>
              </w:rPr>
              <w:drawing>
                <wp:inline distT="0" distB="0" distL="0" distR="0" wp14:anchorId="4DA6F580" wp14:editId="19250C7D">
                  <wp:extent cx="2865600" cy="2239200"/>
                  <wp:effectExtent l="0" t="0" r="0" b="889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65600" cy="2239200"/>
                          </a:xfrm>
                          <a:prstGeom prst="rect">
                            <a:avLst/>
                          </a:prstGeom>
                          <a:noFill/>
                          <a:ln>
                            <a:noFill/>
                          </a:ln>
                        </pic:spPr>
                      </pic:pic>
                    </a:graphicData>
                  </a:graphic>
                </wp:inline>
              </w:drawing>
            </w:r>
          </w:p>
        </w:tc>
      </w:tr>
      <w:tr w:rsidR="00540E63" w:rsidRPr="008F6866" w14:paraId="35C89B1D" w14:textId="77777777" w:rsidTr="00E15EBA">
        <w:tc>
          <w:tcPr>
            <w:tcW w:w="4530" w:type="dxa"/>
          </w:tcPr>
          <w:p w14:paraId="173ACCE0" w14:textId="77777777" w:rsidR="00540E63" w:rsidRPr="008F6866" w:rsidRDefault="00540E63" w:rsidP="00E15EBA">
            <w:pPr>
              <w:spacing w:line="300" w:lineRule="auto"/>
              <w:jc w:val="center"/>
              <w:rPr>
                <w:rFonts w:asciiTheme="minorHAnsi" w:hAnsiTheme="minorHAnsi" w:cstheme="minorHAnsi"/>
                <w:b/>
                <w:noProof/>
              </w:rPr>
            </w:pPr>
            <w:r w:rsidRPr="008F6866">
              <w:rPr>
                <w:rFonts w:asciiTheme="minorHAnsi" w:hAnsiTheme="minorHAnsi" w:cstheme="minorHAnsi"/>
                <w:b/>
                <w:noProof/>
              </w:rPr>
              <w:t>Short-wave incoming radiation</w:t>
            </w:r>
          </w:p>
        </w:tc>
        <w:tc>
          <w:tcPr>
            <w:tcW w:w="4530" w:type="dxa"/>
          </w:tcPr>
          <w:p w14:paraId="45D27468" w14:textId="77777777" w:rsidR="00540E63" w:rsidRPr="008F6866" w:rsidRDefault="00540E63" w:rsidP="00E15EBA">
            <w:pPr>
              <w:spacing w:line="300" w:lineRule="auto"/>
              <w:jc w:val="center"/>
              <w:rPr>
                <w:rFonts w:asciiTheme="minorHAnsi" w:hAnsiTheme="minorHAnsi" w:cstheme="minorHAnsi"/>
                <w:b/>
              </w:rPr>
            </w:pPr>
            <w:r w:rsidRPr="008F6866">
              <w:rPr>
                <w:rFonts w:asciiTheme="minorHAnsi" w:hAnsiTheme="minorHAnsi" w:cstheme="minorHAnsi"/>
                <w:b/>
              </w:rPr>
              <w:t>Temperature at 2 m</w:t>
            </w:r>
          </w:p>
        </w:tc>
      </w:tr>
      <w:tr w:rsidR="00540E63" w:rsidRPr="008F6866" w14:paraId="0048AA10" w14:textId="77777777" w:rsidTr="00E15EBA">
        <w:tc>
          <w:tcPr>
            <w:tcW w:w="4530" w:type="dxa"/>
          </w:tcPr>
          <w:p w14:paraId="6BF37F80" w14:textId="77777777" w:rsidR="00540E63" w:rsidRPr="008F6866" w:rsidRDefault="00540E63" w:rsidP="00E15EBA">
            <w:pPr>
              <w:spacing w:line="300" w:lineRule="auto"/>
              <w:jc w:val="both"/>
              <w:rPr>
                <w:rFonts w:cstheme="minorHAnsi"/>
              </w:rPr>
            </w:pPr>
            <w:r w:rsidRPr="008F6866">
              <w:rPr>
                <w:rFonts w:cstheme="minorHAnsi"/>
                <w:noProof/>
              </w:rPr>
              <w:drawing>
                <wp:inline distT="0" distB="0" distL="0" distR="0" wp14:anchorId="3D5CDAD9" wp14:editId="2E447C97">
                  <wp:extent cx="2865600" cy="2239200"/>
                  <wp:effectExtent l="0" t="0" r="0" b="889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65600" cy="2239200"/>
                          </a:xfrm>
                          <a:prstGeom prst="rect">
                            <a:avLst/>
                          </a:prstGeom>
                          <a:noFill/>
                          <a:ln>
                            <a:noFill/>
                          </a:ln>
                        </pic:spPr>
                      </pic:pic>
                    </a:graphicData>
                  </a:graphic>
                </wp:inline>
              </w:drawing>
            </w:r>
          </w:p>
        </w:tc>
        <w:tc>
          <w:tcPr>
            <w:tcW w:w="4530" w:type="dxa"/>
          </w:tcPr>
          <w:p w14:paraId="776F34C7" w14:textId="77777777" w:rsidR="00540E63" w:rsidRPr="008F6866" w:rsidRDefault="00540E63" w:rsidP="00E15EBA">
            <w:pPr>
              <w:spacing w:line="300" w:lineRule="auto"/>
              <w:jc w:val="both"/>
              <w:rPr>
                <w:rFonts w:cstheme="minorHAnsi"/>
              </w:rPr>
            </w:pPr>
            <w:r w:rsidRPr="008F6866">
              <w:rPr>
                <w:rFonts w:cstheme="minorHAnsi"/>
                <w:noProof/>
              </w:rPr>
              <w:drawing>
                <wp:inline distT="0" distB="0" distL="0" distR="0" wp14:anchorId="146C8AD2" wp14:editId="2316453A">
                  <wp:extent cx="2858400" cy="2239200"/>
                  <wp:effectExtent l="0" t="0" r="0" b="889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8400" cy="2239200"/>
                          </a:xfrm>
                          <a:prstGeom prst="rect">
                            <a:avLst/>
                          </a:prstGeom>
                          <a:noFill/>
                          <a:ln>
                            <a:noFill/>
                          </a:ln>
                        </pic:spPr>
                      </pic:pic>
                    </a:graphicData>
                  </a:graphic>
                </wp:inline>
              </w:drawing>
            </w:r>
          </w:p>
        </w:tc>
      </w:tr>
    </w:tbl>
    <w:p w14:paraId="0D99E8B5" w14:textId="1AED7145" w:rsidR="00540E63" w:rsidRDefault="00540E63" w:rsidP="00315CA3">
      <w:pPr>
        <w:pStyle w:val="Lgende"/>
        <w:jc w:val="center"/>
        <w:rPr>
          <w:b/>
          <w:i w:val="0"/>
          <w:color w:val="000000" w:themeColor="text1"/>
          <w:sz w:val="20"/>
          <w:szCs w:val="20"/>
        </w:rPr>
      </w:pPr>
      <w:bookmarkStart w:id="92" w:name="_Ref195655878"/>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Pr>
          <w:b/>
          <w:i w:val="0"/>
          <w:noProof/>
          <w:color w:val="000000" w:themeColor="text1"/>
          <w:sz w:val="20"/>
          <w:szCs w:val="20"/>
        </w:rPr>
        <w:t>30</w:t>
      </w:r>
      <w:r w:rsidRPr="008F6866">
        <w:rPr>
          <w:b/>
          <w:i w:val="0"/>
          <w:color w:val="000000" w:themeColor="text1"/>
          <w:sz w:val="20"/>
          <w:szCs w:val="20"/>
        </w:rPr>
        <w:fldChar w:fldCharType="end"/>
      </w:r>
      <w:bookmarkEnd w:id="92"/>
      <w:r w:rsidRPr="008F6866">
        <w:rPr>
          <w:b/>
          <w:i w:val="0"/>
          <w:color w:val="000000" w:themeColor="text1"/>
          <w:sz w:val="20"/>
          <w:szCs w:val="20"/>
        </w:rPr>
        <w:t>. Boxplots representing the climate change signals (in absolute value) for the vegetation growing season in the six selected models for 4 SSP scenarios and three periods in the future. Changes are relative to 1976-2014 and are averaged over model independent forest sites. Near future: 2015-2040, medium future: 2041-2070, far future: 2071-2100. Variables shown are the near-surface relative humidity, the total precipitation, the surface downwelling shortwave radiation and the near-surface temperature</w:t>
      </w:r>
    </w:p>
    <w:p w14:paraId="010E7308" w14:textId="77777777" w:rsidR="00315CA3" w:rsidRPr="00315CA3" w:rsidRDefault="00315CA3" w:rsidP="00315CA3">
      <w:pPr>
        <w:spacing w:after="0"/>
        <w:rPr>
          <w:lang w:eastAsia="fr-BE"/>
        </w:rPr>
      </w:pPr>
    </w:p>
    <w:p w14:paraId="55BE42BC" w14:textId="0B9D0F1F" w:rsidR="00DE4897" w:rsidRDefault="00DE4897" w:rsidP="00F371F2">
      <w:pPr>
        <w:spacing w:after="120" w:line="300" w:lineRule="auto"/>
        <w:jc w:val="both"/>
        <w:rPr>
          <w:rFonts w:cstheme="minorHAnsi"/>
        </w:rPr>
      </w:pPr>
      <w:r w:rsidRPr="008F6866">
        <w:rPr>
          <w:rFonts w:cstheme="minorHAnsi"/>
        </w:rPr>
        <w:t>The relative humidity is projected to decrease towards the end of the century. All models agree on the sign of the changes, but they simulate responses of various amplitudes. On average over the last 30 years of the century, the relative humidity could change by 2 to 10% for scenario SSP5-8.5. This reduction is not limited to Belgium</w:t>
      </w:r>
      <w:r w:rsidR="000D7CDE" w:rsidRPr="008F6866">
        <w:rPr>
          <w:rFonts w:cstheme="minorHAnsi"/>
        </w:rPr>
        <w:t xml:space="preserve"> </w:t>
      </w:r>
      <w:r w:rsidRPr="008F6866">
        <w:rPr>
          <w:rFonts w:cstheme="minorHAnsi"/>
        </w:rPr>
        <w:fldChar w:fldCharType="begin">
          <w:fldData xml:space="preserve">PEVuZE5vdGU+PENpdGU+PEF1dGhvcj5TaGVyd29vZDwvQXV0aG9yPjxZZWFyPjIwMTQ8L1llYXI+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</w:fldData>
        </w:fldChar>
      </w:r>
      <w:r w:rsidR="00CC7A85">
        <w:rPr>
          <w:rFonts w:cstheme="minorHAnsi"/>
        </w:rPr>
        <w:instrText xml:space="preserve"> ADDIN EN.CITE </w:instrText>
      </w:r>
      <w:r w:rsidR="00CC7A85">
        <w:rPr>
          <w:rFonts w:cstheme="minorHAnsi"/>
        </w:rPr>
        <w:fldChar w:fldCharType="begin">
          <w:fldData xml:space="preserve">PEVuZE5vdGU+PENpdGU+PEF1dGhvcj5TaGVyd29vZDwvQXV0aG9yPjxZZWFyPjIwMTQ8L1llYXI+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</w:fldData>
        </w:fldChar>
      </w:r>
      <w:r w:rsidR="00CC7A85">
        <w:rPr>
          <w:rFonts w:cstheme="minorHAnsi"/>
        </w:rPr>
        <w:instrText xml:space="preserve"> ADDIN EN.CITE.DATA </w:instrText>
      </w:r>
      <w:r w:rsidR="00CC7A85">
        <w:rPr>
          <w:rFonts w:cstheme="minorHAnsi"/>
        </w:rPr>
      </w:r>
      <w:r w:rsidR="00CC7A85">
        <w:rPr>
          <w:rFonts w:cstheme="minorHAnsi"/>
        </w:rPr>
        <w:fldChar w:fldCharType="end"/>
      </w:r>
      <w:r w:rsidRPr="008F6866">
        <w:rPr>
          <w:rFonts w:cstheme="minorHAnsi"/>
        </w:rPr>
      </w:r>
      <w:r w:rsidRPr="008F6866">
        <w:rPr>
          <w:rFonts w:cstheme="minorHAnsi"/>
        </w:rPr>
        <w:fldChar w:fldCharType="separate"/>
      </w:r>
      <w:r w:rsidR="00CC7A85">
        <w:rPr>
          <w:rFonts w:cstheme="minorHAnsi"/>
          <w:noProof/>
        </w:rPr>
        <w:t>(Douville and Willett, 2023; Sherwood and Fu, 2014)</w:t>
      </w:r>
      <w:r w:rsidRPr="008F6866">
        <w:rPr>
          <w:rFonts w:cstheme="minorHAnsi"/>
        </w:rPr>
        <w:fldChar w:fldCharType="end"/>
      </w:r>
      <w:r w:rsidRPr="008F6866">
        <w:rPr>
          <w:rFonts w:cstheme="minorHAnsi"/>
        </w:rPr>
        <w:t xml:space="preserve">. It is simulated in many continental areas with the strongest changes occurring at northern mid-latitudes. Although continental drying projected by the CMIP6 models is highly model dependent, </w:t>
      </w:r>
      <w:r w:rsidRPr="008F6866">
        <w:rPr>
          <w:rFonts w:cstheme="minorHAnsi"/>
        </w:rPr>
        <w:fldChar w:fldCharType="begin"/>
      </w:r>
      <w:r w:rsidR="006201C6">
        <w:rPr>
          <w:rFonts w:cstheme="minorHAnsi"/>
        </w:rPr>
        <w:instrText xml:space="preserve"> ADDIN EN.CITE &lt;EndNote&gt;&lt;Cite AuthorYear="1"&gt;&lt;Author&gt;Douville&lt;/Author&gt;&lt;Year&gt;2023&lt;/Year&gt;&lt;RecNum&gt;387&lt;/RecNum&gt;&lt;IDText&gt;Douville23&lt;/IDText&gt;&lt;DisplayText&gt;Douville and Willett (2023)&lt;/DisplayText&gt;&lt;record&gt;&lt;rec-number&gt;387&lt;/rec-number&gt;&lt;foreign-keys&gt;&lt;key app="EN" db-id="0px2fzdxhrpdrre2w5f5pdryx90atadrdavt" timestamp="1713952201"&gt;387&lt;/key&gt;&lt;/foreign-keys&gt;&lt;ref-type name="Journal Article"&gt;17&lt;/ref-type&gt;&lt;contributors&gt;&lt;authors&gt;&lt;author&gt;Douville, H.&lt;/author&gt;&lt;author&gt;Willett, K. M.&lt;/author&gt;&lt;/authors&gt;&lt;/contributors&gt;&lt;titles&gt;&lt;title&gt;A drier than expected future, supported by near-surface relative humidity observations&lt;/title&gt;&lt;secondary-title&gt;Science Advances&lt;/secondary-title&gt;&lt;/titles&gt;&lt;periodical&gt;&lt;full-title&gt;Science Advances&lt;/full-title&gt;&lt;/periodical&gt;&lt;pages&gt;ade6253&lt;/pages&gt;&lt;volume&gt;9&lt;/volume&gt;&lt;number&gt;30&lt;/number&gt;&lt;dates&gt;&lt;year&gt;2023&lt;/year&gt;&lt;/dates&gt;&lt;label&gt;Douville23&lt;/label&gt;&lt;work-type&gt;Article&lt;/work-type&gt;&lt;urls&gt;&lt;related-urls&gt;&lt;url&gt;https://www.scopus.com/inward/record.uri?eid=2-s2.0-85165764745&amp;amp;doi=10.1126%2fsciadv.ade6253&amp;amp;partnerID=40&amp;amp;md5=f43e8e906208fd50b6ccdd442dfb9ce4&lt;/url&gt;&lt;/related-urls&gt;&lt;/urls&gt;&lt;custom7&gt;ade6253&lt;/custom7&gt;&lt;electronic-resource-num&gt;10.1126/sciadv.ade6253&lt;/electronic-resource-num&gt;&lt;remote-database-name&gt;Scopus&lt;/remote-database-name&gt;&lt;/record&gt;&lt;/Cite&gt;&lt;/EndNote&gt;</w:instrText>
      </w:r>
      <w:r w:rsidRPr="008F6866">
        <w:rPr>
          <w:rFonts w:cstheme="minorHAnsi"/>
        </w:rPr>
        <w:fldChar w:fldCharType="separate"/>
      </w:r>
      <w:r w:rsidR="006201C6">
        <w:rPr>
          <w:rFonts w:cstheme="minorHAnsi"/>
          <w:noProof/>
        </w:rPr>
        <w:t>Douville and Willett</w:t>
      </w:r>
      <w:r w:rsidR="00FF6D0C">
        <w:rPr>
          <w:rFonts w:cstheme="minorHAnsi"/>
          <w:noProof/>
        </w:rPr>
        <w:t> </w:t>
      </w:r>
      <w:r w:rsidR="006201C6">
        <w:rPr>
          <w:rFonts w:cstheme="minorHAnsi"/>
          <w:noProof/>
        </w:rPr>
        <w:t>(2023)</w:t>
      </w:r>
      <w:r w:rsidRPr="008F6866">
        <w:rPr>
          <w:rFonts w:cstheme="minorHAnsi"/>
        </w:rPr>
        <w:fldChar w:fldCharType="end"/>
      </w:r>
      <w:r w:rsidRPr="008F6866">
        <w:rPr>
          <w:rFonts w:cstheme="minorHAnsi"/>
        </w:rPr>
        <w:t xml:space="preserve"> showed that it is systematically simulated by models that best agree with observed historical warming and relative humidity observations. The reduction in relative humidity is expected to increase the evaporative demand, therefore amplifying the water stress for plants in periods with </w:t>
      </w:r>
      <w:r w:rsidRPr="008F6866">
        <w:rPr>
          <w:rFonts w:cstheme="minorHAnsi"/>
        </w:rPr>
        <w:lastRenderedPageBreak/>
        <w:t>little or no precipitation. This effect might be mitigated by the stomatal response of plants to an increase in CO</w:t>
      </w:r>
      <w:r w:rsidRPr="008F6866">
        <w:rPr>
          <w:rFonts w:cstheme="minorHAnsi"/>
          <w:vertAlign w:val="subscript"/>
        </w:rPr>
        <w:t>2</w:t>
      </w:r>
      <w:r w:rsidRPr="008F6866">
        <w:rPr>
          <w:rFonts w:cstheme="minorHAnsi"/>
        </w:rPr>
        <w:t xml:space="preserve"> concentration</w:t>
      </w:r>
      <w:r w:rsidR="000D7CDE" w:rsidRPr="008F6866">
        <w:rPr>
          <w:rFonts w:cstheme="minorHAnsi"/>
        </w:rPr>
        <w:t xml:space="preserve"> </w:t>
      </w:r>
      <w:r w:rsidRPr="008F6866">
        <w:rPr>
          <w:rFonts w:cstheme="minorHAnsi"/>
        </w:rPr>
        <w:fldChar w:fldCharType="begin"/>
      </w:r>
      <w:r w:rsidR="001677B2">
        <w:rPr>
          <w:rFonts w:cstheme="minorHAnsi"/>
        </w:rPr>
        <w:instrText xml:space="preserve"> ADDIN EN.CITE &lt;EndNote&gt;&lt;Cite&gt;&lt;Author&gt;Douville&lt;/Author&gt;&lt;Year&gt;2020&lt;/Year&gt;&lt;RecNum&gt;388&lt;/RecNum&gt;&lt;IDText&gt;Douville20&lt;/IDText&gt;&lt;DisplayText&gt;(Douville&lt;style face="italic"&gt; et al.&lt;/style&gt;, 2020)&lt;/DisplayText&gt;&lt;record&gt;&lt;rec-number&gt;388&lt;/rec-number&gt;&lt;foreign-keys&gt;&lt;key app="EN" db-id="0px2fzdxhrpdrre2w5f5pdryx90atadrdavt" timestamp="1713952422"&gt;388&lt;/key&gt;&lt;/foreign-keys&gt;&lt;ref-type name="Journal Article"&gt;17&lt;/ref-type&gt;&lt;contributors&gt;&lt;authors&gt;&lt;author&gt;Douville, H.&lt;/author&gt;&lt;author&gt;Decharme, B.&lt;/author&gt;&lt;author&gt;Delire, C.&lt;/author&gt;&lt;author&gt;Colin, J.&lt;/author&gt;&lt;author&gt;Joetzjer, E.&lt;/author&gt;&lt;author&gt;Roehrig, R.&lt;/author&gt;&lt;author&gt;Saint-Martin, D.&lt;/author&gt;&lt;author&gt;Oudar, T.&lt;/author&gt;&lt;author&gt;Stchepounoff, R.&lt;/author&gt;&lt;author&gt;Voldoire, A.&lt;/author&gt;&lt;/authors&gt;&lt;/contributors&gt;&lt;titles&gt;&lt;title&gt;Drivers of the enhanced decline of land near-surface relative humidity to abrupt 4xCO2 in CNRM-CM6-1&lt;/title&gt;&lt;secondary-title&gt;Climate Dynamics&lt;/secondary-title&gt;&lt;/titles&gt;&lt;periodical&gt;&lt;full-title&gt;Climate Dynamics&lt;/full-title&gt;&lt;/periodical&gt;&lt;pages&gt;1613-1629&lt;/pages&gt;&lt;volume&gt;55&lt;/volume&gt;&lt;number&gt;5-6&lt;/number&gt;&lt;dates&gt;&lt;year&gt;2020&lt;/year&gt;&lt;/dates&gt;&lt;label&gt;Douville20&lt;/label&gt;&lt;work-type&gt;Article&lt;/work-type&gt;&lt;urls&gt;&lt;related-urls&gt;&lt;url&gt;https://www.scopus.com/inward/record.uri?eid=2-s2.0-85087039323&amp;amp;doi=10.1007%2fs00382-020-05351-x&amp;amp;partnerID=40&amp;amp;md5=ab50443ebd0a32505c7340a14dce8c5e&lt;/url&gt;&lt;/related-urls&gt;&lt;/urls&gt;&lt;electronic-resource-num&gt;10.1007/s00382-020-05351-x&lt;/electronic-resource-num&gt;&lt;remote-database-name&gt;Scopus&lt;/remote-database-name&gt;&lt;/record&gt;&lt;/Cite&gt;&lt;/EndNote&gt;</w:instrText>
      </w:r>
      <w:r w:rsidRPr="008F6866">
        <w:rPr>
          <w:rFonts w:cstheme="minorHAnsi"/>
        </w:rPr>
        <w:fldChar w:fldCharType="separate"/>
      </w:r>
      <w:r w:rsidR="001677B2">
        <w:rPr>
          <w:rFonts w:cstheme="minorHAnsi"/>
          <w:noProof/>
        </w:rPr>
        <w:t>(Douville</w:t>
      </w:r>
      <w:r w:rsidR="001677B2" w:rsidRPr="001677B2">
        <w:rPr>
          <w:rFonts w:cstheme="minorHAnsi"/>
          <w:i/>
          <w:noProof/>
        </w:rPr>
        <w:t xml:space="preserve"> et al.</w:t>
      </w:r>
      <w:r w:rsidR="001677B2">
        <w:rPr>
          <w:rFonts w:cstheme="minorHAnsi"/>
          <w:noProof/>
        </w:rPr>
        <w:t>, 2020)</w:t>
      </w:r>
      <w:r w:rsidRPr="008F6866">
        <w:rPr>
          <w:rFonts w:cstheme="minorHAnsi"/>
        </w:rPr>
        <w:fldChar w:fldCharType="end"/>
      </w:r>
      <w:r w:rsidRPr="008F6866">
        <w:rPr>
          <w:rFonts w:cstheme="minorHAnsi"/>
        </w:rPr>
        <w:t>, as differences in total evapotranspiration anomalies over land and ocean areas suggest</w:t>
      </w:r>
      <w:r w:rsidR="000D7CDE" w:rsidRPr="008F6866">
        <w:rPr>
          <w:rFonts w:cstheme="minorHAnsi"/>
        </w:rPr>
        <w:t xml:space="preserve"> </w:t>
      </w:r>
      <w:r w:rsidRPr="008F6866">
        <w:rPr>
          <w:rFonts w:cstheme="minorHAnsi"/>
        </w:rPr>
        <w:fldChar w:fldCharType="begin"/>
      </w:r>
      <w:r w:rsidR="00CC7A85">
        <w:rPr>
          <w:rFonts w:cstheme="minorHAnsi"/>
        </w:rPr>
        <w:instrText xml:space="preserve"> ADDIN EN.CITE &lt;EndNote&gt;&lt;Cite&gt;&lt;Author&gt;Douville&lt;/Author&gt;&lt;Year&gt;2023&lt;/Year&gt;&lt;RecNum&gt;387&lt;/RecNum&gt;&lt;IDText&gt;Douville23&lt;/IDText&gt;&lt;DisplayText&gt;(Douville and Willett, 2023)&lt;/DisplayText&gt;&lt;record&gt;&lt;rec-number&gt;387&lt;/rec-number&gt;&lt;foreign-keys&gt;&lt;key app="EN" db-id="0px2fzdxhrpdrre2w5f5pdryx90atadrdavt" timestamp="1713952201"&gt;387&lt;/key&gt;&lt;/foreign-keys&gt;&lt;ref-type name="Journal Article"&gt;17&lt;/ref-type&gt;&lt;contributors&gt;&lt;authors&gt;&lt;author&gt;Douville, H.&lt;/author&gt;&lt;author&gt;Willett, K. M.&lt;/author&gt;&lt;/authors&gt;&lt;/contributors&gt;&lt;titles&gt;&lt;title&gt;A drier than expected future, supported by near-surface relative humidity observations&lt;/title&gt;&lt;secondary-title&gt;Science Advances&lt;/secondary-title&gt;&lt;/titles&gt;&lt;periodical&gt;&lt;full-title&gt;Science Advances&lt;/full-title&gt;&lt;/periodical&gt;&lt;pages&gt;ade6253&lt;/pages&gt;&lt;volume&gt;9&lt;/volume&gt;&lt;number&gt;30&lt;/number&gt;&lt;dates&gt;&lt;year&gt;2023&lt;/year&gt;&lt;/dates&gt;&lt;label&gt;Douville23&lt;/label&gt;&lt;work-type&gt;Article&lt;/work-type&gt;&lt;urls&gt;&lt;related-urls&gt;&lt;url&gt;https://www.scopus.com/inward/record.uri?eid=2-s2.0-85165764745&amp;amp;doi=10.1126%2fsciadv.ade6253&amp;amp;partnerID=40&amp;amp;md5=f43e8e906208fd50b6ccdd442dfb9ce4&lt;/url&gt;&lt;/related-urls&gt;&lt;/urls&gt;&lt;custom7&gt;ade6253&lt;/custom7&gt;&lt;electronic-resource-num&gt;10.1126/sciadv.ade6253&lt;/electronic-resource-num&gt;&lt;remote-database-name&gt;Scopus&lt;/remote-database-name&gt;&lt;/record&gt;&lt;/Cite&gt;&lt;/EndNote&gt;</w:instrText>
      </w:r>
      <w:r w:rsidRPr="008F6866">
        <w:rPr>
          <w:rFonts w:cstheme="minorHAnsi"/>
        </w:rPr>
        <w:fldChar w:fldCharType="separate"/>
      </w:r>
      <w:r w:rsidR="00CC7A85">
        <w:rPr>
          <w:rFonts w:cstheme="minorHAnsi"/>
          <w:noProof/>
        </w:rPr>
        <w:t>(Douville and Willett, 2023)</w:t>
      </w:r>
      <w:r w:rsidRPr="008F6866">
        <w:rPr>
          <w:rFonts w:cstheme="minorHAnsi"/>
        </w:rPr>
        <w:fldChar w:fldCharType="end"/>
      </w:r>
      <w:r w:rsidRPr="008F6866">
        <w:rPr>
          <w:rFonts w:cstheme="minorHAnsi"/>
        </w:rPr>
        <w:t>.</w:t>
      </w:r>
    </w:p>
    <w:p w14:paraId="02887200" w14:textId="77777777" w:rsidR="009A6408" w:rsidRDefault="009A6408" w:rsidP="009A6408">
      <w:pPr>
        <w:spacing w:after="0" w:line="300" w:lineRule="auto"/>
        <w:jc w:val="both"/>
        <w:rPr>
          <w:rFonts w:cstheme="minorHAnsi"/>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20"/>
        <w:gridCol w:w="4550"/>
      </w:tblGrid>
      <w:tr w:rsidR="009A6408" w:rsidRPr="008F6866" w14:paraId="72DD9AF2" w14:textId="77777777" w:rsidTr="00E15EBA">
        <w:trPr>
          <w:jc w:val="center"/>
        </w:trPr>
        <w:tc>
          <w:tcPr>
            <w:tcW w:w="4530" w:type="dxa"/>
          </w:tcPr>
          <w:p w14:paraId="3404151A" w14:textId="77777777" w:rsidR="009A6408" w:rsidRPr="008F6866" w:rsidRDefault="009A6408" w:rsidP="00E15EBA">
            <w:r w:rsidRPr="008F6866">
              <w:rPr>
                <w:noProof/>
              </w:rPr>
              <w:drawing>
                <wp:inline distT="0" distB="0" distL="0" distR="0" wp14:anchorId="7C96B074" wp14:editId="3BFC45D5">
                  <wp:extent cx="2874645" cy="2341880"/>
                  <wp:effectExtent l="0" t="0" r="1905"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74645" cy="2341880"/>
                          </a:xfrm>
                          <a:prstGeom prst="rect">
                            <a:avLst/>
                          </a:prstGeom>
                          <a:noFill/>
                          <a:ln>
                            <a:noFill/>
                          </a:ln>
                        </pic:spPr>
                      </pic:pic>
                    </a:graphicData>
                  </a:graphic>
                </wp:inline>
              </w:drawing>
            </w:r>
          </w:p>
        </w:tc>
        <w:tc>
          <w:tcPr>
            <w:tcW w:w="4530" w:type="dxa"/>
          </w:tcPr>
          <w:p w14:paraId="1BAA647C" w14:textId="77777777" w:rsidR="009A6408" w:rsidRPr="008F6866" w:rsidRDefault="009A6408" w:rsidP="00E15EBA">
            <w:r w:rsidRPr="008F6866">
              <w:rPr>
                <w:noProof/>
              </w:rPr>
              <w:drawing>
                <wp:inline distT="0" distB="0" distL="0" distR="0" wp14:anchorId="580FC13D" wp14:editId="6F751839">
                  <wp:extent cx="2887980" cy="2355215"/>
                  <wp:effectExtent l="0" t="0" r="762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87980" cy="2355215"/>
                          </a:xfrm>
                          <a:prstGeom prst="rect">
                            <a:avLst/>
                          </a:prstGeom>
                          <a:noFill/>
                          <a:ln>
                            <a:noFill/>
                          </a:ln>
                        </pic:spPr>
                      </pic:pic>
                    </a:graphicData>
                  </a:graphic>
                </wp:inline>
              </w:drawing>
            </w:r>
          </w:p>
        </w:tc>
      </w:tr>
    </w:tbl>
    <w:p w14:paraId="3A8E3511" w14:textId="77777777" w:rsidR="009A6408" w:rsidRPr="008F6866" w:rsidRDefault="009A6408" w:rsidP="009A6408">
      <w:pPr>
        <w:pStyle w:val="Lgende"/>
        <w:jc w:val="center"/>
        <w:rPr>
          <w:rFonts w:cstheme="minorHAnsi"/>
          <w:b/>
          <w:i w:val="0"/>
          <w:color w:val="000000" w:themeColor="text1"/>
          <w:sz w:val="20"/>
          <w:szCs w:val="20"/>
        </w:rPr>
      </w:pPr>
      <w:bookmarkStart w:id="93" w:name="_Ref195656505"/>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Pr>
          <w:b/>
          <w:i w:val="0"/>
          <w:noProof/>
          <w:color w:val="000000" w:themeColor="text1"/>
          <w:sz w:val="20"/>
          <w:szCs w:val="20"/>
        </w:rPr>
        <w:t>31</w:t>
      </w:r>
      <w:r w:rsidRPr="008F6866">
        <w:rPr>
          <w:b/>
          <w:i w:val="0"/>
          <w:color w:val="000000" w:themeColor="text1"/>
          <w:sz w:val="20"/>
          <w:szCs w:val="20"/>
        </w:rPr>
        <w:fldChar w:fldCharType="end"/>
      </w:r>
      <w:bookmarkEnd w:id="93"/>
      <w:r w:rsidRPr="008F6866">
        <w:rPr>
          <w:b/>
          <w:i w:val="0"/>
          <w:color w:val="000000" w:themeColor="text1"/>
          <w:sz w:val="20"/>
          <w:szCs w:val="20"/>
        </w:rPr>
        <w:t>. Boxplots representing the absolute (left) and relative (right) changes in the distribution of consecutive dry days between the end of the century (2071-2100) and the present period (1976-2014 period) for the vegetation growing season in the six selected models for 4 SSP scenarios. Changes are averaged over model independent forest sites. The distribution is limited to 3 categories counting the number of consecutive dry days for droughts shorter than one week, between one and two weeks and longer than two weeks. A day is considered as dry if the cumulated precipitation does not exceed 1 mm</w:t>
      </w:r>
    </w:p>
    <w:p w14:paraId="4BAFD826" w14:textId="77777777" w:rsidR="009A6408" w:rsidRPr="008F6866" w:rsidRDefault="009A6408" w:rsidP="009A6408">
      <w:pPr>
        <w:spacing w:after="0" w:line="300" w:lineRule="auto"/>
        <w:jc w:val="both"/>
        <w:rPr>
          <w:rFonts w:cstheme="minorHAnsi"/>
        </w:rPr>
      </w:pPr>
    </w:p>
    <w:p w14:paraId="7F130A53" w14:textId="37E2AAEB" w:rsidR="00DE4897" w:rsidRPr="008F6866" w:rsidRDefault="00DE4897" w:rsidP="00F371F2">
      <w:pPr>
        <w:spacing w:after="120" w:line="300" w:lineRule="auto"/>
        <w:jc w:val="both"/>
        <w:rPr>
          <w:rFonts w:cstheme="minorHAnsi"/>
        </w:rPr>
      </w:pPr>
      <w:r w:rsidRPr="008F6866">
        <w:rPr>
          <w:rFonts w:cstheme="minorHAnsi"/>
        </w:rPr>
        <w:t xml:space="preserve">Short-wave incoming radiation is projected to increase during summertime for the three-time horizons that we investigated. In winter, there is a tendency for a limited increase, but at least one model simulates a decrease for each period and scenario. The model uncertainty is found to be high compared with the scenario uncertainty, in agreement with the study of </w:t>
      </w:r>
      <w:r w:rsidRPr="008F6866">
        <w:rPr>
          <w:rFonts w:cstheme="minorHAnsi"/>
        </w:rPr>
        <w:fldChar w:fldCharType="begin"/>
      </w:r>
      <w:r w:rsidR="006201C6">
        <w:rPr>
          <w:rFonts w:cstheme="minorHAnsi"/>
        </w:rPr>
        <w:instrText xml:space="preserve"> ADDIN EN.CITE &lt;EndNote&gt;&lt;Cite AuthorYear="1"&gt;&lt;Author&gt;Drugé&lt;/Author&gt;&lt;Year&gt;2021&lt;/Year&gt;&lt;RecNum&gt;389&lt;/RecNum&gt;&lt;IDText&gt;Druge21&lt;/IDText&gt;&lt;DisplayText&gt;Drugé&lt;style face="italic"&gt; et al.&lt;/style&gt; (2021)&lt;/DisplayText&gt;&lt;record&gt;&lt;rec-number&gt;389&lt;/rec-number&gt;&lt;foreign-keys&gt;&lt;key app="EN" db-id="0px2fzdxhrpdrre2w5f5pdryx90atadrdavt" timestamp="1713952565"&gt;389&lt;/key&gt;&lt;/foreign-keys&gt;&lt;ref-type name="Journal Article"&gt;17&lt;/ref-type&gt;&lt;contributors&gt;&lt;authors&gt;&lt;author&gt;Drugé, T.&lt;/author&gt;&lt;author&gt;Nabat, P.&lt;/author&gt;&lt;author&gt;Mallet, M.&lt;/author&gt;&lt;author&gt;Somot, S.&lt;/author&gt;&lt;/authors&gt;&lt;/contributors&gt;&lt;titles&gt;&lt;title&gt;Future evolution of aerosols and implications for climate change in the Euro-Mediterranean region using the CNRM-ALADIN63 regional climate model&lt;/title&gt;&lt;secondary-title&gt;Atmospheric Chemistry and Physics&lt;/secondary-title&gt;&lt;/titles&gt;&lt;periodical&gt;&lt;full-title&gt;Atmospheric Chemistry and Physics&lt;/full-title&gt;&lt;/periodical&gt;&lt;pages&gt;7639-7669&lt;/pages&gt;&lt;volume&gt;21&lt;/volume&gt;&lt;number&gt;10&lt;/number&gt;&lt;dates&gt;&lt;year&gt;2021&lt;/year&gt;&lt;/dates&gt;&lt;label&gt;Druge21&lt;/label&gt;&lt;work-type&gt;Article&lt;/work-type&gt;&lt;urls&gt;&lt;related-urls&gt;&lt;url&gt;https://www.scopus.com/inward/record.uri?eid=2-s2.0-85106396714&amp;amp;doi=10.5194%2facp-21-7639-2021&amp;amp;partnerID=40&amp;amp;md5=384e45a6822249c8f0ba8428a8aac8f8&lt;/url&gt;&lt;/related-urls&gt;&lt;/urls&gt;&lt;electronic-resource-num&gt;10.5194/acp-21-7639-2021&lt;/electronic-resource-num&gt;&lt;remote-database-name&gt;Scopus&lt;/remote-database-name&gt;&lt;/record&gt;&lt;/Cite&gt;&lt;/EndNote&gt;</w:instrText>
      </w:r>
      <w:r w:rsidRPr="008F6866">
        <w:rPr>
          <w:rFonts w:cstheme="minorHAnsi"/>
        </w:rPr>
        <w:fldChar w:fldCharType="separate"/>
      </w:r>
      <w:r w:rsidR="006201C6">
        <w:rPr>
          <w:rFonts w:cstheme="minorHAnsi"/>
          <w:noProof/>
        </w:rPr>
        <w:t>Drugé</w:t>
      </w:r>
      <w:r w:rsidR="006201C6" w:rsidRPr="006201C6">
        <w:rPr>
          <w:rFonts w:cstheme="minorHAnsi"/>
          <w:i/>
          <w:noProof/>
        </w:rPr>
        <w:t xml:space="preserve"> et al.</w:t>
      </w:r>
      <w:r w:rsidR="006201C6">
        <w:rPr>
          <w:rFonts w:cstheme="minorHAnsi"/>
          <w:noProof/>
        </w:rPr>
        <w:t xml:space="preserve"> (2021)</w:t>
      </w:r>
      <w:r w:rsidRPr="008F6866">
        <w:rPr>
          <w:rFonts w:cstheme="minorHAnsi"/>
        </w:rPr>
        <w:fldChar w:fldCharType="end"/>
      </w:r>
      <w:r w:rsidRPr="008F6866">
        <w:rPr>
          <w:rFonts w:cstheme="minorHAnsi"/>
        </w:rPr>
        <w:t xml:space="preserve"> which reported a minor influence of the scenario on the direct aerosol radiative forcing. Anthropogenic aerosols are known to induce radiative climate changes. The release of </w:t>
      </w:r>
      <w:r w:rsidR="00567300" w:rsidRPr="008F6866">
        <w:rPr>
          <w:rFonts w:cstheme="minorHAnsi"/>
        </w:rPr>
        <w:t>sulphate</w:t>
      </w:r>
      <w:r w:rsidRPr="008F6866">
        <w:rPr>
          <w:rFonts w:cstheme="minorHAnsi"/>
        </w:rPr>
        <w:t xml:space="preserve"> aerosols in the past decades led to an increased scattering of shortwave radiation, but also to indirect changes in the albedo of clouds, their lifetime and their precipitation ability</w:t>
      </w:r>
      <w:r w:rsidR="000D7CDE" w:rsidRPr="008F6866">
        <w:rPr>
          <w:rFonts w:cstheme="minorHAnsi"/>
        </w:rPr>
        <w:t xml:space="preserve"> </w:t>
      </w:r>
      <w:r w:rsidRPr="008F6866">
        <w:rPr>
          <w:rFonts w:cstheme="minorHAnsi"/>
        </w:rPr>
        <w:fldChar w:fldCharType="begin">
          <w:fldData xml:space="preserve">PEVuZE5vdGU+PENpdGU+PEF1dGhvcj5NeWhyZTwvQXV0aG9yPjxZZWFyPjIwMTM8L1llYXI+PFJl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=
</w:fldData>
        </w:fldChar>
      </w:r>
      <w:r w:rsidR="001677B2">
        <w:rPr>
          <w:rFonts w:cstheme="minorHAnsi"/>
        </w:rPr>
        <w:instrText xml:space="preserve"> ADDIN EN.CITE </w:instrText>
      </w:r>
      <w:r w:rsidR="001677B2">
        <w:rPr>
          <w:rFonts w:cstheme="minorHAnsi"/>
        </w:rPr>
        <w:fldChar w:fldCharType="begin">
          <w:fldData xml:space="preserve">PEVuZE5vdGU+PENpdGU+PEF1dGhvcj5NeWhyZTwvQXV0aG9yPjxZZWFyPjIwMTM8L1llYXI+PFJl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=
</w:fldData>
        </w:fldChar>
      </w:r>
      <w:r w:rsidR="001677B2">
        <w:rPr>
          <w:rFonts w:cstheme="minorHAnsi"/>
        </w:rPr>
        <w:instrText xml:space="preserve"> ADDIN EN.CITE.DATA </w:instrText>
      </w:r>
      <w:r w:rsidR="001677B2">
        <w:rPr>
          <w:rFonts w:cstheme="minorHAnsi"/>
        </w:rPr>
      </w:r>
      <w:r w:rsidR="001677B2">
        <w:rPr>
          <w:rFonts w:cstheme="minorHAnsi"/>
        </w:rPr>
        <w:fldChar w:fldCharType="end"/>
      </w:r>
      <w:r w:rsidRPr="008F6866">
        <w:rPr>
          <w:rFonts w:cstheme="minorHAnsi"/>
        </w:rPr>
      </w:r>
      <w:r w:rsidRPr="008F6866">
        <w:rPr>
          <w:rFonts w:cstheme="minorHAnsi"/>
        </w:rPr>
        <w:fldChar w:fldCharType="separate"/>
      </w:r>
      <w:r w:rsidR="001677B2">
        <w:rPr>
          <w:rFonts w:cstheme="minorHAnsi"/>
          <w:noProof/>
        </w:rPr>
        <w:t>(Bellouin</w:t>
      </w:r>
      <w:r w:rsidR="001677B2" w:rsidRPr="001677B2">
        <w:rPr>
          <w:rFonts w:cstheme="minorHAnsi"/>
          <w:i/>
          <w:noProof/>
        </w:rPr>
        <w:t xml:space="preserve"> et al.</w:t>
      </w:r>
      <w:r w:rsidR="001677B2">
        <w:rPr>
          <w:rFonts w:cstheme="minorHAnsi"/>
          <w:noProof/>
        </w:rPr>
        <w:t>, 2020; Myhre</w:t>
      </w:r>
      <w:r w:rsidR="001677B2" w:rsidRPr="001677B2">
        <w:rPr>
          <w:rFonts w:cstheme="minorHAnsi"/>
          <w:i/>
          <w:noProof/>
        </w:rPr>
        <w:t xml:space="preserve"> et al.</w:t>
      </w:r>
      <w:r w:rsidR="001677B2">
        <w:rPr>
          <w:rFonts w:cstheme="minorHAnsi"/>
          <w:noProof/>
        </w:rPr>
        <w:t>, 2013)</w:t>
      </w:r>
      <w:r w:rsidRPr="008F6866">
        <w:rPr>
          <w:rFonts w:cstheme="minorHAnsi"/>
        </w:rPr>
        <w:fldChar w:fldCharType="end"/>
      </w:r>
      <w:r w:rsidRPr="008F6866">
        <w:rPr>
          <w:rFonts w:cstheme="minorHAnsi"/>
        </w:rPr>
        <w:t xml:space="preserve">. Globally, the aerosol optical depth increased from pre-industrial times up to 1990, slowly decreasing afterwards due to a </w:t>
      </w:r>
      <w:r w:rsidR="00567300" w:rsidRPr="008F6866">
        <w:rPr>
          <w:rFonts w:cstheme="minorHAnsi"/>
        </w:rPr>
        <w:t>sulphate</w:t>
      </w:r>
      <w:r w:rsidRPr="008F6866">
        <w:rPr>
          <w:rFonts w:cstheme="minorHAnsi"/>
        </w:rPr>
        <w:t xml:space="preserve"> mass concentration decrease partially compensated by a nitrate concentration increase</w:t>
      </w:r>
      <w:r w:rsidR="000D7CDE" w:rsidRPr="008F6866">
        <w:rPr>
          <w:rFonts w:cstheme="minorHAnsi"/>
        </w:rPr>
        <w:t xml:space="preserve"> </w:t>
      </w:r>
      <w:r w:rsidRPr="008F6866">
        <w:rPr>
          <w:rFonts w:cstheme="minorHAnsi"/>
        </w:rPr>
        <w:fldChar w:fldCharType="begin"/>
      </w:r>
      <w:r w:rsidR="001677B2">
        <w:rPr>
          <w:rFonts w:cstheme="minorHAnsi"/>
        </w:rPr>
        <w:instrText xml:space="preserve"> ADDIN EN.CITE &lt;EndNote&gt;&lt;Cite&gt;&lt;Author&gt;Drugé&lt;/Author&gt;&lt;Year&gt;2021&lt;/Year&gt;&lt;RecNum&gt;389&lt;/RecNum&gt;&lt;IDText&gt;Druge21&lt;/IDText&gt;&lt;DisplayText&gt;(Drugé&lt;style face="italic"&gt; et al.&lt;/style&gt;, 2021)&lt;/DisplayText&gt;&lt;record&gt;&lt;rec-number&gt;389&lt;/rec-number&gt;&lt;foreign-keys&gt;&lt;key app="EN" db-id="0px2fzdxhrpdrre2w5f5pdryx90atadrdavt" timestamp="1713952565"&gt;389&lt;/key&gt;&lt;/foreign-keys&gt;&lt;ref-type name="Journal Article"&gt;17&lt;/ref-type&gt;&lt;contributors&gt;&lt;authors&gt;&lt;author&gt;Drugé, T.&lt;/author&gt;&lt;author&gt;Nabat, P.&lt;/author&gt;&lt;author&gt;Mallet, M.&lt;/author&gt;&lt;author&gt;Somot, S.&lt;/author&gt;&lt;/authors&gt;&lt;/contributors&gt;&lt;titles&gt;&lt;title&gt;Future evolution of aerosols and implications for climate change in the Euro-Mediterranean region using the CNRM-ALADIN63 regional climate model&lt;/title&gt;&lt;secondary-title&gt;Atmospheric Chemistry and Physics&lt;/secondary-title&gt;&lt;/titles&gt;&lt;periodical&gt;&lt;full-title&gt;Atmospheric Chemistry and Physics&lt;/full-title&gt;&lt;/periodical&gt;&lt;pages&gt;7639-7669&lt;/pages&gt;&lt;volume&gt;21&lt;/volume&gt;&lt;number&gt;10&lt;/number&gt;&lt;dates&gt;&lt;year&gt;2021&lt;/year&gt;&lt;/dates&gt;&lt;label&gt;Druge21&lt;/label&gt;&lt;work-type&gt;Article&lt;/work-type&gt;&lt;urls&gt;&lt;related-urls&gt;&lt;url&gt;https://www.scopus.com/inward/record.uri?eid=2-s2.0-85106396714&amp;amp;doi=10.5194%2facp-21-7639-2021&amp;amp;partnerID=40&amp;amp;md5=384e45a6822249c8f0ba8428a8aac8f8&lt;/url&gt;&lt;/related-urls&gt;&lt;/urls&gt;&lt;electronic-resource-num&gt;10.5194/acp-21-7639-2021&lt;/electronic-resource-num&gt;&lt;remote-database-name&gt;Scopus&lt;/remote-database-name&gt;&lt;/record&gt;&lt;/Cite&gt;&lt;/EndNote&gt;</w:instrText>
      </w:r>
      <w:r w:rsidRPr="008F6866">
        <w:rPr>
          <w:rFonts w:cstheme="minorHAnsi"/>
        </w:rPr>
        <w:fldChar w:fldCharType="separate"/>
      </w:r>
      <w:r w:rsidR="001677B2">
        <w:rPr>
          <w:rFonts w:cstheme="minorHAnsi"/>
          <w:noProof/>
        </w:rPr>
        <w:t>(Drugé</w:t>
      </w:r>
      <w:r w:rsidR="001677B2" w:rsidRPr="001677B2">
        <w:rPr>
          <w:rFonts w:cstheme="minorHAnsi"/>
          <w:i/>
          <w:noProof/>
        </w:rPr>
        <w:t xml:space="preserve"> et al.</w:t>
      </w:r>
      <w:r w:rsidR="001677B2">
        <w:rPr>
          <w:rFonts w:cstheme="minorHAnsi"/>
          <w:noProof/>
        </w:rPr>
        <w:t>, 2021)</w:t>
      </w:r>
      <w:r w:rsidRPr="008F6866">
        <w:rPr>
          <w:rFonts w:cstheme="minorHAnsi"/>
        </w:rPr>
        <w:fldChar w:fldCharType="end"/>
      </w:r>
      <w:r w:rsidRPr="008F6866">
        <w:rPr>
          <w:rFonts w:cstheme="minorHAnsi"/>
        </w:rPr>
        <w:t>. Compared with our reference period (1976-2014), future scenarios thus provide lower concentrations in aerosols over Europe leading to a reduction of the aerosol optical depth. The increase in the shortwave incoming radiation at ground is also explained by a higher temperature of the atmosphere. Any water vapor in the air is less prone to condense into clouds (see for instance</w:t>
      </w:r>
      <w:r w:rsidR="000D7CDE" w:rsidRPr="008F6866">
        <w:rPr>
          <w:rFonts w:cstheme="minorHAnsi"/>
        </w:rPr>
        <w:t xml:space="preserve"> </w:t>
      </w:r>
      <w:r w:rsidRPr="008F6866">
        <w:rPr>
          <w:rFonts w:cstheme="minorHAnsi"/>
        </w:rPr>
        <w:fldChar w:fldCharType="begin"/>
      </w:r>
      <w:r w:rsidR="006201C6">
        <w:rPr>
          <w:rFonts w:cstheme="minorHAnsi"/>
        </w:rPr>
        <w:instrText xml:space="preserve"> ADDIN EN.CITE &lt;EndNote&gt;&lt;Cite AuthorYear="1"&gt;&lt;Author&gt;Svennevik&lt;/Author&gt;&lt;Year&gt;2024&lt;/Year&gt;&lt;RecNum&gt;392&lt;/RecNum&gt;&lt;IDText&gt;Svennevik24&lt;/IDText&gt;&lt;DisplayText&gt;Svennevik&lt;style face="italic"&gt; et al.&lt;/style&gt; (2024)&lt;/DisplayText&gt;&lt;record&gt;&lt;rec-number&gt;392&lt;/rec-number&gt;&lt;foreign-keys&gt;&lt;key app="EN" db-id="0px2fzdxhrpdrre2w5f5pdryx90atadrdavt" timestamp="1713953209"&gt;392&lt;/key&gt;&lt;/foreign-keys&gt;&lt;ref-type name="Journal Article"&gt;17&lt;/ref-type&gt;&lt;contributors&gt;&lt;authors&gt;&lt;author&gt;Svennevik, H.&lt;/author&gt;&lt;author&gt;Hicks, S. A.&lt;/author&gt;&lt;author&gt;Riegler, M. A.&lt;/author&gt;&lt;author&gt;Storelvmo, T.&lt;/author&gt;&lt;author&gt;Hammer, H. L.&lt;/author&gt;&lt;/authors&gt;&lt;/contributors&gt;&lt;titles&gt;&lt;title&gt;A dataset for predicting cloud cover over Europe&lt;/title&gt;&lt;secondary-title&gt;Scientific Data&lt;/secondary-title&gt;&lt;/titles&gt;&lt;periodical&gt;&lt;full-title&gt;Scientific Data&lt;/full-title&gt;&lt;/periodical&gt;&lt;pages&gt;245&lt;/pages&gt;&lt;volume&gt;11&lt;/volume&gt;&lt;number&gt;1&lt;/number&gt;&lt;dates&gt;&lt;year&gt;2024&lt;/year&gt;&lt;/dates&gt;&lt;label&gt;Svennevik24&lt;/label&gt;&lt;work-type&gt;Article&lt;/work-type&gt;&lt;urls&gt;&lt;related-urls&gt;&lt;url&gt;https://www.scopus.com/inward/record.uri?eid=2-s2.0-85186439874&amp;amp;doi=10.1038%2fs41597-024-03062-0&amp;amp;partnerID=40&amp;amp;md5=a39d718cea5a65a3a43d0592148b76ad&lt;/url&gt;&lt;/related-urls&gt;&lt;/urls&gt;&lt;custom7&gt;245&lt;/custom7&gt;&lt;electronic-resource-num&gt;10.1038/s41597-024-03062-0&lt;/electronic-resource-num&gt;&lt;remote-database-name&gt;Scopus&lt;/remote-database-name&gt;&lt;/record&gt;&lt;/Cite&gt;&lt;/EndNote&gt;</w:instrText>
      </w:r>
      <w:r w:rsidRPr="008F6866">
        <w:rPr>
          <w:rFonts w:cstheme="minorHAnsi"/>
        </w:rPr>
        <w:fldChar w:fldCharType="separate"/>
      </w:r>
      <w:r w:rsidR="006201C6">
        <w:rPr>
          <w:rFonts w:cstheme="minorHAnsi"/>
          <w:noProof/>
        </w:rPr>
        <w:t>Svennevik</w:t>
      </w:r>
      <w:r w:rsidR="006201C6" w:rsidRPr="006201C6">
        <w:rPr>
          <w:rFonts w:cstheme="minorHAnsi"/>
          <w:i/>
          <w:noProof/>
        </w:rPr>
        <w:t xml:space="preserve"> et al.</w:t>
      </w:r>
      <w:r w:rsidR="006201C6">
        <w:rPr>
          <w:rFonts w:cstheme="minorHAnsi"/>
          <w:noProof/>
        </w:rPr>
        <w:t xml:space="preserve"> (2024)</w:t>
      </w:r>
      <w:r w:rsidRPr="008F6866">
        <w:rPr>
          <w:rFonts w:cstheme="minorHAnsi"/>
        </w:rPr>
        <w:fldChar w:fldCharType="end"/>
      </w:r>
      <w:r w:rsidRPr="008F6866">
        <w:rPr>
          <w:rFonts w:cstheme="minorHAnsi"/>
        </w:rPr>
        <w:t>). An analysis of the total cloud cover percentage for the vegetation growing season reveals a negative fraction change for all the models and the scenarios (not shown) consistent with an increase in incoming shortwave radiation at the surface.</w:t>
      </w:r>
    </w:p>
    <w:p w14:paraId="187FFECD" w14:textId="2391E43A" w:rsidR="00DE4897" w:rsidRPr="008F6866" w:rsidRDefault="00DE4897" w:rsidP="00F371F2">
      <w:pPr>
        <w:spacing w:after="0" w:line="300" w:lineRule="auto"/>
        <w:jc w:val="both"/>
        <w:rPr>
          <w:rFonts w:cstheme="minorHAnsi"/>
        </w:rPr>
      </w:pPr>
      <w:r w:rsidRPr="008F6866">
        <w:rPr>
          <w:rFonts w:cstheme="minorHAnsi"/>
        </w:rPr>
        <w:t>No significant changes in wind speed (calculated for the full year) over the 21st century is expected according to current models and scenarios (</w:t>
      </w:r>
      <w:r w:rsidR="000D7CDE" w:rsidRPr="008F6866">
        <w:rPr>
          <w:rFonts w:cstheme="minorHAnsi"/>
        </w:rPr>
        <w:fldChar w:fldCharType="begin"/>
      </w:r>
      <w:r w:rsidR="000D7CDE" w:rsidRPr="008F6866">
        <w:rPr>
          <w:rFonts w:cstheme="minorHAnsi"/>
        </w:rPr>
        <w:instrText xml:space="preserve"> REF _Ref195656848 \h  \* MERGEFORMAT </w:instrText>
      </w:r>
      <w:r w:rsidR="000D7CDE" w:rsidRPr="008F6866">
        <w:rPr>
          <w:rFonts w:cstheme="minorHAnsi"/>
        </w:rPr>
      </w:r>
      <w:r w:rsidR="000D7CDE" w:rsidRPr="008F6866">
        <w:rPr>
          <w:rFonts w:cstheme="minorHAnsi"/>
        </w:rPr>
        <w:fldChar w:fldCharType="separate"/>
      </w:r>
      <w:r w:rsidR="00540DBF" w:rsidRPr="00540DBF">
        <w:rPr>
          <w:rFonts w:cstheme="minorHAnsi"/>
        </w:rPr>
        <w:t>Figure 32</w:t>
      </w:r>
      <w:r w:rsidR="000D7CDE" w:rsidRPr="008F6866">
        <w:rPr>
          <w:rFonts w:cstheme="minorHAnsi"/>
        </w:rPr>
        <w:fldChar w:fldCharType="end"/>
      </w:r>
      <w:r w:rsidRPr="008F6866">
        <w:rPr>
          <w:rFonts w:cstheme="minorHAnsi"/>
        </w:rPr>
        <w:t xml:space="preserve">). Relative changes are generally constrained within a 5% range and there remains ambiguity regarding the sign of these changes. The SSP1-2.6 </w:t>
      </w:r>
      <w:r w:rsidRPr="008F6866">
        <w:rPr>
          <w:rFonts w:cstheme="minorHAnsi"/>
        </w:rPr>
        <w:lastRenderedPageBreak/>
        <w:t>scenario stands out as models for this scenario consistently predict a systematic decrease in wind speed towards the latter half of the century, accompanied by an unexplained negative peak around mid-century. For the last 30 years of the century, all scenarios but SSP2-4.5 predict a limited reduction of wind speed, which potentially less damage to trees.</w:t>
      </w:r>
    </w:p>
    <w:p w14:paraId="1CAC7956" w14:textId="3D31EFD4" w:rsidR="00637510" w:rsidRPr="008F6866" w:rsidRDefault="00637510" w:rsidP="00DE4897">
      <w:pPr>
        <w:jc w:val="both"/>
        <w:rPr>
          <w:rFonts w:eastAsia="Calibri" w:cstheme="minorHAnsi"/>
        </w:rPr>
      </w:pPr>
    </w:p>
    <w:p w14:paraId="3FCA5C0D" w14:textId="578CE050" w:rsidR="00637510" w:rsidRPr="008F6866" w:rsidRDefault="00637510" w:rsidP="00637510">
      <w:pPr>
        <w:spacing w:after="0" w:line="300" w:lineRule="auto"/>
        <w:jc w:val="center"/>
        <w:rPr>
          <w:rFonts w:eastAsia="Calibri" w:cstheme="minorHAnsi"/>
        </w:rPr>
      </w:pPr>
      <w:r w:rsidRPr="008F6866">
        <w:rPr>
          <w:noProof/>
        </w:rPr>
        <w:drawing>
          <wp:inline distT="0" distB="0" distL="0" distR="0" wp14:anchorId="737CA9AD" wp14:editId="2DFE3026">
            <wp:extent cx="2874645" cy="2256155"/>
            <wp:effectExtent l="0" t="0" r="190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74645" cy="2256155"/>
                    </a:xfrm>
                    <a:prstGeom prst="rect">
                      <a:avLst/>
                    </a:prstGeom>
                    <a:noFill/>
                    <a:ln>
                      <a:noFill/>
                    </a:ln>
                  </pic:spPr>
                </pic:pic>
              </a:graphicData>
            </a:graphic>
          </wp:inline>
        </w:drawing>
      </w:r>
    </w:p>
    <w:p w14:paraId="03F1F333" w14:textId="6CA158B3" w:rsidR="00DE4897" w:rsidRPr="008F6866" w:rsidRDefault="00637510" w:rsidP="00F371F2">
      <w:pPr>
        <w:pStyle w:val="Lgende"/>
        <w:jc w:val="center"/>
        <w:rPr>
          <w:b/>
          <w:i w:val="0"/>
          <w:color w:val="000000" w:themeColor="text1"/>
          <w:sz w:val="20"/>
          <w:szCs w:val="20"/>
        </w:rPr>
      </w:pPr>
      <w:bookmarkStart w:id="94" w:name="_Ref195656848"/>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32</w:t>
      </w:r>
      <w:r w:rsidRPr="008F6866">
        <w:rPr>
          <w:b/>
          <w:i w:val="0"/>
          <w:color w:val="000000" w:themeColor="text1"/>
          <w:sz w:val="20"/>
          <w:szCs w:val="20"/>
        </w:rPr>
        <w:fldChar w:fldCharType="end"/>
      </w:r>
      <w:bookmarkEnd w:id="94"/>
      <w:r w:rsidRPr="008F6866">
        <w:rPr>
          <w:b/>
          <w:i w:val="0"/>
          <w:color w:val="000000" w:themeColor="text1"/>
          <w:sz w:val="20"/>
          <w:szCs w:val="20"/>
        </w:rPr>
        <w:t>. Boxplots representing the climate change signals (in absolute value) for wind speed in the six selected models for 4 SSP scenarios and three periods in the future. Changes are relative to 1976-2014 and are averaged over model independent forest sites. Near future: 2015-2040, medium future: 2041-2070, far future: 2071-2100</w:t>
      </w:r>
    </w:p>
    <w:p w14:paraId="3E04EA5B" w14:textId="77777777" w:rsidR="00F371F2" w:rsidRPr="008F6866" w:rsidRDefault="00F371F2" w:rsidP="00F371F2">
      <w:pPr>
        <w:spacing w:after="0" w:line="300" w:lineRule="auto"/>
        <w:rPr>
          <w:lang w:eastAsia="fr-BE"/>
        </w:rPr>
      </w:pPr>
    </w:p>
    <w:p w14:paraId="740BAA9D" w14:textId="6F7E19B0" w:rsidR="00DE4897" w:rsidRPr="008F6866" w:rsidRDefault="439441DB" w:rsidP="439441DB">
      <w:pPr>
        <w:rPr>
          <w:b/>
          <w:bCs/>
        </w:rPr>
      </w:pPr>
      <w:r w:rsidRPr="008F6866">
        <w:rPr>
          <w:b/>
          <w:bCs/>
        </w:rPr>
        <w:t>4.4 Simulation experiment results</w:t>
      </w:r>
    </w:p>
    <w:p w14:paraId="6CFF1B3D" w14:textId="38D7024A" w:rsidR="00C73410" w:rsidRPr="008F6866" w:rsidRDefault="439441DB" w:rsidP="439441DB">
      <w:pPr>
        <w:rPr>
          <w:b/>
          <w:bCs/>
        </w:rPr>
      </w:pPr>
      <w:r w:rsidRPr="008F6866">
        <w:rPr>
          <w:b/>
          <w:bCs/>
        </w:rPr>
        <w:t>4.4.1. Effects of silvicultural route and ungulate browsing</w:t>
      </w:r>
    </w:p>
    <w:p w14:paraId="351E1F97" w14:textId="4C856635" w:rsidR="00A702F4" w:rsidRPr="008F6866" w:rsidRDefault="439441DB" w:rsidP="00A859A3">
      <w:pPr>
        <w:spacing w:after="12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 xml:space="preserve">To synthesize our results while retaining as much information as possible, we aggregated a wide range of indicators into five categories: productivity, profitability, sustainability, carbon, and resilience. For each category, a Principal Component Analysis (PCA) was performed, and the first principal component (PC1) was used as a synthetic score (SI3). The productivity category includes variables related to tree growth, stand dynamics, and biomass production, such as basal area, </w:t>
      </w:r>
      <w:r w:rsidR="00F371F2" w:rsidRPr="008F6866">
        <w:rPr>
          <w:rFonts w:ascii="Calibri" w:eastAsia="Calibri" w:hAnsi="Calibri" w:cs="Calibri"/>
          <w:color w:val="000000" w:themeColor="text1"/>
        </w:rPr>
        <w:t>g</w:t>
      </w:r>
      <w:r w:rsidRPr="008F6866">
        <w:rPr>
          <w:rFonts w:ascii="Calibri" w:eastAsia="Calibri" w:hAnsi="Calibri" w:cs="Calibri"/>
          <w:color w:val="000000" w:themeColor="text1"/>
        </w:rPr>
        <w:t xml:space="preserve">ross </w:t>
      </w:r>
      <w:r w:rsidR="00F371F2" w:rsidRPr="008F6866">
        <w:rPr>
          <w:rFonts w:ascii="Calibri" w:eastAsia="Calibri" w:hAnsi="Calibri" w:cs="Calibri"/>
          <w:color w:val="000000" w:themeColor="text1"/>
        </w:rPr>
        <w:t>p</w:t>
      </w:r>
      <w:r w:rsidRPr="008F6866">
        <w:rPr>
          <w:rFonts w:ascii="Calibri" w:eastAsia="Calibri" w:hAnsi="Calibri" w:cs="Calibri"/>
          <w:color w:val="000000" w:themeColor="text1"/>
        </w:rPr>
        <w:t xml:space="preserve">rimary </w:t>
      </w:r>
      <w:r w:rsidR="00F371F2" w:rsidRPr="008F6866">
        <w:rPr>
          <w:rFonts w:ascii="Calibri" w:eastAsia="Calibri" w:hAnsi="Calibri" w:cs="Calibri"/>
          <w:color w:val="000000" w:themeColor="text1"/>
        </w:rPr>
        <w:t>p</w:t>
      </w:r>
      <w:r w:rsidRPr="008F6866">
        <w:rPr>
          <w:rFonts w:ascii="Calibri" w:eastAsia="Calibri" w:hAnsi="Calibri" w:cs="Calibri"/>
          <w:color w:val="000000" w:themeColor="text1"/>
        </w:rPr>
        <w:t xml:space="preserve">roduction (GPP), and </w:t>
      </w:r>
      <w:r w:rsidR="00F371F2" w:rsidRPr="008F6866">
        <w:rPr>
          <w:rFonts w:ascii="Calibri" w:eastAsia="Calibri" w:hAnsi="Calibri" w:cs="Calibri"/>
          <w:color w:val="000000" w:themeColor="text1"/>
        </w:rPr>
        <w:t>n</w:t>
      </w:r>
      <w:r w:rsidRPr="008F6866">
        <w:rPr>
          <w:rFonts w:ascii="Calibri" w:eastAsia="Calibri" w:hAnsi="Calibri" w:cs="Calibri"/>
          <w:color w:val="000000" w:themeColor="text1"/>
        </w:rPr>
        <w:t xml:space="preserve">et </w:t>
      </w:r>
      <w:r w:rsidR="00F371F2" w:rsidRPr="008F6866">
        <w:rPr>
          <w:rFonts w:ascii="Calibri" w:eastAsia="Calibri" w:hAnsi="Calibri" w:cs="Calibri"/>
          <w:color w:val="000000" w:themeColor="text1"/>
        </w:rPr>
        <w:t>p</w:t>
      </w:r>
      <w:r w:rsidRPr="008F6866">
        <w:rPr>
          <w:rFonts w:ascii="Calibri" w:eastAsia="Calibri" w:hAnsi="Calibri" w:cs="Calibri"/>
          <w:color w:val="000000" w:themeColor="text1"/>
        </w:rPr>
        <w:t xml:space="preserve">rimary </w:t>
      </w:r>
      <w:r w:rsidR="00F371F2" w:rsidRPr="008F6866">
        <w:rPr>
          <w:rFonts w:ascii="Calibri" w:eastAsia="Calibri" w:hAnsi="Calibri" w:cs="Calibri"/>
          <w:color w:val="000000" w:themeColor="text1"/>
        </w:rPr>
        <w:t>p</w:t>
      </w:r>
      <w:r w:rsidRPr="008F6866">
        <w:rPr>
          <w:rFonts w:ascii="Calibri" w:eastAsia="Calibri" w:hAnsi="Calibri" w:cs="Calibri"/>
          <w:color w:val="000000" w:themeColor="text1"/>
        </w:rPr>
        <w:t xml:space="preserve">roduction (NPP). Profitability indicators measure the short-term economic performance of the forest stands through metrics like </w:t>
      </w:r>
      <w:r w:rsidR="00F371F2" w:rsidRPr="008F6866">
        <w:rPr>
          <w:rFonts w:ascii="Calibri" w:eastAsia="Calibri" w:hAnsi="Calibri" w:cs="Calibri"/>
          <w:color w:val="000000" w:themeColor="text1"/>
        </w:rPr>
        <w:t>n</w:t>
      </w:r>
      <w:r w:rsidRPr="008F6866">
        <w:rPr>
          <w:rFonts w:ascii="Calibri" w:eastAsia="Calibri" w:hAnsi="Calibri" w:cs="Calibri"/>
          <w:color w:val="000000" w:themeColor="text1"/>
        </w:rPr>
        <w:t xml:space="preserve">et </w:t>
      </w:r>
      <w:r w:rsidR="00F371F2" w:rsidRPr="008F6866">
        <w:rPr>
          <w:rFonts w:ascii="Calibri" w:eastAsia="Calibri" w:hAnsi="Calibri" w:cs="Calibri"/>
          <w:color w:val="000000" w:themeColor="text1"/>
        </w:rPr>
        <w:t>p</w:t>
      </w:r>
      <w:r w:rsidRPr="008F6866">
        <w:rPr>
          <w:rFonts w:ascii="Calibri" w:eastAsia="Calibri" w:hAnsi="Calibri" w:cs="Calibri"/>
          <w:color w:val="000000" w:themeColor="text1"/>
        </w:rPr>
        <w:t xml:space="preserve">resent </w:t>
      </w:r>
      <w:r w:rsidR="00F371F2" w:rsidRPr="008F6866">
        <w:rPr>
          <w:rFonts w:ascii="Calibri" w:eastAsia="Calibri" w:hAnsi="Calibri" w:cs="Calibri"/>
          <w:color w:val="000000" w:themeColor="text1"/>
        </w:rPr>
        <w:t>v</w:t>
      </w:r>
      <w:r w:rsidRPr="008F6866">
        <w:rPr>
          <w:rFonts w:ascii="Calibri" w:eastAsia="Calibri" w:hAnsi="Calibri" w:cs="Calibri"/>
          <w:color w:val="000000" w:themeColor="text1"/>
        </w:rPr>
        <w:t xml:space="preserve">alue (NPV) and annual revenue. Sustainability focuses on long-term forest value and volume. Carbon indicators quantify carbon storage and emissions in different forest components, including above- and below-ground biomass, deadwood, and wood products. Finally, resilience indicators encompass forest structural and species diversity, species distribution, and responses to environmental stressors such as drought and wind damage. These indicators provide a comprehensive assessment of forest dynamics and performance under different management and environmental conditions. </w:t>
      </w:r>
    </w:p>
    <w:p w14:paraId="782FE210" w14:textId="11F8B583" w:rsidR="00A702F4" w:rsidRPr="008F6866" w:rsidRDefault="439441DB" w:rsidP="00A859A3">
      <w:pPr>
        <w:spacing w:after="12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 xml:space="preserve">To assess the effects of silvicultural and environmental factors on each of the five scores (productivity, profitability, sustainability, carbon, and resilience), an analysis of variance (ANOVA) was performed, with the score as the response variable. The model included interactions between the silvicultural scenario, the climate change scenario (SSP), and the ungulate pressure scenario. A stepwise model </w:t>
      </w:r>
      <w:r w:rsidRPr="008F6866">
        <w:rPr>
          <w:rFonts w:ascii="Calibri" w:eastAsia="Calibri" w:hAnsi="Calibri" w:cs="Calibri"/>
          <w:color w:val="000000" w:themeColor="text1"/>
        </w:rPr>
        <w:lastRenderedPageBreak/>
        <w:t>selection using backward elimination was applied to identify the most parsimonious model, retaining only significant predictors. Post hoc pairwise comparisons were conducted using estimated marginal means (EMMs) to evaluate the effects of different factors on each score. The EMMs were extracted from the full model, including all interactions, rather than the most parsimonious model. This approach was chosen to illustrate the effects of all factors, not just those identified as significant in the model selection process.</w:t>
      </w:r>
    </w:p>
    <w:p w14:paraId="7535872B" w14:textId="618ED882" w:rsidR="00A702F4" w:rsidRPr="008F6866" w:rsidRDefault="4EBA9570" w:rsidP="00A859A3">
      <w:pPr>
        <w:spacing w:after="12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The productivity score varied significantly across silvicultural scenarios (</w:t>
      </w:r>
      <w:r w:rsidRPr="008F6866">
        <w:rPr>
          <w:rFonts w:ascii="Calibri" w:eastAsia="Calibri" w:hAnsi="Calibri" w:cs="Calibri"/>
          <w:i/>
          <w:iCs/>
          <w:color w:val="000000" w:themeColor="text1"/>
        </w:rPr>
        <w:t>p</w:t>
      </w:r>
      <w:r w:rsidRPr="008F6866">
        <w:rPr>
          <w:rFonts w:ascii="Calibri" w:eastAsia="Calibri" w:hAnsi="Calibri" w:cs="Calibri"/>
          <w:color w:val="000000" w:themeColor="text1"/>
        </w:rPr>
        <w:t xml:space="preserve"> &lt; 0.05), ungulate densities (</w:t>
      </w:r>
      <w:r w:rsidRPr="008F6866">
        <w:rPr>
          <w:rFonts w:ascii="Calibri" w:eastAsia="Calibri" w:hAnsi="Calibri" w:cs="Calibri"/>
          <w:i/>
          <w:iCs/>
          <w:color w:val="000000" w:themeColor="text1"/>
        </w:rPr>
        <w:t>p</w:t>
      </w:r>
      <w:r w:rsidR="00094B47">
        <w:rPr>
          <w:rFonts w:ascii="Calibri" w:eastAsia="Calibri" w:hAnsi="Calibri" w:cs="Calibri"/>
          <w:color w:val="000000" w:themeColor="text1"/>
        </w:rPr>
        <w:t> </w:t>
      </w:r>
      <w:r w:rsidRPr="008F6866">
        <w:rPr>
          <w:rFonts w:ascii="Calibri" w:eastAsia="Calibri" w:hAnsi="Calibri" w:cs="Calibri"/>
          <w:color w:val="000000" w:themeColor="text1"/>
        </w:rPr>
        <w:t>&lt; 0.001), and SSP (</w:t>
      </w:r>
      <w:r w:rsidRPr="008F6866">
        <w:rPr>
          <w:rFonts w:ascii="Calibri" w:eastAsia="Calibri" w:hAnsi="Calibri" w:cs="Calibri"/>
          <w:i/>
          <w:iCs/>
          <w:color w:val="000000" w:themeColor="text1"/>
        </w:rPr>
        <w:t>p</w:t>
      </w:r>
      <w:r w:rsidRPr="008F6866">
        <w:rPr>
          <w:rFonts w:ascii="Calibri" w:eastAsia="Calibri" w:hAnsi="Calibri" w:cs="Calibri"/>
          <w:color w:val="000000" w:themeColor="text1"/>
        </w:rPr>
        <w:t xml:space="preserve"> &lt; 0.001). Additionally, there was a significant interaction between silvicultural scenarios and ungulate densities (</w:t>
      </w:r>
      <w:r w:rsidRPr="008F6866">
        <w:rPr>
          <w:rFonts w:ascii="Calibri" w:eastAsia="Calibri" w:hAnsi="Calibri" w:cs="Calibri"/>
          <w:i/>
          <w:iCs/>
          <w:color w:val="000000" w:themeColor="text1"/>
        </w:rPr>
        <w:t>p</w:t>
      </w:r>
      <w:r w:rsidRPr="008F6866">
        <w:rPr>
          <w:rFonts w:ascii="Calibri" w:eastAsia="Calibri" w:hAnsi="Calibri" w:cs="Calibri"/>
          <w:color w:val="000000" w:themeColor="text1"/>
        </w:rPr>
        <w:t xml:space="preserve"> &lt; 0.001) (</w:t>
      </w:r>
      <w:r w:rsidR="00836999" w:rsidRPr="008F6866">
        <w:rPr>
          <w:rFonts w:ascii="Calibri" w:eastAsia="Calibri" w:hAnsi="Calibri" w:cs="Calibri"/>
          <w:color w:val="000000" w:themeColor="text1"/>
        </w:rPr>
        <w:fldChar w:fldCharType="begin"/>
      </w:r>
      <w:r w:rsidR="00836999" w:rsidRPr="008F6866">
        <w:rPr>
          <w:rFonts w:ascii="Calibri" w:eastAsia="Calibri" w:hAnsi="Calibri" w:cs="Calibri"/>
          <w:color w:val="000000" w:themeColor="text1"/>
        </w:rPr>
        <w:instrText xml:space="preserve"> REF _Ref195657547 \h  \* MERGEFORMAT </w:instrText>
      </w:r>
      <w:r w:rsidR="00836999" w:rsidRPr="008F6866">
        <w:rPr>
          <w:rFonts w:ascii="Calibri" w:eastAsia="Calibri" w:hAnsi="Calibri" w:cs="Calibri"/>
          <w:color w:val="000000" w:themeColor="text1"/>
        </w:rPr>
      </w:r>
      <w:r w:rsidR="00836999"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Table XVIII</w:t>
      </w:r>
      <w:r w:rsidR="00836999" w:rsidRPr="008F6866">
        <w:rPr>
          <w:rFonts w:ascii="Calibri" w:eastAsia="Calibri" w:hAnsi="Calibri" w:cs="Calibri"/>
          <w:color w:val="000000" w:themeColor="text1"/>
        </w:rPr>
        <w:fldChar w:fldCharType="end"/>
      </w:r>
      <w:r w:rsidRPr="008F6866">
        <w:rPr>
          <w:rFonts w:ascii="Calibri" w:eastAsia="Calibri" w:hAnsi="Calibri" w:cs="Calibri"/>
          <w:color w:val="000000" w:themeColor="text1"/>
        </w:rPr>
        <w:t>). Productivity was greater with OAK, followed by DIV then BAU. It increased with the severity of climate change (from SSP1 to SSP3). Productivity generally decreased with ungulate density, but this effect depended on the silvicultural scenario. The impact of ungulate density was the lowest with BAU, while in OAK and DIV, high ungulate pressure drastically reduced productivity (</w:t>
      </w:r>
      <w:r w:rsidR="00836999" w:rsidRPr="008F6866">
        <w:rPr>
          <w:rFonts w:ascii="Calibri" w:eastAsia="Calibri" w:hAnsi="Calibri" w:cs="Calibri"/>
          <w:color w:val="000000" w:themeColor="text1"/>
        </w:rPr>
        <w:fldChar w:fldCharType="begin"/>
      </w:r>
      <w:r w:rsidR="00836999" w:rsidRPr="008F6866">
        <w:rPr>
          <w:rFonts w:ascii="Calibri" w:eastAsia="Calibri" w:hAnsi="Calibri" w:cs="Calibri"/>
          <w:color w:val="000000" w:themeColor="text1"/>
        </w:rPr>
        <w:instrText xml:space="preserve"> REF _Ref195658006 \h  \* MERGEFORMAT </w:instrText>
      </w:r>
      <w:r w:rsidR="00836999" w:rsidRPr="008F6866">
        <w:rPr>
          <w:rFonts w:ascii="Calibri" w:eastAsia="Calibri" w:hAnsi="Calibri" w:cs="Calibri"/>
          <w:color w:val="000000" w:themeColor="text1"/>
        </w:rPr>
      </w:r>
      <w:r w:rsidR="00836999"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Figure 33</w:t>
      </w:r>
      <w:r w:rsidR="00836999" w:rsidRPr="008F6866">
        <w:rPr>
          <w:rFonts w:ascii="Calibri" w:eastAsia="Calibri" w:hAnsi="Calibri" w:cs="Calibri"/>
          <w:color w:val="000000" w:themeColor="text1"/>
        </w:rPr>
        <w:fldChar w:fldCharType="end"/>
      </w:r>
      <w:r w:rsidR="00836999" w:rsidRPr="008F6866">
        <w:rPr>
          <w:rFonts w:ascii="Calibri" w:eastAsia="Calibri" w:hAnsi="Calibri" w:cs="Calibri"/>
          <w:color w:val="000000" w:themeColor="text1"/>
        </w:rPr>
        <w:t xml:space="preserve"> and </w:t>
      </w:r>
      <w:r w:rsidR="00836999" w:rsidRPr="008F6866">
        <w:rPr>
          <w:rFonts w:ascii="Calibri" w:eastAsia="Calibri" w:hAnsi="Calibri" w:cs="Calibri"/>
          <w:color w:val="000000" w:themeColor="text1"/>
        </w:rPr>
        <w:fldChar w:fldCharType="begin"/>
      </w:r>
      <w:r w:rsidR="00836999" w:rsidRPr="008F6866">
        <w:rPr>
          <w:rFonts w:ascii="Calibri" w:eastAsia="Calibri" w:hAnsi="Calibri" w:cs="Calibri"/>
          <w:color w:val="000000" w:themeColor="text1"/>
        </w:rPr>
        <w:instrText xml:space="preserve"> REF _Ref195658021 \h  \* MERGEFORMAT </w:instrText>
      </w:r>
      <w:r w:rsidR="00836999" w:rsidRPr="008F6866">
        <w:rPr>
          <w:rFonts w:ascii="Calibri" w:eastAsia="Calibri" w:hAnsi="Calibri" w:cs="Calibri"/>
          <w:color w:val="000000" w:themeColor="text1"/>
        </w:rPr>
      </w:r>
      <w:r w:rsidR="00836999"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Figure 34</w:t>
      </w:r>
      <w:r w:rsidR="00836999" w:rsidRPr="008F6866">
        <w:rPr>
          <w:rFonts w:ascii="Calibri" w:eastAsia="Calibri" w:hAnsi="Calibri" w:cs="Calibri"/>
          <w:color w:val="000000" w:themeColor="text1"/>
        </w:rPr>
        <w:fldChar w:fldCharType="end"/>
      </w:r>
      <w:r w:rsidRPr="008F6866">
        <w:rPr>
          <w:rFonts w:ascii="Calibri" w:eastAsia="Calibri" w:hAnsi="Calibri" w:cs="Calibri"/>
          <w:color w:val="000000" w:themeColor="text1"/>
        </w:rPr>
        <w:t>).</w:t>
      </w:r>
    </w:p>
    <w:p w14:paraId="43C8CBBC" w14:textId="562CE6AD" w:rsidR="00A702F4" w:rsidRPr="008F6866" w:rsidRDefault="439441DB" w:rsidP="00A859A3">
      <w:pPr>
        <w:spacing w:after="12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The profitability score varied significantly with silvicultural scenarios (</w:t>
      </w:r>
      <w:r w:rsidRPr="008F6866">
        <w:rPr>
          <w:rFonts w:ascii="Calibri" w:eastAsia="Calibri" w:hAnsi="Calibri" w:cs="Calibri"/>
          <w:i/>
          <w:iCs/>
          <w:color w:val="000000" w:themeColor="text1"/>
        </w:rPr>
        <w:t>p</w:t>
      </w:r>
      <w:r w:rsidRPr="008F6866">
        <w:rPr>
          <w:rFonts w:ascii="Calibri" w:eastAsia="Calibri" w:hAnsi="Calibri" w:cs="Calibri"/>
          <w:color w:val="000000" w:themeColor="text1"/>
        </w:rPr>
        <w:t xml:space="preserve"> &lt; 0.01) and SSP (</w:t>
      </w:r>
      <w:r w:rsidRPr="008F6866">
        <w:rPr>
          <w:rFonts w:ascii="Calibri" w:eastAsia="Calibri" w:hAnsi="Calibri" w:cs="Calibri"/>
          <w:i/>
          <w:iCs/>
          <w:color w:val="000000" w:themeColor="text1"/>
        </w:rPr>
        <w:t>p</w:t>
      </w:r>
      <w:r w:rsidRPr="008F6866">
        <w:rPr>
          <w:rFonts w:ascii="Calibri" w:eastAsia="Calibri" w:hAnsi="Calibri" w:cs="Calibri"/>
          <w:color w:val="000000" w:themeColor="text1"/>
        </w:rPr>
        <w:t xml:space="preserve"> &lt; 0.05) (</w:t>
      </w:r>
      <w:r w:rsidR="00836999" w:rsidRPr="008F6866">
        <w:rPr>
          <w:rFonts w:ascii="Calibri" w:eastAsia="Calibri" w:hAnsi="Calibri" w:cs="Calibri"/>
          <w:color w:val="000000" w:themeColor="text1"/>
        </w:rPr>
        <w:fldChar w:fldCharType="begin"/>
      </w:r>
      <w:r w:rsidR="00836999" w:rsidRPr="008F6866">
        <w:rPr>
          <w:rFonts w:ascii="Calibri" w:eastAsia="Calibri" w:hAnsi="Calibri" w:cs="Calibri"/>
          <w:color w:val="000000" w:themeColor="text1"/>
        </w:rPr>
        <w:instrText xml:space="preserve"> REF _Ref195657547 \h  \* MERGEFORMAT </w:instrText>
      </w:r>
      <w:r w:rsidR="00836999" w:rsidRPr="008F6866">
        <w:rPr>
          <w:rFonts w:ascii="Calibri" w:eastAsia="Calibri" w:hAnsi="Calibri" w:cs="Calibri"/>
          <w:color w:val="000000" w:themeColor="text1"/>
        </w:rPr>
      </w:r>
      <w:r w:rsidR="00836999"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Table XVIII</w:t>
      </w:r>
      <w:r w:rsidR="00836999" w:rsidRPr="008F6866">
        <w:rPr>
          <w:rFonts w:ascii="Calibri" w:eastAsia="Calibri" w:hAnsi="Calibri" w:cs="Calibri"/>
          <w:color w:val="000000" w:themeColor="text1"/>
        </w:rPr>
        <w:fldChar w:fldCharType="end"/>
      </w:r>
      <w:r w:rsidRPr="008F6866">
        <w:rPr>
          <w:rFonts w:ascii="Calibri" w:eastAsia="Calibri" w:hAnsi="Calibri" w:cs="Calibri"/>
          <w:color w:val="000000" w:themeColor="text1"/>
        </w:rPr>
        <w:t>). Profitability was higher with DIV and BAU than with OAK. It increased with SSP levels (</w:t>
      </w:r>
      <w:r w:rsidR="00A859A3" w:rsidRPr="008F6866">
        <w:rPr>
          <w:rFonts w:ascii="Calibri" w:eastAsia="Calibri" w:hAnsi="Calibri" w:cs="Calibri"/>
          <w:color w:val="000000" w:themeColor="text1"/>
        </w:rPr>
        <w:fldChar w:fldCharType="begin"/>
      </w:r>
      <w:r w:rsidR="00A859A3" w:rsidRPr="008F6866">
        <w:rPr>
          <w:rFonts w:ascii="Calibri" w:eastAsia="Calibri" w:hAnsi="Calibri" w:cs="Calibri"/>
          <w:color w:val="000000" w:themeColor="text1"/>
        </w:rPr>
        <w:instrText xml:space="preserve"> REF _Ref195658006 \h  \* MERGEFORMAT </w:instrText>
      </w:r>
      <w:r w:rsidR="00A859A3" w:rsidRPr="008F6866">
        <w:rPr>
          <w:rFonts w:ascii="Calibri" w:eastAsia="Calibri" w:hAnsi="Calibri" w:cs="Calibri"/>
          <w:color w:val="000000" w:themeColor="text1"/>
        </w:rPr>
      </w:r>
      <w:r w:rsidR="00A859A3"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Figure 33</w:t>
      </w:r>
      <w:r w:rsidR="00A859A3" w:rsidRPr="008F6866">
        <w:rPr>
          <w:rFonts w:ascii="Calibri" w:eastAsia="Calibri" w:hAnsi="Calibri" w:cs="Calibri"/>
          <w:color w:val="000000" w:themeColor="text1"/>
        </w:rPr>
        <w:fldChar w:fldCharType="end"/>
      </w:r>
      <w:r w:rsidR="00A859A3" w:rsidRPr="008F6866">
        <w:rPr>
          <w:rFonts w:ascii="Calibri" w:eastAsia="Calibri" w:hAnsi="Calibri" w:cs="Calibri"/>
          <w:color w:val="000000" w:themeColor="text1"/>
        </w:rPr>
        <w:t xml:space="preserve"> and </w:t>
      </w:r>
      <w:r w:rsidR="00A859A3" w:rsidRPr="008F6866">
        <w:rPr>
          <w:rFonts w:ascii="Calibri" w:eastAsia="Calibri" w:hAnsi="Calibri" w:cs="Calibri"/>
          <w:color w:val="000000" w:themeColor="text1"/>
        </w:rPr>
        <w:fldChar w:fldCharType="begin"/>
      </w:r>
      <w:r w:rsidR="00A859A3" w:rsidRPr="008F6866">
        <w:rPr>
          <w:rFonts w:ascii="Calibri" w:eastAsia="Calibri" w:hAnsi="Calibri" w:cs="Calibri"/>
          <w:color w:val="000000" w:themeColor="text1"/>
        </w:rPr>
        <w:instrText xml:space="preserve"> REF _Ref195658021 \h  \* MERGEFORMAT </w:instrText>
      </w:r>
      <w:r w:rsidR="00A859A3" w:rsidRPr="008F6866">
        <w:rPr>
          <w:rFonts w:ascii="Calibri" w:eastAsia="Calibri" w:hAnsi="Calibri" w:cs="Calibri"/>
          <w:color w:val="000000" w:themeColor="text1"/>
        </w:rPr>
      </w:r>
      <w:r w:rsidR="00A859A3"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Figure 34</w:t>
      </w:r>
      <w:r w:rsidR="00A859A3" w:rsidRPr="008F6866">
        <w:rPr>
          <w:rFonts w:ascii="Calibri" w:eastAsia="Calibri" w:hAnsi="Calibri" w:cs="Calibri"/>
          <w:color w:val="000000" w:themeColor="text1"/>
        </w:rPr>
        <w:fldChar w:fldCharType="end"/>
      </w:r>
      <w:r w:rsidRPr="008F6866">
        <w:rPr>
          <w:rFonts w:ascii="Calibri" w:eastAsia="Calibri" w:hAnsi="Calibri" w:cs="Calibri"/>
          <w:color w:val="000000" w:themeColor="text1"/>
        </w:rPr>
        <w:t>).</w:t>
      </w:r>
    </w:p>
    <w:p w14:paraId="1307CEEF" w14:textId="3F4AE36F" w:rsidR="00A702F4" w:rsidRPr="008F6866" w:rsidRDefault="439441DB" w:rsidP="00A859A3">
      <w:pPr>
        <w:spacing w:after="12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The sustainability score varied significantly across silvicultural scenarios (</w:t>
      </w:r>
      <w:r w:rsidRPr="008F6866">
        <w:rPr>
          <w:rFonts w:ascii="Calibri" w:eastAsia="Calibri" w:hAnsi="Calibri" w:cs="Calibri"/>
          <w:i/>
          <w:iCs/>
          <w:color w:val="000000" w:themeColor="text1"/>
        </w:rPr>
        <w:t>p</w:t>
      </w:r>
      <w:r w:rsidRPr="008F6866">
        <w:rPr>
          <w:rFonts w:ascii="Calibri" w:eastAsia="Calibri" w:hAnsi="Calibri" w:cs="Calibri"/>
          <w:color w:val="000000" w:themeColor="text1"/>
        </w:rPr>
        <w:t xml:space="preserve"> &lt; 0.001), ungulate densities (</w:t>
      </w:r>
      <w:r w:rsidRPr="008F6866">
        <w:rPr>
          <w:rFonts w:ascii="Calibri" w:eastAsia="Calibri" w:hAnsi="Calibri" w:cs="Calibri"/>
          <w:i/>
          <w:iCs/>
          <w:color w:val="000000" w:themeColor="text1"/>
        </w:rPr>
        <w:t>p</w:t>
      </w:r>
      <w:r w:rsidRPr="008F6866">
        <w:rPr>
          <w:rFonts w:ascii="Calibri" w:eastAsia="Calibri" w:hAnsi="Calibri" w:cs="Calibri"/>
          <w:color w:val="000000" w:themeColor="text1"/>
        </w:rPr>
        <w:t xml:space="preserve"> &lt; 0.001), and SSP (</w:t>
      </w:r>
      <w:r w:rsidRPr="008F6866">
        <w:rPr>
          <w:rFonts w:ascii="Calibri" w:eastAsia="Calibri" w:hAnsi="Calibri" w:cs="Calibri"/>
          <w:i/>
          <w:iCs/>
          <w:color w:val="000000" w:themeColor="text1"/>
        </w:rPr>
        <w:t>p</w:t>
      </w:r>
      <w:r w:rsidRPr="008F6866">
        <w:rPr>
          <w:rFonts w:ascii="Calibri" w:eastAsia="Calibri" w:hAnsi="Calibri" w:cs="Calibri"/>
          <w:color w:val="000000" w:themeColor="text1"/>
        </w:rPr>
        <w:t xml:space="preserve"> &lt; 0.001). There was also a significant interaction between silvicultural scenarios and ungulate densities (</w:t>
      </w:r>
      <w:r w:rsidRPr="008F6866">
        <w:rPr>
          <w:rFonts w:ascii="Calibri" w:eastAsia="Calibri" w:hAnsi="Calibri" w:cs="Calibri"/>
          <w:i/>
          <w:iCs/>
          <w:color w:val="000000" w:themeColor="text1"/>
        </w:rPr>
        <w:t>p</w:t>
      </w:r>
      <w:r w:rsidRPr="008F6866">
        <w:rPr>
          <w:rFonts w:ascii="Calibri" w:eastAsia="Calibri" w:hAnsi="Calibri" w:cs="Calibri"/>
          <w:color w:val="000000" w:themeColor="text1"/>
        </w:rPr>
        <w:t xml:space="preserve"> &lt; 0.001) (</w:t>
      </w:r>
      <w:r w:rsidR="00A859A3" w:rsidRPr="008F6866">
        <w:rPr>
          <w:rFonts w:ascii="Calibri" w:eastAsia="Calibri" w:hAnsi="Calibri" w:cs="Calibri"/>
          <w:color w:val="000000" w:themeColor="text1"/>
        </w:rPr>
        <w:fldChar w:fldCharType="begin"/>
      </w:r>
      <w:r w:rsidR="00A859A3" w:rsidRPr="008F6866">
        <w:rPr>
          <w:rFonts w:ascii="Calibri" w:eastAsia="Calibri" w:hAnsi="Calibri" w:cs="Calibri"/>
          <w:color w:val="000000" w:themeColor="text1"/>
        </w:rPr>
        <w:instrText xml:space="preserve"> REF _Ref195658161 \h  \* MERGEFORMAT </w:instrText>
      </w:r>
      <w:r w:rsidR="00A859A3" w:rsidRPr="008F6866">
        <w:rPr>
          <w:rFonts w:ascii="Calibri" w:eastAsia="Calibri" w:hAnsi="Calibri" w:cs="Calibri"/>
          <w:color w:val="000000" w:themeColor="text1"/>
        </w:rPr>
      </w:r>
      <w:r w:rsidR="00A859A3"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Table XVIII</w:t>
      </w:r>
      <w:r w:rsidR="00A859A3" w:rsidRPr="008F6866">
        <w:rPr>
          <w:rFonts w:ascii="Calibri" w:eastAsia="Calibri" w:hAnsi="Calibri" w:cs="Calibri"/>
          <w:color w:val="000000" w:themeColor="text1"/>
        </w:rPr>
        <w:fldChar w:fldCharType="end"/>
      </w:r>
      <w:r w:rsidRPr="008F6866">
        <w:rPr>
          <w:rFonts w:ascii="Calibri" w:eastAsia="Calibri" w:hAnsi="Calibri" w:cs="Calibri"/>
          <w:color w:val="000000" w:themeColor="text1"/>
        </w:rPr>
        <w:t>). In contrast to the short-term profitability score, the long-term sustainability score was clearly reduced with high ungulate pressure. Sustainability was greater with BAU and OAK than with DIV.</w:t>
      </w:r>
      <w:r w:rsidRPr="008F6866">
        <w:rPr>
          <w:rFonts w:ascii="Aptos" w:eastAsia="Aptos" w:hAnsi="Aptos" w:cs="Aptos"/>
          <w:color w:val="000000" w:themeColor="text1"/>
        </w:rPr>
        <w:t xml:space="preserve"> </w:t>
      </w:r>
      <w:r w:rsidRPr="008F6866">
        <w:rPr>
          <w:rFonts w:ascii="Calibri" w:eastAsia="Calibri" w:hAnsi="Calibri" w:cs="Calibri"/>
          <w:color w:val="000000" w:themeColor="text1"/>
        </w:rPr>
        <w:t>As with productivity, sustainability was least affected by ungulate density under the BAU scenario. In contrast, sustainability declined more sharply under the OAK and DIV scenarios, particularly at high ungulate pressure (</w:t>
      </w:r>
      <w:r w:rsidR="00A859A3" w:rsidRPr="008F6866">
        <w:rPr>
          <w:rFonts w:ascii="Calibri" w:eastAsia="Calibri" w:hAnsi="Calibri" w:cs="Calibri"/>
          <w:color w:val="000000" w:themeColor="text1"/>
        </w:rPr>
        <w:fldChar w:fldCharType="begin"/>
      </w:r>
      <w:r w:rsidR="00A859A3" w:rsidRPr="008F6866">
        <w:rPr>
          <w:rFonts w:ascii="Calibri" w:eastAsia="Calibri" w:hAnsi="Calibri" w:cs="Calibri"/>
          <w:color w:val="000000" w:themeColor="text1"/>
        </w:rPr>
        <w:instrText xml:space="preserve"> REF _Ref195658006 \h  \* MERGEFORMAT </w:instrText>
      </w:r>
      <w:r w:rsidR="00A859A3" w:rsidRPr="008F6866">
        <w:rPr>
          <w:rFonts w:ascii="Calibri" w:eastAsia="Calibri" w:hAnsi="Calibri" w:cs="Calibri"/>
          <w:color w:val="000000" w:themeColor="text1"/>
        </w:rPr>
      </w:r>
      <w:r w:rsidR="00A859A3"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Figure 33</w:t>
      </w:r>
      <w:r w:rsidR="00A859A3" w:rsidRPr="008F6866">
        <w:rPr>
          <w:rFonts w:ascii="Calibri" w:eastAsia="Calibri" w:hAnsi="Calibri" w:cs="Calibri"/>
          <w:color w:val="000000" w:themeColor="text1"/>
        </w:rPr>
        <w:fldChar w:fldCharType="end"/>
      </w:r>
      <w:r w:rsidR="00A859A3" w:rsidRPr="008F6866">
        <w:rPr>
          <w:rFonts w:ascii="Calibri" w:eastAsia="Calibri" w:hAnsi="Calibri" w:cs="Calibri"/>
          <w:color w:val="000000" w:themeColor="text1"/>
        </w:rPr>
        <w:t xml:space="preserve"> and </w:t>
      </w:r>
      <w:r w:rsidR="00A859A3" w:rsidRPr="008F6866">
        <w:rPr>
          <w:rFonts w:ascii="Calibri" w:eastAsia="Calibri" w:hAnsi="Calibri" w:cs="Calibri"/>
          <w:color w:val="000000" w:themeColor="text1"/>
        </w:rPr>
        <w:fldChar w:fldCharType="begin"/>
      </w:r>
      <w:r w:rsidR="00A859A3" w:rsidRPr="008F6866">
        <w:rPr>
          <w:rFonts w:ascii="Calibri" w:eastAsia="Calibri" w:hAnsi="Calibri" w:cs="Calibri"/>
          <w:color w:val="000000" w:themeColor="text1"/>
        </w:rPr>
        <w:instrText xml:space="preserve"> REF _Ref195658021 \h  \* MERGEFORMAT </w:instrText>
      </w:r>
      <w:r w:rsidR="00A859A3" w:rsidRPr="008F6866">
        <w:rPr>
          <w:rFonts w:ascii="Calibri" w:eastAsia="Calibri" w:hAnsi="Calibri" w:cs="Calibri"/>
          <w:color w:val="000000" w:themeColor="text1"/>
        </w:rPr>
      </w:r>
      <w:r w:rsidR="00A859A3"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Figure 34</w:t>
      </w:r>
      <w:r w:rsidR="00A859A3" w:rsidRPr="008F6866">
        <w:rPr>
          <w:rFonts w:ascii="Calibri" w:eastAsia="Calibri" w:hAnsi="Calibri" w:cs="Calibri"/>
          <w:color w:val="000000" w:themeColor="text1"/>
        </w:rPr>
        <w:fldChar w:fldCharType="end"/>
      </w:r>
      <w:r w:rsidRPr="008F6866">
        <w:rPr>
          <w:rFonts w:ascii="Calibri" w:eastAsia="Calibri" w:hAnsi="Calibri" w:cs="Calibri"/>
          <w:color w:val="000000" w:themeColor="text1"/>
        </w:rPr>
        <w:t>).</w:t>
      </w:r>
    </w:p>
    <w:p w14:paraId="5B6F9DF7" w14:textId="62BB8EFF" w:rsidR="00A702F4" w:rsidRPr="008F6866" w:rsidRDefault="439441DB" w:rsidP="00A859A3">
      <w:pPr>
        <w:spacing w:after="12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Similarly to the sustainability score, the carbon score varied significantly across silvicultural scenarios (</w:t>
      </w:r>
      <w:r w:rsidRPr="008F6866">
        <w:rPr>
          <w:rFonts w:ascii="Calibri" w:eastAsia="Calibri" w:hAnsi="Calibri" w:cs="Calibri"/>
          <w:i/>
          <w:iCs/>
          <w:color w:val="000000" w:themeColor="text1"/>
        </w:rPr>
        <w:t>p</w:t>
      </w:r>
      <w:r w:rsidRPr="008F6866">
        <w:rPr>
          <w:rFonts w:ascii="Calibri" w:eastAsia="Calibri" w:hAnsi="Calibri" w:cs="Calibri"/>
          <w:color w:val="000000" w:themeColor="text1"/>
        </w:rPr>
        <w:t xml:space="preserve"> &lt; 0.001), ungulate densities (</w:t>
      </w:r>
      <w:r w:rsidRPr="008F6866">
        <w:rPr>
          <w:rFonts w:ascii="Calibri" w:eastAsia="Calibri" w:hAnsi="Calibri" w:cs="Calibri"/>
          <w:i/>
          <w:iCs/>
          <w:color w:val="000000" w:themeColor="text1"/>
        </w:rPr>
        <w:t>p</w:t>
      </w:r>
      <w:r w:rsidRPr="008F6866">
        <w:rPr>
          <w:rFonts w:ascii="Calibri" w:eastAsia="Calibri" w:hAnsi="Calibri" w:cs="Calibri"/>
          <w:color w:val="000000" w:themeColor="text1"/>
        </w:rPr>
        <w:t xml:space="preserve"> &lt; 0.001), and SSP (</w:t>
      </w:r>
      <w:r w:rsidRPr="008F6866">
        <w:rPr>
          <w:rFonts w:ascii="Calibri" w:eastAsia="Calibri" w:hAnsi="Calibri" w:cs="Calibri"/>
          <w:i/>
          <w:iCs/>
          <w:color w:val="000000" w:themeColor="text1"/>
        </w:rPr>
        <w:t>p</w:t>
      </w:r>
      <w:r w:rsidRPr="008F6866">
        <w:rPr>
          <w:rFonts w:ascii="Calibri" w:eastAsia="Calibri" w:hAnsi="Calibri" w:cs="Calibri"/>
          <w:color w:val="000000" w:themeColor="text1"/>
        </w:rPr>
        <w:t xml:space="preserve"> &lt; 0.001). Additionally, there was also a significant interaction between silvicultural scenarios and ungulate densities (</w:t>
      </w:r>
      <w:r w:rsidRPr="008F6866">
        <w:rPr>
          <w:rFonts w:ascii="Calibri" w:eastAsia="Calibri" w:hAnsi="Calibri" w:cs="Calibri"/>
          <w:i/>
          <w:iCs/>
          <w:color w:val="000000" w:themeColor="text1"/>
        </w:rPr>
        <w:t>p</w:t>
      </w:r>
      <w:r w:rsidRPr="008F6866">
        <w:rPr>
          <w:rFonts w:ascii="Calibri" w:eastAsia="Calibri" w:hAnsi="Calibri" w:cs="Calibri"/>
          <w:color w:val="000000" w:themeColor="text1"/>
        </w:rPr>
        <w:t xml:space="preserve"> &lt; 0.001) (</w:t>
      </w:r>
      <w:r w:rsidR="00A859A3" w:rsidRPr="008F6866">
        <w:rPr>
          <w:rFonts w:ascii="Calibri" w:eastAsia="Calibri" w:hAnsi="Calibri" w:cs="Calibri"/>
          <w:color w:val="000000" w:themeColor="text1"/>
        </w:rPr>
        <w:fldChar w:fldCharType="begin"/>
      </w:r>
      <w:r w:rsidR="00A859A3" w:rsidRPr="008F6866">
        <w:rPr>
          <w:rFonts w:ascii="Calibri" w:eastAsia="Calibri" w:hAnsi="Calibri" w:cs="Calibri"/>
          <w:color w:val="000000" w:themeColor="text1"/>
        </w:rPr>
        <w:instrText xml:space="preserve"> REF _Ref195657547 \h  \* MERGEFORMAT </w:instrText>
      </w:r>
      <w:r w:rsidR="00A859A3" w:rsidRPr="008F6866">
        <w:rPr>
          <w:rFonts w:ascii="Calibri" w:eastAsia="Calibri" w:hAnsi="Calibri" w:cs="Calibri"/>
          <w:color w:val="000000" w:themeColor="text1"/>
        </w:rPr>
      </w:r>
      <w:r w:rsidR="00A859A3"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Table XVIII</w:t>
      </w:r>
      <w:r w:rsidR="00A859A3" w:rsidRPr="008F6866">
        <w:rPr>
          <w:rFonts w:ascii="Calibri" w:eastAsia="Calibri" w:hAnsi="Calibri" w:cs="Calibri"/>
          <w:color w:val="000000" w:themeColor="text1"/>
        </w:rPr>
        <w:fldChar w:fldCharType="end"/>
      </w:r>
      <w:r w:rsidRPr="008F6866">
        <w:rPr>
          <w:rFonts w:ascii="Calibri" w:eastAsia="Calibri" w:hAnsi="Calibri" w:cs="Calibri"/>
          <w:color w:val="000000" w:themeColor="text1"/>
        </w:rPr>
        <w:t>). Carbon storage was highest with BAU, followed by OAK and then DIV. It increased with SSP levels but decreased with higher ungulate pressure. Like the productivity and sustainability scores, the impact of ungulate density on carbon score was lowest under the BAU scenario. In contrast, high ungulate pressure drastically reduced the carbon score under the OAK and DIV scenarios (</w:t>
      </w:r>
      <w:r w:rsidR="00A859A3" w:rsidRPr="008F6866">
        <w:rPr>
          <w:rFonts w:ascii="Calibri" w:eastAsia="Calibri" w:hAnsi="Calibri" w:cs="Calibri"/>
          <w:color w:val="000000" w:themeColor="text1"/>
        </w:rPr>
        <w:fldChar w:fldCharType="begin"/>
      </w:r>
      <w:r w:rsidR="00A859A3" w:rsidRPr="008F6866">
        <w:rPr>
          <w:rFonts w:ascii="Calibri" w:eastAsia="Calibri" w:hAnsi="Calibri" w:cs="Calibri"/>
          <w:color w:val="000000" w:themeColor="text1"/>
        </w:rPr>
        <w:instrText xml:space="preserve"> REF _Ref195658006 \h  \* MERGEFORMAT </w:instrText>
      </w:r>
      <w:r w:rsidR="00A859A3" w:rsidRPr="008F6866">
        <w:rPr>
          <w:rFonts w:ascii="Calibri" w:eastAsia="Calibri" w:hAnsi="Calibri" w:cs="Calibri"/>
          <w:color w:val="000000" w:themeColor="text1"/>
        </w:rPr>
      </w:r>
      <w:r w:rsidR="00A859A3"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Figure 33</w:t>
      </w:r>
      <w:r w:rsidR="00A859A3" w:rsidRPr="008F6866">
        <w:rPr>
          <w:rFonts w:ascii="Calibri" w:eastAsia="Calibri" w:hAnsi="Calibri" w:cs="Calibri"/>
          <w:color w:val="000000" w:themeColor="text1"/>
        </w:rPr>
        <w:fldChar w:fldCharType="end"/>
      </w:r>
      <w:r w:rsidR="00A859A3" w:rsidRPr="008F6866">
        <w:rPr>
          <w:rFonts w:ascii="Calibri" w:eastAsia="Calibri" w:hAnsi="Calibri" w:cs="Calibri"/>
          <w:color w:val="000000" w:themeColor="text1"/>
        </w:rPr>
        <w:t xml:space="preserve"> and </w:t>
      </w:r>
      <w:r w:rsidR="00A859A3" w:rsidRPr="008F6866">
        <w:rPr>
          <w:rFonts w:ascii="Calibri" w:eastAsia="Calibri" w:hAnsi="Calibri" w:cs="Calibri"/>
          <w:color w:val="000000" w:themeColor="text1"/>
        </w:rPr>
        <w:fldChar w:fldCharType="begin"/>
      </w:r>
      <w:r w:rsidR="00A859A3" w:rsidRPr="008F6866">
        <w:rPr>
          <w:rFonts w:ascii="Calibri" w:eastAsia="Calibri" w:hAnsi="Calibri" w:cs="Calibri"/>
          <w:color w:val="000000" w:themeColor="text1"/>
        </w:rPr>
        <w:instrText xml:space="preserve"> REF _Ref195658021 \h  \* MERGEFORMAT </w:instrText>
      </w:r>
      <w:r w:rsidR="00A859A3" w:rsidRPr="008F6866">
        <w:rPr>
          <w:rFonts w:ascii="Calibri" w:eastAsia="Calibri" w:hAnsi="Calibri" w:cs="Calibri"/>
          <w:color w:val="000000" w:themeColor="text1"/>
        </w:rPr>
      </w:r>
      <w:r w:rsidR="00A859A3"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Figure</w:t>
      </w:r>
      <w:r w:rsidR="00971EF8">
        <w:rPr>
          <w:rFonts w:ascii="Calibri" w:eastAsia="Calibri" w:hAnsi="Calibri" w:cs="Calibri"/>
          <w:color w:val="000000" w:themeColor="text1"/>
        </w:rPr>
        <w:t> </w:t>
      </w:r>
      <w:r w:rsidR="00540DBF" w:rsidRPr="00540DBF">
        <w:rPr>
          <w:rFonts w:ascii="Calibri" w:eastAsia="Calibri" w:hAnsi="Calibri" w:cs="Calibri"/>
          <w:color w:val="000000" w:themeColor="text1"/>
        </w:rPr>
        <w:t>34</w:t>
      </w:r>
      <w:r w:rsidR="00A859A3" w:rsidRPr="008F6866">
        <w:rPr>
          <w:rFonts w:ascii="Calibri" w:eastAsia="Calibri" w:hAnsi="Calibri" w:cs="Calibri"/>
          <w:color w:val="000000" w:themeColor="text1"/>
        </w:rPr>
        <w:fldChar w:fldCharType="end"/>
      </w:r>
      <w:r w:rsidRPr="008F6866">
        <w:rPr>
          <w:rFonts w:ascii="Calibri" w:eastAsia="Calibri" w:hAnsi="Calibri" w:cs="Calibri"/>
          <w:color w:val="000000" w:themeColor="text1"/>
        </w:rPr>
        <w:t>).</w:t>
      </w:r>
    </w:p>
    <w:p w14:paraId="4296A064" w14:textId="7D1D1429" w:rsidR="00A702F4" w:rsidRPr="008F6866" w:rsidRDefault="439441DB" w:rsidP="00A859A3">
      <w:pPr>
        <w:spacing w:after="12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t>The resilience score varied significantly across silvicultural scenarios (</w:t>
      </w:r>
      <w:r w:rsidRPr="008F6866">
        <w:rPr>
          <w:rFonts w:ascii="Calibri" w:eastAsia="Calibri" w:hAnsi="Calibri" w:cs="Calibri"/>
          <w:i/>
          <w:iCs/>
          <w:color w:val="000000" w:themeColor="text1"/>
        </w:rPr>
        <w:t>p</w:t>
      </w:r>
      <w:r w:rsidRPr="008F6866">
        <w:rPr>
          <w:rFonts w:ascii="Calibri" w:eastAsia="Calibri" w:hAnsi="Calibri" w:cs="Calibri"/>
          <w:color w:val="000000" w:themeColor="text1"/>
        </w:rPr>
        <w:t xml:space="preserve"> &lt; 0.001), ungulate densities (</w:t>
      </w:r>
      <w:r w:rsidRPr="008F6866">
        <w:rPr>
          <w:rFonts w:ascii="Calibri" w:eastAsia="Calibri" w:hAnsi="Calibri" w:cs="Calibri"/>
          <w:i/>
          <w:iCs/>
          <w:color w:val="000000" w:themeColor="text1"/>
        </w:rPr>
        <w:t>p</w:t>
      </w:r>
      <w:r w:rsidRPr="008F6866">
        <w:rPr>
          <w:rFonts w:ascii="Calibri" w:eastAsia="Calibri" w:hAnsi="Calibri" w:cs="Calibri"/>
          <w:color w:val="000000" w:themeColor="text1"/>
        </w:rPr>
        <w:t xml:space="preserve"> &lt; 0.001), and there was a significant interaction between silvicultural scenarios and ungulate densities (</w:t>
      </w:r>
      <w:r w:rsidRPr="008F6866">
        <w:rPr>
          <w:rFonts w:ascii="Calibri" w:eastAsia="Calibri" w:hAnsi="Calibri" w:cs="Calibri"/>
          <w:i/>
          <w:iCs/>
          <w:color w:val="000000" w:themeColor="text1"/>
        </w:rPr>
        <w:t>p</w:t>
      </w:r>
      <w:r w:rsidRPr="008F6866">
        <w:rPr>
          <w:rFonts w:ascii="Calibri" w:eastAsia="Calibri" w:hAnsi="Calibri" w:cs="Calibri"/>
          <w:color w:val="000000" w:themeColor="text1"/>
        </w:rPr>
        <w:t xml:space="preserve"> &lt; 0.001) (</w:t>
      </w:r>
      <w:r w:rsidR="00A859A3" w:rsidRPr="008F6866">
        <w:rPr>
          <w:rFonts w:ascii="Calibri" w:eastAsia="Calibri" w:hAnsi="Calibri" w:cs="Calibri"/>
          <w:color w:val="000000" w:themeColor="text1"/>
        </w:rPr>
        <w:fldChar w:fldCharType="begin"/>
      </w:r>
      <w:r w:rsidR="00A859A3" w:rsidRPr="008F6866">
        <w:rPr>
          <w:rFonts w:ascii="Calibri" w:eastAsia="Calibri" w:hAnsi="Calibri" w:cs="Calibri"/>
          <w:color w:val="000000" w:themeColor="text1"/>
        </w:rPr>
        <w:instrText xml:space="preserve"> REF _Ref195657547 \h  \* MERGEFORMAT </w:instrText>
      </w:r>
      <w:r w:rsidR="00A859A3" w:rsidRPr="008F6866">
        <w:rPr>
          <w:rFonts w:ascii="Calibri" w:eastAsia="Calibri" w:hAnsi="Calibri" w:cs="Calibri"/>
          <w:color w:val="000000" w:themeColor="text1"/>
        </w:rPr>
      </w:r>
      <w:r w:rsidR="00A859A3"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Table XVIII</w:t>
      </w:r>
      <w:r w:rsidR="00A859A3" w:rsidRPr="008F6866">
        <w:rPr>
          <w:rFonts w:ascii="Calibri" w:eastAsia="Calibri" w:hAnsi="Calibri" w:cs="Calibri"/>
          <w:color w:val="000000" w:themeColor="text1"/>
        </w:rPr>
        <w:fldChar w:fldCharType="end"/>
      </w:r>
      <w:r w:rsidRPr="008F6866">
        <w:rPr>
          <w:rFonts w:ascii="Calibri" w:eastAsia="Calibri" w:hAnsi="Calibri" w:cs="Calibri"/>
          <w:color w:val="000000" w:themeColor="text1"/>
        </w:rPr>
        <w:t>). As expected, resilience was highest under DIV, far surpassing both OAK and BAU, with OAK still outperforming BAU. It decreased with higher ungulate pressure, but the effect was weakest with BAU. In DIV and OAK, high ungulate pressure drastically reduced resilience (</w:t>
      </w:r>
      <w:r w:rsidR="00A859A3" w:rsidRPr="008F6866">
        <w:rPr>
          <w:rFonts w:ascii="Calibri" w:eastAsia="Calibri" w:hAnsi="Calibri" w:cs="Calibri"/>
          <w:color w:val="000000" w:themeColor="text1"/>
        </w:rPr>
        <w:fldChar w:fldCharType="begin"/>
      </w:r>
      <w:r w:rsidR="00A859A3" w:rsidRPr="008F6866">
        <w:rPr>
          <w:rFonts w:ascii="Calibri" w:eastAsia="Calibri" w:hAnsi="Calibri" w:cs="Calibri"/>
          <w:color w:val="000000" w:themeColor="text1"/>
        </w:rPr>
        <w:instrText xml:space="preserve"> REF _Ref195658006 \h  \* MERGEFORMAT </w:instrText>
      </w:r>
      <w:r w:rsidR="00A859A3" w:rsidRPr="008F6866">
        <w:rPr>
          <w:rFonts w:ascii="Calibri" w:eastAsia="Calibri" w:hAnsi="Calibri" w:cs="Calibri"/>
          <w:color w:val="000000" w:themeColor="text1"/>
        </w:rPr>
      </w:r>
      <w:r w:rsidR="00A859A3"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Figure 33</w:t>
      </w:r>
      <w:r w:rsidR="00A859A3" w:rsidRPr="008F6866">
        <w:rPr>
          <w:rFonts w:ascii="Calibri" w:eastAsia="Calibri" w:hAnsi="Calibri" w:cs="Calibri"/>
          <w:color w:val="000000" w:themeColor="text1"/>
        </w:rPr>
        <w:fldChar w:fldCharType="end"/>
      </w:r>
      <w:r w:rsidR="00A859A3" w:rsidRPr="008F6866">
        <w:rPr>
          <w:rFonts w:ascii="Calibri" w:eastAsia="Calibri" w:hAnsi="Calibri" w:cs="Calibri"/>
          <w:color w:val="000000" w:themeColor="text1"/>
        </w:rPr>
        <w:t xml:space="preserve"> and </w:t>
      </w:r>
      <w:r w:rsidR="00A859A3" w:rsidRPr="008F6866">
        <w:rPr>
          <w:rFonts w:ascii="Calibri" w:eastAsia="Calibri" w:hAnsi="Calibri" w:cs="Calibri"/>
          <w:color w:val="000000" w:themeColor="text1"/>
        </w:rPr>
        <w:fldChar w:fldCharType="begin"/>
      </w:r>
      <w:r w:rsidR="00A859A3" w:rsidRPr="008F6866">
        <w:rPr>
          <w:rFonts w:ascii="Calibri" w:eastAsia="Calibri" w:hAnsi="Calibri" w:cs="Calibri"/>
          <w:color w:val="000000" w:themeColor="text1"/>
        </w:rPr>
        <w:instrText xml:space="preserve"> REF _Ref195658021 \h  \* MERGEFORMAT </w:instrText>
      </w:r>
      <w:r w:rsidR="00A859A3" w:rsidRPr="008F6866">
        <w:rPr>
          <w:rFonts w:ascii="Calibri" w:eastAsia="Calibri" w:hAnsi="Calibri" w:cs="Calibri"/>
          <w:color w:val="000000" w:themeColor="text1"/>
        </w:rPr>
      </w:r>
      <w:r w:rsidR="00A859A3"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Figure 34</w:t>
      </w:r>
      <w:r w:rsidR="00A859A3" w:rsidRPr="008F6866">
        <w:rPr>
          <w:rFonts w:ascii="Calibri" w:eastAsia="Calibri" w:hAnsi="Calibri" w:cs="Calibri"/>
          <w:color w:val="000000" w:themeColor="text1"/>
        </w:rPr>
        <w:fldChar w:fldCharType="end"/>
      </w:r>
      <w:r w:rsidRPr="008F6866">
        <w:rPr>
          <w:rFonts w:ascii="Calibri" w:eastAsia="Calibri" w:hAnsi="Calibri" w:cs="Calibri"/>
          <w:color w:val="000000" w:themeColor="text1"/>
        </w:rPr>
        <w:t>).</w:t>
      </w:r>
    </w:p>
    <w:p w14:paraId="604CC340" w14:textId="67EAF1F6" w:rsidR="00A702F4" w:rsidRDefault="4EBA9570" w:rsidP="00DB6185">
      <w:pPr>
        <w:spacing w:after="0" w:line="300" w:lineRule="auto"/>
        <w:jc w:val="both"/>
        <w:rPr>
          <w:rFonts w:ascii="Calibri" w:eastAsia="Calibri" w:hAnsi="Calibri" w:cs="Calibri"/>
          <w:color w:val="000000" w:themeColor="text1"/>
        </w:rPr>
      </w:pPr>
      <w:r w:rsidRPr="008F6866">
        <w:rPr>
          <w:rFonts w:ascii="Calibri" w:eastAsia="Calibri" w:hAnsi="Calibri" w:cs="Calibri"/>
          <w:color w:val="000000" w:themeColor="text1"/>
        </w:rPr>
        <w:lastRenderedPageBreak/>
        <w:t>Overall, BAU maximized economic and carbon benefits, and OAK maximized productivity and long-term economic benefits, while DIV prioritized resilience. High ungulate pressure generally worsened all indicators under OAK and DIV (</w:t>
      </w:r>
      <w:r w:rsidR="00A859A3" w:rsidRPr="008F6866">
        <w:rPr>
          <w:rFonts w:ascii="Calibri" w:eastAsia="Calibri" w:hAnsi="Calibri" w:cs="Calibri"/>
          <w:color w:val="000000" w:themeColor="text1"/>
        </w:rPr>
        <w:fldChar w:fldCharType="begin"/>
      </w:r>
      <w:r w:rsidR="00A859A3" w:rsidRPr="008F6866">
        <w:rPr>
          <w:rFonts w:ascii="Calibri" w:eastAsia="Calibri" w:hAnsi="Calibri" w:cs="Calibri"/>
          <w:color w:val="000000" w:themeColor="text1"/>
        </w:rPr>
        <w:instrText xml:space="preserve"> REF _Ref195658021 \h  \* MERGEFORMAT </w:instrText>
      </w:r>
      <w:r w:rsidR="00A859A3" w:rsidRPr="008F6866">
        <w:rPr>
          <w:rFonts w:ascii="Calibri" w:eastAsia="Calibri" w:hAnsi="Calibri" w:cs="Calibri"/>
          <w:color w:val="000000" w:themeColor="text1"/>
        </w:rPr>
      </w:r>
      <w:r w:rsidR="00A859A3" w:rsidRPr="008F6866">
        <w:rPr>
          <w:rFonts w:ascii="Calibri" w:eastAsia="Calibri" w:hAnsi="Calibri" w:cs="Calibri"/>
          <w:color w:val="000000" w:themeColor="text1"/>
        </w:rPr>
        <w:fldChar w:fldCharType="separate"/>
      </w:r>
      <w:r w:rsidR="00540DBF" w:rsidRPr="00540DBF">
        <w:rPr>
          <w:rFonts w:ascii="Calibri" w:eastAsia="Calibri" w:hAnsi="Calibri" w:cs="Calibri"/>
          <w:color w:val="000000" w:themeColor="text1"/>
        </w:rPr>
        <w:t>Figure 34</w:t>
      </w:r>
      <w:r w:rsidR="00A859A3" w:rsidRPr="008F6866">
        <w:rPr>
          <w:rFonts w:ascii="Calibri" w:eastAsia="Calibri" w:hAnsi="Calibri" w:cs="Calibri"/>
          <w:color w:val="000000" w:themeColor="text1"/>
        </w:rPr>
        <w:fldChar w:fldCharType="end"/>
      </w:r>
      <w:r w:rsidRPr="008F6866">
        <w:rPr>
          <w:rFonts w:ascii="Calibri" w:eastAsia="Calibri" w:hAnsi="Calibri" w:cs="Calibri"/>
          <w:color w:val="000000" w:themeColor="text1"/>
        </w:rPr>
        <w:t>).</w:t>
      </w:r>
    </w:p>
    <w:p w14:paraId="0C9FA8CF" w14:textId="77777777" w:rsidR="00DB6185" w:rsidRDefault="00DB6185" w:rsidP="00A859A3">
      <w:pPr>
        <w:spacing w:after="120" w:line="300" w:lineRule="auto"/>
        <w:jc w:val="both"/>
        <w:rPr>
          <w:rFonts w:ascii="Calibri" w:eastAsia="Calibri" w:hAnsi="Calibri" w:cs="Calibri"/>
          <w:color w:val="000000" w:themeColor="text1"/>
        </w:rPr>
      </w:pPr>
    </w:p>
    <w:p w14:paraId="0C4E885F" w14:textId="77777777" w:rsidR="00DB6185" w:rsidRPr="008F6866" w:rsidRDefault="00DB6185" w:rsidP="00DB6185">
      <w:pPr>
        <w:pStyle w:val="Lgende"/>
        <w:spacing w:after="60"/>
        <w:jc w:val="center"/>
        <w:rPr>
          <w:b/>
          <w:i w:val="0"/>
          <w:color w:val="000000" w:themeColor="text1"/>
          <w:sz w:val="20"/>
          <w:szCs w:val="20"/>
        </w:rPr>
      </w:pPr>
      <w:bookmarkStart w:id="95" w:name="_Ref195657547"/>
      <w:bookmarkStart w:id="96" w:name="_Ref195658161"/>
      <w:r w:rsidRPr="008F6866">
        <w:rPr>
          <w:b/>
          <w:i w:val="0"/>
          <w:color w:val="000000" w:themeColor="text1"/>
          <w:sz w:val="20"/>
          <w:szCs w:val="20"/>
        </w:rPr>
        <w:t xml:space="preserve">Table </w:t>
      </w:r>
      <w:r>
        <w:rPr>
          <w:b/>
          <w:i w:val="0"/>
          <w:color w:val="000000" w:themeColor="text1"/>
          <w:sz w:val="20"/>
          <w:szCs w:val="20"/>
        </w:rPr>
        <w:fldChar w:fldCharType="begin"/>
      </w:r>
      <w:r>
        <w:rPr>
          <w:b/>
          <w:i w:val="0"/>
          <w:color w:val="000000" w:themeColor="text1"/>
          <w:sz w:val="20"/>
          <w:szCs w:val="20"/>
        </w:rPr>
        <w:instrText xml:space="preserve"> SEQ Table \* ROMAN </w:instrText>
      </w:r>
      <w:r>
        <w:rPr>
          <w:b/>
          <w:i w:val="0"/>
          <w:color w:val="000000" w:themeColor="text1"/>
          <w:sz w:val="20"/>
          <w:szCs w:val="20"/>
        </w:rPr>
        <w:fldChar w:fldCharType="separate"/>
      </w:r>
      <w:r>
        <w:rPr>
          <w:b/>
          <w:i w:val="0"/>
          <w:noProof/>
          <w:color w:val="000000" w:themeColor="text1"/>
          <w:sz w:val="20"/>
          <w:szCs w:val="20"/>
        </w:rPr>
        <w:t>XVIII</w:t>
      </w:r>
      <w:r>
        <w:rPr>
          <w:b/>
          <w:i w:val="0"/>
          <w:color w:val="000000" w:themeColor="text1"/>
          <w:sz w:val="20"/>
          <w:szCs w:val="20"/>
        </w:rPr>
        <w:fldChar w:fldCharType="end"/>
      </w:r>
      <w:bookmarkEnd w:id="95"/>
      <w:r w:rsidRPr="008F6866">
        <w:rPr>
          <w:b/>
          <w:i w:val="0"/>
          <w:color w:val="000000" w:themeColor="text1"/>
          <w:sz w:val="20"/>
          <w:szCs w:val="20"/>
        </w:rPr>
        <w:t>. Results of the analyses of variance (ANOVA) for each score: productivity, profitability, sustainability, carbon, and resilience</w:t>
      </w:r>
      <w:bookmarkEnd w:id="96"/>
    </w:p>
    <w:tbl>
      <w:tblPr>
        <w:tblStyle w:val="TableauListe7Couleur"/>
        <w:tblW w:w="0" w:type="auto"/>
        <w:jc w:val="center"/>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1361"/>
        <w:gridCol w:w="2041"/>
        <w:gridCol w:w="711"/>
        <w:gridCol w:w="876"/>
        <w:gridCol w:w="964"/>
        <w:gridCol w:w="851"/>
        <w:gridCol w:w="794"/>
        <w:gridCol w:w="567"/>
      </w:tblGrid>
      <w:tr w:rsidR="00DB6185" w:rsidRPr="008F6866" w14:paraId="717B3006" w14:textId="77777777" w:rsidTr="00E15EB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361" w:type="dxa"/>
            <w:tcBorders>
              <w:top w:val="single" w:sz="12" w:space="0" w:color="auto"/>
              <w:left w:val="nil"/>
              <w:bottom w:val="single" w:sz="12" w:space="0" w:color="auto"/>
            </w:tcBorders>
            <w:tcMar>
              <w:left w:w="105" w:type="dxa"/>
              <w:right w:w="105" w:type="dxa"/>
            </w:tcMar>
            <w:vAlign w:val="center"/>
          </w:tcPr>
          <w:p w14:paraId="3BD25225" w14:textId="77777777" w:rsidR="00DB6185" w:rsidRPr="008F6866" w:rsidRDefault="00DB6185" w:rsidP="00E15EBA">
            <w:pPr>
              <w:jc w:val="center"/>
              <w:rPr>
                <w:rFonts w:asciiTheme="minorHAnsi" w:eastAsia="Calibri" w:hAnsiTheme="minorHAnsi" w:cstheme="minorHAnsi"/>
                <w:i w:val="0"/>
                <w:sz w:val="20"/>
                <w:szCs w:val="20"/>
              </w:rPr>
            </w:pPr>
            <w:r w:rsidRPr="008F6866">
              <w:rPr>
                <w:rFonts w:asciiTheme="minorHAnsi" w:eastAsia="Calibri" w:hAnsiTheme="minorHAnsi" w:cstheme="minorHAnsi"/>
                <w:b/>
                <w:bCs/>
                <w:i w:val="0"/>
                <w:iCs w:val="0"/>
                <w:sz w:val="20"/>
                <w:szCs w:val="20"/>
              </w:rPr>
              <w:t>Model</w:t>
            </w:r>
          </w:p>
        </w:tc>
        <w:tc>
          <w:tcPr>
            <w:tcW w:w="2041" w:type="dxa"/>
            <w:tcBorders>
              <w:top w:val="single" w:sz="12" w:space="0" w:color="auto"/>
              <w:left w:val="nil"/>
              <w:bottom w:val="single" w:sz="12" w:space="0" w:color="auto"/>
              <w:right w:val="nil"/>
            </w:tcBorders>
            <w:tcMar>
              <w:left w:w="105" w:type="dxa"/>
              <w:right w:w="105" w:type="dxa"/>
            </w:tcMar>
            <w:vAlign w:val="center"/>
          </w:tcPr>
          <w:p w14:paraId="0EA637AB" w14:textId="77777777" w:rsidR="00DB6185" w:rsidRPr="008F6866" w:rsidRDefault="00DB6185" w:rsidP="00E15EB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0"/>
                <w:szCs w:val="20"/>
              </w:rPr>
            </w:pPr>
            <w:r w:rsidRPr="008F6866">
              <w:rPr>
                <w:rFonts w:asciiTheme="minorHAnsi" w:eastAsia="Calibri" w:hAnsiTheme="minorHAnsi" w:cstheme="minorHAnsi"/>
                <w:b/>
                <w:bCs/>
                <w:i w:val="0"/>
                <w:iCs w:val="0"/>
                <w:sz w:val="20"/>
                <w:szCs w:val="20"/>
              </w:rPr>
              <w:t>Factor</w:t>
            </w:r>
          </w:p>
        </w:tc>
        <w:tc>
          <w:tcPr>
            <w:tcW w:w="711" w:type="dxa"/>
            <w:tcBorders>
              <w:top w:val="single" w:sz="12" w:space="0" w:color="auto"/>
              <w:left w:val="nil"/>
              <w:bottom w:val="single" w:sz="12" w:space="0" w:color="auto"/>
              <w:right w:val="nil"/>
            </w:tcBorders>
            <w:tcMar>
              <w:left w:w="105" w:type="dxa"/>
              <w:right w:w="105" w:type="dxa"/>
            </w:tcMar>
            <w:vAlign w:val="center"/>
          </w:tcPr>
          <w:p w14:paraId="19B24456" w14:textId="77777777" w:rsidR="00DB6185" w:rsidRPr="008F6866" w:rsidRDefault="00DB6185" w:rsidP="00E15EB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0"/>
                <w:szCs w:val="20"/>
              </w:rPr>
            </w:pPr>
            <w:r w:rsidRPr="008F6866">
              <w:rPr>
                <w:rFonts w:asciiTheme="minorHAnsi" w:eastAsia="Calibri" w:hAnsiTheme="minorHAnsi" w:cstheme="minorHAnsi"/>
                <w:b/>
                <w:bCs/>
                <w:i w:val="0"/>
                <w:iCs w:val="0"/>
                <w:sz w:val="20"/>
                <w:szCs w:val="20"/>
              </w:rPr>
              <w:t>Df</w:t>
            </w:r>
          </w:p>
        </w:tc>
        <w:tc>
          <w:tcPr>
            <w:tcW w:w="876" w:type="dxa"/>
            <w:tcBorders>
              <w:top w:val="single" w:sz="12" w:space="0" w:color="auto"/>
              <w:left w:val="nil"/>
              <w:bottom w:val="single" w:sz="12" w:space="0" w:color="auto"/>
              <w:right w:val="nil"/>
            </w:tcBorders>
            <w:tcMar>
              <w:left w:w="105" w:type="dxa"/>
              <w:right w:w="105" w:type="dxa"/>
            </w:tcMar>
            <w:vAlign w:val="center"/>
          </w:tcPr>
          <w:p w14:paraId="66F446F8" w14:textId="77777777" w:rsidR="00DB6185" w:rsidRPr="008F6866" w:rsidRDefault="00DB6185" w:rsidP="00E15EB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0"/>
                <w:szCs w:val="20"/>
              </w:rPr>
            </w:pPr>
            <w:r w:rsidRPr="008F6866">
              <w:rPr>
                <w:rFonts w:asciiTheme="minorHAnsi" w:eastAsia="Calibri" w:hAnsiTheme="minorHAnsi" w:cstheme="minorHAnsi"/>
                <w:b/>
                <w:bCs/>
                <w:i w:val="0"/>
                <w:iCs w:val="0"/>
                <w:sz w:val="20"/>
                <w:szCs w:val="20"/>
              </w:rPr>
              <w:t>Sum Sq</w:t>
            </w:r>
          </w:p>
        </w:tc>
        <w:tc>
          <w:tcPr>
            <w:tcW w:w="964" w:type="dxa"/>
            <w:tcBorders>
              <w:top w:val="single" w:sz="12" w:space="0" w:color="auto"/>
              <w:left w:val="nil"/>
              <w:bottom w:val="single" w:sz="12" w:space="0" w:color="auto"/>
              <w:right w:val="nil"/>
            </w:tcBorders>
            <w:tcMar>
              <w:left w:w="105" w:type="dxa"/>
              <w:right w:w="105" w:type="dxa"/>
            </w:tcMar>
            <w:vAlign w:val="center"/>
          </w:tcPr>
          <w:p w14:paraId="44538CFB" w14:textId="77777777" w:rsidR="00DB6185" w:rsidRPr="008F6866" w:rsidRDefault="00DB6185" w:rsidP="00E15EB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0"/>
                <w:szCs w:val="20"/>
              </w:rPr>
            </w:pPr>
            <w:r w:rsidRPr="008F6866">
              <w:rPr>
                <w:rFonts w:asciiTheme="minorHAnsi" w:eastAsia="Calibri" w:hAnsiTheme="minorHAnsi" w:cstheme="minorHAnsi"/>
                <w:b/>
                <w:bCs/>
                <w:i w:val="0"/>
                <w:iCs w:val="0"/>
                <w:sz w:val="20"/>
                <w:szCs w:val="20"/>
              </w:rPr>
              <w:t>Mean Sq</w:t>
            </w:r>
          </w:p>
        </w:tc>
        <w:tc>
          <w:tcPr>
            <w:tcW w:w="851" w:type="dxa"/>
            <w:tcBorders>
              <w:top w:val="single" w:sz="12" w:space="0" w:color="auto"/>
              <w:left w:val="nil"/>
              <w:bottom w:val="single" w:sz="12" w:space="0" w:color="auto"/>
              <w:right w:val="nil"/>
            </w:tcBorders>
            <w:tcMar>
              <w:left w:w="105" w:type="dxa"/>
              <w:right w:w="105" w:type="dxa"/>
            </w:tcMar>
            <w:vAlign w:val="center"/>
          </w:tcPr>
          <w:p w14:paraId="545460CF" w14:textId="77777777" w:rsidR="00DB6185" w:rsidRPr="008F6866" w:rsidRDefault="00DB6185" w:rsidP="00E15EB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0"/>
                <w:szCs w:val="20"/>
              </w:rPr>
            </w:pPr>
            <w:r w:rsidRPr="008F6866">
              <w:rPr>
                <w:rFonts w:asciiTheme="minorHAnsi" w:eastAsia="Calibri" w:hAnsiTheme="minorHAnsi" w:cstheme="minorHAnsi"/>
                <w:b/>
                <w:bCs/>
                <w:i w:val="0"/>
                <w:iCs w:val="0"/>
                <w:sz w:val="20"/>
                <w:szCs w:val="20"/>
              </w:rPr>
              <w:t>F value</w:t>
            </w:r>
          </w:p>
        </w:tc>
        <w:tc>
          <w:tcPr>
            <w:tcW w:w="794" w:type="dxa"/>
            <w:tcBorders>
              <w:top w:val="single" w:sz="12" w:space="0" w:color="auto"/>
              <w:left w:val="nil"/>
              <w:bottom w:val="single" w:sz="12" w:space="0" w:color="auto"/>
              <w:right w:val="nil"/>
            </w:tcBorders>
            <w:tcMar>
              <w:left w:w="105" w:type="dxa"/>
              <w:right w:w="105" w:type="dxa"/>
            </w:tcMar>
            <w:vAlign w:val="center"/>
          </w:tcPr>
          <w:p w14:paraId="4412C70E" w14:textId="77777777" w:rsidR="00DB6185" w:rsidRPr="008F6866" w:rsidRDefault="00DB6185" w:rsidP="00E15EB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0"/>
                <w:szCs w:val="20"/>
              </w:rPr>
            </w:pPr>
            <w:r w:rsidRPr="008F6866">
              <w:rPr>
                <w:rFonts w:asciiTheme="minorHAnsi" w:eastAsia="Calibri" w:hAnsiTheme="minorHAnsi" w:cstheme="minorHAnsi"/>
                <w:b/>
                <w:bCs/>
                <w:i w:val="0"/>
                <w:iCs w:val="0"/>
                <w:sz w:val="20"/>
                <w:szCs w:val="20"/>
              </w:rPr>
              <w:t>Pr(&gt;F)</w:t>
            </w:r>
          </w:p>
        </w:tc>
        <w:tc>
          <w:tcPr>
            <w:tcW w:w="567" w:type="dxa"/>
            <w:tcBorders>
              <w:top w:val="single" w:sz="12" w:space="0" w:color="auto"/>
              <w:left w:val="nil"/>
              <w:bottom w:val="single" w:sz="12" w:space="0" w:color="auto"/>
              <w:right w:val="nil"/>
            </w:tcBorders>
            <w:tcMar>
              <w:left w:w="105" w:type="dxa"/>
              <w:right w:w="105" w:type="dxa"/>
            </w:tcMar>
            <w:vAlign w:val="center"/>
          </w:tcPr>
          <w:p w14:paraId="1F6B4678" w14:textId="77777777" w:rsidR="00DB6185" w:rsidRPr="008F6866" w:rsidRDefault="00DB6185" w:rsidP="00E15EB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0"/>
                <w:szCs w:val="20"/>
              </w:rPr>
            </w:pPr>
          </w:p>
        </w:tc>
      </w:tr>
      <w:tr w:rsidR="00DB6185" w:rsidRPr="008F6866" w14:paraId="3B862992" w14:textId="77777777" w:rsidTr="00E15E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single" w:sz="12" w:space="0" w:color="auto"/>
              <w:left w:val="nil"/>
              <w:right w:val="nil"/>
            </w:tcBorders>
            <w:tcMar>
              <w:left w:w="105" w:type="dxa"/>
              <w:right w:w="105" w:type="dxa"/>
            </w:tcMar>
            <w:vAlign w:val="center"/>
          </w:tcPr>
          <w:p w14:paraId="1DEE4C7E" w14:textId="77777777" w:rsidR="00DB6185" w:rsidRPr="008F6866" w:rsidRDefault="00DB6185" w:rsidP="00E15EBA">
            <w:pPr>
              <w:jc w:val="left"/>
              <w:rPr>
                <w:rFonts w:asciiTheme="minorHAnsi" w:eastAsia="Calibri" w:hAnsiTheme="minorHAnsi" w:cstheme="minorHAnsi"/>
                <w:i w:val="0"/>
                <w:sz w:val="20"/>
                <w:szCs w:val="20"/>
              </w:rPr>
            </w:pPr>
            <w:r w:rsidRPr="008F6866">
              <w:rPr>
                <w:rFonts w:asciiTheme="minorHAnsi" w:eastAsia="Calibri" w:hAnsiTheme="minorHAnsi" w:cstheme="minorHAnsi"/>
                <w:i w:val="0"/>
                <w:sz w:val="20"/>
                <w:szCs w:val="20"/>
              </w:rPr>
              <w:t>Productivity</w:t>
            </w:r>
          </w:p>
          <w:p w14:paraId="59F9506B" w14:textId="77777777" w:rsidR="00DB6185" w:rsidRPr="008F6866" w:rsidRDefault="00DB6185" w:rsidP="00E15EBA">
            <w:pPr>
              <w:jc w:val="left"/>
              <w:rPr>
                <w:rFonts w:asciiTheme="minorHAnsi" w:eastAsia="Calibri" w:hAnsiTheme="minorHAnsi" w:cstheme="minorHAnsi"/>
                <w:i w:val="0"/>
                <w:sz w:val="20"/>
                <w:szCs w:val="20"/>
              </w:rPr>
            </w:pPr>
          </w:p>
        </w:tc>
        <w:tc>
          <w:tcPr>
            <w:tcW w:w="2041" w:type="dxa"/>
            <w:tcBorders>
              <w:top w:val="single" w:sz="12" w:space="0" w:color="auto"/>
              <w:left w:val="nil"/>
              <w:right w:val="nil"/>
            </w:tcBorders>
            <w:tcMar>
              <w:left w:w="105" w:type="dxa"/>
              <w:right w:w="105" w:type="dxa"/>
            </w:tcMar>
            <w:vAlign w:val="center"/>
          </w:tcPr>
          <w:p w14:paraId="4C8F001F" w14:textId="77777777" w:rsidR="00DB6185" w:rsidRPr="008F6866" w:rsidRDefault="00DB6185" w:rsidP="00E15E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Silvicultural Scenario</w:t>
            </w:r>
          </w:p>
        </w:tc>
        <w:tc>
          <w:tcPr>
            <w:tcW w:w="711" w:type="dxa"/>
            <w:tcBorders>
              <w:top w:val="single" w:sz="12" w:space="0" w:color="auto"/>
              <w:left w:val="nil"/>
              <w:bottom w:val="nil"/>
              <w:right w:val="nil"/>
            </w:tcBorders>
            <w:shd w:val="clear" w:color="auto" w:fill="D1D1D1"/>
            <w:tcMar>
              <w:left w:w="105" w:type="dxa"/>
              <w:right w:w="105" w:type="dxa"/>
            </w:tcMar>
            <w:vAlign w:val="center"/>
          </w:tcPr>
          <w:p w14:paraId="25048AA4"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2.0</w:t>
            </w:r>
          </w:p>
        </w:tc>
        <w:tc>
          <w:tcPr>
            <w:tcW w:w="876" w:type="dxa"/>
            <w:tcBorders>
              <w:top w:val="single" w:sz="12" w:space="0" w:color="auto"/>
              <w:left w:val="nil"/>
              <w:bottom w:val="nil"/>
              <w:right w:val="nil"/>
            </w:tcBorders>
            <w:shd w:val="clear" w:color="auto" w:fill="D1D1D1"/>
            <w:tcMar>
              <w:left w:w="105" w:type="dxa"/>
              <w:right w:w="105" w:type="dxa"/>
            </w:tcMar>
            <w:vAlign w:val="center"/>
          </w:tcPr>
          <w:p w14:paraId="3A478634"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26.1</w:t>
            </w:r>
          </w:p>
        </w:tc>
        <w:tc>
          <w:tcPr>
            <w:tcW w:w="964" w:type="dxa"/>
            <w:tcBorders>
              <w:top w:val="single" w:sz="12" w:space="0" w:color="auto"/>
              <w:left w:val="nil"/>
              <w:bottom w:val="nil"/>
              <w:right w:val="nil"/>
            </w:tcBorders>
            <w:shd w:val="clear" w:color="auto" w:fill="D1D1D1"/>
            <w:tcMar>
              <w:left w:w="105" w:type="dxa"/>
              <w:right w:w="105" w:type="dxa"/>
            </w:tcMar>
            <w:vAlign w:val="center"/>
          </w:tcPr>
          <w:p w14:paraId="64F43D73"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13.0</w:t>
            </w:r>
          </w:p>
        </w:tc>
        <w:tc>
          <w:tcPr>
            <w:tcW w:w="851" w:type="dxa"/>
            <w:tcBorders>
              <w:top w:val="single" w:sz="12" w:space="0" w:color="auto"/>
              <w:left w:val="nil"/>
              <w:bottom w:val="nil"/>
              <w:right w:val="nil"/>
            </w:tcBorders>
            <w:shd w:val="clear" w:color="auto" w:fill="D1D1D1"/>
            <w:tcMar>
              <w:left w:w="105" w:type="dxa"/>
              <w:right w:w="105" w:type="dxa"/>
            </w:tcMar>
            <w:vAlign w:val="center"/>
          </w:tcPr>
          <w:p w14:paraId="08E64656"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4.0</w:t>
            </w:r>
          </w:p>
        </w:tc>
        <w:tc>
          <w:tcPr>
            <w:tcW w:w="794" w:type="dxa"/>
            <w:tcBorders>
              <w:top w:val="single" w:sz="12" w:space="0" w:color="auto"/>
              <w:left w:val="nil"/>
              <w:bottom w:val="nil"/>
              <w:right w:val="nil"/>
            </w:tcBorders>
            <w:shd w:val="clear" w:color="auto" w:fill="D1D1D1"/>
            <w:tcMar>
              <w:left w:w="105" w:type="dxa"/>
              <w:right w:w="105" w:type="dxa"/>
            </w:tcMar>
            <w:vAlign w:val="center"/>
          </w:tcPr>
          <w:p w14:paraId="052517C1"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0.020</w:t>
            </w:r>
          </w:p>
        </w:tc>
        <w:tc>
          <w:tcPr>
            <w:tcW w:w="567" w:type="dxa"/>
            <w:tcBorders>
              <w:top w:val="single" w:sz="12" w:space="0" w:color="auto"/>
              <w:left w:val="nil"/>
              <w:right w:val="nil"/>
            </w:tcBorders>
            <w:tcMar>
              <w:left w:w="105" w:type="dxa"/>
              <w:right w:w="105" w:type="dxa"/>
            </w:tcMar>
            <w:vAlign w:val="center"/>
          </w:tcPr>
          <w:p w14:paraId="7B0CF7AA" w14:textId="77777777" w:rsidR="00DB6185" w:rsidRPr="008F6866" w:rsidRDefault="00DB6185" w:rsidP="00E15E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w:t>
            </w:r>
          </w:p>
        </w:tc>
      </w:tr>
      <w:tr w:rsidR="00DB6185" w:rsidRPr="008F6866" w14:paraId="45544089" w14:textId="77777777" w:rsidTr="00E15EBA">
        <w:trPr>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tcBorders>
              <w:left w:val="nil"/>
              <w:right w:val="nil"/>
            </w:tcBorders>
            <w:vAlign w:val="center"/>
          </w:tcPr>
          <w:p w14:paraId="24F5A6C6" w14:textId="77777777" w:rsidR="00DB6185" w:rsidRPr="008F6866" w:rsidRDefault="00DB6185" w:rsidP="00E15EBA">
            <w:pPr>
              <w:jc w:val="left"/>
              <w:rPr>
                <w:rFonts w:asciiTheme="minorHAnsi" w:hAnsiTheme="minorHAnsi" w:cstheme="minorHAnsi"/>
                <w:i w:val="0"/>
                <w:sz w:val="20"/>
                <w:szCs w:val="20"/>
              </w:rPr>
            </w:pPr>
          </w:p>
        </w:tc>
        <w:tc>
          <w:tcPr>
            <w:tcW w:w="2041" w:type="dxa"/>
            <w:tcBorders>
              <w:left w:val="nil"/>
              <w:right w:val="nil"/>
            </w:tcBorders>
            <w:tcMar>
              <w:left w:w="105" w:type="dxa"/>
              <w:right w:w="105" w:type="dxa"/>
            </w:tcMar>
            <w:vAlign w:val="center"/>
          </w:tcPr>
          <w:p w14:paraId="7F0BC082" w14:textId="77777777" w:rsidR="00DB6185" w:rsidRPr="008F6866" w:rsidRDefault="00DB6185" w:rsidP="00E15EB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SSP</w:t>
            </w:r>
          </w:p>
        </w:tc>
        <w:tc>
          <w:tcPr>
            <w:tcW w:w="711" w:type="dxa"/>
            <w:tcBorders>
              <w:top w:val="nil"/>
              <w:left w:val="nil"/>
              <w:bottom w:val="nil"/>
              <w:right w:val="nil"/>
            </w:tcBorders>
            <w:tcMar>
              <w:left w:w="105" w:type="dxa"/>
              <w:right w:w="105" w:type="dxa"/>
            </w:tcMar>
            <w:vAlign w:val="center"/>
          </w:tcPr>
          <w:p w14:paraId="00E53F7B"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2.0</w:t>
            </w:r>
          </w:p>
        </w:tc>
        <w:tc>
          <w:tcPr>
            <w:tcW w:w="876" w:type="dxa"/>
            <w:tcBorders>
              <w:top w:val="nil"/>
              <w:left w:val="nil"/>
              <w:bottom w:val="nil"/>
              <w:right w:val="nil"/>
            </w:tcBorders>
            <w:tcMar>
              <w:left w:w="105" w:type="dxa"/>
              <w:right w:w="105" w:type="dxa"/>
            </w:tcMar>
            <w:vAlign w:val="center"/>
          </w:tcPr>
          <w:p w14:paraId="75C0F5B9"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123.1</w:t>
            </w:r>
          </w:p>
        </w:tc>
        <w:tc>
          <w:tcPr>
            <w:tcW w:w="964" w:type="dxa"/>
            <w:tcBorders>
              <w:top w:val="nil"/>
              <w:left w:val="nil"/>
              <w:bottom w:val="nil"/>
              <w:right w:val="nil"/>
            </w:tcBorders>
            <w:tcMar>
              <w:left w:w="105" w:type="dxa"/>
              <w:right w:w="105" w:type="dxa"/>
            </w:tcMar>
            <w:vAlign w:val="center"/>
          </w:tcPr>
          <w:p w14:paraId="069FA236"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61.5</w:t>
            </w:r>
          </w:p>
        </w:tc>
        <w:tc>
          <w:tcPr>
            <w:tcW w:w="851" w:type="dxa"/>
            <w:tcBorders>
              <w:top w:val="nil"/>
              <w:left w:val="nil"/>
              <w:bottom w:val="nil"/>
              <w:right w:val="nil"/>
            </w:tcBorders>
            <w:tcMar>
              <w:left w:w="105" w:type="dxa"/>
              <w:right w:w="105" w:type="dxa"/>
            </w:tcMar>
            <w:vAlign w:val="center"/>
          </w:tcPr>
          <w:p w14:paraId="351EB521"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18.7</w:t>
            </w:r>
          </w:p>
        </w:tc>
        <w:tc>
          <w:tcPr>
            <w:tcW w:w="794" w:type="dxa"/>
            <w:tcBorders>
              <w:top w:val="nil"/>
              <w:left w:val="nil"/>
              <w:bottom w:val="nil"/>
              <w:right w:val="nil"/>
            </w:tcBorders>
            <w:tcMar>
              <w:left w:w="105" w:type="dxa"/>
              <w:right w:w="105" w:type="dxa"/>
            </w:tcMar>
            <w:vAlign w:val="center"/>
          </w:tcPr>
          <w:p w14:paraId="76177FB6"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&lt;0.001</w:t>
            </w:r>
          </w:p>
        </w:tc>
        <w:tc>
          <w:tcPr>
            <w:tcW w:w="567" w:type="dxa"/>
            <w:tcBorders>
              <w:left w:val="nil"/>
              <w:right w:val="nil"/>
            </w:tcBorders>
            <w:tcMar>
              <w:left w:w="105" w:type="dxa"/>
              <w:right w:w="105" w:type="dxa"/>
            </w:tcMar>
            <w:vAlign w:val="center"/>
          </w:tcPr>
          <w:p w14:paraId="7E8B6951"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w:t>
            </w:r>
          </w:p>
        </w:tc>
      </w:tr>
      <w:tr w:rsidR="00DB6185" w:rsidRPr="008F6866" w14:paraId="7BB305BD" w14:textId="77777777" w:rsidTr="00E15E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tcBorders>
              <w:left w:val="nil"/>
              <w:right w:val="nil"/>
            </w:tcBorders>
            <w:vAlign w:val="center"/>
          </w:tcPr>
          <w:p w14:paraId="4C3CA834" w14:textId="77777777" w:rsidR="00DB6185" w:rsidRPr="008F6866" w:rsidRDefault="00DB6185" w:rsidP="00E15EBA">
            <w:pPr>
              <w:jc w:val="left"/>
              <w:rPr>
                <w:rFonts w:asciiTheme="minorHAnsi" w:hAnsiTheme="minorHAnsi" w:cstheme="minorHAnsi"/>
                <w:i w:val="0"/>
                <w:sz w:val="20"/>
                <w:szCs w:val="20"/>
              </w:rPr>
            </w:pPr>
          </w:p>
        </w:tc>
        <w:tc>
          <w:tcPr>
            <w:tcW w:w="2041" w:type="dxa"/>
            <w:tcBorders>
              <w:left w:val="nil"/>
              <w:right w:val="nil"/>
            </w:tcBorders>
            <w:tcMar>
              <w:left w:w="105" w:type="dxa"/>
              <w:right w:w="105" w:type="dxa"/>
            </w:tcMar>
            <w:vAlign w:val="center"/>
          </w:tcPr>
          <w:p w14:paraId="4E0DA3F6" w14:textId="77777777" w:rsidR="00DB6185" w:rsidRPr="008F6866" w:rsidRDefault="00DB6185" w:rsidP="00E15E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Ungulate Densities</w:t>
            </w:r>
          </w:p>
        </w:tc>
        <w:tc>
          <w:tcPr>
            <w:tcW w:w="711" w:type="dxa"/>
            <w:tcBorders>
              <w:top w:val="nil"/>
              <w:left w:val="nil"/>
              <w:bottom w:val="nil"/>
              <w:right w:val="nil"/>
            </w:tcBorders>
            <w:shd w:val="clear" w:color="auto" w:fill="D1D1D1"/>
            <w:tcMar>
              <w:left w:w="105" w:type="dxa"/>
              <w:right w:w="105" w:type="dxa"/>
            </w:tcMar>
            <w:vAlign w:val="center"/>
          </w:tcPr>
          <w:p w14:paraId="7C5802BC"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3.0</w:t>
            </w:r>
          </w:p>
        </w:tc>
        <w:tc>
          <w:tcPr>
            <w:tcW w:w="876" w:type="dxa"/>
            <w:tcBorders>
              <w:top w:val="nil"/>
              <w:left w:val="nil"/>
              <w:bottom w:val="nil"/>
              <w:right w:val="nil"/>
            </w:tcBorders>
            <w:shd w:val="clear" w:color="auto" w:fill="D1D1D1"/>
            <w:tcMar>
              <w:left w:w="105" w:type="dxa"/>
              <w:right w:w="105" w:type="dxa"/>
            </w:tcMar>
            <w:vAlign w:val="center"/>
          </w:tcPr>
          <w:p w14:paraId="576DD57D"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311.2</w:t>
            </w:r>
          </w:p>
        </w:tc>
        <w:tc>
          <w:tcPr>
            <w:tcW w:w="964" w:type="dxa"/>
            <w:tcBorders>
              <w:top w:val="nil"/>
              <w:left w:val="nil"/>
              <w:bottom w:val="nil"/>
              <w:right w:val="nil"/>
            </w:tcBorders>
            <w:shd w:val="clear" w:color="auto" w:fill="D1D1D1"/>
            <w:tcMar>
              <w:left w:w="105" w:type="dxa"/>
              <w:right w:w="105" w:type="dxa"/>
            </w:tcMar>
            <w:vAlign w:val="center"/>
          </w:tcPr>
          <w:p w14:paraId="2BA40B88"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103.7</w:t>
            </w:r>
          </w:p>
        </w:tc>
        <w:tc>
          <w:tcPr>
            <w:tcW w:w="851" w:type="dxa"/>
            <w:tcBorders>
              <w:top w:val="nil"/>
              <w:left w:val="nil"/>
              <w:bottom w:val="nil"/>
              <w:right w:val="nil"/>
            </w:tcBorders>
            <w:shd w:val="clear" w:color="auto" w:fill="D1D1D1"/>
            <w:tcMar>
              <w:left w:w="105" w:type="dxa"/>
              <w:right w:w="105" w:type="dxa"/>
            </w:tcMar>
            <w:vAlign w:val="center"/>
          </w:tcPr>
          <w:p w14:paraId="4F5B2231"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31.6</w:t>
            </w:r>
          </w:p>
        </w:tc>
        <w:tc>
          <w:tcPr>
            <w:tcW w:w="794" w:type="dxa"/>
            <w:tcBorders>
              <w:top w:val="nil"/>
              <w:left w:val="nil"/>
              <w:bottom w:val="nil"/>
              <w:right w:val="nil"/>
            </w:tcBorders>
            <w:shd w:val="clear" w:color="auto" w:fill="D1D1D1"/>
            <w:tcMar>
              <w:left w:w="105" w:type="dxa"/>
              <w:right w:w="105" w:type="dxa"/>
            </w:tcMar>
            <w:vAlign w:val="center"/>
          </w:tcPr>
          <w:p w14:paraId="763B9E12"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&lt;0.001</w:t>
            </w:r>
          </w:p>
        </w:tc>
        <w:tc>
          <w:tcPr>
            <w:tcW w:w="567" w:type="dxa"/>
            <w:tcBorders>
              <w:left w:val="nil"/>
              <w:right w:val="nil"/>
            </w:tcBorders>
            <w:tcMar>
              <w:left w:w="105" w:type="dxa"/>
              <w:right w:w="105" w:type="dxa"/>
            </w:tcMar>
            <w:vAlign w:val="center"/>
          </w:tcPr>
          <w:p w14:paraId="682C046F" w14:textId="77777777" w:rsidR="00DB6185" w:rsidRPr="008F6866" w:rsidRDefault="00DB6185" w:rsidP="00E15E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w:t>
            </w:r>
          </w:p>
        </w:tc>
      </w:tr>
      <w:tr w:rsidR="00DB6185" w:rsidRPr="008F6866" w14:paraId="0BC9EBF4" w14:textId="77777777" w:rsidTr="00E15EBA">
        <w:trPr>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tcBorders>
              <w:left w:val="nil"/>
              <w:right w:val="nil"/>
            </w:tcBorders>
            <w:vAlign w:val="center"/>
          </w:tcPr>
          <w:p w14:paraId="1DF027B0" w14:textId="77777777" w:rsidR="00DB6185" w:rsidRPr="008F6866" w:rsidRDefault="00DB6185" w:rsidP="00E15EBA">
            <w:pPr>
              <w:jc w:val="left"/>
              <w:rPr>
                <w:rFonts w:asciiTheme="minorHAnsi" w:hAnsiTheme="minorHAnsi" w:cstheme="minorHAnsi"/>
                <w:i w:val="0"/>
                <w:sz w:val="20"/>
                <w:szCs w:val="20"/>
              </w:rPr>
            </w:pPr>
          </w:p>
        </w:tc>
        <w:tc>
          <w:tcPr>
            <w:tcW w:w="2041" w:type="dxa"/>
            <w:tcBorders>
              <w:left w:val="nil"/>
              <w:right w:val="nil"/>
            </w:tcBorders>
            <w:tcMar>
              <w:left w:w="105" w:type="dxa"/>
              <w:right w:w="105" w:type="dxa"/>
            </w:tcMar>
            <w:vAlign w:val="center"/>
          </w:tcPr>
          <w:p w14:paraId="212F4083" w14:textId="77777777" w:rsidR="00DB6185" w:rsidRPr="008F6866" w:rsidRDefault="00DB6185" w:rsidP="00E15EB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Silvicultural Scenario x Ungulate Densities</w:t>
            </w:r>
          </w:p>
        </w:tc>
        <w:tc>
          <w:tcPr>
            <w:tcW w:w="711" w:type="dxa"/>
            <w:tcBorders>
              <w:top w:val="nil"/>
              <w:left w:val="nil"/>
              <w:bottom w:val="nil"/>
              <w:right w:val="nil"/>
            </w:tcBorders>
            <w:tcMar>
              <w:left w:w="105" w:type="dxa"/>
              <w:right w:w="105" w:type="dxa"/>
            </w:tcMar>
            <w:vAlign w:val="center"/>
          </w:tcPr>
          <w:p w14:paraId="2CCAB68F"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6.0</w:t>
            </w:r>
          </w:p>
        </w:tc>
        <w:tc>
          <w:tcPr>
            <w:tcW w:w="876" w:type="dxa"/>
            <w:tcBorders>
              <w:top w:val="nil"/>
              <w:left w:val="nil"/>
              <w:bottom w:val="nil"/>
              <w:right w:val="nil"/>
            </w:tcBorders>
            <w:tcMar>
              <w:left w:w="105" w:type="dxa"/>
              <w:right w:w="105" w:type="dxa"/>
            </w:tcMar>
            <w:vAlign w:val="center"/>
          </w:tcPr>
          <w:p w14:paraId="77CA6509"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254.0</w:t>
            </w:r>
          </w:p>
        </w:tc>
        <w:tc>
          <w:tcPr>
            <w:tcW w:w="964" w:type="dxa"/>
            <w:tcBorders>
              <w:top w:val="nil"/>
              <w:left w:val="nil"/>
              <w:bottom w:val="nil"/>
              <w:right w:val="nil"/>
            </w:tcBorders>
            <w:tcMar>
              <w:left w:w="105" w:type="dxa"/>
              <w:right w:w="105" w:type="dxa"/>
            </w:tcMar>
            <w:vAlign w:val="center"/>
          </w:tcPr>
          <w:p w14:paraId="2A930959"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42.3</w:t>
            </w:r>
          </w:p>
        </w:tc>
        <w:tc>
          <w:tcPr>
            <w:tcW w:w="851" w:type="dxa"/>
            <w:tcBorders>
              <w:top w:val="nil"/>
              <w:left w:val="nil"/>
              <w:bottom w:val="nil"/>
              <w:right w:val="nil"/>
            </w:tcBorders>
            <w:tcMar>
              <w:left w:w="105" w:type="dxa"/>
              <w:right w:w="105" w:type="dxa"/>
            </w:tcMar>
            <w:vAlign w:val="center"/>
          </w:tcPr>
          <w:p w14:paraId="65DA7791"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12.9</w:t>
            </w:r>
          </w:p>
        </w:tc>
        <w:tc>
          <w:tcPr>
            <w:tcW w:w="794" w:type="dxa"/>
            <w:tcBorders>
              <w:top w:val="nil"/>
              <w:left w:val="nil"/>
              <w:bottom w:val="nil"/>
              <w:right w:val="nil"/>
            </w:tcBorders>
            <w:tcMar>
              <w:left w:w="105" w:type="dxa"/>
              <w:right w:w="105" w:type="dxa"/>
            </w:tcMar>
            <w:vAlign w:val="center"/>
          </w:tcPr>
          <w:p w14:paraId="0929E685"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&lt;0.001</w:t>
            </w:r>
          </w:p>
        </w:tc>
        <w:tc>
          <w:tcPr>
            <w:tcW w:w="567" w:type="dxa"/>
            <w:tcBorders>
              <w:left w:val="nil"/>
              <w:right w:val="nil"/>
            </w:tcBorders>
            <w:tcMar>
              <w:left w:w="105" w:type="dxa"/>
              <w:right w:w="105" w:type="dxa"/>
            </w:tcMar>
            <w:vAlign w:val="center"/>
          </w:tcPr>
          <w:p w14:paraId="277D44EC"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w:t>
            </w:r>
          </w:p>
        </w:tc>
      </w:tr>
      <w:tr w:rsidR="00DB6185" w:rsidRPr="008F6866" w14:paraId="5E78BC1B" w14:textId="77777777" w:rsidTr="00E15E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tcBorders>
              <w:left w:val="nil"/>
              <w:right w:val="nil"/>
            </w:tcBorders>
            <w:vAlign w:val="center"/>
          </w:tcPr>
          <w:p w14:paraId="5C6D976D" w14:textId="77777777" w:rsidR="00DB6185" w:rsidRPr="008F6866" w:rsidRDefault="00DB6185" w:rsidP="00E15EBA">
            <w:pPr>
              <w:jc w:val="left"/>
              <w:rPr>
                <w:rFonts w:asciiTheme="minorHAnsi" w:hAnsiTheme="minorHAnsi" w:cstheme="minorHAnsi"/>
                <w:i w:val="0"/>
                <w:sz w:val="20"/>
                <w:szCs w:val="20"/>
              </w:rPr>
            </w:pPr>
          </w:p>
        </w:tc>
        <w:tc>
          <w:tcPr>
            <w:tcW w:w="2041" w:type="dxa"/>
            <w:tcBorders>
              <w:left w:val="nil"/>
              <w:bottom w:val="single" w:sz="6" w:space="0" w:color="auto"/>
              <w:right w:val="nil"/>
            </w:tcBorders>
            <w:tcMar>
              <w:left w:w="105" w:type="dxa"/>
              <w:right w:w="105" w:type="dxa"/>
            </w:tcMar>
            <w:vAlign w:val="center"/>
          </w:tcPr>
          <w:p w14:paraId="73571BBE" w14:textId="77777777" w:rsidR="00DB6185" w:rsidRPr="008F6866" w:rsidRDefault="00DB6185" w:rsidP="00E15E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Residuals</w:t>
            </w:r>
          </w:p>
        </w:tc>
        <w:tc>
          <w:tcPr>
            <w:tcW w:w="711" w:type="dxa"/>
            <w:tcBorders>
              <w:top w:val="nil"/>
              <w:left w:val="nil"/>
              <w:bottom w:val="single" w:sz="6" w:space="0" w:color="auto"/>
              <w:right w:val="nil"/>
            </w:tcBorders>
            <w:shd w:val="clear" w:color="auto" w:fill="D1D1D1"/>
            <w:tcMar>
              <w:left w:w="105" w:type="dxa"/>
              <w:right w:w="105" w:type="dxa"/>
            </w:tcMar>
            <w:vAlign w:val="center"/>
          </w:tcPr>
          <w:p w14:paraId="6FD03E7C"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202.0</w:t>
            </w:r>
          </w:p>
        </w:tc>
        <w:tc>
          <w:tcPr>
            <w:tcW w:w="876" w:type="dxa"/>
            <w:tcBorders>
              <w:top w:val="nil"/>
              <w:left w:val="nil"/>
              <w:bottom w:val="single" w:sz="6" w:space="0" w:color="auto"/>
              <w:right w:val="nil"/>
            </w:tcBorders>
            <w:shd w:val="clear" w:color="auto" w:fill="D1D1D1"/>
            <w:tcMar>
              <w:left w:w="105" w:type="dxa"/>
              <w:right w:w="105" w:type="dxa"/>
            </w:tcMar>
            <w:vAlign w:val="center"/>
          </w:tcPr>
          <w:p w14:paraId="22F9FBA2"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663.6</w:t>
            </w:r>
          </w:p>
        </w:tc>
        <w:tc>
          <w:tcPr>
            <w:tcW w:w="964" w:type="dxa"/>
            <w:tcBorders>
              <w:top w:val="nil"/>
              <w:left w:val="nil"/>
              <w:bottom w:val="single" w:sz="6" w:space="0" w:color="auto"/>
              <w:right w:val="nil"/>
            </w:tcBorders>
            <w:shd w:val="clear" w:color="auto" w:fill="D1D1D1"/>
            <w:tcMar>
              <w:left w:w="105" w:type="dxa"/>
              <w:right w:w="105" w:type="dxa"/>
            </w:tcMar>
            <w:vAlign w:val="center"/>
          </w:tcPr>
          <w:p w14:paraId="6B372E92"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3.3</w:t>
            </w:r>
          </w:p>
        </w:tc>
        <w:tc>
          <w:tcPr>
            <w:tcW w:w="851" w:type="dxa"/>
            <w:tcBorders>
              <w:top w:val="nil"/>
              <w:left w:val="nil"/>
              <w:bottom w:val="single" w:sz="6" w:space="0" w:color="auto"/>
              <w:right w:val="nil"/>
            </w:tcBorders>
            <w:shd w:val="clear" w:color="auto" w:fill="D1D1D1"/>
            <w:tcMar>
              <w:left w:w="105" w:type="dxa"/>
              <w:right w:w="105" w:type="dxa"/>
            </w:tcMar>
            <w:vAlign w:val="center"/>
          </w:tcPr>
          <w:p w14:paraId="3F028423"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94" w:type="dxa"/>
            <w:tcBorders>
              <w:top w:val="nil"/>
              <w:left w:val="nil"/>
              <w:bottom w:val="single" w:sz="6" w:space="0" w:color="auto"/>
              <w:right w:val="nil"/>
            </w:tcBorders>
            <w:shd w:val="clear" w:color="auto" w:fill="D1D1D1"/>
            <w:tcMar>
              <w:left w:w="105" w:type="dxa"/>
              <w:right w:w="105" w:type="dxa"/>
            </w:tcMar>
            <w:vAlign w:val="center"/>
          </w:tcPr>
          <w:p w14:paraId="5E93F82C"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7" w:type="dxa"/>
            <w:tcBorders>
              <w:left w:val="nil"/>
              <w:bottom w:val="single" w:sz="6" w:space="0" w:color="auto"/>
              <w:right w:val="nil"/>
            </w:tcBorders>
            <w:tcMar>
              <w:left w:w="105" w:type="dxa"/>
              <w:right w:w="105" w:type="dxa"/>
            </w:tcMar>
            <w:vAlign w:val="center"/>
          </w:tcPr>
          <w:p w14:paraId="6DA4986F" w14:textId="77777777" w:rsidR="00DB6185" w:rsidRPr="008F6866" w:rsidRDefault="00DB6185" w:rsidP="00E15E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DB6185" w:rsidRPr="008F6866" w14:paraId="0D37B531" w14:textId="77777777" w:rsidTr="00E15EBA">
        <w:trPr>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single" w:sz="6" w:space="0" w:color="auto"/>
              <w:left w:val="nil"/>
              <w:right w:val="nil"/>
            </w:tcBorders>
            <w:tcMar>
              <w:left w:w="105" w:type="dxa"/>
              <w:right w:w="105" w:type="dxa"/>
            </w:tcMar>
            <w:vAlign w:val="center"/>
          </w:tcPr>
          <w:p w14:paraId="58D5334B" w14:textId="77777777" w:rsidR="00DB6185" w:rsidRPr="008F6866" w:rsidRDefault="00DB6185" w:rsidP="00E15EBA">
            <w:pPr>
              <w:jc w:val="left"/>
              <w:rPr>
                <w:rFonts w:asciiTheme="minorHAnsi" w:eastAsia="Calibri" w:hAnsiTheme="minorHAnsi" w:cstheme="minorHAnsi"/>
                <w:i w:val="0"/>
                <w:sz w:val="20"/>
                <w:szCs w:val="20"/>
              </w:rPr>
            </w:pPr>
            <w:r w:rsidRPr="008F6866">
              <w:rPr>
                <w:rFonts w:asciiTheme="minorHAnsi" w:eastAsia="Calibri" w:hAnsiTheme="minorHAnsi" w:cstheme="minorHAnsi"/>
                <w:i w:val="0"/>
                <w:sz w:val="20"/>
                <w:szCs w:val="20"/>
              </w:rPr>
              <w:t>Profitability</w:t>
            </w:r>
          </w:p>
          <w:p w14:paraId="061DBC23" w14:textId="77777777" w:rsidR="00DB6185" w:rsidRPr="008F6866" w:rsidRDefault="00DB6185" w:rsidP="00E15EBA">
            <w:pPr>
              <w:jc w:val="left"/>
              <w:rPr>
                <w:rFonts w:asciiTheme="minorHAnsi" w:eastAsia="Calibri" w:hAnsiTheme="minorHAnsi" w:cstheme="minorHAnsi"/>
                <w:i w:val="0"/>
                <w:sz w:val="20"/>
                <w:szCs w:val="20"/>
              </w:rPr>
            </w:pPr>
          </w:p>
        </w:tc>
        <w:tc>
          <w:tcPr>
            <w:tcW w:w="2041" w:type="dxa"/>
            <w:tcBorders>
              <w:top w:val="single" w:sz="6" w:space="0" w:color="auto"/>
              <w:left w:val="nil"/>
              <w:right w:val="nil"/>
            </w:tcBorders>
            <w:tcMar>
              <w:left w:w="105" w:type="dxa"/>
              <w:right w:w="105" w:type="dxa"/>
            </w:tcMar>
            <w:vAlign w:val="center"/>
          </w:tcPr>
          <w:p w14:paraId="3DC72FCE" w14:textId="77777777" w:rsidR="00DB6185" w:rsidRPr="008F6866" w:rsidRDefault="00DB6185" w:rsidP="00E15EB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Silvicultural Scenario</w:t>
            </w:r>
          </w:p>
        </w:tc>
        <w:tc>
          <w:tcPr>
            <w:tcW w:w="711" w:type="dxa"/>
            <w:tcBorders>
              <w:top w:val="single" w:sz="6" w:space="0" w:color="auto"/>
              <w:left w:val="nil"/>
              <w:bottom w:val="nil"/>
              <w:right w:val="nil"/>
            </w:tcBorders>
            <w:tcMar>
              <w:left w:w="105" w:type="dxa"/>
              <w:right w:w="105" w:type="dxa"/>
            </w:tcMar>
            <w:vAlign w:val="center"/>
          </w:tcPr>
          <w:p w14:paraId="1D81C84E"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2.0</w:t>
            </w:r>
          </w:p>
        </w:tc>
        <w:tc>
          <w:tcPr>
            <w:tcW w:w="876" w:type="dxa"/>
            <w:tcBorders>
              <w:top w:val="single" w:sz="6" w:space="0" w:color="auto"/>
              <w:left w:val="nil"/>
              <w:bottom w:val="nil"/>
              <w:right w:val="nil"/>
            </w:tcBorders>
            <w:tcMar>
              <w:left w:w="105" w:type="dxa"/>
              <w:right w:w="105" w:type="dxa"/>
            </w:tcMar>
            <w:vAlign w:val="center"/>
          </w:tcPr>
          <w:p w14:paraId="16EE2358"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54.5</w:t>
            </w:r>
          </w:p>
        </w:tc>
        <w:tc>
          <w:tcPr>
            <w:tcW w:w="964" w:type="dxa"/>
            <w:tcBorders>
              <w:top w:val="single" w:sz="6" w:space="0" w:color="auto"/>
              <w:left w:val="nil"/>
              <w:bottom w:val="nil"/>
              <w:right w:val="nil"/>
            </w:tcBorders>
            <w:tcMar>
              <w:left w:w="105" w:type="dxa"/>
              <w:right w:w="105" w:type="dxa"/>
            </w:tcMar>
            <w:vAlign w:val="center"/>
          </w:tcPr>
          <w:p w14:paraId="48CE93A0"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27.3</w:t>
            </w:r>
          </w:p>
        </w:tc>
        <w:tc>
          <w:tcPr>
            <w:tcW w:w="851" w:type="dxa"/>
            <w:tcBorders>
              <w:top w:val="single" w:sz="6" w:space="0" w:color="auto"/>
              <w:left w:val="nil"/>
              <w:bottom w:val="nil"/>
              <w:right w:val="nil"/>
            </w:tcBorders>
            <w:tcMar>
              <w:left w:w="105" w:type="dxa"/>
              <w:right w:w="105" w:type="dxa"/>
            </w:tcMar>
            <w:vAlign w:val="center"/>
          </w:tcPr>
          <w:p w14:paraId="380244DB"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6.7</w:t>
            </w:r>
          </w:p>
        </w:tc>
        <w:tc>
          <w:tcPr>
            <w:tcW w:w="794" w:type="dxa"/>
            <w:tcBorders>
              <w:top w:val="single" w:sz="6" w:space="0" w:color="auto"/>
              <w:left w:val="nil"/>
              <w:bottom w:val="nil"/>
              <w:right w:val="nil"/>
            </w:tcBorders>
            <w:tcMar>
              <w:left w:w="105" w:type="dxa"/>
              <w:right w:w="105" w:type="dxa"/>
            </w:tcMar>
            <w:vAlign w:val="center"/>
          </w:tcPr>
          <w:p w14:paraId="4A185655"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0.001</w:t>
            </w:r>
          </w:p>
        </w:tc>
        <w:tc>
          <w:tcPr>
            <w:tcW w:w="567" w:type="dxa"/>
            <w:tcBorders>
              <w:top w:val="single" w:sz="6" w:space="0" w:color="auto"/>
              <w:left w:val="nil"/>
              <w:right w:val="nil"/>
            </w:tcBorders>
            <w:tcMar>
              <w:left w:w="105" w:type="dxa"/>
              <w:right w:w="105" w:type="dxa"/>
            </w:tcMar>
            <w:vAlign w:val="center"/>
          </w:tcPr>
          <w:p w14:paraId="22B4CD61"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w:t>
            </w:r>
          </w:p>
        </w:tc>
      </w:tr>
      <w:tr w:rsidR="00DB6185" w:rsidRPr="008F6866" w14:paraId="5E297EE5" w14:textId="77777777" w:rsidTr="00E15E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tcBorders>
              <w:left w:val="nil"/>
              <w:right w:val="nil"/>
            </w:tcBorders>
            <w:vAlign w:val="center"/>
          </w:tcPr>
          <w:p w14:paraId="2D2EE00F" w14:textId="77777777" w:rsidR="00DB6185" w:rsidRPr="008F6866" w:rsidRDefault="00DB6185" w:rsidP="00E15EBA">
            <w:pPr>
              <w:jc w:val="left"/>
              <w:rPr>
                <w:rFonts w:asciiTheme="minorHAnsi" w:hAnsiTheme="minorHAnsi" w:cstheme="minorHAnsi"/>
                <w:i w:val="0"/>
                <w:sz w:val="20"/>
                <w:szCs w:val="20"/>
              </w:rPr>
            </w:pPr>
          </w:p>
        </w:tc>
        <w:tc>
          <w:tcPr>
            <w:tcW w:w="2041" w:type="dxa"/>
            <w:tcBorders>
              <w:left w:val="nil"/>
              <w:right w:val="nil"/>
            </w:tcBorders>
            <w:tcMar>
              <w:left w:w="105" w:type="dxa"/>
              <w:right w:w="105" w:type="dxa"/>
            </w:tcMar>
            <w:vAlign w:val="center"/>
          </w:tcPr>
          <w:p w14:paraId="7A566F52" w14:textId="77777777" w:rsidR="00DB6185" w:rsidRPr="008F6866" w:rsidRDefault="00DB6185" w:rsidP="00E15E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SSP</w:t>
            </w:r>
          </w:p>
        </w:tc>
        <w:tc>
          <w:tcPr>
            <w:tcW w:w="711" w:type="dxa"/>
            <w:tcBorders>
              <w:top w:val="nil"/>
              <w:left w:val="nil"/>
              <w:bottom w:val="nil"/>
              <w:right w:val="nil"/>
            </w:tcBorders>
            <w:shd w:val="clear" w:color="auto" w:fill="D1D1D1"/>
            <w:tcMar>
              <w:left w:w="105" w:type="dxa"/>
              <w:right w:w="105" w:type="dxa"/>
            </w:tcMar>
            <w:vAlign w:val="center"/>
          </w:tcPr>
          <w:p w14:paraId="60F98EC1"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2.0</w:t>
            </w:r>
          </w:p>
        </w:tc>
        <w:tc>
          <w:tcPr>
            <w:tcW w:w="876" w:type="dxa"/>
            <w:tcBorders>
              <w:top w:val="nil"/>
              <w:left w:val="nil"/>
              <w:bottom w:val="nil"/>
              <w:right w:val="nil"/>
            </w:tcBorders>
            <w:shd w:val="clear" w:color="auto" w:fill="D1D1D1"/>
            <w:tcMar>
              <w:left w:w="105" w:type="dxa"/>
              <w:right w:w="105" w:type="dxa"/>
            </w:tcMar>
            <w:vAlign w:val="center"/>
          </w:tcPr>
          <w:p w14:paraId="60E66697"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28.6</w:t>
            </w:r>
          </w:p>
        </w:tc>
        <w:tc>
          <w:tcPr>
            <w:tcW w:w="964" w:type="dxa"/>
            <w:tcBorders>
              <w:top w:val="nil"/>
              <w:left w:val="nil"/>
              <w:bottom w:val="nil"/>
              <w:right w:val="nil"/>
            </w:tcBorders>
            <w:shd w:val="clear" w:color="auto" w:fill="D1D1D1"/>
            <w:tcMar>
              <w:left w:w="105" w:type="dxa"/>
              <w:right w:w="105" w:type="dxa"/>
            </w:tcMar>
            <w:vAlign w:val="center"/>
          </w:tcPr>
          <w:p w14:paraId="01FA9EF4"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14.3</w:t>
            </w:r>
          </w:p>
        </w:tc>
        <w:tc>
          <w:tcPr>
            <w:tcW w:w="851" w:type="dxa"/>
            <w:tcBorders>
              <w:top w:val="nil"/>
              <w:left w:val="nil"/>
              <w:bottom w:val="nil"/>
              <w:right w:val="nil"/>
            </w:tcBorders>
            <w:shd w:val="clear" w:color="auto" w:fill="D1D1D1"/>
            <w:tcMar>
              <w:left w:w="105" w:type="dxa"/>
              <w:right w:w="105" w:type="dxa"/>
            </w:tcMar>
            <w:vAlign w:val="center"/>
          </w:tcPr>
          <w:p w14:paraId="06B09FEE"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3.5</w:t>
            </w:r>
          </w:p>
        </w:tc>
        <w:tc>
          <w:tcPr>
            <w:tcW w:w="794" w:type="dxa"/>
            <w:tcBorders>
              <w:top w:val="nil"/>
              <w:left w:val="nil"/>
              <w:bottom w:val="nil"/>
              <w:right w:val="nil"/>
            </w:tcBorders>
            <w:shd w:val="clear" w:color="auto" w:fill="D1D1D1"/>
            <w:tcMar>
              <w:left w:w="105" w:type="dxa"/>
              <w:right w:w="105" w:type="dxa"/>
            </w:tcMar>
            <w:vAlign w:val="center"/>
          </w:tcPr>
          <w:p w14:paraId="40F42429"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0.031</w:t>
            </w:r>
          </w:p>
        </w:tc>
        <w:tc>
          <w:tcPr>
            <w:tcW w:w="567" w:type="dxa"/>
            <w:tcBorders>
              <w:left w:val="nil"/>
              <w:right w:val="nil"/>
            </w:tcBorders>
            <w:tcMar>
              <w:left w:w="105" w:type="dxa"/>
              <w:right w:w="105" w:type="dxa"/>
            </w:tcMar>
            <w:vAlign w:val="center"/>
          </w:tcPr>
          <w:p w14:paraId="711C1A4A" w14:textId="77777777" w:rsidR="00DB6185" w:rsidRPr="008F6866" w:rsidRDefault="00DB6185" w:rsidP="00E15E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w:t>
            </w:r>
          </w:p>
        </w:tc>
      </w:tr>
      <w:tr w:rsidR="00DB6185" w:rsidRPr="008F6866" w14:paraId="714B6A12" w14:textId="77777777" w:rsidTr="00E15EBA">
        <w:trPr>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tcBorders>
              <w:left w:val="nil"/>
              <w:right w:val="nil"/>
            </w:tcBorders>
            <w:vAlign w:val="center"/>
          </w:tcPr>
          <w:p w14:paraId="78F5F453" w14:textId="77777777" w:rsidR="00DB6185" w:rsidRPr="008F6866" w:rsidRDefault="00DB6185" w:rsidP="00E15EBA">
            <w:pPr>
              <w:jc w:val="left"/>
              <w:rPr>
                <w:rFonts w:asciiTheme="minorHAnsi" w:hAnsiTheme="minorHAnsi" w:cstheme="minorHAnsi"/>
                <w:i w:val="0"/>
                <w:sz w:val="20"/>
                <w:szCs w:val="20"/>
              </w:rPr>
            </w:pPr>
          </w:p>
        </w:tc>
        <w:tc>
          <w:tcPr>
            <w:tcW w:w="2041" w:type="dxa"/>
            <w:tcBorders>
              <w:left w:val="nil"/>
              <w:bottom w:val="single" w:sz="6" w:space="0" w:color="auto"/>
              <w:right w:val="nil"/>
            </w:tcBorders>
            <w:tcMar>
              <w:left w:w="105" w:type="dxa"/>
              <w:right w:w="105" w:type="dxa"/>
            </w:tcMar>
            <w:vAlign w:val="center"/>
          </w:tcPr>
          <w:p w14:paraId="0EAB0BE4" w14:textId="77777777" w:rsidR="00DB6185" w:rsidRPr="008F6866" w:rsidRDefault="00DB6185" w:rsidP="00E15EB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Residuals</w:t>
            </w:r>
          </w:p>
        </w:tc>
        <w:tc>
          <w:tcPr>
            <w:tcW w:w="711" w:type="dxa"/>
            <w:tcBorders>
              <w:top w:val="nil"/>
              <w:left w:val="nil"/>
              <w:bottom w:val="single" w:sz="6" w:space="0" w:color="auto"/>
              <w:right w:val="nil"/>
            </w:tcBorders>
            <w:tcMar>
              <w:left w:w="105" w:type="dxa"/>
              <w:right w:w="105" w:type="dxa"/>
            </w:tcMar>
            <w:vAlign w:val="center"/>
          </w:tcPr>
          <w:p w14:paraId="52F3E77E"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211.0</w:t>
            </w:r>
          </w:p>
        </w:tc>
        <w:tc>
          <w:tcPr>
            <w:tcW w:w="876" w:type="dxa"/>
            <w:tcBorders>
              <w:top w:val="nil"/>
              <w:left w:val="nil"/>
              <w:bottom w:val="single" w:sz="6" w:space="0" w:color="auto"/>
              <w:right w:val="nil"/>
            </w:tcBorders>
            <w:tcMar>
              <w:left w:w="105" w:type="dxa"/>
              <w:right w:w="105" w:type="dxa"/>
            </w:tcMar>
            <w:vAlign w:val="center"/>
          </w:tcPr>
          <w:p w14:paraId="7204B96B"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855.2</w:t>
            </w:r>
          </w:p>
        </w:tc>
        <w:tc>
          <w:tcPr>
            <w:tcW w:w="964" w:type="dxa"/>
            <w:tcBorders>
              <w:top w:val="nil"/>
              <w:left w:val="nil"/>
              <w:bottom w:val="single" w:sz="6" w:space="0" w:color="auto"/>
              <w:right w:val="nil"/>
            </w:tcBorders>
            <w:tcMar>
              <w:left w:w="105" w:type="dxa"/>
              <w:right w:w="105" w:type="dxa"/>
            </w:tcMar>
            <w:vAlign w:val="center"/>
          </w:tcPr>
          <w:p w14:paraId="3A4A263F"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4.1</w:t>
            </w:r>
          </w:p>
        </w:tc>
        <w:tc>
          <w:tcPr>
            <w:tcW w:w="851" w:type="dxa"/>
            <w:tcBorders>
              <w:top w:val="nil"/>
              <w:left w:val="nil"/>
              <w:bottom w:val="single" w:sz="6" w:space="0" w:color="auto"/>
              <w:right w:val="nil"/>
            </w:tcBorders>
            <w:tcMar>
              <w:left w:w="105" w:type="dxa"/>
              <w:right w:w="105" w:type="dxa"/>
            </w:tcMar>
            <w:vAlign w:val="center"/>
          </w:tcPr>
          <w:p w14:paraId="49AA19C6"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94" w:type="dxa"/>
            <w:tcBorders>
              <w:top w:val="nil"/>
              <w:left w:val="nil"/>
              <w:bottom w:val="single" w:sz="6" w:space="0" w:color="auto"/>
              <w:right w:val="nil"/>
            </w:tcBorders>
            <w:tcMar>
              <w:left w:w="105" w:type="dxa"/>
              <w:right w:w="105" w:type="dxa"/>
            </w:tcMar>
            <w:vAlign w:val="center"/>
          </w:tcPr>
          <w:p w14:paraId="1DABA76F"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7" w:type="dxa"/>
            <w:tcBorders>
              <w:left w:val="nil"/>
              <w:bottom w:val="single" w:sz="6" w:space="0" w:color="auto"/>
              <w:right w:val="nil"/>
            </w:tcBorders>
            <w:tcMar>
              <w:left w:w="105" w:type="dxa"/>
              <w:right w:w="105" w:type="dxa"/>
            </w:tcMar>
            <w:vAlign w:val="center"/>
          </w:tcPr>
          <w:p w14:paraId="5D431361"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DB6185" w:rsidRPr="008F6866" w14:paraId="54DC7189" w14:textId="77777777" w:rsidTr="00E15E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single" w:sz="6" w:space="0" w:color="auto"/>
              <w:left w:val="nil"/>
              <w:right w:val="nil"/>
            </w:tcBorders>
            <w:tcMar>
              <w:left w:w="105" w:type="dxa"/>
              <w:right w:w="105" w:type="dxa"/>
            </w:tcMar>
            <w:vAlign w:val="center"/>
          </w:tcPr>
          <w:p w14:paraId="75311BB6" w14:textId="77777777" w:rsidR="00DB6185" w:rsidRPr="008F6866" w:rsidRDefault="00DB6185" w:rsidP="00E15EBA">
            <w:pPr>
              <w:jc w:val="left"/>
              <w:rPr>
                <w:rFonts w:asciiTheme="minorHAnsi" w:eastAsia="Calibri" w:hAnsiTheme="minorHAnsi" w:cstheme="minorHAnsi"/>
                <w:i w:val="0"/>
                <w:sz w:val="20"/>
                <w:szCs w:val="20"/>
              </w:rPr>
            </w:pPr>
            <w:r w:rsidRPr="008F6866">
              <w:rPr>
                <w:rFonts w:asciiTheme="minorHAnsi" w:eastAsia="Calibri" w:hAnsiTheme="minorHAnsi" w:cstheme="minorHAnsi"/>
                <w:i w:val="0"/>
                <w:sz w:val="20"/>
                <w:szCs w:val="20"/>
              </w:rPr>
              <w:t>Sustainaibility</w:t>
            </w:r>
          </w:p>
          <w:p w14:paraId="780119F6" w14:textId="77777777" w:rsidR="00DB6185" w:rsidRPr="008F6866" w:rsidRDefault="00DB6185" w:rsidP="00E15EBA">
            <w:pPr>
              <w:jc w:val="left"/>
              <w:rPr>
                <w:rFonts w:asciiTheme="minorHAnsi" w:eastAsia="Calibri" w:hAnsiTheme="minorHAnsi" w:cstheme="minorHAnsi"/>
                <w:i w:val="0"/>
                <w:sz w:val="20"/>
                <w:szCs w:val="20"/>
              </w:rPr>
            </w:pPr>
          </w:p>
        </w:tc>
        <w:tc>
          <w:tcPr>
            <w:tcW w:w="2041" w:type="dxa"/>
            <w:tcBorders>
              <w:left w:val="nil"/>
              <w:right w:val="nil"/>
            </w:tcBorders>
            <w:tcMar>
              <w:left w:w="105" w:type="dxa"/>
              <w:right w:w="105" w:type="dxa"/>
            </w:tcMar>
            <w:vAlign w:val="center"/>
          </w:tcPr>
          <w:p w14:paraId="5D4DF484" w14:textId="77777777" w:rsidR="00DB6185" w:rsidRPr="008F6866" w:rsidRDefault="00DB6185" w:rsidP="00E15E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Silvicultural Scenario</w:t>
            </w:r>
          </w:p>
        </w:tc>
        <w:tc>
          <w:tcPr>
            <w:tcW w:w="711" w:type="dxa"/>
            <w:tcBorders>
              <w:top w:val="single" w:sz="6" w:space="0" w:color="auto"/>
              <w:left w:val="nil"/>
              <w:bottom w:val="nil"/>
              <w:right w:val="nil"/>
            </w:tcBorders>
            <w:shd w:val="clear" w:color="auto" w:fill="D1D1D1"/>
            <w:tcMar>
              <w:left w:w="105" w:type="dxa"/>
              <w:right w:w="105" w:type="dxa"/>
            </w:tcMar>
            <w:vAlign w:val="center"/>
          </w:tcPr>
          <w:p w14:paraId="12AA596D"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2.0</w:t>
            </w:r>
          </w:p>
        </w:tc>
        <w:tc>
          <w:tcPr>
            <w:tcW w:w="876" w:type="dxa"/>
            <w:tcBorders>
              <w:top w:val="single" w:sz="6" w:space="0" w:color="auto"/>
              <w:left w:val="nil"/>
              <w:bottom w:val="nil"/>
              <w:right w:val="nil"/>
            </w:tcBorders>
            <w:shd w:val="clear" w:color="auto" w:fill="D1D1D1"/>
            <w:tcMar>
              <w:left w:w="105" w:type="dxa"/>
              <w:right w:w="105" w:type="dxa"/>
            </w:tcMar>
            <w:vAlign w:val="center"/>
          </w:tcPr>
          <w:p w14:paraId="2C356C89"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77.6</w:t>
            </w:r>
          </w:p>
        </w:tc>
        <w:tc>
          <w:tcPr>
            <w:tcW w:w="964" w:type="dxa"/>
            <w:tcBorders>
              <w:top w:val="single" w:sz="6" w:space="0" w:color="auto"/>
              <w:left w:val="nil"/>
              <w:bottom w:val="nil"/>
              <w:right w:val="nil"/>
            </w:tcBorders>
            <w:shd w:val="clear" w:color="auto" w:fill="D1D1D1"/>
            <w:tcMar>
              <w:left w:w="105" w:type="dxa"/>
              <w:right w:w="105" w:type="dxa"/>
            </w:tcMar>
            <w:vAlign w:val="center"/>
          </w:tcPr>
          <w:p w14:paraId="1891979E"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38.8</w:t>
            </w:r>
          </w:p>
        </w:tc>
        <w:tc>
          <w:tcPr>
            <w:tcW w:w="851" w:type="dxa"/>
            <w:tcBorders>
              <w:top w:val="single" w:sz="6" w:space="0" w:color="auto"/>
              <w:left w:val="nil"/>
              <w:bottom w:val="nil"/>
              <w:right w:val="nil"/>
            </w:tcBorders>
            <w:shd w:val="clear" w:color="auto" w:fill="D1D1D1"/>
            <w:tcMar>
              <w:left w:w="105" w:type="dxa"/>
              <w:right w:w="105" w:type="dxa"/>
            </w:tcMar>
            <w:vAlign w:val="center"/>
          </w:tcPr>
          <w:p w14:paraId="247245B1"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21.6</w:t>
            </w:r>
          </w:p>
        </w:tc>
        <w:tc>
          <w:tcPr>
            <w:tcW w:w="794" w:type="dxa"/>
            <w:tcBorders>
              <w:top w:val="single" w:sz="6" w:space="0" w:color="auto"/>
              <w:left w:val="nil"/>
              <w:bottom w:val="nil"/>
              <w:right w:val="nil"/>
            </w:tcBorders>
            <w:shd w:val="clear" w:color="auto" w:fill="D1D1D1"/>
            <w:tcMar>
              <w:left w:w="105" w:type="dxa"/>
              <w:right w:w="105" w:type="dxa"/>
            </w:tcMar>
            <w:vAlign w:val="center"/>
          </w:tcPr>
          <w:p w14:paraId="4EE8611B"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&lt;0.001</w:t>
            </w:r>
          </w:p>
        </w:tc>
        <w:tc>
          <w:tcPr>
            <w:tcW w:w="567" w:type="dxa"/>
            <w:tcBorders>
              <w:left w:val="nil"/>
              <w:right w:val="nil"/>
            </w:tcBorders>
            <w:tcMar>
              <w:left w:w="105" w:type="dxa"/>
              <w:right w:w="105" w:type="dxa"/>
            </w:tcMar>
            <w:vAlign w:val="center"/>
          </w:tcPr>
          <w:p w14:paraId="43E21F6D" w14:textId="77777777" w:rsidR="00DB6185" w:rsidRPr="008F6866" w:rsidRDefault="00DB6185" w:rsidP="00E15E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w:t>
            </w:r>
          </w:p>
        </w:tc>
      </w:tr>
      <w:tr w:rsidR="00DB6185" w:rsidRPr="008F6866" w14:paraId="02372B47" w14:textId="77777777" w:rsidTr="00E15EBA">
        <w:trPr>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tcBorders>
              <w:left w:val="nil"/>
              <w:right w:val="nil"/>
            </w:tcBorders>
            <w:vAlign w:val="center"/>
          </w:tcPr>
          <w:p w14:paraId="27FC85EA" w14:textId="77777777" w:rsidR="00DB6185" w:rsidRPr="008F6866" w:rsidRDefault="00DB6185" w:rsidP="00E15EBA">
            <w:pPr>
              <w:jc w:val="left"/>
              <w:rPr>
                <w:rFonts w:asciiTheme="minorHAnsi" w:hAnsiTheme="minorHAnsi" w:cstheme="minorHAnsi"/>
                <w:i w:val="0"/>
                <w:sz w:val="20"/>
                <w:szCs w:val="20"/>
              </w:rPr>
            </w:pPr>
          </w:p>
        </w:tc>
        <w:tc>
          <w:tcPr>
            <w:tcW w:w="2041" w:type="dxa"/>
            <w:tcBorders>
              <w:left w:val="nil"/>
              <w:right w:val="nil"/>
            </w:tcBorders>
            <w:tcMar>
              <w:left w:w="105" w:type="dxa"/>
              <w:right w:w="105" w:type="dxa"/>
            </w:tcMar>
            <w:vAlign w:val="center"/>
          </w:tcPr>
          <w:p w14:paraId="1DAA2020" w14:textId="77777777" w:rsidR="00DB6185" w:rsidRPr="008F6866" w:rsidRDefault="00DB6185" w:rsidP="00E15EB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SSP</w:t>
            </w:r>
          </w:p>
        </w:tc>
        <w:tc>
          <w:tcPr>
            <w:tcW w:w="711" w:type="dxa"/>
            <w:tcBorders>
              <w:top w:val="nil"/>
              <w:left w:val="nil"/>
              <w:bottom w:val="nil"/>
              <w:right w:val="nil"/>
            </w:tcBorders>
            <w:tcMar>
              <w:left w:w="105" w:type="dxa"/>
              <w:right w:w="105" w:type="dxa"/>
            </w:tcMar>
            <w:vAlign w:val="center"/>
          </w:tcPr>
          <w:p w14:paraId="229F355B"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2.0</w:t>
            </w:r>
          </w:p>
        </w:tc>
        <w:tc>
          <w:tcPr>
            <w:tcW w:w="876" w:type="dxa"/>
            <w:tcBorders>
              <w:top w:val="nil"/>
              <w:left w:val="nil"/>
              <w:bottom w:val="nil"/>
              <w:right w:val="nil"/>
            </w:tcBorders>
            <w:tcMar>
              <w:left w:w="105" w:type="dxa"/>
              <w:right w:w="105" w:type="dxa"/>
            </w:tcMar>
            <w:vAlign w:val="center"/>
          </w:tcPr>
          <w:p w14:paraId="50CEB3B5"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57.5</w:t>
            </w:r>
          </w:p>
        </w:tc>
        <w:tc>
          <w:tcPr>
            <w:tcW w:w="964" w:type="dxa"/>
            <w:tcBorders>
              <w:top w:val="nil"/>
              <w:left w:val="nil"/>
              <w:bottom w:val="nil"/>
              <w:right w:val="nil"/>
            </w:tcBorders>
            <w:tcMar>
              <w:left w:w="105" w:type="dxa"/>
              <w:right w:w="105" w:type="dxa"/>
            </w:tcMar>
            <w:vAlign w:val="center"/>
          </w:tcPr>
          <w:p w14:paraId="24D103D1"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28.8</w:t>
            </w:r>
          </w:p>
        </w:tc>
        <w:tc>
          <w:tcPr>
            <w:tcW w:w="851" w:type="dxa"/>
            <w:tcBorders>
              <w:top w:val="nil"/>
              <w:left w:val="nil"/>
              <w:bottom w:val="nil"/>
              <w:right w:val="nil"/>
            </w:tcBorders>
            <w:tcMar>
              <w:left w:w="105" w:type="dxa"/>
              <w:right w:w="105" w:type="dxa"/>
            </w:tcMar>
            <w:vAlign w:val="center"/>
          </w:tcPr>
          <w:p w14:paraId="018C3355"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16.0</w:t>
            </w:r>
          </w:p>
        </w:tc>
        <w:tc>
          <w:tcPr>
            <w:tcW w:w="794" w:type="dxa"/>
            <w:tcBorders>
              <w:top w:val="nil"/>
              <w:left w:val="nil"/>
              <w:bottom w:val="nil"/>
              <w:right w:val="nil"/>
            </w:tcBorders>
            <w:tcMar>
              <w:left w:w="105" w:type="dxa"/>
              <w:right w:w="105" w:type="dxa"/>
            </w:tcMar>
            <w:vAlign w:val="center"/>
          </w:tcPr>
          <w:p w14:paraId="7A9A0583"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&lt;0.001</w:t>
            </w:r>
          </w:p>
        </w:tc>
        <w:tc>
          <w:tcPr>
            <w:tcW w:w="567" w:type="dxa"/>
            <w:tcBorders>
              <w:left w:val="nil"/>
              <w:right w:val="nil"/>
            </w:tcBorders>
            <w:tcMar>
              <w:left w:w="105" w:type="dxa"/>
              <w:right w:w="105" w:type="dxa"/>
            </w:tcMar>
            <w:vAlign w:val="center"/>
          </w:tcPr>
          <w:p w14:paraId="01D2774B"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w:t>
            </w:r>
          </w:p>
        </w:tc>
      </w:tr>
      <w:tr w:rsidR="00DB6185" w:rsidRPr="008F6866" w14:paraId="3A384802" w14:textId="77777777" w:rsidTr="00E15E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tcBorders>
              <w:left w:val="nil"/>
              <w:right w:val="nil"/>
            </w:tcBorders>
            <w:vAlign w:val="center"/>
          </w:tcPr>
          <w:p w14:paraId="1983EAA9" w14:textId="77777777" w:rsidR="00DB6185" w:rsidRPr="008F6866" w:rsidRDefault="00DB6185" w:rsidP="00E15EBA">
            <w:pPr>
              <w:jc w:val="left"/>
              <w:rPr>
                <w:rFonts w:asciiTheme="minorHAnsi" w:hAnsiTheme="minorHAnsi" w:cstheme="minorHAnsi"/>
                <w:i w:val="0"/>
                <w:sz w:val="20"/>
                <w:szCs w:val="20"/>
              </w:rPr>
            </w:pPr>
          </w:p>
        </w:tc>
        <w:tc>
          <w:tcPr>
            <w:tcW w:w="2041" w:type="dxa"/>
            <w:tcBorders>
              <w:left w:val="nil"/>
              <w:right w:val="nil"/>
            </w:tcBorders>
            <w:tcMar>
              <w:left w:w="105" w:type="dxa"/>
              <w:right w:w="105" w:type="dxa"/>
            </w:tcMar>
            <w:vAlign w:val="center"/>
          </w:tcPr>
          <w:p w14:paraId="74CE11C7" w14:textId="77777777" w:rsidR="00DB6185" w:rsidRPr="008F6866" w:rsidRDefault="00DB6185" w:rsidP="00E15E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Ungulate Densities</w:t>
            </w:r>
          </w:p>
        </w:tc>
        <w:tc>
          <w:tcPr>
            <w:tcW w:w="711" w:type="dxa"/>
            <w:tcBorders>
              <w:top w:val="nil"/>
              <w:left w:val="nil"/>
              <w:bottom w:val="nil"/>
              <w:right w:val="nil"/>
            </w:tcBorders>
            <w:shd w:val="clear" w:color="auto" w:fill="D1D1D1"/>
            <w:tcMar>
              <w:left w:w="105" w:type="dxa"/>
              <w:right w:w="105" w:type="dxa"/>
            </w:tcMar>
            <w:vAlign w:val="center"/>
          </w:tcPr>
          <w:p w14:paraId="208D074F"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3.0</w:t>
            </w:r>
          </w:p>
        </w:tc>
        <w:tc>
          <w:tcPr>
            <w:tcW w:w="876" w:type="dxa"/>
            <w:tcBorders>
              <w:top w:val="nil"/>
              <w:left w:val="nil"/>
              <w:bottom w:val="nil"/>
              <w:right w:val="nil"/>
            </w:tcBorders>
            <w:shd w:val="clear" w:color="auto" w:fill="D1D1D1"/>
            <w:tcMar>
              <w:left w:w="105" w:type="dxa"/>
              <w:right w:w="105" w:type="dxa"/>
            </w:tcMar>
            <w:vAlign w:val="center"/>
          </w:tcPr>
          <w:p w14:paraId="5D5E2775"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145.3</w:t>
            </w:r>
          </w:p>
        </w:tc>
        <w:tc>
          <w:tcPr>
            <w:tcW w:w="964" w:type="dxa"/>
            <w:tcBorders>
              <w:top w:val="nil"/>
              <w:left w:val="nil"/>
              <w:bottom w:val="nil"/>
              <w:right w:val="nil"/>
            </w:tcBorders>
            <w:shd w:val="clear" w:color="auto" w:fill="D1D1D1"/>
            <w:tcMar>
              <w:left w:w="105" w:type="dxa"/>
              <w:right w:w="105" w:type="dxa"/>
            </w:tcMar>
            <w:vAlign w:val="center"/>
          </w:tcPr>
          <w:p w14:paraId="001C9178"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48.4</w:t>
            </w:r>
          </w:p>
        </w:tc>
        <w:tc>
          <w:tcPr>
            <w:tcW w:w="851" w:type="dxa"/>
            <w:tcBorders>
              <w:top w:val="nil"/>
              <w:left w:val="nil"/>
              <w:bottom w:val="nil"/>
              <w:right w:val="nil"/>
            </w:tcBorders>
            <w:shd w:val="clear" w:color="auto" w:fill="D1D1D1"/>
            <w:tcMar>
              <w:left w:w="105" w:type="dxa"/>
              <w:right w:w="105" w:type="dxa"/>
            </w:tcMar>
            <w:vAlign w:val="center"/>
          </w:tcPr>
          <w:p w14:paraId="63055387"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26.9</w:t>
            </w:r>
          </w:p>
        </w:tc>
        <w:tc>
          <w:tcPr>
            <w:tcW w:w="794" w:type="dxa"/>
            <w:tcBorders>
              <w:top w:val="nil"/>
              <w:left w:val="nil"/>
              <w:bottom w:val="nil"/>
              <w:right w:val="nil"/>
            </w:tcBorders>
            <w:shd w:val="clear" w:color="auto" w:fill="D1D1D1"/>
            <w:tcMar>
              <w:left w:w="105" w:type="dxa"/>
              <w:right w:w="105" w:type="dxa"/>
            </w:tcMar>
            <w:vAlign w:val="center"/>
          </w:tcPr>
          <w:p w14:paraId="5E623EF4"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&lt;0.001</w:t>
            </w:r>
          </w:p>
        </w:tc>
        <w:tc>
          <w:tcPr>
            <w:tcW w:w="567" w:type="dxa"/>
            <w:tcBorders>
              <w:left w:val="nil"/>
              <w:right w:val="nil"/>
            </w:tcBorders>
            <w:tcMar>
              <w:left w:w="105" w:type="dxa"/>
              <w:right w:w="105" w:type="dxa"/>
            </w:tcMar>
            <w:vAlign w:val="center"/>
          </w:tcPr>
          <w:p w14:paraId="7A1607DB" w14:textId="77777777" w:rsidR="00DB6185" w:rsidRPr="008F6866" w:rsidRDefault="00DB6185" w:rsidP="00E15E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w:t>
            </w:r>
          </w:p>
        </w:tc>
      </w:tr>
      <w:tr w:rsidR="00DB6185" w:rsidRPr="008F6866" w14:paraId="61D0ADE4" w14:textId="77777777" w:rsidTr="00E15EBA">
        <w:trPr>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tcBorders>
              <w:left w:val="nil"/>
              <w:right w:val="nil"/>
            </w:tcBorders>
            <w:vAlign w:val="center"/>
          </w:tcPr>
          <w:p w14:paraId="1C2F3A7D" w14:textId="77777777" w:rsidR="00DB6185" w:rsidRPr="008F6866" w:rsidRDefault="00DB6185" w:rsidP="00E15EBA">
            <w:pPr>
              <w:jc w:val="left"/>
              <w:rPr>
                <w:rFonts w:asciiTheme="minorHAnsi" w:hAnsiTheme="minorHAnsi" w:cstheme="minorHAnsi"/>
                <w:i w:val="0"/>
                <w:sz w:val="20"/>
                <w:szCs w:val="20"/>
              </w:rPr>
            </w:pPr>
          </w:p>
        </w:tc>
        <w:tc>
          <w:tcPr>
            <w:tcW w:w="2041" w:type="dxa"/>
            <w:tcBorders>
              <w:left w:val="nil"/>
              <w:right w:val="nil"/>
            </w:tcBorders>
            <w:tcMar>
              <w:left w:w="105" w:type="dxa"/>
              <w:right w:w="105" w:type="dxa"/>
            </w:tcMar>
            <w:vAlign w:val="center"/>
          </w:tcPr>
          <w:p w14:paraId="5AE38501" w14:textId="77777777" w:rsidR="00DB6185" w:rsidRPr="008F6866" w:rsidRDefault="00DB6185" w:rsidP="00E15EB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Silvicultural Scenario x Ungulate Densities</w:t>
            </w:r>
          </w:p>
        </w:tc>
        <w:tc>
          <w:tcPr>
            <w:tcW w:w="711" w:type="dxa"/>
            <w:tcBorders>
              <w:top w:val="nil"/>
              <w:left w:val="nil"/>
              <w:bottom w:val="nil"/>
              <w:right w:val="nil"/>
            </w:tcBorders>
            <w:tcMar>
              <w:left w:w="105" w:type="dxa"/>
              <w:right w:w="105" w:type="dxa"/>
            </w:tcMar>
            <w:vAlign w:val="center"/>
          </w:tcPr>
          <w:p w14:paraId="65726F06"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6.0</w:t>
            </w:r>
          </w:p>
        </w:tc>
        <w:tc>
          <w:tcPr>
            <w:tcW w:w="876" w:type="dxa"/>
            <w:tcBorders>
              <w:top w:val="nil"/>
              <w:left w:val="nil"/>
              <w:bottom w:val="nil"/>
              <w:right w:val="nil"/>
            </w:tcBorders>
            <w:tcMar>
              <w:left w:w="105" w:type="dxa"/>
              <w:right w:w="105" w:type="dxa"/>
            </w:tcMar>
            <w:vAlign w:val="center"/>
          </w:tcPr>
          <w:p w14:paraId="721A1617"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82.2</w:t>
            </w:r>
          </w:p>
        </w:tc>
        <w:tc>
          <w:tcPr>
            <w:tcW w:w="964" w:type="dxa"/>
            <w:tcBorders>
              <w:top w:val="nil"/>
              <w:left w:val="nil"/>
              <w:bottom w:val="nil"/>
              <w:right w:val="nil"/>
            </w:tcBorders>
            <w:tcMar>
              <w:left w:w="105" w:type="dxa"/>
              <w:right w:w="105" w:type="dxa"/>
            </w:tcMar>
            <w:vAlign w:val="center"/>
          </w:tcPr>
          <w:p w14:paraId="6DCE532F"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13.7</w:t>
            </w:r>
          </w:p>
        </w:tc>
        <w:tc>
          <w:tcPr>
            <w:tcW w:w="851" w:type="dxa"/>
            <w:tcBorders>
              <w:top w:val="nil"/>
              <w:left w:val="nil"/>
              <w:bottom w:val="nil"/>
              <w:right w:val="nil"/>
            </w:tcBorders>
            <w:tcMar>
              <w:left w:w="105" w:type="dxa"/>
              <w:right w:w="105" w:type="dxa"/>
            </w:tcMar>
            <w:vAlign w:val="center"/>
          </w:tcPr>
          <w:p w14:paraId="1F5A2265"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7.6</w:t>
            </w:r>
          </w:p>
        </w:tc>
        <w:tc>
          <w:tcPr>
            <w:tcW w:w="794" w:type="dxa"/>
            <w:tcBorders>
              <w:top w:val="nil"/>
              <w:left w:val="nil"/>
              <w:bottom w:val="nil"/>
              <w:right w:val="nil"/>
            </w:tcBorders>
            <w:tcMar>
              <w:left w:w="105" w:type="dxa"/>
              <w:right w:w="105" w:type="dxa"/>
            </w:tcMar>
            <w:vAlign w:val="center"/>
          </w:tcPr>
          <w:p w14:paraId="5FE63AF5"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&lt;0.001</w:t>
            </w:r>
          </w:p>
        </w:tc>
        <w:tc>
          <w:tcPr>
            <w:tcW w:w="567" w:type="dxa"/>
            <w:tcBorders>
              <w:left w:val="nil"/>
              <w:right w:val="nil"/>
            </w:tcBorders>
            <w:tcMar>
              <w:left w:w="105" w:type="dxa"/>
              <w:right w:w="105" w:type="dxa"/>
            </w:tcMar>
            <w:vAlign w:val="center"/>
          </w:tcPr>
          <w:p w14:paraId="1E70A0AC"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w:t>
            </w:r>
          </w:p>
        </w:tc>
      </w:tr>
      <w:tr w:rsidR="00DB6185" w:rsidRPr="008F6866" w14:paraId="591E7224" w14:textId="77777777" w:rsidTr="00E15E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tcBorders>
              <w:left w:val="nil"/>
              <w:right w:val="nil"/>
            </w:tcBorders>
            <w:vAlign w:val="center"/>
          </w:tcPr>
          <w:p w14:paraId="1DABE1A4" w14:textId="77777777" w:rsidR="00DB6185" w:rsidRPr="008F6866" w:rsidRDefault="00DB6185" w:rsidP="00E15EBA">
            <w:pPr>
              <w:jc w:val="left"/>
              <w:rPr>
                <w:rFonts w:asciiTheme="minorHAnsi" w:hAnsiTheme="minorHAnsi" w:cstheme="minorHAnsi"/>
                <w:i w:val="0"/>
                <w:sz w:val="20"/>
                <w:szCs w:val="20"/>
              </w:rPr>
            </w:pPr>
          </w:p>
        </w:tc>
        <w:tc>
          <w:tcPr>
            <w:tcW w:w="2041" w:type="dxa"/>
            <w:tcBorders>
              <w:left w:val="nil"/>
              <w:bottom w:val="single" w:sz="6" w:space="0" w:color="auto"/>
              <w:right w:val="nil"/>
            </w:tcBorders>
            <w:tcMar>
              <w:left w:w="105" w:type="dxa"/>
              <w:right w:w="105" w:type="dxa"/>
            </w:tcMar>
            <w:vAlign w:val="center"/>
          </w:tcPr>
          <w:p w14:paraId="65FC13F0" w14:textId="77777777" w:rsidR="00DB6185" w:rsidRPr="008F6866" w:rsidRDefault="00DB6185" w:rsidP="00E15E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Residuals</w:t>
            </w:r>
          </w:p>
        </w:tc>
        <w:tc>
          <w:tcPr>
            <w:tcW w:w="711" w:type="dxa"/>
            <w:tcBorders>
              <w:top w:val="nil"/>
              <w:left w:val="nil"/>
              <w:bottom w:val="single" w:sz="6" w:space="0" w:color="auto"/>
              <w:right w:val="nil"/>
            </w:tcBorders>
            <w:shd w:val="clear" w:color="auto" w:fill="D1D1D1"/>
            <w:tcMar>
              <w:left w:w="105" w:type="dxa"/>
              <w:right w:w="105" w:type="dxa"/>
            </w:tcMar>
            <w:vAlign w:val="center"/>
          </w:tcPr>
          <w:p w14:paraId="1295C358"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202.0</w:t>
            </w:r>
          </w:p>
        </w:tc>
        <w:tc>
          <w:tcPr>
            <w:tcW w:w="876" w:type="dxa"/>
            <w:tcBorders>
              <w:top w:val="nil"/>
              <w:left w:val="nil"/>
              <w:bottom w:val="single" w:sz="6" w:space="0" w:color="auto"/>
              <w:right w:val="nil"/>
            </w:tcBorders>
            <w:shd w:val="clear" w:color="auto" w:fill="D1D1D1"/>
            <w:tcMar>
              <w:left w:w="105" w:type="dxa"/>
              <w:right w:w="105" w:type="dxa"/>
            </w:tcMar>
            <w:vAlign w:val="center"/>
          </w:tcPr>
          <w:p w14:paraId="1673C2B1"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363.3</w:t>
            </w:r>
          </w:p>
        </w:tc>
        <w:tc>
          <w:tcPr>
            <w:tcW w:w="964" w:type="dxa"/>
            <w:tcBorders>
              <w:top w:val="nil"/>
              <w:left w:val="nil"/>
              <w:bottom w:val="single" w:sz="6" w:space="0" w:color="auto"/>
              <w:right w:val="nil"/>
            </w:tcBorders>
            <w:shd w:val="clear" w:color="auto" w:fill="D1D1D1"/>
            <w:tcMar>
              <w:left w:w="105" w:type="dxa"/>
              <w:right w:w="105" w:type="dxa"/>
            </w:tcMar>
            <w:vAlign w:val="center"/>
          </w:tcPr>
          <w:p w14:paraId="7200AADB"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1.8</w:t>
            </w:r>
          </w:p>
        </w:tc>
        <w:tc>
          <w:tcPr>
            <w:tcW w:w="851" w:type="dxa"/>
            <w:tcBorders>
              <w:top w:val="nil"/>
              <w:left w:val="nil"/>
              <w:bottom w:val="single" w:sz="6" w:space="0" w:color="auto"/>
              <w:right w:val="nil"/>
            </w:tcBorders>
            <w:shd w:val="clear" w:color="auto" w:fill="D1D1D1"/>
            <w:tcMar>
              <w:left w:w="105" w:type="dxa"/>
              <w:right w:w="105" w:type="dxa"/>
            </w:tcMar>
            <w:vAlign w:val="center"/>
          </w:tcPr>
          <w:p w14:paraId="1EA79A5B"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94" w:type="dxa"/>
            <w:tcBorders>
              <w:top w:val="nil"/>
              <w:left w:val="nil"/>
              <w:bottom w:val="single" w:sz="6" w:space="0" w:color="auto"/>
              <w:right w:val="nil"/>
            </w:tcBorders>
            <w:shd w:val="clear" w:color="auto" w:fill="D1D1D1"/>
            <w:tcMar>
              <w:left w:w="105" w:type="dxa"/>
              <w:right w:w="105" w:type="dxa"/>
            </w:tcMar>
            <w:vAlign w:val="center"/>
          </w:tcPr>
          <w:p w14:paraId="1ED96635"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7" w:type="dxa"/>
            <w:tcBorders>
              <w:left w:val="nil"/>
              <w:bottom w:val="single" w:sz="6" w:space="0" w:color="auto"/>
              <w:right w:val="nil"/>
            </w:tcBorders>
            <w:tcMar>
              <w:left w:w="105" w:type="dxa"/>
              <w:right w:w="105" w:type="dxa"/>
            </w:tcMar>
            <w:vAlign w:val="center"/>
          </w:tcPr>
          <w:p w14:paraId="1532CE3B" w14:textId="77777777" w:rsidR="00DB6185" w:rsidRPr="008F6866" w:rsidRDefault="00DB6185" w:rsidP="00E15E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DB6185" w:rsidRPr="008F6866" w14:paraId="1F9277AB" w14:textId="77777777" w:rsidTr="00E15EBA">
        <w:trPr>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single" w:sz="6" w:space="0" w:color="auto"/>
              <w:left w:val="nil"/>
              <w:right w:val="nil"/>
            </w:tcBorders>
            <w:tcMar>
              <w:left w:w="105" w:type="dxa"/>
              <w:right w:w="105" w:type="dxa"/>
            </w:tcMar>
            <w:vAlign w:val="center"/>
          </w:tcPr>
          <w:p w14:paraId="000DBE93" w14:textId="77777777" w:rsidR="00DB6185" w:rsidRPr="008F6866" w:rsidRDefault="00DB6185" w:rsidP="00E15EBA">
            <w:pPr>
              <w:jc w:val="left"/>
              <w:rPr>
                <w:rFonts w:asciiTheme="minorHAnsi" w:eastAsia="Calibri" w:hAnsiTheme="minorHAnsi" w:cstheme="minorHAnsi"/>
                <w:i w:val="0"/>
                <w:sz w:val="20"/>
                <w:szCs w:val="20"/>
              </w:rPr>
            </w:pPr>
            <w:r w:rsidRPr="008F6866">
              <w:rPr>
                <w:rFonts w:asciiTheme="minorHAnsi" w:eastAsia="Calibri" w:hAnsiTheme="minorHAnsi" w:cstheme="minorHAnsi"/>
                <w:i w:val="0"/>
                <w:sz w:val="20"/>
                <w:szCs w:val="20"/>
              </w:rPr>
              <w:t>Carbon</w:t>
            </w:r>
          </w:p>
          <w:p w14:paraId="2A54CBAB" w14:textId="77777777" w:rsidR="00DB6185" w:rsidRPr="008F6866" w:rsidRDefault="00DB6185" w:rsidP="00E15EBA">
            <w:pPr>
              <w:jc w:val="left"/>
              <w:rPr>
                <w:rFonts w:asciiTheme="minorHAnsi" w:eastAsia="Calibri" w:hAnsiTheme="minorHAnsi" w:cstheme="minorHAnsi"/>
                <w:i w:val="0"/>
                <w:sz w:val="20"/>
                <w:szCs w:val="20"/>
              </w:rPr>
            </w:pPr>
          </w:p>
        </w:tc>
        <w:tc>
          <w:tcPr>
            <w:tcW w:w="2041" w:type="dxa"/>
            <w:tcBorders>
              <w:top w:val="single" w:sz="6" w:space="0" w:color="auto"/>
              <w:left w:val="nil"/>
              <w:right w:val="nil"/>
            </w:tcBorders>
            <w:tcMar>
              <w:left w:w="105" w:type="dxa"/>
              <w:right w:w="105" w:type="dxa"/>
            </w:tcMar>
            <w:vAlign w:val="center"/>
          </w:tcPr>
          <w:p w14:paraId="121636CB" w14:textId="77777777" w:rsidR="00DB6185" w:rsidRPr="008F6866" w:rsidRDefault="00DB6185" w:rsidP="00E15EB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Silvicultural Scenario</w:t>
            </w:r>
          </w:p>
        </w:tc>
        <w:tc>
          <w:tcPr>
            <w:tcW w:w="711" w:type="dxa"/>
            <w:tcBorders>
              <w:top w:val="single" w:sz="6" w:space="0" w:color="auto"/>
              <w:left w:val="nil"/>
              <w:bottom w:val="nil"/>
              <w:right w:val="nil"/>
            </w:tcBorders>
            <w:tcMar>
              <w:left w:w="105" w:type="dxa"/>
              <w:right w:w="105" w:type="dxa"/>
            </w:tcMar>
            <w:vAlign w:val="center"/>
          </w:tcPr>
          <w:p w14:paraId="7940B86C"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2.0</w:t>
            </w:r>
          </w:p>
        </w:tc>
        <w:tc>
          <w:tcPr>
            <w:tcW w:w="876" w:type="dxa"/>
            <w:tcBorders>
              <w:top w:val="single" w:sz="6" w:space="0" w:color="auto"/>
              <w:left w:val="nil"/>
              <w:bottom w:val="nil"/>
              <w:right w:val="nil"/>
            </w:tcBorders>
            <w:tcMar>
              <w:left w:w="105" w:type="dxa"/>
              <w:right w:w="105" w:type="dxa"/>
            </w:tcMar>
            <w:vAlign w:val="center"/>
          </w:tcPr>
          <w:p w14:paraId="42F00DA8"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132.3</w:t>
            </w:r>
          </w:p>
        </w:tc>
        <w:tc>
          <w:tcPr>
            <w:tcW w:w="964" w:type="dxa"/>
            <w:tcBorders>
              <w:top w:val="single" w:sz="6" w:space="0" w:color="auto"/>
              <w:left w:val="nil"/>
              <w:bottom w:val="nil"/>
              <w:right w:val="nil"/>
            </w:tcBorders>
            <w:tcMar>
              <w:left w:w="105" w:type="dxa"/>
              <w:right w:w="105" w:type="dxa"/>
            </w:tcMar>
            <w:vAlign w:val="center"/>
          </w:tcPr>
          <w:p w14:paraId="0E48BAC7"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66.1</w:t>
            </w:r>
          </w:p>
        </w:tc>
        <w:tc>
          <w:tcPr>
            <w:tcW w:w="851" w:type="dxa"/>
            <w:tcBorders>
              <w:top w:val="single" w:sz="6" w:space="0" w:color="auto"/>
              <w:left w:val="nil"/>
              <w:bottom w:val="nil"/>
              <w:right w:val="nil"/>
            </w:tcBorders>
            <w:tcMar>
              <w:left w:w="105" w:type="dxa"/>
              <w:right w:w="105" w:type="dxa"/>
            </w:tcMar>
            <w:vAlign w:val="center"/>
          </w:tcPr>
          <w:p w14:paraId="1732287B"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18.8</w:t>
            </w:r>
          </w:p>
        </w:tc>
        <w:tc>
          <w:tcPr>
            <w:tcW w:w="794" w:type="dxa"/>
            <w:tcBorders>
              <w:top w:val="single" w:sz="6" w:space="0" w:color="auto"/>
              <w:left w:val="nil"/>
              <w:bottom w:val="nil"/>
              <w:right w:val="nil"/>
            </w:tcBorders>
            <w:tcMar>
              <w:left w:w="105" w:type="dxa"/>
              <w:right w:w="105" w:type="dxa"/>
            </w:tcMar>
            <w:vAlign w:val="center"/>
          </w:tcPr>
          <w:p w14:paraId="7A47B565"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&lt;0.001</w:t>
            </w:r>
          </w:p>
        </w:tc>
        <w:tc>
          <w:tcPr>
            <w:tcW w:w="567" w:type="dxa"/>
            <w:tcBorders>
              <w:top w:val="single" w:sz="6" w:space="0" w:color="auto"/>
              <w:left w:val="nil"/>
              <w:right w:val="nil"/>
            </w:tcBorders>
            <w:tcMar>
              <w:left w:w="105" w:type="dxa"/>
              <w:right w:w="105" w:type="dxa"/>
            </w:tcMar>
            <w:vAlign w:val="center"/>
          </w:tcPr>
          <w:p w14:paraId="2C06E52B"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w:t>
            </w:r>
          </w:p>
        </w:tc>
      </w:tr>
      <w:tr w:rsidR="00DB6185" w:rsidRPr="008F6866" w14:paraId="132A0BDF" w14:textId="77777777" w:rsidTr="00E15E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tcBorders>
              <w:left w:val="nil"/>
              <w:right w:val="nil"/>
            </w:tcBorders>
            <w:vAlign w:val="center"/>
          </w:tcPr>
          <w:p w14:paraId="510594D1" w14:textId="77777777" w:rsidR="00DB6185" w:rsidRPr="008F6866" w:rsidRDefault="00DB6185" w:rsidP="00E15EBA">
            <w:pPr>
              <w:jc w:val="left"/>
              <w:rPr>
                <w:rFonts w:asciiTheme="minorHAnsi" w:hAnsiTheme="minorHAnsi" w:cstheme="minorHAnsi"/>
                <w:i w:val="0"/>
                <w:sz w:val="20"/>
                <w:szCs w:val="20"/>
              </w:rPr>
            </w:pPr>
          </w:p>
        </w:tc>
        <w:tc>
          <w:tcPr>
            <w:tcW w:w="2041" w:type="dxa"/>
            <w:tcBorders>
              <w:left w:val="nil"/>
              <w:right w:val="nil"/>
            </w:tcBorders>
            <w:tcMar>
              <w:left w:w="105" w:type="dxa"/>
              <w:right w:w="105" w:type="dxa"/>
            </w:tcMar>
            <w:vAlign w:val="center"/>
          </w:tcPr>
          <w:p w14:paraId="5E2AEA85" w14:textId="77777777" w:rsidR="00DB6185" w:rsidRPr="008F6866" w:rsidRDefault="00DB6185" w:rsidP="00E15E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SSP</w:t>
            </w:r>
          </w:p>
        </w:tc>
        <w:tc>
          <w:tcPr>
            <w:tcW w:w="711" w:type="dxa"/>
            <w:tcBorders>
              <w:top w:val="nil"/>
              <w:left w:val="nil"/>
              <w:bottom w:val="nil"/>
              <w:right w:val="nil"/>
            </w:tcBorders>
            <w:shd w:val="clear" w:color="auto" w:fill="D1D1D1"/>
            <w:tcMar>
              <w:left w:w="105" w:type="dxa"/>
              <w:right w:w="105" w:type="dxa"/>
            </w:tcMar>
            <w:vAlign w:val="center"/>
          </w:tcPr>
          <w:p w14:paraId="2F73CCEE"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2.0</w:t>
            </w:r>
          </w:p>
        </w:tc>
        <w:tc>
          <w:tcPr>
            <w:tcW w:w="876" w:type="dxa"/>
            <w:tcBorders>
              <w:top w:val="nil"/>
              <w:left w:val="nil"/>
              <w:bottom w:val="nil"/>
              <w:right w:val="nil"/>
            </w:tcBorders>
            <w:shd w:val="clear" w:color="auto" w:fill="D1D1D1"/>
            <w:tcMar>
              <w:left w:w="105" w:type="dxa"/>
              <w:right w:w="105" w:type="dxa"/>
            </w:tcMar>
            <w:vAlign w:val="center"/>
          </w:tcPr>
          <w:p w14:paraId="08898D6C"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106.8</w:t>
            </w:r>
          </w:p>
        </w:tc>
        <w:tc>
          <w:tcPr>
            <w:tcW w:w="964" w:type="dxa"/>
            <w:tcBorders>
              <w:top w:val="nil"/>
              <w:left w:val="nil"/>
              <w:bottom w:val="nil"/>
              <w:right w:val="nil"/>
            </w:tcBorders>
            <w:shd w:val="clear" w:color="auto" w:fill="D1D1D1"/>
            <w:tcMar>
              <w:left w:w="105" w:type="dxa"/>
              <w:right w:w="105" w:type="dxa"/>
            </w:tcMar>
            <w:vAlign w:val="center"/>
          </w:tcPr>
          <w:p w14:paraId="20031C3D"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53.4</w:t>
            </w:r>
          </w:p>
        </w:tc>
        <w:tc>
          <w:tcPr>
            <w:tcW w:w="851" w:type="dxa"/>
            <w:tcBorders>
              <w:top w:val="nil"/>
              <w:left w:val="nil"/>
              <w:bottom w:val="nil"/>
              <w:right w:val="nil"/>
            </w:tcBorders>
            <w:shd w:val="clear" w:color="auto" w:fill="D1D1D1"/>
            <w:tcMar>
              <w:left w:w="105" w:type="dxa"/>
              <w:right w:w="105" w:type="dxa"/>
            </w:tcMar>
            <w:vAlign w:val="center"/>
          </w:tcPr>
          <w:p w14:paraId="325F05E3"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15.2</w:t>
            </w:r>
          </w:p>
        </w:tc>
        <w:tc>
          <w:tcPr>
            <w:tcW w:w="794" w:type="dxa"/>
            <w:tcBorders>
              <w:top w:val="nil"/>
              <w:left w:val="nil"/>
              <w:bottom w:val="nil"/>
              <w:right w:val="nil"/>
            </w:tcBorders>
            <w:shd w:val="clear" w:color="auto" w:fill="D1D1D1"/>
            <w:tcMar>
              <w:left w:w="105" w:type="dxa"/>
              <w:right w:w="105" w:type="dxa"/>
            </w:tcMar>
            <w:vAlign w:val="center"/>
          </w:tcPr>
          <w:p w14:paraId="02719203"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&lt;0.001</w:t>
            </w:r>
          </w:p>
        </w:tc>
        <w:tc>
          <w:tcPr>
            <w:tcW w:w="567" w:type="dxa"/>
            <w:tcBorders>
              <w:left w:val="nil"/>
              <w:right w:val="nil"/>
            </w:tcBorders>
            <w:tcMar>
              <w:left w:w="105" w:type="dxa"/>
              <w:right w:w="105" w:type="dxa"/>
            </w:tcMar>
            <w:vAlign w:val="center"/>
          </w:tcPr>
          <w:p w14:paraId="59FB2793" w14:textId="77777777" w:rsidR="00DB6185" w:rsidRPr="008F6866" w:rsidRDefault="00DB6185" w:rsidP="00E15E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w:t>
            </w:r>
          </w:p>
        </w:tc>
      </w:tr>
      <w:tr w:rsidR="00DB6185" w:rsidRPr="008F6866" w14:paraId="0831B482" w14:textId="77777777" w:rsidTr="00E15EBA">
        <w:trPr>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tcBorders>
              <w:left w:val="nil"/>
              <w:right w:val="nil"/>
            </w:tcBorders>
            <w:vAlign w:val="center"/>
          </w:tcPr>
          <w:p w14:paraId="4F162FD8" w14:textId="77777777" w:rsidR="00DB6185" w:rsidRPr="008F6866" w:rsidRDefault="00DB6185" w:rsidP="00E15EBA">
            <w:pPr>
              <w:jc w:val="left"/>
              <w:rPr>
                <w:rFonts w:asciiTheme="minorHAnsi" w:hAnsiTheme="minorHAnsi" w:cstheme="minorHAnsi"/>
                <w:i w:val="0"/>
                <w:sz w:val="20"/>
                <w:szCs w:val="20"/>
              </w:rPr>
            </w:pPr>
          </w:p>
        </w:tc>
        <w:tc>
          <w:tcPr>
            <w:tcW w:w="2041" w:type="dxa"/>
            <w:tcBorders>
              <w:left w:val="nil"/>
              <w:right w:val="nil"/>
            </w:tcBorders>
            <w:tcMar>
              <w:left w:w="105" w:type="dxa"/>
              <w:right w:w="105" w:type="dxa"/>
            </w:tcMar>
            <w:vAlign w:val="center"/>
          </w:tcPr>
          <w:p w14:paraId="21365666" w14:textId="77777777" w:rsidR="00DB6185" w:rsidRPr="008F6866" w:rsidRDefault="00DB6185" w:rsidP="00E15EB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Ungulate Densities</w:t>
            </w:r>
          </w:p>
        </w:tc>
        <w:tc>
          <w:tcPr>
            <w:tcW w:w="711" w:type="dxa"/>
            <w:tcBorders>
              <w:top w:val="nil"/>
              <w:left w:val="nil"/>
              <w:bottom w:val="nil"/>
              <w:right w:val="nil"/>
            </w:tcBorders>
            <w:tcMar>
              <w:left w:w="105" w:type="dxa"/>
              <w:right w:w="105" w:type="dxa"/>
            </w:tcMar>
            <w:vAlign w:val="center"/>
          </w:tcPr>
          <w:p w14:paraId="3C9D543B"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3.0</w:t>
            </w:r>
          </w:p>
        </w:tc>
        <w:tc>
          <w:tcPr>
            <w:tcW w:w="876" w:type="dxa"/>
            <w:tcBorders>
              <w:top w:val="nil"/>
              <w:left w:val="nil"/>
              <w:bottom w:val="nil"/>
              <w:right w:val="nil"/>
            </w:tcBorders>
            <w:tcMar>
              <w:left w:w="105" w:type="dxa"/>
              <w:right w:w="105" w:type="dxa"/>
            </w:tcMar>
            <w:vAlign w:val="center"/>
          </w:tcPr>
          <w:p w14:paraId="7AB538B7"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191.2</w:t>
            </w:r>
          </w:p>
        </w:tc>
        <w:tc>
          <w:tcPr>
            <w:tcW w:w="964" w:type="dxa"/>
            <w:tcBorders>
              <w:top w:val="nil"/>
              <w:left w:val="nil"/>
              <w:bottom w:val="nil"/>
              <w:right w:val="nil"/>
            </w:tcBorders>
            <w:tcMar>
              <w:left w:w="105" w:type="dxa"/>
              <w:right w:w="105" w:type="dxa"/>
            </w:tcMar>
            <w:vAlign w:val="center"/>
          </w:tcPr>
          <w:p w14:paraId="154DCA28"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63.7</w:t>
            </w:r>
          </w:p>
        </w:tc>
        <w:tc>
          <w:tcPr>
            <w:tcW w:w="851" w:type="dxa"/>
            <w:tcBorders>
              <w:top w:val="nil"/>
              <w:left w:val="nil"/>
              <w:bottom w:val="nil"/>
              <w:right w:val="nil"/>
            </w:tcBorders>
            <w:tcMar>
              <w:left w:w="105" w:type="dxa"/>
              <w:right w:w="105" w:type="dxa"/>
            </w:tcMar>
            <w:vAlign w:val="center"/>
          </w:tcPr>
          <w:p w14:paraId="645115CE"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18.1</w:t>
            </w:r>
          </w:p>
        </w:tc>
        <w:tc>
          <w:tcPr>
            <w:tcW w:w="794" w:type="dxa"/>
            <w:tcBorders>
              <w:top w:val="nil"/>
              <w:left w:val="nil"/>
              <w:bottom w:val="nil"/>
              <w:right w:val="nil"/>
            </w:tcBorders>
            <w:tcMar>
              <w:left w:w="105" w:type="dxa"/>
              <w:right w:w="105" w:type="dxa"/>
            </w:tcMar>
            <w:vAlign w:val="center"/>
          </w:tcPr>
          <w:p w14:paraId="15BE5F4C"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&lt;0.001</w:t>
            </w:r>
          </w:p>
        </w:tc>
        <w:tc>
          <w:tcPr>
            <w:tcW w:w="567" w:type="dxa"/>
            <w:tcBorders>
              <w:left w:val="nil"/>
              <w:right w:val="nil"/>
            </w:tcBorders>
            <w:tcMar>
              <w:left w:w="105" w:type="dxa"/>
              <w:right w:w="105" w:type="dxa"/>
            </w:tcMar>
            <w:vAlign w:val="center"/>
          </w:tcPr>
          <w:p w14:paraId="435AA9D2"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w:t>
            </w:r>
          </w:p>
        </w:tc>
      </w:tr>
      <w:tr w:rsidR="00DB6185" w:rsidRPr="008F6866" w14:paraId="55B44209" w14:textId="77777777" w:rsidTr="00E15E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tcBorders>
              <w:left w:val="nil"/>
              <w:right w:val="nil"/>
            </w:tcBorders>
            <w:vAlign w:val="center"/>
          </w:tcPr>
          <w:p w14:paraId="75E6A32F" w14:textId="77777777" w:rsidR="00DB6185" w:rsidRPr="008F6866" w:rsidRDefault="00DB6185" w:rsidP="00E15EBA">
            <w:pPr>
              <w:jc w:val="left"/>
              <w:rPr>
                <w:rFonts w:asciiTheme="minorHAnsi" w:hAnsiTheme="minorHAnsi" w:cstheme="minorHAnsi"/>
                <w:i w:val="0"/>
                <w:sz w:val="20"/>
                <w:szCs w:val="20"/>
              </w:rPr>
            </w:pPr>
          </w:p>
        </w:tc>
        <w:tc>
          <w:tcPr>
            <w:tcW w:w="2041" w:type="dxa"/>
            <w:tcBorders>
              <w:left w:val="nil"/>
              <w:right w:val="nil"/>
            </w:tcBorders>
            <w:tcMar>
              <w:left w:w="105" w:type="dxa"/>
              <w:right w:w="105" w:type="dxa"/>
            </w:tcMar>
            <w:vAlign w:val="center"/>
          </w:tcPr>
          <w:p w14:paraId="2C0F389D" w14:textId="77777777" w:rsidR="00DB6185" w:rsidRPr="008F6866" w:rsidRDefault="00DB6185" w:rsidP="00E15E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Silvicultural Scenario x Ungulate Densities</w:t>
            </w:r>
          </w:p>
        </w:tc>
        <w:tc>
          <w:tcPr>
            <w:tcW w:w="711" w:type="dxa"/>
            <w:tcBorders>
              <w:top w:val="nil"/>
              <w:left w:val="nil"/>
              <w:bottom w:val="nil"/>
              <w:right w:val="nil"/>
            </w:tcBorders>
            <w:shd w:val="clear" w:color="auto" w:fill="D1D1D1"/>
            <w:tcMar>
              <w:left w:w="105" w:type="dxa"/>
              <w:right w:w="105" w:type="dxa"/>
            </w:tcMar>
            <w:vAlign w:val="center"/>
          </w:tcPr>
          <w:p w14:paraId="5EFBA04C"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6.0</w:t>
            </w:r>
          </w:p>
        </w:tc>
        <w:tc>
          <w:tcPr>
            <w:tcW w:w="876" w:type="dxa"/>
            <w:tcBorders>
              <w:top w:val="nil"/>
              <w:left w:val="nil"/>
              <w:bottom w:val="nil"/>
              <w:right w:val="nil"/>
            </w:tcBorders>
            <w:shd w:val="clear" w:color="auto" w:fill="D1D1D1"/>
            <w:tcMar>
              <w:left w:w="105" w:type="dxa"/>
              <w:right w:w="105" w:type="dxa"/>
            </w:tcMar>
            <w:vAlign w:val="center"/>
          </w:tcPr>
          <w:p w14:paraId="76416576"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95.3</w:t>
            </w:r>
          </w:p>
        </w:tc>
        <w:tc>
          <w:tcPr>
            <w:tcW w:w="964" w:type="dxa"/>
            <w:tcBorders>
              <w:top w:val="nil"/>
              <w:left w:val="nil"/>
              <w:bottom w:val="nil"/>
              <w:right w:val="nil"/>
            </w:tcBorders>
            <w:shd w:val="clear" w:color="auto" w:fill="D1D1D1"/>
            <w:tcMar>
              <w:left w:w="105" w:type="dxa"/>
              <w:right w:w="105" w:type="dxa"/>
            </w:tcMar>
            <w:vAlign w:val="center"/>
          </w:tcPr>
          <w:p w14:paraId="45DE689C"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15.9</w:t>
            </w:r>
          </w:p>
        </w:tc>
        <w:tc>
          <w:tcPr>
            <w:tcW w:w="851" w:type="dxa"/>
            <w:tcBorders>
              <w:top w:val="nil"/>
              <w:left w:val="nil"/>
              <w:bottom w:val="nil"/>
              <w:right w:val="nil"/>
            </w:tcBorders>
            <w:shd w:val="clear" w:color="auto" w:fill="D1D1D1"/>
            <w:tcMar>
              <w:left w:w="105" w:type="dxa"/>
              <w:right w:w="105" w:type="dxa"/>
            </w:tcMar>
            <w:vAlign w:val="center"/>
          </w:tcPr>
          <w:p w14:paraId="0060158C"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4.5</w:t>
            </w:r>
          </w:p>
        </w:tc>
        <w:tc>
          <w:tcPr>
            <w:tcW w:w="794" w:type="dxa"/>
            <w:tcBorders>
              <w:top w:val="nil"/>
              <w:left w:val="nil"/>
              <w:bottom w:val="nil"/>
              <w:right w:val="nil"/>
            </w:tcBorders>
            <w:shd w:val="clear" w:color="auto" w:fill="D1D1D1"/>
            <w:tcMar>
              <w:left w:w="105" w:type="dxa"/>
              <w:right w:w="105" w:type="dxa"/>
            </w:tcMar>
            <w:vAlign w:val="center"/>
          </w:tcPr>
          <w:p w14:paraId="01274C6B"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&lt;0.001</w:t>
            </w:r>
          </w:p>
        </w:tc>
        <w:tc>
          <w:tcPr>
            <w:tcW w:w="567" w:type="dxa"/>
            <w:tcBorders>
              <w:left w:val="nil"/>
              <w:right w:val="nil"/>
            </w:tcBorders>
            <w:tcMar>
              <w:left w:w="105" w:type="dxa"/>
              <w:right w:w="105" w:type="dxa"/>
            </w:tcMar>
            <w:vAlign w:val="center"/>
          </w:tcPr>
          <w:p w14:paraId="5BAB4CF5" w14:textId="77777777" w:rsidR="00DB6185" w:rsidRPr="008F6866" w:rsidRDefault="00DB6185" w:rsidP="00E15E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w:t>
            </w:r>
          </w:p>
        </w:tc>
      </w:tr>
      <w:tr w:rsidR="00DB6185" w:rsidRPr="008F6866" w14:paraId="2BBC9A28" w14:textId="77777777" w:rsidTr="00E15EBA">
        <w:trPr>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tcBorders>
              <w:left w:val="nil"/>
              <w:right w:val="nil"/>
            </w:tcBorders>
            <w:vAlign w:val="center"/>
          </w:tcPr>
          <w:p w14:paraId="7F56290F" w14:textId="77777777" w:rsidR="00DB6185" w:rsidRPr="008F6866" w:rsidRDefault="00DB6185" w:rsidP="00E15EBA">
            <w:pPr>
              <w:jc w:val="left"/>
              <w:rPr>
                <w:rFonts w:asciiTheme="minorHAnsi" w:hAnsiTheme="minorHAnsi" w:cstheme="minorHAnsi"/>
                <w:i w:val="0"/>
                <w:sz w:val="20"/>
                <w:szCs w:val="20"/>
              </w:rPr>
            </w:pPr>
          </w:p>
        </w:tc>
        <w:tc>
          <w:tcPr>
            <w:tcW w:w="2041" w:type="dxa"/>
            <w:tcBorders>
              <w:left w:val="nil"/>
              <w:right w:val="nil"/>
            </w:tcBorders>
            <w:tcMar>
              <w:left w:w="105" w:type="dxa"/>
              <w:right w:w="105" w:type="dxa"/>
            </w:tcMar>
            <w:vAlign w:val="center"/>
          </w:tcPr>
          <w:p w14:paraId="277223D4" w14:textId="77777777" w:rsidR="00DB6185" w:rsidRPr="008F6866" w:rsidRDefault="00DB6185" w:rsidP="00E15EB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Residuals</w:t>
            </w:r>
          </w:p>
        </w:tc>
        <w:tc>
          <w:tcPr>
            <w:tcW w:w="711" w:type="dxa"/>
            <w:tcBorders>
              <w:top w:val="nil"/>
              <w:left w:val="nil"/>
              <w:bottom w:val="single" w:sz="6" w:space="0" w:color="auto"/>
              <w:right w:val="nil"/>
            </w:tcBorders>
            <w:tcMar>
              <w:left w:w="105" w:type="dxa"/>
              <w:right w:w="105" w:type="dxa"/>
            </w:tcMar>
            <w:vAlign w:val="center"/>
          </w:tcPr>
          <w:p w14:paraId="60D54DC3"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202.0</w:t>
            </w:r>
          </w:p>
        </w:tc>
        <w:tc>
          <w:tcPr>
            <w:tcW w:w="876" w:type="dxa"/>
            <w:tcBorders>
              <w:top w:val="nil"/>
              <w:left w:val="nil"/>
              <w:bottom w:val="single" w:sz="6" w:space="0" w:color="auto"/>
              <w:right w:val="nil"/>
            </w:tcBorders>
            <w:tcMar>
              <w:left w:w="105" w:type="dxa"/>
              <w:right w:w="105" w:type="dxa"/>
            </w:tcMar>
            <w:vAlign w:val="center"/>
          </w:tcPr>
          <w:p w14:paraId="72151232"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711.1</w:t>
            </w:r>
          </w:p>
        </w:tc>
        <w:tc>
          <w:tcPr>
            <w:tcW w:w="964" w:type="dxa"/>
            <w:tcBorders>
              <w:top w:val="nil"/>
              <w:left w:val="nil"/>
              <w:bottom w:val="single" w:sz="6" w:space="0" w:color="auto"/>
              <w:right w:val="nil"/>
            </w:tcBorders>
            <w:tcMar>
              <w:left w:w="105" w:type="dxa"/>
              <w:right w:w="105" w:type="dxa"/>
            </w:tcMar>
            <w:vAlign w:val="center"/>
          </w:tcPr>
          <w:p w14:paraId="2D67F8A2"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3.5</w:t>
            </w:r>
          </w:p>
        </w:tc>
        <w:tc>
          <w:tcPr>
            <w:tcW w:w="851" w:type="dxa"/>
            <w:tcBorders>
              <w:top w:val="nil"/>
              <w:left w:val="nil"/>
              <w:bottom w:val="single" w:sz="6" w:space="0" w:color="auto"/>
              <w:right w:val="nil"/>
            </w:tcBorders>
            <w:tcMar>
              <w:left w:w="105" w:type="dxa"/>
              <w:right w:w="105" w:type="dxa"/>
            </w:tcMar>
            <w:vAlign w:val="center"/>
          </w:tcPr>
          <w:p w14:paraId="08BA2B0F"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94" w:type="dxa"/>
            <w:tcBorders>
              <w:top w:val="nil"/>
              <w:left w:val="nil"/>
              <w:bottom w:val="single" w:sz="6" w:space="0" w:color="auto"/>
              <w:right w:val="nil"/>
            </w:tcBorders>
            <w:tcMar>
              <w:left w:w="105" w:type="dxa"/>
              <w:right w:w="105" w:type="dxa"/>
            </w:tcMar>
            <w:vAlign w:val="center"/>
          </w:tcPr>
          <w:p w14:paraId="69128782"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7" w:type="dxa"/>
            <w:tcBorders>
              <w:left w:val="nil"/>
              <w:right w:val="nil"/>
            </w:tcBorders>
            <w:tcMar>
              <w:left w:w="105" w:type="dxa"/>
              <w:right w:w="105" w:type="dxa"/>
            </w:tcMar>
            <w:vAlign w:val="center"/>
          </w:tcPr>
          <w:p w14:paraId="06E574C0"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DB6185" w:rsidRPr="008F6866" w14:paraId="5F74945F" w14:textId="77777777" w:rsidTr="00E15E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single" w:sz="6" w:space="0" w:color="auto"/>
              <w:left w:val="nil"/>
              <w:right w:val="nil"/>
            </w:tcBorders>
            <w:tcMar>
              <w:left w:w="105" w:type="dxa"/>
              <w:right w:w="105" w:type="dxa"/>
            </w:tcMar>
            <w:vAlign w:val="center"/>
          </w:tcPr>
          <w:p w14:paraId="7D72B10B" w14:textId="77777777" w:rsidR="00DB6185" w:rsidRPr="008F6866" w:rsidRDefault="00DB6185" w:rsidP="00E15EBA">
            <w:pPr>
              <w:jc w:val="left"/>
              <w:rPr>
                <w:rFonts w:asciiTheme="minorHAnsi" w:eastAsia="Calibri" w:hAnsiTheme="minorHAnsi" w:cstheme="minorHAnsi"/>
                <w:i w:val="0"/>
                <w:sz w:val="20"/>
                <w:szCs w:val="20"/>
              </w:rPr>
            </w:pPr>
            <w:r w:rsidRPr="008F6866">
              <w:rPr>
                <w:rFonts w:asciiTheme="minorHAnsi" w:eastAsia="Calibri" w:hAnsiTheme="minorHAnsi" w:cstheme="minorHAnsi"/>
                <w:i w:val="0"/>
                <w:sz w:val="20"/>
                <w:szCs w:val="20"/>
              </w:rPr>
              <w:t>Resilience</w:t>
            </w:r>
          </w:p>
          <w:p w14:paraId="33FEDBE6" w14:textId="77777777" w:rsidR="00DB6185" w:rsidRPr="008F6866" w:rsidRDefault="00DB6185" w:rsidP="00E15EBA">
            <w:pPr>
              <w:jc w:val="left"/>
              <w:rPr>
                <w:rFonts w:asciiTheme="minorHAnsi" w:eastAsia="Calibri" w:hAnsiTheme="minorHAnsi" w:cstheme="minorHAnsi"/>
                <w:i w:val="0"/>
                <w:sz w:val="20"/>
                <w:szCs w:val="20"/>
              </w:rPr>
            </w:pPr>
          </w:p>
        </w:tc>
        <w:tc>
          <w:tcPr>
            <w:tcW w:w="2041" w:type="dxa"/>
            <w:tcBorders>
              <w:top w:val="single" w:sz="6" w:space="0" w:color="auto"/>
              <w:left w:val="nil"/>
              <w:right w:val="nil"/>
            </w:tcBorders>
            <w:tcMar>
              <w:left w:w="105" w:type="dxa"/>
              <w:right w:w="105" w:type="dxa"/>
            </w:tcMar>
            <w:vAlign w:val="center"/>
          </w:tcPr>
          <w:p w14:paraId="5346C56B" w14:textId="77777777" w:rsidR="00DB6185" w:rsidRPr="008F6866" w:rsidRDefault="00DB6185" w:rsidP="00E15E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Silvicultural Scenario</w:t>
            </w:r>
          </w:p>
        </w:tc>
        <w:tc>
          <w:tcPr>
            <w:tcW w:w="711" w:type="dxa"/>
            <w:tcBorders>
              <w:top w:val="single" w:sz="6" w:space="0" w:color="auto"/>
              <w:left w:val="nil"/>
              <w:bottom w:val="nil"/>
              <w:right w:val="nil"/>
            </w:tcBorders>
            <w:shd w:val="clear" w:color="auto" w:fill="D1D1D1"/>
            <w:tcMar>
              <w:left w:w="105" w:type="dxa"/>
              <w:right w:w="105" w:type="dxa"/>
            </w:tcMar>
            <w:vAlign w:val="center"/>
          </w:tcPr>
          <w:p w14:paraId="5D1082EB"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2.0</w:t>
            </w:r>
          </w:p>
        </w:tc>
        <w:tc>
          <w:tcPr>
            <w:tcW w:w="876" w:type="dxa"/>
            <w:tcBorders>
              <w:top w:val="single" w:sz="6" w:space="0" w:color="auto"/>
              <w:left w:val="nil"/>
              <w:bottom w:val="nil"/>
              <w:right w:val="nil"/>
            </w:tcBorders>
            <w:shd w:val="clear" w:color="auto" w:fill="D1D1D1"/>
            <w:tcMar>
              <w:left w:w="105" w:type="dxa"/>
              <w:right w:w="105" w:type="dxa"/>
            </w:tcMar>
            <w:vAlign w:val="center"/>
          </w:tcPr>
          <w:p w14:paraId="5D7B6489"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252.6</w:t>
            </w:r>
          </w:p>
        </w:tc>
        <w:tc>
          <w:tcPr>
            <w:tcW w:w="964" w:type="dxa"/>
            <w:tcBorders>
              <w:top w:val="single" w:sz="6" w:space="0" w:color="auto"/>
              <w:left w:val="nil"/>
              <w:bottom w:val="nil"/>
              <w:right w:val="nil"/>
            </w:tcBorders>
            <w:shd w:val="clear" w:color="auto" w:fill="D1D1D1"/>
            <w:tcMar>
              <w:left w:w="105" w:type="dxa"/>
              <w:right w:w="105" w:type="dxa"/>
            </w:tcMar>
            <w:vAlign w:val="center"/>
          </w:tcPr>
          <w:p w14:paraId="61CCBC93"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126.3</w:t>
            </w:r>
          </w:p>
        </w:tc>
        <w:tc>
          <w:tcPr>
            <w:tcW w:w="851" w:type="dxa"/>
            <w:tcBorders>
              <w:top w:val="single" w:sz="6" w:space="0" w:color="auto"/>
              <w:left w:val="nil"/>
              <w:bottom w:val="nil"/>
              <w:right w:val="nil"/>
            </w:tcBorders>
            <w:shd w:val="clear" w:color="auto" w:fill="D1D1D1"/>
            <w:tcMar>
              <w:left w:w="105" w:type="dxa"/>
              <w:right w:w="105" w:type="dxa"/>
            </w:tcMar>
            <w:vAlign w:val="center"/>
          </w:tcPr>
          <w:p w14:paraId="066B4752"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47.7</w:t>
            </w:r>
          </w:p>
        </w:tc>
        <w:tc>
          <w:tcPr>
            <w:tcW w:w="794" w:type="dxa"/>
            <w:tcBorders>
              <w:top w:val="single" w:sz="6" w:space="0" w:color="auto"/>
              <w:left w:val="nil"/>
              <w:bottom w:val="nil"/>
              <w:right w:val="nil"/>
            </w:tcBorders>
            <w:shd w:val="clear" w:color="auto" w:fill="D1D1D1"/>
            <w:tcMar>
              <w:left w:w="105" w:type="dxa"/>
              <w:right w:w="105" w:type="dxa"/>
            </w:tcMar>
            <w:vAlign w:val="center"/>
          </w:tcPr>
          <w:p w14:paraId="5C9BC830"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&lt;0.001</w:t>
            </w:r>
          </w:p>
        </w:tc>
        <w:tc>
          <w:tcPr>
            <w:tcW w:w="567" w:type="dxa"/>
            <w:tcBorders>
              <w:top w:val="single" w:sz="6" w:space="0" w:color="auto"/>
              <w:left w:val="nil"/>
              <w:right w:val="nil"/>
            </w:tcBorders>
            <w:tcMar>
              <w:left w:w="105" w:type="dxa"/>
              <w:right w:w="105" w:type="dxa"/>
            </w:tcMar>
            <w:vAlign w:val="center"/>
          </w:tcPr>
          <w:p w14:paraId="5F5BCA81" w14:textId="77777777" w:rsidR="00DB6185" w:rsidRPr="008F6866" w:rsidRDefault="00DB6185" w:rsidP="00E15E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w:t>
            </w:r>
          </w:p>
        </w:tc>
      </w:tr>
      <w:tr w:rsidR="00DB6185" w:rsidRPr="008F6866" w14:paraId="782842C4" w14:textId="77777777" w:rsidTr="00E15EBA">
        <w:trPr>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tcBorders>
              <w:left w:val="nil"/>
              <w:right w:val="nil"/>
            </w:tcBorders>
            <w:vAlign w:val="center"/>
          </w:tcPr>
          <w:p w14:paraId="166CF4BA" w14:textId="77777777" w:rsidR="00DB6185" w:rsidRPr="008F6866" w:rsidRDefault="00DB6185" w:rsidP="00E15EBA">
            <w:pPr>
              <w:jc w:val="left"/>
              <w:rPr>
                <w:rFonts w:asciiTheme="minorHAnsi" w:hAnsiTheme="minorHAnsi" w:cstheme="minorHAnsi"/>
                <w:i w:val="0"/>
                <w:sz w:val="20"/>
                <w:szCs w:val="20"/>
              </w:rPr>
            </w:pPr>
          </w:p>
        </w:tc>
        <w:tc>
          <w:tcPr>
            <w:tcW w:w="2041" w:type="dxa"/>
            <w:tcBorders>
              <w:left w:val="nil"/>
              <w:right w:val="nil"/>
            </w:tcBorders>
            <w:tcMar>
              <w:left w:w="105" w:type="dxa"/>
              <w:right w:w="105" w:type="dxa"/>
            </w:tcMar>
            <w:vAlign w:val="center"/>
          </w:tcPr>
          <w:p w14:paraId="6CF552D8" w14:textId="77777777" w:rsidR="00DB6185" w:rsidRPr="008F6866" w:rsidRDefault="00DB6185" w:rsidP="00E15EB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Ungulate Densities</w:t>
            </w:r>
          </w:p>
        </w:tc>
        <w:tc>
          <w:tcPr>
            <w:tcW w:w="711" w:type="dxa"/>
            <w:tcBorders>
              <w:top w:val="nil"/>
              <w:left w:val="nil"/>
              <w:bottom w:val="nil"/>
              <w:right w:val="nil"/>
            </w:tcBorders>
            <w:tcMar>
              <w:left w:w="105" w:type="dxa"/>
              <w:right w:w="105" w:type="dxa"/>
            </w:tcMar>
            <w:vAlign w:val="center"/>
          </w:tcPr>
          <w:p w14:paraId="1A78090E"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3.0</w:t>
            </w:r>
          </w:p>
        </w:tc>
        <w:tc>
          <w:tcPr>
            <w:tcW w:w="876" w:type="dxa"/>
            <w:tcBorders>
              <w:top w:val="nil"/>
              <w:left w:val="nil"/>
              <w:bottom w:val="nil"/>
              <w:right w:val="nil"/>
            </w:tcBorders>
            <w:tcMar>
              <w:left w:w="105" w:type="dxa"/>
              <w:right w:w="105" w:type="dxa"/>
            </w:tcMar>
            <w:vAlign w:val="center"/>
          </w:tcPr>
          <w:p w14:paraId="0A0016CF"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323.0</w:t>
            </w:r>
          </w:p>
        </w:tc>
        <w:tc>
          <w:tcPr>
            <w:tcW w:w="964" w:type="dxa"/>
            <w:tcBorders>
              <w:top w:val="nil"/>
              <w:left w:val="nil"/>
              <w:bottom w:val="nil"/>
              <w:right w:val="nil"/>
            </w:tcBorders>
            <w:tcMar>
              <w:left w:w="105" w:type="dxa"/>
              <w:right w:w="105" w:type="dxa"/>
            </w:tcMar>
            <w:vAlign w:val="center"/>
          </w:tcPr>
          <w:p w14:paraId="4077C9EF"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107.7</w:t>
            </w:r>
          </w:p>
        </w:tc>
        <w:tc>
          <w:tcPr>
            <w:tcW w:w="851" w:type="dxa"/>
            <w:tcBorders>
              <w:top w:val="nil"/>
              <w:left w:val="nil"/>
              <w:bottom w:val="nil"/>
              <w:right w:val="nil"/>
            </w:tcBorders>
            <w:tcMar>
              <w:left w:w="105" w:type="dxa"/>
              <w:right w:w="105" w:type="dxa"/>
            </w:tcMar>
            <w:vAlign w:val="center"/>
          </w:tcPr>
          <w:p w14:paraId="4E8A9B48"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40.7</w:t>
            </w:r>
          </w:p>
        </w:tc>
        <w:tc>
          <w:tcPr>
            <w:tcW w:w="794" w:type="dxa"/>
            <w:tcBorders>
              <w:top w:val="nil"/>
              <w:left w:val="nil"/>
              <w:bottom w:val="nil"/>
              <w:right w:val="nil"/>
            </w:tcBorders>
            <w:tcMar>
              <w:left w:w="105" w:type="dxa"/>
              <w:right w:w="105" w:type="dxa"/>
            </w:tcMar>
            <w:vAlign w:val="center"/>
          </w:tcPr>
          <w:p w14:paraId="3674019B"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&lt;0.001</w:t>
            </w:r>
          </w:p>
        </w:tc>
        <w:tc>
          <w:tcPr>
            <w:tcW w:w="567" w:type="dxa"/>
            <w:tcBorders>
              <w:left w:val="nil"/>
              <w:right w:val="nil"/>
            </w:tcBorders>
            <w:tcMar>
              <w:left w:w="105" w:type="dxa"/>
              <w:right w:w="105" w:type="dxa"/>
            </w:tcMar>
            <w:vAlign w:val="center"/>
          </w:tcPr>
          <w:p w14:paraId="1B6E7918"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w:t>
            </w:r>
          </w:p>
        </w:tc>
      </w:tr>
      <w:tr w:rsidR="00DB6185" w:rsidRPr="008F6866" w14:paraId="57DD043C" w14:textId="77777777" w:rsidTr="00E15E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tcBorders>
              <w:left w:val="nil"/>
              <w:right w:val="nil"/>
            </w:tcBorders>
            <w:vAlign w:val="center"/>
          </w:tcPr>
          <w:p w14:paraId="3B964A1F" w14:textId="77777777" w:rsidR="00DB6185" w:rsidRPr="008F6866" w:rsidRDefault="00DB6185" w:rsidP="00E15EBA">
            <w:pPr>
              <w:jc w:val="left"/>
              <w:rPr>
                <w:rFonts w:asciiTheme="minorHAnsi" w:hAnsiTheme="minorHAnsi" w:cstheme="minorHAnsi"/>
                <w:i w:val="0"/>
                <w:sz w:val="20"/>
                <w:szCs w:val="20"/>
              </w:rPr>
            </w:pPr>
          </w:p>
        </w:tc>
        <w:tc>
          <w:tcPr>
            <w:tcW w:w="2041" w:type="dxa"/>
            <w:tcBorders>
              <w:left w:val="nil"/>
              <w:right w:val="nil"/>
            </w:tcBorders>
            <w:tcMar>
              <w:left w:w="105" w:type="dxa"/>
              <w:right w:w="105" w:type="dxa"/>
            </w:tcMar>
            <w:vAlign w:val="center"/>
          </w:tcPr>
          <w:p w14:paraId="0FA656EA" w14:textId="77777777" w:rsidR="00DB6185" w:rsidRPr="008F6866" w:rsidRDefault="00DB6185" w:rsidP="00E15E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Silvicultural Scenario x Ungulate Densities</w:t>
            </w:r>
          </w:p>
        </w:tc>
        <w:tc>
          <w:tcPr>
            <w:tcW w:w="711" w:type="dxa"/>
            <w:tcBorders>
              <w:top w:val="nil"/>
              <w:left w:val="nil"/>
              <w:bottom w:val="nil"/>
              <w:right w:val="nil"/>
            </w:tcBorders>
            <w:shd w:val="clear" w:color="auto" w:fill="D1D1D1"/>
            <w:tcMar>
              <w:left w:w="105" w:type="dxa"/>
              <w:right w:w="105" w:type="dxa"/>
            </w:tcMar>
            <w:vAlign w:val="center"/>
          </w:tcPr>
          <w:p w14:paraId="7B6105B4" w14:textId="77777777" w:rsidR="00DB6185" w:rsidRPr="008F6866" w:rsidRDefault="00DB6185" w:rsidP="00E15E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6.0</w:t>
            </w:r>
          </w:p>
        </w:tc>
        <w:tc>
          <w:tcPr>
            <w:tcW w:w="876" w:type="dxa"/>
            <w:tcBorders>
              <w:top w:val="nil"/>
              <w:left w:val="nil"/>
              <w:bottom w:val="nil"/>
              <w:right w:val="nil"/>
            </w:tcBorders>
            <w:shd w:val="clear" w:color="auto" w:fill="D1D1D1"/>
            <w:tcMar>
              <w:left w:w="105" w:type="dxa"/>
              <w:right w:w="105" w:type="dxa"/>
            </w:tcMar>
            <w:vAlign w:val="center"/>
          </w:tcPr>
          <w:p w14:paraId="5424BB28" w14:textId="77777777" w:rsidR="00DB6185" w:rsidRPr="008F6866" w:rsidRDefault="00DB6185" w:rsidP="00E15E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94.6</w:t>
            </w:r>
          </w:p>
        </w:tc>
        <w:tc>
          <w:tcPr>
            <w:tcW w:w="964" w:type="dxa"/>
            <w:tcBorders>
              <w:top w:val="nil"/>
              <w:left w:val="nil"/>
              <w:bottom w:val="nil"/>
              <w:right w:val="nil"/>
            </w:tcBorders>
            <w:shd w:val="clear" w:color="auto" w:fill="D1D1D1"/>
            <w:tcMar>
              <w:left w:w="105" w:type="dxa"/>
              <w:right w:w="105" w:type="dxa"/>
            </w:tcMar>
            <w:vAlign w:val="center"/>
          </w:tcPr>
          <w:p w14:paraId="202CD59C" w14:textId="77777777" w:rsidR="00DB6185" w:rsidRPr="008F6866" w:rsidRDefault="00DB6185" w:rsidP="00E15E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15.8</w:t>
            </w:r>
          </w:p>
        </w:tc>
        <w:tc>
          <w:tcPr>
            <w:tcW w:w="851" w:type="dxa"/>
            <w:tcBorders>
              <w:top w:val="nil"/>
              <w:left w:val="nil"/>
              <w:bottom w:val="nil"/>
              <w:right w:val="nil"/>
            </w:tcBorders>
            <w:shd w:val="clear" w:color="auto" w:fill="D1D1D1"/>
            <w:tcMar>
              <w:left w:w="105" w:type="dxa"/>
              <w:right w:w="105" w:type="dxa"/>
            </w:tcMar>
            <w:vAlign w:val="center"/>
          </w:tcPr>
          <w:p w14:paraId="730B809C" w14:textId="77777777" w:rsidR="00DB6185" w:rsidRPr="008F6866" w:rsidRDefault="00DB6185" w:rsidP="00E15E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6.0</w:t>
            </w:r>
          </w:p>
        </w:tc>
        <w:tc>
          <w:tcPr>
            <w:tcW w:w="794" w:type="dxa"/>
            <w:tcBorders>
              <w:top w:val="nil"/>
              <w:left w:val="nil"/>
              <w:bottom w:val="nil"/>
              <w:right w:val="nil"/>
            </w:tcBorders>
            <w:shd w:val="clear" w:color="auto" w:fill="D1D1D1"/>
            <w:tcMar>
              <w:left w:w="105" w:type="dxa"/>
              <w:right w:w="105" w:type="dxa"/>
            </w:tcMar>
            <w:vAlign w:val="center"/>
          </w:tcPr>
          <w:p w14:paraId="1B51D0B1" w14:textId="77777777" w:rsidR="00DB6185" w:rsidRPr="008F6866" w:rsidRDefault="00DB6185" w:rsidP="00E15E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&lt;0.001</w:t>
            </w:r>
          </w:p>
        </w:tc>
        <w:tc>
          <w:tcPr>
            <w:tcW w:w="567" w:type="dxa"/>
            <w:tcBorders>
              <w:left w:val="nil"/>
              <w:right w:val="nil"/>
            </w:tcBorders>
            <w:tcMar>
              <w:left w:w="105" w:type="dxa"/>
              <w:right w:w="105" w:type="dxa"/>
            </w:tcMar>
            <w:vAlign w:val="center"/>
          </w:tcPr>
          <w:p w14:paraId="2CBFDF0F" w14:textId="77777777" w:rsidR="00DB6185" w:rsidRPr="008F6866" w:rsidRDefault="00DB6185" w:rsidP="00E15E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w:t>
            </w:r>
          </w:p>
        </w:tc>
      </w:tr>
      <w:tr w:rsidR="00DB6185" w:rsidRPr="008F6866" w14:paraId="5D355EF0" w14:textId="77777777" w:rsidTr="00E15EBA">
        <w:trPr>
          <w:trHeight w:val="300"/>
          <w:jc w:val="center"/>
        </w:trPr>
        <w:tc>
          <w:tcPr>
            <w:cnfStyle w:val="001000000000" w:firstRow="0" w:lastRow="0" w:firstColumn="1" w:lastColumn="0" w:oddVBand="0" w:evenVBand="0" w:oddHBand="0" w:evenHBand="0" w:firstRowFirstColumn="0" w:firstRowLastColumn="0" w:lastRowFirstColumn="0" w:lastRowLastColumn="0"/>
            <w:tcW w:w="1361" w:type="dxa"/>
            <w:vMerge/>
            <w:tcBorders>
              <w:top w:val="single" w:sz="0" w:space="0" w:color="auto"/>
              <w:left w:val="nil"/>
              <w:bottom w:val="single" w:sz="12" w:space="0" w:color="auto"/>
              <w:right w:val="nil"/>
            </w:tcBorders>
            <w:vAlign w:val="center"/>
          </w:tcPr>
          <w:p w14:paraId="54F85E11" w14:textId="77777777" w:rsidR="00DB6185" w:rsidRPr="008F6866" w:rsidRDefault="00DB6185" w:rsidP="00E15EBA">
            <w:pPr>
              <w:jc w:val="left"/>
              <w:rPr>
                <w:rFonts w:asciiTheme="minorHAnsi" w:hAnsiTheme="minorHAnsi" w:cstheme="minorHAnsi"/>
                <w:i w:val="0"/>
                <w:sz w:val="20"/>
                <w:szCs w:val="20"/>
              </w:rPr>
            </w:pPr>
          </w:p>
        </w:tc>
        <w:tc>
          <w:tcPr>
            <w:tcW w:w="2041" w:type="dxa"/>
            <w:tcBorders>
              <w:left w:val="nil"/>
              <w:bottom w:val="single" w:sz="12" w:space="0" w:color="auto"/>
              <w:right w:val="nil"/>
            </w:tcBorders>
            <w:tcMar>
              <w:left w:w="105" w:type="dxa"/>
              <w:right w:w="105" w:type="dxa"/>
            </w:tcMar>
            <w:vAlign w:val="center"/>
          </w:tcPr>
          <w:p w14:paraId="573D9E12" w14:textId="77777777" w:rsidR="00DB6185" w:rsidRPr="008F6866" w:rsidRDefault="00DB6185" w:rsidP="00E15EB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Residuals</w:t>
            </w:r>
          </w:p>
        </w:tc>
        <w:tc>
          <w:tcPr>
            <w:tcW w:w="711" w:type="dxa"/>
            <w:tcBorders>
              <w:top w:val="nil"/>
              <w:left w:val="nil"/>
              <w:bottom w:val="single" w:sz="12" w:space="0" w:color="auto"/>
              <w:right w:val="nil"/>
            </w:tcBorders>
            <w:tcMar>
              <w:left w:w="105" w:type="dxa"/>
              <w:right w:w="105" w:type="dxa"/>
            </w:tcMar>
            <w:vAlign w:val="center"/>
          </w:tcPr>
          <w:p w14:paraId="71E607F4" w14:textId="77777777" w:rsidR="00DB6185" w:rsidRPr="008F6866" w:rsidRDefault="00DB6185" w:rsidP="00E15E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204.0</w:t>
            </w:r>
          </w:p>
        </w:tc>
        <w:tc>
          <w:tcPr>
            <w:tcW w:w="876" w:type="dxa"/>
            <w:tcBorders>
              <w:top w:val="nil"/>
              <w:left w:val="nil"/>
              <w:bottom w:val="single" w:sz="12" w:space="0" w:color="auto"/>
              <w:right w:val="nil"/>
            </w:tcBorders>
            <w:tcMar>
              <w:left w:w="105" w:type="dxa"/>
              <w:right w:w="105" w:type="dxa"/>
            </w:tcMar>
            <w:vAlign w:val="center"/>
          </w:tcPr>
          <w:p w14:paraId="20CC1FAB"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539.9</w:t>
            </w:r>
          </w:p>
        </w:tc>
        <w:tc>
          <w:tcPr>
            <w:tcW w:w="964" w:type="dxa"/>
            <w:tcBorders>
              <w:top w:val="nil"/>
              <w:left w:val="nil"/>
              <w:bottom w:val="single" w:sz="12" w:space="0" w:color="auto"/>
              <w:right w:val="nil"/>
            </w:tcBorders>
            <w:tcMar>
              <w:left w:w="105" w:type="dxa"/>
              <w:right w:w="105" w:type="dxa"/>
            </w:tcMar>
            <w:vAlign w:val="center"/>
          </w:tcPr>
          <w:p w14:paraId="51E798B2"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F6866">
              <w:rPr>
                <w:rFonts w:asciiTheme="minorHAnsi" w:hAnsiTheme="minorHAnsi" w:cstheme="minorHAnsi"/>
                <w:sz w:val="20"/>
                <w:szCs w:val="20"/>
              </w:rPr>
              <w:t>2.6</w:t>
            </w:r>
          </w:p>
        </w:tc>
        <w:tc>
          <w:tcPr>
            <w:tcW w:w="851" w:type="dxa"/>
            <w:tcBorders>
              <w:top w:val="nil"/>
              <w:left w:val="nil"/>
              <w:bottom w:val="single" w:sz="12" w:space="0" w:color="auto"/>
              <w:right w:val="nil"/>
            </w:tcBorders>
            <w:tcMar>
              <w:left w:w="105" w:type="dxa"/>
              <w:right w:w="105" w:type="dxa"/>
            </w:tcMar>
            <w:vAlign w:val="center"/>
          </w:tcPr>
          <w:p w14:paraId="3CD9B9A2"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94" w:type="dxa"/>
            <w:tcBorders>
              <w:top w:val="nil"/>
              <w:left w:val="nil"/>
              <w:bottom w:val="single" w:sz="12" w:space="0" w:color="auto"/>
              <w:right w:val="nil"/>
            </w:tcBorders>
            <w:tcMar>
              <w:left w:w="105" w:type="dxa"/>
              <w:right w:w="105" w:type="dxa"/>
            </w:tcMar>
            <w:vAlign w:val="center"/>
          </w:tcPr>
          <w:p w14:paraId="07B354F2"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7" w:type="dxa"/>
            <w:tcBorders>
              <w:left w:val="nil"/>
              <w:bottom w:val="single" w:sz="12" w:space="0" w:color="auto"/>
              <w:right w:val="nil"/>
            </w:tcBorders>
            <w:tcMar>
              <w:left w:w="105" w:type="dxa"/>
              <w:right w:w="105" w:type="dxa"/>
            </w:tcMar>
            <w:vAlign w:val="center"/>
          </w:tcPr>
          <w:p w14:paraId="05CE7A45" w14:textId="77777777" w:rsidR="00DB6185" w:rsidRPr="008F6866" w:rsidRDefault="00DB6185" w:rsidP="00E15E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bl>
    <w:p w14:paraId="63880E07" w14:textId="77777777" w:rsidR="00DB6185" w:rsidRPr="008F6866" w:rsidRDefault="00DB6185" w:rsidP="00DB6185">
      <w:pPr>
        <w:rPr>
          <w:rFonts w:ascii="Calibri" w:eastAsia="Calibri" w:hAnsi="Calibri" w:cs="Calibri"/>
          <w:iCs/>
          <w:color w:val="000000" w:themeColor="text1"/>
          <w:sz w:val="18"/>
          <w:szCs w:val="18"/>
        </w:rPr>
      </w:pPr>
      <w:r w:rsidRPr="008F6866">
        <w:rPr>
          <w:rFonts w:ascii="Calibri" w:eastAsia="Calibri" w:hAnsi="Calibri" w:cs="Calibri"/>
          <w:iCs/>
          <w:color w:val="000000" w:themeColor="text1"/>
          <w:sz w:val="18"/>
          <w:szCs w:val="18"/>
        </w:rPr>
        <w:t>Degrees of freedom (Df), Sum of square (Sum sq), Mean square (mean sq), F-value and p-value for each factor (sylvicultural scenario, ssp and ungulate density), for each combination of factors and for residuals. *** indicates a p-value less than 0.001, ** corresponds to a p-value between 0.001 and 0.01, * represents a p-value between 0.01 and 0.05</w:t>
      </w:r>
    </w:p>
    <w:p w14:paraId="0341BF24" w14:textId="77777777" w:rsidR="00DB6185" w:rsidRPr="008F6866" w:rsidRDefault="00DB6185" w:rsidP="00A859A3">
      <w:pPr>
        <w:spacing w:after="120" w:line="300" w:lineRule="auto"/>
        <w:jc w:val="both"/>
        <w:rPr>
          <w:rFonts w:ascii="Calibri" w:eastAsia="Calibri" w:hAnsi="Calibri" w:cs="Calibri"/>
          <w:color w:val="000000" w:themeColor="text1"/>
        </w:rPr>
      </w:pPr>
    </w:p>
    <w:p w14:paraId="422DD1BF" w14:textId="1B995598" w:rsidR="00A702F4" w:rsidRPr="008F6866" w:rsidRDefault="00A702F4" w:rsidP="439441DB">
      <w:pPr>
        <w:jc w:val="both"/>
        <w:rPr>
          <w:rFonts w:ascii="Calibri" w:eastAsia="Calibri" w:hAnsi="Calibri" w:cs="Calibri"/>
          <w:color w:val="000000" w:themeColor="text1"/>
        </w:rPr>
      </w:pPr>
    </w:p>
    <w:p w14:paraId="2F9E5BBA" w14:textId="661E5A69" w:rsidR="00A702F4" w:rsidRPr="008F6866" w:rsidRDefault="00A702F4" w:rsidP="00836999">
      <w:pPr>
        <w:spacing w:after="0" w:line="300" w:lineRule="auto"/>
        <w:ind w:hanging="425"/>
        <w:jc w:val="right"/>
        <w:rPr>
          <w:rFonts w:ascii="Calibri" w:eastAsia="Calibri" w:hAnsi="Calibri" w:cs="Calibri"/>
          <w:color w:val="000000" w:themeColor="text1"/>
        </w:rPr>
      </w:pPr>
      <w:r w:rsidRPr="008F6866">
        <w:rPr>
          <w:noProof/>
        </w:rPr>
        <w:lastRenderedPageBreak/>
        <w:drawing>
          <wp:inline distT="0" distB="0" distL="0" distR="0" wp14:anchorId="4ED34E1A" wp14:editId="7CD19209">
            <wp:extent cx="5753098" cy="7600950"/>
            <wp:effectExtent l="0" t="0" r="0" b="0"/>
            <wp:docPr id="433607199" name="Image 433607199" descr="Une image contenant texte, capture d’écran, men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5753098" cy="7600950"/>
                    </a:xfrm>
                    <a:prstGeom prst="rect">
                      <a:avLst/>
                    </a:prstGeom>
                  </pic:spPr>
                </pic:pic>
              </a:graphicData>
            </a:graphic>
          </wp:inline>
        </w:drawing>
      </w:r>
    </w:p>
    <w:p w14:paraId="357F4CA1" w14:textId="78B80ED5" w:rsidR="00836999" w:rsidRPr="008F6866" w:rsidRDefault="00836999" w:rsidP="00836999">
      <w:pPr>
        <w:pStyle w:val="Lgende"/>
        <w:jc w:val="center"/>
        <w:rPr>
          <w:b/>
          <w:i w:val="0"/>
          <w:color w:val="000000" w:themeColor="text1"/>
          <w:sz w:val="20"/>
          <w:szCs w:val="20"/>
        </w:rPr>
      </w:pPr>
      <w:bookmarkStart w:id="97" w:name="_Ref195658006"/>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33</w:t>
      </w:r>
      <w:r w:rsidRPr="008F6866">
        <w:rPr>
          <w:b/>
          <w:i w:val="0"/>
          <w:color w:val="000000" w:themeColor="text1"/>
          <w:sz w:val="20"/>
          <w:szCs w:val="20"/>
        </w:rPr>
        <w:fldChar w:fldCharType="end"/>
      </w:r>
      <w:bookmarkEnd w:id="97"/>
      <w:r w:rsidRPr="008F6866">
        <w:rPr>
          <w:b/>
          <w:i w:val="0"/>
          <w:color w:val="000000" w:themeColor="text1"/>
          <w:sz w:val="20"/>
          <w:szCs w:val="20"/>
        </w:rPr>
        <w:t>. Estimated marginal means and 95% confidence intervals for the five simulation scores relating to productivity, profitability, sustainability, carbon and resilience. Simulations were run for all combinations of sylvicultural scenario (DIV, OAK, BAU), climate scenario (SSP1, SSP2, SSP3) and ungulate density (no pressure, low pressure, medium pressure, high pressure)</w:t>
      </w:r>
    </w:p>
    <w:p w14:paraId="2053DC61" w14:textId="262B059E" w:rsidR="00A702F4" w:rsidRPr="008F6866" w:rsidRDefault="00A702F4" w:rsidP="00836999">
      <w:pPr>
        <w:ind w:hanging="1418"/>
        <w:jc w:val="right"/>
        <w:rPr>
          <w:rFonts w:ascii="Calibri" w:eastAsia="Calibri" w:hAnsi="Calibri" w:cs="Calibri"/>
          <w:color w:val="000000" w:themeColor="text1"/>
        </w:rPr>
      </w:pPr>
      <w:r w:rsidRPr="008F6866">
        <w:rPr>
          <w:noProof/>
        </w:rPr>
        <w:lastRenderedPageBreak/>
        <w:drawing>
          <wp:inline distT="0" distB="0" distL="0" distR="0" wp14:anchorId="3CC3D8CD" wp14:editId="0081B5B4">
            <wp:extent cx="5753098" cy="1800225"/>
            <wp:effectExtent l="0" t="0" r="0" b="0"/>
            <wp:docPr id="1687338312" name="Image 1687338312" descr="Une image contenant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5753098" cy="1800225"/>
                    </a:xfrm>
                    <a:prstGeom prst="rect">
                      <a:avLst/>
                    </a:prstGeom>
                  </pic:spPr>
                </pic:pic>
              </a:graphicData>
            </a:graphic>
          </wp:inline>
        </w:drawing>
      </w:r>
    </w:p>
    <w:p w14:paraId="1743CFBA" w14:textId="4501E5FA" w:rsidR="00A859A3" w:rsidRPr="00971EF8" w:rsidRDefault="00836999" w:rsidP="00971EF8">
      <w:pPr>
        <w:pStyle w:val="Lgende"/>
        <w:jc w:val="center"/>
        <w:rPr>
          <w:b/>
          <w:i w:val="0"/>
          <w:color w:val="000000" w:themeColor="text1"/>
          <w:sz w:val="20"/>
          <w:szCs w:val="20"/>
        </w:rPr>
      </w:pPr>
      <w:bookmarkStart w:id="98" w:name="_Ref195658021"/>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34</w:t>
      </w:r>
      <w:r w:rsidRPr="008F6866">
        <w:rPr>
          <w:b/>
          <w:i w:val="0"/>
          <w:color w:val="000000" w:themeColor="text1"/>
          <w:sz w:val="20"/>
          <w:szCs w:val="20"/>
        </w:rPr>
        <w:fldChar w:fldCharType="end"/>
      </w:r>
      <w:bookmarkEnd w:id="98"/>
      <w:r w:rsidRPr="008F6866">
        <w:rPr>
          <w:b/>
          <w:i w:val="0"/>
          <w:color w:val="000000" w:themeColor="text1"/>
          <w:sz w:val="20"/>
          <w:szCs w:val="20"/>
        </w:rPr>
        <w:t>. Estimated marginal means for the five scores (productivity, profitability, sustainability, carbon and resilience), for each sylvicultural scenario (DIV, OAK, BAU), only for SSP2 and with four ungulate densities (no pressure, low pressure, medium pressure, high pressure)</w:t>
      </w:r>
    </w:p>
    <w:p w14:paraId="1033E324" w14:textId="43C9B843" w:rsidR="00C151BF" w:rsidRPr="008F6866" w:rsidRDefault="00C151BF" w:rsidP="00C151BF">
      <w:pPr>
        <w:spacing w:after="0"/>
        <w:rPr>
          <w:rFonts w:ascii="Calibri" w:eastAsia="Calibri" w:hAnsi="Calibri" w:cs="Calibri"/>
          <w:iCs/>
          <w:color w:val="000000" w:themeColor="text1"/>
          <w:sz w:val="18"/>
          <w:szCs w:val="18"/>
        </w:rPr>
      </w:pPr>
    </w:p>
    <w:p w14:paraId="238F4A9D" w14:textId="2B2F3102" w:rsidR="00A702F4" w:rsidRPr="008F6866" w:rsidRDefault="00A702F4" w:rsidP="00C73410">
      <w:pPr>
        <w:rPr>
          <w:b/>
        </w:rPr>
      </w:pPr>
      <w:r w:rsidRPr="008F6866">
        <w:rPr>
          <w:b/>
        </w:rPr>
        <w:t>4.4.2. Climate change impacts and uncertainties</w:t>
      </w:r>
    </w:p>
    <w:p w14:paraId="7840E073" w14:textId="2EA4E917" w:rsidR="00A702F4" w:rsidRPr="008F6866" w:rsidRDefault="00D82497" w:rsidP="00C26AEF">
      <w:pPr>
        <w:spacing w:after="60" w:line="300" w:lineRule="auto"/>
        <w:jc w:val="both"/>
      </w:pPr>
      <w:r w:rsidRPr="008F6866">
        <w:t xml:space="preserve">The indicators provided </w:t>
      </w:r>
      <w:r w:rsidR="001A6EF4" w:rsidRPr="008F6866">
        <w:t>by the simulations were grouped by type as follows</w:t>
      </w:r>
      <w:r w:rsidR="008D5FC7" w:rsidRPr="008F6866">
        <w:t xml:space="preserve"> (see</w:t>
      </w:r>
      <w:r w:rsidR="00D37BE4" w:rsidRPr="008F6866">
        <w:t xml:space="preserve"> </w:t>
      </w:r>
      <w:r w:rsidR="00D37BE4" w:rsidRPr="008F6866">
        <w:fldChar w:fldCharType="begin"/>
      </w:r>
      <w:r w:rsidR="00D37BE4" w:rsidRPr="008F6866">
        <w:instrText xml:space="preserve"> REF _Ref195652841 \h  \* MERGEFORMAT </w:instrText>
      </w:r>
      <w:r w:rsidR="00D37BE4" w:rsidRPr="008F6866">
        <w:fldChar w:fldCharType="separate"/>
      </w:r>
      <w:r w:rsidR="00540DBF" w:rsidRPr="00540DBF">
        <w:t>Table I</w:t>
      </w:r>
      <w:r w:rsidR="00D37BE4" w:rsidRPr="008F6866">
        <w:fldChar w:fldCharType="end"/>
      </w:r>
      <w:r w:rsidR="00D37BE4" w:rsidRPr="008F6866">
        <w:t xml:space="preserve"> </w:t>
      </w:r>
      <w:r w:rsidR="008D5FC7" w:rsidRPr="008F6866">
        <w:t>for a description of indicator computation)</w:t>
      </w:r>
      <w:r w:rsidR="00832C90">
        <w:t>:</w:t>
      </w:r>
    </w:p>
    <w:p w14:paraId="16E4AE7E" w14:textId="77777777" w:rsidR="00084404" w:rsidRPr="008F6866" w:rsidRDefault="00084404" w:rsidP="002738BD">
      <w:pPr>
        <w:pStyle w:val="Paragraphedeliste"/>
        <w:numPr>
          <w:ilvl w:val="0"/>
          <w:numId w:val="4"/>
        </w:numPr>
        <w:spacing w:after="60" w:line="300" w:lineRule="auto"/>
        <w:ind w:left="714" w:hanging="357"/>
        <w:contextualSpacing w:val="0"/>
        <w:jc w:val="both"/>
        <w:rPr>
          <w:rFonts w:asciiTheme="minorHAnsi" w:hAnsiTheme="minorHAnsi" w:cstheme="minorHAnsi"/>
          <w:lang w:val="en-GB"/>
        </w:rPr>
      </w:pPr>
      <w:r w:rsidRPr="008F6866">
        <w:rPr>
          <w:rFonts w:asciiTheme="minorHAnsi" w:hAnsiTheme="minorHAnsi" w:cstheme="minorHAnsi"/>
          <w:lang w:val="en-GB"/>
        </w:rPr>
        <w:t>carbon cycle indicators: average and variation of stable and active carbon stocks (StableC, ActiveC), average and variation of carbon stock in living biomass (LivingBiom), average and variation of carbon stock in products in use (ProdInUse) , average and variation of carbon stock in litter (LitterC), total fossil fuel carbon emissions (FossilFuelC tot), total material and energy substitution (Substitution tot), carbon balance (Carbon balance, determined from the preceding components), average carbon stock (Carbon stock, computed as the sum of StableC avg, ActiveC avg, LivBiom avg, LitterC avg and ProdInUse avg), gross primary production (GPP);</w:t>
      </w:r>
    </w:p>
    <w:p w14:paraId="2A9AFCE5" w14:textId="064E1205" w:rsidR="00084404" w:rsidRPr="008F6866" w:rsidRDefault="00084404" w:rsidP="002738BD">
      <w:pPr>
        <w:pStyle w:val="Paragraphedeliste"/>
        <w:numPr>
          <w:ilvl w:val="0"/>
          <w:numId w:val="4"/>
        </w:numPr>
        <w:spacing w:after="60" w:line="300" w:lineRule="auto"/>
        <w:ind w:left="714" w:hanging="357"/>
        <w:contextualSpacing w:val="0"/>
        <w:jc w:val="both"/>
        <w:rPr>
          <w:rFonts w:asciiTheme="minorHAnsi" w:hAnsiTheme="minorHAnsi" w:cstheme="minorHAnsi"/>
          <w:lang w:val="en-GB"/>
        </w:rPr>
      </w:pPr>
      <w:r w:rsidRPr="008F6866">
        <w:rPr>
          <w:rFonts w:asciiTheme="minorHAnsi" w:hAnsiTheme="minorHAnsi" w:cstheme="minorHAnsi"/>
          <w:lang w:val="en-GB"/>
        </w:rPr>
        <w:t>water balance indicator: average rainfall (Rainfall), total, tree and seedling average transpiration (Transpi), total, tree and seedling average transpiration deficit (DefTranspi), average deep drainage (DeepDrain), water use efficiency (WUE, defined as the ratio between GPP and transpiration), net water balance determined from the preceding fluxes (Water balance);</w:t>
      </w:r>
    </w:p>
    <w:p w14:paraId="7C15EB15" w14:textId="5084A516" w:rsidR="00452935" w:rsidRPr="008F6866" w:rsidRDefault="00E745EF" w:rsidP="002738BD">
      <w:pPr>
        <w:pStyle w:val="Paragraphedeliste"/>
        <w:numPr>
          <w:ilvl w:val="0"/>
          <w:numId w:val="4"/>
        </w:numPr>
        <w:spacing w:after="60" w:line="300" w:lineRule="auto"/>
        <w:ind w:left="714" w:hanging="357"/>
        <w:contextualSpacing w:val="0"/>
        <w:jc w:val="both"/>
        <w:rPr>
          <w:rFonts w:asciiTheme="minorHAnsi" w:hAnsiTheme="minorHAnsi" w:cstheme="minorHAnsi"/>
          <w:lang w:val="en-GB"/>
        </w:rPr>
      </w:pPr>
      <w:r w:rsidRPr="008F6866">
        <w:rPr>
          <w:rFonts w:asciiTheme="minorHAnsi" w:hAnsiTheme="minorHAnsi" w:cstheme="minorHAnsi"/>
          <w:lang w:val="en-GB"/>
        </w:rPr>
        <w:t>productivity indicators: seedling, tree and total gross and net primary production (GPP, NPP), average harvested volume (Vol harv), average basal area and volume production (Vol prod, G prod)</w:t>
      </w:r>
      <w:r w:rsidR="00DA1709" w:rsidRPr="008F6866">
        <w:rPr>
          <w:rFonts w:asciiTheme="minorHAnsi" w:hAnsiTheme="minorHAnsi" w:cstheme="minorHAnsi"/>
          <w:lang w:val="en-GB"/>
        </w:rPr>
        <w:t>;</w:t>
      </w:r>
    </w:p>
    <w:p w14:paraId="6D829839" w14:textId="2B729495" w:rsidR="001A6EF4" w:rsidRPr="008F6866" w:rsidRDefault="001A6EF4" w:rsidP="002738BD">
      <w:pPr>
        <w:pStyle w:val="Paragraphedeliste"/>
        <w:numPr>
          <w:ilvl w:val="0"/>
          <w:numId w:val="4"/>
        </w:numPr>
        <w:spacing w:after="60" w:line="300" w:lineRule="auto"/>
        <w:ind w:left="714" w:hanging="357"/>
        <w:contextualSpacing w:val="0"/>
        <w:jc w:val="both"/>
        <w:rPr>
          <w:rFonts w:asciiTheme="minorHAnsi" w:hAnsiTheme="minorHAnsi" w:cstheme="minorHAnsi"/>
          <w:lang w:val="en-GB"/>
        </w:rPr>
      </w:pPr>
      <w:r w:rsidRPr="008F6866">
        <w:rPr>
          <w:rFonts w:asciiTheme="minorHAnsi" w:hAnsiTheme="minorHAnsi" w:cstheme="minorHAnsi"/>
          <w:lang w:val="en-GB"/>
        </w:rPr>
        <w:t xml:space="preserve">profitability indicators: </w:t>
      </w:r>
      <w:r w:rsidR="008D5FC7" w:rsidRPr="008F6866">
        <w:rPr>
          <w:rFonts w:asciiTheme="minorHAnsi" w:hAnsiTheme="minorHAnsi" w:cstheme="minorHAnsi"/>
          <w:lang w:val="en-GB"/>
        </w:rPr>
        <w:t xml:space="preserve">total net present value (NPV), net present value of trees (NPV trees), calculated internal rate of return (IRR calc), </w:t>
      </w:r>
      <w:r w:rsidR="00DF4B4D" w:rsidRPr="008F6866">
        <w:rPr>
          <w:rFonts w:asciiTheme="minorHAnsi" w:hAnsiTheme="minorHAnsi" w:cstheme="minorHAnsi"/>
          <w:lang w:val="en-GB"/>
        </w:rPr>
        <w:t>initial, final</w:t>
      </w:r>
      <w:r w:rsidR="00497F3B" w:rsidRPr="008F6866">
        <w:rPr>
          <w:rFonts w:asciiTheme="minorHAnsi" w:hAnsiTheme="minorHAnsi" w:cstheme="minorHAnsi"/>
          <w:lang w:val="en-GB"/>
        </w:rPr>
        <w:t>,</w:t>
      </w:r>
      <w:r w:rsidR="00DF4B4D" w:rsidRPr="008F6866">
        <w:rPr>
          <w:rFonts w:asciiTheme="minorHAnsi" w:hAnsiTheme="minorHAnsi" w:cstheme="minorHAnsi"/>
          <w:lang w:val="en-GB"/>
        </w:rPr>
        <w:t xml:space="preserve"> average</w:t>
      </w:r>
      <w:r w:rsidR="00497F3B" w:rsidRPr="008F6866">
        <w:rPr>
          <w:rFonts w:asciiTheme="minorHAnsi" w:hAnsiTheme="minorHAnsi" w:cstheme="minorHAnsi"/>
          <w:lang w:val="en-GB"/>
        </w:rPr>
        <w:t xml:space="preserve"> and variation of</w:t>
      </w:r>
      <w:r w:rsidR="00DF4B4D" w:rsidRPr="008F6866">
        <w:rPr>
          <w:rFonts w:asciiTheme="minorHAnsi" w:hAnsiTheme="minorHAnsi" w:cstheme="minorHAnsi"/>
          <w:lang w:val="en-GB"/>
        </w:rPr>
        <w:t xml:space="preserve"> stand market value (SMV), </w:t>
      </w:r>
      <w:r w:rsidR="00A30A01" w:rsidRPr="008F6866">
        <w:rPr>
          <w:rFonts w:asciiTheme="minorHAnsi" w:hAnsiTheme="minorHAnsi" w:cstheme="minorHAnsi"/>
          <w:lang w:val="en-GB"/>
        </w:rPr>
        <w:t xml:space="preserve">average </w:t>
      </w:r>
      <w:r w:rsidR="00497F3B" w:rsidRPr="008F6866">
        <w:rPr>
          <w:rFonts w:asciiTheme="minorHAnsi" w:hAnsiTheme="minorHAnsi" w:cstheme="minorHAnsi"/>
          <w:lang w:val="en-GB"/>
        </w:rPr>
        <w:t>harvested volume</w:t>
      </w:r>
      <w:r w:rsidR="00A30A01" w:rsidRPr="008F6866">
        <w:rPr>
          <w:rFonts w:asciiTheme="minorHAnsi" w:hAnsiTheme="minorHAnsi" w:cstheme="minorHAnsi"/>
          <w:lang w:val="en-GB"/>
        </w:rPr>
        <w:t xml:space="preserve"> (Vol harv)</w:t>
      </w:r>
      <w:r w:rsidR="00497F3B" w:rsidRPr="008F6866">
        <w:rPr>
          <w:rFonts w:asciiTheme="minorHAnsi" w:hAnsiTheme="minorHAnsi" w:cstheme="minorHAnsi"/>
          <w:lang w:val="en-GB"/>
        </w:rPr>
        <w:t xml:space="preserve">, </w:t>
      </w:r>
      <w:r w:rsidR="00A30A01" w:rsidRPr="008F6866">
        <w:rPr>
          <w:rFonts w:asciiTheme="minorHAnsi" w:hAnsiTheme="minorHAnsi" w:cstheme="minorHAnsi"/>
          <w:lang w:val="en-GB"/>
        </w:rPr>
        <w:t xml:space="preserve">average </w:t>
      </w:r>
      <w:r w:rsidR="00497F3B" w:rsidRPr="008F6866">
        <w:rPr>
          <w:rFonts w:asciiTheme="minorHAnsi" w:hAnsiTheme="minorHAnsi" w:cstheme="minorHAnsi"/>
          <w:lang w:val="en-GB"/>
        </w:rPr>
        <w:t>income</w:t>
      </w:r>
      <w:r w:rsidR="00A30A01" w:rsidRPr="008F6866">
        <w:rPr>
          <w:rFonts w:asciiTheme="minorHAnsi" w:hAnsiTheme="minorHAnsi" w:cstheme="minorHAnsi"/>
          <w:lang w:val="en-GB"/>
        </w:rPr>
        <w:t xml:space="preserve"> (Income)</w:t>
      </w:r>
      <w:r w:rsidR="00497F3B" w:rsidRPr="008F6866">
        <w:rPr>
          <w:rFonts w:asciiTheme="minorHAnsi" w:hAnsiTheme="minorHAnsi" w:cstheme="minorHAnsi"/>
          <w:lang w:val="en-GB"/>
        </w:rPr>
        <w:t xml:space="preserve">, </w:t>
      </w:r>
      <w:r w:rsidR="00A30A01" w:rsidRPr="008F6866">
        <w:rPr>
          <w:rFonts w:asciiTheme="minorHAnsi" w:hAnsiTheme="minorHAnsi" w:cstheme="minorHAnsi"/>
          <w:lang w:val="en-GB"/>
        </w:rPr>
        <w:t xml:space="preserve">average </w:t>
      </w:r>
      <w:r w:rsidR="00497F3B" w:rsidRPr="008F6866">
        <w:rPr>
          <w:rFonts w:asciiTheme="minorHAnsi" w:hAnsiTheme="minorHAnsi" w:cstheme="minorHAnsi"/>
          <w:lang w:val="en-GB"/>
        </w:rPr>
        <w:t>profit</w:t>
      </w:r>
      <w:r w:rsidR="00A30A01" w:rsidRPr="008F6866">
        <w:rPr>
          <w:rFonts w:asciiTheme="minorHAnsi" w:hAnsiTheme="minorHAnsi" w:cstheme="minorHAnsi"/>
          <w:lang w:val="en-GB"/>
        </w:rPr>
        <w:t xml:space="preserve"> (Profit)</w:t>
      </w:r>
      <w:r w:rsidR="00FF1992" w:rsidRPr="008F6866">
        <w:rPr>
          <w:rFonts w:asciiTheme="minorHAnsi" w:hAnsiTheme="minorHAnsi" w:cstheme="minorHAnsi"/>
          <w:lang w:val="en-GB"/>
        </w:rPr>
        <w:t>;</w:t>
      </w:r>
    </w:p>
    <w:p w14:paraId="2A122F5C" w14:textId="65BAD14C" w:rsidR="003D1B03" w:rsidRPr="008F6866" w:rsidRDefault="00A30A01" w:rsidP="002738BD">
      <w:pPr>
        <w:pStyle w:val="Paragraphedeliste"/>
        <w:numPr>
          <w:ilvl w:val="0"/>
          <w:numId w:val="4"/>
        </w:numPr>
        <w:spacing w:after="60" w:line="300" w:lineRule="auto"/>
        <w:ind w:left="714" w:hanging="357"/>
        <w:contextualSpacing w:val="0"/>
        <w:jc w:val="both"/>
        <w:rPr>
          <w:rFonts w:asciiTheme="minorHAnsi" w:hAnsiTheme="minorHAnsi" w:cstheme="minorHAnsi"/>
          <w:lang w:val="en-GB"/>
        </w:rPr>
      </w:pPr>
      <w:r w:rsidRPr="008F6866">
        <w:rPr>
          <w:rFonts w:asciiTheme="minorHAnsi" w:hAnsiTheme="minorHAnsi" w:cstheme="minorHAnsi"/>
          <w:lang w:val="en-GB"/>
        </w:rPr>
        <w:t xml:space="preserve">diversity indicators: average Simpson </w:t>
      </w:r>
      <w:r w:rsidR="0036708A" w:rsidRPr="008F6866">
        <w:rPr>
          <w:rFonts w:asciiTheme="minorHAnsi" w:hAnsiTheme="minorHAnsi" w:cstheme="minorHAnsi"/>
          <w:lang w:val="en-GB"/>
        </w:rPr>
        <w:t>index (Simpson), average Shannon index (Shannon), average score based on dendro microhabitats (DMH), average species richness (Species richness), average aggregation index (Aggregation), average mixture index (Mixture), average differentiation indexes for trunk circumference at breast height and for total height (DiffC130, DiffHtot)</w:t>
      </w:r>
      <w:r w:rsidR="00FF1992" w:rsidRPr="008F6866">
        <w:rPr>
          <w:rFonts w:asciiTheme="minorHAnsi" w:hAnsiTheme="minorHAnsi" w:cstheme="minorHAnsi"/>
          <w:lang w:val="en-GB"/>
        </w:rPr>
        <w:t>;</w:t>
      </w:r>
    </w:p>
    <w:p w14:paraId="0438AEF1" w14:textId="360E4E3E" w:rsidR="00652A87" w:rsidRPr="008F6866" w:rsidRDefault="00384EEC" w:rsidP="002738BD">
      <w:pPr>
        <w:pStyle w:val="Paragraphedeliste"/>
        <w:numPr>
          <w:ilvl w:val="0"/>
          <w:numId w:val="4"/>
        </w:numPr>
        <w:spacing w:after="120" w:line="300" w:lineRule="auto"/>
        <w:ind w:left="714" w:hanging="357"/>
        <w:contextualSpacing w:val="0"/>
        <w:jc w:val="both"/>
        <w:rPr>
          <w:rFonts w:asciiTheme="minorHAnsi" w:hAnsiTheme="minorHAnsi" w:cstheme="minorHAnsi"/>
          <w:lang w:val="en-GB"/>
        </w:rPr>
      </w:pPr>
      <w:r w:rsidRPr="008F6866">
        <w:rPr>
          <w:rFonts w:asciiTheme="minorHAnsi" w:hAnsiTheme="minorHAnsi" w:cstheme="minorHAnsi"/>
          <w:lang w:val="en-GB"/>
        </w:rPr>
        <w:lastRenderedPageBreak/>
        <w:t xml:space="preserve">resilience indicators: </w:t>
      </w:r>
      <w:r w:rsidR="00ED4598" w:rsidRPr="008F6866">
        <w:rPr>
          <w:rFonts w:asciiTheme="minorHAnsi" w:hAnsiTheme="minorHAnsi" w:cstheme="minorHAnsi"/>
          <w:lang w:val="en-GB"/>
        </w:rPr>
        <w:t>average number</w:t>
      </w:r>
      <w:r w:rsidR="00FF1992" w:rsidRPr="008F6866">
        <w:rPr>
          <w:rFonts w:asciiTheme="minorHAnsi" w:hAnsiTheme="minorHAnsi" w:cstheme="minorHAnsi"/>
          <w:lang w:val="en-GB"/>
        </w:rPr>
        <w:t xml:space="preserve"> of recruited trees (NhaRecr), average p</w:t>
      </w:r>
      <w:r w:rsidR="00C672DB" w:rsidRPr="008F6866">
        <w:rPr>
          <w:rFonts w:asciiTheme="minorHAnsi" w:hAnsiTheme="minorHAnsi" w:cstheme="minorHAnsi"/>
          <w:lang w:val="en-GB"/>
        </w:rPr>
        <w:t>ercentage</w:t>
      </w:r>
      <w:r w:rsidR="00FF1992" w:rsidRPr="008F6866">
        <w:rPr>
          <w:rFonts w:asciiTheme="minorHAnsi" w:hAnsiTheme="minorHAnsi" w:cstheme="minorHAnsi"/>
          <w:lang w:val="en-GB"/>
        </w:rPr>
        <w:t xml:space="preserve"> of undamaged trees following storms</w:t>
      </w:r>
      <w:r w:rsidR="00D322AC" w:rsidRPr="008F6866">
        <w:rPr>
          <w:rFonts w:asciiTheme="minorHAnsi" w:hAnsiTheme="minorHAnsi" w:cstheme="minorHAnsi"/>
          <w:lang w:val="en-GB"/>
        </w:rPr>
        <w:t xml:space="preserve"> (WindUndam perc) and average percentage of dead trees (Dead perc)</w:t>
      </w:r>
      <w:r w:rsidR="00FF1992" w:rsidRPr="008F6866">
        <w:rPr>
          <w:rFonts w:asciiTheme="minorHAnsi" w:hAnsiTheme="minorHAnsi" w:cstheme="minorHAnsi"/>
          <w:lang w:val="en-GB"/>
        </w:rPr>
        <w:t>.</w:t>
      </w:r>
    </w:p>
    <w:p w14:paraId="08982901" w14:textId="373AB692" w:rsidR="00F43830" w:rsidRPr="008F6866" w:rsidRDefault="00553262" w:rsidP="00A27989">
      <w:pPr>
        <w:spacing w:after="120" w:line="300" w:lineRule="auto"/>
        <w:jc w:val="both"/>
        <w:rPr>
          <w:b/>
          <w:i/>
          <w:color w:val="000000" w:themeColor="text1"/>
          <w:sz w:val="20"/>
          <w:szCs w:val="20"/>
          <w:highlight w:val="yellow"/>
        </w:rPr>
      </w:pPr>
      <w:r w:rsidRPr="008F6866">
        <w:fldChar w:fldCharType="begin"/>
      </w:r>
      <w:r w:rsidRPr="008F6866">
        <w:instrText xml:space="preserve"> REF _Ref195691600 \h  \* MERGEFORMAT </w:instrText>
      </w:r>
      <w:r w:rsidRPr="008F6866">
        <w:fldChar w:fldCharType="separate"/>
      </w:r>
      <w:r w:rsidR="00540DBF" w:rsidRPr="00540DBF">
        <w:t>Figure 35</w:t>
      </w:r>
      <w:r w:rsidRPr="008F6866">
        <w:fldChar w:fldCharType="end"/>
      </w:r>
      <w:r w:rsidRPr="008F6866">
        <w:t xml:space="preserve"> </w:t>
      </w:r>
      <w:r w:rsidR="00233F29" w:rsidRPr="008F6866">
        <w:t xml:space="preserve">presents </w:t>
      </w:r>
      <w:r w:rsidR="00220295" w:rsidRPr="008F6866">
        <w:t xml:space="preserve">biplots for the first two components of the PCAs carried out on each group of indicators. </w:t>
      </w:r>
      <w:r w:rsidR="00AA7145" w:rsidRPr="008F6866">
        <w:t xml:space="preserve">The first component generally explained more than 50% </w:t>
      </w:r>
      <w:r w:rsidR="009C6628" w:rsidRPr="008F6866">
        <w:t xml:space="preserve">of the </w:t>
      </w:r>
      <w:r w:rsidR="0092658F" w:rsidRPr="008F6866">
        <w:t xml:space="preserve">variance in the </w:t>
      </w:r>
      <w:r w:rsidR="00976693" w:rsidRPr="008F6866">
        <w:t xml:space="preserve">data, except for water balance indicators </w:t>
      </w:r>
      <w:r w:rsidR="0092658F" w:rsidRPr="008F6866">
        <w:t>where it accounted for</w:t>
      </w:r>
      <w:r w:rsidR="00976693" w:rsidRPr="008F6866">
        <w:t xml:space="preserve"> 42% of </w:t>
      </w:r>
      <w:r w:rsidR="0092658F" w:rsidRPr="008F6866">
        <w:t>the variance</w:t>
      </w:r>
      <w:r w:rsidR="00976693" w:rsidRPr="008F6866">
        <w:t>.</w:t>
      </w:r>
      <w:r w:rsidR="008413F4" w:rsidRPr="008F6866">
        <w:t xml:space="preserve"> </w:t>
      </w:r>
      <w:r w:rsidR="00902A6E" w:rsidRPr="008F6866">
        <w:t xml:space="preserve">In most cases, </w:t>
      </w:r>
      <w:r w:rsidR="006A5ACC" w:rsidRPr="008F6866">
        <w:t xml:space="preserve">a </w:t>
      </w:r>
      <w:r w:rsidR="00B0132A" w:rsidRPr="008F6866">
        <w:t>limi</w:t>
      </w:r>
      <w:r w:rsidR="006A5ACC" w:rsidRPr="008F6866">
        <w:t xml:space="preserve">ted number of indicators showed dominant contributions to the first component and one of them was </w:t>
      </w:r>
      <w:r w:rsidR="003F1EAC" w:rsidRPr="008F6866">
        <w:t xml:space="preserve">selected </w:t>
      </w:r>
      <w:r w:rsidR="00B0132A" w:rsidRPr="008F6866">
        <w:t xml:space="preserve">as representative of the corresponding group and used for the subsequent analyses. </w:t>
      </w:r>
      <w:r w:rsidR="00C37080" w:rsidRPr="008F6866">
        <w:t xml:space="preserve">Therefore, the indicators </w:t>
      </w:r>
      <w:r w:rsidR="00B457BD" w:rsidRPr="008F6866">
        <w:t>chosen</w:t>
      </w:r>
      <w:r w:rsidR="00C37080" w:rsidRPr="008F6866">
        <w:t xml:space="preserve"> for</w:t>
      </w:r>
      <w:r w:rsidR="00B73643" w:rsidRPr="008F6866">
        <w:t xml:space="preserve"> carbon cycle, water balance, productivity,</w:t>
      </w:r>
      <w:r w:rsidR="00C37080" w:rsidRPr="008F6866">
        <w:t xml:space="preserve"> profitability, diversity and are</w:t>
      </w:r>
      <w:r w:rsidR="00B73643" w:rsidRPr="008F6866">
        <w:t xml:space="preserve"> GPP, total transpiration,</w:t>
      </w:r>
      <w:r w:rsidR="00C37080" w:rsidRPr="008F6866">
        <w:t xml:space="preserve"> </w:t>
      </w:r>
      <w:r w:rsidR="00B73643" w:rsidRPr="008F6866">
        <w:t xml:space="preserve">volume production, </w:t>
      </w:r>
      <w:r w:rsidR="00C37080" w:rsidRPr="008F6866">
        <w:t>profit</w:t>
      </w:r>
      <w:r w:rsidR="00B73643" w:rsidRPr="008F6866">
        <w:t xml:space="preserve"> and the</w:t>
      </w:r>
      <w:r w:rsidR="00C37080" w:rsidRPr="008F6866">
        <w:t xml:space="preserve"> Simpson index, respectively.</w:t>
      </w:r>
      <w:r w:rsidR="00B457BD" w:rsidRPr="008F6866">
        <w:t xml:space="preserve"> The exception is resilience, for which none of the three considered </w:t>
      </w:r>
      <w:r w:rsidR="00D3522F" w:rsidRPr="008F6866">
        <w:t>indicators showed a dominant contribution to the first ACP component, and the interpretation of this component based on its correlations with the indicators was not straightforward. As a result, in this latter case, each indicator was considered individually below.</w:t>
      </w:r>
    </w:p>
    <w:p w14:paraId="7726DD2A" w14:textId="77777777" w:rsidR="000022DE" w:rsidRPr="008F6866" w:rsidRDefault="000022DE" w:rsidP="00BF02AA">
      <w:pPr>
        <w:spacing w:after="120" w:line="300" w:lineRule="auto"/>
        <w:jc w:val="both"/>
        <w:rPr>
          <w:lang w:eastAsia="fr-BE"/>
        </w:rPr>
      </w:pPr>
      <w:r w:rsidRPr="008F6866">
        <w:rPr>
          <w:lang w:eastAsia="fr-BE"/>
        </w:rPr>
        <w:t>The following mixed model was fitted for each indicator selected from the ACPs:</w:t>
      </w:r>
    </w:p>
    <w:p w14:paraId="28FF89BF" w14:textId="77777777" w:rsidR="000022DE" w:rsidRPr="008F6866" w:rsidRDefault="000022DE" w:rsidP="000022DE">
      <w:pPr>
        <w:spacing w:after="0"/>
        <w:jc w:val="both"/>
        <w:rPr>
          <w:lang w:eastAsia="fr-BE"/>
        </w:rPr>
      </w:pPr>
      <w:r w:rsidRPr="008F6866">
        <w:rPr>
          <w:lang w:eastAsia="fr-BE"/>
        </w:rPr>
        <w:tab/>
      </w:r>
      <w:r w:rsidRPr="008F6866">
        <w:rPr>
          <w:i/>
          <w:lang w:eastAsia="fr-BE"/>
        </w:rPr>
        <w:t>Indicator</w:t>
      </w:r>
      <w:r w:rsidRPr="008F6866">
        <w:rPr>
          <w:i/>
          <w:vertAlign w:val="subscript"/>
          <w:lang w:eastAsia="fr-BE"/>
        </w:rPr>
        <w:t>avg</w:t>
      </w:r>
      <w:r w:rsidRPr="008F6866">
        <w:rPr>
          <w:lang w:eastAsia="fr-BE"/>
        </w:rPr>
        <w:t xml:space="preserve"> ~ </w:t>
      </w:r>
      <w:r w:rsidRPr="008F6866">
        <w:rPr>
          <w:i/>
          <w:lang w:eastAsia="fr-BE"/>
        </w:rPr>
        <w:t>Silvi</w:t>
      </w:r>
      <w:r w:rsidRPr="008F6866">
        <w:rPr>
          <w:lang w:eastAsia="fr-BE"/>
        </w:rPr>
        <w:t xml:space="preserve"> + </w:t>
      </w:r>
      <w:r w:rsidRPr="008F6866">
        <w:rPr>
          <w:i/>
          <w:lang w:eastAsia="fr-BE"/>
        </w:rPr>
        <w:t>Climate</w:t>
      </w:r>
      <w:r w:rsidRPr="008F6866">
        <w:rPr>
          <w:lang w:eastAsia="fr-BE"/>
        </w:rPr>
        <w:t xml:space="preserve"> + </w:t>
      </w:r>
      <w:r w:rsidRPr="008F6866">
        <w:rPr>
          <w:i/>
          <w:lang w:eastAsia="fr-BE"/>
        </w:rPr>
        <w:t>CO</w:t>
      </w:r>
      <w:r w:rsidRPr="008F6866">
        <w:rPr>
          <w:i/>
          <w:vertAlign w:val="subscript"/>
          <w:lang w:eastAsia="fr-BE"/>
        </w:rPr>
        <w:t>2</w:t>
      </w:r>
      <w:r w:rsidRPr="008F6866">
        <w:rPr>
          <w:lang w:eastAsia="fr-BE"/>
        </w:rPr>
        <w:t xml:space="preserve"> + </w:t>
      </w:r>
      <w:r w:rsidRPr="008F6866">
        <w:rPr>
          <w:i/>
          <w:lang w:eastAsia="fr-BE"/>
        </w:rPr>
        <w:t>Silvi</w:t>
      </w:r>
      <w:r w:rsidRPr="008F6866">
        <w:rPr>
          <w:lang w:eastAsia="fr-BE"/>
        </w:rPr>
        <w:t xml:space="preserve"> x </w:t>
      </w:r>
      <w:r w:rsidRPr="008F6866">
        <w:rPr>
          <w:i/>
          <w:lang w:eastAsia="fr-BE"/>
        </w:rPr>
        <w:t>Climate</w:t>
      </w:r>
      <w:r w:rsidRPr="008F6866">
        <w:rPr>
          <w:lang w:eastAsia="fr-BE"/>
        </w:rPr>
        <w:t xml:space="preserve"> + </w:t>
      </w:r>
      <w:r w:rsidRPr="008F6866">
        <w:rPr>
          <w:i/>
          <w:lang w:eastAsia="fr-BE"/>
        </w:rPr>
        <w:t>Climate</w:t>
      </w:r>
      <w:r w:rsidRPr="008F6866">
        <w:rPr>
          <w:lang w:eastAsia="fr-BE"/>
        </w:rPr>
        <w:t xml:space="preserve"> x </w:t>
      </w:r>
      <w:r w:rsidRPr="008F6866">
        <w:rPr>
          <w:i/>
          <w:lang w:eastAsia="fr-BE"/>
        </w:rPr>
        <w:t>CO</w:t>
      </w:r>
      <w:r w:rsidRPr="008F6866">
        <w:rPr>
          <w:i/>
          <w:vertAlign w:val="subscript"/>
          <w:lang w:eastAsia="fr-BE"/>
        </w:rPr>
        <w:t>2</w:t>
      </w:r>
      <w:r w:rsidRPr="008F6866">
        <w:rPr>
          <w:lang w:eastAsia="fr-BE"/>
        </w:rPr>
        <w:t xml:space="preserve"> + </w:t>
      </w:r>
      <w:r w:rsidRPr="008F6866">
        <w:rPr>
          <w:i/>
          <w:lang w:eastAsia="fr-BE"/>
        </w:rPr>
        <w:t>Silvi</w:t>
      </w:r>
      <w:r w:rsidRPr="008F6866">
        <w:rPr>
          <w:lang w:eastAsia="fr-BE"/>
        </w:rPr>
        <w:t xml:space="preserve"> x </w:t>
      </w:r>
      <w:bookmarkStart w:id="99" w:name="_Hlk192624910"/>
      <w:r w:rsidRPr="008F6866">
        <w:rPr>
          <w:i/>
          <w:lang w:eastAsia="fr-BE"/>
        </w:rPr>
        <w:t>CO</w:t>
      </w:r>
      <w:r w:rsidRPr="008F6866">
        <w:rPr>
          <w:i/>
          <w:vertAlign w:val="subscript"/>
          <w:lang w:eastAsia="fr-BE"/>
        </w:rPr>
        <w:t>2</w:t>
      </w:r>
      <w:bookmarkEnd w:id="99"/>
      <w:r w:rsidRPr="008F6866">
        <w:rPr>
          <w:lang w:eastAsia="fr-BE"/>
        </w:rPr>
        <w:t xml:space="preserve"> </w:t>
      </w:r>
    </w:p>
    <w:p w14:paraId="6E543708" w14:textId="09A6594D" w:rsidR="000022DE" w:rsidRPr="008F6866" w:rsidRDefault="000022DE" w:rsidP="006B5889">
      <w:pPr>
        <w:spacing w:after="120"/>
        <w:ind w:left="1440" w:firstLine="720"/>
        <w:jc w:val="both"/>
        <w:rPr>
          <w:lang w:eastAsia="fr-BE"/>
        </w:rPr>
      </w:pPr>
      <w:r w:rsidRPr="008F6866">
        <w:rPr>
          <w:lang w:eastAsia="fr-BE"/>
        </w:rPr>
        <w:t xml:space="preserve">+ </w:t>
      </w:r>
      <w:r w:rsidRPr="008F6866">
        <w:rPr>
          <w:i/>
          <w:lang w:eastAsia="fr-BE"/>
        </w:rPr>
        <w:t>Silvi</w:t>
      </w:r>
      <w:r w:rsidRPr="008F6866">
        <w:rPr>
          <w:lang w:eastAsia="fr-BE"/>
        </w:rPr>
        <w:t xml:space="preserve"> x </w:t>
      </w:r>
      <w:r w:rsidRPr="008F6866">
        <w:rPr>
          <w:i/>
          <w:lang w:eastAsia="fr-BE"/>
        </w:rPr>
        <w:t xml:space="preserve">Climate </w:t>
      </w:r>
      <w:r w:rsidRPr="008F6866">
        <w:rPr>
          <w:lang w:eastAsia="fr-BE"/>
        </w:rPr>
        <w:t>x</w:t>
      </w:r>
      <w:r w:rsidRPr="008F6866">
        <w:rPr>
          <w:i/>
          <w:lang w:eastAsia="fr-BE"/>
        </w:rPr>
        <w:t xml:space="preserve"> CO</w:t>
      </w:r>
      <w:r w:rsidRPr="008F6866">
        <w:rPr>
          <w:i/>
          <w:vertAlign w:val="subscript"/>
          <w:lang w:eastAsia="fr-BE"/>
        </w:rPr>
        <w:t>2</w:t>
      </w:r>
      <w:r w:rsidRPr="008F6866">
        <w:rPr>
          <w:i/>
          <w:lang w:eastAsia="fr-BE"/>
        </w:rPr>
        <w:t xml:space="preserve"> </w:t>
      </w:r>
      <w:r w:rsidRPr="008F6866">
        <w:rPr>
          <w:lang w:eastAsia="fr-BE"/>
        </w:rPr>
        <w:t xml:space="preserve">+ </w:t>
      </w:r>
      <w:r w:rsidRPr="008F6866">
        <w:rPr>
          <w:rFonts w:ascii="Symbol" w:eastAsia="Symbol" w:hAnsi="Symbol" w:cs="Symbol"/>
          <w:i/>
          <w:lang w:eastAsia="fr-BE"/>
        </w:rPr>
        <w:t></w:t>
      </w:r>
      <w:r w:rsidRPr="008F6866">
        <w:rPr>
          <w:lang w:eastAsia="fr-BE"/>
        </w:rPr>
        <w:t xml:space="preserve"> + </w:t>
      </w:r>
      <w:r w:rsidRPr="008F6866">
        <w:rPr>
          <w:rFonts w:ascii="Symbol" w:eastAsia="Symbol" w:hAnsi="Symbol" w:cs="Symbol"/>
          <w:i/>
          <w:lang w:eastAsia="fr-BE"/>
        </w:rPr>
        <w:t></w:t>
      </w:r>
      <w:r w:rsidRPr="008F6866">
        <w:rPr>
          <w:lang w:eastAsia="fr-BE"/>
        </w:rPr>
        <w:t xml:space="preserve"> x </w:t>
      </w:r>
      <w:r w:rsidRPr="008F6866">
        <w:rPr>
          <w:i/>
          <w:lang w:eastAsia="fr-BE"/>
        </w:rPr>
        <w:t>Silvi</w:t>
      </w:r>
      <w:r w:rsidRPr="008F6866">
        <w:rPr>
          <w:lang w:eastAsia="fr-BE"/>
        </w:rPr>
        <w:t xml:space="preserve"> + </w:t>
      </w:r>
      <w:r w:rsidRPr="008F6866">
        <w:rPr>
          <w:rFonts w:ascii="Symbol" w:eastAsia="Symbol" w:hAnsi="Symbol" w:cs="Symbol"/>
          <w:i/>
          <w:lang w:eastAsia="fr-BE"/>
        </w:rPr>
        <w:t></w:t>
      </w:r>
      <w:r w:rsidRPr="008F6866">
        <w:rPr>
          <w:lang w:eastAsia="fr-BE"/>
        </w:rPr>
        <w:t xml:space="preserve"> x </w:t>
      </w:r>
      <w:r w:rsidRPr="008F6866">
        <w:rPr>
          <w:i/>
          <w:lang w:eastAsia="fr-BE"/>
        </w:rPr>
        <w:t>Climate</w:t>
      </w:r>
      <w:r w:rsidRPr="008F6866">
        <w:rPr>
          <w:lang w:eastAsia="fr-BE"/>
        </w:rPr>
        <w:t xml:space="preserve"> + </w:t>
      </w:r>
      <w:r w:rsidRPr="008F6866">
        <w:rPr>
          <w:rFonts w:ascii="Symbol" w:eastAsia="Symbol" w:hAnsi="Symbol" w:cs="Symbol"/>
          <w:i/>
          <w:lang w:eastAsia="fr-BE"/>
        </w:rPr>
        <w:t></w:t>
      </w:r>
      <w:r w:rsidRPr="008F6866">
        <w:rPr>
          <w:lang w:eastAsia="fr-BE"/>
        </w:rPr>
        <w:t xml:space="preserve"> x </w:t>
      </w:r>
      <w:r w:rsidRPr="008F6866">
        <w:rPr>
          <w:i/>
          <w:lang w:eastAsia="fr-BE"/>
        </w:rPr>
        <w:t>CO</w:t>
      </w:r>
      <w:r w:rsidRPr="008F6866">
        <w:rPr>
          <w:i/>
          <w:vertAlign w:val="subscript"/>
          <w:lang w:eastAsia="fr-BE"/>
        </w:rPr>
        <w:t>2</w:t>
      </w:r>
      <w:r w:rsidRPr="008F6866">
        <w:rPr>
          <w:lang w:eastAsia="fr-BE"/>
        </w:rPr>
        <w:t xml:space="preserve"> + </w:t>
      </w:r>
      <w:r w:rsidRPr="008F6866">
        <w:rPr>
          <w:rFonts w:ascii="Symbol" w:eastAsia="Symbol" w:hAnsi="Symbol" w:cs="Symbol"/>
          <w:i/>
          <w:lang w:eastAsia="fr-BE"/>
        </w:rPr>
        <w:t></w:t>
      </w:r>
      <w:r w:rsidR="001225E2" w:rsidRPr="008F6866">
        <w:rPr>
          <w:lang w:eastAsia="fr-BE"/>
        </w:rPr>
        <w:tab/>
      </w:r>
      <w:r w:rsidRPr="008F6866">
        <w:rPr>
          <w:lang w:eastAsia="fr-BE"/>
        </w:rPr>
        <w:t>(</w:t>
      </w:r>
      <w:r w:rsidR="00ED546A" w:rsidRPr="008F6866">
        <w:rPr>
          <w:lang w:eastAsia="fr-BE"/>
        </w:rPr>
        <w:t>4.1</w:t>
      </w:r>
      <w:r w:rsidR="00C6423F">
        <w:rPr>
          <w:lang w:eastAsia="fr-BE"/>
        </w:rPr>
        <w:t>5</w:t>
      </w:r>
      <w:r w:rsidRPr="008F6866">
        <w:rPr>
          <w:lang w:eastAsia="fr-BE"/>
        </w:rPr>
        <w:t>)</w:t>
      </w:r>
    </w:p>
    <w:p w14:paraId="2FD01529" w14:textId="1AE7A4C0" w:rsidR="000022DE" w:rsidRPr="008F6866" w:rsidRDefault="000022DE" w:rsidP="00532250">
      <w:pPr>
        <w:spacing w:after="120" w:line="300" w:lineRule="auto"/>
        <w:jc w:val="both"/>
        <w:rPr>
          <w:lang w:eastAsia="fr-BE"/>
        </w:rPr>
      </w:pPr>
      <w:r w:rsidRPr="008F6866">
        <w:rPr>
          <w:lang w:eastAsia="fr-BE"/>
        </w:rPr>
        <w:t>in which the silvicultural scenario (</w:t>
      </w:r>
      <w:r w:rsidRPr="008F6866">
        <w:rPr>
          <w:i/>
          <w:lang w:eastAsia="fr-BE"/>
        </w:rPr>
        <w:t>Silvi</w:t>
      </w:r>
      <w:r w:rsidRPr="008F6866">
        <w:rPr>
          <w:lang w:eastAsia="fr-BE"/>
        </w:rPr>
        <w:t>), the climate scenario (</w:t>
      </w:r>
      <w:r w:rsidRPr="008F6866">
        <w:rPr>
          <w:i/>
          <w:lang w:eastAsia="fr-BE"/>
        </w:rPr>
        <w:t>Climate</w:t>
      </w:r>
      <w:r w:rsidRPr="008F6866">
        <w:rPr>
          <w:lang w:eastAsia="fr-BE"/>
        </w:rPr>
        <w:t>), the modality (i.e., variable or constant) of atmospheric CO</w:t>
      </w:r>
      <w:r w:rsidRPr="008F6866">
        <w:rPr>
          <w:vertAlign w:val="subscript"/>
          <w:lang w:eastAsia="fr-BE"/>
        </w:rPr>
        <w:t>2</w:t>
      </w:r>
      <w:r w:rsidRPr="008F6866">
        <w:rPr>
          <w:lang w:eastAsia="fr-BE"/>
        </w:rPr>
        <w:t xml:space="preserve"> temporal evolution (</w:t>
      </w:r>
      <w:r w:rsidRPr="008F6866">
        <w:rPr>
          <w:i/>
          <w:lang w:eastAsia="fr-BE"/>
        </w:rPr>
        <w:t>CO</w:t>
      </w:r>
      <w:r w:rsidRPr="008F6866">
        <w:rPr>
          <w:i/>
          <w:vertAlign w:val="subscript"/>
          <w:lang w:eastAsia="fr-BE"/>
        </w:rPr>
        <w:t>2</w:t>
      </w:r>
      <w:r w:rsidRPr="008F6866">
        <w:rPr>
          <w:lang w:eastAsia="fr-BE"/>
        </w:rPr>
        <w:t xml:space="preserve">) were set as fixed effects, considering all interaction combinations among them. </w:t>
      </w:r>
      <w:r w:rsidR="00FA499E" w:rsidRPr="008F6866">
        <w:rPr>
          <w:lang w:eastAsia="fr-BE"/>
        </w:rPr>
        <w:t>To</w:t>
      </w:r>
      <w:r w:rsidRPr="008F6866">
        <w:rPr>
          <w:lang w:eastAsia="fr-BE"/>
        </w:rPr>
        <w:t xml:space="preserve"> reduce the number of model parameters while taking their effects into account, the site (</w:t>
      </w:r>
      <w:r w:rsidRPr="008F6866">
        <w:rPr>
          <w:rFonts w:ascii="Symbol" w:eastAsia="Symbol" w:hAnsi="Symbol" w:cs="Symbol"/>
          <w:i/>
          <w:lang w:eastAsia="fr-BE"/>
        </w:rPr>
        <w:t></w:t>
      </w:r>
      <w:r w:rsidRPr="008F6866">
        <w:rPr>
          <w:lang w:eastAsia="fr-BE"/>
        </w:rPr>
        <w:t>) and the climate model (</w:t>
      </w:r>
      <w:r w:rsidRPr="008F6866">
        <w:rPr>
          <w:rFonts w:ascii="Symbol" w:eastAsia="Symbol" w:hAnsi="Symbol" w:cs="Symbol"/>
          <w:i/>
          <w:lang w:eastAsia="fr-BE"/>
        </w:rPr>
        <w:t></w:t>
      </w:r>
      <w:r w:rsidRPr="008F6866">
        <w:rPr>
          <w:lang w:eastAsia="fr-BE"/>
        </w:rPr>
        <w:t xml:space="preserve">) were included as random terms. The site was considered as a random factor, while the climate model was defined as random coefficients to account for its possible interactions with the fixed effects. </w:t>
      </w:r>
      <w:r w:rsidRPr="008F6866">
        <w:rPr>
          <w:i/>
          <w:lang w:eastAsia="fr-BE"/>
        </w:rPr>
        <w:t>Indicator</w:t>
      </w:r>
      <w:r w:rsidRPr="008F6866">
        <w:rPr>
          <w:i/>
          <w:vertAlign w:val="subscript"/>
          <w:lang w:eastAsia="fr-BE"/>
        </w:rPr>
        <w:t>avg</w:t>
      </w:r>
      <w:r w:rsidRPr="008F6866">
        <w:rPr>
          <w:lang w:eastAsia="fr-BE"/>
        </w:rPr>
        <w:t xml:space="preserve"> is the average indicator value, averaged either over the whole simulation period or over sub-periods.</w:t>
      </w:r>
    </w:p>
    <w:p w14:paraId="5CC8850F" w14:textId="02258FBF" w:rsidR="000022DE" w:rsidRPr="008F6866" w:rsidRDefault="00D56926" w:rsidP="00532250">
      <w:pPr>
        <w:spacing w:after="120" w:line="300" w:lineRule="auto"/>
        <w:jc w:val="both"/>
        <w:rPr>
          <w:lang w:eastAsia="fr-BE"/>
        </w:rPr>
      </w:pPr>
      <w:r w:rsidRPr="008F6866">
        <w:rPr>
          <w:lang w:eastAsia="fr-BE"/>
        </w:rPr>
        <w:fldChar w:fldCharType="begin"/>
      </w:r>
      <w:r w:rsidRPr="008F6866">
        <w:rPr>
          <w:lang w:eastAsia="fr-BE"/>
        </w:rPr>
        <w:instrText xml:space="preserve"> REF _Ref195694514 \h  \* MERGEFORMAT </w:instrText>
      </w:r>
      <w:r w:rsidRPr="008F6866">
        <w:rPr>
          <w:lang w:eastAsia="fr-BE"/>
        </w:rPr>
      </w:r>
      <w:r w:rsidRPr="008F6866">
        <w:rPr>
          <w:lang w:eastAsia="fr-BE"/>
        </w:rPr>
        <w:fldChar w:fldCharType="separate"/>
      </w:r>
      <w:r w:rsidR="00540DBF" w:rsidRPr="00540DBF">
        <w:rPr>
          <w:lang w:eastAsia="fr-BE"/>
        </w:rPr>
        <w:t>Figure 36</w:t>
      </w:r>
      <w:r w:rsidRPr="008F6866">
        <w:rPr>
          <w:lang w:eastAsia="fr-BE"/>
        </w:rPr>
        <w:fldChar w:fldCharType="end"/>
      </w:r>
      <w:r w:rsidR="00AE1628" w:rsidRPr="008F6866">
        <w:rPr>
          <w:lang w:eastAsia="fr-BE"/>
        </w:rPr>
        <w:t xml:space="preserve"> </w:t>
      </w:r>
      <w:r w:rsidR="000022DE" w:rsidRPr="008F6866">
        <w:rPr>
          <w:lang w:eastAsia="fr-BE"/>
        </w:rPr>
        <w:t>shows, for each indicator, the comparison of mean values over the 120-year simulation period between the silvicultural and climate scenarios and for the two CO</w:t>
      </w:r>
      <w:r w:rsidR="000022DE" w:rsidRPr="008F6866">
        <w:rPr>
          <w:vertAlign w:val="subscript"/>
          <w:lang w:eastAsia="fr-BE"/>
        </w:rPr>
        <w:t>2</w:t>
      </w:r>
      <w:r w:rsidR="000022DE" w:rsidRPr="008F6866">
        <w:rPr>
          <w:lang w:eastAsia="fr-BE"/>
        </w:rPr>
        <w:t xml:space="preserve"> modalities. The significance of the differences between means was tested using contrasts based on the statistical model defined in Equation</w:t>
      </w:r>
      <w:r w:rsidR="00B1039C" w:rsidRPr="008F6866">
        <w:rPr>
          <w:lang w:eastAsia="fr-BE"/>
        </w:rPr>
        <w:t xml:space="preserve"> 4.1</w:t>
      </w:r>
      <w:r w:rsidR="000E3AA9">
        <w:rPr>
          <w:lang w:eastAsia="fr-BE"/>
        </w:rPr>
        <w:t>5</w:t>
      </w:r>
      <w:r w:rsidR="000022DE" w:rsidRPr="008F6866">
        <w:rPr>
          <w:lang w:eastAsia="fr-BE"/>
        </w:rPr>
        <w:t>. Contrasts were performed separately for the CO</w:t>
      </w:r>
      <w:r w:rsidR="000022DE" w:rsidRPr="008F6866">
        <w:rPr>
          <w:vertAlign w:val="subscript"/>
          <w:lang w:eastAsia="fr-BE"/>
        </w:rPr>
        <w:t>2</w:t>
      </w:r>
      <w:r w:rsidR="000022DE" w:rsidRPr="008F6866">
        <w:rPr>
          <w:lang w:eastAsia="fr-BE"/>
        </w:rPr>
        <w:t xml:space="preserve"> modalities and their results are presented by letters at the top of each graph, with common letters indicating non-significant differences among compared means (uppercase and lowercase letters refer to variable and constant CO</w:t>
      </w:r>
      <w:r w:rsidR="000022DE" w:rsidRPr="008F6866">
        <w:rPr>
          <w:vertAlign w:val="subscript"/>
          <w:lang w:eastAsia="fr-BE"/>
        </w:rPr>
        <w:t>2</w:t>
      </w:r>
      <w:r w:rsidR="000022DE" w:rsidRPr="008F6866">
        <w:rPr>
          <w:lang w:eastAsia="fr-BE"/>
        </w:rPr>
        <w:t>, respectively).</w:t>
      </w:r>
    </w:p>
    <w:p w14:paraId="1EA8385C" w14:textId="77777777" w:rsidR="00E80775" w:rsidRDefault="000022DE" w:rsidP="00532250">
      <w:pPr>
        <w:spacing w:after="120" w:line="300" w:lineRule="auto"/>
        <w:jc w:val="both"/>
        <w:rPr>
          <w:lang w:eastAsia="fr-BE"/>
        </w:rPr>
      </w:pPr>
      <w:r w:rsidRPr="008F6866">
        <w:rPr>
          <w:lang w:eastAsia="fr-BE"/>
        </w:rPr>
        <w:t>When considering a variable CO</w:t>
      </w:r>
      <w:r w:rsidRPr="008F6866">
        <w:rPr>
          <w:vertAlign w:val="subscript"/>
          <w:lang w:eastAsia="fr-BE"/>
        </w:rPr>
        <w:t>2</w:t>
      </w:r>
      <w:r w:rsidRPr="008F6866">
        <w:rPr>
          <w:lang w:eastAsia="fr-BE"/>
        </w:rPr>
        <w:t xml:space="preserve"> concentration, the average yearly GPP increases significantly as the radiative forcing associated with the climate scenario increases. This is due to the well-documented CO</w:t>
      </w:r>
      <w:r w:rsidRPr="008F6866">
        <w:rPr>
          <w:vertAlign w:val="subscript"/>
          <w:lang w:eastAsia="fr-BE"/>
        </w:rPr>
        <w:t>2</w:t>
      </w:r>
      <w:r w:rsidRPr="008F6866">
        <w:rPr>
          <w:lang w:eastAsia="fr-BE"/>
        </w:rPr>
        <w:t xml:space="preserve"> fertilization effect, corresponding to an increased rate of photosynthesis </w:t>
      </w:r>
      <w:r w:rsidR="00535885" w:rsidRPr="008F6866">
        <w:rPr>
          <w:lang w:eastAsia="fr-BE"/>
        </w:rPr>
        <w:t>with elevated</w:t>
      </w:r>
      <w:r w:rsidRPr="008F6866">
        <w:rPr>
          <w:lang w:eastAsia="fr-BE"/>
        </w:rPr>
        <w:t xml:space="preserve"> levels of atmospheric CO</w:t>
      </w:r>
      <w:r w:rsidRPr="008F6866">
        <w:rPr>
          <w:vertAlign w:val="subscript"/>
          <w:lang w:eastAsia="fr-BE"/>
        </w:rPr>
        <w:t>2</w:t>
      </w:r>
      <w:r w:rsidRPr="008F6866">
        <w:rPr>
          <w:lang w:eastAsia="fr-BE"/>
        </w:rPr>
        <w:t xml:space="preserve">. However, it is </w:t>
      </w:r>
      <w:r w:rsidR="00535885" w:rsidRPr="008F6866">
        <w:rPr>
          <w:lang w:eastAsia="fr-BE"/>
        </w:rPr>
        <w:t>important</w:t>
      </w:r>
      <w:r w:rsidRPr="008F6866">
        <w:rPr>
          <w:lang w:eastAsia="fr-BE"/>
        </w:rPr>
        <w:t xml:space="preserve"> to note that the effect of CO</w:t>
      </w:r>
      <w:r w:rsidRPr="008F6866">
        <w:rPr>
          <w:vertAlign w:val="subscript"/>
          <w:lang w:eastAsia="fr-BE"/>
        </w:rPr>
        <w:t>2</w:t>
      </w:r>
      <w:r w:rsidRPr="008F6866">
        <w:rPr>
          <w:lang w:eastAsia="fr-BE"/>
        </w:rPr>
        <w:t xml:space="preserve"> fertilization m</w:t>
      </w:r>
      <w:r w:rsidR="00535885" w:rsidRPr="008F6866">
        <w:rPr>
          <w:lang w:eastAsia="fr-BE"/>
        </w:rPr>
        <w:t>ight</w:t>
      </w:r>
      <w:r w:rsidRPr="008F6866">
        <w:rPr>
          <w:lang w:eastAsia="fr-BE"/>
        </w:rPr>
        <w:t xml:space="preserve"> be overestimated in these simulations </w:t>
      </w:r>
      <w:r w:rsidR="00535885" w:rsidRPr="008F6866">
        <w:rPr>
          <w:lang w:eastAsia="fr-BE"/>
        </w:rPr>
        <w:t xml:space="preserve">as they </w:t>
      </w:r>
      <w:r w:rsidRPr="008F6866">
        <w:rPr>
          <w:lang w:eastAsia="fr-BE"/>
        </w:rPr>
        <w:t xml:space="preserve">did not </w:t>
      </w:r>
      <w:r w:rsidR="00535885" w:rsidRPr="008F6866">
        <w:rPr>
          <w:lang w:eastAsia="fr-BE"/>
        </w:rPr>
        <w:t>account for</w:t>
      </w:r>
      <w:r w:rsidRPr="008F6866">
        <w:rPr>
          <w:lang w:eastAsia="fr-BE"/>
        </w:rPr>
        <w:t xml:space="preserve"> p</w:t>
      </w:r>
      <w:r w:rsidR="00535885" w:rsidRPr="008F6866">
        <w:rPr>
          <w:lang w:eastAsia="fr-BE"/>
        </w:rPr>
        <w:t>otential</w:t>
      </w:r>
      <w:r w:rsidRPr="008F6866">
        <w:rPr>
          <w:lang w:eastAsia="fr-BE"/>
        </w:rPr>
        <w:t xml:space="preserve"> nutrient limitations that </w:t>
      </w:r>
      <w:r w:rsidR="00535885" w:rsidRPr="008F6866">
        <w:rPr>
          <w:lang w:eastAsia="fr-BE"/>
        </w:rPr>
        <w:t>c</w:t>
      </w:r>
      <w:r w:rsidRPr="008F6866">
        <w:rPr>
          <w:lang w:eastAsia="fr-BE"/>
        </w:rPr>
        <w:t xml:space="preserve">ould have </w:t>
      </w:r>
      <w:r w:rsidR="00535885" w:rsidRPr="008F6866">
        <w:rPr>
          <w:lang w:eastAsia="fr-BE"/>
        </w:rPr>
        <w:t>constrained</w:t>
      </w:r>
      <w:r w:rsidRPr="008F6866">
        <w:rPr>
          <w:lang w:eastAsia="fr-BE"/>
        </w:rPr>
        <w:t xml:space="preserve"> the GPP</w:t>
      </w:r>
      <w:r w:rsidR="00535885" w:rsidRPr="008F6866">
        <w:rPr>
          <w:lang w:eastAsia="fr-BE"/>
        </w:rPr>
        <w:t xml:space="preserve"> increase</w:t>
      </w:r>
      <w:r w:rsidRPr="008F6866">
        <w:rPr>
          <w:lang w:eastAsia="fr-BE"/>
        </w:rPr>
        <w:t>. On the other hand, if the CO</w:t>
      </w:r>
      <w:r w:rsidRPr="008F6866">
        <w:rPr>
          <w:vertAlign w:val="subscript"/>
          <w:lang w:eastAsia="fr-BE"/>
        </w:rPr>
        <w:t>2</w:t>
      </w:r>
      <w:r w:rsidRPr="008F6866">
        <w:rPr>
          <w:lang w:eastAsia="fr-BE"/>
        </w:rPr>
        <w:t xml:space="preserve"> concentration is kept constant, GPP tends to decrease with increasing radiative forcing </w:t>
      </w:r>
      <w:r w:rsidR="00563FBE" w:rsidRPr="008F6866">
        <w:rPr>
          <w:lang w:eastAsia="fr-BE"/>
        </w:rPr>
        <w:t>in</w:t>
      </w:r>
      <w:r w:rsidRPr="008F6866">
        <w:rPr>
          <w:lang w:eastAsia="fr-BE"/>
        </w:rPr>
        <w:t xml:space="preserve"> future climate projection scenarios</w:t>
      </w:r>
      <w:r w:rsidR="00563FBE" w:rsidRPr="008F6866">
        <w:rPr>
          <w:lang w:eastAsia="fr-BE"/>
        </w:rPr>
        <w:t>. Yet,</w:t>
      </w:r>
      <w:r w:rsidRPr="008F6866">
        <w:rPr>
          <w:lang w:eastAsia="fr-BE"/>
        </w:rPr>
        <w:t xml:space="preserve"> significant differences only appear between the more extreme scenarios (i.e., SSP126 and SSP585)</w:t>
      </w:r>
      <w:r w:rsidR="00563FBE" w:rsidRPr="008F6866">
        <w:rPr>
          <w:lang w:eastAsia="fr-BE"/>
        </w:rPr>
        <w:t xml:space="preserve"> for </w:t>
      </w:r>
    </w:p>
    <w:p w14:paraId="0633B2F2" w14:textId="77777777" w:rsidR="00597DC0" w:rsidRPr="00FA499E" w:rsidRDefault="00597DC0" w:rsidP="00597DC0">
      <w:pPr>
        <w:spacing w:after="120" w:line="300" w:lineRule="auto"/>
        <w:jc w:val="both"/>
        <w:rPr>
          <w:sz w:val="10"/>
          <w:szCs w:val="1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0"/>
        <w:gridCol w:w="4530"/>
      </w:tblGrid>
      <w:tr w:rsidR="00597DC0" w:rsidRPr="008F6866" w14:paraId="0A30C003" w14:textId="77777777" w:rsidTr="00E15EBA">
        <w:tc>
          <w:tcPr>
            <w:tcW w:w="4530" w:type="dxa"/>
            <w:tcMar>
              <w:left w:w="0" w:type="dxa"/>
              <w:right w:w="0" w:type="dxa"/>
            </w:tcMar>
            <w:vAlign w:val="center"/>
          </w:tcPr>
          <w:p w14:paraId="08649136" w14:textId="77777777" w:rsidR="00597DC0" w:rsidRPr="008F6866" w:rsidRDefault="00597DC0" w:rsidP="00E15EBA">
            <w:pPr>
              <w:jc w:val="center"/>
              <w:rPr>
                <w:rFonts w:asciiTheme="minorHAnsi" w:hAnsiTheme="minorHAnsi" w:cstheme="minorHAnsi"/>
                <w:b/>
              </w:rPr>
            </w:pPr>
            <w:r w:rsidRPr="008F6866">
              <w:rPr>
                <w:rFonts w:asciiTheme="minorHAnsi" w:hAnsiTheme="minorHAnsi" w:cstheme="minorHAnsi"/>
                <w:b/>
              </w:rPr>
              <w:t>Carbon cycle indicators</w:t>
            </w:r>
          </w:p>
        </w:tc>
        <w:tc>
          <w:tcPr>
            <w:tcW w:w="4530" w:type="dxa"/>
            <w:tcMar>
              <w:left w:w="0" w:type="dxa"/>
              <w:right w:w="0" w:type="dxa"/>
            </w:tcMar>
            <w:vAlign w:val="center"/>
          </w:tcPr>
          <w:p w14:paraId="152366F0" w14:textId="77777777" w:rsidR="00597DC0" w:rsidRPr="008F6866" w:rsidRDefault="00597DC0" w:rsidP="00E15EBA">
            <w:pPr>
              <w:jc w:val="center"/>
              <w:rPr>
                <w:rFonts w:asciiTheme="minorHAnsi" w:hAnsiTheme="minorHAnsi" w:cstheme="minorHAnsi"/>
                <w:b/>
              </w:rPr>
            </w:pPr>
            <w:r w:rsidRPr="008F6866">
              <w:rPr>
                <w:rFonts w:asciiTheme="minorHAnsi" w:hAnsiTheme="minorHAnsi" w:cstheme="minorHAnsi"/>
                <w:b/>
              </w:rPr>
              <w:t>Water balance indicators</w:t>
            </w:r>
          </w:p>
        </w:tc>
      </w:tr>
      <w:tr w:rsidR="00597DC0" w:rsidRPr="008F6866" w14:paraId="08BA5ACC" w14:textId="77777777" w:rsidTr="00E15EBA">
        <w:tc>
          <w:tcPr>
            <w:tcW w:w="4530" w:type="dxa"/>
            <w:tcMar>
              <w:left w:w="0" w:type="dxa"/>
              <w:right w:w="0" w:type="dxa"/>
            </w:tcMar>
            <w:vAlign w:val="center"/>
          </w:tcPr>
          <w:p w14:paraId="0B42D6C2" w14:textId="77777777" w:rsidR="00597DC0" w:rsidRPr="008F6866" w:rsidRDefault="00597DC0" w:rsidP="00E15EBA">
            <w:pPr>
              <w:jc w:val="center"/>
              <w:rPr>
                <w:rFonts w:asciiTheme="minorHAnsi" w:hAnsiTheme="minorHAnsi" w:cstheme="minorHAnsi"/>
              </w:rPr>
            </w:pPr>
            <w:r w:rsidRPr="008F6866">
              <w:rPr>
                <w:noProof/>
              </w:rPr>
              <w:drawing>
                <wp:inline distT="0" distB="0" distL="0" distR="0" wp14:anchorId="14F2D30F" wp14:editId="7A602A30">
                  <wp:extent cx="2613600" cy="2520000"/>
                  <wp:effectExtent l="0" t="0" r="0" b="0"/>
                  <wp:docPr id="2061680997" name="Image 2061680997" descr="C:\Users\andref\AppData\Local\Microsoft\Windows\INetCache\Content.MSO\84DA0C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f\AppData\Local\Microsoft\Windows\INetCache\Content.MSO\84DA0CF3.tmp"/>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3395" r="50807" b="20164"/>
                          <a:stretch/>
                        </pic:blipFill>
                        <pic:spPr bwMode="auto">
                          <a:xfrm>
                            <a:off x="0" y="0"/>
                            <a:ext cx="2613600" cy="25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Mar>
              <w:left w:w="0" w:type="dxa"/>
              <w:right w:w="0" w:type="dxa"/>
            </w:tcMar>
            <w:vAlign w:val="center"/>
          </w:tcPr>
          <w:p w14:paraId="1E3595A3" w14:textId="77777777" w:rsidR="00597DC0" w:rsidRPr="008F6866" w:rsidRDefault="00597DC0" w:rsidP="00E15EBA">
            <w:pPr>
              <w:jc w:val="center"/>
              <w:rPr>
                <w:rFonts w:asciiTheme="minorHAnsi" w:hAnsiTheme="minorHAnsi" w:cstheme="minorHAnsi"/>
              </w:rPr>
            </w:pPr>
            <w:r w:rsidRPr="008F6866">
              <w:rPr>
                <w:rFonts w:cstheme="minorHAnsi"/>
                <w:noProof/>
              </w:rPr>
              <w:drawing>
                <wp:inline distT="0" distB="0" distL="0" distR="0" wp14:anchorId="4D3B07CB" wp14:editId="6FDC8827">
                  <wp:extent cx="2620800" cy="2494800"/>
                  <wp:effectExtent l="0" t="0" r="8255" b="1270"/>
                  <wp:docPr id="31" name="Image 31" descr="D:\andref\Documents\EFOR\RegePlus\SimulationExperiment\ClimateChangeEffets\REGEplus_SimuAnalysis112024\REGEplus_ACP_012025_NoDuplicate_files\figure-html\PCA water balance all CO2 - plot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ef\Documents\EFOR\RegePlus\SimulationExperiment\ClimateChangeEffets\REGEplus_SimuAnalysis112024\REGEplus_ACP_012025_NoDuplicate_files\figure-html\PCA water balance all CO2 - plots2-1.pn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13500" r="50595" b="20666"/>
                          <a:stretch/>
                        </pic:blipFill>
                        <pic:spPr bwMode="auto">
                          <a:xfrm>
                            <a:off x="0" y="0"/>
                            <a:ext cx="2620800" cy="2494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7DC0" w:rsidRPr="008F6866" w14:paraId="46E2BFFC" w14:textId="77777777" w:rsidTr="00E15EBA">
        <w:tc>
          <w:tcPr>
            <w:tcW w:w="4530" w:type="dxa"/>
            <w:tcMar>
              <w:left w:w="0" w:type="dxa"/>
              <w:right w:w="0" w:type="dxa"/>
            </w:tcMar>
            <w:vAlign w:val="center"/>
          </w:tcPr>
          <w:p w14:paraId="7039E9A5" w14:textId="77777777" w:rsidR="00597DC0" w:rsidRPr="008F6866" w:rsidRDefault="00597DC0" w:rsidP="00E15EBA">
            <w:pPr>
              <w:jc w:val="center"/>
              <w:rPr>
                <w:rFonts w:asciiTheme="minorHAnsi" w:hAnsiTheme="minorHAnsi" w:cstheme="minorHAnsi"/>
                <w:b/>
              </w:rPr>
            </w:pPr>
            <w:r w:rsidRPr="008F6866">
              <w:rPr>
                <w:rFonts w:asciiTheme="minorHAnsi" w:hAnsiTheme="minorHAnsi" w:cstheme="minorHAnsi"/>
                <w:b/>
              </w:rPr>
              <w:t>Productivity indicators</w:t>
            </w:r>
          </w:p>
        </w:tc>
        <w:tc>
          <w:tcPr>
            <w:tcW w:w="4530" w:type="dxa"/>
            <w:tcMar>
              <w:left w:w="0" w:type="dxa"/>
              <w:right w:w="0" w:type="dxa"/>
            </w:tcMar>
            <w:vAlign w:val="center"/>
          </w:tcPr>
          <w:p w14:paraId="78C55F37" w14:textId="77777777" w:rsidR="00597DC0" w:rsidRPr="008F6866" w:rsidRDefault="00597DC0" w:rsidP="00E15EBA">
            <w:pPr>
              <w:jc w:val="center"/>
              <w:rPr>
                <w:rFonts w:asciiTheme="minorHAnsi" w:hAnsiTheme="minorHAnsi" w:cstheme="minorHAnsi"/>
                <w:b/>
              </w:rPr>
            </w:pPr>
            <w:r w:rsidRPr="008F6866">
              <w:rPr>
                <w:rFonts w:asciiTheme="minorHAnsi" w:hAnsiTheme="minorHAnsi" w:cstheme="minorHAnsi"/>
                <w:b/>
              </w:rPr>
              <w:t>Profitability indicators</w:t>
            </w:r>
          </w:p>
        </w:tc>
      </w:tr>
      <w:tr w:rsidR="00597DC0" w:rsidRPr="008F6866" w14:paraId="06C6202B" w14:textId="77777777" w:rsidTr="00E15EBA">
        <w:tc>
          <w:tcPr>
            <w:tcW w:w="4530" w:type="dxa"/>
            <w:tcMar>
              <w:left w:w="0" w:type="dxa"/>
              <w:right w:w="0" w:type="dxa"/>
            </w:tcMar>
            <w:vAlign w:val="center"/>
          </w:tcPr>
          <w:p w14:paraId="03EBFBE5" w14:textId="77777777" w:rsidR="00597DC0" w:rsidRPr="008F6866" w:rsidRDefault="00597DC0" w:rsidP="00E15EBA">
            <w:pPr>
              <w:jc w:val="center"/>
              <w:rPr>
                <w:rFonts w:asciiTheme="minorHAnsi" w:hAnsiTheme="minorHAnsi" w:cstheme="minorHAnsi"/>
              </w:rPr>
            </w:pPr>
            <w:r w:rsidRPr="008F6866">
              <w:rPr>
                <w:noProof/>
              </w:rPr>
              <w:drawing>
                <wp:inline distT="0" distB="0" distL="0" distR="0" wp14:anchorId="599699E4" wp14:editId="3CCBC1F4">
                  <wp:extent cx="2617200" cy="2541600"/>
                  <wp:effectExtent l="0" t="0" r="0" b="0"/>
                  <wp:docPr id="2061681015" name="Image 2061681015" descr="C:\Users\andref\AppData\Local\Microsoft\Windows\INetCache\Content.MSO\A4815A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f\AppData\Local\Microsoft\Windows\INetCache\Content.MSO\A4815AA7.tmp"/>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12817" r="50823" b="20239"/>
                          <a:stretch/>
                        </pic:blipFill>
                        <pic:spPr bwMode="auto">
                          <a:xfrm>
                            <a:off x="0" y="0"/>
                            <a:ext cx="2617200" cy="254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Mar>
              <w:left w:w="0" w:type="dxa"/>
              <w:right w:w="0" w:type="dxa"/>
            </w:tcMar>
            <w:vAlign w:val="center"/>
          </w:tcPr>
          <w:p w14:paraId="0F2B2F66" w14:textId="77777777" w:rsidR="00597DC0" w:rsidRPr="008F6866" w:rsidRDefault="00597DC0" w:rsidP="00E15EBA">
            <w:pPr>
              <w:jc w:val="center"/>
              <w:rPr>
                <w:rFonts w:asciiTheme="minorHAnsi" w:hAnsiTheme="minorHAnsi" w:cstheme="minorHAnsi"/>
              </w:rPr>
            </w:pPr>
            <w:r w:rsidRPr="008F6866">
              <w:rPr>
                <w:rFonts w:cstheme="minorHAnsi"/>
                <w:noProof/>
                <w:sz w:val="24"/>
                <w:szCs w:val="24"/>
                <w:lang w:eastAsia="fr-BE"/>
              </w:rPr>
              <w:drawing>
                <wp:inline distT="0" distB="0" distL="0" distR="0" wp14:anchorId="26086423" wp14:editId="37E73AE9">
                  <wp:extent cx="2656800" cy="2548800"/>
                  <wp:effectExtent l="0" t="0" r="0" b="4445"/>
                  <wp:docPr id="24" name="Image 24" descr="D:\andref\Documents\EFOR\RegePlus\SimulationExperiment\ClimateChangeEffets\REGEplus_SimuAnalysis112024\REGEplus_ACP_012025_NoDuplicate_files\figure-html\PCA profitability all CO2 - plot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ef\Documents\EFOR\RegePlus\SimulationExperiment\ClimateChangeEffets\REGEplus_SimuAnalysis112024\REGEplus_ACP_012025_NoDuplicate_files\figure-html\PCA profitability all CO2 - plots2-1.pn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12500" r="50000" b="20334"/>
                          <a:stretch/>
                        </pic:blipFill>
                        <pic:spPr bwMode="auto">
                          <a:xfrm>
                            <a:off x="0" y="0"/>
                            <a:ext cx="2656800" cy="254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7DC0" w:rsidRPr="008F6866" w14:paraId="3D735659" w14:textId="77777777" w:rsidTr="00E15EBA">
        <w:tc>
          <w:tcPr>
            <w:tcW w:w="4530" w:type="dxa"/>
            <w:tcMar>
              <w:left w:w="0" w:type="dxa"/>
              <w:right w:w="0" w:type="dxa"/>
            </w:tcMar>
            <w:vAlign w:val="center"/>
          </w:tcPr>
          <w:p w14:paraId="79CCC95D" w14:textId="77777777" w:rsidR="00597DC0" w:rsidRPr="008F6866" w:rsidRDefault="00597DC0" w:rsidP="00E15EBA">
            <w:pPr>
              <w:jc w:val="center"/>
              <w:rPr>
                <w:rFonts w:asciiTheme="minorHAnsi" w:hAnsiTheme="minorHAnsi" w:cstheme="minorHAnsi"/>
                <w:b/>
              </w:rPr>
            </w:pPr>
            <w:r w:rsidRPr="008F6866">
              <w:rPr>
                <w:rFonts w:asciiTheme="minorHAnsi" w:hAnsiTheme="minorHAnsi" w:cstheme="minorHAnsi"/>
                <w:b/>
              </w:rPr>
              <w:t>Diversity indicators</w:t>
            </w:r>
          </w:p>
        </w:tc>
        <w:tc>
          <w:tcPr>
            <w:tcW w:w="4530" w:type="dxa"/>
            <w:tcMar>
              <w:left w:w="0" w:type="dxa"/>
              <w:right w:w="0" w:type="dxa"/>
            </w:tcMar>
            <w:vAlign w:val="center"/>
          </w:tcPr>
          <w:p w14:paraId="4055FA62" w14:textId="77777777" w:rsidR="00597DC0" w:rsidRPr="008F6866" w:rsidRDefault="00597DC0" w:rsidP="00E15EBA">
            <w:pPr>
              <w:jc w:val="center"/>
              <w:rPr>
                <w:rFonts w:asciiTheme="minorHAnsi" w:hAnsiTheme="minorHAnsi" w:cstheme="minorHAnsi"/>
              </w:rPr>
            </w:pPr>
            <w:r w:rsidRPr="008F6866">
              <w:rPr>
                <w:rFonts w:asciiTheme="minorHAnsi" w:hAnsiTheme="minorHAnsi" w:cstheme="minorHAnsi"/>
                <w:b/>
              </w:rPr>
              <w:t>Resilience indicators</w:t>
            </w:r>
          </w:p>
        </w:tc>
      </w:tr>
      <w:tr w:rsidR="00597DC0" w:rsidRPr="008F6866" w14:paraId="72BBFF04" w14:textId="77777777" w:rsidTr="00E15EBA">
        <w:tc>
          <w:tcPr>
            <w:tcW w:w="4530" w:type="dxa"/>
            <w:tcMar>
              <w:left w:w="0" w:type="dxa"/>
              <w:right w:w="0" w:type="dxa"/>
            </w:tcMar>
            <w:vAlign w:val="center"/>
          </w:tcPr>
          <w:p w14:paraId="0CC45885" w14:textId="77777777" w:rsidR="00597DC0" w:rsidRPr="008F6866" w:rsidRDefault="00597DC0" w:rsidP="00E15EBA">
            <w:pPr>
              <w:jc w:val="center"/>
              <w:rPr>
                <w:rFonts w:asciiTheme="minorHAnsi" w:hAnsiTheme="minorHAnsi" w:cstheme="minorHAnsi"/>
              </w:rPr>
            </w:pPr>
            <w:r w:rsidRPr="008F6866">
              <w:rPr>
                <w:rFonts w:cstheme="minorHAnsi"/>
                <w:noProof/>
              </w:rPr>
              <w:drawing>
                <wp:inline distT="0" distB="0" distL="0" distR="0" wp14:anchorId="4614D5C8" wp14:editId="1F952633">
                  <wp:extent cx="2628000" cy="2516400"/>
                  <wp:effectExtent l="0" t="0" r="1270" b="0"/>
                  <wp:docPr id="30" name="Image 30" descr="D:\andref\Documents\EFOR\RegePlus\SimulationExperiment\ClimateChangeEffets\REGEplus_SimuAnalysis112024\REGEplus_ACP_012025_NoDuplicate_files\figure-html\PCA diversity all CO2 - plot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ref\Documents\EFOR\RegePlus\SimulationExperiment\ClimateChangeEffets\REGEplus_SimuAnalysis112024\REGEplus_ACP_012025_NoDuplicate_files\figure-html\PCA diversity all CO2 - plots2-1.pn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13000" r="50357" b="20500"/>
                          <a:stretch/>
                        </pic:blipFill>
                        <pic:spPr bwMode="auto">
                          <a:xfrm>
                            <a:off x="0" y="0"/>
                            <a:ext cx="2628000" cy="2516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Mar>
              <w:left w:w="0" w:type="dxa"/>
              <w:right w:w="0" w:type="dxa"/>
            </w:tcMar>
            <w:vAlign w:val="center"/>
          </w:tcPr>
          <w:p w14:paraId="6384A508" w14:textId="77777777" w:rsidR="00597DC0" w:rsidRPr="008F6866" w:rsidRDefault="00597DC0" w:rsidP="00E15EBA">
            <w:pPr>
              <w:jc w:val="center"/>
              <w:rPr>
                <w:rFonts w:asciiTheme="minorHAnsi" w:hAnsiTheme="minorHAnsi" w:cstheme="minorHAnsi"/>
              </w:rPr>
            </w:pPr>
            <w:r w:rsidRPr="008F6866">
              <w:rPr>
                <w:noProof/>
              </w:rPr>
              <w:drawing>
                <wp:inline distT="0" distB="0" distL="0" distR="0" wp14:anchorId="29D6557F" wp14:editId="68E7CC4A">
                  <wp:extent cx="2617200" cy="2512800"/>
                  <wp:effectExtent l="0" t="0" r="0" b="1905"/>
                  <wp:docPr id="29" name="Image 29" descr="C:\Users\andref\AppData\Local\Microsoft\Windows\INetCache\Content.MSO\85F489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f\AppData\Local\Microsoft\Windows\INetCache\Content.MSO\85F489BC.tmp"/>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13046" r="50683" b="20694"/>
                          <a:stretch/>
                        </pic:blipFill>
                        <pic:spPr bwMode="auto">
                          <a:xfrm>
                            <a:off x="0" y="0"/>
                            <a:ext cx="2617200" cy="2512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3337DC" w14:textId="77777777" w:rsidR="00597DC0" w:rsidRPr="008F6866" w:rsidRDefault="00597DC0" w:rsidP="00597DC0">
      <w:pPr>
        <w:pStyle w:val="Lgende"/>
        <w:jc w:val="center"/>
        <w:rPr>
          <w:rFonts w:asciiTheme="minorHAnsi" w:hAnsiTheme="minorHAnsi" w:cstheme="minorBidi"/>
          <w:b/>
          <w:i w:val="0"/>
          <w:color w:val="000000" w:themeColor="text1"/>
          <w:sz w:val="20"/>
          <w:szCs w:val="20"/>
          <w:highlight w:val="yellow"/>
        </w:rPr>
      </w:pPr>
      <w:bookmarkStart w:id="100" w:name="_Ref195691600"/>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Pr>
          <w:b/>
          <w:i w:val="0"/>
          <w:noProof/>
          <w:color w:val="000000" w:themeColor="text1"/>
          <w:sz w:val="20"/>
          <w:szCs w:val="20"/>
        </w:rPr>
        <w:t>35</w:t>
      </w:r>
      <w:r w:rsidRPr="008F6866">
        <w:rPr>
          <w:b/>
          <w:i w:val="0"/>
          <w:color w:val="000000" w:themeColor="text1"/>
          <w:sz w:val="20"/>
          <w:szCs w:val="20"/>
        </w:rPr>
        <w:fldChar w:fldCharType="end"/>
      </w:r>
      <w:bookmarkEnd w:id="100"/>
      <w:r w:rsidRPr="008F6866">
        <w:rPr>
          <w:b/>
          <w:i w:val="0"/>
          <w:color w:val="000000" w:themeColor="text1"/>
          <w:sz w:val="20"/>
          <w:szCs w:val="20"/>
        </w:rPr>
        <w:t>. Biplots of the principal component analyses performed on indicators from the simulation experiment investigating the impacts of climate change</w:t>
      </w:r>
    </w:p>
    <w:p w14:paraId="13A56F03" w14:textId="1CD0B8FF" w:rsidR="000022DE" w:rsidRPr="008F6866" w:rsidRDefault="00563FBE" w:rsidP="00532250">
      <w:pPr>
        <w:spacing w:after="120" w:line="300" w:lineRule="auto"/>
        <w:jc w:val="both"/>
        <w:rPr>
          <w:lang w:eastAsia="fr-BE"/>
        </w:rPr>
      </w:pPr>
      <w:r w:rsidRPr="008F6866">
        <w:rPr>
          <w:lang w:eastAsia="fr-BE"/>
        </w:rPr>
        <w:lastRenderedPageBreak/>
        <w:t>a given silvicultural route</w:t>
      </w:r>
      <w:r w:rsidR="000022DE" w:rsidRPr="008F6866">
        <w:rPr>
          <w:lang w:eastAsia="fr-BE"/>
        </w:rPr>
        <w:t xml:space="preserve">. </w:t>
      </w:r>
      <w:r w:rsidRPr="008F6866">
        <w:rPr>
          <w:lang w:eastAsia="fr-BE"/>
        </w:rPr>
        <w:t>These</w:t>
      </w:r>
      <w:r w:rsidR="000022DE" w:rsidRPr="008F6866">
        <w:rPr>
          <w:lang w:eastAsia="fr-BE"/>
        </w:rPr>
        <w:t xml:space="preserve"> results in the absence of CO</w:t>
      </w:r>
      <w:r w:rsidR="000022DE" w:rsidRPr="008F6866">
        <w:rPr>
          <w:vertAlign w:val="subscript"/>
          <w:lang w:eastAsia="fr-BE"/>
        </w:rPr>
        <w:t>2</w:t>
      </w:r>
      <w:r w:rsidR="000022DE" w:rsidRPr="008F6866">
        <w:rPr>
          <w:lang w:eastAsia="fr-BE"/>
        </w:rPr>
        <w:t xml:space="preserve"> variation would arise from an earlier stomatal closure </w:t>
      </w:r>
      <w:r w:rsidR="00495D41" w:rsidRPr="008F6866">
        <w:rPr>
          <w:lang w:eastAsia="fr-BE"/>
        </w:rPr>
        <w:t>triggered by</w:t>
      </w:r>
      <w:r w:rsidR="000022DE" w:rsidRPr="008F6866">
        <w:rPr>
          <w:lang w:eastAsia="fr-BE"/>
        </w:rPr>
        <w:t xml:space="preserve"> an increase in water stress due to the rise in mean temperature accompanying the increase in radiative forcing, thereby reducing assimilation and GPP. Compared to the historical scenario, GPP under constant CO</w:t>
      </w:r>
      <w:r w:rsidR="000022DE" w:rsidRPr="008F6866">
        <w:rPr>
          <w:vertAlign w:val="subscript"/>
          <w:lang w:eastAsia="fr-BE"/>
        </w:rPr>
        <w:t>2</w:t>
      </w:r>
      <w:r w:rsidR="000022DE" w:rsidRPr="008F6866">
        <w:rPr>
          <w:lang w:eastAsia="fr-BE"/>
        </w:rPr>
        <w:t xml:space="preserve"> is significantly higher for SSP126 and SSP245 for all silvicultural routes, and for SSP370 for the Diversity route. Regardless </w:t>
      </w:r>
      <w:r w:rsidR="00495D41" w:rsidRPr="008F6866">
        <w:rPr>
          <w:lang w:eastAsia="fr-BE"/>
        </w:rPr>
        <w:t xml:space="preserve">of </w:t>
      </w:r>
      <w:r w:rsidR="000022DE" w:rsidRPr="008F6866">
        <w:rPr>
          <w:lang w:eastAsia="fr-BE"/>
        </w:rPr>
        <w:t>the climate scenario and the CO</w:t>
      </w:r>
      <w:r w:rsidR="000022DE" w:rsidRPr="008F6866">
        <w:rPr>
          <w:vertAlign w:val="subscript"/>
          <w:lang w:eastAsia="fr-BE"/>
        </w:rPr>
        <w:t>2</w:t>
      </w:r>
      <w:r w:rsidR="000022DE" w:rsidRPr="008F6866">
        <w:rPr>
          <w:lang w:eastAsia="fr-BE"/>
        </w:rPr>
        <w:t xml:space="preserve"> modality, the ranking of the silvicultural routes in terms of average GPP is as follows: BAU</w:t>
      </w:r>
      <w:r w:rsidR="00BD0584">
        <w:rPr>
          <w:lang w:eastAsia="fr-BE"/>
        </w:rPr>
        <w:t> </w:t>
      </w:r>
      <w:r w:rsidR="000022DE" w:rsidRPr="008F6866">
        <w:rPr>
          <w:lang w:eastAsia="fr-BE"/>
        </w:rPr>
        <w:t>&gt;</w:t>
      </w:r>
      <w:r w:rsidR="00E25193">
        <w:rPr>
          <w:lang w:eastAsia="fr-BE"/>
        </w:rPr>
        <w:t> </w:t>
      </w:r>
      <w:r w:rsidR="000022DE" w:rsidRPr="008F6866">
        <w:rPr>
          <w:lang w:eastAsia="fr-BE"/>
        </w:rPr>
        <w:t>OAK</w:t>
      </w:r>
      <w:r w:rsidR="00FA499E">
        <w:rPr>
          <w:lang w:eastAsia="fr-BE"/>
        </w:rPr>
        <w:t> </w:t>
      </w:r>
      <w:r w:rsidR="000022DE" w:rsidRPr="008F6866">
        <w:rPr>
          <w:lang w:eastAsia="fr-BE"/>
        </w:rPr>
        <w:t>&gt;</w:t>
      </w:r>
      <w:r w:rsidR="00E25193">
        <w:rPr>
          <w:lang w:eastAsia="fr-BE"/>
        </w:rPr>
        <w:t> </w:t>
      </w:r>
      <w:r w:rsidR="000022DE" w:rsidRPr="008F6866">
        <w:rPr>
          <w:lang w:eastAsia="fr-BE"/>
        </w:rPr>
        <w:t>DIV. However, differences between BAU and OAK are only significant for SSP370 and SSP585 under constant CO</w:t>
      </w:r>
      <w:r w:rsidR="000022DE" w:rsidRPr="008F6866">
        <w:rPr>
          <w:vertAlign w:val="subscript"/>
          <w:lang w:eastAsia="fr-BE"/>
        </w:rPr>
        <w:t>2</w:t>
      </w:r>
      <w:r w:rsidR="000022DE" w:rsidRPr="008F6866">
        <w:rPr>
          <w:lang w:eastAsia="fr-BE"/>
        </w:rPr>
        <w:t>, while differences between OAK and DIV are significant in all cases except for SSP585 under variable CO</w:t>
      </w:r>
      <w:r w:rsidR="000022DE" w:rsidRPr="008F6866">
        <w:rPr>
          <w:vertAlign w:val="subscript"/>
          <w:lang w:eastAsia="fr-BE"/>
        </w:rPr>
        <w:t>2</w:t>
      </w:r>
      <w:r w:rsidR="000022DE" w:rsidRPr="008F6866">
        <w:rPr>
          <w:lang w:eastAsia="fr-BE"/>
        </w:rPr>
        <w:t>.</w:t>
      </w:r>
    </w:p>
    <w:p w14:paraId="4CA08268" w14:textId="1FC34DA2" w:rsidR="000022DE" w:rsidRPr="008F6866" w:rsidRDefault="000022DE" w:rsidP="00532250">
      <w:pPr>
        <w:spacing w:after="120" w:line="300" w:lineRule="auto"/>
        <w:jc w:val="both"/>
        <w:rPr>
          <w:lang w:eastAsia="fr-BE"/>
        </w:rPr>
      </w:pPr>
      <w:r w:rsidRPr="008F6866">
        <w:rPr>
          <w:lang w:eastAsia="fr-BE"/>
        </w:rPr>
        <w:t>For variable CO</w:t>
      </w:r>
      <w:r w:rsidRPr="008F6866">
        <w:rPr>
          <w:vertAlign w:val="subscript"/>
          <w:lang w:eastAsia="fr-BE"/>
        </w:rPr>
        <w:t>2</w:t>
      </w:r>
      <w:r w:rsidRPr="008F6866">
        <w:rPr>
          <w:lang w:eastAsia="fr-BE"/>
        </w:rPr>
        <w:t xml:space="preserve"> concentration, average yearly transpiration decreases with increasing forcing of the SSP climate scenarios, while differences are not significant between SSP370 and SSP585. This trend, which is the opposite of GPP, </w:t>
      </w:r>
      <w:r w:rsidR="0090177A" w:rsidRPr="008F6866">
        <w:rPr>
          <w:lang w:eastAsia="fr-BE"/>
        </w:rPr>
        <w:t>indicates</w:t>
      </w:r>
      <w:r w:rsidRPr="008F6866">
        <w:rPr>
          <w:lang w:eastAsia="fr-BE"/>
        </w:rPr>
        <w:t xml:space="preserve"> lower water consumption per unit of carbon assimilated, reflecting greater water use efficiency as CO</w:t>
      </w:r>
      <w:r w:rsidRPr="008F6866">
        <w:rPr>
          <w:vertAlign w:val="subscript"/>
          <w:lang w:eastAsia="fr-BE"/>
        </w:rPr>
        <w:t>2</w:t>
      </w:r>
      <w:r w:rsidRPr="008F6866">
        <w:rPr>
          <w:lang w:eastAsia="fr-BE"/>
        </w:rPr>
        <w:t xml:space="preserve"> atmospheric concentration increases. Under constant CO</w:t>
      </w:r>
      <w:r w:rsidRPr="008F6866">
        <w:rPr>
          <w:vertAlign w:val="subscript"/>
          <w:lang w:eastAsia="fr-BE"/>
        </w:rPr>
        <w:t>2</w:t>
      </w:r>
      <w:r w:rsidRPr="008F6866">
        <w:rPr>
          <w:lang w:eastAsia="fr-BE"/>
        </w:rPr>
        <w:t>, transpiration shows similar levels for all SSP scenarios, with no significant difference, and is also comparable to that of SSP126 under variable CO</w:t>
      </w:r>
      <w:r w:rsidRPr="008F6866">
        <w:rPr>
          <w:vertAlign w:val="subscript"/>
          <w:lang w:eastAsia="fr-BE"/>
        </w:rPr>
        <w:t>2</w:t>
      </w:r>
      <w:r w:rsidRPr="008F6866">
        <w:rPr>
          <w:lang w:eastAsia="fr-BE"/>
        </w:rPr>
        <w:t>, while values are significantly higher than those for historical climate. The ranking of silvicultural routes according to transpiration is the same as for GPP (i.e., BAU &gt; OAK &gt; DIV), with significant differences only observed between BAU and DIV for the historical and SSP126 scenarios for both CO</w:t>
      </w:r>
      <w:r w:rsidRPr="008F6866">
        <w:rPr>
          <w:vertAlign w:val="subscript"/>
          <w:lang w:eastAsia="fr-BE"/>
        </w:rPr>
        <w:t>2</w:t>
      </w:r>
      <w:r w:rsidRPr="008F6866">
        <w:rPr>
          <w:lang w:eastAsia="fr-BE"/>
        </w:rPr>
        <w:t xml:space="preserve"> modalities</w:t>
      </w:r>
      <w:r w:rsidR="00843551" w:rsidRPr="008F6866">
        <w:rPr>
          <w:lang w:eastAsia="fr-BE"/>
        </w:rPr>
        <w:t>,</w:t>
      </w:r>
      <w:r w:rsidRPr="008F6866">
        <w:rPr>
          <w:lang w:eastAsia="fr-BE"/>
        </w:rPr>
        <w:t xml:space="preserve"> and between BAU and OAK for SSP245, SSP370 and SSP585 under variable CO</w:t>
      </w:r>
      <w:r w:rsidRPr="008F6866">
        <w:rPr>
          <w:vertAlign w:val="subscript"/>
          <w:lang w:eastAsia="fr-BE"/>
        </w:rPr>
        <w:t>2</w:t>
      </w:r>
      <w:r w:rsidRPr="008F6866">
        <w:rPr>
          <w:lang w:eastAsia="fr-BE"/>
        </w:rPr>
        <w:t>.</w:t>
      </w:r>
    </w:p>
    <w:p w14:paraId="20FAA757" w14:textId="213D3C41" w:rsidR="0023220A" w:rsidRPr="008F6866" w:rsidRDefault="0023220A" w:rsidP="00532250">
      <w:pPr>
        <w:spacing w:after="120" w:line="300" w:lineRule="auto"/>
        <w:jc w:val="both"/>
        <w:rPr>
          <w:lang w:eastAsia="fr-BE"/>
        </w:rPr>
      </w:pPr>
      <w:r w:rsidRPr="008F6866">
        <w:rPr>
          <w:lang w:eastAsia="fr-BE"/>
        </w:rPr>
        <w:t>As observed for GPP, the average volume production increases significantly with the severity of the climate scenario under variable CO</w:t>
      </w:r>
      <w:r w:rsidRPr="008F6866">
        <w:rPr>
          <w:vertAlign w:val="subscript"/>
          <w:lang w:eastAsia="fr-BE"/>
        </w:rPr>
        <w:t>2</w:t>
      </w:r>
      <w:r w:rsidRPr="008F6866">
        <w:rPr>
          <w:lang w:eastAsia="fr-BE"/>
        </w:rPr>
        <w:t xml:space="preserve"> concentration, while it is only slightly </w:t>
      </w:r>
      <w:r w:rsidR="000621E0" w:rsidRPr="008F6866">
        <w:rPr>
          <w:lang w:eastAsia="fr-BE"/>
        </w:rPr>
        <w:t>affected</w:t>
      </w:r>
      <w:r w:rsidRPr="008F6866">
        <w:rPr>
          <w:lang w:eastAsia="fr-BE"/>
        </w:rPr>
        <w:t xml:space="preserve"> by the </w:t>
      </w:r>
      <w:r w:rsidR="000621E0" w:rsidRPr="008F6866">
        <w:rPr>
          <w:lang w:eastAsia="fr-BE"/>
        </w:rPr>
        <w:t>climate scenario under constant CO</w:t>
      </w:r>
      <w:r w:rsidR="000621E0" w:rsidRPr="008F6866">
        <w:rPr>
          <w:vertAlign w:val="subscript"/>
          <w:lang w:eastAsia="fr-BE"/>
        </w:rPr>
        <w:t>2</w:t>
      </w:r>
      <w:r w:rsidR="000621E0" w:rsidRPr="008F6866">
        <w:rPr>
          <w:lang w:eastAsia="fr-BE"/>
        </w:rPr>
        <w:t xml:space="preserve"> concentration. Again, this difference between </w:t>
      </w:r>
      <w:r w:rsidR="005B0E9C" w:rsidRPr="008F6866">
        <w:rPr>
          <w:lang w:eastAsia="fr-BE"/>
        </w:rPr>
        <w:t>the two</w:t>
      </w:r>
      <w:r w:rsidR="001C19AE" w:rsidRPr="008F6866">
        <w:rPr>
          <w:lang w:eastAsia="fr-BE"/>
        </w:rPr>
        <w:t xml:space="preserve"> </w:t>
      </w:r>
      <w:r w:rsidR="000621E0" w:rsidRPr="008F6866">
        <w:rPr>
          <w:lang w:eastAsia="fr-BE"/>
        </w:rPr>
        <w:t>CO</w:t>
      </w:r>
      <w:r w:rsidR="000621E0" w:rsidRPr="008F6866">
        <w:rPr>
          <w:vertAlign w:val="subscript"/>
          <w:lang w:eastAsia="fr-BE"/>
        </w:rPr>
        <w:t>2</w:t>
      </w:r>
      <w:r w:rsidR="000621E0" w:rsidRPr="008F6866">
        <w:rPr>
          <w:lang w:eastAsia="fr-BE"/>
        </w:rPr>
        <w:t xml:space="preserve"> modalities is due to the CO</w:t>
      </w:r>
      <w:r w:rsidR="000621E0" w:rsidRPr="008F6866">
        <w:rPr>
          <w:vertAlign w:val="subscript"/>
          <w:lang w:eastAsia="fr-BE"/>
        </w:rPr>
        <w:t>2</w:t>
      </w:r>
      <w:r w:rsidR="000621E0" w:rsidRPr="008F6866">
        <w:rPr>
          <w:lang w:eastAsia="fr-BE"/>
        </w:rPr>
        <w:t xml:space="preserve"> fertilization effect</w:t>
      </w:r>
      <w:r w:rsidR="00F00AAB" w:rsidRPr="008F6866">
        <w:rPr>
          <w:lang w:eastAsia="fr-BE"/>
        </w:rPr>
        <w:t>, and the caveats mentioned above for GPP also apply here as the simulations did not take into account nutrient limitations.</w:t>
      </w:r>
      <w:r w:rsidR="001C19AE" w:rsidRPr="008F6866">
        <w:rPr>
          <w:lang w:eastAsia="fr-BE"/>
        </w:rPr>
        <w:t xml:space="preserve"> In contrast to GPP, </w:t>
      </w:r>
      <w:r w:rsidR="005B0E9C" w:rsidRPr="008F6866">
        <w:rPr>
          <w:lang w:eastAsia="fr-BE"/>
        </w:rPr>
        <w:t xml:space="preserve">volume production </w:t>
      </w:r>
      <w:r w:rsidR="001C19AE" w:rsidRPr="008F6866">
        <w:rPr>
          <w:lang w:eastAsia="fr-BE"/>
        </w:rPr>
        <w:t xml:space="preserve">for both </w:t>
      </w:r>
      <w:r w:rsidR="009B54A6" w:rsidRPr="008F6866">
        <w:rPr>
          <w:lang w:eastAsia="fr-BE"/>
        </w:rPr>
        <w:t>CO</w:t>
      </w:r>
      <w:r w:rsidR="009B54A6" w:rsidRPr="008F6866">
        <w:rPr>
          <w:vertAlign w:val="subscript"/>
          <w:lang w:eastAsia="fr-BE"/>
        </w:rPr>
        <w:t>2</w:t>
      </w:r>
      <w:r w:rsidR="001C19AE" w:rsidRPr="008F6866">
        <w:rPr>
          <w:lang w:eastAsia="fr-BE"/>
        </w:rPr>
        <w:t xml:space="preserve"> modalities is in most cases significantly higher for OAK and DIV than for BAU</w:t>
      </w:r>
      <w:r w:rsidR="005B0E9C" w:rsidRPr="008F6866">
        <w:rPr>
          <w:lang w:eastAsia="fr-BE"/>
        </w:rPr>
        <w:t>,</w:t>
      </w:r>
      <w:r w:rsidR="001C19AE" w:rsidRPr="008F6866">
        <w:rPr>
          <w:lang w:eastAsia="fr-BE"/>
        </w:rPr>
        <w:t xml:space="preserve"> and the difference</w:t>
      </w:r>
      <w:r w:rsidR="00A946DD" w:rsidRPr="008F6866">
        <w:rPr>
          <w:lang w:eastAsia="fr-BE"/>
        </w:rPr>
        <w:t>s</w:t>
      </w:r>
      <w:r w:rsidR="001C19AE" w:rsidRPr="008F6866">
        <w:rPr>
          <w:lang w:eastAsia="fr-BE"/>
        </w:rPr>
        <w:t xml:space="preserve"> between </w:t>
      </w:r>
      <w:r w:rsidR="00905493" w:rsidRPr="008F6866">
        <w:rPr>
          <w:lang w:eastAsia="fr-BE"/>
        </w:rPr>
        <w:t xml:space="preserve">the two former silvicultural routes are systematically not significant, </w:t>
      </w:r>
      <w:r w:rsidR="005B0E9C" w:rsidRPr="008F6866">
        <w:rPr>
          <w:lang w:eastAsia="fr-BE"/>
        </w:rPr>
        <w:t>al</w:t>
      </w:r>
      <w:r w:rsidR="00905493" w:rsidRPr="008F6866">
        <w:rPr>
          <w:lang w:eastAsia="fr-BE"/>
        </w:rPr>
        <w:t xml:space="preserve">though slightly higher values are generally found for DIV compared </w:t>
      </w:r>
      <w:r w:rsidR="005B0E9C" w:rsidRPr="008F6866">
        <w:rPr>
          <w:lang w:eastAsia="fr-BE"/>
        </w:rPr>
        <w:t>to</w:t>
      </w:r>
      <w:r w:rsidR="00905493" w:rsidRPr="008F6866">
        <w:rPr>
          <w:lang w:eastAsia="fr-BE"/>
        </w:rPr>
        <w:t xml:space="preserve"> OAK.</w:t>
      </w:r>
    </w:p>
    <w:p w14:paraId="44B7B216" w14:textId="486DB096" w:rsidR="000022DE" w:rsidRPr="008F6866" w:rsidRDefault="000022DE" w:rsidP="00532250">
      <w:pPr>
        <w:spacing w:after="120" w:line="300" w:lineRule="auto"/>
        <w:jc w:val="both"/>
        <w:rPr>
          <w:lang w:eastAsia="fr-BE"/>
        </w:rPr>
      </w:pPr>
      <w:r w:rsidRPr="008F6866">
        <w:rPr>
          <w:lang w:eastAsia="fr-BE"/>
        </w:rPr>
        <w:t>When variable CO</w:t>
      </w:r>
      <w:r w:rsidRPr="008F6866">
        <w:rPr>
          <w:vertAlign w:val="subscript"/>
          <w:lang w:eastAsia="fr-BE"/>
        </w:rPr>
        <w:t>2</w:t>
      </w:r>
      <w:r w:rsidRPr="008F6866">
        <w:rPr>
          <w:lang w:eastAsia="fr-BE"/>
        </w:rPr>
        <w:t xml:space="preserve"> concentration is considered, the average yearly profit </w:t>
      </w:r>
      <w:r w:rsidR="00F00AAB" w:rsidRPr="008F6866">
        <w:rPr>
          <w:lang w:eastAsia="fr-BE"/>
        </w:rPr>
        <w:t xml:space="preserve">also </w:t>
      </w:r>
      <w:r w:rsidRPr="008F6866">
        <w:rPr>
          <w:lang w:eastAsia="fr-BE"/>
        </w:rPr>
        <w:t>increases significantly as the radiative forcing of the climate scenario increases. This is related to the stimulation of productivity through the fertilization effect of CO</w:t>
      </w:r>
      <w:r w:rsidRPr="008F6866">
        <w:rPr>
          <w:vertAlign w:val="subscript"/>
          <w:lang w:eastAsia="fr-BE"/>
        </w:rPr>
        <w:t>2</w:t>
      </w:r>
      <w:r w:rsidRPr="008F6866">
        <w:rPr>
          <w:lang w:eastAsia="fr-BE"/>
        </w:rPr>
        <w:t xml:space="preserve"> which has a direct impact on profit </w:t>
      </w:r>
      <w:r w:rsidR="00A946DD" w:rsidRPr="008F6866">
        <w:rPr>
          <w:lang w:eastAsia="fr-BE"/>
        </w:rPr>
        <w:t>by increasing</w:t>
      </w:r>
      <w:r w:rsidRPr="008F6866">
        <w:rPr>
          <w:lang w:eastAsia="fr-BE"/>
        </w:rPr>
        <w:t xml:space="preserve"> the volume of harvested wood and, as a result, the income from timber sales. However, </w:t>
      </w:r>
      <w:r w:rsidR="00A946DD" w:rsidRPr="008F6866">
        <w:rPr>
          <w:lang w:eastAsia="fr-BE"/>
        </w:rPr>
        <w:t>as</w:t>
      </w:r>
      <w:r w:rsidRPr="008F6866">
        <w:rPr>
          <w:lang w:eastAsia="fr-BE"/>
        </w:rPr>
        <w:t xml:space="preserve"> mentioned above for GPP</w:t>
      </w:r>
      <w:r w:rsidR="00A946DD" w:rsidRPr="008F6866">
        <w:rPr>
          <w:lang w:eastAsia="fr-BE"/>
        </w:rPr>
        <w:t xml:space="preserve"> and volume production,</w:t>
      </w:r>
      <w:r w:rsidR="009B54A6" w:rsidRPr="008F6866">
        <w:rPr>
          <w:lang w:eastAsia="fr-BE"/>
        </w:rPr>
        <w:t xml:space="preserve"> this fertilizing effect of CO2 could be limited by nutritional</w:t>
      </w:r>
      <w:r w:rsidR="009B54A6" w:rsidRPr="008F6866">
        <w:t xml:space="preserve"> </w:t>
      </w:r>
      <w:r w:rsidR="009B54A6" w:rsidRPr="008F6866">
        <w:rPr>
          <w:lang w:eastAsia="fr-BE"/>
        </w:rPr>
        <w:t xml:space="preserve">constraints. </w:t>
      </w:r>
      <w:r w:rsidRPr="008F6866">
        <w:rPr>
          <w:lang w:eastAsia="fr-BE"/>
        </w:rPr>
        <w:t>In the case of constant CO</w:t>
      </w:r>
      <w:r w:rsidRPr="008F6866">
        <w:rPr>
          <w:vertAlign w:val="subscript"/>
          <w:lang w:eastAsia="fr-BE"/>
        </w:rPr>
        <w:t>2</w:t>
      </w:r>
      <w:r w:rsidRPr="008F6866">
        <w:rPr>
          <w:lang w:eastAsia="fr-BE"/>
        </w:rPr>
        <w:t>, non-significant differences in profit are observed between the climate scenarios for a given silvicultural route and, similarly as for GPP</w:t>
      </w:r>
      <w:r w:rsidR="009B54A6" w:rsidRPr="008F6866">
        <w:rPr>
          <w:lang w:eastAsia="fr-BE"/>
        </w:rPr>
        <w:t xml:space="preserve"> and volume production</w:t>
      </w:r>
      <w:r w:rsidRPr="008F6866">
        <w:rPr>
          <w:lang w:eastAsia="fr-BE"/>
        </w:rPr>
        <w:t>, profit even tend to decrease slightly as radiative forcing increases. Comparing the silvicultural routes for given climate scenario and CO</w:t>
      </w:r>
      <w:r w:rsidRPr="008F6866">
        <w:rPr>
          <w:vertAlign w:val="subscript"/>
          <w:lang w:eastAsia="fr-BE"/>
        </w:rPr>
        <w:t>2</w:t>
      </w:r>
      <w:r w:rsidRPr="008F6866">
        <w:rPr>
          <w:lang w:eastAsia="fr-BE"/>
        </w:rPr>
        <w:t xml:space="preserve"> modality, the lowest and highest average profit values are systematically observed for the OAK and for the DIV routes respectively, with the BAU route showing intermediate profit levels. Nevertheless, differences between BAU and DIV are not significant for all climate scenarios when CO</w:t>
      </w:r>
      <w:r w:rsidRPr="008F6866">
        <w:rPr>
          <w:vertAlign w:val="subscript"/>
          <w:lang w:eastAsia="fr-BE"/>
        </w:rPr>
        <w:t>2</w:t>
      </w:r>
      <w:r w:rsidRPr="008F6866">
        <w:rPr>
          <w:lang w:eastAsia="fr-BE"/>
        </w:rPr>
        <w:t xml:space="preserve"> is considered as constant. For variable CO</w:t>
      </w:r>
      <w:r w:rsidRPr="008F6866">
        <w:rPr>
          <w:vertAlign w:val="subscript"/>
          <w:lang w:eastAsia="fr-BE"/>
        </w:rPr>
        <w:t>2</w:t>
      </w:r>
      <w:r w:rsidRPr="008F6866">
        <w:rPr>
          <w:lang w:eastAsia="fr-BE"/>
        </w:rPr>
        <w:t xml:space="preserve">, the amplitude of the difference in average profit between BAU and OAK decreases with increasing radiative forcing and becomes </w:t>
      </w:r>
      <w:r w:rsidRPr="008F6866">
        <w:rPr>
          <w:lang w:eastAsia="fr-BE"/>
        </w:rPr>
        <w:lastRenderedPageBreak/>
        <w:t>insignificant for the SSP370 and SSP585 scenarios. This pattern of differences among silvicultural routes differs from that observed for GPP</w:t>
      </w:r>
      <w:r w:rsidR="009B54A6" w:rsidRPr="008F6866">
        <w:rPr>
          <w:lang w:eastAsia="fr-BE"/>
        </w:rPr>
        <w:t xml:space="preserve"> and volume production</w:t>
      </w:r>
      <w:r w:rsidRPr="008F6866">
        <w:rPr>
          <w:lang w:eastAsia="fr-BE"/>
        </w:rPr>
        <w:t>. Indeed, beyond the harvested volume, the profit is also a function of timber price</w:t>
      </w:r>
      <w:r w:rsidR="00131886" w:rsidRPr="008F6866">
        <w:rPr>
          <w:lang w:eastAsia="fr-BE"/>
        </w:rPr>
        <w:t>s. These pri</w:t>
      </w:r>
      <w:r w:rsidR="003C7721" w:rsidRPr="008F6866">
        <w:rPr>
          <w:lang w:eastAsia="fr-BE"/>
        </w:rPr>
        <w:t>ces</w:t>
      </w:r>
      <w:r w:rsidRPr="008F6866">
        <w:rPr>
          <w:lang w:eastAsia="fr-BE"/>
        </w:rPr>
        <w:t xml:space="preserve"> depend on the species and dimensions of the harvested trees, </w:t>
      </w:r>
      <w:r w:rsidR="003C7721" w:rsidRPr="008F6866">
        <w:rPr>
          <w:lang w:eastAsia="fr-BE"/>
        </w:rPr>
        <w:t>which</w:t>
      </w:r>
      <w:r w:rsidR="00320E13" w:rsidRPr="008F6866">
        <w:rPr>
          <w:lang w:eastAsia="fr-BE"/>
        </w:rPr>
        <w:t xml:space="preserve"> are </w:t>
      </w:r>
      <w:r w:rsidRPr="008F6866">
        <w:rPr>
          <w:lang w:eastAsia="fr-BE"/>
        </w:rPr>
        <w:t>modulated by the silvicultural treatment.</w:t>
      </w:r>
    </w:p>
    <w:p w14:paraId="5637DBD2" w14:textId="277A89D9" w:rsidR="000022DE" w:rsidRPr="008F6866" w:rsidRDefault="000022DE" w:rsidP="00532250">
      <w:pPr>
        <w:spacing w:after="120" w:line="300" w:lineRule="auto"/>
        <w:jc w:val="both"/>
        <w:rPr>
          <w:lang w:eastAsia="fr-BE"/>
        </w:rPr>
      </w:pPr>
      <w:r w:rsidRPr="008F6866">
        <w:rPr>
          <w:lang w:eastAsia="fr-BE"/>
        </w:rPr>
        <w:t>The Simpson index, which increases with increasing species diversity, systematically presents the lowest and highest average values for the BAU and DIV silvicultural routes, respectively, with intermediate values for the OAK route. For a fixed silvicultural route, differences between climate scenarios and CO</w:t>
      </w:r>
      <w:r w:rsidRPr="008F6866">
        <w:rPr>
          <w:vertAlign w:val="subscript"/>
          <w:lang w:eastAsia="fr-BE"/>
        </w:rPr>
        <w:t>2</w:t>
      </w:r>
      <w:r w:rsidRPr="008F6866">
        <w:rPr>
          <w:lang w:eastAsia="fr-BE"/>
        </w:rPr>
        <w:t xml:space="preserve"> modalities are always non-significant, although the average index value tend</w:t>
      </w:r>
      <w:r w:rsidR="0090177A" w:rsidRPr="008F6866">
        <w:rPr>
          <w:lang w:eastAsia="fr-BE"/>
        </w:rPr>
        <w:t>s</w:t>
      </w:r>
      <w:r w:rsidRPr="008F6866">
        <w:rPr>
          <w:lang w:eastAsia="fr-BE"/>
        </w:rPr>
        <w:t xml:space="preserve"> to decrease slightly with increasing radiative forcing, more particularly when variable CO</w:t>
      </w:r>
      <w:r w:rsidRPr="008F6866">
        <w:rPr>
          <w:vertAlign w:val="subscript"/>
          <w:lang w:eastAsia="fr-BE"/>
        </w:rPr>
        <w:t>2</w:t>
      </w:r>
      <w:r w:rsidRPr="008F6866">
        <w:rPr>
          <w:lang w:eastAsia="fr-BE"/>
        </w:rPr>
        <w:t xml:space="preserve"> is considered.</w:t>
      </w:r>
    </w:p>
    <w:p w14:paraId="37F8DB5C" w14:textId="67E90A2F" w:rsidR="000022DE" w:rsidRPr="008F6866" w:rsidRDefault="000022DE" w:rsidP="00532250">
      <w:pPr>
        <w:spacing w:after="120" w:line="300" w:lineRule="auto"/>
        <w:jc w:val="both"/>
        <w:rPr>
          <w:lang w:eastAsia="fr-BE"/>
        </w:rPr>
      </w:pPr>
      <w:r w:rsidRPr="008F6866">
        <w:rPr>
          <w:lang w:eastAsia="fr-BE"/>
        </w:rPr>
        <w:t>The climate scenario and the CO</w:t>
      </w:r>
      <w:r w:rsidRPr="008F6866">
        <w:rPr>
          <w:vertAlign w:val="subscript"/>
          <w:lang w:eastAsia="fr-BE"/>
        </w:rPr>
        <w:t>2</w:t>
      </w:r>
      <w:r w:rsidRPr="008F6866">
        <w:rPr>
          <w:lang w:eastAsia="fr-BE"/>
        </w:rPr>
        <w:t xml:space="preserve"> modality have a limited impact on the percentage of basal area of trees that remained undamaged during storms. The largest differences for this indicator are observed between BAU and the other two silvicultural routes, with average values close to 94% for the former route against around 90% for the latter ones. Furthermore, the OAK route presents a wider range of values, with percentages of undamaged trees down to 65%</w:t>
      </w:r>
      <w:r w:rsidR="00701B27" w:rsidRPr="008F6866">
        <w:rPr>
          <w:lang w:eastAsia="fr-BE"/>
        </w:rPr>
        <w:t>.</w:t>
      </w:r>
    </w:p>
    <w:p w14:paraId="61042A9E" w14:textId="240A9486" w:rsidR="000022DE" w:rsidRPr="008F6866" w:rsidRDefault="000022DE" w:rsidP="00532250">
      <w:pPr>
        <w:spacing w:after="120" w:line="300" w:lineRule="auto"/>
        <w:jc w:val="both"/>
        <w:rPr>
          <w:lang w:eastAsia="fr-BE"/>
        </w:rPr>
      </w:pPr>
      <w:r w:rsidRPr="008F6866">
        <w:rPr>
          <w:lang w:eastAsia="fr-BE"/>
        </w:rPr>
        <w:t xml:space="preserve">For the number of recruited trees, the major differences </w:t>
      </w:r>
      <w:r w:rsidR="001B7F25" w:rsidRPr="008F6866">
        <w:rPr>
          <w:lang w:eastAsia="fr-BE"/>
        </w:rPr>
        <w:t>occur</w:t>
      </w:r>
      <w:r w:rsidRPr="008F6866">
        <w:rPr>
          <w:lang w:eastAsia="fr-BE"/>
        </w:rPr>
        <w:t xml:space="preserve"> among silvicultural routes with the lowest and highest mean values systematically observed for the BAU and the DIV routes, respectively. In addition, for these two routes, recruitment tends to increase with increasing radiative forcing (i.e., increasing CO</w:t>
      </w:r>
      <w:r w:rsidRPr="008F6866">
        <w:rPr>
          <w:vertAlign w:val="subscript"/>
          <w:lang w:eastAsia="fr-BE"/>
        </w:rPr>
        <w:t>2</w:t>
      </w:r>
      <w:r w:rsidRPr="008F6866">
        <w:rPr>
          <w:lang w:eastAsia="fr-BE"/>
        </w:rPr>
        <w:t xml:space="preserve"> concentration) under variable CO</w:t>
      </w:r>
      <w:r w:rsidRPr="008F6866">
        <w:rPr>
          <w:vertAlign w:val="subscript"/>
          <w:lang w:eastAsia="fr-BE"/>
        </w:rPr>
        <w:t>2</w:t>
      </w:r>
      <w:r w:rsidRPr="008F6866">
        <w:rPr>
          <w:lang w:eastAsia="fr-BE"/>
        </w:rPr>
        <w:t xml:space="preserve"> while it remains stable under constant CO</w:t>
      </w:r>
      <w:r w:rsidRPr="008F6866">
        <w:rPr>
          <w:vertAlign w:val="subscript"/>
          <w:lang w:eastAsia="fr-BE"/>
        </w:rPr>
        <w:t>2</w:t>
      </w:r>
      <w:r w:rsidRPr="008F6866">
        <w:rPr>
          <w:lang w:eastAsia="fr-BE"/>
        </w:rPr>
        <w:t xml:space="preserve">. In contrast, </w:t>
      </w:r>
      <w:r w:rsidR="006572CF" w:rsidRPr="008F6866">
        <w:rPr>
          <w:lang w:eastAsia="fr-BE"/>
        </w:rPr>
        <w:t xml:space="preserve">for OAK, </w:t>
      </w:r>
      <w:r w:rsidRPr="008F6866">
        <w:rPr>
          <w:lang w:eastAsia="fr-BE"/>
        </w:rPr>
        <w:t>the indicator average value is not significantly affected whatever the climate scenario and the CO</w:t>
      </w:r>
      <w:r w:rsidRPr="008F6866">
        <w:rPr>
          <w:vertAlign w:val="subscript"/>
          <w:lang w:eastAsia="fr-BE"/>
        </w:rPr>
        <w:t>2</w:t>
      </w:r>
      <w:r w:rsidRPr="008F6866">
        <w:rPr>
          <w:lang w:eastAsia="fr-BE"/>
        </w:rPr>
        <w:t xml:space="preserve"> modality.</w:t>
      </w:r>
    </w:p>
    <w:p w14:paraId="77E3D333" w14:textId="6F561C38" w:rsidR="000022DE" w:rsidRDefault="000022DE" w:rsidP="00532250">
      <w:pPr>
        <w:spacing w:after="120" w:line="300" w:lineRule="auto"/>
        <w:jc w:val="both"/>
        <w:rPr>
          <w:lang w:eastAsia="fr-BE"/>
        </w:rPr>
      </w:pPr>
      <w:r w:rsidRPr="008F6866">
        <w:rPr>
          <w:lang w:eastAsia="fr-BE"/>
        </w:rPr>
        <w:t xml:space="preserve">The percentage of dead trees, expressed on a tree number basis, is always significantly higher for the BAU treatment compared with the two others silvicultural routes which </w:t>
      </w:r>
      <w:r w:rsidR="00AD58DD" w:rsidRPr="008F6866">
        <w:rPr>
          <w:lang w:eastAsia="fr-BE"/>
        </w:rPr>
        <w:t xml:space="preserve">generally show no significant </w:t>
      </w:r>
      <w:r w:rsidRPr="008F6866">
        <w:rPr>
          <w:lang w:eastAsia="fr-BE"/>
        </w:rPr>
        <w:t>differences, except for SSP585 under variable CO</w:t>
      </w:r>
      <w:r w:rsidRPr="008F6866">
        <w:rPr>
          <w:vertAlign w:val="subscript"/>
          <w:lang w:eastAsia="fr-BE"/>
        </w:rPr>
        <w:t>2</w:t>
      </w:r>
      <w:r w:rsidRPr="008F6866">
        <w:rPr>
          <w:lang w:eastAsia="fr-BE"/>
        </w:rPr>
        <w:t xml:space="preserve"> where the DIV route presents a significantly higher average mortality percentage than the OAK route. Under constant atmospheric CO</w:t>
      </w:r>
      <w:r w:rsidRPr="008F6866">
        <w:rPr>
          <w:vertAlign w:val="subscript"/>
          <w:lang w:eastAsia="fr-BE"/>
        </w:rPr>
        <w:t>2</w:t>
      </w:r>
      <w:r w:rsidRPr="008F6866">
        <w:rPr>
          <w:lang w:eastAsia="fr-BE"/>
        </w:rPr>
        <w:t xml:space="preserve"> concentration, the mortality percentage remains stable among climate scenarios for a given silvicultural route. In contrast,</w:t>
      </w:r>
      <w:r w:rsidR="00AD58DD" w:rsidRPr="008F6866">
        <w:rPr>
          <w:lang w:eastAsia="fr-BE"/>
        </w:rPr>
        <w:t xml:space="preserve"> under variable CO</w:t>
      </w:r>
      <w:r w:rsidR="00AD58DD" w:rsidRPr="008F6866">
        <w:rPr>
          <w:vertAlign w:val="subscript"/>
          <w:lang w:eastAsia="fr-BE"/>
        </w:rPr>
        <w:t>2</w:t>
      </w:r>
      <w:r w:rsidR="00AD58DD" w:rsidRPr="008F6866">
        <w:rPr>
          <w:lang w:eastAsia="fr-BE"/>
        </w:rPr>
        <w:t>,</w:t>
      </w:r>
      <w:r w:rsidRPr="008F6866">
        <w:rPr>
          <w:lang w:eastAsia="fr-BE"/>
        </w:rPr>
        <w:t xml:space="preserve"> </w:t>
      </w:r>
      <w:r w:rsidR="00AD58DD" w:rsidRPr="008F6866">
        <w:rPr>
          <w:lang w:eastAsia="fr-BE"/>
        </w:rPr>
        <w:t>mortality</w:t>
      </w:r>
      <w:r w:rsidRPr="008F6866">
        <w:rPr>
          <w:lang w:eastAsia="fr-BE"/>
        </w:rPr>
        <w:t xml:space="preserve"> increases significantly with increasing radiative forcing of the climate scenario. These results </w:t>
      </w:r>
      <w:r w:rsidR="00AD58DD" w:rsidRPr="008F6866">
        <w:rPr>
          <w:lang w:eastAsia="fr-BE"/>
        </w:rPr>
        <w:t xml:space="preserve">suggest </w:t>
      </w:r>
      <w:r w:rsidRPr="008F6866">
        <w:rPr>
          <w:lang w:eastAsia="fr-BE"/>
        </w:rPr>
        <w:t>an increase in tree mortality due to a more pronounced concurrence associated with stimulated growth under the effect of CO</w:t>
      </w:r>
      <w:r w:rsidRPr="008F6866">
        <w:rPr>
          <w:vertAlign w:val="subscript"/>
          <w:lang w:eastAsia="fr-BE"/>
        </w:rPr>
        <w:t>2</w:t>
      </w:r>
      <w:r w:rsidRPr="008F6866">
        <w:rPr>
          <w:lang w:eastAsia="fr-BE"/>
        </w:rPr>
        <w:t xml:space="preserve"> fertilization. The extreme values observed for most modalities pertain to the site of Chimay which, for unclear reason, presents much higher mortality percentages but with variations similar to those of the other study cases. When expressed in terms basal of area, the </w:t>
      </w:r>
      <w:r w:rsidR="00FE4CCF" w:rsidRPr="008F6866">
        <w:rPr>
          <w:lang w:eastAsia="fr-BE"/>
        </w:rPr>
        <w:t>pattern</w:t>
      </w:r>
      <w:r w:rsidRPr="008F6866">
        <w:rPr>
          <w:lang w:eastAsia="fr-BE"/>
        </w:rPr>
        <w:t xml:space="preserve"> differ</w:t>
      </w:r>
      <w:r w:rsidR="00FE4CCF" w:rsidRPr="008F6866">
        <w:rPr>
          <w:lang w:eastAsia="fr-BE"/>
        </w:rPr>
        <w:t>s</w:t>
      </w:r>
      <w:r w:rsidRPr="008F6866">
        <w:rPr>
          <w:lang w:eastAsia="fr-BE"/>
        </w:rPr>
        <w:t xml:space="preserve"> </w:t>
      </w:r>
      <w:r w:rsidR="00FE4CCF" w:rsidRPr="008F6866">
        <w:rPr>
          <w:lang w:eastAsia="fr-BE"/>
        </w:rPr>
        <w:t xml:space="preserve">from </w:t>
      </w:r>
      <w:r w:rsidRPr="008F6866">
        <w:rPr>
          <w:lang w:eastAsia="fr-BE"/>
        </w:rPr>
        <w:t>that based on tree number</w:t>
      </w:r>
      <w:r w:rsidR="00082025" w:rsidRPr="008F6866">
        <w:rPr>
          <w:lang w:eastAsia="fr-BE"/>
        </w:rPr>
        <w:t>.</w:t>
      </w:r>
      <w:r w:rsidRPr="008F6866">
        <w:rPr>
          <w:lang w:eastAsia="fr-BE"/>
        </w:rPr>
        <w:t xml:space="preserve"> </w:t>
      </w:r>
      <w:r w:rsidR="00082025" w:rsidRPr="008F6866">
        <w:rPr>
          <w:lang w:eastAsia="fr-BE"/>
        </w:rPr>
        <w:t>I</w:t>
      </w:r>
      <w:r w:rsidRPr="008F6866">
        <w:rPr>
          <w:lang w:eastAsia="fr-BE"/>
        </w:rPr>
        <w:t xml:space="preserve">n particular, for given silvicultural route, average values </w:t>
      </w:r>
      <w:r w:rsidR="00082025" w:rsidRPr="008F6866">
        <w:rPr>
          <w:lang w:eastAsia="fr-BE"/>
        </w:rPr>
        <w:t xml:space="preserve">remain more stable </w:t>
      </w:r>
      <w:r w:rsidRPr="008F6866">
        <w:rPr>
          <w:lang w:eastAsia="fr-BE"/>
        </w:rPr>
        <w:t>among climate scenarios under variable CO</w:t>
      </w:r>
      <w:r w:rsidRPr="008F6866">
        <w:rPr>
          <w:vertAlign w:val="subscript"/>
          <w:lang w:eastAsia="fr-BE"/>
        </w:rPr>
        <w:t>2</w:t>
      </w:r>
      <w:r w:rsidR="00082025" w:rsidRPr="008F6866">
        <w:rPr>
          <w:vertAlign w:val="subscript"/>
          <w:lang w:eastAsia="fr-BE"/>
        </w:rPr>
        <w:t xml:space="preserve">, </w:t>
      </w:r>
      <w:r w:rsidR="00082025" w:rsidRPr="008F6866">
        <w:rPr>
          <w:lang w:eastAsia="fr-BE"/>
        </w:rPr>
        <w:t>although</w:t>
      </w:r>
      <w:r w:rsidRPr="008F6866">
        <w:rPr>
          <w:lang w:eastAsia="fr-BE"/>
        </w:rPr>
        <w:t xml:space="preserve"> the ranking of silvicultural routes according to average values is respected. It is </w:t>
      </w:r>
      <w:r w:rsidR="00082025" w:rsidRPr="008F6866">
        <w:rPr>
          <w:lang w:eastAsia="fr-BE"/>
        </w:rPr>
        <w:t>also important</w:t>
      </w:r>
      <w:r w:rsidRPr="008F6866">
        <w:rPr>
          <w:lang w:eastAsia="fr-BE"/>
        </w:rPr>
        <w:t xml:space="preserve"> to note that the mortality percentage </w:t>
      </w:r>
      <w:r w:rsidR="00082025" w:rsidRPr="008F6866">
        <w:rPr>
          <w:lang w:eastAsia="fr-BE"/>
        </w:rPr>
        <w:t>i</w:t>
      </w:r>
      <w:r w:rsidRPr="008F6866">
        <w:rPr>
          <w:lang w:eastAsia="fr-BE"/>
        </w:rPr>
        <w:t xml:space="preserve">s </w:t>
      </w:r>
      <w:r w:rsidR="00082025" w:rsidRPr="008F6866">
        <w:rPr>
          <w:lang w:eastAsia="fr-BE"/>
        </w:rPr>
        <w:t>consistently</w:t>
      </w:r>
      <w:r w:rsidRPr="008F6866">
        <w:rPr>
          <w:lang w:eastAsia="fr-BE"/>
        </w:rPr>
        <w:t xml:space="preserve"> low, with all average values lower than 0.5% of the basal area and </w:t>
      </w:r>
      <w:r w:rsidR="00B44553" w:rsidRPr="008F6866">
        <w:rPr>
          <w:lang w:eastAsia="fr-BE"/>
        </w:rPr>
        <w:t xml:space="preserve">some values </w:t>
      </w:r>
      <w:r w:rsidRPr="008F6866">
        <w:rPr>
          <w:lang w:eastAsia="fr-BE"/>
        </w:rPr>
        <w:t>around 1% in the worst cases.</w:t>
      </w:r>
    </w:p>
    <w:p w14:paraId="4B68810D" w14:textId="032BB99A" w:rsidR="00C46717" w:rsidRDefault="00C46717">
      <w:pPr>
        <w:rPr>
          <w:sz w:val="2"/>
          <w:szCs w:val="2"/>
          <w:lang w:eastAsia="fr-BE"/>
        </w:rPr>
      </w:pPr>
      <w:r>
        <w:rPr>
          <w:sz w:val="2"/>
          <w:szCs w:val="2"/>
          <w:lang w:eastAsia="fr-BE"/>
        </w:rPr>
        <w:br w:type="page"/>
      </w:r>
    </w:p>
    <w:p w14:paraId="3F7BEF4F" w14:textId="77777777" w:rsidR="00C46717" w:rsidRPr="00C46717" w:rsidRDefault="00C46717" w:rsidP="00532250">
      <w:pPr>
        <w:spacing w:after="120" w:line="300" w:lineRule="auto"/>
        <w:jc w:val="both"/>
        <w:rPr>
          <w:sz w:val="2"/>
          <w:szCs w:val="2"/>
          <w:lang w:eastAsia="fr-BE"/>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0"/>
        <w:gridCol w:w="4530"/>
      </w:tblGrid>
      <w:tr w:rsidR="00327BC9" w:rsidRPr="008F6866" w14:paraId="62F63914" w14:textId="77777777" w:rsidTr="00B71320">
        <w:trPr>
          <w:jc w:val="center"/>
        </w:trPr>
        <w:tc>
          <w:tcPr>
            <w:tcW w:w="4530" w:type="dxa"/>
          </w:tcPr>
          <w:p w14:paraId="09706EB6" w14:textId="6FF4BF29" w:rsidR="00327BC9" w:rsidRPr="008F6866" w:rsidRDefault="00327BC9" w:rsidP="00327BC9">
            <w:pPr>
              <w:jc w:val="center"/>
              <w:rPr>
                <w:lang w:eastAsia="fr-BE"/>
              </w:rPr>
            </w:pPr>
            <w:r w:rsidRPr="008F6866">
              <w:rPr>
                <w:rFonts w:asciiTheme="minorHAnsi" w:hAnsiTheme="minorHAnsi" w:cstheme="minorHAnsi"/>
                <w:b/>
                <w:noProof/>
                <w:lang w:eastAsia="fr-BE"/>
              </w:rPr>
              <w:t>Gross primary production</w:t>
            </w:r>
          </w:p>
        </w:tc>
        <w:tc>
          <w:tcPr>
            <w:tcW w:w="4530" w:type="dxa"/>
          </w:tcPr>
          <w:p w14:paraId="3953E7F3" w14:textId="1856A565" w:rsidR="00327BC9" w:rsidRPr="008F6866" w:rsidRDefault="00BE5345" w:rsidP="00327BC9">
            <w:pPr>
              <w:jc w:val="center"/>
              <w:rPr>
                <w:lang w:eastAsia="fr-BE"/>
              </w:rPr>
            </w:pPr>
            <w:r w:rsidRPr="008F6866">
              <w:rPr>
                <w:rFonts w:asciiTheme="minorHAnsi" w:hAnsiTheme="minorHAnsi" w:cstheme="minorHAnsi"/>
                <w:b/>
                <w:noProof/>
                <w:lang w:eastAsia="fr-BE"/>
              </w:rPr>
              <w:t>Transpiration</w:t>
            </w:r>
          </w:p>
        </w:tc>
      </w:tr>
      <w:tr w:rsidR="00327BC9" w:rsidRPr="008F6866" w14:paraId="4DAE1EDD" w14:textId="77777777" w:rsidTr="00B71320">
        <w:trPr>
          <w:jc w:val="center"/>
        </w:trPr>
        <w:tc>
          <w:tcPr>
            <w:tcW w:w="4530" w:type="dxa"/>
          </w:tcPr>
          <w:p w14:paraId="24F28683" w14:textId="3BAF4382" w:rsidR="00327BC9" w:rsidRPr="008F6866" w:rsidRDefault="008318C1" w:rsidP="00327BC9">
            <w:pPr>
              <w:jc w:val="center"/>
              <w:rPr>
                <w:lang w:eastAsia="fr-BE"/>
              </w:rPr>
            </w:pPr>
            <w:r w:rsidRPr="008F6866">
              <w:rPr>
                <w:rFonts w:cstheme="minorHAnsi"/>
                <w:noProof/>
              </w:rPr>
              <w:drawing>
                <wp:inline distT="0" distB="0" distL="0" distR="0" wp14:anchorId="4DBDA0FA" wp14:editId="586C270E">
                  <wp:extent cx="2628000" cy="1274400"/>
                  <wp:effectExtent l="0" t="0" r="1270" b="2540"/>
                  <wp:docPr id="2061681000" name="Image 2061681000" descr="C:\Users\andref\AppData\Local\Microsoft\Windows\INetCache\Content.MSO\DF3C97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f\AppData\Local\Microsoft\Windows\INetCache\Content.MSO\DF3C97FB.tmp"/>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51305" b="12865"/>
                          <a:stretch/>
                        </pic:blipFill>
                        <pic:spPr bwMode="auto">
                          <a:xfrm>
                            <a:off x="0" y="0"/>
                            <a:ext cx="2628000" cy="127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071F0FCF" w14:textId="26CF2354" w:rsidR="00327BC9" w:rsidRPr="008F6866" w:rsidRDefault="00BE5345" w:rsidP="00327BC9">
            <w:pPr>
              <w:jc w:val="center"/>
              <w:rPr>
                <w:lang w:eastAsia="fr-BE"/>
              </w:rPr>
            </w:pPr>
            <w:r w:rsidRPr="008F6866">
              <w:rPr>
                <w:rFonts w:cstheme="minorHAnsi"/>
                <w:noProof/>
                <w:lang w:eastAsia="fr-BE"/>
              </w:rPr>
              <w:drawing>
                <wp:inline distT="0" distB="0" distL="0" distR="0" wp14:anchorId="738B1D63" wp14:editId="48231B3A">
                  <wp:extent cx="2620800" cy="1256400"/>
                  <wp:effectExtent l="0" t="0" r="8255" b="1270"/>
                  <wp:docPr id="2061680998" name="Image 2061680998" descr="D:\andref\Documents\EFOR\RegePlus\SimulationExperiment\ClimateChangeEffets\REGEplus_SimuAnalysis112024\REGEplus_MixedModels_012025_Temporality_ClimateInteract_files\figure-html\ANOVA water balance - Transpi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dref\Documents\EFOR\RegePlus\SimulationExperiment\ClimateChangeEffets\REGEplus_SimuAnalysis112024\REGEplus_MixedModels_012025_Temporality_ClimateInteract_files\figure-html\ANOVA water balance - Transpiration-1.pn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51645" b="13048"/>
                          <a:stretch/>
                        </pic:blipFill>
                        <pic:spPr bwMode="auto">
                          <a:xfrm>
                            <a:off x="0" y="0"/>
                            <a:ext cx="2620800" cy="1256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7BC9" w:rsidRPr="008F6866" w14:paraId="7E16A773" w14:textId="77777777" w:rsidTr="00B71320">
        <w:trPr>
          <w:jc w:val="center"/>
        </w:trPr>
        <w:tc>
          <w:tcPr>
            <w:tcW w:w="4530" w:type="dxa"/>
          </w:tcPr>
          <w:p w14:paraId="389BA5A5" w14:textId="6A851A4F" w:rsidR="00327BC9" w:rsidRPr="008F6866" w:rsidRDefault="00071528" w:rsidP="00327BC9">
            <w:pPr>
              <w:jc w:val="center"/>
              <w:rPr>
                <w:lang w:eastAsia="fr-BE"/>
              </w:rPr>
            </w:pPr>
            <w:r w:rsidRPr="008F6866">
              <w:rPr>
                <w:rFonts w:asciiTheme="minorHAnsi" w:hAnsiTheme="minorHAnsi" w:cstheme="minorHAnsi"/>
                <w:b/>
              </w:rPr>
              <w:t>Volume production</w:t>
            </w:r>
          </w:p>
        </w:tc>
        <w:tc>
          <w:tcPr>
            <w:tcW w:w="4530" w:type="dxa"/>
          </w:tcPr>
          <w:p w14:paraId="462E6CF4" w14:textId="52667790" w:rsidR="00327BC9" w:rsidRPr="008F6866" w:rsidRDefault="001601E3" w:rsidP="00327BC9">
            <w:pPr>
              <w:jc w:val="center"/>
              <w:rPr>
                <w:lang w:eastAsia="fr-BE"/>
              </w:rPr>
            </w:pPr>
            <w:r w:rsidRPr="008F6866">
              <w:rPr>
                <w:rFonts w:asciiTheme="minorHAnsi" w:hAnsiTheme="minorHAnsi" w:cstheme="minorHAnsi"/>
                <w:b/>
              </w:rPr>
              <w:t>Profit</w:t>
            </w:r>
          </w:p>
        </w:tc>
      </w:tr>
      <w:tr w:rsidR="00327BC9" w:rsidRPr="008F6866" w14:paraId="4979A3D7" w14:textId="77777777" w:rsidTr="00B71320">
        <w:trPr>
          <w:jc w:val="center"/>
        </w:trPr>
        <w:tc>
          <w:tcPr>
            <w:tcW w:w="4530" w:type="dxa"/>
          </w:tcPr>
          <w:p w14:paraId="74E6AB0C" w14:textId="367735AF" w:rsidR="00327BC9" w:rsidRPr="008F6866" w:rsidRDefault="00071528" w:rsidP="00327BC9">
            <w:pPr>
              <w:jc w:val="center"/>
              <w:rPr>
                <w:lang w:eastAsia="fr-BE"/>
              </w:rPr>
            </w:pPr>
            <w:r w:rsidRPr="008F6866">
              <w:rPr>
                <w:noProof/>
              </w:rPr>
              <w:drawing>
                <wp:inline distT="0" distB="0" distL="0" distR="0" wp14:anchorId="16534E59" wp14:editId="05D8636E">
                  <wp:extent cx="2628000" cy="1278000"/>
                  <wp:effectExtent l="0" t="0" r="1270" b="0"/>
                  <wp:docPr id="2061681016" name="Image 2061681016" descr="C:\Users\andref\AppData\Local\Microsoft\Windows\INetCache\Content.MSO\E6C50B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f\AppData\Local\Microsoft\Windows\INetCache\Content.MSO\E6C50BEA.tmp"/>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51363" b="12765"/>
                          <a:stretch/>
                        </pic:blipFill>
                        <pic:spPr bwMode="auto">
                          <a:xfrm>
                            <a:off x="0" y="0"/>
                            <a:ext cx="2628000" cy="127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503CD9BA" w14:textId="052B1DF2" w:rsidR="00327BC9" w:rsidRPr="008F6866" w:rsidRDefault="001601E3" w:rsidP="00327BC9">
            <w:pPr>
              <w:jc w:val="center"/>
              <w:rPr>
                <w:lang w:eastAsia="fr-BE"/>
              </w:rPr>
            </w:pPr>
            <w:r w:rsidRPr="008F6866">
              <w:rPr>
                <w:rFonts w:cstheme="minorHAnsi"/>
                <w:noProof/>
                <w:lang w:eastAsia="fr-BE"/>
              </w:rPr>
              <w:drawing>
                <wp:inline distT="0" distB="0" distL="0" distR="0" wp14:anchorId="622871C7" wp14:editId="596B20E4">
                  <wp:extent cx="2610000" cy="1263600"/>
                  <wp:effectExtent l="0" t="0" r="0" b="0"/>
                  <wp:docPr id="2061680999" name="Image 2061680999" descr="D:\andref\Documents\EFOR\RegePlus\SimulationExperiment\ClimateChangeEffets\REGEplus_SimuAnalysis112024\REGEplus_MixedModels_012025_Temporality_ClimateInteract_files\figure-html\ANOVA profitability - Prof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ref\Documents\EFOR\RegePlus\SimulationExperiment\ClimateChangeEffets\REGEplus_SimuAnalysis112024\REGEplus_MixedModels_012025_Temporality_ClimateInteract_files\figure-html\ANOVA profitability - Profit-1.pn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51315" b="12939"/>
                          <a:stretch/>
                        </pic:blipFill>
                        <pic:spPr bwMode="auto">
                          <a:xfrm>
                            <a:off x="0" y="0"/>
                            <a:ext cx="2610000" cy="1263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7BC9" w:rsidRPr="008F6866" w14:paraId="7858EDEF" w14:textId="77777777" w:rsidTr="00B71320">
        <w:trPr>
          <w:jc w:val="center"/>
        </w:trPr>
        <w:tc>
          <w:tcPr>
            <w:tcW w:w="4530" w:type="dxa"/>
          </w:tcPr>
          <w:p w14:paraId="1FF39945" w14:textId="4D3E73E4" w:rsidR="00327BC9" w:rsidRPr="008F6866" w:rsidRDefault="001601E3" w:rsidP="00327BC9">
            <w:pPr>
              <w:jc w:val="center"/>
              <w:rPr>
                <w:lang w:eastAsia="fr-BE"/>
              </w:rPr>
            </w:pPr>
            <w:r w:rsidRPr="008F6866">
              <w:rPr>
                <w:rFonts w:asciiTheme="minorHAnsi" w:hAnsiTheme="minorHAnsi" w:cstheme="minorHAnsi"/>
                <w:b/>
              </w:rPr>
              <w:t>Simpson index</w:t>
            </w:r>
          </w:p>
        </w:tc>
        <w:tc>
          <w:tcPr>
            <w:tcW w:w="4530" w:type="dxa"/>
          </w:tcPr>
          <w:p w14:paraId="5F4BC1DC" w14:textId="061B783D" w:rsidR="00327BC9" w:rsidRPr="008F6866" w:rsidRDefault="001601E3" w:rsidP="00327BC9">
            <w:pPr>
              <w:jc w:val="center"/>
              <w:rPr>
                <w:lang w:eastAsia="fr-BE"/>
              </w:rPr>
            </w:pPr>
            <w:r w:rsidRPr="008F6866">
              <w:rPr>
                <w:rFonts w:asciiTheme="minorHAnsi" w:hAnsiTheme="minorHAnsi" w:cstheme="minorHAnsi"/>
                <w:b/>
                <w:noProof/>
              </w:rPr>
              <w:t>Wind undamaged trees</w:t>
            </w:r>
          </w:p>
        </w:tc>
      </w:tr>
      <w:tr w:rsidR="00327BC9" w:rsidRPr="008F6866" w14:paraId="0E2B4228" w14:textId="77777777" w:rsidTr="00B71320">
        <w:trPr>
          <w:jc w:val="center"/>
        </w:trPr>
        <w:tc>
          <w:tcPr>
            <w:tcW w:w="4530" w:type="dxa"/>
          </w:tcPr>
          <w:p w14:paraId="1AF8B25F" w14:textId="5FC5D934" w:rsidR="00327BC9" w:rsidRPr="008F6866" w:rsidRDefault="001601E3" w:rsidP="00327BC9">
            <w:pPr>
              <w:jc w:val="center"/>
              <w:rPr>
                <w:lang w:eastAsia="fr-BE"/>
              </w:rPr>
            </w:pPr>
            <w:r w:rsidRPr="008F6866">
              <w:rPr>
                <w:rFonts w:cstheme="minorHAnsi"/>
                <w:noProof/>
                <w:lang w:eastAsia="fr-BE"/>
              </w:rPr>
              <w:drawing>
                <wp:inline distT="0" distB="0" distL="0" distR="0" wp14:anchorId="442A87AB" wp14:editId="7DD9B1ED">
                  <wp:extent cx="2628000" cy="1285200"/>
                  <wp:effectExtent l="0" t="0" r="1270" b="0"/>
                  <wp:docPr id="2061681006" name="Image 2061681006" descr="D:\andref\Documents\EFOR\RegePlus\SimulationExperiment\ClimateChangeEffets\REGEplus_SimuAnalysis112024\REGEplus_MixedModels_012025_Temporality_ClimateInteract_files\figure-html\ANOVA diversity - Simps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ef\Documents\EFOR\RegePlus\SimulationExperiment\ClimateChangeEffets\REGEplus_SimuAnalysis112024\REGEplus_MixedModels_012025_Temporality_ClimateInteract_files\figure-html\ANOVA diversity - Simpson-1.pn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51426" b="12500"/>
                          <a:stretch/>
                        </pic:blipFill>
                        <pic:spPr bwMode="auto">
                          <a:xfrm>
                            <a:off x="0" y="0"/>
                            <a:ext cx="2628000" cy="1285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51DFB4E3" w14:textId="7592DF54" w:rsidR="00327BC9" w:rsidRPr="008F6866" w:rsidRDefault="001601E3" w:rsidP="00327BC9">
            <w:pPr>
              <w:jc w:val="center"/>
              <w:rPr>
                <w:lang w:eastAsia="fr-BE"/>
              </w:rPr>
            </w:pPr>
            <w:r w:rsidRPr="008F6866">
              <w:rPr>
                <w:rFonts w:cstheme="minorHAnsi"/>
                <w:noProof/>
              </w:rPr>
              <w:drawing>
                <wp:inline distT="0" distB="0" distL="0" distR="0" wp14:anchorId="1E8E863D" wp14:editId="238BCEE8">
                  <wp:extent cx="2620800" cy="1339200"/>
                  <wp:effectExtent l="0" t="0" r="8255" b="0"/>
                  <wp:docPr id="2061681001" name="Image 2061681001" descr="C:\Users\andref\AppData\Local\Microsoft\Windows\INetCache\Content.MSO\F19FEE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f\AppData\Local\Microsoft\Windows\INetCache\Content.MSO\F19FEEC1.tmp"/>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49841" b="12500"/>
                          <a:stretch/>
                        </pic:blipFill>
                        <pic:spPr bwMode="auto">
                          <a:xfrm>
                            <a:off x="0" y="0"/>
                            <a:ext cx="2620800" cy="1339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7BC9" w:rsidRPr="008F6866" w14:paraId="3083D6B8" w14:textId="77777777" w:rsidTr="00B71320">
        <w:trPr>
          <w:jc w:val="center"/>
        </w:trPr>
        <w:tc>
          <w:tcPr>
            <w:tcW w:w="4530" w:type="dxa"/>
          </w:tcPr>
          <w:p w14:paraId="2C95BC45" w14:textId="4890A5F6" w:rsidR="00327BC9" w:rsidRPr="008F6866" w:rsidRDefault="001601E3" w:rsidP="00327BC9">
            <w:pPr>
              <w:jc w:val="center"/>
              <w:rPr>
                <w:lang w:eastAsia="fr-BE"/>
              </w:rPr>
            </w:pPr>
            <w:r w:rsidRPr="008F6866">
              <w:rPr>
                <w:rFonts w:asciiTheme="minorHAnsi" w:hAnsiTheme="minorHAnsi" w:cstheme="minorHAnsi"/>
                <w:b/>
                <w:noProof/>
              </w:rPr>
              <w:t>Tree recruitment</w:t>
            </w:r>
          </w:p>
        </w:tc>
        <w:tc>
          <w:tcPr>
            <w:tcW w:w="4530" w:type="dxa"/>
          </w:tcPr>
          <w:p w14:paraId="07645E57" w14:textId="77240AE4" w:rsidR="00327BC9" w:rsidRPr="008F6866" w:rsidRDefault="001601E3" w:rsidP="00327BC9">
            <w:pPr>
              <w:jc w:val="center"/>
              <w:rPr>
                <w:lang w:eastAsia="fr-BE"/>
              </w:rPr>
            </w:pPr>
            <w:r w:rsidRPr="008F6866">
              <w:rPr>
                <w:rFonts w:asciiTheme="minorHAnsi" w:hAnsiTheme="minorHAnsi" w:cstheme="minorHAnsi"/>
                <w:b/>
                <w:noProof/>
              </w:rPr>
              <w:t>Tree mortality (% number)</w:t>
            </w:r>
          </w:p>
        </w:tc>
      </w:tr>
      <w:tr w:rsidR="00327BC9" w:rsidRPr="008F6866" w14:paraId="5848618D" w14:textId="77777777" w:rsidTr="00B71320">
        <w:trPr>
          <w:jc w:val="center"/>
        </w:trPr>
        <w:tc>
          <w:tcPr>
            <w:tcW w:w="4530" w:type="dxa"/>
          </w:tcPr>
          <w:p w14:paraId="4CD123A4" w14:textId="7F788847" w:rsidR="00327BC9" w:rsidRPr="008F6866" w:rsidRDefault="001601E3" w:rsidP="00327BC9">
            <w:pPr>
              <w:jc w:val="center"/>
              <w:rPr>
                <w:lang w:eastAsia="fr-BE"/>
              </w:rPr>
            </w:pPr>
            <w:r w:rsidRPr="008F6866">
              <w:rPr>
                <w:rFonts w:cstheme="minorHAnsi"/>
                <w:noProof/>
              </w:rPr>
              <w:drawing>
                <wp:inline distT="0" distB="0" distL="0" distR="0" wp14:anchorId="4E1118E2" wp14:editId="27D5B4B7">
                  <wp:extent cx="2620800" cy="1256400"/>
                  <wp:effectExtent l="0" t="0" r="8255" b="1270"/>
                  <wp:docPr id="2061681002" name="Image 2061681002" descr="C:\Users\andref\AppData\Local\Microsoft\Windows\INetCache\Content.MSO\8DB35F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ef\AppData\Local\Microsoft\Windows\INetCache\Content.MSO\8DB35F77.tmp"/>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51669" b="12988"/>
                          <a:stretch/>
                        </pic:blipFill>
                        <pic:spPr bwMode="auto">
                          <a:xfrm>
                            <a:off x="0" y="0"/>
                            <a:ext cx="2620800" cy="1256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0E511968" w14:textId="4650EF11" w:rsidR="00327BC9" w:rsidRPr="008F6866" w:rsidRDefault="001601E3" w:rsidP="00327BC9">
            <w:pPr>
              <w:jc w:val="center"/>
              <w:rPr>
                <w:lang w:eastAsia="fr-BE"/>
              </w:rPr>
            </w:pPr>
            <w:r w:rsidRPr="008F6866">
              <w:rPr>
                <w:noProof/>
              </w:rPr>
              <w:drawing>
                <wp:inline distT="0" distB="0" distL="0" distR="0" wp14:anchorId="29F0290F" wp14:editId="4C8289A6">
                  <wp:extent cx="2620800" cy="1263600"/>
                  <wp:effectExtent l="0" t="0" r="8255" b="0"/>
                  <wp:docPr id="2061681007" name="Image 2061681007" descr="C:\Users\andref\AppData\Local\Microsoft\Windows\INetCache\Content.MSO\87F535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f\AppData\Local\Microsoft\Windows\INetCache\Content.MSO\87F5356B.tmp"/>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51589" b="12822"/>
                          <a:stretch/>
                        </pic:blipFill>
                        <pic:spPr bwMode="auto">
                          <a:xfrm>
                            <a:off x="0" y="0"/>
                            <a:ext cx="2620800" cy="1263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7BC9" w:rsidRPr="008F6866" w14:paraId="72BE6BE2" w14:textId="77777777" w:rsidTr="00B71320">
        <w:trPr>
          <w:jc w:val="center"/>
        </w:trPr>
        <w:tc>
          <w:tcPr>
            <w:tcW w:w="4530" w:type="dxa"/>
          </w:tcPr>
          <w:p w14:paraId="6BD355F5" w14:textId="163E278F" w:rsidR="00327BC9" w:rsidRPr="008F6866" w:rsidRDefault="001601E3" w:rsidP="00327BC9">
            <w:pPr>
              <w:jc w:val="center"/>
              <w:rPr>
                <w:lang w:eastAsia="fr-BE"/>
              </w:rPr>
            </w:pPr>
            <w:r w:rsidRPr="008F6866">
              <w:rPr>
                <w:rFonts w:asciiTheme="minorHAnsi" w:hAnsiTheme="minorHAnsi" w:cstheme="minorHAnsi"/>
                <w:b/>
                <w:noProof/>
              </w:rPr>
              <w:t>Tree mortality (% basal area)</w:t>
            </w:r>
          </w:p>
        </w:tc>
        <w:tc>
          <w:tcPr>
            <w:tcW w:w="4530" w:type="dxa"/>
          </w:tcPr>
          <w:p w14:paraId="25957BE3" w14:textId="77777777" w:rsidR="00327BC9" w:rsidRPr="008F6866" w:rsidRDefault="00327BC9" w:rsidP="00327BC9">
            <w:pPr>
              <w:jc w:val="center"/>
              <w:rPr>
                <w:lang w:eastAsia="fr-BE"/>
              </w:rPr>
            </w:pPr>
          </w:p>
        </w:tc>
      </w:tr>
      <w:tr w:rsidR="001601E3" w:rsidRPr="008F6866" w14:paraId="217E9D52" w14:textId="77777777" w:rsidTr="00B71320">
        <w:trPr>
          <w:jc w:val="center"/>
        </w:trPr>
        <w:tc>
          <w:tcPr>
            <w:tcW w:w="4530" w:type="dxa"/>
          </w:tcPr>
          <w:p w14:paraId="2244E282" w14:textId="3E4E75F9" w:rsidR="001601E3" w:rsidRPr="008F6866" w:rsidRDefault="001601E3" w:rsidP="00327BC9">
            <w:pPr>
              <w:jc w:val="center"/>
              <w:rPr>
                <w:lang w:eastAsia="fr-BE"/>
              </w:rPr>
            </w:pPr>
            <w:r w:rsidRPr="008F6866">
              <w:rPr>
                <w:rFonts w:cstheme="minorHAnsi"/>
                <w:noProof/>
              </w:rPr>
              <w:drawing>
                <wp:inline distT="0" distB="0" distL="0" distR="0" wp14:anchorId="6310A753" wp14:editId="46E795D9">
                  <wp:extent cx="2620800" cy="1252800"/>
                  <wp:effectExtent l="0" t="0" r="8255" b="5080"/>
                  <wp:docPr id="2061681003" name="Image 2061681003" descr="C:\Users\andref\AppData\Local\Microsoft\Windows\INetCache\Content.MSO\94DA2F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ref\AppData\Local\Microsoft\Windows\INetCache\Content.MSO\94DA2F9D.tmp"/>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51791" b="12988"/>
                          <a:stretch/>
                        </pic:blipFill>
                        <pic:spPr bwMode="auto">
                          <a:xfrm>
                            <a:off x="0" y="0"/>
                            <a:ext cx="2620800" cy="1252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58A58D80" w14:textId="77777777" w:rsidR="001601E3" w:rsidRPr="008F6866" w:rsidRDefault="001601E3" w:rsidP="00327BC9">
            <w:pPr>
              <w:jc w:val="center"/>
              <w:rPr>
                <w:lang w:eastAsia="fr-BE"/>
              </w:rPr>
            </w:pPr>
          </w:p>
          <w:p w14:paraId="74B567D1" w14:textId="77777777" w:rsidR="001601E3" w:rsidRPr="008F6866" w:rsidRDefault="001601E3" w:rsidP="00327BC9">
            <w:pPr>
              <w:jc w:val="center"/>
              <w:rPr>
                <w:lang w:eastAsia="fr-BE"/>
              </w:rPr>
            </w:pPr>
            <w:r w:rsidRPr="008F6866">
              <w:rPr>
                <w:noProof/>
              </w:rPr>
              <w:drawing>
                <wp:inline distT="0" distB="0" distL="0" distR="0" wp14:anchorId="023F0C04" wp14:editId="62323B6B">
                  <wp:extent cx="1285200" cy="352800"/>
                  <wp:effectExtent l="0" t="0" r="0" b="9525"/>
                  <wp:docPr id="11" name="Image 11" descr="C:\Users\andref\AppData\Local\Microsoft\Windows\INetCache\Content.MSO\8EE5FC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f\AppData\Local\Microsoft\Windows\INetCache\Content.MSO\8EE5FC5A.tmp"/>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4416" t="89085" r="45248" b="2750"/>
                          <a:stretch/>
                        </pic:blipFill>
                        <pic:spPr bwMode="auto">
                          <a:xfrm>
                            <a:off x="0" y="0"/>
                            <a:ext cx="1285200" cy="352800"/>
                          </a:xfrm>
                          <a:prstGeom prst="rect">
                            <a:avLst/>
                          </a:prstGeom>
                          <a:noFill/>
                          <a:ln>
                            <a:noFill/>
                          </a:ln>
                          <a:extLst>
                            <a:ext uri="{53640926-AAD7-44D8-BBD7-CCE9431645EC}">
                              <a14:shadowObscured xmlns:a14="http://schemas.microsoft.com/office/drawing/2010/main"/>
                            </a:ext>
                          </a:extLst>
                        </pic:spPr>
                      </pic:pic>
                    </a:graphicData>
                  </a:graphic>
                </wp:inline>
              </w:drawing>
            </w:r>
          </w:p>
          <w:p w14:paraId="655480DF" w14:textId="77777777" w:rsidR="00343D00" w:rsidRPr="008F6866" w:rsidRDefault="00343D00" w:rsidP="00327BC9">
            <w:pPr>
              <w:jc w:val="center"/>
              <w:rPr>
                <w:lang w:eastAsia="fr-BE"/>
              </w:rPr>
            </w:pPr>
          </w:p>
          <w:p w14:paraId="47B262A1" w14:textId="550C3E52" w:rsidR="001601E3" w:rsidRPr="008F6866" w:rsidRDefault="00343D00" w:rsidP="00327BC9">
            <w:pPr>
              <w:jc w:val="center"/>
              <w:rPr>
                <w:lang w:eastAsia="fr-BE"/>
              </w:rPr>
            </w:pPr>
            <w:r w:rsidRPr="008F6866">
              <w:rPr>
                <w:noProof/>
              </w:rPr>
              <w:drawing>
                <wp:inline distT="0" distB="0" distL="0" distR="0" wp14:anchorId="51BFC128" wp14:editId="46400B6B">
                  <wp:extent cx="1170957" cy="362464"/>
                  <wp:effectExtent l="0" t="0" r="0" b="0"/>
                  <wp:docPr id="13" name="Image 13" descr="C:\Users\andref\AppData\Local\Microsoft\Windows\INetCache\Content.MSO\8EE5FC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f\AppData\Local\Microsoft\Windows\INetCache\Content.MSO\8EE5FC5A.tmp"/>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56567" t="88852" r="6675" b="2750"/>
                          <a:stretch/>
                        </pic:blipFill>
                        <pic:spPr bwMode="auto">
                          <a:xfrm>
                            <a:off x="0" y="0"/>
                            <a:ext cx="1172203" cy="362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2B61DDD" w14:textId="5FF8D920" w:rsidR="00FA00EC" w:rsidRPr="008F6866" w:rsidRDefault="005C1422" w:rsidP="00AC4863">
      <w:pPr>
        <w:pStyle w:val="Lgende"/>
        <w:spacing w:after="120"/>
        <w:jc w:val="center"/>
        <w:rPr>
          <w:b/>
          <w:i w:val="0"/>
          <w:color w:val="000000" w:themeColor="text1"/>
          <w:sz w:val="20"/>
          <w:szCs w:val="20"/>
        </w:rPr>
      </w:pPr>
      <w:bookmarkStart w:id="101" w:name="_Ref195694514"/>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36</w:t>
      </w:r>
      <w:r w:rsidRPr="008F6866">
        <w:rPr>
          <w:b/>
          <w:i w:val="0"/>
          <w:color w:val="000000" w:themeColor="text1"/>
          <w:sz w:val="20"/>
          <w:szCs w:val="20"/>
        </w:rPr>
        <w:fldChar w:fldCharType="end"/>
      </w:r>
      <w:bookmarkEnd w:id="101"/>
      <w:r w:rsidRPr="008F6866">
        <w:rPr>
          <w:b/>
          <w:i w:val="0"/>
          <w:color w:val="000000" w:themeColor="text1"/>
          <w:sz w:val="20"/>
          <w:szCs w:val="20"/>
        </w:rPr>
        <w:t xml:space="preserve">. </w:t>
      </w:r>
      <w:r w:rsidR="00B47BC1" w:rsidRPr="008F6866">
        <w:rPr>
          <w:b/>
          <w:i w:val="0"/>
          <w:color w:val="000000" w:themeColor="text1"/>
          <w:sz w:val="20"/>
          <w:szCs w:val="20"/>
        </w:rPr>
        <w:t>Comparison of the indicator values from the simulation experiment investigating the impacts of climate change among the investigated silvicultural and climate scenarios and the CO</w:t>
      </w:r>
      <w:r w:rsidR="00B47BC1" w:rsidRPr="008F6866">
        <w:rPr>
          <w:b/>
          <w:i w:val="0"/>
          <w:color w:val="000000" w:themeColor="text1"/>
          <w:sz w:val="20"/>
          <w:szCs w:val="20"/>
          <w:vertAlign w:val="subscript"/>
        </w:rPr>
        <w:t>2</w:t>
      </w:r>
      <w:r w:rsidR="00B47BC1" w:rsidRPr="008F6866">
        <w:rPr>
          <w:b/>
          <w:i w:val="0"/>
          <w:color w:val="000000" w:themeColor="text1"/>
          <w:sz w:val="20"/>
          <w:szCs w:val="20"/>
        </w:rPr>
        <w:t xml:space="preserve"> modalities. Each individual point corresponds to the average value of the indicator computed over the 120 years of a Site x Silviculture x Climate x Climate model x CO</w:t>
      </w:r>
      <w:r w:rsidR="00B47BC1" w:rsidRPr="008F6866">
        <w:rPr>
          <w:b/>
          <w:i w:val="0"/>
          <w:color w:val="000000" w:themeColor="text1"/>
          <w:sz w:val="20"/>
          <w:szCs w:val="20"/>
          <w:vertAlign w:val="subscript"/>
        </w:rPr>
        <w:t>2</w:t>
      </w:r>
      <w:r w:rsidR="00B47BC1" w:rsidRPr="008F6866">
        <w:rPr>
          <w:b/>
          <w:i w:val="0"/>
          <w:color w:val="000000" w:themeColor="text1"/>
          <w:sz w:val="20"/>
          <w:szCs w:val="20"/>
        </w:rPr>
        <w:t xml:space="preserve"> modality simulation (i.e., 1 080 averages values for each indicator). For each boxplot, the notch represents the median value while the lower and upper ends correspond to the first (Q1) and the third (Q3) quartiles, respectively, which delimit the interquartile range (IQR); the extremities of the whiskers correspond to the minimum and maximum values determined as Q1</w:t>
      </w:r>
      <w:r w:rsidR="00334870" w:rsidRPr="008F6866">
        <w:rPr>
          <w:b/>
          <w:i w:val="0"/>
          <w:color w:val="000000" w:themeColor="text1"/>
          <w:sz w:val="20"/>
          <w:szCs w:val="20"/>
        </w:rPr>
        <w:t>  </w:t>
      </w:r>
      <w:r w:rsidR="00B47BC1" w:rsidRPr="008F6866">
        <w:rPr>
          <w:b/>
          <w:i w:val="0"/>
          <w:color w:val="000000" w:themeColor="text1"/>
          <w:sz w:val="20"/>
          <w:szCs w:val="20"/>
        </w:rPr>
        <w:t>1.5×IQR and as Q3 + 1.5×IQR, respectively; the points represented below and beyond these minimum and maximum values are considered as extreme values; the diamond symbol represents the general average value</w:t>
      </w:r>
    </w:p>
    <w:p w14:paraId="480BCAC2" w14:textId="50E7D0FF" w:rsidR="0031677F" w:rsidRPr="008F6866" w:rsidRDefault="0031677F" w:rsidP="007E1066">
      <w:pPr>
        <w:spacing w:after="120" w:line="300" w:lineRule="auto"/>
        <w:jc w:val="both"/>
        <w:rPr>
          <w:lang w:eastAsia="fr-BE"/>
        </w:rPr>
      </w:pPr>
      <w:r w:rsidRPr="008F6866">
        <w:rPr>
          <w:lang w:eastAsia="fr-BE"/>
        </w:rPr>
        <w:lastRenderedPageBreak/>
        <w:t>The radar charts shown in</w:t>
      </w:r>
      <w:r w:rsidR="00203182" w:rsidRPr="008F6866">
        <w:rPr>
          <w:lang w:eastAsia="fr-BE"/>
        </w:rPr>
        <w:t xml:space="preserve"> </w:t>
      </w:r>
      <w:r w:rsidR="00203182" w:rsidRPr="008F6866">
        <w:rPr>
          <w:lang w:eastAsia="fr-BE"/>
        </w:rPr>
        <w:fldChar w:fldCharType="begin"/>
      </w:r>
      <w:r w:rsidR="00203182" w:rsidRPr="008F6866">
        <w:rPr>
          <w:lang w:eastAsia="fr-BE"/>
        </w:rPr>
        <w:instrText xml:space="preserve"> REF _Ref195695338 \h  \* MERGEFORMAT </w:instrText>
      </w:r>
      <w:r w:rsidR="00203182" w:rsidRPr="008F6866">
        <w:rPr>
          <w:lang w:eastAsia="fr-BE"/>
        </w:rPr>
      </w:r>
      <w:r w:rsidR="00203182" w:rsidRPr="008F6866">
        <w:rPr>
          <w:lang w:eastAsia="fr-BE"/>
        </w:rPr>
        <w:fldChar w:fldCharType="separate"/>
      </w:r>
      <w:r w:rsidR="00540DBF" w:rsidRPr="00540DBF">
        <w:rPr>
          <w:lang w:eastAsia="fr-BE"/>
        </w:rPr>
        <w:t>Figure 37</w:t>
      </w:r>
      <w:r w:rsidR="00203182" w:rsidRPr="008F6866">
        <w:rPr>
          <w:lang w:eastAsia="fr-BE"/>
        </w:rPr>
        <w:fldChar w:fldCharType="end"/>
      </w:r>
      <w:r w:rsidRPr="008F6866">
        <w:rPr>
          <w:lang w:eastAsia="fr-BE"/>
        </w:rPr>
        <w:t xml:space="preserve"> provide a general overview of the average values of the studied indicators for each silvicultural route and of their variations as a function of the climate scenario and of the CO</w:t>
      </w:r>
      <w:r w:rsidRPr="008F6866">
        <w:rPr>
          <w:vertAlign w:val="subscript"/>
          <w:lang w:eastAsia="fr-BE"/>
        </w:rPr>
        <w:t>2</w:t>
      </w:r>
      <w:r w:rsidRPr="008F6866">
        <w:rPr>
          <w:lang w:eastAsia="fr-BE"/>
        </w:rPr>
        <w:t xml:space="preserve"> modality. Comparing silvicultural routes, DIV presents in each case higher values than the two other routes for</w:t>
      </w:r>
      <w:r w:rsidR="00147F21" w:rsidRPr="008F6866">
        <w:rPr>
          <w:lang w:eastAsia="fr-BE"/>
        </w:rPr>
        <w:t xml:space="preserve"> volume production,</w:t>
      </w:r>
      <w:r w:rsidRPr="008F6866">
        <w:rPr>
          <w:lang w:eastAsia="fr-BE"/>
        </w:rPr>
        <w:t xml:space="preserve"> profit, tree recruitment and, as expected, the Simpson diversity index, while it is always among the lowest values for tree mortality, GPP and transpiration. BAU maximizes transpiration, GPP, wind resistance and tree mortality while it presents the lowest values for </w:t>
      </w:r>
      <w:r w:rsidR="00B077E3" w:rsidRPr="008F6866">
        <w:rPr>
          <w:lang w:eastAsia="fr-BE"/>
        </w:rPr>
        <w:t xml:space="preserve">the volume production and </w:t>
      </w:r>
      <w:r w:rsidRPr="008F6866">
        <w:rPr>
          <w:lang w:eastAsia="fr-BE"/>
        </w:rPr>
        <w:t xml:space="preserve">the Simpson index. OAK systematically minimizes profit and wind resistance, and presents values intermediate to BAU and DIV for the other indicators. These results for silvicultural route comparison are in </w:t>
      </w:r>
      <w:r w:rsidR="00883293" w:rsidRPr="008F6866">
        <w:rPr>
          <w:lang w:eastAsia="fr-BE"/>
        </w:rPr>
        <w:t>agreement</w:t>
      </w:r>
      <w:r w:rsidRPr="008F6866">
        <w:rPr>
          <w:lang w:eastAsia="fr-BE"/>
        </w:rPr>
        <w:t xml:space="preserve"> with those reported above for the simulation experiment investigating the effects of silviculture and ungulate browsing. Given the influence of atmospheric CO</w:t>
      </w:r>
      <w:r w:rsidRPr="008F6866">
        <w:rPr>
          <w:vertAlign w:val="subscript"/>
          <w:lang w:eastAsia="fr-BE"/>
        </w:rPr>
        <w:t>2</w:t>
      </w:r>
      <w:r w:rsidRPr="008F6866">
        <w:rPr>
          <w:lang w:eastAsia="fr-BE"/>
        </w:rPr>
        <w:t xml:space="preserve"> concentration on productivity and stomatal regulation, the effects of climate change dominate the silvicultural route effects for GPP, profit and transpiration when variable atmospheric CO</w:t>
      </w:r>
      <w:r w:rsidRPr="008F6866">
        <w:rPr>
          <w:vertAlign w:val="subscript"/>
          <w:lang w:eastAsia="fr-BE"/>
        </w:rPr>
        <w:t>2</w:t>
      </w:r>
      <w:r w:rsidRPr="008F6866">
        <w:rPr>
          <w:lang w:eastAsia="fr-BE"/>
        </w:rPr>
        <w:t xml:space="preserve"> concentration is considered, with pronounced increases of the values of first two indicators with increasing radiative forcing (i.e., CO</w:t>
      </w:r>
      <w:r w:rsidRPr="008F6866">
        <w:rPr>
          <w:vertAlign w:val="subscript"/>
          <w:lang w:eastAsia="fr-BE"/>
        </w:rPr>
        <w:t>2</w:t>
      </w:r>
      <w:r w:rsidRPr="008F6866">
        <w:rPr>
          <w:lang w:eastAsia="fr-BE"/>
        </w:rPr>
        <w:t xml:space="preserve"> concentration) and inversely for the transpiration. On the other hand, climate change has only limited impacts on the other indicators.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0"/>
        <w:gridCol w:w="4530"/>
      </w:tblGrid>
      <w:tr w:rsidR="0031677F" w:rsidRPr="008F6866" w14:paraId="2FECF202" w14:textId="77777777" w:rsidTr="00AC4863">
        <w:tc>
          <w:tcPr>
            <w:tcW w:w="9060" w:type="dxa"/>
            <w:gridSpan w:val="2"/>
            <w:vAlign w:val="center"/>
          </w:tcPr>
          <w:p w14:paraId="076E5CDB" w14:textId="77777777" w:rsidR="0031677F" w:rsidRPr="008F6866" w:rsidRDefault="0031677F" w:rsidP="001F1586">
            <w:pPr>
              <w:spacing w:before="100" w:beforeAutospacing="1" w:after="100" w:afterAutospacing="1"/>
              <w:jc w:val="center"/>
              <w:rPr>
                <w:rFonts w:asciiTheme="minorHAnsi" w:hAnsiTheme="minorHAnsi" w:cstheme="minorHAnsi"/>
                <w:b/>
                <w:lang w:eastAsia="fr-BE"/>
              </w:rPr>
            </w:pPr>
            <w:r w:rsidRPr="008F6866">
              <w:rPr>
                <w:rFonts w:asciiTheme="minorHAnsi" w:hAnsiTheme="minorHAnsi" w:cstheme="minorHAnsi"/>
                <w:b/>
                <w:lang w:eastAsia="fr-BE"/>
              </w:rPr>
              <w:t>Historical</w:t>
            </w:r>
          </w:p>
        </w:tc>
      </w:tr>
      <w:tr w:rsidR="0031677F" w:rsidRPr="008F6866" w14:paraId="011BD286" w14:textId="77777777" w:rsidTr="00AC4863">
        <w:tc>
          <w:tcPr>
            <w:tcW w:w="9060" w:type="dxa"/>
            <w:gridSpan w:val="2"/>
            <w:vAlign w:val="center"/>
          </w:tcPr>
          <w:p w14:paraId="300D1643" w14:textId="586F3393" w:rsidR="0031677F" w:rsidRPr="008F6866" w:rsidRDefault="001E2133" w:rsidP="001F1586">
            <w:pPr>
              <w:spacing w:before="100" w:beforeAutospacing="1" w:after="100" w:afterAutospacing="1"/>
              <w:jc w:val="center"/>
              <w:rPr>
                <w:rFonts w:asciiTheme="minorHAnsi" w:hAnsiTheme="minorHAnsi" w:cstheme="minorHAnsi"/>
                <w:lang w:eastAsia="fr-BE"/>
              </w:rPr>
            </w:pPr>
            <w:r w:rsidRPr="008F6866">
              <w:rPr>
                <w:noProof/>
              </w:rPr>
              <w:drawing>
                <wp:inline distT="0" distB="0" distL="0" distR="0" wp14:anchorId="3D1A6C96" wp14:editId="4A5CC202">
                  <wp:extent cx="2588400" cy="2433600"/>
                  <wp:effectExtent l="0" t="0" r="2540" b="5080"/>
                  <wp:docPr id="2061681017" name="Image 206168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13731" t="3144" r="11478" b="3086"/>
                          <a:stretch/>
                        </pic:blipFill>
                        <pic:spPr bwMode="auto">
                          <a:xfrm>
                            <a:off x="0" y="0"/>
                            <a:ext cx="2588400" cy="2433600"/>
                          </a:xfrm>
                          <a:prstGeom prst="rect">
                            <a:avLst/>
                          </a:prstGeom>
                          <a:ln>
                            <a:noFill/>
                          </a:ln>
                          <a:extLst>
                            <a:ext uri="{53640926-AAD7-44D8-BBD7-CCE9431645EC}">
                              <a14:shadowObscured xmlns:a14="http://schemas.microsoft.com/office/drawing/2010/main"/>
                            </a:ext>
                          </a:extLst>
                        </pic:spPr>
                      </pic:pic>
                    </a:graphicData>
                  </a:graphic>
                </wp:inline>
              </w:drawing>
            </w:r>
          </w:p>
        </w:tc>
      </w:tr>
      <w:tr w:rsidR="0031677F" w:rsidRPr="008F6866" w14:paraId="070927A0" w14:textId="77777777" w:rsidTr="00AC4863">
        <w:tc>
          <w:tcPr>
            <w:tcW w:w="4530" w:type="dxa"/>
            <w:vAlign w:val="center"/>
          </w:tcPr>
          <w:p w14:paraId="23680B6A" w14:textId="77777777" w:rsidR="0031677F" w:rsidRPr="008F6866" w:rsidRDefault="0031677F" w:rsidP="001F1586">
            <w:pPr>
              <w:spacing w:before="100" w:beforeAutospacing="1" w:after="100" w:afterAutospacing="1"/>
              <w:jc w:val="center"/>
              <w:rPr>
                <w:rFonts w:asciiTheme="minorHAnsi" w:hAnsiTheme="minorHAnsi" w:cstheme="minorHAnsi"/>
                <w:b/>
                <w:lang w:eastAsia="fr-BE"/>
              </w:rPr>
            </w:pPr>
            <w:r w:rsidRPr="008F6866">
              <w:rPr>
                <w:rFonts w:asciiTheme="minorHAnsi" w:hAnsiTheme="minorHAnsi" w:cstheme="minorHAnsi"/>
                <w:b/>
                <w:lang w:eastAsia="fr-BE"/>
              </w:rPr>
              <w:t>SSP 126, constant [C0</w:t>
            </w:r>
            <w:r w:rsidRPr="008F6866">
              <w:rPr>
                <w:rFonts w:asciiTheme="minorHAnsi" w:hAnsiTheme="minorHAnsi" w:cstheme="minorHAnsi"/>
                <w:b/>
                <w:vertAlign w:val="subscript"/>
                <w:lang w:eastAsia="fr-BE"/>
              </w:rPr>
              <w:t>2</w:t>
            </w:r>
            <w:r w:rsidRPr="008F6866">
              <w:rPr>
                <w:rFonts w:asciiTheme="minorHAnsi" w:hAnsiTheme="minorHAnsi" w:cstheme="minorHAnsi"/>
                <w:b/>
                <w:lang w:eastAsia="fr-BE"/>
              </w:rPr>
              <w:t>]</w:t>
            </w:r>
          </w:p>
        </w:tc>
        <w:tc>
          <w:tcPr>
            <w:tcW w:w="4530" w:type="dxa"/>
            <w:vAlign w:val="center"/>
          </w:tcPr>
          <w:p w14:paraId="698AA5D7" w14:textId="77777777" w:rsidR="0031677F" w:rsidRPr="008F6866" w:rsidRDefault="0031677F">
            <w:pPr>
              <w:spacing w:before="100" w:beforeAutospacing="1" w:after="100" w:afterAutospacing="1"/>
              <w:jc w:val="center"/>
              <w:rPr>
                <w:rFonts w:asciiTheme="minorHAnsi" w:hAnsiTheme="minorHAnsi" w:cstheme="minorHAnsi"/>
                <w:b/>
                <w:lang w:eastAsia="fr-BE"/>
              </w:rPr>
            </w:pPr>
            <w:r w:rsidRPr="008F6866">
              <w:rPr>
                <w:rFonts w:asciiTheme="minorHAnsi" w:hAnsiTheme="minorHAnsi" w:cstheme="minorHAnsi"/>
                <w:b/>
                <w:lang w:eastAsia="fr-BE"/>
              </w:rPr>
              <w:t>SSP 126, variable [C0</w:t>
            </w:r>
            <w:r w:rsidRPr="008F6866">
              <w:rPr>
                <w:rFonts w:asciiTheme="minorHAnsi" w:hAnsiTheme="minorHAnsi" w:cstheme="minorHAnsi"/>
                <w:b/>
                <w:vertAlign w:val="subscript"/>
                <w:lang w:eastAsia="fr-BE"/>
              </w:rPr>
              <w:t>2</w:t>
            </w:r>
            <w:r w:rsidRPr="008F6866">
              <w:rPr>
                <w:rFonts w:asciiTheme="minorHAnsi" w:hAnsiTheme="minorHAnsi" w:cstheme="minorHAnsi"/>
                <w:b/>
                <w:lang w:eastAsia="fr-BE"/>
              </w:rPr>
              <w:t>]</w:t>
            </w:r>
          </w:p>
        </w:tc>
      </w:tr>
      <w:tr w:rsidR="0031677F" w:rsidRPr="008F6866" w14:paraId="0EABEA88" w14:textId="77777777" w:rsidTr="00AC4863">
        <w:tc>
          <w:tcPr>
            <w:tcW w:w="4530" w:type="dxa"/>
            <w:vAlign w:val="center"/>
          </w:tcPr>
          <w:p w14:paraId="0541E052" w14:textId="166BAA39" w:rsidR="0031677F" w:rsidRPr="008F6866" w:rsidRDefault="001E2133" w:rsidP="001F1586">
            <w:pPr>
              <w:spacing w:before="100" w:beforeAutospacing="1" w:after="100" w:afterAutospacing="1"/>
              <w:jc w:val="center"/>
              <w:rPr>
                <w:rFonts w:asciiTheme="minorHAnsi" w:hAnsiTheme="minorHAnsi" w:cstheme="minorHAnsi"/>
                <w:lang w:eastAsia="fr-BE"/>
              </w:rPr>
            </w:pPr>
            <w:r w:rsidRPr="008F6866">
              <w:rPr>
                <w:noProof/>
              </w:rPr>
              <w:drawing>
                <wp:inline distT="0" distB="0" distL="0" distR="0" wp14:anchorId="3B6E0847" wp14:editId="6733E5DE">
                  <wp:extent cx="2660400" cy="2523600"/>
                  <wp:effectExtent l="0" t="0" r="6985" b="0"/>
                  <wp:docPr id="2061681018" name="Image 206168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13927" t="2752" r="11577" b="3086"/>
                          <a:stretch/>
                        </pic:blipFill>
                        <pic:spPr bwMode="auto">
                          <a:xfrm>
                            <a:off x="0" y="0"/>
                            <a:ext cx="2660400" cy="2523600"/>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vAlign w:val="center"/>
          </w:tcPr>
          <w:p w14:paraId="4B47704C" w14:textId="0033C897" w:rsidR="0031677F" w:rsidRPr="008F6866" w:rsidRDefault="001E2133">
            <w:pPr>
              <w:spacing w:before="100" w:beforeAutospacing="1" w:after="100" w:afterAutospacing="1"/>
              <w:jc w:val="center"/>
              <w:rPr>
                <w:rFonts w:asciiTheme="minorHAnsi" w:hAnsiTheme="minorHAnsi" w:cstheme="minorHAnsi"/>
                <w:lang w:eastAsia="fr-BE"/>
              </w:rPr>
            </w:pPr>
            <w:r w:rsidRPr="008F6866">
              <w:rPr>
                <w:noProof/>
              </w:rPr>
              <w:drawing>
                <wp:inline distT="0" distB="0" distL="0" distR="0" wp14:anchorId="5DA2EC25" wp14:editId="0C68B9AD">
                  <wp:extent cx="2656800" cy="2509200"/>
                  <wp:effectExtent l="0" t="0" r="0" b="5715"/>
                  <wp:docPr id="2061681019" name="Image 206168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3731" t="3145" r="11871" b="3304"/>
                          <a:stretch/>
                        </pic:blipFill>
                        <pic:spPr bwMode="auto">
                          <a:xfrm>
                            <a:off x="0" y="0"/>
                            <a:ext cx="2656800" cy="2509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9CB872" w14:textId="77777777" w:rsidR="000F70A4" w:rsidRPr="008F6866" w:rsidRDefault="000F70A4" w:rsidP="000F70A4">
      <w:pPr>
        <w:pStyle w:val="Lgende"/>
        <w:spacing w:after="120"/>
        <w:jc w:val="center"/>
        <w:rPr>
          <w:rFonts w:cstheme="minorBidi"/>
          <w:b/>
          <w:i w:val="0"/>
          <w:color w:val="000000" w:themeColor="text1"/>
          <w:sz w:val="20"/>
          <w:szCs w:val="20"/>
        </w:rPr>
      </w:pPr>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Pr>
          <w:b/>
          <w:i w:val="0"/>
          <w:noProof/>
          <w:color w:val="000000" w:themeColor="text1"/>
          <w:sz w:val="20"/>
          <w:szCs w:val="20"/>
        </w:rPr>
        <w:t>37</w:t>
      </w:r>
      <w:r w:rsidRPr="008F6866">
        <w:rPr>
          <w:b/>
          <w:i w:val="0"/>
          <w:color w:val="000000" w:themeColor="text1"/>
          <w:sz w:val="20"/>
          <w:szCs w:val="20"/>
        </w:rPr>
        <w:fldChar w:fldCharType="end"/>
      </w:r>
      <w:r w:rsidRPr="008F6866">
        <w:rPr>
          <w:b/>
          <w:i w:val="0"/>
          <w:color w:val="000000" w:themeColor="text1"/>
          <w:sz w:val="20"/>
          <w:szCs w:val="20"/>
        </w:rPr>
        <w:t>. Average indicator values for the three silvicultural routes (BAU, OAK, DIV), four climate scenarios (Historical, SSP126, SSP245, SSP585) and considering constant or variable atmospheric CO</w:t>
      </w:r>
      <w:r w:rsidRPr="008F6866">
        <w:rPr>
          <w:b/>
          <w:i w:val="0"/>
          <w:color w:val="000000" w:themeColor="text1"/>
          <w:sz w:val="20"/>
          <w:szCs w:val="20"/>
          <w:vertAlign w:val="subscript"/>
        </w:rPr>
        <w:t>2</w:t>
      </w:r>
      <w:r w:rsidRPr="008F6866">
        <w:rPr>
          <w:b/>
          <w:i w:val="0"/>
          <w:color w:val="000000" w:themeColor="text1"/>
          <w:sz w:val="20"/>
          <w:szCs w:val="20"/>
        </w:rPr>
        <w:t xml:space="preserve"> concentration</w:t>
      </w:r>
    </w:p>
    <w:p w14:paraId="3FF891B7" w14:textId="77777777" w:rsidR="00C13A52" w:rsidRDefault="00C13A52"/>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0"/>
        <w:gridCol w:w="4530"/>
      </w:tblGrid>
      <w:tr w:rsidR="000F70A4" w:rsidRPr="008F6866" w14:paraId="56D8CA94" w14:textId="77777777" w:rsidTr="00AC4863">
        <w:tc>
          <w:tcPr>
            <w:tcW w:w="4530" w:type="dxa"/>
            <w:vAlign w:val="center"/>
          </w:tcPr>
          <w:p w14:paraId="5E5562A8" w14:textId="520CFCDF" w:rsidR="000F70A4" w:rsidRPr="008F6866" w:rsidRDefault="000F70A4" w:rsidP="000F70A4">
            <w:pPr>
              <w:spacing w:before="100" w:beforeAutospacing="1" w:after="100" w:afterAutospacing="1"/>
              <w:jc w:val="center"/>
              <w:rPr>
                <w:noProof/>
              </w:rPr>
            </w:pPr>
            <w:r w:rsidRPr="008F6866">
              <w:rPr>
                <w:rFonts w:asciiTheme="minorHAnsi" w:hAnsiTheme="minorHAnsi" w:cstheme="minorHAnsi"/>
                <w:b/>
                <w:lang w:eastAsia="fr-BE"/>
              </w:rPr>
              <w:t>SSP 245, constant [C0</w:t>
            </w:r>
            <w:r w:rsidRPr="008F6866">
              <w:rPr>
                <w:rFonts w:asciiTheme="minorHAnsi" w:hAnsiTheme="minorHAnsi" w:cstheme="minorHAnsi"/>
                <w:b/>
                <w:vertAlign w:val="subscript"/>
                <w:lang w:eastAsia="fr-BE"/>
              </w:rPr>
              <w:t>2</w:t>
            </w:r>
            <w:r w:rsidRPr="008F6866">
              <w:rPr>
                <w:rFonts w:asciiTheme="minorHAnsi" w:hAnsiTheme="minorHAnsi" w:cstheme="minorHAnsi"/>
                <w:b/>
                <w:lang w:eastAsia="fr-BE"/>
              </w:rPr>
              <w:t>]</w:t>
            </w:r>
          </w:p>
        </w:tc>
        <w:tc>
          <w:tcPr>
            <w:tcW w:w="4530" w:type="dxa"/>
            <w:vAlign w:val="center"/>
          </w:tcPr>
          <w:p w14:paraId="0CB6AB5D" w14:textId="574DE3F5" w:rsidR="000F70A4" w:rsidRPr="008F6866" w:rsidRDefault="000F70A4" w:rsidP="000F70A4">
            <w:pPr>
              <w:spacing w:before="100" w:beforeAutospacing="1" w:after="100" w:afterAutospacing="1"/>
              <w:jc w:val="center"/>
              <w:rPr>
                <w:noProof/>
              </w:rPr>
            </w:pPr>
            <w:r w:rsidRPr="008F6866">
              <w:rPr>
                <w:rFonts w:asciiTheme="minorHAnsi" w:hAnsiTheme="minorHAnsi" w:cstheme="minorHAnsi"/>
                <w:b/>
                <w:lang w:eastAsia="fr-BE"/>
              </w:rPr>
              <w:t>SSP 245, variable [C0</w:t>
            </w:r>
            <w:r w:rsidRPr="008F6866">
              <w:rPr>
                <w:rFonts w:asciiTheme="minorHAnsi" w:hAnsiTheme="minorHAnsi" w:cstheme="minorHAnsi"/>
                <w:b/>
                <w:vertAlign w:val="subscript"/>
                <w:lang w:eastAsia="fr-BE"/>
              </w:rPr>
              <w:t>2</w:t>
            </w:r>
            <w:r w:rsidRPr="008F6866">
              <w:rPr>
                <w:rFonts w:asciiTheme="minorHAnsi" w:hAnsiTheme="minorHAnsi" w:cstheme="minorHAnsi"/>
                <w:b/>
                <w:lang w:eastAsia="fr-BE"/>
              </w:rPr>
              <w:t>]</w:t>
            </w:r>
          </w:p>
        </w:tc>
      </w:tr>
      <w:tr w:rsidR="000F70A4" w:rsidRPr="008F6866" w14:paraId="12B902F0" w14:textId="77777777" w:rsidTr="00AC4863">
        <w:tc>
          <w:tcPr>
            <w:tcW w:w="4530" w:type="dxa"/>
            <w:vAlign w:val="center"/>
          </w:tcPr>
          <w:p w14:paraId="749F5EEF" w14:textId="0AF13AE2" w:rsidR="000F70A4" w:rsidRPr="008F6866" w:rsidRDefault="000F70A4" w:rsidP="000F70A4">
            <w:pPr>
              <w:spacing w:before="100" w:beforeAutospacing="1" w:after="100" w:afterAutospacing="1"/>
              <w:jc w:val="center"/>
              <w:rPr>
                <w:rFonts w:asciiTheme="minorHAnsi" w:hAnsiTheme="minorHAnsi" w:cstheme="minorHAnsi"/>
                <w:lang w:eastAsia="fr-BE"/>
              </w:rPr>
            </w:pPr>
            <w:r w:rsidRPr="008F6866">
              <w:rPr>
                <w:noProof/>
              </w:rPr>
              <w:drawing>
                <wp:inline distT="0" distB="0" distL="0" distR="0" wp14:anchorId="636CB09D" wp14:editId="3F310884">
                  <wp:extent cx="2831437" cy="2675255"/>
                  <wp:effectExtent l="0" t="0" r="7620" b="0"/>
                  <wp:docPr id="2061681020" name="Image 206168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13732" t="2949" r="11773" b="3282"/>
                          <a:stretch/>
                        </pic:blipFill>
                        <pic:spPr bwMode="auto">
                          <a:xfrm>
                            <a:off x="0" y="0"/>
                            <a:ext cx="2833200" cy="2676921"/>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vAlign w:val="center"/>
          </w:tcPr>
          <w:p w14:paraId="2109DEE7" w14:textId="6E933266" w:rsidR="000F70A4" w:rsidRPr="008F6866" w:rsidRDefault="000F70A4" w:rsidP="000F70A4">
            <w:pPr>
              <w:spacing w:before="100" w:beforeAutospacing="1" w:after="100" w:afterAutospacing="1"/>
              <w:jc w:val="center"/>
              <w:rPr>
                <w:rFonts w:asciiTheme="minorHAnsi" w:hAnsiTheme="minorHAnsi" w:cstheme="minorHAnsi"/>
                <w:lang w:eastAsia="fr-BE"/>
              </w:rPr>
            </w:pPr>
            <w:r w:rsidRPr="008F6866">
              <w:rPr>
                <w:noProof/>
              </w:rPr>
              <w:drawing>
                <wp:inline distT="0" distB="0" distL="0" distR="0" wp14:anchorId="20015DFB" wp14:editId="595B5B9A">
                  <wp:extent cx="2861310" cy="2687102"/>
                  <wp:effectExtent l="0" t="0" r="0" b="0"/>
                  <wp:docPr id="2061681021" name="Image 206168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13244" t="2555" r="11481" b="3297"/>
                          <a:stretch/>
                        </pic:blipFill>
                        <pic:spPr bwMode="auto">
                          <a:xfrm>
                            <a:off x="0" y="0"/>
                            <a:ext cx="2862000" cy="2687750"/>
                          </a:xfrm>
                          <a:prstGeom prst="rect">
                            <a:avLst/>
                          </a:prstGeom>
                          <a:ln>
                            <a:noFill/>
                          </a:ln>
                          <a:extLst>
                            <a:ext uri="{53640926-AAD7-44D8-BBD7-CCE9431645EC}">
                              <a14:shadowObscured xmlns:a14="http://schemas.microsoft.com/office/drawing/2010/main"/>
                            </a:ext>
                          </a:extLst>
                        </pic:spPr>
                      </pic:pic>
                    </a:graphicData>
                  </a:graphic>
                </wp:inline>
              </w:drawing>
            </w:r>
          </w:p>
        </w:tc>
      </w:tr>
      <w:tr w:rsidR="000F70A4" w:rsidRPr="008F6866" w14:paraId="553837CC" w14:textId="77777777" w:rsidTr="00AC4863">
        <w:tc>
          <w:tcPr>
            <w:tcW w:w="4530" w:type="dxa"/>
            <w:vAlign w:val="center"/>
          </w:tcPr>
          <w:p w14:paraId="5EB25B72" w14:textId="77777777" w:rsidR="000F70A4" w:rsidRPr="008F6866" w:rsidRDefault="000F70A4" w:rsidP="000F70A4">
            <w:pPr>
              <w:spacing w:before="100" w:beforeAutospacing="1" w:after="100" w:afterAutospacing="1"/>
              <w:jc w:val="center"/>
              <w:rPr>
                <w:rFonts w:asciiTheme="minorHAnsi" w:hAnsiTheme="minorHAnsi" w:cstheme="minorHAnsi"/>
                <w:b/>
                <w:noProof/>
              </w:rPr>
            </w:pPr>
            <w:r w:rsidRPr="008F6866">
              <w:rPr>
                <w:rFonts w:asciiTheme="minorHAnsi" w:hAnsiTheme="minorHAnsi" w:cstheme="minorHAnsi"/>
                <w:b/>
                <w:lang w:eastAsia="fr-BE"/>
              </w:rPr>
              <w:t>SSP 585, constant [C0</w:t>
            </w:r>
            <w:r w:rsidRPr="008F6866">
              <w:rPr>
                <w:rFonts w:asciiTheme="minorHAnsi" w:hAnsiTheme="minorHAnsi" w:cstheme="minorHAnsi"/>
                <w:b/>
                <w:vertAlign w:val="subscript"/>
                <w:lang w:eastAsia="fr-BE"/>
              </w:rPr>
              <w:t>2</w:t>
            </w:r>
            <w:r w:rsidRPr="008F6866">
              <w:rPr>
                <w:rFonts w:asciiTheme="minorHAnsi" w:hAnsiTheme="minorHAnsi" w:cstheme="minorHAnsi"/>
                <w:b/>
                <w:lang w:eastAsia="fr-BE"/>
              </w:rPr>
              <w:t>]</w:t>
            </w:r>
          </w:p>
        </w:tc>
        <w:tc>
          <w:tcPr>
            <w:tcW w:w="4530" w:type="dxa"/>
            <w:vAlign w:val="center"/>
          </w:tcPr>
          <w:p w14:paraId="7B6B0F55" w14:textId="77777777" w:rsidR="000F70A4" w:rsidRPr="008F6866" w:rsidRDefault="000F70A4" w:rsidP="000F70A4">
            <w:pPr>
              <w:spacing w:before="100" w:beforeAutospacing="1" w:after="100" w:afterAutospacing="1"/>
              <w:jc w:val="center"/>
              <w:rPr>
                <w:rFonts w:cstheme="minorHAnsi"/>
                <w:noProof/>
              </w:rPr>
            </w:pPr>
            <w:r w:rsidRPr="008F6866">
              <w:rPr>
                <w:rFonts w:asciiTheme="minorHAnsi" w:hAnsiTheme="minorHAnsi" w:cstheme="minorHAnsi"/>
                <w:b/>
                <w:lang w:eastAsia="fr-BE"/>
              </w:rPr>
              <w:t>SSP 585, variable [C0</w:t>
            </w:r>
            <w:r w:rsidRPr="008F6866">
              <w:rPr>
                <w:rFonts w:asciiTheme="minorHAnsi" w:hAnsiTheme="minorHAnsi" w:cstheme="minorHAnsi"/>
                <w:b/>
                <w:vertAlign w:val="subscript"/>
                <w:lang w:eastAsia="fr-BE"/>
              </w:rPr>
              <w:t>2</w:t>
            </w:r>
            <w:r w:rsidRPr="008F6866">
              <w:rPr>
                <w:rFonts w:asciiTheme="minorHAnsi" w:hAnsiTheme="minorHAnsi" w:cstheme="minorHAnsi"/>
                <w:b/>
                <w:lang w:eastAsia="fr-BE"/>
              </w:rPr>
              <w:t>]</w:t>
            </w:r>
          </w:p>
        </w:tc>
      </w:tr>
      <w:tr w:rsidR="000F70A4" w:rsidRPr="008F6866" w14:paraId="3366ACAD" w14:textId="77777777" w:rsidTr="00AC4863">
        <w:tc>
          <w:tcPr>
            <w:tcW w:w="4530" w:type="dxa"/>
            <w:vAlign w:val="center"/>
          </w:tcPr>
          <w:p w14:paraId="68C17A21" w14:textId="4E25E26C" w:rsidR="000F70A4" w:rsidRPr="008F6866" w:rsidRDefault="000F70A4" w:rsidP="000F70A4">
            <w:pPr>
              <w:spacing w:before="100" w:beforeAutospacing="1" w:after="100" w:afterAutospacing="1"/>
              <w:jc w:val="center"/>
              <w:rPr>
                <w:rFonts w:cstheme="minorHAnsi"/>
                <w:noProof/>
              </w:rPr>
            </w:pPr>
            <w:r w:rsidRPr="008F6866">
              <w:rPr>
                <w:noProof/>
              </w:rPr>
              <w:drawing>
                <wp:inline distT="0" distB="0" distL="0" distR="0" wp14:anchorId="1E6C1A89" wp14:editId="09CF3CFB">
                  <wp:extent cx="2854096" cy="2691862"/>
                  <wp:effectExtent l="0" t="0" r="3810" b="0"/>
                  <wp:docPr id="2061681022" name="Image 206168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13439" t="2555" r="11481" b="3129"/>
                          <a:stretch/>
                        </pic:blipFill>
                        <pic:spPr bwMode="auto">
                          <a:xfrm>
                            <a:off x="0" y="0"/>
                            <a:ext cx="2854800" cy="2692526"/>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vAlign w:val="center"/>
          </w:tcPr>
          <w:p w14:paraId="617728D7" w14:textId="7125F419" w:rsidR="000F70A4" w:rsidRPr="008F6866" w:rsidRDefault="000F70A4" w:rsidP="000F70A4">
            <w:pPr>
              <w:spacing w:before="100" w:beforeAutospacing="1" w:after="100" w:afterAutospacing="1"/>
              <w:jc w:val="center"/>
              <w:rPr>
                <w:rFonts w:cstheme="minorHAnsi"/>
                <w:noProof/>
              </w:rPr>
            </w:pPr>
            <w:r w:rsidRPr="008F6866">
              <w:rPr>
                <w:noProof/>
              </w:rPr>
              <w:drawing>
                <wp:inline distT="0" distB="0" distL="0" distR="0" wp14:anchorId="581264C8" wp14:editId="5D3C505E">
                  <wp:extent cx="2825115" cy="2675882"/>
                  <wp:effectExtent l="0" t="0" r="0" b="0"/>
                  <wp:docPr id="2061681023" name="Image 206168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13828" t="2948" r="11871" b="3290"/>
                          <a:stretch/>
                        </pic:blipFill>
                        <pic:spPr bwMode="auto">
                          <a:xfrm>
                            <a:off x="0" y="0"/>
                            <a:ext cx="2826000" cy="2676720"/>
                          </a:xfrm>
                          <a:prstGeom prst="rect">
                            <a:avLst/>
                          </a:prstGeom>
                          <a:ln>
                            <a:noFill/>
                          </a:ln>
                          <a:extLst>
                            <a:ext uri="{53640926-AAD7-44D8-BBD7-CCE9431645EC}">
                              <a14:shadowObscured xmlns:a14="http://schemas.microsoft.com/office/drawing/2010/main"/>
                            </a:ext>
                          </a:extLst>
                        </pic:spPr>
                      </pic:pic>
                    </a:graphicData>
                  </a:graphic>
                </wp:inline>
              </w:drawing>
            </w:r>
          </w:p>
        </w:tc>
      </w:tr>
      <w:tr w:rsidR="000F70A4" w:rsidRPr="008F6866" w14:paraId="375C7E8C" w14:textId="77777777" w:rsidTr="00045DEA">
        <w:trPr>
          <w:trHeight w:val="358"/>
        </w:trPr>
        <w:tc>
          <w:tcPr>
            <w:tcW w:w="9060" w:type="dxa"/>
            <w:gridSpan w:val="2"/>
            <w:vAlign w:val="center"/>
          </w:tcPr>
          <w:p w14:paraId="04FB4A42" w14:textId="77777777" w:rsidR="000F70A4" w:rsidRPr="008F6866" w:rsidRDefault="000F70A4" w:rsidP="000F70A4">
            <w:pPr>
              <w:spacing w:before="100" w:beforeAutospacing="1" w:after="100" w:afterAutospacing="1"/>
              <w:jc w:val="center"/>
              <w:rPr>
                <w:noProof/>
              </w:rPr>
            </w:pPr>
            <w:r w:rsidRPr="008F6866">
              <w:rPr>
                <w:noProof/>
              </w:rPr>
              <w:drawing>
                <wp:inline distT="0" distB="0" distL="0" distR="0" wp14:anchorId="7D4D49B0" wp14:editId="51669B74">
                  <wp:extent cx="1573428" cy="420130"/>
                  <wp:effectExtent l="0" t="0" r="825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40857" t="91015" r="40483" b="558"/>
                          <a:stretch/>
                        </pic:blipFill>
                        <pic:spPr bwMode="auto">
                          <a:xfrm>
                            <a:off x="0" y="0"/>
                            <a:ext cx="1585885" cy="4234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14C478" w14:textId="14D0D2DC" w:rsidR="00045DEA" w:rsidRPr="008F6866" w:rsidRDefault="00203182" w:rsidP="00203182">
      <w:pPr>
        <w:pStyle w:val="Lgende"/>
        <w:spacing w:after="120"/>
        <w:jc w:val="center"/>
        <w:rPr>
          <w:rFonts w:cstheme="minorBidi"/>
          <w:b/>
          <w:i w:val="0"/>
          <w:color w:val="000000" w:themeColor="text1"/>
          <w:sz w:val="20"/>
          <w:szCs w:val="20"/>
        </w:rPr>
      </w:pPr>
      <w:bookmarkStart w:id="102" w:name="_Ref195695338"/>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37</w:t>
      </w:r>
      <w:r w:rsidRPr="008F6866">
        <w:rPr>
          <w:b/>
          <w:i w:val="0"/>
          <w:color w:val="000000" w:themeColor="text1"/>
          <w:sz w:val="20"/>
          <w:szCs w:val="20"/>
        </w:rPr>
        <w:fldChar w:fldCharType="end"/>
      </w:r>
      <w:bookmarkEnd w:id="102"/>
      <w:r w:rsidRPr="008F6866">
        <w:rPr>
          <w:b/>
          <w:i w:val="0"/>
          <w:color w:val="000000" w:themeColor="text1"/>
          <w:sz w:val="20"/>
          <w:szCs w:val="20"/>
        </w:rPr>
        <w:t>. Average indicator values for the three silvicultural routes (BAU, OAK, DIV), four climate scenarios (Historical, SSP126, SSP245, SSP585) and considering constant or variable atmospheric CO</w:t>
      </w:r>
      <w:r w:rsidRPr="008F6866">
        <w:rPr>
          <w:b/>
          <w:i w:val="0"/>
          <w:color w:val="000000" w:themeColor="text1"/>
          <w:sz w:val="20"/>
          <w:szCs w:val="20"/>
          <w:vertAlign w:val="subscript"/>
        </w:rPr>
        <w:t>2</w:t>
      </w:r>
      <w:r w:rsidRPr="008F6866">
        <w:rPr>
          <w:b/>
          <w:i w:val="0"/>
          <w:color w:val="000000" w:themeColor="text1"/>
          <w:sz w:val="20"/>
          <w:szCs w:val="20"/>
        </w:rPr>
        <w:t xml:space="preserve"> concentration</w:t>
      </w:r>
      <w:r w:rsidR="00FE36A2">
        <w:rPr>
          <w:b/>
          <w:i w:val="0"/>
          <w:color w:val="000000" w:themeColor="text1"/>
          <w:sz w:val="20"/>
          <w:szCs w:val="20"/>
        </w:rPr>
        <w:t xml:space="preserve"> (continued)</w:t>
      </w:r>
    </w:p>
    <w:p w14:paraId="2F223D26" w14:textId="2CFE0EDB" w:rsidR="00203182" w:rsidRPr="008F6866" w:rsidRDefault="00203182" w:rsidP="00203182">
      <w:pPr>
        <w:spacing w:after="0" w:line="240" w:lineRule="auto"/>
        <w:jc w:val="both"/>
        <w:rPr>
          <w:rFonts w:eastAsia="Times New Roman" w:cs="Times New Roman"/>
          <w:lang w:eastAsia="fr-BE"/>
        </w:rPr>
      </w:pPr>
    </w:p>
    <w:p w14:paraId="533833C6" w14:textId="4E5F0CAE" w:rsidR="007F404C" w:rsidRPr="008F6866" w:rsidRDefault="0088504B" w:rsidP="00E77CCD">
      <w:pPr>
        <w:spacing w:after="120" w:line="300" w:lineRule="auto"/>
        <w:jc w:val="both"/>
        <w:rPr>
          <w:rFonts w:eastAsia="Times New Roman" w:cs="Times New Roman"/>
          <w:lang w:eastAsia="fr-BE"/>
        </w:rPr>
      </w:pPr>
      <w:r w:rsidRPr="008F6866">
        <w:rPr>
          <w:rFonts w:eastAsia="Times New Roman" w:cs="Times New Roman"/>
          <w:lang w:eastAsia="fr-BE"/>
        </w:rPr>
        <w:fldChar w:fldCharType="begin"/>
      </w:r>
      <w:r w:rsidRPr="008F6866">
        <w:rPr>
          <w:rFonts w:eastAsia="Times New Roman" w:cs="Times New Roman"/>
          <w:lang w:eastAsia="fr-BE"/>
        </w:rPr>
        <w:instrText xml:space="preserve"> REF _Ref195695563 \h  \* MERGEFORMAT </w:instrText>
      </w:r>
      <w:r w:rsidRPr="008F6866">
        <w:rPr>
          <w:rFonts w:eastAsia="Times New Roman" w:cs="Times New Roman"/>
          <w:lang w:eastAsia="fr-BE"/>
        </w:rPr>
      </w:r>
      <w:r w:rsidRPr="008F6866">
        <w:rPr>
          <w:rFonts w:eastAsia="Times New Roman" w:cs="Times New Roman"/>
          <w:lang w:eastAsia="fr-BE"/>
        </w:rPr>
        <w:fldChar w:fldCharType="separate"/>
      </w:r>
      <w:r w:rsidR="00540DBF" w:rsidRPr="00540DBF">
        <w:rPr>
          <w:rFonts w:eastAsia="Times New Roman" w:cs="Times New Roman"/>
          <w:lang w:eastAsia="fr-BE"/>
        </w:rPr>
        <w:t>Figure 38</w:t>
      </w:r>
      <w:r w:rsidRPr="008F6866">
        <w:rPr>
          <w:rFonts w:eastAsia="Times New Roman" w:cs="Times New Roman"/>
          <w:lang w:eastAsia="fr-BE"/>
        </w:rPr>
        <w:fldChar w:fldCharType="end"/>
      </w:r>
      <w:r w:rsidRPr="008F6866">
        <w:rPr>
          <w:rFonts w:eastAsia="Times New Roman" w:cs="Times New Roman"/>
          <w:lang w:eastAsia="fr-BE"/>
        </w:rPr>
        <w:t xml:space="preserve"> </w:t>
      </w:r>
      <w:r w:rsidR="007F404C" w:rsidRPr="008F6866">
        <w:rPr>
          <w:rFonts w:eastAsia="Times New Roman" w:cs="Times New Roman"/>
          <w:lang w:eastAsia="fr-BE"/>
        </w:rPr>
        <w:t>shows the distribution of indicator variance across the studied factors, derived from the statistical model outlined in Equation</w:t>
      </w:r>
      <w:r w:rsidR="004D18C5" w:rsidRPr="008F6866">
        <w:rPr>
          <w:rFonts w:eastAsia="Times New Roman" w:cs="Times New Roman"/>
          <w:lang w:eastAsia="fr-BE"/>
        </w:rPr>
        <w:t xml:space="preserve"> 4.1</w:t>
      </w:r>
      <w:r w:rsidR="000E3AA9">
        <w:rPr>
          <w:rFonts w:eastAsia="Times New Roman" w:cs="Times New Roman"/>
          <w:lang w:eastAsia="fr-BE"/>
        </w:rPr>
        <w:t>5</w:t>
      </w:r>
      <w:r w:rsidR="007F404C" w:rsidRPr="008F6866">
        <w:rPr>
          <w:rFonts w:eastAsia="Times New Roman" w:cs="Times New Roman"/>
          <w:lang w:eastAsia="fr-BE"/>
        </w:rPr>
        <w:t>. The distribution is presented for the entire 120-year simulation period, as well as for three 40-year sub-periods (2016-2055, 2056-2095, 2096-2135). Over the full period, the site effect explained over 70% of the variance for transpiration and profit, 67%</w:t>
      </w:r>
      <w:r w:rsidR="00317523" w:rsidRPr="008F6866">
        <w:rPr>
          <w:rFonts w:eastAsia="Times New Roman" w:cs="Times New Roman"/>
          <w:lang w:eastAsia="fr-BE"/>
        </w:rPr>
        <w:t xml:space="preserve"> for wind undamaged percentage,</w:t>
      </w:r>
      <w:r w:rsidR="007F404C" w:rsidRPr="008F6866">
        <w:rPr>
          <w:rFonts w:eastAsia="Times New Roman" w:cs="Times New Roman"/>
          <w:lang w:eastAsia="fr-BE"/>
        </w:rPr>
        <w:t xml:space="preserve"> 50% </w:t>
      </w:r>
      <w:r w:rsidR="00317523" w:rsidRPr="008F6866">
        <w:rPr>
          <w:rFonts w:eastAsia="Times New Roman" w:cs="Times New Roman"/>
          <w:lang w:eastAsia="fr-BE"/>
        </w:rPr>
        <w:t>for</w:t>
      </w:r>
      <w:r w:rsidR="007F404C" w:rsidRPr="008F6866">
        <w:rPr>
          <w:rFonts w:eastAsia="Times New Roman" w:cs="Times New Roman"/>
          <w:lang w:eastAsia="fr-BE"/>
        </w:rPr>
        <w:t xml:space="preserve"> GPP </w:t>
      </w:r>
      <w:r w:rsidR="00317523" w:rsidRPr="008F6866">
        <w:rPr>
          <w:rFonts w:eastAsia="Times New Roman" w:cs="Times New Roman"/>
          <w:lang w:eastAsia="fr-BE"/>
        </w:rPr>
        <w:t>and volume production</w:t>
      </w:r>
      <w:r w:rsidR="007F404C" w:rsidRPr="008F6866">
        <w:rPr>
          <w:rFonts w:eastAsia="Times New Roman" w:cs="Times New Roman"/>
          <w:lang w:eastAsia="fr-BE"/>
        </w:rPr>
        <w:t>, around 30% for the Simpson index and tree mortality and 12% for tree recruitment. For the latter three indicators, the silvicultural route was the dominant factor explaining the variability, accounting for 62% for the Simpson index variance and around 50% for both tree recruitment and mortality. The effects of CO</w:t>
      </w:r>
      <w:r w:rsidR="007F404C" w:rsidRPr="008F6866">
        <w:rPr>
          <w:rFonts w:eastAsia="Times New Roman" w:cs="Times New Roman"/>
          <w:vertAlign w:val="subscript"/>
          <w:lang w:eastAsia="fr-BE"/>
        </w:rPr>
        <w:t>2</w:t>
      </w:r>
      <w:r w:rsidR="007F404C" w:rsidRPr="008F6866">
        <w:rPr>
          <w:rFonts w:eastAsia="Times New Roman" w:cs="Times New Roman"/>
          <w:lang w:eastAsia="fr-BE"/>
        </w:rPr>
        <w:t xml:space="preserve"> modality (i.e., constant </w:t>
      </w:r>
      <w:r w:rsidR="007F404C" w:rsidRPr="008F6866">
        <w:rPr>
          <w:rFonts w:eastAsia="Times New Roman" w:cs="Times New Roman"/>
          <w:i/>
          <w:lang w:eastAsia="fr-BE"/>
        </w:rPr>
        <w:t>vs.</w:t>
      </w:r>
      <w:r w:rsidR="007F404C" w:rsidRPr="008F6866">
        <w:rPr>
          <w:rFonts w:eastAsia="Times New Roman" w:cs="Times New Roman"/>
          <w:lang w:eastAsia="fr-BE"/>
        </w:rPr>
        <w:t xml:space="preserve"> </w:t>
      </w:r>
      <w:r w:rsidR="007F404C" w:rsidRPr="008F6866">
        <w:rPr>
          <w:rFonts w:eastAsia="Times New Roman" w:cs="Times New Roman"/>
          <w:lang w:eastAsia="fr-BE"/>
        </w:rPr>
        <w:lastRenderedPageBreak/>
        <w:t xml:space="preserve">variable atmospheric concentration) and the climate scenario (SSP) showed noticeable contributions to variability for </w:t>
      </w:r>
      <w:r w:rsidR="00317523" w:rsidRPr="008F6866">
        <w:rPr>
          <w:rFonts w:eastAsia="Times New Roman" w:cs="Times New Roman"/>
          <w:lang w:eastAsia="fr-BE"/>
        </w:rPr>
        <w:t xml:space="preserve">volume production, </w:t>
      </w:r>
      <w:r w:rsidR="007F404C" w:rsidRPr="008F6866">
        <w:rPr>
          <w:rFonts w:eastAsia="Times New Roman" w:cs="Times New Roman"/>
          <w:lang w:eastAsia="fr-BE"/>
        </w:rPr>
        <w:t xml:space="preserve">GPP, transpiration and profit, with these two factors explaining </w:t>
      </w:r>
      <w:r w:rsidR="00B80431" w:rsidRPr="008F6866">
        <w:rPr>
          <w:rFonts w:eastAsia="Times New Roman" w:cs="Times New Roman"/>
          <w:lang w:eastAsia="fr-BE"/>
        </w:rPr>
        <w:t xml:space="preserve">around </w:t>
      </w:r>
      <w:r w:rsidR="007F404C" w:rsidRPr="008F6866">
        <w:rPr>
          <w:rFonts w:eastAsia="Times New Roman" w:cs="Times New Roman"/>
          <w:lang w:eastAsia="fr-BE"/>
        </w:rPr>
        <w:t>3% and 7% of the variance for the two latter indicators, 7% and 10% for GPP</w:t>
      </w:r>
      <w:r w:rsidR="00B80431" w:rsidRPr="008F6866">
        <w:rPr>
          <w:rFonts w:eastAsia="Times New Roman" w:cs="Times New Roman"/>
          <w:lang w:eastAsia="fr-BE"/>
        </w:rPr>
        <w:t>, and up to 9% and 24% for volume production</w:t>
      </w:r>
      <w:r w:rsidR="007F404C" w:rsidRPr="008F6866">
        <w:rPr>
          <w:rFonts w:eastAsia="Times New Roman" w:cs="Times New Roman"/>
          <w:lang w:eastAsia="fr-BE"/>
        </w:rPr>
        <w:t xml:space="preserve">. </w:t>
      </w:r>
      <w:r w:rsidR="00B80431" w:rsidRPr="008F6866">
        <w:rPr>
          <w:rFonts w:eastAsia="Times New Roman" w:cs="Times New Roman"/>
          <w:lang w:eastAsia="fr-BE"/>
        </w:rPr>
        <w:t xml:space="preserve">The climate model explained 5% of the variance for transpiration and around 3% and 2% for GPP and volume production respectively, while contributing to less than 1% for the </w:t>
      </w:r>
      <w:r w:rsidR="00FE36A2" w:rsidRPr="008F6866">
        <w:rPr>
          <w:rFonts w:eastAsia="Times New Roman" w:cs="Times New Roman"/>
          <w:lang w:eastAsia="fr-BE"/>
        </w:rPr>
        <w:t>other</w:t>
      </w:r>
      <w:r w:rsidR="00B80431" w:rsidRPr="008F6866">
        <w:rPr>
          <w:rFonts w:eastAsia="Times New Roman" w:cs="Times New Roman"/>
          <w:lang w:eastAsia="fr-BE"/>
        </w:rPr>
        <w:t xml:space="preserve"> indicators. </w:t>
      </w:r>
      <w:r w:rsidR="007F404C" w:rsidRPr="008F6866">
        <w:rPr>
          <w:rFonts w:eastAsia="Times New Roman" w:cs="Times New Roman"/>
          <w:lang w:eastAsia="fr-BE"/>
        </w:rPr>
        <w:t>Finally, the ‘residual’ contribution, corresponding to the part of the variance unexplained by the preceding factors, ranged between 6% for profit and 35% for tree recruitment. This residual effect is partly due to stochasticity introduced in the HETEROFOR model to account for uncertainties in some of the modelled processes and for the randomness involved in silvicultural operations (e.g., selection of the trees to be harvested during logging). Additionally, a part of residual variance would also arise from the fact that the stands of the case studies used as the initial stages for the simulations presented contrasting characteristics (see</w:t>
      </w:r>
      <w:r w:rsidR="00DE20DE" w:rsidRPr="008F6866">
        <w:rPr>
          <w:rFonts w:eastAsia="Times New Roman" w:cs="Times New Roman"/>
          <w:lang w:eastAsia="fr-BE"/>
        </w:rPr>
        <w:t xml:space="preserve"> </w:t>
      </w:r>
      <w:r w:rsidR="002B5A4E" w:rsidRPr="008F6866">
        <w:rPr>
          <w:rFonts w:eastAsia="Times New Roman" w:cs="Times New Roman"/>
          <w:lang w:eastAsia="fr-BE"/>
        </w:rPr>
        <w:fldChar w:fldCharType="begin"/>
      </w:r>
      <w:r w:rsidR="002B5A4E" w:rsidRPr="008F6866">
        <w:rPr>
          <w:rFonts w:eastAsia="Times New Roman" w:cs="Times New Roman"/>
          <w:lang w:eastAsia="fr-BE"/>
        </w:rPr>
        <w:instrText xml:space="preserve"> REF _Ref195652757 \h  \* MERGEFORMAT </w:instrText>
      </w:r>
      <w:r w:rsidR="002B5A4E" w:rsidRPr="008F6866">
        <w:rPr>
          <w:rFonts w:eastAsia="Times New Roman" w:cs="Times New Roman"/>
          <w:lang w:eastAsia="fr-BE"/>
        </w:rPr>
      </w:r>
      <w:r w:rsidR="002B5A4E" w:rsidRPr="008F6866">
        <w:rPr>
          <w:rFonts w:eastAsia="Times New Roman" w:cs="Times New Roman"/>
          <w:lang w:eastAsia="fr-BE"/>
        </w:rPr>
        <w:fldChar w:fldCharType="separate"/>
      </w:r>
      <w:r w:rsidR="00540DBF" w:rsidRPr="00540DBF">
        <w:rPr>
          <w:rFonts w:eastAsia="Times New Roman" w:cs="Times New Roman"/>
          <w:lang w:eastAsia="fr-BE"/>
        </w:rPr>
        <w:t>Table IV</w:t>
      </w:r>
      <w:r w:rsidR="002B5A4E" w:rsidRPr="008F6866">
        <w:rPr>
          <w:rFonts w:eastAsia="Times New Roman" w:cs="Times New Roman"/>
          <w:lang w:eastAsia="fr-BE"/>
        </w:rPr>
        <w:fldChar w:fldCharType="end"/>
      </w:r>
      <w:r w:rsidR="007F404C" w:rsidRPr="008F6866">
        <w:rPr>
          <w:rFonts w:eastAsia="Times New Roman" w:cs="Times New Roman"/>
          <w:lang w:eastAsia="fr-BE"/>
        </w:rPr>
        <w:t>) and, as a result, the stands in the simulations do not evolve in phase among the different sites for a given combination of silvicultural route x climate scenario x climate model x CO</w:t>
      </w:r>
      <w:r w:rsidR="007F404C" w:rsidRPr="008F6866">
        <w:rPr>
          <w:rFonts w:eastAsia="Times New Roman" w:cs="Times New Roman"/>
          <w:vertAlign w:val="subscript"/>
          <w:lang w:eastAsia="fr-BE"/>
        </w:rPr>
        <w:t>2</w:t>
      </w:r>
      <w:r w:rsidR="007F404C" w:rsidRPr="008F6866">
        <w:rPr>
          <w:rFonts w:eastAsia="Times New Roman" w:cs="Times New Roman"/>
          <w:lang w:eastAsia="fr-BE"/>
        </w:rPr>
        <w:t xml:space="preserve"> modality, thus introducing variability in the indicators not explained by the studied factors.</w:t>
      </w:r>
    </w:p>
    <w:p w14:paraId="623ED48B" w14:textId="4A23F92B" w:rsidR="007F404C" w:rsidRDefault="007F404C" w:rsidP="00E77CCD">
      <w:pPr>
        <w:spacing w:after="120" w:line="300" w:lineRule="auto"/>
        <w:jc w:val="both"/>
        <w:rPr>
          <w:rFonts w:eastAsia="Times New Roman" w:cs="Times New Roman"/>
          <w:lang w:eastAsia="fr-BE"/>
        </w:rPr>
      </w:pPr>
      <w:r w:rsidRPr="008F6866">
        <w:rPr>
          <w:rFonts w:eastAsia="Times New Roman" w:cs="Times New Roman"/>
          <w:lang w:eastAsia="fr-BE"/>
        </w:rPr>
        <w:t>Furthermore, variance distribution among factors showed variation across the three 40-year sub-periods. The pattern and magnitude of these variations depended on the indicator. For GPP</w:t>
      </w:r>
      <w:r w:rsidR="002D6560" w:rsidRPr="008F6866">
        <w:rPr>
          <w:rFonts w:eastAsia="Times New Roman" w:cs="Times New Roman"/>
          <w:lang w:eastAsia="fr-BE"/>
        </w:rPr>
        <w:t xml:space="preserve"> and</w:t>
      </w:r>
      <w:r w:rsidRPr="008F6866">
        <w:rPr>
          <w:rFonts w:eastAsia="Times New Roman" w:cs="Times New Roman"/>
          <w:lang w:eastAsia="fr-BE"/>
        </w:rPr>
        <w:t xml:space="preserve"> transpiration,</w:t>
      </w:r>
      <w:r w:rsidR="00B80431" w:rsidRPr="008F6866">
        <w:rPr>
          <w:rFonts w:eastAsia="Times New Roman" w:cs="Times New Roman"/>
          <w:lang w:eastAsia="fr-BE"/>
        </w:rPr>
        <w:t xml:space="preserve"> </w:t>
      </w:r>
      <w:r w:rsidRPr="008F6866">
        <w:rPr>
          <w:rFonts w:eastAsia="Times New Roman" w:cs="Times New Roman"/>
          <w:lang w:eastAsia="fr-BE"/>
        </w:rPr>
        <w:t>the contributions of the climate scenario and the CO</w:t>
      </w:r>
      <w:r w:rsidRPr="008F6866">
        <w:rPr>
          <w:rFonts w:eastAsia="Times New Roman" w:cs="Times New Roman"/>
          <w:vertAlign w:val="subscript"/>
          <w:lang w:eastAsia="fr-BE"/>
        </w:rPr>
        <w:t>2</w:t>
      </w:r>
      <w:r w:rsidRPr="008F6866">
        <w:rPr>
          <w:rFonts w:eastAsia="Times New Roman" w:cs="Times New Roman"/>
          <w:lang w:eastAsia="fr-BE"/>
        </w:rPr>
        <w:t xml:space="preserve"> modality increased from the first to the last sub-periods. These results reflect growing divergences in climate scenarios over time and their impact on these two processes, especially when variable CO</w:t>
      </w:r>
      <w:r w:rsidRPr="008F6866">
        <w:rPr>
          <w:rFonts w:eastAsia="Times New Roman" w:cs="Times New Roman"/>
          <w:vertAlign w:val="subscript"/>
          <w:lang w:eastAsia="fr-BE"/>
        </w:rPr>
        <w:t>2</w:t>
      </w:r>
      <w:r w:rsidRPr="008F6866">
        <w:rPr>
          <w:rFonts w:eastAsia="Times New Roman" w:cs="Times New Roman"/>
          <w:lang w:eastAsia="fr-BE"/>
        </w:rPr>
        <w:t xml:space="preserve"> concentration was considered given its effect on growth and water use efficiency as discussed above. The residual variance also increased over time, </w:t>
      </w:r>
      <w:r w:rsidRPr="008F6866">
        <w:t>along with the contributions of the climate scenario and CO</w:t>
      </w:r>
      <w:r w:rsidRPr="008F6866">
        <w:rPr>
          <w:vertAlign w:val="subscript"/>
        </w:rPr>
        <w:t>2</w:t>
      </w:r>
      <w:r w:rsidRPr="008F6866">
        <w:t xml:space="preserve"> modality,</w:t>
      </w:r>
      <w:r w:rsidRPr="008F6866">
        <w:rPr>
          <w:rFonts w:eastAsia="Times New Roman" w:cs="Times New Roman"/>
          <w:lang w:eastAsia="fr-BE"/>
        </w:rPr>
        <w:t xml:space="preserve"> compensating for the decline in the site effect contribution. Nevertheless, the site effect generally remained the dominant contributor to the variance for both indicators. The contributions of the climate model and the silvicultural route showed little variation across sub-periods, remaining similar to values observed for the complete period. As a corollary to the observations for GPP, the contributions of the climate scenario and CO</w:t>
      </w:r>
      <w:r w:rsidRPr="008F6866">
        <w:rPr>
          <w:rFonts w:eastAsia="Times New Roman" w:cs="Times New Roman"/>
          <w:vertAlign w:val="subscript"/>
          <w:lang w:eastAsia="fr-BE"/>
        </w:rPr>
        <w:t>2</w:t>
      </w:r>
      <w:r w:rsidRPr="008F6866">
        <w:rPr>
          <w:rFonts w:eastAsia="Times New Roman" w:cs="Times New Roman"/>
          <w:lang w:eastAsia="fr-BE"/>
        </w:rPr>
        <w:t xml:space="preserve"> modality to profit variance also increased with time, especially for the final sub-period. While the site remained the main contributor for profit, its variance contribution was higher in the second sub-period compared to the first and last. For the Simpson index, the contribution of the silvicultural route to the variance strongly increased over time, accompanied by a decrease in the site contribution. Similar trends were observed for wind resistance, although the increase in silvicultural route contribution was less pronounced due to a larger part of residual variance in the final two sub-periods. Conversely, for tree recruitment, the contribution of silviculture decreased over time, while the site effect increased. The residual component consistently accounted for more than 40% of the variance for this indicator. Finally, for tree mortality, the contribution of the silvicultural route increased from the first to the second sub-periods and then stabilized, while the site contribution slightly decreased over time.</w:t>
      </w:r>
    </w:p>
    <w:p w14:paraId="468A78B2" w14:textId="11ABF10E" w:rsidR="00DE3AFB" w:rsidRDefault="00DE3AFB">
      <w:pPr>
        <w:rPr>
          <w:rFonts w:eastAsia="Times New Roman" w:cs="Times New Roman"/>
          <w:sz w:val="2"/>
          <w:szCs w:val="2"/>
          <w:lang w:eastAsia="fr-BE"/>
        </w:rPr>
      </w:pPr>
      <w:r>
        <w:rPr>
          <w:rFonts w:eastAsia="Times New Roman" w:cs="Times New Roman"/>
          <w:sz w:val="2"/>
          <w:szCs w:val="2"/>
          <w:lang w:eastAsia="fr-BE"/>
        </w:rPr>
        <w:br w:type="page"/>
      </w:r>
    </w:p>
    <w:p w14:paraId="0C4B5F8F" w14:textId="77777777" w:rsidR="00DE3AFB" w:rsidRPr="00DE3AFB" w:rsidRDefault="00DE3AFB" w:rsidP="00DE3AFB">
      <w:pPr>
        <w:spacing w:after="0" w:line="300" w:lineRule="auto"/>
        <w:jc w:val="both"/>
        <w:rPr>
          <w:rFonts w:eastAsia="Times New Roman" w:cs="Times New Roman"/>
          <w:sz w:val="2"/>
          <w:szCs w:val="2"/>
          <w:lang w:eastAsia="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0"/>
        <w:gridCol w:w="4530"/>
      </w:tblGrid>
      <w:tr w:rsidR="007F404C" w:rsidRPr="008F6866" w14:paraId="0DE761DE" w14:textId="77777777" w:rsidTr="003F77BE">
        <w:tc>
          <w:tcPr>
            <w:tcW w:w="4530" w:type="dxa"/>
          </w:tcPr>
          <w:p w14:paraId="67001695" w14:textId="02E0A720" w:rsidR="007F404C" w:rsidRPr="008F6866" w:rsidRDefault="007F404C" w:rsidP="007F404C">
            <w:pPr>
              <w:spacing w:before="100" w:beforeAutospacing="1" w:after="100" w:afterAutospacing="1"/>
              <w:jc w:val="center"/>
              <w:rPr>
                <w:rFonts w:asciiTheme="minorHAnsi" w:hAnsiTheme="minorHAnsi" w:cstheme="minorHAnsi"/>
                <w:b/>
                <w:lang w:eastAsia="fr-BE"/>
              </w:rPr>
            </w:pPr>
            <w:r w:rsidRPr="008F6866">
              <w:rPr>
                <w:rFonts w:asciiTheme="minorHAnsi" w:hAnsiTheme="minorHAnsi" w:cstheme="minorHAnsi"/>
                <w:b/>
                <w:lang w:eastAsia="fr-BE"/>
              </w:rPr>
              <w:t>Gross primary production</w:t>
            </w:r>
          </w:p>
        </w:tc>
        <w:tc>
          <w:tcPr>
            <w:tcW w:w="4530" w:type="dxa"/>
          </w:tcPr>
          <w:p w14:paraId="096F4CF1" w14:textId="28DB43C1" w:rsidR="007F404C" w:rsidRPr="008F6866" w:rsidRDefault="007F404C" w:rsidP="007F404C">
            <w:pPr>
              <w:spacing w:before="100" w:beforeAutospacing="1" w:after="100" w:afterAutospacing="1"/>
              <w:jc w:val="center"/>
              <w:rPr>
                <w:rFonts w:asciiTheme="minorHAnsi" w:hAnsiTheme="minorHAnsi" w:cstheme="minorHAnsi"/>
                <w:b/>
                <w:lang w:eastAsia="fr-BE"/>
              </w:rPr>
            </w:pPr>
            <w:r w:rsidRPr="008F6866">
              <w:rPr>
                <w:rFonts w:asciiTheme="minorHAnsi" w:hAnsiTheme="minorHAnsi" w:cstheme="minorHAnsi"/>
                <w:b/>
                <w:lang w:eastAsia="fr-BE"/>
              </w:rPr>
              <w:t>Transpiration</w:t>
            </w:r>
          </w:p>
        </w:tc>
      </w:tr>
      <w:tr w:rsidR="007F404C" w:rsidRPr="008F6866" w14:paraId="596740ED" w14:textId="77777777" w:rsidTr="003F77BE">
        <w:tc>
          <w:tcPr>
            <w:tcW w:w="4530" w:type="dxa"/>
          </w:tcPr>
          <w:p w14:paraId="48080D0E" w14:textId="7F7826CD" w:rsidR="007F404C" w:rsidRPr="008F6866" w:rsidRDefault="007F404C" w:rsidP="007F404C">
            <w:pPr>
              <w:spacing w:before="100" w:beforeAutospacing="1" w:after="100" w:afterAutospacing="1"/>
              <w:jc w:val="center"/>
              <w:rPr>
                <w:rFonts w:cstheme="minorHAnsi"/>
                <w:b/>
                <w:lang w:eastAsia="fr-BE"/>
              </w:rPr>
            </w:pPr>
            <w:r w:rsidRPr="008F6866">
              <w:rPr>
                <w:rFonts w:cstheme="minorHAnsi"/>
                <w:noProof/>
              </w:rPr>
              <w:drawing>
                <wp:inline distT="0" distB="0" distL="0" distR="0" wp14:anchorId="3F757ECF" wp14:editId="71558A2D">
                  <wp:extent cx="2232000" cy="1800000"/>
                  <wp:effectExtent l="0" t="0" r="0" b="0"/>
                  <wp:docPr id="2061681010" name="Image 2061681010" descr="C:\Users\andref\AppData\Local\Microsoft\Windows\INetCache\Content.MSO\D599CC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dref\AppData\Local\Microsoft\Windows\INetCache\Content.MSO\D599CC95.tmp"/>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2559" r="22752" b="51500"/>
                          <a:stretch/>
                        </pic:blipFill>
                        <pic:spPr bwMode="auto">
                          <a:xfrm>
                            <a:off x="0" y="0"/>
                            <a:ext cx="2232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77E9A4E1" w14:textId="7EC2FE3A" w:rsidR="007F404C" w:rsidRPr="008F6866" w:rsidRDefault="007F404C" w:rsidP="007F404C">
            <w:pPr>
              <w:spacing w:before="100" w:beforeAutospacing="1" w:after="100" w:afterAutospacing="1"/>
              <w:jc w:val="center"/>
              <w:rPr>
                <w:rFonts w:cstheme="minorHAnsi"/>
                <w:b/>
                <w:lang w:eastAsia="fr-BE"/>
              </w:rPr>
            </w:pPr>
            <w:r w:rsidRPr="008F6866">
              <w:rPr>
                <w:rFonts w:cstheme="minorHAnsi"/>
                <w:noProof/>
              </w:rPr>
              <w:drawing>
                <wp:inline distT="0" distB="0" distL="0" distR="0" wp14:anchorId="19A00357" wp14:editId="79A2CA38">
                  <wp:extent cx="2232000" cy="1800000"/>
                  <wp:effectExtent l="0" t="0" r="0" b="0"/>
                  <wp:docPr id="2061681009" name="Image 2061681009" descr="C:\Users\andref\AppData\Local\Microsoft\Windows\INetCache\Content.MSO\C942F7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dref\AppData\Local\Microsoft\Windows\INetCache\Content.MSO\C942F7AF.tmp"/>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2559" r="22918" b="51622"/>
                          <a:stretch/>
                        </pic:blipFill>
                        <pic:spPr bwMode="auto">
                          <a:xfrm>
                            <a:off x="0" y="0"/>
                            <a:ext cx="2232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3C26" w:rsidRPr="008F6866" w14:paraId="507A9D05" w14:textId="77777777" w:rsidTr="003F77BE">
        <w:tc>
          <w:tcPr>
            <w:tcW w:w="4530" w:type="dxa"/>
          </w:tcPr>
          <w:p w14:paraId="66CB4D4C" w14:textId="76D2E696" w:rsidR="00813C26" w:rsidRPr="008F6866" w:rsidRDefault="00813C26" w:rsidP="00813C26">
            <w:pPr>
              <w:spacing w:before="100" w:beforeAutospacing="1" w:after="100" w:afterAutospacing="1"/>
              <w:jc w:val="center"/>
              <w:rPr>
                <w:rFonts w:cstheme="minorHAnsi"/>
                <w:b/>
                <w:lang w:eastAsia="fr-BE"/>
              </w:rPr>
            </w:pPr>
            <w:r w:rsidRPr="008F6866">
              <w:rPr>
                <w:rFonts w:asciiTheme="minorHAnsi" w:hAnsiTheme="minorHAnsi" w:cstheme="minorHAnsi"/>
                <w:b/>
                <w:lang w:eastAsia="fr-BE"/>
              </w:rPr>
              <w:t>Volume production</w:t>
            </w:r>
          </w:p>
        </w:tc>
        <w:tc>
          <w:tcPr>
            <w:tcW w:w="4530" w:type="dxa"/>
          </w:tcPr>
          <w:p w14:paraId="2061515A" w14:textId="633E2861" w:rsidR="00813C26" w:rsidRPr="008F6866" w:rsidRDefault="00813C26" w:rsidP="00813C26">
            <w:pPr>
              <w:spacing w:before="100" w:beforeAutospacing="1" w:after="100" w:afterAutospacing="1"/>
              <w:jc w:val="center"/>
              <w:rPr>
                <w:rFonts w:cstheme="minorHAnsi"/>
                <w:b/>
                <w:lang w:eastAsia="fr-BE"/>
              </w:rPr>
            </w:pPr>
            <w:r w:rsidRPr="008F6866">
              <w:rPr>
                <w:rFonts w:asciiTheme="minorHAnsi" w:hAnsiTheme="minorHAnsi" w:cstheme="minorHAnsi"/>
                <w:b/>
                <w:lang w:eastAsia="fr-BE"/>
              </w:rPr>
              <w:t>Profit</w:t>
            </w:r>
          </w:p>
        </w:tc>
      </w:tr>
      <w:tr w:rsidR="00813C26" w:rsidRPr="008F6866" w14:paraId="2E3A2687" w14:textId="77777777" w:rsidTr="003F77BE">
        <w:tc>
          <w:tcPr>
            <w:tcW w:w="4530" w:type="dxa"/>
          </w:tcPr>
          <w:p w14:paraId="00A22A7D" w14:textId="2204BBC7" w:rsidR="00813C26" w:rsidRPr="008F6866" w:rsidRDefault="00813C26" w:rsidP="00813C26">
            <w:pPr>
              <w:spacing w:before="100" w:beforeAutospacing="1" w:after="100" w:afterAutospacing="1"/>
              <w:jc w:val="center"/>
              <w:rPr>
                <w:rFonts w:asciiTheme="minorHAnsi" w:hAnsiTheme="minorHAnsi" w:cstheme="minorHAnsi"/>
                <w:lang w:eastAsia="fr-BE"/>
              </w:rPr>
            </w:pPr>
            <w:r w:rsidRPr="008F6866">
              <w:rPr>
                <w:noProof/>
              </w:rPr>
              <w:drawing>
                <wp:inline distT="0" distB="0" distL="0" distR="0" wp14:anchorId="2AA484CE" wp14:editId="7534B981">
                  <wp:extent cx="2232000" cy="1800000"/>
                  <wp:effectExtent l="0" t="0" r="0" b="0"/>
                  <wp:docPr id="32" name="Image 32" descr="C:\Users\andref\AppData\Local\Microsoft\Windows\INetCache\Content.MSO\12A767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f\AppData\Local\Microsoft\Windows\INetCache\Content.MSO\12A7672F.tmp"/>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2439" r="22468" b="51502"/>
                          <a:stretch/>
                        </pic:blipFill>
                        <pic:spPr bwMode="auto">
                          <a:xfrm>
                            <a:off x="0" y="0"/>
                            <a:ext cx="2232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6844B0A9" w14:textId="62A008AC" w:rsidR="00813C26" w:rsidRPr="008F6866" w:rsidRDefault="00813C26" w:rsidP="00813C26">
            <w:pPr>
              <w:spacing w:before="100" w:beforeAutospacing="1" w:after="100" w:afterAutospacing="1"/>
              <w:jc w:val="center"/>
              <w:rPr>
                <w:rFonts w:asciiTheme="minorHAnsi" w:hAnsiTheme="minorHAnsi" w:cstheme="minorHAnsi"/>
                <w:lang w:eastAsia="fr-BE"/>
              </w:rPr>
            </w:pPr>
            <w:r w:rsidRPr="008F6866">
              <w:rPr>
                <w:rFonts w:cstheme="minorHAnsi"/>
                <w:noProof/>
              </w:rPr>
              <w:drawing>
                <wp:inline distT="0" distB="0" distL="0" distR="0" wp14:anchorId="30799CDB" wp14:editId="02BD911D">
                  <wp:extent cx="2246400" cy="1800000"/>
                  <wp:effectExtent l="0" t="0" r="1905" b="0"/>
                  <wp:docPr id="2061681004" name="Image 2061681004" descr="C:\Users\andref\AppData\Local\Microsoft\Windows\INetCache\Content.MSO\32974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ref\AppData\Local\Microsoft\Windows\INetCache\Content.MSO\329740B3.tmp"/>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2681" r="22428" b="51499"/>
                          <a:stretch/>
                        </pic:blipFill>
                        <pic:spPr bwMode="auto">
                          <a:xfrm>
                            <a:off x="0" y="0"/>
                            <a:ext cx="22464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3C26" w:rsidRPr="008F6866" w14:paraId="711749C9" w14:textId="77777777" w:rsidTr="003F77BE">
        <w:tc>
          <w:tcPr>
            <w:tcW w:w="4530" w:type="dxa"/>
          </w:tcPr>
          <w:p w14:paraId="3C0501B4" w14:textId="6A1248F5" w:rsidR="00813C26" w:rsidRPr="008F6866" w:rsidRDefault="00813C26" w:rsidP="00813C26">
            <w:pPr>
              <w:spacing w:before="100" w:beforeAutospacing="1" w:after="100" w:afterAutospacing="1"/>
              <w:jc w:val="center"/>
              <w:rPr>
                <w:rFonts w:asciiTheme="minorHAnsi" w:hAnsiTheme="minorHAnsi" w:cstheme="minorHAnsi"/>
                <w:b/>
                <w:lang w:eastAsia="fr-BE"/>
              </w:rPr>
            </w:pPr>
            <w:r w:rsidRPr="008F6866">
              <w:rPr>
                <w:rFonts w:asciiTheme="minorHAnsi" w:hAnsiTheme="minorHAnsi" w:cstheme="minorHAnsi"/>
                <w:b/>
                <w:lang w:eastAsia="fr-BE"/>
              </w:rPr>
              <w:t>Simpson index</w:t>
            </w:r>
          </w:p>
        </w:tc>
        <w:tc>
          <w:tcPr>
            <w:tcW w:w="4530" w:type="dxa"/>
          </w:tcPr>
          <w:p w14:paraId="271F2691" w14:textId="29C2DDEA" w:rsidR="00813C26" w:rsidRPr="008F6866" w:rsidRDefault="00813C26" w:rsidP="00813C26">
            <w:pPr>
              <w:spacing w:before="100" w:beforeAutospacing="1" w:after="100" w:afterAutospacing="1"/>
              <w:jc w:val="center"/>
              <w:rPr>
                <w:rFonts w:asciiTheme="minorHAnsi" w:hAnsiTheme="minorHAnsi" w:cstheme="minorHAnsi"/>
                <w:b/>
                <w:lang w:eastAsia="fr-BE"/>
              </w:rPr>
            </w:pPr>
            <w:r w:rsidRPr="008F6866">
              <w:rPr>
                <w:rFonts w:asciiTheme="minorHAnsi" w:hAnsiTheme="minorHAnsi" w:cstheme="minorHAnsi"/>
                <w:b/>
                <w:lang w:eastAsia="fr-BE"/>
              </w:rPr>
              <w:t>Wind undamaged trees</w:t>
            </w:r>
          </w:p>
        </w:tc>
      </w:tr>
      <w:tr w:rsidR="00813C26" w:rsidRPr="008F6866" w14:paraId="7305E543" w14:textId="77777777" w:rsidTr="003F77BE">
        <w:tc>
          <w:tcPr>
            <w:tcW w:w="4530" w:type="dxa"/>
          </w:tcPr>
          <w:p w14:paraId="25769E4E" w14:textId="5A85C86D" w:rsidR="00813C26" w:rsidRPr="008F6866" w:rsidRDefault="00813C26" w:rsidP="00813C26">
            <w:pPr>
              <w:spacing w:before="100" w:beforeAutospacing="1" w:after="100" w:afterAutospacing="1"/>
              <w:jc w:val="center"/>
              <w:rPr>
                <w:rFonts w:asciiTheme="minorHAnsi" w:hAnsiTheme="minorHAnsi" w:cstheme="minorHAnsi"/>
                <w:lang w:eastAsia="fr-BE"/>
              </w:rPr>
            </w:pPr>
            <w:r w:rsidRPr="008F6866">
              <w:rPr>
                <w:rFonts w:cstheme="minorHAnsi"/>
                <w:noProof/>
              </w:rPr>
              <w:drawing>
                <wp:inline distT="0" distB="0" distL="0" distR="0" wp14:anchorId="5966ED3D" wp14:editId="3D74B3C4">
                  <wp:extent cx="2228400" cy="1800000"/>
                  <wp:effectExtent l="0" t="0" r="635" b="0"/>
                  <wp:docPr id="2061681005" name="Image 2061681005" descr="C:\Users\andref\AppData\Local\Microsoft\Windows\INetCache\Content.MSO\FD5B70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f\AppData\Local\Microsoft\Windows\INetCache\Content.MSO\FD5B7039.tmp"/>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2559" r="22918" b="51500"/>
                          <a:stretch/>
                        </pic:blipFill>
                        <pic:spPr bwMode="auto">
                          <a:xfrm>
                            <a:off x="0" y="0"/>
                            <a:ext cx="222840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52A3DA98" w14:textId="33C81BCC" w:rsidR="00813C26" w:rsidRPr="008F6866" w:rsidRDefault="00813C26" w:rsidP="00813C26">
            <w:pPr>
              <w:spacing w:before="100" w:beforeAutospacing="1" w:after="100" w:afterAutospacing="1"/>
              <w:jc w:val="center"/>
              <w:rPr>
                <w:rFonts w:asciiTheme="minorHAnsi" w:hAnsiTheme="minorHAnsi" w:cstheme="minorHAnsi"/>
                <w:lang w:eastAsia="fr-BE"/>
              </w:rPr>
            </w:pPr>
            <w:r w:rsidRPr="008F6866">
              <w:rPr>
                <w:rFonts w:cstheme="minorHAnsi"/>
                <w:noProof/>
              </w:rPr>
              <w:drawing>
                <wp:inline distT="0" distB="0" distL="0" distR="0" wp14:anchorId="1EDF2705" wp14:editId="412142D1">
                  <wp:extent cx="2228400" cy="1800000"/>
                  <wp:effectExtent l="0" t="0" r="635" b="0"/>
                  <wp:docPr id="2061681011" name="Image 2061681011" descr="C:\Users\andref\AppData\Local\Microsoft\Windows\INetCache\Content.MSO\6BBF00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dref\AppData\Local\Microsoft\Windows\INetCache\Content.MSO\6BBF006B.tmp"/>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2559" r="23090" b="51500"/>
                          <a:stretch/>
                        </pic:blipFill>
                        <pic:spPr bwMode="auto">
                          <a:xfrm>
                            <a:off x="0" y="0"/>
                            <a:ext cx="22284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3C26" w:rsidRPr="008F6866" w14:paraId="6CFE1409" w14:textId="77777777" w:rsidTr="003F77BE">
        <w:tc>
          <w:tcPr>
            <w:tcW w:w="4530" w:type="dxa"/>
          </w:tcPr>
          <w:p w14:paraId="443938B2" w14:textId="005C6AA9" w:rsidR="00813C26" w:rsidRPr="008F6866" w:rsidRDefault="00813C26" w:rsidP="00813C26">
            <w:pPr>
              <w:spacing w:before="100" w:beforeAutospacing="1" w:after="100" w:afterAutospacing="1"/>
              <w:jc w:val="center"/>
              <w:rPr>
                <w:rFonts w:asciiTheme="minorHAnsi" w:hAnsiTheme="minorHAnsi" w:cstheme="minorHAnsi"/>
                <w:b/>
                <w:noProof/>
              </w:rPr>
            </w:pPr>
            <w:r w:rsidRPr="008F6866">
              <w:rPr>
                <w:rFonts w:asciiTheme="minorHAnsi" w:hAnsiTheme="minorHAnsi" w:cstheme="minorHAnsi"/>
                <w:b/>
                <w:lang w:eastAsia="fr-BE"/>
              </w:rPr>
              <w:t>Tree recruitment</w:t>
            </w:r>
          </w:p>
        </w:tc>
        <w:tc>
          <w:tcPr>
            <w:tcW w:w="4530" w:type="dxa"/>
          </w:tcPr>
          <w:p w14:paraId="6240DA28" w14:textId="20D1C996" w:rsidR="00813C26" w:rsidRPr="008F6866" w:rsidRDefault="00813C26" w:rsidP="00813C26">
            <w:pPr>
              <w:spacing w:before="100" w:beforeAutospacing="1" w:after="100" w:afterAutospacing="1"/>
              <w:jc w:val="center"/>
              <w:rPr>
                <w:rFonts w:cstheme="minorHAnsi"/>
                <w:noProof/>
              </w:rPr>
            </w:pPr>
            <w:r w:rsidRPr="008F6866">
              <w:rPr>
                <w:rFonts w:asciiTheme="minorHAnsi" w:hAnsiTheme="minorHAnsi" w:cstheme="minorHAnsi"/>
                <w:b/>
                <w:noProof/>
              </w:rPr>
              <w:t>Tree mortality</w:t>
            </w:r>
          </w:p>
        </w:tc>
      </w:tr>
      <w:tr w:rsidR="00813C26" w:rsidRPr="008F6866" w14:paraId="1901F17C" w14:textId="77777777" w:rsidTr="00C3484F">
        <w:tc>
          <w:tcPr>
            <w:tcW w:w="4530" w:type="dxa"/>
          </w:tcPr>
          <w:p w14:paraId="6A537F80" w14:textId="74747430" w:rsidR="00813C26" w:rsidRPr="008F6866" w:rsidRDefault="00813C26" w:rsidP="00813C26">
            <w:pPr>
              <w:spacing w:before="100" w:beforeAutospacing="1" w:after="100" w:afterAutospacing="1"/>
              <w:jc w:val="center"/>
              <w:rPr>
                <w:rFonts w:cstheme="minorHAnsi"/>
                <w:noProof/>
              </w:rPr>
            </w:pPr>
            <w:r w:rsidRPr="008F6866">
              <w:rPr>
                <w:rFonts w:cstheme="minorHAnsi"/>
                <w:noProof/>
              </w:rPr>
              <w:drawing>
                <wp:inline distT="0" distB="0" distL="0" distR="0" wp14:anchorId="329A4861" wp14:editId="340D29E3">
                  <wp:extent cx="2217600" cy="1800000"/>
                  <wp:effectExtent l="0" t="0" r="0" b="0"/>
                  <wp:docPr id="2061681012" name="Image 2061681012" descr="C:\Users\andref\AppData\Local\Microsoft\Windows\INetCache\Content.MSO\79BF20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dref\AppData\Local\Microsoft\Windows\INetCache\Content.MSO\79BF20B1.tmp"/>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2559" r="23255" b="51495"/>
                          <a:stretch/>
                        </pic:blipFill>
                        <pic:spPr bwMode="auto">
                          <a:xfrm>
                            <a:off x="0" y="0"/>
                            <a:ext cx="221760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204F3070" w14:textId="2B2F4028" w:rsidR="00813C26" w:rsidRPr="008F6866" w:rsidRDefault="00813C26" w:rsidP="00813C26">
            <w:pPr>
              <w:spacing w:before="100" w:beforeAutospacing="1" w:after="100" w:afterAutospacing="1"/>
              <w:jc w:val="center"/>
              <w:rPr>
                <w:rFonts w:cstheme="minorHAnsi"/>
                <w:noProof/>
              </w:rPr>
            </w:pPr>
            <w:r w:rsidRPr="008F6866">
              <w:rPr>
                <w:noProof/>
              </w:rPr>
              <w:drawing>
                <wp:inline distT="0" distB="0" distL="0" distR="0" wp14:anchorId="4EBD0F01" wp14:editId="780CBAC2">
                  <wp:extent cx="2361600" cy="1800000"/>
                  <wp:effectExtent l="0" t="0" r="635" b="0"/>
                  <wp:docPr id="2061681013" name="Image 2061681013" descr="C:\Users\andref\AppData\Local\Microsoft\Windows\INetCache\Content.MSO\1CBD96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dref\AppData\Local\Microsoft\Windows\INetCache\Content.MSO\1CBD96E7.tmp"/>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5361" r="23399" b="51622"/>
                          <a:stretch/>
                        </pic:blipFill>
                        <pic:spPr bwMode="auto">
                          <a:xfrm>
                            <a:off x="0" y="0"/>
                            <a:ext cx="23616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1A3D" w:rsidRPr="008F6866" w14:paraId="20BDFF42" w14:textId="77777777" w:rsidTr="00D1037D">
        <w:tc>
          <w:tcPr>
            <w:tcW w:w="9060" w:type="dxa"/>
            <w:gridSpan w:val="2"/>
          </w:tcPr>
          <w:p w14:paraId="19EFD4A8" w14:textId="048EE76C" w:rsidR="00281A3D" w:rsidRPr="008F6866" w:rsidRDefault="00281A3D" w:rsidP="00813C26">
            <w:pPr>
              <w:spacing w:before="100" w:beforeAutospacing="1" w:after="100" w:afterAutospacing="1"/>
              <w:jc w:val="center"/>
              <w:rPr>
                <w:noProof/>
              </w:rPr>
            </w:pPr>
            <w:r w:rsidRPr="008F6866">
              <w:rPr>
                <w:noProof/>
              </w:rPr>
              <w:drawing>
                <wp:inline distT="0" distB="0" distL="0" distR="0" wp14:anchorId="7950C577" wp14:editId="4945371E">
                  <wp:extent cx="1796420" cy="486033"/>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38648" t="88551" r="34324" b="1698"/>
                          <a:stretch/>
                        </pic:blipFill>
                        <pic:spPr bwMode="auto">
                          <a:xfrm>
                            <a:off x="0" y="0"/>
                            <a:ext cx="1825524" cy="49390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0A5AC4" w14:textId="0004F062" w:rsidR="0070648A" w:rsidRPr="008F6866" w:rsidRDefault="0070648A" w:rsidP="0070648A">
      <w:pPr>
        <w:pStyle w:val="Lgende"/>
        <w:jc w:val="center"/>
        <w:rPr>
          <w:rFonts w:cstheme="minorBidi"/>
          <w:b/>
          <w:i w:val="0"/>
          <w:color w:val="000000" w:themeColor="text1"/>
          <w:sz w:val="20"/>
          <w:szCs w:val="20"/>
        </w:rPr>
      </w:pPr>
      <w:bookmarkStart w:id="103" w:name="_Ref195695563"/>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38</w:t>
      </w:r>
      <w:r w:rsidRPr="008F6866">
        <w:rPr>
          <w:b/>
          <w:i w:val="0"/>
          <w:color w:val="000000" w:themeColor="text1"/>
          <w:sz w:val="20"/>
          <w:szCs w:val="20"/>
        </w:rPr>
        <w:fldChar w:fldCharType="end"/>
      </w:r>
      <w:bookmarkEnd w:id="103"/>
      <w:r w:rsidRPr="008F6866">
        <w:rPr>
          <w:b/>
          <w:i w:val="0"/>
          <w:color w:val="000000" w:themeColor="text1"/>
          <w:sz w:val="20"/>
          <w:szCs w:val="20"/>
        </w:rPr>
        <w:t>. Decomposition of the indicator variance among the investigated factors, comparing the full 120-year simulation period and three 40-year sub-periods</w:t>
      </w:r>
    </w:p>
    <w:p w14:paraId="02CE5EFD" w14:textId="2AAE6902" w:rsidR="00DB63A4" w:rsidRPr="008F6866" w:rsidRDefault="00DB63A4" w:rsidP="00197529">
      <w:pPr>
        <w:spacing w:after="120" w:line="300" w:lineRule="auto"/>
        <w:jc w:val="both"/>
        <w:rPr>
          <w:rFonts w:eastAsia="Times New Roman" w:cs="Times New Roman"/>
          <w:lang w:eastAsia="fr-BE"/>
        </w:rPr>
      </w:pPr>
      <w:r w:rsidRPr="008F6866">
        <w:rPr>
          <w:rFonts w:eastAsia="Times New Roman" w:cs="Times New Roman"/>
          <w:lang w:eastAsia="fr-BE"/>
        </w:rPr>
        <w:lastRenderedPageBreak/>
        <w:t>To further examine the climate change impact, the variation in the value of each indicator resulting from climate was quantified as follows:</w:t>
      </w:r>
    </w:p>
    <w:p w14:paraId="31BEB8B1" w14:textId="3DF0B0EC" w:rsidR="00DB63A4" w:rsidRPr="008F6866" w:rsidRDefault="00DB63A4" w:rsidP="005C5491">
      <w:pPr>
        <w:spacing w:after="120" w:line="240" w:lineRule="auto"/>
        <w:ind w:firstLine="720"/>
        <w:jc w:val="both"/>
        <w:rPr>
          <w:rFonts w:eastAsia="Times New Roman" w:cs="Times New Roman"/>
          <w:lang w:eastAsia="fr-BE"/>
        </w:rPr>
      </w:pPr>
      <m:oMath>
        <m:r>
          <w:rPr>
            <w:rFonts w:ascii="Cambria Math" w:eastAsia="Times New Roman" w:hAnsi="Cambria Math" w:cs="Times New Roman"/>
            <w:lang w:eastAsia="fr-BE"/>
          </w:rPr>
          <m:t>∆</m:t>
        </m:r>
        <m:sSub>
          <m:sSubPr>
            <m:ctrlPr>
              <w:rPr>
                <w:rFonts w:ascii="Cambria Math" w:eastAsia="Times New Roman" w:hAnsi="Cambria Math" w:cs="Times New Roman"/>
                <w:i/>
                <w:lang w:eastAsia="fr-BE"/>
              </w:rPr>
            </m:ctrlPr>
          </m:sSubPr>
          <m:e>
            <m:r>
              <w:rPr>
                <w:rFonts w:ascii="Cambria Math" w:eastAsia="Times New Roman" w:hAnsi="Cambria Math" w:cs="Times New Roman"/>
                <w:lang w:eastAsia="fr-BE"/>
              </w:rPr>
              <m:t xml:space="preserve"> relInd</m:t>
            </m:r>
          </m:e>
          <m:sub>
            <m:r>
              <w:rPr>
                <w:rFonts w:ascii="Cambria Math" w:eastAsia="Times New Roman" w:hAnsi="Cambria Math" w:cs="Times New Roman"/>
                <w:lang w:eastAsia="fr-BE"/>
              </w:rPr>
              <m:t>Silv.SSP.CM.CO2</m:t>
            </m:r>
          </m:sub>
        </m:sSub>
        <m:r>
          <w:rPr>
            <w:rFonts w:ascii="Cambria Math" w:eastAsia="Times New Roman" w:hAnsi="Cambria Math" w:cs="Times New Roman"/>
            <w:lang w:eastAsia="fr-BE"/>
          </w:rPr>
          <m:t>=</m:t>
        </m:r>
        <m:f>
          <m:fPr>
            <m:ctrlPr>
              <w:rPr>
                <w:rFonts w:ascii="Cambria Math" w:eastAsia="Times New Roman" w:hAnsi="Cambria Math" w:cs="Times New Roman"/>
                <w:i/>
                <w:lang w:eastAsia="fr-BE"/>
              </w:rPr>
            </m:ctrlPr>
          </m:fPr>
          <m:num>
            <m:sSub>
              <m:sSubPr>
                <m:ctrlPr>
                  <w:rPr>
                    <w:rFonts w:ascii="Cambria Math" w:eastAsia="Times New Roman" w:hAnsi="Cambria Math" w:cs="Times New Roman"/>
                    <w:i/>
                    <w:lang w:eastAsia="fr-BE"/>
                  </w:rPr>
                </m:ctrlPr>
              </m:sSubPr>
              <m:e>
                <m:r>
                  <w:rPr>
                    <w:rFonts w:ascii="Cambria Math" w:eastAsia="Times New Roman" w:hAnsi="Cambria Math" w:cs="Times New Roman"/>
                    <w:lang w:eastAsia="fr-BE"/>
                  </w:rPr>
                  <m:t>Ind</m:t>
                </m:r>
              </m:e>
              <m:sub>
                <m:r>
                  <w:rPr>
                    <w:rFonts w:ascii="Cambria Math" w:eastAsia="Times New Roman" w:hAnsi="Cambria Math" w:cs="Times New Roman"/>
                    <w:lang w:eastAsia="fr-BE"/>
                  </w:rPr>
                  <m:t xml:space="preserve">Silv.SSP.CM.CO2, </m:t>
                </m:r>
                <m:d>
                  <m:dPr>
                    <m:begChr m:val="["/>
                    <m:endChr m:val="]"/>
                    <m:ctrlPr>
                      <w:rPr>
                        <w:rFonts w:ascii="Cambria Math" w:eastAsia="Times New Roman" w:hAnsi="Cambria Math" w:cs="Times New Roman"/>
                        <w:i/>
                        <w:lang w:eastAsia="fr-BE"/>
                      </w:rPr>
                    </m:ctrlPr>
                  </m:dPr>
                  <m:e>
                    <m:r>
                      <w:rPr>
                        <w:rFonts w:ascii="Cambria Math" w:eastAsia="Times New Roman" w:hAnsi="Cambria Math" w:cs="Times New Roman"/>
                        <w:lang w:eastAsia="fr-BE"/>
                      </w:rPr>
                      <m:t>2070-2100</m:t>
                    </m:r>
                  </m:e>
                </m:d>
              </m:sub>
            </m:sSub>
            <m:r>
              <w:rPr>
                <w:rFonts w:ascii="Cambria Math" w:eastAsia="Times New Roman" w:hAnsi="Cambria Math" w:cs="Times New Roman"/>
                <w:lang w:eastAsia="fr-BE"/>
              </w:rPr>
              <m:t>-</m:t>
            </m:r>
            <m:sSub>
              <m:sSubPr>
                <m:ctrlPr>
                  <w:rPr>
                    <w:rFonts w:ascii="Cambria Math" w:eastAsia="Times New Roman" w:hAnsi="Cambria Math" w:cs="Times New Roman"/>
                    <w:i/>
                    <w:lang w:eastAsia="fr-BE"/>
                  </w:rPr>
                </m:ctrlPr>
              </m:sSubPr>
              <m:e>
                <m:r>
                  <w:rPr>
                    <w:rFonts w:ascii="Cambria Math" w:eastAsia="Times New Roman" w:hAnsi="Cambria Math" w:cs="Times New Roman"/>
                    <w:lang w:eastAsia="fr-BE"/>
                  </w:rPr>
                  <m:t>Ind</m:t>
                </m:r>
              </m:e>
              <m:sub>
                <m:r>
                  <w:rPr>
                    <w:rFonts w:ascii="Cambria Math" w:eastAsia="Times New Roman" w:hAnsi="Cambria Math" w:cs="Times New Roman"/>
                    <w:lang w:eastAsia="fr-BE"/>
                  </w:rPr>
                  <m:t xml:space="preserve">Silv.Hist.CM.CO2, </m:t>
                </m:r>
                <m:d>
                  <m:dPr>
                    <m:begChr m:val="["/>
                    <m:endChr m:val="]"/>
                    <m:ctrlPr>
                      <w:rPr>
                        <w:rFonts w:ascii="Cambria Math" w:eastAsia="Times New Roman" w:hAnsi="Cambria Math" w:cs="Times New Roman"/>
                        <w:i/>
                        <w:lang w:eastAsia="fr-BE"/>
                      </w:rPr>
                    </m:ctrlPr>
                  </m:dPr>
                  <m:e>
                    <m:r>
                      <w:rPr>
                        <w:rFonts w:ascii="Cambria Math" w:eastAsia="Times New Roman" w:hAnsi="Cambria Math" w:cs="Times New Roman"/>
                        <w:lang w:eastAsia="fr-BE"/>
                      </w:rPr>
                      <m:t>2070-2100</m:t>
                    </m:r>
                  </m:e>
                </m:d>
              </m:sub>
            </m:sSub>
          </m:num>
          <m:den>
            <m:sSub>
              <m:sSubPr>
                <m:ctrlPr>
                  <w:rPr>
                    <w:rFonts w:ascii="Cambria Math" w:eastAsia="Times New Roman" w:hAnsi="Cambria Math" w:cs="Times New Roman"/>
                    <w:i/>
                    <w:lang w:eastAsia="fr-BE"/>
                  </w:rPr>
                </m:ctrlPr>
              </m:sSubPr>
              <m:e>
                <m:r>
                  <w:rPr>
                    <w:rFonts w:ascii="Cambria Math" w:eastAsia="Times New Roman" w:hAnsi="Cambria Math" w:cs="Times New Roman"/>
                    <w:lang w:eastAsia="fr-BE"/>
                  </w:rPr>
                  <m:t>Indicator</m:t>
                </m:r>
              </m:e>
              <m:sub>
                <m:r>
                  <w:rPr>
                    <w:rFonts w:ascii="Cambria Math" w:eastAsia="Times New Roman" w:hAnsi="Cambria Math" w:cs="Times New Roman"/>
                    <w:lang w:eastAsia="fr-BE"/>
                  </w:rPr>
                  <m:t>Silv.Hist.CM.CO2, [2070-2100]</m:t>
                </m:r>
              </m:sub>
            </m:sSub>
          </m:den>
        </m:f>
        <m:r>
          <w:rPr>
            <w:rFonts w:ascii="Cambria Math" w:eastAsia="Times New Roman" w:hAnsi="Cambria Math" w:cs="Times New Roman"/>
            <w:lang w:eastAsia="fr-BE"/>
          </w:rPr>
          <m:t>×100</m:t>
        </m:r>
      </m:oMath>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t xml:space="preserve">          (</w:t>
      </w:r>
      <w:r w:rsidR="00197529" w:rsidRPr="008F6866">
        <w:rPr>
          <w:rFonts w:eastAsia="Times New Roman" w:cs="Times New Roman"/>
          <w:lang w:eastAsia="fr-BE"/>
        </w:rPr>
        <w:t>4.1</w:t>
      </w:r>
      <w:r w:rsidR="00F767B0">
        <w:rPr>
          <w:rFonts w:eastAsia="Times New Roman" w:cs="Times New Roman"/>
          <w:lang w:eastAsia="fr-BE"/>
        </w:rPr>
        <w:t>6</w:t>
      </w:r>
      <w:r w:rsidRPr="008F6866">
        <w:rPr>
          <w:rFonts w:eastAsia="Times New Roman" w:cs="Times New Roman"/>
          <w:lang w:eastAsia="fr-BE"/>
        </w:rPr>
        <w:t>)</w:t>
      </w:r>
    </w:p>
    <w:p w14:paraId="7CC02A93" w14:textId="77777777" w:rsidR="00DB63A4" w:rsidRPr="008F6866" w:rsidRDefault="00DB63A4" w:rsidP="005C5491">
      <w:pPr>
        <w:spacing w:after="120" w:line="300" w:lineRule="auto"/>
        <w:jc w:val="both"/>
        <w:rPr>
          <w:rFonts w:eastAsia="Times New Roman" w:cs="Times New Roman"/>
          <w:lang w:eastAsia="fr-BE"/>
        </w:rPr>
      </w:pPr>
      <w:r w:rsidRPr="008F6866">
        <w:rPr>
          <w:rFonts w:eastAsia="Times New Roman" w:cs="Times New Roman"/>
          <w:lang w:eastAsia="fr-BE"/>
        </w:rPr>
        <w:t xml:space="preserve">where </w:t>
      </w:r>
      <m:oMath>
        <m:sSub>
          <m:sSubPr>
            <m:ctrlPr>
              <w:rPr>
                <w:rFonts w:ascii="Cambria Math" w:eastAsia="Times New Roman" w:hAnsi="Cambria Math" w:cs="Times New Roman"/>
                <w:i/>
                <w:lang w:eastAsia="fr-BE"/>
              </w:rPr>
            </m:ctrlPr>
          </m:sSubPr>
          <m:e>
            <m:r>
              <w:rPr>
                <w:rFonts w:ascii="Cambria Math" w:eastAsia="Times New Roman" w:hAnsi="Cambria Math" w:cs="Times New Roman"/>
                <w:lang w:eastAsia="fr-BE"/>
              </w:rPr>
              <m:t>Ind</m:t>
            </m:r>
          </m:e>
          <m:sub>
            <m:r>
              <w:rPr>
                <w:rFonts w:ascii="Cambria Math" w:eastAsia="Times New Roman" w:hAnsi="Cambria Math" w:cs="Times New Roman"/>
                <w:lang w:eastAsia="fr-BE"/>
              </w:rPr>
              <m:t>Silv.SSP.CM.CO2,[2070-2100]</m:t>
            </m:r>
          </m:sub>
        </m:sSub>
      </m:oMath>
      <w:r w:rsidRPr="008F6866">
        <w:rPr>
          <w:rFonts w:eastAsia="Times New Roman" w:cs="Times New Roman"/>
          <w:lang w:eastAsia="fr-BE"/>
        </w:rPr>
        <w:t xml:space="preserve"> is the mean yearly value for indicator </w:t>
      </w:r>
      <w:r w:rsidRPr="008F6866">
        <w:rPr>
          <w:rFonts w:eastAsia="Times New Roman" w:cs="Times New Roman"/>
          <w:i/>
          <w:lang w:eastAsia="fr-BE"/>
        </w:rPr>
        <w:t>Ind</w:t>
      </w:r>
      <w:r w:rsidRPr="008F6866">
        <w:rPr>
          <w:rFonts w:eastAsia="Times New Roman" w:cs="Times New Roman"/>
          <w:lang w:eastAsia="fr-BE"/>
        </w:rPr>
        <w:t xml:space="preserve"> over the 2070-2100 period for simulation with silvicultural route, </w:t>
      </w:r>
      <w:r w:rsidRPr="008F6866">
        <w:rPr>
          <w:rFonts w:eastAsia="Times New Roman" w:cs="Times New Roman"/>
          <w:i/>
          <w:lang w:eastAsia="fr-BE"/>
        </w:rPr>
        <w:t>Silv</w:t>
      </w:r>
      <w:r w:rsidRPr="008F6866">
        <w:rPr>
          <w:rFonts w:eastAsia="Times New Roman" w:cs="Times New Roman"/>
          <w:lang w:eastAsia="fr-BE"/>
        </w:rPr>
        <w:t xml:space="preserve">, climate scenario, </w:t>
      </w:r>
      <w:r w:rsidRPr="008F6866">
        <w:rPr>
          <w:rFonts w:eastAsia="Times New Roman" w:cs="Times New Roman"/>
          <w:i/>
          <w:lang w:eastAsia="fr-BE"/>
        </w:rPr>
        <w:t>SSP</w:t>
      </w:r>
      <w:r w:rsidRPr="008F6866">
        <w:rPr>
          <w:rFonts w:eastAsia="Times New Roman" w:cs="Times New Roman"/>
          <w:lang w:eastAsia="fr-BE"/>
        </w:rPr>
        <w:t xml:space="preserve">, climate model, </w:t>
      </w:r>
      <w:r w:rsidRPr="008F6866">
        <w:rPr>
          <w:rFonts w:eastAsia="Times New Roman" w:cs="Times New Roman"/>
          <w:i/>
          <w:lang w:eastAsia="fr-BE"/>
        </w:rPr>
        <w:t>CM</w:t>
      </w:r>
      <w:r w:rsidRPr="008F6866">
        <w:rPr>
          <w:rFonts w:eastAsia="Times New Roman" w:cs="Times New Roman"/>
          <w:lang w:eastAsia="fr-BE"/>
        </w:rPr>
        <w:t>, and CO</w:t>
      </w:r>
      <w:r w:rsidRPr="008F6866">
        <w:rPr>
          <w:rFonts w:eastAsia="Times New Roman" w:cs="Times New Roman"/>
          <w:vertAlign w:val="subscript"/>
          <w:lang w:eastAsia="fr-BE"/>
        </w:rPr>
        <w:t>2</w:t>
      </w:r>
      <w:r w:rsidRPr="008F6866">
        <w:rPr>
          <w:rFonts w:eastAsia="Times New Roman" w:cs="Times New Roman"/>
          <w:lang w:eastAsia="fr-BE"/>
        </w:rPr>
        <w:t xml:space="preserve"> modality, </w:t>
      </w:r>
      <w:r w:rsidRPr="008F6866">
        <w:rPr>
          <w:rFonts w:eastAsia="Times New Roman" w:cs="Times New Roman"/>
          <w:i/>
          <w:lang w:eastAsia="fr-BE"/>
        </w:rPr>
        <w:t>CO2</w:t>
      </w:r>
      <w:r w:rsidRPr="008F6866">
        <w:rPr>
          <w:rFonts w:eastAsia="Times New Roman" w:cs="Times New Roman"/>
          <w:lang w:eastAsia="fr-BE"/>
        </w:rPr>
        <w:t xml:space="preserve">, and </w:t>
      </w:r>
      <m:oMath>
        <m:sSub>
          <m:sSubPr>
            <m:ctrlPr>
              <w:rPr>
                <w:rFonts w:ascii="Cambria Math" w:eastAsia="Times New Roman" w:hAnsi="Cambria Math" w:cs="Times New Roman"/>
                <w:i/>
                <w:lang w:eastAsia="fr-BE"/>
              </w:rPr>
            </m:ctrlPr>
          </m:sSubPr>
          <m:e>
            <m:r>
              <w:rPr>
                <w:rFonts w:ascii="Cambria Math" w:eastAsia="Times New Roman" w:hAnsi="Cambria Math" w:cs="Times New Roman"/>
                <w:lang w:eastAsia="fr-BE"/>
              </w:rPr>
              <m:t>Ind</m:t>
            </m:r>
          </m:e>
          <m:sub>
            <m:r>
              <w:rPr>
                <w:rFonts w:ascii="Cambria Math" w:eastAsia="Times New Roman" w:hAnsi="Cambria Math" w:cs="Times New Roman"/>
                <w:lang w:eastAsia="fr-BE"/>
              </w:rPr>
              <m:t>Silv.Hist.CM.CO2,[2070-2100]</m:t>
            </m:r>
          </m:sub>
        </m:sSub>
      </m:oMath>
      <w:r w:rsidRPr="008F6866">
        <w:rPr>
          <w:rFonts w:eastAsia="Times New Roman" w:cs="Times New Roman"/>
          <w:lang w:eastAsia="fr-BE"/>
        </w:rPr>
        <w:t xml:space="preserve"> is the corresponding mean indicator value for the simulation performed using the historical climate scenario.</w:t>
      </w:r>
    </w:p>
    <w:p w14:paraId="51465701" w14:textId="49CA0CB2" w:rsidR="00DB63A4" w:rsidRPr="008F6866" w:rsidRDefault="00DB63A4" w:rsidP="00D56BB8">
      <w:pPr>
        <w:spacing w:after="120" w:line="300" w:lineRule="auto"/>
        <w:jc w:val="both"/>
        <w:rPr>
          <w:rFonts w:eastAsia="Times New Roman" w:cs="Times New Roman"/>
          <w:lang w:eastAsia="fr-BE"/>
        </w:rPr>
      </w:pPr>
      <w:r w:rsidRPr="008F6866">
        <w:rPr>
          <w:rFonts w:eastAsia="Times New Roman" w:cs="Times New Roman"/>
          <w:lang w:eastAsia="fr-BE"/>
        </w:rPr>
        <w:t>This relative variation of index value was represented in</w:t>
      </w:r>
      <w:r w:rsidR="000815E1" w:rsidRPr="008F6866">
        <w:rPr>
          <w:rFonts w:eastAsia="Times New Roman" w:cs="Times New Roman"/>
          <w:lang w:eastAsia="fr-BE"/>
        </w:rPr>
        <w:t xml:space="preserve"> </w:t>
      </w:r>
      <w:r w:rsidR="000815E1" w:rsidRPr="008F6866">
        <w:rPr>
          <w:rFonts w:eastAsia="Times New Roman" w:cs="Times New Roman"/>
          <w:lang w:eastAsia="fr-BE"/>
        </w:rPr>
        <w:fldChar w:fldCharType="begin"/>
      </w:r>
      <w:r w:rsidR="000815E1" w:rsidRPr="008F6866">
        <w:rPr>
          <w:rFonts w:eastAsia="Times New Roman" w:cs="Times New Roman"/>
          <w:lang w:eastAsia="fr-BE"/>
        </w:rPr>
        <w:instrText xml:space="preserve"> REF _Ref195696374 \h  \* MERGEFORMAT </w:instrText>
      </w:r>
      <w:r w:rsidR="000815E1" w:rsidRPr="008F6866">
        <w:rPr>
          <w:rFonts w:eastAsia="Times New Roman" w:cs="Times New Roman"/>
          <w:lang w:eastAsia="fr-BE"/>
        </w:rPr>
      </w:r>
      <w:r w:rsidR="000815E1" w:rsidRPr="008F6866">
        <w:rPr>
          <w:rFonts w:eastAsia="Times New Roman" w:cs="Times New Roman"/>
          <w:lang w:eastAsia="fr-BE"/>
        </w:rPr>
        <w:fldChar w:fldCharType="separate"/>
      </w:r>
      <w:r w:rsidR="00540DBF" w:rsidRPr="00540DBF">
        <w:rPr>
          <w:rFonts w:eastAsia="Times New Roman" w:cs="Times New Roman"/>
          <w:lang w:eastAsia="fr-BE"/>
        </w:rPr>
        <w:t>Figure 39</w:t>
      </w:r>
      <w:r w:rsidR="000815E1" w:rsidRPr="008F6866">
        <w:rPr>
          <w:rFonts w:eastAsia="Times New Roman" w:cs="Times New Roman"/>
          <w:lang w:eastAsia="fr-BE"/>
        </w:rPr>
        <w:fldChar w:fldCharType="end"/>
      </w:r>
      <w:r w:rsidRPr="008F6866">
        <w:rPr>
          <w:rFonts w:eastAsia="Times New Roman" w:cs="Times New Roman"/>
          <w:lang w:eastAsia="fr-BE"/>
        </w:rPr>
        <w:t xml:space="preserve"> as a function of the corresponding change in mean air temperature</w:t>
      </w:r>
      <w:r w:rsidR="00BF18BD" w:rsidRPr="008F6866">
        <w:rPr>
          <w:rFonts w:eastAsia="Times New Roman" w:cs="Times New Roman"/>
          <w:lang w:eastAsia="fr-BE"/>
        </w:rPr>
        <w:t xml:space="preserve"> (</w:t>
      </w:r>
      <w:r w:rsidR="00BF18BD" w:rsidRPr="008F6866">
        <w:rPr>
          <w:rFonts w:eastAsia="Times New Roman" w:cs="Times New Roman"/>
          <w:i/>
          <w:lang w:eastAsia="fr-BE"/>
        </w:rPr>
        <w:t>Temp</w:t>
      </w:r>
      <w:r w:rsidR="00BF18BD" w:rsidRPr="008F6866">
        <w:rPr>
          <w:rFonts w:eastAsia="Times New Roman" w:cs="Times New Roman"/>
          <w:lang w:eastAsia="fr-BE"/>
        </w:rPr>
        <w:t>)</w:t>
      </w:r>
      <w:r w:rsidRPr="008F6866">
        <w:rPr>
          <w:rFonts w:eastAsia="Times New Roman" w:cs="Times New Roman"/>
          <w:lang w:eastAsia="fr-BE"/>
        </w:rPr>
        <w:t xml:space="preserve"> during the growing season (set as extending from 15/04 to 15/09):</w:t>
      </w:r>
    </w:p>
    <w:p w14:paraId="04E9A411" w14:textId="1B797DA8" w:rsidR="00DB63A4" w:rsidRPr="008F6866" w:rsidRDefault="00DB63A4" w:rsidP="00D56BB8">
      <w:pPr>
        <w:spacing w:after="120" w:line="300" w:lineRule="auto"/>
        <w:jc w:val="both"/>
        <w:rPr>
          <w:rFonts w:eastAsia="Times New Roman" w:cs="Times New Roman"/>
          <w:lang w:eastAsia="fr-BE"/>
        </w:rPr>
      </w:pPr>
      <w:r w:rsidRPr="008F6866">
        <w:rPr>
          <w:rFonts w:eastAsia="Times New Roman" w:cs="Times New Roman"/>
          <w:lang w:eastAsia="fr-BE"/>
        </w:rPr>
        <w:tab/>
      </w:r>
      <m:oMath>
        <m:r>
          <w:rPr>
            <w:rFonts w:ascii="Cambria Math" w:eastAsia="Times New Roman" w:hAnsi="Cambria Math" w:cs="Times New Roman"/>
            <w:lang w:eastAsia="fr-BE"/>
          </w:rPr>
          <m:t xml:space="preserve">∆ </m:t>
        </m:r>
        <m:sSub>
          <m:sSubPr>
            <m:ctrlPr>
              <w:rPr>
                <w:rFonts w:ascii="Cambria Math" w:eastAsia="Times New Roman" w:hAnsi="Cambria Math" w:cs="Times New Roman"/>
                <w:i/>
                <w:lang w:eastAsia="fr-BE"/>
              </w:rPr>
            </m:ctrlPr>
          </m:sSubPr>
          <m:e>
            <m:r>
              <w:rPr>
                <w:rFonts w:ascii="Cambria Math" w:eastAsia="Times New Roman" w:hAnsi="Cambria Math" w:cs="Times New Roman"/>
                <w:lang w:eastAsia="fr-BE"/>
              </w:rPr>
              <m:t>Temp</m:t>
            </m:r>
          </m:e>
          <m:sub>
            <m:r>
              <w:rPr>
                <w:rFonts w:ascii="Cambria Math" w:eastAsia="Times New Roman" w:hAnsi="Cambria Math" w:cs="Times New Roman"/>
                <w:lang w:eastAsia="fr-BE"/>
              </w:rPr>
              <m:t>SSP.CM.CO2,[2070-2100]</m:t>
            </m:r>
          </m:sub>
        </m:sSub>
        <m:r>
          <w:rPr>
            <w:rFonts w:ascii="Cambria Math" w:eastAsia="Times New Roman" w:hAnsi="Cambria Math" w:cs="Times New Roman"/>
            <w:lang w:eastAsia="fr-BE"/>
          </w:rPr>
          <m:t>=</m:t>
        </m:r>
        <m:sSub>
          <m:sSubPr>
            <m:ctrlPr>
              <w:rPr>
                <w:rFonts w:ascii="Cambria Math" w:eastAsia="Times New Roman" w:hAnsi="Cambria Math" w:cs="Times New Roman"/>
                <w:i/>
                <w:lang w:eastAsia="fr-BE"/>
              </w:rPr>
            </m:ctrlPr>
          </m:sSubPr>
          <m:e>
            <m:r>
              <w:rPr>
                <w:rFonts w:ascii="Cambria Math" w:eastAsia="Times New Roman" w:hAnsi="Cambria Math" w:cs="Times New Roman"/>
                <w:lang w:eastAsia="fr-BE"/>
              </w:rPr>
              <m:t>Temp</m:t>
            </m:r>
          </m:e>
          <m:sub>
            <m:r>
              <w:rPr>
                <w:rFonts w:ascii="Cambria Math" w:eastAsia="Times New Roman" w:hAnsi="Cambria Math" w:cs="Times New Roman"/>
                <w:lang w:eastAsia="fr-BE"/>
              </w:rPr>
              <m:t>SSP.CM.CO2,[2070-2100]</m:t>
            </m:r>
          </m:sub>
        </m:sSub>
        <m:r>
          <w:rPr>
            <w:rFonts w:ascii="Cambria Math" w:eastAsia="Times New Roman" w:hAnsi="Cambria Math" w:cs="Times New Roman"/>
            <w:lang w:eastAsia="fr-BE"/>
          </w:rPr>
          <m:t>-</m:t>
        </m:r>
        <m:sSub>
          <m:sSubPr>
            <m:ctrlPr>
              <w:rPr>
                <w:rFonts w:ascii="Cambria Math" w:eastAsia="Times New Roman" w:hAnsi="Cambria Math" w:cs="Times New Roman"/>
                <w:i/>
                <w:lang w:eastAsia="fr-BE"/>
              </w:rPr>
            </m:ctrlPr>
          </m:sSubPr>
          <m:e>
            <m:r>
              <w:rPr>
                <w:rFonts w:ascii="Cambria Math" w:eastAsia="Times New Roman" w:hAnsi="Cambria Math" w:cs="Times New Roman"/>
                <w:lang w:eastAsia="fr-BE"/>
              </w:rPr>
              <m:t>Temp</m:t>
            </m:r>
          </m:e>
          <m:sub>
            <m:r>
              <w:rPr>
                <w:rFonts w:ascii="Cambria Math" w:eastAsia="Times New Roman" w:hAnsi="Cambria Math" w:cs="Times New Roman"/>
                <w:lang w:eastAsia="fr-BE"/>
              </w:rPr>
              <m:t>Hist.CM.CO2,[2070-2100]</m:t>
            </m:r>
          </m:sub>
        </m:sSub>
      </m:oMath>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r>
      <w:r w:rsidRPr="008F6866">
        <w:rPr>
          <w:rFonts w:eastAsia="Times New Roman" w:cs="Times New Roman"/>
          <w:lang w:eastAsia="fr-BE"/>
        </w:rPr>
        <w:tab/>
        <w:t xml:space="preserve">            (</w:t>
      </w:r>
      <w:r w:rsidR="00350754" w:rsidRPr="008F6866">
        <w:rPr>
          <w:rFonts w:eastAsia="Times New Roman" w:cs="Times New Roman"/>
          <w:lang w:eastAsia="fr-BE"/>
        </w:rPr>
        <w:t>4.1</w:t>
      </w:r>
      <w:r w:rsidR="006B5193">
        <w:rPr>
          <w:rFonts w:eastAsia="Times New Roman" w:cs="Times New Roman"/>
          <w:lang w:eastAsia="fr-BE"/>
        </w:rPr>
        <w:t>7</w:t>
      </w:r>
      <w:r w:rsidRPr="008F6866">
        <w:rPr>
          <w:rFonts w:eastAsia="Times New Roman" w:cs="Times New Roman"/>
          <w:lang w:eastAsia="fr-BE"/>
        </w:rPr>
        <w:t>)</w:t>
      </w:r>
    </w:p>
    <w:p w14:paraId="00C322A5" w14:textId="2A021096" w:rsidR="007F404C" w:rsidRDefault="00DB63A4" w:rsidP="00AB4307">
      <w:pPr>
        <w:spacing w:after="120" w:line="300" w:lineRule="auto"/>
        <w:jc w:val="both"/>
        <w:rPr>
          <w:rFonts w:eastAsia="Times New Roman" w:cstheme="minorHAnsi"/>
          <w:lang w:eastAsia="fr-BE"/>
        </w:rPr>
      </w:pPr>
      <w:r w:rsidRPr="008F6866">
        <w:rPr>
          <w:rFonts w:eastAsia="Times New Roman" w:cstheme="minorHAnsi"/>
          <w:lang w:eastAsia="fr-BE"/>
        </w:rPr>
        <w:t>The relationship between indicator relative variation and temperature change was particularly marked for GPP</w:t>
      </w:r>
      <w:r w:rsidR="003A1735" w:rsidRPr="008F6866">
        <w:rPr>
          <w:rFonts w:eastAsia="Times New Roman" w:cstheme="minorHAnsi"/>
          <w:lang w:eastAsia="fr-BE"/>
        </w:rPr>
        <w:t>, volume production</w:t>
      </w:r>
      <w:r w:rsidRPr="008F6866">
        <w:rPr>
          <w:rFonts w:eastAsia="Times New Roman" w:cstheme="minorHAnsi"/>
          <w:lang w:eastAsia="fr-BE"/>
        </w:rPr>
        <w:t xml:space="preserve"> and transpiration under variable atmospheric CO</w:t>
      </w:r>
      <w:r w:rsidRPr="008F6866">
        <w:rPr>
          <w:rFonts w:eastAsia="Times New Roman" w:cstheme="minorHAnsi"/>
          <w:vertAlign w:val="subscript"/>
          <w:lang w:eastAsia="fr-BE"/>
        </w:rPr>
        <w:t>2</w:t>
      </w:r>
      <w:r w:rsidRPr="008F6866">
        <w:rPr>
          <w:rFonts w:eastAsia="Times New Roman" w:cstheme="minorHAnsi"/>
          <w:lang w:eastAsia="fr-BE"/>
        </w:rPr>
        <w:t xml:space="preserve"> concentration. GPP </w:t>
      </w:r>
      <w:r w:rsidR="003A1735" w:rsidRPr="008F6866">
        <w:rPr>
          <w:rFonts w:eastAsia="Times New Roman" w:cstheme="minorHAnsi"/>
          <w:lang w:eastAsia="fr-BE"/>
        </w:rPr>
        <w:t xml:space="preserve">and volume production </w:t>
      </w:r>
      <w:r w:rsidRPr="008F6866">
        <w:rPr>
          <w:rFonts w:eastAsia="Times New Roman" w:cstheme="minorHAnsi"/>
          <w:lang w:eastAsia="fr-BE"/>
        </w:rPr>
        <w:t>showed a positive correlation with temperature change, while a negative correlation was observed for transpiration. These results are in line with the observed increase in both GPP and water use efficiency as radiative forcing rises (i.e., as CO</w:t>
      </w:r>
      <w:r w:rsidRPr="008F6866">
        <w:rPr>
          <w:rFonts w:eastAsia="Times New Roman" w:cstheme="minorHAnsi"/>
          <w:vertAlign w:val="subscript"/>
          <w:lang w:eastAsia="fr-BE"/>
        </w:rPr>
        <w:t>2</w:t>
      </w:r>
      <w:r w:rsidRPr="008F6866">
        <w:rPr>
          <w:rFonts w:eastAsia="Times New Roman" w:cstheme="minorHAnsi"/>
          <w:lang w:eastAsia="fr-BE"/>
        </w:rPr>
        <w:t xml:space="preserve"> concentration increases when it is considered as variable) reported above (see</w:t>
      </w:r>
      <w:r w:rsidR="001D2110" w:rsidRPr="008F6866">
        <w:rPr>
          <w:rFonts w:eastAsia="Times New Roman" w:cstheme="minorHAnsi"/>
          <w:lang w:eastAsia="fr-BE"/>
        </w:rPr>
        <w:t xml:space="preserve"> </w:t>
      </w:r>
      <w:r w:rsidR="001D2110" w:rsidRPr="008F6866">
        <w:rPr>
          <w:rFonts w:eastAsia="Times New Roman" w:cstheme="minorHAnsi"/>
          <w:lang w:eastAsia="fr-BE"/>
        </w:rPr>
        <w:fldChar w:fldCharType="begin"/>
      </w:r>
      <w:r w:rsidR="001D2110" w:rsidRPr="008F6866">
        <w:rPr>
          <w:rFonts w:eastAsia="Times New Roman" w:cstheme="minorHAnsi"/>
          <w:lang w:eastAsia="fr-BE"/>
        </w:rPr>
        <w:instrText xml:space="preserve"> REF _Ref195694514 \h  \* MERGEFORMAT </w:instrText>
      </w:r>
      <w:r w:rsidR="001D2110" w:rsidRPr="008F6866">
        <w:rPr>
          <w:rFonts w:eastAsia="Times New Roman" w:cstheme="minorHAnsi"/>
          <w:lang w:eastAsia="fr-BE"/>
        </w:rPr>
      </w:r>
      <w:r w:rsidR="001D2110" w:rsidRPr="008F6866">
        <w:rPr>
          <w:rFonts w:eastAsia="Times New Roman" w:cstheme="minorHAnsi"/>
          <w:lang w:eastAsia="fr-BE"/>
        </w:rPr>
        <w:fldChar w:fldCharType="separate"/>
      </w:r>
      <w:r w:rsidR="00540DBF" w:rsidRPr="00540DBF">
        <w:rPr>
          <w:rFonts w:eastAsia="Times New Roman" w:cstheme="minorHAnsi"/>
          <w:lang w:eastAsia="fr-BE"/>
        </w:rPr>
        <w:t>Figure 36</w:t>
      </w:r>
      <w:r w:rsidR="001D2110" w:rsidRPr="008F6866">
        <w:rPr>
          <w:rFonts w:eastAsia="Times New Roman" w:cstheme="minorHAnsi"/>
          <w:lang w:eastAsia="fr-BE"/>
        </w:rPr>
        <w:fldChar w:fldCharType="end"/>
      </w:r>
      <w:r w:rsidRPr="008F6866">
        <w:rPr>
          <w:rFonts w:eastAsia="Times New Roman" w:cstheme="minorHAnsi"/>
          <w:lang w:eastAsia="fr-BE"/>
        </w:rPr>
        <w:t>). Indeed, the rise in radiative forcing is coupled with an increase in average temperature. The trends were similar for all silvicultural routes, although the increase in GPP with rising temperature change was slightly more pronounced for DIV compared to BAU and OAK. Additionally, an influence of the climate model was observed, with the MPI-ESM1-2-LR, MPI-ESM1-2-HR and MRI-ESM2-0 models showing results that differ from those of the three other models. This discrepancy is due to differences in temperature change for a given radiative forcing between the two model groups, the first three models showing a temperature change peaking around 4°C while it is almost the double for the last three models. When CO</w:t>
      </w:r>
      <w:r w:rsidRPr="008F6866">
        <w:rPr>
          <w:rFonts w:eastAsia="Times New Roman" w:cstheme="minorHAnsi"/>
          <w:vertAlign w:val="subscript"/>
          <w:lang w:eastAsia="fr-BE"/>
        </w:rPr>
        <w:t>2</w:t>
      </w:r>
      <w:r w:rsidRPr="008F6866">
        <w:rPr>
          <w:rFonts w:eastAsia="Times New Roman" w:cstheme="minorHAnsi"/>
          <w:lang w:eastAsia="fr-BE"/>
        </w:rPr>
        <w:t xml:space="preserve"> concentration was held constant, the relationships between relative changes in GPP</w:t>
      </w:r>
      <w:r w:rsidR="003A1735" w:rsidRPr="008F6866">
        <w:rPr>
          <w:rFonts w:eastAsia="Times New Roman" w:cstheme="minorHAnsi"/>
          <w:lang w:eastAsia="fr-BE"/>
        </w:rPr>
        <w:t>, volume production</w:t>
      </w:r>
      <w:r w:rsidRPr="008F6866">
        <w:rPr>
          <w:rFonts w:eastAsia="Times New Roman" w:cstheme="minorHAnsi"/>
          <w:lang w:eastAsia="fr-BE"/>
        </w:rPr>
        <w:t xml:space="preserve"> and transpiration and temperature change were much less pronounced, and the direction of the correlations tended to revert compared to when CO</w:t>
      </w:r>
      <w:r w:rsidRPr="008F6866">
        <w:rPr>
          <w:rFonts w:eastAsia="Times New Roman" w:cstheme="minorHAnsi"/>
          <w:vertAlign w:val="subscript"/>
          <w:lang w:eastAsia="fr-BE"/>
        </w:rPr>
        <w:t>2</w:t>
      </w:r>
      <w:r w:rsidRPr="008F6866">
        <w:rPr>
          <w:rFonts w:eastAsia="Times New Roman" w:cstheme="minorHAnsi"/>
          <w:lang w:eastAsia="fr-BE"/>
        </w:rPr>
        <w:t xml:space="preserve"> was variable, which is also in agreement with the results reported above. For the other indicators, the relationships between the two variables were generally weak. A noticeable observation was the stability of the Simpson index and wind undamaged percentage values for DIV, with relative change values consistently close to zero, in contrast to the much greater dispersion observed for the two other silvicultural routes. In other respects, although the correlation with temperature change was weak, the relative change in tree recruitment showed differing levels across silvicultural routes, with BAU showing on average higher values compared to OAK and DIV (note the logarithmic scales used for this indicator, as well as for tree mortality).</w:t>
      </w:r>
    </w:p>
    <w:p w14:paraId="5C23C887" w14:textId="38D06077" w:rsidR="00C94565" w:rsidRDefault="00C94565">
      <w:pPr>
        <w:rPr>
          <w:rFonts w:eastAsia="Times New Roman" w:cstheme="minorHAnsi"/>
          <w:sz w:val="2"/>
          <w:szCs w:val="2"/>
          <w:lang w:eastAsia="fr-BE"/>
        </w:rPr>
      </w:pPr>
      <w:r>
        <w:rPr>
          <w:rFonts w:eastAsia="Times New Roman" w:cstheme="minorHAnsi"/>
          <w:sz w:val="2"/>
          <w:szCs w:val="2"/>
          <w:lang w:eastAsia="fr-BE"/>
        </w:rPr>
        <w:br w:type="page"/>
      </w:r>
    </w:p>
    <w:p w14:paraId="2D118ED9" w14:textId="77777777" w:rsidR="00C94565" w:rsidRPr="00C94565" w:rsidRDefault="00C94565" w:rsidP="00C94565">
      <w:pPr>
        <w:spacing w:after="0" w:line="300" w:lineRule="auto"/>
        <w:jc w:val="both"/>
        <w:rPr>
          <w:rFonts w:eastAsia="Times New Roman" w:cstheme="minorHAnsi"/>
          <w:sz w:val="2"/>
          <w:szCs w:val="2"/>
          <w:lang w:eastAsia="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47"/>
        <w:gridCol w:w="1983"/>
        <w:gridCol w:w="1844"/>
        <w:gridCol w:w="2686"/>
      </w:tblGrid>
      <w:tr w:rsidR="00DB63A4" w:rsidRPr="008F6866" w14:paraId="1F0196ED" w14:textId="77777777" w:rsidTr="00413E51">
        <w:tc>
          <w:tcPr>
            <w:tcW w:w="4530" w:type="dxa"/>
            <w:gridSpan w:val="2"/>
          </w:tcPr>
          <w:p w14:paraId="60DF9315" w14:textId="5BF817BF" w:rsidR="00DB63A4" w:rsidRPr="008F6866" w:rsidRDefault="00DB63A4" w:rsidP="00DB63A4">
            <w:pPr>
              <w:spacing w:before="100" w:beforeAutospacing="1" w:after="100" w:afterAutospacing="1"/>
              <w:jc w:val="center"/>
              <w:rPr>
                <w:rFonts w:asciiTheme="minorHAnsi" w:hAnsiTheme="minorHAnsi" w:cstheme="minorHAnsi"/>
                <w:b/>
                <w:lang w:eastAsia="fr-BE"/>
              </w:rPr>
            </w:pPr>
            <w:r w:rsidRPr="008F6866">
              <w:rPr>
                <w:rFonts w:asciiTheme="minorHAnsi" w:hAnsiTheme="minorHAnsi" w:cstheme="minorHAnsi"/>
                <w:b/>
                <w:lang w:eastAsia="fr-BE"/>
              </w:rPr>
              <w:t>Gross primary production</w:t>
            </w:r>
          </w:p>
        </w:tc>
        <w:tc>
          <w:tcPr>
            <w:tcW w:w="4530" w:type="dxa"/>
            <w:gridSpan w:val="2"/>
          </w:tcPr>
          <w:p w14:paraId="7C1A7B85" w14:textId="24529294" w:rsidR="00DB63A4" w:rsidRPr="008F6866" w:rsidRDefault="00DB63A4" w:rsidP="00DB63A4">
            <w:pPr>
              <w:spacing w:before="100" w:beforeAutospacing="1" w:after="100" w:afterAutospacing="1"/>
              <w:jc w:val="center"/>
              <w:rPr>
                <w:rFonts w:asciiTheme="minorHAnsi" w:hAnsiTheme="minorHAnsi" w:cstheme="minorHAnsi"/>
                <w:b/>
                <w:lang w:eastAsia="fr-BE"/>
              </w:rPr>
            </w:pPr>
            <w:r w:rsidRPr="008F6866">
              <w:rPr>
                <w:rFonts w:asciiTheme="minorHAnsi" w:hAnsiTheme="minorHAnsi" w:cstheme="minorHAnsi"/>
                <w:b/>
                <w:lang w:eastAsia="fr-BE"/>
              </w:rPr>
              <w:t>Transpiration</w:t>
            </w:r>
          </w:p>
        </w:tc>
      </w:tr>
      <w:tr w:rsidR="00DB63A4" w:rsidRPr="008F6866" w14:paraId="46F2975E" w14:textId="77777777" w:rsidTr="00413E51">
        <w:tc>
          <w:tcPr>
            <w:tcW w:w="4530" w:type="dxa"/>
            <w:gridSpan w:val="2"/>
          </w:tcPr>
          <w:p w14:paraId="5254FF7C" w14:textId="57B3D726" w:rsidR="00DB63A4" w:rsidRPr="008F6866" w:rsidRDefault="00DB63A4" w:rsidP="00DB63A4">
            <w:pPr>
              <w:spacing w:before="100" w:beforeAutospacing="1" w:after="100" w:afterAutospacing="1"/>
              <w:jc w:val="center"/>
              <w:rPr>
                <w:rFonts w:cstheme="minorHAnsi"/>
                <w:b/>
                <w:lang w:eastAsia="fr-BE"/>
              </w:rPr>
            </w:pPr>
            <w:r w:rsidRPr="008F6866">
              <w:rPr>
                <w:noProof/>
              </w:rPr>
              <w:drawing>
                <wp:inline distT="0" distB="0" distL="0" distR="0" wp14:anchorId="2951A1B3" wp14:editId="3BB52226">
                  <wp:extent cx="2818800" cy="1591200"/>
                  <wp:effectExtent l="0" t="0" r="635" b="9525"/>
                  <wp:docPr id="46" name="Image 46" descr="D:\andref\Documents\EFOR\RegePlus\SimulationExperiment\ClimateChangeEffets\REGEplus_SimuAnalysis112024\REGEplus_ClimateEffetcts_022025_files\figure-html\Carbon balance - G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ndref\Documents\EFOR\RegePlus\SimulationExperiment\ClimateChangeEffets\REGEplus_SimuAnalysis112024\REGEplus_ClimateEffetcts_022025_files\figure-html\Carbon balance - GPP-1.pn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b="58404"/>
                          <a:stretch/>
                        </pic:blipFill>
                        <pic:spPr bwMode="auto">
                          <a:xfrm>
                            <a:off x="0" y="0"/>
                            <a:ext cx="2818800" cy="159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gridSpan w:val="2"/>
          </w:tcPr>
          <w:p w14:paraId="21DA18B5" w14:textId="0ECDF429" w:rsidR="00DB63A4" w:rsidRPr="008F6866" w:rsidRDefault="00DB63A4" w:rsidP="00DB63A4">
            <w:pPr>
              <w:spacing w:before="100" w:beforeAutospacing="1" w:after="100" w:afterAutospacing="1"/>
              <w:jc w:val="center"/>
              <w:rPr>
                <w:rFonts w:cstheme="minorHAnsi"/>
                <w:b/>
                <w:lang w:eastAsia="fr-BE"/>
              </w:rPr>
            </w:pPr>
            <w:r w:rsidRPr="008F6866">
              <w:rPr>
                <w:noProof/>
              </w:rPr>
              <w:drawing>
                <wp:inline distT="0" distB="0" distL="0" distR="0" wp14:anchorId="0E1C8BCF" wp14:editId="782C3F8A">
                  <wp:extent cx="2818800" cy="1591200"/>
                  <wp:effectExtent l="0" t="0" r="635" b="9525"/>
                  <wp:docPr id="45" name="Image 45" descr="D:\andref\Documents\EFOR\RegePlus\SimulationExperiment\ClimateChangeEffets\REGEplus_SimuAnalysis112024\REGEplus_ClimateEffetcts_022025_files\figure-html\Water balance - Transpi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ndref\Documents\EFOR\RegePlus\SimulationExperiment\ClimateChangeEffets\REGEplus_SimuAnalysis112024\REGEplus_ClimateEffetcts_022025_files\figure-html\Water balance - Transpiration-1.pn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b="58404"/>
                          <a:stretch/>
                        </pic:blipFill>
                        <pic:spPr bwMode="auto">
                          <a:xfrm>
                            <a:off x="0" y="0"/>
                            <a:ext cx="2818800" cy="1591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4366" w:rsidRPr="008F6866" w14:paraId="10B8BAB8" w14:textId="77777777" w:rsidTr="00413E51">
        <w:tc>
          <w:tcPr>
            <w:tcW w:w="4530" w:type="dxa"/>
            <w:gridSpan w:val="2"/>
          </w:tcPr>
          <w:p w14:paraId="579B530F" w14:textId="540AA8B1" w:rsidR="00FC4366" w:rsidRPr="008F6866" w:rsidRDefault="003A1735" w:rsidP="00FC4366">
            <w:pPr>
              <w:spacing w:before="100" w:beforeAutospacing="1" w:after="100" w:afterAutospacing="1"/>
              <w:jc w:val="center"/>
              <w:rPr>
                <w:rFonts w:cstheme="minorHAnsi"/>
                <w:b/>
                <w:lang w:eastAsia="fr-BE"/>
              </w:rPr>
            </w:pPr>
            <w:r w:rsidRPr="008F6866">
              <w:rPr>
                <w:rFonts w:asciiTheme="minorHAnsi" w:hAnsiTheme="minorHAnsi" w:cstheme="minorHAnsi"/>
                <w:b/>
                <w:lang w:eastAsia="fr-BE"/>
              </w:rPr>
              <w:t>Volume production</w:t>
            </w:r>
          </w:p>
        </w:tc>
        <w:tc>
          <w:tcPr>
            <w:tcW w:w="4530" w:type="dxa"/>
            <w:gridSpan w:val="2"/>
          </w:tcPr>
          <w:p w14:paraId="7CCE484D" w14:textId="4C6B2532" w:rsidR="00FC4366" w:rsidRPr="008F6866" w:rsidRDefault="00FC4366" w:rsidP="00FC4366">
            <w:pPr>
              <w:spacing w:before="100" w:beforeAutospacing="1" w:after="100" w:afterAutospacing="1"/>
              <w:jc w:val="center"/>
              <w:rPr>
                <w:rFonts w:cstheme="minorHAnsi"/>
                <w:b/>
                <w:lang w:eastAsia="fr-BE"/>
              </w:rPr>
            </w:pPr>
            <w:r w:rsidRPr="008F6866">
              <w:rPr>
                <w:rFonts w:asciiTheme="minorHAnsi" w:hAnsiTheme="minorHAnsi" w:cstheme="minorHAnsi"/>
                <w:b/>
                <w:lang w:eastAsia="fr-BE"/>
              </w:rPr>
              <w:t>Profit</w:t>
            </w:r>
          </w:p>
        </w:tc>
      </w:tr>
      <w:tr w:rsidR="00FC4366" w:rsidRPr="008F6866" w14:paraId="10EF0F40" w14:textId="77777777" w:rsidTr="00413E51">
        <w:tc>
          <w:tcPr>
            <w:tcW w:w="4530" w:type="dxa"/>
            <w:gridSpan w:val="2"/>
          </w:tcPr>
          <w:p w14:paraId="1B07D472" w14:textId="27B4252F" w:rsidR="00FC4366" w:rsidRPr="008F6866" w:rsidRDefault="003A1735" w:rsidP="00FC4366">
            <w:pPr>
              <w:spacing w:before="100" w:beforeAutospacing="1" w:after="100" w:afterAutospacing="1"/>
              <w:jc w:val="center"/>
              <w:rPr>
                <w:rFonts w:asciiTheme="minorHAnsi" w:hAnsiTheme="minorHAnsi" w:cstheme="minorHAnsi"/>
                <w:lang w:eastAsia="fr-BE"/>
              </w:rPr>
            </w:pPr>
            <w:r w:rsidRPr="008F6866">
              <w:rPr>
                <w:noProof/>
              </w:rPr>
              <w:drawing>
                <wp:inline distT="0" distB="0" distL="0" distR="0" wp14:anchorId="4503492D" wp14:editId="12C3508A">
                  <wp:extent cx="2814320" cy="1590675"/>
                  <wp:effectExtent l="0" t="0" r="5080" b="9525"/>
                  <wp:docPr id="35" name="Image 35" descr="D:\andref\Documents\EFOR\RegePlus\SimulationExperiment\ClimateChangeEffets\REGEplus_SimuAnalysis112024\REGEplus_ClimateEffetcts_022025_files\figure-html\Productivity - Volume produ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ef\Documents\EFOR\RegePlus\SimulationExperiment\ClimateChangeEffets\REGEplus_SimuAnalysis112024\REGEplus_ClimateEffetcts_022025_files\figure-html\Productivity - Volume production-1.pn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b="63130"/>
                          <a:stretch/>
                        </pic:blipFill>
                        <pic:spPr bwMode="auto">
                          <a:xfrm>
                            <a:off x="0" y="0"/>
                            <a:ext cx="2836199" cy="16030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gridSpan w:val="2"/>
          </w:tcPr>
          <w:p w14:paraId="166DE4CB" w14:textId="457EBD77" w:rsidR="00FC4366" w:rsidRPr="008F6866" w:rsidRDefault="00FC4366" w:rsidP="00FC4366">
            <w:pPr>
              <w:spacing w:before="100" w:beforeAutospacing="1" w:after="100" w:afterAutospacing="1"/>
              <w:jc w:val="center"/>
              <w:rPr>
                <w:rFonts w:asciiTheme="minorHAnsi" w:hAnsiTheme="minorHAnsi" w:cstheme="minorHAnsi"/>
                <w:lang w:eastAsia="fr-BE"/>
              </w:rPr>
            </w:pPr>
            <w:r w:rsidRPr="008F6866">
              <w:rPr>
                <w:noProof/>
              </w:rPr>
              <w:drawing>
                <wp:inline distT="0" distB="0" distL="0" distR="0" wp14:anchorId="2A3750F4" wp14:editId="27296880">
                  <wp:extent cx="2811600" cy="1591200"/>
                  <wp:effectExtent l="0" t="0" r="8255" b="9525"/>
                  <wp:docPr id="43" name="Image 43" descr="D:\andref\Documents\EFOR\RegePlus\SimulationExperiment\ClimateChangeEffets\REGEplus_SimuAnalysis112024\REGEplus_ClimateEffetcts_022025_files\figure-html\Profitability - Prof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ndref\Documents\EFOR\RegePlus\SimulationExperiment\ClimateChangeEffets\REGEplus_SimuAnalysis112024\REGEplus_ClimateEffetcts_022025_files\figure-html\Profitability - Profit-1.pn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b="58323"/>
                          <a:stretch/>
                        </pic:blipFill>
                        <pic:spPr bwMode="auto">
                          <a:xfrm>
                            <a:off x="0" y="0"/>
                            <a:ext cx="2811600" cy="1591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4366" w:rsidRPr="008F6866" w14:paraId="4584A950" w14:textId="77777777" w:rsidTr="00413E51">
        <w:tc>
          <w:tcPr>
            <w:tcW w:w="4530" w:type="dxa"/>
            <w:gridSpan w:val="2"/>
          </w:tcPr>
          <w:p w14:paraId="60FF5952" w14:textId="337FBD93" w:rsidR="00FC4366" w:rsidRPr="008F6866" w:rsidRDefault="00FC4366" w:rsidP="00FC4366">
            <w:pPr>
              <w:spacing w:before="100" w:beforeAutospacing="1" w:after="100" w:afterAutospacing="1"/>
              <w:jc w:val="center"/>
              <w:rPr>
                <w:rFonts w:asciiTheme="minorHAnsi" w:hAnsiTheme="minorHAnsi" w:cstheme="minorHAnsi"/>
                <w:b/>
                <w:lang w:eastAsia="fr-BE"/>
              </w:rPr>
            </w:pPr>
            <w:r w:rsidRPr="008F6866">
              <w:rPr>
                <w:rFonts w:asciiTheme="minorHAnsi" w:hAnsiTheme="minorHAnsi" w:cstheme="minorHAnsi"/>
                <w:b/>
                <w:lang w:eastAsia="fr-BE"/>
              </w:rPr>
              <w:t>Simpson index</w:t>
            </w:r>
          </w:p>
        </w:tc>
        <w:tc>
          <w:tcPr>
            <w:tcW w:w="4530" w:type="dxa"/>
            <w:gridSpan w:val="2"/>
          </w:tcPr>
          <w:p w14:paraId="3F128BA9" w14:textId="78344C4C" w:rsidR="00FC4366" w:rsidRPr="008F6866" w:rsidRDefault="00FC4366" w:rsidP="00FC4366">
            <w:pPr>
              <w:spacing w:before="100" w:beforeAutospacing="1" w:after="100" w:afterAutospacing="1"/>
              <w:jc w:val="center"/>
              <w:rPr>
                <w:rFonts w:asciiTheme="minorHAnsi" w:hAnsiTheme="minorHAnsi" w:cstheme="minorHAnsi"/>
                <w:b/>
                <w:lang w:eastAsia="fr-BE"/>
              </w:rPr>
            </w:pPr>
            <w:r w:rsidRPr="008F6866">
              <w:rPr>
                <w:rFonts w:asciiTheme="minorHAnsi" w:hAnsiTheme="minorHAnsi" w:cstheme="minorHAnsi"/>
                <w:b/>
                <w:lang w:eastAsia="fr-BE"/>
              </w:rPr>
              <w:t>Wind undamaged trees</w:t>
            </w:r>
          </w:p>
        </w:tc>
      </w:tr>
      <w:tr w:rsidR="00FC4366" w:rsidRPr="008F6866" w14:paraId="1D2740DE" w14:textId="77777777" w:rsidTr="00413E51">
        <w:tc>
          <w:tcPr>
            <w:tcW w:w="4530" w:type="dxa"/>
            <w:gridSpan w:val="2"/>
          </w:tcPr>
          <w:p w14:paraId="0D603084" w14:textId="46988B4A" w:rsidR="00FC4366" w:rsidRPr="008F6866" w:rsidRDefault="00FC4366" w:rsidP="00FC4366">
            <w:pPr>
              <w:spacing w:before="100" w:beforeAutospacing="1" w:after="100" w:afterAutospacing="1"/>
              <w:jc w:val="center"/>
              <w:rPr>
                <w:rFonts w:asciiTheme="minorHAnsi" w:hAnsiTheme="minorHAnsi" w:cstheme="minorHAnsi"/>
                <w:lang w:eastAsia="fr-BE"/>
              </w:rPr>
            </w:pPr>
            <w:r w:rsidRPr="008F6866">
              <w:rPr>
                <w:noProof/>
              </w:rPr>
              <w:drawing>
                <wp:inline distT="0" distB="0" distL="0" distR="0" wp14:anchorId="65247C62" wp14:editId="43C4A806">
                  <wp:extent cx="2811600" cy="1591200"/>
                  <wp:effectExtent l="0" t="0" r="8255" b="9525"/>
                  <wp:docPr id="44" name="Image 44" descr="D:\andref\Documents\EFOR\RegePlus\SimulationExperiment\ClimateChangeEffets\REGEplus_SimuAnalysis112024\REGEplus_ClimateEffetcts_022025_files\figure-html\Diversity - Simps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ndref\Documents\EFOR\RegePlus\SimulationExperiment\ClimateChangeEffets\REGEplus_SimuAnalysis112024\REGEplus_ClimateEffetcts_022025_files\figure-html\Diversity - Simpson-1.pn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b="58323"/>
                          <a:stretch/>
                        </pic:blipFill>
                        <pic:spPr bwMode="auto">
                          <a:xfrm>
                            <a:off x="0" y="0"/>
                            <a:ext cx="2811600" cy="159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gridSpan w:val="2"/>
          </w:tcPr>
          <w:p w14:paraId="3E31F23F" w14:textId="095FFB3F" w:rsidR="00FC4366" w:rsidRPr="008F6866" w:rsidRDefault="00FC4366" w:rsidP="00FC4366">
            <w:pPr>
              <w:spacing w:before="100" w:beforeAutospacing="1" w:after="100" w:afterAutospacing="1"/>
              <w:jc w:val="center"/>
              <w:rPr>
                <w:rFonts w:asciiTheme="minorHAnsi" w:hAnsiTheme="minorHAnsi" w:cstheme="minorHAnsi"/>
                <w:lang w:eastAsia="fr-BE"/>
              </w:rPr>
            </w:pPr>
            <w:r w:rsidRPr="008F6866">
              <w:rPr>
                <w:noProof/>
              </w:rPr>
              <w:drawing>
                <wp:inline distT="0" distB="0" distL="0" distR="0" wp14:anchorId="42364846" wp14:editId="377F7B99">
                  <wp:extent cx="2818800" cy="1587600"/>
                  <wp:effectExtent l="0" t="0" r="635" b="0"/>
                  <wp:docPr id="48" name="Image 48" descr="D:\andref\Documents\EFOR\RegePlus\SimulationExperiment\ClimateChangeEffets\REGEplus_SimuAnalysis112024\REGEplus_ClimateEffetcts_022025_files\figure-html\Resilience - Wind undamag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andref\Documents\EFOR\RegePlus\SimulationExperiment\ClimateChangeEffets\REGEplus_SimuAnalysis112024\REGEplus_ClimateEffetcts_022025_files\figure-html\Resilience - Wind undamaged-1.pn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b="58486"/>
                          <a:stretch/>
                        </pic:blipFill>
                        <pic:spPr bwMode="auto">
                          <a:xfrm>
                            <a:off x="0" y="0"/>
                            <a:ext cx="2818800" cy="1587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4366" w:rsidRPr="008F6866" w14:paraId="4CBB5415" w14:textId="77777777" w:rsidTr="00413E51">
        <w:tc>
          <w:tcPr>
            <w:tcW w:w="4530" w:type="dxa"/>
            <w:gridSpan w:val="2"/>
          </w:tcPr>
          <w:p w14:paraId="05F0404C" w14:textId="2776D3E0" w:rsidR="00FC4366" w:rsidRPr="008F6866" w:rsidRDefault="00FC4366" w:rsidP="00FC4366">
            <w:pPr>
              <w:spacing w:before="100" w:beforeAutospacing="1" w:after="100" w:afterAutospacing="1"/>
              <w:jc w:val="center"/>
              <w:rPr>
                <w:rFonts w:cstheme="minorHAnsi"/>
                <w:b/>
                <w:noProof/>
              </w:rPr>
            </w:pPr>
            <w:r w:rsidRPr="008F6866">
              <w:rPr>
                <w:rFonts w:asciiTheme="minorHAnsi" w:hAnsiTheme="minorHAnsi" w:cstheme="minorHAnsi"/>
                <w:b/>
                <w:lang w:eastAsia="fr-BE"/>
              </w:rPr>
              <w:t>Tree recruitment</w:t>
            </w:r>
          </w:p>
        </w:tc>
        <w:tc>
          <w:tcPr>
            <w:tcW w:w="4530" w:type="dxa"/>
            <w:gridSpan w:val="2"/>
          </w:tcPr>
          <w:p w14:paraId="6CDF4733" w14:textId="5FFF96A7" w:rsidR="00FC4366" w:rsidRPr="008F6866" w:rsidRDefault="00FC4366" w:rsidP="00FC4366">
            <w:pPr>
              <w:spacing w:before="100" w:beforeAutospacing="1" w:after="100" w:afterAutospacing="1"/>
              <w:jc w:val="center"/>
              <w:rPr>
                <w:rFonts w:cstheme="minorHAnsi"/>
                <w:noProof/>
              </w:rPr>
            </w:pPr>
            <w:r w:rsidRPr="008F6866">
              <w:rPr>
                <w:rFonts w:asciiTheme="minorHAnsi" w:hAnsiTheme="minorHAnsi" w:cstheme="minorHAnsi"/>
                <w:b/>
                <w:lang w:eastAsia="fr-BE"/>
              </w:rPr>
              <w:t>Tree mortality</w:t>
            </w:r>
          </w:p>
        </w:tc>
      </w:tr>
      <w:tr w:rsidR="00FC4366" w:rsidRPr="008F6866" w14:paraId="3BCEBB37" w14:textId="77777777" w:rsidTr="00413E51">
        <w:tc>
          <w:tcPr>
            <w:tcW w:w="4530" w:type="dxa"/>
            <w:gridSpan w:val="2"/>
          </w:tcPr>
          <w:p w14:paraId="49957A7A" w14:textId="14AAFAB1" w:rsidR="00FC4366" w:rsidRPr="008F6866" w:rsidRDefault="00FC4366" w:rsidP="00FC4366">
            <w:pPr>
              <w:spacing w:before="100" w:beforeAutospacing="1" w:after="100" w:afterAutospacing="1"/>
              <w:jc w:val="center"/>
              <w:rPr>
                <w:rFonts w:cstheme="minorHAnsi"/>
                <w:noProof/>
              </w:rPr>
            </w:pPr>
            <w:r w:rsidRPr="008F6866">
              <w:rPr>
                <w:noProof/>
              </w:rPr>
              <w:drawing>
                <wp:inline distT="0" distB="0" distL="0" distR="0" wp14:anchorId="7E600242" wp14:editId="44439364">
                  <wp:extent cx="2818800" cy="1591200"/>
                  <wp:effectExtent l="0" t="0" r="635" b="9525"/>
                  <wp:docPr id="50" name="Image 50" descr="D:\andref\Documents\EFOR\RegePlus\SimulationExperiment\ClimateChangeEffets\REGEplus_SimuAnalysis112024\REGEplus_ClimateEffetcts_022025_files\figure-html\Resilience - Tree recruit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ndref\Documents\EFOR\RegePlus\SimulationExperiment\ClimateChangeEffets\REGEplus_SimuAnalysis112024\REGEplus_ClimateEffetcts_022025_files\figure-html\Resilience - Tree recruitment-1.png"/>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b="58404"/>
                          <a:stretch/>
                        </pic:blipFill>
                        <pic:spPr bwMode="auto">
                          <a:xfrm>
                            <a:off x="0" y="0"/>
                            <a:ext cx="2818800" cy="159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gridSpan w:val="2"/>
          </w:tcPr>
          <w:p w14:paraId="068873CA" w14:textId="6B437283" w:rsidR="00FC4366" w:rsidRPr="008F6866" w:rsidRDefault="00FC4366" w:rsidP="00FC4366">
            <w:pPr>
              <w:spacing w:before="100" w:beforeAutospacing="1" w:after="100" w:afterAutospacing="1"/>
              <w:jc w:val="center"/>
              <w:rPr>
                <w:rFonts w:cstheme="minorHAnsi"/>
                <w:noProof/>
              </w:rPr>
            </w:pPr>
            <w:r w:rsidRPr="008F6866">
              <w:rPr>
                <w:noProof/>
              </w:rPr>
              <w:drawing>
                <wp:inline distT="0" distB="0" distL="0" distR="0" wp14:anchorId="158CF05F" wp14:editId="5AEE2BD3">
                  <wp:extent cx="2818800" cy="1591200"/>
                  <wp:effectExtent l="0" t="0" r="635" b="9525"/>
                  <wp:docPr id="51" name="Image 51" descr="D:\andref\Documents\EFOR\RegePlus\SimulationExperiment\ClimateChangeEffets\REGEplus_SimuAnalysis112024\REGEplus_ClimateEffetcts_022025_files\figure-html\Resilience - Dead basal area pr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andref\Documents\EFOR\RegePlus\SimulationExperiment\ClimateChangeEffets\REGEplus_SimuAnalysis112024\REGEplus_ClimateEffetcts_022025_files\figure-html\Resilience - Dead basal area prop-1.pn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b="58404"/>
                          <a:stretch/>
                        </pic:blipFill>
                        <pic:spPr bwMode="auto">
                          <a:xfrm>
                            <a:off x="0" y="0"/>
                            <a:ext cx="2818800" cy="1591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7F6C" w:rsidRPr="008F6866" w14:paraId="3797A965" w14:textId="77777777" w:rsidTr="00413E51">
        <w:tc>
          <w:tcPr>
            <w:tcW w:w="2547" w:type="dxa"/>
            <w:vAlign w:val="center"/>
          </w:tcPr>
          <w:p w14:paraId="4F7B497A" w14:textId="3EDF16B2" w:rsidR="00A57F6C" w:rsidRPr="008F6866" w:rsidRDefault="00A57F6C" w:rsidP="00C046D6">
            <w:pPr>
              <w:spacing w:before="100" w:beforeAutospacing="1" w:after="100" w:afterAutospacing="1"/>
              <w:jc w:val="center"/>
              <w:rPr>
                <w:noProof/>
              </w:rPr>
            </w:pPr>
            <w:r w:rsidRPr="008F6866">
              <w:rPr>
                <w:noProof/>
              </w:rPr>
              <w:drawing>
                <wp:inline distT="0" distB="0" distL="0" distR="0" wp14:anchorId="0F76816F" wp14:editId="13799902">
                  <wp:extent cx="1268627" cy="288325"/>
                  <wp:effectExtent l="0" t="0" r="8255" b="0"/>
                  <wp:docPr id="37" name="Image 37" descr="D:\andref\Documents\EFOR\RegePlus\SimulationExperiment\ClimateChangeEffets\REGEplus_SimuAnalysis112024\REGEplus_ClimateEffetcts_022025_files\figure-html\Productivity - Volume produ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dref\Documents\EFOR\RegePlus\SimulationExperiment\ClimateChangeEffets\REGEplus_SimuAnalysis112024\REGEplus_ClimateEffetcts_022025_files\figure-html\Productivity - Volume production-1.pn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3081" t="71726" r="47605" b="21698"/>
                          <a:stretch/>
                        </pic:blipFill>
                        <pic:spPr bwMode="auto">
                          <a:xfrm>
                            <a:off x="0" y="0"/>
                            <a:ext cx="1270974" cy="2888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gridSpan w:val="2"/>
            <w:vAlign w:val="center"/>
          </w:tcPr>
          <w:p w14:paraId="47BEA55C" w14:textId="54A4F82E" w:rsidR="00A57F6C" w:rsidRPr="008F6866" w:rsidRDefault="00A57F6C" w:rsidP="00C046D6">
            <w:pPr>
              <w:spacing w:before="100" w:beforeAutospacing="1" w:after="100" w:afterAutospacing="1"/>
              <w:jc w:val="center"/>
              <w:rPr>
                <w:noProof/>
              </w:rPr>
            </w:pPr>
            <w:r w:rsidRPr="008F6866">
              <w:rPr>
                <w:noProof/>
              </w:rPr>
              <w:drawing>
                <wp:inline distT="0" distB="0" distL="0" distR="0" wp14:anchorId="57D1E22A" wp14:editId="29DE3CDA">
                  <wp:extent cx="2383200" cy="493200"/>
                  <wp:effectExtent l="0" t="0" r="0" b="2540"/>
                  <wp:docPr id="14" name="Image 14" descr="D:\andref\Documents\EFOR\RegePlus\SimulationExperiment\ClimateChangeEffets\REGEplus_SimuAnalysis112024\REGEplus_ClimateEffetcts_022025_files\figure-html\Productivity - Volume produ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dref\Documents\EFOR\RegePlus\SimulationExperiment\ClimateChangeEffets\REGEplus_SimuAnalysis112024\REGEplus_ClimateEffetcts_022025_files\figure-html\Productivity - Volume production-1.pn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3081" t="78156" r="13151" b="10583"/>
                          <a:stretch/>
                        </pic:blipFill>
                        <pic:spPr bwMode="auto">
                          <a:xfrm>
                            <a:off x="0" y="0"/>
                            <a:ext cx="2383200" cy="49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6" w:type="dxa"/>
            <w:vAlign w:val="center"/>
          </w:tcPr>
          <w:p w14:paraId="1D2F3883" w14:textId="38659328" w:rsidR="00A57F6C" w:rsidRPr="008F6866" w:rsidRDefault="00A57F6C" w:rsidP="00C046D6">
            <w:pPr>
              <w:spacing w:before="100" w:beforeAutospacing="1" w:after="100" w:afterAutospacing="1"/>
              <w:jc w:val="center"/>
              <w:rPr>
                <w:noProof/>
              </w:rPr>
            </w:pPr>
            <w:r w:rsidRPr="008F6866">
              <w:rPr>
                <w:noProof/>
              </w:rPr>
              <w:drawing>
                <wp:inline distT="0" distB="0" distL="0" distR="0" wp14:anchorId="2BCB3601" wp14:editId="4E2AE598">
                  <wp:extent cx="2383200" cy="475200"/>
                  <wp:effectExtent l="0" t="0" r="0" b="1270"/>
                  <wp:docPr id="17" name="Image 17" descr="D:\andref\Documents\EFOR\RegePlus\SimulationExperiment\ClimateChangeEffets\REGEplus_SimuAnalysis112024\REGEplus_ClimateEffetcts_022025_files\figure-html\Productivity - Volume produ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dref\Documents\EFOR\RegePlus\SimulationExperiment\ClimateChangeEffets\REGEplus_SimuAnalysis112024\REGEplus_ClimateEffetcts_022025_files\figure-html\Productivity - Volume production-1.pn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3081" t="89142" r="13151" b="-1"/>
                          <a:stretch/>
                        </pic:blipFill>
                        <pic:spPr bwMode="auto">
                          <a:xfrm>
                            <a:off x="0" y="0"/>
                            <a:ext cx="2383200" cy="475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F0F49E" w14:textId="0DFDBDF0" w:rsidR="00DB63A4" w:rsidRPr="008F6866" w:rsidRDefault="002B5DB7" w:rsidP="002B5DB7">
      <w:pPr>
        <w:pStyle w:val="Lgende"/>
        <w:jc w:val="center"/>
        <w:rPr>
          <w:rFonts w:ascii="Times New Roman" w:eastAsia="Times New Roman" w:hAnsi="Times New Roman" w:cs="Times New Roman"/>
          <w:b/>
          <w:i w:val="0"/>
          <w:color w:val="000000" w:themeColor="text1"/>
          <w:sz w:val="20"/>
          <w:szCs w:val="20"/>
        </w:rPr>
      </w:pPr>
      <w:bookmarkStart w:id="104" w:name="_Ref195696374"/>
      <w:r w:rsidRPr="008F6866">
        <w:rPr>
          <w:b/>
          <w:i w:val="0"/>
          <w:color w:val="000000" w:themeColor="text1"/>
          <w:sz w:val="20"/>
          <w:szCs w:val="20"/>
        </w:rPr>
        <w:t xml:space="preserve">Figure </w:t>
      </w:r>
      <w:r w:rsidRPr="008F6866">
        <w:rPr>
          <w:b/>
          <w:i w:val="0"/>
          <w:color w:val="000000" w:themeColor="text1"/>
          <w:sz w:val="20"/>
          <w:szCs w:val="20"/>
        </w:rPr>
        <w:fldChar w:fldCharType="begin"/>
      </w:r>
      <w:r w:rsidRPr="008F6866">
        <w:rPr>
          <w:b/>
          <w:i w:val="0"/>
          <w:color w:val="000000" w:themeColor="text1"/>
          <w:sz w:val="20"/>
          <w:szCs w:val="20"/>
        </w:rPr>
        <w:instrText xml:space="preserve"> SEQ Figure \* ARABIC </w:instrText>
      </w:r>
      <w:r w:rsidRPr="008F6866">
        <w:rPr>
          <w:b/>
          <w:i w:val="0"/>
          <w:color w:val="000000" w:themeColor="text1"/>
          <w:sz w:val="20"/>
          <w:szCs w:val="20"/>
        </w:rPr>
        <w:fldChar w:fldCharType="separate"/>
      </w:r>
      <w:r w:rsidR="00540DBF">
        <w:rPr>
          <w:b/>
          <w:i w:val="0"/>
          <w:noProof/>
          <w:color w:val="000000" w:themeColor="text1"/>
          <w:sz w:val="20"/>
          <w:szCs w:val="20"/>
        </w:rPr>
        <w:t>39</w:t>
      </w:r>
      <w:r w:rsidRPr="008F6866">
        <w:rPr>
          <w:b/>
          <w:i w:val="0"/>
          <w:color w:val="000000" w:themeColor="text1"/>
          <w:sz w:val="20"/>
          <w:szCs w:val="20"/>
        </w:rPr>
        <w:fldChar w:fldCharType="end"/>
      </w:r>
      <w:bookmarkEnd w:id="104"/>
      <w:r w:rsidRPr="008F6866">
        <w:rPr>
          <w:b/>
          <w:i w:val="0"/>
          <w:color w:val="000000" w:themeColor="text1"/>
          <w:sz w:val="20"/>
          <w:szCs w:val="20"/>
        </w:rPr>
        <w:t xml:space="preserve">. </w:t>
      </w:r>
      <w:r w:rsidR="00DB63A4" w:rsidRPr="008F6866">
        <w:rPr>
          <w:rFonts w:cstheme="minorHAnsi"/>
          <w:b/>
          <w:i w:val="0"/>
          <w:color w:val="000000" w:themeColor="text1"/>
          <w:sz w:val="20"/>
          <w:szCs w:val="20"/>
        </w:rPr>
        <w:t>Relative variation between the mean value of the indicator for the simulation years 2070 – 2100 for each Site x Silviculture x SSP x Climate model x CO</w:t>
      </w:r>
      <w:r w:rsidR="00DB63A4" w:rsidRPr="008F6866">
        <w:rPr>
          <w:rFonts w:cstheme="minorHAnsi"/>
          <w:b/>
          <w:i w:val="0"/>
          <w:color w:val="000000" w:themeColor="text1"/>
          <w:sz w:val="20"/>
          <w:szCs w:val="20"/>
          <w:vertAlign w:val="subscript"/>
        </w:rPr>
        <w:t>2</w:t>
      </w:r>
      <w:r w:rsidR="00DB63A4" w:rsidRPr="008F6866">
        <w:rPr>
          <w:rFonts w:cstheme="minorHAnsi"/>
          <w:b/>
          <w:i w:val="0"/>
          <w:color w:val="000000" w:themeColor="text1"/>
          <w:sz w:val="20"/>
          <w:szCs w:val="20"/>
        </w:rPr>
        <w:t xml:space="preserve"> modality and the corresponding mean value simulated considering the ‘historical’ climate scenario (see Equation</w:t>
      </w:r>
      <w:r w:rsidR="00C05250" w:rsidRPr="008F6866">
        <w:rPr>
          <w:rFonts w:cstheme="minorHAnsi"/>
          <w:b/>
          <w:i w:val="0"/>
          <w:color w:val="000000" w:themeColor="text1"/>
          <w:sz w:val="20"/>
          <w:szCs w:val="20"/>
        </w:rPr>
        <w:t xml:space="preserve"> 4.1</w:t>
      </w:r>
      <w:r w:rsidR="006B5193">
        <w:rPr>
          <w:rFonts w:cstheme="minorHAnsi"/>
          <w:b/>
          <w:i w:val="0"/>
          <w:color w:val="000000" w:themeColor="text1"/>
          <w:sz w:val="20"/>
          <w:szCs w:val="20"/>
        </w:rPr>
        <w:t>6</w:t>
      </w:r>
      <w:r w:rsidR="00DB63A4" w:rsidRPr="008F6866">
        <w:rPr>
          <w:rFonts w:cstheme="minorHAnsi"/>
          <w:b/>
          <w:i w:val="0"/>
          <w:color w:val="000000" w:themeColor="text1"/>
          <w:sz w:val="20"/>
          <w:szCs w:val="20"/>
        </w:rPr>
        <w:t>) as a function of the respective change in mean air temperature during the growing season. Note the logarithmic scale of the y-axis for the tree recruitment and tree mortality indicators to improve the readability of the graphs</w:t>
      </w:r>
    </w:p>
    <w:p w14:paraId="27C041E4" w14:textId="77777777" w:rsidR="007F404C" w:rsidRPr="008F6866" w:rsidRDefault="007F404C" w:rsidP="00C73410"/>
    <w:p w14:paraId="6F674D97" w14:textId="2329D929" w:rsidR="008D668B" w:rsidRPr="008F6866" w:rsidRDefault="00CD460E" w:rsidP="00C73410">
      <w:pPr>
        <w:rPr>
          <w:b/>
        </w:rPr>
      </w:pPr>
      <w:r w:rsidRPr="008F6866">
        <w:rPr>
          <w:b/>
        </w:rPr>
        <w:lastRenderedPageBreak/>
        <w:t>4.5 Support to decision making</w:t>
      </w:r>
    </w:p>
    <w:p w14:paraId="56B3BB8D" w14:textId="0133513A" w:rsidR="00A064FA" w:rsidRPr="008F6866" w:rsidRDefault="2A9C3C82" w:rsidP="005843A6">
      <w:pPr>
        <w:spacing w:after="120" w:line="300" w:lineRule="auto"/>
        <w:jc w:val="both"/>
      </w:pPr>
      <w:r w:rsidRPr="008F6866">
        <w:t xml:space="preserve">The simulation experiments conducted in this project used a range of indicators to assess the strengths and weaknesses of three contrasted forest regeneration and silvicultural management strategies: </w:t>
      </w:r>
    </w:p>
    <w:p w14:paraId="321A45D9" w14:textId="4AB36C82" w:rsidR="00A064FA" w:rsidRPr="008F6866" w:rsidRDefault="2A9C3C82" w:rsidP="009103C7">
      <w:pPr>
        <w:spacing w:after="60" w:line="300" w:lineRule="auto"/>
        <w:ind w:left="397"/>
        <w:jc w:val="both"/>
      </w:pPr>
      <w:r w:rsidRPr="008F6866">
        <w:t xml:space="preserve">(1) maintaining an even-aged stand through shelterwood regeneration with limited silvicultural interventions, referred to as business as usual (BAU), </w:t>
      </w:r>
    </w:p>
    <w:p w14:paraId="273A5053" w14:textId="75F8E0B0" w:rsidR="00A064FA" w:rsidRPr="008F6866" w:rsidRDefault="2A9C3C82" w:rsidP="009103C7">
      <w:pPr>
        <w:spacing w:after="60" w:line="300" w:lineRule="auto"/>
        <w:ind w:left="397"/>
        <w:jc w:val="both"/>
      </w:pPr>
      <w:r w:rsidRPr="008F6866">
        <w:t xml:space="preserve">(2) promoting sessile oak regeneration via targeted clearings (OAK), </w:t>
      </w:r>
    </w:p>
    <w:p w14:paraId="05D0B5CC" w14:textId="4D57EACD" w:rsidR="00A064FA" w:rsidRPr="008F6866" w:rsidRDefault="2A9C3C82" w:rsidP="00DA4657">
      <w:pPr>
        <w:spacing w:after="120" w:line="300" w:lineRule="auto"/>
        <w:ind w:left="397"/>
        <w:jc w:val="both"/>
      </w:pPr>
      <w:r w:rsidRPr="008F6866">
        <w:t>(3) improving stand composition and structural diversification through natural regeneration and enrichment plantations (DIV).</w:t>
      </w:r>
    </w:p>
    <w:p w14:paraId="081DECF2" w14:textId="602B885A" w:rsidR="00A064FA" w:rsidRPr="008F6866" w:rsidRDefault="2A9C3C82" w:rsidP="007D57A4">
      <w:pPr>
        <w:spacing w:after="120" w:line="300" w:lineRule="auto"/>
        <w:jc w:val="both"/>
      </w:pPr>
      <w:r w:rsidRPr="008F6866">
        <w:t>The evaluation focused on each strategy’s capacity to sustain ecosystem services and enhance forest resilience under the dual pressures of climate change and ungulate browsing. In the absence of ungulate pressure, the DIV (diversified) strategy demonstrated several strengths—not only in terms of biodiversity and resilience, as evidenced by higher recruitment rates and lower mortality, but also in productivity and profitability, outperforming the other two silvicultural approaches. However, DIV showed the weakest performance in carbon storage, whereas the BAU (business-as-usual) strategy delivered the highest values for this indicator.</w:t>
      </w:r>
      <w:r w:rsidR="0D3124E7" w:rsidRPr="008F6866">
        <w:t xml:space="preserve"> </w:t>
      </w:r>
      <w:r w:rsidRPr="008F6866">
        <w:t>BAU also recorded the highest levels of transpiration, wind resistance, and tree mortality, while scoring lowest in terms of tree recruitment and biodiversity. In contrast, the OAK strategy stood apart from both DIV and BAU, with lower wind resistance and profitability, and generally intermediate—though often on the lower end—values across the other indicators.</w:t>
      </w:r>
    </w:p>
    <w:p w14:paraId="5B0C1037" w14:textId="5BD693A0" w:rsidR="00A064FA" w:rsidRPr="008F6866" w:rsidRDefault="2A9C3C82" w:rsidP="007D57A4">
      <w:pPr>
        <w:spacing w:after="120" w:line="300" w:lineRule="auto"/>
        <w:jc w:val="both"/>
      </w:pPr>
      <w:r w:rsidRPr="008F6866">
        <w:t>The future climate scenario had a pronounced impact on productivity, profitability, and carbon storage</w:t>
      </w:r>
      <w:r w:rsidR="0D2C15BF" w:rsidRPr="008F6866">
        <w:t xml:space="preserve">, </w:t>
      </w:r>
      <w:r w:rsidRPr="008F6866">
        <w:t>all of which increased with the severity of the scenario. These upward trends, favourable from both an economic perspective and in terms of climate change mitigation through enhanced carbon sequestration, are primarily driven by the rising atmospheric CO₂ concentrations. This phenomenon, known as the CO₂ fertilization effect, stimulates photosynthesis and boost forest productivity.</w:t>
      </w:r>
      <w:r w:rsidR="7100FB0A" w:rsidRPr="008F6866">
        <w:t xml:space="preserve"> </w:t>
      </w:r>
      <w:r w:rsidRPr="008F6866">
        <w:t>However, these benefits must be interpreted with caution. Nutrient limitations and an increased likelihood of climate-related disturbances—such as wildfires, pest outbreaks, or disease—were not accounted for in the simulations and could potentially offset the positive effects of CO₂ fertilization.</w:t>
      </w:r>
      <w:r w:rsidR="27E58B68" w:rsidRPr="008F6866">
        <w:t xml:space="preserve"> </w:t>
      </w:r>
      <w:r w:rsidRPr="008F6866">
        <w:t xml:space="preserve">At the same time, transpiration was found to decrease significantly with rising CO₂ levels, indicating improved water-use efficiency. While reduced transpiration can be advantageous for water resource conservation and forest physiological functioning, it also lessens the forest’s cooling effect on the atmosphere due to decreased evaporative water loss. </w:t>
      </w:r>
    </w:p>
    <w:p w14:paraId="56E07B02" w14:textId="3BEEEE29" w:rsidR="33B18606" w:rsidRPr="008F6866" w:rsidRDefault="2A9C3C82" w:rsidP="007D57A4">
      <w:pPr>
        <w:spacing w:after="120" w:line="300" w:lineRule="auto"/>
        <w:jc w:val="both"/>
        <w:rPr>
          <w:rFonts w:ascii="Calibri" w:eastAsia="Calibri" w:hAnsi="Calibri" w:cs="Calibri"/>
        </w:rPr>
      </w:pPr>
      <w:r w:rsidRPr="008F6866">
        <w:rPr>
          <w:rFonts w:ascii="Calibri" w:eastAsia="Calibri" w:hAnsi="Calibri" w:cs="Calibri"/>
        </w:rPr>
        <w:t xml:space="preserve">Another key finding from the simulation experiment is the significant—and often overriding—influence of site conditions on the indicators assessed. Site-specific characteristics, and particularly the initial stand attributes such as species composition, structural complexity, and stand density, play a critical role in shaping future stand dynamics, the delivery of ecosystem services, and overall forest resilience. </w:t>
      </w:r>
      <w:r w:rsidR="486D0F65" w:rsidRPr="008F6866">
        <w:rPr>
          <w:rFonts w:ascii="Calibri" w:eastAsia="Calibri" w:hAnsi="Calibri" w:cs="Calibri"/>
        </w:rPr>
        <w:t xml:space="preserve">The fact that the influence of initial stand characteristics persists throughout the simulation—even as it diminishes over time—highlights the strong inertia of forest ecosystems. </w:t>
      </w:r>
      <w:r w:rsidR="410E93C8" w:rsidRPr="008F6866">
        <w:rPr>
          <w:rFonts w:ascii="Calibri" w:eastAsia="Calibri" w:hAnsi="Calibri" w:cs="Calibri"/>
        </w:rPr>
        <w:t xml:space="preserve">Silviculture plays a crucial role in shaping forests into more resilient ecosystems, equipping them to better withstand future changes and disturbances—though these transformations take time. </w:t>
      </w:r>
      <w:r w:rsidR="410E93C8" w:rsidRPr="008F6866">
        <w:rPr>
          <w:rFonts w:ascii="Calibri" w:eastAsia="Calibri" w:hAnsi="Calibri" w:cs="Calibri"/>
        </w:rPr>
        <w:lastRenderedPageBreak/>
        <w:t>Moreover, the most effective silvicultural strategies vary from site to site, reinforcing the idea that there is no one-size-fits-all solution.</w:t>
      </w:r>
    </w:p>
    <w:p w14:paraId="3BA7342F" w14:textId="47492C40" w:rsidR="33B18606" w:rsidRPr="008F6866" w:rsidRDefault="4EBA9570" w:rsidP="007D57A4">
      <w:pPr>
        <w:spacing w:after="120" w:line="300" w:lineRule="auto"/>
        <w:jc w:val="both"/>
        <w:rPr>
          <w:rFonts w:ascii="Calibri" w:eastAsia="Calibri" w:hAnsi="Calibri" w:cs="Calibri"/>
        </w:rPr>
      </w:pPr>
      <w:r w:rsidRPr="008F6866">
        <w:rPr>
          <w:rFonts w:ascii="Calibri" w:eastAsia="Calibri" w:hAnsi="Calibri" w:cs="Calibri"/>
        </w:rPr>
        <w:t>Our results highlight the substantial and often underestimated influence of ungulate pressure on forest dynamics. At high densities, ungulates consistently reduced productivity, resilience, and economic sustainability across all climate pathways and management scenarios. Their impact was at least as significant as that of climate change for most performance indicators. Notably, the OAK and DIV scenarios were particularly vulnerable to browsing, with frequent regeneration failures and canopy openings observed under intense pressure. In contrast, the BAU scenario remained largely unaffected, likely due to its reliance on species and structural compositions less palatable to ungulates. These results suggest that, in areas with high ungulate densities, diversification efforts may be seriously compromised, as browsing pressure hinders regeneration success and increases protection costs. Effective ungulate management is therefore essential to ensure the feasibility and success of adaptive silvicultural strategies, particularly those aiming to enhance forest diversity and resilience.</w:t>
      </w:r>
    </w:p>
    <w:p w14:paraId="5F534533" w14:textId="16466A6A" w:rsidR="33B18606" w:rsidRPr="008F6866" w:rsidRDefault="4EBA9570" w:rsidP="007D57A4">
      <w:pPr>
        <w:spacing w:after="120" w:line="300" w:lineRule="auto"/>
        <w:jc w:val="both"/>
        <w:rPr>
          <w:rFonts w:ascii="Calibri" w:eastAsia="Calibri" w:hAnsi="Calibri" w:cs="Calibri"/>
        </w:rPr>
      </w:pPr>
      <w:r w:rsidRPr="008F6866">
        <w:rPr>
          <w:rFonts w:ascii="Calibri" w:eastAsia="Calibri" w:hAnsi="Calibri" w:cs="Calibri"/>
        </w:rPr>
        <w:t xml:space="preserve">The developments arising from this project have contributed significantly to the ongoing discourse on forest policy. By highlighting the vulnerability of forest ecosystems to climate change and by quantifying the costs and benefits of various </w:t>
      </w:r>
      <w:r w:rsidR="19DBE397" w:rsidRPr="008F6866">
        <w:rPr>
          <w:rFonts w:ascii="Calibri" w:eastAsia="Calibri" w:hAnsi="Calibri" w:cs="Calibri"/>
        </w:rPr>
        <w:t>adaptation</w:t>
      </w:r>
      <w:r w:rsidRPr="008F6866">
        <w:rPr>
          <w:rFonts w:ascii="Calibri" w:eastAsia="Calibri" w:hAnsi="Calibri" w:cs="Calibri"/>
        </w:rPr>
        <w:t xml:space="preserve"> strategies, the project provides valuable evidence to inform future policy directions.</w:t>
      </w:r>
    </w:p>
    <w:p w14:paraId="72F46AE0" w14:textId="7E67C856" w:rsidR="33B18606" w:rsidRPr="008F6866" w:rsidRDefault="33B18606" w:rsidP="007D57A4">
      <w:pPr>
        <w:spacing w:after="120" w:line="300" w:lineRule="auto"/>
        <w:jc w:val="both"/>
        <w:rPr>
          <w:rFonts w:ascii="Calibri" w:eastAsia="Calibri" w:hAnsi="Calibri" w:cs="Calibri"/>
        </w:rPr>
      </w:pPr>
      <w:r w:rsidRPr="008F6866">
        <w:rPr>
          <w:rFonts w:ascii="Calibri" w:eastAsia="Calibri" w:hAnsi="Calibri" w:cs="Calibri"/>
        </w:rPr>
        <w:t>In recent years, several policy initiatives have been implemented in Wallonia to enhance the resilience of forests. Among them, the "Forêt résiliente" subsidy scheme has notably supported the diversified regeneration of forest plots recently subjected to clear-cutting following bark beetle infestations. However, this measure was limited in scope and applied primarily to conifer stands affected by pest outbreaks.</w:t>
      </w:r>
    </w:p>
    <w:p w14:paraId="309ABAEB" w14:textId="3843AE25" w:rsidR="33B18606" w:rsidRPr="008F6866" w:rsidRDefault="33B18606" w:rsidP="007D57A4">
      <w:pPr>
        <w:spacing w:after="120" w:line="300" w:lineRule="auto"/>
        <w:jc w:val="both"/>
        <w:rPr>
          <w:rFonts w:ascii="Calibri" w:eastAsia="Calibri" w:hAnsi="Calibri" w:cs="Calibri"/>
        </w:rPr>
      </w:pPr>
      <w:r w:rsidRPr="008F6866">
        <w:rPr>
          <w:rFonts w:ascii="Calibri" w:eastAsia="Calibri" w:hAnsi="Calibri" w:cs="Calibri"/>
        </w:rPr>
        <w:t>Our project expands this perspective by anticipating the potential decline of broadleaved stands, particularly beech forests, which may increasingly suffer from severe dieback under changing climate conditions. Through experimental trials and comparative analysis, we assessed the effectiveness of various preemptive silvicultural strategies aimed at enhancing the resilience of these ecosystems. This proactive approach provides a scientific foundation for future forest policies that could be modelled after the scenarios tested in this research.</w:t>
      </w:r>
    </w:p>
    <w:p w14:paraId="420B2979" w14:textId="1ACA0152" w:rsidR="33B18606" w:rsidRPr="008F6866" w:rsidRDefault="33B18606" w:rsidP="007D57A4">
      <w:pPr>
        <w:spacing w:after="120" w:line="300" w:lineRule="auto"/>
        <w:jc w:val="both"/>
        <w:rPr>
          <w:rFonts w:ascii="Calibri" w:eastAsia="Calibri" w:hAnsi="Calibri" w:cs="Calibri"/>
        </w:rPr>
      </w:pPr>
      <w:r w:rsidRPr="008F6866">
        <w:rPr>
          <w:rFonts w:ascii="Calibri" w:eastAsia="Calibri" w:hAnsi="Calibri" w:cs="Calibri"/>
        </w:rPr>
        <w:t xml:space="preserve">Moreover, our findings clearly identify the ecological and economic costs associated with overabundant ungulate populations, notably through bark </w:t>
      </w:r>
      <w:r w:rsidR="00172F2C">
        <w:rPr>
          <w:rFonts w:ascii="Calibri" w:eastAsia="Calibri" w:hAnsi="Calibri" w:cs="Calibri"/>
        </w:rPr>
        <w:t>peeling</w:t>
      </w:r>
      <w:r w:rsidRPr="008F6866">
        <w:rPr>
          <w:rFonts w:ascii="Calibri" w:eastAsia="Calibri" w:hAnsi="Calibri" w:cs="Calibri"/>
        </w:rPr>
        <w:t xml:space="preserve"> and browsing damage. These pressures not only threaten forest regeneration but also compromise the adaptive capacity of forest ecosystems in the face of climate change. These insights are highly relevant to the regional forest management agenda.</w:t>
      </w:r>
    </w:p>
    <w:p w14:paraId="096DD6E8" w14:textId="3EF58421" w:rsidR="33B18606" w:rsidRPr="008F6866" w:rsidRDefault="33B18606" w:rsidP="007D57A4">
      <w:pPr>
        <w:spacing w:after="120" w:line="300" w:lineRule="auto"/>
        <w:jc w:val="both"/>
        <w:rPr>
          <w:rFonts w:ascii="Calibri" w:eastAsia="Calibri" w:hAnsi="Calibri" w:cs="Calibri"/>
        </w:rPr>
      </w:pPr>
      <w:r w:rsidRPr="008F6866">
        <w:rPr>
          <w:rFonts w:ascii="Calibri" w:eastAsia="Calibri" w:hAnsi="Calibri" w:cs="Calibri"/>
        </w:rPr>
        <w:t xml:space="preserve">Indeed, following the </w:t>
      </w:r>
      <w:r w:rsidRPr="008F6866">
        <w:rPr>
          <w:rFonts w:ascii="Calibri" w:eastAsia="Calibri" w:hAnsi="Calibri" w:cs="Calibri"/>
          <w:i/>
          <w:iCs/>
        </w:rPr>
        <w:t>Assises de la Forêt</w:t>
      </w:r>
      <w:r w:rsidRPr="008F6866">
        <w:rPr>
          <w:rFonts w:ascii="Calibri" w:eastAsia="Calibri" w:hAnsi="Calibri" w:cs="Calibri"/>
        </w:rPr>
        <w:t xml:space="preserve"> (Forest Roundtables), the first strategic axis of the new Regional Forest Strategy, adopted in May 2024, explicitly aims to adapt forest management practices to strengthen resilience, ensure regeneration, and safeguard the continuity of key native tree species in Wallonia. Our research directly supports these priorities and offers concrete, science-based recommendations for their implementation.</w:t>
      </w:r>
    </w:p>
    <w:p w14:paraId="3B6BC3D2" w14:textId="1C4BC84B" w:rsidR="33B18606" w:rsidRPr="008F6866" w:rsidRDefault="33B18606"/>
    <w:p w14:paraId="4F272430" w14:textId="1AAA6BF4" w:rsidR="00CD460E" w:rsidRPr="00A96246" w:rsidRDefault="00CD460E" w:rsidP="00C73410">
      <w:pPr>
        <w:rPr>
          <w:b/>
        </w:rPr>
      </w:pPr>
      <w:r w:rsidRPr="00A96246">
        <w:rPr>
          <w:b/>
        </w:rPr>
        <w:lastRenderedPageBreak/>
        <w:t>4.6 Additional project-related benefits</w:t>
      </w:r>
    </w:p>
    <w:p w14:paraId="0042F504" w14:textId="4453D096" w:rsidR="6311C37F" w:rsidRPr="008F6866" w:rsidRDefault="695419A7" w:rsidP="00C41353">
      <w:pPr>
        <w:spacing w:after="120" w:line="300" w:lineRule="auto"/>
        <w:jc w:val="both"/>
      </w:pPr>
      <w:r w:rsidRPr="008F6866">
        <w:t xml:space="preserve">The extensive enhancements made to the HETEROFOR model—enabling it to assess the impact of various silvicultural strategies on ecosystem service provision and stand resilience under changing environmental conditions and intense </w:t>
      </w:r>
      <w:r w:rsidR="4325C5E8" w:rsidRPr="008F6866">
        <w:t>ungulate</w:t>
      </w:r>
      <w:r w:rsidRPr="008F6866">
        <w:t xml:space="preserve"> pressure—will prove highly valuable for future simulation studies of a similar nature.</w:t>
      </w:r>
      <w:r w:rsidR="30A42989" w:rsidRPr="008F6866">
        <w:t xml:space="preserve"> </w:t>
      </w:r>
      <w:r w:rsidR="791B58C1" w:rsidRPr="008F6866">
        <w:t>During the project,</w:t>
      </w:r>
      <w:r w:rsidR="43481C66" w:rsidRPr="008F6866">
        <w:t xml:space="preserve"> several</w:t>
      </w:r>
      <w:r w:rsidR="791B58C1" w:rsidRPr="008F6866">
        <w:t xml:space="preserve"> new modules </w:t>
      </w:r>
      <w:r w:rsidR="43481C66" w:rsidRPr="008F6866">
        <w:t>were</w:t>
      </w:r>
      <w:r w:rsidR="791B58C1" w:rsidRPr="008F6866">
        <w:t xml:space="preserve"> developed </w:t>
      </w:r>
      <w:r w:rsidR="43481C66" w:rsidRPr="008F6866">
        <w:t xml:space="preserve">to enhance the model’s capabilities, including a </w:t>
      </w:r>
      <w:r w:rsidR="791B58C1" w:rsidRPr="008F6866">
        <w:t xml:space="preserve">tree </w:t>
      </w:r>
      <w:r w:rsidR="43481C66" w:rsidRPr="008F6866">
        <w:t>hydraulics module</w:t>
      </w:r>
      <w:r w:rsidR="791B58C1" w:rsidRPr="008F6866">
        <w:t xml:space="preserve"> to account for water stress </w:t>
      </w:r>
      <w:r w:rsidR="7CE3D76E" w:rsidRPr="008F6866">
        <w:t xml:space="preserve">during droughts and </w:t>
      </w:r>
      <w:r w:rsidR="43481C66" w:rsidRPr="008F6866">
        <w:t>heatwaves, a</w:t>
      </w:r>
      <w:r w:rsidR="7CE3D76E" w:rsidRPr="008F6866">
        <w:t xml:space="preserve"> soil organic carbon </w:t>
      </w:r>
      <w:r w:rsidR="43481C66" w:rsidRPr="008F6866">
        <w:t xml:space="preserve">module, </w:t>
      </w:r>
      <w:r w:rsidR="3407185E" w:rsidRPr="008F6866">
        <w:t xml:space="preserve">and </w:t>
      </w:r>
      <w:r w:rsidR="43481C66" w:rsidRPr="008F6866">
        <w:t xml:space="preserve">the coupling with an </w:t>
      </w:r>
      <w:r w:rsidR="5ED55AA7" w:rsidRPr="008F6866">
        <w:t>existing</w:t>
      </w:r>
      <w:r w:rsidR="43481C66" w:rsidRPr="008F6866">
        <w:t xml:space="preserve"> </w:t>
      </w:r>
      <w:r w:rsidR="3407185E" w:rsidRPr="008F6866">
        <w:t xml:space="preserve">forest product life cycle </w:t>
      </w:r>
      <w:r w:rsidR="5ED55AA7" w:rsidRPr="008F6866">
        <w:t>tool (CAT)</w:t>
      </w:r>
      <w:r w:rsidR="43481C66" w:rsidRPr="008F6866">
        <w:t xml:space="preserve"> to enable a comprehensive</w:t>
      </w:r>
      <w:r w:rsidR="3407185E" w:rsidRPr="008F6866">
        <w:t xml:space="preserve"> carbon budget</w:t>
      </w:r>
      <w:r w:rsidR="43481C66" w:rsidRPr="008F6866">
        <w:t>. Additionally, a module addressing</w:t>
      </w:r>
      <w:r w:rsidR="3407185E" w:rsidRPr="008F6866">
        <w:t xml:space="preserve"> ungulate impacts</w:t>
      </w:r>
      <w:r w:rsidR="43481C66" w:rsidRPr="008F6866">
        <w:t xml:space="preserve"> was introduced.</w:t>
      </w:r>
      <w:r w:rsidR="5ED55AA7" w:rsidRPr="008F6866">
        <w:t xml:space="preserve"> </w:t>
      </w:r>
      <w:r w:rsidR="43481C66" w:rsidRPr="008F6866">
        <w:t>New</w:t>
      </w:r>
      <w:r w:rsidR="6306E74F" w:rsidRPr="008F6866">
        <w:t xml:space="preserve"> tools </w:t>
      </w:r>
      <w:r w:rsidR="43481C66" w:rsidRPr="008F6866">
        <w:t>were also created to support the implementation of silvicultural</w:t>
      </w:r>
      <w:r w:rsidR="6306E74F" w:rsidRPr="008F6866">
        <w:t xml:space="preserve"> interventions (interveners)</w:t>
      </w:r>
      <w:r w:rsidR="4E392221" w:rsidRPr="008F6866">
        <w:t xml:space="preserve"> and </w:t>
      </w:r>
      <w:r w:rsidR="43481C66" w:rsidRPr="008F6866">
        <w:t xml:space="preserve">to generate </w:t>
      </w:r>
      <w:r w:rsidR="4E392221" w:rsidRPr="008F6866">
        <w:t>model outputs</w:t>
      </w:r>
      <w:r w:rsidR="43481C66" w:rsidRPr="008F6866">
        <w:t>, including a range</w:t>
      </w:r>
      <w:r w:rsidR="4E392221" w:rsidRPr="008F6866">
        <w:t xml:space="preserve"> of indicators </w:t>
      </w:r>
      <w:r w:rsidR="43481C66" w:rsidRPr="008F6866">
        <w:t>related to</w:t>
      </w:r>
      <w:r w:rsidR="4E392221" w:rsidRPr="008F6866">
        <w:t xml:space="preserve"> </w:t>
      </w:r>
      <w:r w:rsidR="4FB7C579" w:rsidRPr="008F6866">
        <w:t>ecosystem</w:t>
      </w:r>
      <w:r w:rsidR="4E392221" w:rsidRPr="008F6866">
        <w:t xml:space="preserve"> services</w:t>
      </w:r>
      <w:r w:rsidR="4FB7C579" w:rsidRPr="008F6866">
        <w:t xml:space="preserve"> and forest resilience</w:t>
      </w:r>
      <w:r w:rsidR="43481C66" w:rsidRPr="008F6866">
        <w:t>.</w:t>
      </w:r>
      <w:r w:rsidR="5ED55AA7" w:rsidRPr="008F6866">
        <w:t xml:space="preserve"> Finally, a</w:t>
      </w:r>
      <w:r w:rsidR="5F83297D" w:rsidRPr="008F6866">
        <w:t xml:space="preserve"> disaggregation procedure was also implemented to </w:t>
      </w:r>
      <w:r w:rsidR="43481C66" w:rsidRPr="008F6866">
        <w:t xml:space="preserve">allow </w:t>
      </w:r>
      <w:r w:rsidR="5F83297D" w:rsidRPr="008F6866">
        <w:t xml:space="preserve">the use of daily </w:t>
      </w:r>
      <w:r w:rsidR="5D7EDD38" w:rsidRPr="008F6866">
        <w:t>meteorological data</w:t>
      </w:r>
      <w:r w:rsidR="43481C66" w:rsidRPr="008F6866">
        <w:t>—instead of relying solely on hourly data—by converting</w:t>
      </w:r>
      <w:r w:rsidR="5D7EDD38" w:rsidRPr="008F6866">
        <w:t xml:space="preserve"> them into </w:t>
      </w:r>
      <w:r w:rsidR="43481C66" w:rsidRPr="008F6866">
        <w:t xml:space="preserve">the </w:t>
      </w:r>
      <w:r w:rsidR="5D7EDD38" w:rsidRPr="008F6866">
        <w:t>hourly variables</w:t>
      </w:r>
      <w:r w:rsidR="43481C66" w:rsidRPr="008F6866">
        <w:t xml:space="preserve"> required by the model.</w:t>
      </w:r>
    </w:p>
    <w:p w14:paraId="50EEBFC4" w14:textId="49C6D1A6" w:rsidR="6311C37F" w:rsidRPr="008F6866" w:rsidRDefault="635F54C4" w:rsidP="00C41353">
      <w:pPr>
        <w:spacing w:after="120" w:line="300" w:lineRule="auto"/>
        <w:jc w:val="both"/>
      </w:pPr>
      <w:r w:rsidRPr="008F6866">
        <w:t>These enhancements will significantly broaden the potential applications of HETEROFOR, both in fundamental research and in training and R&amp;D contexts. The model is already being utilized in projects across Europe and North America. We also plan to integrate it more extensively into the training of forestry bioengineers, in combination with educational field tools such as marteloscopes.</w:t>
      </w:r>
    </w:p>
    <w:p w14:paraId="1FBF0C35" w14:textId="1CA241AE" w:rsidR="3F202211" w:rsidRPr="008F6866" w:rsidRDefault="1CA8E987" w:rsidP="00C41353">
      <w:pPr>
        <w:spacing w:after="120" w:line="300" w:lineRule="auto"/>
        <w:jc w:val="both"/>
      </w:pPr>
      <w:r w:rsidRPr="008F6866">
        <w:t>This project provided a valuable opportunity to strengthen collaborations between Gembloux AgroBioTech (ULiège), the Earth and Life Institute (UCLouvain), and the Royal Meteorological Institute (RMI), while also fostering closer ties with key forest management stakeholders, including landowners, managers, trainers, and researchers.</w:t>
      </w:r>
      <w:r w:rsidR="3D2F345A" w:rsidRPr="008F6866">
        <w:t xml:space="preserve"> </w:t>
      </w:r>
      <w:r w:rsidR="5B40CA1A" w:rsidRPr="008F6866">
        <w:t xml:space="preserve">In addition, collaborations within the forest modelling community have been strengthened and newly established through the CAPSIS modelling platform and its user network, as well as via the PROCLIAS COST </w:t>
      </w:r>
      <w:r w:rsidR="53E9B22E" w:rsidRPr="008F6866">
        <w:t>action</w:t>
      </w:r>
      <w:r w:rsidR="5B40CA1A" w:rsidRPr="008F6866">
        <w:t>.</w:t>
      </w:r>
    </w:p>
    <w:p w14:paraId="7CCA68BD" w14:textId="77777777" w:rsidR="00D6227F" w:rsidRPr="008F6866" w:rsidRDefault="00D6227F" w:rsidP="00D6227F">
      <w:pPr>
        <w:spacing w:after="0" w:line="300" w:lineRule="auto"/>
      </w:pPr>
    </w:p>
    <w:p w14:paraId="1CB6AB21" w14:textId="77777777" w:rsidR="00CC34C2" w:rsidRPr="00900A11" w:rsidRDefault="00CC34C2" w:rsidP="00A96246">
      <w:pPr>
        <w:pStyle w:val="Titre1"/>
        <w:spacing w:after="120"/>
        <w:rPr>
          <w:rFonts w:asciiTheme="minorHAnsi" w:hAnsiTheme="minorHAnsi"/>
          <w:lang w:val="fr-BE"/>
        </w:rPr>
      </w:pPr>
      <w:bookmarkStart w:id="105" w:name="_Toc200703452"/>
      <w:r w:rsidRPr="00900A11">
        <w:rPr>
          <w:rFonts w:asciiTheme="minorHAnsi" w:hAnsiTheme="minorHAnsi"/>
          <w:lang w:val="fr-BE"/>
        </w:rPr>
        <w:t>5. DISSEMINATION AND VALORISATION</w:t>
      </w:r>
      <w:bookmarkEnd w:id="105"/>
    </w:p>
    <w:p w14:paraId="4812D2A3" w14:textId="35414F47" w:rsidR="00C73410" w:rsidRPr="00A96246" w:rsidRDefault="232ABAF5" w:rsidP="00C73410">
      <w:pPr>
        <w:rPr>
          <w:i/>
          <w:iCs/>
          <w:lang w:val="fr-BE"/>
        </w:rPr>
      </w:pPr>
      <w:r w:rsidRPr="00A96246">
        <w:rPr>
          <w:i/>
          <w:iCs/>
          <w:lang w:val="fr-BE"/>
        </w:rPr>
        <w:t>Scientific conference</w:t>
      </w:r>
    </w:p>
    <w:p w14:paraId="4F7E6A85" w14:textId="6917072E" w:rsidR="232ABAF5" w:rsidRPr="008F6866" w:rsidRDefault="232ABAF5" w:rsidP="00974C6F">
      <w:pPr>
        <w:spacing w:after="0"/>
        <w:jc w:val="both"/>
      </w:pPr>
      <w:r w:rsidRPr="00900A11">
        <w:rPr>
          <w:rFonts w:ascii="Calibri" w:eastAsia="Calibri" w:hAnsi="Calibri" w:cs="Calibri"/>
          <w:lang w:val="fr-BE"/>
        </w:rPr>
        <w:t xml:space="preserve">Ligot G., Candaele R., Fichefet V., Licoppe A., Lejeune P., 2023. </w:t>
      </w:r>
      <w:r w:rsidRPr="008F6866">
        <w:rPr>
          <w:rFonts w:ascii="Calibri" w:eastAsia="Calibri" w:hAnsi="Calibri" w:cs="Calibri"/>
        </w:rPr>
        <w:t>Ungulates and succession dynamics reduce tree species richness in temperate unevenaged forests. Presented at the Uneven-aged silviculture: insights into forest adaptation in times of global change, Mendel university in Brno, Brno, Czechia.</w:t>
      </w:r>
    </w:p>
    <w:p w14:paraId="18C84E95" w14:textId="36A446FE" w:rsidR="232ABAF5" w:rsidRPr="008F6866" w:rsidRDefault="232ABAF5" w:rsidP="00974C6F">
      <w:pPr>
        <w:spacing w:after="0"/>
        <w:jc w:val="both"/>
        <w:rPr>
          <w:rFonts w:ascii="Calibri" w:eastAsia="Calibri" w:hAnsi="Calibri" w:cs="Calibri"/>
        </w:rPr>
      </w:pPr>
    </w:p>
    <w:p w14:paraId="0FD33E28" w14:textId="210819A1" w:rsidR="232ABAF5" w:rsidRDefault="232ABAF5" w:rsidP="00974C6F">
      <w:pPr>
        <w:spacing w:after="0"/>
        <w:jc w:val="both"/>
        <w:rPr>
          <w:rFonts w:ascii="Calibri" w:eastAsia="Calibri" w:hAnsi="Calibri" w:cs="Calibri"/>
        </w:rPr>
      </w:pPr>
      <w:r w:rsidRPr="00900A11">
        <w:rPr>
          <w:rFonts w:ascii="Calibri" w:eastAsia="Calibri" w:hAnsi="Calibri" w:cs="Calibri"/>
          <w:lang w:val="fr-BE"/>
        </w:rPr>
        <w:t xml:space="preserve">Ligot G., Gheysen T., Perin J., Candaele R., de Coligny F., Licoppe A., Lejeune P., 2023. </w:t>
      </w:r>
      <w:r w:rsidRPr="008F6866">
        <w:rPr>
          <w:rFonts w:ascii="Calibri" w:eastAsia="Calibri" w:hAnsi="Calibri" w:cs="Calibri"/>
        </w:rPr>
        <w:t>From the simulation of forest plantation dynamics to the quantification of bark-stripping damage by ungulates. Presented at the FOREM</w:t>
      </w:r>
      <w:r w:rsidR="0074742B">
        <w:rPr>
          <w:rFonts w:ascii="Calibri" w:eastAsia="Calibri" w:hAnsi="Calibri" w:cs="Calibri"/>
        </w:rPr>
        <w:t xml:space="preserve"> 2023</w:t>
      </w:r>
      <w:r w:rsidRPr="008F6866">
        <w:rPr>
          <w:rFonts w:ascii="Calibri" w:eastAsia="Calibri" w:hAnsi="Calibri" w:cs="Calibri"/>
        </w:rPr>
        <w:t>, Grenoble, France.</w:t>
      </w:r>
    </w:p>
    <w:p w14:paraId="064E3222" w14:textId="77777777" w:rsidR="00FC77FD" w:rsidRDefault="00FC77FD" w:rsidP="00974C6F">
      <w:pPr>
        <w:spacing w:after="0"/>
        <w:jc w:val="both"/>
        <w:rPr>
          <w:rFonts w:ascii="Calibri" w:eastAsia="Calibri" w:hAnsi="Calibri" w:cs="Calibri"/>
        </w:rPr>
      </w:pPr>
    </w:p>
    <w:p w14:paraId="100117F2" w14:textId="7176BC23" w:rsidR="0074742B" w:rsidRDefault="00FC77FD" w:rsidP="00974C6F">
      <w:pPr>
        <w:spacing w:after="0"/>
        <w:jc w:val="both"/>
        <w:rPr>
          <w:rFonts w:ascii="Calibri" w:eastAsia="Calibri" w:hAnsi="Calibri" w:cs="Calibri"/>
        </w:rPr>
      </w:pPr>
      <w:r w:rsidRPr="00085952">
        <w:rPr>
          <w:rFonts w:ascii="Calibri" w:eastAsia="Calibri" w:hAnsi="Calibri" w:cs="Calibri"/>
        </w:rPr>
        <w:t>Jonard M.</w:t>
      </w:r>
      <w:r w:rsidR="00FA6CD3" w:rsidRPr="00085952">
        <w:rPr>
          <w:rFonts w:ascii="Calibri" w:eastAsia="Calibri" w:hAnsi="Calibri" w:cs="Calibri"/>
        </w:rPr>
        <w:t>,</w:t>
      </w:r>
      <w:r w:rsidR="00FF754E" w:rsidRPr="00085952">
        <w:rPr>
          <w:rFonts w:ascii="Calibri" w:eastAsia="Calibri" w:hAnsi="Calibri" w:cs="Calibri"/>
        </w:rPr>
        <w:t xml:space="preserve"> André</w:t>
      </w:r>
      <w:r w:rsidR="00FA6CD3" w:rsidRPr="00085952">
        <w:rPr>
          <w:rFonts w:ascii="Calibri" w:eastAsia="Calibri" w:hAnsi="Calibri" w:cs="Calibri"/>
        </w:rPr>
        <w:t xml:space="preserve"> F., Ligot G., Candaele R., </w:t>
      </w:r>
      <w:r w:rsidR="00605422" w:rsidRPr="00085952">
        <w:rPr>
          <w:rFonts w:ascii="Calibri" w:eastAsia="Calibri" w:hAnsi="Calibri" w:cs="Calibri"/>
        </w:rPr>
        <w:t xml:space="preserve">2023. </w:t>
      </w:r>
      <w:r w:rsidR="00FE1B44" w:rsidRPr="00FE1B44">
        <w:rPr>
          <w:rFonts w:ascii="Calibri" w:eastAsia="Calibri" w:hAnsi="Calibri" w:cs="Calibri"/>
          <w:lang w:val="fr-BE"/>
        </w:rPr>
        <w:t>Régénération des forêts dans un climat changeant</w:t>
      </w:r>
      <w:r w:rsidR="00FE1B44">
        <w:rPr>
          <w:rFonts w:ascii="Calibri" w:eastAsia="Calibri" w:hAnsi="Calibri" w:cs="Calibri"/>
          <w:lang w:val="fr-BE"/>
        </w:rPr>
        <w:t xml:space="preserve">. </w:t>
      </w:r>
      <w:r w:rsidR="0074742B" w:rsidRPr="008F6866">
        <w:rPr>
          <w:rFonts w:ascii="Calibri" w:eastAsia="Calibri" w:hAnsi="Calibri" w:cs="Calibri"/>
        </w:rPr>
        <w:t>Presented at the FOREM</w:t>
      </w:r>
      <w:r w:rsidR="0074742B">
        <w:rPr>
          <w:rFonts w:ascii="Calibri" w:eastAsia="Calibri" w:hAnsi="Calibri" w:cs="Calibri"/>
        </w:rPr>
        <w:t xml:space="preserve"> 2023</w:t>
      </w:r>
      <w:r w:rsidR="0074742B" w:rsidRPr="008F6866">
        <w:rPr>
          <w:rFonts w:ascii="Calibri" w:eastAsia="Calibri" w:hAnsi="Calibri" w:cs="Calibri"/>
        </w:rPr>
        <w:t>, Grenoble, France.</w:t>
      </w:r>
    </w:p>
    <w:p w14:paraId="1BED6B13" w14:textId="1DB588A5" w:rsidR="232ABAF5" w:rsidRPr="00085952" w:rsidRDefault="232ABAF5" w:rsidP="00974C6F">
      <w:pPr>
        <w:spacing w:after="0"/>
        <w:jc w:val="both"/>
        <w:rPr>
          <w:rFonts w:ascii="Calibri" w:eastAsia="Calibri" w:hAnsi="Calibri" w:cs="Calibri"/>
        </w:rPr>
      </w:pPr>
    </w:p>
    <w:p w14:paraId="122AD587" w14:textId="0F4C1DEA" w:rsidR="232ABAF5" w:rsidRDefault="232ABAF5" w:rsidP="00974C6F">
      <w:pPr>
        <w:spacing w:after="0"/>
        <w:jc w:val="both"/>
        <w:rPr>
          <w:rFonts w:ascii="Calibri" w:eastAsia="Calibri" w:hAnsi="Calibri" w:cs="Calibri"/>
        </w:rPr>
      </w:pPr>
      <w:r w:rsidRPr="008F6866">
        <w:rPr>
          <w:rFonts w:ascii="Calibri" w:eastAsia="Calibri" w:hAnsi="Calibri" w:cs="Calibri"/>
        </w:rPr>
        <w:t>Ligot G., Charles G., 2024. Can silvicuture be instrumental to increase carbon sequestration? Presented at the FOREM 2024, Nancy, France.</w:t>
      </w:r>
    </w:p>
    <w:p w14:paraId="6D99E46B" w14:textId="25D9C122" w:rsidR="00855F88" w:rsidRPr="00A72094" w:rsidRDefault="00855F88" w:rsidP="008212D4">
      <w:pPr>
        <w:spacing w:after="0"/>
        <w:jc w:val="both"/>
        <w:rPr>
          <w:rFonts w:ascii="Calibri" w:eastAsia="Calibri" w:hAnsi="Calibri" w:cs="Calibri"/>
        </w:rPr>
      </w:pPr>
      <w:r w:rsidRPr="00085952">
        <w:rPr>
          <w:rFonts w:ascii="Calibri" w:eastAsia="Calibri" w:hAnsi="Calibri" w:cs="Calibri"/>
        </w:rPr>
        <w:lastRenderedPageBreak/>
        <w:t>Guignabert A., Jonard</w:t>
      </w:r>
      <w:r w:rsidR="001C705B" w:rsidRPr="00085952">
        <w:rPr>
          <w:rFonts w:ascii="Calibri" w:eastAsia="Calibri" w:hAnsi="Calibri" w:cs="Calibri"/>
        </w:rPr>
        <w:t xml:space="preserve"> M.,</w:t>
      </w:r>
      <w:r w:rsidRPr="00085952">
        <w:rPr>
          <w:rFonts w:ascii="Calibri" w:eastAsia="Calibri" w:hAnsi="Calibri" w:cs="Calibri"/>
        </w:rPr>
        <w:t xml:space="preserve"> Messier</w:t>
      </w:r>
      <w:r w:rsidR="001C705B" w:rsidRPr="00085952">
        <w:rPr>
          <w:rFonts w:ascii="Calibri" w:eastAsia="Calibri" w:hAnsi="Calibri" w:cs="Calibri"/>
        </w:rPr>
        <w:t xml:space="preserve"> C., </w:t>
      </w:r>
      <w:r w:rsidRPr="00085952">
        <w:rPr>
          <w:rFonts w:ascii="Calibri" w:eastAsia="Calibri" w:hAnsi="Calibri" w:cs="Calibri"/>
        </w:rPr>
        <w:t>André</w:t>
      </w:r>
      <w:r w:rsidR="001C705B" w:rsidRPr="00085952">
        <w:rPr>
          <w:rFonts w:ascii="Calibri" w:eastAsia="Calibri" w:hAnsi="Calibri" w:cs="Calibri"/>
        </w:rPr>
        <w:t xml:space="preserve"> F.,</w:t>
      </w:r>
      <w:r w:rsidRPr="00085952">
        <w:rPr>
          <w:rFonts w:ascii="Calibri" w:eastAsia="Calibri" w:hAnsi="Calibri" w:cs="Calibri"/>
        </w:rPr>
        <w:t xml:space="preserve"> de Coligny</w:t>
      </w:r>
      <w:r w:rsidR="001C705B" w:rsidRPr="00085952">
        <w:rPr>
          <w:rFonts w:ascii="Calibri" w:eastAsia="Calibri" w:hAnsi="Calibri" w:cs="Calibri"/>
        </w:rPr>
        <w:t xml:space="preserve"> F.,</w:t>
      </w:r>
      <w:r w:rsidRPr="00085952">
        <w:rPr>
          <w:rFonts w:ascii="Calibri" w:eastAsia="Calibri" w:hAnsi="Calibri" w:cs="Calibri"/>
        </w:rPr>
        <w:t xml:space="preserve"> Doyon</w:t>
      </w:r>
      <w:r w:rsidR="001C705B" w:rsidRPr="00085952">
        <w:rPr>
          <w:rFonts w:ascii="Calibri" w:eastAsia="Calibri" w:hAnsi="Calibri" w:cs="Calibri"/>
        </w:rPr>
        <w:t xml:space="preserve"> F.,</w:t>
      </w:r>
      <w:r w:rsidRPr="00085952">
        <w:rPr>
          <w:rFonts w:ascii="Calibri" w:eastAsia="Calibri" w:hAnsi="Calibri" w:cs="Calibri"/>
        </w:rPr>
        <w:t xml:space="preserve"> Ponette</w:t>
      </w:r>
      <w:r w:rsidR="001C705B" w:rsidRPr="00085952">
        <w:rPr>
          <w:rFonts w:ascii="Calibri" w:eastAsia="Calibri" w:hAnsi="Calibri" w:cs="Calibri"/>
        </w:rPr>
        <w:t xml:space="preserve"> Q., 2024.</w:t>
      </w:r>
      <w:r w:rsidR="008212D4" w:rsidRPr="00085952">
        <w:rPr>
          <w:rFonts w:ascii="Calibri" w:eastAsia="Calibri" w:hAnsi="Calibri" w:cs="Calibri"/>
        </w:rPr>
        <w:t xml:space="preserve"> </w:t>
      </w:r>
      <w:r w:rsidR="008212D4" w:rsidRPr="008212D4">
        <w:rPr>
          <w:rFonts w:ascii="Calibri" w:eastAsia="Calibri" w:hAnsi="Calibri" w:cs="Calibri"/>
          <w:lang w:val="fr-BE"/>
        </w:rPr>
        <w:t>La sylviculture adaptative à l'échelle du peuplement améliore-t-elle la résilience</w:t>
      </w:r>
      <w:r w:rsidR="008212D4">
        <w:rPr>
          <w:rFonts w:ascii="Calibri" w:eastAsia="Calibri" w:hAnsi="Calibri" w:cs="Calibri"/>
          <w:lang w:val="fr-BE"/>
        </w:rPr>
        <w:t xml:space="preserve"> </w:t>
      </w:r>
      <w:r w:rsidR="008212D4" w:rsidRPr="008212D4">
        <w:rPr>
          <w:rFonts w:ascii="Calibri" w:eastAsia="Calibri" w:hAnsi="Calibri" w:cs="Calibri"/>
          <w:lang w:val="fr-BE"/>
        </w:rPr>
        <w:t>des forêts tempérées face à des perturbations multiples ?</w:t>
      </w:r>
      <w:r w:rsidR="008212D4">
        <w:rPr>
          <w:rFonts w:ascii="Calibri" w:eastAsia="Calibri" w:hAnsi="Calibri" w:cs="Calibri"/>
          <w:lang w:val="fr-BE"/>
        </w:rPr>
        <w:t xml:space="preserve"> </w:t>
      </w:r>
      <w:r w:rsidR="008212D4" w:rsidRPr="008F6866">
        <w:rPr>
          <w:rFonts w:ascii="Calibri" w:eastAsia="Calibri" w:hAnsi="Calibri" w:cs="Calibri"/>
        </w:rPr>
        <w:t>Presented at the FOREM 2024, Nancy, France.</w:t>
      </w:r>
    </w:p>
    <w:p w14:paraId="6F04B2F3" w14:textId="104DE7E2" w:rsidR="232ABAF5" w:rsidRPr="00A72094" w:rsidRDefault="232ABAF5" w:rsidP="00974C6F">
      <w:pPr>
        <w:spacing w:after="0"/>
        <w:jc w:val="both"/>
        <w:rPr>
          <w:rFonts w:ascii="Calibri" w:eastAsia="Calibri" w:hAnsi="Calibri" w:cs="Calibri"/>
        </w:rPr>
      </w:pPr>
    </w:p>
    <w:p w14:paraId="6F109EF9" w14:textId="2892FB84" w:rsidR="232ABAF5" w:rsidRPr="008F6866" w:rsidRDefault="0628B78B" w:rsidP="00974C6F">
      <w:pPr>
        <w:spacing w:after="0"/>
        <w:jc w:val="both"/>
      </w:pPr>
      <w:r w:rsidRPr="008F6866">
        <w:rPr>
          <w:rFonts w:ascii="Calibri" w:eastAsia="Calibri" w:hAnsi="Calibri" w:cs="Calibri"/>
        </w:rPr>
        <w:t>Ligot G., Claessens H., 2024. Status and drivers of oak population decline in Western European forests. Presented at the IUFRO 26th world congress, Forest &amp; society towards 2050, Stocholm, Sweden.</w:t>
      </w:r>
    </w:p>
    <w:p w14:paraId="63F4176A" w14:textId="315A6E94" w:rsidR="0628B78B" w:rsidRPr="008F6866" w:rsidRDefault="0628B78B" w:rsidP="00974C6F">
      <w:pPr>
        <w:spacing w:after="0"/>
        <w:jc w:val="both"/>
        <w:rPr>
          <w:rFonts w:ascii="Calibri" w:eastAsia="Calibri" w:hAnsi="Calibri" w:cs="Calibri"/>
        </w:rPr>
      </w:pPr>
    </w:p>
    <w:p w14:paraId="44A1B9AE" w14:textId="1ADBE67D" w:rsidR="0628B78B" w:rsidRPr="00900A11" w:rsidRDefault="0628B78B" w:rsidP="00974C6F">
      <w:pPr>
        <w:spacing w:after="0"/>
        <w:jc w:val="both"/>
        <w:rPr>
          <w:rFonts w:ascii="Calibri" w:eastAsia="Calibri" w:hAnsi="Calibri" w:cs="Calibri"/>
          <w:lang w:val="fr-BE"/>
        </w:rPr>
      </w:pPr>
      <w:r w:rsidRPr="00900A11">
        <w:rPr>
          <w:rFonts w:ascii="Calibri" w:eastAsia="Calibri" w:hAnsi="Calibri" w:cs="Calibri"/>
          <w:lang w:val="fr-BE"/>
        </w:rPr>
        <w:t>Ligot G. 2024. Compétition interspécifique dans les régénérations naturelles en peuplement irrégulier : dispositifs d'études en Wallonie. Presented at Atelier Régénération en futaie irrégulière, Nogent-sur-Vernisson, 21-23 August 2025. France.</w:t>
      </w:r>
    </w:p>
    <w:p w14:paraId="46CB7115" w14:textId="798C84CA" w:rsidR="0628B78B" w:rsidRPr="00900A11" w:rsidRDefault="0628B78B" w:rsidP="00974C6F">
      <w:pPr>
        <w:spacing w:after="0"/>
        <w:jc w:val="both"/>
        <w:rPr>
          <w:rFonts w:ascii="Calibri" w:eastAsia="Calibri" w:hAnsi="Calibri" w:cs="Calibri"/>
          <w:lang w:val="fr-BE"/>
        </w:rPr>
      </w:pPr>
    </w:p>
    <w:p w14:paraId="33E55960" w14:textId="18EB6DB1" w:rsidR="0628B78B" w:rsidRPr="00900A11" w:rsidRDefault="0628B78B" w:rsidP="00974C6F">
      <w:pPr>
        <w:spacing w:after="0"/>
        <w:jc w:val="both"/>
        <w:rPr>
          <w:rFonts w:ascii="Calibri" w:eastAsia="Calibri" w:hAnsi="Calibri" w:cs="Calibri"/>
          <w:lang w:val="fr-BE"/>
        </w:rPr>
      </w:pPr>
      <w:r w:rsidRPr="00900A11">
        <w:rPr>
          <w:rFonts w:ascii="Calibri" w:eastAsia="Calibri" w:hAnsi="Calibri" w:cs="Calibri"/>
          <w:lang w:val="fr-BE"/>
        </w:rPr>
        <w:t>Pau M., Jonard M., André F., Ligot G. 2025 Diversification forestière face aux changements globaux et à la pression des ongulés : une expérience de simulation. Poster presented at Carrefour Forestier, 21 March 2025, Libin, Belgium.</w:t>
      </w:r>
    </w:p>
    <w:p w14:paraId="1A7248F8" w14:textId="4DEE42F0" w:rsidR="0628B78B" w:rsidRPr="00900A11" w:rsidRDefault="0628B78B" w:rsidP="00974C6F">
      <w:pPr>
        <w:spacing w:after="0"/>
        <w:jc w:val="both"/>
        <w:rPr>
          <w:rFonts w:ascii="Calibri" w:eastAsia="Calibri" w:hAnsi="Calibri" w:cs="Calibri"/>
          <w:lang w:val="fr-BE"/>
        </w:rPr>
      </w:pPr>
    </w:p>
    <w:p w14:paraId="0987A4A3" w14:textId="77B9A605" w:rsidR="0628B78B" w:rsidRPr="00085952" w:rsidRDefault="0628B78B" w:rsidP="00974C6F">
      <w:pPr>
        <w:spacing w:after="0"/>
        <w:jc w:val="both"/>
        <w:rPr>
          <w:rFonts w:ascii="Calibri" w:eastAsia="Calibri" w:hAnsi="Calibri" w:cs="Calibri"/>
        </w:rPr>
      </w:pPr>
      <w:r w:rsidRPr="00900A11">
        <w:rPr>
          <w:rFonts w:ascii="Calibri" w:eastAsia="Calibri" w:hAnsi="Calibri" w:cs="Calibri"/>
          <w:lang w:val="fr-BE"/>
        </w:rPr>
        <w:t xml:space="preserve">Pau M., Jonard M., André F., Ligot G. 2025 Diversification forestière face aux changements globaux et à la pression des ongulés : une expérience de simulation. </w:t>
      </w:r>
      <w:r w:rsidRPr="00085952">
        <w:rPr>
          <w:rFonts w:ascii="Calibri" w:eastAsia="Calibri" w:hAnsi="Calibri" w:cs="Calibri"/>
        </w:rPr>
        <w:t>Presented at FOREM, CEFE CNRS, Montpellier, France.</w:t>
      </w:r>
    </w:p>
    <w:p w14:paraId="6B306B7A" w14:textId="77777777" w:rsidR="00BB3D0B" w:rsidRPr="00085952" w:rsidRDefault="00BB3D0B" w:rsidP="232ABAF5">
      <w:pPr>
        <w:spacing w:after="0"/>
        <w:rPr>
          <w:rFonts w:ascii="Calibri" w:eastAsia="Calibri" w:hAnsi="Calibri" w:cs="Calibri"/>
        </w:rPr>
      </w:pPr>
    </w:p>
    <w:p w14:paraId="4357AA2D" w14:textId="1869BD10" w:rsidR="232ABAF5" w:rsidRPr="00936C98" w:rsidRDefault="232ABAF5" w:rsidP="00936C98">
      <w:pPr>
        <w:rPr>
          <w:rFonts w:ascii="Calibri" w:eastAsia="Calibri" w:hAnsi="Calibri" w:cs="Calibri"/>
          <w:i/>
          <w:iCs/>
        </w:rPr>
      </w:pPr>
      <w:r w:rsidRPr="00BB3D0B">
        <w:rPr>
          <w:rFonts w:ascii="Calibri" w:eastAsia="Calibri" w:hAnsi="Calibri" w:cs="Calibri"/>
          <w:i/>
          <w:iCs/>
        </w:rPr>
        <w:t>Other talks</w:t>
      </w:r>
    </w:p>
    <w:p w14:paraId="67E863DD" w14:textId="4A97EB75" w:rsidR="232ABAF5" w:rsidRPr="00085952" w:rsidRDefault="232ABAF5" w:rsidP="001A4715">
      <w:pPr>
        <w:spacing w:after="0"/>
        <w:jc w:val="both"/>
        <w:rPr>
          <w:lang w:val="fr-BE"/>
        </w:rPr>
      </w:pPr>
      <w:r w:rsidRPr="00B71138">
        <w:rPr>
          <w:rFonts w:ascii="Calibri" w:eastAsia="Calibri" w:hAnsi="Calibri" w:cs="Calibri"/>
        </w:rPr>
        <w:t xml:space="preserve">Candaele R., Jonard M., André F., Ligot G., 2021. </w:t>
      </w:r>
      <w:r w:rsidRPr="00085952">
        <w:rPr>
          <w:rFonts w:ascii="Calibri" w:eastAsia="Calibri" w:hAnsi="Calibri" w:cs="Calibri"/>
          <w:lang w:val="fr-BE"/>
        </w:rPr>
        <w:t>Régénération des forêts dans un climat et un environnement changeants. Presented at the Cerfs, biches, chevreuils... Une question d’équilibre</w:t>
      </w:r>
      <w:r w:rsidR="004A08AF" w:rsidRPr="00085952">
        <w:rPr>
          <w:rFonts w:ascii="Calibri" w:eastAsia="Calibri" w:hAnsi="Calibri" w:cs="Calibri"/>
          <w:lang w:val="fr-BE"/>
        </w:rPr>
        <w:t>, 17</w:t>
      </w:r>
      <w:r w:rsidR="000C00D3" w:rsidRPr="00085952">
        <w:rPr>
          <w:rFonts w:ascii="Calibri" w:eastAsia="Calibri" w:hAnsi="Calibri" w:cs="Calibri"/>
          <w:lang w:val="fr-BE"/>
        </w:rPr>
        <w:t> </w:t>
      </w:r>
      <w:r w:rsidR="004A08AF" w:rsidRPr="00085952">
        <w:rPr>
          <w:rFonts w:ascii="Calibri" w:eastAsia="Calibri" w:hAnsi="Calibri" w:cs="Calibri"/>
          <w:lang w:val="fr-BE"/>
        </w:rPr>
        <w:t xml:space="preserve">September </w:t>
      </w:r>
      <w:r w:rsidR="00D91ECF" w:rsidRPr="00085952">
        <w:rPr>
          <w:rFonts w:ascii="Calibri" w:eastAsia="Calibri" w:hAnsi="Calibri" w:cs="Calibri"/>
          <w:lang w:val="fr-BE"/>
        </w:rPr>
        <w:t>2021, Stoumont, Belgi</w:t>
      </w:r>
      <w:r w:rsidR="000C00D3" w:rsidRPr="00085952">
        <w:rPr>
          <w:rFonts w:ascii="Calibri" w:eastAsia="Calibri" w:hAnsi="Calibri" w:cs="Calibri"/>
          <w:lang w:val="fr-BE"/>
        </w:rPr>
        <w:t>um</w:t>
      </w:r>
      <w:r w:rsidR="00334294" w:rsidRPr="00085952">
        <w:rPr>
          <w:rFonts w:ascii="Calibri" w:eastAsia="Calibri" w:hAnsi="Calibri" w:cs="Calibri"/>
          <w:lang w:val="fr-BE"/>
        </w:rPr>
        <w:t>.</w:t>
      </w:r>
    </w:p>
    <w:p w14:paraId="06515D51" w14:textId="03957BE0" w:rsidR="232ABAF5" w:rsidRPr="00085952" w:rsidRDefault="232ABAF5" w:rsidP="001A4715">
      <w:pPr>
        <w:spacing w:after="0"/>
        <w:jc w:val="both"/>
        <w:rPr>
          <w:rFonts w:ascii="Calibri" w:eastAsia="Calibri" w:hAnsi="Calibri" w:cs="Calibri"/>
          <w:lang w:val="fr-BE"/>
        </w:rPr>
      </w:pPr>
    </w:p>
    <w:p w14:paraId="210F86A6" w14:textId="10AF3CE9" w:rsidR="232ABAF5" w:rsidRPr="00085952" w:rsidRDefault="0628B78B" w:rsidP="001A4715">
      <w:pPr>
        <w:spacing w:after="0"/>
        <w:jc w:val="both"/>
        <w:rPr>
          <w:lang w:val="fr-BE"/>
        </w:rPr>
      </w:pPr>
      <w:r w:rsidRPr="00085952">
        <w:rPr>
          <w:rFonts w:ascii="Calibri" w:eastAsia="Calibri" w:hAnsi="Calibri" w:cs="Calibri"/>
          <w:lang w:val="fr-BE"/>
        </w:rPr>
        <w:t>Candaele R., Ligot G., Licoppe A., Fichefet V., Lievens J., André F., Jonard M., Lejeune P., 2021. Les ongulés sauvages menacent-ils la diversité des forêts futures? Presented at the Journée d’étude et conservations de la faune en milieux tempérés et tropicaux</w:t>
      </w:r>
      <w:r w:rsidR="00F95172" w:rsidRPr="00085952">
        <w:rPr>
          <w:rFonts w:ascii="Calibri" w:eastAsia="Calibri" w:hAnsi="Calibri" w:cs="Calibri"/>
          <w:lang w:val="fr-BE"/>
        </w:rPr>
        <w:t xml:space="preserve">, 25 October </w:t>
      </w:r>
      <w:r w:rsidR="00EF6028" w:rsidRPr="00085952">
        <w:rPr>
          <w:rFonts w:ascii="Calibri" w:eastAsia="Calibri" w:hAnsi="Calibri" w:cs="Calibri"/>
          <w:lang w:val="fr-BE"/>
        </w:rPr>
        <w:t>2021</w:t>
      </w:r>
      <w:r w:rsidRPr="00085952">
        <w:rPr>
          <w:rFonts w:ascii="Calibri" w:eastAsia="Calibri" w:hAnsi="Calibri" w:cs="Calibri"/>
          <w:lang w:val="fr-BE"/>
        </w:rPr>
        <w:t>, Gembloux, Belgi</w:t>
      </w:r>
      <w:r w:rsidR="00334294" w:rsidRPr="00085952">
        <w:rPr>
          <w:rFonts w:ascii="Calibri" w:eastAsia="Calibri" w:hAnsi="Calibri" w:cs="Calibri"/>
          <w:lang w:val="fr-BE"/>
        </w:rPr>
        <w:t>um</w:t>
      </w:r>
      <w:r w:rsidRPr="00085952">
        <w:rPr>
          <w:rFonts w:ascii="Calibri" w:eastAsia="Calibri" w:hAnsi="Calibri" w:cs="Calibri"/>
          <w:lang w:val="fr-BE"/>
        </w:rPr>
        <w:t>.</w:t>
      </w:r>
    </w:p>
    <w:p w14:paraId="714BCE63" w14:textId="2754255A" w:rsidR="0628B78B" w:rsidRPr="00334294" w:rsidRDefault="0628B78B" w:rsidP="001A4715">
      <w:pPr>
        <w:spacing w:after="0"/>
        <w:jc w:val="both"/>
        <w:rPr>
          <w:rFonts w:ascii="Calibri" w:eastAsia="Calibri" w:hAnsi="Calibri" w:cs="Calibri"/>
          <w:lang w:val="fr-BE"/>
        </w:rPr>
      </w:pPr>
    </w:p>
    <w:p w14:paraId="7105A9C2" w14:textId="2B1C6700" w:rsidR="0628B78B" w:rsidRPr="00085952" w:rsidRDefault="0628B78B" w:rsidP="001A4715">
      <w:pPr>
        <w:spacing w:after="0"/>
        <w:jc w:val="both"/>
        <w:rPr>
          <w:rFonts w:ascii="Calibri" w:eastAsia="Calibri" w:hAnsi="Calibri" w:cs="Calibri"/>
          <w:lang w:val="fr-BE"/>
        </w:rPr>
      </w:pPr>
      <w:r w:rsidRPr="00085952">
        <w:rPr>
          <w:rFonts w:ascii="Calibri" w:eastAsia="Calibri" w:hAnsi="Calibri" w:cs="Calibri"/>
          <w:lang w:val="fr-BE"/>
        </w:rPr>
        <w:t>Ligot G. 2024. Situation et facteurs de déclin du chêne dans les forêts d’Europe occidentale. Presented at</w:t>
      </w:r>
      <w:r w:rsidR="00EF6028" w:rsidRPr="00085952">
        <w:rPr>
          <w:rFonts w:ascii="Calibri" w:eastAsia="Calibri" w:hAnsi="Calibri" w:cs="Calibri"/>
          <w:lang w:val="fr-BE"/>
        </w:rPr>
        <w:t xml:space="preserve"> the</w:t>
      </w:r>
      <w:r w:rsidRPr="00085952">
        <w:rPr>
          <w:rFonts w:ascii="Calibri" w:eastAsia="Calibri" w:hAnsi="Calibri" w:cs="Calibri"/>
          <w:lang w:val="fr-BE"/>
        </w:rPr>
        <w:t xml:space="preserve"> Séminaire Pro Silva, 19 June 2024, On-line.</w:t>
      </w:r>
    </w:p>
    <w:p w14:paraId="4C8849A8" w14:textId="77777777" w:rsidR="00BB3D0B" w:rsidRPr="00085952" w:rsidRDefault="00BB3D0B" w:rsidP="001A4715">
      <w:pPr>
        <w:spacing w:after="0"/>
        <w:jc w:val="both"/>
        <w:rPr>
          <w:rFonts w:ascii="Calibri" w:eastAsia="Calibri" w:hAnsi="Calibri" w:cs="Calibri"/>
          <w:lang w:val="fr-BE"/>
        </w:rPr>
      </w:pPr>
    </w:p>
    <w:p w14:paraId="7DB59B5F" w14:textId="09235263" w:rsidR="0628B78B" w:rsidRPr="00085952" w:rsidRDefault="0628B78B" w:rsidP="001A4715">
      <w:pPr>
        <w:spacing w:after="0"/>
        <w:jc w:val="both"/>
        <w:rPr>
          <w:rFonts w:ascii="Calibri" w:eastAsia="Calibri" w:hAnsi="Calibri" w:cs="Calibri"/>
          <w:lang w:val="fr-BE"/>
        </w:rPr>
      </w:pPr>
      <w:r w:rsidRPr="00085952">
        <w:rPr>
          <w:rFonts w:ascii="Calibri" w:eastAsia="Calibri" w:hAnsi="Calibri" w:cs="Calibri"/>
          <w:lang w:val="fr-BE"/>
        </w:rPr>
        <w:t>Ligot G. 2025 Impact économique de la gestion des peuplements mélangés. Presented at Rencontres Filière bois, 15 April 2025, Libramont, Belgium.</w:t>
      </w:r>
    </w:p>
    <w:p w14:paraId="20B7719D" w14:textId="634C23C9" w:rsidR="232ABAF5" w:rsidRPr="00900A11" w:rsidRDefault="232ABAF5">
      <w:pPr>
        <w:rPr>
          <w:lang w:val="fr-BE"/>
        </w:rPr>
      </w:pPr>
    </w:p>
    <w:p w14:paraId="15279B2C" w14:textId="77777777" w:rsidR="00CC34C2" w:rsidRPr="00900A11" w:rsidRDefault="00CC34C2" w:rsidP="009710C2">
      <w:pPr>
        <w:pStyle w:val="Titre1"/>
        <w:spacing w:after="120"/>
        <w:rPr>
          <w:rFonts w:asciiTheme="minorHAnsi" w:hAnsiTheme="minorHAnsi"/>
          <w:lang w:val="fr-BE"/>
        </w:rPr>
      </w:pPr>
      <w:bookmarkStart w:id="106" w:name="_Toc200703453"/>
      <w:r w:rsidRPr="00900A11">
        <w:rPr>
          <w:rFonts w:asciiTheme="minorHAnsi" w:hAnsiTheme="minorHAnsi"/>
          <w:lang w:val="fr-BE"/>
        </w:rPr>
        <w:t>6. PUBLICATIONS</w:t>
      </w:r>
      <w:bookmarkEnd w:id="106"/>
    </w:p>
    <w:p w14:paraId="2B78A64D" w14:textId="3D70741E" w:rsidR="00C73410" w:rsidRPr="009710C2" w:rsidRDefault="232ABAF5" w:rsidP="00C73410">
      <w:pPr>
        <w:rPr>
          <w:i/>
          <w:iCs/>
          <w:lang w:val="fr-BE"/>
        </w:rPr>
      </w:pPr>
      <w:r w:rsidRPr="009710C2">
        <w:rPr>
          <w:i/>
          <w:iCs/>
          <w:lang w:val="fr-BE"/>
        </w:rPr>
        <w:t>Peer-reviewed scientific paper</w:t>
      </w:r>
      <w:r w:rsidR="00455FD5" w:rsidRPr="009710C2">
        <w:rPr>
          <w:i/>
          <w:iCs/>
          <w:lang w:val="fr-BE"/>
        </w:rPr>
        <w:t>s</w:t>
      </w:r>
    </w:p>
    <w:p w14:paraId="75EB065C" w14:textId="175A956E" w:rsidR="232ABAF5" w:rsidRPr="008F6866" w:rsidRDefault="232ABAF5" w:rsidP="00B41FB6">
      <w:pPr>
        <w:spacing w:after="0"/>
        <w:jc w:val="both"/>
      </w:pPr>
      <w:r w:rsidRPr="00900A11">
        <w:rPr>
          <w:rFonts w:ascii="Calibri" w:eastAsia="Calibri" w:hAnsi="Calibri" w:cs="Calibri"/>
          <w:lang w:val="fr-BE"/>
        </w:rPr>
        <w:t xml:space="preserve">Ligot G., Gheysen T., Perin J., Candaele R., de Coligny F., Licoppe A., Lejeune P., 2023. </w:t>
      </w:r>
      <w:r w:rsidRPr="008F6866">
        <w:rPr>
          <w:rFonts w:ascii="Calibri" w:eastAsia="Calibri" w:hAnsi="Calibri" w:cs="Calibri"/>
        </w:rPr>
        <w:t xml:space="preserve">From the simulation of forest plantation dynamics to the quantification of bark-stripping damage by ungulates. European Journal of Forest Research. </w:t>
      </w:r>
      <w:hyperlink r:id="rId126">
        <w:r w:rsidRPr="008F6866">
          <w:rPr>
            <w:rStyle w:val="Lienhypertexte"/>
            <w:rFonts w:ascii="Calibri" w:eastAsia="Calibri" w:hAnsi="Calibri" w:cs="Calibri"/>
          </w:rPr>
          <w:t>https://doi.org/10.1007/s10342-023-01565-w</w:t>
        </w:r>
      </w:hyperlink>
    </w:p>
    <w:p w14:paraId="3937B8AC" w14:textId="74FBC17B" w:rsidR="232ABAF5" w:rsidRPr="008F6866" w:rsidRDefault="232ABAF5" w:rsidP="00B41FB6">
      <w:pPr>
        <w:spacing w:after="0"/>
        <w:jc w:val="both"/>
        <w:rPr>
          <w:rFonts w:ascii="Calibri" w:eastAsia="Calibri" w:hAnsi="Calibri" w:cs="Calibri"/>
        </w:rPr>
      </w:pPr>
    </w:p>
    <w:p w14:paraId="4E5B79DE" w14:textId="30004DAD" w:rsidR="232ABAF5" w:rsidRPr="00900A11" w:rsidRDefault="232ABAF5" w:rsidP="00B41FB6">
      <w:pPr>
        <w:spacing w:after="0"/>
        <w:jc w:val="both"/>
        <w:rPr>
          <w:lang w:val="fr-BE"/>
        </w:rPr>
      </w:pPr>
      <w:r w:rsidRPr="00085952">
        <w:rPr>
          <w:rFonts w:ascii="Calibri" w:eastAsia="Calibri" w:hAnsi="Calibri" w:cs="Calibri"/>
        </w:rPr>
        <w:t xml:space="preserve">Candaele R., Ligot G., Licoppe A., Lievens J., Fichefet V., Jonard M., André F., Lejeune P., 2023. </w:t>
      </w:r>
      <w:r w:rsidRPr="008F6866">
        <w:rPr>
          <w:rFonts w:ascii="Calibri" w:eastAsia="Calibri" w:hAnsi="Calibri" w:cs="Calibri"/>
        </w:rPr>
        <w:t xml:space="preserve">Interspecific Growth Reductions Caused by Wild Ungulates on Tree Seedlings and Their Implications for Temperate Quercus-Fagus Forests. </w:t>
      </w:r>
      <w:r w:rsidRPr="00900A11">
        <w:rPr>
          <w:rFonts w:ascii="Calibri" w:eastAsia="Calibri" w:hAnsi="Calibri" w:cs="Calibri"/>
          <w:lang w:val="fr-BE"/>
        </w:rPr>
        <w:t xml:space="preserve">Forests 14, 1330. </w:t>
      </w:r>
      <w:hyperlink r:id="rId127">
        <w:r w:rsidRPr="00900A11">
          <w:rPr>
            <w:rStyle w:val="Lienhypertexte"/>
            <w:rFonts w:ascii="Calibri" w:eastAsia="Calibri" w:hAnsi="Calibri" w:cs="Calibri"/>
            <w:lang w:val="fr-BE"/>
          </w:rPr>
          <w:t>https://doi.org/10.3390/f14071330</w:t>
        </w:r>
      </w:hyperlink>
    </w:p>
    <w:p w14:paraId="6D1E1F16" w14:textId="504ED6C6" w:rsidR="232ABAF5" w:rsidRPr="008F6866" w:rsidRDefault="0628B78B" w:rsidP="00B41FB6">
      <w:pPr>
        <w:spacing w:after="0"/>
        <w:jc w:val="both"/>
        <w:rPr>
          <w:rStyle w:val="Lienhypertexte"/>
          <w:rFonts w:ascii="Calibri" w:eastAsia="Calibri" w:hAnsi="Calibri" w:cs="Calibri"/>
        </w:rPr>
      </w:pPr>
      <w:r w:rsidRPr="00900A11">
        <w:rPr>
          <w:rFonts w:ascii="Calibri" w:eastAsia="Calibri" w:hAnsi="Calibri" w:cs="Calibri"/>
          <w:lang w:val="fr-BE"/>
        </w:rPr>
        <w:lastRenderedPageBreak/>
        <w:t xml:space="preserve">Barrere J., Ligot G., Boulanger V., Collet C., Courbaud B., de Coligny F., Mårell A., Saïd S., Balandier P., 2024. </w:t>
      </w:r>
      <w:r w:rsidRPr="008F6866">
        <w:rPr>
          <w:rFonts w:ascii="Calibri" w:eastAsia="Calibri" w:hAnsi="Calibri" w:cs="Calibri"/>
        </w:rPr>
        <w:t xml:space="preserve">Oak regeneration facing deer browsing: Can competition between saplings offset the diversion effect? A simulation experiment. Ecological Modelling 489, 110608. </w:t>
      </w:r>
      <w:hyperlink r:id="rId128" w:history="1">
        <w:r w:rsidRPr="008F6866">
          <w:rPr>
            <w:rStyle w:val="Lienhypertexte"/>
            <w:rFonts w:ascii="Calibri" w:eastAsia="Calibri" w:hAnsi="Calibri" w:cs="Calibri"/>
          </w:rPr>
          <w:t>https://doi.org/10.1016/j.ecolmodel.2023.110608</w:t>
        </w:r>
      </w:hyperlink>
    </w:p>
    <w:p w14:paraId="3DC4C14F" w14:textId="2FFFA14D" w:rsidR="232ABAF5" w:rsidRPr="008F6866" w:rsidRDefault="232ABAF5" w:rsidP="001E393B">
      <w:pPr>
        <w:spacing w:after="0"/>
        <w:jc w:val="both"/>
      </w:pPr>
    </w:p>
    <w:p w14:paraId="77CE2843" w14:textId="2A8BB553" w:rsidR="40CB409C" w:rsidRPr="00085952" w:rsidRDefault="40CB409C" w:rsidP="00936C98">
      <w:pPr>
        <w:spacing w:after="0"/>
        <w:jc w:val="both"/>
      </w:pPr>
      <w:r w:rsidRPr="00900A11">
        <w:rPr>
          <w:lang w:val="fr-BE"/>
        </w:rPr>
        <w:t xml:space="preserve">Guignabert A., Jonard M., Messier C., André F., de Coligny F., Doyon F., Ponette Q., 2024. </w:t>
      </w:r>
      <w:r w:rsidRPr="008F6866">
        <w:t xml:space="preserve">Adaptive forest management improves stand-level resilience of temperate forests under multiple stressors. </w:t>
      </w:r>
      <w:r w:rsidRPr="00085952">
        <w:t>Science of The Total Environment, 948, 174168.</w:t>
      </w:r>
      <w:r w:rsidR="00936C98" w:rsidRPr="00085952">
        <w:t xml:space="preserve"> </w:t>
      </w:r>
      <w:hyperlink r:id="rId129" w:tgtFrame="_blank" w:tooltip="Persistent link using digital object identifier" w:history="1">
        <w:r w:rsidR="00936C98" w:rsidRPr="00936C98">
          <w:rPr>
            <w:rStyle w:val="Lienhypertexte"/>
          </w:rPr>
          <w:t>https://doi.org/10.1016/j.scitotenv.2024.174168</w:t>
        </w:r>
      </w:hyperlink>
    </w:p>
    <w:p w14:paraId="44CB43F9" w14:textId="77777777" w:rsidR="00936C98" w:rsidRPr="00085952" w:rsidRDefault="00936C98" w:rsidP="00B4130A">
      <w:pPr>
        <w:spacing w:after="0"/>
      </w:pPr>
    </w:p>
    <w:p w14:paraId="35C7CA92" w14:textId="3A6B633F" w:rsidR="232ABAF5" w:rsidRPr="00936C98" w:rsidRDefault="00987CDF">
      <w:pPr>
        <w:rPr>
          <w:i/>
          <w:iCs/>
          <w:lang w:val="fr-BE"/>
        </w:rPr>
      </w:pPr>
      <w:r w:rsidRPr="00936C98">
        <w:rPr>
          <w:i/>
          <w:iCs/>
          <w:lang w:val="fr-BE"/>
        </w:rPr>
        <w:t xml:space="preserve">Popularization </w:t>
      </w:r>
      <w:r w:rsidR="232ABAF5" w:rsidRPr="00936C98">
        <w:rPr>
          <w:i/>
          <w:iCs/>
          <w:lang w:val="fr-BE"/>
        </w:rPr>
        <w:t>paper</w:t>
      </w:r>
      <w:r w:rsidRPr="00936C98">
        <w:rPr>
          <w:i/>
          <w:iCs/>
          <w:lang w:val="fr-BE"/>
        </w:rPr>
        <w:t>s</w:t>
      </w:r>
    </w:p>
    <w:p w14:paraId="0DE7B4F0" w14:textId="2BFF10AB" w:rsidR="232ABAF5" w:rsidRPr="00900A11" w:rsidRDefault="0628B78B" w:rsidP="002E0039">
      <w:pPr>
        <w:spacing w:after="0"/>
        <w:jc w:val="both"/>
        <w:rPr>
          <w:rFonts w:ascii="Calibri" w:eastAsia="Calibri" w:hAnsi="Calibri" w:cs="Calibri"/>
          <w:lang w:val="fr-BE"/>
        </w:rPr>
      </w:pPr>
      <w:r w:rsidRPr="00900A11">
        <w:rPr>
          <w:rFonts w:ascii="Calibri" w:eastAsia="Calibri" w:hAnsi="Calibri" w:cs="Calibri"/>
          <w:lang w:val="fr-BE"/>
        </w:rPr>
        <w:t>Charles G., Ligot G., Claessens H., Fortin M., De Mil T., 2024. La sylviculture peut-elle contribuer à combattre le changement climatique ? Sylva Belgica 33, 2.</w:t>
      </w:r>
    </w:p>
    <w:p w14:paraId="1EBEA3C9" w14:textId="77777777" w:rsidR="001D6098" w:rsidRPr="00900A11" w:rsidRDefault="001D6098" w:rsidP="002E0039">
      <w:pPr>
        <w:spacing w:after="0"/>
        <w:jc w:val="both"/>
        <w:rPr>
          <w:rFonts w:ascii="Calibri" w:eastAsia="Calibri" w:hAnsi="Calibri" w:cs="Calibri"/>
          <w:lang w:val="fr-BE"/>
        </w:rPr>
      </w:pPr>
    </w:p>
    <w:p w14:paraId="12277D9C" w14:textId="2D14EAA8" w:rsidR="001D6098" w:rsidRPr="00900A11" w:rsidRDefault="001D6098" w:rsidP="002E0039">
      <w:pPr>
        <w:spacing w:after="0"/>
        <w:jc w:val="both"/>
        <w:rPr>
          <w:rFonts w:ascii="Calibri" w:eastAsia="Calibri" w:hAnsi="Calibri" w:cs="Calibri"/>
          <w:lang w:val="fr-BE"/>
        </w:rPr>
      </w:pPr>
      <w:r w:rsidRPr="00900A11">
        <w:rPr>
          <w:rFonts w:ascii="Calibri" w:eastAsia="Calibri" w:hAnsi="Calibri" w:cs="Calibri"/>
          <w:lang w:val="fr-BE"/>
        </w:rPr>
        <w:t xml:space="preserve">Marchi S., Jonard M., André F., Ghilain N., Goosse H., 2024. Quel climat futur pour nos </w:t>
      </w:r>
      <w:r w:rsidR="00367D7C" w:rsidRPr="00900A11">
        <w:rPr>
          <w:rFonts w:ascii="Calibri" w:eastAsia="Calibri" w:hAnsi="Calibri" w:cs="Calibri"/>
          <w:lang w:val="fr-BE"/>
        </w:rPr>
        <w:t>forêts ?</w:t>
      </w:r>
      <w:r w:rsidRPr="00900A11">
        <w:rPr>
          <w:rFonts w:ascii="Calibri" w:eastAsia="Calibri" w:hAnsi="Calibri" w:cs="Calibri"/>
          <w:lang w:val="fr-BE"/>
        </w:rPr>
        <w:t xml:space="preserve"> Silva Belgica 5, 30.</w:t>
      </w:r>
    </w:p>
    <w:p w14:paraId="667DC504" w14:textId="3466EAC4" w:rsidR="232ABAF5" w:rsidRPr="00900A11" w:rsidRDefault="232ABAF5" w:rsidP="002E0039">
      <w:pPr>
        <w:spacing w:after="0"/>
        <w:jc w:val="both"/>
        <w:rPr>
          <w:rFonts w:ascii="Calibri" w:eastAsia="Calibri" w:hAnsi="Calibri" w:cs="Calibri"/>
          <w:lang w:val="fr-BE"/>
        </w:rPr>
      </w:pPr>
    </w:p>
    <w:p w14:paraId="1CFD7609" w14:textId="5C05C6B6" w:rsidR="0628B78B" w:rsidRPr="008F6866" w:rsidRDefault="232ABAF5" w:rsidP="002E0039">
      <w:pPr>
        <w:spacing w:after="0"/>
        <w:jc w:val="both"/>
        <w:rPr>
          <w:rFonts w:ascii="Calibri" w:eastAsia="Calibri" w:hAnsi="Calibri" w:cs="Calibri"/>
        </w:rPr>
      </w:pPr>
      <w:r w:rsidRPr="00900A11">
        <w:rPr>
          <w:rFonts w:ascii="Calibri" w:eastAsia="Calibri" w:hAnsi="Calibri" w:cs="Calibri"/>
          <w:lang w:val="fr-BE"/>
        </w:rPr>
        <w:t xml:space="preserve">Ligot G., Gheysen T., Perin J., Candaele R., Licoppe A., Claessens, H., Lejeune, P., 2023. Quel est le coût des dégâts d’écorcement dans les plantations </w:t>
      </w:r>
      <w:r w:rsidR="00B4130A" w:rsidRPr="00900A11">
        <w:rPr>
          <w:rFonts w:ascii="Calibri" w:eastAsia="Calibri" w:hAnsi="Calibri" w:cs="Calibri"/>
          <w:lang w:val="fr-BE"/>
        </w:rPr>
        <w:t>d’épicéa ?</w:t>
      </w:r>
      <w:r w:rsidRPr="00900A11">
        <w:rPr>
          <w:rFonts w:ascii="Calibri" w:eastAsia="Calibri" w:hAnsi="Calibri" w:cs="Calibri"/>
          <w:lang w:val="fr-BE"/>
        </w:rPr>
        <w:t xml:space="preserve"> </w:t>
      </w:r>
      <w:r w:rsidRPr="008F6866">
        <w:rPr>
          <w:rFonts w:ascii="Calibri" w:eastAsia="Calibri" w:hAnsi="Calibri" w:cs="Calibri"/>
        </w:rPr>
        <w:t>Forêt.Nature 168, 39.</w:t>
      </w:r>
    </w:p>
    <w:p w14:paraId="17F84D80" w14:textId="62E739E6" w:rsidR="232ABAF5" w:rsidRPr="008F6866" w:rsidRDefault="232ABAF5"/>
    <w:p w14:paraId="122D541F" w14:textId="1012BA6C" w:rsidR="00F80DCD" w:rsidRPr="00214A0C" w:rsidRDefault="00CC34C2" w:rsidP="00214A0C">
      <w:pPr>
        <w:pStyle w:val="Titre1"/>
        <w:spacing w:after="120"/>
        <w:rPr>
          <w:rFonts w:asciiTheme="minorHAnsi" w:hAnsiTheme="minorHAnsi"/>
        </w:rPr>
      </w:pPr>
      <w:bookmarkStart w:id="107" w:name="_Toc200703454"/>
      <w:r w:rsidRPr="008F6866">
        <w:rPr>
          <w:rFonts w:asciiTheme="minorHAnsi" w:hAnsiTheme="minorHAnsi"/>
        </w:rPr>
        <w:t>7. ACKNOWLEDGEMENTS</w:t>
      </w:r>
      <w:bookmarkEnd w:id="107"/>
    </w:p>
    <w:p w14:paraId="17D0CA91" w14:textId="77777777" w:rsidR="00E63B09" w:rsidRDefault="003339F7" w:rsidP="00917E34">
      <w:pPr>
        <w:spacing w:after="120"/>
        <w:jc w:val="both"/>
      </w:pPr>
      <w:r>
        <w:t>The authors thank the Belgian Federal Science Policy Office (BELSPO) for financing the current research</w:t>
      </w:r>
      <w:r w:rsidR="00F80DCD">
        <w:t xml:space="preserve"> </w:t>
      </w:r>
      <w:r>
        <w:t xml:space="preserve">in the frames of the BRAIN </w:t>
      </w:r>
      <w:r w:rsidR="00C86C64">
        <w:t>R</w:t>
      </w:r>
      <w:r w:rsidR="00905D4B">
        <w:t>EGE+</w:t>
      </w:r>
      <w:r>
        <w:t xml:space="preserve"> project (contract B2/</w:t>
      </w:r>
      <w:r w:rsidR="00905D4B" w:rsidRPr="00905D4B">
        <w:t>212/P1/REGE+</w:t>
      </w:r>
      <w:r>
        <w:t xml:space="preserve">). </w:t>
      </w:r>
      <w:r w:rsidR="00A6269C">
        <w:t xml:space="preserve">The authors </w:t>
      </w:r>
      <w:r w:rsidR="007002AE">
        <w:t xml:space="preserve">thank the </w:t>
      </w:r>
      <w:r w:rsidR="00B13816" w:rsidRPr="00B13816">
        <w:t>Université catholique de Louvain</w:t>
      </w:r>
      <w:r w:rsidR="00B13816">
        <w:t xml:space="preserve">, the </w:t>
      </w:r>
      <w:r w:rsidR="00B13816" w:rsidRPr="00B13816">
        <w:t>University of Liège</w:t>
      </w:r>
      <w:r w:rsidR="00710DEB">
        <w:t xml:space="preserve"> </w:t>
      </w:r>
      <w:r w:rsidR="00710DEB" w:rsidRPr="00710DEB">
        <w:t>(Gembloux Agro-Bio Tech)</w:t>
      </w:r>
      <w:r w:rsidR="00B13816">
        <w:t xml:space="preserve"> and the Royal Meteorological Institute for providing </w:t>
      </w:r>
      <w:r w:rsidR="0045142B">
        <w:t xml:space="preserve">the needed infrastructure. </w:t>
      </w:r>
      <w:r w:rsidR="00B33904">
        <w:t>This work was supported by</w:t>
      </w:r>
      <w:r w:rsidR="00B17DCE">
        <w:t xml:space="preserve"> forestry</w:t>
      </w:r>
      <w:r w:rsidR="00A32464">
        <w:t xml:space="preserve"> field </w:t>
      </w:r>
      <w:r w:rsidR="00B33904">
        <w:t xml:space="preserve">data </w:t>
      </w:r>
      <w:r w:rsidR="0025263E">
        <w:t xml:space="preserve">acquired under the </w:t>
      </w:r>
      <w:r w:rsidR="009663C7" w:rsidRPr="009663C7">
        <w:t>ICP Forests</w:t>
      </w:r>
      <w:r w:rsidR="007D1BEE">
        <w:t xml:space="preserve"> (</w:t>
      </w:r>
      <w:r w:rsidR="007D1BEE" w:rsidRPr="009663C7">
        <w:t>UNECE</w:t>
      </w:r>
      <w:r w:rsidR="007D1BEE">
        <w:t>)</w:t>
      </w:r>
      <w:r w:rsidR="0011397A">
        <w:t xml:space="preserve"> and the</w:t>
      </w:r>
      <w:r w:rsidR="000A073C">
        <w:t xml:space="preserve"> </w:t>
      </w:r>
      <w:r w:rsidR="00873E6C">
        <w:t>Accord-cadre de recherches et de vulgarisation forestières</w:t>
      </w:r>
      <w:r w:rsidR="007D1BEE">
        <w:t xml:space="preserve"> (SPW) programmes</w:t>
      </w:r>
      <w:r w:rsidR="000638EF">
        <w:t xml:space="preserve"> or collected </w:t>
      </w:r>
      <w:r w:rsidR="008C5C32">
        <w:t xml:space="preserve">by the </w:t>
      </w:r>
      <w:r w:rsidR="008C5C32" w:rsidRPr="008F6866">
        <w:rPr>
          <w:rFonts w:ascii="Calibri" w:eastAsia="Calibri" w:hAnsi="Calibri" w:cs="Calibri"/>
        </w:rPr>
        <w:t>“Département de la Nature et des Forêts” (DNF, SPW)</w:t>
      </w:r>
      <w:r w:rsidR="008C5C32">
        <w:rPr>
          <w:rFonts w:ascii="Calibri" w:eastAsia="Calibri" w:hAnsi="Calibri" w:cs="Calibri"/>
        </w:rPr>
        <w:t>,</w:t>
      </w:r>
      <w:r w:rsidR="00D96930">
        <w:t xml:space="preserve"> and </w:t>
      </w:r>
      <w:r w:rsidR="006B413C">
        <w:t xml:space="preserve">by </w:t>
      </w:r>
      <w:r w:rsidR="00C06632">
        <w:t xml:space="preserve">climate </w:t>
      </w:r>
      <w:r w:rsidR="00BA128C">
        <w:t xml:space="preserve">projection and historical series </w:t>
      </w:r>
      <w:r w:rsidR="006B413C">
        <w:t xml:space="preserve">originated from the </w:t>
      </w:r>
      <w:r w:rsidR="00650C20" w:rsidRPr="00650C20">
        <w:t>Coupled Model Intercomparison Project Phase 6</w:t>
      </w:r>
      <w:r w:rsidR="004C1C02">
        <w:t xml:space="preserve"> (CMIP6)</w:t>
      </w:r>
      <w:r w:rsidR="001366C6">
        <w:t xml:space="preserve"> and the CORDEX.be </w:t>
      </w:r>
      <w:r w:rsidR="00295434">
        <w:t>projects.</w:t>
      </w:r>
      <w:r w:rsidR="00E95F24">
        <w:t xml:space="preserve"> </w:t>
      </w:r>
      <w:r w:rsidR="00330789">
        <w:t xml:space="preserve">We are grateful </w:t>
      </w:r>
      <w:r w:rsidR="00CC2DAB">
        <w:t xml:space="preserve">to </w:t>
      </w:r>
      <w:r w:rsidR="001219A2">
        <w:t xml:space="preserve">C. Barvaux </w:t>
      </w:r>
      <w:r w:rsidR="00BC390B">
        <w:t xml:space="preserve">(DNF, SPW) and T. Thyrion </w:t>
      </w:r>
      <w:r w:rsidR="00671545">
        <w:t xml:space="preserve">(UCLouvain) for </w:t>
      </w:r>
      <w:r w:rsidR="00030DF8">
        <w:t xml:space="preserve">granting </w:t>
      </w:r>
      <w:r w:rsidR="00A44782">
        <w:t>us</w:t>
      </w:r>
      <w:r w:rsidR="00671545">
        <w:t xml:space="preserve"> access to </w:t>
      </w:r>
      <w:r w:rsidR="00810949">
        <w:t xml:space="preserve">forest sites </w:t>
      </w:r>
      <w:r w:rsidR="002810DF">
        <w:t xml:space="preserve">to supplement </w:t>
      </w:r>
      <w:r w:rsidR="00A44782">
        <w:t xml:space="preserve">our </w:t>
      </w:r>
      <w:r w:rsidR="00E57AAE">
        <w:t>datasets.</w:t>
      </w:r>
      <w:r w:rsidR="00CB64DF">
        <w:t xml:space="preserve"> </w:t>
      </w:r>
      <w:r w:rsidR="00DA541D">
        <w:t>We also thank F. de Coligny</w:t>
      </w:r>
      <w:r w:rsidR="00CA7365">
        <w:t xml:space="preserve">, manager and main developer </w:t>
      </w:r>
      <w:r w:rsidR="00D768B7">
        <w:t xml:space="preserve">of the </w:t>
      </w:r>
      <w:r w:rsidR="00D768B7" w:rsidRPr="00D768B7">
        <w:t>Computer-Aided Projection of Strategies In Silviculture</w:t>
      </w:r>
      <w:r w:rsidR="00D768B7">
        <w:t xml:space="preserve"> (Capsis)</w:t>
      </w:r>
      <w:r w:rsidR="00351066">
        <w:t xml:space="preserve"> platform,</w:t>
      </w:r>
      <w:r w:rsidR="00D91A5F">
        <w:t xml:space="preserve"> for his assistance in implementing </w:t>
      </w:r>
      <w:r w:rsidR="003F3245">
        <w:t xml:space="preserve">new functionalities </w:t>
      </w:r>
      <w:r w:rsidR="00CA7365">
        <w:t>in the HETEROFOR model.</w:t>
      </w:r>
      <w:r w:rsidR="00F71EA2">
        <w:t xml:space="preserve"> </w:t>
      </w:r>
    </w:p>
    <w:p w14:paraId="526F1259" w14:textId="6B84778E" w:rsidR="00214A0C" w:rsidRDefault="00917E34" w:rsidP="00917E34">
      <w:pPr>
        <w:spacing w:after="120"/>
        <w:jc w:val="both"/>
      </w:pPr>
      <w:r>
        <w:t xml:space="preserve">The follow-up committee </w:t>
      </w:r>
      <w:r w:rsidR="00994556">
        <w:t>of the project wa</w:t>
      </w:r>
      <w:r>
        <w:t>s composed of the following members:</w:t>
      </w:r>
      <w:r w:rsidR="00994556">
        <w:t xml:space="preserve"> </w:t>
      </w:r>
      <w:r w:rsidRPr="00994556">
        <w:t>De Waele Valérie (Researcher, DEMNA)</w:t>
      </w:r>
      <w:r w:rsidR="00994556">
        <w:t xml:space="preserve">, </w:t>
      </w:r>
      <w:r w:rsidRPr="00994556">
        <w:t>Licoppe Alain (Premier Attaché, DEMNA)</w:t>
      </w:r>
      <w:r w:rsidR="00994556">
        <w:t xml:space="preserve">, </w:t>
      </w:r>
      <w:r>
        <w:t>Colson Vincent (Head of the small private property support unit, OEWB)</w:t>
      </w:r>
      <w:r w:rsidR="00994556">
        <w:t xml:space="preserve">, </w:t>
      </w:r>
      <w:r>
        <w:t>Cléda Martin (</w:t>
      </w:r>
      <w:r w:rsidR="004C66CC">
        <w:t>Director, DNF</w:t>
      </w:r>
      <w:r>
        <w:t>)</w:t>
      </w:r>
      <w:r w:rsidR="00B46753">
        <w:t xml:space="preserve">, </w:t>
      </w:r>
      <w:r>
        <w:t>Barvaux Catherine (Chief of cantonment, DNF)</w:t>
      </w:r>
      <w:r w:rsidR="00B46753">
        <w:t>,</w:t>
      </w:r>
      <w:r w:rsidR="00CA5AB7">
        <w:t xml:space="preserve"> </w:t>
      </w:r>
      <w:r w:rsidR="002E382C">
        <w:t>Beno</w:t>
      </w:r>
      <w:r w:rsidR="00362093">
        <w:t>î</w:t>
      </w:r>
      <w:r w:rsidR="002E382C">
        <w:t>t Cassart (</w:t>
      </w:r>
      <w:r w:rsidR="002E382C" w:rsidRPr="002E382C">
        <w:t>Qualified attaché</w:t>
      </w:r>
      <w:r w:rsidR="002E382C">
        <w:t>, DNF)</w:t>
      </w:r>
      <w:r w:rsidR="00AF25D9">
        <w:t>,</w:t>
      </w:r>
      <w:r w:rsidR="00B46753">
        <w:t xml:space="preserve"> </w:t>
      </w:r>
      <w:r>
        <w:t>de Wouters Philippe (Director of the Royal Forestry Society of Belgium, SRFB)</w:t>
      </w:r>
      <w:r w:rsidR="00B46753">
        <w:t>,</w:t>
      </w:r>
      <w:r w:rsidR="00510E35">
        <w:t xml:space="preserve"> </w:t>
      </w:r>
      <w:r w:rsidR="00510E35" w:rsidRPr="00510E35">
        <w:t>Nicolas Dassonville</w:t>
      </w:r>
      <w:r w:rsidR="00510E35">
        <w:t xml:space="preserve"> (</w:t>
      </w:r>
      <w:r w:rsidR="00513C65" w:rsidRPr="00513C65">
        <w:t xml:space="preserve">Training </w:t>
      </w:r>
      <w:r w:rsidR="00513C65">
        <w:t>and</w:t>
      </w:r>
      <w:r w:rsidR="00513C65" w:rsidRPr="00513C65">
        <w:t xml:space="preserve"> R&amp;D </w:t>
      </w:r>
      <w:r w:rsidR="00D512E3">
        <w:t>m</w:t>
      </w:r>
      <w:r w:rsidR="00513C65" w:rsidRPr="00513C65">
        <w:t>anager</w:t>
      </w:r>
      <w:r w:rsidR="00513C65">
        <w:t>, SRFB</w:t>
      </w:r>
      <w:r w:rsidR="00510E35">
        <w:t>),</w:t>
      </w:r>
      <w:r w:rsidR="00B46753">
        <w:t xml:space="preserve"> </w:t>
      </w:r>
      <w:r>
        <w:t>Timal Grégory (Forestry researcher and trainer &amp; Forestry expert, CDAF)</w:t>
      </w:r>
      <w:r w:rsidR="00B46753">
        <w:t xml:space="preserve">, </w:t>
      </w:r>
      <w:r>
        <w:t>Sanchez Christine (‘Pro Silva’ forestry trainer, Forêt.Nature)</w:t>
      </w:r>
      <w:r w:rsidR="00B46753">
        <w:t xml:space="preserve">, </w:t>
      </w:r>
      <w:r>
        <w:t>Monville Marie (Forest alderwoman, Stoumont)</w:t>
      </w:r>
      <w:r w:rsidR="00B46753">
        <w:t xml:space="preserve">, </w:t>
      </w:r>
      <w:r>
        <w:t>Balandier Philippe (Research director, INRAe)</w:t>
      </w:r>
      <w:r w:rsidR="00B46753">
        <w:t xml:space="preserve">, </w:t>
      </w:r>
      <w:r>
        <w:t>Deleuze Christine (Modelling research and development manager, ONF)</w:t>
      </w:r>
      <w:r w:rsidR="00B46753">
        <w:t xml:space="preserve">, </w:t>
      </w:r>
      <w:r>
        <w:t>Hamdi Rafiq (Researcher, RMI)</w:t>
      </w:r>
      <w:r w:rsidR="00B46753">
        <w:t>,</w:t>
      </w:r>
      <w:r w:rsidR="00565972">
        <w:t xml:space="preserve"> </w:t>
      </w:r>
      <w:r w:rsidR="00565972" w:rsidRPr="00565972">
        <w:t>Ghilain</w:t>
      </w:r>
      <w:r w:rsidR="00565972">
        <w:t xml:space="preserve"> Nicolas (Researcher, </w:t>
      </w:r>
      <w:r w:rsidR="00480644">
        <w:t xml:space="preserve">ULiège </w:t>
      </w:r>
      <w:r w:rsidR="007A2244">
        <w:t>&amp; RMI),</w:t>
      </w:r>
      <w:r w:rsidR="00B46753">
        <w:t xml:space="preserve"> </w:t>
      </w:r>
      <w:r>
        <w:t>Terlinden Michel (Forestry expert)</w:t>
      </w:r>
      <w:r w:rsidR="00B31029">
        <w:t xml:space="preserve">, </w:t>
      </w:r>
      <w:r w:rsidR="00B31029" w:rsidRPr="00B31029">
        <w:t>de Viron</w:t>
      </w:r>
      <w:r w:rsidR="00F5031A" w:rsidRPr="00F5031A">
        <w:t xml:space="preserve"> </w:t>
      </w:r>
      <w:r w:rsidR="00F5031A" w:rsidRPr="00B31029">
        <w:t>Jean-Charles</w:t>
      </w:r>
      <w:r w:rsidR="007A75EE">
        <w:t xml:space="preserve"> (</w:t>
      </w:r>
      <w:r w:rsidR="00F16204" w:rsidRPr="00F16204">
        <w:t xml:space="preserve">Chief </w:t>
      </w:r>
      <w:r w:rsidR="00F16204">
        <w:t>o</w:t>
      </w:r>
      <w:r w:rsidR="00F16204" w:rsidRPr="00F16204">
        <w:t xml:space="preserve">perating </w:t>
      </w:r>
      <w:r w:rsidR="00F16204">
        <w:t>o</w:t>
      </w:r>
      <w:r w:rsidR="00F16204" w:rsidRPr="00F16204">
        <w:t>fficer</w:t>
      </w:r>
      <w:r w:rsidR="00F16204">
        <w:t xml:space="preserve"> of an </w:t>
      </w:r>
      <w:r w:rsidR="00214A0C" w:rsidRPr="00214A0C">
        <w:t>insurance company specialised in the forestry sector</w:t>
      </w:r>
      <w:r w:rsidR="00214A0C">
        <w:t>, AMIFOR</w:t>
      </w:r>
      <w:r w:rsidR="007A75EE">
        <w:t>)</w:t>
      </w:r>
      <w:r w:rsidR="00214A0C">
        <w:t>.</w:t>
      </w:r>
    </w:p>
    <w:p w14:paraId="25A649E9" w14:textId="7E85ACC0" w:rsidR="0032715F" w:rsidRPr="008F6866" w:rsidRDefault="0032715F" w:rsidP="008C2133">
      <w:pPr>
        <w:pStyle w:val="Titre1"/>
        <w:spacing w:after="120"/>
        <w:rPr>
          <w:rFonts w:asciiTheme="minorHAnsi" w:hAnsiTheme="minorHAnsi"/>
        </w:rPr>
      </w:pPr>
      <w:bookmarkStart w:id="108" w:name="_Toc200703455"/>
      <w:r w:rsidRPr="008F6866">
        <w:rPr>
          <w:rFonts w:asciiTheme="minorHAnsi" w:hAnsiTheme="minorHAnsi"/>
        </w:rPr>
        <w:lastRenderedPageBreak/>
        <w:t>REFERENCES</w:t>
      </w:r>
      <w:bookmarkEnd w:id="108"/>
    </w:p>
    <w:p w14:paraId="52DF2547" w14:textId="77777777" w:rsidR="008C2133" w:rsidRPr="002928A5" w:rsidRDefault="008C2133" w:rsidP="008C2133">
      <w:pPr>
        <w:pStyle w:val="EndNoteBibliography"/>
        <w:spacing w:after="60"/>
        <w:ind w:left="720" w:hanging="720"/>
        <w:jc w:val="both"/>
        <w:rPr>
          <w:lang w:val="en-GB"/>
        </w:rPr>
      </w:pPr>
      <w:r w:rsidRPr="008F6866">
        <w:rPr>
          <w:lang w:val="en-GB"/>
        </w:rPr>
        <w:fldChar w:fldCharType="begin"/>
      </w:r>
      <w:r w:rsidRPr="008F6866">
        <w:rPr>
          <w:lang w:val="en-GB"/>
        </w:rPr>
        <w:instrText xml:space="preserve"> ADDIN EN.REFLIST </w:instrText>
      </w:r>
      <w:r w:rsidRPr="008F6866">
        <w:rPr>
          <w:lang w:val="en-GB"/>
        </w:rPr>
        <w:fldChar w:fldCharType="separate"/>
      </w:r>
      <w:r w:rsidRPr="002928A5">
        <w:rPr>
          <w:lang w:val="en-GB"/>
        </w:rPr>
        <w:t>Adair E.C., Parton W.J., Del Grosso S.J., Silver W.L., Harmon M.E., Hall S.A., Burke I.C., Hart S.C. (2008). Simple three-pool model accurately describes patterns of long-term litter decomposition in diverse climates. Global Change Biology, 14: 2636-2660.</w:t>
      </w:r>
    </w:p>
    <w:p w14:paraId="55A60077" w14:textId="77777777" w:rsidR="008C2133" w:rsidRPr="00503A92" w:rsidRDefault="008C2133" w:rsidP="008C2133">
      <w:pPr>
        <w:pStyle w:val="EndNoteBibliography"/>
        <w:spacing w:after="60"/>
        <w:ind w:left="720" w:hanging="720"/>
        <w:jc w:val="both"/>
      </w:pPr>
      <w:r w:rsidRPr="002928A5">
        <w:rPr>
          <w:lang w:val="en-GB"/>
        </w:rPr>
        <w:t xml:space="preserve">Alderweireld M., Burnay F., Pitchugin M., Lecomte H. (2015). </w:t>
      </w:r>
      <w:r w:rsidRPr="00503A92">
        <w:t>Inventaire Forestier Wallon. Résultats 1994 - 2012. SPW, DGO3, DNF, Direction des Ressources forestières, Jambes, pp. 236.</w:t>
      </w:r>
    </w:p>
    <w:p w14:paraId="5C6CAFBE" w14:textId="77777777" w:rsidR="008C2133" w:rsidRPr="002928A5" w:rsidRDefault="008C2133" w:rsidP="008C2133">
      <w:pPr>
        <w:pStyle w:val="EndNoteBibliography"/>
        <w:spacing w:after="60"/>
        <w:ind w:left="720" w:hanging="720"/>
        <w:jc w:val="both"/>
        <w:rPr>
          <w:lang w:val="en-GB"/>
        </w:rPr>
      </w:pPr>
      <w:r w:rsidRPr="002928A5">
        <w:rPr>
          <w:lang w:val="en-GB"/>
        </w:rPr>
        <w:t>Asbeck T., Großmann J., Paillet Y., Winiger N., Bauhus J. (2021). The Use of Tree-Related Microhabitats as Forest Biodiversity Indicators and to Guide Integrated Forest Management. Current Forestry Reports, 7: 59-68.</w:t>
      </w:r>
    </w:p>
    <w:p w14:paraId="509EF60C" w14:textId="77777777" w:rsidR="008C2133" w:rsidRPr="002928A5" w:rsidRDefault="008C2133" w:rsidP="008C2133">
      <w:pPr>
        <w:pStyle w:val="EndNoteBibliography"/>
        <w:spacing w:after="60"/>
        <w:ind w:left="720" w:hanging="720"/>
        <w:jc w:val="both"/>
        <w:rPr>
          <w:lang w:val="en-GB"/>
        </w:rPr>
      </w:pPr>
      <w:r w:rsidRPr="002928A5">
        <w:rPr>
          <w:lang w:val="en-GB"/>
        </w:rPr>
        <w:t>Balandier P., Marquier A., Casella E., Kiewitt A., Coll L., Wehrlen L., Harmer R. (2013). Architecture, cover and light interception by bramble (</w:t>
      </w:r>
      <w:r w:rsidRPr="00A909F4">
        <w:rPr>
          <w:i/>
          <w:iCs/>
          <w:lang w:val="en-GB"/>
        </w:rPr>
        <w:t>Rubus fruticosus</w:t>
      </w:r>
      <w:r w:rsidRPr="002928A5">
        <w:rPr>
          <w:lang w:val="en-GB"/>
        </w:rPr>
        <w:t>): A common understorey weed in temperate forests. Forestry, 86: 39-46.</w:t>
      </w:r>
    </w:p>
    <w:p w14:paraId="7D520505" w14:textId="77777777" w:rsidR="008C2133" w:rsidRPr="002928A5" w:rsidRDefault="008C2133" w:rsidP="008C2133">
      <w:pPr>
        <w:pStyle w:val="EndNoteBibliography"/>
        <w:spacing w:after="60"/>
        <w:ind w:left="720" w:hanging="720"/>
        <w:jc w:val="both"/>
        <w:rPr>
          <w:lang w:val="en-GB"/>
        </w:rPr>
      </w:pPr>
      <w:r w:rsidRPr="002928A5">
        <w:rPr>
          <w:lang w:val="en-GB"/>
        </w:rPr>
        <w:t>Ball J.T., Woodrow I.E., Berry J.A. (1987). A Model Predicting Stomatal Conductance and its Contribution to the Control of Photosynthesis under Different Environmental Conditions. Progress in Photosynthesis Research: Volume 4 Proceedings of the VIIth International Congress on Photosynthesis Providence, Rhode Island, USA, August 10–15, 1986. Springer Netherlands, Dordrecht, pp. 221-224.</w:t>
      </w:r>
    </w:p>
    <w:p w14:paraId="4E9788C7" w14:textId="77777777" w:rsidR="008C2133" w:rsidRPr="002928A5" w:rsidRDefault="008C2133" w:rsidP="008C2133">
      <w:pPr>
        <w:pStyle w:val="EndNoteBibliography"/>
        <w:spacing w:after="60"/>
        <w:ind w:left="720" w:hanging="720"/>
        <w:jc w:val="both"/>
        <w:rPr>
          <w:lang w:val="en-GB"/>
        </w:rPr>
      </w:pPr>
      <w:r w:rsidRPr="002928A5">
        <w:rPr>
          <w:lang w:val="en-GB"/>
        </w:rPr>
        <w:t>Bellouin N., Quaas J., Gryspeerdt E., Kinne S., Stier P., Watson-Parris D., Boucher O., Carslaw K.S., Christensen M., Daniau A.L., Dufresne J.L., Feingold G., Fiedler S., Forster P., Gettelman A., Haywood J.M., Lohmann U., Malavelle F., Mauritsen T., McCoy D.T., Myhre G., Mülmenstädt J., Neubauer D., Possner A., Rugenstein M., Sato Y., Schulz M., Schwartz S.E., Sourdeval O., Storelvmo T., Toll V., Winker D., Stevens B. (2020). Bounding Global Aerosol Radiative Forcing of Climate Change. Reviews of Geophysics, 58.</w:t>
      </w:r>
    </w:p>
    <w:p w14:paraId="26670CCA" w14:textId="77777777" w:rsidR="008C2133" w:rsidRPr="002928A5" w:rsidRDefault="008C2133" w:rsidP="008C2133">
      <w:pPr>
        <w:pStyle w:val="EndNoteBibliography"/>
        <w:spacing w:after="60"/>
        <w:ind w:left="720" w:hanging="720"/>
        <w:jc w:val="both"/>
        <w:rPr>
          <w:lang w:val="en-GB"/>
        </w:rPr>
      </w:pPr>
      <w:r w:rsidRPr="002928A5">
        <w:rPr>
          <w:lang w:val="en-GB"/>
        </w:rPr>
        <w:t>Berg B., Ekbohm G., Johansson M.B., McClaugherty C., Rutigliano F., De Santo A.V. (1996). Maximum decomposition limits of forest litter types: A synthesis. Canadian Journal of Botany, 74: 659-672.</w:t>
      </w:r>
    </w:p>
    <w:p w14:paraId="5A627AB2" w14:textId="77777777" w:rsidR="008C2133" w:rsidRPr="00503A92" w:rsidRDefault="008C2133" w:rsidP="008C2133">
      <w:pPr>
        <w:pStyle w:val="EndNoteBibliography"/>
        <w:spacing w:after="60"/>
        <w:ind w:left="720" w:hanging="720"/>
        <w:jc w:val="both"/>
      </w:pPr>
      <w:r w:rsidRPr="00B71138">
        <w:t xml:space="preserve">Berger U., Piou C., Schiffers K., Grimm V. (2008). </w:t>
      </w:r>
      <w:r w:rsidRPr="002928A5">
        <w:rPr>
          <w:lang w:val="en-GB"/>
        </w:rPr>
        <w:t xml:space="preserve">Competition among plants: Concepts, individual-based modelling approaches, and a proposal for a future research strategy. </w:t>
      </w:r>
      <w:r w:rsidRPr="00503A92">
        <w:t>Perspectives in Plant Ecology, Evolution and Systematics, 9: 121-135.</w:t>
      </w:r>
    </w:p>
    <w:p w14:paraId="0F09EC4A" w14:textId="77777777" w:rsidR="008C2133" w:rsidRPr="00503A92" w:rsidRDefault="008C2133" w:rsidP="008C2133">
      <w:pPr>
        <w:pStyle w:val="EndNoteBibliography"/>
        <w:spacing w:after="60"/>
        <w:ind w:left="720" w:hanging="720"/>
        <w:jc w:val="both"/>
      </w:pPr>
      <w:r w:rsidRPr="00503A92">
        <w:t>Boulanger V. (2010). Pression d’herbivorie et dynamique des communautés végétales : influence à court et moyen termes des populations de cervidés sur la diversité des communautés végétales en forêt. Université Henri Poincaré, Vandoeuvre-lès-Nancy, France, pp. 285p.</w:t>
      </w:r>
    </w:p>
    <w:p w14:paraId="0ABA7C66" w14:textId="77777777" w:rsidR="008C2133" w:rsidRPr="002928A5" w:rsidRDefault="008C2133" w:rsidP="008C2133">
      <w:pPr>
        <w:pStyle w:val="EndNoteBibliography"/>
        <w:spacing w:after="60"/>
        <w:ind w:left="720" w:hanging="720"/>
        <w:jc w:val="both"/>
        <w:rPr>
          <w:lang w:val="en-GB"/>
        </w:rPr>
      </w:pPr>
      <w:r w:rsidRPr="00503A92">
        <w:t xml:space="preserve">Bravo F., Fabrika M., Ammer C., Barreiro S., Bielak K., Coll L., Fonseca T., Kangur A., Löf M., Merganičová K., Pach M., Pretzsch H., Stojanović D., Schuler L., Peric S., Rötzer T., Del Río M., Dodan M., Bravo-Oviedo A. (2019). </w:t>
      </w:r>
      <w:r w:rsidRPr="002928A5">
        <w:rPr>
          <w:lang w:val="en-GB"/>
        </w:rPr>
        <w:t>Modelling approaches for mixed forests dynamics prognosis. Research gaps and opportunities. Forest Systems, 28.</w:t>
      </w:r>
    </w:p>
    <w:p w14:paraId="2F42FA4C" w14:textId="77777777" w:rsidR="008C2133" w:rsidRPr="002928A5" w:rsidRDefault="008C2133" w:rsidP="008C2133">
      <w:pPr>
        <w:pStyle w:val="EndNoteBibliography"/>
        <w:spacing w:after="60"/>
        <w:ind w:left="720" w:hanging="720"/>
        <w:jc w:val="both"/>
        <w:rPr>
          <w:lang w:val="en-GB"/>
        </w:rPr>
      </w:pPr>
      <w:r w:rsidRPr="002928A5">
        <w:rPr>
          <w:lang w:val="en-GB"/>
        </w:rPr>
        <w:t>Bregaglio S., Donatelli M., Confalonieri R., Acutis M., Orlandini S. (2010). An integrated evaluation of thirteen modelling solutions for the generation of hourly values of air relative humidity. Theoretical and Applied Climatology, 102: 429-438.</w:t>
      </w:r>
    </w:p>
    <w:p w14:paraId="3788F3A7" w14:textId="77777777" w:rsidR="008C2133" w:rsidRPr="002928A5" w:rsidRDefault="008C2133" w:rsidP="008C2133">
      <w:pPr>
        <w:pStyle w:val="EndNoteBibliography"/>
        <w:spacing w:after="60"/>
        <w:ind w:left="720" w:hanging="720"/>
        <w:jc w:val="both"/>
        <w:rPr>
          <w:lang w:val="en-GB"/>
        </w:rPr>
      </w:pPr>
      <w:r w:rsidRPr="002928A5">
        <w:rPr>
          <w:lang w:val="en-GB"/>
        </w:rPr>
        <w:t>Brunner L., Pendergrass A.G., Lehner F., Merrifield A.L., Lorenz R., Knutti R. (2020). Reduced global warming from CMIP6 projections when weighting models by performance and independence. Earth System Dynamics, 11: 995-1012.</w:t>
      </w:r>
    </w:p>
    <w:p w14:paraId="1BF8106E" w14:textId="33215F9B" w:rsidR="008C2133" w:rsidRPr="002928A5" w:rsidRDefault="008C2133" w:rsidP="008C2133">
      <w:pPr>
        <w:pStyle w:val="EndNoteBibliography"/>
        <w:spacing w:after="60"/>
        <w:ind w:left="720" w:hanging="720"/>
        <w:jc w:val="both"/>
        <w:rPr>
          <w:lang w:val="en-GB"/>
        </w:rPr>
      </w:pPr>
      <w:r w:rsidRPr="002928A5">
        <w:rPr>
          <w:lang w:val="en-GB"/>
        </w:rPr>
        <w:t xml:space="preserve">Burneviča N., Jansons Ā., Zaļuma A., Kļaviņa D., Jansons J., Gaitnieks T. (2016). Fungi inhabiting bark stripping wounds made by large game on stems of </w:t>
      </w:r>
      <w:r w:rsidR="00F8361F" w:rsidRPr="001B3FFF">
        <w:rPr>
          <w:i/>
          <w:iCs/>
          <w:lang w:val="en-GB"/>
        </w:rPr>
        <w:t>P</w:t>
      </w:r>
      <w:r w:rsidRPr="001B3FFF">
        <w:rPr>
          <w:i/>
          <w:iCs/>
          <w:lang w:val="en-GB"/>
        </w:rPr>
        <w:t>icea abies</w:t>
      </w:r>
      <w:r w:rsidRPr="002928A5">
        <w:rPr>
          <w:lang w:val="en-GB"/>
        </w:rPr>
        <w:t xml:space="preserve"> (L.) Karst. in Latvia. Baltic Forestry, 22: 2-7.</w:t>
      </w:r>
    </w:p>
    <w:p w14:paraId="169B1FBC" w14:textId="77777777" w:rsidR="008C2133" w:rsidRPr="002928A5" w:rsidRDefault="008C2133" w:rsidP="008C2133">
      <w:pPr>
        <w:pStyle w:val="EndNoteBibliography"/>
        <w:spacing w:after="60"/>
        <w:ind w:left="720" w:hanging="720"/>
        <w:jc w:val="both"/>
        <w:rPr>
          <w:lang w:val="en-GB"/>
        </w:rPr>
      </w:pPr>
      <w:r w:rsidRPr="002928A5">
        <w:rPr>
          <w:lang w:val="en-GB"/>
        </w:rPr>
        <w:t>Candaele R., Lejeune P., Licoppe A., Malengreaux C., Brostaux Y., Morelle K., Latte N. (2021). Mitigation of bark stripping on spruce: the need for red deer population control. European Journal of Forest Research, 140: 227-240.</w:t>
      </w:r>
    </w:p>
    <w:p w14:paraId="581D259E" w14:textId="335A569B" w:rsidR="008C2133" w:rsidRPr="002928A5" w:rsidRDefault="008C2133" w:rsidP="008C2133">
      <w:pPr>
        <w:pStyle w:val="EndNoteBibliography"/>
        <w:spacing w:after="60"/>
        <w:ind w:left="720" w:hanging="720"/>
        <w:jc w:val="both"/>
        <w:rPr>
          <w:lang w:val="en-GB"/>
        </w:rPr>
      </w:pPr>
      <w:r w:rsidRPr="002928A5">
        <w:rPr>
          <w:lang w:val="en-GB"/>
        </w:rPr>
        <w:lastRenderedPageBreak/>
        <w:t>Candaele R., Ligot G., Licoppe A., Lievens J., Fichefet V., Jonard M., André F., Lejeune P. (2023). Interspecific Growth Reductions Caused by Wild Ungulates on Tree Seedlings and Their Implications for Temperate Quercus-Fagus Forests. Forests, 14: 1330.</w:t>
      </w:r>
    </w:p>
    <w:p w14:paraId="713912AF" w14:textId="77777777" w:rsidR="008C2133" w:rsidRPr="002928A5" w:rsidRDefault="008C2133" w:rsidP="008C2133">
      <w:pPr>
        <w:pStyle w:val="EndNoteBibliography"/>
        <w:spacing w:after="60"/>
        <w:ind w:left="720" w:hanging="720"/>
        <w:jc w:val="both"/>
        <w:rPr>
          <w:lang w:val="en-GB"/>
        </w:rPr>
      </w:pPr>
      <w:r w:rsidRPr="002928A5">
        <w:rPr>
          <w:lang w:val="en-GB"/>
        </w:rPr>
        <w:t>Carreau J., Ben Mhenni N., Huard F., Neppel L. (2019). Exploiting the spatial pattern of daily precipitation in the analog method for regional temporal disaggregation. Journal of Hydrology, 568: 780-791.</w:t>
      </w:r>
    </w:p>
    <w:p w14:paraId="358EC02E" w14:textId="77777777" w:rsidR="008C2133" w:rsidRPr="002928A5" w:rsidRDefault="008C2133" w:rsidP="008C2133">
      <w:pPr>
        <w:pStyle w:val="EndNoteBibliography"/>
        <w:spacing w:after="60"/>
        <w:ind w:left="720" w:hanging="720"/>
        <w:jc w:val="both"/>
        <w:rPr>
          <w:lang w:val="en-GB"/>
        </w:rPr>
      </w:pPr>
      <w:r w:rsidRPr="002928A5">
        <w:rPr>
          <w:lang w:val="en-GB"/>
        </w:rPr>
        <w:t>Carvalho D., Cardoso Pereira S., Rocha A. (2021). Future surface temperatures over Europe according to CMIP6 climate projections: an analysis with original and bias-corrected data. Climatic Change, 167: 10.</w:t>
      </w:r>
    </w:p>
    <w:p w14:paraId="406F813F" w14:textId="77777777" w:rsidR="008C2133" w:rsidRPr="002928A5" w:rsidRDefault="008C2133" w:rsidP="008C2133">
      <w:pPr>
        <w:pStyle w:val="EndNoteBibliography"/>
        <w:spacing w:after="60"/>
        <w:ind w:left="720" w:hanging="720"/>
        <w:jc w:val="both"/>
        <w:rPr>
          <w:lang w:val="en-GB"/>
        </w:rPr>
      </w:pPr>
      <w:r w:rsidRPr="002928A5">
        <w:rPr>
          <w:lang w:val="en-GB"/>
        </w:rPr>
        <w:t>Čermák P., Glogar J., Jankovský L. (2004). Damage by deer barking and browsing and subsequent rots in Norway spruce stands of Forest Range Mořkov, Forest District Frenštát p. R. (the Beskids Protected Landscape Area). Journal of Forest Science, 50: 24-30.</w:t>
      </w:r>
    </w:p>
    <w:p w14:paraId="10BE343E" w14:textId="77777777" w:rsidR="008C2133" w:rsidRPr="002928A5" w:rsidRDefault="008C2133" w:rsidP="008C2133">
      <w:pPr>
        <w:pStyle w:val="EndNoteBibliography"/>
        <w:spacing w:after="60"/>
        <w:ind w:left="720" w:hanging="720"/>
        <w:jc w:val="both"/>
        <w:rPr>
          <w:lang w:val="en-GB"/>
        </w:rPr>
      </w:pPr>
      <w:r w:rsidRPr="002928A5">
        <w:rPr>
          <w:lang w:val="en-GB"/>
        </w:rPr>
        <w:t>Čermák P., Strejček M. (2007). Stem decay by Stereum sanguinolentum after red deer damage in the Českomoravská vrchovina Highlands. Journal of Forest Science, 53: 567-572.</w:t>
      </w:r>
    </w:p>
    <w:p w14:paraId="6BE6E6A4" w14:textId="77777777" w:rsidR="008C2133" w:rsidRPr="00503A92" w:rsidRDefault="008C2133" w:rsidP="008C2133">
      <w:pPr>
        <w:pStyle w:val="EndNoteBibliography"/>
        <w:spacing w:after="60"/>
        <w:ind w:left="720" w:hanging="720"/>
        <w:jc w:val="both"/>
      </w:pPr>
      <w:r w:rsidRPr="002928A5">
        <w:rPr>
          <w:lang w:val="en-GB"/>
        </w:rPr>
        <w:t xml:space="preserve">Champagne E., Raymond P., Royo A.A., Speed J.D.M., Tremblay J.P., Côté S.D. (2021). A Review of Ungulate Impacts on the Success of Climate-Adapted Forest Management Strategies. </w:t>
      </w:r>
      <w:r w:rsidRPr="00503A92">
        <w:t>Current Forestry Reports, 7: 305-320.</w:t>
      </w:r>
    </w:p>
    <w:p w14:paraId="142B23A8" w14:textId="77777777" w:rsidR="008C2133" w:rsidRPr="00B71138" w:rsidRDefault="008C2133" w:rsidP="008C2133">
      <w:pPr>
        <w:pStyle w:val="EndNoteBibliography"/>
        <w:spacing w:after="60"/>
        <w:ind w:left="720" w:hanging="720"/>
        <w:jc w:val="both"/>
      </w:pPr>
      <w:r w:rsidRPr="00503A92">
        <w:t xml:space="preserve">Charles G. (2023). Evaluation de l'influence de la sylviculture sur le bilan carbone de la filière forêt-bois wallonne. </w:t>
      </w:r>
      <w:r w:rsidRPr="00B71138">
        <w:t>Liège Université - Gembloux Agro-Bio Tech, Gembloux, pp. 58p.</w:t>
      </w:r>
    </w:p>
    <w:p w14:paraId="5603A418" w14:textId="77777777" w:rsidR="008C2133" w:rsidRPr="002928A5" w:rsidRDefault="008C2133" w:rsidP="008C2133">
      <w:pPr>
        <w:pStyle w:val="EndNoteBibliography"/>
        <w:spacing w:after="60"/>
        <w:ind w:left="720" w:hanging="720"/>
        <w:jc w:val="both"/>
        <w:rPr>
          <w:lang w:val="en-GB"/>
        </w:rPr>
      </w:pPr>
      <w:r w:rsidRPr="00B71138">
        <w:t xml:space="preserve">Chen C.T., Knutson T. (2008). </w:t>
      </w:r>
      <w:r w:rsidRPr="002928A5">
        <w:rPr>
          <w:lang w:val="en-GB"/>
        </w:rPr>
        <w:t>On the verification and comparison of extreme rainfall indices from climate models. Journal of Climate, 21: 1605-1621.</w:t>
      </w:r>
    </w:p>
    <w:p w14:paraId="64BB122B" w14:textId="77777777" w:rsidR="008C2133" w:rsidRPr="002928A5" w:rsidRDefault="008C2133" w:rsidP="008C2133">
      <w:pPr>
        <w:pStyle w:val="EndNoteBibliography"/>
        <w:spacing w:after="60"/>
        <w:ind w:left="720" w:hanging="720"/>
        <w:jc w:val="both"/>
        <w:rPr>
          <w:lang w:val="en-GB"/>
        </w:rPr>
      </w:pPr>
      <w:r w:rsidRPr="002928A5">
        <w:rPr>
          <w:lang w:val="en-GB"/>
        </w:rPr>
        <w:t>Churski M., Bubnicki J.W., Jędrzejewska B., Kuijper D.P.J., Cromsigt J.P.G.M. (2017). Brown world forests: increased ungulate browsing keeps temperate trees in recruitment bottlenecks in resource hotspots. New Phytologist, 214: 158-168.</w:t>
      </w:r>
    </w:p>
    <w:p w14:paraId="77B4F993" w14:textId="77777777" w:rsidR="008C2133" w:rsidRPr="002928A5" w:rsidRDefault="008C2133" w:rsidP="008C2133">
      <w:pPr>
        <w:pStyle w:val="EndNoteBibliography"/>
        <w:spacing w:after="60"/>
        <w:ind w:left="720" w:hanging="720"/>
        <w:jc w:val="both"/>
        <w:rPr>
          <w:lang w:val="en-GB"/>
        </w:rPr>
      </w:pPr>
      <w:r w:rsidRPr="002928A5">
        <w:rPr>
          <w:lang w:val="en-GB"/>
        </w:rPr>
        <w:t>Clark P.J., Evans F.C. (1954). Distance to Nearest Neighbor as a Measure of Spatial Relationships in Populations. Ecology, 35: 445-453.</w:t>
      </w:r>
    </w:p>
    <w:p w14:paraId="74D76333" w14:textId="77777777" w:rsidR="008C2133" w:rsidRPr="002928A5" w:rsidRDefault="008C2133" w:rsidP="008C2133">
      <w:pPr>
        <w:pStyle w:val="EndNoteBibliography"/>
        <w:spacing w:after="60"/>
        <w:ind w:left="720" w:hanging="720"/>
        <w:jc w:val="both"/>
        <w:rPr>
          <w:lang w:val="en-GB"/>
        </w:rPr>
      </w:pPr>
      <w:r w:rsidRPr="002928A5">
        <w:rPr>
          <w:lang w:val="en-GB"/>
        </w:rPr>
        <w:t>Courbaud B., Larrieu L., Kozak D., Kraus D., Lachat T., Ladet S., Müller J., Paillet Y., Sagheb-Talebi K., Schuck A., Stillhard J., Svoboda M., Zudin S. (2022). Factors influencing the rate of formation of tree-related microhabitats and implications for biodiversity conservation and forest management. Journal of Applied Ecology, 59: 492-503.</w:t>
      </w:r>
    </w:p>
    <w:p w14:paraId="0605A3D3" w14:textId="77777777" w:rsidR="008C2133" w:rsidRPr="002928A5" w:rsidRDefault="008C2133" w:rsidP="008C2133">
      <w:pPr>
        <w:pStyle w:val="EndNoteBibliography"/>
        <w:spacing w:after="60"/>
        <w:ind w:left="720" w:hanging="720"/>
        <w:jc w:val="both"/>
        <w:rPr>
          <w:lang w:val="en-GB"/>
        </w:rPr>
      </w:pPr>
      <w:r w:rsidRPr="002928A5">
        <w:rPr>
          <w:lang w:val="en-GB"/>
        </w:rPr>
        <w:t>Courbaud B., Pupin C., Letort A., Cabanettes A., Larrieu L. (2017). Modelling the probability of microhabitat formation on trees using cross-sectional data. Methods in Ecology and Evolution, 8: 1347-1359.</w:t>
      </w:r>
    </w:p>
    <w:p w14:paraId="216A98B7" w14:textId="77777777" w:rsidR="008C2133" w:rsidRPr="002928A5" w:rsidRDefault="008C2133" w:rsidP="008C2133">
      <w:pPr>
        <w:pStyle w:val="EndNoteBibliography"/>
        <w:spacing w:after="60"/>
        <w:ind w:left="720" w:hanging="720"/>
        <w:jc w:val="both"/>
        <w:rPr>
          <w:lang w:val="en-GB"/>
        </w:rPr>
      </w:pPr>
      <w:r w:rsidRPr="002928A5">
        <w:rPr>
          <w:lang w:val="en-GB"/>
        </w:rPr>
        <w:t>Couvreur V., Ledder G., Manzoni S., Way D.A., Muller E.B., Russo S.E. (2018). Water transport through tall trees: A vertically explicit, analytical model of xylem hydraulic conductance in stems. Plant Cell and Environment, 41: 1821-1839.</w:t>
      </w:r>
    </w:p>
    <w:p w14:paraId="11716DC3" w14:textId="77777777" w:rsidR="008C2133" w:rsidRPr="002928A5" w:rsidRDefault="008C2133" w:rsidP="008C2133">
      <w:pPr>
        <w:pStyle w:val="EndNoteBibliography"/>
        <w:spacing w:after="60"/>
        <w:ind w:left="720" w:hanging="720"/>
        <w:jc w:val="both"/>
        <w:rPr>
          <w:lang w:val="en-GB"/>
        </w:rPr>
      </w:pPr>
      <w:r w:rsidRPr="002928A5">
        <w:rPr>
          <w:lang w:val="en-GB"/>
        </w:rPr>
        <w:t>Cukor J., Vacek Z., Linda R., Vacek S., Marada P., Šimůnek V., Havránek F. (2019). Effects of bark stripping on timber production and structure of Norway Spruce forests in relation to climatic factors. Forests, 10.</w:t>
      </w:r>
    </w:p>
    <w:p w14:paraId="478C9E0B" w14:textId="77777777" w:rsidR="008C2133" w:rsidRPr="00503A92" w:rsidRDefault="008C2133" w:rsidP="008C2133">
      <w:pPr>
        <w:pStyle w:val="EndNoteBibliography"/>
        <w:spacing w:after="60"/>
        <w:ind w:left="720" w:hanging="720"/>
        <w:jc w:val="both"/>
      </w:pPr>
      <w:r w:rsidRPr="002928A5">
        <w:rPr>
          <w:lang w:val="en-GB"/>
        </w:rPr>
        <w:t xml:space="preserve">Dai A. (2006). Precipitation characteristics in eighteen coupled climate models. </w:t>
      </w:r>
      <w:r w:rsidRPr="00503A92">
        <w:t>Journal of Climate, 19: 4605-4630.</w:t>
      </w:r>
    </w:p>
    <w:p w14:paraId="7897DB6B" w14:textId="5D803885" w:rsidR="008C2133" w:rsidRPr="002928A5" w:rsidRDefault="008C2133" w:rsidP="008C2133">
      <w:pPr>
        <w:pStyle w:val="EndNoteBibliography"/>
        <w:spacing w:after="60"/>
        <w:ind w:left="720" w:hanging="720"/>
        <w:jc w:val="both"/>
        <w:rPr>
          <w:lang w:val="en-GB"/>
        </w:rPr>
      </w:pPr>
      <w:r w:rsidRPr="00503A92">
        <w:t xml:space="preserve">de Wergifosse L., André F., Beudez N., de Coligny F., Goosse H., Jonard F., Ponette Q., Titeux H., Vincke C., Jonard M. (2020). </w:t>
      </w:r>
      <w:r w:rsidRPr="002928A5">
        <w:rPr>
          <w:lang w:val="en-GB"/>
        </w:rPr>
        <w:t>HETEROFOR 1.0: a spatially explicit model for exploring the response of structurally complex forests to uncertain future conditions – {P}art 2: {P}henology and water cycle. Geosci. Model Dev., 13: 1459-1498.</w:t>
      </w:r>
    </w:p>
    <w:p w14:paraId="74C98663" w14:textId="77777777" w:rsidR="008C2133" w:rsidRPr="002928A5" w:rsidRDefault="008C2133" w:rsidP="008C2133">
      <w:pPr>
        <w:pStyle w:val="EndNoteBibliography"/>
        <w:spacing w:after="60"/>
        <w:ind w:left="720" w:hanging="720"/>
        <w:jc w:val="both"/>
        <w:rPr>
          <w:lang w:val="en-GB"/>
        </w:rPr>
      </w:pPr>
      <w:r w:rsidRPr="002928A5">
        <w:rPr>
          <w:lang w:val="en-GB"/>
        </w:rPr>
        <w:t>de Wit C.T. (1978). Simulation of assimilation, respiration and transpiration of crops. Wageningen: Pudoc.</w:t>
      </w:r>
    </w:p>
    <w:p w14:paraId="7235812B" w14:textId="77777777" w:rsidR="008C2133" w:rsidRPr="00503A92" w:rsidRDefault="008C2133" w:rsidP="008C2133">
      <w:pPr>
        <w:pStyle w:val="EndNoteBibliography"/>
        <w:spacing w:after="60"/>
        <w:ind w:left="720" w:hanging="720"/>
        <w:jc w:val="both"/>
      </w:pPr>
      <w:r w:rsidRPr="002928A5">
        <w:rPr>
          <w:lang w:val="en-GB"/>
        </w:rPr>
        <w:lastRenderedPageBreak/>
        <w:t xml:space="preserve">Debele B., Srinivasan R., Yves Parlange J. (2007). Accuracy evaluation of weather data generation and disaggregation methods at finer timescales. </w:t>
      </w:r>
      <w:r w:rsidRPr="00503A92">
        <w:t>Advances in Water Resources, 30: 1286-1300.</w:t>
      </w:r>
    </w:p>
    <w:p w14:paraId="09A93C8B" w14:textId="77777777" w:rsidR="008C2133" w:rsidRPr="00503A92" w:rsidRDefault="008C2133" w:rsidP="008C2133">
      <w:pPr>
        <w:pStyle w:val="EndNoteBibliography"/>
        <w:spacing w:after="60"/>
        <w:ind w:left="720" w:hanging="720"/>
        <w:jc w:val="both"/>
      </w:pPr>
      <w:r w:rsidRPr="00503A92">
        <w:t>Diacre M. (2022). Quantification et modélisation de l'appétence des semis des principales essences ligneuses pour les ongulés. Liège Université - Gembloux Agro-Bio Tech, Gembloux, pp. 36p.</w:t>
      </w:r>
    </w:p>
    <w:p w14:paraId="3C8465F5" w14:textId="77777777" w:rsidR="008C2133" w:rsidRPr="002928A5" w:rsidRDefault="008C2133" w:rsidP="008C2133">
      <w:pPr>
        <w:pStyle w:val="EndNoteBibliography"/>
        <w:spacing w:after="60"/>
        <w:ind w:left="720" w:hanging="720"/>
        <w:jc w:val="both"/>
        <w:rPr>
          <w:lang w:val="en-GB"/>
        </w:rPr>
      </w:pPr>
      <w:r w:rsidRPr="00503A92">
        <w:t xml:space="preserve">Dobor L., Baldo M., Bílek L., Barka I., Máliš F., Štěpánek P., Hlásny T. (2024). </w:t>
      </w:r>
      <w:r w:rsidRPr="002928A5">
        <w:rPr>
          <w:lang w:val="en-GB"/>
        </w:rPr>
        <w:t>The interacting effect of climate change and herbivory can trigger large-scale transformations of European temperate forests. Global Change Biology, 30.</w:t>
      </w:r>
    </w:p>
    <w:p w14:paraId="3E482A17" w14:textId="77777777" w:rsidR="008C2133" w:rsidRPr="002928A5" w:rsidRDefault="008C2133" w:rsidP="008C2133">
      <w:pPr>
        <w:pStyle w:val="EndNoteBibliography"/>
        <w:spacing w:after="60"/>
        <w:ind w:left="720" w:hanging="720"/>
        <w:jc w:val="both"/>
        <w:rPr>
          <w:lang w:val="en-GB"/>
        </w:rPr>
      </w:pPr>
      <w:r w:rsidRPr="002928A5">
        <w:rPr>
          <w:lang w:val="en-GB"/>
        </w:rPr>
        <w:t>Douville H., Decharme B., Delire C., Colin J., Joetzjer E., Roehrig R., Saint-Martin D., Oudar T., Stchepounoff R., Voldoire A. (2020). Drivers of the enhanced decline of land near-surface relative humidity to abrupt 4xCO2 in CNRM-CM6-1. Climate Dynamics, 55: 1613-1629.</w:t>
      </w:r>
    </w:p>
    <w:p w14:paraId="71839622" w14:textId="77777777" w:rsidR="008C2133" w:rsidRPr="002928A5" w:rsidRDefault="008C2133" w:rsidP="008C2133">
      <w:pPr>
        <w:pStyle w:val="EndNoteBibliography"/>
        <w:spacing w:after="60"/>
        <w:ind w:left="720" w:hanging="720"/>
        <w:jc w:val="both"/>
        <w:rPr>
          <w:lang w:val="en-GB"/>
        </w:rPr>
      </w:pPr>
      <w:r w:rsidRPr="002928A5">
        <w:rPr>
          <w:lang w:val="en-GB"/>
        </w:rPr>
        <w:t>Douville H., Willett K.M. (2023). A drier than expected future, supported by near-surface relative humidity observations. Science Advances, 9: ade6253.</w:t>
      </w:r>
    </w:p>
    <w:p w14:paraId="60239820" w14:textId="77777777" w:rsidR="008C2133" w:rsidRPr="00503A92" w:rsidRDefault="008C2133" w:rsidP="008C2133">
      <w:pPr>
        <w:pStyle w:val="EndNoteBibliography"/>
        <w:spacing w:after="60"/>
        <w:ind w:left="720" w:hanging="720"/>
        <w:jc w:val="both"/>
      </w:pPr>
      <w:r w:rsidRPr="002928A5">
        <w:rPr>
          <w:lang w:val="en-GB"/>
        </w:rPr>
        <w:t xml:space="preserve">Drugé T., Nabat P., Mallet M., Somot S. (2021). Future evolution of aerosols and implications for climate change in the Euro-Mediterranean region using the CNRM-ALADIN63 regional climate model. </w:t>
      </w:r>
      <w:r w:rsidRPr="00503A92">
        <w:t>Atmospheric Chemistry and Physics, 21: 7639-7669.</w:t>
      </w:r>
    </w:p>
    <w:p w14:paraId="508FF48B" w14:textId="28A1A1FC" w:rsidR="008C2133" w:rsidRPr="002928A5" w:rsidRDefault="008C2133" w:rsidP="008C2133">
      <w:pPr>
        <w:pStyle w:val="EndNoteBibliography"/>
        <w:spacing w:after="60"/>
        <w:ind w:left="720" w:hanging="720"/>
        <w:jc w:val="both"/>
        <w:rPr>
          <w:lang w:val="en-GB"/>
        </w:rPr>
      </w:pPr>
      <w:r w:rsidRPr="00503A92">
        <w:t xml:space="preserve">Dufrêne E., Davi H., François C., le Maire G., Le Dantec V., Granier A. (2005). </w:t>
      </w:r>
      <w:r w:rsidRPr="002928A5">
        <w:rPr>
          <w:lang w:val="en-GB"/>
        </w:rPr>
        <w:t>Modelling carbon and water cycles in a beech forest Part I : Model description and uncertainty analysis on modelled NEE. Ecological Modelling, 185: 407-436.</w:t>
      </w:r>
    </w:p>
    <w:p w14:paraId="3DA54812" w14:textId="77777777" w:rsidR="008C2133" w:rsidRPr="002928A5" w:rsidRDefault="008C2133" w:rsidP="008C2133">
      <w:pPr>
        <w:pStyle w:val="EndNoteBibliography"/>
        <w:spacing w:after="60"/>
        <w:ind w:left="720" w:hanging="720"/>
        <w:jc w:val="both"/>
        <w:rPr>
          <w:lang w:val="en-GB"/>
        </w:rPr>
      </w:pPr>
      <w:r w:rsidRPr="002928A5">
        <w:rPr>
          <w:lang w:val="en-GB"/>
        </w:rPr>
        <w:t>Edelmann P., Weisser W.W., Ambarlı D., Bässler C., Buscot F., Hofrichter M., Hoppe B., Kellner H., Minnich C., Moll J., Persoh D., Seibold S., Seilwinder C., Schulze E.D., Wöllauer S., Borken W. (2023). Regional variation in deadwood decay of 13 tree species: Effects of climate, soil and forest structure. Forest Ecology and Management, 541.</w:t>
      </w:r>
    </w:p>
    <w:p w14:paraId="08CAB0A3" w14:textId="77777777" w:rsidR="008C2133" w:rsidRPr="002928A5" w:rsidRDefault="008C2133" w:rsidP="008C2133">
      <w:pPr>
        <w:pStyle w:val="EndNoteBibliography"/>
        <w:spacing w:after="60"/>
        <w:ind w:left="720" w:hanging="720"/>
        <w:jc w:val="both"/>
        <w:rPr>
          <w:lang w:val="en-GB"/>
        </w:rPr>
      </w:pPr>
      <w:r w:rsidRPr="002928A5">
        <w:rPr>
          <w:lang w:val="en-GB"/>
        </w:rPr>
        <w:t>Ehret U., Zehe E., Wulfmeyer V., Warrach-Sagi K., Liebert J. (2012). HESS Opinions "should we apply bias correction to global and regional climate model data?". Hydrology and Earth System Sciences, 16: 3391-3404.</w:t>
      </w:r>
    </w:p>
    <w:p w14:paraId="62E70560" w14:textId="77777777" w:rsidR="008C2133" w:rsidRPr="00503A92" w:rsidRDefault="008C2133" w:rsidP="008C2133">
      <w:pPr>
        <w:pStyle w:val="EndNoteBibliography"/>
        <w:spacing w:after="60"/>
        <w:ind w:left="720" w:hanging="720"/>
        <w:jc w:val="both"/>
      </w:pPr>
      <w:r w:rsidRPr="002928A5">
        <w:rPr>
          <w:lang w:val="en-GB"/>
        </w:rPr>
        <w:t xml:space="preserve">Fadhel S., Rico-Ramirez M.A., Han D. (2017). Uncertainty of Intensity–Duration–Frequency (IDF) curves due to varied climate baseline periods. </w:t>
      </w:r>
      <w:r w:rsidRPr="00503A92">
        <w:t>Journal of Hydrology, 547: 600-612.</w:t>
      </w:r>
    </w:p>
    <w:p w14:paraId="53C61B80" w14:textId="77777777" w:rsidR="008C2133" w:rsidRPr="00503A92" w:rsidRDefault="008C2133" w:rsidP="008C2133">
      <w:pPr>
        <w:pStyle w:val="EndNoteBibliography"/>
        <w:spacing w:after="60"/>
        <w:ind w:left="720" w:hanging="720"/>
        <w:jc w:val="both"/>
      </w:pPr>
      <w:r w:rsidRPr="00503A92">
        <w:t>Filière Bois Wallonie (2024). Panorabois Wallonie 2024., Marche-en-Famenne, pp. 114 p.</w:t>
      </w:r>
    </w:p>
    <w:p w14:paraId="7219DF5B" w14:textId="77777777" w:rsidR="008C2133" w:rsidRPr="002928A5" w:rsidRDefault="008C2133" w:rsidP="008C2133">
      <w:pPr>
        <w:pStyle w:val="EndNoteBibliography"/>
        <w:spacing w:after="60"/>
        <w:ind w:left="720" w:hanging="720"/>
        <w:jc w:val="both"/>
        <w:rPr>
          <w:lang w:val="en-GB"/>
        </w:rPr>
      </w:pPr>
      <w:r w:rsidRPr="00B71138">
        <w:rPr>
          <w:lang w:val="nl-BE"/>
        </w:rPr>
        <w:t xml:space="preserve">Förster K., Hanzer F., Winter B., Marke T., Strasser U. (2016). </w:t>
      </w:r>
      <w:r w:rsidRPr="002928A5">
        <w:rPr>
          <w:lang w:val="en-GB"/>
        </w:rPr>
        <w:t>An open-source MEteoroLOgical observation time series DISaggregation Tool (MELODIST v0.1.1). Geoscientific Model Development, 9: 2315-2333.</w:t>
      </w:r>
    </w:p>
    <w:p w14:paraId="659A8870" w14:textId="77777777" w:rsidR="008C2133" w:rsidRPr="002928A5" w:rsidRDefault="008C2133" w:rsidP="008C2133">
      <w:pPr>
        <w:pStyle w:val="EndNoteBibliography"/>
        <w:spacing w:after="60"/>
        <w:ind w:left="720" w:hanging="720"/>
        <w:jc w:val="both"/>
        <w:rPr>
          <w:lang w:val="en-GB"/>
        </w:rPr>
      </w:pPr>
      <w:r w:rsidRPr="002928A5">
        <w:rPr>
          <w:lang w:val="en-GB"/>
        </w:rPr>
        <w:t>Füldner K. (1995). Zur Strukturbeschreibung in Mischbestanden. FORSTARCHIV, 66: 235-240.</w:t>
      </w:r>
    </w:p>
    <w:p w14:paraId="74711D8E" w14:textId="77777777" w:rsidR="008C2133" w:rsidRPr="002928A5" w:rsidRDefault="008C2133" w:rsidP="008C2133">
      <w:pPr>
        <w:pStyle w:val="EndNoteBibliography"/>
        <w:spacing w:after="60"/>
        <w:ind w:left="720" w:hanging="720"/>
        <w:jc w:val="both"/>
        <w:rPr>
          <w:lang w:val="en-GB"/>
        </w:rPr>
      </w:pPr>
      <w:r w:rsidRPr="00B71138">
        <w:rPr>
          <w:lang w:val="en-GB"/>
        </w:rPr>
        <w:t xml:space="preserve">Gheysen T., Brostaux Y., Hébert J., Ligot G., Rondeux J., Lejeune P. (2011). </w:t>
      </w:r>
      <w:r w:rsidRPr="002928A5">
        <w:rPr>
          <w:lang w:val="en-GB"/>
        </w:rPr>
        <w:t>A regional inventory and monitoring setup to evaluate bark peeling damage by red deer (</w:t>
      </w:r>
      <w:r w:rsidRPr="003C2806">
        <w:rPr>
          <w:i/>
          <w:iCs/>
          <w:lang w:val="en-GB"/>
        </w:rPr>
        <w:t>Cervus elaphus</w:t>
      </w:r>
      <w:r w:rsidRPr="002928A5">
        <w:rPr>
          <w:lang w:val="en-GB"/>
        </w:rPr>
        <w:t>) in coniferous plantations in Southern Belgium. Environmental Monitoring and Assessment, 181: 335-345.</w:t>
      </w:r>
    </w:p>
    <w:p w14:paraId="3287CDDE" w14:textId="77777777" w:rsidR="008C2133" w:rsidRPr="002928A5" w:rsidRDefault="008C2133" w:rsidP="008C2133">
      <w:pPr>
        <w:pStyle w:val="EndNoteBibliography"/>
        <w:spacing w:after="60"/>
        <w:ind w:left="720" w:hanging="720"/>
        <w:jc w:val="both"/>
        <w:rPr>
          <w:lang w:val="en-GB"/>
        </w:rPr>
      </w:pPr>
      <w:r w:rsidRPr="002928A5">
        <w:rPr>
          <w:lang w:val="en-GB"/>
        </w:rPr>
        <w:t>Gill R., Webber J., Peace A. (2000). The Economic Implications of Deer Damage - A review of current evidence: Forest Research Agency. Surrey.</w:t>
      </w:r>
    </w:p>
    <w:p w14:paraId="1EF18C1A" w14:textId="77777777" w:rsidR="008C2133" w:rsidRPr="002928A5" w:rsidRDefault="008C2133" w:rsidP="008C2133">
      <w:pPr>
        <w:pStyle w:val="EndNoteBibliography"/>
        <w:spacing w:after="60"/>
        <w:ind w:left="720" w:hanging="720"/>
        <w:jc w:val="both"/>
        <w:rPr>
          <w:lang w:val="en-GB"/>
        </w:rPr>
      </w:pPr>
      <w:r w:rsidRPr="002928A5">
        <w:rPr>
          <w:lang w:val="en-GB"/>
        </w:rPr>
        <w:t>Gill R.M.A. (1992a). A review of damage by mammals in north temperate forests: 1. Deer. Forestry, 65: 145-169.</w:t>
      </w:r>
    </w:p>
    <w:p w14:paraId="33987BBE" w14:textId="77777777" w:rsidR="008C2133" w:rsidRPr="002928A5" w:rsidRDefault="008C2133" w:rsidP="008C2133">
      <w:pPr>
        <w:pStyle w:val="EndNoteBibliography"/>
        <w:spacing w:after="60"/>
        <w:ind w:left="720" w:hanging="720"/>
        <w:jc w:val="both"/>
        <w:rPr>
          <w:lang w:val="en-GB"/>
        </w:rPr>
      </w:pPr>
      <w:r w:rsidRPr="002928A5">
        <w:rPr>
          <w:lang w:val="en-GB"/>
        </w:rPr>
        <w:t>Gill R.M.A. (1992b). A review of damage by mammals in north temperate forests: 3. Impact on trees and forests. Forestry, 65: 363-388.</w:t>
      </w:r>
    </w:p>
    <w:p w14:paraId="7BCFE7A2" w14:textId="77777777" w:rsidR="008C2133" w:rsidRPr="002928A5" w:rsidRDefault="008C2133" w:rsidP="008C2133">
      <w:pPr>
        <w:pStyle w:val="EndNoteBibliography"/>
        <w:spacing w:after="60"/>
        <w:ind w:left="720" w:hanging="720"/>
        <w:jc w:val="both"/>
        <w:rPr>
          <w:lang w:val="en-GB"/>
        </w:rPr>
      </w:pPr>
      <w:r w:rsidRPr="002928A5">
        <w:rPr>
          <w:lang w:val="en-GB"/>
        </w:rPr>
        <w:t>Gleckler P.J., Taylor K.E., Doutriaux C. (2008). Performance metrics for climate models. Journal of Geophysical Research Atmospheres, 113.</w:t>
      </w:r>
    </w:p>
    <w:p w14:paraId="71F63A38" w14:textId="77777777" w:rsidR="008C2133" w:rsidRPr="002928A5" w:rsidRDefault="008C2133" w:rsidP="008C2133">
      <w:pPr>
        <w:pStyle w:val="EndNoteBibliography"/>
        <w:spacing w:after="60"/>
        <w:ind w:left="720" w:hanging="720"/>
        <w:jc w:val="both"/>
        <w:rPr>
          <w:lang w:val="en-GB"/>
        </w:rPr>
      </w:pPr>
      <w:r w:rsidRPr="002928A5">
        <w:rPr>
          <w:lang w:val="en-GB"/>
        </w:rPr>
        <w:t>Hanewinkel M., Kuhn T., Bugmann H., Lanz A., Brang P. (2014). Vulnerability of uneven-aged forests to storm damage. Forestry, 87: 525-534.</w:t>
      </w:r>
    </w:p>
    <w:p w14:paraId="0E2466AA" w14:textId="77777777" w:rsidR="008C2133" w:rsidRPr="002928A5" w:rsidRDefault="008C2133" w:rsidP="008C2133">
      <w:pPr>
        <w:pStyle w:val="EndNoteBibliography"/>
        <w:spacing w:after="60"/>
        <w:ind w:left="720" w:hanging="720"/>
        <w:jc w:val="both"/>
        <w:rPr>
          <w:lang w:val="en-GB"/>
        </w:rPr>
      </w:pPr>
      <w:r w:rsidRPr="002928A5">
        <w:rPr>
          <w:lang w:val="en-GB"/>
        </w:rPr>
        <w:t>Hempel S., Frieler K., Warszawski L., Schewe J., Piontek F. (2013). A trend-preserving bias correction &amp;ndash; The ISI-MIP approach. Earth System Dynamics, 4: 219-236.</w:t>
      </w:r>
    </w:p>
    <w:p w14:paraId="25834606" w14:textId="77777777" w:rsidR="008C2133" w:rsidRPr="002928A5" w:rsidRDefault="008C2133" w:rsidP="008C2133">
      <w:pPr>
        <w:pStyle w:val="EndNoteBibliography"/>
        <w:spacing w:after="60"/>
        <w:ind w:left="720" w:hanging="720"/>
        <w:jc w:val="both"/>
        <w:rPr>
          <w:lang w:val="en-GB"/>
        </w:rPr>
      </w:pPr>
      <w:r w:rsidRPr="002928A5">
        <w:rPr>
          <w:lang w:val="en-GB"/>
        </w:rPr>
        <w:lastRenderedPageBreak/>
        <w:t>Hilmers T., Biber P., Knoke T., Pretzsch H. (2020). Assessing transformation scenarios from pure {N}orway spruce to mixed uneven-aged forests in mountain areas. European Journal of Forest Research, 139: 567-584.</w:t>
      </w:r>
    </w:p>
    <w:p w14:paraId="38222BD9" w14:textId="77777777" w:rsidR="008C2133" w:rsidRPr="002928A5" w:rsidRDefault="008C2133" w:rsidP="008C2133">
      <w:pPr>
        <w:pStyle w:val="EndNoteBibliography"/>
        <w:spacing w:after="60"/>
        <w:ind w:left="720" w:hanging="720"/>
        <w:jc w:val="both"/>
        <w:rPr>
          <w:lang w:val="en-GB"/>
        </w:rPr>
      </w:pPr>
      <w:r w:rsidRPr="002928A5">
        <w:rPr>
          <w:lang w:val="en-GB"/>
        </w:rPr>
        <w:t>Hosseinzadehtalaei P., Ishadi N.K., Tabari H., Willems P. (2021). Climate change impact assessment on pluvial flooding using a distribution-based bias correction of regional climate model simulations. Journal of Hydrology, 598.</w:t>
      </w:r>
    </w:p>
    <w:p w14:paraId="11F8EB3E" w14:textId="77777777" w:rsidR="008C2133" w:rsidRPr="002928A5" w:rsidRDefault="008C2133" w:rsidP="008C2133">
      <w:pPr>
        <w:pStyle w:val="EndNoteBibliography"/>
        <w:spacing w:after="60"/>
        <w:ind w:left="720" w:hanging="720"/>
        <w:jc w:val="both"/>
        <w:rPr>
          <w:lang w:val="en-GB"/>
        </w:rPr>
      </w:pPr>
      <w:r w:rsidRPr="002928A5">
        <w:rPr>
          <w:lang w:val="en-GB"/>
        </w:rPr>
        <w:t>Hosseinzadehtalaei P., Tabari H., Willems P. (2017). Uncertainty assessment for climate change impact on intense precipitation: how many model runs do we need? International Journal of Climatology, 37: 1105-1117.</w:t>
      </w:r>
    </w:p>
    <w:p w14:paraId="156560F9" w14:textId="77777777" w:rsidR="008C2133" w:rsidRPr="002928A5" w:rsidRDefault="008C2133" w:rsidP="008C2133">
      <w:pPr>
        <w:pStyle w:val="EndNoteBibliography"/>
        <w:spacing w:after="60"/>
        <w:ind w:left="720" w:hanging="720"/>
        <w:jc w:val="both"/>
        <w:rPr>
          <w:lang w:val="en-GB"/>
        </w:rPr>
      </w:pPr>
      <w:r w:rsidRPr="002928A5">
        <w:rPr>
          <w:lang w:val="en-GB"/>
        </w:rPr>
        <w:t>Hosseinzadehtalaei P., Tabari H., Willems P. (2019). Regionalization of anthropogenically forced changes in 3 hourly extreme precipitation over Europe. Environmental Research Letters, 14.</w:t>
      </w:r>
    </w:p>
    <w:p w14:paraId="6D45F3D1" w14:textId="77777777" w:rsidR="008C2133" w:rsidRPr="002928A5" w:rsidRDefault="008C2133" w:rsidP="008C2133">
      <w:pPr>
        <w:pStyle w:val="EndNoteBibliography"/>
        <w:spacing w:after="60"/>
        <w:ind w:left="720" w:hanging="720"/>
        <w:jc w:val="both"/>
        <w:rPr>
          <w:lang w:val="en-GB"/>
        </w:rPr>
      </w:pPr>
      <w:r w:rsidRPr="002928A5">
        <w:rPr>
          <w:lang w:val="en-GB"/>
        </w:rPr>
        <w:t>Hosseinzadehtalaei P., Tabari H., Willems P. (2020). Climate change impact on short-duration extreme precipitation and intensity–duration–frequency curves over Europe. Journal of Hydrology, 590: 125249.</w:t>
      </w:r>
    </w:p>
    <w:p w14:paraId="2FA77E15" w14:textId="77777777" w:rsidR="008C2133" w:rsidRPr="002928A5" w:rsidRDefault="008C2133" w:rsidP="008C2133">
      <w:pPr>
        <w:pStyle w:val="EndNoteBibliography"/>
        <w:spacing w:after="60"/>
        <w:ind w:left="720" w:hanging="720"/>
        <w:jc w:val="both"/>
        <w:rPr>
          <w:lang w:val="en-GB"/>
        </w:rPr>
      </w:pPr>
      <w:r w:rsidRPr="002928A5">
        <w:rPr>
          <w:lang w:val="en-GB"/>
        </w:rPr>
        <w:t>IPCC (2021). Climate Change 2021: The Physical Science Basis. Contribution of Working Group I to the Sixth Assessment Report of the Intergovernmental Panel on Climate Change. Cambridge University Press, Cambridge, United Kingdom and New York, NY, USA, pp. 2391p.</w:t>
      </w:r>
    </w:p>
    <w:p w14:paraId="479CA77F" w14:textId="77777777" w:rsidR="008C2133" w:rsidRPr="002928A5" w:rsidRDefault="008C2133" w:rsidP="008C2133">
      <w:pPr>
        <w:pStyle w:val="EndNoteBibliography"/>
        <w:spacing w:after="60"/>
        <w:ind w:left="720" w:hanging="720"/>
        <w:jc w:val="both"/>
        <w:rPr>
          <w:lang w:val="en-GB"/>
        </w:rPr>
      </w:pPr>
      <w:r w:rsidRPr="002928A5">
        <w:rPr>
          <w:lang w:val="en-GB"/>
        </w:rPr>
        <w:t>Jensen A.M., Götmark F., Löf M. (2012). Shrubs protect oak seedlings against ungulate browsing in temperate broadleaved forests of conservation interest: A field experiment. Forest Ecology and Management, 266: 187-193.</w:t>
      </w:r>
    </w:p>
    <w:p w14:paraId="5FD291FF" w14:textId="77777777" w:rsidR="008C2133" w:rsidRPr="002928A5" w:rsidRDefault="008C2133" w:rsidP="008C2133">
      <w:pPr>
        <w:pStyle w:val="EndNoteBibliography"/>
        <w:spacing w:after="60"/>
        <w:ind w:left="720" w:hanging="720"/>
        <w:jc w:val="both"/>
        <w:rPr>
          <w:lang w:val="en-GB"/>
        </w:rPr>
      </w:pPr>
      <w:r w:rsidRPr="002928A5">
        <w:rPr>
          <w:lang w:val="en-GB"/>
        </w:rPr>
        <w:t>Jerina K., Dajčman M., Adamič M. (2008). Red deer (</w:t>
      </w:r>
      <w:r w:rsidRPr="007D5652">
        <w:rPr>
          <w:i/>
          <w:iCs/>
          <w:lang w:val="en-GB"/>
        </w:rPr>
        <w:t>Cervus elaphus</w:t>
      </w:r>
      <w:r w:rsidRPr="002928A5">
        <w:rPr>
          <w:lang w:val="en-GB"/>
        </w:rPr>
        <w:t>) bark stripping on spruce with regard to spatial distribution of supplemental feeding places. Zbornik gozdarstva in lesarstva, 86: 33-43.</w:t>
      </w:r>
    </w:p>
    <w:p w14:paraId="2C37BBD4" w14:textId="2E478B3F" w:rsidR="008C2133" w:rsidRPr="002928A5" w:rsidRDefault="008C2133" w:rsidP="008C2133">
      <w:pPr>
        <w:pStyle w:val="EndNoteBibliography"/>
        <w:spacing w:after="60"/>
        <w:ind w:left="720" w:hanging="720"/>
        <w:jc w:val="both"/>
        <w:rPr>
          <w:lang w:val="en-GB"/>
        </w:rPr>
      </w:pPr>
      <w:r w:rsidRPr="002928A5">
        <w:rPr>
          <w:lang w:val="en-GB"/>
        </w:rPr>
        <w:t>Jonard M., André F., de Coligny F., de Wergifosse L., Beudez N., Davi H., Ligot G., Ponette Q., Vincke C. (2020). HETEROFOR 1.0: a spatially explicit model for exploring the response of structurally complex forests to uncertain future conditions – Part 1: Carbon fluxes and tree dimensional growth. Geosci. Model Dev., 13: 905-935.</w:t>
      </w:r>
    </w:p>
    <w:p w14:paraId="712D85D6" w14:textId="5F934356" w:rsidR="008C2133" w:rsidRPr="002928A5" w:rsidRDefault="008C2133" w:rsidP="008C2133">
      <w:pPr>
        <w:pStyle w:val="EndNoteBibliography"/>
        <w:spacing w:after="60"/>
        <w:ind w:left="720" w:hanging="720"/>
        <w:jc w:val="both"/>
        <w:rPr>
          <w:lang w:val="en-GB"/>
        </w:rPr>
      </w:pPr>
      <w:r w:rsidRPr="002928A5">
        <w:rPr>
          <w:lang w:val="en-GB"/>
        </w:rPr>
        <w:t>Jonard M., Nicolas M., Coomes D.A., Caignet I., Saenger A., Ponette Q. (2017). Forest soils in France are sequestering substantial amounts of carbon. Science of the Total Environment, 574: 616-628.</w:t>
      </w:r>
    </w:p>
    <w:p w14:paraId="7A744A11" w14:textId="77777777" w:rsidR="008C2133" w:rsidRPr="002928A5" w:rsidRDefault="008C2133" w:rsidP="008C2133">
      <w:pPr>
        <w:pStyle w:val="EndNoteBibliography"/>
        <w:spacing w:after="60"/>
        <w:ind w:left="720" w:hanging="720"/>
        <w:jc w:val="both"/>
        <w:rPr>
          <w:lang w:val="en-GB"/>
        </w:rPr>
      </w:pPr>
      <w:r w:rsidRPr="002928A5">
        <w:rPr>
          <w:lang w:val="en-GB"/>
        </w:rPr>
        <w:t>Juckes M., Taylor E.K., Durack J.P., Lawrence B., Mizielinski S.M., Pamment A., Peterschmitt J.Y., Rixen M., Senesi S. (2020). The CMIP6 Data Request (DREQ, version 01.00.31). Geoscientific Model Development, 13: 201-224.</w:t>
      </w:r>
    </w:p>
    <w:p w14:paraId="5A4A5A99" w14:textId="77777777" w:rsidR="008C2133" w:rsidRPr="00503A92" w:rsidRDefault="008C2133" w:rsidP="008C2133">
      <w:pPr>
        <w:pStyle w:val="EndNoteBibliography"/>
        <w:spacing w:after="60"/>
        <w:ind w:left="720" w:hanging="720"/>
        <w:jc w:val="both"/>
      </w:pPr>
      <w:r w:rsidRPr="002928A5">
        <w:rPr>
          <w:lang w:val="en-GB"/>
        </w:rPr>
        <w:t xml:space="preserve">Julve P. (1998). </w:t>
      </w:r>
      <w:r w:rsidRPr="00503A92">
        <w:t>Baseflor. Index botanique, écologique et chorologique de la flore de France.</w:t>
      </w:r>
    </w:p>
    <w:p w14:paraId="71827320" w14:textId="77777777" w:rsidR="008C2133" w:rsidRPr="002928A5" w:rsidRDefault="008C2133" w:rsidP="008C2133">
      <w:pPr>
        <w:pStyle w:val="EndNoteBibliography"/>
        <w:spacing w:after="60"/>
        <w:ind w:left="720" w:hanging="720"/>
        <w:jc w:val="both"/>
        <w:rPr>
          <w:lang w:val="en-GB"/>
        </w:rPr>
      </w:pPr>
      <w:r w:rsidRPr="002928A5">
        <w:rPr>
          <w:lang w:val="en-GB"/>
        </w:rPr>
        <w:t>Knoke T. (2012). The Economics of Continuous Cover Forestry. In: Pukkala T, Gadow K, editors. Continuous Cover Forestry. 23. Springer Dordrecht, pp. 167-193.</w:t>
      </w:r>
    </w:p>
    <w:p w14:paraId="348780C5" w14:textId="77777777" w:rsidR="008C2133" w:rsidRPr="002928A5" w:rsidRDefault="008C2133" w:rsidP="008C2133">
      <w:pPr>
        <w:pStyle w:val="EndNoteBibliography"/>
        <w:spacing w:after="60"/>
        <w:ind w:left="720" w:hanging="720"/>
        <w:jc w:val="both"/>
        <w:rPr>
          <w:lang w:val="en-GB"/>
        </w:rPr>
      </w:pPr>
      <w:r w:rsidRPr="002928A5">
        <w:rPr>
          <w:lang w:val="en-GB"/>
        </w:rPr>
        <w:t>Kohler M., Pyttel P., Kuehne C., Modrow T., Bauhus J. (2020). On the knowns and unknowns of natural regeneration of silviculturally managed sessile oak (</w:t>
      </w:r>
      <w:r w:rsidRPr="006F0B53">
        <w:rPr>
          <w:i/>
          <w:iCs/>
          <w:lang w:val="en-GB"/>
        </w:rPr>
        <w:t>Quercus petraea</w:t>
      </w:r>
      <w:r w:rsidRPr="002928A5">
        <w:rPr>
          <w:lang w:val="en-GB"/>
        </w:rPr>
        <w:t xml:space="preserve"> (Matt.) Liebl.) forests—a literature review. Annals of Forest Science, 77.</w:t>
      </w:r>
    </w:p>
    <w:p w14:paraId="4D63E001" w14:textId="77777777" w:rsidR="008C2133" w:rsidRPr="002928A5" w:rsidRDefault="008C2133" w:rsidP="008C2133">
      <w:pPr>
        <w:pStyle w:val="EndNoteBibliography"/>
        <w:spacing w:after="60"/>
        <w:ind w:left="720" w:hanging="720"/>
        <w:jc w:val="both"/>
        <w:rPr>
          <w:lang w:val="en-GB"/>
        </w:rPr>
      </w:pPr>
      <w:r w:rsidRPr="002928A5">
        <w:rPr>
          <w:lang w:val="en-GB"/>
        </w:rPr>
        <w:t>Kurz W.A., Dymond C.C., White T.M., Stinson G., Shaw C.H., Rampley G.J., Smyth C., Simpson B.N., Neilson E.T., Trofymow J.A., Metsaranta J., Apps M.J. (2009). CBM-CFS3: A model of carbon-dynamics in forestry and land-use change implementing IPCC standards. Ecological Modelling, 220: 480-504.</w:t>
      </w:r>
    </w:p>
    <w:p w14:paraId="0B95696C" w14:textId="77777777" w:rsidR="008C2133" w:rsidRPr="002928A5" w:rsidRDefault="008C2133" w:rsidP="008C2133">
      <w:pPr>
        <w:pStyle w:val="EndNoteBibliography"/>
        <w:spacing w:after="60"/>
        <w:ind w:left="720" w:hanging="720"/>
        <w:jc w:val="both"/>
        <w:rPr>
          <w:lang w:val="en-GB"/>
        </w:rPr>
      </w:pPr>
      <w:r w:rsidRPr="002928A5">
        <w:rPr>
          <w:lang w:val="en-GB"/>
        </w:rPr>
        <w:t>Lafond V., Lagarrigues G., Cordonnier T., Courbaud B. (2014). Uneven-aged management options to promote forest resilience for climate change adaptation: Effects of group selection and harvesting intensity. Annals of Forest Science, 71: 173-186.</w:t>
      </w:r>
    </w:p>
    <w:p w14:paraId="7DFA0CA7" w14:textId="77777777" w:rsidR="008C2133" w:rsidRPr="002928A5" w:rsidRDefault="008C2133" w:rsidP="008C2133">
      <w:pPr>
        <w:pStyle w:val="EndNoteBibliography"/>
        <w:spacing w:after="60"/>
        <w:ind w:left="720" w:hanging="720"/>
        <w:jc w:val="both"/>
        <w:rPr>
          <w:lang w:val="en-GB"/>
        </w:rPr>
      </w:pPr>
      <w:r w:rsidRPr="002928A5">
        <w:rPr>
          <w:lang w:val="en-GB"/>
        </w:rPr>
        <w:t>Lange S. (2019). Trend-preserving bias adjustment and statistical downscaling with ISIMIP3BASD (v1.0). Geoscientific Model Development, 12: 3055-3070.</w:t>
      </w:r>
    </w:p>
    <w:p w14:paraId="7CC45A40" w14:textId="77777777" w:rsidR="008C2133" w:rsidRPr="002928A5" w:rsidRDefault="008C2133" w:rsidP="008C2133">
      <w:pPr>
        <w:pStyle w:val="EndNoteBibliography"/>
        <w:spacing w:after="60"/>
        <w:ind w:left="720" w:hanging="720"/>
        <w:jc w:val="both"/>
        <w:rPr>
          <w:lang w:val="en-GB"/>
        </w:rPr>
      </w:pPr>
      <w:r w:rsidRPr="002928A5">
        <w:rPr>
          <w:lang w:val="en-GB"/>
        </w:rPr>
        <w:lastRenderedPageBreak/>
        <w:t>Lange S. (2020). ISIMIP3b bias adjustment fact sheet. Potsdam Institute for Climate Impact Research (PIK).</w:t>
      </w:r>
    </w:p>
    <w:p w14:paraId="13C7458F" w14:textId="77777777" w:rsidR="008C2133" w:rsidRPr="002928A5" w:rsidRDefault="008C2133" w:rsidP="008C2133">
      <w:pPr>
        <w:pStyle w:val="EndNoteBibliography"/>
        <w:spacing w:after="60"/>
        <w:ind w:left="720" w:hanging="720"/>
        <w:jc w:val="both"/>
        <w:rPr>
          <w:lang w:val="en-GB"/>
        </w:rPr>
      </w:pPr>
      <w:r w:rsidRPr="002928A5">
        <w:rPr>
          <w:lang w:val="en-GB"/>
        </w:rPr>
        <w:t>Larrieu L., Amberger C. (Unpublished). Ecological tree scoring system based on TreMs for marteloscopes, pp. 5 p.</w:t>
      </w:r>
    </w:p>
    <w:p w14:paraId="5EC43F9C" w14:textId="77777777" w:rsidR="008C2133" w:rsidRPr="002928A5" w:rsidRDefault="008C2133" w:rsidP="008C2133">
      <w:pPr>
        <w:pStyle w:val="EndNoteBibliography"/>
        <w:spacing w:after="60"/>
        <w:ind w:left="720" w:hanging="720"/>
        <w:jc w:val="both"/>
        <w:rPr>
          <w:lang w:val="en-GB"/>
        </w:rPr>
      </w:pPr>
      <w:r w:rsidRPr="00B71138">
        <w:rPr>
          <w:lang w:val="nl-BE"/>
        </w:rPr>
        <w:t xml:space="preserve">Larrieu L., Paillet Y., Winter S., Bütler R., Kraus D., Krumm F., Lachat T., Michel A.K., Regnery B., Vandekerkhove K. (2018). </w:t>
      </w:r>
      <w:r w:rsidRPr="002928A5">
        <w:rPr>
          <w:lang w:val="en-GB"/>
        </w:rPr>
        <w:t>Tree related microhabitats in temperate and Mediterranean European forests: A hierarchical typology for inventory standardization. Ecological Indicators, 84: 194-207.</w:t>
      </w:r>
    </w:p>
    <w:p w14:paraId="29C93A83" w14:textId="77777777" w:rsidR="008C2133" w:rsidRPr="002928A5" w:rsidRDefault="008C2133" w:rsidP="008C2133">
      <w:pPr>
        <w:pStyle w:val="EndNoteBibliography"/>
        <w:spacing w:after="60"/>
        <w:ind w:left="720" w:hanging="720"/>
        <w:jc w:val="both"/>
        <w:rPr>
          <w:lang w:val="en-GB"/>
        </w:rPr>
      </w:pPr>
      <w:r w:rsidRPr="002928A5">
        <w:rPr>
          <w:lang w:val="en-GB"/>
        </w:rPr>
        <w:t xml:space="preserve">Ligot G., Balandier P., Fayolle A., Lejeune P., Claessens H. (2013a). Height competition between </w:t>
      </w:r>
      <w:r w:rsidRPr="006D484C">
        <w:rPr>
          <w:i/>
          <w:iCs/>
          <w:lang w:val="en-GB"/>
        </w:rPr>
        <w:t>Quercus petraea</w:t>
      </w:r>
      <w:r w:rsidRPr="002928A5">
        <w:rPr>
          <w:lang w:val="en-GB"/>
        </w:rPr>
        <w:t xml:space="preserve"> and </w:t>
      </w:r>
      <w:r w:rsidRPr="006D484C">
        <w:rPr>
          <w:i/>
          <w:iCs/>
          <w:lang w:val="en-GB"/>
        </w:rPr>
        <w:t xml:space="preserve">Fagus sylvatica </w:t>
      </w:r>
      <w:r w:rsidRPr="002928A5">
        <w:rPr>
          <w:lang w:val="en-GB"/>
        </w:rPr>
        <w:t>natural regeneration in mixed and uneven-aged stands. Forest Ecology and Management, 304: 391-398.</w:t>
      </w:r>
    </w:p>
    <w:p w14:paraId="27D66A37" w14:textId="77777777" w:rsidR="008C2133" w:rsidRPr="002928A5" w:rsidRDefault="008C2133" w:rsidP="008C2133">
      <w:pPr>
        <w:pStyle w:val="EndNoteBibliography"/>
        <w:spacing w:after="60"/>
        <w:ind w:left="720" w:hanging="720"/>
        <w:jc w:val="both"/>
        <w:rPr>
          <w:lang w:val="en-GB"/>
        </w:rPr>
      </w:pPr>
      <w:r w:rsidRPr="002928A5">
        <w:rPr>
          <w:lang w:val="en-GB"/>
        </w:rPr>
        <w:t>Ligot G., Gheysen T., Lehaire F., Hébert J., Licoppe A., Lejeune P., Brostaux Y. (2013b). Modeling recent bark stripping by red deer (</w:t>
      </w:r>
      <w:r w:rsidRPr="006D484C">
        <w:rPr>
          <w:i/>
          <w:iCs/>
          <w:lang w:val="en-GB"/>
        </w:rPr>
        <w:t>Cervus elaphus</w:t>
      </w:r>
      <w:r w:rsidRPr="002928A5">
        <w:rPr>
          <w:lang w:val="en-GB"/>
        </w:rPr>
        <w:t>) in South Belgium coniferous stands. Annals of Forest Science, 70: 309-318.</w:t>
      </w:r>
    </w:p>
    <w:p w14:paraId="67B5836A" w14:textId="77777777" w:rsidR="008C2133" w:rsidRPr="002928A5" w:rsidRDefault="008C2133" w:rsidP="008C2133">
      <w:pPr>
        <w:pStyle w:val="EndNoteBibliography"/>
        <w:spacing w:after="60"/>
        <w:ind w:left="720" w:hanging="720"/>
        <w:jc w:val="both"/>
        <w:rPr>
          <w:lang w:val="en-GB"/>
        </w:rPr>
      </w:pPr>
      <w:r w:rsidRPr="00085952">
        <w:rPr>
          <w:lang w:val="en-GB"/>
        </w:rPr>
        <w:t xml:space="preserve">Ligot G., Gheysen T., Perin J., Candaele R., de Coligny F., Licoppe A., Lejeune P. (2023). </w:t>
      </w:r>
      <w:r w:rsidRPr="002928A5">
        <w:rPr>
          <w:lang w:val="en-GB"/>
        </w:rPr>
        <w:t>From the simulation of forest plantation dynamics to the quantification of bark-stripping damage by ungulates. European Journal of Forest Research, 142: 899-916.</w:t>
      </w:r>
    </w:p>
    <w:p w14:paraId="397F65A1" w14:textId="77777777" w:rsidR="008C2133" w:rsidRPr="002928A5" w:rsidRDefault="008C2133" w:rsidP="008C2133">
      <w:pPr>
        <w:pStyle w:val="EndNoteBibliography"/>
        <w:spacing w:after="60"/>
        <w:ind w:left="720" w:hanging="720"/>
        <w:jc w:val="both"/>
        <w:rPr>
          <w:lang w:val="en-GB"/>
        </w:rPr>
      </w:pPr>
      <w:r w:rsidRPr="002928A5">
        <w:rPr>
          <w:lang w:val="en-GB"/>
        </w:rPr>
        <w:t>Lloyd J., Taylor J.A. (1994). On the temperature dependence of soil respiration. Functional Ecology, 8: 315-323.</w:t>
      </w:r>
    </w:p>
    <w:p w14:paraId="676AAF72" w14:textId="77777777" w:rsidR="008C2133" w:rsidRPr="002928A5" w:rsidRDefault="008C2133" w:rsidP="008C2133">
      <w:pPr>
        <w:pStyle w:val="EndNoteBibliography"/>
        <w:spacing w:after="60"/>
        <w:ind w:left="720" w:hanging="720"/>
        <w:jc w:val="both"/>
        <w:rPr>
          <w:lang w:val="en-GB"/>
        </w:rPr>
      </w:pPr>
      <w:r w:rsidRPr="002928A5">
        <w:rPr>
          <w:lang w:val="en-GB"/>
        </w:rPr>
        <w:t>Löffler H. (1975). The spreading of wound rot in Norway spruce. Forstwissenschaftliches Centralblatt, 94: 175-183.</w:t>
      </w:r>
    </w:p>
    <w:p w14:paraId="02D9A014" w14:textId="77777777" w:rsidR="008C2133" w:rsidRPr="002928A5" w:rsidRDefault="008C2133" w:rsidP="008C2133">
      <w:pPr>
        <w:pStyle w:val="EndNoteBibliography"/>
        <w:spacing w:after="60"/>
        <w:ind w:left="720" w:hanging="720"/>
        <w:jc w:val="both"/>
        <w:rPr>
          <w:lang w:val="en-GB"/>
        </w:rPr>
      </w:pPr>
      <w:r w:rsidRPr="002928A5">
        <w:rPr>
          <w:lang w:val="en-GB"/>
        </w:rPr>
        <w:t>Lu Y., Qin X.S. (2014). Multisite rainfall downscaling and disaggregation in a tropical urban area. Journal of Hydrology, 509: 55-65.</w:t>
      </w:r>
    </w:p>
    <w:p w14:paraId="71DED5D0" w14:textId="77777777" w:rsidR="008C2133" w:rsidRPr="002928A5" w:rsidRDefault="008C2133" w:rsidP="008C2133">
      <w:pPr>
        <w:pStyle w:val="EndNoteBibliography"/>
        <w:spacing w:after="60"/>
        <w:ind w:left="720" w:hanging="720"/>
        <w:jc w:val="both"/>
        <w:rPr>
          <w:lang w:val="en-GB"/>
        </w:rPr>
      </w:pPr>
      <w:r w:rsidRPr="002928A5">
        <w:rPr>
          <w:lang w:val="en-GB"/>
        </w:rPr>
        <w:t>Maraun D. (2016). Bias Correcting Climate Change Simulations - a Critical Review. Current Climate Change Reports, 2: 211-220.</w:t>
      </w:r>
    </w:p>
    <w:p w14:paraId="0CBD6F66" w14:textId="77777777" w:rsidR="008C2133" w:rsidRPr="002928A5" w:rsidRDefault="008C2133" w:rsidP="008C2133">
      <w:pPr>
        <w:pStyle w:val="EndNoteBibliography"/>
        <w:spacing w:after="60"/>
        <w:ind w:left="720" w:hanging="720"/>
        <w:jc w:val="both"/>
        <w:rPr>
          <w:lang w:val="en-GB"/>
        </w:rPr>
      </w:pPr>
      <w:r w:rsidRPr="002928A5">
        <w:rPr>
          <w:lang w:val="en-GB"/>
        </w:rPr>
        <w:t>Margalef R. (1958). Information theory in ecology. General Systems, 3: 36-71.</w:t>
      </w:r>
    </w:p>
    <w:p w14:paraId="5A675693" w14:textId="77777777" w:rsidR="008C2133" w:rsidRPr="002928A5" w:rsidRDefault="008C2133" w:rsidP="008C2133">
      <w:pPr>
        <w:pStyle w:val="EndNoteBibliography"/>
        <w:spacing w:after="60"/>
        <w:ind w:left="720" w:hanging="720"/>
        <w:jc w:val="both"/>
        <w:rPr>
          <w:lang w:val="en-GB"/>
        </w:rPr>
      </w:pPr>
      <w:r w:rsidRPr="002928A5">
        <w:rPr>
          <w:lang w:val="en-GB"/>
        </w:rPr>
        <w:t>Martinez del Castillo E., Zang C.S., Buras A., Hacket-Pain A., Esper J., Serrano-Notivoli R., Hartl C., Weigel R., Klesse S., Resco de Dios V., Scharnweber T., Dorado-Liñán I., van der Maaten-Theunissen M., van der Maaten E., Jump A., Mikac S., Banzragch B.E., Beck W., Cavin L., Claessens H., Čada V., Čufar K., Dulamsuren C., Gričar J., Gil-Pelegrín E., Janda P., Kazimirovic M., Kreyling J., Latte N., Leuschner C., Longares L.A., Menzel A., Merela M., Motta R., Muffler L., Nola P., Petritan A.M., Petritan I.C., Prislan P., Rubio-Cuadrado Á., Rydval M., Stajić B., Svoboda M., Toromani E., Trotsiuk V., Wilmking M., Zlatanov T., de Luis M. (2022). Climate-change-driven growth decline of European beech forests. Communications Biology, 5.</w:t>
      </w:r>
    </w:p>
    <w:p w14:paraId="497119EC" w14:textId="77777777" w:rsidR="008C2133" w:rsidRPr="002928A5" w:rsidRDefault="008C2133" w:rsidP="008C2133">
      <w:pPr>
        <w:pStyle w:val="EndNoteBibliography"/>
        <w:spacing w:after="60"/>
        <w:ind w:left="720" w:hanging="720"/>
        <w:jc w:val="both"/>
        <w:rPr>
          <w:lang w:val="en-GB"/>
        </w:rPr>
      </w:pPr>
      <w:r w:rsidRPr="002928A5">
        <w:rPr>
          <w:lang w:val="en-GB"/>
        </w:rPr>
        <w:t>Mehrotra R., Westra S., Sharma A., Srikanthan R. (2012). Continuous rainfall simulation: 2. A regionalized daily rainfall generation approach. Water Resources Research, 48.</w:t>
      </w:r>
    </w:p>
    <w:p w14:paraId="12FC4861" w14:textId="77777777" w:rsidR="008C2133" w:rsidRPr="002928A5" w:rsidRDefault="008C2133" w:rsidP="008C2133">
      <w:pPr>
        <w:pStyle w:val="EndNoteBibliography"/>
        <w:spacing w:after="60"/>
        <w:ind w:left="720" w:hanging="720"/>
        <w:jc w:val="both"/>
        <w:rPr>
          <w:lang w:val="en-GB"/>
        </w:rPr>
      </w:pPr>
      <w:r w:rsidRPr="002928A5">
        <w:rPr>
          <w:lang w:val="en-GB"/>
        </w:rPr>
        <w:t>Myhre G., Samset B.H., Schulz M., Balkanski Y., Bauer S., Berntsen T.K., Bian H., Bellouin N., Chin M., Diehl T., Easter R.C., Feichter J., Ghan S.J., Hauglustaine D., Iversen T., Kinne S., Kirkeväg A., Lamarque J.F., Lin G., Liu X., Lund M.T., Luo G., Ma X., Van Noije T., Penner J.E., Rasch P.J., Ruiz A., Seland Ø., Skeie R.B., Stier P., Takemura T., Tsigaridis K., Wang P., Wang Z., Xu L., Yu H., Yu F., Yoon J.H., Zhang K., Zhang H., Zhou C. (2013). Radiative forcing of the direct aerosol effect from AeroCom Phase II simulations. Atmospheric Chemistry and Physics, 13: 1853-1877.</w:t>
      </w:r>
    </w:p>
    <w:p w14:paraId="73717C50" w14:textId="77777777" w:rsidR="008C2133" w:rsidRPr="002928A5" w:rsidRDefault="008C2133" w:rsidP="008C2133">
      <w:pPr>
        <w:pStyle w:val="EndNoteBibliography"/>
        <w:spacing w:after="60"/>
        <w:ind w:left="720" w:hanging="720"/>
        <w:jc w:val="both"/>
        <w:rPr>
          <w:lang w:val="en-GB"/>
        </w:rPr>
      </w:pPr>
      <w:r w:rsidRPr="002928A5">
        <w:rPr>
          <w:lang w:val="en-GB"/>
        </w:rPr>
        <w:t>O'Neill B.C., Tebaldi C., Van Vuuren D.P., Eyring V., Friedlingstein P., Hurtt G., Knutti R., Kriegler E., Lamarque J.F., Lowe J., Meehl G.A., Moss R., Riahi K., Sanderson B.M. (2016). The Scenario Model Intercomparison Project (ScenarioMIP) for CMIP6. Geoscientific Model Development, 9: 3461-3482.</w:t>
      </w:r>
    </w:p>
    <w:p w14:paraId="63BB096A" w14:textId="77777777" w:rsidR="008C2133" w:rsidRPr="002928A5" w:rsidRDefault="008C2133" w:rsidP="008C2133">
      <w:pPr>
        <w:pStyle w:val="EndNoteBibliography"/>
        <w:spacing w:after="60"/>
        <w:ind w:left="720" w:hanging="720"/>
        <w:jc w:val="both"/>
        <w:rPr>
          <w:lang w:val="en-GB"/>
        </w:rPr>
      </w:pPr>
      <w:r w:rsidRPr="002928A5">
        <w:rPr>
          <w:lang w:val="en-GB"/>
        </w:rPr>
        <w:lastRenderedPageBreak/>
        <w:t>Ossó A., Craig P., Allan R.P. (2023). An assessment of CMIP6 climate signals and biases in temperature, precipitation and soil moisture over Europe. International Journal of Climatology, 43: 5698-5719.</w:t>
      </w:r>
    </w:p>
    <w:p w14:paraId="19650732" w14:textId="77777777" w:rsidR="008C2133" w:rsidRPr="00503A92" w:rsidRDefault="008C2133" w:rsidP="008C2133">
      <w:pPr>
        <w:pStyle w:val="EndNoteBibliography"/>
        <w:spacing w:after="60"/>
        <w:ind w:left="720" w:hanging="720"/>
        <w:jc w:val="both"/>
      </w:pPr>
      <w:r w:rsidRPr="002928A5">
        <w:rPr>
          <w:lang w:val="en-GB"/>
        </w:rPr>
        <w:t xml:space="preserve">Pichancourt J.B., Manso R., Ningre F., Fortin M. (2018). A carbon accounting tool for complex and uncertain greenhouse gas emission life cycles. </w:t>
      </w:r>
      <w:r w:rsidRPr="00503A92">
        <w:t>Environmental Modelling and Software, 107: 158-174.</w:t>
      </w:r>
    </w:p>
    <w:p w14:paraId="53D1BAEA" w14:textId="77777777" w:rsidR="008C2133" w:rsidRPr="00503A92" w:rsidRDefault="008C2133" w:rsidP="008C2133">
      <w:pPr>
        <w:pStyle w:val="EndNoteBibliography"/>
        <w:spacing w:after="60"/>
        <w:ind w:left="720" w:hanging="720"/>
        <w:jc w:val="both"/>
      </w:pPr>
      <w:r w:rsidRPr="00503A92">
        <w:t>Rakotoarison H., Faratiana (2009). Analyse et modélisation de la gestion du grand gibier: cas de la région Aquitaine. Ph.D. thesis. Université Montesquieu - Bordeaux IV.</w:t>
      </w:r>
    </w:p>
    <w:p w14:paraId="2FFC943A" w14:textId="77777777" w:rsidR="008C2133" w:rsidRPr="00503A92" w:rsidRDefault="008C2133" w:rsidP="008C2133">
      <w:pPr>
        <w:pStyle w:val="EndNoteBibliography"/>
        <w:spacing w:after="60"/>
        <w:ind w:left="720" w:hanging="720"/>
        <w:jc w:val="both"/>
      </w:pPr>
      <w:r w:rsidRPr="00503A92">
        <w:t>RMI (2022). Gridded observational data.</w:t>
      </w:r>
    </w:p>
    <w:p w14:paraId="07CF3A28" w14:textId="77777777" w:rsidR="008C2133" w:rsidRPr="002928A5" w:rsidRDefault="008C2133" w:rsidP="008C2133">
      <w:pPr>
        <w:pStyle w:val="EndNoteBibliography"/>
        <w:spacing w:after="60"/>
        <w:ind w:left="720" w:hanging="720"/>
        <w:jc w:val="both"/>
        <w:rPr>
          <w:lang w:val="en-GB"/>
        </w:rPr>
      </w:pPr>
      <w:r w:rsidRPr="00503A92">
        <w:t xml:space="preserve">Ruosteenoja K., Jylhä K., Räisänen J., Mäkelä A. (2017). </w:t>
      </w:r>
      <w:r w:rsidRPr="002928A5">
        <w:rPr>
          <w:lang w:val="en-GB"/>
        </w:rPr>
        <w:t>Surface air relative humidities spuriously exceeding 100% in CMIP5 model output and their impact on future projections. Journal of Geophysical Research: Atmospheres, 122: 9557-9568.</w:t>
      </w:r>
    </w:p>
    <w:p w14:paraId="33F6D624" w14:textId="77777777" w:rsidR="008C2133" w:rsidRPr="002928A5" w:rsidRDefault="008C2133" w:rsidP="008C2133">
      <w:pPr>
        <w:pStyle w:val="EndNoteBibliography"/>
        <w:spacing w:after="60"/>
        <w:ind w:left="720" w:hanging="720"/>
        <w:jc w:val="both"/>
        <w:rPr>
          <w:lang w:val="en-GB"/>
        </w:rPr>
      </w:pPr>
      <w:r w:rsidRPr="002928A5">
        <w:rPr>
          <w:lang w:val="en-GB"/>
        </w:rPr>
        <w:t>Shannon C.E., Weaver W. (1949). The Mathematical Theory of Communication: University of Illinois Press.</w:t>
      </w:r>
    </w:p>
    <w:p w14:paraId="1F81F31B" w14:textId="77777777" w:rsidR="008C2133" w:rsidRPr="002928A5" w:rsidRDefault="008C2133" w:rsidP="008C2133">
      <w:pPr>
        <w:pStyle w:val="EndNoteBibliography"/>
        <w:spacing w:after="60"/>
        <w:ind w:left="720" w:hanging="720"/>
        <w:jc w:val="both"/>
        <w:rPr>
          <w:lang w:val="en-GB"/>
        </w:rPr>
      </w:pPr>
      <w:r w:rsidRPr="002928A5">
        <w:rPr>
          <w:lang w:val="en-GB"/>
        </w:rPr>
        <w:t>Sharma A., Srikanthan S. (2006). Continuous rainfall simulation: A nonparametric alternative. 30th Hydrology and Water Resources Symposium, HWRS.</w:t>
      </w:r>
    </w:p>
    <w:p w14:paraId="575805FC" w14:textId="77777777" w:rsidR="008C2133" w:rsidRPr="002928A5" w:rsidRDefault="008C2133" w:rsidP="008C2133">
      <w:pPr>
        <w:pStyle w:val="EndNoteBibliography"/>
        <w:spacing w:after="60"/>
        <w:ind w:left="720" w:hanging="720"/>
        <w:jc w:val="both"/>
        <w:rPr>
          <w:lang w:val="en-GB"/>
        </w:rPr>
      </w:pPr>
      <w:r w:rsidRPr="002928A5">
        <w:rPr>
          <w:lang w:val="en-GB"/>
        </w:rPr>
        <w:t>Sherwood S., Fu Q. (2014). A drier future? Science, 343: 737-739.</w:t>
      </w:r>
    </w:p>
    <w:p w14:paraId="66EA70B5" w14:textId="77777777" w:rsidR="008C2133" w:rsidRPr="002928A5" w:rsidRDefault="008C2133" w:rsidP="008C2133">
      <w:pPr>
        <w:pStyle w:val="EndNoteBibliography"/>
        <w:spacing w:after="60"/>
        <w:ind w:left="720" w:hanging="720"/>
        <w:jc w:val="both"/>
        <w:rPr>
          <w:lang w:val="en-GB"/>
        </w:rPr>
      </w:pPr>
      <w:r w:rsidRPr="002928A5">
        <w:rPr>
          <w:lang w:val="en-GB"/>
        </w:rPr>
        <w:t>Simpson E.H. (1949). Measurement of Diversity. Nature, 163: 688.</w:t>
      </w:r>
    </w:p>
    <w:p w14:paraId="4AF2B9A1" w14:textId="77777777" w:rsidR="008C2133" w:rsidRPr="002928A5" w:rsidRDefault="008C2133" w:rsidP="008C2133">
      <w:pPr>
        <w:pStyle w:val="EndNoteBibliography"/>
        <w:spacing w:after="60"/>
        <w:ind w:left="720" w:hanging="720"/>
        <w:jc w:val="both"/>
        <w:rPr>
          <w:lang w:val="en-GB"/>
        </w:rPr>
      </w:pPr>
      <w:r w:rsidRPr="002928A5">
        <w:rPr>
          <w:lang w:val="en-GB"/>
        </w:rPr>
        <w:t>Sivapalan M., Blöschl G. (1998). Transformation of point rainfall to areal rainfall: Intensity-duration-frequency curves. Journal of Hydrology, 204: 150-167.</w:t>
      </w:r>
    </w:p>
    <w:p w14:paraId="5CC82237" w14:textId="77777777" w:rsidR="008C2133" w:rsidRPr="002928A5" w:rsidRDefault="008C2133" w:rsidP="008C2133">
      <w:pPr>
        <w:pStyle w:val="EndNoteBibliography"/>
        <w:spacing w:after="60"/>
        <w:ind w:left="720" w:hanging="720"/>
        <w:jc w:val="both"/>
        <w:rPr>
          <w:lang w:val="en-GB"/>
        </w:rPr>
      </w:pPr>
      <w:r w:rsidRPr="002928A5">
        <w:rPr>
          <w:lang w:val="en-GB"/>
        </w:rPr>
        <w:t>Sobolowski S., Somot S., Fernandez J., Evin G., Maraun D., Kotlarski S., Jury M., Benestad R.E., Teichmann C., Christensen O.B., Katharina B., Buonomo E., Katragkou E., Steger C., Sørland S., Nikulin G., McSweeney C., Dobler A., Palmer T., Wilke R., Boé J., Brunner L., Ribes A., Qasmi S., Nabat P., Sevault F., Oudar T., Brands S. (2023). EURO-CORDEX CMIP6 GCM Selection &amp; Ensemble Design: Best Practices and Recommendations. Zenodo.</w:t>
      </w:r>
    </w:p>
    <w:p w14:paraId="04D571D3" w14:textId="77777777" w:rsidR="008C2133" w:rsidRPr="002928A5" w:rsidRDefault="008C2133" w:rsidP="008C2133">
      <w:pPr>
        <w:pStyle w:val="EndNoteBibliography"/>
        <w:spacing w:after="60"/>
        <w:ind w:left="720" w:hanging="720"/>
        <w:jc w:val="both"/>
        <w:rPr>
          <w:lang w:val="en-GB"/>
        </w:rPr>
      </w:pPr>
      <w:r w:rsidRPr="002928A5">
        <w:rPr>
          <w:lang w:val="en-GB"/>
        </w:rPr>
        <w:t>Stemmelen A., Castagneyrol B., Ponette Q., Prospero S., Martin G.S., Schneider S., Jactel H. (2023). Tree diversity reduces co-infestation of Douglas fir by two exotic pests and pathogens. NeoBiota, 84: 397-413.</w:t>
      </w:r>
    </w:p>
    <w:p w14:paraId="0B7C56F7" w14:textId="77777777" w:rsidR="008C2133" w:rsidRPr="002928A5" w:rsidRDefault="008C2133" w:rsidP="008C2133">
      <w:pPr>
        <w:pStyle w:val="EndNoteBibliography"/>
        <w:spacing w:after="60"/>
        <w:ind w:left="720" w:hanging="720"/>
        <w:jc w:val="both"/>
        <w:rPr>
          <w:lang w:val="en-GB"/>
        </w:rPr>
      </w:pPr>
      <w:r w:rsidRPr="002928A5">
        <w:rPr>
          <w:lang w:val="en-GB"/>
        </w:rPr>
        <w:t>Svennevik H., Hicks S.A., Riegler M.A., Storelvmo T., Hammer H.L. (2024). A dataset for predicting cloud cover over Europe. Scientific Data, 11: 245.</w:t>
      </w:r>
    </w:p>
    <w:p w14:paraId="3C20F4C2" w14:textId="77777777" w:rsidR="008C2133" w:rsidRPr="002928A5" w:rsidRDefault="008C2133" w:rsidP="008C2133">
      <w:pPr>
        <w:pStyle w:val="EndNoteBibliography"/>
        <w:spacing w:after="60"/>
        <w:ind w:left="720" w:hanging="720"/>
        <w:jc w:val="both"/>
        <w:rPr>
          <w:lang w:val="en-GB"/>
        </w:rPr>
      </w:pPr>
      <w:r w:rsidRPr="00B71138">
        <w:rPr>
          <w:lang w:val="nl-BE"/>
        </w:rPr>
        <w:t xml:space="preserve">Tabari H., De Troch R., Giot O., Hamdi R., Termonia P., Saeed S., Brisson E., Van Lipzig N., Willems P. (2016). </w:t>
      </w:r>
      <w:r w:rsidRPr="002928A5">
        <w:rPr>
          <w:lang w:val="en-GB"/>
        </w:rPr>
        <w:t>Local impact analysis of climate change on precipitation extremes: Are high-resolution climate models needed for realistic simulations? Hydrology and Earth System Sciences, 20: 3843-3857.</w:t>
      </w:r>
    </w:p>
    <w:p w14:paraId="575A84B3" w14:textId="77777777" w:rsidR="008C2133" w:rsidRPr="002928A5" w:rsidRDefault="008C2133" w:rsidP="008C2133">
      <w:pPr>
        <w:pStyle w:val="EndNoteBibliography"/>
        <w:spacing w:after="60"/>
        <w:ind w:left="720" w:hanging="720"/>
        <w:jc w:val="both"/>
        <w:rPr>
          <w:lang w:val="en-GB"/>
        </w:rPr>
      </w:pPr>
      <w:r w:rsidRPr="002928A5">
        <w:rPr>
          <w:lang w:val="en-GB"/>
        </w:rPr>
        <w:t>Tabari H., Hosseinzadehtalaei P., Aghakouchak A., Willems P. (2019). Latitudinal heterogeneity and hotspots of uncertainty in projected extreme precipitation. Environmental Research Letters, 14.</w:t>
      </w:r>
    </w:p>
    <w:p w14:paraId="46A1B925" w14:textId="77777777" w:rsidR="008C2133" w:rsidRPr="002928A5" w:rsidRDefault="008C2133" w:rsidP="008C2133">
      <w:pPr>
        <w:pStyle w:val="EndNoteBibliography"/>
        <w:spacing w:after="60"/>
        <w:ind w:left="720" w:hanging="720"/>
        <w:jc w:val="both"/>
        <w:rPr>
          <w:lang w:val="en-GB"/>
        </w:rPr>
      </w:pPr>
      <w:r w:rsidRPr="002928A5">
        <w:rPr>
          <w:lang w:val="en-GB"/>
        </w:rPr>
        <w:t>Tabari H., Willems P. (2022). Trivariate Analysis of Changes in Drought Characteristics in the {CMIP6} Multimodel Ensemble at Global Warming Levels of 1.5°, 2°, and 3°C. Journal of Climate, 35: 5823-5837.</w:t>
      </w:r>
    </w:p>
    <w:p w14:paraId="45488C6B" w14:textId="77777777" w:rsidR="008C2133" w:rsidRPr="002928A5" w:rsidRDefault="008C2133" w:rsidP="008C2133">
      <w:pPr>
        <w:pStyle w:val="EndNoteBibliography"/>
        <w:spacing w:after="60"/>
        <w:ind w:left="720" w:hanging="720"/>
        <w:jc w:val="both"/>
        <w:rPr>
          <w:lang w:val="en-GB"/>
        </w:rPr>
      </w:pPr>
      <w:r w:rsidRPr="002928A5">
        <w:rPr>
          <w:lang w:val="en-GB"/>
        </w:rPr>
        <w:t>Termonia P., Van Schaeybroeck B., De Cruz L., De Troch R., Caluwaerts S., Giot O., Hamdi R., Vannitsem S., Duchêne F., Willems P., Tabari H., Van Uytven E., Hosseinzadehtalaei P., Van Lipzig N., Wouters H., Vanden Broucke S., van Ypersele J.P., Marbaix P., Villanueva-Birriel C., Fettweis X., Wyard C., Scholzen C., Doutreloup S., De Ridder K., Gobin A., Lauwaet D., Stavrakou T., Bauwens M., Müller J.F., Luyten P., Ponsar S., Van den Eynde D., Pottiaux E. (2018). The CORDEX.be initiative as a foundation for climate services in Belgium. Climate Services, 11: 49-61.</w:t>
      </w:r>
    </w:p>
    <w:p w14:paraId="0B3FC5C2" w14:textId="77777777" w:rsidR="008C2133" w:rsidRPr="002928A5" w:rsidRDefault="008C2133" w:rsidP="008C2133">
      <w:pPr>
        <w:pStyle w:val="EndNoteBibliography"/>
        <w:spacing w:after="60"/>
        <w:ind w:left="720" w:hanging="720"/>
        <w:jc w:val="both"/>
        <w:rPr>
          <w:lang w:val="en-GB"/>
        </w:rPr>
      </w:pPr>
      <w:r w:rsidRPr="002928A5">
        <w:rPr>
          <w:lang w:val="en-GB"/>
        </w:rPr>
        <w:lastRenderedPageBreak/>
        <w:t>Vacek Z., Cukor J., Linda R., Vacek S., Šimůnek V., Brichta J., Gallo J., Prokůpková A. (2020). Bark stripping, the crucial factor affecting stem rot development and timber production of Norway spruce forests in Central Europe. Forest Ecology and Management, 474.</w:t>
      </w:r>
    </w:p>
    <w:p w14:paraId="289251A2" w14:textId="77777777" w:rsidR="008C2133" w:rsidRPr="002928A5" w:rsidRDefault="008C2133" w:rsidP="008C2133">
      <w:pPr>
        <w:pStyle w:val="EndNoteBibliography"/>
        <w:spacing w:after="60"/>
        <w:ind w:left="720" w:hanging="720"/>
        <w:jc w:val="both"/>
        <w:rPr>
          <w:lang w:val="en-GB"/>
        </w:rPr>
      </w:pPr>
      <w:r w:rsidRPr="002928A5">
        <w:rPr>
          <w:lang w:val="en-GB"/>
        </w:rPr>
        <w:t>van Vuuren D.P., Edmonds J., Kainuma M., Riahi K., Thomson A., Hibbard K., Hurtt G.C., Kram T., Krey V., Lamarque J.F., Masui T., Meinshausen M., Nakicenovic N., Smith S.J., Rose S.K. (2011). The representative concentration pathways: An overview. Climatic Change, 109: 5-31.</w:t>
      </w:r>
    </w:p>
    <w:p w14:paraId="1052897F" w14:textId="77777777" w:rsidR="008C2133" w:rsidRPr="00B71138" w:rsidRDefault="008C2133" w:rsidP="008C2133">
      <w:pPr>
        <w:pStyle w:val="EndNoteBibliography"/>
        <w:spacing w:after="60"/>
        <w:ind w:left="720" w:hanging="720"/>
        <w:jc w:val="both"/>
        <w:rPr>
          <w:lang w:val="nl-BE"/>
        </w:rPr>
      </w:pPr>
      <w:r w:rsidRPr="002928A5">
        <w:rPr>
          <w:lang w:val="en-GB"/>
        </w:rPr>
        <w:t xml:space="preserve">Vítková L., Ní Dhubháin Á. (2013). Transformation to continuous cover forestry - a review. </w:t>
      </w:r>
      <w:r w:rsidRPr="00B71138">
        <w:rPr>
          <w:lang w:val="nl-BE"/>
        </w:rPr>
        <w:t>Irish Forestry, 70: 119-140.</w:t>
      </w:r>
    </w:p>
    <w:p w14:paraId="49719837" w14:textId="77777777" w:rsidR="008C2133" w:rsidRPr="002928A5" w:rsidRDefault="008C2133" w:rsidP="008C2133">
      <w:pPr>
        <w:pStyle w:val="EndNoteBibliography"/>
        <w:spacing w:after="60"/>
        <w:ind w:left="720" w:hanging="720"/>
        <w:jc w:val="both"/>
        <w:rPr>
          <w:lang w:val="en-GB"/>
        </w:rPr>
      </w:pPr>
      <w:r w:rsidRPr="00B71138">
        <w:rPr>
          <w:lang w:val="nl-BE"/>
        </w:rPr>
        <w:t xml:space="preserve">Von Gadow K. (1993). Zur bestandesbeschreibung in der Forsteinrichtung. </w:t>
      </w:r>
      <w:r w:rsidRPr="002928A5">
        <w:rPr>
          <w:lang w:val="en-GB"/>
        </w:rPr>
        <w:t>Forst und Holz, 21: 602-606.</w:t>
      </w:r>
    </w:p>
    <w:p w14:paraId="25E94FF9" w14:textId="77777777" w:rsidR="008C2133" w:rsidRPr="002928A5" w:rsidRDefault="008C2133" w:rsidP="008C2133">
      <w:pPr>
        <w:pStyle w:val="EndNoteBibliography"/>
        <w:spacing w:after="60"/>
        <w:ind w:left="720" w:hanging="720"/>
        <w:jc w:val="both"/>
        <w:rPr>
          <w:lang w:val="en-GB"/>
        </w:rPr>
      </w:pPr>
      <w:r w:rsidRPr="002928A5">
        <w:rPr>
          <w:lang w:val="en-GB"/>
        </w:rPr>
        <w:t>Vospernik S. (2006). Probability of bark stripping damage by red deer (</w:t>
      </w:r>
      <w:r w:rsidRPr="00F54B28">
        <w:rPr>
          <w:i/>
          <w:iCs/>
          <w:lang w:val="en-GB"/>
        </w:rPr>
        <w:t>Cervus elaphus</w:t>
      </w:r>
      <w:r w:rsidRPr="002928A5">
        <w:rPr>
          <w:lang w:val="en-GB"/>
        </w:rPr>
        <w:t>) in Austria. Silva Fennica, 40: 589-601.</w:t>
      </w:r>
    </w:p>
    <w:p w14:paraId="02ADBCB5" w14:textId="77777777" w:rsidR="008C2133" w:rsidRPr="002928A5" w:rsidRDefault="008C2133" w:rsidP="008C2133">
      <w:pPr>
        <w:pStyle w:val="EndNoteBibliography"/>
        <w:spacing w:after="60"/>
        <w:ind w:left="720" w:hanging="720"/>
        <w:jc w:val="both"/>
        <w:rPr>
          <w:lang w:val="en-GB"/>
        </w:rPr>
      </w:pPr>
      <w:r w:rsidRPr="002928A5">
        <w:rPr>
          <w:lang w:val="en-GB"/>
        </w:rPr>
        <w:t>Walters M.B., Farinosi E.J., Willis J.L. (2020). Deer browsing and shrub competition set sapling recruitment height and interact with light to shape recruitment niches for temperate forest tree species. Forest Ecology and Management, 467: 118134.</w:t>
      </w:r>
    </w:p>
    <w:p w14:paraId="5E2D1689" w14:textId="77777777" w:rsidR="008C2133" w:rsidRPr="002928A5" w:rsidRDefault="008C2133" w:rsidP="008C2133">
      <w:pPr>
        <w:pStyle w:val="EndNoteBibliography"/>
        <w:spacing w:after="60"/>
        <w:ind w:left="720" w:hanging="720"/>
        <w:jc w:val="both"/>
        <w:rPr>
          <w:lang w:val="en-GB"/>
        </w:rPr>
      </w:pPr>
      <w:r w:rsidRPr="002928A5">
        <w:rPr>
          <w:lang w:val="en-GB"/>
        </w:rPr>
        <w:t>Wam H.K., Hofstad O. (2007). Taking timber browsing damage into account: A density dependant matrix model for the optimal harvest of moose in Scandinavia. Ecological Economics, 62: 45-55.</w:t>
      </w:r>
    </w:p>
    <w:p w14:paraId="02C67B1D" w14:textId="77777777" w:rsidR="008C2133" w:rsidRPr="002928A5" w:rsidRDefault="008C2133" w:rsidP="008C2133">
      <w:pPr>
        <w:pStyle w:val="EndNoteBibliography"/>
        <w:spacing w:after="60"/>
        <w:ind w:left="720" w:hanging="720"/>
        <w:jc w:val="both"/>
        <w:rPr>
          <w:lang w:val="en-GB"/>
        </w:rPr>
      </w:pPr>
      <w:r w:rsidRPr="002928A5">
        <w:rPr>
          <w:lang w:val="en-GB"/>
        </w:rPr>
        <w:t>Ward A.I., White P.C.L., Smith A., Critchley C.H. (2004). Modelling the cost of roe deer browsing damage to forestry. Forest Ecology and Management, 191: 301-310.</w:t>
      </w:r>
    </w:p>
    <w:p w14:paraId="136DBCE3" w14:textId="77777777" w:rsidR="008C2133" w:rsidRPr="002928A5" w:rsidRDefault="008C2133" w:rsidP="008C2133">
      <w:pPr>
        <w:pStyle w:val="EndNoteBibliography"/>
        <w:spacing w:after="60"/>
        <w:ind w:left="720" w:hanging="720"/>
        <w:jc w:val="both"/>
        <w:rPr>
          <w:lang w:val="en-GB"/>
        </w:rPr>
      </w:pPr>
      <w:r w:rsidRPr="002928A5">
        <w:rPr>
          <w:lang w:val="en-GB"/>
        </w:rPr>
        <w:t>Weisberg P.J., Bugmann H. (2003). Forest dynamics and ungulate herbivory: From leaf to landscape. Forest Ecology and Management, 181: 1-12.</w:t>
      </w:r>
    </w:p>
    <w:p w14:paraId="73F41087" w14:textId="77777777" w:rsidR="008C2133" w:rsidRPr="00503A92" w:rsidRDefault="008C2133" w:rsidP="008C2133">
      <w:pPr>
        <w:pStyle w:val="EndNoteBibliography"/>
        <w:spacing w:after="60"/>
        <w:ind w:left="720" w:hanging="720"/>
        <w:jc w:val="both"/>
      </w:pPr>
      <w:r w:rsidRPr="002928A5">
        <w:rPr>
          <w:lang w:val="en-GB"/>
        </w:rPr>
        <w:t xml:space="preserve">Westra S., Mehrotra R., Sharma A., Srikanthan R. (2012). Continuous rainfall simulation: 1. A regionalized subdaily disaggregation approach. </w:t>
      </w:r>
      <w:r w:rsidRPr="00503A92">
        <w:t>Water Resources Research, 48.</w:t>
      </w:r>
    </w:p>
    <w:p w14:paraId="752B077F" w14:textId="77777777" w:rsidR="008C2133" w:rsidRPr="00503A92" w:rsidRDefault="008C2133" w:rsidP="008C2133">
      <w:pPr>
        <w:pStyle w:val="EndNoteBibliography"/>
        <w:spacing w:after="60"/>
        <w:ind w:left="720" w:hanging="720"/>
        <w:jc w:val="both"/>
      </w:pPr>
      <w:r w:rsidRPr="00503A92">
        <w:t>Wohlfrom P. (2022). Les produits bois et leur potentiel de stockage de carbone : une solution dans l’atténuation du changement climatique ? Etude des résineux issus de la filière bois wallonne. Institut de Gestion de l’Environnement et d’Aménagement du Territoire, Faculté des Sciences. Université Libre de Bruxelles, Brussels, pp. 67p.</w:t>
      </w:r>
    </w:p>
    <w:p w14:paraId="0ECB881A" w14:textId="77777777" w:rsidR="008C2133" w:rsidRPr="00085952" w:rsidRDefault="008C2133" w:rsidP="008C2133">
      <w:pPr>
        <w:pStyle w:val="EndNoteBibliography"/>
        <w:spacing w:after="60"/>
        <w:ind w:left="720" w:hanging="720"/>
        <w:jc w:val="both"/>
        <w:rPr>
          <w:lang w:val="en-GB"/>
        </w:rPr>
      </w:pPr>
      <w:r w:rsidRPr="00503A92">
        <w:t xml:space="preserve">Yan Z., Bond-Lamberty B., Todd-Brown K.E., Bailey V.L., Li S., Liu C., Liu C. (2018). </w:t>
      </w:r>
      <w:r w:rsidRPr="00085952">
        <w:rPr>
          <w:lang w:val="en-GB"/>
        </w:rPr>
        <w:t>A moisture function of soil heterotrophic respiration that incorporates microscale processes. Nature Communications, 9.</w:t>
      </w:r>
    </w:p>
    <w:p w14:paraId="69414F10" w14:textId="313115C1" w:rsidR="0032715F" w:rsidRPr="008F6866" w:rsidRDefault="008C2133" w:rsidP="008C2133">
      <w:pPr>
        <w:spacing w:after="60"/>
        <w:jc w:val="both"/>
      </w:pPr>
      <w:r w:rsidRPr="008F6866">
        <w:fldChar w:fldCharType="end"/>
      </w:r>
    </w:p>
    <w:p w14:paraId="02F69C10" w14:textId="77777777" w:rsidR="0032715F" w:rsidRPr="008F6866" w:rsidRDefault="0032715F" w:rsidP="00C73410"/>
    <w:p w14:paraId="488FEFF1" w14:textId="77777777" w:rsidR="00CC34C2" w:rsidRPr="008F6866" w:rsidRDefault="00CC34C2" w:rsidP="00CC34C2">
      <w:pPr>
        <w:pStyle w:val="Sansinterligne"/>
        <w:spacing w:line="300" w:lineRule="auto"/>
        <w:ind w:left="284"/>
        <w:jc w:val="both"/>
        <w:rPr>
          <w:rFonts w:eastAsia="Times New Roman" w:cs="Times New Roman"/>
          <w:lang w:val="en-GB" w:eastAsia="en-US"/>
        </w:rPr>
      </w:pPr>
    </w:p>
    <w:p w14:paraId="07143A02" w14:textId="77777777" w:rsidR="005B57D2" w:rsidRDefault="005B57D2">
      <w:pPr>
        <w:rPr>
          <w:rFonts w:eastAsia="Times New Roman" w:cs="Times New Roman"/>
          <w:b/>
          <w:caps/>
        </w:rPr>
      </w:pPr>
      <w:r>
        <w:br w:type="page"/>
      </w:r>
    </w:p>
    <w:p w14:paraId="54F4CF56" w14:textId="67F6EDF8" w:rsidR="00CC34C2" w:rsidRPr="008F6866" w:rsidRDefault="00CC34C2" w:rsidP="00CC34C2">
      <w:pPr>
        <w:pStyle w:val="Titre1"/>
        <w:rPr>
          <w:rFonts w:asciiTheme="minorHAnsi" w:hAnsiTheme="minorHAnsi"/>
        </w:rPr>
      </w:pPr>
      <w:bookmarkStart w:id="109" w:name="_Toc200703456"/>
      <w:r w:rsidRPr="008F6866">
        <w:rPr>
          <w:rFonts w:asciiTheme="minorHAnsi" w:hAnsiTheme="minorHAnsi"/>
        </w:rPr>
        <w:lastRenderedPageBreak/>
        <w:t>ANNEXES</w:t>
      </w:r>
      <w:bookmarkEnd w:id="109"/>
    </w:p>
    <w:p w14:paraId="4EC2E777" w14:textId="65A0CAC0" w:rsidR="00CC34C2" w:rsidRPr="008F6866" w:rsidRDefault="00CC34C2" w:rsidP="00CC34C2">
      <w:pPr>
        <w:tabs>
          <w:tab w:val="left" w:pos="709"/>
        </w:tabs>
        <w:spacing w:after="0" w:line="240" w:lineRule="auto"/>
        <w:ind w:left="1134"/>
        <w:jc w:val="both"/>
        <w:rPr>
          <w:rFonts w:eastAsia="Times New Roman" w:cs="Times New Roman"/>
          <w:b/>
        </w:rPr>
      </w:pPr>
    </w:p>
    <w:p w14:paraId="172BFCF0" w14:textId="2958F32A" w:rsidR="007A7C05" w:rsidRPr="0078317E" w:rsidRDefault="00A45799" w:rsidP="005B57D2">
      <w:pPr>
        <w:spacing w:after="60"/>
        <w:rPr>
          <w:i/>
          <w:iCs/>
        </w:rPr>
      </w:pPr>
      <w:r w:rsidRPr="0078317E">
        <w:rPr>
          <w:i/>
          <w:iCs/>
        </w:rPr>
        <w:t>Minutes of the</w:t>
      </w:r>
      <w:r w:rsidR="00853412">
        <w:rPr>
          <w:i/>
          <w:iCs/>
        </w:rPr>
        <w:t xml:space="preserve"> </w:t>
      </w:r>
      <w:r w:rsidR="00973737" w:rsidRPr="00973737">
        <w:rPr>
          <w:i/>
          <w:iCs/>
        </w:rPr>
        <w:t xml:space="preserve">follow-up committee </w:t>
      </w:r>
      <w:r w:rsidR="00973737">
        <w:rPr>
          <w:i/>
          <w:iCs/>
        </w:rPr>
        <w:t>held</w:t>
      </w:r>
      <w:r w:rsidR="00973737" w:rsidRPr="00973737">
        <w:rPr>
          <w:i/>
          <w:iCs/>
        </w:rPr>
        <w:t xml:space="preserve"> on</w:t>
      </w:r>
      <w:r w:rsidR="00085EC3">
        <w:rPr>
          <w:i/>
          <w:iCs/>
        </w:rPr>
        <w:t xml:space="preserve"> 19</w:t>
      </w:r>
      <w:r w:rsidR="00973737" w:rsidRPr="00973737">
        <w:rPr>
          <w:i/>
          <w:iCs/>
        </w:rPr>
        <w:t xml:space="preserve"> October 2021</w:t>
      </w:r>
    </w:p>
    <w:p w14:paraId="5FFEC5BE" w14:textId="77777777" w:rsidR="00D75E0D" w:rsidRDefault="00D75E0D" w:rsidP="005B57D2">
      <w:pPr>
        <w:spacing w:after="60"/>
      </w:pPr>
    </w:p>
    <w:p w14:paraId="503C6EC7" w14:textId="77777777" w:rsidR="0048614B" w:rsidRPr="0064571B" w:rsidRDefault="0048614B" w:rsidP="0064571B">
      <w:pPr>
        <w:spacing w:after="60"/>
        <w:rPr>
          <w:rFonts w:cstheme="minorHAnsi"/>
        </w:rPr>
      </w:pPr>
      <w:r w:rsidRPr="0064571B">
        <w:rPr>
          <w:rFonts w:cstheme="minorHAnsi"/>
        </w:rPr>
        <w:t>The project partners presented the project and the different work packages in turn. These presentations generated very rich discussions underlining the interest of the project for the various members of the committee and allowing to better specify the work to be carried out. The main points decided/suggested during this meeting are:</w:t>
      </w:r>
    </w:p>
    <w:p w14:paraId="741F1414" w14:textId="6305BA21" w:rsidR="00D95ED0" w:rsidRPr="0064571B" w:rsidRDefault="00D95ED0" w:rsidP="0064571B">
      <w:pPr>
        <w:spacing w:after="60"/>
        <w:rPr>
          <w:rFonts w:cstheme="minorHAnsi"/>
        </w:rPr>
      </w:pPr>
    </w:p>
    <w:p w14:paraId="3972B3D1" w14:textId="0BA28275" w:rsidR="0048614B" w:rsidRPr="0064571B" w:rsidRDefault="0048614B" w:rsidP="0064571B">
      <w:pPr>
        <w:pStyle w:val="Paragraphedeliste"/>
        <w:numPr>
          <w:ilvl w:val="0"/>
          <w:numId w:val="4"/>
        </w:numPr>
        <w:spacing w:after="60" w:line="276" w:lineRule="auto"/>
        <w:jc w:val="both"/>
        <w:rPr>
          <w:rFonts w:asciiTheme="minorHAnsi" w:hAnsiTheme="minorHAnsi" w:cstheme="minorHAnsi"/>
        </w:rPr>
      </w:pPr>
      <w:r w:rsidRPr="0064571B">
        <w:rPr>
          <w:rFonts w:asciiTheme="minorHAnsi" w:hAnsiTheme="minorHAnsi" w:cstheme="minorHAnsi"/>
        </w:rPr>
        <w:t>to lower the priority for the implementation of a soil organic carbon module (Task 1.3 in the project proposal). Indeed, the modelling of soil organic carbon dynamics is complex, with a large number of compartments to be considered, and the availability of the data required for their initialization is quite limited which requires to make strong assumptions. Furthermore, while relevant as model output, soil organic carbon has no implication on other processes described in the model. In addition, this aspect was considered as somewhat out of scope during the project evaluation;</w:t>
      </w:r>
    </w:p>
    <w:p w14:paraId="00692582" w14:textId="426C5054" w:rsidR="0048614B" w:rsidRPr="0064571B" w:rsidRDefault="0048614B" w:rsidP="0064571B">
      <w:pPr>
        <w:pStyle w:val="Paragraphedeliste"/>
        <w:numPr>
          <w:ilvl w:val="0"/>
          <w:numId w:val="4"/>
        </w:numPr>
        <w:spacing w:after="60" w:line="276" w:lineRule="auto"/>
        <w:jc w:val="both"/>
        <w:rPr>
          <w:rFonts w:asciiTheme="minorHAnsi" w:hAnsiTheme="minorHAnsi" w:cstheme="minorHAnsi"/>
        </w:rPr>
      </w:pPr>
      <w:r w:rsidRPr="0064571B">
        <w:rPr>
          <w:rFonts w:asciiTheme="minorHAnsi" w:hAnsiTheme="minorHAnsi" w:cstheme="minorHAnsi"/>
        </w:rPr>
        <w:t>to dedicate the time originally reserved for soil carbon modelling to the consideration of the effect of extreme events (i.e., storms, droughts, late frosts) in the simulations as these events are likely to play a critical role in the response of forest ecosystems to climate change. Though the increase in their frequency is a major concern for foresters, their consideration remains limited in existing modelling approaches. It is also suggested to investigate the possibility of accounting for attacks by pathogens/pests;</w:t>
      </w:r>
    </w:p>
    <w:p w14:paraId="5CD091C4" w14:textId="76CF2082" w:rsidR="0048614B" w:rsidRPr="0064571B" w:rsidRDefault="0048614B" w:rsidP="0064571B">
      <w:pPr>
        <w:pStyle w:val="Paragraphedeliste"/>
        <w:numPr>
          <w:ilvl w:val="0"/>
          <w:numId w:val="4"/>
        </w:numPr>
        <w:spacing w:after="60" w:line="276" w:lineRule="auto"/>
        <w:jc w:val="both"/>
        <w:rPr>
          <w:rFonts w:asciiTheme="minorHAnsi" w:hAnsiTheme="minorHAnsi" w:cstheme="minorHAnsi"/>
        </w:rPr>
      </w:pPr>
      <w:r w:rsidRPr="0064571B">
        <w:rPr>
          <w:rFonts w:asciiTheme="minorHAnsi" w:hAnsiTheme="minorHAnsi" w:cstheme="minorHAnsi"/>
        </w:rPr>
        <w:t xml:space="preserve">add a study case representative of pine stands on sandy soil. Such a stand, located in the </w:t>
      </w:r>
      <w:r w:rsidR="0059132C" w:rsidRPr="0064571B">
        <w:rPr>
          <w:rFonts w:asciiTheme="minorHAnsi" w:hAnsiTheme="minorHAnsi" w:cstheme="minorHAnsi"/>
        </w:rPr>
        <w:t>B</w:t>
      </w:r>
      <w:r w:rsidRPr="0064571B">
        <w:rPr>
          <w:rFonts w:asciiTheme="minorHAnsi" w:hAnsiTheme="minorHAnsi" w:cstheme="minorHAnsi"/>
        </w:rPr>
        <w:t>ois de Lauzelle, is currently characteri</w:t>
      </w:r>
      <w:r w:rsidR="00B537EC">
        <w:rPr>
          <w:rFonts w:asciiTheme="minorHAnsi" w:hAnsiTheme="minorHAnsi" w:cstheme="minorHAnsi"/>
        </w:rPr>
        <w:t>z</w:t>
      </w:r>
      <w:r w:rsidRPr="0064571B">
        <w:rPr>
          <w:rFonts w:asciiTheme="minorHAnsi" w:hAnsiTheme="minorHAnsi" w:cstheme="minorHAnsi"/>
        </w:rPr>
        <w:t>ed in the framework of a master thesis and the corresponding data will be available for the REGE+ project;</w:t>
      </w:r>
    </w:p>
    <w:p w14:paraId="4874E61E" w14:textId="281EE3C3" w:rsidR="0048614B" w:rsidRPr="0064571B" w:rsidRDefault="0048614B" w:rsidP="0064571B">
      <w:pPr>
        <w:pStyle w:val="Paragraphedeliste"/>
        <w:numPr>
          <w:ilvl w:val="0"/>
          <w:numId w:val="4"/>
        </w:numPr>
        <w:spacing w:after="60" w:line="276" w:lineRule="auto"/>
        <w:jc w:val="both"/>
        <w:rPr>
          <w:rFonts w:asciiTheme="minorHAnsi" w:hAnsiTheme="minorHAnsi" w:cstheme="minorHAnsi"/>
        </w:rPr>
      </w:pPr>
      <w:r w:rsidRPr="0064571B">
        <w:rPr>
          <w:rFonts w:asciiTheme="minorHAnsi" w:hAnsiTheme="minorHAnsi" w:cstheme="minorHAnsi"/>
        </w:rPr>
        <w:t>to identify the most sensitive climate variables for the simulations through sensitivity analyses. It is also recommended to carry out simulations with a maximum of climate projections to encompass the uncertainty associated with climate scenarios;</w:t>
      </w:r>
    </w:p>
    <w:p w14:paraId="47ACF3ED" w14:textId="65FB0313" w:rsidR="0048614B" w:rsidRPr="0064571B" w:rsidRDefault="0048614B" w:rsidP="0064571B">
      <w:pPr>
        <w:pStyle w:val="Paragraphedeliste"/>
        <w:numPr>
          <w:ilvl w:val="0"/>
          <w:numId w:val="4"/>
        </w:numPr>
        <w:spacing w:after="60" w:line="276" w:lineRule="auto"/>
        <w:jc w:val="both"/>
        <w:rPr>
          <w:rFonts w:asciiTheme="minorHAnsi" w:hAnsiTheme="minorHAnsi" w:cstheme="minorHAnsi"/>
        </w:rPr>
      </w:pPr>
      <w:r w:rsidRPr="0064571B">
        <w:rPr>
          <w:rFonts w:asciiTheme="minorHAnsi" w:hAnsiTheme="minorHAnsi" w:cstheme="minorHAnsi"/>
        </w:rPr>
        <w:t>to draw up the management scenarios to be tested in close consultation with managers, including in particular the DNF;</w:t>
      </w:r>
    </w:p>
    <w:p w14:paraId="110C5677" w14:textId="7F5CF29C" w:rsidR="00D75E0D" w:rsidRDefault="0048614B" w:rsidP="0064571B">
      <w:pPr>
        <w:pStyle w:val="Paragraphedeliste"/>
        <w:numPr>
          <w:ilvl w:val="0"/>
          <w:numId w:val="4"/>
        </w:numPr>
        <w:spacing w:after="60" w:line="276" w:lineRule="auto"/>
        <w:jc w:val="both"/>
        <w:rPr>
          <w:rFonts w:asciiTheme="minorHAnsi" w:hAnsiTheme="minorHAnsi" w:cstheme="minorHAnsi"/>
        </w:rPr>
      </w:pPr>
      <w:r w:rsidRPr="0064571B">
        <w:rPr>
          <w:rFonts w:asciiTheme="minorHAnsi" w:hAnsiTheme="minorHAnsi" w:cstheme="minorHAnsi"/>
        </w:rPr>
        <w:t xml:space="preserve">to </w:t>
      </w:r>
      <w:r w:rsidR="00D71B65" w:rsidRPr="0064571B">
        <w:rPr>
          <w:rFonts w:asciiTheme="minorHAnsi" w:hAnsiTheme="minorHAnsi" w:cstheme="minorHAnsi"/>
        </w:rPr>
        <w:t>characterize</w:t>
      </w:r>
      <w:r w:rsidRPr="0064571B">
        <w:rPr>
          <w:rFonts w:asciiTheme="minorHAnsi" w:hAnsiTheme="minorHAnsi" w:cstheme="minorHAnsi"/>
        </w:rPr>
        <w:t xml:space="preserve"> the climate scenarios by considering the warming instead of the radiative forcing, the latter being less meaningful for the manager.</w:t>
      </w:r>
    </w:p>
    <w:p w14:paraId="0B6E77EF" w14:textId="77777777" w:rsidR="00D71B65" w:rsidRDefault="00D71B65" w:rsidP="00D71B65">
      <w:pPr>
        <w:spacing w:after="60"/>
        <w:jc w:val="both"/>
        <w:rPr>
          <w:rFonts w:cstheme="minorHAnsi"/>
        </w:rPr>
      </w:pPr>
    </w:p>
    <w:p w14:paraId="2A86EB79" w14:textId="4D6F5973" w:rsidR="00D71B65" w:rsidRDefault="00D71B65">
      <w:pPr>
        <w:rPr>
          <w:rFonts w:cstheme="minorHAnsi"/>
        </w:rPr>
      </w:pPr>
      <w:r>
        <w:rPr>
          <w:rFonts w:cstheme="minorHAnsi"/>
        </w:rPr>
        <w:br w:type="page"/>
      </w:r>
    </w:p>
    <w:p w14:paraId="382D2AB8" w14:textId="6ABF9191" w:rsidR="00573A72" w:rsidRPr="0078317E" w:rsidRDefault="00573A72" w:rsidP="00573A72">
      <w:pPr>
        <w:spacing w:after="60"/>
        <w:rPr>
          <w:i/>
          <w:iCs/>
        </w:rPr>
      </w:pPr>
      <w:r w:rsidRPr="0078317E">
        <w:rPr>
          <w:i/>
          <w:iCs/>
        </w:rPr>
        <w:lastRenderedPageBreak/>
        <w:t>Minutes of the</w:t>
      </w:r>
      <w:r>
        <w:rPr>
          <w:i/>
          <w:iCs/>
        </w:rPr>
        <w:t xml:space="preserve"> meeting with forest stakeholders</w:t>
      </w:r>
      <w:r w:rsidRPr="00973737">
        <w:rPr>
          <w:i/>
          <w:iCs/>
        </w:rPr>
        <w:t xml:space="preserve"> </w:t>
      </w:r>
      <w:r>
        <w:rPr>
          <w:i/>
          <w:iCs/>
        </w:rPr>
        <w:t>held</w:t>
      </w:r>
      <w:r w:rsidRPr="00973737">
        <w:rPr>
          <w:i/>
          <w:iCs/>
        </w:rPr>
        <w:t xml:space="preserve"> on</w:t>
      </w:r>
      <w:r>
        <w:rPr>
          <w:i/>
          <w:iCs/>
        </w:rPr>
        <w:t xml:space="preserve"> 1</w:t>
      </w:r>
      <w:r w:rsidR="00F515ED">
        <w:rPr>
          <w:i/>
          <w:iCs/>
        </w:rPr>
        <w:t>3</w:t>
      </w:r>
      <w:r w:rsidRPr="00973737">
        <w:rPr>
          <w:i/>
          <w:iCs/>
        </w:rPr>
        <w:t xml:space="preserve"> </w:t>
      </w:r>
      <w:r w:rsidR="00F515ED">
        <w:rPr>
          <w:i/>
          <w:iCs/>
        </w:rPr>
        <w:t>March</w:t>
      </w:r>
      <w:r w:rsidRPr="00973737">
        <w:rPr>
          <w:i/>
          <w:iCs/>
        </w:rPr>
        <w:t xml:space="preserve"> 202</w:t>
      </w:r>
      <w:r w:rsidR="00F515ED">
        <w:rPr>
          <w:i/>
          <w:iCs/>
        </w:rPr>
        <w:t>3</w:t>
      </w:r>
    </w:p>
    <w:p w14:paraId="43C77D20" w14:textId="77777777" w:rsidR="00D71B65" w:rsidRDefault="00D71B65" w:rsidP="00D71B65">
      <w:pPr>
        <w:spacing w:after="60"/>
        <w:jc w:val="both"/>
        <w:rPr>
          <w:rFonts w:cstheme="minorHAnsi"/>
        </w:rPr>
      </w:pPr>
    </w:p>
    <w:p w14:paraId="7DE948CF" w14:textId="77777777" w:rsidR="00692351" w:rsidRPr="00692351" w:rsidRDefault="00692351" w:rsidP="00692351">
      <w:pPr>
        <w:spacing w:after="60"/>
        <w:jc w:val="both"/>
        <w:rPr>
          <w:rFonts w:cstheme="minorHAnsi"/>
        </w:rPr>
      </w:pPr>
      <w:r w:rsidRPr="00692351">
        <w:rPr>
          <w:rFonts w:cstheme="minorHAnsi"/>
        </w:rPr>
        <w:t xml:space="preserve">The main objective of this meeting was to gather insights for the definition of the silvicultural scenarios to be used for the simulation experiment. </w:t>
      </w:r>
    </w:p>
    <w:p w14:paraId="51DEB217" w14:textId="77777777" w:rsidR="00692351" w:rsidRPr="00692351" w:rsidRDefault="00692351" w:rsidP="00692351">
      <w:pPr>
        <w:spacing w:after="60"/>
        <w:jc w:val="both"/>
        <w:rPr>
          <w:rFonts w:cstheme="minorHAnsi"/>
        </w:rPr>
      </w:pPr>
      <w:r w:rsidRPr="00692351">
        <w:rPr>
          <w:rFonts w:cstheme="minorHAnsi"/>
        </w:rPr>
        <w:t>After a round table, the objectives and the methodology of the REGE+ project were first presented. A first set of questions arose regarding the values of forest productivity and economical profitability presented to illustrate two of the possible model outputs to be used to compare the simulations. We explain that the sometimes high values reported for productivity result partly from the fertilizing effect of increasing CO2 atmospheric concentrations with time, especially for the for climate projections corresponding to the most pessimistic emission scenarios, and also from the fact that some of the considered sites were located on fertile sites. Furthermore, the relatively high values for the average yearly profit result from the fact that the simulations started with adult stands which present therefore a substantial economical value, and this initial value strongly influence economical indicators. To correct for this to avoid overestimations, it is recommended to subtract the expected value of the initial stand, instead of its current economical value as done presently, when determining the average yearly profit. In other respects, it is also emphasized that the withholding tax and taxes linked to cadastral income must be taken into account for economic calculations in private forests.</w:t>
      </w:r>
    </w:p>
    <w:p w14:paraId="67630CAC" w14:textId="77777777" w:rsidR="00692351" w:rsidRPr="00692351" w:rsidRDefault="00692351" w:rsidP="00692351">
      <w:pPr>
        <w:spacing w:after="60"/>
        <w:jc w:val="both"/>
        <w:rPr>
          <w:rFonts w:cstheme="minorHAnsi"/>
        </w:rPr>
      </w:pPr>
      <w:r w:rsidRPr="00692351">
        <w:rPr>
          <w:rFonts w:cstheme="minorHAnsi"/>
        </w:rPr>
        <w:t>Then, so as to initiate discussion on the definition of the scenarios, the results of preliminary simulation trials starting from three contrasted case studies (i.e., old even-aged beech stand in Louvain-la-Neuve, oak and hornbeam coppice-with-standards stand in Chimay, and old Norway spruce plantation in conversion into uneven-aged stand close to Léglise) were presented. For each case, three silvicultural scenarios were considered for the simulations: (i) continuous natural regeneration under forest cover so as to maintain or evolve towards an uneven-aged stand, (ii) natural regeneration through progressive cuts to maintain or evolve towards an even-aged stand, and (iii) plantation following clear-cut generating an even-aged stand. For each of these scenarios, alternative versions considering or not the introduction of tree species for diversification were simulated.</w:t>
      </w:r>
    </w:p>
    <w:p w14:paraId="5DEA0709" w14:textId="77777777" w:rsidR="00692351" w:rsidRPr="00692351" w:rsidRDefault="00692351" w:rsidP="00692351">
      <w:pPr>
        <w:spacing w:after="60"/>
        <w:jc w:val="both"/>
        <w:rPr>
          <w:rFonts w:cstheme="minorHAnsi"/>
        </w:rPr>
      </w:pPr>
      <w:r w:rsidRPr="00692351">
        <w:rPr>
          <w:rFonts w:cstheme="minorHAnsi"/>
        </w:rPr>
        <w:t>The 13 forest stands selected as case studies for the project were then reviewed so as to propose for each of them appropriate silvicultural scenarios to be simulated. For its implementation in the model, each scenario has to be defined based on a set of parameters: characterization of the cuttings (intensity, frequency, type, canopy gap size and spatial arrangement), species in presence to favour and species to consider for diversification and the timing to introduce them, and maximum tree harvest dimensions for each species.</w:t>
      </w:r>
    </w:p>
    <w:p w14:paraId="761CDB54" w14:textId="77777777" w:rsidR="00692351" w:rsidRPr="00692351" w:rsidRDefault="00692351" w:rsidP="00692351">
      <w:pPr>
        <w:spacing w:after="60"/>
        <w:jc w:val="both"/>
        <w:rPr>
          <w:rFonts w:cstheme="minorHAnsi"/>
        </w:rPr>
      </w:pPr>
      <w:r w:rsidRPr="00692351">
        <w:rPr>
          <w:rFonts w:cstheme="minorHAnsi"/>
        </w:rPr>
        <w:t>Based on this, some relevant general remarks were formulated:</w:t>
      </w:r>
    </w:p>
    <w:p w14:paraId="4C171768" w14:textId="0C4AAB88" w:rsidR="00692351" w:rsidRPr="00A60419" w:rsidRDefault="00692351" w:rsidP="00A60419">
      <w:pPr>
        <w:pStyle w:val="Paragraphedeliste"/>
        <w:numPr>
          <w:ilvl w:val="0"/>
          <w:numId w:val="4"/>
        </w:numPr>
        <w:spacing w:after="60" w:line="276" w:lineRule="auto"/>
        <w:ind w:left="714" w:hanging="357"/>
        <w:jc w:val="both"/>
        <w:rPr>
          <w:rFonts w:asciiTheme="minorHAnsi" w:hAnsiTheme="minorHAnsi" w:cstheme="minorHAnsi"/>
        </w:rPr>
      </w:pPr>
      <w:r w:rsidRPr="00A60419">
        <w:rPr>
          <w:rFonts w:asciiTheme="minorHAnsi" w:hAnsiTheme="minorHAnsi" w:cstheme="minorHAnsi"/>
        </w:rPr>
        <w:t>in some cases, such as notably the coppice-with-standards of Chimay or in mixed oak-beech forests, the natural regeneration and the development of a target species (e.g., oak) may be compromised due to its limited growth dynamics compared with other target or secondary species, which do not appear to be accounted for in these first simulations. In practice, the solution is to act in favour of slowly growing species by maintaining their regeneration areas and individuals of high quality under optimal light conditions through regular cut of faster growing trees in their surroundings;</w:t>
      </w:r>
    </w:p>
    <w:p w14:paraId="2CE9CE38" w14:textId="76F2D343" w:rsidR="00692351" w:rsidRPr="00A60419" w:rsidRDefault="00692351" w:rsidP="00A60419">
      <w:pPr>
        <w:pStyle w:val="Paragraphedeliste"/>
        <w:numPr>
          <w:ilvl w:val="0"/>
          <w:numId w:val="4"/>
        </w:numPr>
        <w:spacing w:after="60" w:line="276" w:lineRule="auto"/>
        <w:ind w:left="714" w:hanging="357"/>
        <w:jc w:val="both"/>
        <w:rPr>
          <w:rFonts w:asciiTheme="minorHAnsi" w:hAnsiTheme="minorHAnsi" w:cstheme="minorHAnsi"/>
        </w:rPr>
      </w:pPr>
      <w:r w:rsidRPr="00A60419">
        <w:rPr>
          <w:rFonts w:asciiTheme="minorHAnsi" w:hAnsiTheme="minorHAnsi" w:cstheme="minorHAnsi"/>
        </w:rPr>
        <w:t>the detrimental effect of ground vegetation on regeneration development should also be considered, especially when intensive cuts are simulated. This effect of ground vegetation will be species-dependent (e.g., stronger for oak than for beech);</w:t>
      </w:r>
    </w:p>
    <w:p w14:paraId="2099013A" w14:textId="5E770580" w:rsidR="00692351" w:rsidRPr="00A60419" w:rsidRDefault="00692351" w:rsidP="00A60419">
      <w:pPr>
        <w:pStyle w:val="Paragraphedeliste"/>
        <w:numPr>
          <w:ilvl w:val="0"/>
          <w:numId w:val="4"/>
        </w:numPr>
        <w:spacing w:after="60" w:line="276" w:lineRule="auto"/>
        <w:ind w:left="714" w:hanging="357"/>
        <w:jc w:val="both"/>
        <w:rPr>
          <w:rFonts w:asciiTheme="minorHAnsi" w:hAnsiTheme="minorHAnsi" w:cstheme="minorHAnsi"/>
        </w:rPr>
      </w:pPr>
      <w:r w:rsidRPr="00A60419">
        <w:rPr>
          <w:rFonts w:asciiTheme="minorHAnsi" w:hAnsiTheme="minorHAnsi" w:cstheme="minorHAnsi"/>
        </w:rPr>
        <w:lastRenderedPageBreak/>
        <w:t>the species to be considered for diversification have to be adapted to the site, their aptitudes should be checked based on the Fichier écologique des essences;</w:t>
      </w:r>
    </w:p>
    <w:p w14:paraId="28D0E178" w14:textId="38F05073" w:rsidR="00692351" w:rsidRPr="00A60419" w:rsidRDefault="00692351" w:rsidP="00A60419">
      <w:pPr>
        <w:pStyle w:val="Paragraphedeliste"/>
        <w:numPr>
          <w:ilvl w:val="0"/>
          <w:numId w:val="4"/>
        </w:numPr>
        <w:spacing w:line="276" w:lineRule="auto"/>
        <w:ind w:left="714" w:hanging="357"/>
        <w:jc w:val="both"/>
        <w:rPr>
          <w:rFonts w:asciiTheme="minorHAnsi" w:hAnsiTheme="minorHAnsi" w:cstheme="minorHAnsi"/>
        </w:rPr>
      </w:pPr>
      <w:r w:rsidRPr="00A60419">
        <w:rPr>
          <w:rFonts w:asciiTheme="minorHAnsi" w:hAnsiTheme="minorHAnsi" w:cstheme="minorHAnsi"/>
        </w:rPr>
        <w:t>the selected case studies are very contrasted, not only in terms of species composition but also, for a given species, in terms of stand development stage. Therefore, relevant silvicultural scenarios to be tested has then to be examined specifically for each case, as discussed below for most of the selected sites.</w:t>
      </w:r>
    </w:p>
    <w:p w14:paraId="70667270" w14:textId="77777777" w:rsidR="00692351" w:rsidRPr="00692351" w:rsidRDefault="00692351" w:rsidP="00053F4D">
      <w:pPr>
        <w:spacing w:after="0"/>
        <w:jc w:val="both"/>
        <w:rPr>
          <w:rFonts w:cstheme="minorHAnsi"/>
        </w:rPr>
      </w:pPr>
    </w:p>
    <w:p w14:paraId="25411538" w14:textId="77777777" w:rsidR="00692351" w:rsidRPr="00A60419" w:rsidRDefault="00692351" w:rsidP="00692351">
      <w:pPr>
        <w:spacing w:after="60"/>
        <w:jc w:val="both"/>
        <w:rPr>
          <w:rFonts w:cstheme="minorHAnsi"/>
          <w:b/>
          <w:bCs/>
        </w:rPr>
      </w:pPr>
      <w:r w:rsidRPr="00A60419">
        <w:rPr>
          <w:rFonts w:cstheme="minorHAnsi"/>
          <w:b/>
          <w:bCs/>
        </w:rPr>
        <w:t>Silvicultural scenarios proposed for beech-dominated study cases</w:t>
      </w:r>
    </w:p>
    <w:p w14:paraId="4CD7D9CA" w14:textId="77777777" w:rsidR="00692351" w:rsidRPr="00692351" w:rsidRDefault="00692351" w:rsidP="00692351">
      <w:pPr>
        <w:spacing w:after="60"/>
        <w:jc w:val="both"/>
        <w:rPr>
          <w:rFonts w:cstheme="minorHAnsi"/>
        </w:rPr>
      </w:pPr>
      <w:r w:rsidRPr="00692351">
        <w:rPr>
          <w:rFonts w:cstheme="minorHAnsi"/>
        </w:rPr>
        <w:t>With average trunk circumference at breast height (C130) around 120 cm, the beech stands of Eupen and Baileux are still rather young and the trees have not yet reached the recommended C130 for harvest around 220 cm for the Haute Ardenne to 250 cm for richer sites. Therefore, it is advised to continue the current management as even-aged stand by performing mixed cuttings for 50 years before considering initiating the regeneration and/or the conversion into uneven-aged stand, otherwise sacrifices of exploitability would occur.</w:t>
      </w:r>
    </w:p>
    <w:p w14:paraId="0FCAE910" w14:textId="77777777" w:rsidR="00692351" w:rsidRPr="00692351" w:rsidRDefault="00692351" w:rsidP="00692351">
      <w:pPr>
        <w:spacing w:after="60"/>
        <w:jc w:val="both"/>
        <w:rPr>
          <w:rFonts w:cstheme="minorHAnsi"/>
        </w:rPr>
      </w:pPr>
      <w:r w:rsidRPr="00692351">
        <w:rPr>
          <w:rFonts w:cstheme="minorHAnsi"/>
        </w:rPr>
        <w:t>Once the harvest dimension is reached, progressive cuts are preferred to plantation for the regeneration towards a new even-aged stand. Indeed, plantations produce more random results for beech and forest managers try to avoid them. Yet, even using progressive cuts, it is important to pay attention to blockage situations that may arise due to the development of the ground vegetation (bramble, fern).</w:t>
      </w:r>
    </w:p>
    <w:p w14:paraId="765BB3A5" w14:textId="77777777" w:rsidR="00692351" w:rsidRPr="00692351" w:rsidRDefault="00692351" w:rsidP="00692351">
      <w:pPr>
        <w:spacing w:after="60"/>
        <w:jc w:val="both"/>
        <w:rPr>
          <w:rFonts w:cstheme="minorHAnsi"/>
        </w:rPr>
      </w:pPr>
      <w:r w:rsidRPr="00692351">
        <w:rPr>
          <w:rFonts w:cstheme="minorHAnsi"/>
        </w:rPr>
        <w:t>Conversion into an uneven-aged stand would be carried out through progressive reduction of the stand density to reach a target basal area of 16 m²/ha while limiting the harvest intensity to maximum 20% of the standing basal area at each cutting. For this, cuts are performed among the largest trees, by removing first the less well shaped individuals, and creating thereby canopy gaps stimulating regeneration development.</w:t>
      </w:r>
    </w:p>
    <w:p w14:paraId="3707C0EB" w14:textId="77777777" w:rsidR="00692351" w:rsidRPr="00692351" w:rsidRDefault="00692351" w:rsidP="00A60419">
      <w:pPr>
        <w:spacing w:after="0"/>
        <w:jc w:val="both"/>
        <w:rPr>
          <w:rFonts w:cstheme="minorHAnsi"/>
        </w:rPr>
      </w:pPr>
      <w:r w:rsidRPr="00692351">
        <w:rPr>
          <w:rFonts w:cstheme="minorHAnsi"/>
        </w:rPr>
        <w:t>Diversification could be done either by promoting the development of the natural regeneration of other species if adult trees are present in the surroundings of the stand or by the introduction of 2-3 deciduous species in regeneration cones through monospecific plantations in cells of 3 to 5 ares located into gaps generated by the tree harvesting. However, this necessitates regular breaking or girdling of the concurrent beech individuals to maintain the species mixture. Another possibility for diversification is to introduce species at once in cells covering in total 10% of the stand area. When carried out at the occasion of progressive cuts, plantations for diversification should be carried out after the last cut to avoid damages. Potential candidate species for diversification in such stands are sessile oak, linden, maple, chestnut, wild cherry and red oak.</w:t>
      </w:r>
    </w:p>
    <w:p w14:paraId="3F80DA80" w14:textId="77777777" w:rsidR="00692351" w:rsidRPr="00692351" w:rsidRDefault="00692351" w:rsidP="00053F4D">
      <w:pPr>
        <w:spacing w:after="0"/>
        <w:jc w:val="both"/>
        <w:rPr>
          <w:rFonts w:cstheme="minorHAnsi"/>
        </w:rPr>
      </w:pPr>
    </w:p>
    <w:p w14:paraId="4D4B4641" w14:textId="77777777" w:rsidR="00692351" w:rsidRPr="00A60419" w:rsidRDefault="00692351" w:rsidP="00692351">
      <w:pPr>
        <w:spacing w:after="60"/>
        <w:jc w:val="both"/>
        <w:rPr>
          <w:rFonts w:cstheme="minorHAnsi"/>
          <w:b/>
          <w:bCs/>
        </w:rPr>
      </w:pPr>
      <w:r w:rsidRPr="00A60419">
        <w:rPr>
          <w:rFonts w:cstheme="minorHAnsi"/>
          <w:b/>
          <w:bCs/>
        </w:rPr>
        <w:t>Silvicultural scenarios proposed for oak-dominated study cases</w:t>
      </w:r>
    </w:p>
    <w:p w14:paraId="5BD2F8B7" w14:textId="77777777" w:rsidR="00692351" w:rsidRPr="00692351" w:rsidRDefault="00692351" w:rsidP="00692351">
      <w:pPr>
        <w:spacing w:after="60"/>
        <w:jc w:val="both"/>
        <w:rPr>
          <w:rFonts w:cstheme="minorHAnsi"/>
        </w:rPr>
      </w:pPr>
      <w:r w:rsidRPr="00692351">
        <w:rPr>
          <w:rFonts w:cstheme="minorHAnsi"/>
        </w:rPr>
        <w:t>The management of oak dominated stands with the presence of hornbeams and a beech regeneration in the understorey towards an uneven-aged oak-beech stand would request to perform cuttings from below by harvesting much preferentially beech. A potentially successful technique to this aim comes from the ‘qualification – dimensioning (QD) method’ and consists in the creation of triangular openings of 2-3 ares covering 10-15% of the stand area and located each at the south of an adult oak tree which is expected to produce acorns for initiating the natural regeneration. The operations in favour of the installation and the development of the regeneration are conducted exclusively in those regeneration cones. Plantations will be carried out if natural regeneration fails. Linden, wild cherry and wild service tree are suitable species for diversification.</w:t>
      </w:r>
    </w:p>
    <w:p w14:paraId="479C5ACC" w14:textId="77777777" w:rsidR="00692351" w:rsidRPr="00692351" w:rsidRDefault="00692351" w:rsidP="00053F4D">
      <w:pPr>
        <w:spacing w:after="0"/>
        <w:jc w:val="both"/>
        <w:rPr>
          <w:rFonts w:cstheme="minorHAnsi"/>
        </w:rPr>
      </w:pPr>
      <w:r w:rsidRPr="00692351">
        <w:rPr>
          <w:rFonts w:cstheme="minorHAnsi"/>
        </w:rPr>
        <w:lastRenderedPageBreak/>
        <w:t>The management aiming at maintaining an even-aged stand appears not to be appropriate at these sites.</w:t>
      </w:r>
    </w:p>
    <w:p w14:paraId="5454278A" w14:textId="77777777" w:rsidR="00692351" w:rsidRPr="00692351" w:rsidRDefault="00692351" w:rsidP="00053F4D">
      <w:pPr>
        <w:spacing w:after="0"/>
        <w:jc w:val="both"/>
        <w:rPr>
          <w:rFonts w:cstheme="minorHAnsi"/>
        </w:rPr>
      </w:pPr>
    </w:p>
    <w:p w14:paraId="3B7DB465" w14:textId="77777777" w:rsidR="00692351" w:rsidRPr="00A60419" w:rsidRDefault="00692351" w:rsidP="00692351">
      <w:pPr>
        <w:spacing w:after="60"/>
        <w:jc w:val="both"/>
        <w:rPr>
          <w:rFonts w:cstheme="minorHAnsi"/>
          <w:b/>
          <w:bCs/>
        </w:rPr>
      </w:pPr>
      <w:r w:rsidRPr="00A60419">
        <w:rPr>
          <w:rFonts w:cstheme="minorHAnsi"/>
          <w:b/>
          <w:bCs/>
        </w:rPr>
        <w:t>Silvicultural scenarios proposed for oak-beech mixture study cases</w:t>
      </w:r>
    </w:p>
    <w:p w14:paraId="607E69AC" w14:textId="77777777" w:rsidR="00692351" w:rsidRPr="00692351" w:rsidRDefault="00692351" w:rsidP="00053F4D">
      <w:pPr>
        <w:spacing w:after="0"/>
        <w:jc w:val="both"/>
        <w:rPr>
          <w:rFonts w:cstheme="minorHAnsi"/>
        </w:rPr>
      </w:pPr>
      <w:r w:rsidRPr="00692351">
        <w:rPr>
          <w:rFonts w:cstheme="minorHAnsi"/>
        </w:rPr>
        <w:t>Regeneration of those stands could be initiated either through the creation of openings in the canopy or by performing cuts from below. In these situations, sacrifices of exploitability are acceptable to promote regeneration and to maintain the mixture, and it is therefore not necessary to wait for the trees to reach the harvest dimension before acting in favour of the regeneration.</w:t>
      </w:r>
    </w:p>
    <w:p w14:paraId="21593651" w14:textId="77777777" w:rsidR="00692351" w:rsidRPr="00692351" w:rsidRDefault="00692351" w:rsidP="00053F4D">
      <w:pPr>
        <w:spacing w:after="0"/>
        <w:jc w:val="both"/>
        <w:rPr>
          <w:rFonts w:cstheme="minorHAnsi"/>
        </w:rPr>
      </w:pPr>
    </w:p>
    <w:p w14:paraId="76859711" w14:textId="77777777" w:rsidR="00692351" w:rsidRPr="00A60419" w:rsidRDefault="00692351" w:rsidP="00692351">
      <w:pPr>
        <w:spacing w:after="60"/>
        <w:jc w:val="both"/>
        <w:rPr>
          <w:rFonts w:cstheme="minorHAnsi"/>
          <w:b/>
          <w:bCs/>
        </w:rPr>
      </w:pPr>
      <w:r w:rsidRPr="00A60419">
        <w:rPr>
          <w:rFonts w:cstheme="minorHAnsi"/>
          <w:b/>
          <w:bCs/>
        </w:rPr>
        <w:t>Silvicultural scenarios proposed for Norway spruce-dominated study cases</w:t>
      </w:r>
    </w:p>
    <w:p w14:paraId="7E01589D" w14:textId="77777777" w:rsidR="00692351" w:rsidRPr="00692351" w:rsidRDefault="00692351" w:rsidP="00692351">
      <w:pPr>
        <w:spacing w:after="60"/>
        <w:jc w:val="both"/>
        <w:rPr>
          <w:rFonts w:cstheme="minorHAnsi"/>
        </w:rPr>
      </w:pPr>
      <w:r w:rsidRPr="00692351">
        <w:rPr>
          <w:rFonts w:cstheme="minorHAnsi"/>
        </w:rPr>
        <w:t>For the three corresponding selected sites (i.e., Gedinne, Les Fossés and Buchholz), the current stands are too old to consider conversion to uneven-aged stands. Indeed, the creation of openings in the canopy or cuts from above are highly likely to destabilize the stands and to cause windfall damages. Similarly, progressive cuts to regenerate naturally towards even-aged stands also appear risky and, if adopted, should be made in a short period of time: two cuts spaced by six years maximum. The clear cut of the stands followed by plantation seems to be the best option here. Yet, it is recommended to seek advice from practitioners more familiar with such situations, who could not be present at this meeting.</w:t>
      </w:r>
    </w:p>
    <w:p w14:paraId="14B17F8A" w14:textId="77777777" w:rsidR="00692351" w:rsidRPr="00692351" w:rsidRDefault="00692351" w:rsidP="00053F4D">
      <w:pPr>
        <w:spacing w:after="0"/>
        <w:jc w:val="both"/>
        <w:rPr>
          <w:rFonts w:cstheme="minorHAnsi"/>
        </w:rPr>
      </w:pPr>
      <w:r w:rsidRPr="00692351">
        <w:rPr>
          <w:rFonts w:cstheme="minorHAnsi"/>
        </w:rPr>
        <w:t>For Gedinne, a detailed stand characterization allowing the initialize the model is also available for the year 1999. Starting the simulations from that younger stand would be an option to allow for natural regeneration of the stand.</w:t>
      </w:r>
    </w:p>
    <w:p w14:paraId="78769863" w14:textId="77777777" w:rsidR="00692351" w:rsidRPr="00692351" w:rsidRDefault="00692351" w:rsidP="00053F4D">
      <w:pPr>
        <w:spacing w:after="0"/>
        <w:jc w:val="both"/>
        <w:rPr>
          <w:rFonts w:cstheme="minorHAnsi"/>
        </w:rPr>
      </w:pPr>
    </w:p>
    <w:p w14:paraId="78C10433" w14:textId="77777777" w:rsidR="00692351" w:rsidRPr="00A60419" w:rsidRDefault="00692351" w:rsidP="00692351">
      <w:pPr>
        <w:spacing w:after="60"/>
        <w:jc w:val="both"/>
        <w:rPr>
          <w:rFonts w:cstheme="minorHAnsi"/>
          <w:b/>
          <w:bCs/>
        </w:rPr>
      </w:pPr>
      <w:r w:rsidRPr="00A60419">
        <w:rPr>
          <w:rFonts w:cstheme="minorHAnsi"/>
          <w:b/>
          <w:bCs/>
        </w:rPr>
        <w:t>Silvicultural scenarios proposed for Douglas fir-dominated study cases</w:t>
      </w:r>
    </w:p>
    <w:p w14:paraId="1FCB0AA5" w14:textId="77777777" w:rsidR="00692351" w:rsidRPr="00692351" w:rsidRDefault="00692351" w:rsidP="00692351">
      <w:pPr>
        <w:spacing w:after="60"/>
        <w:jc w:val="both"/>
        <w:rPr>
          <w:rFonts w:cstheme="minorHAnsi"/>
        </w:rPr>
      </w:pPr>
      <w:r w:rsidRPr="00692351">
        <w:rPr>
          <w:rFonts w:cstheme="minorHAnsi"/>
        </w:rPr>
        <w:t xml:space="preserve">Douglas fir trees present a greater individual resistance to windfall compared to spruce, and the creation of openings in the canopy as well as quite intensive cuts from above are possible in the selected stands even though their advanced age. </w:t>
      </w:r>
    </w:p>
    <w:p w14:paraId="4B6427FE" w14:textId="77777777" w:rsidR="00692351" w:rsidRPr="00692351" w:rsidRDefault="00692351" w:rsidP="00692351">
      <w:pPr>
        <w:spacing w:after="60"/>
        <w:jc w:val="both"/>
        <w:rPr>
          <w:rFonts w:cstheme="minorHAnsi"/>
        </w:rPr>
      </w:pPr>
      <w:r w:rsidRPr="00692351">
        <w:rPr>
          <w:rFonts w:cstheme="minorHAnsi"/>
        </w:rPr>
        <w:t>Based on this discussion with the stakeholders, the selection of the study cases needs to be revised to better consider stands at a development stage allowing for natural regeneration, which corresponds to the silvicultural phase of prime interest for this project. Indeed, some initially selected stands were either too young to initiate regeneration without generating sacrifices of exploitability or too old to allow cuttings favouring the installation of regeneration without risking to destabilize the stand, especially for Norway spruce in the latter case. Modifications of the initial selection of the study cases and their justifications are presented in Task 4.1 in this report.</w:t>
      </w:r>
    </w:p>
    <w:p w14:paraId="07C1E3BF" w14:textId="5C5F231F" w:rsidR="00F515ED" w:rsidRDefault="00692351" w:rsidP="00692351">
      <w:pPr>
        <w:spacing w:after="60"/>
        <w:jc w:val="both"/>
        <w:rPr>
          <w:rFonts w:cstheme="minorHAnsi"/>
        </w:rPr>
      </w:pPr>
      <w:r w:rsidRPr="00692351">
        <w:rPr>
          <w:rFonts w:cstheme="minorHAnsi"/>
        </w:rPr>
        <w:t>Regarding the silvicultural scenarios to be tested for the selected study cases, following this meeting we propose to primarily investigate scenarios resorting to natural regeneration and to consider the evolutions towards both even-aged and uneven-aged structures in case of even-aged initial stand, and to act so as to maintain the uneven-aged structure when starting from an uneven-aged stand. In each case, scenarios will be simulated with and without consideration of species diversification, which aims at introducing at least 40% of other species than the main one. Plantations will be used only when required, namely, in case of blockage situations in which natural regeneration fails or for the introduction of new species in the stand for diversification.</w:t>
      </w:r>
    </w:p>
    <w:p w14:paraId="76A75515" w14:textId="77777777" w:rsidR="00053F4D" w:rsidRPr="00D71B65" w:rsidRDefault="00053F4D" w:rsidP="00D71B65">
      <w:pPr>
        <w:spacing w:after="60"/>
        <w:jc w:val="both"/>
        <w:rPr>
          <w:rFonts w:cstheme="minorHAnsi"/>
        </w:rPr>
      </w:pPr>
    </w:p>
    <w:sectPr w:rsidR="00053F4D" w:rsidRPr="00D71B65" w:rsidSect="00D1037D">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16B5E" w14:textId="77777777" w:rsidR="006D2F53" w:rsidRDefault="006D2F53" w:rsidP="00CC34C2">
      <w:pPr>
        <w:spacing w:after="0" w:line="240" w:lineRule="auto"/>
      </w:pPr>
      <w:r>
        <w:separator/>
      </w:r>
    </w:p>
    <w:p w14:paraId="45D0D129" w14:textId="77777777" w:rsidR="006D2F53" w:rsidRDefault="006D2F53"/>
  </w:endnote>
  <w:endnote w:type="continuationSeparator" w:id="0">
    <w:p w14:paraId="2D54D959" w14:textId="77777777" w:rsidR="006D2F53" w:rsidRDefault="006D2F53" w:rsidP="00CC34C2">
      <w:pPr>
        <w:spacing w:after="0" w:line="240" w:lineRule="auto"/>
      </w:pPr>
      <w:r>
        <w:continuationSeparator/>
      </w:r>
    </w:p>
    <w:p w14:paraId="2B230493" w14:textId="77777777" w:rsidR="006D2F53" w:rsidRDefault="006D2F53"/>
  </w:endnote>
  <w:endnote w:type="continuationNotice" w:id="1">
    <w:p w14:paraId="54C5C94B" w14:textId="77777777" w:rsidR="006D2F53" w:rsidRDefault="006D2F53">
      <w:pPr>
        <w:spacing w:after="0" w:line="240" w:lineRule="auto"/>
      </w:pPr>
    </w:p>
    <w:p w14:paraId="42C833EA" w14:textId="77777777" w:rsidR="006D2F53" w:rsidRDefault="006D2F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Omega">
    <w:altName w:val="Times New Roman"/>
    <w:charset w:val="00"/>
    <w:family w:val="auto"/>
    <w:pitch w:val="default"/>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E6240" w14:textId="77777777" w:rsidR="00FA00EC" w:rsidRPr="00CC34C2" w:rsidRDefault="00FA00EC" w:rsidP="002B1E52">
    <w:pPr>
      <w:pStyle w:val="Pieddepage"/>
      <w:pBdr>
        <w:top w:val="single" w:sz="4" w:space="1" w:color="auto"/>
      </w:pBdr>
      <w:tabs>
        <w:tab w:val="clear" w:pos="8640"/>
        <w:tab w:val="right" w:pos="9356"/>
      </w:tabs>
      <w:ind w:right="-286"/>
      <w:rPr>
        <w:rFonts w:asciiTheme="minorHAnsi" w:hAnsiTheme="minorHAnsi"/>
        <w:sz w:val="18"/>
        <w:szCs w:val="18"/>
      </w:rPr>
    </w:pPr>
    <w:r w:rsidRPr="00CC34C2">
      <w:rPr>
        <w:rFonts w:asciiTheme="minorHAnsi" w:hAnsiTheme="minorHAnsi"/>
        <w:sz w:val="18"/>
        <w:szCs w:val="18"/>
      </w:rPr>
      <w:t xml:space="preserve">BRAIN-be </w:t>
    </w:r>
    <w:r>
      <w:rPr>
        <w:rFonts w:asciiTheme="minorHAnsi" w:hAnsiTheme="minorHAnsi"/>
        <w:sz w:val="18"/>
        <w:szCs w:val="18"/>
      </w:rPr>
      <w:t xml:space="preserve">2.0 </w:t>
    </w:r>
    <w:r w:rsidRPr="00CC34C2">
      <w:rPr>
        <w:rFonts w:asciiTheme="minorHAnsi" w:hAnsiTheme="minorHAnsi"/>
        <w:sz w:val="18"/>
        <w:szCs w:val="18"/>
      </w:rPr>
      <w:t>(Belgian Research Action through Interdisciplinary Networks)</w:t>
    </w:r>
    <w:r w:rsidRPr="00CC34C2">
      <w:rPr>
        <w:rFonts w:asciiTheme="minorHAnsi" w:hAnsiTheme="minorHAnsi"/>
        <w:sz w:val="18"/>
        <w:szCs w:val="18"/>
      </w:rPr>
      <w:tab/>
    </w:r>
    <w:r w:rsidRPr="00CC34C2">
      <w:rPr>
        <w:rStyle w:val="Numrodepage"/>
        <w:rFonts w:asciiTheme="minorHAnsi" w:hAnsiTheme="minorHAnsi"/>
        <w:sz w:val="18"/>
        <w:szCs w:val="18"/>
      </w:rPr>
      <w:fldChar w:fldCharType="begin"/>
    </w:r>
    <w:r w:rsidRPr="00CC34C2">
      <w:rPr>
        <w:rStyle w:val="Numrodepage"/>
        <w:rFonts w:asciiTheme="minorHAnsi" w:hAnsiTheme="minorHAnsi"/>
        <w:sz w:val="18"/>
        <w:szCs w:val="18"/>
      </w:rPr>
      <w:instrText xml:space="preserve"> PAGE </w:instrText>
    </w:r>
    <w:r w:rsidRPr="00CC34C2">
      <w:rPr>
        <w:rStyle w:val="Numrodepage"/>
        <w:rFonts w:asciiTheme="minorHAnsi" w:hAnsiTheme="minorHAnsi"/>
        <w:sz w:val="18"/>
        <w:szCs w:val="18"/>
      </w:rPr>
      <w:fldChar w:fldCharType="separate"/>
    </w:r>
    <w:r>
      <w:rPr>
        <w:rStyle w:val="Numrodepage"/>
        <w:rFonts w:asciiTheme="minorHAnsi" w:hAnsiTheme="minorHAnsi"/>
        <w:noProof/>
        <w:sz w:val="18"/>
        <w:szCs w:val="18"/>
      </w:rPr>
      <w:t>2</w:t>
    </w:r>
    <w:r w:rsidRPr="00CC34C2">
      <w:rPr>
        <w:rStyle w:val="Numrodepage"/>
        <w:rFonts w:asciiTheme="minorHAnsi" w:hAnsi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533C0" w14:textId="77777777" w:rsidR="006D2F53" w:rsidRDefault="006D2F53" w:rsidP="00CC34C2">
      <w:pPr>
        <w:spacing w:after="0" w:line="240" w:lineRule="auto"/>
      </w:pPr>
      <w:r>
        <w:separator/>
      </w:r>
    </w:p>
    <w:p w14:paraId="675F2756" w14:textId="77777777" w:rsidR="006D2F53" w:rsidRDefault="006D2F53"/>
  </w:footnote>
  <w:footnote w:type="continuationSeparator" w:id="0">
    <w:p w14:paraId="4B707757" w14:textId="77777777" w:rsidR="006D2F53" w:rsidRDefault="006D2F53" w:rsidP="00CC34C2">
      <w:pPr>
        <w:spacing w:after="0" w:line="240" w:lineRule="auto"/>
      </w:pPr>
      <w:r>
        <w:continuationSeparator/>
      </w:r>
    </w:p>
    <w:p w14:paraId="349F1694" w14:textId="77777777" w:rsidR="006D2F53" w:rsidRDefault="006D2F53"/>
  </w:footnote>
  <w:footnote w:type="continuationNotice" w:id="1">
    <w:p w14:paraId="566A2FDC" w14:textId="77777777" w:rsidR="006D2F53" w:rsidRDefault="006D2F53">
      <w:pPr>
        <w:spacing w:after="0" w:line="240" w:lineRule="auto"/>
      </w:pPr>
    </w:p>
    <w:p w14:paraId="42BAFE89" w14:textId="77777777" w:rsidR="006D2F53" w:rsidRDefault="006D2F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CFF83" w14:textId="75951E5A" w:rsidR="00FA00EC" w:rsidRPr="00CC34C2" w:rsidRDefault="00FA00EC" w:rsidP="002B1E52">
    <w:pPr>
      <w:pStyle w:val="En-tte"/>
      <w:pBdr>
        <w:bottom w:val="single" w:sz="4" w:space="1" w:color="auto"/>
      </w:pBdr>
      <w:tabs>
        <w:tab w:val="clear" w:pos="9026"/>
      </w:tabs>
      <w:ind w:right="-283"/>
      <w:rPr>
        <w:sz w:val="18"/>
        <w:szCs w:val="18"/>
      </w:rPr>
    </w:pPr>
    <w:r w:rsidRPr="00B17478">
      <w:rPr>
        <w:sz w:val="18"/>
        <w:szCs w:val="18"/>
      </w:rPr>
      <w:t>Project B2/212/P1/REGE+ - Forest regeneration under climate and environmental changes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5CD6" w14:textId="77777777" w:rsidR="00FA00EC" w:rsidRDefault="00FA00EC" w:rsidP="002B1E52">
    <w:pPr>
      <w:pStyle w:val="En-tte"/>
      <w:ind w:left="-1134" w:right="-1134"/>
    </w:pPr>
  </w:p>
  <w:p w14:paraId="26CF57CF" w14:textId="77777777" w:rsidR="00FA00EC" w:rsidRDefault="00FA00E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50EE"/>
    <w:multiLevelType w:val="hybridMultilevel"/>
    <w:tmpl w:val="53346E9C"/>
    <w:lvl w:ilvl="0" w:tplc="966635FC">
      <w:start w:val="7"/>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3877445"/>
    <w:multiLevelType w:val="multilevel"/>
    <w:tmpl w:val="97BEE4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F94E5B"/>
    <w:multiLevelType w:val="hybridMultilevel"/>
    <w:tmpl w:val="49F23258"/>
    <w:lvl w:ilvl="0" w:tplc="88D0FCE4">
      <w:start w:val="2"/>
      <w:numFmt w:val="bullet"/>
      <w:lvlText w:val="-"/>
      <w:lvlJc w:val="left"/>
      <w:pPr>
        <w:ind w:left="951" w:hanging="360"/>
      </w:pPr>
      <w:rPr>
        <w:rFonts w:ascii="Calibri" w:eastAsia="CG Omega" w:hAnsi="Calibri" w:cs="Calibri" w:hint="default"/>
      </w:rPr>
    </w:lvl>
    <w:lvl w:ilvl="1" w:tplc="080C0003" w:tentative="1">
      <w:start w:val="1"/>
      <w:numFmt w:val="bullet"/>
      <w:lvlText w:val="o"/>
      <w:lvlJc w:val="left"/>
      <w:pPr>
        <w:ind w:left="1671" w:hanging="360"/>
      </w:pPr>
      <w:rPr>
        <w:rFonts w:ascii="Courier New" w:hAnsi="Courier New" w:cs="Courier New" w:hint="default"/>
      </w:rPr>
    </w:lvl>
    <w:lvl w:ilvl="2" w:tplc="080C0005" w:tentative="1">
      <w:start w:val="1"/>
      <w:numFmt w:val="bullet"/>
      <w:lvlText w:val=""/>
      <w:lvlJc w:val="left"/>
      <w:pPr>
        <w:ind w:left="2391" w:hanging="360"/>
      </w:pPr>
      <w:rPr>
        <w:rFonts w:ascii="Wingdings" w:hAnsi="Wingdings" w:hint="default"/>
      </w:rPr>
    </w:lvl>
    <w:lvl w:ilvl="3" w:tplc="080C0001" w:tentative="1">
      <w:start w:val="1"/>
      <w:numFmt w:val="bullet"/>
      <w:lvlText w:val=""/>
      <w:lvlJc w:val="left"/>
      <w:pPr>
        <w:ind w:left="3111" w:hanging="360"/>
      </w:pPr>
      <w:rPr>
        <w:rFonts w:ascii="Symbol" w:hAnsi="Symbol" w:hint="default"/>
      </w:rPr>
    </w:lvl>
    <w:lvl w:ilvl="4" w:tplc="080C0003" w:tentative="1">
      <w:start w:val="1"/>
      <w:numFmt w:val="bullet"/>
      <w:lvlText w:val="o"/>
      <w:lvlJc w:val="left"/>
      <w:pPr>
        <w:ind w:left="3831" w:hanging="360"/>
      </w:pPr>
      <w:rPr>
        <w:rFonts w:ascii="Courier New" w:hAnsi="Courier New" w:cs="Courier New" w:hint="default"/>
      </w:rPr>
    </w:lvl>
    <w:lvl w:ilvl="5" w:tplc="080C0005" w:tentative="1">
      <w:start w:val="1"/>
      <w:numFmt w:val="bullet"/>
      <w:lvlText w:val=""/>
      <w:lvlJc w:val="left"/>
      <w:pPr>
        <w:ind w:left="4551" w:hanging="360"/>
      </w:pPr>
      <w:rPr>
        <w:rFonts w:ascii="Wingdings" w:hAnsi="Wingdings" w:hint="default"/>
      </w:rPr>
    </w:lvl>
    <w:lvl w:ilvl="6" w:tplc="080C0001" w:tentative="1">
      <w:start w:val="1"/>
      <w:numFmt w:val="bullet"/>
      <w:lvlText w:val=""/>
      <w:lvlJc w:val="left"/>
      <w:pPr>
        <w:ind w:left="5271" w:hanging="360"/>
      </w:pPr>
      <w:rPr>
        <w:rFonts w:ascii="Symbol" w:hAnsi="Symbol" w:hint="default"/>
      </w:rPr>
    </w:lvl>
    <w:lvl w:ilvl="7" w:tplc="080C0003" w:tentative="1">
      <w:start w:val="1"/>
      <w:numFmt w:val="bullet"/>
      <w:lvlText w:val="o"/>
      <w:lvlJc w:val="left"/>
      <w:pPr>
        <w:ind w:left="5991" w:hanging="360"/>
      </w:pPr>
      <w:rPr>
        <w:rFonts w:ascii="Courier New" w:hAnsi="Courier New" w:cs="Courier New" w:hint="default"/>
      </w:rPr>
    </w:lvl>
    <w:lvl w:ilvl="8" w:tplc="080C0005" w:tentative="1">
      <w:start w:val="1"/>
      <w:numFmt w:val="bullet"/>
      <w:lvlText w:val=""/>
      <w:lvlJc w:val="left"/>
      <w:pPr>
        <w:ind w:left="6711" w:hanging="360"/>
      </w:pPr>
      <w:rPr>
        <w:rFonts w:ascii="Wingdings" w:hAnsi="Wingdings" w:hint="default"/>
      </w:rPr>
    </w:lvl>
  </w:abstractNum>
  <w:abstractNum w:abstractNumId="3" w15:restartNumberingAfterBreak="0">
    <w:nsid w:val="0D802369"/>
    <w:multiLevelType w:val="multilevel"/>
    <w:tmpl w:val="427CF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304617"/>
    <w:multiLevelType w:val="hybridMultilevel"/>
    <w:tmpl w:val="010681F8"/>
    <w:lvl w:ilvl="0" w:tplc="AF84EFBE">
      <w:start w:val="1"/>
      <w:numFmt w:val="lowerRoman"/>
      <w:lvlText w:val="(%1)"/>
      <w:lvlJc w:val="left"/>
      <w:pPr>
        <w:ind w:left="502" w:hanging="360"/>
      </w:pPr>
    </w:lvl>
    <w:lvl w:ilvl="1" w:tplc="DB5874FE">
      <w:start w:val="1"/>
      <w:numFmt w:val="lowerLetter"/>
      <w:lvlText w:val="%2."/>
      <w:lvlJc w:val="left"/>
      <w:pPr>
        <w:ind w:left="1222" w:hanging="360"/>
      </w:pPr>
    </w:lvl>
    <w:lvl w:ilvl="2" w:tplc="C0365946">
      <w:start w:val="1"/>
      <w:numFmt w:val="lowerRoman"/>
      <w:lvlText w:val="%3."/>
      <w:lvlJc w:val="right"/>
      <w:pPr>
        <w:ind w:left="1942" w:hanging="180"/>
      </w:pPr>
    </w:lvl>
    <w:lvl w:ilvl="3" w:tplc="3A9A700C">
      <w:start w:val="1"/>
      <w:numFmt w:val="decimal"/>
      <w:lvlText w:val="%4."/>
      <w:lvlJc w:val="left"/>
      <w:pPr>
        <w:ind w:left="2662" w:hanging="360"/>
      </w:pPr>
    </w:lvl>
    <w:lvl w:ilvl="4" w:tplc="130AC468">
      <w:start w:val="1"/>
      <w:numFmt w:val="lowerLetter"/>
      <w:lvlText w:val="%5."/>
      <w:lvlJc w:val="left"/>
      <w:pPr>
        <w:ind w:left="3382" w:hanging="360"/>
      </w:pPr>
    </w:lvl>
    <w:lvl w:ilvl="5" w:tplc="838AE850">
      <w:start w:val="1"/>
      <w:numFmt w:val="lowerRoman"/>
      <w:lvlText w:val="%6."/>
      <w:lvlJc w:val="right"/>
      <w:pPr>
        <w:ind w:left="4102" w:hanging="180"/>
      </w:pPr>
    </w:lvl>
    <w:lvl w:ilvl="6" w:tplc="D624C054">
      <w:start w:val="1"/>
      <w:numFmt w:val="decimal"/>
      <w:lvlText w:val="%7."/>
      <w:lvlJc w:val="left"/>
      <w:pPr>
        <w:ind w:left="4822" w:hanging="360"/>
      </w:pPr>
    </w:lvl>
    <w:lvl w:ilvl="7" w:tplc="F26E22D2">
      <w:start w:val="1"/>
      <w:numFmt w:val="lowerLetter"/>
      <w:lvlText w:val="%8."/>
      <w:lvlJc w:val="left"/>
      <w:pPr>
        <w:ind w:left="5542" w:hanging="360"/>
      </w:pPr>
    </w:lvl>
    <w:lvl w:ilvl="8" w:tplc="3B0EF06C">
      <w:start w:val="1"/>
      <w:numFmt w:val="lowerRoman"/>
      <w:lvlText w:val="%9."/>
      <w:lvlJc w:val="right"/>
      <w:pPr>
        <w:ind w:left="6262" w:hanging="180"/>
      </w:pPr>
    </w:lvl>
  </w:abstractNum>
  <w:abstractNum w:abstractNumId="5" w15:restartNumberingAfterBreak="0">
    <w:nsid w:val="204E0723"/>
    <w:multiLevelType w:val="multilevel"/>
    <w:tmpl w:val="122698EA"/>
    <w:lvl w:ilvl="0">
      <w:start w:val="2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A70EBD"/>
    <w:multiLevelType w:val="hybridMultilevel"/>
    <w:tmpl w:val="ABA673E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2DC76F9B"/>
    <w:multiLevelType w:val="hybridMultilevel"/>
    <w:tmpl w:val="C3DA1260"/>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8" w15:restartNumberingAfterBreak="0">
    <w:nsid w:val="31095740"/>
    <w:multiLevelType w:val="hybridMultilevel"/>
    <w:tmpl w:val="A3B61A76"/>
    <w:lvl w:ilvl="0" w:tplc="9F1EC1C6">
      <w:start w:val="1"/>
      <w:numFmt w:val="lowerRoman"/>
      <w:lvlText w:val="(%1)"/>
      <w:lvlJc w:val="right"/>
      <w:pPr>
        <w:ind w:left="1069" w:hanging="360"/>
      </w:pPr>
      <w:rPr>
        <w:rFonts w:asciiTheme="minorHAnsi" w:hAnsiTheme="minorHAnsi"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2DB2809"/>
    <w:multiLevelType w:val="hybridMultilevel"/>
    <w:tmpl w:val="19A2E4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A1D7271"/>
    <w:multiLevelType w:val="multilevel"/>
    <w:tmpl w:val="4ABC8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FA1787C"/>
    <w:multiLevelType w:val="hybridMultilevel"/>
    <w:tmpl w:val="7B68EA1A"/>
    <w:lvl w:ilvl="0" w:tplc="304C5320">
      <w:start w:val="1"/>
      <w:numFmt w:val="lowerRoman"/>
      <w:lvlText w:val="(%1)"/>
      <w:lvlJc w:val="left"/>
      <w:pPr>
        <w:ind w:left="1571" w:hanging="72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abstractNum w:abstractNumId="12" w15:restartNumberingAfterBreak="0">
    <w:nsid w:val="68A7110F"/>
    <w:multiLevelType w:val="multilevel"/>
    <w:tmpl w:val="49EEC8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3F426CA"/>
    <w:multiLevelType w:val="hybridMultilevel"/>
    <w:tmpl w:val="86FCF96E"/>
    <w:lvl w:ilvl="0" w:tplc="CB6C6D48">
      <w:start w:val="1"/>
      <w:numFmt w:val="lowerRoman"/>
      <w:lvlText w:val="(%1)"/>
      <w:lvlJc w:val="right"/>
      <w:pPr>
        <w:ind w:left="1069" w:hanging="360"/>
      </w:pPr>
      <w:rPr>
        <w:rFonts w:asciiTheme="minorHAnsi" w:hAnsiTheme="minorHAnsi"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75091F1E"/>
    <w:multiLevelType w:val="multilevel"/>
    <w:tmpl w:val="F9C6D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001CF8"/>
    <w:multiLevelType w:val="multilevel"/>
    <w:tmpl w:val="04220806"/>
    <w:lvl w:ilvl="0">
      <w:start w:val="1"/>
      <w:numFmt w:val="decimal"/>
      <w:lvlText w:val="%1."/>
      <w:lvlJc w:val="left"/>
      <w:pPr>
        <w:ind w:left="774" w:hanging="359"/>
      </w:pPr>
    </w:lvl>
    <w:lvl w:ilvl="1">
      <w:start w:val="1"/>
      <w:numFmt w:val="lowerLetter"/>
      <w:lvlText w:val="%2."/>
      <w:lvlJc w:val="left"/>
      <w:pPr>
        <w:ind w:left="1494" w:hanging="360"/>
      </w:pPr>
    </w:lvl>
    <w:lvl w:ilvl="2">
      <w:start w:val="1"/>
      <w:numFmt w:val="lowerRoman"/>
      <w:lvlText w:val="%3."/>
      <w:lvlJc w:val="right"/>
      <w:pPr>
        <w:ind w:left="2214" w:hanging="180"/>
      </w:pPr>
    </w:lvl>
    <w:lvl w:ilvl="3">
      <w:start w:val="1"/>
      <w:numFmt w:val="decimal"/>
      <w:lvlText w:val="%4."/>
      <w:lvlJc w:val="left"/>
      <w:pPr>
        <w:ind w:left="2934" w:hanging="360"/>
      </w:pPr>
    </w:lvl>
    <w:lvl w:ilvl="4">
      <w:start w:val="1"/>
      <w:numFmt w:val="lowerLetter"/>
      <w:lvlText w:val="%5."/>
      <w:lvlJc w:val="left"/>
      <w:pPr>
        <w:ind w:left="3654" w:hanging="360"/>
      </w:pPr>
    </w:lvl>
    <w:lvl w:ilvl="5">
      <w:start w:val="1"/>
      <w:numFmt w:val="lowerRoman"/>
      <w:lvlText w:val="%6."/>
      <w:lvlJc w:val="right"/>
      <w:pPr>
        <w:ind w:left="4374" w:hanging="180"/>
      </w:pPr>
    </w:lvl>
    <w:lvl w:ilvl="6">
      <w:start w:val="1"/>
      <w:numFmt w:val="decimal"/>
      <w:lvlText w:val="%7."/>
      <w:lvlJc w:val="left"/>
      <w:pPr>
        <w:ind w:left="5094" w:hanging="360"/>
      </w:pPr>
    </w:lvl>
    <w:lvl w:ilvl="7">
      <w:start w:val="1"/>
      <w:numFmt w:val="lowerLetter"/>
      <w:lvlText w:val="%8."/>
      <w:lvlJc w:val="left"/>
      <w:pPr>
        <w:ind w:left="5814" w:hanging="360"/>
      </w:pPr>
    </w:lvl>
    <w:lvl w:ilvl="8">
      <w:start w:val="1"/>
      <w:numFmt w:val="lowerRoman"/>
      <w:lvlText w:val="%9."/>
      <w:lvlJc w:val="right"/>
      <w:pPr>
        <w:ind w:left="6534" w:hanging="180"/>
      </w:pPr>
    </w:lvl>
  </w:abstractNum>
  <w:num w:numId="1" w16cid:durableId="590504093">
    <w:abstractNumId w:val="4"/>
  </w:num>
  <w:num w:numId="2" w16cid:durableId="1879315268">
    <w:abstractNumId w:val="3"/>
  </w:num>
  <w:num w:numId="3" w16cid:durableId="1692757993">
    <w:abstractNumId w:val="10"/>
  </w:num>
  <w:num w:numId="4" w16cid:durableId="1411927065">
    <w:abstractNumId w:val="14"/>
  </w:num>
  <w:num w:numId="5" w16cid:durableId="2138838335">
    <w:abstractNumId w:val="15"/>
  </w:num>
  <w:num w:numId="6" w16cid:durableId="612710228">
    <w:abstractNumId w:val="1"/>
  </w:num>
  <w:num w:numId="7" w16cid:durableId="1086878165">
    <w:abstractNumId w:val="12"/>
  </w:num>
  <w:num w:numId="8" w16cid:durableId="882790636">
    <w:abstractNumId w:val="5"/>
  </w:num>
  <w:num w:numId="9" w16cid:durableId="2013291111">
    <w:abstractNumId w:val="6"/>
  </w:num>
  <w:num w:numId="10" w16cid:durableId="1305892509">
    <w:abstractNumId w:val="0"/>
  </w:num>
  <w:num w:numId="11" w16cid:durableId="903877435">
    <w:abstractNumId w:val="2"/>
  </w:num>
  <w:num w:numId="12" w16cid:durableId="982733164">
    <w:abstractNumId w:val="8"/>
  </w:num>
  <w:num w:numId="13" w16cid:durableId="275724242">
    <w:abstractNumId w:val="11"/>
  </w:num>
  <w:num w:numId="14" w16cid:durableId="2145197444">
    <w:abstractNumId w:val="13"/>
  </w:num>
  <w:num w:numId="15" w16cid:durableId="255722313">
    <w:abstractNumId w:val="7"/>
  </w:num>
  <w:num w:numId="16" w16cid:durableId="6805922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REGEplus Repor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x2fzdxhrpdrre2w5f5pdryx90atadrdavt&quot;&gt;EFOR_NewVersion&lt;record-ids&gt;&lt;item&gt;19&lt;/item&gt;&lt;item&gt;24&lt;/item&gt;&lt;item&gt;25&lt;/item&gt;&lt;item&gt;26&lt;/item&gt;&lt;item&gt;98&lt;/item&gt;&lt;item&gt;108&lt;/item&gt;&lt;item&gt;158&lt;/item&gt;&lt;item&gt;232&lt;/item&gt;&lt;item&gt;260&lt;/item&gt;&lt;item&gt;263&lt;/item&gt;&lt;item&gt;267&lt;/item&gt;&lt;item&gt;273&lt;/item&gt;&lt;item&gt;277&lt;/item&gt;&lt;item&gt;284&lt;/item&gt;&lt;item&gt;286&lt;/item&gt;&lt;item&gt;287&lt;/item&gt;&lt;item&gt;296&lt;/item&gt;&lt;item&gt;301&lt;/item&gt;&lt;item&gt;302&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8&lt;/item&gt;&lt;item&gt;412&lt;/item&gt;&lt;item&gt;413&lt;/item&gt;&lt;item&gt;414&lt;/item&gt;&lt;item&gt;415&lt;/item&gt;&lt;item&gt;416&lt;/item&gt;&lt;item&gt;417&lt;/item&gt;&lt;item&gt;418&lt;/item&gt;&lt;item&gt;419&lt;/item&gt;&lt;item&gt;420&lt;/item&gt;&lt;/record-ids&gt;&lt;/item&gt;&lt;/Libraries&gt;"/>
  </w:docVars>
  <w:rsids>
    <w:rsidRoot w:val="003A25F9"/>
    <w:rsid w:val="000006B0"/>
    <w:rsid w:val="000022DE"/>
    <w:rsid w:val="000022E2"/>
    <w:rsid w:val="00006F11"/>
    <w:rsid w:val="00010F62"/>
    <w:rsid w:val="00011B67"/>
    <w:rsid w:val="000134D1"/>
    <w:rsid w:val="00017CF6"/>
    <w:rsid w:val="00024619"/>
    <w:rsid w:val="00027ABE"/>
    <w:rsid w:val="00030DF8"/>
    <w:rsid w:val="00034A7A"/>
    <w:rsid w:val="00041C7F"/>
    <w:rsid w:val="0004540B"/>
    <w:rsid w:val="00045DEA"/>
    <w:rsid w:val="000474F8"/>
    <w:rsid w:val="000510B6"/>
    <w:rsid w:val="00051E50"/>
    <w:rsid w:val="000532D9"/>
    <w:rsid w:val="00053F4D"/>
    <w:rsid w:val="000549B4"/>
    <w:rsid w:val="000551AE"/>
    <w:rsid w:val="000555EB"/>
    <w:rsid w:val="00055E2D"/>
    <w:rsid w:val="000602CD"/>
    <w:rsid w:val="000621E0"/>
    <w:rsid w:val="0006332D"/>
    <w:rsid w:val="000638EF"/>
    <w:rsid w:val="000644CA"/>
    <w:rsid w:val="000651EF"/>
    <w:rsid w:val="000669DC"/>
    <w:rsid w:val="00071528"/>
    <w:rsid w:val="00071D93"/>
    <w:rsid w:val="000738B3"/>
    <w:rsid w:val="00074064"/>
    <w:rsid w:val="0008080C"/>
    <w:rsid w:val="00081077"/>
    <w:rsid w:val="000815E1"/>
    <w:rsid w:val="00082025"/>
    <w:rsid w:val="00084404"/>
    <w:rsid w:val="00085952"/>
    <w:rsid w:val="00085EC3"/>
    <w:rsid w:val="00087391"/>
    <w:rsid w:val="000914F6"/>
    <w:rsid w:val="00091CD8"/>
    <w:rsid w:val="00092BF4"/>
    <w:rsid w:val="00094B47"/>
    <w:rsid w:val="000A073C"/>
    <w:rsid w:val="000A6A0E"/>
    <w:rsid w:val="000B19C9"/>
    <w:rsid w:val="000B4CD0"/>
    <w:rsid w:val="000B73A5"/>
    <w:rsid w:val="000C00D3"/>
    <w:rsid w:val="000C7C6F"/>
    <w:rsid w:val="000D0759"/>
    <w:rsid w:val="000D12C1"/>
    <w:rsid w:val="000D142B"/>
    <w:rsid w:val="000D3638"/>
    <w:rsid w:val="000D4B42"/>
    <w:rsid w:val="000D6FC6"/>
    <w:rsid w:val="000D7CDE"/>
    <w:rsid w:val="000E0CF9"/>
    <w:rsid w:val="000E1952"/>
    <w:rsid w:val="000E1B6D"/>
    <w:rsid w:val="000E3AA9"/>
    <w:rsid w:val="000E4C7B"/>
    <w:rsid w:val="000E7671"/>
    <w:rsid w:val="000E7C76"/>
    <w:rsid w:val="000F031A"/>
    <w:rsid w:val="000F5146"/>
    <w:rsid w:val="000F70A4"/>
    <w:rsid w:val="000F72E8"/>
    <w:rsid w:val="00103445"/>
    <w:rsid w:val="0010524D"/>
    <w:rsid w:val="0010787C"/>
    <w:rsid w:val="0011022C"/>
    <w:rsid w:val="00110C22"/>
    <w:rsid w:val="0011397A"/>
    <w:rsid w:val="00120114"/>
    <w:rsid w:val="001219A2"/>
    <w:rsid w:val="001225E2"/>
    <w:rsid w:val="001234D8"/>
    <w:rsid w:val="00124C8A"/>
    <w:rsid w:val="001257D4"/>
    <w:rsid w:val="00130D92"/>
    <w:rsid w:val="00131886"/>
    <w:rsid w:val="00133F88"/>
    <w:rsid w:val="00134567"/>
    <w:rsid w:val="001366C6"/>
    <w:rsid w:val="001419ED"/>
    <w:rsid w:val="00143FD5"/>
    <w:rsid w:val="0014449F"/>
    <w:rsid w:val="00145B6F"/>
    <w:rsid w:val="00147F21"/>
    <w:rsid w:val="00151BAA"/>
    <w:rsid w:val="00156333"/>
    <w:rsid w:val="001601E3"/>
    <w:rsid w:val="001617D2"/>
    <w:rsid w:val="00162701"/>
    <w:rsid w:val="001651E9"/>
    <w:rsid w:val="001677B2"/>
    <w:rsid w:val="001703AD"/>
    <w:rsid w:val="001727D9"/>
    <w:rsid w:val="00172F2C"/>
    <w:rsid w:val="001750BB"/>
    <w:rsid w:val="001803D3"/>
    <w:rsid w:val="00181AF9"/>
    <w:rsid w:val="001837CF"/>
    <w:rsid w:val="001838C1"/>
    <w:rsid w:val="001900A2"/>
    <w:rsid w:val="00190BFB"/>
    <w:rsid w:val="00192727"/>
    <w:rsid w:val="00192EAC"/>
    <w:rsid w:val="001952D7"/>
    <w:rsid w:val="0019561F"/>
    <w:rsid w:val="00197529"/>
    <w:rsid w:val="001A0C50"/>
    <w:rsid w:val="001A4715"/>
    <w:rsid w:val="001A5207"/>
    <w:rsid w:val="001A6208"/>
    <w:rsid w:val="001A659B"/>
    <w:rsid w:val="001A6EF4"/>
    <w:rsid w:val="001B3FFF"/>
    <w:rsid w:val="001B4D9C"/>
    <w:rsid w:val="001B7F25"/>
    <w:rsid w:val="001C0BF7"/>
    <w:rsid w:val="001C19AE"/>
    <w:rsid w:val="001C1E22"/>
    <w:rsid w:val="001C5905"/>
    <w:rsid w:val="001C6733"/>
    <w:rsid w:val="001C705B"/>
    <w:rsid w:val="001D2110"/>
    <w:rsid w:val="001D22EF"/>
    <w:rsid w:val="001D303F"/>
    <w:rsid w:val="001D6098"/>
    <w:rsid w:val="001D74BC"/>
    <w:rsid w:val="001E00DD"/>
    <w:rsid w:val="001E2133"/>
    <w:rsid w:val="001E3624"/>
    <w:rsid w:val="001E393B"/>
    <w:rsid w:val="001E6BD8"/>
    <w:rsid w:val="001E7B38"/>
    <w:rsid w:val="001F0441"/>
    <w:rsid w:val="001F091D"/>
    <w:rsid w:val="001F106A"/>
    <w:rsid w:val="001F1586"/>
    <w:rsid w:val="001F4499"/>
    <w:rsid w:val="001F539E"/>
    <w:rsid w:val="001F6525"/>
    <w:rsid w:val="0020116C"/>
    <w:rsid w:val="00201A95"/>
    <w:rsid w:val="00202688"/>
    <w:rsid w:val="00203182"/>
    <w:rsid w:val="00203FA8"/>
    <w:rsid w:val="0020559B"/>
    <w:rsid w:val="00205B75"/>
    <w:rsid w:val="0020734E"/>
    <w:rsid w:val="002118EF"/>
    <w:rsid w:val="00214A0C"/>
    <w:rsid w:val="00217DE0"/>
    <w:rsid w:val="0022010B"/>
    <w:rsid w:val="00220295"/>
    <w:rsid w:val="0022152C"/>
    <w:rsid w:val="002266ED"/>
    <w:rsid w:val="00227A4F"/>
    <w:rsid w:val="00230B06"/>
    <w:rsid w:val="0023220A"/>
    <w:rsid w:val="00233F29"/>
    <w:rsid w:val="0023495C"/>
    <w:rsid w:val="002359D3"/>
    <w:rsid w:val="00237FED"/>
    <w:rsid w:val="00243ABC"/>
    <w:rsid w:val="00244EAC"/>
    <w:rsid w:val="00245728"/>
    <w:rsid w:val="00246513"/>
    <w:rsid w:val="00246F6A"/>
    <w:rsid w:val="00250DF8"/>
    <w:rsid w:val="0025263E"/>
    <w:rsid w:val="00254CAE"/>
    <w:rsid w:val="00255B90"/>
    <w:rsid w:val="002578A7"/>
    <w:rsid w:val="00262013"/>
    <w:rsid w:val="002666C0"/>
    <w:rsid w:val="002667FA"/>
    <w:rsid w:val="002738BD"/>
    <w:rsid w:val="00276D44"/>
    <w:rsid w:val="002803C1"/>
    <w:rsid w:val="002810DF"/>
    <w:rsid w:val="00281A3D"/>
    <w:rsid w:val="00286053"/>
    <w:rsid w:val="00287D43"/>
    <w:rsid w:val="002928A5"/>
    <w:rsid w:val="00295434"/>
    <w:rsid w:val="00296157"/>
    <w:rsid w:val="00296277"/>
    <w:rsid w:val="002A08EB"/>
    <w:rsid w:val="002A11EF"/>
    <w:rsid w:val="002A324E"/>
    <w:rsid w:val="002A3796"/>
    <w:rsid w:val="002B1E52"/>
    <w:rsid w:val="002B353A"/>
    <w:rsid w:val="002B5A4E"/>
    <w:rsid w:val="002B5DB7"/>
    <w:rsid w:val="002B6126"/>
    <w:rsid w:val="002D37D3"/>
    <w:rsid w:val="002D6560"/>
    <w:rsid w:val="002E0039"/>
    <w:rsid w:val="002E382C"/>
    <w:rsid w:val="002F4ACC"/>
    <w:rsid w:val="002F734D"/>
    <w:rsid w:val="00300713"/>
    <w:rsid w:val="00301945"/>
    <w:rsid w:val="003034AC"/>
    <w:rsid w:val="00307C07"/>
    <w:rsid w:val="00310091"/>
    <w:rsid w:val="00315CA3"/>
    <w:rsid w:val="0031677F"/>
    <w:rsid w:val="00317523"/>
    <w:rsid w:val="00320E13"/>
    <w:rsid w:val="0032715F"/>
    <w:rsid w:val="00327BC9"/>
    <w:rsid w:val="00330789"/>
    <w:rsid w:val="00330E88"/>
    <w:rsid w:val="003332FA"/>
    <w:rsid w:val="003338F7"/>
    <w:rsid w:val="003339F7"/>
    <w:rsid w:val="00334294"/>
    <w:rsid w:val="00334870"/>
    <w:rsid w:val="003372C6"/>
    <w:rsid w:val="00341524"/>
    <w:rsid w:val="00343D00"/>
    <w:rsid w:val="0034454C"/>
    <w:rsid w:val="003477FE"/>
    <w:rsid w:val="00347A11"/>
    <w:rsid w:val="00350754"/>
    <w:rsid w:val="00351066"/>
    <w:rsid w:val="0035496D"/>
    <w:rsid w:val="003614F0"/>
    <w:rsid w:val="00362093"/>
    <w:rsid w:val="00363318"/>
    <w:rsid w:val="003636ED"/>
    <w:rsid w:val="00365547"/>
    <w:rsid w:val="0036708A"/>
    <w:rsid w:val="00367D7C"/>
    <w:rsid w:val="0037073A"/>
    <w:rsid w:val="00371A6D"/>
    <w:rsid w:val="0037569E"/>
    <w:rsid w:val="0037768D"/>
    <w:rsid w:val="003778B5"/>
    <w:rsid w:val="00384EEC"/>
    <w:rsid w:val="00392882"/>
    <w:rsid w:val="00397296"/>
    <w:rsid w:val="003A13F3"/>
    <w:rsid w:val="003A1735"/>
    <w:rsid w:val="003A1EF3"/>
    <w:rsid w:val="003A25F9"/>
    <w:rsid w:val="003A3ECD"/>
    <w:rsid w:val="003A65D6"/>
    <w:rsid w:val="003A71E7"/>
    <w:rsid w:val="003A737C"/>
    <w:rsid w:val="003B182E"/>
    <w:rsid w:val="003B338D"/>
    <w:rsid w:val="003C07CF"/>
    <w:rsid w:val="003C2806"/>
    <w:rsid w:val="003C423B"/>
    <w:rsid w:val="003C4A0D"/>
    <w:rsid w:val="003C7721"/>
    <w:rsid w:val="003D119F"/>
    <w:rsid w:val="003D17AC"/>
    <w:rsid w:val="003D1B03"/>
    <w:rsid w:val="003D3485"/>
    <w:rsid w:val="003D6327"/>
    <w:rsid w:val="003D710D"/>
    <w:rsid w:val="003E1D91"/>
    <w:rsid w:val="003E4EDA"/>
    <w:rsid w:val="003E6E7F"/>
    <w:rsid w:val="003F0500"/>
    <w:rsid w:val="003F1EAC"/>
    <w:rsid w:val="003F3245"/>
    <w:rsid w:val="003F77BE"/>
    <w:rsid w:val="00403AC8"/>
    <w:rsid w:val="00404257"/>
    <w:rsid w:val="004047AE"/>
    <w:rsid w:val="00413E51"/>
    <w:rsid w:val="00414E2C"/>
    <w:rsid w:val="00415D19"/>
    <w:rsid w:val="00417253"/>
    <w:rsid w:val="0041766E"/>
    <w:rsid w:val="0042124B"/>
    <w:rsid w:val="0042213B"/>
    <w:rsid w:val="004227D7"/>
    <w:rsid w:val="00423BA9"/>
    <w:rsid w:val="00423C9B"/>
    <w:rsid w:val="004257C6"/>
    <w:rsid w:val="004263A0"/>
    <w:rsid w:val="00430DCF"/>
    <w:rsid w:val="0043390A"/>
    <w:rsid w:val="00434A3E"/>
    <w:rsid w:val="00444F5E"/>
    <w:rsid w:val="0045142B"/>
    <w:rsid w:val="00452935"/>
    <w:rsid w:val="00455FD5"/>
    <w:rsid w:val="0045761E"/>
    <w:rsid w:val="0045766D"/>
    <w:rsid w:val="004576EC"/>
    <w:rsid w:val="00463252"/>
    <w:rsid w:val="00464AA8"/>
    <w:rsid w:val="00472212"/>
    <w:rsid w:val="004737B8"/>
    <w:rsid w:val="00480644"/>
    <w:rsid w:val="0048614B"/>
    <w:rsid w:val="00490A85"/>
    <w:rsid w:val="00490F83"/>
    <w:rsid w:val="00494E4E"/>
    <w:rsid w:val="00495D41"/>
    <w:rsid w:val="00496892"/>
    <w:rsid w:val="00497F3B"/>
    <w:rsid w:val="004A08AF"/>
    <w:rsid w:val="004A1C7A"/>
    <w:rsid w:val="004A3E48"/>
    <w:rsid w:val="004A6ACA"/>
    <w:rsid w:val="004B0FF6"/>
    <w:rsid w:val="004B12EF"/>
    <w:rsid w:val="004B324E"/>
    <w:rsid w:val="004B5C0E"/>
    <w:rsid w:val="004B6BCD"/>
    <w:rsid w:val="004B74BB"/>
    <w:rsid w:val="004B7FF2"/>
    <w:rsid w:val="004C01B1"/>
    <w:rsid w:val="004C1C02"/>
    <w:rsid w:val="004C4D64"/>
    <w:rsid w:val="004C66CC"/>
    <w:rsid w:val="004D18C5"/>
    <w:rsid w:val="004D1B05"/>
    <w:rsid w:val="004D1E74"/>
    <w:rsid w:val="004D5B32"/>
    <w:rsid w:val="004E1823"/>
    <w:rsid w:val="004E2478"/>
    <w:rsid w:val="004E34E4"/>
    <w:rsid w:val="004E5816"/>
    <w:rsid w:val="004E5B6B"/>
    <w:rsid w:val="004E5EA9"/>
    <w:rsid w:val="004E60CB"/>
    <w:rsid w:val="004E675D"/>
    <w:rsid w:val="004E7517"/>
    <w:rsid w:val="004F3146"/>
    <w:rsid w:val="004F6B4C"/>
    <w:rsid w:val="00501C59"/>
    <w:rsid w:val="0050248C"/>
    <w:rsid w:val="005032FC"/>
    <w:rsid w:val="00503A92"/>
    <w:rsid w:val="00504371"/>
    <w:rsid w:val="00506431"/>
    <w:rsid w:val="00510E35"/>
    <w:rsid w:val="005113C4"/>
    <w:rsid w:val="00511878"/>
    <w:rsid w:val="005119AD"/>
    <w:rsid w:val="00512659"/>
    <w:rsid w:val="00513C65"/>
    <w:rsid w:val="005229DB"/>
    <w:rsid w:val="005257BE"/>
    <w:rsid w:val="0053115D"/>
    <w:rsid w:val="00532250"/>
    <w:rsid w:val="00533D04"/>
    <w:rsid w:val="00535885"/>
    <w:rsid w:val="005409DE"/>
    <w:rsid w:val="00540DBF"/>
    <w:rsid w:val="00540E63"/>
    <w:rsid w:val="00542034"/>
    <w:rsid w:val="0054396E"/>
    <w:rsid w:val="00543AB1"/>
    <w:rsid w:val="00546132"/>
    <w:rsid w:val="005529F8"/>
    <w:rsid w:val="00552A56"/>
    <w:rsid w:val="00552C98"/>
    <w:rsid w:val="00553262"/>
    <w:rsid w:val="00553B78"/>
    <w:rsid w:val="0055440F"/>
    <w:rsid w:val="00562848"/>
    <w:rsid w:val="00563FBE"/>
    <w:rsid w:val="00565972"/>
    <w:rsid w:val="00567300"/>
    <w:rsid w:val="00572805"/>
    <w:rsid w:val="00573A72"/>
    <w:rsid w:val="00574D2E"/>
    <w:rsid w:val="00575A44"/>
    <w:rsid w:val="0058036E"/>
    <w:rsid w:val="00582F44"/>
    <w:rsid w:val="00583970"/>
    <w:rsid w:val="005843A6"/>
    <w:rsid w:val="00584CAC"/>
    <w:rsid w:val="005859FF"/>
    <w:rsid w:val="0059132C"/>
    <w:rsid w:val="0059463A"/>
    <w:rsid w:val="00597DC0"/>
    <w:rsid w:val="005A0261"/>
    <w:rsid w:val="005A424E"/>
    <w:rsid w:val="005A6A99"/>
    <w:rsid w:val="005A6DBB"/>
    <w:rsid w:val="005A755B"/>
    <w:rsid w:val="005B0E9C"/>
    <w:rsid w:val="005B111B"/>
    <w:rsid w:val="005B57D2"/>
    <w:rsid w:val="005BE50F"/>
    <w:rsid w:val="005C1422"/>
    <w:rsid w:val="005C207E"/>
    <w:rsid w:val="005C30C8"/>
    <w:rsid w:val="005C5491"/>
    <w:rsid w:val="005D0BD9"/>
    <w:rsid w:val="005D40C1"/>
    <w:rsid w:val="005E1451"/>
    <w:rsid w:val="005E1BC3"/>
    <w:rsid w:val="005E220B"/>
    <w:rsid w:val="005E47AC"/>
    <w:rsid w:val="005E5F6D"/>
    <w:rsid w:val="005F1990"/>
    <w:rsid w:val="005F2421"/>
    <w:rsid w:val="005F2CFF"/>
    <w:rsid w:val="005F4598"/>
    <w:rsid w:val="005F5F21"/>
    <w:rsid w:val="006003A7"/>
    <w:rsid w:val="00601C88"/>
    <w:rsid w:val="00604496"/>
    <w:rsid w:val="00605080"/>
    <w:rsid w:val="00605422"/>
    <w:rsid w:val="00607402"/>
    <w:rsid w:val="006104A8"/>
    <w:rsid w:val="00611FA3"/>
    <w:rsid w:val="0061699B"/>
    <w:rsid w:val="00616DA8"/>
    <w:rsid w:val="0061769F"/>
    <w:rsid w:val="006201C6"/>
    <w:rsid w:val="00620A97"/>
    <w:rsid w:val="00621570"/>
    <w:rsid w:val="00622F83"/>
    <w:rsid w:val="00623EC8"/>
    <w:rsid w:val="00633974"/>
    <w:rsid w:val="006352BD"/>
    <w:rsid w:val="00635E04"/>
    <w:rsid w:val="00636CE8"/>
    <w:rsid w:val="00636D0E"/>
    <w:rsid w:val="00637510"/>
    <w:rsid w:val="00637F06"/>
    <w:rsid w:val="006403D5"/>
    <w:rsid w:val="00644D5E"/>
    <w:rsid w:val="0064571B"/>
    <w:rsid w:val="006464D8"/>
    <w:rsid w:val="0064666B"/>
    <w:rsid w:val="00647911"/>
    <w:rsid w:val="00650C20"/>
    <w:rsid w:val="00651670"/>
    <w:rsid w:val="00652A87"/>
    <w:rsid w:val="006532BA"/>
    <w:rsid w:val="00653E0E"/>
    <w:rsid w:val="006551F0"/>
    <w:rsid w:val="006558FF"/>
    <w:rsid w:val="006572CF"/>
    <w:rsid w:val="006600D1"/>
    <w:rsid w:val="006633A2"/>
    <w:rsid w:val="006644EE"/>
    <w:rsid w:val="006648F9"/>
    <w:rsid w:val="00664ACF"/>
    <w:rsid w:val="00666506"/>
    <w:rsid w:val="00670DFA"/>
    <w:rsid w:val="00671545"/>
    <w:rsid w:val="0067280A"/>
    <w:rsid w:val="00675AE8"/>
    <w:rsid w:val="00675D15"/>
    <w:rsid w:val="00676651"/>
    <w:rsid w:val="00676F18"/>
    <w:rsid w:val="00687120"/>
    <w:rsid w:val="006879EA"/>
    <w:rsid w:val="00692351"/>
    <w:rsid w:val="006928D1"/>
    <w:rsid w:val="00696288"/>
    <w:rsid w:val="00696558"/>
    <w:rsid w:val="006A0FEF"/>
    <w:rsid w:val="006A3149"/>
    <w:rsid w:val="006A563F"/>
    <w:rsid w:val="006A5ACC"/>
    <w:rsid w:val="006A70E0"/>
    <w:rsid w:val="006B19A2"/>
    <w:rsid w:val="006B413C"/>
    <w:rsid w:val="006B5193"/>
    <w:rsid w:val="006B5889"/>
    <w:rsid w:val="006B7FF5"/>
    <w:rsid w:val="006C4C05"/>
    <w:rsid w:val="006C6C7D"/>
    <w:rsid w:val="006D2F53"/>
    <w:rsid w:val="006D35A3"/>
    <w:rsid w:val="006D484C"/>
    <w:rsid w:val="006F0712"/>
    <w:rsid w:val="006F0B53"/>
    <w:rsid w:val="006F3CC2"/>
    <w:rsid w:val="006F7D7D"/>
    <w:rsid w:val="007002AE"/>
    <w:rsid w:val="00701B27"/>
    <w:rsid w:val="0070648A"/>
    <w:rsid w:val="00706E16"/>
    <w:rsid w:val="00710DEB"/>
    <w:rsid w:val="007130B7"/>
    <w:rsid w:val="0071381C"/>
    <w:rsid w:val="0071504F"/>
    <w:rsid w:val="007264CB"/>
    <w:rsid w:val="00726E0D"/>
    <w:rsid w:val="00727EA5"/>
    <w:rsid w:val="007311C1"/>
    <w:rsid w:val="0073120B"/>
    <w:rsid w:val="00733416"/>
    <w:rsid w:val="0074742B"/>
    <w:rsid w:val="00751BDD"/>
    <w:rsid w:val="007524E5"/>
    <w:rsid w:val="007531FD"/>
    <w:rsid w:val="007629A0"/>
    <w:rsid w:val="007632A6"/>
    <w:rsid w:val="007707AD"/>
    <w:rsid w:val="00770FF4"/>
    <w:rsid w:val="00775E36"/>
    <w:rsid w:val="00777E9C"/>
    <w:rsid w:val="00780B8B"/>
    <w:rsid w:val="00781DD8"/>
    <w:rsid w:val="0078317E"/>
    <w:rsid w:val="0079008D"/>
    <w:rsid w:val="00793BEA"/>
    <w:rsid w:val="007952B1"/>
    <w:rsid w:val="00795D9B"/>
    <w:rsid w:val="007A2244"/>
    <w:rsid w:val="007A3B5E"/>
    <w:rsid w:val="007A75EE"/>
    <w:rsid w:val="007A7C05"/>
    <w:rsid w:val="007A7DEB"/>
    <w:rsid w:val="007B1833"/>
    <w:rsid w:val="007B21A5"/>
    <w:rsid w:val="007B5346"/>
    <w:rsid w:val="007B6FB4"/>
    <w:rsid w:val="007B7B5F"/>
    <w:rsid w:val="007C33E7"/>
    <w:rsid w:val="007C35B5"/>
    <w:rsid w:val="007D1014"/>
    <w:rsid w:val="007D1BEE"/>
    <w:rsid w:val="007D241A"/>
    <w:rsid w:val="007D5652"/>
    <w:rsid w:val="007D57A4"/>
    <w:rsid w:val="007D66C2"/>
    <w:rsid w:val="007D7167"/>
    <w:rsid w:val="007E0172"/>
    <w:rsid w:val="007E1066"/>
    <w:rsid w:val="007E12B3"/>
    <w:rsid w:val="007E28AC"/>
    <w:rsid w:val="007E5F03"/>
    <w:rsid w:val="007E5F45"/>
    <w:rsid w:val="007F0746"/>
    <w:rsid w:val="007F2FF6"/>
    <w:rsid w:val="007F404C"/>
    <w:rsid w:val="007F66C3"/>
    <w:rsid w:val="007F7711"/>
    <w:rsid w:val="00800EFB"/>
    <w:rsid w:val="00803E28"/>
    <w:rsid w:val="00806458"/>
    <w:rsid w:val="00810949"/>
    <w:rsid w:val="00813C26"/>
    <w:rsid w:val="00817EEB"/>
    <w:rsid w:val="00821153"/>
    <w:rsid w:val="008212D4"/>
    <w:rsid w:val="00825222"/>
    <w:rsid w:val="008309AB"/>
    <w:rsid w:val="0083114F"/>
    <w:rsid w:val="00831469"/>
    <w:rsid w:val="008318C1"/>
    <w:rsid w:val="00832C90"/>
    <w:rsid w:val="00836999"/>
    <w:rsid w:val="008413F4"/>
    <w:rsid w:val="008427EB"/>
    <w:rsid w:val="00843551"/>
    <w:rsid w:val="008469A0"/>
    <w:rsid w:val="00846A22"/>
    <w:rsid w:val="00853412"/>
    <w:rsid w:val="00853AAD"/>
    <w:rsid w:val="00853E2F"/>
    <w:rsid w:val="008558BF"/>
    <w:rsid w:val="00855F88"/>
    <w:rsid w:val="0085641E"/>
    <w:rsid w:val="00857759"/>
    <w:rsid w:val="008608D2"/>
    <w:rsid w:val="00861B34"/>
    <w:rsid w:val="00861BF6"/>
    <w:rsid w:val="00864A2A"/>
    <w:rsid w:val="008656BF"/>
    <w:rsid w:val="008710DA"/>
    <w:rsid w:val="008719FE"/>
    <w:rsid w:val="00872944"/>
    <w:rsid w:val="00873E6C"/>
    <w:rsid w:val="00874BDA"/>
    <w:rsid w:val="00874EFC"/>
    <w:rsid w:val="00883293"/>
    <w:rsid w:val="008836B9"/>
    <w:rsid w:val="00884DB0"/>
    <w:rsid w:val="0088504B"/>
    <w:rsid w:val="008968F8"/>
    <w:rsid w:val="008A4D83"/>
    <w:rsid w:val="008A5C8A"/>
    <w:rsid w:val="008B15B5"/>
    <w:rsid w:val="008B2310"/>
    <w:rsid w:val="008C2133"/>
    <w:rsid w:val="008C4469"/>
    <w:rsid w:val="008C57F7"/>
    <w:rsid w:val="008C5C32"/>
    <w:rsid w:val="008C6DB1"/>
    <w:rsid w:val="008C75F4"/>
    <w:rsid w:val="008D11DC"/>
    <w:rsid w:val="008D1F9B"/>
    <w:rsid w:val="008D2845"/>
    <w:rsid w:val="008D3EEE"/>
    <w:rsid w:val="008D5B63"/>
    <w:rsid w:val="008D5FC7"/>
    <w:rsid w:val="008D668B"/>
    <w:rsid w:val="008D760C"/>
    <w:rsid w:val="008E0263"/>
    <w:rsid w:val="008E054E"/>
    <w:rsid w:val="008E38EF"/>
    <w:rsid w:val="008E4189"/>
    <w:rsid w:val="008E5271"/>
    <w:rsid w:val="008E6FF2"/>
    <w:rsid w:val="008E706C"/>
    <w:rsid w:val="008F4D7B"/>
    <w:rsid w:val="008F5C40"/>
    <w:rsid w:val="008F6866"/>
    <w:rsid w:val="008F6D3A"/>
    <w:rsid w:val="008F7D84"/>
    <w:rsid w:val="00900A11"/>
    <w:rsid w:val="0090177A"/>
    <w:rsid w:val="00902199"/>
    <w:rsid w:val="00902A6E"/>
    <w:rsid w:val="00905493"/>
    <w:rsid w:val="00905D4B"/>
    <w:rsid w:val="00906230"/>
    <w:rsid w:val="009103C7"/>
    <w:rsid w:val="00911720"/>
    <w:rsid w:val="00914F07"/>
    <w:rsid w:val="009154DC"/>
    <w:rsid w:val="0091717E"/>
    <w:rsid w:val="009173A2"/>
    <w:rsid w:val="00917E34"/>
    <w:rsid w:val="009203F9"/>
    <w:rsid w:val="009225A0"/>
    <w:rsid w:val="009237CC"/>
    <w:rsid w:val="00923B4E"/>
    <w:rsid w:val="0092658F"/>
    <w:rsid w:val="00936C98"/>
    <w:rsid w:val="00937E34"/>
    <w:rsid w:val="0094128B"/>
    <w:rsid w:val="00941AAD"/>
    <w:rsid w:val="00944020"/>
    <w:rsid w:val="00944B20"/>
    <w:rsid w:val="00944F44"/>
    <w:rsid w:val="00950FE9"/>
    <w:rsid w:val="0095287E"/>
    <w:rsid w:val="00955461"/>
    <w:rsid w:val="00955EDB"/>
    <w:rsid w:val="0095C891"/>
    <w:rsid w:val="009613DD"/>
    <w:rsid w:val="00965C92"/>
    <w:rsid w:val="009663C7"/>
    <w:rsid w:val="009710C2"/>
    <w:rsid w:val="00971C64"/>
    <w:rsid w:val="00971EF8"/>
    <w:rsid w:val="00972CF1"/>
    <w:rsid w:val="00973737"/>
    <w:rsid w:val="00974C6F"/>
    <w:rsid w:val="0097555B"/>
    <w:rsid w:val="00976693"/>
    <w:rsid w:val="00976C20"/>
    <w:rsid w:val="009801EC"/>
    <w:rsid w:val="00981899"/>
    <w:rsid w:val="00983491"/>
    <w:rsid w:val="00983A12"/>
    <w:rsid w:val="009875D7"/>
    <w:rsid w:val="00987CDF"/>
    <w:rsid w:val="009941FF"/>
    <w:rsid w:val="00994556"/>
    <w:rsid w:val="009A2255"/>
    <w:rsid w:val="009A22AC"/>
    <w:rsid w:val="009A4232"/>
    <w:rsid w:val="009A6408"/>
    <w:rsid w:val="009B03CE"/>
    <w:rsid w:val="009B17BC"/>
    <w:rsid w:val="009B3FC4"/>
    <w:rsid w:val="009B54A6"/>
    <w:rsid w:val="009B7B34"/>
    <w:rsid w:val="009C243F"/>
    <w:rsid w:val="009C5A4B"/>
    <w:rsid w:val="009C5F50"/>
    <w:rsid w:val="009C6628"/>
    <w:rsid w:val="009C7D21"/>
    <w:rsid w:val="009E091A"/>
    <w:rsid w:val="009E5D26"/>
    <w:rsid w:val="009E746E"/>
    <w:rsid w:val="009F24D5"/>
    <w:rsid w:val="009F4476"/>
    <w:rsid w:val="009F48AC"/>
    <w:rsid w:val="009F75E0"/>
    <w:rsid w:val="00A015C0"/>
    <w:rsid w:val="00A064FA"/>
    <w:rsid w:val="00A07AB6"/>
    <w:rsid w:val="00A10B93"/>
    <w:rsid w:val="00A12564"/>
    <w:rsid w:val="00A15851"/>
    <w:rsid w:val="00A20EC1"/>
    <w:rsid w:val="00A22C85"/>
    <w:rsid w:val="00A23BEE"/>
    <w:rsid w:val="00A240B2"/>
    <w:rsid w:val="00A25AC6"/>
    <w:rsid w:val="00A27989"/>
    <w:rsid w:val="00A279CE"/>
    <w:rsid w:val="00A3040E"/>
    <w:rsid w:val="00A30A01"/>
    <w:rsid w:val="00A32464"/>
    <w:rsid w:val="00A33728"/>
    <w:rsid w:val="00A42345"/>
    <w:rsid w:val="00A44782"/>
    <w:rsid w:val="00A45420"/>
    <w:rsid w:val="00A45799"/>
    <w:rsid w:val="00A54043"/>
    <w:rsid w:val="00A547D1"/>
    <w:rsid w:val="00A57F6C"/>
    <w:rsid w:val="00A60419"/>
    <w:rsid w:val="00A60685"/>
    <w:rsid w:val="00A6269C"/>
    <w:rsid w:val="00A702F4"/>
    <w:rsid w:val="00A7047A"/>
    <w:rsid w:val="00A72094"/>
    <w:rsid w:val="00A814E0"/>
    <w:rsid w:val="00A83F90"/>
    <w:rsid w:val="00A8433E"/>
    <w:rsid w:val="00A859A0"/>
    <w:rsid w:val="00A859A3"/>
    <w:rsid w:val="00A909F4"/>
    <w:rsid w:val="00A9396C"/>
    <w:rsid w:val="00A940D0"/>
    <w:rsid w:val="00A946DD"/>
    <w:rsid w:val="00A94D46"/>
    <w:rsid w:val="00A96246"/>
    <w:rsid w:val="00AA7145"/>
    <w:rsid w:val="00AA719C"/>
    <w:rsid w:val="00AB020E"/>
    <w:rsid w:val="00AB1B5C"/>
    <w:rsid w:val="00AB4307"/>
    <w:rsid w:val="00AB4B49"/>
    <w:rsid w:val="00AB5703"/>
    <w:rsid w:val="00AB7301"/>
    <w:rsid w:val="00AC0EA8"/>
    <w:rsid w:val="00AC17FC"/>
    <w:rsid w:val="00AC4863"/>
    <w:rsid w:val="00AD2523"/>
    <w:rsid w:val="00AD3B18"/>
    <w:rsid w:val="00AD58DD"/>
    <w:rsid w:val="00AE1628"/>
    <w:rsid w:val="00AE5631"/>
    <w:rsid w:val="00AF0384"/>
    <w:rsid w:val="00AF25D9"/>
    <w:rsid w:val="00AF4A2F"/>
    <w:rsid w:val="00AF4C91"/>
    <w:rsid w:val="00AF6B65"/>
    <w:rsid w:val="00B0132A"/>
    <w:rsid w:val="00B021D0"/>
    <w:rsid w:val="00B02C43"/>
    <w:rsid w:val="00B04B0C"/>
    <w:rsid w:val="00B077E3"/>
    <w:rsid w:val="00B1039C"/>
    <w:rsid w:val="00B11BA9"/>
    <w:rsid w:val="00B12C4F"/>
    <w:rsid w:val="00B12D10"/>
    <w:rsid w:val="00B12F0B"/>
    <w:rsid w:val="00B13816"/>
    <w:rsid w:val="00B14EBB"/>
    <w:rsid w:val="00B154BF"/>
    <w:rsid w:val="00B15944"/>
    <w:rsid w:val="00B16113"/>
    <w:rsid w:val="00B171F6"/>
    <w:rsid w:val="00B17478"/>
    <w:rsid w:val="00B17DCE"/>
    <w:rsid w:val="00B244E0"/>
    <w:rsid w:val="00B3014C"/>
    <w:rsid w:val="00B31029"/>
    <w:rsid w:val="00B325A3"/>
    <w:rsid w:val="00B33904"/>
    <w:rsid w:val="00B33A2E"/>
    <w:rsid w:val="00B3409A"/>
    <w:rsid w:val="00B372E6"/>
    <w:rsid w:val="00B4097C"/>
    <w:rsid w:val="00B4130A"/>
    <w:rsid w:val="00B41FB6"/>
    <w:rsid w:val="00B44553"/>
    <w:rsid w:val="00B450BC"/>
    <w:rsid w:val="00B457BD"/>
    <w:rsid w:val="00B45E8A"/>
    <w:rsid w:val="00B46098"/>
    <w:rsid w:val="00B46174"/>
    <w:rsid w:val="00B46753"/>
    <w:rsid w:val="00B469C1"/>
    <w:rsid w:val="00B47BC1"/>
    <w:rsid w:val="00B51AAD"/>
    <w:rsid w:val="00B52168"/>
    <w:rsid w:val="00B537EC"/>
    <w:rsid w:val="00B559C5"/>
    <w:rsid w:val="00B55BF0"/>
    <w:rsid w:val="00B57739"/>
    <w:rsid w:val="00B66986"/>
    <w:rsid w:val="00B70D48"/>
    <w:rsid w:val="00B71138"/>
    <w:rsid w:val="00B71320"/>
    <w:rsid w:val="00B73643"/>
    <w:rsid w:val="00B80431"/>
    <w:rsid w:val="00B81C8F"/>
    <w:rsid w:val="00B825B9"/>
    <w:rsid w:val="00B848AE"/>
    <w:rsid w:val="00B856DE"/>
    <w:rsid w:val="00B8695C"/>
    <w:rsid w:val="00B87820"/>
    <w:rsid w:val="00B904AC"/>
    <w:rsid w:val="00B91179"/>
    <w:rsid w:val="00B94378"/>
    <w:rsid w:val="00B94384"/>
    <w:rsid w:val="00BA128C"/>
    <w:rsid w:val="00BA31EB"/>
    <w:rsid w:val="00BA460E"/>
    <w:rsid w:val="00BA775D"/>
    <w:rsid w:val="00BB3720"/>
    <w:rsid w:val="00BB3D0B"/>
    <w:rsid w:val="00BB5304"/>
    <w:rsid w:val="00BB77C3"/>
    <w:rsid w:val="00BC0827"/>
    <w:rsid w:val="00BC194D"/>
    <w:rsid w:val="00BC390B"/>
    <w:rsid w:val="00BD0584"/>
    <w:rsid w:val="00BD1996"/>
    <w:rsid w:val="00BD31C3"/>
    <w:rsid w:val="00BD4F3D"/>
    <w:rsid w:val="00BE0D7F"/>
    <w:rsid w:val="00BE5345"/>
    <w:rsid w:val="00BE706D"/>
    <w:rsid w:val="00BF02AA"/>
    <w:rsid w:val="00BF18BD"/>
    <w:rsid w:val="00BF3DC4"/>
    <w:rsid w:val="00BF4034"/>
    <w:rsid w:val="00C01488"/>
    <w:rsid w:val="00C03583"/>
    <w:rsid w:val="00C046D6"/>
    <w:rsid w:val="00C0497D"/>
    <w:rsid w:val="00C05250"/>
    <w:rsid w:val="00C06632"/>
    <w:rsid w:val="00C07FE5"/>
    <w:rsid w:val="00C1180C"/>
    <w:rsid w:val="00C1285E"/>
    <w:rsid w:val="00C133DC"/>
    <w:rsid w:val="00C13A52"/>
    <w:rsid w:val="00C151BF"/>
    <w:rsid w:val="00C1757D"/>
    <w:rsid w:val="00C207B5"/>
    <w:rsid w:val="00C21F1A"/>
    <w:rsid w:val="00C23D86"/>
    <w:rsid w:val="00C24237"/>
    <w:rsid w:val="00C26AEF"/>
    <w:rsid w:val="00C3484F"/>
    <w:rsid w:val="00C3596A"/>
    <w:rsid w:val="00C37080"/>
    <w:rsid w:val="00C372E7"/>
    <w:rsid w:val="00C374F8"/>
    <w:rsid w:val="00C40256"/>
    <w:rsid w:val="00C41353"/>
    <w:rsid w:val="00C431BB"/>
    <w:rsid w:val="00C43692"/>
    <w:rsid w:val="00C46717"/>
    <w:rsid w:val="00C5612E"/>
    <w:rsid w:val="00C61505"/>
    <w:rsid w:val="00C6370A"/>
    <w:rsid w:val="00C6423F"/>
    <w:rsid w:val="00C65092"/>
    <w:rsid w:val="00C65A8D"/>
    <w:rsid w:val="00C672DB"/>
    <w:rsid w:val="00C73410"/>
    <w:rsid w:val="00C737F6"/>
    <w:rsid w:val="00C7601D"/>
    <w:rsid w:val="00C8248D"/>
    <w:rsid w:val="00C84B8B"/>
    <w:rsid w:val="00C86C64"/>
    <w:rsid w:val="00C873E2"/>
    <w:rsid w:val="00C92DCF"/>
    <w:rsid w:val="00C94565"/>
    <w:rsid w:val="00CA0B5D"/>
    <w:rsid w:val="00CA1107"/>
    <w:rsid w:val="00CA57E2"/>
    <w:rsid w:val="00CA5AB7"/>
    <w:rsid w:val="00CA7365"/>
    <w:rsid w:val="00CB2B9F"/>
    <w:rsid w:val="00CB3973"/>
    <w:rsid w:val="00CB64DF"/>
    <w:rsid w:val="00CC2DAB"/>
    <w:rsid w:val="00CC34C2"/>
    <w:rsid w:val="00CC6F1E"/>
    <w:rsid w:val="00CC7A85"/>
    <w:rsid w:val="00CD1042"/>
    <w:rsid w:val="00CD2667"/>
    <w:rsid w:val="00CD460E"/>
    <w:rsid w:val="00CD4D48"/>
    <w:rsid w:val="00CD591D"/>
    <w:rsid w:val="00CD649F"/>
    <w:rsid w:val="00CD67C5"/>
    <w:rsid w:val="00CD7E0C"/>
    <w:rsid w:val="00CE04BD"/>
    <w:rsid w:val="00CE0B3D"/>
    <w:rsid w:val="00CE404A"/>
    <w:rsid w:val="00CF0A36"/>
    <w:rsid w:val="00D0011E"/>
    <w:rsid w:val="00D02BDE"/>
    <w:rsid w:val="00D03CB9"/>
    <w:rsid w:val="00D04114"/>
    <w:rsid w:val="00D050CD"/>
    <w:rsid w:val="00D1037D"/>
    <w:rsid w:val="00D108C9"/>
    <w:rsid w:val="00D11016"/>
    <w:rsid w:val="00D126F9"/>
    <w:rsid w:val="00D208D5"/>
    <w:rsid w:val="00D215C6"/>
    <w:rsid w:val="00D22486"/>
    <w:rsid w:val="00D246E3"/>
    <w:rsid w:val="00D24EB2"/>
    <w:rsid w:val="00D30485"/>
    <w:rsid w:val="00D322AC"/>
    <w:rsid w:val="00D340F3"/>
    <w:rsid w:val="00D3522F"/>
    <w:rsid w:val="00D37BE4"/>
    <w:rsid w:val="00D40701"/>
    <w:rsid w:val="00D42126"/>
    <w:rsid w:val="00D44C4B"/>
    <w:rsid w:val="00D512E3"/>
    <w:rsid w:val="00D51DD9"/>
    <w:rsid w:val="00D51E94"/>
    <w:rsid w:val="00D53051"/>
    <w:rsid w:val="00D53579"/>
    <w:rsid w:val="00D56926"/>
    <w:rsid w:val="00D56BB8"/>
    <w:rsid w:val="00D6227F"/>
    <w:rsid w:val="00D624F3"/>
    <w:rsid w:val="00D642C2"/>
    <w:rsid w:val="00D708B8"/>
    <w:rsid w:val="00D71B65"/>
    <w:rsid w:val="00D71C1A"/>
    <w:rsid w:val="00D75E0D"/>
    <w:rsid w:val="00D768B7"/>
    <w:rsid w:val="00D82497"/>
    <w:rsid w:val="00D84E40"/>
    <w:rsid w:val="00D9117D"/>
    <w:rsid w:val="00D91A5F"/>
    <w:rsid w:val="00D91ECF"/>
    <w:rsid w:val="00D9213C"/>
    <w:rsid w:val="00D92506"/>
    <w:rsid w:val="00D92EF1"/>
    <w:rsid w:val="00D93733"/>
    <w:rsid w:val="00D95ED0"/>
    <w:rsid w:val="00D964EA"/>
    <w:rsid w:val="00D96930"/>
    <w:rsid w:val="00D97E68"/>
    <w:rsid w:val="00DA1709"/>
    <w:rsid w:val="00DA1C98"/>
    <w:rsid w:val="00DA4657"/>
    <w:rsid w:val="00DA5153"/>
    <w:rsid w:val="00DA541D"/>
    <w:rsid w:val="00DB02A2"/>
    <w:rsid w:val="00DB2DD2"/>
    <w:rsid w:val="00DB6185"/>
    <w:rsid w:val="00DB63A4"/>
    <w:rsid w:val="00DC0939"/>
    <w:rsid w:val="00DC3C8F"/>
    <w:rsid w:val="00DD314A"/>
    <w:rsid w:val="00DD6F57"/>
    <w:rsid w:val="00DE18CA"/>
    <w:rsid w:val="00DE20DE"/>
    <w:rsid w:val="00DE3AFB"/>
    <w:rsid w:val="00DE4897"/>
    <w:rsid w:val="00DE6B79"/>
    <w:rsid w:val="00DF3509"/>
    <w:rsid w:val="00DF38ED"/>
    <w:rsid w:val="00DF4B4D"/>
    <w:rsid w:val="00DF4EBA"/>
    <w:rsid w:val="00DF6B6C"/>
    <w:rsid w:val="00E02428"/>
    <w:rsid w:val="00E0465A"/>
    <w:rsid w:val="00E0501D"/>
    <w:rsid w:val="00E05B5A"/>
    <w:rsid w:val="00E068BA"/>
    <w:rsid w:val="00E15188"/>
    <w:rsid w:val="00E218E5"/>
    <w:rsid w:val="00E23649"/>
    <w:rsid w:val="00E25193"/>
    <w:rsid w:val="00E2615D"/>
    <w:rsid w:val="00E272B3"/>
    <w:rsid w:val="00E327DF"/>
    <w:rsid w:val="00E3436F"/>
    <w:rsid w:val="00E350F4"/>
    <w:rsid w:val="00E368AA"/>
    <w:rsid w:val="00E42A19"/>
    <w:rsid w:val="00E51329"/>
    <w:rsid w:val="00E5495F"/>
    <w:rsid w:val="00E54E46"/>
    <w:rsid w:val="00E54E85"/>
    <w:rsid w:val="00E57AAE"/>
    <w:rsid w:val="00E62A28"/>
    <w:rsid w:val="00E63B09"/>
    <w:rsid w:val="00E674B6"/>
    <w:rsid w:val="00E70019"/>
    <w:rsid w:val="00E74229"/>
    <w:rsid w:val="00E745EF"/>
    <w:rsid w:val="00E74F15"/>
    <w:rsid w:val="00E75812"/>
    <w:rsid w:val="00E75ED0"/>
    <w:rsid w:val="00E76725"/>
    <w:rsid w:val="00E76AB5"/>
    <w:rsid w:val="00E77CCD"/>
    <w:rsid w:val="00E80775"/>
    <w:rsid w:val="00E8353C"/>
    <w:rsid w:val="00E841F5"/>
    <w:rsid w:val="00E8528F"/>
    <w:rsid w:val="00E90F57"/>
    <w:rsid w:val="00E910C7"/>
    <w:rsid w:val="00E9162B"/>
    <w:rsid w:val="00E927AE"/>
    <w:rsid w:val="00E95848"/>
    <w:rsid w:val="00E95F24"/>
    <w:rsid w:val="00EA29CD"/>
    <w:rsid w:val="00EB165E"/>
    <w:rsid w:val="00EB282E"/>
    <w:rsid w:val="00EB529F"/>
    <w:rsid w:val="00EC2C27"/>
    <w:rsid w:val="00EC3024"/>
    <w:rsid w:val="00EC4C8C"/>
    <w:rsid w:val="00EC4D33"/>
    <w:rsid w:val="00EC58A3"/>
    <w:rsid w:val="00ED1DB0"/>
    <w:rsid w:val="00ED40A0"/>
    <w:rsid w:val="00ED4598"/>
    <w:rsid w:val="00ED546A"/>
    <w:rsid w:val="00ED5D82"/>
    <w:rsid w:val="00ED660A"/>
    <w:rsid w:val="00EE283A"/>
    <w:rsid w:val="00EE43FD"/>
    <w:rsid w:val="00EE472B"/>
    <w:rsid w:val="00EE47C3"/>
    <w:rsid w:val="00EE5B87"/>
    <w:rsid w:val="00EE619E"/>
    <w:rsid w:val="00EE652B"/>
    <w:rsid w:val="00EF0A94"/>
    <w:rsid w:val="00EF6028"/>
    <w:rsid w:val="00F00AAB"/>
    <w:rsid w:val="00F03550"/>
    <w:rsid w:val="00F03F4B"/>
    <w:rsid w:val="00F051D6"/>
    <w:rsid w:val="00F11C2D"/>
    <w:rsid w:val="00F16204"/>
    <w:rsid w:val="00F16DEF"/>
    <w:rsid w:val="00F254AB"/>
    <w:rsid w:val="00F33591"/>
    <w:rsid w:val="00F347FB"/>
    <w:rsid w:val="00F371F2"/>
    <w:rsid w:val="00F43830"/>
    <w:rsid w:val="00F46F4D"/>
    <w:rsid w:val="00F5031A"/>
    <w:rsid w:val="00F515ED"/>
    <w:rsid w:val="00F522A4"/>
    <w:rsid w:val="00F52A55"/>
    <w:rsid w:val="00F52D71"/>
    <w:rsid w:val="00F54B28"/>
    <w:rsid w:val="00F5511B"/>
    <w:rsid w:val="00F574D5"/>
    <w:rsid w:val="00F71BEA"/>
    <w:rsid w:val="00F71EA2"/>
    <w:rsid w:val="00F767B0"/>
    <w:rsid w:val="00F776BB"/>
    <w:rsid w:val="00F80DCD"/>
    <w:rsid w:val="00F82761"/>
    <w:rsid w:val="00F8361F"/>
    <w:rsid w:val="00F8414C"/>
    <w:rsid w:val="00F942B6"/>
    <w:rsid w:val="00F95172"/>
    <w:rsid w:val="00F96952"/>
    <w:rsid w:val="00F97784"/>
    <w:rsid w:val="00F97DF4"/>
    <w:rsid w:val="00FA00EC"/>
    <w:rsid w:val="00FA43B7"/>
    <w:rsid w:val="00FA499E"/>
    <w:rsid w:val="00FA6CD3"/>
    <w:rsid w:val="00FA7189"/>
    <w:rsid w:val="00FB279D"/>
    <w:rsid w:val="00FB3B79"/>
    <w:rsid w:val="00FB4B80"/>
    <w:rsid w:val="00FC4366"/>
    <w:rsid w:val="00FC5780"/>
    <w:rsid w:val="00FC77FD"/>
    <w:rsid w:val="00FD4352"/>
    <w:rsid w:val="00FE1B44"/>
    <w:rsid w:val="00FE29E3"/>
    <w:rsid w:val="00FE36A2"/>
    <w:rsid w:val="00FE402B"/>
    <w:rsid w:val="00FE4CCF"/>
    <w:rsid w:val="00FE695B"/>
    <w:rsid w:val="00FF1992"/>
    <w:rsid w:val="00FF67F9"/>
    <w:rsid w:val="00FF6D0C"/>
    <w:rsid w:val="00FF754E"/>
    <w:rsid w:val="01BF1CC9"/>
    <w:rsid w:val="01D03A74"/>
    <w:rsid w:val="01F2B524"/>
    <w:rsid w:val="025E72FA"/>
    <w:rsid w:val="02CDFB80"/>
    <w:rsid w:val="02F0F475"/>
    <w:rsid w:val="048F1866"/>
    <w:rsid w:val="04DA11BB"/>
    <w:rsid w:val="05030B11"/>
    <w:rsid w:val="05BC4571"/>
    <w:rsid w:val="05F5A87C"/>
    <w:rsid w:val="0628B78B"/>
    <w:rsid w:val="06410C5B"/>
    <w:rsid w:val="06AAB102"/>
    <w:rsid w:val="06C53C16"/>
    <w:rsid w:val="07FAED2F"/>
    <w:rsid w:val="090E728A"/>
    <w:rsid w:val="09C9952B"/>
    <w:rsid w:val="09FD0795"/>
    <w:rsid w:val="0AA4F15D"/>
    <w:rsid w:val="0AB447B5"/>
    <w:rsid w:val="0B08F3A5"/>
    <w:rsid w:val="0B783AFB"/>
    <w:rsid w:val="0D2C15BF"/>
    <w:rsid w:val="0D3124E7"/>
    <w:rsid w:val="0D8DA69C"/>
    <w:rsid w:val="0E757A1D"/>
    <w:rsid w:val="0EFED1F1"/>
    <w:rsid w:val="0FD6D5A4"/>
    <w:rsid w:val="10F41EAB"/>
    <w:rsid w:val="11144379"/>
    <w:rsid w:val="11189D1B"/>
    <w:rsid w:val="124C6514"/>
    <w:rsid w:val="1271E440"/>
    <w:rsid w:val="132C68B1"/>
    <w:rsid w:val="135E5F20"/>
    <w:rsid w:val="15D4A06B"/>
    <w:rsid w:val="16FBFD35"/>
    <w:rsid w:val="179FB02A"/>
    <w:rsid w:val="17AE6969"/>
    <w:rsid w:val="17ECFC9D"/>
    <w:rsid w:val="181B6150"/>
    <w:rsid w:val="1823F2E1"/>
    <w:rsid w:val="182C5A89"/>
    <w:rsid w:val="1852024A"/>
    <w:rsid w:val="19228D85"/>
    <w:rsid w:val="1939D2CF"/>
    <w:rsid w:val="19DBE397"/>
    <w:rsid w:val="1A1B19E7"/>
    <w:rsid w:val="1A82CCAD"/>
    <w:rsid w:val="1A88484A"/>
    <w:rsid w:val="1AB750D0"/>
    <w:rsid w:val="1ADC3D3B"/>
    <w:rsid w:val="1AFE4FF9"/>
    <w:rsid w:val="1B3A1DE3"/>
    <w:rsid w:val="1B46A179"/>
    <w:rsid w:val="1B900E43"/>
    <w:rsid w:val="1CA8E987"/>
    <w:rsid w:val="1CD902A8"/>
    <w:rsid w:val="1D057640"/>
    <w:rsid w:val="1DBEC73D"/>
    <w:rsid w:val="1DCDDFC5"/>
    <w:rsid w:val="1E3E6DEE"/>
    <w:rsid w:val="1E58B00B"/>
    <w:rsid w:val="1E7213A8"/>
    <w:rsid w:val="1EBB9977"/>
    <w:rsid w:val="2026B03F"/>
    <w:rsid w:val="20BF86B0"/>
    <w:rsid w:val="212861BC"/>
    <w:rsid w:val="217ADA70"/>
    <w:rsid w:val="225C0060"/>
    <w:rsid w:val="227472C2"/>
    <w:rsid w:val="228C99DF"/>
    <w:rsid w:val="22E3C8F4"/>
    <w:rsid w:val="232ABAF5"/>
    <w:rsid w:val="23448946"/>
    <w:rsid w:val="23949A70"/>
    <w:rsid w:val="2583676F"/>
    <w:rsid w:val="25F6DF3B"/>
    <w:rsid w:val="25FE89D1"/>
    <w:rsid w:val="26B53BAA"/>
    <w:rsid w:val="27B541B0"/>
    <w:rsid w:val="27E58B68"/>
    <w:rsid w:val="27F757CC"/>
    <w:rsid w:val="27FC5222"/>
    <w:rsid w:val="28062362"/>
    <w:rsid w:val="2899FD4C"/>
    <w:rsid w:val="28C5F261"/>
    <w:rsid w:val="28DE5895"/>
    <w:rsid w:val="28EF2C7E"/>
    <w:rsid w:val="2905A8F2"/>
    <w:rsid w:val="2982993B"/>
    <w:rsid w:val="2A14D14C"/>
    <w:rsid w:val="2A7CB318"/>
    <w:rsid w:val="2A835811"/>
    <w:rsid w:val="2A9C3C82"/>
    <w:rsid w:val="2AF4E011"/>
    <w:rsid w:val="2B4C62D8"/>
    <w:rsid w:val="2B8D16AA"/>
    <w:rsid w:val="2B901AD9"/>
    <w:rsid w:val="2CA52DE5"/>
    <w:rsid w:val="2D27E044"/>
    <w:rsid w:val="2DAC5419"/>
    <w:rsid w:val="2DACD73E"/>
    <w:rsid w:val="2DC9BFCC"/>
    <w:rsid w:val="2E5FB714"/>
    <w:rsid w:val="2EB44DF7"/>
    <w:rsid w:val="2EE6BF65"/>
    <w:rsid w:val="2EFE5EA5"/>
    <w:rsid w:val="2F85B3A3"/>
    <w:rsid w:val="2FA8A92E"/>
    <w:rsid w:val="2FA9F99C"/>
    <w:rsid w:val="2FB03A24"/>
    <w:rsid w:val="302AEE4B"/>
    <w:rsid w:val="30A42989"/>
    <w:rsid w:val="30A63A69"/>
    <w:rsid w:val="30E38CF5"/>
    <w:rsid w:val="30F33AB3"/>
    <w:rsid w:val="31BD1178"/>
    <w:rsid w:val="32444E0A"/>
    <w:rsid w:val="324CC2BD"/>
    <w:rsid w:val="327238EE"/>
    <w:rsid w:val="33B18606"/>
    <w:rsid w:val="33CECF03"/>
    <w:rsid w:val="3407185E"/>
    <w:rsid w:val="3449085C"/>
    <w:rsid w:val="348EB3E7"/>
    <w:rsid w:val="34A9EDFA"/>
    <w:rsid w:val="34B7FFE0"/>
    <w:rsid w:val="35316DEA"/>
    <w:rsid w:val="3650A11D"/>
    <w:rsid w:val="36D2E9D9"/>
    <w:rsid w:val="36E2585C"/>
    <w:rsid w:val="36EF6EA9"/>
    <w:rsid w:val="37109231"/>
    <w:rsid w:val="37629318"/>
    <w:rsid w:val="37BE9984"/>
    <w:rsid w:val="384257F0"/>
    <w:rsid w:val="385762BC"/>
    <w:rsid w:val="388A8786"/>
    <w:rsid w:val="394DB696"/>
    <w:rsid w:val="39702FBB"/>
    <w:rsid w:val="39707634"/>
    <w:rsid w:val="39BD975C"/>
    <w:rsid w:val="39CFF0FF"/>
    <w:rsid w:val="39D61443"/>
    <w:rsid w:val="3A80584E"/>
    <w:rsid w:val="3A963416"/>
    <w:rsid w:val="3AFBDDBC"/>
    <w:rsid w:val="3BA9B139"/>
    <w:rsid w:val="3C5F5A01"/>
    <w:rsid w:val="3D2F345A"/>
    <w:rsid w:val="3D969B57"/>
    <w:rsid w:val="3DC47721"/>
    <w:rsid w:val="3DEFC0B8"/>
    <w:rsid w:val="3F202211"/>
    <w:rsid w:val="4023F3EC"/>
    <w:rsid w:val="40CB409C"/>
    <w:rsid w:val="410E93C8"/>
    <w:rsid w:val="41A80339"/>
    <w:rsid w:val="4203CC51"/>
    <w:rsid w:val="42971E7A"/>
    <w:rsid w:val="42ACD7FE"/>
    <w:rsid w:val="42C46F95"/>
    <w:rsid w:val="4325C5E8"/>
    <w:rsid w:val="43481C66"/>
    <w:rsid w:val="43832D9B"/>
    <w:rsid w:val="439441DB"/>
    <w:rsid w:val="443EC803"/>
    <w:rsid w:val="447CDA69"/>
    <w:rsid w:val="4492CA4E"/>
    <w:rsid w:val="457F715D"/>
    <w:rsid w:val="45AF86D0"/>
    <w:rsid w:val="46BBB12F"/>
    <w:rsid w:val="46D6C685"/>
    <w:rsid w:val="483DD36C"/>
    <w:rsid w:val="486D0F65"/>
    <w:rsid w:val="495E483B"/>
    <w:rsid w:val="49AA4304"/>
    <w:rsid w:val="4A12D8AB"/>
    <w:rsid w:val="4A34DCDC"/>
    <w:rsid w:val="4A63DC24"/>
    <w:rsid w:val="4B942F8C"/>
    <w:rsid w:val="4BCAE17C"/>
    <w:rsid w:val="4C229630"/>
    <w:rsid w:val="4C6782A6"/>
    <w:rsid w:val="4CF5424D"/>
    <w:rsid w:val="4DA5A9E8"/>
    <w:rsid w:val="4DB3459A"/>
    <w:rsid w:val="4DC9A683"/>
    <w:rsid w:val="4E2AD847"/>
    <w:rsid w:val="4E392221"/>
    <w:rsid w:val="4E762EAC"/>
    <w:rsid w:val="4EBA9570"/>
    <w:rsid w:val="4F3885D5"/>
    <w:rsid w:val="4F3D1DCF"/>
    <w:rsid w:val="4F67DB97"/>
    <w:rsid w:val="4F814D26"/>
    <w:rsid w:val="4FB7C579"/>
    <w:rsid w:val="5040324F"/>
    <w:rsid w:val="509D6167"/>
    <w:rsid w:val="50BAE886"/>
    <w:rsid w:val="50C50E2E"/>
    <w:rsid w:val="5192F572"/>
    <w:rsid w:val="529DAF55"/>
    <w:rsid w:val="52AE5BCA"/>
    <w:rsid w:val="5396A132"/>
    <w:rsid w:val="53E9B22E"/>
    <w:rsid w:val="540542C9"/>
    <w:rsid w:val="546B7C2D"/>
    <w:rsid w:val="5529543C"/>
    <w:rsid w:val="559BA804"/>
    <w:rsid w:val="5616BB29"/>
    <w:rsid w:val="565B5A6C"/>
    <w:rsid w:val="56624293"/>
    <w:rsid w:val="56B610C6"/>
    <w:rsid w:val="57004964"/>
    <w:rsid w:val="5839DFAB"/>
    <w:rsid w:val="58502AB3"/>
    <w:rsid w:val="58885660"/>
    <w:rsid w:val="589EF3E8"/>
    <w:rsid w:val="58E8459F"/>
    <w:rsid w:val="59039CF2"/>
    <w:rsid w:val="59387269"/>
    <w:rsid w:val="597CDE78"/>
    <w:rsid w:val="59907477"/>
    <w:rsid w:val="59E1F8D4"/>
    <w:rsid w:val="5A17E351"/>
    <w:rsid w:val="5B40CA1A"/>
    <w:rsid w:val="5BC96D63"/>
    <w:rsid w:val="5BF901EA"/>
    <w:rsid w:val="5C3D6FB2"/>
    <w:rsid w:val="5C920AE1"/>
    <w:rsid w:val="5D09B8F8"/>
    <w:rsid w:val="5D2533F1"/>
    <w:rsid w:val="5D29DE92"/>
    <w:rsid w:val="5D7EDD38"/>
    <w:rsid w:val="5E783A82"/>
    <w:rsid w:val="5ED1BC5C"/>
    <w:rsid w:val="5ED49EF9"/>
    <w:rsid w:val="5ED55AA7"/>
    <w:rsid w:val="5F545F4C"/>
    <w:rsid w:val="5F83297D"/>
    <w:rsid w:val="60013309"/>
    <w:rsid w:val="61448482"/>
    <w:rsid w:val="61605A38"/>
    <w:rsid w:val="616D5B60"/>
    <w:rsid w:val="6187ED18"/>
    <w:rsid w:val="61AB30DE"/>
    <w:rsid w:val="61D9D6A7"/>
    <w:rsid w:val="61ECD4A0"/>
    <w:rsid w:val="621D542B"/>
    <w:rsid w:val="624CCC0D"/>
    <w:rsid w:val="6251727D"/>
    <w:rsid w:val="6283F345"/>
    <w:rsid w:val="6306E74F"/>
    <w:rsid w:val="6311C37F"/>
    <w:rsid w:val="631F8221"/>
    <w:rsid w:val="635F54C4"/>
    <w:rsid w:val="6394EB89"/>
    <w:rsid w:val="63BE5FB5"/>
    <w:rsid w:val="648633DA"/>
    <w:rsid w:val="64AD19F9"/>
    <w:rsid w:val="64CE1AF8"/>
    <w:rsid w:val="65412746"/>
    <w:rsid w:val="6566C919"/>
    <w:rsid w:val="65BDE0EF"/>
    <w:rsid w:val="6764F9D9"/>
    <w:rsid w:val="685E0FD8"/>
    <w:rsid w:val="6871CF5E"/>
    <w:rsid w:val="695419A7"/>
    <w:rsid w:val="69578E97"/>
    <w:rsid w:val="69CB7E34"/>
    <w:rsid w:val="69DB3C83"/>
    <w:rsid w:val="69DDCE2E"/>
    <w:rsid w:val="6A82ECC2"/>
    <w:rsid w:val="6B021F38"/>
    <w:rsid w:val="6B3B4930"/>
    <w:rsid w:val="6B54309B"/>
    <w:rsid w:val="6BFC137D"/>
    <w:rsid w:val="6C947A14"/>
    <w:rsid w:val="6D5D6C92"/>
    <w:rsid w:val="6D6F42FF"/>
    <w:rsid w:val="6D78E209"/>
    <w:rsid w:val="6D8FDCD2"/>
    <w:rsid w:val="6E2DFE7E"/>
    <w:rsid w:val="6E3ADEA3"/>
    <w:rsid w:val="6F5C1222"/>
    <w:rsid w:val="6F667328"/>
    <w:rsid w:val="6F868F3F"/>
    <w:rsid w:val="6FDE075D"/>
    <w:rsid w:val="704BE19C"/>
    <w:rsid w:val="708B5743"/>
    <w:rsid w:val="7100FB0A"/>
    <w:rsid w:val="712FE9C4"/>
    <w:rsid w:val="7167064D"/>
    <w:rsid w:val="719DE046"/>
    <w:rsid w:val="71BF2B79"/>
    <w:rsid w:val="7238A683"/>
    <w:rsid w:val="72BB42BC"/>
    <w:rsid w:val="72F34B73"/>
    <w:rsid w:val="72F822DD"/>
    <w:rsid w:val="7348E5C4"/>
    <w:rsid w:val="735F79D7"/>
    <w:rsid w:val="742F5606"/>
    <w:rsid w:val="744DCE01"/>
    <w:rsid w:val="74CA2650"/>
    <w:rsid w:val="759532A4"/>
    <w:rsid w:val="766BEACA"/>
    <w:rsid w:val="7701FAA3"/>
    <w:rsid w:val="7706C951"/>
    <w:rsid w:val="77527211"/>
    <w:rsid w:val="77BFFE57"/>
    <w:rsid w:val="77EAE2E8"/>
    <w:rsid w:val="78174EC8"/>
    <w:rsid w:val="781F5864"/>
    <w:rsid w:val="78C1202A"/>
    <w:rsid w:val="791B58C1"/>
    <w:rsid w:val="7A15E810"/>
    <w:rsid w:val="7A59D535"/>
    <w:rsid w:val="7A83AAAD"/>
    <w:rsid w:val="7A93D0F8"/>
    <w:rsid w:val="7B2341BC"/>
    <w:rsid w:val="7B2348F1"/>
    <w:rsid w:val="7BA9CC99"/>
    <w:rsid w:val="7C480C7F"/>
    <w:rsid w:val="7CC83EB8"/>
    <w:rsid w:val="7CE3D76E"/>
    <w:rsid w:val="7DA5AF21"/>
    <w:rsid w:val="7E471B5F"/>
    <w:rsid w:val="7E594D52"/>
    <w:rsid w:val="7F5154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BD004"/>
  <w15:docId w15:val="{31E66525-B937-4012-A9E9-4CC4F3289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Sansinterligne"/>
    <w:next w:val="Normal"/>
    <w:link w:val="Titre1Car"/>
    <w:uiPriority w:val="9"/>
    <w:qFormat/>
    <w:rsid w:val="00CC34C2"/>
    <w:pPr>
      <w:spacing w:line="300" w:lineRule="auto"/>
      <w:jc w:val="both"/>
      <w:outlineLvl w:val="0"/>
    </w:pPr>
    <w:rPr>
      <w:rFonts w:ascii="CG Omega" w:eastAsia="Times New Roman" w:hAnsi="CG Omega" w:cs="Times New Roman"/>
      <w:b/>
      <w:caps/>
      <w:lang w:val="en-GB" w:eastAsia="en-US"/>
    </w:rPr>
  </w:style>
  <w:style w:type="paragraph" w:styleId="Titre2">
    <w:name w:val="heading 2"/>
    <w:basedOn w:val="Sansinterligne"/>
    <w:next w:val="Normal"/>
    <w:link w:val="Titre2Car"/>
    <w:uiPriority w:val="9"/>
    <w:unhideWhenUsed/>
    <w:qFormat/>
    <w:rsid w:val="00CC34C2"/>
    <w:pPr>
      <w:spacing w:line="300" w:lineRule="auto"/>
      <w:outlineLvl w:val="1"/>
    </w:pPr>
    <w:rPr>
      <w:rFonts w:ascii="CG Omega" w:eastAsia="Times New Roman" w:hAnsi="CG Omega" w:cs="Times New Roman"/>
      <w:b/>
      <w:lang w:val="en-GB" w:eastAsia="en-US"/>
    </w:rPr>
  </w:style>
  <w:style w:type="paragraph" w:styleId="Titre3">
    <w:name w:val="heading 3"/>
    <w:basedOn w:val="Titre2"/>
    <w:next w:val="Normal"/>
    <w:link w:val="Titre3Car"/>
    <w:uiPriority w:val="9"/>
    <w:semiHidden/>
    <w:unhideWhenUsed/>
    <w:qFormat/>
    <w:rsid w:val="006551F0"/>
    <w:pPr>
      <w:shd w:val="clear" w:color="auto" w:fill="EEECE1" w:themeFill="background2"/>
      <w:spacing w:line="240" w:lineRule="auto"/>
      <w:ind w:left="567"/>
      <w:outlineLvl w:val="2"/>
    </w:pPr>
    <w:rPr>
      <w:rFonts w:eastAsiaTheme="minorEastAsia" w:cs="Calibri"/>
      <w:b w:val="0"/>
      <w:caps/>
      <w:spacing w:val="15"/>
      <w:sz w:val="20"/>
      <w:szCs w:val="20"/>
      <w:lang w:val="fr-BE" w:eastAsia="fr-BE"/>
    </w:rPr>
  </w:style>
  <w:style w:type="paragraph" w:styleId="Titre4">
    <w:name w:val="heading 4"/>
    <w:basedOn w:val="Normal"/>
    <w:next w:val="Normal"/>
    <w:link w:val="Titre4Car"/>
    <w:uiPriority w:val="9"/>
    <w:semiHidden/>
    <w:unhideWhenUsed/>
    <w:qFormat/>
    <w:rsid w:val="006551F0"/>
    <w:pPr>
      <w:pBdr>
        <w:top w:val="dotted" w:sz="6" w:space="2" w:color="4F81BD" w:themeColor="accent1"/>
        <w:left w:val="dotted" w:sz="6" w:space="2" w:color="4F81BD" w:themeColor="accent1"/>
      </w:pBdr>
      <w:spacing w:before="300" w:after="0" w:line="240" w:lineRule="auto"/>
      <w:outlineLvl w:val="3"/>
    </w:pPr>
    <w:rPr>
      <w:rFonts w:ascii="CG Omega" w:eastAsiaTheme="minorEastAsia" w:hAnsi="CG Omega" w:cs="Calibri"/>
      <w:caps/>
      <w:color w:val="365F91" w:themeColor="accent1" w:themeShade="BF"/>
      <w:spacing w:val="10"/>
      <w:lang w:val="en-US" w:eastAsia="fr-BE"/>
    </w:rPr>
  </w:style>
  <w:style w:type="paragraph" w:styleId="Titre5">
    <w:name w:val="heading 5"/>
    <w:basedOn w:val="Normal"/>
    <w:next w:val="Normal"/>
    <w:link w:val="Titre5Car"/>
    <w:uiPriority w:val="9"/>
    <w:semiHidden/>
    <w:unhideWhenUsed/>
    <w:qFormat/>
    <w:rsid w:val="006551F0"/>
    <w:pPr>
      <w:pBdr>
        <w:bottom w:val="single" w:sz="6" w:space="1" w:color="4F81BD" w:themeColor="accent1"/>
      </w:pBdr>
      <w:spacing w:before="300" w:after="0" w:line="240" w:lineRule="auto"/>
      <w:outlineLvl w:val="4"/>
    </w:pPr>
    <w:rPr>
      <w:rFonts w:ascii="CG Omega" w:eastAsiaTheme="minorEastAsia" w:hAnsi="CG Omega" w:cs="Calibri"/>
      <w:caps/>
      <w:color w:val="365F91" w:themeColor="accent1" w:themeShade="BF"/>
      <w:spacing w:val="10"/>
      <w:lang w:val="en-US" w:eastAsia="fr-BE"/>
    </w:rPr>
  </w:style>
  <w:style w:type="paragraph" w:styleId="Titre6">
    <w:name w:val="heading 6"/>
    <w:basedOn w:val="Normal"/>
    <w:next w:val="Normal"/>
    <w:link w:val="Titre6Car"/>
    <w:uiPriority w:val="9"/>
    <w:semiHidden/>
    <w:unhideWhenUsed/>
    <w:qFormat/>
    <w:rsid w:val="006551F0"/>
    <w:pPr>
      <w:pBdr>
        <w:bottom w:val="dotted" w:sz="6" w:space="1" w:color="4F81BD" w:themeColor="accent1"/>
      </w:pBdr>
      <w:spacing w:before="300" w:after="0" w:line="240" w:lineRule="auto"/>
      <w:outlineLvl w:val="5"/>
    </w:pPr>
    <w:rPr>
      <w:rFonts w:ascii="CG Omega" w:eastAsiaTheme="minorEastAsia" w:hAnsi="CG Omega" w:cs="Calibri"/>
      <w:caps/>
      <w:color w:val="365F91" w:themeColor="accent1" w:themeShade="BF"/>
      <w:spacing w:val="10"/>
      <w:lang w:val="en-US" w:eastAsia="fr-BE"/>
    </w:rPr>
  </w:style>
  <w:style w:type="paragraph" w:styleId="Titre7">
    <w:name w:val="heading 7"/>
    <w:basedOn w:val="Normal"/>
    <w:next w:val="Normal"/>
    <w:link w:val="Titre7Car"/>
    <w:uiPriority w:val="9"/>
    <w:semiHidden/>
    <w:unhideWhenUsed/>
    <w:qFormat/>
    <w:rsid w:val="006551F0"/>
    <w:pPr>
      <w:spacing w:before="300" w:after="0" w:line="240" w:lineRule="auto"/>
      <w:outlineLvl w:val="6"/>
    </w:pPr>
    <w:rPr>
      <w:rFonts w:ascii="CG Omega" w:eastAsiaTheme="minorEastAsia" w:hAnsi="CG Omega" w:cs="Calibri"/>
      <w:caps/>
      <w:color w:val="365F91" w:themeColor="accent1" w:themeShade="BF"/>
      <w:spacing w:val="10"/>
      <w:lang w:val="en-US" w:eastAsia="fr-BE"/>
    </w:rPr>
  </w:style>
  <w:style w:type="paragraph" w:styleId="Titre8">
    <w:name w:val="heading 8"/>
    <w:basedOn w:val="Normal"/>
    <w:next w:val="Normal"/>
    <w:link w:val="Titre8Car"/>
    <w:uiPriority w:val="9"/>
    <w:semiHidden/>
    <w:unhideWhenUsed/>
    <w:qFormat/>
    <w:rsid w:val="006551F0"/>
    <w:pPr>
      <w:spacing w:before="300" w:after="0" w:line="240" w:lineRule="auto"/>
      <w:outlineLvl w:val="7"/>
    </w:pPr>
    <w:rPr>
      <w:rFonts w:ascii="CG Omega" w:eastAsiaTheme="minorEastAsia" w:hAnsi="CG Omega" w:cs="Calibri"/>
      <w:caps/>
      <w:spacing w:val="10"/>
      <w:sz w:val="18"/>
      <w:szCs w:val="18"/>
      <w:lang w:val="en-US" w:eastAsia="fr-BE"/>
    </w:rPr>
  </w:style>
  <w:style w:type="paragraph" w:styleId="Titre9">
    <w:name w:val="heading 9"/>
    <w:basedOn w:val="Normal"/>
    <w:next w:val="Normal"/>
    <w:link w:val="Titre9Car"/>
    <w:uiPriority w:val="9"/>
    <w:semiHidden/>
    <w:unhideWhenUsed/>
    <w:qFormat/>
    <w:rsid w:val="006551F0"/>
    <w:pPr>
      <w:spacing w:before="300" w:after="0" w:line="240" w:lineRule="auto"/>
      <w:outlineLvl w:val="8"/>
    </w:pPr>
    <w:rPr>
      <w:rFonts w:ascii="CG Omega" w:eastAsiaTheme="minorEastAsia" w:hAnsi="CG Omega" w:cs="Calibri"/>
      <w:i/>
      <w:caps/>
      <w:spacing w:val="10"/>
      <w:sz w:val="18"/>
      <w:szCs w:val="18"/>
      <w:lang w:val="en-US"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CC34C2"/>
    <w:pPr>
      <w:spacing w:after="0" w:line="240" w:lineRule="auto"/>
    </w:pPr>
    <w:rPr>
      <w:rFonts w:eastAsiaTheme="minorEastAsia"/>
      <w:lang w:val="en-US" w:eastAsia="ja-JP"/>
    </w:rPr>
  </w:style>
  <w:style w:type="character" w:customStyle="1" w:styleId="SansinterligneCar">
    <w:name w:val="Sans interligne Car"/>
    <w:basedOn w:val="Policepardfaut"/>
    <w:link w:val="Sansinterligne"/>
    <w:uiPriority w:val="1"/>
    <w:rsid w:val="00CC34C2"/>
    <w:rPr>
      <w:rFonts w:eastAsiaTheme="minorEastAsia"/>
      <w:lang w:val="en-US" w:eastAsia="ja-JP"/>
    </w:rPr>
  </w:style>
  <w:style w:type="character" w:customStyle="1" w:styleId="Titre1Car">
    <w:name w:val="Titre 1 Car"/>
    <w:basedOn w:val="Policepardfaut"/>
    <w:link w:val="Titre1"/>
    <w:uiPriority w:val="9"/>
    <w:rsid w:val="00CC34C2"/>
    <w:rPr>
      <w:rFonts w:ascii="CG Omega" w:eastAsia="Times New Roman" w:hAnsi="CG Omega" w:cs="Times New Roman"/>
      <w:b/>
      <w:caps/>
    </w:rPr>
  </w:style>
  <w:style w:type="character" w:customStyle="1" w:styleId="Titre2Car">
    <w:name w:val="Titre 2 Car"/>
    <w:basedOn w:val="Policepardfaut"/>
    <w:link w:val="Titre2"/>
    <w:uiPriority w:val="9"/>
    <w:rsid w:val="00CC34C2"/>
    <w:rPr>
      <w:rFonts w:ascii="CG Omega" w:eastAsia="Times New Roman" w:hAnsi="CG Omega" w:cs="Times New Roman"/>
      <w:b/>
    </w:rPr>
  </w:style>
  <w:style w:type="character" w:customStyle="1" w:styleId="Titre3Car">
    <w:name w:val="Titre 3 Car"/>
    <w:basedOn w:val="Policepardfaut"/>
    <w:link w:val="Titre3"/>
    <w:uiPriority w:val="9"/>
    <w:rsid w:val="006551F0"/>
    <w:rPr>
      <w:rFonts w:ascii="CG Omega" w:eastAsiaTheme="minorEastAsia" w:hAnsi="CG Omega" w:cs="Calibri"/>
      <w:caps/>
      <w:spacing w:val="15"/>
      <w:sz w:val="20"/>
      <w:szCs w:val="20"/>
      <w:shd w:val="clear" w:color="auto" w:fill="EEECE1" w:themeFill="background2"/>
      <w:lang w:val="fr-BE" w:eastAsia="fr-BE"/>
    </w:rPr>
  </w:style>
  <w:style w:type="paragraph" w:styleId="Textedebulles">
    <w:name w:val="Balloon Text"/>
    <w:basedOn w:val="Normal"/>
    <w:link w:val="TextedebullesCar"/>
    <w:uiPriority w:val="99"/>
    <w:semiHidden/>
    <w:unhideWhenUsed/>
    <w:rsid w:val="003A25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25F9"/>
    <w:rPr>
      <w:rFonts w:ascii="Tahoma" w:hAnsi="Tahoma" w:cs="Tahoma"/>
      <w:sz w:val="16"/>
      <w:szCs w:val="16"/>
    </w:rPr>
  </w:style>
  <w:style w:type="paragraph" w:styleId="Pieddepage">
    <w:name w:val="footer"/>
    <w:basedOn w:val="Normal"/>
    <w:link w:val="PieddepageCar"/>
    <w:uiPriority w:val="99"/>
    <w:rsid w:val="00CC34C2"/>
    <w:pPr>
      <w:widowControl w:val="0"/>
      <w:tabs>
        <w:tab w:val="center" w:pos="4320"/>
        <w:tab w:val="right" w:pos="8640"/>
      </w:tabs>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PieddepageCar">
    <w:name w:val="Pied de page Car"/>
    <w:basedOn w:val="Policepardfaut"/>
    <w:link w:val="Pieddepage"/>
    <w:uiPriority w:val="99"/>
    <w:rsid w:val="00CC34C2"/>
    <w:rPr>
      <w:rFonts w:ascii="Times New Roman" w:eastAsia="Times New Roman" w:hAnsi="Times New Roman" w:cs="Times New Roman"/>
      <w:sz w:val="20"/>
      <w:szCs w:val="20"/>
      <w:lang w:val="en-US"/>
    </w:rPr>
  </w:style>
  <w:style w:type="character" w:styleId="Numrodepage">
    <w:name w:val="page number"/>
    <w:basedOn w:val="Policepardfaut"/>
    <w:rsid w:val="00CC34C2"/>
  </w:style>
  <w:style w:type="paragraph" w:styleId="En-tte">
    <w:name w:val="header"/>
    <w:basedOn w:val="Normal"/>
    <w:link w:val="En-tteCar"/>
    <w:uiPriority w:val="99"/>
    <w:unhideWhenUsed/>
    <w:rsid w:val="00CC34C2"/>
    <w:pPr>
      <w:tabs>
        <w:tab w:val="center" w:pos="4513"/>
        <w:tab w:val="right" w:pos="9026"/>
      </w:tabs>
      <w:spacing w:after="0" w:line="240" w:lineRule="auto"/>
    </w:pPr>
  </w:style>
  <w:style w:type="character" w:customStyle="1" w:styleId="En-tteCar">
    <w:name w:val="En-tête Car"/>
    <w:basedOn w:val="Policepardfaut"/>
    <w:link w:val="En-tte"/>
    <w:uiPriority w:val="99"/>
    <w:rsid w:val="00CC34C2"/>
  </w:style>
  <w:style w:type="paragraph" w:styleId="TM1">
    <w:name w:val="toc 1"/>
    <w:basedOn w:val="Normal"/>
    <w:next w:val="Normal"/>
    <w:autoRedefine/>
    <w:uiPriority w:val="39"/>
    <w:qFormat/>
    <w:rsid w:val="00CC34C2"/>
    <w:pPr>
      <w:tabs>
        <w:tab w:val="right" w:pos="9498"/>
      </w:tabs>
      <w:spacing w:after="0"/>
      <w:ind w:right="-145"/>
    </w:pPr>
    <w:rPr>
      <w:rFonts w:ascii="CG Omega" w:eastAsiaTheme="minorEastAsia" w:hAnsi="CG Omega"/>
      <w:b/>
      <w:bCs/>
      <w:caps/>
      <w:smallCaps/>
      <w:noProof/>
      <w:spacing w:val="15"/>
      <w:sz w:val="20"/>
      <w:szCs w:val="20"/>
      <w:lang w:val="nl-BE"/>
    </w:rPr>
  </w:style>
  <w:style w:type="paragraph" w:styleId="TM2">
    <w:name w:val="toc 2"/>
    <w:basedOn w:val="Normal"/>
    <w:next w:val="Normal"/>
    <w:autoRedefine/>
    <w:uiPriority w:val="39"/>
    <w:qFormat/>
    <w:rsid w:val="00CC34C2"/>
    <w:pPr>
      <w:tabs>
        <w:tab w:val="right" w:leader="dot" w:pos="9498"/>
      </w:tabs>
      <w:spacing w:after="0" w:line="240" w:lineRule="auto"/>
      <w:ind w:left="284"/>
    </w:pPr>
    <w:rPr>
      <w:rFonts w:ascii="Times New Roman" w:eastAsiaTheme="minorEastAsia" w:hAnsi="Times New Roman"/>
      <w:smallCaps/>
      <w:sz w:val="20"/>
      <w:szCs w:val="20"/>
      <w:lang w:val="en-US"/>
    </w:rPr>
  </w:style>
  <w:style w:type="paragraph" w:styleId="En-ttedetabledesmatires">
    <w:name w:val="TOC Heading"/>
    <w:basedOn w:val="Titre1"/>
    <w:next w:val="Normal"/>
    <w:uiPriority w:val="39"/>
    <w:unhideWhenUsed/>
    <w:qFormat/>
    <w:rsid w:val="00CC34C2"/>
    <w:pPr>
      <w:outlineLvl w:val="9"/>
    </w:pPr>
    <w:rPr>
      <w:lang w:bidi="en-US"/>
    </w:rPr>
  </w:style>
  <w:style w:type="character" w:styleId="Lienhypertexte">
    <w:name w:val="Hyperlink"/>
    <w:basedOn w:val="Policepardfaut"/>
    <w:uiPriority w:val="99"/>
    <w:unhideWhenUsed/>
    <w:rsid w:val="00CC34C2"/>
    <w:rPr>
      <w:color w:val="0000FF" w:themeColor="hyperlink"/>
      <w:u w:val="single"/>
    </w:rPr>
  </w:style>
  <w:style w:type="character" w:customStyle="1" w:styleId="hps">
    <w:name w:val="hps"/>
    <w:basedOn w:val="Policepardfaut"/>
    <w:rsid w:val="005E47AC"/>
  </w:style>
  <w:style w:type="character" w:styleId="Textedelespacerserv">
    <w:name w:val="Placeholder Text"/>
    <w:basedOn w:val="Policepardfaut"/>
    <w:uiPriority w:val="99"/>
    <w:semiHidden/>
    <w:rsid w:val="00B33A2E"/>
    <w:rPr>
      <w:color w:val="808080"/>
    </w:rPr>
  </w:style>
  <w:style w:type="character" w:customStyle="1" w:styleId="Titre4Car">
    <w:name w:val="Titre 4 Car"/>
    <w:basedOn w:val="Policepardfaut"/>
    <w:link w:val="Titre4"/>
    <w:uiPriority w:val="9"/>
    <w:semiHidden/>
    <w:rsid w:val="006551F0"/>
    <w:rPr>
      <w:rFonts w:ascii="CG Omega" w:eastAsiaTheme="minorEastAsia" w:hAnsi="CG Omega" w:cs="Calibri"/>
      <w:caps/>
      <w:color w:val="365F91" w:themeColor="accent1" w:themeShade="BF"/>
      <w:spacing w:val="10"/>
      <w:lang w:val="en-US" w:eastAsia="fr-BE"/>
    </w:rPr>
  </w:style>
  <w:style w:type="character" w:customStyle="1" w:styleId="Titre5Car">
    <w:name w:val="Titre 5 Car"/>
    <w:basedOn w:val="Policepardfaut"/>
    <w:link w:val="Titre5"/>
    <w:uiPriority w:val="9"/>
    <w:semiHidden/>
    <w:rsid w:val="006551F0"/>
    <w:rPr>
      <w:rFonts w:ascii="CG Omega" w:eastAsiaTheme="minorEastAsia" w:hAnsi="CG Omega" w:cs="Calibri"/>
      <w:caps/>
      <w:color w:val="365F91" w:themeColor="accent1" w:themeShade="BF"/>
      <w:spacing w:val="10"/>
      <w:lang w:val="en-US" w:eastAsia="fr-BE"/>
    </w:rPr>
  </w:style>
  <w:style w:type="character" w:customStyle="1" w:styleId="Titre6Car">
    <w:name w:val="Titre 6 Car"/>
    <w:basedOn w:val="Policepardfaut"/>
    <w:link w:val="Titre6"/>
    <w:uiPriority w:val="9"/>
    <w:semiHidden/>
    <w:rsid w:val="006551F0"/>
    <w:rPr>
      <w:rFonts w:ascii="CG Omega" w:eastAsiaTheme="minorEastAsia" w:hAnsi="CG Omega" w:cs="Calibri"/>
      <w:caps/>
      <w:color w:val="365F91" w:themeColor="accent1" w:themeShade="BF"/>
      <w:spacing w:val="10"/>
      <w:lang w:val="en-US" w:eastAsia="fr-BE"/>
    </w:rPr>
  </w:style>
  <w:style w:type="character" w:customStyle="1" w:styleId="Titre7Car">
    <w:name w:val="Titre 7 Car"/>
    <w:basedOn w:val="Policepardfaut"/>
    <w:link w:val="Titre7"/>
    <w:uiPriority w:val="9"/>
    <w:semiHidden/>
    <w:rsid w:val="006551F0"/>
    <w:rPr>
      <w:rFonts w:ascii="CG Omega" w:eastAsiaTheme="minorEastAsia" w:hAnsi="CG Omega" w:cs="Calibri"/>
      <w:caps/>
      <w:color w:val="365F91" w:themeColor="accent1" w:themeShade="BF"/>
      <w:spacing w:val="10"/>
      <w:lang w:val="en-US" w:eastAsia="fr-BE"/>
    </w:rPr>
  </w:style>
  <w:style w:type="character" w:customStyle="1" w:styleId="Titre8Car">
    <w:name w:val="Titre 8 Car"/>
    <w:basedOn w:val="Policepardfaut"/>
    <w:link w:val="Titre8"/>
    <w:uiPriority w:val="9"/>
    <w:semiHidden/>
    <w:rsid w:val="006551F0"/>
    <w:rPr>
      <w:rFonts w:ascii="CG Omega" w:eastAsiaTheme="minorEastAsia" w:hAnsi="CG Omega" w:cs="Calibri"/>
      <w:caps/>
      <w:spacing w:val="10"/>
      <w:sz w:val="18"/>
      <w:szCs w:val="18"/>
      <w:lang w:val="en-US" w:eastAsia="fr-BE"/>
    </w:rPr>
  </w:style>
  <w:style w:type="character" w:customStyle="1" w:styleId="Titre9Car">
    <w:name w:val="Titre 9 Car"/>
    <w:basedOn w:val="Policepardfaut"/>
    <w:link w:val="Titre9"/>
    <w:uiPriority w:val="9"/>
    <w:semiHidden/>
    <w:rsid w:val="006551F0"/>
    <w:rPr>
      <w:rFonts w:ascii="CG Omega" w:eastAsiaTheme="minorEastAsia" w:hAnsi="CG Omega" w:cs="Calibri"/>
      <w:i/>
      <w:caps/>
      <w:spacing w:val="10"/>
      <w:sz w:val="18"/>
      <w:szCs w:val="18"/>
      <w:lang w:val="en-US" w:eastAsia="fr-BE"/>
    </w:rPr>
  </w:style>
  <w:style w:type="paragraph" w:styleId="Titre">
    <w:name w:val="Title"/>
    <w:basedOn w:val="Normal"/>
    <w:next w:val="Normal"/>
    <w:link w:val="TitreCar"/>
    <w:uiPriority w:val="10"/>
    <w:qFormat/>
    <w:rsid w:val="006551F0"/>
    <w:pPr>
      <w:spacing w:before="720" w:after="0" w:line="240" w:lineRule="auto"/>
    </w:pPr>
    <w:rPr>
      <w:rFonts w:ascii="CG Omega" w:eastAsiaTheme="minorEastAsia" w:hAnsi="CG Omega" w:cs="Calibri"/>
      <w:caps/>
      <w:color w:val="4F81BD" w:themeColor="accent1"/>
      <w:spacing w:val="10"/>
      <w:kern w:val="28"/>
      <w:sz w:val="52"/>
      <w:szCs w:val="52"/>
      <w:lang w:val="en-US" w:eastAsia="fr-BE"/>
    </w:rPr>
  </w:style>
  <w:style w:type="character" w:customStyle="1" w:styleId="TitreCar">
    <w:name w:val="Titre Car"/>
    <w:basedOn w:val="Policepardfaut"/>
    <w:link w:val="Titre"/>
    <w:uiPriority w:val="10"/>
    <w:rsid w:val="006551F0"/>
    <w:rPr>
      <w:rFonts w:ascii="CG Omega" w:eastAsiaTheme="minorEastAsia" w:hAnsi="CG Omega" w:cs="Calibri"/>
      <w:caps/>
      <w:color w:val="4F81BD" w:themeColor="accent1"/>
      <w:spacing w:val="10"/>
      <w:kern w:val="28"/>
      <w:sz w:val="52"/>
      <w:szCs w:val="52"/>
      <w:lang w:val="en-US" w:eastAsia="fr-BE"/>
    </w:rPr>
  </w:style>
  <w:style w:type="table" w:styleId="Grilledutableau">
    <w:name w:val="Table Grid"/>
    <w:basedOn w:val="TableauNormal"/>
    <w:uiPriority w:val="39"/>
    <w:rsid w:val="006551F0"/>
    <w:pPr>
      <w:widowControl w:val="0"/>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qFormat/>
    <w:rsid w:val="006551F0"/>
    <w:pPr>
      <w:tabs>
        <w:tab w:val="right" w:leader="dot" w:pos="10348"/>
      </w:tabs>
      <w:spacing w:after="0" w:line="240" w:lineRule="auto"/>
      <w:ind w:left="426"/>
    </w:pPr>
    <w:rPr>
      <w:rFonts w:ascii="Times New Roman" w:eastAsiaTheme="minorEastAsia" w:hAnsi="Times New Roman" w:cs="Calibri"/>
      <w:i/>
      <w:iCs/>
      <w:sz w:val="20"/>
      <w:szCs w:val="20"/>
      <w:lang w:val="en-US" w:eastAsia="fr-BE"/>
    </w:rPr>
  </w:style>
  <w:style w:type="paragraph" w:styleId="Sous-titre">
    <w:name w:val="Subtitle"/>
    <w:basedOn w:val="Normal"/>
    <w:next w:val="Normal"/>
    <w:link w:val="Sous-titreCar"/>
    <w:uiPriority w:val="11"/>
    <w:qFormat/>
    <w:rsid w:val="006551F0"/>
    <w:pPr>
      <w:spacing w:after="1000" w:line="240" w:lineRule="auto"/>
    </w:pPr>
    <w:rPr>
      <w:rFonts w:ascii="CG Omega" w:eastAsia="CG Omega" w:hAnsi="CG Omega" w:cs="CG Omega"/>
      <w:smallCaps/>
      <w:color w:val="595959"/>
      <w:sz w:val="24"/>
      <w:szCs w:val="24"/>
      <w:lang w:eastAsia="fr-BE"/>
    </w:rPr>
  </w:style>
  <w:style w:type="character" w:customStyle="1" w:styleId="Sous-titreCar">
    <w:name w:val="Sous-titre Car"/>
    <w:basedOn w:val="Policepardfaut"/>
    <w:link w:val="Sous-titre"/>
    <w:uiPriority w:val="11"/>
    <w:rsid w:val="006551F0"/>
    <w:rPr>
      <w:rFonts w:ascii="CG Omega" w:eastAsia="CG Omega" w:hAnsi="CG Omega" w:cs="CG Omega"/>
      <w:smallCaps/>
      <w:color w:val="595959"/>
      <w:sz w:val="24"/>
      <w:szCs w:val="24"/>
      <w:lang w:eastAsia="fr-BE"/>
    </w:rPr>
  </w:style>
  <w:style w:type="character" w:styleId="lev">
    <w:name w:val="Strong"/>
    <w:uiPriority w:val="22"/>
    <w:qFormat/>
    <w:rsid w:val="006551F0"/>
    <w:rPr>
      <w:b/>
      <w:bCs/>
    </w:rPr>
  </w:style>
  <w:style w:type="character" w:styleId="Accentuation">
    <w:name w:val="Emphasis"/>
    <w:uiPriority w:val="20"/>
    <w:qFormat/>
    <w:rsid w:val="006551F0"/>
    <w:rPr>
      <w:caps/>
      <w:color w:val="243F60" w:themeColor="accent1" w:themeShade="7F"/>
      <w:spacing w:val="5"/>
    </w:rPr>
  </w:style>
  <w:style w:type="paragraph" w:styleId="Paragraphedeliste">
    <w:name w:val="List Paragraph"/>
    <w:basedOn w:val="Normal"/>
    <w:uiPriority w:val="34"/>
    <w:qFormat/>
    <w:rsid w:val="006551F0"/>
    <w:pPr>
      <w:spacing w:after="0" w:line="240" w:lineRule="auto"/>
      <w:ind w:left="720"/>
      <w:contextualSpacing/>
    </w:pPr>
    <w:rPr>
      <w:rFonts w:ascii="CG Omega" w:eastAsiaTheme="minorEastAsia" w:hAnsi="CG Omega" w:cs="Calibri"/>
      <w:szCs w:val="20"/>
      <w:lang w:val="en-US" w:eastAsia="fr-BE"/>
    </w:rPr>
  </w:style>
  <w:style w:type="paragraph" w:styleId="Citation">
    <w:name w:val="Quote"/>
    <w:basedOn w:val="Normal"/>
    <w:next w:val="Normal"/>
    <w:link w:val="CitationCar"/>
    <w:uiPriority w:val="29"/>
    <w:qFormat/>
    <w:rsid w:val="006551F0"/>
    <w:pPr>
      <w:spacing w:after="0" w:line="240" w:lineRule="auto"/>
    </w:pPr>
    <w:rPr>
      <w:rFonts w:ascii="CG Omega" w:eastAsiaTheme="minorEastAsia" w:hAnsi="CG Omega" w:cs="Calibri"/>
      <w:i/>
      <w:iCs/>
      <w:szCs w:val="20"/>
      <w:lang w:val="en-US" w:eastAsia="fr-BE"/>
    </w:rPr>
  </w:style>
  <w:style w:type="character" w:customStyle="1" w:styleId="CitationCar">
    <w:name w:val="Citation Car"/>
    <w:basedOn w:val="Policepardfaut"/>
    <w:link w:val="Citation"/>
    <w:uiPriority w:val="29"/>
    <w:rsid w:val="006551F0"/>
    <w:rPr>
      <w:rFonts w:ascii="CG Omega" w:eastAsiaTheme="minorEastAsia" w:hAnsi="CG Omega" w:cs="Calibri"/>
      <w:i/>
      <w:iCs/>
      <w:szCs w:val="20"/>
      <w:lang w:val="en-US" w:eastAsia="fr-BE"/>
    </w:rPr>
  </w:style>
  <w:style w:type="paragraph" w:styleId="Citationintense">
    <w:name w:val="Intense Quote"/>
    <w:basedOn w:val="Normal"/>
    <w:next w:val="Normal"/>
    <w:link w:val="CitationintenseCar"/>
    <w:uiPriority w:val="30"/>
    <w:qFormat/>
    <w:rsid w:val="006551F0"/>
    <w:pPr>
      <w:pBdr>
        <w:top w:val="single" w:sz="4" w:space="10" w:color="4F81BD" w:themeColor="accent1"/>
        <w:left w:val="single" w:sz="4" w:space="10" w:color="4F81BD" w:themeColor="accent1"/>
      </w:pBdr>
      <w:spacing w:after="0" w:line="240" w:lineRule="auto"/>
      <w:ind w:left="1296" w:right="1152"/>
      <w:jc w:val="both"/>
    </w:pPr>
    <w:rPr>
      <w:rFonts w:ascii="CG Omega" w:eastAsiaTheme="minorEastAsia" w:hAnsi="CG Omega" w:cs="Calibri"/>
      <w:i/>
      <w:iCs/>
      <w:color w:val="4F81BD" w:themeColor="accent1"/>
      <w:szCs w:val="20"/>
      <w:lang w:val="en-US" w:eastAsia="fr-BE"/>
    </w:rPr>
  </w:style>
  <w:style w:type="character" w:customStyle="1" w:styleId="CitationintenseCar">
    <w:name w:val="Citation intense Car"/>
    <w:basedOn w:val="Policepardfaut"/>
    <w:link w:val="Citationintense"/>
    <w:uiPriority w:val="30"/>
    <w:rsid w:val="006551F0"/>
    <w:rPr>
      <w:rFonts w:ascii="CG Omega" w:eastAsiaTheme="minorEastAsia" w:hAnsi="CG Omega" w:cs="Calibri"/>
      <w:i/>
      <w:iCs/>
      <w:color w:val="4F81BD" w:themeColor="accent1"/>
      <w:szCs w:val="20"/>
      <w:lang w:val="en-US" w:eastAsia="fr-BE"/>
    </w:rPr>
  </w:style>
  <w:style w:type="character" w:styleId="Accentuationlgre">
    <w:name w:val="Subtle Emphasis"/>
    <w:uiPriority w:val="19"/>
    <w:qFormat/>
    <w:rsid w:val="006551F0"/>
    <w:rPr>
      <w:i/>
      <w:iCs/>
      <w:color w:val="243F60" w:themeColor="accent1" w:themeShade="7F"/>
    </w:rPr>
  </w:style>
  <w:style w:type="character" w:styleId="Accentuationintense">
    <w:name w:val="Intense Emphasis"/>
    <w:uiPriority w:val="21"/>
    <w:qFormat/>
    <w:rsid w:val="006551F0"/>
    <w:rPr>
      <w:b/>
      <w:bCs/>
      <w:caps/>
      <w:color w:val="243F60" w:themeColor="accent1" w:themeShade="7F"/>
      <w:spacing w:val="10"/>
    </w:rPr>
  </w:style>
  <w:style w:type="character" w:styleId="Rfrencelgre">
    <w:name w:val="Subtle Reference"/>
    <w:uiPriority w:val="31"/>
    <w:qFormat/>
    <w:rsid w:val="006551F0"/>
    <w:rPr>
      <w:b/>
      <w:bCs/>
      <w:color w:val="4F81BD" w:themeColor="accent1"/>
    </w:rPr>
  </w:style>
  <w:style w:type="character" w:styleId="Rfrenceintense">
    <w:name w:val="Intense Reference"/>
    <w:uiPriority w:val="32"/>
    <w:qFormat/>
    <w:rsid w:val="006551F0"/>
    <w:rPr>
      <w:b/>
      <w:bCs/>
      <w:i/>
      <w:iCs/>
      <w:caps/>
      <w:color w:val="4F81BD" w:themeColor="accent1"/>
    </w:rPr>
  </w:style>
  <w:style w:type="character" w:styleId="Titredulivre">
    <w:name w:val="Book Title"/>
    <w:uiPriority w:val="33"/>
    <w:qFormat/>
    <w:rsid w:val="006551F0"/>
    <w:rPr>
      <w:b/>
      <w:bCs/>
      <w:i/>
      <w:iCs/>
      <w:spacing w:val="9"/>
    </w:rPr>
  </w:style>
  <w:style w:type="paragraph" w:styleId="Commentaire">
    <w:name w:val="annotation text"/>
    <w:basedOn w:val="Normal"/>
    <w:link w:val="CommentaireCar"/>
    <w:uiPriority w:val="99"/>
    <w:unhideWhenUsed/>
    <w:rsid w:val="006551F0"/>
    <w:pPr>
      <w:spacing w:line="240" w:lineRule="auto"/>
    </w:pPr>
    <w:rPr>
      <w:rFonts w:ascii="Calibri" w:eastAsia="Calibri" w:hAnsi="Calibri" w:cs="Calibri"/>
      <w:sz w:val="20"/>
      <w:szCs w:val="20"/>
      <w:lang w:eastAsia="fr-BE"/>
    </w:rPr>
  </w:style>
  <w:style w:type="character" w:customStyle="1" w:styleId="CommentaireCar">
    <w:name w:val="Commentaire Car"/>
    <w:basedOn w:val="Policepardfaut"/>
    <w:link w:val="Commentaire"/>
    <w:uiPriority w:val="99"/>
    <w:rsid w:val="006551F0"/>
    <w:rPr>
      <w:rFonts w:ascii="Calibri" w:eastAsia="Calibri" w:hAnsi="Calibri" w:cs="Calibri"/>
      <w:sz w:val="20"/>
      <w:szCs w:val="20"/>
      <w:lang w:eastAsia="fr-BE"/>
    </w:rPr>
  </w:style>
  <w:style w:type="character" w:customStyle="1" w:styleId="ObjetducommentaireCar">
    <w:name w:val="Objet du commentaire Car"/>
    <w:basedOn w:val="CommentaireCar"/>
    <w:link w:val="Objetducommentaire"/>
    <w:uiPriority w:val="99"/>
    <w:semiHidden/>
    <w:rsid w:val="006551F0"/>
    <w:rPr>
      <w:rFonts w:ascii="Calibri" w:eastAsia="Calibri" w:hAnsi="Calibri" w:cs="Calibri"/>
      <w:b/>
      <w:bCs/>
      <w:sz w:val="20"/>
      <w:szCs w:val="20"/>
      <w:lang w:eastAsia="fr-BE"/>
    </w:rPr>
  </w:style>
  <w:style w:type="paragraph" w:styleId="Objetducommentaire">
    <w:name w:val="annotation subject"/>
    <w:basedOn w:val="Commentaire"/>
    <w:next w:val="Commentaire"/>
    <w:link w:val="ObjetducommentaireCar"/>
    <w:uiPriority w:val="99"/>
    <w:semiHidden/>
    <w:unhideWhenUsed/>
    <w:rsid w:val="006551F0"/>
    <w:rPr>
      <w:b/>
      <w:bCs/>
    </w:rPr>
  </w:style>
  <w:style w:type="paragraph" w:customStyle="1" w:styleId="Default">
    <w:name w:val="Default"/>
    <w:rsid w:val="006551F0"/>
    <w:pPr>
      <w:autoSpaceDE w:val="0"/>
      <w:autoSpaceDN w:val="0"/>
      <w:adjustRightInd w:val="0"/>
      <w:spacing w:after="0" w:line="240" w:lineRule="auto"/>
    </w:pPr>
    <w:rPr>
      <w:rFonts w:ascii="Calibri" w:eastAsia="Calibri" w:hAnsi="Calibri" w:cs="Calibri"/>
      <w:color w:val="000000"/>
      <w:sz w:val="24"/>
      <w:szCs w:val="24"/>
      <w:lang w:val="fr-BE" w:eastAsia="fr-BE"/>
    </w:rPr>
  </w:style>
  <w:style w:type="paragraph" w:customStyle="1" w:styleId="EndNoteBibliographyTitle">
    <w:name w:val="EndNote Bibliography Title"/>
    <w:basedOn w:val="Normal"/>
    <w:link w:val="EndNoteBibliographyTitleCar"/>
    <w:rsid w:val="006551F0"/>
    <w:pPr>
      <w:spacing w:after="0"/>
      <w:jc w:val="center"/>
    </w:pPr>
    <w:rPr>
      <w:rFonts w:ascii="Calibri" w:eastAsia="Calibri" w:hAnsi="Calibri" w:cs="Calibri"/>
      <w:noProof/>
      <w:lang w:val="fr-BE" w:eastAsia="fr-BE"/>
    </w:rPr>
  </w:style>
  <w:style w:type="character" w:customStyle="1" w:styleId="EndNoteBibliographyTitleCar">
    <w:name w:val="EndNote Bibliography Title Car"/>
    <w:basedOn w:val="Policepardfaut"/>
    <w:link w:val="EndNoteBibliographyTitle"/>
    <w:rsid w:val="006551F0"/>
    <w:rPr>
      <w:rFonts w:ascii="Calibri" w:eastAsia="Calibri" w:hAnsi="Calibri" w:cs="Calibri"/>
      <w:noProof/>
      <w:lang w:val="fr-BE" w:eastAsia="fr-BE"/>
    </w:rPr>
  </w:style>
  <w:style w:type="paragraph" w:customStyle="1" w:styleId="EndNoteBibliography">
    <w:name w:val="EndNote Bibliography"/>
    <w:basedOn w:val="Normal"/>
    <w:link w:val="EndNoteBibliographyCar"/>
    <w:rsid w:val="006551F0"/>
    <w:pPr>
      <w:spacing w:line="240" w:lineRule="auto"/>
    </w:pPr>
    <w:rPr>
      <w:rFonts w:ascii="Calibri" w:eastAsia="Calibri" w:hAnsi="Calibri" w:cs="Calibri"/>
      <w:noProof/>
      <w:lang w:val="fr-BE" w:eastAsia="fr-BE"/>
    </w:rPr>
  </w:style>
  <w:style w:type="character" w:customStyle="1" w:styleId="EndNoteBibliographyCar">
    <w:name w:val="EndNote Bibliography Car"/>
    <w:basedOn w:val="Policepardfaut"/>
    <w:link w:val="EndNoteBibliography"/>
    <w:rsid w:val="006551F0"/>
    <w:rPr>
      <w:rFonts w:ascii="Calibri" w:eastAsia="Calibri" w:hAnsi="Calibri" w:cs="Calibri"/>
      <w:noProof/>
      <w:lang w:val="fr-BE" w:eastAsia="fr-BE"/>
    </w:rPr>
  </w:style>
  <w:style w:type="paragraph" w:styleId="Notedebasdepage">
    <w:name w:val="footnote text"/>
    <w:basedOn w:val="Normal"/>
    <w:link w:val="NotedebasdepageCar"/>
    <w:uiPriority w:val="99"/>
    <w:semiHidden/>
    <w:unhideWhenUsed/>
    <w:rsid w:val="006551F0"/>
    <w:pPr>
      <w:spacing w:after="0" w:line="240" w:lineRule="auto"/>
    </w:pPr>
    <w:rPr>
      <w:rFonts w:ascii="Calibri" w:eastAsia="Calibri" w:hAnsi="Calibri" w:cs="Calibri"/>
      <w:sz w:val="20"/>
      <w:szCs w:val="20"/>
      <w:lang w:eastAsia="fr-BE"/>
    </w:rPr>
  </w:style>
  <w:style w:type="character" w:customStyle="1" w:styleId="NotedebasdepageCar">
    <w:name w:val="Note de bas de page Car"/>
    <w:basedOn w:val="Policepardfaut"/>
    <w:link w:val="Notedebasdepage"/>
    <w:uiPriority w:val="99"/>
    <w:semiHidden/>
    <w:rsid w:val="006551F0"/>
    <w:rPr>
      <w:rFonts w:ascii="Calibri" w:eastAsia="Calibri" w:hAnsi="Calibri" w:cs="Calibri"/>
      <w:sz w:val="20"/>
      <w:szCs w:val="20"/>
      <w:lang w:eastAsia="fr-BE"/>
    </w:rPr>
  </w:style>
  <w:style w:type="paragraph" w:styleId="Lgende">
    <w:name w:val="caption"/>
    <w:basedOn w:val="Normal"/>
    <w:next w:val="Normal"/>
    <w:uiPriority w:val="35"/>
    <w:unhideWhenUsed/>
    <w:qFormat/>
    <w:rsid w:val="006551F0"/>
    <w:pPr>
      <w:spacing w:line="240" w:lineRule="auto"/>
    </w:pPr>
    <w:rPr>
      <w:rFonts w:ascii="Calibri" w:eastAsia="Calibri" w:hAnsi="Calibri" w:cs="Calibri"/>
      <w:i/>
      <w:iCs/>
      <w:color w:val="1F497D" w:themeColor="text2"/>
      <w:sz w:val="18"/>
      <w:szCs w:val="18"/>
      <w:lang w:eastAsia="fr-BE"/>
    </w:rPr>
  </w:style>
  <w:style w:type="paragraph" w:customStyle="1" w:styleId="tablemodels">
    <w:name w:val="table models"/>
    <w:basedOn w:val="Normal"/>
    <w:qFormat/>
    <w:rsid w:val="006551F0"/>
    <w:pPr>
      <w:spacing w:after="0" w:line="240" w:lineRule="auto"/>
      <w:jc w:val="both"/>
    </w:pPr>
    <w:rPr>
      <w:rFonts w:eastAsia="Times New Roman" w:cstheme="minorHAnsi"/>
      <w:i/>
      <w:iCs/>
      <w:color w:val="000000"/>
      <w:sz w:val="18"/>
      <w:szCs w:val="18"/>
      <w:lang w:val="en-US"/>
    </w:rPr>
  </w:style>
  <w:style w:type="paragraph" w:customStyle="1" w:styleId="Captionrege">
    <w:name w:val="Caption_rege+"/>
    <w:basedOn w:val="Lgende"/>
    <w:next w:val="Normal"/>
    <w:link w:val="CaptionregeChar"/>
    <w:qFormat/>
    <w:rsid w:val="006551F0"/>
    <w:pPr>
      <w:keepNext/>
      <w:keepLines/>
    </w:pPr>
    <w:rPr>
      <w:rFonts w:ascii="Times New Roman" w:eastAsiaTheme="minorHAnsi" w:hAnsi="Times New Roman" w:cs="Times New Roman"/>
      <w:b/>
      <w:i w:val="0"/>
      <w:color w:val="auto"/>
      <w:sz w:val="22"/>
      <w:szCs w:val="22"/>
      <w:lang w:val="fr-BE" w:eastAsia="en-US"/>
    </w:rPr>
  </w:style>
  <w:style w:type="character" w:customStyle="1" w:styleId="CaptionregeChar">
    <w:name w:val="Caption_rege+ Char"/>
    <w:basedOn w:val="Policepardfaut"/>
    <w:link w:val="Captionrege"/>
    <w:rsid w:val="006551F0"/>
    <w:rPr>
      <w:rFonts w:ascii="Times New Roman" w:hAnsi="Times New Roman" w:cs="Times New Roman"/>
      <w:b/>
      <w:iCs/>
      <w:lang w:val="fr-BE"/>
    </w:rPr>
  </w:style>
  <w:style w:type="character" w:styleId="Marquedecommentaire">
    <w:name w:val="annotation reference"/>
    <w:basedOn w:val="Policepardfaut"/>
    <w:uiPriority w:val="99"/>
    <w:semiHidden/>
    <w:unhideWhenUsed/>
    <w:rsid w:val="00EB529F"/>
    <w:rPr>
      <w:sz w:val="16"/>
      <w:szCs w:val="16"/>
    </w:rPr>
  </w:style>
  <w:style w:type="table" w:customStyle="1" w:styleId="TableNormal">
    <w:name w:val="Table Normal"/>
    <w:rsid w:val="00DE4897"/>
    <w:rPr>
      <w:rFonts w:ascii="Calibri" w:eastAsia="Calibri" w:hAnsi="Calibri" w:cs="Calibri"/>
      <w:lang w:eastAsia="fr-BE"/>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DE4897"/>
    <w:rPr>
      <w:color w:val="605E5C"/>
      <w:shd w:val="clear" w:color="auto" w:fill="E1DFDD"/>
    </w:rPr>
  </w:style>
  <w:style w:type="character" w:styleId="Lienhypertextesuivivisit">
    <w:name w:val="FollowedHyperlink"/>
    <w:basedOn w:val="Policepardfaut"/>
    <w:uiPriority w:val="99"/>
    <w:semiHidden/>
    <w:unhideWhenUsed/>
    <w:rsid w:val="00DE4897"/>
    <w:rPr>
      <w:color w:val="800080" w:themeColor="followedHyperlink"/>
      <w:u w:val="single"/>
    </w:rPr>
  </w:style>
  <w:style w:type="character" w:styleId="Appelnotedebasdep">
    <w:name w:val="footnote reference"/>
    <w:basedOn w:val="Policepardfaut"/>
    <w:uiPriority w:val="99"/>
    <w:semiHidden/>
    <w:unhideWhenUsed/>
    <w:rsid w:val="00DE4897"/>
    <w:rPr>
      <w:vertAlign w:val="superscript"/>
    </w:rPr>
  </w:style>
  <w:style w:type="paragraph" w:styleId="NormalWeb">
    <w:name w:val="Normal (Web)"/>
    <w:basedOn w:val="Normal"/>
    <w:uiPriority w:val="99"/>
    <w:unhideWhenUsed/>
    <w:rsid w:val="00DE4897"/>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auGrille1Clair-Accentuation1">
    <w:name w:val="Grid Table 1 Light Accent 1"/>
    <w:basedOn w:val="TableauNormal"/>
    <w:uiPriority w:val="46"/>
    <w:rsid w:val="00DE4897"/>
    <w:pPr>
      <w:spacing w:after="0" w:line="240" w:lineRule="auto"/>
    </w:pPr>
    <w:rPr>
      <w:rFonts w:ascii="Times New Roman" w:hAnsi="Times New Roman" w:cs="Times New Roman"/>
      <w:color w:val="000000" w:themeColor="text1"/>
      <w:lang w:val="fr-BE"/>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vision">
    <w:name w:val="Revision"/>
    <w:hidden/>
    <w:uiPriority w:val="99"/>
    <w:semiHidden/>
    <w:rsid w:val="00B469C1"/>
    <w:pPr>
      <w:spacing w:after="0" w:line="240" w:lineRule="auto"/>
    </w:pPr>
  </w:style>
  <w:style w:type="table" w:styleId="TableauGrille3">
    <w:name w:val="Grid Table 3"/>
    <w:basedOn w:val="TableNormal"/>
    <w:uiPriority w:val="4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left w:w="108"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Liste7Couleur">
    <w:name w:val="List Table 7 Colorful"/>
    <w:basedOn w:val="TableNormal"/>
    <w:uiPriority w:val="52"/>
    <w:pPr>
      <w:spacing w:after="0" w:line="240" w:lineRule="auto"/>
    </w:pPr>
    <w:rPr>
      <w:color w:val="000000" w:themeColor="text1"/>
    </w:rPr>
    <w:tblPr>
      <w:tblStyleRowBandSize w:val="1"/>
      <w:tblStyleColBandSize w:val="1"/>
      <w:tblInd w:w="0" w:type="dxa"/>
      <w:tblCellMar>
        <w:left w:w="108"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623607">
      <w:bodyDiv w:val="1"/>
      <w:marLeft w:val="0"/>
      <w:marRight w:val="0"/>
      <w:marTop w:val="0"/>
      <w:marBottom w:val="0"/>
      <w:divBdr>
        <w:top w:val="none" w:sz="0" w:space="0" w:color="auto"/>
        <w:left w:val="none" w:sz="0" w:space="0" w:color="auto"/>
        <w:bottom w:val="none" w:sz="0" w:space="0" w:color="auto"/>
        <w:right w:val="none" w:sz="0" w:space="0" w:color="auto"/>
      </w:divBdr>
    </w:div>
    <w:div w:id="1203980665">
      <w:bodyDiv w:val="1"/>
      <w:marLeft w:val="0"/>
      <w:marRight w:val="0"/>
      <w:marTop w:val="0"/>
      <w:marBottom w:val="0"/>
      <w:divBdr>
        <w:top w:val="none" w:sz="0" w:space="0" w:color="auto"/>
        <w:left w:val="none" w:sz="0" w:space="0" w:color="auto"/>
        <w:bottom w:val="none" w:sz="0" w:space="0" w:color="auto"/>
        <w:right w:val="none" w:sz="0" w:space="0" w:color="auto"/>
      </w:divBdr>
    </w:div>
    <w:div w:id="1303538561">
      <w:bodyDiv w:val="1"/>
      <w:marLeft w:val="0"/>
      <w:marRight w:val="0"/>
      <w:marTop w:val="0"/>
      <w:marBottom w:val="0"/>
      <w:divBdr>
        <w:top w:val="none" w:sz="0" w:space="0" w:color="auto"/>
        <w:left w:val="none" w:sz="0" w:space="0" w:color="auto"/>
        <w:bottom w:val="none" w:sz="0" w:space="0" w:color="auto"/>
        <w:right w:val="none" w:sz="0" w:space="0" w:color="auto"/>
      </w:divBdr>
    </w:div>
    <w:div w:id="140484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hyperlink" Target="https://orbi.uliege.be/handle/2268/263994" TargetMode="External"/><Relationship Id="rId42" Type="http://schemas.openxmlformats.org/officeDocument/2006/relationships/hyperlink" Target="https://www.regeplus.be/publications/" TargetMode="External"/><Relationship Id="rId47" Type="http://schemas.openxmlformats.org/officeDocument/2006/relationships/image" Target="media/image20.png"/><Relationship Id="rId63" Type="http://schemas.openxmlformats.org/officeDocument/2006/relationships/image" Target="media/image35.jpg"/><Relationship Id="rId68" Type="http://schemas.openxmlformats.org/officeDocument/2006/relationships/image" Target="media/image40.png"/><Relationship Id="rId84" Type="http://schemas.openxmlformats.org/officeDocument/2006/relationships/image" Target="media/image56.emf"/><Relationship Id="rId89" Type="http://schemas.openxmlformats.org/officeDocument/2006/relationships/image" Target="media/image61.emf"/><Relationship Id="rId112" Type="http://schemas.openxmlformats.org/officeDocument/2006/relationships/image" Target="media/image84.png"/><Relationship Id="rId16" Type="http://schemas.openxmlformats.org/officeDocument/2006/relationships/footer" Target="footer1.xml"/><Relationship Id="rId107" Type="http://schemas.openxmlformats.org/officeDocument/2006/relationships/image" Target="media/image79.png"/><Relationship Id="rId11" Type="http://schemas.openxmlformats.org/officeDocument/2006/relationships/image" Target="media/image4.png"/><Relationship Id="rId32" Type="http://schemas.openxmlformats.org/officeDocument/2006/relationships/image" Target="media/image17.emf"/><Relationship Id="rId37" Type="http://schemas.openxmlformats.org/officeDocument/2006/relationships/hyperlink" Target="https://www.regeplus.be/models-case-studies/" TargetMode="External"/><Relationship Id="rId53" Type="http://schemas.openxmlformats.org/officeDocument/2006/relationships/image" Target="media/image26.png"/><Relationship Id="rId58" Type="http://schemas.openxmlformats.org/officeDocument/2006/relationships/image" Target="media/image30.emf"/><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74.png"/><Relationship Id="rId123" Type="http://schemas.openxmlformats.org/officeDocument/2006/relationships/image" Target="media/image95.png"/><Relationship Id="rId128" Type="http://schemas.openxmlformats.org/officeDocument/2006/relationships/hyperlink" Target="https://doi.org/10.1016/j.ecolmodel.2023.110608" TargetMode="External"/><Relationship Id="rId5" Type="http://schemas.openxmlformats.org/officeDocument/2006/relationships/webSettings" Target="webSettings.xml"/><Relationship Id="rId90" Type="http://schemas.openxmlformats.org/officeDocument/2006/relationships/image" Target="media/image62.emf"/><Relationship Id="rId95" Type="http://schemas.openxmlformats.org/officeDocument/2006/relationships/image" Target="media/image67.png"/><Relationship Id="rId22" Type="http://schemas.openxmlformats.org/officeDocument/2006/relationships/image" Target="media/image9.jpg"/><Relationship Id="rId27" Type="http://schemas.openxmlformats.org/officeDocument/2006/relationships/image" Target="media/image12.png"/><Relationship Id="rId43" Type="http://schemas.openxmlformats.org/officeDocument/2006/relationships/hyperlink" Target="https://www.regeplus.be/partners/" TargetMode="External"/><Relationship Id="rId48" Type="http://schemas.openxmlformats.org/officeDocument/2006/relationships/image" Target="media/image21.png"/><Relationship Id="rId64" Type="http://schemas.openxmlformats.org/officeDocument/2006/relationships/image" Target="media/image36.jpg"/><Relationship Id="rId69" Type="http://schemas.openxmlformats.org/officeDocument/2006/relationships/image" Target="media/image41.png"/><Relationship Id="rId113" Type="http://schemas.openxmlformats.org/officeDocument/2006/relationships/image" Target="media/image85.png"/><Relationship Id="rId118" Type="http://schemas.openxmlformats.org/officeDocument/2006/relationships/image" Target="media/image90.png"/><Relationship Id="rId80" Type="http://schemas.openxmlformats.org/officeDocument/2006/relationships/image" Target="media/image52.png"/><Relationship Id="rId85" Type="http://schemas.openxmlformats.org/officeDocument/2006/relationships/image" Target="media/image57.emf"/><Relationship Id="rId12" Type="http://schemas.openxmlformats.org/officeDocument/2006/relationships/image" Target="media/image5.jpeg"/><Relationship Id="rId17" Type="http://schemas.openxmlformats.org/officeDocument/2006/relationships/header" Target="header2.xml"/><Relationship Id="rId33" Type="http://schemas.openxmlformats.org/officeDocument/2006/relationships/image" Target="media/image18.emf"/><Relationship Id="rId38" Type="http://schemas.openxmlformats.org/officeDocument/2006/relationships/hyperlink" Target="https://www.regeplus.be/models-case-studies/" TargetMode="External"/><Relationship Id="rId59" Type="http://schemas.openxmlformats.org/officeDocument/2006/relationships/image" Target="media/image31.png"/><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image" Target="media/image96.png"/><Relationship Id="rId129" Type="http://schemas.openxmlformats.org/officeDocument/2006/relationships/hyperlink" Target="https://doi.org/10.1016/j.scitotenv.2024.174168" TargetMode="External"/><Relationship Id="rId54" Type="http://schemas.openxmlformats.org/officeDocument/2006/relationships/image" Target="media/image27.pn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ourceforge.net/p/lerfobforesttools/wiki/CAT/" TargetMode="External"/><Relationship Id="rId28" Type="http://schemas.openxmlformats.org/officeDocument/2006/relationships/image" Target="media/image13.jpg"/><Relationship Id="rId49" Type="http://schemas.openxmlformats.org/officeDocument/2006/relationships/image" Target="media/image22.png"/><Relationship Id="rId114" Type="http://schemas.openxmlformats.org/officeDocument/2006/relationships/image" Target="media/image86.png"/><Relationship Id="rId119" Type="http://schemas.openxmlformats.org/officeDocument/2006/relationships/image" Target="media/image91.png"/><Relationship Id="rId44" Type="http://schemas.openxmlformats.org/officeDocument/2006/relationships/hyperlink" Target="https://www.regeplus.be/contact/" TargetMode="External"/><Relationship Id="rId60" Type="http://schemas.openxmlformats.org/officeDocument/2006/relationships/image" Target="media/image32.png"/><Relationship Id="rId65" Type="http://schemas.openxmlformats.org/officeDocument/2006/relationships/image" Target="media/image37.jpeg"/><Relationship Id="rId81" Type="http://schemas.openxmlformats.org/officeDocument/2006/relationships/image" Target="media/image53.png"/><Relationship Id="rId86" Type="http://schemas.openxmlformats.org/officeDocument/2006/relationships/image" Target="media/image58.emf"/><Relationship Id="rId130"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image" Target="media/image7.png"/><Relationship Id="rId39" Type="http://schemas.openxmlformats.org/officeDocument/2006/relationships/hyperlink" Target="https://www.regeplus.be/blog-with-results/" TargetMode="External"/><Relationship Id="rId109" Type="http://schemas.openxmlformats.org/officeDocument/2006/relationships/image" Target="media/image81.png"/><Relationship Id="rId34" Type="http://schemas.openxmlformats.org/officeDocument/2006/relationships/hyperlink" Target="https://www.regeplus.be/fr/modele-cas-etude/" TargetMode="External"/><Relationship Id="rId50" Type="http://schemas.openxmlformats.org/officeDocument/2006/relationships/image" Target="media/image23.png"/><Relationship Id="rId55" Type="http://schemas.openxmlformats.org/officeDocument/2006/relationships/hyperlink" Target="https://hdl.handle.net/2268/301794" TargetMode="External"/><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hyperlink" Target="https://sourceforge.net/p/lerfobforesttools/wiki/CAT/" TargetMode="External"/><Relationship Id="rId40" Type="http://schemas.openxmlformats.org/officeDocument/2006/relationships/hyperlink" Target="https://www.regeplus.be/data-sets/" TargetMode="External"/><Relationship Id="rId45" Type="http://schemas.openxmlformats.org/officeDocument/2006/relationships/image" Target="media/image19.png"/><Relationship Id="rId66" Type="http://schemas.openxmlformats.org/officeDocument/2006/relationships/image" Target="media/image38.jpeg"/><Relationship Id="rId87" Type="http://schemas.openxmlformats.org/officeDocument/2006/relationships/image" Target="media/image59.emf"/><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glossaryDocument" Target="glossary/document.xml"/><Relationship Id="rId61" Type="http://schemas.openxmlformats.org/officeDocument/2006/relationships/image" Target="media/image33.png"/><Relationship Id="rId82" Type="http://schemas.openxmlformats.org/officeDocument/2006/relationships/image" Target="media/image54.png"/><Relationship Id="rId19" Type="http://schemas.openxmlformats.org/officeDocument/2006/relationships/hyperlink" Target="https://capsis.cirad.fr/capsis/help_en/gymnos" TargetMode="External"/><Relationship Id="rId14" Type="http://schemas.openxmlformats.org/officeDocument/2006/relationships/hyperlink" Target="http://www.belspo.be" TargetMode="External"/><Relationship Id="rId30" Type="http://schemas.openxmlformats.org/officeDocument/2006/relationships/image" Target="media/image15.png"/><Relationship Id="rId35" Type="http://schemas.openxmlformats.org/officeDocument/2006/relationships/hyperlink" Target="https://www.regeplus.be/" TargetMode="External"/><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hyperlink" Target="https://doi.org/10.1007/s10342-023-01565-w" TargetMode="Externa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44.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image" Target="media/image93.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s://hdl.handle.net/2268/307006" TargetMode="External"/><Relationship Id="rId67" Type="http://schemas.openxmlformats.org/officeDocument/2006/relationships/image" Target="media/image39.png"/><Relationship Id="rId116" Type="http://schemas.openxmlformats.org/officeDocument/2006/relationships/image" Target="media/image88.png"/><Relationship Id="rId20" Type="http://schemas.openxmlformats.org/officeDocument/2006/relationships/image" Target="media/image8.png"/><Relationship Id="rId41" Type="http://schemas.openxmlformats.org/officeDocument/2006/relationships/hyperlink" Target="https://www.regeplus.be/news-agenda/" TargetMode="External"/><Relationship Id="rId62" Type="http://schemas.openxmlformats.org/officeDocument/2006/relationships/image" Target="media/image34.png"/><Relationship Id="rId83" Type="http://schemas.openxmlformats.org/officeDocument/2006/relationships/image" Target="media/image55.png"/><Relationship Id="rId88" Type="http://schemas.openxmlformats.org/officeDocument/2006/relationships/image" Target="media/image60.emf"/><Relationship Id="rId111" Type="http://schemas.openxmlformats.org/officeDocument/2006/relationships/image" Target="media/image83.png"/><Relationship Id="rId132" Type="http://schemas.openxmlformats.org/officeDocument/2006/relationships/theme" Target="theme/theme1.xml"/><Relationship Id="rId15" Type="http://schemas.openxmlformats.org/officeDocument/2006/relationships/header" Target="header1.xml"/><Relationship Id="rId36" Type="http://schemas.openxmlformats.org/officeDocument/2006/relationships/hyperlink" Target="https://www.regeplus.be/project-description/" TargetMode="External"/><Relationship Id="rId57" Type="http://schemas.openxmlformats.org/officeDocument/2006/relationships/image" Target="media/image29.jpeg"/><Relationship Id="rId106" Type="http://schemas.openxmlformats.org/officeDocument/2006/relationships/image" Target="media/image78.png"/><Relationship Id="rId127" Type="http://schemas.openxmlformats.org/officeDocument/2006/relationships/hyperlink" Target="https://doi.org/10.3390/f14071330" TargetMode="External"/><Relationship Id="rId10" Type="http://schemas.openxmlformats.org/officeDocument/2006/relationships/image" Target="media/image3.png"/><Relationship Id="rId31" Type="http://schemas.openxmlformats.org/officeDocument/2006/relationships/image" Target="media/image16.png"/><Relationship Id="rId52" Type="http://schemas.openxmlformats.org/officeDocument/2006/relationships/image" Target="media/image25.png"/><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AC13709042843FD82436CD766C4A9E9"/>
        <w:category>
          <w:name w:val="General"/>
          <w:gallery w:val="placeholder"/>
        </w:category>
        <w:types>
          <w:type w:val="bbPlcHdr"/>
        </w:types>
        <w:behaviors>
          <w:behavior w:val="content"/>
        </w:behaviors>
        <w:guid w:val="{58F57279-788A-4963-A769-A04D508875EB}"/>
      </w:docPartPr>
      <w:docPartBody>
        <w:p w:rsidR="00B47382" w:rsidRDefault="006F2025" w:rsidP="006F2025">
          <w:pPr>
            <w:pStyle w:val="3AC13709042843FD82436CD766C4A9E9"/>
          </w:pPr>
          <w:r w:rsidRPr="00AC4575">
            <w:rPr>
              <w:rStyle w:val="Textedelespacerserv"/>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Omega">
    <w:altName w:val="Times New Roman"/>
    <w:charset w:val="00"/>
    <w:family w:val="auto"/>
    <w:pitch w:val="default"/>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025"/>
    <w:rsid w:val="00004310"/>
    <w:rsid w:val="000125A2"/>
    <w:rsid w:val="00133246"/>
    <w:rsid w:val="00165399"/>
    <w:rsid w:val="001D6761"/>
    <w:rsid w:val="002214B9"/>
    <w:rsid w:val="002618BC"/>
    <w:rsid w:val="003034AC"/>
    <w:rsid w:val="003935D0"/>
    <w:rsid w:val="00463252"/>
    <w:rsid w:val="004B50E8"/>
    <w:rsid w:val="00564AE0"/>
    <w:rsid w:val="005A21DA"/>
    <w:rsid w:val="00630337"/>
    <w:rsid w:val="006C7CEF"/>
    <w:rsid w:val="006F2025"/>
    <w:rsid w:val="00825222"/>
    <w:rsid w:val="008968F8"/>
    <w:rsid w:val="008E0C31"/>
    <w:rsid w:val="008F7D84"/>
    <w:rsid w:val="00985D72"/>
    <w:rsid w:val="009F24D5"/>
    <w:rsid w:val="00A6541C"/>
    <w:rsid w:val="00A95845"/>
    <w:rsid w:val="00B47382"/>
    <w:rsid w:val="00C54280"/>
    <w:rsid w:val="00CA35BF"/>
    <w:rsid w:val="00CB11EF"/>
    <w:rsid w:val="00D222D6"/>
    <w:rsid w:val="00DF136D"/>
    <w:rsid w:val="00E073C6"/>
    <w:rsid w:val="00E12462"/>
    <w:rsid w:val="00E5368A"/>
    <w:rsid w:val="00F0260D"/>
    <w:rsid w:val="00F03F4B"/>
    <w:rsid w:val="00F4028B"/>
    <w:rsid w:val="00F8022C"/>
    <w:rsid w:val="00F81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F2025"/>
    <w:rPr>
      <w:color w:val="808080"/>
    </w:rPr>
  </w:style>
  <w:style w:type="paragraph" w:customStyle="1" w:styleId="3AC13709042843FD82436CD766C4A9E9">
    <w:name w:val="3AC13709042843FD82436CD766C4A9E9"/>
    <w:rsid w:val="006F2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FDD11-0F38-4FF2-9F9B-7C4B1F99A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106</Pages>
  <Words>61575</Words>
  <Characters>338666</Characters>
  <Application>Microsoft Office Word</Application>
  <DocSecurity>0</DocSecurity>
  <Lines>2822</Lines>
  <Paragraphs>798</Paragraphs>
  <ScaleCrop>false</ScaleCrop>
  <Company>BELSPO</Company>
  <LinksUpToDate>false</LinksUpToDate>
  <CharactersWithSpaces>399443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 ROY Sandra</dc:creator>
  <cp:lastModifiedBy>Frédéric André</cp:lastModifiedBy>
  <cp:revision>805</cp:revision>
  <cp:lastPrinted>2025-04-16T15:10:00Z</cp:lastPrinted>
  <dcterms:created xsi:type="dcterms:W3CDTF">2022-05-20T11:34:00Z</dcterms:created>
  <dcterms:modified xsi:type="dcterms:W3CDTF">2025-06-17T10:55:00Z</dcterms:modified>
</cp:coreProperties>
</file>