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C1317" w14:textId="37A57720" w:rsidR="00737350" w:rsidRPr="00AD6C4B" w:rsidRDefault="00AD6C4B" w:rsidP="00AD6C4B">
      <w:pPr>
        <w:pStyle w:val="Titre"/>
        <w:rPr>
          <w:caps w:val="0"/>
          <w:sz w:val="40"/>
          <w:szCs w:val="40"/>
        </w:rPr>
      </w:pPr>
      <w:r w:rsidRPr="00AD6C4B">
        <w:rPr>
          <w:caps w:val="0"/>
          <w:sz w:val="32"/>
          <w:szCs w:val="32"/>
        </w:rPr>
        <w:t xml:space="preserve">La procédure de détermination de </w:t>
      </w:r>
      <w:r w:rsidRPr="00BD56FA">
        <w:rPr>
          <w:caps w:val="0"/>
          <w:sz w:val="32"/>
          <w:szCs w:val="32"/>
        </w:rPr>
        <w:t>l’âge des MENA</w:t>
      </w:r>
      <w:r w:rsidR="007773BF" w:rsidRPr="00BD56FA">
        <w:rPr>
          <w:caps w:val="0"/>
          <w:sz w:val="32"/>
          <w:szCs w:val="32"/>
        </w:rPr>
        <w:t xml:space="preserve"> : </w:t>
      </w:r>
      <w:r w:rsidR="00BD56FA" w:rsidRPr="00BD56FA">
        <w:rPr>
          <w:caps w:val="0"/>
          <w:sz w:val="32"/>
          <w:szCs w:val="32"/>
        </w:rPr>
        <w:t xml:space="preserve">vers </w:t>
      </w:r>
      <w:r w:rsidR="007773BF" w:rsidRPr="00BD56FA">
        <w:rPr>
          <w:caps w:val="0"/>
          <w:sz w:val="32"/>
          <w:szCs w:val="32"/>
        </w:rPr>
        <w:t xml:space="preserve">un </w:t>
      </w:r>
      <w:r w:rsidRPr="00BD56FA">
        <w:rPr>
          <w:caps w:val="0"/>
          <w:sz w:val="32"/>
          <w:szCs w:val="32"/>
        </w:rPr>
        <w:t>change</w:t>
      </w:r>
      <w:r w:rsidR="007773BF" w:rsidRPr="00BD56FA">
        <w:rPr>
          <w:caps w:val="0"/>
          <w:sz w:val="32"/>
          <w:szCs w:val="32"/>
        </w:rPr>
        <w:t>ment</w:t>
      </w:r>
      <w:r w:rsidRPr="00BD56FA">
        <w:rPr>
          <w:caps w:val="0"/>
          <w:sz w:val="32"/>
          <w:szCs w:val="32"/>
        </w:rPr>
        <w:t xml:space="preserve"> de paradigm</w:t>
      </w:r>
      <w:r w:rsidR="007773BF" w:rsidRPr="00BD56FA">
        <w:rPr>
          <w:caps w:val="0"/>
          <w:sz w:val="32"/>
          <w:szCs w:val="32"/>
        </w:rPr>
        <w:t>e ?</w:t>
      </w:r>
      <w:r>
        <w:rPr>
          <w:caps w:val="0"/>
          <w:sz w:val="24"/>
          <w:szCs w:val="24"/>
        </w:rPr>
        <w:br/>
      </w:r>
      <w:r w:rsidRPr="00AD6C4B">
        <w:rPr>
          <w:caps w:val="0"/>
          <w:sz w:val="24"/>
          <w:szCs w:val="24"/>
        </w:rPr>
        <w:t xml:space="preserve">Obs. sous Cour </w:t>
      </w:r>
      <w:proofErr w:type="spellStart"/>
      <w:r w:rsidRPr="00AD6C4B">
        <w:rPr>
          <w:caps w:val="0"/>
          <w:sz w:val="24"/>
          <w:szCs w:val="24"/>
        </w:rPr>
        <w:t>eur</w:t>
      </w:r>
      <w:proofErr w:type="spellEnd"/>
      <w:r w:rsidRPr="00AD6C4B">
        <w:rPr>
          <w:caps w:val="0"/>
          <w:sz w:val="24"/>
          <w:szCs w:val="24"/>
        </w:rPr>
        <w:t xml:space="preserve">. D.H., </w:t>
      </w:r>
      <w:r w:rsidRPr="00AD6C4B">
        <w:rPr>
          <w:i/>
          <w:iCs/>
          <w:caps w:val="0"/>
          <w:sz w:val="24"/>
          <w:szCs w:val="24"/>
        </w:rPr>
        <w:t>F.B. c. Belgique</w:t>
      </w:r>
      <w:r w:rsidRPr="00AD6C4B">
        <w:rPr>
          <w:caps w:val="0"/>
          <w:sz w:val="24"/>
          <w:szCs w:val="24"/>
        </w:rPr>
        <w:t>, 6 mars 2025</w:t>
      </w:r>
      <w:r w:rsidR="00995D90">
        <w:rPr>
          <w:rStyle w:val="Appelnotedebasdep"/>
          <w:caps w:val="0"/>
          <w:sz w:val="24"/>
          <w:szCs w:val="24"/>
        </w:rPr>
        <w:footnoteReference w:id="1"/>
      </w:r>
    </w:p>
    <w:tbl>
      <w:tblPr>
        <w:tblStyle w:val="Grilledutableau"/>
        <w:tblW w:w="0" w:type="auto"/>
        <w:tblLook w:val="04A0" w:firstRow="1" w:lastRow="0" w:firstColumn="1" w:lastColumn="0" w:noHBand="0" w:noVBand="1"/>
      </w:tblPr>
      <w:tblGrid>
        <w:gridCol w:w="9062"/>
      </w:tblGrid>
      <w:tr w:rsidR="00E44158" w14:paraId="227BD66A" w14:textId="77777777">
        <w:tc>
          <w:tcPr>
            <w:tcW w:w="9062" w:type="dxa"/>
          </w:tcPr>
          <w:p w14:paraId="6B0E666A" w14:textId="64BB4940" w:rsidR="00B6015F" w:rsidRPr="0009002D" w:rsidRDefault="001D4B4A" w:rsidP="002038AD">
            <w:pPr>
              <w:spacing w:before="120" w:after="120"/>
              <w:jc w:val="both"/>
              <w:rPr>
                <w:rFonts w:eastAsiaTheme="majorEastAsia"/>
                <w:lang w:val="fr-FR"/>
              </w:rPr>
            </w:pPr>
            <w:r w:rsidRPr="0009002D">
              <w:rPr>
                <w:rFonts w:eastAsiaTheme="majorEastAsia"/>
              </w:rPr>
              <w:t>En Belgique, lorsqu’un</w:t>
            </w:r>
            <w:r>
              <w:rPr>
                <w:rFonts w:eastAsiaTheme="majorEastAsia"/>
              </w:rPr>
              <w:t>e</w:t>
            </w:r>
            <w:r w:rsidRPr="0009002D">
              <w:rPr>
                <w:rFonts w:eastAsiaTheme="majorEastAsia"/>
              </w:rPr>
              <w:t xml:space="preserve"> </w:t>
            </w:r>
            <w:r>
              <w:rPr>
                <w:rFonts w:eastAsiaTheme="majorEastAsia"/>
              </w:rPr>
              <w:t>personne</w:t>
            </w:r>
            <w:r w:rsidRPr="0009002D">
              <w:rPr>
                <w:rFonts w:eastAsiaTheme="majorEastAsia"/>
              </w:rPr>
              <w:t xml:space="preserve"> </w:t>
            </w:r>
            <w:r>
              <w:rPr>
                <w:rFonts w:eastAsiaTheme="majorEastAsia"/>
              </w:rPr>
              <w:t>étrangère</w:t>
            </w:r>
            <w:r w:rsidRPr="0009002D">
              <w:rPr>
                <w:rFonts w:eastAsiaTheme="majorEastAsia"/>
              </w:rPr>
              <w:t xml:space="preserve"> arrive seul</w:t>
            </w:r>
            <w:r>
              <w:rPr>
                <w:rFonts w:eastAsiaTheme="majorEastAsia"/>
              </w:rPr>
              <w:t>e</w:t>
            </w:r>
            <w:r w:rsidRPr="0009002D">
              <w:rPr>
                <w:rFonts w:eastAsiaTheme="majorEastAsia"/>
              </w:rPr>
              <w:t xml:space="preserve"> et</w:t>
            </w:r>
            <w:r>
              <w:rPr>
                <w:rFonts w:eastAsiaTheme="majorEastAsia"/>
              </w:rPr>
              <w:t xml:space="preserve"> se déclare</w:t>
            </w:r>
            <w:r w:rsidRPr="0009002D">
              <w:rPr>
                <w:rFonts w:eastAsiaTheme="majorEastAsia"/>
              </w:rPr>
              <w:t xml:space="preserve"> mineur</w:t>
            </w:r>
            <w:r>
              <w:rPr>
                <w:rFonts w:eastAsiaTheme="majorEastAsia"/>
              </w:rPr>
              <w:t>e</w:t>
            </w:r>
            <w:r w:rsidRPr="0009002D">
              <w:rPr>
                <w:rFonts w:eastAsiaTheme="majorEastAsia"/>
              </w:rPr>
              <w:t>, les autorités peuvent décider de vérifier son âge à l’aide d’un test médical. Ce test</w:t>
            </w:r>
            <w:r>
              <w:rPr>
                <w:rFonts w:eastAsiaTheme="majorEastAsia"/>
              </w:rPr>
              <w:t xml:space="preserve">, réalisé dans 60% des cas, </w:t>
            </w:r>
            <w:r w:rsidRPr="0009002D">
              <w:rPr>
                <w:rFonts w:eastAsiaTheme="majorEastAsia"/>
              </w:rPr>
              <w:t xml:space="preserve">est destiné à estimer l’âge osseux de la personne. Or, cette estimation conditionne l’accès à toute une série de droits </w:t>
            </w:r>
            <w:r>
              <w:rPr>
                <w:rFonts w:eastAsiaTheme="majorEastAsia"/>
              </w:rPr>
              <w:t>réservés</w:t>
            </w:r>
            <w:r w:rsidRPr="0009002D">
              <w:rPr>
                <w:rFonts w:eastAsiaTheme="majorEastAsia"/>
              </w:rPr>
              <w:t xml:space="preserve"> </w:t>
            </w:r>
            <w:r w:rsidRPr="0009002D">
              <w:rPr>
                <w:rFonts w:eastAsiaTheme="majorEastAsia"/>
              </w:rPr>
              <w:t>aux enfants.</w:t>
            </w:r>
            <w:r>
              <w:rPr>
                <w:rFonts w:eastAsiaTheme="majorEastAsia"/>
              </w:rPr>
              <w:t xml:space="preserve"> Cette procédure</w:t>
            </w:r>
            <w:r w:rsidRPr="00076B69">
              <w:rPr>
                <w:rFonts w:eastAsiaTheme="majorEastAsia"/>
              </w:rPr>
              <w:t xml:space="preserve"> a récemment été sanctionné par la Cour européenne des droits de l’homme, qui a estimé que le recours automatique à un test médical</w:t>
            </w:r>
            <w:r>
              <w:rPr>
                <w:rFonts w:eastAsiaTheme="majorEastAsia"/>
              </w:rPr>
              <w:t xml:space="preserve"> invasif</w:t>
            </w:r>
            <w:r w:rsidRPr="00076B69">
              <w:rPr>
                <w:rFonts w:eastAsiaTheme="majorEastAsia"/>
              </w:rPr>
              <w:t xml:space="preserve">, sans consentement </w:t>
            </w:r>
            <w:r>
              <w:rPr>
                <w:rFonts w:eastAsiaTheme="majorEastAsia"/>
              </w:rPr>
              <w:t>explicite</w:t>
            </w:r>
            <w:r w:rsidRPr="00076B69">
              <w:rPr>
                <w:rFonts w:eastAsiaTheme="majorEastAsia"/>
              </w:rPr>
              <w:t>, violait le droit à la vie privée. Cette décision s’inscrit dans une série de critiques formulées depuis plusieurs années</w:t>
            </w:r>
            <w:r>
              <w:rPr>
                <w:rFonts w:eastAsiaTheme="majorEastAsia"/>
              </w:rPr>
              <w:t>, poussant l</w:t>
            </w:r>
            <w:r w:rsidRPr="00076B69">
              <w:rPr>
                <w:rFonts w:eastAsiaTheme="majorEastAsia"/>
              </w:rPr>
              <w:t>a Belgique à revoir sa procédure.</w:t>
            </w:r>
          </w:p>
        </w:tc>
      </w:tr>
    </w:tbl>
    <w:p w14:paraId="1E8E7F9A" w14:textId="0B361D49" w:rsidR="00C478A1" w:rsidRDefault="00C478A1" w:rsidP="00DE6926">
      <w:pPr>
        <w:spacing w:before="240"/>
        <w:jc w:val="both"/>
        <w:rPr>
          <w:rFonts w:eastAsiaTheme="majorEastAsia"/>
        </w:rPr>
      </w:pPr>
      <w:r>
        <w:rPr>
          <w:rFonts w:eastAsiaTheme="majorEastAsia"/>
        </w:rPr>
        <w:t xml:space="preserve">Lorsqu’une personne arrivée seule sur le territoire se déclare mineure, les autorités peuvent émettre un doute quant à son âge. Dans ce cas, il est procédé à un test médical qui consiste en la réalisation d’un triple test osseux </w:t>
      </w:r>
      <w:r w:rsidR="001D4B4A">
        <w:rPr>
          <w:rFonts w:eastAsiaTheme="majorEastAsia"/>
        </w:rPr>
        <w:t>(une radiographie de la mâchoire, de la clavicule et du poignet)</w:t>
      </w:r>
      <w:r w:rsidR="001D4B4A">
        <w:rPr>
          <w:rFonts w:eastAsiaTheme="majorEastAsia"/>
        </w:rPr>
        <w:t xml:space="preserve"> </w:t>
      </w:r>
      <w:r w:rsidRPr="001C701F">
        <w:rPr>
          <w:rFonts w:eastAsiaTheme="majorEastAsia"/>
        </w:rPr>
        <w:t>afin de vérifier si la personne est effectivement âgée de moins de dix-huit ans</w:t>
      </w:r>
      <w:r>
        <w:rPr>
          <w:rFonts w:eastAsiaTheme="majorEastAsia"/>
        </w:rPr>
        <w:t>. Le résultat de ce test conditionne l’accès à des droits et procédures propres aux enfants. D’abord, l</w:t>
      </w:r>
      <w:r w:rsidRPr="00116B34">
        <w:rPr>
          <w:rFonts w:eastAsiaTheme="majorEastAsia"/>
        </w:rPr>
        <w:t xml:space="preserve">a reconnaissance de la qualité de mineur ouvre notamment droit à la prise en charge par le Service des </w:t>
      </w:r>
      <w:r w:rsidR="00737650">
        <w:rPr>
          <w:rFonts w:eastAsiaTheme="majorEastAsia"/>
        </w:rPr>
        <w:t>T</w:t>
      </w:r>
      <w:r w:rsidRPr="00116B34">
        <w:rPr>
          <w:rFonts w:eastAsiaTheme="majorEastAsia"/>
        </w:rPr>
        <w:t>utelles</w:t>
      </w:r>
      <w:r w:rsidR="00440F91">
        <w:rPr>
          <w:rFonts w:eastAsiaTheme="majorEastAsia"/>
        </w:rPr>
        <w:t xml:space="preserve"> et</w:t>
      </w:r>
      <w:r w:rsidRPr="00116B34">
        <w:rPr>
          <w:rFonts w:eastAsiaTheme="majorEastAsia"/>
        </w:rPr>
        <w:t xml:space="preserve"> à la désignation d’un tuteur, à l’accès à un hébergement adapté</w:t>
      </w:r>
      <w:r w:rsidR="00ED310C">
        <w:rPr>
          <w:rStyle w:val="Appelnotedebasdep"/>
          <w:rFonts w:eastAsiaTheme="majorEastAsia"/>
        </w:rPr>
        <w:footnoteReference w:id="2"/>
      </w:r>
      <w:r w:rsidRPr="00116B34">
        <w:rPr>
          <w:rFonts w:eastAsiaTheme="majorEastAsia"/>
        </w:rPr>
        <w:t xml:space="preserve"> ainsi qu’à l’enseignement. </w:t>
      </w:r>
      <w:r>
        <w:rPr>
          <w:rFonts w:eastAsiaTheme="majorEastAsia"/>
        </w:rPr>
        <w:t xml:space="preserve">Ensuite, sur le plan du séjour, des règles spécifiques sont réservées aux </w:t>
      </w:r>
      <w:r w:rsidR="00A33096">
        <w:rPr>
          <w:rFonts w:eastAsiaTheme="majorEastAsia"/>
        </w:rPr>
        <w:t>mineurs étrangers non accompagnés (ci-après « MENA »)</w:t>
      </w:r>
      <w:r>
        <w:rPr>
          <w:rFonts w:eastAsiaTheme="majorEastAsia"/>
        </w:rPr>
        <w:t>, tant dans la détermination de l’</w:t>
      </w:r>
      <w:r w:rsidR="00A2258D">
        <w:rPr>
          <w:rFonts w:eastAsiaTheme="majorEastAsia"/>
        </w:rPr>
        <w:t>État</w:t>
      </w:r>
      <w:r>
        <w:rPr>
          <w:rFonts w:eastAsiaTheme="majorEastAsia"/>
        </w:rPr>
        <w:t xml:space="preserve"> membre responsable de la demande d’asile, que dans le déroulement de la demande d’asile devant le C</w:t>
      </w:r>
      <w:r w:rsidR="00DE6926">
        <w:rPr>
          <w:rFonts w:eastAsiaTheme="majorEastAsia"/>
        </w:rPr>
        <w:t>ommissariat général aux réfugiés et aux apatrides (ci-après « CGRA »)</w:t>
      </w:r>
      <w:r>
        <w:rPr>
          <w:rFonts w:eastAsiaTheme="majorEastAsia"/>
        </w:rPr>
        <w:t xml:space="preserve"> et le Conseil du contentieux des étrangers, ou encore en matière de droit au regroupement familial.  </w:t>
      </w:r>
    </w:p>
    <w:p w14:paraId="6C0C4141" w14:textId="2154E444" w:rsidR="00440F91" w:rsidRDefault="00440F91" w:rsidP="00C478A1">
      <w:pPr>
        <w:jc w:val="both"/>
        <w:rPr>
          <w:rFonts w:eastAsiaTheme="majorEastAsia"/>
        </w:rPr>
      </w:pPr>
      <w:r w:rsidRPr="0009002D">
        <w:rPr>
          <w:rFonts w:eastAsiaTheme="majorEastAsia"/>
        </w:rPr>
        <w:t xml:space="preserve">En 2024, 2345 personnes se sont </w:t>
      </w:r>
      <w:r w:rsidRPr="0009002D">
        <w:rPr>
          <w:rFonts w:eastAsiaTheme="majorEastAsia"/>
        </w:rPr>
        <w:t>déclarées mineures non accompagnées en Belgique</w:t>
      </w:r>
      <w:r w:rsidR="00F118C0">
        <w:rPr>
          <w:rStyle w:val="Appelnotedebasdep"/>
          <w:rFonts w:eastAsiaTheme="majorEastAsia"/>
        </w:rPr>
        <w:footnoteReference w:id="3"/>
      </w:r>
      <w:r w:rsidRPr="0009002D">
        <w:rPr>
          <w:rFonts w:eastAsiaTheme="majorEastAsia"/>
        </w:rPr>
        <w:t xml:space="preserve">. Parmi elles, un doute quant à leur minorité a été émis dans </w:t>
      </w:r>
      <w:r w:rsidR="006C7DA8">
        <w:rPr>
          <w:rFonts w:eastAsiaTheme="majorEastAsia"/>
        </w:rPr>
        <w:t>trois</w:t>
      </w:r>
      <w:r w:rsidRPr="0009002D">
        <w:rPr>
          <w:rFonts w:eastAsiaTheme="majorEastAsia"/>
        </w:rPr>
        <w:t xml:space="preserve"> cas sur </w:t>
      </w:r>
      <w:r w:rsidR="006C7DA8">
        <w:rPr>
          <w:rFonts w:eastAsiaTheme="majorEastAsia"/>
        </w:rPr>
        <w:t>cinq</w:t>
      </w:r>
      <w:r w:rsidRPr="0009002D">
        <w:rPr>
          <w:rFonts w:eastAsiaTheme="majorEastAsia"/>
        </w:rPr>
        <w:t xml:space="preserve"> par </w:t>
      </w:r>
      <w:r w:rsidRPr="0009002D">
        <w:rPr>
          <w:rFonts w:eastAsiaTheme="majorEastAsia"/>
        </w:rPr>
        <w:t>les autorités</w:t>
      </w:r>
      <w:r w:rsidR="00A33096">
        <w:rPr>
          <w:rFonts w:eastAsiaTheme="majorEastAsia"/>
        </w:rPr>
        <w:t>. À</w:t>
      </w:r>
      <w:r w:rsidRPr="0009002D">
        <w:rPr>
          <w:rFonts w:eastAsiaTheme="majorEastAsia"/>
        </w:rPr>
        <w:t xml:space="preserve"> l’issue des vérifications effectuées par le Service des </w:t>
      </w:r>
      <w:r w:rsidR="00737650">
        <w:rPr>
          <w:rFonts w:eastAsiaTheme="majorEastAsia"/>
        </w:rPr>
        <w:t>T</w:t>
      </w:r>
      <w:r w:rsidRPr="0009002D">
        <w:rPr>
          <w:rFonts w:eastAsiaTheme="majorEastAsia"/>
        </w:rPr>
        <w:t xml:space="preserve">utelles, </w:t>
      </w:r>
      <w:r w:rsidR="008B107B">
        <w:rPr>
          <w:rFonts w:eastAsiaTheme="majorEastAsia"/>
        </w:rPr>
        <w:t>environs 40</w:t>
      </w:r>
      <w:r w:rsidRPr="0009002D">
        <w:rPr>
          <w:rFonts w:eastAsiaTheme="majorEastAsia"/>
        </w:rPr>
        <w:t>% de</w:t>
      </w:r>
      <w:r w:rsidR="00A33096">
        <w:rPr>
          <w:rFonts w:eastAsiaTheme="majorEastAsia"/>
        </w:rPr>
        <w:t xml:space="preserve">s </w:t>
      </w:r>
      <w:r w:rsidRPr="0009002D">
        <w:rPr>
          <w:rFonts w:eastAsiaTheme="majorEastAsia"/>
        </w:rPr>
        <w:t xml:space="preserve">personnes </w:t>
      </w:r>
      <w:r w:rsidR="00A33096">
        <w:rPr>
          <w:rFonts w:eastAsiaTheme="majorEastAsia"/>
        </w:rPr>
        <w:t xml:space="preserve">qui se sont déclarées MENA </w:t>
      </w:r>
      <w:r w:rsidRPr="0009002D">
        <w:rPr>
          <w:rFonts w:eastAsiaTheme="majorEastAsia"/>
        </w:rPr>
        <w:t>ont finalement été reconnues comme majeures. Au total</w:t>
      </w:r>
      <w:r>
        <w:rPr>
          <w:rFonts w:eastAsiaTheme="majorEastAsia"/>
        </w:rPr>
        <w:t xml:space="preserve"> ce sont donc 929 personnes qui ont été requalifiées majeures par les autorités sur la base d’un test médical.</w:t>
      </w:r>
    </w:p>
    <w:p w14:paraId="0D379BED" w14:textId="6C0E2CB1" w:rsidR="00134FCB" w:rsidRDefault="00134FCB" w:rsidP="00C478A1">
      <w:pPr>
        <w:jc w:val="both"/>
        <w:rPr>
          <w:rFonts w:eastAsiaTheme="majorEastAsia"/>
        </w:rPr>
      </w:pPr>
      <w:r>
        <w:rPr>
          <w:rFonts w:eastAsiaTheme="majorEastAsia"/>
        </w:rPr>
        <w:t xml:space="preserve">Ce recours massif à la procédure de vérification de l’âge a été récemment remis en cause par la Cour européenne des droits de l’homme dans l’arrêt </w:t>
      </w:r>
      <w:r w:rsidRPr="00B75F24">
        <w:rPr>
          <w:rFonts w:eastAsiaTheme="majorEastAsia"/>
          <w:i/>
          <w:iCs/>
        </w:rPr>
        <w:t>F.B. c. Belgique</w:t>
      </w:r>
      <w:r>
        <w:rPr>
          <w:rFonts w:eastAsiaTheme="majorEastAsia"/>
        </w:rPr>
        <w:t xml:space="preserve"> du 6 mars 2025.</w:t>
      </w:r>
      <w:r w:rsidRPr="00134FCB">
        <w:rPr>
          <w:rFonts w:eastAsiaTheme="majorEastAsia"/>
        </w:rPr>
        <w:t xml:space="preserve"> </w:t>
      </w:r>
      <w:r w:rsidR="00422E0D">
        <w:rPr>
          <w:rFonts w:eastAsiaTheme="majorEastAsia"/>
        </w:rPr>
        <w:t>L</w:t>
      </w:r>
      <w:r>
        <w:rPr>
          <w:rFonts w:eastAsiaTheme="majorEastAsia"/>
        </w:rPr>
        <w:t xml:space="preserve">’absence </w:t>
      </w:r>
      <w:r>
        <w:rPr>
          <w:rFonts w:eastAsiaTheme="majorEastAsia"/>
        </w:rPr>
        <w:lastRenderedPageBreak/>
        <w:t>de consentement explicite de la part des enfants et le caractère systématique du recours à un test médical jugé invasif</w:t>
      </w:r>
      <w:r w:rsidR="00422E0D">
        <w:rPr>
          <w:rFonts w:eastAsiaTheme="majorEastAsia"/>
        </w:rPr>
        <w:t xml:space="preserve"> ont été </w:t>
      </w:r>
      <w:r w:rsidR="00BD56FA">
        <w:rPr>
          <w:rFonts w:eastAsiaTheme="majorEastAsia"/>
        </w:rPr>
        <w:t>déclaré</w:t>
      </w:r>
      <w:r w:rsidR="00422E0D">
        <w:rPr>
          <w:rFonts w:eastAsiaTheme="majorEastAsia"/>
        </w:rPr>
        <w:t>s contraire</w:t>
      </w:r>
      <w:r w:rsidR="00BD56FA">
        <w:rPr>
          <w:rFonts w:eastAsiaTheme="majorEastAsia"/>
        </w:rPr>
        <w:t>s</w:t>
      </w:r>
      <w:r w:rsidR="00422E0D">
        <w:rPr>
          <w:rFonts w:eastAsiaTheme="majorEastAsia"/>
        </w:rPr>
        <w:t xml:space="preserve"> au respect d</w:t>
      </w:r>
      <w:r w:rsidR="00BD56FA">
        <w:rPr>
          <w:rFonts w:eastAsiaTheme="majorEastAsia"/>
        </w:rPr>
        <w:t>u droit à</w:t>
      </w:r>
      <w:r w:rsidR="00422E0D">
        <w:rPr>
          <w:rFonts w:eastAsiaTheme="majorEastAsia"/>
        </w:rPr>
        <w:t xml:space="preserve"> la vie privée et familiale (article 8 de la C</w:t>
      </w:r>
      <w:r w:rsidR="000D7824">
        <w:rPr>
          <w:rFonts w:eastAsiaTheme="majorEastAsia"/>
        </w:rPr>
        <w:t>onvention européenne des droits de l’homme, ci-après « CEDH »</w:t>
      </w:r>
      <w:r w:rsidR="00422E0D">
        <w:rPr>
          <w:rFonts w:eastAsiaTheme="majorEastAsia"/>
        </w:rPr>
        <w:t>)</w:t>
      </w:r>
      <w:r>
        <w:rPr>
          <w:rFonts w:eastAsiaTheme="majorEastAsia"/>
        </w:rPr>
        <w:t xml:space="preserve">. </w:t>
      </w:r>
    </w:p>
    <w:p w14:paraId="56B90951" w14:textId="496F809E" w:rsidR="007A5BFE" w:rsidRPr="00C478A1" w:rsidRDefault="007A5BFE" w:rsidP="00C478A1">
      <w:pPr>
        <w:spacing w:before="240"/>
        <w:jc w:val="both"/>
        <w:rPr>
          <w:rFonts w:eastAsiaTheme="majorEastAsia"/>
        </w:rPr>
      </w:pPr>
      <w:r w:rsidRPr="007A5BFE">
        <w:t xml:space="preserve">Cette jurisprudence confirme les critiques qui s’élevaient à l’égard </w:t>
      </w:r>
      <w:r w:rsidR="006E378E">
        <w:t xml:space="preserve">du recours aux tests osseux par les </w:t>
      </w:r>
      <w:r w:rsidR="00A2258D">
        <w:t>État</w:t>
      </w:r>
      <w:r w:rsidR="006E378E">
        <w:t>s</w:t>
      </w:r>
      <w:r w:rsidR="00577FEE">
        <w:rPr>
          <w:rStyle w:val="Appelnotedebasdep"/>
        </w:rPr>
        <w:footnoteReference w:id="4"/>
      </w:r>
      <w:r w:rsidR="006E378E" w:rsidRPr="007A5BFE">
        <w:t xml:space="preserve"> </w:t>
      </w:r>
      <w:r w:rsidR="006E378E">
        <w:t xml:space="preserve">et, plus spécialement, </w:t>
      </w:r>
      <w:r w:rsidRPr="007A5BFE">
        <w:t>de la procédure belge</w:t>
      </w:r>
      <w:r w:rsidRPr="007A5BFE">
        <w:rPr>
          <w:rStyle w:val="Appelnotedebasdep"/>
        </w:rPr>
        <w:footnoteReference w:id="5"/>
      </w:r>
      <w:r w:rsidR="006E378E">
        <w:t xml:space="preserve">. </w:t>
      </w:r>
      <w:r w:rsidRPr="007A5BFE">
        <w:t>Outre la doctrine et le monde associatif, le système avait également été épinglé par le Comité des droits de l’enfant des Nations Unies dans ses Observations finales concernant les rapports périodiques de la Belgique</w:t>
      </w:r>
      <w:r w:rsidRPr="007A5BFE">
        <w:rPr>
          <w:rStyle w:val="Appelnotedebasdep"/>
        </w:rPr>
        <w:footnoteReference w:id="6"/>
      </w:r>
      <w:r w:rsidRPr="007A5BFE">
        <w:t xml:space="preserve">. </w:t>
      </w:r>
      <w:r w:rsidR="00422E0D" w:rsidRPr="00422E0D">
        <w:t>Cet arrêt invite</w:t>
      </w:r>
      <w:r w:rsidRPr="00422E0D">
        <w:t xml:space="preserve"> les autorités </w:t>
      </w:r>
      <w:r w:rsidR="00422E0D" w:rsidRPr="00422E0D">
        <w:t>à une révision en profondeu</w:t>
      </w:r>
      <w:r w:rsidR="00422E0D">
        <w:t>r du dispositif belge.</w:t>
      </w:r>
    </w:p>
    <w:p w14:paraId="52D4244B" w14:textId="38C86FD8" w:rsidR="00E44158" w:rsidRPr="00AD6C4B" w:rsidRDefault="00B00115" w:rsidP="00AD6C4B">
      <w:pPr>
        <w:pStyle w:val="Titre1"/>
        <w:numPr>
          <w:ilvl w:val="0"/>
          <w:numId w:val="2"/>
        </w:numPr>
        <w:jc w:val="left"/>
        <w:rPr>
          <w:b/>
          <w:bCs/>
          <w:color w:val="900606"/>
          <w:sz w:val="24"/>
          <w:szCs w:val="24"/>
        </w:rPr>
      </w:pPr>
      <w:r>
        <w:rPr>
          <w:b/>
          <w:bCs/>
          <w:color w:val="900606"/>
          <w:sz w:val="24"/>
          <w:szCs w:val="24"/>
        </w:rPr>
        <w:t>Faits</w:t>
      </w:r>
    </w:p>
    <w:p w14:paraId="1D3EE968" w14:textId="3A878942" w:rsidR="00736296" w:rsidRDefault="006D229D" w:rsidP="006D229D">
      <w:pPr>
        <w:jc w:val="both"/>
      </w:pPr>
      <w:r>
        <w:t>La requérante, F.B., est de nationalité guinéenne. Lors de son arrivée en Belgique en 2019, elle demande la protection internationale et se déclare âgée de seize ans, conformément à la copie non</w:t>
      </w:r>
      <w:r w:rsidR="006911E3">
        <w:t xml:space="preserve"> </w:t>
      </w:r>
      <w:r>
        <w:t xml:space="preserve">légalisée de l’acte de naissance qu’elle dépose. </w:t>
      </w:r>
      <w:r w:rsidR="00C97164">
        <w:t>Au cours</w:t>
      </w:r>
      <w:r>
        <w:t xml:space="preserve"> d’un entretien avec un agent de l’Office des étrangers, ce dernier émet des doutes quant à la minorité de la requérante. </w:t>
      </w:r>
      <w:r w:rsidR="00C97164" w:rsidRPr="00196A9D">
        <w:t>Durant</w:t>
      </w:r>
      <w:r w:rsidRPr="00196A9D">
        <w:t xml:space="preserve"> </w:t>
      </w:r>
      <w:r w:rsidR="007773BF">
        <w:t>cet</w:t>
      </w:r>
      <w:r w:rsidRPr="00196A9D">
        <w:t xml:space="preserve"> entretien, l’agent établit une fiche de signalement qui indique que la requérante a été informée du doute émis, qu’un document d’information sur le déroulement du test d’âge lui a été remis</w:t>
      </w:r>
      <w:r w:rsidR="007773BF">
        <w:t xml:space="preserve"> (</w:t>
      </w:r>
      <w:r w:rsidR="007773BF" w:rsidRPr="00196A9D">
        <w:t>un fascicule sur le déroulement du test d’âge rédigé en français, langue que la requérant</w:t>
      </w:r>
      <w:r w:rsidR="007773BF">
        <w:t>e</w:t>
      </w:r>
      <w:r w:rsidR="007773BF" w:rsidRPr="00196A9D">
        <w:t xml:space="preserve"> comprend</w:t>
      </w:r>
      <w:r w:rsidR="007773BF">
        <w:t>)</w:t>
      </w:r>
      <w:r w:rsidRPr="00196A9D">
        <w:t xml:space="preserve"> et qu’elle ne s’oppose pas à sa réalisation</w:t>
      </w:r>
      <w:r w:rsidRPr="00196A9D">
        <w:rPr>
          <w:rStyle w:val="Appelnotedebasdep"/>
        </w:rPr>
        <w:footnoteReference w:id="7"/>
      </w:r>
      <w:r w:rsidR="007773BF">
        <w:t xml:space="preserve">. </w:t>
      </w:r>
      <w:r>
        <w:t>Le temps de</w:t>
      </w:r>
      <w:r w:rsidR="007773BF">
        <w:t xml:space="preserve"> la procédure</w:t>
      </w:r>
      <w:r>
        <w:t xml:space="preserve"> </w:t>
      </w:r>
      <w:r w:rsidR="006911E3">
        <w:t>de</w:t>
      </w:r>
      <w:r>
        <w:t xml:space="preserve"> détermination de l’âge, la requérante est prise en charge par </w:t>
      </w:r>
      <w:r w:rsidR="00CB381B">
        <w:t xml:space="preserve">l’agence </w:t>
      </w:r>
      <w:proofErr w:type="spellStart"/>
      <w:r>
        <w:t>Fedasil</w:t>
      </w:r>
      <w:proofErr w:type="spellEnd"/>
      <w:r>
        <w:t xml:space="preserve"> dans un centre pour MENA. Au jour de l’examen, le triple test (mâchoire, clavicule, poignet)</w:t>
      </w:r>
      <w:r w:rsidR="006911E3">
        <w:t xml:space="preserve"> conclu</w:t>
      </w:r>
      <w:r>
        <w:t xml:space="preserve">t à un âge de 21,7 ans, avec un écart-type de </w:t>
      </w:r>
      <w:r w:rsidR="00A61A1E">
        <w:t>deux</w:t>
      </w:r>
      <w:r>
        <w:t xml:space="preserve"> ans. Après la réalisation du test, un entretien au sujet de l’âge et de l’identité de F.B. est organisé avec le Service des </w:t>
      </w:r>
      <w:r w:rsidR="00737650">
        <w:t>T</w:t>
      </w:r>
      <w:r>
        <w:t xml:space="preserve">utelles. Par la suite, elle remet deux nouveaux documents qui attestent </w:t>
      </w:r>
      <w:r w:rsidR="00CB381B">
        <w:t>à nouveau</w:t>
      </w:r>
      <w:r>
        <w:t xml:space="preserve"> de s</w:t>
      </w:r>
      <w:r w:rsidR="002B2F19">
        <w:t>a minorité</w:t>
      </w:r>
      <w:r>
        <w:t> : l’original d’un jugement supplétif guinéen tenant lieu d’acte de naissance et l’original d’un extrait d’acte de naissance.</w:t>
      </w:r>
      <w:r w:rsidR="00CB381B">
        <w:t xml:space="preserve"> </w:t>
      </w:r>
      <w:r w:rsidR="00A61A1E">
        <w:t xml:space="preserve">Finalement, le Service des </w:t>
      </w:r>
      <w:r w:rsidR="00737650">
        <w:t>T</w:t>
      </w:r>
      <w:r w:rsidR="00A61A1E">
        <w:t xml:space="preserve">utelles prend une décision de cessation de plein droit de la prise en charge de F.B. </w:t>
      </w:r>
      <w:r w:rsidR="008053BF">
        <w:t xml:space="preserve">le 11 septembre 2019. </w:t>
      </w:r>
      <w:r w:rsidR="002962E4">
        <w:t>Postérieurement à cette décision, la requérant</w:t>
      </w:r>
      <w:r w:rsidR="00B0068B">
        <w:t>e</w:t>
      </w:r>
      <w:r w:rsidR="002962E4">
        <w:t xml:space="preserve"> dépos</w:t>
      </w:r>
      <w:r w:rsidR="00B0068B">
        <w:t>e</w:t>
      </w:r>
      <w:r w:rsidR="002962E4">
        <w:t xml:space="preserve"> de nouveaux éléments </w:t>
      </w:r>
      <w:r w:rsidR="00713D0A">
        <w:t>et invit</w:t>
      </w:r>
      <w:r w:rsidR="00B0068B">
        <w:t>e</w:t>
      </w:r>
      <w:r w:rsidR="00713D0A">
        <w:t xml:space="preserve"> le Service des </w:t>
      </w:r>
      <w:r w:rsidR="00737650">
        <w:t>T</w:t>
      </w:r>
      <w:r w:rsidR="00713D0A">
        <w:t xml:space="preserve">utelles à reconsidérer sa décision, sans succès. </w:t>
      </w:r>
      <w:r w:rsidR="00713D0A">
        <w:lastRenderedPageBreak/>
        <w:t>L</w:t>
      </w:r>
      <w:r w:rsidR="00B0068B">
        <w:t xml:space="preserve">a requérante introduit </w:t>
      </w:r>
      <w:r w:rsidR="005505D1">
        <w:t xml:space="preserve">une </w:t>
      </w:r>
      <w:r w:rsidR="00B0068B">
        <w:t xml:space="preserve">demande de suspension de la décision </w:t>
      </w:r>
      <w:r w:rsidR="005505D1">
        <w:t>et un recours en annulation qui sont tous deux rejetés par le Conseil d’</w:t>
      </w:r>
      <w:r w:rsidR="00666669" w:rsidRPr="00666669">
        <w:t>É</w:t>
      </w:r>
      <w:r w:rsidR="005505D1">
        <w:t xml:space="preserve">tat. </w:t>
      </w:r>
    </w:p>
    <w:p w14:paraId="678BC0EA" w14:textId="26A37073" w:rsidR="00736296" w:rsidRPr="00736296" w:rsidRDefault="00196A9D" w:rsidP="00736296">
      <w:pPr>
        <w:pStyle w:val="Titre1"/>
        <w:numPr>
          <w:ilvl w:val="0"/>
          <w:numId w:val="2"/>
        </w:numPr>
        <w:jc w:val="left"/>
        <w:rPr>
          <w:b/>
          <w:bCs/>
          <w:color w:val="900606"/>
          <w:sz w:val="24"/>
          <w:szCs w:val="24"/>
        </w:rPr>
      </w:pPr>
      <w:r>
        <w:rPr>
          <w:b/>
          <w:bCs/>
          <w:color w:val="900606"/>
          <w:sz w:val="24"/>
          <w:szCs w:val="24"/>
        </w:rPr>
        <w:t>La procédure en</w:t>
      </w:r>
      <w:r w:rsidR="00736296">
        <w:rPr>
          <w:b/>
          <w:bCs/>
          <w:color w:val="900606"/>
          <w:sz w:val="24"/>
          <w:szCs w:val="24"/>
        </w:rPr>
        <w:t xml:space="preserve"> droit belge</w:t>
      </w:r>
    </w:p>
    <w:p w14:paraId="270FA897" w14:textId="6CA314A3" w:rsidR="006C7147" w:rsidRDefault="00A43FD5" w:rsidP="006D229D">
      <w:pPr>
        <w:jc w:val="both"/>
      </w:pPr>
      <w:r>
        <w:t xml:space="preserve">Le raisonnement juridique du Service des </w:t>
      </w:r>
      <w:r w:rsidR="00737650">
        <w:t>T</w:t>
      </w:r>
      <w:r>
        <w:t xml:space="preserve">utelles, </w:t>
      </w:r>
      <w:r w:rsidR="00A201A9">
        <w:t>identique à celui adopté par le Conseil d’État</w:t>
      </w:r>
      <w:r w:rsidR="00C7577F">
        <w:rPr>
          <w:rStyle w:val="Appelnotedebasdep"/>
        </w:rPr>
        <w:footnoteReference w:id="8"/>
      </w:r>
      <w:r w:rsidR="004C5EE1">
        <w:t xml:space="preserve">, </w:t>
      </w:r>
      <w:r w:rsidR="00A201A9">
        <w:t>repose sur les éléments suivants</w:t>
      </w:r>
      <w:r w:rsidR="00A201A9" w:rsidRPr="00073DE7">
        <w:t>.</w:t>
      </w:r>
      <w:r w:rsidR="008F49B1" w:rsidRPr="00073DE7">
        <w:t xml:space="preserve"> En Belgique, la procédure de détermination de l’âge des mineurs étrangers non</w:t>
      </w:r>
      <w:r w:rsidR="004C5EE1" w:rsidRPr="00073DE7">
        <w:t xml:space="preserve"> </w:t>
      </w:r>
      <w:r w:rsidR="008F49B1" w:rsidRPr="00073DE7">
        <w:t xml:space="preserve">accompagnés est régie par le Titre XIII, Chapitre VI, de la </w:t>
      </w:r>
      <w:r w:rsidR="0050159A">
        <w:t>L</w:t>
      </w:r>
      <w:r w:rsidR="008F49B1" w:rsidRPr="00073DE7">
        <w:t>oi</w:t>
      </w:r>
      <w:r w:rsidR="008F49B1" w:rsidRPr="00073DE7">
        <w:t>-programme du 24 décembre 200</w:t>
      </w:r>
      <w:r w:rsidR="00EC34C0">
        <w:t>2</w:t>
      </w:r>
      <w:r w:rsidR="008F49B1" w:rsidRPr="00073DE7">
        <w:rPr>
          <w:rStyle w:val="Appelnotedebasdep"/>
        </w:rPr>
        <w:footnoteReference w:id="9"/>
      </w:r>
      <w:r w:rsidR="00337218">
        <w:t xml:space="preserve"> </w:t>
      </w:r>
      <w:r w:rsidR="00B976C8">
        <w:t xml:space="preserve">(ci-après, </w:t>
      </w:r>
      <w:r w:rsidR="00337218">
        <w:t>« </w:t>
      </w:r>
      <w:r w:rsidR="00B976C8">
        <w:t>Loi sur l</w:t>
      </w:r>
      <w:r w:rsidR="0050159A">
        <w:t>a</w:t>
      </w:r>
      <w:r w:rsidR="00B976C8">
        <w:t xml:space="preserve"> tutelle</w:t>
      </w:r>
      <w:r w:rsidR="00337218">
        <w:t> »</w:t>
      </w:r>
      <w:r w:rsidR="00B976C8">
        <w:t>)</w:t>
      </w:r>
      <w:r w:rsidR="008F49B1" w:rsidRPr="00073DE7">
        <w:t xml:space="preserve">. </w:t>
      </w:r>
      <w:r w:rsidR="00A201A9" w:rsidRPr="00073DE7">
        <w:t>D’abord</w:t>
      </w:r>
      <w:r w:rsidR="00A201A9">
        <w:t>,</w:t>
      </w:r>
      <w:r w:rsidR="006C7147">
        <w:t xml:space="preserve"> il</w:t>
      </w:r>
      <w:r w:rsidR="00A201A9">
        <w:t xml:space="preserve"> </w:t>
      </w:r>
      <w:r w:rsidR="006C7147">
        <w:t xml:space="preserve">appartient au Service des </w:t>
      </w:r>
      <w:r w:rsidR="00737650">
        <w:t>T</w:t>
      </w:r>
      <w:r w:rsidR="006C7147">
        <w:t xml:space="preserve">utelles </w:t>
      </w:r>
      <w:r w:rsidR="00F51BD6">
        <w:t xml:space="preserve">de </w:t>
      </w:r>
      <w:r w:rsidR="00E30D63">
        <w:t>procéder à l’identification</w:t>
      </w:r>
      <w:r w:rsidR="00A201A9">
        <w:t xml:space="preserve"> d’une personne </w:t>
      </w:r>
      <w:r w:rsidR="00F51BD6">
        <w:t>MENA</w:t>
      </w:r>
      <w:r w:rsidR="00E30D63">
        <w:t xml:space="preserve"> (et, le cas échéant, de faire vérifier son âge)</w:t>
      </w:r>
      <w:r w:rsidR="00AA637F">
        <w:rPr>
          <w:rStyle w:val="Appelnotedebasdep"/>
        </w:rPr>
        <w:footnoteReference w:id="10"/>
      </w:r>
      <w:r w:rsidR="00C03E6C">
        <w:t xml:space="preserve">. </w:t>
      </w:r>
      <w:r w:rsidR="00EF43D9">
        <w:t>Selon l’article 3 de l’arrêté royal</w:t>
      </w:r>
      <w:r w:rsidR="006C7147">
        <w:rPr>
          <w:rStyle w:val="Appelnotedebasdep"/>
        </w:rPr>
        <w:footnoteReference w:id="11"/>
      </w:r>
      <w:r w:rsidR="00EF43D9">
        <w:t>, l’identification ou la vérification des informations (comme l’âge)</w:t>
      </w:r>
      <w:r w:rsidR="00AA637F">
        <w:t xml:space="preserve"> </w:t>
      </w:r>
      <w:r w:rsidR="002B2F19">
        <w:t>s</w:t>
      </w:r>
      <w:r w:rsidR="00EF43D9">
        <w:t>e fait</w:t>
      </w:r>
      <w:r w:rsidR="00C03E6C">
        <w:t xml:space="preserve"> </w:t>
      </w:r>
      <w:r w:rsidR="006C7147">
        <w:t>« </w:t>
      </w:r>
      <w:r w:rsidR="00EF43D9" w:rsidRPr="006C7147">
        <w:rPr>
          <w:lang w:val="fr-FR"/>
        </w:rPr>
        <w:t>au moyen de ses documents officiels ou des renseignements obtenus auprès des postes consulaires ou diplomatiques du pays d'origine ou de transit, ou de tout autre renseignement</w:t>
      </w:r>
      <w:r w:rsidR="006C7147">
        <w:rPr>
          <w:lang w:val="fr-FR"/>
        </w:rPr>
        <w:t> »</w:t>
      </w:r>
      <w:r w:rsidR="00C557AD">
        <w:rPr>
          <w:lang w:val="fr-FR"/>
        </w:rPr>
        <w:t>, comme</w:t>
      </w:r>
      <w:r w:rsidR="00C557AD">
        <w:t xml:space="preserve"> la réalisation de tests médicaux</w:t>
      </w:r>
      <w:r w:rsidR="00593C53">
        <w:t xml:space="preserve"> ou psycho-affectifs</w:t>
      </w:r>
      <w:r w:rsidR="00C557AD">
        <w:t xml:space="preserve">. </w:t>
      </w:r>
      <w:r w:rsidR="004F4754">
        <w:t xml:space="preserve">Le Service des </w:t>
      </w:r>
      <w:r w:rsidR="00737650">
        <w:t>T</w:t>
      </w:r>
      <w:r w:rsidR="004F4754">
        <w:t>utelles et le Conseil d’</w:t>
      </w:r>
      <w:r w:rsidR="00666669" w:rsidRPr="00666669">
        <w:t>É</w:t>
      </w:r>
      <w:r w:rsidR="004F4754">
        <w:t>tat considèrent qu’en raison</w:t>
      </w:r>
      <w:r w:rsidR="00AA637F">
        <w:t xml:space="preserve"> de cette disposition</w:t>
      </w:r>
      <w:r w:rsidR="004F4754">
        <w:t>,</w:t>
      </w:r>
      <w:r w:rsidR="00AA637F">
        <w:t xml:space="preserve"> il n’existe pas de hiérarchie entre les différent</w:t>
      </w:r>
      <w:r w:rsidR="00C557AD">
        <w:t>s moyens d’établir l’âge d’une personne</w:t>
      </w:r>
      <w:r w:rsidR="00AA637F">
        <w:t>.</w:t>
      </w:r>
      <w:r w:rsidR="001E4E48">
        <w:t xml:space="preserve"> </w:t>
      </w:r>
      <w:r w:rsidR="00337218">
        <w:t>Néanmoins</w:t>
      </w:r>
      <w:r w:rsidR="004F4754">
        <w:t>, a</w:t>
      </w:r>
      <w:r w:rsidR="00853DDD">
        <w:t xml:space="preserve">fin de déterminer si une personne est mineure, le Service </w:t>
      </w:r>
      <w:r w:rsidR="00853DDD">
        <w:t xml:space="preserve">des </w:t>
      </w:r>
      <w:r w:rsidR="00D33849">
        <w:t>T</w:t>
      </w:r>
      <w:r w:rsidR="00853DDD">
        <w:t xml:space="preserve">utelles </w:t>
      </w:r>
      <w:r w:rsidR="00853DDD">
        <w:t>compare l</w:t>
      </w:r>
      <w:r w:rsidR="001E4E48">
        <w:t xml:space="preserve">’âge </w:t>
      </w:r>
      <w:r w:rsidR="004F4754">
        <w:t>déduit des tests</w:t>
      </w:r>
      <w:r w:rsidR="001E4E48">
        <w:t xml:space="preserve"> avec l’âge déclaré par le mineur et, si l’écart est supérieur à deux</w:t>
      </w:r>
      <w:r w:rsidR="00BD050C">
        <w:t xml:space="preserve"> ans</w:t>
      </w:r>
      <w:r w:rsidR="004F4754">
        <w:t xml:space="preserve">, </w:t>
      </w:r>
      <w:r w:rsidR="00D71E12">
        <w:t>celui-ci</w:t>
      </w:r>
      <w:r w:rsidR="00C62CC6">
        <w:t xml:space="preserve"> est considéré comme déraisonnable</w:t>
      </w:r>
      <w:r w:rsidR="00D71E12">
        <w:t>. L</w:t>
      </w:r>
      <w:r w:rsidR="00BD050C">
        <w:t>e</w:t>
      </w:r>
      <w:r w:rsidR="00337218">
        <w:t xml:space="preserve"> Service des Tutelles fait alors primer le</w:t>
      </w:r>
      <w:r w:rsidR="00BD050C">
        <w:t xml:space="preserve"> test d’âge</w:t>
      </w:r>
      <w:r w:rsidR="00C62CC6">
        <w:t xml:space="preserve"> </w:t>
      </w:r>
      <w:r w:rsidR="0030285E">
        <w:t xml:space="preserve">sur les autres éléments </w:t>
      </w:r>
      <w:r w:rsidR="00C7577F">
        <w:t xml:space="preserve">tels que les </w:t>
      </w:r>
      <w:r w:rsidR="0074397A">
        <w:t>tests psycho-</w:t>
      </w:r>
      <w:r w:rsidR="00C7577F">
        <w:t>affectifs</w:t>
      </w:r>
      <w:r w:rsidR="0074397A">
        <w:t xml:space="preserve">, </w:t>
      </w:r>
      <w:r w:rsidR="00C7577F">
        <w:t xml:space="preserve">les </w:t>
      </w:r>
      <w:r w:rsidR="0030285E">
        <w:t xml:space="preserve">déclarations ou </w:t>
      </w:r>
      <w:r w:rsidR="00C7577F">
        <w:t xml:space="preserve">les </w:t>
      </w:r>
      <w:r w:rsidR="0030285E">
        <w:t>documents du MENA</w:t>
      </w:r>
      <w:r w:rsidR="00BD050C">
        <w:t>.</w:t>
      </w:r>
      <w:r w:rsidR="0074397A">
        <w:t xml:space="preserve"> </w:t>
      </w:r>
    </w:p>
    <w:p w14:paraId="512416AD" w14:textId="194193FF" w:rsidR="00AD6C4B" w:rsidRPr="00AD6C4B" w:rsidRDefault="00AD6C4B" w:rsidP="00736296">
      <w:pPr>
        <w:pStyle w:val="Titre1"/>
        <w:numPr>
          <w:ilvl w:val="0"/>
          <w:numId w:val="2"/>
        </w:numPr>
        <w:jc w:val="left"/>
        <w:rPr>
          <w:b/>
          <w:bCs/>
          <w:color w:val="900606"/>
          <w:sz w:val="24"/>
          <w:szCs w:val="24"/>
        </w:rPr>
      </w:pPr>
      <w:r w:rsidRPr="00AD6C4B">
        <w:rPr>
          <w:b/>
          <w:bCs/>
          <w:color w:val="900606"/>
          <w:sz w:val="24"/>
          <w:szCs w:val="24"/>
        </w:rPr>
        <w:t xml:space="preserve">Analyse de l’arrêt </w:t>
      </w:r>
      <w:r w:rsidRPr="00AD6C4B">
        <w:rPr>
          <w:b/>
          <w:bCs/>
          <w:i/>
          <w:iCs/>
          <w:color w:val="900606"/>
          <w:sz w:val="24"/>
          <w:szCs w:val="24"/>
        </w:rPr>
        <w:t>F.B. c. Belgique</w:t>
      </w:r>
    </w:p>
    <w:p w14:paraId="16E6726A" w14:textId="6EA52F49" w:rsidR="00787803" w:rsidRDefault="00787803" w:rsidP="0036114C">
      <w:pPr>
        <w:jc w:val="both"/>
      </w:pPr>
      <w:r w:rsidRPr="00787803">
        <w:t>Devant la Cour européenne des droits de l’homme, F.B. invoqu</w:t>
      </w:r>
      <w:r w:rsidR="00096BB5">
        <w:t>ait</w:t>
      </w:r>
      <w:r w:rsidRPr="00787803">
        <w:t xml:space="preserve"> la violation de son droit au respect de la vie privée</w:t>
      </w:r>
      <w:r w:rsidR="00FA0E72" w:rsidRPr="00FA0E72">
        <w:rPr>
          <w:rStyle w:val="Appelnotedebasdep"/>
        </w:rPr>
        <w:footnoteReference w:id="12"/>
      </w:r>
      <w:r w:rsidRPr="00FA0E72">
        <w:t>.</w:t>
      </w:r>
      <w:r>
        <w:t xml:space="preserve"> Selon elle, la décision du Service des Tutelles était</w:t>
      </w:r>
      <w:r w:rsidRPr="00787803">
        <w:t xml:space="preserve"> fondée sur une procédure d’évaluation de l’âge par test osseux</w:t>
      </w:r>
      <w:r>
        <w:t xml:space="preserve"> qui a été réalisée </w:t>
      </w:r>
      <w:r w:rsidRPr="00787803">
        <w:t xml:space="preserve">sans son consentement libre et éclairé, sans alternatives moins intrusives ni prise en compte de sa vulnérabilité, et </w:t>
      </w:r>
      <w:r>
        <w:t>sans</w:t>
      </w:r>
      <w:r w:rsidRPr="00787803">
        <w:t xml:space="preserve"> garanties procédurales</w:t>
      </w:r>
      <w:r>
        <w:t xml:space="preserve"> suffisantes</w:t>
      </w:r>
      <w:r w:rsidRPr="00787803">
        <w:t>.</w:t>
      </w:r>
    </w:p>
    <w:p w14:paraId="168E1C31" w14:textId="5213E560" w:rsidR="00711D69" w:rsidRDefault="0036114C" w:rsidP="0036114C">
      <w:pPr>
        <w:jc w:val="both"/>
      </w:pPr>
      <w:r>
        <w:t>Sur le plan substantiel</w:t>
      </w:r>
      <w:r w:rsidR="00D41333">
        <w:t>,</w:t>
      </w:r>
      <w:r>
        <w:t xml:space="preserve"> l’arrêt de la Cour est </w:t>
      </w:r>
      <w:r>
        <w:t>relativement limité. Fidèle à sa jurisprudence antérieure</w:t>
      </w:r>
      <w:r w:rsidR="00096BB5">
        <w:rPr>
          <w:rStyle w:val="Appelnotedebasdep"/>
        </w:rPr>
        <w:footnoteReference w:id="13"/>
      </w:r>
      <w:r>
        <w:t xml:space="preserve">, </w:t>
      </w:r>
      <w:r w:rsidR="00D41333">
        <w:t>elle</w:t>
      </w:r>
      <w:r>
        <w:t xml:space="preserve"> élude la question de la minorité de la requérante en tant que telle (§</w:t>
      </w:r>
      <w:r w:rsidR="00646ED7">
        <w:t xml:space="preserve"> </w:t>
      </w:r>
      <w:r>
        <w:t>85) tout comme celle de la fiabilité des tests osseux (§</w:t>
      </w:r>
      <w:r w:rsidR="00646ED7">
        <w:t xml:space="preserve"> </w:t>
      </w:r>
      <w:r>
        <w:t xml:space="preserve">94). Les observateurs continueront d’être déçus </w:t>
      </w:r>
      <w:r>
        <w:lastRenderedPageBreak/>
        <w:t xml:space="preserve">sur ce point, on ne retrouvera aucun raisonnement sur la place </w:t>
      </w:r>
      <w:r>
        <w:t>des différentes preuves dans l’évaluation de l’âge</w:t>
      </w:r>
      <w:r w:rsidR="005D12BD">
        <w:rPr>
          <w:rStyle w:val="Appelnotedebasdep"/>
        </w:rPr>
        <w:footnoteReference w:id="14"/>
      </w:r>
      <w:r>
        <w:t xml:space="preserve"> ou sur la validité scientifique des tests médicaux</w:t>
      </w:r>
      <w:r w:rsidR="0093051F">
        <w:rPr>
          <w:rStyle w:val="Appelnotedebasdep"/>
        </w:rPr>
        <w:footnoteReference w:id="15"/>
      </w:r>
      <w:r>
        <w:t xml:space="preserve">. </w:t>
      </w:r>
    </w:p>
    <w:p w14:paraId="6281B65D" w14:textId="04FD1C13" w:rsidR="00072A9D" w:rsidRDefault="00072A9D" w:rsidP="00AD6C4B">
      <w:pPr>
        <w:jc w:val="both"/>
      </w:pPr>
      <w:r>
        <w:t>La Cour concentre son raisonnement sur deux exigences procédurales</w:t>
      </w:r>
      <w:r w:rsidR="000D7824">
        <w:rPr>
          <w:rStyle w:val="Appelnotedebasdep"/>
        </w:rPr>
        <w:footnoteReference w:id="16"/>
      </w:r>
      <w:r>
        <w:t xml:space="preserve">, d’une part le consentement </w:t>
      </w:r>
      <w:r>
        <w:t>de la requérante à</w:t>
      </w:r>
      <w:r w:rsidR="00634776">
        <w:t xml:space="preserve"> la réalisation du test médical</w:t>
      </w:r>
      <w:r>
        <w:t xml:space="preserve">, d’une part et </w:t>
      </w:r>
      <w:r w:rsidR="004E1944">
        <w:t xml:space="preserve">le caractère automatique de la réalisation des tests osseux, d’autre part. </w:t>
      </w:r>
    </w:p>
    <w:p w14:paraId="4869CD2E" w14:textId="5FA29410" w:rsidR="00C867AF" w:rsidRPr="00C867AF" w:rsidRDefault="00634776" w:rsidP="00A419DE">
      <w:pPr>
        <w:jc w:val="both"/>
      </w:pPr>
      <w:r>
        <w:t>Les autorités belges tentaient d’invoquer les différentes mesures mises en place au long de la procédure (distribution d’un fascicule d’information</w:t>
      </w:r>
      <w:r w:rsidR="00691478">
        <w:t xml:space="preserve"> et l’absence d’opposition à la réalisation des tests</w:t>
      </w:r>
      <w:r>
        <w:t>) au titre de preuve du consentement de la requérante</w:t>
      </w:r>
      <w:r w:rsidR="00757FAF">
        <w:t xml:space="preserve">. Cette </w:t>
      </w:r>
      <w:r w:rsidR="00EA276E">
        <w:t xml:space="preserve">dernière contestait fermement </w:t>
      </w:r>
      <w:r w:rsidR="00757FAF">
        <w:t xml:space="preserve">avoir été informée </w:t>
      </w:r>
      <w:r w:rsidR="00EA276E">
        <w:t xml:space="preserve">en expliquant </w:t>
      </w:r>
      <w:r w:rsidR="00757FAF">
        <w:t>n’avoir compris qu’après la réalisation des test</w:t>
      </w:r>
      <w:r w:rsidR="00903E98">
        <w:t>s</w:t>
      </w:r>
      <w:r w:rsidR="00757FAF">
        <w:t xml:space="preserve"> que sa minorité était </w:t>
      </w:r>
      <w:r w:rsidR="00903E98">
        <w:t>remise en cause</w:t>
      </w:r>
      <w:r>
        <w:t xml:space="preserve">. </w:t>
      </w:r>
      <w:r w:rsidR="00757FAF">
        <w:t>Quoiqu’il en soit, l</w:t>
      </w:r>
      <w:r w:rsidR="00A419DE">
        <w:t xml:space="preserve">a Cour relève </w:t>
      </w:r>
      <w:r w:rsidR="00903E98">
        <w:t>qu’aucune signature n’avait été sollicitée,</w:t>
      </w:r>
      <w:r w:rsidR="00A419DE">
        <w:t xml:space="preserve"> ni pour s’assurer de son consentement, ni pour confirmer la réception des informations qui lui ont été remise (ledit fascicule), ni même l’exactitude des informations qui ont été consignées à son sujet dans la fiche</w:t>
      </w:r>
      <w:r w:rsidR="00003840">
        <w:t xml:space="preserve"> de signalement</w:t>
      </w:r>
      <w:r w:rsidR="00346E94">
        <w:t xml:space="preserve"> (§§</w:t>
      </w:r>
      <w:r w:rsidR="004069E7">
        <w:t xml:space="preserve"> </w:t>
      </w:r>
      <w:r w:rsidR="00346E94">
        <w:t>87 et 89)</w:t>
      </w:r>
      <w:r w:rsidR="00003840">
        <w:t>.</w:t>
      </w:r>
      <w:r w:rsidR="00A419DE">
        <w:t xml:space="preserve"> Or, </w:t>
      </w:r>
      <w:r w:rsidR="009A2799">
        <w:t xml:space="preserve">la requérante est en situation de vulnérabilité </w:t>
      </w:r>
      <w:r w:rsidR="005B6C50">
        <w:t>en raison</w:t>
      </w:r>
      <w:r w:rsidR="009A2799">
        <w:t xml:space="preserve"> </w:t>
      </w:r>
      <w:r w:rsidR="005B6C50">
        <w:t>de</w:t>
      </w:r>
      <w:r w:rsidR="00F7637D">
        <w:t xml:space="preserve"> sa</w:t>
      </w:r>
      <w:r w:rsidR="005B6C50">
        <w:t xml:space="preserve"> min</w:t>
      </w:r>
      <w:r w:rsidR="00F7637D">
        <w:t>orité</w:t>
      </w:r>
      <w:r w:rsidR="005B6C50">
        <w:t xml:space="preserve"> présumée</w:t>
      </w:r>
      <w:r w:rsidR="009A2799">
        <w:rPr>
          <w:rStyle w:val="Appelnotedebasdep"/>
        </w:rPr>
        <w:footnoteReference w:id="17"/>
      </w:r>
      <w:r w:rsidR="00F7637D">
        <w:t xml:space="preserve"> et de son statut de demanderesse de protection internationale, aggravée par l’absence d’un représentant ou d’un conseil lors de la phase d’évaluation</w:t>
      </w:r>
      <w:r w:rsidR="00346E94">
        <w:t xml:space="preserve"> (§</w:t>
      </w:r>
      <w:r w:rsidR="004069E7">
        <w:t xml:space="preserve"> </w:t>
      </w:r>
      <w:r w:rsidR="00346E94">
        <w:t>88)</w:t>
      </w:r>
      <w:r w:rsidR="00F7637D">
        <w:t xml:space="preserve">. </w:t>
      </w:r>
      <w:r w:rsidR="00264EFF">
        <w:t>S’agissant de la réalisation d’un acte médical,</w:t>
      </w:r>
      <w:r w:rsidR="004A0DAE">
        <w:t xml:space="preserve"> </w:t>
      </w:r>
      <w:r w:rsidR="004A0DAE" w:rsidRPr="004A0DAE">
        <w:t>l’absence</w:t>
      </w:r>
      <w:r w:rsidR="004A0DAE">
        <w:t xml:space="preserve"> de consentement libre et éclairé menacerait</w:t>
      </w:r>
      <w:r w:rsidR="00264EFF">
        <w:t xml:space="preserve"> l’intégrité physique et l’autonomie personnelle</w:t>
      </w:r>
      <w:r w:rsidR="004A0DAE">
        <w:t xml:space="preserve"> du patient</w:t>
      </w:r>
      <w:r w:rsidR="007C1888">
        <w:rPr>
          <w:rStyle w:val="Appelnotedebasdep"/>
        </w:rPr>
        <w:footnoteReference w:id="18"/>
      </w:r>
      <w:r w:rsidR="004A0DAE">
        <w:t>.</w:t>
      </w:r>
      <w:r w:rsidR="00264EFF">
        <w:t xml:space="preserve"> </w:t>
      </w:r>
      <w:r w:rsidR="004A0DAE">
        <w:t xml:space="preserve">Et la Cour de souligner, parmi les actes médicaux, </w:t>
      </w:r>
      <w:r w:rsidR="00A02D39">
        <w:t>« </w:t>
      </w:r>
      <w:r w:rsidR="004A0DAE">
        <w:t>le</w:t>
      </w:r>
      <w:r w:rsidR="00A02D39">
        <w:t> </w:t>
      </w:r>
      <w:r w:rsidR="004A0DAE">
        <w:t xml:space="preserve">caractère invasif des tests médicaux </w:t>
      </w:r>
      <w:r w:rsidR="00A02D39">
        <w:t>pratiqués en vue de l’évaluation de l’âge »</w:t>
      </w:r>
      <w:r w:rsidR="009F74A6">
        <w:t xml:space="preserve"> </w:t>
      </w:r>
      <w:r w:rsidR="00A02D39">
        <w:t>(§</w:t>
      </w:r>
      <w:r w:rsidR="004069E7">
        <w:t xml:space="preserve"> </w:t>
      </w:r>
      <w:r w:rsidR="00A02D39">
        <w:t>90).</w:t>
      </w:r>
    </w:p>
    <w:p w14:paraId="01FB007E" w14:textId="148D2A33" w:rsidR="001A40C9" w:rsidRDefault="00FC5EF5" w:rsidP="00FC5EF5">
      <w:pPr>
        <w:jc w:val="both"/>
      </w:pPr>
      <w:r>
        <w:t>Prenant appui sur le caractère invasif de ces test</w:t>
      </w:r>
      <w:r w:rsidR="00B0758E">
        <w:t>s</w:t>
      </w:r>
      <w:r>
        <w:t>, la Cour analyse l’automaticité de la réalisation des tests osseux dès lors qu’un doute sur la minorité est émis.</w:t>
      </w:r>
      <w:r w:rsidR="00BF162D">
        <w:t xml:space="preserve"> En effet, lorsque les autorités émettent un doute quant à la minorité d’une personne, la </w:t>
      </w:r>
      <w:r w:rsidR="00B80E57">
        <w:t>L</w:t>
      </w:r>
      <w:r w:rsidR="00BF162D">
        <w:t xml:space="preserve">oi sur la tutelle prévoit qu’« il est procédé immédiatement à un test médical (…) afin de vérifier si cette personne est âgée ou non </w:t>
      </w:r>
      <w:r w:rsidR="00BF162D">
        <w:lastRenderedPageBreak/>
        <w:t>de moins de 18 ans »</w:t>
      </w:r>
      <w:r w:rsidR="00BF162D">
        <w:rPr>
          <w:rStyle w:val="Appelnotedebasdep"/>
        </w:rPr>
        <w:footnoteReference w:id="19"/>
      </w:r>
      <w:r w:rsidR="00BF162D">
        <w:t>.</w:t>
      </w:r>
      <w:r>
        <w:t xml:space="preserve"> En vertu d</w:t>
      </w:r>
      <w:r w:rsidR="00B0758E">
        <w:t xml:space="preserve">es principes de proportionnalité et de nécessité, le recours à cette mesure ne se justifie qu’en l’absence d’autres moyens « portant moins gravement atteinte au </w:t>
      </w:r>
      <w:r w:rsidR="004B2ECE">
        <w:t>droit fondamental en cause et permettant d’arriver au même but » (§</w:t>
      </w:r>
      <w:r w:rsidR="003E701E">
        <w:t xml:space="preserve"> </w:t>
      </w:r>
      <w:r w:rsidR="004B2ECE">
        <w:t>92).</w:t>
      </w:r>
    </w:p>
    <w:p w14:paraId="27622AA9" w14:textId="73005817" w:rsidR="00C867AF" w:rsidRDefault="001A40C9" w:rsidP="00FC5EF5">
      <w:pPr>
        <w:jc w:val="both"/>
      </w:pPr>
      <w:r>
        <w:t xml:space="preserve">La Cour en conclut qu’un </w:t>
      </w:r>
      <w:r w:rsidR="00690E06">
        <w:t xml:space="preserve">entretien préalable avec le </w:t>
      </w:r>
      <w:r w:rsidR="00B80E57">
        <w:t>S</w:t>
      </w:r>
      <w:r w:rsidR="00690E06">
        <w:t xml:space="preserve">ervice des </w:t>
      </w:r>
      <w:r w:rsidR="00B80E57">
        <w:t>T</w:t>
      </w:r>
      <w:r w:rsidR="00690E06">
        <w:t xml:space="preserve">utelles </w:t>
      </w:r>
      <w:r>
        <w:t xml:space="preserve">aurait </w:t>
      </w:r>
      <w:r w:rsidR="004E66A2">
        <w:t>permis</w:t>
      </w:r>
      <w:r>
        <w:t xml:space="preserve">, d’une part de </w:t>
      </w:r>
      <w:r w:rsidR="004E66A2">
        <w:t>s’assurer que la requérante « a reçu toutes les informations nécessaires pour faire valoir ses droits</w:t>
      </w:r>
      <w:r>
        <w:t> » et d’autre part de « </w:t>
      </w:r>
      <w:r w:rsidR="004E66A2">
        <w:t xml:space="preserve">rechercher si le doute sur [sa minorité] </w:t>
      </w:r>
      <w:r w:rsidR="00BE7192">
        <w:t>pouvait être levé par d’autres moyens moins intrusifs</w:t>
      </w:r>
      <w:r>
        <w:t> »</w:t>
      </w:r>
      <w:r w:rsidR="00BE7192">
        <w:t xml:space="preserve"> (</w:t>
      </w:r>
      <w:r w:rsidR="00C867AF" w:rsidRPr="00C867AF">
        <w:t>§</w:t>
      </w:r>
      <w:r w:rsidR="00B80E57">
        <w:t xml:space="preserve"> </w:t>
      </w:r>
      <w:r w:rsidR="00C867AF" w:rsidRPr="00C867AF">
        <w:t>93</w:t>
      </w:r>
      <w:r w:rsidR="00BE7192">
        <w:t>).</w:t>
      </w:r>
      <w:r w:rsidR="00D41333">
        <w:t xml:space="preserve"> </w:t>
      </w:r>
      <w:r w:rsidR="005B4DAA" w:rsidRPr="005B4DAA">
        <w:t>Par conséquent, « </w:t>
      </w:r>
      <w:r w:rsidR="00EB2BAB" w:rsidRPr="005B4DAA">
        <w:t>le processus décisionnel qui a abouti à la décision de cessation de sa prise en charge en tant que mineure étrangère non accompagnée n’a pas été entouré de garanties suffisantes au regard de l’article 8 de la Convention</w:t>
      </w:r>
      <w:r w:rsidR="005B4DAA" w:rsidRPr="005B4DAA">
        <w:t> » (§ 94).</w:t>
      </w:r>
    </w:p>
    <w:p w14:paraId="67DA32E9" w14:textId="6A40B378" w:rsidR="00D41333" w:rsidRDefault="00D41333" w:rsidP="00FC5EF5">
      <w:pPr>
        <w:jc w:val="both"/>
      </w:pPr>
      <w:r>
        <w:t>La requérante se plai</w:t>
      </w:r>
      <w:r w:rsidR="005B4DAA">
        <w:t>g</w:t>
      </w:r>
      <w:r>
        <w:t>n</w:t>
      </w:r>
      <w:r w:rsidR="005B4DAA">
        <w:t>ai</w:t>
      </w:r>
      <w:r>
        <w:t xml:space="preserve">t également de la violation de deux autres dispositions combinées avec l’article 8 de la CEDH, ce à quoi la Cour n’a pas fait droit. </w:t>
      </w:r>
      <w:r w:rsidRPr="00A413D3">
        <w:t>Elle fai</w:t>
      </w:r>
      <w:r w:rsidR="005B4DAA">
        <w:t>sai</w:t>
      </w:r>
      <w:r w:rsidRPr="00A413D3">
        <w:t xml:space="preserve">t valoir l'absence de recours effectif, en raison du rôle limité du Conseil d'État qui se </w:t>
      </w:r>
      <w:r>
        <w:t>born</w:t>
      </w:r>
      <w:r w:rsidRPr="00A413D3">
        <w:t xml:space="preserve">e à un contrôle de légalité de la décision (article 13 de la CEDH), ainsi que le fait d’avoir été victime de discrimination en étant considérée comme majeure et exclue de la procédure prévue pour les </w:t>
      </w:r>
      <w:r>
        <w:t>MENA</w:t>
      </w:r>
      <w:r w:rsidRPr="00A413D3">
        <w:t xml:space="preserve"> (article 14 de la CEDH).</w:t>
      </w:r>
    </w:p>
    <w:p w14:paraId="5B8AE63F" w14:textId="7DC013ED" w:rsidR="00AD6C4B" w:rsidRDefault="00AD6C4B" w:rsidP="00736296">
      <w:pPr>
        <w:pStyle w:val="Titre1"/>
        <w:numPr>
          <w:ilvl w:val="0"/>
          <w:numId w:val="2"/>
        </w:numPr>
        <w:jc w:val="left"/>
        <w:rPr>
          <w:b/>
          <w:bCs/>
          <w:color w:val="900606"/>
          <w:sz w:val="24"/>
          <w:szCs w:val="24"/>
        </w:rPr>
      </w:pPr>
      <w:r w:rsidRPr="00AD6C4B">
        <w:rPr>
          <w:b/>
          <w:bCs/>
          <w:color w:val="900606"/>
          <w:sz w:val="24"/>
          <w:szCs w:val="24"/>
        </w:rPr>
        <w:t xml:space="preserve">Conséquences </w:t>
      </w:r>
      <w:r w:rsidR="00C3195D">
        <w:rPr>
          <w:b/>
          <w:bCs/>
          <w:color w:val="900606"/>
          <w:sz w:val="24"/>
          <w:szCs w:val="24"/>
        </w:rPr>
        <w:t>sur la procédure de détermination de l’âge</w:t>
      </w:r>
    </w:p>
    <w:p w14:paraId="357AFA84" w14:textId="67A93105" w:rsidR="00A35CC2" w:rsidRDefault="00AE065B" w:rsidP="00A35CC2">
      <w:pPr>
        <w:jc w:val="both"/>
      </w:pPr>
      <w:r w:rsidRPr="00AE065B">
        <w:t>L’arrêt a des conséquences immédiates dans la mesure où il remet en cause la légalité des décisions du Service des Tutelles rendues sous l’empire de l’ancienne procédure, désormais considérée comme contraire aux droits fondamentaux</w:t>
      </w:r>
      <w:r w:rsidR="00A35CC2">
        <w:t xml:space="preserve">. Ce motif a été invoqué devant le Conseil </w:t>
      </w:r>
      <w:r w:rsidR="00A35CC2" w:rsidRPr="00666669">
        <w:t>d’</w:t>
      </w:r>
      <w:r w:rsidR="00666669" w:rsidRPr="00666669">
        <w:t xml:space="preserve"> É</w:t>
      </w:r>
      <w:r w:rsidR="00A35CC2" w:rsidRPr="00666669">
        <w:t>tat</w:t>
      </w:r>
      <w:r w:rsidR="00A35CC2">
        <w:t xml:space="preserve"> qui a </w:t>
      </w:r>
      <w:r>
        <w:t xml:space="preserve">ordonné </w:t>
      </w:r>
      <w:r w:rsidR="00A35CC2">
        <w:t xml:space="preserve">la suspension de la décision du </w:t>
      </w:r>
      <w:r w:rsidR="00A35CC2">
        <w:t xml:space="preserve">Service des </w:t>
      </w:r>
      <w:r w:rsidR="00B00FEA">
        <w:t>T</w:t>
      </w:r>
      <w:r w:rsidR="00A35CC2">
        <w:t>utelles</w:t>
      </w:r>
      <w:r w:rsidR="00711710">
        <w:rPr>
          <w:rStyle w:val="Appelnotedebasdep"/>
        </w:rPr>
        <w:footnoteReference w:id="20"/>
      </w:r>
      <w:r w:rsidR="00A35CC2">
        <w:t xml:space="preserve">. </w:t>
      </w:r>
      <w:r w:rsidR="00C834E8">
        <w:t>Dans ces dossiers, l</w:t>
      </w:r>
      <w:r w:rsidR="00711710">
        <w:t>e</w:t>
      </w:r>
      <w:r w:rsidR="00A35CC2">
        <w:t xml:space="preserve"> Service procède alors</w:t>
      </w:r>
      <w:r w:rsidR="00A35CC2" w:rsidRPr="00B51CAE">
        <w:t xml:space="preserve"> au retrait des décisions </w:t>
      </w:r>
      <w:r w:rsidR="00711710">
        <w:t>de détermination de l</w:t>
      </w:r>
      <w:r w:rsidR="00A35CC2" w:rsidRPr="00B51CAE">
        <w:t>’âge</w:t>
      </w:r>
      <w:r w:rsidR="00711710">
        <w:t xml:space="preserve">. </w:t>
      </w:r>
      <w:r w:rsidR="00A35CC2">
        <w:t xml:space="preserve">De manière indirecte, ce motif </w:t>
      </w:r>
      <w:r w:rsidR="005D21A6">
        <w:t xml:space="preserve">pourrait </w:t>
      </w:r>
      <w:r w:rsidR="00A35CC2">
        <w:t xml:space="preserve">également </w:t>
      </w:r>
      <w:r w:rsidR="005D21A6">
        <w:t>être</w:t>
      </w:r>
      <w:r w:rsidR="00A35CC2">
        <w:t xml:space="preserve"> </w:t>
      </w:r>
      <w:r w:rsidR="00720F22">
        <w:t>mobilis</w:t>
      </w:r>
      <w:r w:rsidR="00A35CC2">
        <w:t>é dans toute procédure dont le constat de majorité a entrainé un traitement différencié</w:t>
      </w:r>
      <w:r w:rsidR="00C834E8">
        <w:t>. Par exemple,</w:t>
      </w:r>
      <w:r w:rsidR="00B20549" w:rsidRPr="00B20549">
        <w:t xml:space="preserve"> </w:t>
      </w:r>
      <w:r w:rsidR="00B20549">
        <w:t>dans le cadre de la procédure de désignation de l</w:t>
      </w:r>
      <w:r w:rsidR="00666669">
        <w:t>’</w:t>
      </w:r>
      <w:r w:rsidR="00666669" w:rsidRPr="00666669">
        <w:t>É</w:t>
      </w:r>
      <w:r w:rsidR="00B20549">
        <w:t xml:space="preserve">tat membre responsable de la demande d’asile (dite </w:t>
      </w:r>
      <w:r w:rsidR="00D241F7">
        <w:t>« </w:t>
      </w:r>
      <w:r w:rsidR="00B20549">
        <w:t>Dublin</w:t>
      </w:r>
      <w:r w:rsidR="00D241F7">
        <w:t> »</w:t>
      </w:r>
      <w:r w:rsidR="00B20549">
        <w:t>), soit devant le Conseil du contentieux</w:t>
      </w:r>
      <w:r w:rsidR="00C834E8">
        <w:t xml:space="preserve"> </w:t>
      </w:r>
      <w:r w:rsidR="005D21A6">
        <w:t>à l’encontre d’une décision d</w:t>
      </w:r>
      <w:r w:rsidR="00983CB9">
        <w:t>’exécution</w:t>
      </w:r>
      <w:r w:rsidR="00EC21AA">
        <w:t xml:space="preserve"> de l’annexe 26</w:t>
      </w:r>
      <w:r w:rsidR="00D241F7">
        <w:t xml:space="preserve"> </w:t>
      </w:r>
      <w:r w:rsidR="00EC21AA">
        <w:rPr>
          <w:i/>
          <w:iCs/>
        </w:rPr>
        <w:t>quater</w:t>
      </w:r>
      <w:r w:rsidR="00C834E8">
        <w:rPr>
          <w:rStyle w:val="Appelnotedebasdep"/>
        </w:rPr>
        <w:footnoteReference w:id="21"/>
      </w:r>
      <w:r w:rsidR="00B20549">
        <w:t xml:space="preserve">, soit devant la </w:t>
      </w:r>
      <w:r w:rsidR="00692426">
        <w:t>C</w:t>
      </w:r>
      <w:r w:rsidR="00B20549">
        <w:t>hambre d</w:t>
      </w:r>
      <w:r w:rsidR="00692426">
        <w:t>u Conseil</w:t>
      </w:r>
      <w:r w:rsidR="00EC21AA">
        <w:t xml:space="preserve"> </w:t>
      </w:r>
      <w:r w:rsidR="00B20549">
        <w:t>à l’encontre de</w:t>
      </w:r>
      <w:r w:rsidR="00EC21AA">
        <w:t xml:space="preserve"> la </w:t>
      </w:r>
      <w:r w:rsidR="00977A63">
        <w:t xml:space="preserve">décision de maintien en </w:t>
      </w:r>
      <w:r w:rsidR="00EC21AA">
        <w:t>détention d’une personne</w:t>
      </w:r>
      <w:r w:rsidR="00C834E8">
        <w:t xml:space="preserve"> en vue de son éloignement</w:t>
      </w:r>
      <w:r w:rsidR="00A35CC2">
        <w:t>.</w:t>
      </w:r>
    </w:p>
    <w:p w14:paraId="42798A56" w14:textId="33DB373E" w:rsidR="00CF33F3" w:rsidRDefault="00CF33F3" w:rsidP="00006B50">
      <w:pPr>
        <w:jc w:val="both"/>
      </w:pPr>
      <w:r>
        <w:t xml:space="preserve">Suite </w:t>
      </w:r>
      <w:r w:rsidR="008B44FD">
        <w:t xml:space="preserve">au prononcé de l’arrêt </w:t>
      </w:r>
      <w:r w:rsidR="008B44FD" w:rsidRPr="00B76F03">
        <w:rPr>
          <w:i/>
          <w:iCs/>
        </w:rPr>
        <w:t>F.B. c. Belgique</w:t>
      </w:r>
      <w:r w:rsidR="008B44FD">
        <w:t>, les autorités belges ont adapté la procédure actuelle</w:t>
      </w:r>
      <w:r w:rsidR="00E129D1">
        <w:rPr>
          <w:rStyle w:val="Appelnotedebasdep"/>
        </w:rPr>
        <w:footnoteReference w:id="22"/>
      </w:r>
      <w:r w:rsidR="008B44FD">
        <w:t xml:space="preserve">. </w:t>
      </w:r>
      <w:r w:rsidR="00FC3E98">
        <w:t>La priorité est donnée aux documents d’identité de la personne</w:t>
      </w:r>
      <w:r w:rsidR="003A66C1">
        <w:t xml:space="preserve"> et c</w:t>
      </w:r>
      <w:r w:rsidR="00FC3E98">
        <w:t>e n’est que si ceux-ci ne sont pas « valides » et aptes à « prouver effectivement l’identité de [la] personne »</w:t>
      </w:r>
      <w:r w:rsidR="003A66C1">
        <w:t>,</w:t>
      </w:r>
      <w:r w:rsidR="00E129D1">
        <w:t xml:space="preserve"> qu’il est </w:t>
      </w:r>
      <w:r w:rsidR="003A66C1">
        <w:t>fait recours</w:t>
      </w:r>
      <w:r w:rsidR="00E129D1">
        <w:t xml:space="preserve"> au</w:t>
      </w:r>
      <w:r w:rsidR="003A66C1">
        <w:t>x tests médicaux</w:t>
      </w:r>
      <w:r w:rsidR="00E129D1">
        <w:t xml:space="preserve">. Avant de procéder au test </w:t>
      </w:r>
      <w:r w:rsidR="003A66C1">
        <w:t>médical</w:t>
      </w:r>
      <w:r w:rsidR="00E129D1">
        <w:t xml:space="preserve">, un employé du Service des Tutelles assure l’information de la personne à l’aide </w:t>
      </w:r>
      <w:r w:rsidR="001E6C78">
        <w:t xml:space="preserve">d’un interprète, par vidéo et par écrit (une brochure est distribuée). La possibilité de refuser le test lui est exposée clairement </w:t>
      </w:r>
      <w:r w:rsidR="001E6C78">
        <w:lastRenderedPageBreak/>
        <w:t>et, s</w:t>
      </w:r>
      <w:r w:rsidR="003A66C1">
        <w:t>i elle l’</w:t>
      </w:r>
      <w:r w:rsidR="001E6C78">
        <w:t>accepte, son consentement est consigné par écrit en signant un formulaire en double exemplaire.</w:t>
      </w:r>
    </w:p>
    <w:p w14:paraId="0A1B5407" w14:textId="639BE843" w:rsidR="00B51CAE" w:rsidRPr="00B51CAE" w:rsidRDefault="00006B50" w:rsidP="00B76F03">
      <w:pPr>
        <w:jc w:val="both"/>
      </w:pPr>
      <w:r>
        <w:t xml:space="preserve">Le nouveau </w:t>
      </w:r>
      <w:r w:rsidR="003B2180">
        <w:t>Pacte européen sur l’asile et la migration</w:t>
      </w:r>
      <w:r>
        <w:t xml:space="preserve"> comprend </w:t>
      </w:r>
      <w:r w:rsidR="008B44FD">
        <w:t>une nouvelle r</w:t>
      </w:r>
      <w:r w:rsidR="00D241F7">
        <w:t>é</w:t>
      </w:r>
      <w:r w:rsidR="008B44FD">
        <w:t>glementation en matière de détermination de l’âge :</w:t>
      </w:r>
      <w:r>
        <w:t xml:space="preserve"> le </w:t>
      </w:r>
      <w:r w:rsidR="000D5F68">
        <w:t>R</w:t>
      </w:r>
      <w:r>
        <w:t xml:space="preserve">èglement </w:t>
      </w:r>
      <w:r w:rsidRPr="003B2180">
        <w:t>2024/1348 instituant une procédure commune en matière de protection internationale dans l’Union</w:t>
      </w:r>
      <w:r>
        <w:t xml:space="preserve"> </w:t>
      </w:r>
      <w:r w:rsidRPr="003B2180">
        <w:t xml:space="preserve">et abrogeant la </w:t>
      </w:r>
      <w:r w:rsidR="000D5F68">
        <w:t>D</w:t>
      </w:r>
      <w:r w:rsidRPr="003B2180">
        <w:t>irective 2013/32/UE</w:t>
      </w:r>
      <w:r w:rsidR="007223BB">
        <w:rPr>
          <w:rStyle w:val="Appelnotedebasdep"/>
        </w:rPr>
        <w:footnoteReference w:id="23"/>
      </w:r>
      <w:r>
        <w:t xml:space="preserve">. À </w:t>
      </w:r>
      <w:r w:rsidR="00263466">
        <w:t>compter</w:t>
      </w:r>
      <w:r>
        <w:t xml:space="preserve"> du 12 juin 2026, l</w:t>
      </w:r>
      <w:r w:rsidR="00E3209F">
        <w:t xml:space="preserve">es </w:t>
      </w:r>
      <w:r>
        <w:t>article</w:t>
      </w:r>
      <w:r w:rsidR="00E3209F">
        <w:t>s 23 à</w:t>
      </w:r>
      <w:r>
        <w:t xml:space="preserve"> 25 de ce </w:t>
      </w:r>
      <w:r w:rsidR="00523CFD">
        <w:t>R</w:t>
      </w:r>
      <w:r w:rsidR="002415BC">
        <w:t>èglement</w:t>
      </w:r>
      <w:r w:rsidR="0082315A" w:rsidRPr="000025BF">
        <w:rPr>
          <w:rStyle w:val="Appelnotedebasdep"/>
        </w:rPr>
        <w:footnoteReference w:id="24"/>
      </w:r>
      <w:r w:rsidR="002415BC">
        <w:t xml:space="preserve"> prévoi</w:t>
      </w:r>
      <w:r w:rsidR="00E3209F">
        <w:t>en</w:t>
      </w:r>
      <w:r w:rsidR="002415BC">
        <w:t xml:space="preserve">t </w:t>
      </w:r>
      <w:r w:rsidR="00263466">
        <w:t>de nouvelles lignes directrices en matière d</w:t>
      </w:r>
      <w:r w:rsidR="00E3209F">
        <w:t>’encadrement et d</w:t>
      </w:r>
      <w:r w:rsidR="00263466">
        <w:t xml:space="preserve">e détermination de l’âge des </w:t>
      </w:r>
      <w:r w:rsidR="000025BF" w:rsidRPr="000025BF">
        <w:t>demandeurs de protection internationale</w:t>
      </w:r>
      <w:r w:rsidR="00ED22F9">
        <w:rPr>
          <w:rStyle w:val="Appelnotedebasdep"/>
        </w:rPr>
        <w:footnoteReference w:id="25"/>
      </w:r>
      <w:r w:rsidR="00263466" w:rsidRPr="000025BF">
        <w:t>.</w:t>
      </w:r>
      <w:r w:rsidR="00263466">
        <w:t xml:space="preserve"> Il introduit</w:t>
      </w:r>
      <w:r w:rsidR="00922C18">
        <w:t xml:space="preserve"> notamment</w:t>
      </w:r>
      <w:r w:rsidR="00263466">
        <w:t xml:space="preserve"> une présomption (réfragable) d’authenticité des documents, </w:t>
      </w:r>
      <w:r w:rsidR="005B0ED3">
        <w:t>l’obligation de procéder à une évaluation pluridisciplinaire (qui doit inclure une évaluation psychosociale) et</w:t>
      </w:r>
      <w:r w:rsidR="00000CAD">
        <w:t xml:space="preserve">, enfin, </w:t>
      </w:r>
      <w:r w:rsidR="002D43DD">
        <w:t xml:space="preserve">seulement </w:t>
      </w:r>
      <w:r w:rsidR="00000CAD">
        <w:t>si des doutes subsistent, la possibilité de réaliser des tests médicaux</w:t>
      </w:r>
      <w:r w:rsidR="0082315A">
        <w:t xml:space="preserve"> (article 25 du Règlement)</w:t>
      </w:r>
      <w:r w:rsidR="00000CAD">
        <w:t>.</w:t>
      </w:r>
      <w:r w:rsidR="002D43DD">
        <w:t xml:space="preserve"> </w:t>
      </w:r>
      <w:r w:rsidR="00EC012C">
        <w:t xml:space="preserve">Avant la </w:t>
      </w:r>
      <w:r w:rsidR="00EC012C" w:rsidRPr="0064188E">
        <w:t xml:space="preserve">réalisation des tests, </w:t>
      </w:r>
      <w:r w:rsidR="003D394B" w:rsidRPr="0064188E">
        <w:t xml:space="preserve">il impose également </w:t>
      </w:r>
      <w:r w:rsidR="00EC012C" w:rsidRPr="0064188E">
        <w:t>l’obligation d’information et le droit de refuser les tests (avec</w:t>
      </w:r>
      <w:r w:rsidR="00EC012C">
        <w:t xml:space="preserve"> pour conséquence que ce refus ne peut constituer qu’une présomption réfragable de la majorité). </w:t>
      </w:r>
      <w:r w:rsidR="002D43DD">
        <w:t xml:space="preserve">Le </w:t>
      </w:r>
      <w:r w:rsidR="0082315A">
        <w:t>R</w:t>
      </w:r>
      <w:r w:rsidR="002D43DD">
        <w:t xml:space="preserve">èglement prévoit également la désignation d’un tuteur, dans les </w:t>
      </w:r>
      <w:r w:rsidR="00813410">
        <w:t>quinze</w:t>
      </w:r>
      <w:r w:rsidR="002D43DD">
        <w:t xml:space="preserve"> jours. </w:t>
      </w:r>
      <w:r w:rsidR="0082315A">
        <w:t>Cette exigence, b</w:t>
      </w:r>
      <w:r w:rsidR="002D43DD">
        <w:t>ien que formellement déjà prévue en droit belge</w:t>
      </w:r>
      <w:r w:rsidR="002E1369">
        <w:rPr>
          <w:rStyle w:val="Appelnotedebasdep"/>
        </w:rPr>
        <w:footnoteReference w:id="26"/>
      </w:r>
      <w:r w:rsidR="002D43DD">
        <w:t>, n’est néanmoins pour l’heure pas appliquée par les autorités</w:t>
      </w:r>
      <w:r w:rsidR="002D43DD">
        <w:rPr>
          <w:rStyle w:val="Appelnotedebasdep"/>
        </w:rPr>
        <w:footnoteReference w:id="27"/>
      </w:r>
      <w:r w:rsidR="002D43DD">
        <w:t>.</w:t>
      </w:r>
      <w:r w:rsidR="00000CAD">
        <w:t xml:space="preserve"> </w:t>
      </w:r>
      <w:r w:rsidR="0082315A">
        <w:t>Or, elle permettrait de répondre partiellement aux critiques soulevé</w:t>
      </w:r>
      <w:r w:rsidR="0088161C">
        <w:t>e</w:t>
      </w:r>
      <w:r w:rsidR="0082315A">
        <w:t>s par la Cour européenne qui souligne l’importance d’un accompagnement du mineur dans la pro</w:t>
      </w:r>
      <w:r w:rsidR="00B07032">
        <w:t>c</w:t>
      </w:r>
      <w:r w:rsidR="0082315A">
        <w:t>édure de détermination de l’âge</w:t>
      </w:r>
      <w:r w:rsidR="002038AD">
        <w:rPr>
          <w:rStyle w:val="Appelnotedebasdep"/>
        </w:rPr>
        <w:footnoteReference w:id="28"/>
      </w:r>
      <w:r w:rsidR="0082315A">
        <w:t xml:space="preserve">. </w:t>
      </w:r>
      <w:r w:rsidR="00256EB8">
        <w:t xml:space="preserve">Ce nouveau dispositif </w:t>
      </w:r>
      <w:r w:rsidR="00B07032">
        <w:t xml:space="preserve">européen </w:t>
      </w:r>
      <w:r w:rsidR="00256EB8">
        <w:t>s’inscrit pleinement dans la lignée de la jurisprudence de la Cour européenne des droits de l’homme.</w:t>
      </w:r>
      <w:r w:rsidR="00653C26">
        <w:t xml:space="preserve"> </w:t>
      </w:r>
      <w:r w:rsidR="00EC012C">
        <w:t>Enfin, l</w:t>
      </w:r>
      <w:r w:rsidR="00653C26">
        <w:t>es décisions sur l’âge d</w:t>
      </w:r>
      <w:r w:rsidR="009A6572">
        <w:t xml:space="preserve">e la personne qui sont prises conformément au droit de l’Union pourront par ailleurs être reconnues dans autres </w:t>
      </w:r>
      <w:r w:rsidR="00666669" w:rsidRPr="00666669">
        <w:t>É</w:t>
      </w:r>
      <w:r w:rsidR="009A6572">
        <w:t>tats membres.</w:t>
      </w:r>
      <w:r w:rsidR="00D64DEF">
        <w:t xml:space="preserve"> </w:t>
      </w:r>
      <w:r w:rsidR="00256EB8">
        <w:t xml:space="preserve">Afin de mettre en œuvre ce règlement, </w:t>
      </w:r>
      <w:r w:rsidR="00EE57D0">
        <w:t xml:space="preserve">les autorités belges </w:t>
      </w:r>
      <w:r w:rsidR="00BB5E3B">
        <w:t>semblent se diriger vers un glissement de</w:t>
      </w:r>
      <w:r w:rsidR="006923A9">
        <w:t xml:space="preserve"> la compétence de la détermination de l’âge</w:t>
      </w:r>
      <w:r w:rsidR="00BB5E3B">
        <w:t xml:space="preserve"> au</w:t>
      </w:r>
      <w:r w:rsidR="006923A9">
        <w:t xml:space="preserve"> </w:t>
      </w:r>
      <w:r w:rsidR="00DE6926">
        <w:t>CGRA</w:t>
      </w:r>
      <w:r w:rsidR="00CF33F3">
        <w:rPr>
          <w:rStyle w:val="Appelnotedebasdep"/>
        </w:rPr>
        <w:footnoteReference w:id="29"/>
      </w:r>
      <w:r w:rsidR="008B44FD">
        <w:t xml:space="preserve"> et réfléchissent </w:t>
      </w:r>
      <w:r w:rsidR="00FC3E98">
        <w:t xml:space="preserve">en ce moment même </w:t>
      </w:r>
      <w:r w:rsidR="008B44FD">
        <w:t xml:space="preserve">aux modalités pratiques </w:t>
      </w:r>
      <w:r w:rsidR="00FC3E98">
        <w:t>de</w:t>
      </w:r>
      <w:r w:rsidR="008B44FD">
        <w:t xml:space="preserve"> cette nouvelle procédure</w:t>
      </w:r>
      <w:r w:rsidR="006923A9">
        <w:t xml:space="preserve">. </w:t>
      </w:r>
    </w:p>
    <w:sectPr w:rsidR="00B51CAE" w:rsidRPr="00B51CAE">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46B59" w14:textId="77777777" w:rsidR="00D03B27" w:rsidRDefault="00D03B27" w:rsidP="00E44158">
      <w:pPr>
        <w:spacing w:after="0" w:line="240" w:lineRule="auto"/>
      </w:pPr>
      <w:r>
        <w:separator/>
      </w:r>
    </w:p>
  </w:endnote>
  <w:endnote w:type="continuationSeparator" w:id="0">
    <w:p w14:paraId="2DE64C82" w14:textId="77777777" w:rsidR="00D03B27" w:rsidRDefault="00D03B27" w:rsidP="00E44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2DF9B" w14:textId="77777777" w:rsidR="00D03B27" w:rsidRDefault="00D03B27" w:rsidP="00E44158">
      <w:pPr>
        <w:spacing w:after="0" w:line="240" w:lineRule="auto"/>
      </w:pPr>
      <w:r>
        <w:separator/>
      </w:r>
    </w:p>
  </w:footnote>
  <w:footnote w:type="continuationSeparator" w:id="0">
    <w:p w14:paraId="5745E4E4" w14:textId="77777777" w:rsidR="00D03B27" w:rsidRDefault="00D03B27" w:rsidP="00E44158">
      <w:pPr>
        <w:spacing w:after="0" w:line="240" w:lineRule="auto"/>
      </w:pPr>
      <w:r>
        <w:continuationSeparator/>
      </w:r>
    </w:p>
  </w:footnote>
  <w:footnote w:id="1">
    <w:p w14:paraId="39C66948" w14:textId="1C4A35E6" w:rsidR="00995D90" w:rsidRDefault="00995D90" w:rsidP="00A47AB8">
      <w:pPr>
        <w:pStyle w:val="Notedebasdepage"/>
        <w:jc w:val="both"/>
      </w:pPr>
      <w:r>
        <w:rPr>
          <w:rStyle w:val="Appelnotedebasdep"/>
        </w:rPr>
        <w:footnoteRef/>
      </w:r>
      <w:r>
        <w:t xml:space="preserve"> Pour d’autres commentaires au sujet de cet arrêt, </w:t>
      </w:r>
      <w:proofErr w:type="spellStart"/>
      <w:r>
        <w:t>voy</w:t>
      </w:r>
      <w:proofErr w:type="spellEnd"/>
      <w:r>
        <w:t xml:space="preserve">. </w:t>
      </w:r>
      <w:r w:rsidR="00E226A6">
        <w:t xml:space="preserve">E. </w:t>
      </w:r>
      <w:r w:rsidR="00E226A6" w:rsidRPr="00A47AB8">
        <w:rPr>
          <w:smallCaps/>
        </w:rPr>
        <w:t>Desmet</w:t>
      </w:r>
      <w:r w:rsidR="00E226A6">
        <w:t xml:space="preserve">, I. </w:t>
      </w:r>
      <w:proofErr w:type="spellStart"/>
      <w:r w:rsidR="00E226A6" w:rsidRPr="00A47AB8">
        <w:rPr>
          <w:smallCaps/>
        </w:rPr>
        <w:t>Deruyn</w:t>
      </w:r>
      <w:proofErr w:type="spellEnd"/>
      <w:r w:rsidR="00E226A6">
        <w:t xml:space="preserve"> et S. </w:t>
      </w:r>
      <w:proofErr w:type="spellStart"/>
      <w:r w:rsidR="00E226A6" w:rsidRPr="00A47AB8">
        <w:rPr>
          <w:smallCaps/>
        </w:rPr>
        <w:t>Lembrechts</w:t>
      </w:r>
      <w:proofErr w:type="spellEnd"/>
      <w:r w:rsidR="00E226A6">
        <w:t xml:space="preserve">, « A mixed </w:t>
      </w:r>
      <w:proofErr w:type="spellStart"/>
      <w:r w:rsidR="00E226A6">
        <w:t>assessment</w:t>
      </w:r>
      <w:proofErr w:type="spellEnd"/>
      <w:r w:rsidR="00E226A6">
        <w:t xml:space="preserve"> on </w:t>
      </w:r>
      <w:proofErr w:type="spellStart"/>
      <w:r w:rsidR="00E226A6">
        <w:t>age</w:t>
      </w:r>
      <w:proofErr w:type="spellEnd"/>
      <w:r w:rsidR="00E226A6">
        <w:t xml:space="preserve"> </w:t>
      </w:r>
      <w:proofErr w:type="spellStart"/>
      <w:r w:rsidR="00E226A6">
        <w:t>assessment</w:t>
      </w:r>
      <w:proofErr w:type="spellEnd"/>
      <w:r w:rsidR="00E226A6">
        <w:t xml:space="preserve"> : F.B. v. </w:t>
      </w:r>
      <w:proofErr w:type="spellStart"/>
      <w:r w:rsidR="00E226A6">
        <w:t>Belgium</w:t>
      </w:r>
      <w:proofErr w:type="spellEnd"/>
      <w:r w:rsidR="00E226A6">
        <w:t> »,</w:t>
      </w:r>
      <w:r w:rsidR="000A1FDC">
        <w:t xml:space="preserve"> disponible sur:</w:t>
      </w:r>
      <w:r w:rsidR="00A47AB8">
        <w:t xml:space="preserve"> </w:t>
      </w:r>
      <w:hyperlink r:id="rId1" w:history="1">
        <w:r w:rsidR="003C33FC" w:rsidRPr="000869D9">
          <w:rPr>
            <w:rStyle w:val="Lienhypertexte"/>
          </w:rPr>
          <w:t>www.strasbourgobservers.com</w:t>
        </w:r>
      </w:hyperlink>
      <w:r w:rsidR="003C33FC">
        <w:t xml:space="preserve"> </w:t>
      </w:r>
      <w:r w:rsidR="00E226A6">
        <w:t xml:space="preserve">, </w:t>
      </w:r>
      <w:r w:rsidR="00A47AB8">
        <w:t xml:space="preserve">9 mai 2025 ; M. </w:t>
      </w:r>
      <w:r w:rsidR="00A47AB8" w:rsidRPr="00A47AB8">
        <w:rPr>
          <w:smallCaps/>
        </w:rPr>
        <w:t>Hardt</w:t>
      </w:r>
      <w:r w:rsidR="00A47AB8">
        <w:t xml:space="preserve">, « L’arrêt F.B. contre Belgique : une discrète révolution pour l’estimation de l’âge des MENA ? », </w:t>
      </w:r>
      <w:r w:rsidR="00E114AE">
        <w:t xml:space="preserve">disponible sur : </w:t>
      </w:r>
      <w:hyperlink r:id="rId2" w:history="1">
        <w:r w:rsidR="003C33FC" w:rsidRPr="000869D9">
          <w:rPr>
            <w:rStyle w:val="Lienhypertexte"/>
          </w:rPr>
          <w:t>www.circ.usaintlouis.be</w:t>
        </w:r>
      </w:hyperlink>
      <w:r w:rsidR="003C33FC">
        <w:t xml:space="preserve"> </w:t>
      </w:r>
      <w:r w:rsidR="00A47AB8">
        <w:t>, 24 mars 2025</w:t>
      </w:r>
      <w:r w:rsidR="003C33FC">
        <w:t xml:space="preserve"> ; M. </w:t>
      </w:r>
      <w:r w:rsidR="003C33FC" w:rsidRPr="003C33FC">
        <w:rPr>
          <w:smallCaps/>
        </w:rPr>
        <w:t>Hardt</w:t>
      </w:r>
      <w:r w:rsidR="003C33FC" w:rsidRPr="00073DE7">
        <w:t>, « </w:t>
      </w:r>
      <w:r w:rsidR="00D464B6" w:rsidRPr="00073DE7">
        <w:t xml:space="preserve">L’évaluation de l’âge des MENA avant et après l’arrêt </w:t>
      </w:r>
      <w:r w:rsidR="00D464B6" w:rsidRPr="00073DE7">
        <w:rPr>
          <w:i/>
          <w:iCs/>
        </w:rPr>
        <w:t xml:space="preserve">F.B. c. Belgique : </w:t>
      </w:r>
      <w:r w:rsidR="00D464B6" w:rsidRPr="00073DE7">
        <w:t>dissection d’une énième condamnation procédurale</w:t>
      </w:r>
      <w:r w:rsidR="003C33FC" w:rsidRPr="00073DE7">
        <w:t xml:space="preserve"> », </w:t>
      </w:r>
      <w:r w:rsidR="003C33FC" w:rsidRPr="00073DE7">
        <w:rPr>
          <w:i/>
          <w:iCs/>
        </w:rPr>
        <w:t>J.D.J.</w:t>
      </w:r>
      <w:r w:rsidR="003C33FC" w:rsidRPr="00073DE7">
        <w:t>, 2025</w:t>
      </w:r>
      <w:r w:rsidR="00D464B6" w:rsidRPr="00073DE7">
        <w:t>, n° 442</w:t>
      </w:r>
      <w:r w:rsidR="00282441" w:rsidRPr="00073DE7">
        <w:t xml:space="preserve">, </w:t>
      </w:r>
      <w:r w:rsidR="003C33FC" w:rsidRPr="00073DE7">
        <w:t>pp.</w:t>
      </w:r>
      <w:r w:rsidR="00D464B6" w:rsidRPr="00073DE7">
        <w:t xml:space="preserve"> 23</w:t>
      </w:r>
      <w:r w:rsidR="003C33FC" w:rsidRPr="00073DE7">
        <w:t xml:space="preserve"> et s</w:t>
      </w:r>
      <w:r w:rsidRPr="00073DE7">
        <w:t>.</w:t>
      </w:r>
    </w:p>
  </w:footnote>
  <w:footnote w:id="2">
    <w:p w14:paraId="5864A877" w14:textId="2D9D72C4" w:rsidR="00ED310C" w:rsidRPr="00ED310C" w:rsidRDefault="00ED310C" w:rsidP="00ED310C">
      <w:pPr>
        <w:pStyle w:val="Notedebasdepage"/>
        <w:jc w:val="both"/>
      </w:pPr>
      <w:r>
        <w:rPr>
          <w:rStyle w:val="Appelnotedebasdep"/>
        </w:rPr>
        <w:footnoteRef/>
      </w:r>
      <w:r>
        <w:t xml:space="preserve"> Dès lors que</w:t>
      </w:r>
      <w:r>
        <w:t xml:space="preserve"> l’</w:t>
      </w:r>
      <w:r w:rsidR="00A2258D">
        <w:t>É</w:t>
      </w:r>
      <w:r>
        <w:t>tat belge n’assure plus son devoir d’aide matérielle à l’égard des hommes isolés, l’accès à un hébergement est d’autant plus crucial.</w:t>
      </w:r>
      <w:r w:rsidR="00577FEE">
        <w:t xml:space="preserve"> </w:t>
      </w:r>
      <w:r w:rsidR="0064188E">
        <w:rPr>
          <w:lang w:val="fr-FR"/>
        </w:rPr>
        <w:t xml:space="preserve">C. </w:t>
      </w:r>
      <w:proofErr w:type="spellStart"/>
      <w:r w:rsidR="0064188E" w:rsidRPr="00CF0A92">
        <w:rPr>
          <w:smallCaps/>
          <w:lang w:val="fr-FR"/>
        </w:rPr>
        <w:t>Ghymers</w:t>
      </w:r>
      <w:proofErr w:type="spellEnd"/>
      <w:r w:rsidR="0064188E">
        <w:rPr>
          <w:lang w:val="fr-FR"/>
        </w:rPr>
        <w:t>, « </w:t>
      </w:r>
      <w:r w:rsidR="0064188E">
        <w:t>Commentai</w:t>
      </w:r>
      <w:r w:rsidR="0064188E">
        <w:rPr>
          <w:lang w:val="fr-FR"/>
        </w:rPr>
        <w:t xml:space="preserve">re des </w:t>
      </w:r>
      <w:r w:rsidR="0064188E">
        <w:t>Recommandations du Comité des Ministres aux États membres sur les principes des droits de l’homme et lignes directrices en matière d’évaluation de l’âge dans le contexte de la migration (CM/Rec(2022)22)</w:t>
      </w:r>
      <w:r w:rsidR="0064188E">
        <w:rPr>
          <w:lang w:val="fr-FR"/>
        </w:rPr>
        <w:t xml:space="preserve"> </w:t>
      </w:r>
      <w:r w:rsidR="0064188E">
        <w:t>»</w:t>
      </w:r>
      <w:r w:rsidR="0064188E">
        <w:rPr>
          <w:lang w:val="fr-FR"/>
        </w:rPr>
        <w:t xml:space="preserve">, </w:t>
      </w:r>
      <w:r w:rsidR="0064188E">
        <w:rPr>
          <w:i/>
          <w:iCs/>
          <w:lang w:val="fr-FR"/>
        </w:rPr>
        <w:t>J.D.J.</w:t>
      </w:r>
      <w:r w:rsidR="0064188E">
        <w:rPr>
          <w:lang w:val="fr-FR"/>
        </w:rPr>
        <w:t>, 2023, n° 422, p. 2</w:t>
      </w:r>
      <w:r w:rsidR="0064188E">
        <w:rPr>
          <w:lang w:val="fr-FR"/>
        </w:rPr>
        <w:t>2</w:t>
      </w:r>
      <w:r w:rsidR="0064188E">
        <w:rPr>
          <w:lang w:val="fr-FR"/>
        </w:rPr>
        <w:t>.</w:t>
      </w:r>
    </w:p>
  </w:footnote>
  <w:footnote w:id="3">
    <w:p w14:paraId="42D4ED9C" w14:textId="73C1ADDF" w:rsidR="00F118C0" w:rsidRPr="00CC04A9" w:rsidRDefault="00F118C0" w:rsidP="00F118C0">
      <w:pPr>
        <w:pStyle w:val="Notedebasdepage"/>
        <w:jc w:val="both"/>
      </w:pPr>
      <w:r>
        <w:rPr>
          <w:rStyle w:val="Appelnotedebasdep"/>
        </w:rPr>
        <w:footnoteRef/>
      </w:r>
      <w:r>
        <w:t xml:space="preserve"> Les statistiques ont été réalisées à partir des données de ce rapport : Office des étrangers, « </w:t>
      </w:r>
      <w:r w:rsidRPr="00153BEF">
        <w:t>Mineurs étrangers non accompagnés (MENA) - Statistiques annuelles</w:t>
      </w:r>
      <w:r>
        <w:t xml:space="preserve"> – </w:t>
      </w:r>
      <w:r w:rsidRPr="00153BEF">
        <w:t>2024</w:t>
      </w:r>
      <w:r>
        <w:t xml:space="preserve">, disponible sur : </w:t>
      </w:r>
      <w:hyperlink r:id="rId3" w:history="1">
        <w:r w:rsidRPr="000869D9">
          <w:rPr>
            <w:rStyle w:val="Lienhypertexte"/>
          </w:rPr>
          <w:t>www.dofi.ibz.be</w:t>
        </w:r>
      </w:hyperlink>
      <w:r>
        <w:t xml:space="preserve"> , 22 avril 2025.</w:t>
      </w:r>
    </w:p>
  </w:footnote>
  <w:footnote w:id="4">
    <w:p w14:paraId="55A61300" w14:textId="3410F3CE" w:rsidR="00577FEE" w:rsidRPr="00577FEE" w:rsidRDefault="00577FEE" w:rsidP="00577FEE">
      <w:pPr>
        <w:pStyle w:val="Notedebasdepage"/>
        <w:jc w:val="both"/>
      </w:pPr>
      <w:r>
        <w:rPr>
          <w:rStyle w:val="Appelnotedebasdep"/>
        </w:rPr>
        <w:footnoteRef/>
      </w:r>
      <w:r>
        <w:t xml:space="preserve"> </w:t>
      </w:r>
      <w:r>
        <w:t xml:space="preserve">Parmi d’autres, </w:t>
      </w:r>
      <w:proofErr w:type="spellStart"/>
      <w:r>
        <w:t>voy</w:t>
      </w:r>
      <w:proofErr w:type="spellEnd"/>
      <w:r>
        <w:t xml:space="preserve">. : « Recommandations du Comité des Ministres aux </w:t>
      </w:r>
      <w:r w:rsidR="00FC3CD5">
        <w:t>É</w:t>
      </w:r>
      <w:r>
        <w:t xml:space="preserve">tats membres sur les principes des droits de l’homme et lignes directrices en matière d’évaluation de l’âge dans le contexte de la migration (CM/Rec(2022)22) » ; </w:t>
      </w:r>
      <w:r w:rsidRPr="00294209">
        <w:t>Communication C</w:t>
      </w:r>
      <w:r w:rsidR="00C70407">
        <w:t>omité des droits de l’enfant</w:t>
      </w:r>
      <w:r w:rsidRPr="00294209">
        <w:t xml:space="preserve">, </w:t>
      </w:r>
      <w:r w:rsidRPr="00294209">
        <w:rPr>
          <w:i/>
          <w:iCs/>
        </w:rPr>
        <w:t xml:space="preserve">R.Y.S. c. </w:t>
      </w:r>
      <w:r w:rsidRPr="009D3E4C">
        <w:rPr>
          <w:i/>
          <w:iCs/>
        </w:rPr>
        <w:t>Espagne</w:t>
      </w:r>
      <w:r w:rsidRPr="00294209">
        <w:t>, 4 février 2021, n° 76/2019</w:t>
      </w:r>
      <w:r>
        <w:t>.</w:t>
      </w:r>
    </w:p>
  </w:footnote>
  <w:footnote w:id="5">
    <w:p w14:paraId="12A03CA3" w14:textId="44A20797" w:rsidR="007A5BFE" w:rsidRPr="006C75B1" w:rsidRDefault="007A5BFE" w:rsidP="007A5BFE">
      <w:pPr>
        <w:pStyle w:val="Notedebasdepage"/>
        <w:jc w:val="both"/>
        <w:rPr>
          <w:lang w:val="fr-FR"/>
        </w:rPr>
      </w:pPr>
      <w:r>
        <w:rPr>
          <w:rStyle w:val="Appelnotedebasdep"/>
        </w:rPr>
        <w:footnoteRef/>
      </w:r>
      <w:r>
        <w:t xml:space="preserve"> </w:t>
      </w:r>
      <w:r w:rsidR="00FD3EAA">
        <w:t>G. P</w:t>
      </w:r>
      <w:r w:rsidR="00FD3EAA" w:rsidRPr="009D3E4C">
        <w:rPr>
          <w:smallCaps/>
        </w:rPr>
        <w:t>. Matata</w:t>
      </w:r>
      <w:r w:rsidR="00FD3EAA">
        <w:t xml:space="preserve">, « Garanties procédurales dans le cadre d’évaluation de l’âge d’un MENA – La Cour demande de passer du minimal au suffisant et approprié », </w:t>
      </w:r>
      <w:r w:rsidR="00FD3EAA">
        <w:rPr>
          <w:i/>
          <w:iCs/>
        </w:rPr>
        <w:t xml:space="preserve">Cahiers de </w:t>
      </w:r>
      <w:r w:rsidR="00FD3EAA" w:rsidRPr="000076E6">
        <w:rPr>
          <w:i/>
          <w:iCs/>
        </w:rPr>
        <w:t>l’</w:t>
      </w:r>
      <w:r w:rsidR="00FD3EAA" w:rsidRPr="009D3E4C">
        <w:rPr>
          <w:i/>
          <w:iCs/>
        </w:rPr>
        <w:t>E</w:t>
      </w:r>
      <w:r w:rsidR="00FD3EAA" w:rsidRPr="000076E6">
        <w:rPr>
          <w:i/>
          <w:iCs/>
        </w:rPr>
        <w:t>DEM</w:t>
      </w:r>
      <w:r w:rsidR="00FD3EAA">
        <w:t xml:space="preserve">, mars 2025 ; L. </w:t>
      </w:r>
      <w:proofErr w:type="spellStart"/>
      <w:r w:rsidR="00FD3EAA" w:rsidRPr="009D3E4C">
        <w:rPr>
          <w:smallCaps/>
        </w:rPr>
        <w:t>Debaere</w:t>
      </w:r>
      <w:proofErr w:type="spellEnd"/>
      <w:r w:rsidR="00FD3EAA">
        <w:t xml:space="preserve">, « L’arrêt </w:t>
      </w:r>
      <w:r w:rsidR="00FD3EAA" w:rsidRPr="00FC3CD5">
        <w:rPr>
          <w:i/>
          <w:iCs/>
        </w:rPr>
        <w:t>T.V. c. Espagne</w:t>
      </w:r>
      <w:r w:rsidR="00FD3EAA">
        <w:t xml:space="preserve"> sous l’angle des procédures d’évaluation de l’âge des mineurs non accompagnés », </w:t>
      </w:r>
      <w:r w:rsidR="00FD3EAA" w:rsidRPr="009D3E4C">
        <w:rPr>
          <w:i/>
          <w:iCs/>
        </w:rPr>
        <w:t>Cahiers de l’EDEM</w:t>
      </w:r>
      <w:r w:rsidR="00FD3EAA">
        <w:t>, décembre 2024</w:t>
      </w:r>
      <w:r w:rsidR="00FD3EAA">
        <w:t xml:space="preserve"> ; </w:t>
      </w:r>
      <w:r>
        <w:rPr>
          <w:lang w:val="fr-FR"/>
        </w:rPr>
        <w:t xml:space="preserve">C. </w:t>
      </w:r>
      <w:proofErr w:type="spellStart"/>
      <w:r w:rsidRPr="00CF0A92">
        <w:rPr>
          <w:smallCaps/>
          <w:lang w:val="fr-FR"/>
        </w:rPr>
        <w:t>Ghymers</w:t>
      </w:r>
      <w:proofErr w:type="spellEnd"/>
      <w:r>
        <w:rPr>
          <w:lang w:val="fr-FR"/>
        </w:rPr>
        <w:t>, « </w:t>
      </w:r>
      <w:r w:rsidR="00767F13">
        <w:t>É</w:t>
      </w:r>
      <w:r>
        <w:rPr>
          <w:lang w:val="fr-FR"/>
        </w:rPr>
        <w:t xml:space="preserve">valuation de l’âge des MENA : </w:t>
      </w:r>
      <w:r w:rsidRPr="00B25B0B">
        <w:rPr>
          <w:rFonts w:ascii="Arial" w:hAnsi="Arial" w:cs="Arial"/>
          <w:lang w:val="fr-FR"/>
        </w:rPr>
        <w:t>‟</w:t>
      </w:r>
      <w:r>
        <w:rPr>
          <w:lang w:val="fr-FR"/>
        </w:rPr>
        <w:t>Le texte de la loi actuelle, c’est une catastroph</w:t>
      </w:r>
      <w:r w:rsidRPr="00B25B0B">
        <w:rPr>
          <w:lang w:val="fr-FR"/>
        </w:rPr>
        <w:t>e”</w:t>
      </w:r>
      <w:r w:rsidR="00767F13">
        <w:rPr>
          <w:lang w:val="fr-FR"/>
        </w:rPr>
        <w:t xml:space="preserve"> </w:t>
      </w:r>
      <w:r w:rsidR="00767F13">
        <w:t>»</w:t>
      </w:r>
      <w:r>
        <w:rPr>
          <w:lang w:val="fr-FR"/>
        </w:rPr>
        <w:t xml:space="preserve">, </w:t>
      </w:r>
      <w:r>
        <w:rPr>
          <w:i/>
          <w:iCs/>
          <w:lang w:val="fr-FR"/>
        </w:rPr>
        <w:t>J.D.J.</w:t>
      </w:r>
      <w:r>
        <w:rPr>
          <w:lang w:val="fr-FR"/>
        </w:rPr>
        <w:t>, 2023, n° 422, pp. 18 et s.</w:t>
      </w:r>
      <w:r w:rsidR="00767F13">
        <w:rPr>
          <w:lang w:val="fr-FR"/>
        </w:rPr>
        <w:t xml:space="preserve"> ; </w:t>
      </w:r>
      <w:r>
        <w:rPr>
          <w:lang w:val="fr-FR"/>
        </w:rPr>
        <w:t xml:space="preserve"> </w:t>
      </w:r>
      <w:r w:rsidR="00767F13">
        <w:rPr>
          <w:lang w:val="fr-FR"/>
        </w:rPr>
        <w:t xml:space="preserve">C. </w:t>
      </w:r>
      <w:proofErr w:type="spellStart"/>
      <w:r w:rsidR="00767F13" w:rsidRPr="00CF0A92">
        <w:rPr>
          <w:smallCaps/>
          <w:lang w:val="fr-FR"/>
        </w:rPr>
        <w:t>Ghymers</w:t>
      </w:r>
      <w:proofErr w:type="spellEnd"/>
      <w:r w:rsidR="00767F13">
        <w:rPr>
          <w:lang w:val="fr-FR"/>
        </w:rPr>
        <w:t>, « </w:t>
      </w:r>
      <w:r w:rsidR="00767F13">
        <w:t>Commentai</w:t>
      </w:r>
      <w:r w:rsidR="00767F13">
        <w:rPr>
          <w:lang w:val="fr-FR"/>
        </w:rPr>
        <w:t xml:space="preserve">re des </w:t>
      </w:r>
      <w:r w:rsidR="00767F13">
        <w:t>Recommandations du Comité des Ministres aux États membres sur les principes des droits de l’homme et lignes directrices en matière d’évaluation de l’âge dans le contexte de la migration (CM/Rec(2022)22)</w:t>
      </w:r>
      <w:r w:rsidR="00767F13">
        <w:rPr>
          <w:lang w:val="fr-FR"/>
        </w:rPr>
        <w:t xml:space="preserve"> </w:t>
      </w:r>
      <w:r w:rsidR="00767F13">
        <w:t>»</w:t>
      </w:r>
      <w:r w:rsidR="00767F13">
        <w:rPr>
          <w:lang w:val="fr-FR"/>
        </w:rPr>
        <w:t xml:space="preserve">, </w:t>
      </w:r>
      <w:r w:rsidR="00767F13" w:rsidRPr="0064188E">
        <w:rPr>
          <w:i/>
          <w:iCs/>
          <w:lang w:val="fr-FR"/>
        </w:rPr>
        <w:t xml:space="preserve">op. </w:t>
      </w:r>
      <w:proofErr w:type="spellStart"/>
      <w:proofErr w:type="gramStart"/>
      <w:r w:rsidR="00767F13" w:rsidRPr="0064188E">
        <w:rPr>
          <w:i/>
          <w:iCs/>
          <w:lang w:val="fr-FR"/>
        </w:rPr>
        <w:t>cit</w:t>
      </w:r>
      <w:proofErr w:type="spellEnd"/>
      <w:proofErr w:type="gramEnd"/>
      <w:r w:rsidR="00767F13">
        <w:rPr>
          <w:lang w:val="fr-FR"/>
        </w:rPr>
        <w:t>.</w:t>
      </w:r>
      <w:r w:rsidR="00767F13">
        <w:rPr>
          <w:lang w:val="fr-FR"/>
        </w:rPr>
        <w:t xml:space="preserve">, pp. </w:t>
      </w:r>
      <w:r w:rsidR="00767F13">
        <w:rPr>
          <w:lang w:val="fr-FR"/>
        </w:rPr>
        <w:t>20</w:t>
      </w:r>
      <w:r w:rsidR="00767F13">
        <w:rPr>
          <w:lang w:val="fr-FR"/>
        </w:rPr>
        <w:t xml:space="preserve"> et s</w:t>
      </w:r>
      <w:r w:rsidR="00767F13">
        <w:rPr>
          <w:lang w:val="fr-FR"/>
        </w:rPr>
        <w:t xml:space="preserve">. </w:t>
      </w:r>
      <w:r>
        <w:rPr>
          <w:lang w:val="fr-FR"/>
        </w:rPr>
        <w:t xml:space="preserve">Pour une étude qualitative du processus décisionnel, </w:t>
      </w:r>
      <w:proofErr w:type="spellStart"/>
      <w:r>
        <w:rPr>
          <w:lang w:val="fr-FR"/>
        </w:rPr>
        <w:t>voy</w:t>
      </w:r>
      <w:proofErr w:type="spellEnd"/>
      <w:r>
        <w:rPr>
          <w:lang w:val="fr-FR"/>
        </w:rPr>
        <w:t xml:space="preserve">. P. </w:t>
      </w:r>
      <w:proofErr w:type="spellStart"/>
      <w:r w:rsidRPr="00CF0A92">
        <w:rPr>
          <w:smallCaps/>
          <w:lang w:val="fr-FR"/>
        </w:rPr>
        <w:t>Courard</w:t>
      </w:r>
      <w:proofErr w:type="spellEnd"/>
      <w:r>
        <w:rPr>
          <w:lang w:val="fr-FR"/>
        </w:rPr>
        <w:t xml:space="preserve">, « Quand l’expertise ne suffit plus à légitimer la décision – La détermination de l’âge des mineurs étrangers non accompagnés », </w:t>
      </w:r>
      <w:proofErr w:type="spellStart"/>
      <w:r w:rsidRPr="009616F6">
        <w:rPr>
          <w:i/>
          <w:iCs/>
          <w:lang w:val="fr-FR"/>
        </w:rPr>
        <w:t>Rev</w:t>
      </w:r>
      <w:proofErr w:type="spellEnd"/>
      <w:r w:rsidRPr="009616F6">
        <w:rPr>
          <w:i/>
          <w:iCs/>
          <w:lang w:val="fr-FR"/>
        </w:rPr>
        <w:t xml:space="preserve">. </w:t>
      </w:r>
      <w:proofErr w:type="spellStart"/>
      <w:r w:rsidRPr="009616F6">
        <w:rPr>
          <w:i/>
          <w:iCs/>
          <w:lang w:val="fr-FR"/>
        </w:rPr>
        <w:t>dr</w:t>
      </w:r>
      <w:proofErr w:type="spellEnd"/>
      <w:r w:rsidRPr="009616F6">
        <w:rPr>
          <w:i/>
          <w:iCs/>
          <w:lang w:val="fr-FR"/>
        </w:rPr>
        <w:t xml:space="preserve">. </w:t>
      </w:r>
      <w:proofErr w:type="spellStart"/>
      <w:r w:rsidRPr="009616F6">
        <w:rPr>
          <w:i/>
          <w:iCs/>
          <w:lang w:val="fr-FR"/>
        </w:rPr>
        <w:t>UL</w:t>
      </w:r>
      <w:r>
        <w:rPr>
          <w:i/>
          <w:iCs/>
          <w:lang w:val="fr-FR"/>
        </w:rPr>
        <w:t>iège</w:t>
      </w:r>
      <w:proofErr w:type="spellEnd"/>
      <w:r>
        <w:rPr>
          <w:i/>
          <w:iCs/>
          <w:lang w:val="fr-FR"/>
        </w:rPr>
        <w:t xml:space="preserve">, </w:t>
      </w:r>
      <w:r w:rsidRPr="006C75B1">
        <w:rPr>
          <w:lang w:val="fr-FR"/>
        </w:rPr>
        <w:t xml:space="preserve">2015/3, </w:t>
      </w:r>
      <w:r>
        <w:rPr>
          <w:lang w:val="fr-FR"/>
        </w:rPr>
        <w:t>p</w:t>
      </w:r>
      <w:r w:rsidRPr="006C75B1">
        <w:rPr>
          <w:lang w:val="fr-FR"/>
        </w:rPr>
        <w:t>p</w:t>
      </w:r>
      <w:r>
        <w:rPr>
          <w:lang w:val="fr-FR"/>
        </w:rPr>
        <w:t>. 587 et s.</w:t>
      </w:r>
    </w:p>
  </w:footnote>
  <w:footnote w:id="6">
    <w:p w14:paraId="2842F47C" w14:textId="4B2607BF" w:rsidR="007A5BFE" w:rsidRPr="0059572C" w:rsidRDefault="007A5BFE" w:rsidP="007A5BFE">
      <w:pPr>
        <w:pStyle w:val="Notedebasdepage"/>
        <w:jc w:val="both"/>
        <w:rPr>
          <w:i/>
          <w:iCs/>
          <w:lang w:val="fr-FR"/>
        </w:rPr>
      </w:pPr>
      <w:r>
        <w:rPr>
          <w:rStyle w:val="Appelnotedebasdep"/>
        </w:rPr>
        <w:footnoteRef/>
      </w:r>
      <w:r w:rsidRPr="0059572C">
        <w:rPr>
          <w:lang w:val="fr-FR"/>
        </w:rPr>
        <w:t xml:space="preserve"> </w:t>
      </w:r>
      <w:r w:rsidR="00C70407">
        <w:rPr>
          <w:lang w:val="fr-FR"/>
        </w:rPr>
        <w:t xml:space="preserve">Comité des droits de l’enfant, </w:t>
      </w:r>
      <w:r w:rsidR="006D4A29" w:rsidRPr="006D4A29">
        <w:rPr>
          <w:i/>
          <w:iCs/>
        </w:rPr>
        <w:t xml:space="preserve">Observations finales concernant le rapport de la Belgique valant </w:t>
      </w:r>
      <w:proofErr w:type="gramStart"/>
      <w:r w:rsidR="006D4A29" w:rsidRPr="006D4A29">
        <w:rPr>
          <w:i/>
          <w:iCs/>
        </w:rPr>
        <w:t>cinquième et sixième rapports périodiques</w:t>
      </w:r>
      <w:proofErr w:type="gramEnd"/>
      <w:r w:rsidR="006D4A29">
        <w:t xml:space="preserve">, 28 février </w:t>
      </w:r>
      <w:r w:rsidR="006D4A29" w:rsidRPr="006D4A29">
        <w:t>2019,</w:t>
      </w:r>
      <w:r w:rsidR="00C70407" w:rsidRPr="006D4A29">
        <w:rPr>
          <w:lang w:val="fr-FR"/>
        </w:rPr>
        <w:t xml:space="preserve"> </w:t>
      </w:r>
      <w:r w:rsidRPr="006D4A29">
        <w:rPr>
          <w:lang w:val="fr-FR"/>
        </w:rPr>
        <w:t>CRC/C/BEL/CO/5-6, n° 41</w:t>
      </w:r>
      <w:r w:rsidRPr="0059572C">
        <w:rPr>
          <w:lang w:val="fr-FR"/>
        </w:rPr>
        <w:t xml:space="preserve"> et 42, p</w:t>
      </w:r>
      <w:r w:rsidR="006D4A29">
        <w:rPr>
          <w:lang w:val="fr-FR"/>
        </w:rPr>
        <w:t>p. 12 et 13</w:t>
      </w:r>
      <w:r w:rsidRPr="0059572C">
        <w:rPr>
          <w:lang w:val="fr-FR"/>
        </w:rPr>
        <w:t>.</w:t>
      </w:r>
    </w:p>
  </w:footnote>
  <w:footnote w:id="7">
    <w:p w14:paraId="070F380B" w14:textId="77777777" w:rsidR="006D229D" w:rsidRDefault="006D229D" w:rsidP="006D229D">
      <w:pPr>
        <w:pStyle w:val="Notedebasdepage"/>
        <w:jc w:val="both"/>
      </w:pPr>
      <w:r>
        <w:rPr>
          <w:rStyle w:val="Appelnotedebasdep"/>
        </w:rPr>
        <w:footnoteRef/>
      </w:r>
      <w:r>
        <w:t xml:space="preserve"> Circulaire du 8 mai 2015 relative à la fiche de signalement des mineurs étrangers non-accompagnés et à leur prise en charge, </w:t>
      </w:r>
      <w:r w:rsidRPr="00AD6C4B">
        <w:rPr>
          <w:i/>
          <w:iCs/>
        </w:rPr>
        <w:t>M.B</w:t>
      </w:r>
      <w:r>
        <w:t>., 20 mai 2015.</w:t>
      </w:r>
    </w:p>
  </w:footnote>
  <w:footnote w:id="8">
    <w:p w14:paraId="7CE2A258" w14:textId="3F40DCD6" w:rsidR="00C7577F" w:rsidRPr="0074397A" w:rsidRDefault="00C7577F" w:rsidP="00C7577F">
      <w:pPr>
        <w:pStyle w:val="Notedebasdepage"/>
        <w:jc w:val="both"/>
      </w:pPr>
      <w:r>
        <w:rPr>
          <w:rStyle w:val="Appelnotedebasdep"/>
        </w:rPr>
        <w:footnoteRef/>
      </w:r>
      <w:r>
        <w:t xml:space="preserve"> Pour un résumé de la jurisprudence du Conseil d’</w:t>
      </w:r>
      <w:r w:rsidR="00666669" w:rsidRPr="00666669">
        <w:t>É</w:t>
      </w:r>
      <w:r>
        <w:t xml:space="preserve">tat et des motifs invoqués devant lui, </w:t>
      </w:r>
      <w:proofErr w:type="spellStart"/>
      <w:r>
        <w:t>voy</w:t>
      </w:r>
      <w:proofErr w:type="spellEnd"/>
      <w:r>
        <w:t xml:space="preserve">. : C. </w:t>
      </w:r>
      <w:r w:rsidRPr="00DF279E">
        <w:rPr>
          <w:smallCaps/>
        </w:rPr>
        <w:t>Fievet</w:t>
      </w:r>
      <w:r>
        <w:t xml:space="preserve"> et N</w:t>
      </w:r>
      <w:r w:rsidRPr="00DF279E">
        <w:rPr>
          <w:smallCaps/>
        </w:rPr>
        <w:t xml:space="preserve">. </w:t>
      </w:r>
      <w:proofErr w:type="spellStart"/>
      <w:r w:rsidRPr="00DF279E">
        <w:rPr>
          <w:smallCaps/>
        </w:rPr>
        <w:t>Renuart</w:t>
      </w:r>
      <w:proofErr w:type="spellEnd"/>
      <w:r>
        <w:t>, « Conseil d’</w:t>
      </w:r>
      <w:r w:rsidR="00666669" w:rsidRPr="00666669">
        <w:t>É</w:t>
      </w:r>
      <w:r>
        <w:t xml:space="preserve">tat et procédure de détermination de l’âge des mineurs étrangers non </w:t>
      </w:r>
      <w:r w:rsidRPr="0016626A">
        <w:t>accompagnés</w:t>
      </w:r>
      <w:r w:rsidR="0016626A">
        <w:t>,</w:t>
      </w:r>
      <w:r w:rsidRPr="0016626A">
        <w:t xml:space="preserve"> quand </w:t>
      </w:r>
      <w:r>
        <w:t xml:space="preserve">les mineurs l’ont dans l’os… », </w:t>
      </w:r>
      <w:r>
        <w:rPr>
          <w:i/>
          <w:iCs/>
        </w:rPr>
        <w:t>J.D.J</w:t>
      </w:r>
      <w:r w:rsidRPr="00073DE7">
        <w:rPr>
          <w:i/>
          <w:iCs/>
        </w:rPr>
        <w:t>.</w:t>
      </w:r>
      <w:r w:rsidRPr="00073DE7">
        <w:t>, 2016, n</w:t>
      </w:r>
      <w:r>
        <w:t>° 358, p</w:t>
      </w:r>
      <w:r w:rsidR="003C33FC">
        <w:t>p</w:t>
      </w:r>
      <w:r>
        <w:t>. 18 et s.</w:t>
      </w:r>
      <w:r w:rsidR="00A229C3">
        <w:t xml:space="preserve"> et </w:t>
      </w:r>
      <w:proofErr w:type="spellStart"/>
      <w:r w:rsidR="00A229C3">
        <w:t>Vluchtelingenwerk</w:t>
      </w:r>
      <w:proofErr w:type="spellEnd"/>
      <w:r w:rsidR="00A229C3">
        <w:t xml:space="preserve"> </w:t>
      </w:r>
      <w:proofErr w:type="spellStart"/>
      <w:r w:rsidR="00A229C3">
        <w:t>Vlaanderen</w:t>
      </w:r>
      <w:proofErr w:type="spellEnd"/>
      <w:r w:rsidR="00A229C3">
        <w:t xml:space="preserve">, </w:t>
      </w:r>
      <w:proofErr w:type="spellStart"/>
      <w:r w:rsidR="00A229C3" w:rsidRPr="00A229C3">
        <w:t>Leidraad</w:t>
      </w:r>
      <w:proofErr w:type="spellEnd"/>
      <w:r w:rsidR="00A229C3" w:rsidRPr="00A229C3">
        <w:t xml:space="preserve"> </w:t>
      </w:r>
      <w:proofErr w:type="spellStart"/>
      <w:r w:rsidR="00A229C3" w:rsidRPr="00A229C3">
        <w:t>bij</w:t>
      </w:r>
      <w:proofErr w:type="spellEnd"/>
      <w:r w:rsidR="00A229C3" w:rsidRPr="00A229C3">
        <w:t xml:space="preserve"> het </w:t>
      </w:r>
      <w:proofErr w:type="spellStart"/>
      <w:r w:rsidR="00A229C3" w:rsidRPr="00A229C3">
        <w:t>leeftijdsonderzoek</w:t>
      </w:r>
      <w:proofErr w:type="spellEnd"/>
      <w:r w:rsidR="00A229C3" w:rsidRPr="00A229C3">
        <w:t xml:space="preserve"> </w:t>
      </w:r>
      <w:proofErr w:type="spellStart"/>
      <w:r w:rsidR="00A229C3" w:rsidRPr="00A229C3">
        <w:t>bij</w:t>
      </w:r>
      <w:proofErr w:type="spellEnd"/>
      <w:r w:rsidR="00A229C3" w:rsidRPr="00A229C3">
        <w:t xml:space="preserve"> niet-</w:t>
      </w:r>
      <w:proofErr w:type="spellStart"/>
      <w:r w:rsidR="00A229C3" w:rsidRPr="00A229C3">
        <w:t>begeleide</w:t>
      </w:r>
      <w:proofErr w:type="spellEnd"/>
      <w:r w:rsidR="00A229C3" w:rsidRPr="00A229C3">
        <w:t xml:space="preserve"> </w:t>
      </w:r>
      <w:proofErr w:type="spellStart"/>
      <w:r w:rsidR="00A229C3" w:rsidRPr="00A229C3">
        <w:t>minderjarige</w:t>
      </w:r>
      <w:proofErr w:type="spellEnd"/>
      <w:r w:rsidR="00A229C3" w:rsidRPr="00A229C3">
        <w:t xml:space="preserve"> </w:t>
      </w:r>
      <w:proofErr w:type="spellStart"/>
      <w:r w:rsidR="00A229C3" w:rsidRPr="00A229C3">
        <w:t>vreemdelingen</w:t>
      </w:r>
      <w:proofErr w:type="spellEnd"/>
      <w:r w:rsidR="00A229C3">
        <w:t xml:space="preserve">, disponible sur : </w:t>
      </w:r>
      <w:hyperlink r:id="rId4" w:history="1">
        <w:r w:rsidR="00A229C3" w:rsidRPr="000869D9">
          <w:rPr>
            <w:rStyle w:val="Lienhypertexte"/>
          </w:rPr>
          <w:t>www.vluchtelingenwerk.be</w:t>
        </w:r>
      </w:hyperlink>
      <w:r w:rsidR="00A229C3">
        <w:t xml:space="preserve"> , non daté.</w:t>
      </w:r>
    </w:p>
  </w:footnote>
  <w:footnote w:id="9">
    <w:p w14:paraId="4A767E1F" w14:textId="77777777" w:rsidR="008F49B1" w:rsidRPr="00AD6C4B" w:rsidRDefault="008F49B1" w:rsidP="008F49B1">
      <w:pPr>
        <w:pStyle w:val="Notedebasdepage"/>
      </w:pPr>
      <w:r>
        <w:rPr>
          <w:rStyle w:val="Appelnotedebasdep"/>
        </w:rPr>
        <w:footnoteRef/>
      </w:r>
      <w:r>
        <w:t xml:space="preserve"> Loi-programme du 24 décembre 2002, </w:t>
      </w:r>
      <w:r>
        <w:rPr>
          <w:i/>
          <w:iCs/>
        </w:rPr>
        <w:t>M.B.</w:t>
      </w:r>
      <w:r>
        <w:t>, 31 décembre 2002.</w:t>
      </w:r>
    </w:p>
  </w:footnote>
  <w:footnote w:id="10">
    <w:p w14:paraId="404CDD7F" w14:textId="045E7E5D" w:rsidR="00AA637F" w:rsidRDefault="00AA637F">
      <w:pPr>
        <w:pStyle w:val="Notedebasdepage"/>
      </w:pPr>
      <w:r>
        <w:rPr>
          <w:rStyle w:val="Appelnotedebasdep"/>
        </w:rPr>
        <w:footnoteRef/>
      </w:r>
      <w:r>
        <w:t xml:space="preserve"> Art</w:t>
      </w:r>
      <w:r w:rsidR="00941EC7">
        <w:t>icle</w:t>
      </w:r>
      <w:r>
        <w:t xml:space="preserve"> 3, §</w:t>
      </w:r>
      <w:r w:rsidR="00CA7A0E">
        <w:t xml:space="preserve"> </w:t>
      </w:r>
      <w:r>
        <w:t>2, 2° de la Loi sur la tutelle</w:t>
      </w:r>
      <w:r w:rsidR="00B0068B">
        <w:t>.</w:t>
      </w:r>
    </w:p>
  </w:footnote>
  <w:footnote w:id="11">
    <w:p w14:paraId="305FF382" w14:textId="37285274" w:rsidR="006C7147" w:rsidRDefault="006C7147" w:rsidP="006C7147">
      <w:pPr>
        <w:pStyle w:val="Notedebasdepage"/>
        <w:jc w:val="both"/>
      </w:pPr>
      <w:r>
        <w:rPr>
          <w:rStyle w:val="Appelnotedebasdep"/>
        </w:rPr>
        <w:footnoteRef/>
      </w:r>
      <w:r>
        <w:t xml:space="preserve"> Arrêté royal </w:t>
      </w:r>
      <w:r w:rsidRPr="006C7147">
        <w:t xml:space="preserve">du 22 </w:t>
      </w:r>
      <w:r w:rsidRPr="006C7147">
        <w:t xml:space="preserve">décembre 2003 portant exécution du Titre XIII, Chapitre </w:t>
      </w:r>
      <w:r>
        <w:t>VI,</w:t>
      </w:r>
      <w:r w:rsidRPr="006C7147">
        <w:t xml:space="preserve"> </w:t>
      </w:r>
      <w:r w:rsidR="00CA7A0E">
        <w:t>« </w:t>
      </w:r>
      <w:r w:rsidRPr="006C7147">
        <w:t>Tutelle des mineurs étrangers non accompagnés</w:t>
      </w:r>
      <w:r w:rsidR="00CA7A0E">
        <w:t xml:space="preserve"> » </w:t>
      </w:r>
      <w:r w:rsidRPr="006C7147">
        <w:t xml:space="preserve">de la </w:t>
      </w:r>
      <w:r w:rsidR="0016626A">
        <w:t>L</w:t>
      </w:r>
      <w:r w:rsidRPr="006C7147">
        <w:t xml:space="preserve">oi-programme du 24 décembre 2002, </w:t>
      </w:r>
      <w:r w:rsidRPr="006C7147">
        <w:rPr>
          <w:i/>
          <w:iCs/>
        </w:rPr>
        <w:t>M.B</w:t>
      </w:r>
      <w:r w:rsidRPr="006C7147">
        <w:t>., 29 janvier 2004</w:t>
      </w:r>
      <w:r>
        <w:t>.</w:t>
      </w:r>
    </w:p>
  </w:footnote>
  <w:footnote w:id="12">
    <w:p w14:paraId="40CF0FD0" w14:textId="77777777" w:rsidR="00FA0E72" w:rsidRPr="00047F25" w:rsidRDefault="00FA0E72" w:rsidP="00FA0E72">
      <w:pPr>
        <w:pStyle w:val="Notedebasdepage"/>
        <w:jc w:val="both"/>
        <w:rPr>
          <w:lang w:val="fr-FR"/>
        </w:rPr>
      </w:pPr>
      <w:r>
        <w:rPr>
          <w:rStyle w:val="Appelnotedebasdep"/>
        </w:rPr>
        <w:footnoteRef/>
      </w:r>
      <w:r w:rsidRPr="00592612">
        <w:rPr>
          <w:lang w:val="fr-FR"/>
        </w:rPr>
        <w:t xml:space="preserve"> </w:t>
      </w:r>
      <w:r w:rsidRPr="001E0539">
        <w:rPr>
          <w:lang w:val="fr-FR"/>
        </w:rPr>
        <w:t>Des tierce-intervention</w:t>
      </w:r>
      <w:r>
        <w:rPr>
          <w:lang w:val="fr-FR"/>
        </w:rPr>
        <w:t>s</w:t>
      </w:r>
      <w:r w:rsidRPr="001E0539">
        <w:rPr>
          <w:lang w:val="fr-FR"/>
        </w:rPr>
        <w:t xml:space="preserve"> avaient é</w:t>
      </w:r>
      <w:r>
        <w:rPr>
          <w:lang w:val="fr-FR"/>
        </w:rPr>
        <w:t xml:space="preserve">galement été jointes au recours, </w:t>
      </w:r>
      <w:proofErr w:type="spellStart"/>
      <w:r>
        <w:rPr>
          <w:lang w:val="fr-FR"/>
        </w:rPr>
        <w:t>voy</w:t>
      </w:r>
      <w:proofErr w:type="spellEnd"/>
      <w:r>
        <w:rPr>
          <w:lang w:val="fr-FR"/>
        </w:rPr>
        <w:t xml:space="preserve">. : </w:t>
      </w:r>
      <w:r w:rsidRPr="00592612">
        <w:rPr>
          <w:lang w:val="fr-FR"/>
        </w:rPr>
        <w:t xml:space="preserve">M. </w:t>
      </w:r>
      <w:proofErr w:type="spellStart"/>
      <w:r w:rsidRPr="00592612">
        <w:rPr>
          <w:smallCaps/>
          <w:lang w:val="fr-FR"/>
        </w:rPr>
        <w:t>Brackx</w:t>
      </w:r>
      <w:proofErr w:type="spellEnd"/>
      <w:r w:rsidRPr="00592612">
        <w:rPr>
          <w:lang w:val="fr-FR"/>
        </w:rPr>
        <w:t xml:space="preserve"> </w:t>
      </w:r>
      <w:r w:rsidRPr="00592612">
        <w:rPr>
          <w:i/>
          <w:iCs/>
          <w:lang w:val="fr-FR"/>
        </w:rPr>
        <w:t>et al</w:t>
      </w:r>
      <w:r w:rsidRPr="00592612">
        <w:rPr>
          <w:lang w:val="fr-FR"/>
        </w:rPr>
        <w:t xml:space="preserve">., « F. B. v. </w:t>
      </w:r>
      <w:proofErr w:type="spellStart"/>
      <w:r w:rsidRPr="00592612">
        <w:rPr>
          <w:lang w:val="fr-FR"/>
        </w:rPr>
        <w:t>Belgium</w:t>
      </w:r>
      <w:proofErr w:type="spellEnd"/>
      <w:r w:rsidRPr="00592612">
        <w:rPr>
          <w:lang w:val="fr-FR"/>
        </w:rPr>
        <w:t xml:space="preserve"> – </w:t>
      </w:r>
      <w:proofErr w:type="spellStart"/>
      <w:r w:rsidRPr="00592612">
        <w:rPr>
          <w:lang w:val="fr-FR"/>
        </w:rPr>
        <w:t>Third</w:t>
      </w:r>
      <w:proofErr w:type="spellEnd"/>
      <w:r w:rsidRPr="00592612">
        <w:rPr>
          <w:lang w:val="fr-FR"/>
        </w:rPr>
        <w:t xml:space="preserve"> party intervention by the </w:t>
      </w:r>
      <w:proofErr w:type="spellStart"/>
      <w:r w:rsidRPr="00592612">
        <w:rPr>
          <w:lang w:val="fr-FR"/>
        </w:rPr>
        <w:t>human</w:t>
      </w:r>
      <w:proofErr w:type="spellEnd"/>
      <w:r w:rsidRPr="00592612">
        <w:rPr>
          <w:lang w:val="fr-FR"/>
        </w:rPr>
        <w:t xml:space="preserve"> </w:t>
      </w:r>
      <w:proofErr w:type="spellStart"/>
      <w:r w:rsidRPr="00592612">
        <w:rPr>
          <w:lang w:val="fr-FR"/>
        </w:rPr>
        <w:t>rights</w:t>
      </w:r>
      <w:proofErr w:type="spellEnd"/>
      <w:r w:rsidRPr="00592612">
        <w:rPr>
          <w:lang w:val="fr-FR"/>
        </w:rPr>
        <w:t xml:space="preserve"> centre (HRC) and the centre for the social </w:t>
      </w:r>
      <w:proofErr w:type="spellStart"/>
      <w:r w:rsidRPr="00592612">
        <w:rPr>
          <w:lang w:val="fr-FR"/>
        </w:rPr>
        <w:t>study</w:t>
      </w:r>
      <w:proofErr w:type="spellEnd"/>
      <w:r w:rsidRPr="00592612">
        <w:rPr>
          <w:lang w:val="fr-FR"/>
        </w:rPr>
        <w:t xml:space="preserve"> of migration and </w:t>
      </w:r>
      <w:proofErr w:type="spellStart"/>
      <w:r w:rsidRPr="00592612">
        <w:rPr>
          <w:lang w:val="fr-FR"/>
        </w:rPr>
        <w:t>refugees</w:t>
      </w:r>
      <w:proofErr w:type="spellEnd"/>
      <w:r w:rsidRPr="00592612">
        <w:rPr>
          <w:lang w:val="fr-FR"/>
        </w:rPr>
        <w:t xml:space="preserve"> (CESSMIR), </w:t>
      </w:r>
      <w:proofErr w:type="spellStart"/>
      <w:r w:rsidRPr="00592612">
        <w:rPr>
          <w:lang w:val="fr-FR"/>
        </w:rPr>
        <w:t>Ghent</w:t>
      </w:r>
      <w:proofErr w:type="spellEnd"/>
      <w:r w:rsidRPr="00592612">
        <w:rPr>
          <w:lang w:val="fr-FR"/>
        </w:rPr>
        <w:t xml:space="preserve"> </w:t>
      </w:r>
      <w:proofErr w:type="spellStart"/>
      <w:r w:rsidRPr="00592612">
        <w:rPr>
          <w:lang w:val="fr-FR"/>
        </w:rPr>
        <w:t>University</w:t>
      </w:r>
      <w:proofErr w:type="spellEnd"/>
      <w:r w:rsidRPr="00592612">
        <w:rPr>
          <w:lang w:val="fr-FR"/>
        </w:rPr>
        <w:t xml:space="preserve"> », disponible sur: </w:t>
      </w:r>
      <w:hyperlink r:id="rId5" w:history="1">
        <w:r w:rsidRPr="00592612">
          <w:rPr>
            <w:rStyle w:val="Lienhypertexte"/>
            <w:lang w:val="fr-FR"/>
          </w:rPr>
          <w:t>www.hrc.ugent.be</w:t>
        </w:r>
      </w:hyperlink>
      <w:r w:rsidRPr="00592612">
        <w:rPr>
          <w:lang w:val="fr-FR"/>
        </w:rPr>
        <w:t>, non dat</w:t>
      </w:r>
      <w:r>
        <w:rPr>
          <w:lang w:val="fr-FR"/>
        </w:rPr>
        <w:t>é</w:t>
      </w:r>
      <w:r w:rsidRPr="00592612">
        <w:rPr>
          <w:lang w:val="fr-FR"/>
        </w:rPr>
        <w:t xml:space="preserve"> </w:t>
      </w:r>
      <w:r>
        <w:rPr>
          <w:lang w:val="fr-FR"/>
        </w:rPr>
        <w:t>et</w:t>
      </w:r>
      <w:r w:rsidRPr="00592612">
        <w:rPr>
          <w:lang w:val="fr-FR"/>
        </w:rPr>
        <w:t xml:space="preserve"> </w:t>
      </w:r>
      <w:r>
        <w:rPr>
          <w:lang w:val="fr-FR"/>
        </w:rPr>
        <w:t xml:space="preserve">Plateforme Mineurs en exil, </w:t>
      </w:r>
      <w:proofErr w:type="spellStart"/>
      <w:r>
        <w:rPr>
          <w:lang w:val="fr-FR"/>
        </w:rPr>
        <w:t>Vluchtelingenwerk</w:t>
      </w:r>
      <w:proofErr w:type="spellEnd"/>
      <w:r>
        <w:rPr>
          <w:lang w:val="fr-FR"/>
        </w:rPr>
        <w:t xml:space="preserve"> </w:t>
      </w:r>
      <w:proofErr w:type="spellStart"/>
      <w:r>
        <w:rPr>
          <w:lang w:val="fr-FR"/>
        </w:rPr>
        <w:t>Vlaanderen</w:t>
      </w:r>
      <w:proofErr w:type="spellEnd"/>
      <w:r>
        <w:rPr>
          <w:lang w:val="fr-FR"/>
        </w:rPr>
        <w:t xml:space="preserve">, Défense des enfants international (Belgique), « Tierce intervention auprès de la Cour européenne des Droits de l’Homme dans l’affaire </w:t>
      </w:r>
      <w:r w:rsidRPr="00E75BC1">
        <w:rPr>
          <w:i/>
          <w:iCs/>
          <w:lang w:val="fr-FR"/>
        </w:rPr>
        <w:t>Barry c. Belgique</w:t>
      </w:r>
      <w:r>
        <w:rPr>
          <w:lang w:val="fr-FR"/>
        </w:rPr>
        <w:t xml:space="preserve">, Requête n° 4786/21 », disponible sur </w:t>
      </w:r>
      <w:hyperlink r:id="rId6" w:history="1">
        <w:r w:rsidRPr="000869D9">
          <w:rPr>
            <w:rStyle w:val="Lienhypertexte"/>
            <w:lang w:val="fr-FR"/>
          </w:rPr>
          <w:t>www.dei-belgique.be</w:t>
        </w:r>
      </w:hyperlink>
      <w:r>
        <w:rPr>
          <w:lang w:val="fr-FR"/>
        </w:rPr>
        <w:t xml:space="preserve"> , mars 2022.</w:t>
      </w:r>
    </w:p>
  </w:footnote>
  <w:footnote w:id="13">
    <w:p w14:paraId="60537667" w14:textId="65304649" w:rsidR="00096BB5" w:rsidRPr="00710290" w:rsidRDefault="00096BB5" w:rsidP="00CE2DA6">
      <w:pPr>
        <w:pStyle w:val="Notedebasdepage"/>
        <w:jc w:val="both"/>
        <w:rPr>
          <w:lang w:val="fr-FR"/>
        </w:rPr>
      </w:pPr>
      <w:r>
        <w:rPr>
          <w:rStyle w:val="Appelnotedebasdep"/>
        </w:rPr>
        <w:footnoteRef/>
      </w:r>
      <w:r w:rsidRPr="00096BB5">
        <w:rPr>
          <w:lang w:val="fr-FR"/>
        </w:rPr>
        <w:t xml:space="preserve"> </w:t>
      </w:r>
      <w:proofErr w:type="spellStart"/>
      <w:r w:rsidRPr="00096BB5">
        <w:rPr>
          <w:lang w:val="fr-FR"/>
        </w:rPr>
        <w:t>Voy</w:t>
      </w:r>
      <w:proofErr w:type="spellEnd"/>
      <w:r w:rsidRPr="00096BB5">
        <w:rPr>
          <w:lang w:val="fr-FR"/>
        </w:rPr>
        <w:t xml:space="preserve">; principalement: </w:t>
      </w:r>
      <w:r w:rsidR="00CE2DA6">
        <w:rPr>
          <w:lang w:val="fr-FR"/>
        </w:rPr>
        <w:t xml:space="preserve">Cour </w:t>
      </w:r>
      <w:proofErr w:type="spellStart"/>
      <w:r w:rsidR="00CE2DA6">
        <w:rPr>
          <w:lang w:val="fr-FR"/>
        </w:rPr>
        <w:t>eur</w:t>
      </w:r>
      <w:proofErr w:type="spellEnd"/>
      <w:r w:rsidR="00CE2DA6">
        <w:rPr>
          <w:lang w:val="fr-FR"/>
        </w:rPr>
        <w:t xml:space="preserve">. D.H., </w:t>
      </w:r>
      <w:proofErr w:type="spellStart"/>
      <w:r w:rsidR="00CE2DA6" w:rsidRPr="00CE2DA6">
        <w:rPr>
          <w:i/>
          <w:iCs/>
          <w:lang w:val="fr-FR"/>
        </w:rPr>
        <w:t>Ahmade</w:t>
      </w:r>
      <w:proofErr w:type="spellEnd"/>
      <w:r w:rsidR="00CE2DA6" w:rsidRPr="00CE2DA6">
        <w:rPr>
          <w:i/>
          <w:iCs/>
          <w:lang w:val="fr-FR"/>
        </w:rPr>
        <w:t xml:space="preserve"> c. Grèce</w:t>
      </w:r>
      <w:r w:rsidR="00CE2DA6">
        <w:rPr>
          <w:lang w:val="fr-FR"/>
        </w:rPr>
        <w:t xml:space="preserve">, 25 septembre 2012 ; </w:t>
      </w:r>
      <w:r>
        <w:rPr>
          <w:lang w:val="fr-FR"/>
        </w:rPr>
        <w:t xml:space="preserve">Cour </w:t>
      </w:r>
      <w:proofErr w:type="spellStart"/>
      <w:r>
        <w:rPr>
          <w:lang w:val="fr-FR"/>
        </w:rPr>
        <w:t>eur</w:t>
      </w:r>
      <w:proofErr w:type="spellEnd"/>
      <w:r>
        <w:rPr>
          <w:lang w:val="fr-FR"/>
        </w:rPr>
        <w:t xml:space="preserve">. D.H., </w:t>
      </w:r>
      <w:proofErr w:type="spellStart"/>
      <w:r w:rsidRPr="00096BB5">
        <w:rPr>
          <w:i/>
          <w:iCs/>
        </w:rPr>
        <w:t>Darboe</w:t>
      </w:r>
      <w:proofErr w:type="spellEnd"/>
      <w:r w:rsidRPr="00096BB5">
        <w:rPr>
          <w:i/>
          <w:iCs/>
        </w:rPr>
        <w:t xml:space="preserve"> et Camara c. Italie</w:t>
      </w:r>
      <w:r w:rsidRPr="00096BB5">
        <w:t>, 21 juillet 2022</w:t>
      </w:r>
      <w:r w:rsidR="00CE2DA6">
        <w:t xml:space="preserve"> ; Cour </w:t>
      </w:r>
      <w:proofErr w:type="spellStart"/>
      <w:r w:rsidR="00CE2DA6">
        <w:t>eur</w:t>
      </w:r>
      <w:proofErr w:type="spellEnd"/>
      <w:r w:rsidR="00CE2DA6">
        <w:t xml:space="preserve">. </w:t>
      </w:r>
      <w:r w:rsidR="00CE2DA6" w:rsidRPr="00710290">
        <w:rPr>
          <w:lang w:val="fr-FR"/>
        </w:rPr>
        <w:t xml:space="preserve">D.H., </w:t>
      </w:r>
      <w:r w:rsidR="00CE2DA6" w:rsidRPr="00710290">
        <w:rPr>
          <w:i/>
          <w:iCs/>
          <w:lang w:val="fr-FR"/>
        </w:rPr>
        <w:t>Diakité c. Italie</w:t>
      </w:r>
      <w:r w:rsidR="00CE2DA6" w:rsidRPr="00710290">
        <w:rPr>
          <w:lang w:val="fr-FR"/>
        </w:rPr>
        <w:t>, 14 septembre 2023</w:t>
      </w:r>
      <w:r w:rsidR="00710290" w:rsidRPr="00710290">
        <w:rPr>
          <w:lang w:val="fr-FR"/>
        </w:rPr>
        <w:t xml:space="preserve"> ; </w:t>
      </w:r>
      <w:r w:rsidR="007D0759">
        <w:rPr>
          <w:lang w:val="fr-FR"/>
        </w:rPr>
        <w:t xml:space="preserve">Cour </w:t>
      </w:r>
      <w:proofErr w:type="spellStart"/>
      <w:r w:rsidR="007D0759">
        <w:rPr>
          <w:lang w:val="fr-FR"/>
        </w:rPr>
        <w:t>eur</w:t>
      </w:r>
      <w:proofErr w:type="spellEnd"/>
      <w:r w:rsidR="007D0759">
        <w:rPr>
          <w:lang w:val="fr-FR"/>
        </w:rPr>
        <w:t>. D.H.,</w:t>
      </w:r>
      <w:r w:rsidR="00710290" w:rsidRPr="00710290">
        <w:rPr>
          <w:lang w:val="fr-FR"/>
        </w:rPr>
        <w:t> </w:t>
      </w:r>
      <w:r w:rsidR="00710290" w:rsidRPr="007D0759">
        <w:rPr>
          <w:i/>
          <w:iCs/>
          <w:lang w:val="fr-FR"/>
        </w:rPr>
        <w:t>A</w:t>
      </w:r>
      <w:r w:rsidR="007D0759" w:rsidRPr="007D0759">
        <w:rPr>
          <w:i/>
          <w:iCs/>
          <w:lang w:val="fr-FR"/>
        </w:rPr>
        <w:t>.C. c.</w:t>
      </w:r>
      <w:r w:rsidR="00710290" w:rsidRPr="007D0759">
        <w:rPr>
          <w:i/>
          <w:iCs/>
          <w:lang w:val="fr-FR"/>
        </w:rPr>
        <w:t xml:space="preserve"> France</w:t>
      </w:r>
      <w:r w:rsidR="00710290">
        <w:rPr>
          <w:lang w:val="fr-FR"/>
        </w:rPr>
        <w:t xml:space="preserve">, </w:t>
      </w:r>
      <w:r w:rsidR="007D0759">
        <w:rPr>
          <w:lang w:val="fr-FR"/>
        </w:rPr>
        <w:t>30 juin 2025.</w:t>
      </w:r>
    </w:p>
  </w:footnote>
  <w:footnote w:id="14">
    <w:p w14:paraId="2203FA50" w14:textId="31112901" w:rsidR="00B67777" w:rsidRPr="003756D2" w:rsidRDefault="005D12BD" w:rsidP="005D12BD">
      <w:pPr>
        <w:pStyle w:val="Notedebasdepage"/>
        <w:jc w:val="both"/>
        <w:rPr>
          <w:lang w:val="nl-BE"/>
        </w:rPr>
      </w:pPr>
      <w:r>
        <w:rPr>
          <w:rStyle w:val="Appelnotedebasdep"/>
        </w:rPr>
        <w:footnoteRef/>
      </w:r>
      <w:r w:rsidRPr="007E27A8">
        <w:rPr>
          <w:lang w:val="nl-BE"/>
        </w:rPr>
        <w:t xml:space="preserve"> </w:t>
      </w:r>
      <w:proofErr w:type="spellStart"/>
      <w:r w:rsidRPr="007E27A8">
        <w:rPr>
          <w:lang w:val="nl-BE"/>
        </w:rPr>
        <w:t>Sur</w:t>
      </w:r>
      <w:proofErr w:type="spellEnd"/>
      <w:r w:rsidRPr="007E27A8">
        <w:rPr>
          <w:lang w:val="nl-BE"/>
        </w:rPr>
        <w:t xml:space="preserve"> </w:t>
      </w:r>
      <w:proofErr w:type="spellStart"/>
      <w:r w:rsidRPr="007E27A8">
        <w:rPr>
          <w:lang w:val="nl-BE"/>
        </w:rPr>
        <w:t>le</w:t>
      </w:r>
      <w:proofErr w:type="spellEnd"/>
      <w:r w:rsidRPr="007E27A8">
        <w:rPr>
          <w:lang w:val="nl-BE"/>
        </w:rPr>
        <w:t xml:space="preserve"> </w:t>
      </w:r>
      <w:proofErr w:type="spellStart"/>
      <w:r w:rsidRPr="007E27A8">
        <w:rPr>
          <w:lang w:val="nl-BE"/>
        </w:rPr>
        <w:t>rôle</w:t>
      </w:r>
      <w:proofErr w:type="spellEnd"/>
      <w:r w:rsidRPr="007E27A8">
        <w:rPr>
          <w:lang w:val="nl-BE"/>
        </w:rPr>
        <w:t xml:space="preserve"> du </w:t>
      </w:r>
      <w:proofErr w:type="spellStart"/>
      <w:r w:rsidRPr="007E27A8">
        <w:rPr>
          <w:lang w:val="nl-BE"/>
        </w:rPr>
        <w:t>droit</w:t>
      </w:r>
      <w:proofErr w:type="spellEnd"/>
      <w:r w:rsidRPr="007E27A8">
        <w:rPr>
          <w:lang w:val="nl-BE"/>
        </w:rPr>
        <w:t xml:space="preserve"> </w:t>
      </w:r>
      <w:proofErr w:type="spellStart"/>
      <w:r w:rsidRPr="007E27A8">
        <w:rPr>
          <w:lang w:val="nl-BE"/>
        </w:rPr>
        <w:t>international</w:t>
      </w:r>
      <w:proofErr w:type="spellEnd"/>
      <w:r w:rsidRPr="007E27A8">
        <w:rPr>
          <w:lang w:val="nl-BE"/>
        </w:rPr>
        <w:t xml:space="preserve"> privé dans </w:t>
      </w:r>
      <w:proofErr w:type="spellStart"/>
      <w:r w:rsidRPr="007E27A8">
        <w:rPr>
          <w:lang w:val="nl-BE"/>
        </w:rPr>
        <w:t>l’appréhension</w:t>
      </w:r>
      <w:proofErr w:type="spellEnd"/>
      <w:r w:rsidRPr="007E27A8">
        <w:rPr>
          <w:lang w:val="nl-BE"/>
        </w:rPr>
        <w:t xml:space="preserve"> des </w:t>
      </w:r>
      <w:proofErr w:type="spellStart"/>
      <w:r w:rsidRPr="007E27A8">
        <w:rPr>
          <w:lang w:val="nl-BE"/>
        </w:rPr>
        <w:t>documents</w:t>
      </w:r>
      <w:proofErr w:type="spellEnd"/>
      <w:r w:rsidRPr="007E27A8">
        <w:rPr>
          <w:lang w:val="nl-BE"/>
        </w:rPr>
        <w:t xml:space="preserve"> </w:t>
      </w:r>
      <w:proofErr w:type="spellStart"/>
      <w:r w:rsidR="00577FEE" w:rsidRPr="007E27A8">
        <w:rPr>
          <w:lang w:val="nl-BE"/>
        </w:rPr>
        <w:t>d’identité</w:t>
      </w:r>
      <w:proofErr w:type="spellEnd"/>
      <w:r w:rsidR="00577FEE" w:rsidRPr="007E27A8">
        <w:rPr>
          <w:lang w:val="nl-BE"/>
        </w:rPr>
        <w:t xml:space="preserve"> </w:t>
      </w:r>
      <w:proofErr w:type="spellStart"/>
      <w:r w:rsidRPr="007E27A8">
        <w:rPr>
          <w:lang w:val="nl-BE"/>
        </w:rPr>
        <w:t>étrangers</w:t>
      </w:r>
      <w:proofErr w:type="spellEnd"/>
      <w:r w:rsidRPr="007E27A8">
        <w:rPr>
          <w:lang w:val="nl-BE"/>
        </w:rPr>
        <w:t xml:space="preserve"> </w:t>
      </w:r>
      <w:proofErr w:type="spellStart"/>
      <w:r w:rsidRPr="007E27A8">
        <w:rPr>
          <w:lang w:val="nl-BE"/>
        </w:rPr>
        <w:t>déposés</w:t>
      </w:r>
      <w:proofErr w:type="spellEnd"/>
      <w:r w:rsidRPr="007E27A8">
        <w:rPr>
          <w:lang w:val="nl-BE"/>
        </w:rPr>
        <w:t xml:space="preserve"> par les </w:t>
      </w:r>
      <w:r w:rsidR="00577FEE" w:rsidRPr="007E27A8">
        <w:rPr>
          <w:lang w:val="nl-BE"/>
        </w:rPr>
        <w:t>MENA</w:t>
      </w:r>
      <w:r w:rsidRPr="007E27A8">
        <w:rPr>
          <w:lang w:val="nl-BE"/>
        </w:rPr>
        <w:t xml:space="preserve">, </w:t>
      </w:r>
      <w:proofErr w:type="spellStart"/>
      <w:r w:rsidRPr="007E27A8">
        <w:rPr>
          <w:lang w:val="nl-BE"/>
        </w:rPr>
        <w:t>voy</w:t>
      </w:r>
      <w:proofErr w:type="spellEnd"/>
      <w:r w:rsidRPr="007E27A8">
        <w:rPr>
          <w:lang w:val="nl-BE"/>
        </w:rPr>
        <w:t>.</w:t>
      </w:r>
      <w:r w:rsidR="00577FEE" w:rsidRPr="007E27A8">
        <w:rPr>
          <w:lang w:val="nl-BE"/>
        </w:rPr>
        <w:t xml:space="preserve">: </w:t>
      </w:r>
      <w:r w:rsidR="007E27A8" w:rsidRPr="007E27A8">
        <w:rPr>
          <w:lang w:val="nl-BE"/>
        </w:rPr>
        <w:t xml:space="preserve">J. </w:t>
      </w:r>
      <w:proofErr w:type="spellStart"/>
      <w:r w:rsidR="007E27A8" w:rsidRPr="007D722E">
        <w:rPr>
          <w:smallCaps/>
          <w:lang w:val="nl-BE"/>
        </w:rPr>
        <w:t>Verhellen</w:t>
      </w:r>
      <w:proofErr w:type="spellEnd"/>
      <w:r w:rsidR="007E27A8" w:rsidRPr="007E27A8">
        <w:rPr>
          <w:lang w:val="nl-BE"/>
        </w:rPr>
        <w:t xml:space="preserve">, « De leeftijd van niet-begeleide minderjarige </w:t>
      </w:r>
      <w:r w:rsidR="008D1974" w:rsidRPr="007E27A8">
        <w:rPr>
          <w:lang w:val="nl-BE"/>
        </w:rPr>
        <w:t>vreemdelingen:</w:t>
      </w:r>
      <w:r w:rsidR="007E27A8" w:rsidRPr="007E27A8">
        <w:rPr>
          <w:lang w:val="nl-BE"/>
        </w:rPr>
        <w:t xml:space="preserve"> er is meer dan ee</w:t>
      </w:r>
      <w:r w:rsidR="007D722E">
        <w:rPr>
          <w:lang w:val="nl-BE"/>
        </w:rPr>
        <w:t>n</w:t>
      </w:r>
      <w:r w:rsidR="007E27A8" w:rsidRPr="007E27A8">
        <w:rPr>
          <w:lang w:val="nl-BE"/>
        </w:rPr>
        <w:t xml:space="preserve"> medisch onderzoek en een procedure </w:t>
      </w:r>
      <w:r w:rsidR="007E27A8">
        <w:rPr>
          <w:lang w:val="nl-BE"/>
        </w:rPr>
        <w:t>bij de Raad van State alleen</w:t>
      </w:r>
      <w:r w:rsidR="007D722E">
        <w:rPr>
          <w:lang w:val="nl-BE"/>
        </w:rPr>
        <w:t xml:space="preserve"> </w:t>
      </w:r>
      <w:r w:rsidR="007D722E" w:rsidRPr="007D722E">
        <w:rPr>
          <w:lang w:val="nl-BE"/>
        </w:rPr>
        <w:t>»</w:t>
      </w:r>
      <w:r w:rsidR="007E27A8">
        <w:rPr>
          <w:lang w:val="nl-BE"/>
        </w:rPr>
        <w:t xml:space="preserve">, </w:t>
      </w:r>
      <w:r w:rsidR="008D1974" w:rsidRPr="008D1974">
        <w:rPr>
          <w:i/>
          <w:iCs/>
          <w:lang w:val="nl-BE"/>
        </w:rPr>
        <w:t>R.W</w:t>
      </w:r>
      <w:r w:rsidR="008D1974">
        <w:rPr>
          <w:lang w:val="nl-BE"/>
        </w:rPr>
        <w:t>., 2020-21, n° 3, p</w:t>
      </w:r>
      <w:r w:rsidR="004D5CB6">
        <w:rPr>
          <w:lang w:val="nl-BE"/>
        </w:rPr>
        <w:t>p</w:t>
      </w:r>
      <w:r w:rsidR="008D1974">
        <w:rPr>
          <w:lang w:val="nl-BE"/>
        </w:rPr>
        <w:t xml:space="preserve">. 82 et s.; </w:t>
      </w:r>
      <w:r w:rsidR="00142CC9" w:rsidRPr="00142CC9">
        <w:rPr>
          <w:smallCaps/>
          <w:lang w:val="nl-BE"/>
        </w:rPr>
        <w:t xml:space="preserve">J. </w:t>
      </w:r>
      <w:proofErr w:type="spellStart"/>
      <w:r w:rsidR="00142CC9" w:rsidRPr="00142CC9">
        <w:rPr>
          <w:smallCaps/>
          <w:lang w:val="nl-BE"/>
        </w:rPr>
        <w:t>Verhellen</w:t>
      </w:r>
      <w:proofErr w:type="spellEnd"/>
      <w:r w:rsidR="00142CC9">
        <w:rPr>
          <w:lang w:val="nl-BE"/>
        </w:rPr>
        <w:t xml:space="preserve">, </w:t>
      </w:r>
      <w:r w:rsidR="00142CC9" w:rsidRPr="00EF4D9B">
        <w:rPr>
          <w:lang w:val="nl-BE"/>
        </w:rPr>
        <w:t>«</w:t>
      </w:r>
      <w:r w:rsidR="00142CC9" w:rsidRPr="00EF4D9B">
        <w:rPr>
          <w:lang w:val="nl-BE"/>
        </w:rPr>
        <w:t xml:space="preserve"> </w:t>
      </w:r>
      <w:r w:rsidR="00142CC9">
        <w:rPr>
          <w:lang w:val="nl-BE"/>
        </w:rPr>
        <w:t>Hoofdstuk 4. De persoonlijke staat van niet-begel</w:t>
      </w:r>
      <w:r w:rsidR="00EF4D9B">
        <w:rPr>
          <w:lang w:val="nl-BE"/>
        </w:rPr>
        <w:t xml:space="preserve">eide minderjarige vreemdelingen: enkele vraagstukken van internationaal privaatrecht </w:t>
      </w:r>
      <w:r w:rsidR="00EF4D9B" w:rsidRPr="007D722E">
        <w:rPr>
          <w:lang w:val="nl-BE"/>
        </w:rPr>
        <w:t>»</w:t>
      </w:r>
      <w:r w:rsidR="00EF4D9B">
        <w:rPr>
          <w:lang w:val="nl-BE"/>
        </w:rPr>
        <w:t>, in</w:t>
      </w:r>
      <w:r w:rsidR="002D4438">
        <w:rPr>
          <w:lang w:val="nl-BE"/>
        </w:rPr>
        <w:t xml:space="preserve"> </w:t>
      </w:r>
      <w:r w:rsidR="002D4438" w:rsidRPr="002D4438">
        <w:rPr>
          <w:lang w:val="nl-BE"/>
        </w:rPr>
        <w:t>S</w:t>
      </w:r>
      <w:r w:rsidR="002D4438">
        <w:rPr>
          <w:lang w:val="nl-BE"/>
        </w:rPr>
        <w:t>.</w:t>
      </w:r>
      <w:r w:rsidR="002D4438" w:rsidRPr="002D4438">
        <w:rPr>
          <w:lang w:val="nl-BE"/>
        </w:rPr>
        <w:t xml:space="preserve"> </w:t>
      </w:r>
      <w:proofErr w:type="spellStart"/>
      <w:r w:rsidR="002D4438" w:rsidRPr="002D4438">
        <w:rPr>
          <w:lang w:val="nl-BE"/>
        </w:rPr>
        <w:t>Bouckaert</w:t>
      </w:r>
      <w:proofErr w:type="spellEnd"/>
      <w:r w:rsidR="002D4438" w:rsidRPr="002D4438">
        <w:rPr>
          <w:lang w:val="nl-BE"/>
        </w:rPr>
        <w:t>, E</w:t>
      </w:r>
      <w:r w:rsidR="002D4438">
        <w:rPr>
          <w:lang w:val="nl-BE"/>
        </w:rPr>
        <w:t>.</w:t>
      </w:r>
      <w:r w:rsidR="002D4438" w:rsidRPr="002D4438">
        <w:rPr>
          <w:lang w:val="nl-BE"/>
        </w:rPr>
        <w:t xml:space="preserve"> Desmet, J</w:t>
      </w:r>
      <w:r w:rsidR="002D4438">
        <w:rPr>
          <w:lang w:val="nl-BE"/>
        </w:rPr>
        <w:t>.</w:t>
      </w:r>
      <w:r w:rsidR="002D4438" w:rsidRPr="002D4438">
        <w:rPr>
          <w:lang w:val="nl-BE"/>
        </w:rPr>
        <w:t xml:space="preserve"> </w:t>
      </w:r>
      <w:proofErr w:type="spellStart"/>
      <w:r w:rsidR="002D4438" w:rsidRPr="002D4438">
        <w:rPr>
          <w:lang w:val="nl-BE"/>
        </w:rPr>
        <w:t>Verhellen</w:t>
      </w:r>
      <w:proofErr w:type="spellEnd"/>
      <w:r w:rsidR="002D4438">
        <w:rPr>
          <w:lang w:val="nl-BE"/>
        </w:rPr>
        <w:t>,</w:t>
      </w:r>
      <w:r w:rsidR="00EF4D9B">
        <w:rPr>
          <w:lang w:val="nl-BE"/>
        </w:rPr>
        <w:t xml:space="preserve"> </w:t>
      </w:r>
      <w:r w:rsidR="002D4438" w:rsidRPr="002D4438">
        <w:rPr>
          <w:i/>
          <w:iCs/>
          <w:lang w:val="nl-BE"/>
        </w:rPr>
        <w:t>Rechten van niet-begeleide minderjarige vreemdelingen in België</w:t>
      </w:r>
      <w:r w:rsidR="002D4438">
        <w:rPr>
          <w:lang w:val="nl-BE"/>
        </w:rPr>
        <w:t xml:space="preserve">, </w:t>
      </w:r>
      <w:proofErr w:type="spellStart"/>
      <w:r w:rsidR="00270696">
        <w:rPr>
          <w:lang w:val="nl-BE"/>
        </w:rPr>
        <w:t>Bruges</w:t>
      </w:r>
      <w:proofErr w:type="spellEnd"/>
      <w:r w:rsidR="00270696">
        <w:rPr>
          <w:lang w:val="nl-BE"/>
        </w:rPr>
        <w:t xml:space="preserve">, die </w:t>
      </w:r>
      <w:proofErr w:type="spellStart"/>
      <w:r w:rsidR="00270696">
        <w:rPr>
          <w:lang w:val="nl-BE"/>
        </w:rPr>
        <w:t>Keure</w:t>
      </w:r>
      <w:proofErr w:type="spellEnd"/>
      <w:r w:rsidR="00270696">
        <w:rPr>
          <w:lang w:val="nl-BE"/>
        </w:rPr>
        <w:t xml:space="preserve">, </w:t>
      </w:r>
      <w:r w:rsidR="002D4438">
        <w:rPr>
          <w:lang w:val="nl-BE"/>
        </w:rPr>
        <w:t>2019, pp. 91 et s.</w:t>
      </w:r>
      <w:r w:rsidR="003756D2">
        <w:rPr>
          <w:lang w:val="nl-BE"/>
        </w:rPr>
        <w:t>;</w:t>
      </w:r>
      <w:r w:rsidR="003756D2" w:rsidRPr="003756D2">
        <w:rPr>
          <w:smallCaps/>
          <w:lang w:val="nl-BE"/>
        </w:rPr>
        <w:t xml:space="preserve"> </w:t>
      </w:r>
      <w:r w:rsidR="003756D2" w:rsidRPr="003756D2">
        <w:rPr>
          <w:smallCaps/>
          <w:lang w:val="nl-BE"/>
        </w:rPr>
        <w:t xml:space="preserve">Th. </w:t>
      </w:r>
      <w:r w:rsidR="003756D2" w:rsidRPr="00B67777">
        <w:rPr>
          <w:smallCaps/>
          <w:lang w:val="fr-FR"/>
        </w:rPr>
        <w:t>Evrard</w:t>
      </w:r>
      <w:r w:rsidR="003756D2">
        <w:rPr>
          <w:lang w:val="fr-FR"/>
        </w:rPr>
        <w:t xml:space="preserve">, « La légalisation des documents publics étrangers en matière d’état civil : une évolution contrastée – Partie II : les dispenses de légalisation – Chapitre 2 : les dispenses juridictionnelles et administratives de légalisation », </w:t>
      </w:r>
      <w:r w:rsidR="003756D2" w:rsidRPr="00B67777">
        <w:rPr>
          <w:i/>
          <w:iCs/>
          <w:lang w:val="fr-FR"/>
        </w:rPr>
        <w:t>R.D.E</w:t>
      </w:r>
      <w:r w:rsidR="003756D2">
        <w:rPr>
          <w:lang w:val="fr-FR"/>
        </w:rPr>
        <w:t>., 2018, n° 197, pp. 37 à 41 ;</w:t>
      </w:r>
      <w:r w:rsidR="003756D2">
        <w:rPr>
          <w:lang w:val="fr-FR"/>
        </w:rPr>
        <w:t xml:space="preserve"> </w:t>
      </w:r>
      <w:r w:rsidR="004D5CB6" w:rsidRPr="004D5CB6">
        <w:rPr>
          <w:smallCaps/>
          <w:lang w:val="fr-FR"/>
        </w:rPr>
        <w:t>Th. Evrard</w:t>
      </w:r>
      <w:r w:rsidR="004D5CB6" w:rsidRPr="004D5CB6">
        <w:rPr>
          <w:lang w:val="fr-FR"/>
        </w:rPr>
        <w:t xml:space="preserve">, </w:t>
      </w:r>
      <w:r w:rsidR="004D5CB6">
        <w:t>«</w:t>
      </w:r>
      <w:r w:rsidR="004D5CB6">
        <w:t xml:space="preserve"> </w:t>
      </w:r>
      <w:r w:rsidR="004D5CB6" w:rsidRPr="004D5CB6">
        <w:rPr>
          <w:lang w:val="fr-FR"/>
        </w:rPr>
        <w:t>Pour estimer l’âge de</w:t>
      </w:r>
      <w:r w:rsidR="004D5CB6">
        <w:rPr>
          <w:lang w:val="fr-FR"/>
        </w:rPr>
        <w:t xml:space="preserve">s MENA, la Belgique devrait s’inspirer de ses voisins », </w:t>
      </w:r>
      <w:r w:rsidR="004D5CB6">
        <w:rPr>
          <w:i/>
          <w:iCs/>
          <w:lang w:val="fr-FR"/>
        </w:rPr>
        <w:t>Newsletter ADDE</w:t>
      </w:r>
      <w:r w:rsidR="004D5CB6">
        <w:rPr>
          <w:lang w:val="fr-FR"/>
        </w:rPr>
        <w:t>, novembre 2017, n° 136, pp. 2 et s.</w:t>
      </w:r>
      <w:r w:rsidR="003756D2">
        <w:rPr>
          <w:lang w:val="fr-FR"/>
        </w:rPr>
        <w:t xml:space="preserve"> ; </w:t>
      </w:r>
      <w:r w:rsidR="00B67777" w:rsidRPr="00396754">
        <w:rPr>
          <w:smallCaps/>
          <w:lang w:val="fr-FR"/>
        </w:rPr>
        <w:t>Th. Evrard</w:t>
      </w:r>
      <w:r w:rsidR="00B67777">
        <w:rPr>
          <w:lang w:val="fr-FR"/>
        </w:rPr>
        <w:t>, « </w:t>
      </w:r>
      <w:r w:rsidR="00396754">
        <w:rPr>
          <w:lang w:val="fr-FR"/>
        </w:rPr>
        <w:t>L’examen de la force probante d’un acte étranger dans le contexte</w:t>
      </w:r>
      <w:r w:rsidR="00142CC9">
        <w:rPr>
          <w:lang w:val="fr-FR"/>
        </w:rPr>
        <w:t xml:space="preserve"> de la détermination de l’âge d’un MENA », </w:t>
      </w:r>
      <w:r w:rsidR="00142CC9" w:rsidRPr="00142CC9">
        <w:rPr>
          <w:i/>
          <w:iCs/>
          <w:lang w:val="fr-FR"/>
        </w:rPr>
        <w:t>R.D.E</w:t>
      </w:r>
      <w:r w:rsidR="00142CC9">
        <w:rPr>
          <w:lang w:val="fr-FR"/>
        </w:rPr>
        <w:t>., 2015, n° 182, pp. 36 et s.</w:t>
      </w:r>
    </w:p>
  </w:footnote>
  <w:footnote w:id="15">
    <w:p w14:paraId="491383EE" w14:textId="213EE5A8" w:rsidR="0093051F" w:rsidRPr="0093051F" w:rsidRDefault="0093051F" w:rsidP="0093051F">
      <w:pPr>
        <w:pStyle w:val="Notedebasdepage"/>
        <w:jc w:val="both"/>
        <w:rPr>
          <w:lang w:val="fr-FR"/>
        </w:rPr>
      </w:pPr>
      <w:r>
        <w:rPr>
          <w:rStyle w:val="Appelnotedebasdep"/>
        </w:rPr>
        <w:footnoteRef/>
      </w:r>
      <w:r>
        <w:t xml:space="preserve"> </w:t>
      </w:r>
      <w:r>
        <w:rPr>
          <w:lang w:val="fr-FR"/>
        </w:rPr>
        <w:t>Tout au plus la Cour a-t-elle reconnu être « </w:t>
      </w:r>
      <w:r w:rsidRPr="00125FFC">
        <w:t xml:space="preserve">consciente des préoccupations de </w:t>
      </w:r>
      <w:r>
        <w:t>[la requérante]</w:t>
      </w:r>
      <w:r w:rsidRPr="00125FFC">
        <w:t xml:space="preserve"> concernant la fiabilité contestée des techniques utilisées pour déterminer son âge</w:t>
      </w:r>
      <w:r>
        <w:t> »</w:t>
      </w:r>
      <w:r>
        <w:t>,</w:t>
      </w:r>
      <w:r>
        <w:t xml:space="preserve"> Cour </w:t>
      </w:r>
      <w:proofErr w:type="spellStart"/>
      <w:r>
        <w:t>eur</w:t>
      </w:r>
      <w:proofErr w:type="spellEnd"/>
      <w:r>
        <w:t xml:space="preserve">. D.H., </w:t>
      </w:r>
      <w:r w:rsidRPr="0093051F">
        <w:rPr>
          <w:i/>
          <w:iCs/>
        </w:rPr>
        <w:t>T.V. c. Espagne</w:t>
      </w:r>
      <w:r>
        <w:t>, 10 octobre 2024, § 111, nous traduisons.</w:t>
      </w:r>
    </w:p>
  </w:footnote>
  <w:footnote w:id="16">
    <w:p w14:paraId="18389FEB" w14:textId="2B79AF69" w:rsidR="000D7824" w:rsidRPr="000D7824" w:rsidRDefault="000D7824" w:rsidP="000D7824">
      <w:pPr>
        <w:pStyle w:val="Notedebasdepage"/>
        <w:jc w:val="both"/>
      </w:pPr>
      <w:r>
        <w:rPr>
          <w:rStyle w:val="Appelnotedebasdep"/>
        </w:rPr>
        <w:footnoteRef/>
      </w:r>
      <w:r>
        <w:t xml:space="preserve"> </w:t>
      </w:r>
      <w:r>
        <w:rPr>
          <w:lang w:val="fr-FR"/>
        </w:rPr>
        <w:t xml:space="preserve">Sur les conséquences de cette procéduralisation des droits fondamentaux, </w:t>
      </w:r>
      <w:proofErr w:type="spellStart"/>
      <w:r>
        <w:rPr>
          <w:lang w:val="fr-FR"/>
        </w:rPr>
        <w:t>voy</w:t>
      </w:r>
      <w:proofErr w:type="spellEnd"/>
      <w:r>
        <w:rPr>
          <w:lang w:val="fr-FR"/>
        </w:rPr>
        <w:t xml:space="preserve">. </w:t>
      </w:r>
      <w:r>
        <w:t xml:space="preserve">M. </w:t>
      </w:r>
      <w:r w:rsidRPr="003C33FC">
        <w:rPr>
          <w:smallCaps/>
        </w:rPr>
        <w:t>Hardt</w:t>
      </w:r>
      <w:r w:rsidRPr="00073DE7">
        <w:t xml:space="preserve">, « L’évaluation de l’âge des MENA avant et après l’arrêt </w:t>
      </w:r>
      <w:r w:rsidRPr="00073DE7">
        <w:rPr>
          <w:i/>
          <w:iCs/>
        </w:rPr>
        <w:t xml:space="preserve">F.B. c. Belgique : </w:t>
      </w:r>
      <w:r w:rsidRPr="00073DE7">
        <w:t xml:space="preserve">dissection d’une énième condamnation procédurale », </w:t>
      </w:r>
      <w:r>
        <w:rPr>
          <w:i/>
          <w:iCs/>
        </w:rPr>
        <w:t xml:space="preserve">op. </w:t>
      </w:r>
      <w:proofErr w:type="spellStart"/>
      <w:proofErr w:type="gramStart"/>
      <w:r>
        <w:rPr>
          <w:i/>
          <w:iCs/>
        </w:rPr>
        <w:t>cit</w:t>
      </w:r>
      <w:proofErr w:type="spellEnd"/>
      <w:proofErr w:type="gramEnd"/>
      <w:r>
        <w:rPr>
          <w:i/>
          <w:iCs/>
        </w:rPr>
        <w:t>.</w:t>
      </w:r>
      <w:r>
        <w:t>,</w:t>
      </w:r>
      <w:r w:rsidRPr="00073DE7">
        <w:t xml:space="preserve"> pp. </w:t>
      </w:r>
      <w:r w:rsidR="00337218">
        <w:t>30</w:t>
      </w:r>
      <w:r w:rsidRPr="00073DE7">
        <w:t xml:space="preserve"> et </w:t>
      </w:r>
      <w:r w:rsidR="00337218">
        <w:t>31</w:t>
      </w:r>
      <w:r w:rsidRPr="00073DE7">
        <w:t>.</w:t>
      </w:r>
    </w:p>
  </w:footnote>
  <w:footnote w:id="17">
    <w:p w14:paraId="211C58D7" w14:textId="62BD8736" w:rsidR="009A2799" w:rsidRPr="00BF162D" w:rsidRDefault="009A2799" w:rsidP="00C70407">
      <w:pPr>
        <w:pStyle w:val="Notedebasdepage"/>
        <w:jc w:val="both"/>
        <w:rPr>
          <w:lang w:val="fr-FR"/>
        </w:rPr>
      </w:pPr>
      <w:r>
        <w:rPr>
          <w:rStyle w:val="Appelnotedebasdep"/>
        </w:rPr>
        <w:footnoteRef/>
      </w:r>
      <w:r w:rsidRPr="00BF162D">
        <w:rPr>
          <w:lang w:val="fr-FR"/>
        </w:rPr>
        <w:t xml:space="preserve"> </w:t>
      </w:r>
      <w:r w:rsidR="00C70407">
        <w:rPr>
          <w:lang w:val="fr-FR"/>
        </w:rPr>
        <w:t>« </w:t>
      </w:r>
      <w:bookmarkStart w:id="0" w:name="lt_pId1184"/>
      <w:r w:rsidR="00C70407" w:rsidRPr="00C70407">
        <w:t>En l’espèce, les autorités italiennes n’ont pas appliqué le principe de présomption de minorité, que la Cour considère comme un élément inhérent à la protection du droit au respect de la vie privée d’une personne étrangère non accompagnée déclarant être mineure.</w:t>
      </w:r>
      <w:bookmarkEnd w:id="0"/>
      <w:r w:rsidR="00C70407">
        <w:t xml:space="preserve"> » </w:t>
      </w:r>
      <w:r w:rsidR="00E65055">
        <w:rPr>
          <w:lang w:val="fr-FR"/>
        </w:rPr>
        <w:t xml:space="preserve">Cour </w:t>
      </w:r>
      <w:proofErr w:type="spellStart"/>
      <w:r w:rsidR="00E65055">
        <w:rPr>
          <w:lang w:val="fr-FR"/>
        </w:rPr>
        <w:t>eur</w:t>
      </w:r>
      <w:proofErr w:type="spellEnd"/>
      <w:r w:rsidR="00E65055">
        <w:rPr>
          <w:lang w:val="fr-FR"/>
        </w:rPr>
        <w:t xml:space="preserve">. D.H., </w:t>
      </w:r>
      <w:proofErr w:type="spellStart"/>
      <w:r w:rsidRPr="00E65055">
        <w:rPr>
          <w:i/>
          <w:iCs/>
          <w:lang w:val="fr-FR"/>
        </w:rPr>
        <w:t>Darboe</w:t>
      </w:r>
      <w:proofErr w:type="spellEnd"/>
      <w:r w:rsidRPr="00E65055">
        <w:rPr>
          <w:i/>
          <w:iCs/>
          <w:lang w:val="fr-FR"/>
        </w:rPr>
        <w:t xml:space="preserve"> et Camara</w:t>
      </w:r>
      <w:r w:rsidR="00E65055" w:rsidRPr="00E65055">
        <w:rPr>
          <w:i/>
          <w:iCs/>
          <w:lang w:val="fr-FR"/>
        </w:rPr>
        <w:t xml:space="preserve"> c. Italie</w:t>
      </w:r>
      <w:r w:rsidR="00E65055">
        <w:rPr>
          <w:lang w:val="fr-FR"/>
        </w:rPr>
        <w:t>,</w:t>
      </w:r>
      <w:r w:rsidR="00C70407">
        <w:rPr>
          <w:lang w:val="fr-FR"/>
        </w:rPr>
        <w:t xml:space="preserve"> 21 juillet 2022,</w:t>
      </w:r>
      <w:r w:rsidR="00E65055">
        <w:rPr>
          <w:lang w:val="fr-FR"/>
        </w:rPr>
        <w:t> § 153.</w:t>
      </w:r>
    </w:p>
  </w:footnote>
  <w:footnote w:id="18">
    <w:p w14:paraId="7B17103C" w14:textId="3A7D69CB" w:rsidR="007C1888" w:rsidRPr="007C1888" w:rsidRDefault="007C1888" w:rsidP="007C1888">
      <w:pPr>
        <w:pStyle w:val="Notedebasdepage"/>
        <w:jc w:val="both"/>
      </w:pPr>
      <w:r>
        <w:rPr>
          <w:rStyle w:val="Appelnotedebasdep"/>
        </w:rPr>
        <w:footnoteRef/>
      </w:r>
      <w:r>
        <w:t xml:space="preserve"> Pour un contexte médical différent de celui des tests osseux, </w:t>
      </w:r>
      <w:proofErr w:type="spellStart"/>
      <w:r>
        <w:t>voy</w:t>
      </w:r>
      <w:proofErr w:type="spellEnd"/>
      <w:r>
        <w:t xml:space="preserve">. </w:t>
      </w:r>
      <w:proofErr w:type="gramStart"/>
      <w:r>
        <w:t>dernièrement</w:t>
      </w:r>
      <w:proofErr w:type="gramEnd"/>
      <w:r>
        <w:t xml:space="preserve"> : Cour </w:t>
      </w:r>
      <w:proofErr w:type="spellStart"/>
      <w:r>
        <w:t>eur</w:t>
      </w:r>
      <w:proofErr w:type="spellEnd"/>
      <w:r>
        <w:t xml:space="preserve">. D. H., </w:t>
      </w:r>
      <w:r w:rsidRPr="007C1888">
        <w:rPr>
          <w:i/>
          <w:iCs/>
        </w:rPr>
        <w:t>S.O. c. Espagne</w:t>
      </w:r>
      <w:r>
        <w:t>, 26 juin 2025.</w:t>
      </w:r>
    </w:p>
  </w:footnote>
  <w:footnote w:id="19">
    <w:p w14:paraId="7181177D" w14:textId="75F8B94A" w:rsidR="00BF162D" w:rsidRDefault="00BF162D" w:rsidP="00BF162D">
      <w:pPr>
        <w:pStyle w:val="Notedebasdepage"/>
      </w:pPr>
      <w:r>
        <w:rPr>
          <w:rStyle w:val="Appelnotedebasdep"/>
        </w:rPr>
        <w:footnoteRef/>
      </w:r>
      <w:r>
        <w:t xml:space="preserve"> Art</w:t>
      </w:r>
      <w:r w:rsidR="00941EC7">
        <w:t>icle</w:t>
      </w:r>
      <w:r>
        <w:t xml:space="preserve"> 7, §</w:t>
      </w:r>
      <w:r w:rsidR="009A174A">
        <w:t xml:space="preserve"> </w:t>
      </w:r>
      <w:r>
        <w:t xml:space="preserve">1 de la </w:t>
      </w:r>
      <w:r w:rsidR="009A174A">
        <w:t>L</w:t>
      </w:r>
      <w:r>
        <w:t xml:space="preserve">oi sur la </w:t>
      </w:r>
      <w:r w:rsidR="009A174A">
        <w:t>t</w:t>
      </w:r>
      <w:r>
        <w:t>utelle.</w:t>
      </w:r>
    </w:p>
  </w:footnote>
  <w:footnote w:id="20">
    <w:p w14:paraId="0094D04D" w14:textId="7561A619" w:rsidR="00711710" w:rsidRPr="00F73D98" w:rsidRDefault="00711710" w:rsidP="003410CF">
      <w:pPr>
        <w:pStyle w:val="Notedebasdepage"/>
        <w:jc w:val="both"/>
        <w:rPr>
          <w:lang w:val="fr-FR"/>
        </w:rPr>
      </w:pPr>
      <w:r>
        <w:rPr>
          <w:rStyle w:val="Appelnotedebasdep"/>
        </w:rPr>
        <w:footnoteRef/>
      </w:r>
      <w:r>
        <w:t xml:space="preserve"> </w:t>
      </w:r>
      <w:r w:rsidRPr="00B51CAE">
        <w:t>CE, 27 mai 2025</w:t>
      </w:r>
      <w:r w:rsidR="003410CF">
        <w:t xml:space="preserve">, </w:t>
      </w:r>
      <w:r w:rsidR="003410CF" w:rsidRPr="00B51CAE">
        <w:t>n° 263.448</w:t>
      </w:r>
      <w:r w:rsidR="00797B31">
        <w:t xml:space="preserve">, </w:t>
      </w:r>
      <w:proofErr w:type="spellStart"/>
      <w:r w:rsidR="00797B31">
        <w:t>spéc</w:t>
      </w:r>
      <w:proofErr w:type="spellEnd"/>
      <w:r w:rsidR="00797B31">
        <w:t>. pp. 8 et 9.</w:t>
      </w:r>
      <w:r w:rsidR="003410CF">
        <w:t xml:space="preserve"> </w:t>
      </w:r>
      <w:r w:rsidR="00C80B12">
        <w:rPr>
          <w:i/>
          <w:iCs/>
        </w:rPr>
        <w:t>Contra </w:t>
      </w:r>
      <w:r w:rsidR="00C80B12">
        <w:t>: dans une application rigoriste des exigences procédurales, le Conseil d’</w:t>
      </w:r>
      <w:r w:rsidR="00D241F7" w:rsidRPr="00D241F7">
        <w:t>É</w:t>
      </w:r>
      <w:r w:rsidR="00C80B12">
        <w:t xml:space="preserve">tat a par contre rejeté l’argument fondé sur l’arrêt </w:t>
      </w:r>
      <w:r w:rsidR="00C80B12" w:rsidRPr="00F73D98">
        <w:rPr>
          <w:i/>
          <w:iCs/>
        </w:rPr>
        <w:t>F.B. c. Belgique</w:t>
      </w:r>
      <w:r w:rsidR="00801A19">
        <w:t xml:space="preserve"> </w:t>
      </w:r>
      <w:r w:rsidR="00035452">
        <w:t xml:space="preserve">et invoqué à l’audience </w:t>
      </w:r>
      <w:r w:rsidR="00F73D98">
        <w:t xml:space="preserve">au motif </w:t>
      </w:r>
      <w:r w:rsidR="00801A19">
        <w:t>que la requête initiale de la partie requérante n’invoquait la violation de l’article 8 de la Convention</w:t>
      </w:r>
      <w:r w:rsidR="00C80B12">
        <w:t>.</w:t>
      </w:r>
      <w:r w:rsidR="00F73D98">
        <w:t xml:space="preserve"> Et </w:t>
      </w:r>
      <w:r w:rsidR="00F73D98">
        <w:rPr>
          <w:i/>
          <w:iCs/>
        </w:rPr>
        <w:t>a fortiori</w:t>
      </w:r>
      <w:r w:rsidR="00F73D98">
        <w:t>, dans un dossier où</w:t>
      </w:r>
      <w:r w:rsidR="00035452">
        <w:t xml:space="preserve"> la jurisprudence</w:t>
      </w:r>
      <w:r w:rsidR="00F73D98">
        <w:t xml:space="preserve"> </w:t>
      </w:r>
      <w:r w:rsidR="00F73D98" w:rsidRPr="00035452">
        <w:rPr>
          <w:i/>
          <w:iCs/>
        </w:rPr>
        <w:t>F.B. c. Belgique</w:t>
      </w:r>
      <w:r w:rsidR="00F73D98">
        <w:t xml:space="preserve"> n’a pas même été soulevé à l’audience : CE, 28 mai 2025, n° 263.477.</w:t>
      </w:r>
    </w:p>
  </w:footnote>
  <w:footnote w:id="21">
    <w:p w14:paraId="0DC94531" w14:textId="553EDD74" w:rsidR="00C834E8" w:rsidRPr="007223BB" w:rsidRDefault="00C834E8" w:rsidP="00B21E05">
      <w:pPr>
        <w:pStyle w:val="Notedebasdepage"/>
        <w:jc w:val="both"/>
        <w:rPr>
          <w:lang w:val="fr-FR"/>
        </w:rPr>
      </w:pPr>
      <w:r>
        <w:rPr>
          <w:rStyle w:val="Appelnotedebasdep"/>
        </w:rPr>
        <w:footnoteRef/>
      </w:r>
      <w:r>
        <w:t xml:space="preserve"> </w:t>
      </w:r>
      <w:r>
        <w:rPr>
          <w:lang w:val="fr-FR"/>
        </w:rPr>
        <w:t xml:space="preserve">En ce sens, </w:t>
      </w:r>
      <w:proofErr w:type="spellStart"/>
      <w:r>
        <w:rPr>
          <w:lang w:val="fr-FR"/>
        </w:rPr>
        <w:t>voy</w:t>
      </w:r>
      <w:proofErr w:type="spellEnd"/>
      <w:r>
        <w:rPr>
          <w:lang w:val="fr-FR"/>
        </w:rPr>
        <w:t>.</w:t>
      </w:r>
      <w:r w:rsidR="00B21E05">
        <w:rPr>
          <w:lang w:val="fr-FR"/>
        </w:rPr>
        <w:t xml:space="preserve"> CCE, 18 avril 2025, n° 325 448 ;</w:t>
      </w:r>
      <w:r>
        <w:rPr>
          <w:lang w:val="fr-FR"/>
        </w:rPr>
        <w:t xml:space="preserve"> </w:t>
      </w:r>
      <w:r w:rsidRPr="004D5BB6">
        <w:rPr>
          <w:lang w:val="fr-FR"/>
        </w:rPr>
        <w:t>CCE, 29 avril 2025, n° 325</w:t>
      </w:r>
      <w:r>
        <w:rPr>
          <w:lang w:val="fr-FR"/>
        </w:rPr>
        <w:t> </w:t>
      </w:r>
      <w:r w:rsidRPr="004D5BB6">
        <w:rPr>
          <w:lang w:val="fr-FR"/>
        </w:rPr>
        <w:t>976</w:t>
      </w:r>
      <w:r>
        <w:rPr>
          <w:lang w:val="fr-FR"/>
        </w:rPr>
        <w:t> et</w:t>
      </w:r>
      <w:r w:rsidRPr="004D5BB6">
        <w:rPr>
          <w:lang w:val="fr-FR"/>
        </w:rPr>
        <w:t xml:space="preserve"> CCE, 13 mai 2025, </w:t>
      </w:r>
      <w:r>
        <w:rPr>
          <w:lang w:val="fr-FR"/>
        </w:rPr>
        <w:t>n</w:t>
      </w:r>
      <w:r w:rsidRPr="004D5BB6">
        <w:rPr>
          <w:lang w:val="fr-FR"/>
        </w:rPr>
        <w:t>° 326</w:t>
      </w:r>
      <w:r>
        <w:rPr>
          <w:lang w:val="fr-FR"/>
        </w:rPr>
        <w:t> </w:t>
      </w:r>
      <w:r w:rsidRPr="004D5BB6">
        <w:rPr>
          <w:lang w:val="fr-FR"/>
        </w:rPr>
        <w:t>529</w:t>
      </w:r>
      <w:r>
        <w:rPr>
          <w:lang w:val="fr-FR"/>
        </w:rPr>
        <w:t>.</w:t>
      </w:r>
      <w:r w:rsidR="007223BB">
        <w:rPr>
          <w:lang w:val="fr-FR"/>
        </w:rPr>
        <w:t xml:space="preserve"> </w:t>
      </w:r>
      <w:r w:rsidR="007223BB">
        <w:rPr>
          <w:i/>
          <w:iCs/>
          <w:lang w:val="fr-FR"/>
        </w:rPr>
        <w:t>Contra </w:t>
      </w:r>
      <w:r w:rsidR="007223BB">
        <w:rPr>
          <w:lang w:val="fr-FR"/>
        </w:rPr>
        <w:t>: CCE, 20 avril 2025, n° 325 449.</w:t>
      </w:r>
    </w:p>
  </w:footnote>
  <w:footnote w:id="22">
    <w:p w14:paraId="6F80B953" w14:textId="754DC0B2" w:rsidR="00E129D1" w:rsidRPr="0023333D" w:rsidRDefault="00E129D1" w:rsidP="00E96B76">
      <w:pPr>
        <w:pStyle w:val="Notedebasdepage"/>
        <w:jc w:val="both"/>
        <w:rPr>
          <w:lang w:val="fr-FR"/>
        </w:rPr>
      </w:pPr>
      <w:r>
        <w:rPr>
          <w:rStyle w:val="Appelnotedebasdep"/>
        </w:rPr>
        <w:footnoteRef/>
      </w:r>
      <w:r w:rsidRPr="0023333D">
        <w:rPr>
          <w:lang w:val="fr-FR"/>
        </w:rPr>
        <w:t xml:space="preserve"> </w:t>
      </w:r>
      <w:r w:rsidR="00E96B76">
        <w:rPr>
          <w:lang w:val="fr-FR"/>
        </w:rPr>
        <w:t>Myria, « </w:t>
      </w:r>
      <w:r w:rsidR="00E96B76" w:rsidRPr="00E96B76">
        <w:t>PV réunion de contact protection internationale</w:t>
      </w:r>
      <w:r w:rsidR="00E96B76">
        <w:t xml:space="preserve"> », </w:t>
      </w:r>
      <w:r w:rsidR="00E96B76">
        <w:rPr>
          <w:lang w:val="fr-FR"/>
        </w:rPr>
        <w:t>d</w:t>
      </w:r>
      <w:r w:rsidR="00592612">
        <w:rPr>
          <w:lang w:val="fr-FR"/>
        </w:rPr>
        <w:t xml:space="preserve">isponible sur : </w:t>
      </w:r>
      <w:hyperlink r:id="rId7" w:history="1">
        <w:r w:rsidR="00E96B76" w:rsidRPr="000869D9">
          <w:rPr>
            <w:rStyle w:val="Lienhypertexte"/>
            <w:lang w:val="fr-FR"/>
          </w:rPr>
          <w:t>www.myria.be</w:t>
        </w:r>
      </w:hyperlink>
      <w:r w:rsidR="00E96B76">
        <w:rPr>
          <w:lang w:val="fr-FR"/>
        </w:rPr>
        <w:t xml:space="preserve"> </w:t>
      </w:r>
      <w:r w:rsidR="00592612">
        <w:rPr>
          <w:lang w:val="fr-FR"/>
        </w:rPr>
        <w:t xml:space="preserve">, </w:t>
      </w:r>
      <w:r w:rsidR="00E96B76">
        <w:rPr>
          <w:lang w:val="fr-FR"/>
        </w:rPr>
        <w:t>23 avril 2025</w:t>
      </w:r>
      <w:r w:rsidR="00592612">
        <w:t>, pp. 37 et 38.</w:t>
      </w:r>
    </w:p>
  </w:footnote>
  <w:footnote w:id="23">
    <w:p w14:paraId="475D950E" w14:textId="2533DFC3" w:rsidR="007223BB" w:rsidRPr="007223BB" w:rsidRDefault="007223BB" w:rsidP="005C1729">
      <w:pPr>
        <w:pStyle w:val="Notedebasdepage"/>
        <w:jc w:val="both"/>
      </w:pPr>
      <w:r>
        <w:rPr>
          <w:rStyle w:val="Appelnotedebasdep"/>
        </w:rPr>
        <w:footnoteRef/>
      </w:r>
      <w:r>
        <w:t xml:space="preserve"> </w:t>
      </w:r>
      <w:r w:rsidR="00454A56">
        <w:t xml:space="preserve">Règlement </w:t>
      </w:r>
      <w:r w:rsidR="00454A56" w:rsidRPr="003B2180">
        <w:t xml:space="preserve">2024/1348 </w:t>
      </w:r>
      <w:r w:rsidR="00454A56">
        <w:t xml:space="preserve">du Parlement européen et du </w:t>
      </w:r>
      <w:r w:rsidR="005C1729">
        <w:t>C</w:t>
      </w:r>
      <w:r w:rsidR="00454A56">
        <w:t xml:space="preserve">onseil </w:t>
      </w:r>
      <w:r w:rsidR="00454A56" w:rsidRPr="003B2180">
        <w:t>instituant une procédure commune en matière de protection internationale dans l’Union</w:t>
      </w:r>
      <w:r w:rsidR="00454A56">
        <w:t xml:space="preserve"> </w:t>
      </w:r>
      <w:r w:rsidR="00454A56" w:rsidRPr="003B2180">
        <w:t xml:space="preserve">et abrogeant la </w:t>
      </w:r>
      <w:r w:rsidR="00454A56">
        <w:t>D</w:t>
      </w:r>
      <w:r w:rsidR="00454A56" w:rsidRPr="003B2180">
        <w:t>irective 2013/32/UE</w:t>
      </w:r>
      <w:r w:rsidR="00454A56">
        <w:t xml:space="preserve">, </w:t>
      </w:r>
      <w:r w:rsidR="00454A56">
        <w:rPr>
          <w:i/>
          <w:iCs/>
        </w:rPr>
        <w:t>J.O.U.E.</w:t>
      </w:r>
      <w:r w:rsidR="00454A56">
        <w:t xml:space="preserve">, </w:t>
      </w:r>
      <w:proofErr w:type="spellStart"/>
      <w:r w:rsidR="000C6856">
        <w:t>L</w:t>
      </w:r>
      <w:proofErr w:type="spellEnd"/>
      <w:r w:rsidR="000C6856">
        <w:t xml:space="preserve"> séries, 14 mai 2024.</w:t>
      </w:r>
    </w:p>
  </w:footnote>
  <w:footnote w:id="24">
    <w:p w14:paraId="19CC0218" w14:textId="77777777" w:rsidR="0082315A" w:rsidRPr="0023333D" w:rsidRDefault="0082315A" w:rsidP="0082315A">
      <w:pPr>
        <w:pStyle w:val="Notedebasdepage"/>
        <w:rPr>
          <w:lang w:val="fr-FR"/>
        </w:rPr>
      </w:pPr>
      <w:r>
        <w:rPr>
          <w:rStyle w:val="Appelnotedebasdep"/>
        </w:rPr>
        <w:footnoteRef/>
      </w:r>
      <w:r>
        <w:t xml:space="preserve"> </w:t>
      </w:r>
      <w:proofErr w:type="spellStart"/>
      <w:r>
        <w:rPr>
          <w:lang w:val="fr-FR"/>
        </w:rPr>
        <w:t>Voy</w:t>
      </w:r>
      <w:proofErr w:type="spellEnd"/>
      <w:r>
        <w:rPr>
          <w:lang w:val="fr-FR"/>
        </w:rPr>
        <w:t xml:space="preserve">. </w:t>
      </w:r>
      <w:proofErr w:type="gramStart"/>
      <w:r>
        <w:rPr>
          <w:lang w:val="fr-FR"/>
        </w:rPr>
        <w:t>également</w:t>
      </w:r>
      <w:proofErr w:type="gramEnd"/>
      <w:r>
        <w:rPr>
          <w:lang w:val="fr-FR"/>
        </w:rPr>
        <w:t xml:space="preserve"> les considérants 35 à 37 du Règlement n° 2024/1348.</w:t>
      </w:r>
    </w:p>
  </w:footnote>
  <w:footnote w:id="25">
    <w:p w14:paraId="00DD458D" w14:textId="4F11C2F3" w:rsidR="00ED22F9" w:rsidRPr="00ED22F9" w:rsidRDefault="00ED22F9" w:rsidP="00ED22F9">
      <w:pPr>
        <w:pStyle w:val="Notedebasdepage"/>
        <w:jc w:val="both"/>
        <w:rPr>
          <w:lang w:val="fr-FR"/>
        </w:rPr>
      </w:pPr>
      <w:r>
        <w:rPr>
          <w:rStyle w:val="Appelnotedebasdep"/>
        </w:rPr>
        <w:footnoteRef/>
      </w:r>
      <w:r>
        <w:t xml:space="preserve"> </w:t>
      </w:r>
      <w:r>
        <w:rPr>
          <w:lang w:val="fr-FR"/>
        </w:rPr>
        <w:t>Soit les demandeurs du statut de réfugié ou de la protection subsidiaire (a</w:t>
      </w:r>
      <w:proofErr w:type="spellStart"/>
      <w:r>
        <w:t>rticle</w:t>
      </w:r>
      <w:proofErr w:type="spellEnd"/>
      <w:r>
        <w:t xml:space="preserve"> 3, 5) du Règlement n° 2024/1348)</w:t>
      </w:r>
      <w:r>
        <w:rPr>
          <w:lang w:val="fr-FR"/>
        </w:rPr>
        <w:t>.</w:t>
      </w:r>
    </w:p>
  </w:footnote>
  <w:footnote w:id="26">
    <w:p w14:paraId="275C7353" w14:textId="3D5C18C4" w:rsidR="002E1369" w:rsidRPr="002E1369" w:rsidRDefault="002E1369">
      <w:pPr>
        <w:pStyle w:val="Notedebasdepage"/>
        <w:rPr>
          <w:lang w:val="fr-FR"/>
        </w:rPr>
      </w:pPr>
      <w:r>
        <w:rPr>
          <w:rStyle w:val="Appelnotedebasdep"/>
        </w:rPr>
        <w:footnoteRef/>
      </w:r>
      <w:r>
        <w:t xml:space="preserve"> </w:t>
      </w:r>
      <w:r w:rsidR="0088161C">
        <w:rPr>
          <w:lang w:val="fr-FR"/>
        </w:rPr>
        <w:t>Article 6, §</w:t>
      </w:r>
      <w:r w:rsidR="00010844">
        <w:rPr>
          <w:lang w:val="fr-FR"/>
        </w:rPr>
        <w:t xml:space="preserve"> </w:t>
      </w:r>
      <w:r w:rsidR="0088161C">
        <w:rPr>
          <w:lang w:val="fr-FR"/>
        </w:rPr>
        <w:t xml:space="preserve">3 de la Loi sur la </w:t>
      </w:r>
      <w:r w:rsidR="00813410">
        <w:rPr>
          <w:lang w:val="fr-FR"/>
        </w:rPr>
        <w:t>t</w:t>
      </w:r>
      <w:r w:rsidR="0088161C">
        <w:rPr>
          <w:lang w:val="fr-FR"/>
        </w:rPr>
        <w:t>utelle.</w:t>
      </w:r>
    </w:p>
  </w:footnote>
  <w:footnote w:id="27">
    <w:p w14:paraId="7AD1B555" w14:textId="78E06BF1" w:rsidR="002D43DD" w:rsidRPr="002D43DD" w:rsidRDefault="002D43DD" w:rsidP="00624372">
      <w:pPr>
        <w:pStyle w:val="Notedebasdepage"/>
        <w:jc w:val="both"/>
      </w:pPr>
      <w:r>
        <w:rPr>
          <w:rStyle w:val="Appelnotedebasdep"/>
        </w:rPr>
        <w:footnoteRef/>
      </w:r>
      <w:r>
        <w:t xml:space="preserve"> </w:t>
      </w:r>
      <w:r w:rsidR="0064188E">
        <w:rPr>
          <w:lang w:val="fr-FR"/>
        </w:rPr>
        <w:t xml:space="preserve">C. </w:t>
      </w:r>
      <w:proofErr w:type="spellStart"/>
      <w:r w:rsidR="0064188E" w:rsidRPr="00CF0A92">
        <w:rPr>
          <w:smallCaps/>
          <w:lang w:val="fr-FR"/>
        </w:rPr>
        <w:t>Ghymers</w:t>
      </w:r>
      <w:proofErr w:type="spellEnd"/>
      <w:r w:rsidR="0064188E">
        <w:rPr>
          <w:lang w:val="fr-FR"/>
        </w:rPr>
        <w:t>, « </w:t>
      </w:r>
      <w:r w:rsidR="0064188E">
        <w:t>Commentai</w:t>
      </w:r>
      <w:r w:rsidR="0064188E">
        <w:rPr>
          <w:lang w:val="fr-FR"/>
        </w:rPr>
        <w:t xml:space="preserve">re des </w:t>
      </w:r>
      <w:r w:rsidR="0064188E">
        <w:t>Recommandations du Comité des Ministres aux États membres sur les principes des droits de l’homme et lignes directrices en matière d’évaluation de l’âge dans le contexte de la migration (CM/Rec(2022)22)</w:t>
      </w:r>
      <w:r w:rsidR="0064188E">
        <w:rPr>
          <w:lang w:val="fr-FR"/>
        </w:rPr>
        <w:t xml:space="preserve"> </w:t>
      </w:r>
      <w:r w:rsidR="0064188E">
        <w:t>»</w:t>
      </w:r>
      <w:r w:rsidR="0064188E">
        <w:rPr>
          <w:lang w:val="fr-FR"/>
        </w:rPr>
        <w:t xml:space="preserve">, </w:t>
      </w:r>
      <w:r w:rsidR="0064188E" w:rsidRPr="0064188E">
        <w:rPr>
          <w:i/>
          <w:iCs/>
          <w:lang w:val="fr-FR"/>
        </w:rPr>
        <w:t xml:space="preserve">op. </w:t>
      </w:r>
      <w:proofErr w:type="spellStart"/>
      <w:proofErr w:type="gramStart"/>
      <w:r w:rsidR="0064188E" w:rsidRPr="0064188E">
        <w:rPr>
          <w:i/>
          <w:iCs/>
          <w:lang w:val="fr-FR"/>
        </w:rPr>
        <w:t>cit</w:t>
      </w:r>
      <w:proofErr w:type="spellEnd"/>
      <w:proofErr w:type="gramEnd"/>
      <w:r w:rsidR="0064188E">
        <w:rPr>
          <w:lang w:val="fr-FR"/>
        </w:rPr>
        <w:t>., p. 2</w:t>
      </w:r>
      <w:r w:rsidR="0064188E">
        <w:rPr>
          <w:lang w:val="fr-FR"/>
        </w:rPr>
        <w:t>2</w:t>
      </w:r>
      <w:r w:rsidR="0064188E">
        <w:rPr>
          <w:lang w:val="fr-FR"/>
        </w:rPr>
        <w:t xml:space="preserve">. </w:t>
      </w:r>
      <w:r w:rsidR="00624372">
        <w:t>L’accord de gouvernement envisage néanmoins « </w:t>
      </w:r>
      <w:r w:rsidR="00624372" w:rsidRPr="00624372">
        <w:t>la possibilité de nommer immédiatement un tuteur provisoire pour chaque jeune</w:t>
      </w:r>
      <w:r w:rsidR="00624372">
        <w:t xml:space="preserve"> », </w:t>
      </w:r>
      <w:r w:rsidR="00624372" w:rsidRPr="00624372">
        <w:t>Accord de coalition</w:t>
      </w:r>
      <w:r w:rsidR="0049452E">
        <w:t xml:space="preserve"> fédérale</w:t>
      </w:r>
      <w:r w:rsidR="00624372" w:rsidRPr="00624372">
        <w:t xml:space="preserve"> 2025-2029, disponible sur </w:t>
      </w:r>
      <w:hyperlink r:id="rId8" w:history="1">
        <w:r w:rsidR="00624372" w:rsidRPr="00624372">
          <w:rPr>
            <w:rStyle w:val="Lienhypertexte"/>
          </w:rPr>
          <w:t>www.belgium.be</w:t>
        </w:r>
      </w:hyperlink>
      <w:r w:rsidR="00624372">
        <w:t xml:space="preserve"> </w:t>
      </w:r>
      <w:r w:rsidR="0049452E">
        <w:t xml:space="preserve">, 31 janvier 2025, </w:t>
      </w:r>
      <w:r w:rsidR="00624372">
        <w:t>p. 177.</w:t>
      </w:r>
    </w:p>
  </w:footnote>
  <w:footnote w:id="28">
    <w:p w14:paraId="50EB0051" w14:textId="160CB22A" w:rsidR="002038AD" w:rsidRPr="002038AD" w:rsidRDefault="002038AD">
      <w:pPr>
        <w:pStyle w:val="Notedebasdepage"/>
      </w:pPr>
      <w:r>
        <w:rPr>
          <w:rStyle w:val="Appelnotedebasdep"/>
        </w:rPr>
        <w:footnoteRef/>
      </w:r>
      <w:r>
        <w:t xml:space="preserve"> </w:t>
      </w:r>
      <w:r w:rsidRPr="002038AD">
        <w:t xml:space="preserve">Cour </w:t>
      </w:r>
      <w:proofErr w:type="spellStart"/>
      <w:r w:rsidRPr="002038AD">
        <w:t>eur</w:t>
      </w:r>
      <w:proofErr w:type="spellEnd"/>
      <w:r w:rsidRPr="002038AD">
        <w:t xml:space="preserve">. D.H., </w:t>
      </w:r>
      <w:r w:rsidRPr="002038AD">
        <w:rPr>
          <w:i/>
          <w:iCs/>
        </w:rPr>
        <w:t>F.B. c. Belgique</w:t>
      </w:r>
      <w:r w:rsidRPr="002038AD">
        <w:t>, 6 mars 2025</w:t>
      </w:r>
      <w:r>
        <w:t>, §88.</w:t>
      </w:r>
    </w:p>
  </w:footnote>
  <w:footnote w:id="29">
    <w:p w14:paraId="2B069F26" w14:textId="676684FB" w:rsidR="00CF33F3" w:rsidRPr="00CF33F3" w:rsidRDefault="00CF33F3" w:rsidP="00CF33F3">
      <w:pPr>
        <w:pStyle w:val="Notedebasdepage"/>
        <w:jc w:val="both"/>
        <w:rPr>
          <w:lang w:val="fr-FR"/>
        </w:rPr>
      </w:pPr>
      <w:r>
        <w:rPr>
          <w:rStyle w:val="Appelnotedebasdep"/>
        </w:rPr>
        <w:footnoteRef/>
      </w:r>
      <w:r>
        <w:t xml:space="preserve"> Ce qui laisse subsister la question de l’autorité compétence pour la détermination de l’âge d’une personne qui se trouve en dehors d’une demande de protection internationale.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13A2" w14:textId="053DDF77" w:rsidR="00E44158" w:rsidRPr="00E44158" w:rsidRDefault="00E44158">
    <w:pPr>
      <w:pStyle w:val="En-tte"/>
      <w:rPr>
        <w:rFonts w:ascii="Arial" w:hAnsi="Arial" w:cs="Arial"/>
      </w:rPr>
    </w:pPr>
    <w:r w:rsidRPr="00E44158">
      <w:rPr>
        <w:rFonts w:ascii="Arial" w:hAnsi="Arial" w:cs="Arial"/>
      </w:rPr>
      <w:t>Alix Ernoux</w:t>
    </w:r>
    <w:r>
      <w:rPr>
        <w:rFonts w:ascii="Arial" w:hAnsi="Arial" w:cs="Arial"/>
      </w:rPr>
      <w:t xml:space="preserve"> – RDE (avril-mai-juin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72F4C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C43EBE"/>
    <w:multiLevelType w:val="hybridMultilevel"/>
    <w:tmpl w:val="E3B2E1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CA48E0"/>
    <w:multiLevelType w:val="hybridMultilevel"/>
    <w:tmpl w:val="D6AE4C18"/>
    <w:lvl w:ilvl="0" w:tplc="9AECBED4">
      <w:start w:val="1"/>
      <w:numFmt w:val="bullet"/>
      <w:lvlText w:val=""/>
      <w:lvlJc w:val="left"/>
      <w:pPr>
        <w:tabs>
          <w:tab w:val="num" w:pos="720"/>
        </w:tabs>
        <w:ind w:left="720" w:hanging="360"/>
      </w:pPr>
      <w:rPr>
        <w:rFonts w:ascii="Wingdings 3" w:hAnsi="Wingdings 3" w:hint="default"/>
      </w:rPr>
    </w:lvl>
    <w:lvl w:ilvl="1" w:tplc="6ACC81CE">
      <w:numFmt w:val="bullet"/>
      <w:lvlText w:val="›"/>
      <w:lvlJc w:val="left"/>
      <w:pPr>
        <w:tabs>
          <w:tab w:val="num" w:pos="1440"/>
        </w:tabs>
        <w:ind w:left="1440" w:hanging="360"/>
      </w:pPr>
      <w:rPr>
        <w:rFonts w:ascii="Calibri" w:hAnsi="Calibri" w:hint="default"/>
      </w:rPr>
    </w:lvl>
    <w:lvl w:ilvl="2" w:tplc="1DF0F4D4">
      <w:numFmt w:val="bullet"/>
      <w:lvlText w:val="»"/>
      <w:lvlJc w:val="left"/>
      <w:pPr>
        <w:tabs>
          <w:tab w:val="num" w:pos="2160"/>
        </w:tabs>
        <w:ind w:left="2160" w:hanging="360"/>
      </w:pPr>
      <w:rPr>
        <w:rFonts w:ascii="Arial" w:hAnsi="Arial" w:hint="default"/>
      </w:rPr>
    </w:lvl>
    <w:lvl w:ilvl="3" w:tplc="30E66014" w:tentative="1">
      <w:start w:val="1"/>
      <w:numFmt w:val="bullet"/>
      <w:lvlText w:val=""/>
      <w:lvlJc w:val="left"/>
      <w:pPr>
        <w:tabs>
          <w:tab w:val="num" w:pos="2880"/>
        </w:tabs>
        <w:ind w:left="2880" w:hanging="360"/>
      </w:pPr>
      <w:rPr>
        <w:rFonts w:ascii="Wingdings 3" w:hAnsi="Wingdings 3" w:hint="default"/>
      </w:rPr>
    </w:lvl>
    <w:lvl w:ilvl="4" w:tplc="78D03068" w:tentative="1">
      <w:start w:val="1"/>
      <w:numFmt w:val="bullet"/>
      <w:lvlText w:val=""/>
      <w:lvlJc w:val="left"/>
      <w:pPr>
        <w:tabs>
          <w:tab w:val="num" w:pos="3600"/>
        </w:tabs>
        <w:ind w:left="3600" w:hanging="360"/>
      </w:pPr>
      <w:rPr>
        <w:rFonts w:ascii="Wingdings 3" w:hAnsi="Wingdings 3" w:hint="default"/>
      </w:rPr>
    </w:lvl>
    <w:lvl w:ilvl="5" w:tplc="66FEA84A" w:tentative="1">
      <w:start w:val="1"/>
      <w:numFmt w:val="bullet"/>
      <w:lvlText w:val=""/>
      <w:lvlJc w:val="left"/>
      <w:pPr>
        <w:tabs>
          <w:tab w:val="num" w:pos="4320"/>
        </w:tabs>
        <w:ind w:left="4320" w:hanging="360"/>
      </w:pPr>
      <w:rPr>
        <w:rFonts w:ascii="Wingdings 3" w:hAnsi="Wingdings 3" w:hint="default"/>
      </w:rPr>
    </w:lvl>
    <w:lvl w:ilvl="6" w:tplc="92F69498" w:tentative="1">
      <w:start w:val="1"/>
      <w:numFmt w:val="bullet"/>
      <w:lvlText w:val=""/>
      <w:lvlJc w:val="left"/>
      <w:pPr>
        <w:tabs>
          <w:tab w:val="num" w:pos="5040"/>
        </w:tabs>
        <w:ind w:left="5040" w:hanging="360"/>
      </w:pPr>
      <w:rPr>
        <w:rFonts w:ascii="Wingdings 3" w:hAnsi="Wingdings 3" w:hint="default"/>
      </w:rPr>
    </w:lvl>
    <w:lvl w:ilvl="7" w:tplc="3368A4F4" w:tentative="1">
      <w:start w:val="1"/>
      <w:numFmt w:val="bullet"/>
      <w:lvlText w:val=""/>
      <w:lvlJc w:val="left"/>
      <w:pPr>
        <w:tabs>
          <w:tab w:val="num" w:pos="5760"/>
        </w:tabs>
        <w:ind w:left="5760" w:hanging="360"/>
      </w:pPr>
      <w:rPr>
        <w:rFonts w:ascii="Wingdings 3" w:hAnsi="Wingdings 3" w:hint="default"/>
      </w:rPr>
    </w:lvl>
    <w:lvl w:ilvl="8" w:tplc="8F10BD54"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263453C4"/>
    <w:multiLevelType w:val="hybridMultilevel"/>
    <w:tmpl w:val="F5CA11C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9CF1FC8"/>
    <w:multiLevelType w:val="hybridMultilevel"/>
    <w:tmpl w:val="FED6E996"/>
    <w:lvl w:ilvl="0" w:tplc="D9FC39D6">
      <w:start w:val="1"/>
      <w:numFmt w:val="bullet"/>
      <w:lvlText w:val="»"/>
      <w:lvlJc w:val="left"/>
      <w:pPr>
        <w:tabs>
          <w:tab w:val="num" w:pos="720"/>
        </w:tabs>
        <w:ind w:left="720" w:hanging="360"/>
      </w:pPr>
      <w:rPr>
        <w:rFonts w:ascii="Arial" w:hAnsi="Arial" w:hint="default"/>
      </w:rPr>
    </w:lvl>
    <w:lvl w:ilvl="1" w:tplc="22127232">
      <w:numFmt w:val="bullet"/>
      <w:lvlText w:val="›"/>
      <w:lvlJc w:val="left"/>
      <w:pPr>
        <w:tabs>
          <w:tab w:val="num" w:pos="1440"/>
        </w:tabs>
        <w:ind w:left="1440" w:hanging="360"/>
      </w:pPr>
      <w:rPr>
        <w:rFonts w:ascii="Calibri" w:hAnsi="Calibri" w:hint="default"/>
      </w:rPr>
    </w:lvl>
    <w:lvl w:ilvl="2" w:tplc="786E9C9C">
      <w:start w:val="1"/>
      <w:numFmt w:val="bullet"/>
      <w:lvlText w:val="»"/>
      <w:lvlJc w:val="left"/>
      <w:pPr>
        <w:tabs>
          <w:tab w:val="num" w:pos="2160"/>
        </w:tabs>
        <w:ind w:left="2160" w:hanging="360"/>
      </w:pPr>
      <w:rPr>
        <w:rFonts w:ascii="Arial" w:hAnsi="Arial" w:hint="default"/>
      </w:rPr>
    </w:lvl>
    <w:lvl w:ilvl="3" w:tplc="7FAEA5F0" w:tentative="1">
      <w:start w:val="1"/>
      <w:numFmt w:val="bullet"/>
      <w:lvlText w:val="»"/>
      <w:lvlJc w:val="left"/>
      <w:pPr>
        <w:tabs>
          <w:tab w:val="num" w:pos="2880"/>
        </w:tabs>
        <w:ind w:left="2880" w:hanging="360"/>
      </w:pPr>
      <w:rPr>
        <w:rFonts w:ascii="Arial" w:hAnsi="Arial" w:hint="default"/>
      </w:rPr>
    </w:lvl>
    <w:lvl w:ilvl="4" w:tplc="67B4F250" w:tentative="1">
      <w:start w:val="1"/>
      <w:numFmt w:val="bullet"/>
      <w:lvlText w:val="»"/>
      <w:lvlJc w:val="left"/>
      <w:pPr>
        <w:tabs>
          <w:tab w:val="num" w:pos="3600"/>
        </w:tabs>
        <w:ind w:left="3600" w:hanging="360"/>
      </w:pPr>
      <w:rPr>
        <w:rFonts w:ascii="Arial" w:hAnsi="Arial" w:hint="default"/>
      </w:rPr>
    </w:lvl>
    <w:lvl w:ilvl="5" w:tplc="A0489CE8" w:tentative="1">
      <w:start w:val="1"/>
      <w:numFmt w:val="bullet"/>
      <w:lvlText w:val="»"/>
      <w:lvlJc w:val="left"/>
      <w:pPr>
        <w:tabs>
          <w:tab w:val="num" w:pos="4320"/>
        </w:tabs>
        <w:ind w:left="4320" w:hanging="360"/>
      </w:pPr>
      <w:rPr>
        <w:rFonts w:ascii="Arial" w:hAnsi="Arial" w:hint="default"/>
      </w:rPr>
    </w:lvl>
    <w:lvl w:ilvl="6" w:tplc="1410FDD8" w:tentative="1">
      <w:start w:val="1"/>
      <w:numFmt w:val="bullet"/>
      <w:lvlText w:val="»"/>
      <w:lvlJc w:val="left"/>
      <w:pPr>
        <w:tabs>
          <w:tab w:val="num" w:pos="5040"/>
        </w:tabs>
        <w:ind w:left="5040" w:hanging="360"/>
      </w:pPr>
      <w:rPr>
        <w:rFonts w:ascii="Arial" w:hAnsi="Arial" w:hint="default"/>
      </w:rPr>
    </w:lvl>
    <w:lvl w:ilvl="7" w:tplc="08E8042A" w:tentative="1">
      <w:start w:val="1"/>
      <w:numFmt w:val="bullet"/>
      <w:lvlText w:val="»"/>
      <w:lvlJc w:val="left"/>
      <w:pPr>
        <w:tabs>
          <w:tab w:val="num" w:pos="5760"/>
        </w:tabs>
        <w:ind w:left="5760" w:hanging="360"/>
      </w:pPr>
      <w:rPr>
        <w:rFonts w:ascii="Arial" w:hAnsi="Arial" w:hint="default"/>
      </w:rPr>
    </w:lvl>
    <w:lvl w:ilvl="8" w:tplc="2380381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B150F84"/>
    <w:multiLevelType w:val="hybridMultilevel"/>
    <w:tmpl w:val="3110B7EE"/>
    <w:lvl w:ilvl="0" w:tplc="080C0017">
      <w:start w:val="1"/>
      <w:numFmt w:val="lowerLetter"/>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E913EE4"/>
    <w:multiLevelType w:val="multilevel"/>
    <w:tmpl w:val="3796D628"/>
    <w:styleLink w:val="DIP"/>
    <w:lvl w:ilvl="0">
      <w:start w:val="1"/>
      <w:numFmt w:val="decimal"/>
      <w:lvlText w:val="Section %1 - "/>
      <w:lvlJc w:val="right"/>
      <w:pPr>
        <w:ind w:left="1418" w:hanging="2"/>
      </w:pPr>
      <w:rPr>
        <w:rFonts w:ascii="Roboto" w:hAnsi="Roboto" w:hint="default"/>
        <w:b/>
        <w:bCs w:val="0"/>
        <w:i w:val="0"/>
        <w:iCs w:val="0"/>
        <w:caps w:val="0"/>
        <w:smallCaps w:val="0"/>
        <w:strike w:val="0"/>
        <w:dstrike w:val="0"/>
        <w:outline w:val="0"/>
        <w:shadow w:val="0"/>
        <w:emboss w:val="0"/>
        <w:imprint w:val="0"/>
        <w:noProof w:val="0"/>
        <w:vanish w:val="0"/>
        <w:color w:val="000000" w:themeColor="text2"/>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2. "/>
      <w:lvlJc w:val="left"/>
      <w:pPr>
        <w:ind w:left="1134" w:hanging="113"/>
      </w:pPr>
      <w:rPr>
        <w:rFonts w:ascii="Roboto" w:hAnsi="Roboto" w:hint="default"/>
        <w:b/>
        <w:i w:val="0"/>
        <w:color w:val="F26314"/>
      </w:rPr>
    </w:lvl>
    <w:lvl w:ilvl="2">
      <w:start w:val="1"/>
      <w:numFmt w:val="decimal"/>
      <w:lvlText w:val="%2.%3."/>
      <w:lvlJc w:val="right"/>
      <w:pPr>
        <w:ind w:left="2160" w:hanging="180"/>
      </w:pPr>
      <w:rPr>
        <w:rFonts w:ascii="Roboto" w:hAnsi="Roboto" w:hint="default"/>
        <w:b/>
        <w:i w:val="0"/>
        <w:color w:val="B9B9B9" w:themeColor="background2" w:themeShade="BF"/>
      </w:rPr>
    </w:lvl>
    <w:lvl w:ilvl="3">
      <w:start w:val="1"/>
      <w:numFmt w:val="lowerLetter"/>
      <w:lvlRestart w:val="1"/>
      <w:lvlText w:val="%4)"/>
      <w:lvlJc w:val="left"/>
      <w:pPr>
        <w:ind w:left="2880" w:hanging="360"/>
      </w:pPr>
      <w:rPr>
        <w:rFonts w:ascii="Roboto" w:hAnsi="Roboto" w:hint="default"/>
        <w:b/>
        <w:i w:val="0"/>
        <w:color w:val="F8F8F8" w:themeColor="background2"/>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9121E65"/>
    <w:multiLevelType w:val="hybridMultilevel"/>
    <w:tmpl w:val="8A52CFE4"/>
    <w:lvl w:ilvl="0" w:tplc="DBE44CA6">
      <w:start w:val="1"/>
      <w:numFmt w:val="bullet"/>
      <w:lvlText w:val="›"/>
      <w:lvlJc w:val="left"/>
      <w:pPr>
        <w:tabs>
          <w:tab w:val="num" w:pos="720"/>
        </w:tabs>
        <w:ind w:left="720" w:hanging="360"/>
      </w:pPr>
      <w:rPr>
        <w:rFonts w:ascii="Calibri" w:hAnsi="Calibri" w:hint="default"/>
      </w:rPr>
    </w:lvl>
    <w:lvl w:ilvl="1" w:tplc="CFE06AB6">
      <w:start w:val="1"/>
      <w:numFmt w:val="bullet"/>
      <w:lvlText w:val="›"/>
      <w:lvlJc w:val="left"/>
      <w:pPr>
        <w:tabs>
          <w:tab w:val="num" w:pos="1440"/>
        </w:tabs>
        <w:ind w:left="1440" w:hanging="360"/>
      </w:pPr>
      <w:rPr>
        <w:rFonts w:ascii="Calibri" w:hAnsi="Calibri" w:hint="default"/>
      </w:rPr>
    </w:lvl>
    <w:lvl w:ilvl="2" w:tplc="55309F6E" w:tentative="1">
      <w:start w:val="1"/>
      <w:numFmt w:val="bullet"/>
      <w:lvlText w:val="›"/>
      <w:lvlJc w:val="left"/>
      <w:pPr>
        <w:tabs>
          <w:tab w:val="num" w:pos="2160"/>
        </w:tabs>
        <w:ind w:left="2160" w:hanging="360"/>
      </w:pPr>
      <w:rPr>
        <w:rFonts w:ascii="Calibri" w:hAnsi="Calibri" w:hint="default"/>
      </w:rPr>
    </w:lvl>
    <w:lvl w:ilvl="3" w:tplc="CB9EF0CE" w:tentative="1">
      <w:start w:val="1"/>
      <w:numFmt w:val="bullet"/>
      <w:lvlText w:val="›"/>
      <w:lvlJc w:val="left"/>
      <w:pPr>
        <w:tabs>
          <w:tab w:val="num" w:pos="2880"/>
        </w:tabs>
        <w:ind w:left="2880" w:hanging="360"/>
      </w:pPr>
      <w:rPr>
        <w:rFonts w:ascii="Calibri" w:hAnsi="Calibri" w:hint="default"/>
      </w:rPr>
    </w:lvl>
    <w:lvl w:ilvl="4" w:tplc="BBC863D2" w:tentative="1">
      <w:start w:val="1"/>
      <w:numFmt w:val="bullet"/>
      <w:lvlText w:val="›"/>
      <w:lvlJc w:val="left"/>
      <w:pPr>
        <w:tabs>
          <w:tab w:val="num" w:pos="3600"/>
        </w:tabs>
        <w:ind w:left="3600" w:hanging="360"/>
      </w:pPr>
      <w:rPr>
        <w:rFonts w:ascii="Calibri" w:hAnsi="Calibri" w:hint="default"/>
      </w:rPr>
    </w:lvl>
    <w:lvl w:ilvl="5" w:tplc="EDFA394C" w:tentative="1">
      <w:start w:val="1"/>
      <w:numFmt w:val="bullet"/>
      <w:lvlText w:val="›"/>
      <w:lvlJc w:val="left"/>
      <w:pPr>
        <w:tabs>
          <w:tab w:val="num" w:pos="4320"/>
        </w:tabs>
        <w:ind w:left="4320" w:hanging="360"/>
      </w:pPr>
      <w:rPr>
        <w:rFonts w:ascii="Calibri" w:hAnsi="Calibri" w:hint="default"/>
      </w:rPr>
    </w:lvl>
    <w:lvl w:ilvl="6" w:tplc="821A9F0E" w:tentative="1">
      <w:start w:val="1"/>
      <w:numFmt w:val="bullet"/>
      <w:lvlText w:val="›"/>
      <w:lvlJc w:val="left"/>
      <w:pPr>
        <w:tabs>
          <w:tab w:val="num" w:pos="5040"/>
        </w:tabs>
        <w:ind w:left="5040" w:hanging="360"/>
      </w:pPr>
      <w:rPr>
        <w:rFonts w:ascii="Calibri" w:hAnsi="Calibri" w:hint="default"/>
      </w:rPr>
    </w:lvl>
    <w:lvl w:ilvl="7" w:tplc="54521F86" w:tentative="1">
      <w:start w:val="1"/>
      <w:numFmt w:val="bullet"/>
      <w:lvlText w:val="›"/>
      <w:lvlJc w:val="left"/>
      <w:pPr>
        <w:tabs>
          <w:tab w:val="num" w:pos="5760"/>
        </w:tabs>
        <w:ind w:left="5760" w:hanging="360"/>
      </w:pPr>
      <w:rPr>
        <w:rFonts w:ascii="Calibri" w:hAnsi="Calibri" w:hint="default"/>
      </w:rPr>
    </w:lvl>
    <w:lvl w:ilvl="8" w:tplc="C2C6CB48"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4DE16CE7"/>
    <w:multiLevelType w:val="hybridMultilevel"/>
    <w:tmpl w:val="B30EB060"/>
    <w:lvl w:ilvl="0" w:tplc="B83440F0">
      <w:numFmt w:val="bullet"/>
      <w:lvlText w:val="-"/>
      <w:lvlJc w:val="left"/>
      <w:pPr>
        <w:ind w:left="720" w:hanging="360"/>
      </w:pPr>
      <w:rPr>
        <w:rFonts w:ascii="Trebuchet MS" w:eastAsiaTheme="minorEastAsia" w:hAnsi="Trebuchet M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2943478"/>
    <w:multiLevelType w:val="hybridMultilevel"/>
    <w:tmpl w:val="53427E64"/>
    <w:lvl w:ilvl="0" w:tplc="5EFC7B4A">
      <w:start w:val="1"/>
      <w:numFmt w:val="bullet"/>
      <w:lvlText w:val="›"/>
      <w:lvlJc w:val="left"/>
      <w:pPr>
        <w:tabs>
          <w:tab w:val="num" w:pos="720"/>
        </w:tabs>
        <w:ind w:left="720" w:hanging="360"/>
      </w:pPr>
      <w:rPr>
        <w:rFonts w:ascii="Calibri" w:hAnsi="Calibri" w:hint="default"/>
      </w:rPr>
    </w:lvl>
    <w:lvl w:ilvl="1" w:tplc="251640D2">
      <w:start w:val="1"/>
      <w:numFmt w:val="bullet"/>
      <w:lvlText w:val="›"/>
      <w:lvlJc w:val="left"/>
      <w:pPr>
        <w:tabs>
          <w:tab w:val="num" w:pos="1440"/>
        </w:tabs>
        <w:ind w:left="1440" w:hanging="360"/>
      </w:pPr>
      <w:rPr>
        <w:rFonts w:ascii="Calibri" w:hAnsi="Calibri" w:hint="default"/>
      </w:rPr>
    </w:lvl>
    <w:lvl w:ilvl="2" w:tplc="03B8EFB6" w:tentative="1">
      <w:start w:val="1"/>
      <w:numFmt w:val="bullet"/>
      <w:lvlText w:val="›"/>
      <w:lvlJc w:val="left"/>
      <w:pPr>
        <w:tabs>
          <w:tab w:val="num" w:pos="2160"/>
        </w:tabs>
        <w:ind w:left="2160" w:hanging="360"/>
      </w:pPr>
      <w:rPr>
        <w:rFonts w:ascii="Calibri" w:hAnsi="Calibri" w:hint="default"/>
      </w:rPr>
    </w:lvl>
    <w:lvl w:ilvl="3" w:tplc="E2321AD4" w:tentative="1">
      <w:start w:val="1"/>
      <w:numFmt w:val="bullet"/>
      <w:lvlText w:val="›"/>
      <w:lvlJc w:val="left"/>
      <w:pPr>
        <w:tabs>
          <w:tab w:val="num" w:pos="2880"/>
        </w:tabs>
        <w:ind w:left="2880" w:hanging="360"/>
      </w:pPr>
      <w:rPr>
        <w:rFonts w:ascii="Calibri" w:hAnsi="Calibri" w:hint="default"/>
      </w:rPr>
    </w:lvl>
    <w:lvl w:ilvl="4" w:tplc="7CE82D08" w:tentative="1">
      <w:start w:val="1"/>
      <w:numFmt w:val="bullet"/>
      <w:lvlText w:val="›"/>
      <w:lvlJc w:val="left"/>
      <w:pPr>
        <w:tabs>
          <w:tab w:val="num" w:pos="3600"/>
        </w:tabs>
        <w:ind w:left="3600" w:hanging="360"/>
      </w:pPr>
      <w:rPr>
        <w:rFonts w:ascii="Calibri" w:hAnsi="Calibri" w:hint="default"/>
      </w:rPr>
    </w:lvl>
    <w:lvl w:ilvl="5" w:tplc="0F4066D0" w:tentative="1">
      <w:start w:val="1"/>
      <w:numFmt w:val="bullet"/>
      <w:lvlText w:val="›"/>
      <w:lvlJc w:val="left"/>
      <w:pPr>
        <w:tabs>
          <w:tab w:val="num" w:pos="4320"/>
        </w:tabs>
        <w:ind w:left="4320" w:hanging="360"/>
      </w:pPr>
      <w:rPr>
        <w:rFonts w:ascii="Calibri" w:hAnsi="Calibri" w:hint="default"/>
      </w:rPr>
    </w:lvl>
    <w:lvl w:ilvl="6" w:tplc="C2A853BA" w:tentative="1">
      <w:start w:val="1"/>
      <w:numFmt w:val="bullet"/>
      <w:lvlText w:val="›"/>
      <w:lvlJc w:val="left"/>
      <w:pPr>
        <w:tabs>
          <w:tab w:val="num" w:pos="5040"/>
        </w:tabs>
        <w:ind w:left="5040" w:hanging="360"/>
      </w:pPr>
      <w:rPr>
        <w:rFonts w:ascii="Calibri" w:hAnsi="Calibri" w:hint="default"/>
      </w:rPr>
    </w:lvl>
    <w:lvl w:ilvl="7" w:tplc="721E8C70" w:tentative="1">
      <w:start w:val="1"/>
      <w:numFmt w:val="bullet"/>
      <w:lvlText w:val="›"/>
      <w:lvlJc w:val="left"/>
      <w:pPr>
        <w:tabs>
          <w:tab w:val="num" w:pos="5760"/>
        </w:tabs>
        <w:ind w:left="5760" w:hanging="360"/>
      </w:pPr>
      <w:rPr>
        <w:rFonts w:ascii="Calibri" w:hAnsi="Calibri" w:hint="default"/>
      </w:rPr>
    </w:lvl>
    <w:lvl w:ilvl="8" w:tplc="43A8FE20"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53203ECD"/>
    <w:multiLevelType w:val="hybridMultilevel"/>
    <w:tmpl w:val="C5420B7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CDD4384"/>
    <w:multiLevelType w:val="hybridMultilevel"/>
    <w:tmpl w:val="1C8C8DB0"/>
    <w:lvl w:ilvl="0" w:tplc="BB367DDE">
      <w:start w:val="2"/>
      <w:numFmt w:val="bullet"/>
      <w:lvlText w:val="-"/>
      <w:lvlJc w:val="left"/>
      <w:pPr>
        <w:ind w:left="720" w:hanging="360"/>
      </w:pPr>
      <w:rPr>
        <w:rFonts w:ascii="Trebuchet MS" w:eastAsiaTheme="minorEastAsia" w:hAnsi="Trebuchet M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6935CB6"/>
    <w:multiLevelType w:val="hybridMultilevel"/>
    <w:tmpl w:val="F02C69DE"/>
    <w:lvl w:ilvl="0" w:tplc="CA26896C">
      <w:start w:val="1"/>
      <w:numFmt w:val="bullet"/>
      <w:lvlText w:val="»"/>
      <w:lvlJc w:val="left"/>
      <w:pPr>
        <w:tabs>
          <w:tab w:val="num" w:pos="720"/>
        </w:tabs>
        <w:ind w:left="720" w:hanging="360"/>
      </w:pPr>
      <w:rPr>
        <w:rFonts w:ascii="Arial" w:hAnsi="Arial" w:hint="default"/>
      </w:rPr>
    </w:lvl>
    <w:lvl w:ilvl="1" w:tplc="609A8432" w:tentative="1">
      <w:start w:val="1"/>
      <w:numFmt w:val="bullet"/>
      <w:lvlText w:val="»"/>
      <w:lvlJc w:val="left"/>
      <w:pPr>
        <w:tabs>
          <w:tab w:val="num" w:pos="1440"/>
        </w:tabs>
        <w:ind w:left="1440" w:hanging="360"/>
      </w:pPr>
      <w:rPr>
        <w:rFonts w:ascii="Arial" w:hAnsi="Arial" w:hint="default"/>
      </w:rPr>
    </w:lvl>
    <w:lvl w:ilvl="2" w:tplc="FA74D406">
      <w:start w:val="1"/>
      <w:numFmt w:val="bullet"/>
      <w:lvlText w:val="»"/>
      <w:lvlJc w:val="left"/>
      <w:pPr>
        <w:tabs>
          <w:tab w:val="num" w:pos="2160"/>
        </w:tabs>
        <w:ind w:left="2160" w:hanging="360"/>
      </w:pPr>
      <w:rPr>
        <w:rFonts w:ascii="Arial" w:hAnsi="Arial" w:hint="default"/>
      </w:rPr>
    </w:lvl>
    <w:lvl w:ilvl="3" w:tplc="A77CD3C4" w:tentative="1">
      <w:start w:val="1"/>
      <w:numFmt w:val="bullet"/>
      <w:lvlText w:val="»"/>
      <w:lvlJc w:val="left"/>
      <w:pPr>
        <w:tabs>
          <w:tab w:val="num" w:pos="2880"/>
        </w:tabs>
        <w:ind w:left="2880" w:hanging="360"/>
      </w:pPr>
      <w:rPr>
        <w:rFonts w:ascii="Arial" w:hAnsi="Arial" w:hint="default"/>
      </w:rPr>
    </w:lvl>
    <w:lvl w:ilvl="4" w:tplc="83CC87B0" w:tentative="1">
      <w:start w:val="1"/>
      <w:numFmt w:val="bullet"/>
      <w:lvlText w:val="»"/>
      <w:lvlJc w:val="left"/>
      <w:pPr>
        <w:tabs>
          <w:tab w:val="num" w:pos="3600"/>
        </w:tabs>
        <w:ind w:left="3600" w:hanging="360"/>
      </w:pPr>
      <w:rPr>
        <w:rFonts w:ascii="Arial" w:hAnsi="Arial" w:hint="default"/>
      </w:rPr>
    </w:lvl>
    <w:lvl w:ilvl="5" w:tplc="0A12C3AA" w:tentative="1">
      <w:start w:val="1"/>
      <w:numFmt w:val="bullet"/>
      <w:lvlText w:val="»"/>
      <w:lvlJc w:val="left"/>
      <w:pPr>
        <w:tabs>
          <w:tab w:val="num" w:pos="4320"/>
        </w:tabs>
        <w:ind w:left="4320" w:hanging="360"/>
      </w:pPr>
      <w:rPr>
        <w:rFonts w:ascii="Arial" w:hAnsi="Arial" w:hint="default"/>
      </w:rPr>
    </w:lvl>
    <w:lvl w:ilvl="6" w:tplc="D7545214" w:tentative="1">
      <w:start w:val="1"/>
      <w:numFmt w:val="bullet"/>
      <w:lvlText w:val="»"/>
      <w:lvlJc w:val="left"/>
      <w:pPr>
        <w:tabs>
          <w:tab w:val="num" w:pos="5040"/>
        </w:tabs>
        <w:ind w:left="5040" w:hanging="360"/>
      </w:pPr>
      <w:rPr>
        <w:rFonts w:ascii="Arial" w:hAnsi="Arial" w:hint="default"/>
      </w:rPr>
    </w:lvl>
    <w:lvl w:ilvl="7" w:tplc="5CAA5576" w:tentative="1">
      <w:start w:val="1"/>
      <w:numFmt w:val="bullet"/>
      <w:lvlText w:val="»"/>
      <w:lvlJc w:val="left"/>
      <w:pPr>
        <w:tabs>
          <w:tab w:val="num" w:pos="5760"/>
        </w:tabs>
        <w:ind w:left="5760" w:hanging="360"/>
      </w:pPr>
      <w:rPr>
        <w:rFonts w:ascii="Arial" w:hAnsi="Arial" w:hint="default"/>
      </w:rPr>
    </w:lvl>
    <w:lvl w:ilvl="8" w:tplc="113A29C2" w:tentative="1">
      <w:start w:val="1"/>
      <w:numFmt w:val="bullet"/>
      <w:lvlText w:val="»"/>
      <w:lvlJc w:val="left"/>
      <w:pPr>
        <w:tabs>
          <w:tab w:val="num" w:pos="6480"/>
        </w:tabs>
        <w:ind w:left="6480" w:hanging="360"/>
      </w:pPr>
      <w:rPr>
        <w:rFonts w:ascii="Arial" w:hAnsi="Arial" w:hint="default"/>
      </w:rPr>
    </w:lvl>
  </w:abstractNum>
  <w:num w:numId="1" w16cid:durableId="449321396">
    <w:abstractNumId w:val="6"/>
  </w:num>
  <w:num w:numId="2" w16cid:durableId="1177229557">
    <w:abstractNumId w:val="3"/>
  </w:num>
  <w:num w:numId="3" w16cid:durableId="1292252852">
    <w:abstractNumId w:val="8"/>
  </w:num>
  <w:num w:numId="4" w16cid:durableId="518203738">
    <w:abstractNumId w:val="5"/>
  </w:num>
  <w:num w:numId="5" w16cid:durableId="1599946970">
    <w:abstractNumId w:val="2"/>
  </w:num>
  <w:num w:numId="6" w16cid:durableId="938564784">
    <w:abstractNumId w:val="12"/>
  </w:num>
  <w:num w:numId="7" w16cid:durableId="1101493611">
    <w:abstractNumId w:val="4"/>
  </w:num>
  <w:num w:numId="8" w16cid:durableId="1689327459">
    <w:abstractNumId w:val="11"/>
  </w:num>
  <w:num w:numId="9" w16cid:durableId="1377699560">
    <w:abstractNumId w:val="1"/>
  </w:num>
  <w:num w:numId="10" w16cid:durableId="264847958">
    <w:abstractNumId w:val="10"/>
  </w:num>
  <w:num w:numId="11" w16cid:durableId="540560341">
    <w:abstractNumId w:val="7"/>
  </w:num>
  <w:num w:numId="12" w16cid:durableId="1597909733">
    <w:abstractNumId w:val="9"/>
  </w:num>
  <w:num w:numId="13" w16cid:durableId="420102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58"/>
    <w:rsid w:val="00000CAD"/>
    <w:rsid w:val="000025BF"/>
    <w:rsid w:val="00003840"/>
    <w:rsid w:val="00006B50"/>
    <w:rsid w:val="00010844"/>
    <w:rsid w:val="00011061"/>
    <w:rsid w:val="00027415"/>
    <w:rsid w:val="00035452"/>
    <w:rsid w:val="00047F25"/>
    <w:rsid w:val="00072A9D"/>
    <w:rsid w:val="00073DE7"/>
    <w:rsid w:val="00076B69"/>
    <w:rsid w:val="0009002D"/>
    <w:rsid w:val="00096BB5"/>
    <w:rsid w:val="000A1FDC"/>
    <w:rsid w:val="000C6856"/>
    <w:rsid w:val="000D5F68"/>
    <w:rsid w:val="000D7824"/>
    <w:rsid w:val="000E7682"/>
    <w:rsid w:val="000F3091"/>
    <w:rsid w:val="000F436C"/>
    <w:rsid w:val="000F64E5"/>
    <w:rsid w:val="00113ED1"/>
    <w:rsid w:val="00115A2A"/>
    <w:rsid w:val="00116B34"/>
    <w:rsid w:val="00120541"/>
    <w:rsid w:val="00125FFC"/>
    <w:rsid w:val="00134FCB"/>
    <w:rsid w:val="00142CC9"/>
    <w:rsid w:val="00153BEF"/>
    <w:rsid w:val="0016080C"/>
    <w:rsid w:val="0016626A"/>
    <w:rsid w:val="0018369D"/>
    <w:rsid w:val="00187DE3"/>
    <w:rsid w:val="00196A9D"/>
    <w:rsid w:val="001A40C9"/>
    <w:rsid w:val="001B5954"/>
    <w:rsid w:val="001C701F"/>
    <w:rsid w:val="001C7186"/>
    <w:rsid w:val="001D4B4A"/>
    <w:rsid w:val="001E0539"/>
    <w:rsid w:val="001E4E48"/>
    <w:rsid w:val="001E6C78"/>
    <w:rsid w:val="001F14D4"/>
    <w:rsid w:val="002038AD"/>
    <w:rsid w:val="0020411B"/>
    <w:rsid w:val="00213951"/>
    <w:rsid w:val="0023333D"/>
    <w:rsid w:val="002415BC"/>
    <w:rsid w:val="0024459F"/>
    <w:rsid w:val="00256EB8"/>
    <w:rsid w:val="00263466"/>
    <w:rsid w:val="00264EFF"/>
    <w:rsid w:val="00270696"/>
    <w:rsid w:val="00282441"/>
    <w:rsid w:val="002962E4"/>
    <w:rsid w:val="002B2F19"/>
    <w:rsid w:val="002B4B58"/>
    <w:rsid w:val="002D175E"/>
    <w:rsid w:val="002D43DD"/>
    <w:rsid w:val="002D4438"/>
    <w:rsid w:val="002D76AE"/>
    <w:rsid w:val="002E1369"/>
    <w:rsid w:val="002E17B4"/>
    <w:rsid w:val="0030285E"/>
    <w:rsid w:val="00320998"/>
    <w:rsid w:val="00326F6B"/>
    <w:rsid w:val="00337218"/>
    <w:rsid w:val="003410CF"/>
    <w:rsid w:val="00342322"/>
    <w:rsid w:val="0034294B"/>
    <w:rsid w:val="00346E94"/>
    <w:rsid w:val="0036114C"/>
    <w:rsid w:val="00372F8E"/>
    <w:rsid w:val="003756D2"/>
    <w:rsid w:val="00396754"/>
    <w:rsid w:val="003A66C1"/>
    <w:rsid w:val="003B2180"/>
    <w:rsid w:val="003B66D0"/>
    <w:rsid w:val="003C33FC"/>
    <w:rsid w:val="003D394B"/>
    <w:rsid w:val="003E5C42"/>
    <w:rsid w:val="003E701E"/>
    <w:rsid w:val="004069E7"/>
    <w:rsid w:val="00416DBE"/>
    <w:rsid w:val="0042201A"/>
    <w:rsid w:val="00422E0D"/>
    <w:rsid w:val="00437E90"/>
    <w:rsid w:val="00440F91"/>
    <w:rsid w:val="00454A56"/>
    <w:rsid w:val="00473EC6"/>
    <w:rsid w:val="004832AF"/>
    <w:rsid w:val="0049452E"/>
    <w:rsid w:val="004A0DAE"/>
    <w:rsid w:val="004A522F"/>
    <w:rsid w:val="004B2ECE"/>
    <w:rsid w:val="004C0427"/>
    <w:rsid w:val="004C45AD"/>
    <w:rsid w:val="004C5EE1"/>
    <w:rsid w:val="004D3D00"/>
    <w:rsid w:val="004D5BB6"/>
    <w:rsid w:val="004D5CB6"/>
    <w:rsid w:val="004E1944"/>
    <w:rsid w:val="004E66A2"/>
    <w:rsid w:val="004F4554"/>
    <w:rsid w:val="004F4754"/>
    <w:rsid w:val="0050159A"/>
    <w:rsid w:val="00523CFD"/>
    <w:rsid w:val="005505D1"/>
    <w:rsid w:val="00577FEE"/>
    <w:rsid w:val="00585373"/>
    <w:rsid w:val="00592612"/>
    <w:rsid w:val="00593C53"/>
    <w:rsid w:val="0059572C"/>
    <w:rsid w:val="005A1137"/>
    <w:rsid w:val="005A3595"/>
    <w:rsid w:val="005B0ED3"/>
    <w:rsid w:val="005B4DAA"/>
    <w:rsid w:val="005B6C50"/>
    <w:rsid w:val="005C1729"/>
    <w:rsid w:val="005D12BD"/>
    <w:rsid w:val="005D21A6"/>
    <w:rsid w:val="005D2E84"/>
    <w:rsid w:val="005D70C8"/>
    <w:rsid w:val="00603273"/>
    <w:rsid w:val="006141A9"/>
    <w:rsid w:val="00620617"/>
    <w:rsid w:val="00623730"/>
    <w:rsid w:val="00624372"/>
    <w:rsid w:val="00634776"/>
    <w:rsid w:val="0064188E"/>
    <w:rsid w:val="00646ED7"/>
    <w:rsid w:val="00650E03"/>
    <w:rsid w:val="00653C26"/>
    <w:rsid w:val="00656120"/>
    <w:rsid w:val="00666669"/>
    <w:rsid w:val="006745CF"/>
    <w:rsid w:val="00690E06"/>
    <w:rsid w:val="006911E3"/>
    <w:rsid w:val="00691478"/>
    <w:rsid w:val="006923A9"/>
    <w:rsid w:val="00692426"/>
    <w:rsid w:val="006A2B17"/>
    <w:rsid w:val="006C7147"/>
    <w:rsid w:val="006C75B1"/>
    <w:rsid w:val="006C7DA8"/>
    <w:rsid w:val="006D229D"/>
    <w:rsid w:val="006D2D53"/>
    <w:rsid w:val="006D4A29"/>
    <w:rsid w:val="006D76E2"/>
    <w:rsid w:val="006E378E"/>
    <w:rsid w:val="006F5DD2"/>
    <w:rsid w:val="00700B59"/>
    <w:rsid w:val="00710290"/>
    <w:rsid w:val="00711710"/>
    <w:rsid w:val="00711D69"/>
    <w:rsid w:val="00713D0A"/>
    <w:rsid w:val="007140A5"/>
    <w:rsid w:val="00715B63"/>
    <w:rsid w:val="00720F22"/>
    <w:rsid w:val="007223BB"/>
    <w:rsid w:val="00736296"/>
    <w:rsid w:val="00737350"/>
    <w:rsid w:val="00737650"/>
    <w:rsid w:val="0074397A"/>
    <w:rsid w:val="00757FAF"/>
    <w:rsid w:val="007657A8"/>
    <w:rsid w:val="00767F13"/>
    <w:rsid w:val="007773BF"/>
    <w:rsid w:val="00787803"/>
    <w:rsid w:val="00797B31"/>
    <w:rsid w:val="007A5BFE"/>
    <w:rsid w:val="007B038D"/>
    <w:rsid w:val="007C1888"/>
    <w:rsid w:val="007D0759"/>
    <w:rsid w:val="007D722E"/>
    <w:rsid w:val="007E27A8"/>
    <w:rsid w:val="007F6A42"/>
    <w:rsid w:val="00801A19"/>
    <w:rsid w:val="008053BF"/>
    <w:rsid w:val="00813410"/>
    <w:rsid w:val="0082315A"/>
    <w:rsid w:val="00834529"/>
    <w:rsid w:val="00853DDD"/>
    <w:rsid w:val="0088161C"/>
    <w:rsid w:val="00887D10"/>
    <w:rsid w:val="008B107B"/>
    <w:rsid w:val="008B2049"/>
    <w:rsid w:val="008B44FD"/>
    <w:rsid w:val="008C6C68"/>
    <w:rsid w:val="008C7971"/>
    <w:rsid w:val="008D0346"/>
    <w:rsid w:val="008D1974"/>
    <w:rsid w:val="008D7943"/>
    <w:rsid w:val="008F480E"/>
    <w:rsid w:val="008F49B1"/>
    <w:rsid w:val="0090308F"/>
    <w:rsid w:val="00903E98"/>
    <w:rsid w:val="00922C18"/>
    <w:rsid w:val="0093051F"/>
    <w:rsid w:val="00941EC7"/>
    <w:rsid w:val="00950A98"/>
    <w:rsid w:val="009616F6"/>
    <w:rsid w:val="00977A63"/>
    <w:rsid w:val="009815FC"/>
    <w:rsid w:val="00983CB9"/>
    <w:rsid w:val="00995D90"/>
    <w:rsid w:val="009A174A"/>
    <w:rsid w:val="009A2799"/>
    <w:rsid w:val="009A6572"/>
    <w:rsid w:val="009B13B0"/>
    <w:rsid w:val="009D35DC"/>
    <w:rsid w:val="009D709A"/>
    <w:rsid w:val="009F74A6"/>
    <w:rsid w:val="00A02D39"/>
    <w:rsid w:val="00A20022"/>
    <w:rsid w:val="00A201A9"/>
    <w:rsid w:val="00A2258D"/>
    <w:rsid w:val="00A229C3"/>
    <w:rsid w:val="00A31F8F"/>
    <w:rsid w:val="00A33096"/>
    <w:rsid w:val="00A35CC2"/>
    <w:rsid w:val="00A413D3"/>
    <w:rsid w:val="00A419DE"/>
    <w:rsid w:val="00A4341F"/>
    <w:rsid w:val="00A43FD5"/>
    <w:rsid w:val="00A47AB8"/>
    <w:rsid w:val="00A52B7B"/>
    <w:rsid w:val="00A61A1E"/>
    <w:rsid w:val="00A8625A"/>
    <w:rsid w:val="00AA0F2B"/>
    <w:rsid w:val="00AA637F"/>
    <w:rsid w:val="00AD4920"/>
    <w:rsid w:val="00AD6C4B"/>
    <w:rsid w:val="00AE065B"/>
    <w:rsid w:val="00B00115"/>
    <w:rsid w:val="00B0068B"/>
    <w:rsid w:val="00B008E6"/>
    <w:rsid w:val="00B00FEA"/>
    <w:rsid w:val="00B07032"/>
    <w:rsid w:val="00B0758E"/>
    <w:rsid w:val="00B13825"/>
    <w:rsid w:val="00B20549"/>
    <w:rsid w:val="00B2195F"/>
    <w:rsid w:val="00B21E05"/>
    <w:rsid w:val="00B25B0B"/>
    <w:rsid w:val="00B343D1"/>
    <w:rsid w:val="00B51CAE"/>
    <w:rsid w:val="00B54E52"/>
    <w:rsid w:val="00B6015F"/>
    <w:rsid w:val="00B67777"/>
    <w:rsid w:val="00B75F24"/>
    <w:rsid w:val="00B76D3E"/>
    <w:rsid w:val="00B76F03"/>
    <w:rsid w:val="00B80E57"/>
    <w:rsid w:val="00B976C8"/>
    <w:rsid w:val="00BB5E3B"/>
    <w:rsid w:val="00BD050C"/>
    <w:rsid w:val="00BD56FA"/>
    <w:rsid w:val="00BE7192"/>
    <w:rsid w:val="00BF13DA"/>
    <w:rsid w:val="00BF162D"/>
    <w:rsid w:val="00BF3A44"/>
    <w:rsid w:val="00C03E6C"/>
    <w:rsid w:val="00C27FD9"/>
    <w:rsid w:val="00C3195D"/>
    <w:rsid w:val="00C478A1"/>
    <w:rsid w:val="00C557AD"/>
    <w:rsid w:val="00C62CC6"/>
    <w:rsid w:val="00C6425B"/>
    <w:rsid w:val="00C70407"/>
    <w:rsid w:val="00C7577F"/>
    <w:rsid w:val="00C80B12"/>
    <w:rsid w:val="00C82020"/>
    <w:rsid w:val="00C834E8"/>
    <w:rsid w:val="00C867AF"/>
    <w:rsid w:val="00C97164"/>
    <w:rsid w:val="00CA26B7"/>
    <w:rsid w:val="00CA7A0E"/>
    <w:rsid w:val="00CB381B"/>
    <w:rsid w:val="00CC04A9"/>
    <w:rsid w:val="00CC06CD"/>
    <w:rsid w:val="00CE2DA6"/>
    <w:rsid w:val="00CE50FB"/>
    <w:rsid w:val="00CE788F"/>
    <w:rsid w:val="00CE7BCB"/>
    <w:rsid w:val="00CF0A92"/>
    <w:rsid w:val="00CF33F3"/>
    <w:rsid w:val="00D03B27"/>
    <w:rsid w:val="00D0720C"/>
    <w:rsid w:val="00D241F7"/>
    <w:rsid w:val="00D33849"/>
    <w:rsid w:val="00D41333"/>
    <w:rsid w:val="00D464B6"/>
    <w:rsid w:val="00D64DEF"/>
    <w:rsid w:val="00D71E12"/>
    <w:rsid w:val="00D74313"/>
    <w:rsid w:val="00D92B24"/>
    <w:rsid w:val="00DB48CE"/>
    <w:rsid w:val="00DC6DCB"/>
    <w:rsid w:val="00DE6926"/>
    <w:rsid w:val="00DF279E"/>
    <w:rsid w:val="00E114AE"/>
    <w:rsid w:val="00E129D1"/>
    <w:rsid w:val="00E145E7"/>
    <w:rsid w:val="00E14B0A"/>
    <w:rsid w:val="00E226A6"/>
    <w:rsid w:val="00E30D63"/>
    <w:rsid w:val="00E3209F"/>
    <w:rsid w:val="00E35A9B"/>
    <w:rsid w:val="00E44158"/>
    <w:rsid w:val="00E65055"/>
    <w:rsid w:val="00E70E05"/>
    <w:rsid w:val="00E75BC1"/>
    <w:rsid w:val="00E96B76"/>
    <w:rsid w:val="00EA276E"/>
    <w:rsid w:val="00EB2BAB"/>
    <w:rsid w:val="00EC012C"/>
    <w:rsid w:val="00EC21AA"/>
    <w:rsid w:val="00EC34C0"/>
    <w:rsid w:val="00ED22F9"/>
    <w:rsid w:val="00ED310C"/>
    <w:rsid w:val="00EE57D0"/>
    <w:rsid w:val="00EF43D9"/>
    <w:rsid w:val="00EF4D9B"/>
    <w:rsid w:val="00EF7E74"/>
    <w:rsid w:val="00F118C0"/>
    <w:rsid w:val="00F227E2"/>
    <w:rsid w:val="00F45C84"/>
    <w:rsid w:val="00F51BD6"/>
    <w:rsid w:val="00F73D98"/>
    <w:rsid w:val="00F7637D"/>
    <w:rsid w:val="00F84E93"/>
    <w:rsid w:val="00FA0E72"/>
    <w:rsid w:val="00FC3CD5"/>
    <w:rsid w:val="00FC3E98"/>
    <w:rsid w:val="00FC3F84"/>
    <w:rsid w:val="00FC5EF5"/>
    <w:rsid w:val="00FC5F1C"/>
    <w:rsid w:val="00FC7AD2"/>
    <w:rsid w:val="00FC7E96"/>
    <w:rsid w:val="00FD3EAA"/>
    <w:rsid w:val="00FD6B10"/>
    <w:rsid w:val="00FF0346"/>
    <w:rsid w:val="00FF51B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CE1B"/>
  <w15:chartTrackingRefBased/>
  <w15:docId w15:val="{F92B8F02-9AAB-4DB7-9EA7-5B7D1D6B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fr-BE"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158"/>
  </w:style>
  <w:style w:type="paragraph" w:styleId="Titre1">
    <w:name w:val="heading 1"/>
    <w:basedOn w:val="Normal"/>
    <w:next w:val="Normal"/>
    <w:link w:val="Titre1Car"/>
    <w:uiPriority w:val="9"/>
    <w:qFormat/>
    <w:rsid w:val="00E44158"/>
    <w:pPr>
      <w:keepNext/>
      <w:keepLines/>
      <w:spacing w:before="320" w:after="80" w:line="240" w:lineRule="auto"/>
      <w:jc w:val="center"/>
      <w:outlineLvl w:val="0"/>
    </w:pPr>
    <w:rPr>
      <w:rFonts w:asciiTheme="majorHAnsi" w:eastAsiaTheme="majorEastAsia" w:hAnsiTheme="majorHAnsi" w:cstheme="majorBidi"/>
      <w:color w:val="A5A5A5" w:themeColor="accent1" w:themeShade="BF"/>
      <w:sz w:val="40"/>
      <w:szCs w:val="40"/>
    </w:rPr>
  </w:style>
  <w:style w:type="paragraph" w:styleId="Titre2">
    <w:name w:val="heading 2"/>
    <w:basedOn w:val="Normal"/>
    <w:next w:val="Normal"/>
    <w:link w:val="Titre2Car"/>
    <w:uiPriority w:val="9"/>
    <w:unhideWhenUsed/>
    <w:qFormat/>
    <w:rsid w:val="00E44158"/>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re3">
    <w:name w:val="heading 3"/>
    <w:basedOn w:val="Normal"/>
    <w:next w:val="Normal"/>
    <w:link w:val="Titre3Car"/>
    <w:uiPriority w:val="9"/>
    <w:semiHidden/>
    <w:unhideWhenUsed/>
    <w:qFormat/>
    <w:rsid w:val="00E44158"/>
    <w:pPr>
      <w:keepNext/>
      <w:keepLines/>
      <w:spacing w:before="160" w:after="0" w:line="240" w:lineRule="auto"/>
      <w:outlineLvl w:val="2"/>
    </w:pPr>
    <w:rPr>
      <w:rFonts w:asciiTheme="majorHAnsi" w:eastAsiaTheme="majorEastAsia" w:hAnsiTheme="majorHAnsi" w:cstheme="majorBidi"/>
      <w:sz w:val="32"/>
      <w:szCs w:val="32"/>
    </w:rPr>
  </w:style>
  <w:style w:type="paragraph" w:styleId="Titre4">
    <w:name w:val="heading 4"/>
    <w:basedOn w:val="Normal"/>
    <w:next w:val="Normal"/>
    <w:link w:val="Titre4Car"/>
    <w:uiPriority w:val="9"/>
    <w:semiHidden/>
    <w:unhideWhenUsed/>
    <w:qFormat/>
    <w:rsid w:val="00E44158"/>
    <w:pPr>
      <w:keepNext/>
      <w:keepLines/>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E44158"/>
    <w:pPr>
      <w:keepNext/>
      <w:keepLines/>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E44158"/>
    <w:pPr>
      <w:keepNext/>
      <w:keepLines/>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E44158"/>
    <w:pPr>
      <w:keepNext/>
      <w:keepLines/>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00E44158"/>
    <w:pPr>
      <w:keepNext/>
      <w:keepLines/>
      <w:spacing w:before="40" w:after="0"/>
      <w:outlineLvl w:val="7"/>
    </w:pPr>
    <w:rPr>
      <w:rFonts w:asciiTheme="majorHAnsi" w:eastAsiaTheme="majorEastAsia" w:hAnsiTheme="majorHAnsi" w:cstheme="majorBidi"/>
      <w:i/>
      <w:iCs/>
      <w:sz w:val="22"/>
      <w:szCs w:val="22"/>
    </w:rPr>
  </w:style>
  <w:style w:type="paragraph" w:styleId="Titre9">
    <w:name w:val="heading 9"/>
    <w:basedOn w:val="Normal"/>
    <w:next w:val="Normal"/>
    <w:link w:val="Titre9Car"/>
    <w:uiPriority w:val="9"/>
    <w:semiHidden/>
    <w:unhideWhenUsed/>
    <w:qFormat/>
    <w:rsid w:val="00E44158"/>
    <w:pPr>
      <w:keepNext/>
      <w:keepLines/>
      <w:spacing w:before="40" w:after="0"/>
      <w:outlineLvl w:val="8"/>
    </w:pPr>
    <w:rPr>
      <w:b/>
      <w:bCs/>
      <w:i/>
      <w:i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DIP">
    <w:name w:val="DIP"/>
    <w:uiPriority w:val="99"/>
    <w:rsid w:val="005D70C8"/>
    <w:pPr>
      <w:numPr>
        <w:numId w:val="1"/>
      </w:numPr>
    </w:pPr>
  </w:style>
  <w:style w:type="character" w:customStyle="1" w:styleId="Titre1Car">
    <w:name w:val="Titre 1 Car"/>
    <w:basedOn w:val="Policepardfaut"/>
    <w:link w:val="Titre1"/>
    <w:uiPriority w:val="9"/>
    <w:rsid w:val="00E44158"/>
    <w:rPr>
      <w:rFonts w:asciiTheme="majorHAnsi" w:eastAsiaTheme="majorEastAsia" w:hAnsiTheme="majorHAnsi" w:cstheme="majorBidi"/>
      <w:color w:val="A5A5A5" w:themeColor="accent1" w:themeShade="BF"/>
      <w:sz w:val="40"/>
      <w:szCs w:val="40"/>
    </w:rPr>
  </w:style>
  <w:style w:type="character" w:customStyle="1" w:styleId="Titre2Car">
    <w:name w:val="Titre 2 Car"/>
    <w:basedOn w:val="Policepardfaut"/>
    <w:link w:val="Titre2"/>
    <w:uiPriority w:val="9"/>
    <w:rsid w:val="00E44158"/>
    <w:rPr>
      <w:rFonts w:asciiTheme="majorHAnsi" w:eastAsiaTheme="majorEastAsia" w:hAnsiTheme="majorHAnsi" w:cstheme="majorBidi"/>
      <w:sz w:val="32"/>
      <w:szCs w:val="32"/>
    </w:rPr>
  </w:style>
  <w:style w:type="character" w:customStyle="1" w:styleId="Titre3Car">
    <w:name w:val="Titre 3 Car"/>
    <w:basedOn w:val="Policepardfaut"/>
    <w:link w:val="Titre3"/>
    <w:uiPriority w:val="9"/>
    <w:semiHidden/>
    <w:rsid w:val="00E44158"/>
    <w:rPr>
      <w:rFonts w:asciiTheme="majorHAnsi" w:eastAsiaTheme="majorEastAsia" w:hAnsiTheme="majorHAnsi" w:cstheme="majorBidi"/>
      <w:sz w:val="32"/>
      <w:szCs w:val="32"/>
    </w:rPr>
  </w:style>
  <w:style w:type="character" w:customStyle="1" w:styleId="Titre4Car">
    <w:name w:val="Titre 4 Car"/>
    <w:basedOn w:val="Policepardfaut"/>
    <w:link w:val="Titre4"/>
    <w:uiPriority w:val="9"/>
    <w:semiHidden/>
    <w:rsid w:val="00E44158"/>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E44158"/>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E44158"/>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E44158"/>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E44158"/>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E44158"/>
    <w:rPr>
      <w:b/>
      <w:bCs/>
      <w:i/>
      <w:iCs/>
    </w:rPr>
  </w:style>
  <w:style w:type="paragraph" w:styleId="Titre">
    <w:name w:val="Title"/>
    <w:basedOn w:val="Normal"/>
    <w:next w:val="Normal"/>
    <w:link w:val="TitreCar"/>
    <w:uiPriority w:val="10"/>
    <w:qFormat/>
    <w:rsid w:val="00E44158"/>
    <w:pPr>
      <w:pBdr>
        <w:top w:val="single" w:sz="6" w:space="8" w:color="969696" w:themeColor="accent3"/>
        <w:bottom w:val="single" w:sz="6" w:space="8" w:color="969696" w:themeColor="accent3"/>
      </w:pBdr>
      <w:spacing w:after="400" w:line="240" w:lineRule="auto"/>
      <w:contextualSpacing/>
      <w:jc w:val="center"/>
    </w:pPr>
    <w:rPr>
      <w:rFonts w:asciiTheme="majorHAnsi" w:eastAsiaTheme="majorEastAsia" w:hAnsiTheme="majorHAnsi" w:cstheme="majorBidi"/>
      <w:caps/>
      <w:color w:val="000000" w:themeColor="text2"/>
      <w:spacing w:val="30"/>
      <w:sz w:val="72"/>
      <w:szCs w:val="72"/>
    </w:rPr>
  </w:style>
  <w:style w:type="character" w:customStyle="1" w:styleId="TitreCar">
    <w:name w:val="Titre Car"/>
    <w:basedOn w:val="Policepardfaut"/>
    <w:link w:val="Titre"/>
    <w:uiPriority w:val="10"/>
    <w:rsid w:val="00E44158"/>
    <w:rPr>
      <w:rFonts w:asciiTheme="majorHAnsi" w:eastAsiaTheme="majorEastAsia" w:hAnsiTheme="majorHAnsi" w:cstheme="majorBidi"/>
      <w:caps/>
      <w:color w:val="000000" w:themeColor="text2"/>
      <w:spacing w:val="30"/>
      <w:sz w:val="72"/>
      <w:szCs w:val="72"/>
    </w:rPr>
  </w:style>
  <w:style w:type="paragraph" w:styleId="Sous-titre">
    <w:name w:val="Subtitle"/>
    <w:basedOn w:val="Normal"/>
    <w:next w:val="Normal"/>
    <w:link w:val="Sous-titreCar"/>
    <w:uiPriority w:val="11"/>
    <w:qFormat/>
    <w:rsid w:val="00E44158"/>
    <w:pPr>
      <w:numPr>
        <w:ilvl w:val="1"/>
      </w:numPr>
      <w:jc w:val="center"/>
    </w:pPr>
    <w:rPr>
      <w:color w:val="000000" w:themeColor="text2"/>
      <w:sz w:val="28"/>
      <w:szCs w:val="28"/>
    </w:rPr>
  </w:style>
  <w:style w:type="character" w:customStyle="1" w:styleId="Sous-titreCar">
    <w:name w:val="Sous-titre Car"/>
    <w:basedOn w:val="Policepardfaut"/>
    <w:link w:val="Sous-titre"/>
    <w:uiPriority w:val="11"/>
    <w:rsid w:val="00E44158"/>
    <w:rPr>
      <w:color w:val="000000" w:themeColor="text2"/>
      <w:sz w:val="28"/>
      <w:szCs w:val="28"/>
    </w:rPr>
  </w:style>
  <w:style w:type="paragraph" w:styleId="Citation">
    <w:name w:val="Quote"/>
    <w:basedOn w:val="Normal"/>
    <w:next w:val="Normal"/>
    <w:link w:val="CitationCar"/>
    <w:uiPriority w:val="29"/>
    <w:qFormat/>
    <w:rsid w:val="00E44158"/>
    <w:pPr>
      <w:spacing w:before="160"/>
      <w:ind w:left="720" w:right="720"/>
      <w:jc w:val="center"/>
    </w:pPr>
    <w:rPr>
      <w:i/>
      <w:iCs/>
      <w:color w:val="707070" w:themeColor="accent3" w:themeShade="BF"/>
      <w:sz w:val="24"/>
      <w:szCs w:val="24"/>
    </w:rPr>
  </w:style>
  <w:style w:type="character" w:customStyle="1" w:styleId="CitationCar">
    <w:name w:val="Citation Car"/>
    <w:basedOn w:val="Policepardfaut"/>
    <w:link w:val="Citation"/>
    <w:uiPriority w:val="29"/>
    <w:rsid w:val="00E44158"/>
    <w:rPr>
      <w:i/>
      <w:iCs/>
      <w:color w:val="707070" w:themeColor="accent3" w:themeShade="BF"/>
      <w:sz w:val="24"/>
      <w:szCs w:val="24"/>
    </w:rPr>
  </w:style>
  <w:style w:type="paragraph" w:styleId="Paragraphedeliste">
    <w:name w:val="List Paragraph"/>
    <w:basedOn w:val="Normal"/>
    <w:uiPriority w:val="34"/>
    <w:qFormat/>
    <w:rsid w:val="00E44158"/>
    <w:pPr>
      <w:ind w:left="720"/>
      <w:contextualSpacing/>
    </w:pPr>
  </w:style>
  <w:style w:type="character" w:styleId="Accentuationintense">
    <w:name w:val="Intense Emphasis"/>
    <w:basedOn w:val="Policepardfaut"/>
    <w:uiPriority w:val="21"/>
    <w:qFormat/>
    <w:rsid w:val="00E44158"/>
    <w:rPr>
      <w:b/>
      <w:bCs/>
      <w:i/>
      <w:iCs/>
      <w:color w:val="auto"/>
    </w:rPr>
  </w:style>
  <w:style w:type="paragraph" w:styleId="Citationintense">
    <w:name w:val="Intense Quote"/>
    <w:basedOn w:val="Normal"/>
    <w:next w:val="Normal"/>
    <w:link w:val="CitationintenseCar"/>
    <w:uiPriority w:val="30"/>
    <w:qFormat/>
    <w:rsid w:val="00E44158"/>
    <w:pPr>
      <w:spacing w:before="160" w:line="276" w:lineRule="auto"/>
      <w:ind w:left="936" w:right="936"/>
      <w:jc w:val="center"/>
    </w:pPr>
    <w:rPr>
      <w:rFonts w:asciiTheme="majorHAnsi" w:eastAsiaTheme="majorEastAsia" w:hAnsiTheme="majorHAnsi" w:cstheme="majorBidi"/>
      <w:caps/>
      <w:color w:val="A5A5A5" w:themeColor="accent1" w:themeShade="BF"/>
      <w:sz w:val="28"/>
      <w:szCs w:val="28"/>
    </w:rPr>
  </w:style>
  <w:style w:type="character" w:customStyle="1" w:styleId="CitationintenseCar">
    <w:name w:val="Citation intense Car"/>
    <w:basedOn w:val="Policepardfaut"/>
    <w:link w:val="Citationintense"/>
    <w:uiPriority w:val="30"/>
    <w:rsid w:val="00E44158"/>
    <w:rPr>
      <w:rFonts w:asciiTheme="majorHAnsi" w:eastAsiaTheme="majorEastAsia" w:hAnsiTheme="majorHAnsi" w:cstheme="majorBidi"/>
      <w:caps/>
      <w:color w:val="A5A5A5" w:themeColor="accent1" w:themeShade="BF"/>
      <w:sz w:val="28"/>
      <w:szCs w:val="28"/>
    </w:rPr>
  </w:style>
  <w:style w:type="character" w:styleId="Rfrenceintense">
    <w:name w:val="Intense Reference"/>
    <w:basedOn w:val="Policepardfaut"/>
    <w:uiPriority w:val="32"/>
    <w:qFormat/>
    <w:rsid w:val="00E44158"/>
    <w:rPr>
      <w:b/>
      <w:bCs/>
      <w:caps w:val="0"/>
      <w:smallCaps/>
      <w:color w:val="auto"/>
      <w:spacing w:val="0"/>
      <w:u w:val="single"/>
    </w:rPr>
  </w:style>
  <w:style w:type="paragraph" w:styleId="Lgende">
    <w:name w:val="caption"/>
    <w:basedOn w:val="Normal"/>
    <w:next w:val="Normal"/>
    <w:uiPriority w:val="35"/>
    <w:semiHidden/>
    <w:unhideWhenUsed/>
    <w:qFormat/>
    <w:rsid w:val="00E44158"/>
    <w:pPr>
      <w:spacing w:line="240" w:lineRule="auto"/>
    </w:pPr>
    <w:rPr>
      <w:b/>
      <w:bCs/>
      <w:color w:val="404040" w:themeColor="text1" w:themeTint="BF"/>
      <w:sz w:val="16"/>
      <w:szCs w:val="16"/>
    </w:rPr>
  </w:style>
  <w:style w:type="character" w:styleId="lev">
    <w:name w:val="Strong"/>
    <w:basedOn w:val="Policepardfaut"/>
    <w:uiPriority w:val="22"/>
    <w:qFormat/>
    <w:rsid w:val="00E44158"/>
    <w:rPr>
      <w:b/>
      <w:bCs/>
    </w:rPr>
  </w:style>
  <w:style w:type="character" w:styleId="Accentuation">
    <w:name w:val="Emphasis"/>
    <w:basedOn w:val="Policepardfaut"/>
    <w:uiPriority w:val="20"/>
    <w:qFormat/>
    <w:rsid w:val="00E44158"/>
    <w:rPr>
      <w:i/>
      <w:iCs/>
      <w:color w:val="000000" w:themeColor="text1"/>
    </w:rPr>
  </w:style>
  <w:style w:type="paragraph" w:styleId="Sansinterligne">
    <w:name w:val="No Spacing"/>
    <w:uiPriority w:val="1"/>
    <w:qFormat/>
    <w:rsid w:val="00E44158"/>
    <w:pPr>
      <w:spacing w:after="0" w:line="240" w:lineRule="auto"/>
    </w:pPr>
  </w:style>
  <w:style w:type="character" w:styleId="Accentuationlgre">
    <w:name w:val="Subtle Emphasis"/>
    <w:basedOn w:val="Policepardfaut"/>
    <w:uiPriority w:val="19"/>
    <w:qFormat/>
    <w:rsid w:val="00E44158"/>
    <w:rPr>
      <w:i/>
      <w:iCs/>
      <w:color w:val="595959" w:themeColor="text1" w:themeTint="A6"/>
    </w:rPr>
  </w:style>
  <w:style w:type="character" w:styleId="Rfrencelgre">
    <w:name w:val="Subtle Reference"/>
    <w:basedOn w:val="Policepardfaut"/>
    <w:uiPriority w:val="31"/>
    <w:qFormat/>
    <w:rsid w:val="00E44158"/>
    <w:rPr>
      <w:caps w:val="0"/>
      <w:smallCaps/>
      <w:color w:val="404040" w:themeColor="text1" w:themeTint="BF"/>
      <w:spacing w:val="0"/>
      <w:u w:val="single" w:color="7F7F7F" w:themeColor="text1" w:themeTint="80"/>
    </w:rPr>
  </w:style>
  <w:style w:type="character" w:styleId="Titredulivre">
    <w:name w:val="Book Title"/>
    <w:basedOn w:val="Policepardfaut"/>
    <w:uiPriority w:val="33"/>
    <w:qFormat/>
    <w:rsid w:val="00E44158"/>
    <w:rPr>
      <w:b/>
      <w:bCs/>
      <w:caps w:val="0"/>
      <w:smallCaps/>
      <w:spacing w:val="0"/>
    </w:rPr>
  </w:style>
  <w:style w:type="paragraph" w:styleId="En-ttedetabledesmatires">
    <w:name w:val="TOC Heading"/>
    <w:basedOn w:val="Titre1"/>
    <w:next w:val="Normal"/>
    <w:uiPriority w:val="39"/>
    <w:semiHidden/>
    <w:unhideWhenUsed/>
    <w:qFormat/>
    <w:rsid w:val="00E44158"/>
    <w:pPr>
      <w:outlineLvl w:val="9"/>
    </w:pPr>
  </w:style>
  <w:style w:type="paragraph" w:styleId="En-tte">
    <w:name w:val="header"/>
    <w:basedOn w:val="Normal"/>
    <w:link w:val="En-tteCar"/>
    <w:uiPriority w:val="99"/>
    <w:unhideWhenUsed/>
    <w:rsid w:val="00E44158"/>
    <w:pPr>
      <w:tabs>
        <w:tab w:val="center" w:pos="4536"/>
        <w:tab w:val="right" w:pos="9072"/>
      </w:tabs>
      <w:spacing w:after="0" w:line="240" w:lineRule="auto"/>
    </w:pPr>
  </w:style>
  <w:style w:type="character" w:customStyle="1" w:styleId="En-tteCar">
    <w:name w:val="En-tête Car"/>
    <w:basedOn w:val="Policepardfaut"/>
    <w:link w:val="En-tte"/>
    <w:uiPriority w:val="99"/>
    <w:rsid w:val="00E44158"/>
  </w:style>
  <w:style w:type="paragraph" w:styleId="Pieddepage">
    <w:name w:val="footer"/>
    <w:basedOn w:val="Normal"/>
    <w:link w:val="PieddepageCar"/>
    <w:uiPriority w:val="99"/>
    <w:unhideWhenUsed/>
    <w:rsid w:val="00E441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4158"/>
  </w:style>
  <w:style w:type="table" w:styleId="Grilledutableau">
    <w:name w:val="Table Grid"/>
    <w:basedOn w:val="TableauNormal"/>
    <w:uiPriority w:val="39"/>
    <w:rsid w:val="00E44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AD6C4B"/>
    <w:pPr>
      <w:spacing w:after="0" w:line="240" w:lineRule="auto"/>
    </w:pPr>
    <w:rPr>
      <w:sz w:val="20"/>
      <w:szCs w:val="20"/>
    </w:rPr>
  </w:style>
  <w:style w:type="character" w:customStyle="1" w:styleId="NotedebasdepageCar">
    <w:name w:val="Note de bas de page Car"/>
    <w:basedOn w:val="Policepardfaut"/>
    <w:link w:val="Notedebasdepage"/>
    <w:uiPriority w:val="99"/>
    <w:rsid w:val="00AD6C4B"/>
    <w:rPr>
      <w:sz w:val="20"/>
      <w:szCs w:val="20"/>
    </w:rPr>
  </w:style>
  <w:style w:type="character" w:styleId="Appelnotedebasdep">
    <w:name w:val="footnote reference"/>
    <w:basedOn w:val="Policepardfaut"/>
    <w:uiPriority w:val="99"/>
    <w:semiHidden/>
    <w:unhideWhenUsed/>
    <w:rsid w:val="00AD6C4B"/>
    <w:rPr>
      <w:vertAlign w:val="superscript"/>
    </w:rPr>
  </w:style>
  <w:style w:type="character" w:styleId="Lienhypertexte">
    <w:name w:val="Hyperlink"/>
    <w:basedOn w:val="Policepardfaut"/>
    <w:uiPriority w:val="99"/>
    <w:unhideWhenUsed/>
    <w:rsid w:val="003B2180"/>
    <w:rPr>
      <w:color w:val="5F5F5F" w:themeColor="hyperlink"/>
      <w:u w:val="single"/>
    </w:rPr>
  </w:style>
  <w:style w:type="character" w:styleId="Mentionnonrsolue">
    <w:name w:val="Unresolved Mention"/>
    <w:basedOn w:val="Policepardfaut"/>
    <w:uiPriority w:val="99"/>
    <w:semiHidden/>
    <w:unhideWhenUsed/>
    <w:rsid w:val="003B2180"/>
    <w:rPr>
      <w:color w:val="605E5C"/>
      <w:shd w:val="clear" w:color="auto" w:fill="E1DFDD"/>
    </w:rPr>
  </w:style>
  <w:style w:type="character" w:styleId="Lienhypertextesuivivisit">
    <w:name w:val="FollowedHyperlink"/>
    <w:basedOn w:val="Policepardfaut"/>
    <w:uiPriority w:val="99"/>
    <w:semiHidden/>
    <w:unhideWhenUsed/>
    <w:rsid w:val="006911E3"/>
    <w:rPr>
      <w:color w:val="919191" w:themeColor="followedHyperlink"/>
      <w:u w:val="single"/>
    </w:rPr>
  </w:style>
  <w:style w:type="character" w:styleId="Marquedecommentaire">
    <w:name w:val="annotation reference"/>
    <w:basedOn w:val="Policepardfaut"/>
    <w:uiPriority w:val="99"/>
    <w:semiHidden/>
    <w:unhideWhenUsed/>
    <w:rsid w:val="00116B34"/>
    <w:rPr>
      <w:sz w:val="16"/>
      <w:szCs w:val="16"/>
    </w:rPr>
  </w:style>
  <w:style w:type="paragraph" w:styleId="Commentaire">
    <w:name w:val="annotation text"/>
    <w:basedOn w:val="Normal"/>
    <w:link w:val="CommentaireCar"/>
    <w:uiPriority w:val="99"/>
    <w:unhideWhenUsed/>
    <w:rsid w:val="00116B34"/>
    <w:pPr>
      <w:spacing w:line="240" w:lineRule="auto"/>
    </w:pPr>
    <w:rPr>
      <w:sz w:val="20"/>
      <w:szCs w:val="20"/>
    </w:rPr>
  </w:style>
  <w:style w:type="character" w:customStyle="1" w:styleId="CommentaireCar">
    <w:name w:val="Commentaire Car"/>
    <w:basedOn w:val="Policepardfaut"/>
    <w:link w:val="Commentaire"/>
    <w:uiPriority w:val="99"/>
    <w:rsid w:val="00116B34"/>
    <w:rPr>
      <w:sz w:val="20"/>
      <w:szCs w:val="20"/>
    </w:rPr>
  </w:style>
  <w:style w:type="paragraph" w:styleId="Objetducommentaire">
    <w:name w:val="annotation subject"/>
    <w:basedOn w:val="Commentaire"/>
    <w:next w:val="Commentaire"/>
    <w:link w:val="ObjetducommentaireCar"/>
    <w:uiPriority w:val="99"/>
    <w:semiHidden/>
    <w:unhideWhenUsed/>
    <w:rsid w:val="00116B34"/>
    <w:rPr>
      <w:b/>
      <w:bCs/>
    </w:rPr>
  </w:style>
  <w:style w:type="character" w:customStyle="1" w:styleId="ObjetducommentaireCar">
    <w:name w:val="Objet du commentaire Car"/>
    <w:basedOn w:val="CommentaireCar"/>
    <w:link w:val="Objetducommentaire"/>
    <w:uiPriority w:val="99"/>
    <w:semiHidden/>
    <w:rsid w:val="00116B34"/>
    <w:rPr>
      <w:b/>
      <w:bCs/>
      <w:sz w:val="20"/>
      <w:szCs w:val="20"/>
    </w:rPr>
  </w:style>
  <w:style w:type="paragraph" w:styleId="Rvision">
    <w:name w:val="Revision"/>
    <w:hidden/>
    <w:uiPriority w:val="99"/>
    <w:semiHidden/>
    <w:rsid w:val="006C7DA8"/>
    <w:pPr>
      <w:spacing w:after="0" w:line="240" w:lineRule="auto"/>
    </w:pPr>
  </w:style>
  <w:style w:type="paragraph" w:styleId="Listepuces">
    <w:name w:val="List Bullet"/>
    <w:basedOn w:val="Normal"/>
    <w:uiPriority w:val="99"/>
    <w:unhideWhenUsed/>
    <w:rsid w:val="007D722E"/>
    <w:pPr>
      <w:numPr>
        <w:numId w:val="1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5930">
      <w:bodyDiv w:val="1"/>
      <w:marLeft w:val="0"/>
      <w:marRight w:val="0"/>
      <w:marTop w:val="0"/>
      <w:marBottom w:val="0"/>
      <w:divBdr>
        <w:top w:val="none" w:sz="0" w:space="0" w:color="auto"/>
        <w:left w:val="none" w:sz="0" w:space="0" w:color="auto"/>
        <w:bottom w:val="none" w:sz="0" w:space="0" w:color="auto"/>
        <w:right w:val="none" w:sz="0" w:space="0" w:color="auto"/>
      </w:divBdr>
      <w:divsChild>
        <w:div w:id="1523087032">
          <w:marLeft w:val="1166"/>
          <w:marRight w:val="0"/>
          <w:marTop w:val="91"/>
          <w:marBottom w:val="0"/>
          <w:divBdr>
            <w:top w:val="none" w:sz="0" w:space="0" w:color="auto"/>
            <w:left w:val="none" w:sz="0" w:space="0" w:color="auto"/>
            <w:bottom w:val="none" w:sz="0" w:space="0" w:color="auto"/>
            <w:right w:val="none" w:sz="0" w:space="0" w:color="auto"/>
          </w:divBdr>
        </w:div>
        <w:div w:id="532960272">
          <w:marLeft w:val="1166"/>
          <w:marRight w:val="0"/>
          <w:marTop w:val="91"/>
          <w:marBottom w:val="0"/>
          <w:divBdr>
            <w:top w:val="none" w:sz="0" w:space="0" w:color="auto"/>
            <w:left w:val="none" w:sz="0" w:space="0" w:color="auto"/>
            <w:bottom w:val="none" w:sz="0" w:space="0" w:color="auto"/>
            <w:right w:val="none" w:sz="0" w:space="0" w:color="auto"/>
          </w:divBdr>
        </w:div>
        <w:div w:id="1737510068">
          <w:marLeft w:val="1166"/>
          <w:marRight w:val="0"/>
          <w:marTop w:val="91"/>
          <w:marBottom w:val="0"/>
          <w:divBdr>
            <w:top w:val="none" w:sz="0" w:space="0" w:color="auto"/>
            <w:left w:val="none" w:sz="0" w:space="0" w:color="auto"/>
            <w:bottom w:val="none" w:sz="0" w:space="0" w:color="auto"/>
            <w:right w:val="none" w:sz="0" w:space="0" w:color="auto"/>
          </w:divBdr>
        </w:div>
        <w:div w:id="947472479">
          <w:marLeft w:val="1166"/>
          <w:marRight w:val="0"/>
          <w:marTop w:val="91"/>
          <w:marBottom w:val="0"/>
          <w:divBdr>
            <w:top w:val="none" w:sz="0" w:space="0" w:color="auto"/>
            <w:left w:val="none" w:sz="0" w:space="0" w:color="auto"/>
            <w:bottom w:val="none" w:sz="0" w:space="0" w:color="auto"/>
            <w:right w:val="none" w:sz="0" w:space="0" w:color="auto"/>
          </w:divBdr>
        </w:div>
        <w:div w:id="1715544072">
          <w:marLeft w:val="1166"/>
          <w:marRight w:val="0"/>
          <w:marTop w:val="91"/>
          <w:marBottom w:val="0"/>
          <w:divBdr>
            <w:top w:val="none" w:sz="0" w:space="0" w:color="auto"/>
            <w:left w:val="none" w:sz="0" w:space="0" w:color="auto"/>
            <w:bottom w:val="none" w:sz="0" w:space="0" w:color="auto"/>
            <w:right w:val="none" w:sz="0" w:space="0" w:color="auto"/>
          </w:divBdr>
        </w:div>
        <w:div w:id="1578827895">
          <w:marLeft w:val="1166"/>
          <w:marRight w:val="0"/>
          <w:marTop w:val="91"/>
          <w:marBottom w:val="0"/>
          <w:divBdr>
            <w:top w:val="none" w:sz="0" w:space="0" w:color="auto"/>
            <w:left w:val="none" w:sz="0" w:space="0" w:color="auto"/>
            <w:bottom w:val="none" w:sz="0" w:space="0" w:color="auto"/>
            <w:right w:val="none" w:sz="0" w:space="0" w:color="auto"/>
          </w:divBdr>
        </w:div>
        <w:div w:id="752313487">
          <w:marLeft w:val="1166"/>
          <w:marRight w:val="0"/>
          <w:marTop w:val="91"/>
          <w:marBottom w:val="0"/>
          <w:divBdr>
            <w:top w:val="none" w:sz="0" w:space="0" w:color="auto"/>
            <w:left w:val="none" w:sz="0" w:space="0" w:color="auto"/>
            <w:bottom w:val="none" w:sz="0" w:space="0" w:color="auto"/>
            <w:right w:val="none" w:sz="0" w:space="0" w:color="auto"/>
          </w:divBdr>
        </w:div>
        <w:div w:id="717126591">
          <w:marLeft w:val="1166"/>
          <w:marRight w:val="0"/>
          <w:marTop w:val="91"/>
          <w:marBottom w:val="0"/>
          <w:divBdr>
            <w:top w:val="none" w:sz="0" w:space="0" w:color="auto"/>
            <w:left w:val="none" w:sz="0" w:space="0" w:color="auto"/>
            <w:bottom w:val="none" w:sz="0" w:space="0" w:color="auto"/>
            <w:right w:val="none" w:sz="0" w:space="0" w:color="auto"/>
          </w:divBdr>
        </w:div>
      </w:divsChild>
    </w:div>
    <w:div w:id="35740656">
      <w:bodyDiv w:val="1"/>
      <w:marLeft w:val="0"/>
      <w:marRight w:val="0"/>
      <w:marTop w:val="0"/>
      <w:marBottom w:val="0"/>
      <w:divBdr>
        <w:top w:val="none" w:sz="0" w:space="0" w:color="auto"/>
        <w:left w:val="none" w:sz="0" w:space="0" w:color="auto"/>
        <w:bottom w:val="none" w:sz="0" w:space="0" w:color="auto"/>
        <w:right w:val="none" w:sz="0" w:space="0" w:color="auto"/>
      </w:divBdr>
    </w:div>
    <w:div w:id="158086958">
      <w:bodyDiv w:val="1"/>
      <w:marLeft w:val="0"/>
      <w:marRight w:val="0"/>
      <w:marTop w:val="0"/>
      <w:marBottom w:val="0"/>
      <w:divBdr>
        <w:top w:val="none" w:sz="0" w:space="0" w:color="auto"/>
        <w:left w:val="none" w:sz="0" w:space="0" w:color="auto"/>
        <w:bottom w:val="none" w:sz="0" w:space="0" w:color="auto"/>
        <w:right w:val="none" w:sz="0" w:space="0" w:color="auto"/>
      </w:divBdr>
    </w:div>
    <w:div w:id="286936280">
      <w:bodyDiv w:val="1"/>
      <w:marLeft w:val="0"/>
      <w:marRight w:val="0"/>
      <w:marTop w:val="0"/>
      <w:marBottom w:val="0"/>
      <w:divBdr>
        <w:top w:val="none" w:sz="0" w:space="0" w:color="auto"/>
        <w:left w:val="none" w:sz="0" w:space="0" w:color="auto"/>
        <w:bottom w:val="none" w:sz="0" w:space="0" w:color="auto"/>
        <w:right w:val="none" w:sz="0" w:space="0" w:color="auto"/>
      </w:divBdr>
      <w:divsChild>
        <w:div w:id="179201517">
          <w:marLeft w:val="706"/>
          <w:marRight w:val="0"/>
          <w:marTop w:val="106"/>
          <w:marBottom w:val="0"/>
          <w:divBdr>
            <w:top w:val="none" w:sz="0" w:space="0" w:color="auto"/>
            <w:left w:val="none" w:sz="0" w:space="0" w:color="auto"/>
            <w:bottom w:val="none" w:sz="0" w:space="0" w:color="auto"/>
            <w:right w:val="none" w:sz="0" w:space="0" w:color="auto"/>
          </w:divBdr>
        </w:div>
        <w:div w:id="719548159">
          <w:marLeft w:val="1166"/>
          <w:marRight w:val="0"/>
          <w:marTop w:val="91"/>
          <w:marBottom w:val="0"/>
          <w:divBdr>
            <w:top w:val="none" w:sz="0" w:space="0" w:color="auto"/>
            <w:left w:val="none" w:sz="0" w:space="0" w:color="auto"/>
            <w:bottom w:val="none" w:sz="0" w:space="0" w:color="auto"/>
            <w:right w:val="none" w:sz="0" w:space="0" w:color="auto"/>
          </w:divBdr>
        </w:div>
        <w:div w:id="1462069953">
          <w:marLeft w:val="1166"/>
          <w:marRight w:val="0"/>
          <w:marTop w:val="91"/>
          <w:marBottom w:val="0"/>
          <w:divBdr>
            <w:top w:val="none" w:sz="0" w:space="0" w:color="auto"/>
            <w:left w:val="none" w:sz="0" w:space="0" w:color="auto"/>
            <w:bottom w:val="none" w:sz="0" w:space="0" w:color="auto"/>
            <w:right w:val="none" w:sz="0" w:space="0" w:color="auto"/>
          </w:divBdr>
        </w:div>
        <w:div w:id="1671367989">
          <w:marLeft w:val="1166"/>
          <w:marRight w:val="0"/>
          <w:marTop w:val="91"/>
          <w:marBottom w:val="0"/>
          <w:divBdr>
            <w:top w:val="none" w:sz="0" w:space="0" w:color="auto"/>
            <w:left w:val="none" w:sz="0" w:space="0" w:color="auto"/>
            <w:bottom w:val="none" w:sz="0" w:space="0" w:color="auto"/>
            <w:right w:val="none" w:sz="0" w:space="0" w:color="auto"/>
          </w:divBdr>
        </w:div>
        <w:div w:id="1959070528">
          <w:marLeft w:val="1166"/>
          <w:marRight w:val="0"/>
          <w:marTop w:val="91"/>
          <w:marBottom w:val="0"/>
          <w:divBdr>
            <w:top w:val="none" w:sz="0" w:space="0" w:color="auto"/>
            <w:left w:val="none" w:sz="0" w:space="0" w:color="auto"/>
            <w:bottom w:val="none" w:sz="0" w:space="0" w:color="auto"/>
            <w:right w:val="none" w:sz="0" w:space="0" w:color="auto"/>
          </w:divBdr>
        </w:div>
      </w:divsChild>
    </w:div>
    <w:div w:id="847211659">
      <w:bodyDiv w:val="1"/>
      <w:marLeft w:val="0"/>
      <w:marRight w:val="0"/>
      <w:marTop w:val="0"/>
      <w:marBottom w:val="0"/>
      <w:divBdr>
        <w:top w:val="none" w:sz="0" w:space="0" w:color="auto"/>
        <w:left w:val="none" w:sz="0" w:space="0" w:color="auto"/>
        <w:bottom w:val="none" w:sz="0" w:space="0" w:color="auto"/>
        <w:right w:val="none" w:sz="0" w:space="0" w:color="auto"/>
      </w:divBdr>
    </w:div>
    <w:div w:id="865825869">
      <w:bodyDiv w:val="1"/>
      <w:marLeft w:val="0"/>
      <w:marRight w:val="0"/>
      <w:marTop w:val="0"/>
      <w:marBottom w:val="0"/>
      <w:divBdr>
        <w:top w:val="none" w:sz="0" w:space="0" w:color="auto"/>
        <w:left w:val="none" w:sz="0" w:space="0" w:color="auto"/>
        <w:bottom w:val="none" w:sz="0" w:space="0" w:color="auto"/>
        <w:right w:val="none" w:sz="0" w:space="0" w:color="auto"/>
      </w:divBdr>
    </w:div>
    <w:div w:id="1235820257">
      <w:bodyDiv w:val="1"/>
      <w:marLeft w:val="0"/>
      <w:marRight w:val="0"/>
      <w:marTop w:val="0"/>
      <w:marBottom w:val="0"/>
      <w:divBdr>
        <w:top w:val="none" w:sz="0" w:space="0" w:color="auto"/>
        <w:left w:val="none" w:sz="0" w:space="0" w:color="auto"/>
        <w:bottom w:val="none" w:sz="0" w:space="0" w:color="auto"/>
        <w:right w:val="none" w:sz="0" w:space="0" w:color="auto"/>
      </w:divBdr>
    </w:div>
    <w:div w:id="1291322272">
      <w:bodyDiv w:val="1"/>
      <w:marLeft w:val="0"/>
      <w:marRight w:val="0"/>
      <w:marTop w:val="0"/>
      <w:marBottom w:val="0"/>
      <w:divBdr>
        <w:top w:val="none" w:sz="0" w:space="0" w:color="auto"/>
        <w:left w:val="none" w:sz="0" w:space="0" w:color="auto"/>
        <w:bottom w:val="none" w:sz="0" w:space="0" w:color="auto"/>
        <w:right w:val="none" w:sz="0" w:space="0" w:color="auto"/>
      </w:divBdr>
    </w:div>
    <w:div w:id="1308628587">
      <w:bodyDiv w:val="1"/>
      <w:marLeft w:val="0"/>
      <w:marRight w:val="0"/>
      <w:marTop w:val="0"/>
      <w:marBottom w:val="0"/>
      <w:divBdr>
        <w:top w:val="none" w:sz="0" w:space="0" w:color="auto"/>
        <w:left w:val="none" w:sz="0" w:space="0" w:color="auto"/>
        <w:bottom w:val="none" w:sz="0" w:space="0" w:color="auto"/>
        <w:right w:val="none" w:sz="0" w:space="0" w:color="auto"/>
      </w:divBdr>
    </w:div>
    <w:div w:id="1446728874">
      <w:bodyDiv w:val="1"/>
      <w:marLeft w:val="0"/>
      <w:marRight w:val="0"/>
      <w:marTop w:val="0"/>
      <w:marBottom w:val="0"/>
      <w:divBdr>
        <w:top w:val="none" w:sz="0" w:space="0" w:color="auto"/>
        <w:left w:val="none" w:sz="0" w:space="0" w:color="auto"/>
        <w:bottom w:val="none" w:sz="0" w:space="0" w:color="auto"/>
        <w:right w:val="none" w:sz="0" w:space="0" w:color="auto"/>
      </w:divBdr>
      <w:divsChild>
        <w:div w:id="170679368">
          <w:marLeft w:val="1166"/>
          <w:marRight w:val="0"/>
          <w:marTop w:val="91"/>
          <w:marBottom w:val="0"/>
          <w:divBdr>
            <w:top w:val="none" w:sz="0" w:space="0" w:color="auto"/>
            <w:left w:val="none" w:sz="0" w:space="0" w:color="auto"/>
            <w:bottom w:val="none" w:sz="0" w:space="0" w:color="auto"/>
            <w:right w:val="none" w:sz="0" w:space="0" w:color="auto"/>
          </w:divBdr>
        </w:div>
        <w:div w:id="654991243">
          <w:marLeft w:val="706"/>
          <w:marRight w:val="0"/>
          <w:marTop w:val="106"/>
          <w:marBottom w:val="0"/>
          <w:divBdr>
            <w:top w:val="none" w:sz="0" w:space="0" w:color="auto"/>
            <w:left w:val="none" w:sz="0" w:space="0" w:color="auto"/>
            <w:bottom w:val="none" w:sz="0" w:space="0" w:color="auto"/>
            <w:right w:val="none" w:sz="0" w:space="0" w:color="auto"/>
          </w:divBdr>
        </w:div>
        <w:div w:id="763764857">
          <w:marLeft w:val="1166"/>
          <w:marRight w:val="0"/>
          <w:marTop w:val="91"/>
          <w:marBottom w:val="0"/>
          <w:divBdr>
            <w:top w:val="none" w:sz="0" w:space="0" w:color="auto"/>
            <w:left w:val="none" w:sz="0" w:space="0" w:color="auto"/>
            <w:bottom w:val="none" w:sz="0" w:space="0" w:color="auto"/>
            <w:right w:val="none" w:sz="0" w:space="0" w:color="auto"/>
          </w:divBdr>
        </w:div>
        <w:div w:id="1441876343">
          <w:marLeft w:val="1800"/>
          <w:marRight w:val="0"/>
          <w:marTop w:val="82"/>
          <w:marBottom w:val="0"/>
          <w:divBdr>
            <w:top w:val="none" w:sz="0" w:space="0" w:color="auto"/>
            <w:left w:val="none" w:sz="0" w:space="0" w:color="auto"/>
            <w:bottom w:val="none" w:sz="0" w:space="0" w:color="auto"/>
            <w:right w:val="none" w:sz="0" w:space="0" w:color="auto"/>
          </w:divBdr>
        </w:div>
        <w:div w:id="1596786334">
          <w:marLeft w:val="1800"/>
          <w:marRight w:val="0"/>
          <w:marTop w:val="82"/>
          <w:marBottom w:val="0"/>
          <w:divBdr>
            <w:top w:val="none" w:sz="0" w:space="0" w:color="auto"/>
            <w:left w:val="none" w:sz="0" w:space="0" w:color="auto"/>
            <w:bottom w:val="none" w:sz="0" w:space="0" w:color="auto"/>
            <w:right w:val="none" w:sz="0" w:space="0" w:color="auto"/>
          </w:divBdr>
        </w:div>
        <w:div w:id="1961574237">
          <w:marLeft w:val="1800"/>
          <w:marRight w:val="0"/>
          <w:marTop w:val="82"/>
          <w:marBottom w:val="0"/>
          <w:divBdr>
            <w:top w:val="none" w:sz="0" w:space="0" w:color="auto"/>
            <w:left w:val="none" w:sz="0" w:space="0" w:color="auto"/>
            <w:bottom w:val="none" w:sz="0" w:space="0" w:color="auto"/>
            <w:right w:val="none" w:sz="0" w:space="0" w:color="auto"/>
          </w:divBdr>
        </w:div>
        <w:div w:id="1966157508">
          <w:marLeft w:val="1800"/>
          <w:marRight w:val="0"/>
          <w:marTop w:val="82"/>
          <w:marBottom w:val="0"/>
          <w:divBdr>
            <w:top w:val="none" w:sz="0" w:space="0" w:color="auto"/>
            <w:left w:val="none" w:sz="0" w:space="0" w:color="auto"/>
            <w:bottom w:val="none" w:sz="0" w:space="0" w:color="auto"/>
            <w:right w:val="none" w:sz="0" w:space="0" w:color="auto"/>
          </w:divBdr>
        </w:div>
      </w:divsChild>
    </w:div>
    <w:div w:id="193994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www.belgium.be/" TargetMode="External"/><Relationship Id="rId3" Type="http://schemas.openxmlformats.org/officeDocument/2006/relationships/hyperlink" Target="http://www.dofi.ibz.be" TargetMode="External"/><Relationship Id="rId7" Type="http://schemas.openxmlformats.org/officeDocument/2006/relationships/hyperlink" Target="http://www.myria.be" TargetMode="External"/><Relationship Id="rId2" Type="http://schemas.openxmlformats.org/officeDocument/2006/relationships/hyperlink" Target="http://www.circ.usaintlouis.be" TargetMode="External"/><Relationship Id="rId1" Type="http://schemas.openxmlformats.org/officeDocument/2006/relationships/hyperlink" Target="http://www.strasbourgobservers.com" TargetMode="External"/><Relationship Id="rId6" Type="http://schemas.openxmlformats.org/officeDocument/2006/relationships/hyperlink" Target="http://www.dei-belgique.be" TargetMode="External"/><Relationship Id="rId5" Type="http://schemas.openxmlformats.org/officeDocument/2006/relationships/hyperlink" Target="http://www.hrc.ugent.be" TargetMode="External"/><Relationship Id="rId4" Type="http://schemas.openxmlformats.org/officeDocument/2006/relationships/hyperlink" Target="http://www.vluchtelingenwerk.be" TargetMode="External"/></Relationships>
</file>

<file path=word/theme/theme1.xml><?xml version="1.0" encoding="utf-8"?>
<a:theme xmlns:a="http://schemas.openxmlformats.org/drawingml/2006/main" name="Berlin">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5C16F2973F394C9C4E3DC3D76FA0B2" ma:contentTypeVersion="18" ma:contentTypeDescription="Crée un document." ma:contentTypeScope="" ma:versionID="f6467eda4623054b5d4813601412ec70">
  <xsd:schema xmlns:xsd="http://www.w3.org/2001/XMLSchema" xmlns:xs="http://www.w3.org/2001/XMLSchema" xmlns:p="http://schemas.microsoft.com/office/2006/metadata/properties" xmlns:ns2="a6dd2295-9f76-4ebd-8696-2698c8dd1f51" xmlns:ns3="37c3055b-6613-4cc9-82f6-9ee28a5ea142" targetNamespace="http://schemas.microsoft.com/office/2006/metadata/properties" ma:root="true" ma:fieldsID="2e865a70d379c2740021a71a1ab165e1" ns2:_="" ns3:_="">
    <xsd:import namespace="a6dd2295-9f76-4ebd-8696-2698c8dd1f51"/>
    <xsd:import namespace="37c3055b-6613-4cc9-82f6-9ee28a5ea1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d2295-9f76-4ebd-8696-2698c8dd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205bdae2-9727-45bd-8c3d-0bf57f99b3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c3055b-6613-4cc9-82f6-9ee28a5ea14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7ba6136-4cba-409c-858f-bc437908d6af}" ma:internalName="TaxCatchAll" ma:showField="CatchAllData" ma:web="37c3055b-6613-4cc9-82f6-9ee28a5ea14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dd2295-9f76-4ebd-8696-2698c8dd1f51">
      <Terms xmlns="http://schemas.microsoft.com/office/infopath/2007/PartnerControls"/>
    </lcf76f155ced4ddcb4097134ff3c332f>
    <TaxCatchAll xmlns="37c3055b-6613-4cc9-82f6-9ee28a5ea142" xsi:nil="true"/>
  </documentManagement>
</p:properties>
</file>

<file path=customXml/itemProps1.xml><?xml version="1.0" encoding="utf-8"?>
<ds:datastoreItem xmlns:ds="http://schemas.openxmlformats.org/officeDocument/2006/customXml" ds:itemID="{0EDCB10D-39A5-4B2F-89F4-EE7A07247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d2295-9f76-4ebd-8696-2698c8dd1f51"/>
    <ds:schemaRef ds:uri="37c3055b-6613-4cc9-82f6-9ee28a5ea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6BE4C0-B9A4-4A5E-8A32-39832DAF8AD5}">
  <ds:schemaRefs>
    <ds:schemaRef ds:uri="http://schemas.openxmlformats.org/officeDocument/2006/bibliography"/>
  </ds:schemaRefs>
</ds:datastoreItem>
</file>

<file path=customXml/itemProps3.xml><?xml version="1.0" encoding="utf-8"?>
<ds:datastoreItem xmlns:ds="http://schemas.openxmlformats.org/officeDocument/2006/customXml" ds:itemID="{5CA8899C-D5CD-42DB-BE79-C7CA21DFA2D6}">
  <ds:schemaRefs>
    <ds:schemaRef ds:uri="http://schemas.microsoft.com/sharepoint/v3/contenttype/forms"/>
  </ds:schemaRefs>
</ds:datastoreItem>
</file>

<file path=customXml/itemProps4.xml><?xml version="1.0" encoding="utf-8"?>
<ds:datastoreItem xmlns:ds="http://schemas.openxmlformats.org/officeDocument/2006/customXml" ds:itemID="{BA4A1AAE-7A5B-40D4-ABE9-C7AC0B62E386}">
  <ds:schemaRefs>
    <ds:schemaRef ds:uri="http://schemas.microsoft.com/office/2006/metadata/properties"/>
    <ds:schemaRef ds:uri="http://schemas.microsoft.com/office/infopath/2007/PartnerControls"/>
    <ds:schemaRef ds:uri="a6dd2295-9f76-4ebd-8696-2698c8dd1f51"/>
    <ds:schemaRef ds:uri="37c3055b-6613-4cc9-82f6-9ee28a5ea14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2210</Words>
  <Characters>12157</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Ernoux Alix</dc:creator>
  <cp:keywords/>
  <dc:description/>
  <cp:lastModifiedBy>Anonyme</cp:lastModifiedBy>
  <cp:revision>3</cp:revision>
  <dcterms:created xsi:type="dcterms:W3CDTF">2025-07-17T23:25:00Z</dcterms:created>
  <dcterms:modified xsi:type="dcterms:W3CDTF">2025-07-17T23:30:00Z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0x010100625C16F2973F394C9C4E3DC3D76FA0B2</vt:lpwstr>
  </property>
</Properties>
</file>