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8484E" w14:textId="2753243D" w:rsidR="00C14842" w:rsidRPr="0040332C" w:rsidRDefault="0040332C" w:rsidP="008B2DEC">
      <w:pPr>
        <w:pStyle w:val="Titre"/>
        <w:jc w:val="center"/>
        <w:rPr>
          <w:sz w:val="44"/>
          <w:szCs w:val="44"/>
        </w:rPr>
      </w:pPr>
      <w:r w:rsidRPr="0040332C">
        <w:rPr>
          <w:sz w:val="44"/>
          <w:szCs w:val="44"/>
        </w:rPr>
        <w:t>La déchéance de nationalité belge pour terrorisme devant la Cour européenne des droits de l’homme</w:t>
      </w:r>
    </w:p>
    <w:p w14:paraId="4A809EF1" w14:textId="19E5A8A7" w:rsidR="00B442C2" w:rsidRDefault="008B2DEC" w:rsidP="00A8478D">
      <w:pPr>
        <w:pStyle w:val="Sous-titre"/>
        <w:jc w:val="center"/>
      </w:pPr>
      <w:r>
        <w:rPr>
          <w:lang w:val="fr-FR"/>
        </w:rPr>
        <w:t>O</w:t>
      </w:r>
      <w:r w:rsidRPr="004467AE">
        <w:rPr>
          <w:lang w:val="fr-FR"/>
        </w:rPr>
        <w:t xml:space="preserve">bs. sous Cour </w:t>
      </w:r>
      <w:proofErr w:type="spellStart"/>
      <w:r w:rsidRPr="004467AE">
        <w:rPr>
          <w:lang w:val="fr-FR"/>
        </w:rPr>
        <w:t>eur</w:t>
      </w:r>
      <w:proofErr w:type="spellEnd"/>
      <w:r w:rsidRPr="004467AE">
        <w:rPr>
          <w:lang w:val="fr-FR"/>
        </w:rPr>
        <w:t xml:space="preserve">. </w:t>
      </w:r>
      <w:r w:rsidR="00EC17AF">
        <w:rPr>
          <w:lang w:val="fr-FR"/>
        </w:rPr>
        <w:t>D.H.</w:t>
      </w:r>
      <w:r w:rsidR="007F5A92">
        <w:rPr>
          <w:lang w:val="fr-FR"/>
        </w:rPr>
        <w:t>,</w:t>
      </w:r>
      <w:r w:rsidRPr="004467AE">
        <w:rPr>
          <w:lang w:val="fr-FR"/>
        </w:rPr>
        <w:t xml:space="preserve"> </w:t>
      </w:r>
      <w:r w:rsidR="0040332C">
        <w:rPr>
          <w:i/>
          <w:iCs/>
          <w:lang w:val="fr-FR"/>
        </w:rPr>
        <w:t xml:space="preserve">El </w:t>
      </w:r>
      <w:proofErr w:type="spellStart"/>
      <w:r w:rsidR="0040332C">
        <w:rPr>
          <w:i/>
          <w:iCs/>
          <w:lang w:val="fr-FR"/>
        </w:rPr>
        <w:t>Aroud</w:t>
      </w:r>
      <w:proofErr w:type="spellEnd"/>
      <w:r w:rsidR="0040332C">
        <w:rPr>
          <w:i/>
          <w:iCs/>
          <w:lang w:val="fr-FR"/>
        </w:rPr>
        <w:t xml:space="preserve"> et </w:t>
      </w:r>
      <w:proofErr w:type="spellStart"/>
      <w:r w:rsidR="0040332C">
        <w:rPr>
          <w:i/>
          <w:iCs/>
          <w:lang w:val="fr-FR"/>
        </w:rPr>
        <w:t>Soughir</w:t>
      </w:r>
      <w:proofErr w:type="spellEnd"/>
      <w:r w:rsidR="0040332C">
        <w:rPr>
          <w:i/>
          <w:iCs/>
          <w:lang w:val="fr-FR"/>
        </w:rPr>
        <w:t xml:space="preserve"> c. Belgique</w:t>
      </w:r>
      <w:r w:rsidRPr="004467AE">
        <w:rPr>
          <w:lang w:val="fr-FR"/>
        </w:rPr>
        <w:t xml:space="preserve">, </w:t>
      </w:r>
      <w:r w:rsidR="0040332C">
        <w:rPr>
          <w:lang w:val="fr-FR"/>
        </w:rPr>
        <w:t>5</w:t>
      </w:r>
      <w:r w:rsidR="006E64E9">
        <w:rPr>
          <w:lang w:val="fr-FR"/>
        </w:rPr>
        <w:t> </w:t>
      </w:r>
      <w:r w:rsidR="0040332C">
        <w:rPr>
          <w:lang w:val="fr-FR"/>
        </w:rPr>
        <w:t>décembre 2024</w:t>
      </w:r>
    </w:p>
    <w:tbl>
      <w:tblPr>
        <w:tblStyle w:val="Grilledutableau"/>
        <w:tblW w:w="0" w:type="auto"/>
        <w:tblLook w:val="04A0" w:firstRow="1" w:lastRow="0" w:firstColumn="1" w:lastColumn="0" w:noHBand="0" w:noVBand="1"/>
      </w:tblPr>
      <w:tblGrid>
        <w:gridCol w:w="9062"/>
      </w:tblGrid>
      <w:tr w:rsidR="00A8478D" w14:paraId="4C2E1BE0" w14:textId="77777777" w:rsidTr="31AE0488">
        <w:tc>
          <w:tcPr>
            <w:tcW w:w="9062" w:type="dxa"/>
          </w:tcPr>
          <w:p w14:paraId="52D18D7F" w14:textId="7BB67B63" w:rsidR="00A8478D" w:rsidRDefault="587DF37F" w:rsidP="00C507C0">
            <w:pPr>
              <w:jc w:val="both"/>
            </w:pPr>
            <w:r>
              <w:t xml:space="preserve">Dans un arrêt rendu le 5 décembre 2024, la </w:t>
            </w:r>
            <w:r w:rsidRPr="001A3373">
              <w:t xml:space="preserve">Cour européenne des droits de </w:t>
            </w:r>
            <w:r w:rsidR="00E1011B">
              <w:t xml:space="preserve">l’homme </w:t>
            </w:r>
            <w:r>
              <w:t>se prononce sur la conformité, au regard des droits humains, de la procédure belge en déchéance de nationalité pour manquement grave aux devoirs de citoyen</w:t>
            </w:r>
            <w:r w:rsidR="00E1011B">
              <w:rPr>
                <w:rStyle w:val="Appelnotedebasdep"/>
              </w:rPr>
              <w:footnoteReference w:id="2"/>
            </w:r>
            <w:r>
              <w:t>. La Cour d’appel de Bruxelles avait retiré la nationalité belge à deux ressortissants binationaux coupables de fait de terrorisme</w:t>
            </w:r>
            <w:r w:rsidRPr="00A10F18">
              <w:t xml:space="preserve">. </w:t>
            </w:r>
            <w:r>
              <w:t xml:space="preserve">Cet </w:t>
            </w:r>
            <w:r w:rsidRPr="00A2054E">
              <w:t xml:space="preserve">arrêt soulève la question </w:t>
            </w:r>
            <w:r>
              <w:t xml:space="preserve">cruciale </w:t>
            </w:r>
            <w:r w:rsidRPr="00A2054E">
              <w:t xml:space="preserve">de l'équilibre entre </w:t>
            </w:r>
            <w:r>
              <w:t>la protection de</w:t>
            </w:r>
            <w:r w:rsidRPr="00A2054E">
              <w:t xml:space="preserve"> la société contre le terrorisme et </w:t>
            </w:r>
            <w:r>
              <w:t>le respect d</w:t>
            </w:r>
            <w:r w:rsidRPr="00A2054E">
              <w:t xml:space="preserve">es droits fondamentaux, comme le droit à la </w:t>
            </w:r>
            <w:r>
              <w:t>vie privée et familiale ou le droit à un double degré de juridiction</w:t>
            </w:r>
            <w:r w:rsidR="00E1011B">
              <w:rPr>
                <w:rStyle w:val="Appelnotedebasdep"/>
              </w:rPr>
              <w:footnoteReference w:id="3"/>
            </w:r>
            <w:r w:rsidRPr="00A2054E">
              <w:t>.</w:t>
            </w:r>
            <w:r>
              <w:t xml:space="preserve"> </w:t>
            </w:r>
            <w:r w:rsidRPr="00EC7238">
              <w:t>Bien que la Cour valide, dans la lignée de sa jurisprudence, la procédure belge, c’est surtout la méthodologie adoptée qui inte</w:t>
            </w:r>
            <w:r>
              <w:t>rroge</w:t>
            </w:r>
            <w:r w:rsidRPr="00EC7238">
              <w:t>.</w:t>
            </w:r>
            <w:r>
              <w:t xml:space="preserve"> Par ailleurs, cette décision met fin à</w:t>
            </w:r>
            <w:r w:rsidRPr="001A3373">
              <w:t xml:space="preserve"> un contentieux judiciaire</w:t>
            </w:r>
            <w:r>
              <w:t xml:space="preserve"> complexe,</w:t>
            </w:r>
            <w:r w:rsidRPr="001A3373">
              <w:t xml:space="preserve"> remontant à plusieurs années</w:t>
            </w:r>
            <w:r>
              <w:t>. D’une part, la procédure de déchéance de la nationalité — telle qu’elle est prévue par l’article 23 du Code de la nationalité belge — a été contestée à de nombreuses reprises et, d’autre part, l’un des requérants faisait l’objet d’une forte attention médiatique</w:t>
            </w:r>
            <w:r w:rsidR="00A8478D">
              <w:rPr>
                <w:rStyle w:val="Appelnotedebasdep"/>
              </w:rPr>
              <w:footnoteReference w:id="4"/>
            </w:r>
            <w:r w:rsidRPr="001A3373">
              <w:t xml:space="preserve">. </w:t>
            </w:r>
            <w:r>
              <w:t xml:space="preserve">Cette contribution se propose de retracer le fil de ce contentieux jusqu’au prononcé de l’arrêt de la Cour </w:t>
            </w:r>
            <w:r w:rsidR="00196B85">
              <w:t>eur</w:t>
            </w:r>
            <w:r w:rsidR="00E1011B">
              <w:t>opéenne des droits de l’homme</w:t>
            </w:r>
            <w:r w:rsidR="00A8478D">
              <w:rPr>
                <w:rStyle w:val="Appelnotedebasdep"/>
              </w:rPr>
              <w:footnoteReference w:id="5"/>
            </w:r>
            <w:r>
              <w:t>.</w:t>
            </w:r>
          </w:p>
        </w:tc>
      </w:tr>
    </w:tbl>
    <w:p w14:paraId="389589EA" w14:textId="0FFE42D7" w:rsidR="00DD31A7" w:rsidRDefault="00DD31A7" w:rsidP="00DD31A7">
      <w:pPr>
        <w:pStyle w:val="Titre2"/>
      </w:pPr>
      <w:r>
        <w:t>Introduction</w:t>
      </w:r>
    </w:p>
    <w:p w14:paraId="37BF4F6A" w14:textId="50E99273" w:rsidR="00D566DE" w:rsidRDefault="001A3373" w:rsidP="00C507C0">
      <w:pPr>
        <w:jc w:val="both"/>
      </w:pPr>
      <w:r w:rsidRPr="001A3373">
        <w:t>Les requérants</w:t>
      </w:r>
      <w:r w:rsidR="002B5DD3">
        <w:t xml:space="preserve"> devant la</w:t>
      </w:r>
      <w:r w:rsidR="00E1011B">
        <w:t xml:space="preserve"> Cour européenne des droits de </w:t>
      </w:r>
      <w:r w:rsidR="00E1011B" w:rsidRPr="001A3373">
        <w:t>l’homme</w:t>
      </w:r>
      <w:r w:rsidR="00E1011B">
        <w:t xml:space="preserve"> (ci-après, «</w:t>
      </w:r>
      <w:r w:rsidR="00E1011B">
        <w:rPr>
          <w:rFonts w:ascii="Arial" w:hAnsi="Arial" w:cs="Arial"/>
        </w:rPr>
        <w:t> </w:t>
      </w:r>
      <w:r w:rsidR="00E1011B">
        <w:t xml:space="preserve">Cour </w:t>
      </w:r>
      <w:proofErr w:type="spellStart"/>
      <w:r w:rsidR="00E1011B">
        <w:t>eur</w:t>
      </w:r>
      <w:proofErr w:type="spellEnd"/>
      <w:r w:rsidR="00E1011B">
        <w:t>. D.H.</w:t>
      </w:r>
      <w:r w:rsidR="00E1011B">
        <w:rPr>
          <w:rFonts w:ascii="Arial" w:hAnsi="Arial" w:cs="Arial"/>
        </w:rPr>
        <w:t> </w:t>
      </w:r>
      <w:r w:rsidR="00E1011B">
        <w:t>»)</w:t>
      </w:r>
      <w:r w:rsidR="00E1011B">
        <w:t xml:space="preserve"> </w:t>
      </w:r>
      <w:r w:rsidRPr="001A3373">
        <w:t xml:space="preserve">sont Madame El </w:t>
      </w:r>
      <w:proofErr w:type="spellStart"/>
      <w:r w:rsidRPr="001A3373">
        <w:t>Aroud</w:t>
      </w:r>
      <w:proofErr w:type="spellEnd"/>
      <w:r w:rsidRPr="001A3373">
        <w:t xml:space="preserve"> et Monsieur </w:t>
      </w:r>
      <w:proofErr w:type="spellStart"/>
      <w:r w:rsidRPr="001A3373">
        <w:t>Soughir</w:t>
      </w:r>
      <w:proofErr w:type="spellEnd"/>
      <w:r w:rsidRPr="001A3373">
        <w:t xml:space="preserve">, deux ressortissants respectivement de nationalité belgo-marocaine et belgo-tunisienne. </w:t>
      </w:r>
      <w:r w:rsidR="004878D8">
        <w:t>Bien qu’à l’occasion de procédure</w:t>
      </w:r>
      <w:r w:rsidR="009F732A">
        <w:t>s</w:t>
      </w:r>
      <w:r w:rsidR="004878D8">
        <w:t xml:space="preserve"> </w:t>
      </w:r>
      <w:r w:rsidR="0007538D">
        <w:t>menées distinctement</w:t>
      </w:r>
      <w:r w:rsidR="004878D8">
        <w:t xml:space="preserve"> devant les autorités répressives belges, les deux requérants ont fait l’objet de condamnations en </w:t>
      </w:r>
      <w:r w:rsidR="004878D8">
        <w:lastRenderedPageBreak/>
        <w:t>tant que dirigeants d’une organisation terroriste</w:t>
      </w:r>
      <w:r w:rsidR="004878D8">
        <w:rPr>
          <w:rStyle w:val="Appelnotedebasdep"/>
        </w:rPr>
        <w:footnoteReference w:id="6"/>
      </w:r>
      <w:r w:rsidR="004878D8">
        <w:t>.</w:t>
      </w:r>
      <w:r w:rsidR="004878D8" w:rsidRPr="001A3373">
        <w:t xml:space="preserve"> </w:t>
      </w:r>
      <w:r w:rsidR="00685630">
        <w:t>Se fondant sur</w:t>
      </w:r>
      <w:r w:rsidRPr="001A3373">
        <w:t xml:space="preserve"> </w:t>
      </w:r>
      <w:r w:rsidR="004878D8">
        <w:t>c</w:t>
      </w:r>
      <w:r w:rsidR="009950C1">
        <w:t>es condamnations</w:t>
      </w:r>
      <w:r w:rsidR="00E81B00">
        <w:t xml:space="preserve">, </w:t>
      </w:r>
      <w:r w:rsidR="00685630">
        <w:t xml:space="preserve">le procureur général a </w:t>
      </w:r>
      <w:r w:rsidR="00CD0F02">
        <w:t xml:space="preserve">saisi la chambre civile de la Cour d’appel </w:t>
      </w:r>
      <w:r w:rsidR="000D2A27">
        <w:t xml:space="preserve">de Bruxelles </w:t>
      </w:r>
      <w:r w:rsidR="00CD0F02">
        <w:t>d’une procédure en déchéance de nationalité belge</w:t>
      </w:r>
      <w:r w:rsidR="002F29C6">
        <w:t xml:space="preserve"> pour chacun d’entre eux</w:t>
      </w:r>
      <w:r w:rsidR="00716F97">
        <w:t xml:space="preserve">, conformément </w:t>
      </w:r>
      <w:r w:rsidR="00F150A2">
        <w:t>à l’article</w:t>
      </w:r>
      <w:r w:rsidR="00266B9D">
        <w:t> </w:t>
      </w:r>
      <w:r w:rsidR="00F150A2">
        <w:t xml:space="preserve">23 du </w:t>
      </w:r>
      <w:r w:rsidR="000D2A27">
        <w:t xml:space="preserve">Code de la nationalité belge (ci-après, </w:t>
      </w:r>
      <w:r w:rsidR="003141E1">
        <w:t>«</w:t>
      </w:r>
      <w:r w:rsidR="003141E1">
        <w:rPr>
          <w:rFonts w:ascii="Arial" w:hAnsi="Arial" w:cs="Arial"/>
        </w:rPr>
        <w:t> </w:t>
      </w:r>
      <w:r w:rsidR="000D2A27">
        <w:t>CNB</w:t>
      </w:r>
      <w:r w:rsidR="003141E1">
        <w:rPr>
          <w:rFonts w:ascii="Arial" w:hAnsi="Arial" w:cs="Arial"/>
        </w:rPr>
        <w:t> </w:t>
      </w:r>
      <w:r w:rsidR="003141E1">
        <w:t>»</w:t>
      </w:r>
      <w:r w:rsidR="000D2A27">
        <w:t>)</w:t>
      </w:r>
      <w:r w:rsidR="00C72330">
        <w:t>.</w:t>
      </w:r>
    </w:p>
    <w:p w14:paraId="7AE3ADCF" w14:textId="07FF0851" w:rsidR="00BB3999" w:rsidRDefault="00317447" w:rsidP="00C507C0">
      <w:pPr>
        <w:jc w:val="both"/>
      </w:pPr>
      <w:r>
        <w:t xml:space="preserve">Dans un premier temps, il est nécessaire de revenir sur cette disposition, qui a été contestée à plusieurs reprises devant les juridictions nationales pour des motifs en partie similaires à ceux examinés par la Cour </w:t>
      </w:r>
      <w:proofErr w:type="spellStart"/>
      <w:r w:rsidR="00196B85">
        <w:t>eur</w:t>
      </w:r>
      <w:proofErr w:type="spellEnd"/>
      <w:r w:rsidR="00196B85">
        <w:t xml:space="preserve">. </w:t>
      </w:r>
      <w:r>
        <w:t>D</w:t>
      </w:r>
      <w:r w:rsidR="00196B85">
        <w:t>.</w:t>
      </w:r>
      <w:r>
        <w:t xml:space="preserve">H. Ensuite, sera analysé l’arrêt de la Cour </w:t>
      </w:r>
      <w:proofErr w:type="spellStart"/>
      <w:r w:rsidR="00196B85">
        <w:t>eur</w:t>
      </w:r>
      <w:proofErr w:type="spellEnd"/>
      <w:r w:rsidR="00196B85">
        <w:t xml:space="preserve">. </w:t>
      </w:r>
      <w:r>
        <w:t>D</w:t>
      </w:r>
      <w:r w:rsidR="00196B85">
        <w:t>.</w:t>
      </w:r>
      <w:r>
        <w:t>H</w:t>
      </w:r>
      <w:r w:rsidR="00196B85">
        <w:t>.</w:t>
      </w:r>
      <w:r>
        <w:t xml:space="preserve">, qui intervient après que les requérants </w:t>
      </w:r>
      <w:proofErr w:type="gramStart"/>
      <w:r>
        <w:t>aient</w:t>
      </w:r>
      <w:proofErr w:type="gramEnd"/>
      <w:r>
        <w:t xml:space="preserve"> estimé que la déchéance de leur nationalité par les autorités belges portait atteinte à leurs droits fondamentaux.</w:t>
      </w:r>
    </w:p>
    <w:p w14:paraId="4E7D078D" w14:textId="1940937C" w:rsidR="008E4312" w:rsidRDefault="00FB2FDF" w:rsidP="00AA25EA">
      <w:pPr>
        <w:pStyle w:val="Titre2"/>
        <w:numPr>
          <w:ilvl w:val="0"/>
          <w:numId w:val="8"/>
        </w:numPr>
      </w:pPr>
      <w:r>
        <w:t>La déchéance de nationalité pour manquement grave aux devoirs de citoyen</w:t>
      </w:r>
      <w:r w:rsidR="0049253F">
        <w:t xml:space="preserve"> devant les juridictions belges</w:t>
      </w:r>
    </w:p>
    <w:p w14:paraId="410CFB67" w14:textId="11ADE801" w:rsidR="00971825" w:rsidRPr="00041EEE" w:rsidRDefault="00971825" w:rsidP="31AE0488">
      <w:pPr>
        <w:jc w:val="both"/>
      </w:pPr>
      <w:r>
        <w:t xml:space="preserve">La procédure de déchéance de nationalité </w:t>
      </w:r>
      <w:r w:rsidR="00802304">
        <w:t>telle qu</w:t>
      </w:r>
      <w:r w:rsidR="003141E1">
        <w:t>’</w:t>
      </w:r>
      <w:r w:rsidR="00802304">
        <w:t>elle est formulée</w:t>
      </w:r>
      <w:r>
        <w:t xml:space="preserve"> à l’article</w:t>
      </w:r>
      <w:r w:rsidR="00266B9D">
        <w:t> </w:t>
      </w:r>
      <w:r>
        <w:t xml:space="preserve">23 du </w:t>
      </w:r>
      <w:r w:rsidR="000D2A27">
        <w:t xml:space="preserve">CNB </w:t>
      </w:r>
      <w:r>
        <w:t>permet, notamment</w:t>
      </w:r>
      <w:r w:rsidR="000D2A27">
        <w:rPr>
          <w:rStyle w:val="Appelnotedebasdep"/>
        </w:rPr>
        <w:footnoteReference w:id="7"/>
      </w:r>
      <w:r>
        <w:t xml:space="preserve">, au ministère public de saisir directement la </w:t>
      </w:r>
      <w:r w:rsidR="009F732A">
        <w:t xml:space="preserve">chambre civile de la </w:t>
      </w:r>
      <w:r w:rsidR="004511B8">
        <w:t>c</w:t>
      </w:r>
      <w:r>
        <w:t>our d’appel, statuant en premier et dernier ressort, d’une demande en déchéance de nationalité pour une personne</w:t>
      </w:r>
      <w:r>
        <w:rPr>
          <w:rStyle w:val="Appelnotedebasdep"/>
        </w:rPr>
        <w:footnoteReference w:id="8"/>
      </w:r>
      <w:r>
        <w:t xml:space="preserve"> ayant manqué gravement aux devoirs de tout citoyen belge. </w:t>
      </w:r>
      <w:r w:rsidR="00010F56">
        <w:t>Loin d’être novatrice, cette procédure date initialement de 1934</w:t>
      </w:r>
      <w:r w:rsidR="008C5E4F">
        <w:rPr>
          <w:rStyle w:val="Appelnotedebasdep"/>
        </w:rPr>
        <w:footnoteReference w:id="9"/>
      </w:r>
      <w:r w:rsidR="00010F56">
        <w:t xml:space="preserve"> </w:t>
      </w:r>
      <w:r w:rsidR="007F4311">
        <w:t xml:space="preserve">et </w:t>
      </w:r>
      <w:r w:rsidR="00010F56">
        <w:t xml:space="preserve">a été transposée </w:t>
      </w:r>
      <w:r w:rsidR="00EC5442">
        <w:t xml:space="preserve">telle quelle lors de la codification </w:t>
      </w:r>
      <w:r w:rsidR="007F4311">
        <w:t>d</w:t>
      </w:r>
      <w:r w:rsidR="00EC5442">
        <w:t>u droit de</w:t>
      </w:r>
      <w:r w:rsidR="007F4311">
        <w:t xml:space="preserve"> la nationalité belge en 1984</w:t>
      </w:r>
      <w:r w:rsidR="007E16AE">
        <w:rPr>
          <w:rStyle w:val="Appelnotedebasdep"/>
        </w:rPr>
        <w:footnoteReference w:id="10"/>
      </w:r>
      <w:r w:rsidR="007754F2">
        <w:t xml:space="preserve">. </w:t>
      </w:r>
      <w:r w:rsidR="002C6959">
        <w:t>Jusqu’alors rarement utilisée</w:t>
      </w:r>
      <w:r w:rsidR="009F0A00">
        <w:rPr>
          <w:rStyle w:val="Appelnotedebasdep"/>
        </w:rPr>
        <w:footnoteReference w:id="11"/>
      </w:r>
      <w:r w:rsidR="007754F2">
        <w:t xml:space="preserve">, cette disposition a </w:t>
      </w:r>
      <w:r w:rsidR="00D566DE">
        <w:t xml:space="preserve">récemment </w:t>
      </w:r>
      <w:r w:rsidR="007754F2">
        <w:t xml:space="preserve">connu un regain d’intérêt </w:t>
      </w:r>
      <w:r w:rsidR="00FC346F">
        <w:t xml:space="preserve">dans le contexte des attentats terroristes qui ont frappé les </w:t>
      </w:r>
      <w:r w:rsidR="00802304">
        <w:t>É</w:t>
      </w:r>
      <w:r w:rsidR="00FC346F">
        <w:t>tats européens</w:t>
      </w:r>
      <w:r w:rsidR="00FC346F">
        <w:rPr>
          <w:rStyle w:val="Appelnotedebasdep"/>
        </w:rPr>
        <w:footnoteReference w:id="12"/>
      </w:r>
      <w:r w:rsidR="00FC346F">
        <w:t xml:space="preserve">. </w:t>
      </w:r>
      <w:r w:rsidR="00B36D95">
        <w:t>D</w:t>
      </w:r>
      <w:r w:rsidR="001845E7">
        <w:t>’aucuns regrettaient</w:t>
      </w:r>
      <w:r w:rsidR="00B36D95">
        <w:t xml:space="preserve"> néanmoins</w:t>
      </w:r>
      <w:r w:rsidR="00B5300D">
        <w:t xml:space="preserve"> la</w:t>
      </w:r>
      <w:r w:rsidR="00BC4CB5">
        <w:t xml:space="preserve"> difficile</w:t>
      </w:r>
      <w:r w:rsidR="00B5300D">
        <w:t xml:space="preserve"> mise en œuvre de la disposition en raison</w:t>
      </w:r>
      <w:r w:rsidR="008E58D1">
        <w:t xml:space="preserve"> </w:t>
      </w:r>
      <w:r w:rsidR="00B5300D">
        <w:t>de son</w:t>
      </w:r>
      <w:r w:rsidR="001845E7">
        <w:t xml:space="preserve"> </w:t>
      </w:r>
      <w:r w:rsidR="008E58D1">
        <w:t xml:space="preserve">manque de </w:t>
      </w:r>
      <w:r w:rsidR="008E58D1" w:rsidRPr="001E0098">
        <w:t xml:space="preserve">clarté </w:t>
      </w:r>
      <w:r w:rsidR="00802304">
        <w:t>et</w:t>
      </w:r>
      <w:r w:rsidR="00041EEE" w:rsidRPr="00041EEE">
        <w:rPr>
          <w:lang w:val="fr-FR"/>
        </w:rPr>
        <w:t xml:space="preserve"> de la lourdeur procédurale qu</w:t>
      </w:r>
      <w:r w:rsidR="003141E1">
        <w:rPr>
          <w:lang w:val="fr-FR"/>
        </w:rPr>
        <w:t>’</w:t>
      </w:r>
      <w:r w:rsidR="00041EEE" w:rsidRPr="00041EEE">
        <w:rPr>
          <w:lang w:val="fr-FR"/>
        </w:rPr>
        <w:t xml:space="preserve">implique le fait de saisir la </w:t>
      </w:r>
      <w:r w:rsidR="004511B8">
        <w:rPr>
          <w:lang w:val="fr-FR"/>
        </w:rPr>
        <w:t>c</w:t>
      </w:r>
      <w:r w:rsidR="00041EEE" w:rsidRPr="00041EEE">
        <w:rPr>
          <w:lang w:val="fr-FR"/>
        </w:rPr>
        <w:t>our d</w:t>
      </w:r>
      <w:r w:rsidR="003141E1">
        <w:rPr>
          <w:lang w:val="fr-FR"/>
        </w:rPr>
        <w:t>’</w:t>
      </w:r>
      <w:r w:rsidR="00041EEE" w:rsidRPr="00041EEE">
        <w:rPr>
          <w:lang w:val="fr-FR"/>
        </w:rPr>
        <w:t xml:space="preserve">appel </w:t>
      </w:r>
      <w:r w:rsidR="00041EEE" w:rsidRPr="01BC324F">
        <w:rPr>
          <w:i/>
          <w:iCs/>
          <w:lang w:val="fr-FR"/>
        </w:rPr>
        <w:t>a posteriori</w:t>
      </w:r>
      <w:r w:rsidR="00041EEE" w:rsidRPr="00041EEE">
        <w:rPr>
          <w:lang w:val="fr-FR"/>
        </w:rPr>
        <w:t xml:space="preserve">, dans une </w:t>
      </w:r>
      <w:r w:rsidR="00FC55EE">
        <w:rPr>
          <w:lang w:val="fr-FR"/>
        </w:rPr>
        <w:t>procédur</w:t>
      </w:r>
      <w:r w:rsidR="00041EEE" w:rsidRPr="00041EEE">
        <w:rPr>
          <w:lang w:val="fr-FR"/>
        </w:rPr>
        <w:t>e distincte de celle ayant abouti à la condamnation pénale initiale</w:t>
      </w:r>
      <w:r w:rsidR="001845E7">
        <w:rPr>
          <w:rStyle w:val="Appelnotedebasdep"/>
        </w:rPr>
        <w:footnoteReference w:id="13"/>
      </w:r>
      <w:r w:rsidR="001845E7">
        <w:t xml:space="preserve">. </w:t>
      </w:r>
      <w:r w:rsidR="006752BC">
        <w:t xml:space="preserve">Le législateur décide alors d’amender </w:t>
      </w:r>
      <w:r w:rsidR="00B36D95">
        <w:t>le libellé de l’article</w:t>
      </w:r>
      <w:r w:rsidR="00266B9D">
        <w:t> </w:t>
      </w:r>
      <w:r w:rsidR="00B36D95">
        <w:t>23</w:t>
      </w:r>
      <w:r w:rsidR="006752BC">
        <w:t xml:space="preserve"> et de compléter le </w:t>
      </w:r>
      <w:r w:rsidR="009F0A00">
        <w:t>dispositif</w:t>
      </w:r>
      <w:r w:rsidR="006752BC">
        <w:t xml:space="preserve"> de</w:t>
      </w:r>
      <w:r w:rsidR="00B36D95">
        <w:t xml:space="preserve"> la</w:t>
      </w:r>
      <w:r w:rsidR="006752BC">
        <w:t xml:space="preserve"> déchéance</w:t>
      </w:r>
      <w:r w:rsidR="00B36D95">
        <w:t xml:space="preserve"> de nationalité</w:t>
      </w:r>
      <w:r w:rsidR="006752BC">
        <w:t xml:space="preserve">, </w:t>
      </w:r>
      <w:r w:rsidR="00141F9D">
        <w:t xml:space="preserve">avec de nouvelles dispositions, </w:t>
      </w:r>
      <w:r w:rsidR="00B5300D">
        <w:t>notamment</w:t>
      </w:r>
      <w:r w:rsidR="006752BC">
        <w:t xml:space="preserve"> lorsqu’elle </w:t>
      </w:r>
      <w:r w:rsidR="00E35CDA">
        <w:t xml:space="preserve">intervient à la suite de faits </w:t>
      </w:r>
      <w:r w:rsidR="00B36D95">
        <w:t>terroristes</w:t>
      </w:r>
      <w:r w:rsidR="00B5300D">
        <w:rPr>
          <w:rStyle w:val="Appelnotedebasdep"/>
        </w:rPr>
        <w:footnoteReference w:id="14"/>
      </w:r>
      <w:r w:rsidR="00E35CDA">
        <w:t>.</w:t>
      </w:r>
      <w:r w:rsidR="001845E7">
        <w:t xml:space="preserve"> </w:t>
      </w:r>
      <w:r w:rsidR="00984DA7" w:rsidRPr="31AE0488">
        <w:t>L</w:t>
      </w:r>
      <w:r w:rsidR="7BC32595">
        <w:t>'article</w:t>
      </w:r>
      <w:r w:rsidR="00984DA7" w:rsidRPr="31AE0488">
        <w:t xml:space="preserve"> 23/1</w:t>
      </w:r>
      <w:r w:rsidRPr="31AE0488">
        <w:rPr>
          <w:rStyle w:val="Appelnotedebasdep"/>
        </w:rPr>
        <w:footnoteReference w:id="15"/>
      </w:r>
      <w:r w:rsidR="2EB19826" w:rsidRPr="31AE0488">
        <w:t xml:space="preserve"> </w:t>
      </w:r>
      <w:r w:rsidR="45718B05">
        <w:t>puis l’article</w:t>
      </w:r>
      <w:r w:rsidR="2EB19826" w:rsidRPr="31AE0488">
        <w:t xml:space="preserve"> 23/2</w:t>
      </w:r>
      <w:r w:rsidRPr="31AE0488">
        <w:rPr>
          <w:rStyle w:val="Appelnotedebasdep"/>
        </w:rPr>
        <w:footnoteReference w:id="16"/>
      </w:r>
      <w:r w:rsidR="2EB19826" w:rsidRPr="31AE0488">
        <w:t xml:space="preserve"> intègrent le CNB</w:t>
      </w:r>
      <w:r w:rsidR="00984DA7" w:rsidRPr="31AE0488">
        <w:t xml:space="preserve"> pour créer une procédure de déchéance inspirée, mais différente, de celle de l’article 23</w:t>
      </w:r>
      <w:r w:rsidR="00984DA7" w:rsidRPr="31AE0488">
        <w:rPr>
          <w:rStyle w:val="Appelnotedebasdep"/>
        </w:rPr>
        <w:footnoteReference w:id="17"/>
      </w:r>
      <w:r w:rsidR="00984DA7">
        <w:t xml:space="preserve">. </w:t>
      </w:r>
      <w:r w:rsidR="4F6C9579">
        <w:t>Lorsque la déchéance est prononcée sur la base de ces dispositions</w:t>
      </w:r>
      <w:r w:rsidR="00984DA7">
        <w:t xml:space="preserve">, le juge qui </w:t>
      </w:r>
      <w:r w:rsidR="7B5AA269">
        <w:t>statue</w:t>
      </w:r>
      <w:r w:rsidR="037C358A">
        <w:t xml:space="preserve"> au fond</w:t>
      </w:r>
      <w:r w:rsidR="7B5AA269">
        <w:t xml:space="preserve"> sur</w:t>
      </w:r>
      <w:r w:rsidR="00984DA7">
        <w:t xml:space="preserve"> la condamnation peut lui-même déchoir de nationalité belge.</w:t>
      </w:r>
      <w:r w:rsidR="19F0A790">
        <w:t xml:space="preserve"> Le dispositif de l’article 23 a été l’objet de plusieurs contestations judiciaires</w:t>
      </w:r>
      <w:r w:rsidR="525F9539">
        <w:t xml:space="preserve"> sur lesquelles il est intéressant de revenir soit qu’elles tiennent place dans le cadre de l’affaire </w:t>
      </w:r>
      <w:r w:rsidR="525F9539" w:rsidRPr="01BC324F">
        <w:rPr>
          <w:i/>
          <w:iCs/>
        </w:rPr>
        <w:t xml:space="preserve">El </w:t>
      </w:r>
      <w:proofErr w:type="spellStart"/>
      <w:r w:rsidR="525F9539" w:rsidRPr="01BC324F">
        <w:rPr>
          <w:i/>
          <w:iCs/>
        </w:rPr>
        <w:t>Aroud</w:t>
      </w:r>
      <w:proofErr w:type="spellEnd"/>
      <w:r w:rsidR="525F9539" w:rsidRPr="01BC324F">
        <w:t xml:space="preserve">, soit qu’elles </w:t>
      </w:r>
      <w:r w:rsidR="5B2F8325" w:rsidRPr="01BC324F">
        <w:t xml:space="preserve">fondent les prémisses de l’argumentaire qui sera développé devant la Cour </w:t>
      </w:r>
      <w:proofErr w:type="spellStart"/>
      <w:r w:rsidR="00C50107">
        <w:t>eur</w:t>
      </w:r>
      <w:proofErr w:type="spellEnd"/>
      <w:r w:rsidR="00C50107">
        <w:t xml:space="preserve">. </w:t>
      </w:r>
      <w:r w:rsidR="5B2F8325" w:rsidRPr="01BC324F">
        <w:t>D</w:t>
      </w:r>
      <w:r w:rsidR="00C50107">
        <w:t>.</w:t>
      </w:r>
      <w:r w:rsidR="5B2F8325" w:rsidRPr="01BC324F">
        <w:t>H</w:t>
      </w:r>
      <w:r w:rsidR="19F0A790" w:rsidRPr="01BC324F">
        <w:t>.</w:t>
      </w:r>
    </w:p>
    <w:p w14:paraId="0F28FAAE" w14:textId="50D4421C" w:rsidR="001A3373" w:rsidRPr="001A3373" w:rsidRDefault="00813583" w:rsidP="00C507C0">
      <w:pPr>
        <w:jc w:val="both"/>
      </w:pPr>
      <w:r>
        <w:t>Lors</w:t>
      </w:r>
      <w:r w:rsidR="001A3373" w:rsidRPr="001A3373">
        <w:t xml:space="preserve"> de la procédure </w:t>
      </w:r>
      <w:r>
        <w:t>en déchéance de nationalité belge</w:t>
      </w:r>
      <w:r w:rsidR="005920AB">
        <w:t xml:space="preserve"> </w:t>
      </w:r>
      <w:r>
        <w:t xml:space="preserve">de Madame El </w:t>
      </w:r>
      <w:proofErr w:type="spellStart"/>
      <w:r>
        <w:t>Aroud</w:t>
      </w:r>
      <w:proofErr w:type="spellEnd"/>
      <w:r w:rsidR="001A3373" w:rsidRPr="001A3373">
        <w:t xml:space="preserve">, </w:t>
      </w:r>
      <w:r>
        <w:t>une</w:t>
      </w:r>
      <w:r w:rsidR="001A3373" w:rsidRPr="001A3373">
        <w:t xml:space="preserve"> question préjudicielle</w:t>
      </w:r>
      <w:r>
        <w:t xml:space="preserve"> a été posée à la Cour constitutionnelle</w:t>
      </w:r>
      <w:r w:rsidR="001D654B">
        <w:rPr>
          <w:rStyle w:val="Appelnotedebasdep"/>
        </w:rPr>
        <w:footnoteReference w:id="18"/>
      </w:r>
      <w:r w:rsidR="001A3373" w:rsidRPr="001A3373">
        <w:t>.</w:t>
      </w:r>
      <w:r w:rsidR="00B70574">
        <w:t xml:space="preserve"> La Cour était interrogée sur la compatibilité de</w:t>
      </w:r>
      <w:r w:rsidR="00DD189F">
        <w:t xml:space="preserve"> la procédure en déchéance de nationalité belge</w:t>
      </w:r>
      <w:r w:rsidR="006E778F">
        <w:t xml:space="preserve"> prononcée en premier et dernier ressort par la Cour d’appel</w:t>
      </w:r>
      <w:r w:rsidR="00B70574">
        <w:t xml:space="preserve"> </w:t>
      </w:r>
      <w:r w:rsidR="00C009C9">
        <w:t>(</w:t>
      </w:r>
      <w:r w:rsidR="006E778F">
        <w:t>tel que le prévoit</w:t>
      </w:r>
      <w:r w:rsidR="00132B2A">
        <w:t xml:space="preserve"> l’article</w:t>
      </w:r>
      <w:r w:rsidR="00266B9D">
        <w:t> </w:t>
      </w:r>
      <w:r w:rsidR="00132B2A">
        <w:t>23</w:t>
      </w:r>
      <w:r w:rsidR="00B70574">
        <w:t xml:space="preserve"> </w:t>
      </w:r>
      <w:r w:rsidR="7765A81C">
        <w:t xml:space="preserve">du </w:t>
      </w:r>
      <w:r w:rsidR="00C009C9">
        <w:t>CNB</w:t>
      </w:r>
      <w:r w:rsidR="00DD189F">
        <w:t>)</w:t>
      </w:r>
      <w:r w:rsidR="00B70574">
        <w:t xml:space="preserve"> avec le droit à un double degré de juridiction </w:t>
      </w:r>
      <w:r w:rsidR="0093131C">
        <w:t xml:space="preserve">en matière pénale </w:t>
      </w:r>
      <w:r w:rsidR="00B70574">
        <w:t>(tel que consacré par l</w:t>
      </w:r>
      <w:r w:rsidR="00132B2A">
        <w:t>’article</w:t>
      </w:r>
      <w:r w:rsidR="00266B9D">
        <w:t> </w:t>
      </w:r>
      <w:r w:rsidR="00132B2A">
        <w:t>2.1 du</w:t>
      </w:r>
      <w:r w:rsidR="00B70574">
        <w:t xml:space="preserve"> Protocole</w:t>
      </w:r>
      <w:r w:rsidR="008D5388">
        <w:t xml:space="preserve"> additionnel n°</w:t>
      </w:r>
      <w:r w:rsidR="00266B9D">
        <w:t> </w:t>
      </w:r>
      <w:r w:rsidR="008D5388">
        <w:t xml:space="preserve">7 à la Convention européenne des droits de l’homme, ci-après </w:t>
      </w:r>
      <w:r w:rsidR="003141E1">
        <w:t>«</w:t>
      </w:r>
      <w:r w:rsidR="003141E1">
        <w:rPr>
          <w:rFonts w:ascii="Arial" w:hAnsi="Arial" w:cs="Arial"/>
        </w:rPr>
        <w:t> </w:t>
      </w:r>
      <w:r w:rsidR="008D5388">
        <w:t>CEDH</w:t>
      </w:r>
      <w:r w:rsidR="003141E1">
        <w:rPr>
          <w:rFonts w:ascii="Arial" w:hAnsi="Arial" w:cs="Arial"/>
        </w:rPr>
        <w:t> </w:t>
      </w:r>
      <w:r w:rsidR="003141E1">
        <w:t>»</w:t>
      </w:r>
      <w:r w:rsidR="00B70574">
        <w:t>)</w:t>
      </w:r>
      <w:r w:rsidR="001A3373" w:rsidRPr="001A3373">
        <w:t>.</w:t>
      </w:r>
      <w:r w:rsidR="00BB3999">
        <w:t xml:space="preserve"> </w:t>
      </w:r>
      <w:r w:rsidR="00DD1F3F">
        <w:t xml:space="preserve">Pour répondre à la question, il </w:t>
      </w:r>
      <w:r w:rsidR="707858F8">
        <w:t>revenait d'abord à la Cour</w:t>
      </w:r>
      <w:r w:rsidR="00DD1F3F">
        <w:t xml:space="preserve"> de qualifier juridiquement la mesure de déchéance </w:t>
      </w:r>
      <w:r w:rsidR="05FDB05D">
        <w:t>afin</w:t>
      </w:r>
      <w:r w:rsidR="00DD1F3F">
        <w:t xml:space="preserve"> de déterminer s</w:t>
      </w:r>
      <w:r w:rsidR="2559291E">
        <w:t>on appartenance soit au</w:t>
      </w:r>
      <w:r w:rsidR="00DD1F3F">
        <w:t xml:space="preserve"> domaine civil </w:t>
      </w:r>
      <w:r w:rsidR="754C4A4E">
        <w:t>soit</w:t>
      </w:r>
      <w:r w:rsidR="00DD1F3F">
        <w:t xml:space="preserve"> à celui du droit pénal. </w:t>
      </w:r>
      <w:r w:rsidR="002342B2">
        <w:t xml:space="preserve">Jusqu’alors seule la Cour de cassation s’était prononcée, au sortir de la Deuxième </w:t>
      </w:r>
      <w:r w:rsidR="006A71CB">
        <w:t>G</w:t>
      </w:r>
      <w:r w:rsidR="002342B2">
        <w:t>uerre mondiale, sur la nature de la déchéance de nationalité</w:t>
      </w:r>
      <w:r w:rsidR="00984DA7">
        <w:rPr>
          <w:rStyle w:val="Appelnotedebasdep"/>
        </w:rPr>
        <w:footnoteReference w:id="19"/>
      </w:r>
      <w:r w:rsidR="00984DA7">
        <w:t>.</w:t>
      </w:r>
      <w:r w:rsidR="002342B2">
        <w:t xml:space="preserve"> </w:t>
      </w:r>
      <w:r w:rsidR="001D654B">
        <w:t>L</w:t>
      </w:r>
      <w:r w:rsidR="001F3C3B">
        <w:t xml:space="preserve">a </w:t>
      </w:r>
      <w:r w:rsidR="001F3C3B" w:rsidRPr="002C3916">
        <w:t>Cour</w:t>
      </w:r>
      <w:r w:rsidR="00965D11" w:rsidRPr="002C3916">
        <w:t xml:space="preserve"> constitutionnelle, sans s’y référer</w:t>
      </w:r>
      <w:r w:rsidR="26A91C1F" w:rsidRPr="002C3916">
        <w:t xml:space="preserve"> et d</w:t>
      </w:r>
      <w:r w:rsidR="00882075">
        <w:t>’</w:t>
      </w:r>
      <w:r w:rsidR="26A91C1F" w:rsidRPr="002C3916">
        <w:t xml:space="preserve">ailleurs sans </w:t>
      </w:r>
      <w:r w:rsidR="6EF3AD10" w:rsidRPr="002C3916">
        <w:t>a</w:t>
      </w:r>
      <w:r w:rsidR="3FF247A1" w:rsidRPr="002C3916">
        <w:t>utre développement</w:t>
      </w:r>
      <w:r w:rsidR="00965D11" w:rsidRPr="002C3916">
        <w:t>, s’est ralliée à cette position</w:t>
      </w:r>
      <w:r w:rsidR="001F3C3B" w:rsidRPr="002C3916">
        <w:t xml:space="preserve"> </w:t>
      </w:r>
      <w:r w:rsidR="00965D11" w:rsidRPr="002C3916">
        <w:t xml:space="preserve">en </w:t>
      </w:r>
      <w:r w:rsidR="015D8121" w:rsidRPr="002C3916">
        <w:t>affirm</w:t>
      </w:r>
      <w:r w:rsidR="00965D11" w:rsidRPr="002C3916">
        <w:t>ant</w:t>
      </w:r>
      <w:r w:rsidR="001F3C3B" w:rsidRPr="002C3916">
        <w:t xml:space="preserve"> la nature civile</w:t>
      </w:r>
      <w:r w:rsidR="00FC55EE">
        <w:t xml:space="preserve">, </w:t>
      </w:r>
      <w:r w:rsidR="00FC55EE" w:rsidRPr="002C3916">
        <w:t>indépendante de toute poursuite répressive</w:t>
      </w:r>
      <w:r w:rsidR="00FC55EE">
        <w:t>,</w:t>
      </w:r>
      <w:r w:rsidR="00FC55EE" w:rsidRPr="002C3916">
        <w:t xml:space="preserve"> </w:t>
      </w:r>
      <w:r w:rsidR="001F3C3B" w:rsidRPr="002C3916">
        <w:t xml:space="preserve">de la </w:t>
      </w:r>
      <w:r w:rsidR="007B2EFD" w:rsidRPr="002C3916">
        <w:t>mesure de déchéance</w:t>
      </w:r>
      <w:r w:rsidR="00965D11" w:rsidRPr="002C3916">
        <w:t>. Par</w:t>
      </w:r>
      <w:r w:rsidR="00965D11">
        <w:t xml:space="preserve"> conséquent, </w:t>
      </w:r>
      <w:r w:rsidR="001D66A3">
        <w:t xml:space="preserve">la Cour conclut que </w:t>
      </w:r>
      <w:r w:rsidR="00965D11">
        <w:t>ce</w:t>
      </w:r>
      <w:r w:rsidR="007B2EFD">
        <w:t xml:space="preserve"> domaine échappe </w:t>
      </w:r>
      <w:r w:rsidR="008E36C7">
        <w:t>à l’article</w:t>
      </w:r>
      <w:r w:rsidR="00266B9D">
        <w:t> </w:t>
      </w:r>
      <w:r w:rsidR="008E36C7">
        <w:t>2.1 du Protocole</w:t>
      </w:r>
      <w:r w:rsidR="00657354">
        <w:t xml:space="preserve"> additionnel n°</w:t>
      </w:r>
      <w:r w:rsidR="00266B9D">
        <w:t> </w:t>
      </w:r>
      <w:r w:rsidR="00657354">
        <w:t>7</w:t>
      </w:r>
      <w:r w:rsidR="008E36C7">
        <w:t xml:space="preserve"> et</w:t>
      </w:r>
      <w:r w:rsidR="5A57A531">
        <w:t>, corrélativement,</w:t>
      </w:r>
      <w:r w:rsidR="008E36C7">
        <w:t xml:space="preserve"> </w:t>
      </w:r>
      <w:r w:rsidR="007B2EFD">
        <w:t>au principe général garantissant le double de degré de juridiction</w:t>
      </w:r>
      <w:r w:rsidR="006264F0">
        <w:rPr>
          <w:rStyle w:val="Appelnotedebasdep"/>
        </w:rPr>
        <w:footnoteReference w:id="20"/>
      </w:r>
      <w:r w:rsidR="007B2EFD">
        <w:t xml:space="preserve">. </w:t>
      </w:r>
      <w:r w:rsidR="4D6EB4FE" w:rsidRPr="001A3373">
        <w:t>À la suite de</w:t>
      </w:r>
      <w:r w:rsidR="001A3373" w:rsidRPr="001A3373">
        <w:t xml:space="preserve"> la réponse de la Cour constitutionnelle, la</w:t>
      </w:r>
      <w:r w:rsidR="00B92D84">
        <w:t xml:space="preserve"> Cour d’appel a </w:t>
      </w:r>
      <w:r w:rsidR="005920AB">
        <w:t xml:space="preserve">finalement </w:t>
      </w:r>
      <w:r w:rsidR="49E45BA3">
        <w:t>déchu</w:t>
      </w:r>
      <w:r w:rsidR="006E778F">
        <w:t xml:space="preserve"> Madame El </w:t>
      </w:r>
      <w:proofErr w:type="spellStart"/>
      <w:r w:rsidR="006E778F">
        <w:t>Aroud</w:t>
      </w:r>
      <w:proofErr w:type="spellEnd"/>
      <w:r w:rsidR="006E778F">
        <w:t xml:space="preserve"> </w:t>
      </w:r>
      <w:r w:rsidR="40C8CEC7">
        <w:t xml:space="preserve">de sa qualité de Belge </w:t>
      </w:r>
      <w:r w:rsidR="005920AB">
        <w:t>le 20</w:t>
      </w:r>
      <w:r w:rsidR="006E64E9">
        <w:t> </w:t>
      </w:r>
      <w:r w:rsidR="005920AB">
        <w:t>novembre 2017</w:t>
      </w:r>
      <w:r w:rsidR="001D654B">
        <w:t>, mettant fin à la procédure initiée le 17</w:t>
      </w:r>
      <w:r w:rsidR="006E64E9">
        <w:t> </w:t>
      </w:r>
      <w:r w:rsidR="001D654B">
        <w:t>janvier 2014</w:t>
      </w:r>
      <w:r w:rsidR="00B92D84">
        <w:t>.</w:t>
      </w:r>
    </w:p>
    <w:p w14:paraId="53C42F3F" w14:textId="0A4F4083" w:rsidR="00DB2D05" w:rsidRDefault="006E778F" w:rsidP="31AE0488">
      <w:pPr>
        <w:jc w:val="both"/>
        <w:rPr>
          <w:rStyle w:val="Appelnotedebasdep"/>
          <w:rFonts w:ascii="Aptos" w:eastAsia="Aptos" w:hAnsi="Aptos" w:cs="Aptos"/>
        </w:rPr>
      </w:pPr>
      <w:r>
        <w:t>Par la suite</w:t>
      </w:r>
      <w:r w:rsidR="23919472">
        <w:t xml:space="preserve"> et dans d’autres affaires</w:t>
      </w:r>
      <w:r>
        <w:t>, l</w:t>
      </w:r>
      <w:r w:rsidR="00E3710A">
        <w:t xml:space="preserve">a </w:t>
      </w:r>
      <w:r w:rsidR="009B05AD">
        <w:t xml:space="preserve">Cour constitutionnelle </w:t>
      </w:r>
      <w:r w:rsidR="00E3710A">
        <w:t>s’est prononcée à plusieurs reprises</w:t>
      </w:r>
      <w:r w:rsidR="009B05AD">
        <w:t xml:space="preserve"> sur la nature de la mesure de déchéance de nationalit</w:t>
      </w:r>
      <w:r w:rsidR="0039288B">
        <w:t>é</w:t>
      </w:r>
      <w:r w:rsidR="00A14357">
        <w:t>. Dans un arrêt du 7</w:t>
      </w:r>
      <w:r w:rsidR="006E64E9">
        <w:t> </w:t>
      </w:r>
      <w:r w:rsidR="00A14357">
        <w:t>février 2018</w:t>
      </w:r>
      <w:r w:rsidR="007A4E8C">
        <w:t xml:space="preserve">, </w:t>
      </w:r>
      <w:r w:rsidR="00E1389E">
        <w:t>qui attaquait sous divers moyens l’article</w:t>
      </w:r>
      <w:r w:rsidR="00266B9D">
        <w:t> </w:t>
      </w:r>
      <w:r w:rsidR="00E1389E">
        <w:t>23 d</w:t>
      </w:r>
      <w:r w:rsidR="00863D9F">
        <w:t>u CNB</w:t>
      </w:r>
      <w:r w:rsidR="00D4729B">
        <w:rPr>
          <w:rStyle w:val="Appelnotedebasdep"/>
        </w:rPr>
        <w:footnoteReference w:id="21"/>
      </w:r>
      <w:r w:rsidR="00E1389E">
        <w:t xml:space="preserve">, </w:t>
      </w:r>
      <w:r w:rsidR="000F6CC4">
        <w:t xml:space="preserve">la </w:t>
      </w:r>
      <w:r w:rsidR="00EC608C">
        <w:t>disposition</w:t>
      </w:r>
      <w:r w:rsidR="00F609AC">
        <w:t xml:space="preserve"> était</w:t>
      </w:r>
      <w:r w:rsidR="00C7601C">
        <w:t xml:space="preserve"> </w:t>
      </w:r>
      <w:r w:rsidR="00E3710A">
        <w:t>de</w:t>
      </w:r>
      <w:r w:rsidR="00C7601C">
        <w:t xml:space="preserve"> nouveau</w:t>
      </w:r>
      <w:r w:rsidR="00F609AC">
        <w:t xml:space="preserve"> contestée</w:t>
      </w:r>
      <w:r w:rsidR="000F6CC4">
        <w:t xml:space="preserve"> au regard du principe de double degré de juridiction</w:t>
      </w:r>
      <w:r w:rsidR="006A71CB">
        <w:t>,</w:t>
      </w:r>
      <w:r w:rsidR="000F6CC4">
        <w:t xml:space="preserve"> mais aussi du principe général</w:t>
      </w:r>
      <w:r w:rsidR="00657354">
        <w:t xml:space="preserve"> </w:t>
      </w:r>
      <w:r w:rsidR="00657354" w:rsidRPr="01BC324F">
        <w:rPr>
          <w:i/>
          <w:iCs/>
        </w:rPr>
        <w:t>non bis in idem</w:t>
      </w:r>
      <w:r w:rsidR="00657354">
        <w:t xml:space="preserve"> (tel que consacré par l’article</w:t>
      </w:r>
      <w:r w:rsidR="00266B9D">
        <w:t> </w:t>
      </w:r>
      <w:r w:rsidR="00657354">
        <w:t>14, §</w:t>
      </w:r>
      <w:r w:rsidR="00266B9D">
        <w:t> </w:t>
      </w:r>
      <w:r w:rsidR="00657354">
        <w:t xml:space="preserve">7 du Pacte international relatif aux droits civils et politiques et </w:t>
      </w:r>
      <w:r w:rsidR="00C7601C">
        <w:t xml:space="preserve">par </w:t>
      </w:r>
      <w:r w:rsidR="00657354">
        <w:t>l’article</w:t>
      </w:r>
      <w:r w:rsidR="00266B9D">
        <w:t> </w:t>
      </w:r>
      <w:r w:rsidR="00657354">
        <w:t>4 du Protocole additionnel n°</w:t>
      </w:r>
      <w:r w:rsidR="00266B9D">
        <w:t> </w:t>
      </w:r>
      <w:r w:rsidR="00657354">
        <w:t xml:space="preserve">7 à la CEDH). </w:t>
      </w:r>
      <w:r w:rsidR="00B25F77">
        <w:t xml:space="preserve">Bien que distincts, ces deux principes partagent le fait de ne bénéficier qu’aux mesures de nature pénale. </w:t>
      </w:r>
      <w:r w:rsidR="2B2E261E">
        <w:t>Plus explicite que dans l’arrêt rendu en 2015, l</w:t>
      </w:r>
      <w:r w:rsidR="71229C40">
        <w:t>a Cour s‘est référée</w:t>
      </w:r>
      <w:r w:rsidR="58DAF5CE">
        <w:t xml:space="preserve"> à</w:t>
      </w:r>
      <w:r w:rsidR="00B25F77">
        <w:t xml:space="preserve"> </w:t>
      </w:r>
      <w:r w:rsidR="003834E1">
        <w:t>la jurisprudence de</w:t>
      </w:r>
      <w:r w:rsidR="00B25F77">
        <w:t xml:space="preserve"> la Cour </w:t>
      </w:r>
      <w:proofErr w:type="spellStart"/>
      <w:r w:rsidR="00C50107">
        <w:t>eur</w:t>
      </w:r>
      <w:proofErr w:type="spellEnd"/>
      <w:r w:rsidR="00C50107">
        <w:t xml:space="preserve">. </w:t>
      </w:r>
      <w:r w:rsidR="00B25F77">
        <w:t>D</w:t>
      </w:r>
      <w:r w:rsidR="00C50107">
        <w:t>.</w:t>
      </w:r>
      <w:r w:rsidR="00B25F77">
        <w:t>H</w:t>
      </w:r>
      <w:r w:rsidR="00C50107">
        <w:t>.</w:t>
      </w:r>
      <w:r w:rsidR="003834E1">
        <w:t xml:space="preserve"> rendue dans le cadre de l’article</w:t>
      </w:r>
      <w:r w:rsidR="00266B9D">
        <w:t> </w:t>
      </w:r>
      <w:r w:rsidR="003834E1">
        <w:t xml:space="preserve">6.1 </w:t>
      </w:r>
      <w:r w:rsidR="743D8106">
        <w:t xml:space="preserve">de la </w:t>
      </w:r>
      <w:r w:rsidR="4401D4DB">
        <w:t xml:space="preserve">CEDH </w:t>
      </w:r>
      <w:r w:rsidR="003834E1">
        <w:t>pour définir une sanction pénale</w:t>
      </w:r>
      <w:r w:rsidR="00B23265">
        <w:rPr>
          <w:rStyle w:val="Appelnotedebasdep"/>
        </w:rPr>
        <w:footnoteReference w:id="22"/>
      </w:r>
      <w:r w:rsidR="10323B7F">
        <w:t xml:space="preserve">. Malheureusement, le raisonnement de la Cour se borne à énumérer les critères </w:t>
      </w:r>
      <w:r w:rsidR="2B9353E1">
        <w:t xml:space="preserve">- </w:t>
      </w:r>
      <w:r w:rsidR="10323B7F">
        <w:t xml:space="preserve">la </w:t>
      </w:r>
      <w:r w:rsidR="10323B7F" w:rsidRPr="31AE0488">
        <w:rPr>
          <w:rFonts w:ascii="Aptos" w:eastAsia="Aptos" w:hAnsi="Aptos" w:cs="Aptos"/>
        </w:rPr>
        <w:t>qualification de la mesure en droit interne, la nature de l’infraction et son caractère punitif et donc dissuasif</w:t>
      </w:r>
      <w:r w:rsidR="3B5527D2" w:rsidRPr="31AE0488">
        <w:rPr>
          <w:rFonts w:ascii="Aptos" w:eastAsia="Aptos" w:hAnsi="Aptos" w:cs="Aptos"/>
        </w:rPr>
        <w:t xml:space="preserve"> -</w:t>
      </w:r>
      <w:r w:rsidR="10323B7F">
        <w:t xml:space="preserve">, </w:t>
      </w:r>
      <w:r w:rsidR="3507DB9E">
        <w:t xml:space="preserve">sans les appliquer </w:t>
      </w:r>
      <w:r w:rsidR="3507DB9E" w:rsidRPr="01BC324F">
        <w:rPr>
          <w:i/>
          <w:iCs/>
        </w:rPr>
        <w:t>in</w:t>
      </w:r>
      <w:r w:rsidR="00B25F77">
        <w:t xml:space="preserve"> </w:t>
      </w:r>
      <w:proofErr w:type="spellStart"/>
      <w:r w:rsidR="145D9123" w:rsidRPr="01BC324F">
        <w:rPr>
          <w:i/>
          <w:iCs/>
        </w:rPr>
        <w:t>concreto</w:t>
      </w:r>
      <w:proofErr w:type="spellEnd"/>
      <w:r w:rsidR="145D9123" w:rsidRPr="01BC324F">
        <w:rPr>
          <w:i/>
          <w:iCs/>
        </w:rPr>
        <w:t xml:space="preserve"> </w:t>
      </w:r>
      <w:r w:rsidR="145D9123" w:rsidRPr="01BC324F">
        <w:t>à l'article 23 du CNB</w:t>
      </w:r>
      <w:r w:rsidR="145D9123" w:rsidRPr="01BC324F">
        <w:rPr>
          <w:i/>
          <w:iCs/>
        </w:rPr>
        <w:t xml:space="preserve">. </w:t>
      </w:r>
      <w:r w:rsidR="086149CB" w:rsidRPr="01BC324F">
        <w:t xml:space="preserve">La Cour se borne à répéter, comme dans l’arrêt </w:t>
      </w:r>
      <w:r w:rsidR="4E2D256B" w:rsidRPr="01BC324F">
        <w:t>122/2015</w:t>
      </w:r>
      <w:r w:rsidRPr="01BC324F">
        <w:rPr>
          <w:rStyle w:val="Appelnotedebasdep"/>
        </w:rPr>
        <w:footnoteReference w:id="23"/>
      </w:r>
      <w:r w:rsidR="4E2D256B" w:rsidRPr="01BC324F">
        <w:t>,</w:t>
      </w:r>
      <w:r w:rsidR="086149CB" w:rsidRPr="01BC324F">
        <w:t xml:space="preserve"> que la déchéance est une</w:t>
      </w:r>
      <w:r w:rsidR="00325698">
        <w:t xml:space="preserve"> </w:t>
      </w:r>
      <w:r w:rsidR="00457BD3">
        <w:t>“</w:t>
      </w:r>
      <w:r w:rsidR="086149CB" w:rsidRPr="31AE0488">
        <w:rPr>
          <w:rFonts w:ascii="Aptos" w:eastAsia="Aptos" w:hAnsi="Aptos" w:cs="Aptos"/>
        </w:rPr>
        <w:t>mesure de nature civile, qui est indépendante de toute poursuite pénale et qui est appréciée par la cour d’appel siégeant en matière civile”</w:t>
      </w:r>
      <w:r w:rsidRPr="31AE0488">
        <w:rPr>
          <w:rStyle w:val="Appelnotedebasdep"/>
          <w:rFonts w:ascii="Aptos" w:eastAsia="Aptos" w:hAnsi="Aptos" w:cs="Aptos"/>
        </w:rPr>
        <w:footnoteReference w:id="24"/>
      </w:r>
      <w:r w:rsidR="086149CB" w:rsidRPr="01BC324F">
        <w:t xml:space="preserve"> </w:t>
      </w:r>
      <w:r w:rsidR="7F44E95E" w:rsidRPr="01BC324F">
        <w:t>pour confirmer</w:t>
      </w:r>
      <w:r w:rsidR="007555C3">
        <w:t xml:space="preserve"> l’exclusion de la mesure de déchéance de nationalité</w:t>
      </w:r>
      <w:r w:rsidR="00EC608C" w:rsidRPr="00EC608C">
        <w:t xml:space="preserve"> </w:t>
      </w:r>
      <w:r w:rsidR="00EC608C">
        <w:t>du ressort pénal</w:t>
      </w:r>
      <w:r w:rsidR="007555C3">
        <w:t>.</w:t>
      </w:r>
    </w:p>
    <w:p w14:paraId="712AA327" w14:textId="7EB5406F" w:rsidR="00DB2D05" w:rsidRDefault="00786C9D" w:rsidP="31AE0488">
      <w:pPr>
        <w:jc w:val="both"/>
        <w:rPr>
          <w:lang w:val="fr-FR"/>
        </w:rPr>
      </w:pPr>
      <w:r>
        <w:t>Enfin</w:t>
      </w:r>
      <w:r w:rsidR="004D5EE0">
        <w:t xml:space="preserve">, pensait-on </w:t>
      </w:r>
      <w:r w:rsidR="45352314">
        <w:t xml:space="preserve">avant l’arrêt de la Cour </w:t>
      </w:r>
      <w:proofErr w:type="spellStart"/>
      <w:r w:rsidR="00325698">
        <w:t>eur</w:t>
      </w:r>
      <w:proofErr w:type="spellEnd"/>
      <w:r w:rsidR="00325698">
        <w:t xml:space="preserve">. </w:t>
      </w:r>
      <w:r w:rsidR="45352314">
        <w:t>D</w:t>
      </w:r>
      <w:r w:rsidR="00325698">
        <w:t>.</w:t>
      </w:r>
      <w:r w:rsidR="45352314">
        <w:t>H</w:t>
      </w:r>
      <w:r w:rsidR="00325698">
        <w:t>.</w:t>
      </w:r>
      <w:r w:rsidR="004D5EE0">
        <w:t xml:space="preserve">, la Cour de cassation avait entériné </w:t>
      </w:r>
      <w:r w:rsidR="193DB41E">
        <w:t xml:space="preserve">définitivement </w:t>
      </w:r>
      <w:r w:rsidR="004D5EE0">
        <w:t>la question</w:t>
      </w:r>
      <w:r w:rsidR="39DE673F">
        <w:t xml:space="preserve"> de la nature de la mesure de déchéance de nationalité</w:t>
      </w:r>
      <w:r w:rsidR="004D5EE0">
        <w:t xml:space="preserve"> </w:t>
      </w:r>
      <w:r w:rsidR="00FA3E36">
        <w:t>le 18</w:t>
      </w:r>
      <w:r w:rsidR="006E64E9">
        <w:t> </w:t>
      </w:r>
      <w:r w:rsidR="00FA3E36">
        <w:t>janvier 2023</w:t>
      </w:r>
      <w:r w:rsidR="006B4AC2">
        <w:rPr>
          <w:rStyle w:val="Appelnotedebasdep"/>
        </w:rPr>
        <w:footnoteReference w:id="25"/>
      </w:r>
      <w:r w:rsidR="2F813940">
        <w:t>. San</w:t>
      </w:r>
      <w:r w:rsidR="04FFA8C9">
        <w:t>s surprise,</w:t>
      </w:r>
      <w:r w:rsidR="3F465F1D">
        <w:t xml:space="preserve"> </w:t>
      </w:r>
      <w:r w:rsidR="0956FD62">
        <w:t>la Cour de cassation a répété</w:t>
      </w:r>
      <w:r w:rsidR="00FA3E36">
        <w:t xml:space="preserve"> la qualification civile de la mesure de déchéance.</w:t>
      </w:r>
      <w:r w:rsidR="007B28AB">
        <w:rPr>
          <w:lang w:val="fr-FR"/>
        </w:rPr>
        <w:t xml:space="preserve"> </w:t>
      </w:r>
      <w:r w:rsidR="67AB6DB3" w:rsidRPr="31AE0488">
        <w:rPr>
          <w:lang w:val="fr-FR"/>
        </w:rPr>
        <w:t>N</w:t>
      </w:r>
      <w:r w:rsidR="00AB6F76">
        <w:rPr>
          <w:lang w:val="fr-FR"/>
        </w:rPr>
        <w:t>éanmoins</w:t>
      </w:r>
      <w:r w:rsidR="1504C459">
        <w:rPr>
          <w:lang w:val="fr-FR"/>
        </w:rPr>
        <w:t>, ce dossier a amené la Cour à</w:t>
      </w:r>
      <w:r w:rsidR="007B28AB">
        <w:rPr>
          <w:lang w:val="fr-FR"/>
        </w:rPr>
        <w:t xml:space="preserve"> </w:t>
      </w:r>
      <w:r w:rsidR="003651A8">
        <w:rPr>
          <w:lang w:val="fr-FR"/>
        </w:rPr>
        <w:t>pos</w:t>
      </w:r>
      <w:r w:rsidR="06E1DD53">
        <w:rPr>
          <w:lang w:val="fr-FR"/>
        </w:rPr>
        <w:t>er</w:t>
      </w:r>
      <w:r w:rsidR="003651A8">
        <w:rPr>
          <w:lang w:val="fr-FR"/>
        </w:rPr>
        <w:t xml:space="preserve"> une question préjudicielle </w:t>
      </w:r>
      <w:r w:rsidR="7CBA55CB" w:rsidRPr="31AE0488">
        <w:rPr>
          <w:lang w:val="fr-FR"/>
        </w:rPr>
        <w:t>intéressante</w:t>
      </w:r>
      <w:r w:rsidR="003651A8">
        <w:rPr>
          <w:lang w:val="fr-FR"/>
        </w:rPr>
        <w:t xml:space="preserve"> à la Cour constitutionnelle </w:t>
      </w:r>
      <w:r w:rsidR="008B19F5">
        <w:rPr>
          <w:lang w:val="fr-FR"/>
        </w:rPr>
        <w:t>au sujet des voies de recours de l’article</w:t>
      </w:r>
      <w:r w:rsidR="00266B9D">
        <w:rPr>
          <w:lang w:val="fr-FR"/>
        </w:rPr>
        <w:t> </w:t>
      </w:r>
      <w:r w:rsidR="008B19F5">
        <w:rPr>
          <w:lang w:val="fr-FR"/>
        </w:rPr>
        <w:t>23 du CNB</w:t>
      </w:r>
      <w:r w:rsidR="007B28AB">
        <w:rPr>
          <w:lang w:val="fr-FR"/>
        </w:rPr>
        <w:t xml:space="preserve">. </w:t>
      </w:r>
      <w:r w:rsidR="00AB6F76">
        <w:rPr>
          <w:lang w:val="fr-FR"/>
        </w:rPr>
        <w:t xml:space="preserve">À l’époque, </w:t>
      </w:r>
      <w:r w:rsidR="00705394">
        <w:rPr>
          <w:lang w:val="fr-FR"/>
        </w:rPr>
        <w:t>le</w:t>
      </w:r>
      <w:r w:rsidR="53831C8C">
        <w:rPr>
          <w:lang w:val="fr-FR"/>
        </w:rPr>
        <w:t xml:space="preserve"> </w:t>
      </w:r>
      <w:r w:rsidR="00AD4EF3">
        <w:rPr>
          <w:lang w:val="fr-FR"/>
        </w:rPr>
        <w:t>paragraphe</w:t>
      </w:r>
      <w:r w:rsidR="00266B9D">
        <w:rPr>
          <w:lang w:val="fr-FR"/>
        </w:rPr>
        <w:t> </w:t>
      </w:r>
      <w:r w:rsidR="00705394">
        <w:rPr>
          <w:lang w:val="fr-FR"/>
        </w:rPr>
        <w:t xml:space="preserve">6 de </w:t>
      </w:r>
      <w:r w:rsidR="00AB6F76">
        <w:rPr>
          <w:lang w:val="fr-FR"/>
        </w:rPr>
        <w:t>l</w:t>
      </w:r>
      <w:r w:rsidR="007B28AB">
        <w:rPr>
          <w:lang w:val="fr-FR"/>
        </w:rPr>
        <w:t>’article contenait une double condition qui restreignait la faculté</w:t>
      </w:r>
      <w:r w:rsidR="006A71CB">
        <w:rPr>
          <w:lang w:val="fr-FR"/>
        </w:rPr>
        <w:t xml:space="preserve"> </w:t>
      </w:r>
      <w:r w:rsidR="007B28AB">
        <w:rPr>
          <w:lang w:val="fr-FR"/>
        </w:rPr>
        <w:t>de se pourvoir en cassation</w:t>
      </w:r>
      <w:r w:rsidR="00C768C7">
        <w:rPr>
          <w:rStyle w:val="Appelnotedebasdep"/>
          <w:lang w:val="fr-FR"/>
        </w:rPr>
        <w:footnoteReference w:id="26"/>
      </w:r>
      <w:r w:rsidR="007B28AB">
        <w:rPr>
          <w:lang w:val="fr-FR"/>
        </w:rPr>
        <w:t>.</w:t>
      </w:r>
      <w:r w:rsidR="00C92205">
        <w:rPr>
          <w:lang w:val="fr-FR"/>
        </w:rPr>
        <w:t xml:space="preserve"> </w:t>
      </w:r>
      <w:r w:rsidR="003651A8" w:rsidRPr="01BC324F">
        <w:rPr>
          <w:i/>
          <w:iCs/>
          <w:lang w:val="fr-FR"/>
        </w:rPr>
        <w:t xml:space="preserve">In </w:t>
      </w:r>
      <w:proofErr w:type="spellStart"/>
      <w:r w:rsidR="003651A8" w:rsidRPr="01BC324F">
        <w:rPr>
          <w:i/>
          <w:iCs/>
          <w:lang w:val="fr-FR"/>
        </w:rPr>
        <w:t>casu</w:t>
      </w:r>
      <w:proofErr w:type="spellEnd"/>
      <w:r w:rsidR="003651A8">
        <w:rPr>
          <w:lang w:val="fr-FR"/>
        </w:rPr>
        <w:t>, l</w:t>
      </w:r>
      <w:r w:rsidR="00C92205" w:rsidRPr="003651A8">
        <w:rPr>
          <w:lang w:val="fr-FR"/>
        </w:rPr>
        <w:t>e</w:t>
      </w:r>
      <w:r w:rsidR="00C92205">
        <w:rPr>
          <w:lang w:val="fr-FR"/>
        </w:rPr>
        <w:t xml:space="preserve"> </w:t>
      </w:r>
      <w:r w:rsidR="003651A8">
        <w:rPr>
          <w:lang w:val="fr-FR"/>
        </w:rPr>
        <w:t>demandeur</w:t>
      </w:r>
      <w:r w:rsidR="00C92205">
        <w:rPr>
          <w:lang w:val="fr-FR"/>
        </w:rPr>
        <w:t xml:space="preserve"> </w:t>
      </w:r>
      <w:r w:rsidR="003651A8">
        <w:rPr>
          <w:lang w:val="fr-FR"/>
        </w:rPr>
        <w:t xml:space="preserve">en cassation </w:t>
      </w:r>
      <w:r w:rsidR="00C92205">
        <w:rPr>
          <w:lang w:val="fr-FR"/>
        </w:rPr>
        <w:t xml:space="preserve">ne satisfaisait pas à ces conditions, </w:t>
      </w:r>
      <w:r w:rsidR="66019B1B" w:rsidRPr="31AE0488">
        <w:rPr>
          <w:lang w:val="fr-FR"/>
        </w:rPr>
        <w:t>remettant</w:t>
      </w:r>
      <w:r w:rsidR="00C92205">
        <w:rPr>
          <w:lang w:val="fr-FR"/>
        </w:rPr>
        <w:t xml:space="preserve"> en cause la recevabilité du pourvoi.</w:t>
      </w:r>
      <w:r w:rsidR="007B28AB">
        <w:rPr>
          <w:lang w:val="fr-FR"/>
        </w:rPr>
        <w:t xml:space="preserve"> </w:t>
      </w:r>
      <w:r w:rsidR="2EA66A20" w:rsidRPr="31AE0488">
        <w:rPr>
          <w:lang w:val="fr-FR"/>
        </w:rPr>
        <w:t xml:space="preserve">C’est </w:t>
      </w:r>
      <w:r w:rsidR="007B28AB">
        <w:rPr>
          <w:lang w:val="fr-FR"/>
        </w:rPr>
        <w:t xml:space="preserve">argument </w:t>
      </w:r>
      <w:r w:rsidR="005147F6">
        <w:rPr>
          <w:lang w:val="fr-FR"/>
        </w:rPr>
        <w:t xml:space="preserve">pris </w:t>
      </w:r>
      <w:r w:rsidR="007B28AB">
        <w:rPr>
          <w:lang w:val="fr-FR"/>
        </w:rPr>
        <w:t xml:space="preserve">du fait que la déchéance de nationalité </w:t>
      </w:r>
      <w:r w:rsidR="005147F6">
        <w:rPr>
          <w:lang w:val="fr-FR"/>
        </w:rPr>
        <w:t xml:space="preserve">prononcée directement en appel </w:t>
      </w:r>
      <w:r w:rsidR="007B28AB">
        <w:rPr>
          <w:lang w:val="fr-FR"/>
        </w:rPr>
        <w:t>était déjà privée du double degré de juridiction,</w:t>
      </w:r>
      <w:r w:rsidR="00B6914A">
        <w:rPr>
          <w:lang w:val="fr-FR"/>
        </w:rPr>
        <w:t xml:space="preserve"> que la Cour constitutionnelle</w:t>
      </w:r>
      <w:r w:rsidR="007B28AB">
        <w:rPr>
          <w:lang w:val="fr-FR"/>
        </w:rPr>
        <w:t xml:space="preserve"> </w:t>
      </w:r>
      <w:r w:rsidR="005147F6">
        <w:rPr>
          <w:lang w:val="fr-FR"/>
        </w:rPr>
        <w:t>a estimé</w:t>
      </w:r>
      <w:r w:rsidR="007B28AB">
        <w:rPr>
          <w:lang w:val="fr-FR"/>
        </w:rPr>
        <w:t xml:space="preserve"> que </w:t>
      </w:r>
      <w:r w:rsidR="5228008E" w:rsidRPr="31AE0488">
        <w:rPr>
          <w:lang w:val="fr-FR"/>
        </w:rPr>
        <w:t>les</w:t>
      </w:r>
      <w:r w:rsidR="007B28AB">
        <w:rPr>
          <w:lang w:val="fr-FR"/>
        </w:rPr>
        <w:t xml:space="preserve"> restriction</w:t>
      </w:r>
      <w:r w:rsidR="55C1C38F">
        <w:rPr>
          <w:lang w:val="fr-FR"/>
        </w:rPr>
        <w:t>s</w:t>
      </w:r>
      <w:r w:rsidR="007B28AB">
        <w:rPr>
          <w:lang w:val="fr-FR"/>
        </w:rPr>
        <w:t xml:space="preserve"> </w:t>
      </w:r>
      <w:r w:rsidR="1163CED5">
        <w:rPr>
          <w:lang w:val="fr-FR"/>
        </w:rPr>
        <w:t>à</w:t>
      </w:r>
      <w:r w:rsidR="007B28AB">
        <w:rPr>
          <w:lang w:val="fr-FR"/>
        </w:rPr>
        <w:t xml:space="preserve"> la recevabilité du pourvoi en cassation étai</w:t>
      </w:r>
      <w:r w:rsidR="50A533CA">
        <w:rPr>
          <w:lang w:val="fr-FR"/>
        </w:rPr>
        <w:t>en</w:t>
      </w:r>
      <w:r w:rsidR="007B28AB">
        <w:rPr>
          <w:lang w:val="fr-FR"/>
        </w:rPr>
        <w:t>t disproportionnée</w:t>
      </w:r>
      <w:r w:rsidR="12BEC89B">
        <w:rPr>
          <w:lang w:val="fr-FR"/>
        </w:rPr>
        <w:t>s</w:t>
      </w:r>
      <w:r w:rsidR="007B28AB">
        <w:rPr>
          <w:lang w:val="fr-FR"/>
        </w:rPr>
        <w:t xml:space="preserve">. </w:t>
      </w:r>
    </w:p>
    <w:p w14:paraId="6C9B70D8" w14:textId="0F197401" w:rsidR="00DB2D05" w:rsidRDefault="1120B6D0" w:rsidP="31AE0488">
      <w:pPr>
        <w:jc w:val="both"/>
        <w:rPr>
          <w:lang w:val="fr-FR"/>
        </w:rPr>
      </w:pPr>
      <w:r>
        <w:rPr>
          <w:lang w:val="fr-FR"/>
        </w:rPr>
        <w:t>Enfin, l</w:t>
      </w:r>
      <w:r w:rsidR="00AD4EF3">
        <w:rPr>
          <w:lang w:val="fr-FR"/>
        </w:rPr>
        <w:t xml:space="preserve">e panorama </w:t>
      </w:r>
      <w:r w:rsidR="6EBEF229">
        <w:rPr>
          <w:lang w:val="fr-FR"/>
        </w:rPr>
        <w:t>de</w:t>
      </w:r>
      <w:r w:rsidR="00F82E14">
        <w:rPr>
          <w:lang w:val="fr-FR"/>
        </w:rPr>
        <w:t xml:space="preserve"> l’article</w:t>
      </w:r>
      <w:r w:rsidR="00266B9D">
        <w:rPr>
          <w:lang w:val="fr-FR"/>
        </w:rPr>
        <w:t> </w:t>
      </w:r>
      <w:r w:rsidR="00F82E14">
        <w:rPr>
          <w:lang w:val="fr-FR"/>
        </w:rPr>
        <w:t xml:space="preserve">23 </w:t>
      </w:r>
      <w:r w:rsidR="7D85AC91">
        <w:rPr>
          <w:lang w:val="fr-FR"/>
        </w:rPr>
        <w:t xml:space="preserve">du </w:t>
      </w:r>
      <w:r w:rsidR="00F82E14">
        <w:rPr>
          <w:lang w:val="fr-FR"/>
        </w:rPr>
        <w:t xml:space="preserve">CNB </w:t>
      </w:r>
      <w:r w:rsidR="00AD4EF3">
        <w:rPr>
          <w:lang w:val="fr-FR"/>
        </w:rPr>
        <w:t>ne serait pas complet sans évoquer l</w:t>
      </w:r>
      <w:r w:rsidR="1CBBCEC4">
        <w:rPr>
          <w:lang w:val="fr-FR"/>
        </w:rPr>
        <w:t>a décision</w:t>
      </w:r>
      <w:r w:rsidR="00AD4EF3">
        <w:rPr>
          <w:lang w:val="fr-FR"/>
        </w:rPr>
        <w:t xml:space="preserve"> n° </w:t>
      </w:r>
      <w:r w:rsidR="00281461">
        <w:rPr>
          <w:lang w:val="fr-FR"/>
        </w:rPr>
        <w:t>13/2023</w:t>
      </w:r>
      <w:r w:rsidR="003F42B3">
        <w:rPr>
          <w:rStyle w:val="Appelnotedebasdep"/>
          <w:lang w:val="fr-FR"/>
        </w:rPr>
        <w:footnoteReference w:id="27"/>
      </w:r>
      <w:r w:rsidR="00A518B5">
        <w:rPr>
          <w:lang w:val="fr-FR"/>
        </w:rPr>
        <w:t xml:space="preserve">. Dans cet arrêt, c’est sous l’angle de la procédure en opposition que la constitutionnalité des voies de recours d’une déchéance de nationalité </w:t>
      </w:r>
      <w:r w:rsidR="4CA70634" w:rsidRPr="31AE0488">
        <w:rPr>
          <w:lang w:val="fr-FR"/>
        </w:rPr>
        <w:t>était</w:t>
      </w:r>
      <w:r w:rsidR="00F8601D">
        <w:rPr>
          <w:lang w:val="fr-FR"/>
        </w:rPr>
        <w:t xml:space="preserve"> contestée. L</w:t>
      </w:r>
      <w:r w:rsidR="00DE2E9D">
        <w:rPr>
          <w:lang w:val="fr-FR"/>
        </w:rPr>
        <w:t xml:space="preserve">es </w:t>
      </w:r>
      <w:r w:rsidR="00F8601D">
        <w:rPr>
          <w:lang w:val="fr-FR"/>
        </w:rPr>
        <w:t>argument</w:t>
      </w:r>
      <w:r w:rsidR="00DE2E9D">
        <w:rPr>
          <w:lang w:val="fr-FR"/>
        </w:rPr>
        <w:t>s</w:t>
      </w:r>
      <w:r w:rsidR="00F8601D">
        <w:rPr>
          <w:lang w:val="fr-FR"/>
        </w:rPr>
        <w:t xml:space="preserve"> form</w:t>
      </w:r>
      <w:r w:rsidR="00DE2E9D">
        <w:rPr>
          <w:lang w:val="fr-FR"/>
        </w:rPr>
        <w:t>ul</w:t>
      </w:r>
      <w:r w:rsidR="00F8601D">
        <w:rPr>
          <w:lang w:val="fr-FR"/>
        </w:rPr>
        <w:t>é</w:t>
      </w:r>
      <w:r w:rsidR="00DE2E9D">
        <w:rPr>
          <w:lang w:val="fr-FR"/>
        </w:rPr>
        <w:t>s</w:t>
      </w:r>
      <w:r w:rsidR="00F8601D">
        <w:rPr>
          <w:lang w:val="fr-FR"/>
        </w:rPr>
        <w:t xml:space="preserve"> par les avocat</w:t>
      </w:r>
      <w:r w:rsidR="00DE2E9D">
        <w:rPr>
          <w:lang w:val="fr-FR"/>
        </w:rPr>
        <w:t>s</w:t>
      </w:r>
      <w:r w:rsidR="00F8601D">
        <w:rPr>
          <w:lang w:val="fr-FR"/>
        </w:rPr>
        <w:t xml:space="preserve"> tirai</w:t>
      </w:r>
      <w:r w:rsidR="00DE2E9D">
        <w:rPr>
          <w:lang w:val="fr-FR"/>
        </w:rPr>
        <w:t>en</w:t>
      </w:r>
      <w:r w:rsidR="00F8601D">
        <w:rPr>
          <w:lang w:val="fr-FR"/>
        </w:rPr>
        <w:t>t avantage de l</w:t>
      </w:r>
      <w:r w:rsidR="00DE2E9D">
        <w:rPr>
          <w:lang w:val="fr-FR"/>
        </w:rPr>
        <w:t xml:space="preserve">a </w:t>
      </w:r>
      <w:r w:rsidR="00B472B8">
        <w:rPr>
          <w:lang w:val="fr-FR"/>
        </w:rPr>
        <w:t>qualification</w:t>
      </w:r>
      <w:r w:rsidR="00DE2E9D">
        <w:rPr>
          <w:lang w:val="fr-FR"/>
        </w:rPr>
        <w:t xml:space="preserve"> </w:t>
      </w:r>
      <w:r w:rsidR="00377D21">
        <w:rPr>
          <w:lang w:val="fr-FR"/>
        </w:rPr>
        <w:t xml:space="preserve">civile </w:t>
      </w:r>
      <w:r w:rsidR="00DE2E9D">
        <w:rPr>
          <w:lang w:val="fr-FR"/>
        </w:rPr>
        <w:t xml:space="preserve">de la déchéance pour </w:t>
      </w:r>
      <w:r w:rsidR="00377D21">
        <w:rPr>
          <w:lang w:val="fr-FR"/>
        </w:rPr>
        <w:t>dénoncer</w:t>
      </w:r>
      <w:r w:rsidR="00DE2E9D">
        <w:rPr>
          <w:lang w:val="fr-FR"/>
        </w:rPr>
        <w:t xml:space="preserve"> la brièveté des délais d’opposition</w:t>
      </w:r>
      <w:r w:rsidR="00F82E14">
        <w:rPr>
          <w:lang w:val="fr-FR"/>
        </w:rPr>
        <w:t xml:space="preserve"> de</w:t>
      </w:r>
      <w:r w:rsidR="00B472B8">
        <w:rPr>
          <w:lang w:val="fr-FR"/>
        </w:rPr>
        <w:t xml:space="preserve"> l’article</w:t>
      </w:r>
      <w:r w:rsidR="00266B9D">
        <w:rPr>
          <w:lang w:val="fr-FR"/>
        </w:rPr>
        <w:t> </w:t>
      </w:r>
      <w:r w:rsidR="00B472B8">
        <w:rPr>
          <w:lang w:val="fr-FR"/>
        </w:rPr>
        <w:t>23</w:t>
      </w:r>
      <w:r w:rsidR="00377D21">
        <w:rPr>
          <w:lang w:val="fr-FR"/>
        </w:rPr>
        <w:t>, §</w:t>
      </w:r>
      <w:r w:rsidR="00266B9D">
        <w:rPr>
          <w:lang w:val="fr-FR"/>
        </w:rPr>
        <w:t> </w:t>
      </w:r>
      <w:r w:rsidR="00377D21">
        <w:rPr>
          <w:lang w:val="fr-FR"/>
        </w:rPr>
        <w:t>5</w:t>
      </w:r>
      <w:r w:rsidR="00B472B8" w:rsidRPr="31AE0488">
        <w:rPr>
          <w:lang w:val="fr-FR"/>
        </w:rPr>
        <w:t xml:space="preserve"> </w:t>
      </w:r>
      <w:r w:rsidR="0C31C6DC" w:rsidRPr="31AE0488">
        <w:rPr>
          <w:lang w:val="fr-FR"/>
        </w:rPr>
        <w:t>du</w:t>
      </w:r>
      <w:r w:rsidR="00281461">
        <w:rPr>
          <w:lang w:val="fr-FR"/>
        </w:rPr>
        <w:t xml:space="preserve"> CNB</w:t>
      </w:r>
      <w:r w:rsidR="00C768C7">
        <w:rPr>
          <w:rStyle w:val="Appelnotedebasdep"/>
          <w:lang w:val="fr-FR"/>
        </w:rPr>
        <w:footnoteReference w:id="28"/>
      </w:r>
      <w:r w:rsidR="00B472B8">
        <w:rPr>
          <w:lang w:val="fr-FR"/>
        </w:rPr>
        <w:t xml:space="preserve">, </w:t>
      </w:r>
      <w:r w:rsidR="00377D21">
        <w:rPr>
          <w:lang w:val="fr-FR"/>
        </w:rPr>
        <w:t>en comparaison de</w:t>
      </w:r>
      <w:r w:rsidR="00B472B8">
        <w:rPr>
          <w:lang w:val="fr-FR"/>
        </w:rPr>
        <w:t xml:space="preserve"> ceux qui prévalent habituellement en matière civile.</w:t>
      </w:r>
      <w:r w:rsidR="003F42B3">
        <w:rPr>
          <w:lang w:val="fr-FR"/>
        </w:rPr>
        <w:t xml:space="preserve"> </w:t>
      </w:r>
      <w:r w:rsidR="00E3710A">
        <w:rPr>
          <w:lang w:val="fr-FR"/>
        </w:rPr>
        <w:t>De</w:t>
      </w:r>
      <w:r w:rsidR="00E5080E">
        <w:rPr>
          <w:lang w:val="fr-FR"/>
        </w:rPr>
        <w:t xml:space="preserve"> nouveau, la Cour constitutionnelle </w:t>
      </w:r>
      <w:r w:rsidR="20928A0D">
        <w:rPr>
          <w:lang w:val="fr-FR"/>
        </w:rPr>
        <w:t>a pris appui</w:t>
      </w:r>
      <w:r w:rsidR="00F82E14">
        <w:rPr>
          <w:lang w:val="fr-FR"/>
        </w:rPr>
        <w:t xml:space="preserve"> sur l’absence de double degré de juridiction pour </w:t>
      </w:r>
      <w:r w:rsidR="004230E9">
        <w:rPr>
          <w:lang w:val="fr-FR"/>
        </w:rPr>
        <w:t>invalider la mesure</w:t>
      </w:r>
      <w:r w:rsidR="3978A306">
        <w:rPr>
          <w:lang w:val="fr-FR"/>
        </w:rPr>
        <w:t xml:space="preserve"> et conclure à son caractère discriminatoire</w:t>
      </w:r>
      <w:r w:rsidR="003F42B3" w:rsidRPr="31AE0488">
        <w:rPr>
          <w:lang w:val="fr-FR"/>
        </w:rPr>
        <w:t>.</w:t>
      </w:r>
    </w:p>
    <w:p w14:paraId="6BF10FF0" w14:textId="2D9854F8" w:rsidR="01FDF846" w:rsidRDefault="01FDF846" w:rsidP="31AE0488">
      <w:pPr>
        <w:jc w:val="both"/>
        <w:rPr>
          <w:lang w:val="fr-FR"/>
        </w:rPr>
      </w:pPr>
      <w:r w:rsidRPr="31AE0488">
        <w:rPr>
          <w:lang w:val="fr-FR"/>
        </w:rPr>
        <w:t>En conclusion, les hautes juridictions</w:t>
      </w:r>
      <w:r w:rsidR="6DFC5E95" w:rsidRPr="31AE0488">
        <w:rPr>
          <w:lang w:val="fr-FR"/>
        </w:rPr>
        <w:t xml:space="preserve"> </w:t>
      </w:r>
      <w:r w:rsidR="2086A4B1" w:rsidRPr="31AE0488">
        <w:rPr>
          <w:lang w:val="fr-FR"/>
        </w:rPr>
        <w:t>belges</w:t>
      </w:r>
      <w:r w:rsidRPr="31AE0488">
        <w:rPr>
          <w:lang w:val="fr-FR"/>
        </w:rPr>
        <w:t xml:space="preserve"> s’accordent </w:t>
      </w:r>
      <w:r w:rsidR="009987C2" w:rsidRPr="31AE0488">
        <w:rPr>
          <w:lang w:val="fr-FR"/>
        </w:rPr>
        <w:t>unanimement</w:t>
      </w:r>
      <w:r w:rsidRPr="31AE0488">
        <w:rPr>
          <w:lang w:val="fr-FR"/>
        </w:rPr>
        <w:t xml:space="preserve"> sur la nature civile de la mesure de déchéance de </w:t>
      </w:r>
      <w:r w:rsidR="71619367" w:rsidRPr="31AE0488">
        <w:rPr>
          <w:lang w:val="fr-FR"/>
        </w:rPr>
        <w:t>la qualité de</w:t>
      </w:r>
      <w:r w:rsidR="34C52626" w:rsidRPr="31AE0488">
        <w:rPr>
          <w:lang w:val="fr-FR"/>
        </w:rPr>
        <w:t xml:space="preserve"> citoyen</w:t>
      </w:r>
      <w:r w:rsidR="71619367" w:rsidRPr="31AE0488">
        <w:rPr>
          <w:lang w:val="fr-FR"/>
        </w:rPr>
        <w:t xml:space="preserve"> </w:t>
      </w:r>
      <w:r w:rsidR="02D47EB0" w:rsidRPr="31AE0488">
        <w:rPr>
          <w:lang w:val="fr-FR"/>
        </w:rPr>
        <w:t>B</w:t>
      </w:r>
      <w:r w:rsidR="71619367" w:rsidRPr="31AE0488">
        <w:rPr>
          <w:lang w:val="fr-FR"/>
        </w:rPr>
        <w:t>elge</w:t>
      </w:r>
      <w:r w:rsidR="481A15F4" w:rsidRPr="31AE0488">
        <w:rPr>
          <w:lang w:val="fr-FR"/>
        </w:rPr>
        <w:t>, lui refusant le bénéfice des garanties qui profitent aux sanctions et mesures pénales</w:t>
      </w:r>
      <w:r w:rsidRPr="31AE0488">
        <w:rPr>
          <w:lang w:val="fr-FR"/>
        </w:rPr>
        <w:t>.</w:t>
      </w:r>
      <w:r w:rsidR="0F5D0F34" w:rsidRPr="31AE0488">
        <w:rPr>
          <w:lang w:val="fr-FR"/>
        </w:rPr>
        <w:t xml:space="preserve"> Toutefois,</w:t>
      </w:r>
      <w:r w:rsidRPr="31AE0488">
        <w:rPr>
          <w:lang w:val="fr-FR"/>
        </w:rPr>
        <w:t xml:space="preserve"> </w:t>
      </w:r>
      <w:r w:rsidR="00B23876">
        <w:rPr>
          <w:lang w:val="fr-FR"/>
        </w:rPr>
        <w:t>i</w:t>
      </w:r>
      <w:r w:rsidRPr="31AE0488">
        <w:rPr>
          <w:lang w:val="fr-FR"/>
        </w:rPr>
        <w:t xml:space="preserve">l semblerait </w:t>
      </w:r>
      <w:r w:rsidR="673B3774" w:rsidRPr="31AE0488">
        <w:rPr>
          <w:lang w:val="fr-FR"/>
        </w:rPr>
        <w:t xml:space="preserve">à la lecture des arrêts n° 113/2022 et 13/2023 </w:t>
      </w:r>
      <w:r w:rsidRPr="31AE0488">
        <w:rPr>
          <w:lang w:val="fr-FR"/>
        </w:rPr>
        <w:t>que la Cour</w:t>
      </w:r>
      <w:r w:rsidR="685F01BB" w:rsidRPr="31AE0488">
        <w:rPr>
          <w:lang w:val="fr-FR"/>
        </w:rPr>
        <w:t xml:space="preserve"> constitutionnelle</w:t>
      </w:r>
      <w:r w:rsidRPr="31AE0488">
        <w:rPr>
          <w:lang w:val="fr-FR"/>
        </w:rPr>
        <w:t xml:space="preserve"> ne soit pas </w:t>
      </w:r>
      <w:r w:rsidR="52046BAC" w:rsidRPr="31AE0488">
        <w:rPr>
          <w:lang w:val="fr-FR"/>
        </w:rPr>
        <w:t>entièr</w:t>
      </w:r>
      <w:r w:rsidRPr="31AE0488">
        <w:rPr>
          <w:lang w:val="fr-FR"/>
        </w:rPr>
        <w:t>ement indifférente à l’absence de possibilité d’interjeter appel dans le cadre de la procédure en déchéance dès lors qu’elle l‘intègre dans son analyse d‘autres garanties procédurales.</w:t>
      </w:r>
      <w:r w:rsidR="4A8412CA" w:rsidRPr="31AE0488">
        <w:rPr>
          <w:lang w:val="fr-FR"/>
        </w:rPr>
        <w:t xml:space="preserve"> Mis à l’épreuve devant la Cour </w:t>
      </w:r>
      <w:proofErr w:type="spellStart"/>
      <w:r w:rsidR="00325698">
        <w:rPr>
          <w:lang w:val="fr-FR"/>
        </w:rPr>
        <w:t>eur</w:t>
      </w:r>
      <w:proofErr w:type="spellEnd"/>
      <w:r w:rsidR="00325698">
        <w:rPr>
          <w:lang w:val="fr-FR"/>
        </w:rPr>
        <w:t xml:space="preserve">. </w:t>
      </w:r>
      <w:r w:rsidR="4A8412CA" w:rsidRPr="31AE0488">
        <w:rPr>
          <w:lang w:val="fr-FR"/>
        </w:rPr>
        <w:t>D</w:t>
      </w:r>
      <w:r w:rsidR="00325698">
        <w:rPr>
          <w:lang w:val="fr-FR"/>
        </w:rPr>
        <w:t>.</w:t>
      </w:r>
      <w:r w:rsidR="4A8412CA" w:rsidRPr="31AE0488">
        <w:rPr>
          <w:lang w:val="fr-FR"/>
        </w:rPr>
        <w:t>H</w:t>
      </w:r>
      <w:r w:rsidR="00325698">
        <w:rPr>
          <w:lang w:val="fr-FR"/>
        </w:rPr>
        <w:t>.</w:t>
      </w:r>
      <w:r w:rsidR="4A8412CA" w:rsidRPr="31AE0488">
        <w:rPr>
          <w:lang w:val="fr-FR"/>
        </w:rPr>
        <w:t xml:space="preserve">, il restait à savoir si l’article 23 </w:t>
      </w:r>
      <w:r w:rsidR="761F697F" w:rsidRPr="31AE0488">
        <w:rPr>
          <w:lang w:val="fr-FR"/>
        </w:rPr>
        <w:t>et les jurisprudences nationales résisteraient au contrôle de la juridiction strasbourgeoise.</w:t>
      </w:r>
    </w:p>
    <w:p w14:paraId="460A4B66" w14:textId="3A7BEC90" w:rsidR="00463233" w:rsidRPr="0049253F" w:rsidRDefault="0049253F" w:rsidP="0049253F">
      <w:pPr>
        <w:pStyle w:val="Titre2"/>
        <w:numPr>
          <w:ilvl w:val="0"/>
          <w:numId w:val="8"/>
        </w:numPr>
      </w:pPr>
      <w:r>
        <w:t>La déchéance de nationalité pour manquement grave aux devoirs de citoyen devant la Cour européenne des droits de l’homme</w:t>
      </w:r>
    </w:p>
    <w:p w14:paraId="0EBFAC9C" w14:textId="77F36A14" w:rsidR="008257CE" w:rsidRPr="00424969" w:rsidRDefault="00823F45" w:rsidP="002664A5">
      <w:pPr>
        <w:jc w:val="both"/>
      </w:pPr>
      <w:r w:rsidRPr="31AE0488">
        <w:t>C’est finalement la juridiction strasbourgeoise qui</w:t>
      </w:r>
      <w:r w:rsidR="00787DD3" w:rsidRPr="31AE0488">
        <w:t>,</w:t>
      </w:r>
      <w:r w:rsidRPr="31AE0488">
        <w:t xml:space="preserve"> </w:t>
      </w:r>
      <w:r w:rsidR="00787DD3" w:rsidRPr="31AE0488">
        <w:t>le 5</w:t>
      </w:r>
      <w:r w:rsidR="006E64E9" w:rsidRPr="31AE0488">
        <w:t> </w:t>
      </w:r>
      <w:r w:rsidR="00787DD3" w:rsidRPr="31AE0488">
        <w:t xml:space="preserve">décembre 2024, </w:t>
      </w:r>
      <w:r w:rsidRPr="31AE0488">
        <w:t>a clos le débat juridique</w:t>
      </w:r>
      <w:r w:rsidR="0049253F" w:rsidRPr="31AE0488">
        <w:t xml:space="preserve"> relatif à la déchéance de nationalité belge pour </w:t>
      </w:r>
      <w:r w:rsidR="00787DD3" w:rsidRPr="31AE0488">
        <w:t>fait de terrorisme</w:t>
      </w:r>
      <w:r w:rsidR="007B5C5D" w:rsidRPr="31AE0488">
        <w:rPr>
          <w:rStyle w:val="Appelnotedebasdep"/>
        </w:rPr>
        <w:footnoteReference w:id="29"/>
      </w:r>
      <w:r w:rsidRPr="31AE0488">
        <w:t xml:space="preserve">. </w:t>
      </w:r>
      <w:r w:rsidR="00025DB1">
        <w:t>Le</w:t>
      </w:r>
      <w:r w:rsidR="00C67335">
        <w:t xml:space="preserve"> 30 novembre 2017,</w:t>
      </w:r>
      <w:r w:rsidRPr="31AE0488">
        <w:t xml:space="preserve"> la Cour d’appel </w:t>
      </w:r>
      <w:r w:rsidR="00C67335">
        <w:t>a prononcé</w:t>
      </w:r>
      <w:r w:rsidR="00025DB1">
        <w:t>, dans deux arrêts distincts</w:t>
      </w:r>
      <w:r w:rsidR="00C67335">
        <w:t xml:space="preserve"> la déchéance de nationalité </w:t>
      </w:r>
      <w:r w:rsidR="00E17F72" w:rsidRPr="31AE0488">
        <w:t xml:space="preserve">respectivement </w:t>
      </w:r>
      <w:r w:rsidRPr="31AE0488">
        <w:t xml:space="preserve">pour Madame El </w:t>
      </w:r>
      <w:proofErr w:type="spellStart"/>
      <w:r w:rsidRPr="31AE0488">
        <w:t>Aroud</w:t>
      </w:r>
      <w:proofErr w:type="spellEnd"/>
      <w:r w:rsidR="00E17F72" w:rsidRPr="31AE0488">
        <w:t xml:space="preserve"> </w:t>
      </w:r>
      <w:r w:rsidRPr="31AE0488">
        <w:t xml:space="preserve">et Monsieur </w:t>
      </w:r>
      <w:proofErr w:type="spellStart"/>
      <w:r w:rsidRPr="31AE0488">
        <w:t>Soughir</w:t>
      </w:r>
      <w:proofErr w:type="spellEnd"/>
      <w:r w:rsidR="00025DB1">
        <w:t>. À la suite de ces décisions,</w:t>
      </w:r>
      <w:r w:rsidRPr="31AE0488">
        <w:t xml:space="preserve"> les requérants ont </w:t>
      </w:r>
      <w:r w:rsidR="00025DB1">
        <w:t>décidé de porter</w:t>
      </w:r>
      <w:r w:rsidRPr="31AE0488">
        <w:t xml:space="preserve"> le contentieux devant la Cour </w:t>
      </w:r>
      <w:proofErr w:type="spellStart"/>
      <w:r w:rsidR="00325698">
        <w:t>eur</w:t>
      </w:r>
      <w:proofErr w:type="spellEnd"/>
      <w:r w:rsidR="00325698">
        <w:t xml:space="preserve">. </w:t>
      </w:r>
      <w:r w:rsidRPr="31AE0488">
        <w:t>D</w:t>
      </w:r>
      <w:r w:rsidR="00325698">
        <w:t>.</w:t>
      </w:r>
      <w:r w:rsidRPr="31AE0488">
        <w:t>H</w:t>
      </w:r>
      <w:r w:rsidR="00325698">
        <w:t>.</w:t>
      </w:r>
      <w:r w:rsidRPr="31AE0488">
        <w:t xml:space="preserve"> qui a joint les affaires.</w:t>
      </w:r>
      <w:r w:rsidR="002664A5" w:rsidRPr="002664A5">
        <w:t xml:space="preserve"> </w:t>
      </w:r>
      <w:r w:rsidR="002664A5" w:rsidRPr="31AE0488">
        <w:t xml:space="preserve">Madame El </w:t>
      </w:r>
      <w:proofErr w:type="spellStart"/>
      <w:r w:rsidR="002664A5" w:rsidRPr="31AE0488">
        <w:t>Aroud</w:t>
      </w:r>
      <w:proofErr w:type="spellEnd"/>
      <w:r w:rsidR="002664A5" w:rsidRPr="31AE0488">
        <w:t xml:space="preserve"> avait également saisi le Comité des droits de l’homme pour l’interroger sur la compatibilité du risque d’expulsion avec le système de protection onusien des droits de l’homme</w:t>
      </w:r>
      <w:r w:rsidR="002664A5" w:rsidRPr="31AE0488">
        <w:rPr>
          <w:rStyle w:val="Appelnotedebasdep"/>
        </w:rPr>
        <w:footnoteReference w:id="30"/>
      </w:r>
      <w:r w:rsidR="002664A5" w:rsidRPr="31AE0488">
        <w:t>.</w:t>
      </w:r>
      <w:r w:rsidR="002664A5">
        <w:t xml:space="preserve"> En raison du décès de la requérante le 6 avril 2023</w:t>
      </w:r>
      <w:r w:rsidR="002664A5" w:rsidRPr="31AE0488">
        <w:rPr>
          <w:rStyle w:val="Appelnotedebasdep"/>
        </w:rPr>
        <w:footnoteReference w:id="31"/>
      </w:r>
      <w:r w:rsidR="002664A5">
        <w:t>, le Comité a, lui, mis fin au recours dès lors qu’aucun ayant droit ne souhaitait maintenir la plainte</w:t>
      </w:r>
      <w:r w:rsidR="002664A5" w:rsidRPr="31AE0488">
        <w:rPr>
          <w:rStyle w:val="Appelnotedebasdep"/>
        </w:rPr>
        <w:footnoteReference w:id="32"/>
      </w:r>
      <w:r w:rsidR="002664A5">
        <w:t>.</w:t>
      </w:r>
      <w:r w:rsidR="00177083" w:rsidRPr="31AE0488">
        <w:t xml:space="preserve"> </w:t>
      </w:r>
      <w:r w:rsidR="16202321" w:rsidRPr="31AE0488">
        <w:t>Avant d</w:t>
      </w:r>
      <w:r w:rsidR="1518FCBF" w:rsidRPr="31AE0488">
        <w:t>'</w:t>
      </w:r>
      <w:r w:rsidR="16202321" w:rsidRPr="31AE0488">
        <w:t xml:space="preserve">analyser </w:t>
      </w:r>
      <w:r w:rsidR="002664A5">
        <w:t xml:space="preserve">la décision de la Cour </w:t>
      </w:r>
      <w:proofErr w:type="spellStart"/>
      <w:r w:rsidR="00325698">
        <w:t>eur</w:t>
      </w:r>
      <w:proofErr w:type="spellEnd"/>
      <w:r w:rsidR="00325698">
        <w:t xml:space="preserve">. </w:t>
      </w:r>
      <w:r w:rsidR="002664A5">
        <w:t>D</w:t>
      </w:r>
      <w:r w:rsidR="00325698">
        <w:t>.</w:t>
      </w:r>
      <w:r w:rsidR="002664A5">
        <w:t>H</w:t>
      </w:r>
      <w:r w:rsidR="00325698">
        <w:t>.</w:t>
      </w:r>
      <w:r w:rsidR="16202321" w:rsidRPr="31AE0488">
        <w:t xml:space="preserve">, les </w:t>
      </w:r>
      <w:r w:rsidR="008257CE">
        <w:t>lign</w:t>
      </w:r>
      <w:r w:rsidR="45B76B1E" w:rsidRPr="31AE0488">
        <w:t>es</w:t>
      </w:r>
      <w:r w:rsidR="16202321" w:rsidRPr="31AE0488">
        <w:t xml:space="preserve"> qui suivent </w:t>
      </w:r>
      <w:r w:rsidR="43972FBE" w:rsidRPr="31AE0488">
        <w:t>sont</w:t>
      </w:r>
      <w:r w:rsidR="16202321" w:rsidRPr="31AE0488">
        <w:t xml:space="preserve"> </w:t>
      </w:r>
      <w:r w:rsidR="685EC5D4" w:rsidRPr="31AE0488">
        <w:t>consacré</w:t>
      </w:r>
      <w:r w:rsidR="008257CE">
        <w:t>e</w:t>
      </w:r>
      <w:r w:rsidR="685EC5D4" w:rsidRPr="31AE0488">
        <w:t>s</w:t>
      </w:r>
      <w:r w:rsidR="16202321" w:rsidRPr="31AE0488">
        <w:t xml:space="preserve"> à </w:t>
      </w:r>
      <w:r w:rsidR="36A26362" w:rsidRPr="31AE0488">
        <w:t>la</w:t>
      </w:r>
      <w:r w:rsidR="16202321" w:rsidRPr="31AE0488">
        <w:t xml:space="preserve"> mise en contexte de l’arrêt au regard de la jurisprudence </w:t>
      </w:r>
      <w:r w:rsidR="32DFE36F" w:rsidRPr="31AE0488">
        <w:t xml:space="preserve">de la Cour </w:t>
      </w:r>
      <w:r w:rsidR="2AA762B7" w:rsidRPr="31AE0488">
        <w:t>concernant la</w:t>
      </w:r>
      <w:r w:rsidR="32DFE36F" w:rsidRPr="31AE0488">
        <w:t xml:space="preserve"> </w:t>
      </w:r>
      <w:r w:rsidR="1A2DB6EB" w:rsidRPr="31AE0488">
        <w:t>déchéance</w:t>
      </w:r>
      <w:r w:rsidR="32DFE36F" w:rsidRPr="31AE0488">
        <w:t xml:space="preserve"> de nationalité</w:t>
      </w:r>
      <w:r w:rsidR="16202321" w:rsidRPr="31AE0488">
        <w:t xml:space="preserve">. </w:t>
      </w:r>
    </w:p>
    <w:p w14:paraId="3F1390AB" w14:textId="0CB0F95E" w:rsidR="00D631C8" w:rsidRDefault="009957DC" w:rsidP="31AE0488">
      <w:pPr>
        <w:pStyle w:val="Default"/>
        <w:spacing w:after="240"/>
        <w:jc w:val="both"/>
        <w:rPr>
          <w:rFonts w:asciiTheme="minorHAnsi" w:hAnsiTheme="minorHAnsi"/>
          <w:sz w:val="22"/>
          <w:szCs w:val="22"/>
        </w:rPr>
      </w:pPr>
      <w:r w:rsidRPr="00BC6F0C">
        <w:rPr>
          <w:rFonts w:ascii="Aptos" w:hAnsi="Aptos"/>
          <w:b/>
          <w:bCs/>
          <w:sz w:val="22"/>
          <w:szCs w:val="22"/>
        </w:rPr>
        <w:t xml:space="preserve">La jurisprudence de la Cour </w:t>
      </w:r>
      <w:proofErr w:type="spellStart"/>
      <w:r w:rsidR="007F5A92">
        <w:rPr>
          <w:rFonts w:ascii="Aptos" w:hAnsi="Aptos"/>
          <w:b/>
          <w:bCs/>
          <w:sz w:val="22"/>
          <w:szCs w:val="22"/>
        </w:rPr>
        <w:t>eur</w:t>
      </w:r>
      <w:proofErr w:type="spellEnd"/>
      <w:r w:rsidR="007F5A92">
        <w:rPr>
          <w:rFonts w:ascii="Aptos" w:hAnsi="Aptos"/>
          <w:b/>
          <w:bCs/>
          <w:sz w:val="22"/>
          <w:szCs w:val="22"/>
        </w:rPr>
        <w:t xml:space="preserve">. </w:t>
      </w:r>
      <w:r w:rsidRPr="00BC6F0C">
        <w:rPr>
          <w:rFonts w:ascii="Aptos" w:hAnsi="Aptos"/>
          <w:b/>
          <w:bCs/>
          <w:sz w:val="22"/>
          <w:szCs w:val="22"/>
        </w:rPr>
        <w:t>D</w:t>
      </w:r>
      <w:r w:rsidR="007F5A92">
        <w:rPr>
          <w:rFonts w:ascii="Aptos" w:hAnsi="Aptos"/>
          <w:b/>
          <w:bCs/>
          <w:sz w:val="22"/>
          <w:szCs w:val="22"/>
        </w:rPr>
        <w:t>.</w:t>
      </w:r>
      <w:r w:rsidRPr="00BC6F0C">
        <w:rPr>
          <w:rFonts w:ascii="Aptos" w:hAnsi="Aptos"/>
          <w:b/>
          <w:bCs/>
          <w:sz w:val="22"/>
          <w:szCs w:val="22"/>
        </w:rPr>
        <w:t>H</w:t>
      </w:r>
      <w:r w:rsidR="007F5A92">
        <w:rPr>
          <w:rFonts w:ascii="Aptos" w:hAnsi="Aptos"/>
          <w:b/>
          <w:bCs/>
          <w:sz w:val="22"/>
          <w:szCs w:val="22"/>
        </w:rPr>
        <w:t>.</w:t>
      </w:r>
      <w:r w:rsidRPr="00BC6F0C">
        <w:rPr>
          <w:rFonts w:ascii="Aptos" w:hAnsi="Aptos"/>
          <w:b/>
          <w:bCs/>
          <w:sz w:val="22"/>
          <w:szCs w:val="22"/>
        </w:rPr>
        <w:t xml:space="preserve"> relative à la perte et à la déchéance de nationalité</w:t>
      </w:r>
      <w:r w:rsidRPr="00823F45">
        <w:rPr>
          <w:rFonts w:ascii="Aptos" w:hAnsi="Aptos"/>
          <w:sz w:val="22"/>
          <w:szCs w:val="22"/>
        </w:rPr>
        <w:t xml:space="preserve"> </w:t>
      </w:r>
      <w:r w:rsidR="00823F45">
        <w:rPr>
          <w:rFonts w:ascii="Aptos" w:hAnsi="Aptos"/>
          <w:sz w:val="22"/>
          <w:szCs w:val="22"/>
        </w:rPr>
        <w:t xml:space="preserve">s’est </w:t>
      </w:r>
      <w:r w:rsidRPr="00823F45">
        <w:rPr>
          <w:rFonts w:ascii="Aptos" w:hAnsi="Aptos"/>
          <w:sz w:val="22"/>
          <w:szCs w:val="22"/>
        </w:rPr>
        <w:t>développée au départ de</w:t>
      </w:r>
      <w:r w:rsidR="00E503AD" w:rsidRPr="00823F45">
        <w:rPr>
          <w:rFonts w:ascii="Aptos" w:hAnsi="Aptos"/>
          <w:sz w:val="22"/>
          <w:szCs w:val="22"/>
        </w:rPr>
        <w:t xml:space="preserve"> la décision</w:t>
      </w:r>
      <w:r w:rsidRPr="00823F45">
        <w:rPr>
          <w:rFonts w:ascii="Aptos" w:hAnsi="Aptos"/>
          <w:sz w:val="22"/>
          <w:szCs w:val="22"/>
        </w:rPr>
        <w:t xml:space="preserve"> </w:t>
      </w:r>
      <w:proofErr w:type="spellStart"/>
      <w:r w:rsidR="00E503AD" w:rsidRPr="01BC324F">
        <w:rPr>
          <w:rFonts w:ascii="Aptos" w:hAnsi="Aptos"/>
          <w:i/>
          <w:iCs/>
          <w:sz w:val="22"/>
          <w:szCs w:val="22"/>
        </w:rPr>
        <w:t>Sala</w:t>
      </w:r>
      <w:r w:rsidR="00E814DE">
        <w:rPr>
          <w:rFonts w:ascii="Aptos" w:hAnsi="Aptos"/>
          <w:i/>
          <w:iCs/>
          <w:sz w:val="22"/>
          <w:szCs w:val="22"/>
        </w:rPr>
        <w:t>had</w:t>
      </w:r>
      <w:r w:rsidR="00E503AD" w:rsidRPr="01BC324F">
        <w:rPr>
          <w:rFonts w:ascii="Aptos" w:hAnsi="Aptos"/>
          <w:i/>
          <w:iCs/>
          <w:sz w:val="22"/>
          <w:szCs w:val="22"/>
        </w:rPr>
        <w:t>dhin</w:t>
      </w:r>
      <w:proofErr w:type="spellEnd"/>
      <w:r w:rsidR="00E503AD" w:rsidRPr="01BC324F">
        <w:rPr>
          <w:rFonts w:ascii="Aptos" w:hAnsi="Aptos"/>
          <w:i/>
          <w:iCs/>
          <w:sz w:val="22"/>
          <w:szCs w:val="22"/>
        </w:rPr>
        <w:t xml:space="preserve"> </w:t>
      </w:r>
      <w:proofErr w:type="spellStart"/>
      <w:r w:rsidR="00E503AD" w:rsidRPr="01BC324F">
        <w:rPr>
          <w:rFonts w:ascii="Aptos" w:hAnsi="Aptos"/>
          <w:i/>
          <w:iCs/>
          <w:sz w:val="22"/>
          <w:szCs w:val="22"/>
        </w:rPr>
        <w:t>Galip</w:t>
      </w:r>
      <w:proofErr w:type="spellEnd"/>
      <w:r w:rsidR="00E503AD" w:rsidRPr="01BC324F">
        <w:rPr>
          <w:rFonts w:ascii="Aptos" w:hAnsi="Aptos"/>
          <w:i/>
          <w:iCs/>
          <w:sz w:val="22"/>
          <w:szCs w:val="22"/>
        </w:rPr>
        <w:t xml:space="preserve"> c. Grèce</w:t>
      </w:r>
      <w:r w:rsidR="00E503AD" w:rsidRPr="00823F45">
        <w:rPr>
          <w:rFonts w:ascii="Aptos" w:hAnsi="Aptos"/>
          <w:sz w:val="22"/>
          <w:szCs w:val="22"/>
        </w:rPr>
        <w:t xml:space="preserve"> (rendue par la Commission)</w:t>
      </w:r>
      <w:r w:rsidR="00F339E4" w:rsidRPr="00823F45">
        <w:rPr>
          <w:rStyle w:val="Appelnotedebasdep"/>
          <w:rFonts w:ascii="Aptos" w:hAnsi="Aptos"/>
          <w:sz w:val="22"/>
          <w:szCs w:val="22"/>
        </w:rPr>
        <w:footnoteReference w:id="33"/>
      </w:r>
      <w:r w:rsidR="00AF1D75">
        <w:rPr>
          <w:rFonts w:ascii="Aptos" w:hAnsi="Aptos"/>
          <w:sz w:val="22"/>
          <w:szCs w:val="22"/>
        </w:rPr>
        <w:t>,</w:t>
      </w:r>
      <w:r w:rsidR="007B5C5D" w:rsidRPr="31AE0488">
        <w:rPr>
          <w:rFonts w:asciiTheme="minorHAnsi" w:hAnsiTheme="minorHAnsi"/>
          <w:sz w:val="22"/>
          <w:szCs w:val="22"/>
        </w:rPr>
        <w:t xml:space="preserve"> mais c’est </w:t>
      </w:r>
      <w:r w:rsidR="008D5A64" w:rsidRPr="31AE0488">
        <w:rPr>
          <w:rFonts w:asciiTheme="minorHAnsi" w:hAnsiTheme="minorHAnsi"/>
          <w:sz w:val="22"/>
          <w:szCs w:val="22"/>
        </w:rPr>
        <w:t>dans</w:t>
      </w:r>
      <w:r w:rsidRPr="31AE0488">
        <w:rPr>
          <w:rFonts w:asciiTheme="minorHAnsi" w:hAnsiTheme="minorHAnsi"/>
          <w:sz w:val="22"/>
          <w:szCs w:val="22"/>
        </w:rPr>
        <w:t xml:space="preserve"> </w:t>
      </w:r>
      <w:r w:rsidR="007B5C5D" w:rsidRPr="31AE0488">
        <w:rPr>
          <w:rFonts w:asciiTheme="minorHAnsi" w:hAnsiTheme="minorHAnsi"/>
          <w:sz w:val="22"/>
          <w:szCs w:val="22"/>
        </w:rPr>
        <w:t xml:space="preserve">l’arrêt </w:t>
      </w:r>
      <w:proofErr w:type="spellStart"/>
      <w:r w:rsidR="007B5C5D" w:rsidRPr="01BC324F">
        <w:rPr>
          <w:rFonts w:asciiTheme="minorHAnsi" w:hAnsiTheme="minorHAnsi"/>
          <w:i/>
          <w:iCs/>
          <w:sz w:val="22"/>
          <w:szCs w:val="22"/>
        </w:rPr>
        <w:t>Usmanov</w:t>
      </w:r>
      <w:proofErr w:type="spellEnd"/>
      <w:r w:rsidR="007B5C5D" w:rsidRPr="01BC324F">
        <w:rPr>
          <w:rFonts w:asciiTheme="minorHAnsi" w:hAnsiTheme="minorHAnsi"/>
          <w:i/>
          <w:iCs/>
          <w:sz w:val="22"/>
          <w:szCs w:val="22"/>
        </w:rPr>
        <w:t xml:space="preserve"> c. Russie</w:t>
      </w:r>
      <w:r w:rsidR="007B5C5D" w:rsidRPr="31AE0488">
        <w:rPr>
          <w:rFonts w:asciiTheme="minorHAnsi" w:hAnsiTheme="minorHAnsi"/>
          <w:sz w:val="22"/>
          <w:szCs w:val="22"/>
        </w:rPr>
        <w:t xml:space="preserve"> </w:t>
      </w:r>
      <w:r w:rsidR="008D5A64" w:rsidRPr="31AE0488">
        <w:rPr>
          <w:rFonts w:asciiTheme="minorHAnsi" w:hAnsiTheme="minorHAnsi"/>
          <w:sz w:val="22"/>
          <w:szCs w:val="22"/>
        </w:rPr>
        <w:t xml:space="preserve">que </w:t>
      </w:r>
      <w:r w:rsidR="00823F45" w:rsidRPr="31AE0488">
        <w:rPr>
          <w:rFonts w:asciiTheme="minorHAnsi" w:hAnsiTheme="minorHAnsi"/>
          <w:sz w:val="22"/>
          <w:szCs w:val="22"/>
        </w:rPr>
        <w:t xml:space="preserve">la juridiction </w:t>
      </w:r>
      <w:r w:rsidR="008D5A64" w:rsidRPr="31AE0488">
        <w:rPr>
          <w:rFonts w:asciiTheme="minorHAnsi" w:hAnsiTheme="minorHAnsi"/>
          <w:sz w:val="22"/>
          <w:szCs w:val="22"/>
        </w:rPr>
        <w:t>a arrêté sa méthodologie</w:t>
      </w:r>
      <w:r w:rsidR="00B25583" w:rsidRPr="31AE0488">
        <w:rPr>
          <w:rStyle w:val="Appelnotedebasdep"/>
          <w:rFonts w:asciiTheme="minorHAnsi" w:hAnsiTheme="minorHAnsi"/>
          <w:sz w:val="22"/>
          <w:szCs w:val="22"/>
        </w:rPr>
        <w:footnoteReference w:id="34"/>
      </w:r>
      <w:r w:rsidR="00823F45" w:rsidRPr="31AE0488">
        <w:rPr>
          <w:rFonts w:asciiTheme="minorHAnsi" w:hAnsiTheme="minorHAnsi"/>
          <w:sz w:val="22"/>
          <w:szCs w:val="22"/>
        </w:rPr>
        <w:t xml:space="preserve">. </w:t>
      </w:r>
      <w:r w:rsidR="34B97CDC" w:rsidRPr="31AE0488">
        <w:rPr>
          <w:rFonts w:asciiTheme="minorHAnsi" w:hAnsiTheme="minorHAnsi"/>
          <w:sz w:val="22"/>
          <w:szCs w:val="22"/>
        </w:rPr>
        <w:t>Depuis, l</w:t>
      </w:r>
      <w:r w:rsidR="0091777E" w:rsidRPr="31AE0488">
        <w:rPr>
          <w:rFonts w:asciiTheme="minorHAnsi" w:hAnsiTheme="minorHAnsi"/>
          <w:sz w:val="22"/>
          <w:szCs w:val="22"/>
        </w:rPr>
        <w:t xml:space="preserve">a Cour </w:t>
      </w:r>
      <w:r w:rsidR="2C682C83" w:rsidRPr="31AE0488">
        <w:rPr>
          <w:rFonts w:asciiTheme="minorHAnsi" w:hAnsiTheme="minorHAnsi"/>
          <w:sz w:val="22"/>
          <w:szCs w:val="22"/>
        </w:rPr>
        <w:t>se penche en premier lieu</w:t>
      </w:r>
      <w:r w:rsidR="00C660E5" w:rsidRPr="31AE0488">
        <w:rPr>
          <w:rFonts w:asciiTheme="minorHAnsi" w:hAnsiTheme="minorHAnsi"/>
          <w:sz w:val="22"/>
          <w:szCs w:val="22"/>
        </w:rPr>
        <w:t xml:space="preserve"> </w:t>
      </w:r>
      <w:r w:rsidR="0091777E" w:rsidRPr="31AE0488">
        <w:rPr>
          <w:rFonts w:asciiTheme="minorHAnsi" w:hAnsiTheme="minorHAnsi"/>
          <w:sz w:val="22"/>
          <w:szCs w:val="22"/>
        </w:rPr>
        <w:t>sur les conséquences de la déchéance ou de</w:t>
      </w:r>
      <w:r w:rsidR="004A2824" w:rsidRPr="31AE0488">
        <w:rPr>
          <w:rFonts w:asciiTheme="minorHAnsi" w:hAnsiTheme="minorHAnsi"/>
          <w:sz w:val="22"/>
          <w:szCs w:val="22"/>
        </w:rPr>
        <w:t xml:space="preserve"> la</w:t>
      </w:r>
      <w:r w:rsidR="0091777E" w:rsidRPr="31AE0488">
        <w:rPr>
          <w:rFonts w:asciiTheme="minorHAnsi" w:hAnsiTheme="minorHAnsi"/>
          <w:sz w:val="22"/>
          <w:szCs w:val="22"/>
        </w:rPr>
        <w:t xml:space="preserve"> perte </w:t>
      </w:r>
      <w:r w:rsidR="00D45C41" w:rsidRPr="31AE0488">
        <w:rPr>
          <w:rFonts w:asciiTheme="minorHAnsi" w:hAnsiTheme="minorHAnsi"/>
          <w:sz w:val="22"/>
          <w:szCs w:val="22"/>
        </w:rPr>
        <w:t xml:space="preserve">de nationalité </w:t>
      </w:r>
      <w:r w:rsidR="0091777E" w:rsidRPr="31AE0488">
        <w:rPr>
          <w:rFonts w:asciiTheme="minorHAnsi" w:hAnsiTheme="minorHAnsi"/>
          <w:sz w:val="22"/>
          <w:szCs w:val="22"/>
        </w:rPr>
        <w:t>pour le requérant puis, dans un second temps, sur l’analyse du caractère arbitraire de la mesure</w:t>
      </w:r>
      <w:r w:rsidR="005E32D5" w:rsidRPr="31AE0488">
        <w:rPr>
          <w:rFonts w:asciiTheme="minorHAnsi" w:hAnsiTheme="minorHAnsi"/>
          <w:sz w:val="22"/>
          <w:szCs w:val="22"/>
        </w:rPr>
        <w:t>. Deux critères sont pertinents</w:t>
      </w:r>
      <w:r w:rsidR="00E62F7E" w:rsidRPr="31AE0488">
        <w:rPr>
          <w:rFonts w:asciiTheme="minorHAnsi" w:hAnsiTheme="minorHAnsi"/>
          <w:sz w:val="22"/>
          <w:szCs w:val="22"/>
        </w:rPr>
        <w:t xml:space="preserve"> pour déterminer si une mesure est arbitraire :</w:t>
      </w:r>
      <w:r w:rsidR="00E0225F" w:rsidRPr="31AE0488">
        <w:rPr>
          <w:rFonts w:asciiTheme="minorHAnsi" w:hAnsiTheme="minorHAnsi"/>
          <w:sz w:val="22"/>
          <w:szCs w:val="22"/>
        </w:rPr>
        <w:t xml:space="preserve"> d’abord,</w:t>
      </w:r>
      <w:r w:rsidR="00E62F7E" w:rsidRPr="31AE0488">
        <w:rPr>
          <w:rFonts w:asciiTheme="minorHAnsi" w:hAnsiTheme="minorHAnsi"/>
          <w:sz w:val="22"/>
          <w:szCs w:val="22"/>
        </w:rPr>
        <w:t xml:space="preserve"> </w:t>
      </w:r>
      <w:r w:rsidR="004A2824" w:rsidRPr="31AE0488">
        <w:rPr>
          <w:rFonts w:asciiTheme="minorHAnsi" w:hAnsiTheme="minorHAnsi"/>
          <w:sz w:val="22"/>
          <w:szCs w:val="22"/>
        </w:rPr>
        <w:t>s</w:t>
      </w:r>
      <w:r w:rsidR="00E62F7E" w:rsidRPr="31AE0488">
        <w:rPr>
          <w:rFonts w:asciiTheme="minorHAnsi" w:hAnsiTheme="minorHAnsi"/>
          <w:sz w:val="22"/>
          <w:szCs w:val="22"/>
        </w:rPr>
        <w:t xml:space="preserve">a légalité </w:t>
      </w:r>
      <w:r w:rsidR="00ED2179" w:rsidRPr="31AE0488">
        <w:rPr>
          <w:rFonts w:asciiTheme="minorHAnsi" w:hAnsiTheme="minorHAnsi"/>
          <w:sz w:val="22"/>
          <w:szCs w:val="22"/>
        </w:rPr>
        <w:t>et</w:t>
      </w:r>
      <w:r w:rsidR="00E0225F" w:rsidRPr="31AE0488">
        <w:rPr>
          <w:rFonts w:asciiTheme="minorHAnsi" w:hAnsiTheme="minorHAnsi"/>
          <w:sz w:val="22"/>
          <w:szCs w:val="22"/>
        </w:rPr>
        <w:t>, ensuite,</w:t>
      </w:r>
      <w:r w:rsidR="00E62F7E" w:rsidRPr="31AE0488">
        <w:rPr>
          <w:rFonts w:asciiTheme="minorHAnsi" w:hAnsiTheme="minorHAnsi"/>
          <w:sz w:val="22"/>
          <w:szCs w:val="22"/>
        </w:rPr>
        <w:t xml:space="preserve"> les garanties procédurales dont</w:t>
      </w:r>
      <w:r w:rsidR="004A2824" w:rsidRPr="31AE0488">
        <w:rPr>
          <w:rFonts w:asciiTheme="minorHAnsi" w:hAnsiTheme="minorHAnsi"/>
          <w:sz w:val="22"/>
          <w:szCs w:val="22"/>
        </w:rPr>
        <w:t xml:space="preserve"> a bénéficié</w:t>
      </w:r>
      <w:r w:rsidR="00E0225F" w:rsidRPr="31AE0488">
        <w:rPr>
          <w:rFonts w:asciiTheme="minorHAnsi" w:hAnsiTheme="minorHAnsi"/>
          <w:sz w:val="22"/>
          <w:szCs w:val="22"/>
        </w:rPr>
        <w:t xml:space="preserve"> le requérant</w:t>
      </w:r>
      <w:r w:rsidR="00E62F7E" w:rsidRPr="31AE0488">
        <w:rPr>
          <w:rFonts w:asciiTheme="minorHAnsi" w:hAnsiTheme="minorHAnsi"/>
          <w:sz w:val="22"/>
          <w:szCs w:val="22"/>
        </w:rPr>
        <w:t xml:space="preserve"> </w:t>
      </w:r>
      <w:r w:rsidR="00E0225F" w:rsidRPr="31AE0488">
        <w:rPr>
          <w:rFonts w:asciiTheme="minorHAnsi" w:hAnsiTheme="minorHAnsi"/>
          <w:sz w:val="22"/>
          <w:szCs w:val="22"/>
        </w:rPr>
        <w:t>(</w:t>
      </w:r>
      <w:r w:rsidR="004A2824" w:rsidRPr="31AE0488">
        <w:rPr>
          <w:rFonts w:asciiTheme="minorHAnsi" w:hAnsiTheme="minorHAnsi"/>
          <w:sz w:val="22"/>
          <w:szCs w:val="22"/>
        </w:rPr>
        <w:t>comme</w:t>
      </w:r>
      <w:r w:rsidR="0E81E735" w:rsidRPr="31AE0488">
        <w:rPr>
          <w:rFonts w:asciiTheme="minorHAnsi" w:hAnsiTheme="minorHAnsi"/>
          <w:sz w:val="22"/>
          <w:szCs w:val="22"/>
        </w:rPr>
        <w:t xml:space="preserve"> </w:t>
      </w:r>
      <w:r w:rsidR="004A2824" w:rsidRPr="31AE0488">
        <w:rPr>
          <w:rFonts w:asciiTheme="minorHAnsi" w:hAnsiTheme="minorHAnsi"/>
          <w:sz w:val="22"/>
          <w:szCs w:val="22"/>
        </w:rPr>
        <w:t>un</w:t>
      </w:r>
      <w:r w:rsidR="00E62F7E" w:rsidRPr="31AE0488">
        <w:rPr>
          <w:rFonts w:asciiTheme="minorHAnsi" w:hAnsiTheme="minorHAnsi"/>
          <w:sz w:val="22"/>
          <w:szCs w:val="22"/>
        </w:rPr>
        <w:t xml:space="preserve"> contrôle juridictionnel </w:t>
      </w:r>
      <w:r w:rsidR="00ED2179" w:rsidRPr="31AE0488">
        <w:rPr>
          <w:rFonts w:asciiTheme="minorHAnsi" w:hAnsiTheme="minorHAnsi"/>
          <w:sz w:val="22"/>
          <w:szCs w:val="22"/>
        </w:rPr>
        <w:t>adéquat</w:t>
      </w:r>
      <w:r w:rsidR="004A2824" w:rsidRPr="31AE0488">
        <w:rPr>
          <w:rFonts w:asciiTheme="minorHAnsi" w:hAnsiTheme="minorHAnsi"/>
          <w:sz w:val="22"/>
          <w:szCs w:val="22"/>
        </w:rPr>
        <w:t xml:space="preserve"> ou encore</w:t>
      </w:r>
      <w:r w:rsidR="00E62F7E" w:rsidRPr="31AE0488">
        <w:rPr>
          <w:rFonts w:asciiTheme="minorHAnsi" w:hAnsiTheme="minorHAnsi"/>
          <w:sz w:val="22"/>
          <w:szCs w:val="22"/>
        </w:rPr>
        <w:t xml:space="preserve"> </w:t>
      </w:r>
      <w:r w:rsidR="00ED2179" w:rsidRPr="31AE0488">
        <w:rPr>
          <w:rFonts w:asciiTheme="minorHAnsi" w:hAnsiTheme="minorHAnsi"/>
          <w:sz w:val="22"/>
          <w:szCs w:val="22"/>
        </w:rPr>
        <w:t>le comportement</w:t>
      </w:r>
      <w:r w:rsidR="00E62F7E" w:rsidRPr="31AE0488">
        <w:rPr>
          <w:rFonts w:asciiTheme="minorHAnsi" w:hAnsiTheme="minorHAnsi"/>
          <w:sz w:val="22"/>
          <w:szCs w:val="22"/>
        </w:rPr>
        <w:t xml:space="preserve"> prompt</w:t>
      </w:r>
      <w:r w:rsidR="00A40FB0" w:rsidRPr="31AE0488">
        <w:rPr>
          <w:rFonts w:asciiTheme="minorHAnsi" w:hAnsiTheme="minorHAnsi"/>
          <w:sz w:val="22"/>
          <w:szCs w:val="22"/>
        </w:rPr>
        <w:t xml:space="preserve"> et diligent</w:t>
      </w:r>
      <w:r w:rsidR="00ED2179" w:rsidRPr="31AE0488">
        <w:rPr>
          <w:rFonts w:asciiTheme="minorHAnsi" w:hAnsiTheme="minorHAnsi"/>
          <w:sz w:val="22"/>
          <w:szCs w:val="22"/>
        </w:rPr>
        <w:t xml:space="preserve"> </w:t>
      </w:r>
      <w:r w:rsidR="00E62F7E" w:rsidRPr="31AE0488">
        <w:rPr>
          <w:rFonts w:asciiTheme="minorHAnsi" w:hAnsiTheme="minorHAnsi"/>
          <w:sz w:val="22"/>
          <w:szCs w:val="22"/>
        </w:rPr>
        <w:t>des autorités</w:t>
      </w:r>
      <w:r w:rsidR="00E0225F" w:rsidRPr="31AE0488">
        <w:rPr>
          <w:rFonts w:asciiTheme="minorHAnsi" w:hAnsiTheme="minorHAnsi"/>
          <w:sz w:val="22"/>
          <w:szCs w:val="22"/>
        </w:rPr>
        <w:t>)</w:t>
      </w:r>
      <w:r w:rsidR="00E62F7E" w:rsidRPr="31AE0488">
        <w:rPr>
          <w:rFonts w:asciiTheme="minorHAnsi" w:hAnsiTheme="minorHAnsi"/>
          <w:sz w:val="22"/>
          <w:szCs w:val="22"/>
        </w:rPr>
        <w:t xml:space="preserve">. </w:t>
      </w:r>
    </w:p>
    <w:p w14:paraId="0F895BD9" w14:textId="743F70D5" w:rsidR="00ED2179" w:rsidRPr="00823F45" w:rsidRDefault="0091777E" w:rsidP="31AE0488">
      <w:pPr>
        <w:pStyle w:val="Default"/>
        <w:spacing w:after="240"/>
        <w:jc w:val="both"/>
        <w:rPr>
          <w:rFonts w:asciiTheme="minorHAnsi" w:hAnsiTheme="minorHAnsi"/>
          <w:sz w:val="22"/>
          <w:szCs w:val="22"/>
        </w:rPr>
      </w:pPr>
      <w:r w:rsidRPr="00D631C8">
        <w:rPr>
          <w:rFonts w:asciiTheme="minorHAnsi" w:hAnsiTheme="minorHAnsi"/>
          <w:b/>
          <w:bCs/>
          <w:sz w:val="22"/>
          <w:szCs w:val="22"/>
        </w:rPr>
        <w:t xml:space="preserve">Concernant plus spécifiquement la déchéance de nationalité </w:t>
      </w:r>
      <w:r w:rsidR="00232BEF" w:rsidRPr="00D631C8">
        <w:rPr>
          <w:rFonts w:asciiTheme="minorHAnsi" w:hAnsiTheme="minorHAnsi"/>
          <w:b/>
          <w:bCs/>
          <w:sz w:val="22"/>
          <w:szCs w:val="22"/>
        </w:rPr>
        <w:t>des personnes condamnées pour faits de terrorisme</w:t>
      </w:r>
      <w:r w:rsidR="00C660E5" w:rsidRPr="31AE0488">
        <w:rPr>
          <w:rFonts w:asciiTheme="minorHAnsi" w:hAnsiTheme="minorHAnsi"/>
          <w:sz w:val="22"/>
          <w:szCs w:val="22"/>
        </w:rPr>
        <w:t>,</w:t>
      </w:r>
      <w:r w:rsidR="00ED2179" w:rsidRPr="31AE0488">
        <w:rPr>
          <w:rFonts w:asciiTheme="minorHAnsi" w:hAnsiTheme="minorHAnsi"/>
          <w:sz w:val="22"/>
          <w:szCs w:val="22"/>
        </w:rPr>
        <w:t xml:space="preserve"> la Cour a </w:t>
      </w:r>
      <w:r w:rsidR="009941A0" w:rsidRPr="31AE0488">
        <w:rPr>
          <w:rFonts w:asciiTheme="minorHAnsi" w:hAnsiTheme="minorHAnsi"/>
          <w:sz w:val="22"/>
          <w:szCs w:val="22"/>
        </w:rPr>
        <w:t xml:space="preserve">récemment statué </w:t>
      </w:r>
      <w:r w:rsidR="00A40FB0" w:rsidRPr="31AE0488">
        <w:rPr>
          <w:rFonts w:asciiTheme="minorHAnsi" w:hAnsiTheme="minorHAnsi"/>
          <w:sz w:val="22"/>
          <w:szCs w:val="22"/>
        </w:rPr>
        <w:t>dans un dossier</w:t>
      </w:r>
      <w:r w:rsidR="002E7CDF" w:rsidRPr="31AE0488">
        <w:rPr>
          <w:rFonts w:asciiTheme="minorHAnsi" w:hAnsiTheme="minorHAnsi"/>
          <w:sz w:val="22"/>
          <w:szCs w:val="22"/>
        </w:rPr>
        <w:t xml:space="preserve"> </w:t>
      </w:r>
      <w:r w:rsidR="00525F53" w:rsidRPr="31AE0488">
        <w:rPr>
          <w:rFonts w:asciiTheme="minorHAnsi" w:hAnsiTheme="minorHAnsi"/>
          <w:sz w:val="22"/>
          <w:szCs w:val="22"/>
        </w:rPr>
        <w:t>en faveur des</w:t>
      </w:r>
      <w:r w:rsidR="002E7CDF" w:rsidRPr="31AE0488">
        <w:rPr>
          <w:rFonts w:asciiTheme="minorHAnsi" w:hAnsiTheme="minorHAnsi"/>
          <w:sz w:val="22"/>
          <w:szCs w:val="22"/>
        </w:rPr>
        <w:t xml:space="preserve"> autorités françaises</w:t>
      </w:r>
      <w:r w:rsidR="00287EED" w:rsidRPr="31AE0488">
        <w:rPr>
          <w:rStyle w:val="Appelnotedebasdep"/>
          <w:rFonts w:asciiTheme="minorHAnsi" w:hAnsiTheme="minorHAnsi"/>
          <w:sz w:val="22"/>
          <w:szCs w:val="22"/>
        </w:rPr>
        <w:footnoteReference w:id="35"/>
      </w:r>
      <w:r w:rsidR="002E7CDF" w:rsidRPr="31AE0488">
        <w:rPr>
          <w:rFonts w:asciiTheme="minorHAnsi" w:hAnsiTheme="minorHAnsi"/>
          <w:sz w:val="22"/>
          <w:szCs w:val="22"/>
        </w:rPr>
        <w:t>.</w:t>
      </w:r>
      <w:r w:rsidR="009941A0" w:rsidRPr="31AE0488">
        <w:rPr>
          <w:rFonts w:asciiTheme="minorHAnsi" w:hAnsiTheme="minorHAnsi"/>
          <w:sz w:val="22"/>
          <w:szCs w:val="22"/>
        </w:rPr>
        <w:t xml:space="preserve"> </w:t>
      </w:r>
      <w:r w:rsidR="002E7CDF" w:rsidRPr="31AE0488">
        <w:rPr>
          <w:rFonts w:asciiTheme="minorHAnsi" w:hAnsiTheme="minorHAnsi"/>
          <w:sz w:val="22"/>
          <w:szCs w:val="22"/>
        </w:rPr>
        <w:t>D</w:t>
      </w:r>
      <w:r w:rsidR="009941A0" w:rsidRPr="31AE0488">
        <w:rPr>
          <w:rFonts w:asciiTheme="minorHAnsi" w:hAnsiTheme="minorHAnsi"/>
          <w:sz w:val="22"/>
          <w:szCs w:val="22"/>
        </w:rPr>
        <w:t xml:space="preserve">ans l’arrêt </w:t>
      </w:r>
      <w:proofErr w:type="spellStart"/>
      <w:r w:rsidR="009941A0" w:rsidRPr="01BC324F">
        <w:rPr>
          <w:rFonts w:asciiTheme="minorHAnsi" w:hAnsiTheme="minorHAnsi"/>
          <w:i/>
          <w:iCs/>
          <w:sz w:val="22"/>
          <w:szCs w:val="22"/>
        </w:rPr>
        <w:t>Ghoumid</w:t>
      </w:r>
      <w:proofErr w:type="spellEnd"/>
      <w:r w:rsidR="009941A0" w:rsidRPr="01BC324F">
        <w:rPr>
          <w:rFonts w:asciiTheme="minorHAnsi" w:hAnsiTheme="minorHAnsi"/>
          <w:i/>
          <w:iCs/>
          <w:sz w:val="22"/>
          <w:szCs w:val="22"/>
        </w:rPr>
        <w:t xml:space="preserve"> </w:t>
      </w:r>
      <w:r w:rsidR="00EE29AA" w:rsidRPr="01BC324F">
        <w:rPr>
          <w:rFonts w:asciiTheme="minorHAnsi" w:hAnsiTheme="minorHAnsi"/>
          <w:i/>
          <w:iCs/>
          <w:sz w:val="22"/>
          <w:szCs w:val="22"/>
        </w:rPr>
        <w:t xml:space="preserve">et autres </w:t>
      </w:r>
      <w:r w:rsidR="009941A0" w:rsidRPr="01BC324F">
        <w:rPr>
          <w:rFonts w:asciiTheme="minorHAnsi" w:hAnsiTheme="minorHAnsi"/>
          <w:i/>
          <w:iCs/>
          <w:sz w:val="22"/>
          <w:szCs w:val="22"/>
        </w:rPr>
        <w:t>c. France</w:t>
      </w:r>
      <w:r w:rsidR="009941A0" w:rsidRPr="31AE0488">
        <w:rPr>
          <w:rStyle w:val="Appelnotedebasdep"/>
          <w:rFonts w:asciiTheme="minorHAnsi" w:hAnsiTheme="minorHAnsi"/>
          <w:sz w:val="22"/>
          <w:szCs w:val="22"/>
        </w:rPr>
        <w:footnoteReference w:id="36"/>
      </w:r>
      <w:r w:rsidR="002E7CDF" w:rsidRPr="31AE0488">
        <w:rPr>
          <w:rFonts w:asciiTheme="minorHAnsi" w:hAnsiTheme="minorHAnsi"/>
          <w:sz w:val="22"/>
          <w:szCs w:val="22"/>
        </w:rPr>
        <w:t xml:space="preserve">, </w:t>
      </w:r>
      <w:r w:rsidR="00152B36" w:rsidRPr="31AE0488">
        <w:rPr>
          <w:rFonts w:asciiTheme="minorHAnsi" w:hAnsiTheme="minorHAnsi"/>
          <w:sz w:val="22"/>
          <w:szCs w:val="22"/>
        </w:rPr>
        <w:t>les cinq requérants avaient été déchus de leur nationalité française</w:t>
      </w:r>
      <w:r w:rsidR="01726B28" w:rsidRPr="31AE0488">
        <w:rPr>
          <w:rFonts w:asciiTheme="minorHAnsi" w:hAnsiTheme="minorHAnsi"/>
          <w:sz w:val="22"/>
          <w:szCs w:val="22"/>
        </w:rPr>
        <w:t>,</w:t>
      </w:r>
      <w:r w:rsidR="00876215" w:rsidRPr="31AE0488">
        <w:rPr>
          <w:rFonts w:asciiTheme="minorHAnsi" w:hAnsiTheme="minorHAnsi"/>
          <w:sz w:val="22"/>
          <w:szCs w:val="22"/>
        </w:rPr>
        <w:t xml:space="preserve"> sur la base de l’article</w:t>
      </w:r>
      <w:r w:rsidR="00266B9D" w:rsidRPr="31AE0488">
        <w:rPr>
          <w:rFonts w:asciiTheme="minorHAnsi" w:hAnsiTheme="minorHAnsi"/>
          <w:sz w:val="22"/>
          <w:szCs w:val="22"/>
        </w:rPr>
        <w:t> </w:t>
      </w:r>
      <w:r w:rsidR="00876215" w:rsidRPr="31AE0488">
        <w:rPr>
          <w:rFonts w:asciiTheme="minorHAnsi" w:hAnsiTheme="minorHAnsi"/>
          <w:sz w:val="22"/>
          <w:szCs w:val="22"/>
        </w:rPr>
        <w:t>25 du Code civil français</w:t>
      </w:r>
      <w:r w:rsidR="0EE0E0BE" w:rsidRPr="31AE0488">
        <w:rPr>
          <w:rFonts w:asciiTheme="minorHAnsi" w:hAnsiTheme="minorHAnsi"/>
          <w:sz w:val="22"/>
          <w:szCs w:val="22"/>
        </w:rPr>
        <w:t>,</w:t>
      </w:r>
      <w:r w:rsidR="00152B36" w:rsidRPr="31AE0488">
        <w:rPr>
          <w:rFonts w:asciiTheme="minorHAnsi" w:hAnsiTheme="minorHAnsi"/>
          <w:sz w:val="22"/>
          <w:szCs w:val="22"/>
        </w:rPr>
        <w:t xml:space="preserve"> après avoir été condamnés pour participation à une association de malfaiteurs dans un contexte terroriste</w:t>
      </w:r>
      <w:r w:rsidR="00C86494" w:rsidRPr="31AE0488">
        <w:rPr>
          <w:rFonts w:asciiTheme="minorHAnsi" w:hAnsiTheme="minorHAnsi"/>
          <w:sz w:val="22"/>
          <w:szCs w:val="22"/>
        </w:rPr>
        <w:t>.</w:t>
      </w:r>
      <w:r w:rsidR="00876215" w:rsidRPr="31AE0488">
        <w:rPr>
          <w:rFonts w:asciiTheme="minorHAnsi" w:hAnsiTheme="minorHAnsi"/>
          <w:sz w:val="22"/>
          <w:szCs w:val="22"/>
        </w:rPr>
        <w:t xml:space="preserve"> </w:t>
      </w:r>
      <w:r w:rsidR="288FDB83" w:rsidRPr="31AE0488">
        <w:rPr>
          <w:rFonts w:asciiTheme="minorHAnsi" w:hAnsiTheme="minorHAnsi"/>
          <w:sz w:val="22"/>
          <w:szCs w:val="22"/>
        </w:rPr>
        <w:t>En vain, i</w:t>
      </w:r>
      <w:r w:rsidR="00876215" w:rsidRPr="31AE0488">
        <w:rPr>
          <w:rFonts w:asciiTheme="minorHAnsi" w:hAnsiTheme="minorHAnsi"/>
          <w:sz w:val="22"/>
          <w:szCs w:val="22"/>
        </w:rPr>
        <w:t xml:space="preserve">ls </w:t>
      </w:r>
      <w:r w:rsidR="00525F53" w:rsidRPr="31AE0488">
        <w:rPr>
          <w:rFonts w:asciiTheme="minorHAnsi" w:hAnsiTheme="minorHAnsi"/>
          <w:sz w:val="22"/>
          <w:szCs w:val="22"/>
        </w:rPr>
        <w:t>avaient invoqué</w:t>
      </w:r>
      <w:r w:rsidR="3F232385" w:rsidRPr="31AE0488">
        <w:rPr>
          <w:rFonts w:asciiTheme="minorHAnsi" w:hAnsiTheme="minorHAnsi"/>
          <w:sz w:val="22"/>
          <w:szCs w:val="22"/>
        </w:rPr>
        <w:t xml:space="preserve"> </w:t>
      </w:r>
      <w:r w:rsidR="00876215" w:rsidRPr="31AE0488">
        <w:rPr>
          <w:rFonts w:asciiTheme="minorHAnsi" w:hAnsiTheme="minorHAnsi"/>
          <w:sz w:val="22"/>
          <w:szCs w:val="22"/>
        </w:rPr>
        <w:t xml:space="preserve">la violation de leur droit à la vie privée et familiale ainsi </w:t>
      </w:r>
      <w:r w:rsidR="4CEA1A56" w:rsidRPr="31AE0488">
        <w:rPr>
          <w:rFonts w:asciiTheme="minorHAnsi" w:hAnsiTheme="minorHAnsi"/>
          <w:sz w:val="22"/>
          <w:szCs w:val="22"/>
        </w:rPr>
        <w:t xml:space="preserve">que du principe </w:t>
      </w:r>
      <w:r w:rsidR="4CEA1A56" w:rsidRPr="01BC324F">
        <w:rPr>
          <w:rFonts w:asciiTheme="minorHAnsi" w:hAnsiTheme="minorHAnsi"/>
          <w:i/>
          <w:iCs/>
          <w:sz w:val="22"/>
          <w:szCs w:val="22"/>
        </w:rPr>
        <w:t>non bis in idem</w:t>
      </w:r>
      <w:r w:rsidR="004412D5" w:rsidRPr="31AE0488">
        <w:rPr>
          <w:rFonts w:asciiTheme="minorHAnsi" w:hAnsiTheme="minorHAnsi"/>
          <w:sz w:val="22"/>
          <w:szCs w:val="22"/>
        </w:rPr>
        <w:t xml:space="preserve"> </w:t>
      </w:r>
      <w:r w:rsidR="7013D1D2" w:rsidRPr="31AE0488">
        <w:rPr>
          <w:rFonts w:asciiTheme="minorHAnsi" w:hAnsiTheme="minorHAnsi"/>
          <w:sz w:val="22"/>
          <w:szCs w:val="22"/>
        </w:rPr>
        <w:t>garanti</w:t>
      </w:r>
      <w:r w:rsidR="004412D5" w:rsidRPr="31AE0488">
        <w:rPr>
          <w:rFonts w:asciiTheme="minorHAnsi" w:hAnsiTheme="minorHAnsi"/>
          <w:sz w:val="22"/>
          <w:szCs w:val="22"/>
        </w:rPr>
        <w:t xml:space="preserve"> par l’article</w:t>
      </w:r>
      <w:r w:rsidR="00266B9D" w:rsidRPr="31AE0488">
        <w:rPr>
          <w:rFonts w:asciiTheme="minorHAnsi" w:hAnsiTheme="minorHAnsi"/>
          <w:sz w:val="22"/>
          <w:szCs w:val="22"/>
        </w:rPr>
        <w:t> </w:t>
      </w:r>
      <w:r w:rsidR="004412D5" w:rsidRPr="31AE0488">
        <w:rPr>
          <w:rFonts w:asciiTheme="minorHAnsi" w:hAnsiTheme="minorHAnsi"/>
          <w:sz w:val="22"/>
          <w:szCs w:val="22"/>
        </w:rPr>
        <w:t>4 du Protocole additionnel n°</w:t>
      </w:r>
      <w:r w:rsidR="00266B9D" w:rsidRPr="31AE0488">
        <w:rPr>
          <w:rFonts w:asciiTheme="minorHAnsi" w:hAnsiTheme="minorHAnsi"/>
          <w:sz w:val="22"/>
          <w:szCs w:val="22"/>
        </w:rPr>
        <w:t> </w:t>
      </w:r>
      <w:r w:rsidR="004412D5" w:rsidRPr="31AE0488">
        <w:rPr>
          <w:rFonts w:asciiTheme="minorHAnsi" w:hAnsiTheme="minorHAnsi"/>
          <w:sz w:val="22"/>
          <w:szCs w:val="22"/>
        </w:rPr>
        <w:t>7 à la CEDH.</w:t>
      </w:r>
    </w:p>
    <w:p w14:paraId="60A6139E" w14:textId="40432993" w:rsidR="008257CE" w:rsidRDefault="00F618A1" w:rsidP="00BE6826">
      <w:pPr>
        <w:jc w:val="both"/>
      </w:pPr>
      <w:r>
        <w:t xml:space="preserve">Dans l’arrêt </w:t>
      </w:r>
      <w:r w:rsidRPr="31AE0488">
        <w:rPr>
          <w:i/>
          <w:iCs/>
        </w:rPr>
        <w:t xml:space="preserve">El </w:t>
      </w:r>
      <w:proofErr w:type="spellStart"/>
      <w:r w:rsidRPr="31AE0488">
        <w:rPr>
          <w:i/>
          <w:iCs/>
        </w:rPr>
        <w:t>Aroud</w:t>
      </w:r>
      <w:proofErr w:type="spellEnd"/>
      <w:r w:rsidRPr="31AE0488">
        <w:rPr>
          <w:i/>
          <w:iCs/>
        </w:rPr>
        <w:t xml:space="preserve"> et </w:t>
      </w:r>
      <w:proofErr w:type="spellStart"/>
      <w:r w:rsidRPr="31AE0488">
        <w:rPr>
          <w:i/>
          <w:iCs/>
        </w:rPr>
        <w:t>Soughir</w:t>
      </w:r>
      <w:proofErr w:type="spellEnd"/>
      <w:r w:rsidRPr="31AE0488">
        <w:rPr>
          <w:i/>
          <w:iCs/>
        </w:rPr>
        <w:t xml:space="preserve"> c. Belgique</w:t>
      </w:r>
      <w:r>
        <w:t xml:space="preserve">, les requérants </w:t>
      </w:r>
      <w:r w:rsidR="227FEA15">
        <w:t>se plaignent de la violation de deux dispositions en raison du</w:t>
      </w:r>
      <w:r w:rsidR="00E0225F">
        <w:t xml:space="preserve"> prononcé de déchéance de nationalité par les juridictions belges</w:t>
      </w:r>
      <w:r w:rsidR="00266E2D">
        <w:t xml:space="preserve">. </w:t>
      </w:r>
      <w:r w:rsidR="00DF313D">
        <w:t>Il s’agit d</w:t>
      </w:r>
      <w:r w:rsidR="00E17F72">
        <w:t>’une part,</w:t>
      </w:r>
      <w:r>
        <w:t xml:space="preserve"> </w:t>
      </w:r>
      <w:r w:rsidR="00DF313D">
        <w:t xml:space="preserve">de </w:t>
      </w:r>
      <w:r>
        <w:t>l’article</w:t>
      </w:r>
      <w:r w:rsidR="00266B9D">
        <w:t> </w:t>
      </w:r>
      <w:r>
        <w:t>8 de la CEDH qui garantit le droit à la vie privée et familiale et</w:t>
      </w:r>
      <w:r w:rsidR="00E17F72">
        <w:t xml:space="preserve">, d’autre part, </w:t>
      </w:r>
      <w:r w:rsidR="00DF313D">
        <w:t xml:space="preserve">de </w:t>
      </w:r>
      <w:r>
        <w:t>l’article</w:t>
      </w:r>
      <w:r w:rsidR="00266B9D">
        <w:t> </w:t>
      </w:r>
      <w:r>
        <w:t>2 du Protocole additionnel n°</w:t>
      </w:r>
      <w:r w:rsidR="00266B9D">
        <w:t> </w:t>
      </w:r>
      <w:r>
        <w:t>7 à la CEDH qui garantit</w:t>
      </w:r>
      <w:r w:rsidR="0093131C">
        <w:t xml:space="preserve"> le droit à un double degré de juridiction</w:t>
      </w:r>
      <w:r>
        <w:t>.</w:t>
      </w:r>
      <w:r w:rsidR="0093131C">
        <w:t xml:space="preserve"> </w:t>
      </w:r>
    </w:p>
    <w:p w14:paraId="59D8D66F" w14:textId="01E1AB28" w:rsidR="00B94C6A" w:rsidRDefault="00B65988" w:rsidP="00BE6826">
      <w:pPr>
        <w:jc w:val="both"/>
      </w:pPr>
      <w:r w:rsidRPr="00BC6F0C">
        <w:rPr>
          <w:b/>
          <w:bCs/>
        </w:rPr>
        <w:t>La Cour commence par l’analyse de la violation alléguée de l’article</w:t>
      </w:r>
      <w:r w:rsidR="00266B9D" w:rsidRPr="00BC6F0C">
        <w:rPr>
          <w:b/>
          <w:bCs/>
        </w:rPr>
        <w:t> </w:t>
      </w:r>
      <w:r w:rsidRPr="00BC6F0C">
        <w:rPr>
          <w:b/>
          <w:bCs/>
        </w:rPr>
        <w:t xml:space="preserve">8 </w:t>
      </w:r>
      <w:r w:rsidR="00093B6E" w:rsidRPr="00BC6F0C">
        <w:rPr>
          <w:b/>
          <w:bCs/>
        </w:rPr>
        <w:t xml:space="preserve">de la </w:t>
      </w:r>
      <w:r w:rsidRPr="00BC6F0C">
        <w:rPr>
          <w:b/>
          <w:bCs/>
        </w:rPr>
        <w:t>CEDH</w:t>
      </w:r>
      <w:r>
        <w:t xml:space="preserve">, en jaugeant les conséquences que la perte de nationalité a sur la vie privée et familiale des requérants. </w:t>
      </w:r>
      <w:r w:rsidR="00816F7B">
        <w:t xml:space="preserve">Quant au droit à la vie familiale, seule </w:t>
      </w:r>
      <w:r w:rsidR="005C731B">
        <w:t xml:space="preserve">Madame El </w:t>
      </w:r>
      <w:proofErr w:type="spellStart"/>
      <w:r w:rsidR="005C731B">
        <w:t>Aroud</w:t>
      </w:r>
      <w:proofErr w:type="spellEnd"/>
      <w:r w:rsidR="005C731B">
        <w:t xml:space="preserve"> se plai</w:t>
      </w:r>
      <w:r w:rsidR="00DF313D">
        <w:t>n</w:t>
      </w:r>
      <w:r w:rsidR="005C731B">
        <w:t>t d’</w:t>
      </w:r>
      <w:r w:rsidR="00816F7B">
        <w:t xml:space="preserve">avoir subi </w:t>
      </w:r>
      <w:r w:rsidR="005C731B">
        <w:t xml:space="preserve">une entrave en raison </w:t>
      </w:r>
      <w:r w:rsidR="00DF313D">
        <w:t xml:space="preserve">de la présence de sa fille et de sa petite-fille sur le territoire belge. </w:t>
      </w:r>
      <w:r w:rsidR="00816F7B">
        <w:t>Cependant, e</w:t>
      </w:r>
      <w:r w:rsidR="00DF313D">
        <w:t>u égard à la majorité de sa fille et au manque de liens de dépendanc</w:t>
      </w:r>
      <w:r w:rsidR="00093B6E">
        <w:t>e</w:t>
      </w:r>
      <w:r w:rsidR="00DF313D">
        <w:t xml:space="preserve"> entre elles</w:t>
      </w:r>
      <w:r w:rsidR="0346C3CE">
        <w:t>,</w:t>
      </w:r>
      <w:r w:rsidR="00DF313D">
        <w:t xml:space="preserve"> et de l’absence de précision sur les liens qu’elle entretient avec sa petite-fille, la Cour </w:t>
      </w:r>
      <w:r w:rsidR="00816F7B">
        <w:t xml:space="preserve">considère qu’il n’y a pas d’ingérence dans son chef. </w:t>
      </w:r>
      <w:r w:rsidR="2C6E2265">
        <w:t>En revanche</w:t>
      </w:r>
      <w:r w:rsidR="00816F7B">
        <w:t>, quant au droit à la vie privée des requérants, la C</w:t>
      </w:r>
      <w:r w:rsidR="00B5637C">
        <w:t xml:space="preserve">our estime que la déchéance </w:t>
      </w:r>
      <w:r>
        <w:t>constitue bien</w:t>
      </w:r>
      <w:r w:rsidR="00B5637C">
        <w:t xml:space="preserve"> une ingérence </w:t>
      </w:r>
      <w:r w:rsidR="00E905F3">
        <w:t xml:space="preserve">dès lors </w:t>
      </w:r>
      <w:r w:rsidR="00177083">
        <w:t>qu’elle les</w:t>
      </w:r>
      <w:r w:rsidR="00B94C6A">
        <w:t xml:space="preserve"> priv</w:t>
      </w:r>
      <w:r>
        <w:t>e</w:t>
      </w:r>
      <w:r w:rsidR="00177083">
        <w:t xml:space="preserve"> d’un élément constitutif de leur identité</w:t>
      </w:r>
      <w:r w:rsidR="00B94C6A">
        <w:t xml:space="preserve"> compte tenu, notamment, de leur présence sur le territoire dès le plus jeune âge</w:t>
      </w:r>
      <w:r w:rsidR="00177083">
        <w:t xml:space="preserve"> </w:t>
      </w:r>
      <w:r w:rsidR="211A0176">
        <w:t xml:space="preserve">(trois ans pour l’un et cinq ans pour l’autre) </w:t>
      </w:r>
      <w:r w:rsidR="00177083">
        <w:t xml:space="preserve">et </w:t>
      </w:r>
      <w:r w:rsidR="00E905F3">
        <w:t xml:space="preserve">qu’elle fragilise leur capacité à rester en Belgique </w:t>
      </w:r>
      <w:r w:rsidR="00EE6AB1">
        <w:t>s’ils venaient à être éloignés du territoire</w:t>
      </w:r>
      <w:r w:rsidR="00E624A5">
        <w:t xml:space="preserve">. </w:t>
      </w:r>
      <w:r w:rsidR="008F751A">
        <w:t>Pour évaluer si cette ingérence est constitutive d’une violation, la Cour procède à l’</w:t>
      </w:r>
      <w:r w:rsidR="17CE9563">
        <w:t>examen</w:t>
      </w:r>
      <w:r w:rsidR="008F751A">
        <w:t xml:space="preserve"> habituel de la mesure au regard de sa légalité, de la légitimité du but poursuivi et de </w:t>
      </w:r>
      <w:r w:rsidR="004A2E2E">
        <w:t>s</w:t>
      </w:r>
      <w:r w:rsidR="008F751A">
        <w:t>a nécessit</w:t>
      </w:r>
      <w:r w:rsidR="004A2E2E">
        <w:t>é dans une société démocratique.</w:t>
      </w:r>
      <w:r w:rsidR="004267F0">
        <w:t xml:space="preserve"> Les requérants </w:t>
      </w:r>
      <w:r w:rsidR="0B2CEDFD">
        <w:t>invoquaient</w:t>
      </w:r>
      <w:r w:rsidR="00AE0EF9">
        <w:t xml:space="preserve"> le</w:t>
      </w:r>
      <w:r w:rsidR="004267F0">
        <w:t xml:space="preserve"> contenu des travaux préparatoires qui ont mené à la rédaction de l’article</w:t>
      </w:r>
      <w:r w:rsidR="00266B9D">
        <w:t> </w:t>
      </w:r>
      <w:r w:rsidR="004267F0">
        <w:t>23/1 du CNB et qui critiquaient le manque de précision de</w:t>
      </w:r>
      <w:r w:rsidR="2FD08B05">
        <w:t>s termes de</w:t>
      </w:r>
      <w:r w:rsidR="004267F0">
        <w:t xml:space="preserve"> </w:t>
      </w:r>
      <w:r w:rsidR="00046A5D">
        <w:t>l’article</w:t>
      </w:r>
      <w:r w:rsidR="00266B9D">
        <w:t> </w:t>
      </w:r>
      <w:r w:rsidR="00046A5D">
        <w:t>23 pour contester la prévisibilité de la déchéance</w:t>
      </w:r>
      <w:r w:rsidR="00046A5D">
        <w:rPr>
          <w:rStyle w:val="Appelnotedebasdep"/>
        </w:rPr>
        <w:footnoteReference w:id="37"/>
      </w:r>
      <w:r w:rsidR="00046A5D">
        <w:t>.</w:t>
      </w:r>
      <w:r w:rsidR="00981741">
        <w:t xml:space="preserve"> La Cour a</w:t>
      </w:r>
      <w:r w:rsidR="002600A7">
        <w:t>, au contraire,</w:t>
      </w:r>
      <w:r w:rsidR="00981741">
        <w:t xml:space="preserve"> estimé que les précisions données à l’occasion de l’arrêt </w:t>
      </w:r>
      <w:r w:rsidR="002600A7">
        <w:t xml:space="preserve">n° </w:t>
      </w:r>
      <w:r w:rsidR="00981741">
        <w:t xml:space="preserve">122/2015 de la Cour constitutionnelle, la motivation des arrêts rendus par la Cour d’appel et les jurisprudences antérieures </w:t>
      </w:r>
      <w:r w:rsidR="00BC52A9">
        <w:t>prononcées à l’occasion de procédures similaires</w:t>
      </w:r>
      <w:r w:rsidR="00BC52A9">
        <w:rPr>
          <w:rStyle w:val="Appelnotedebasdep"/>
        </w:rPr>
        <w:footnoteReference w:id="38"/>
      </w:r>
      <w:r w:rsidR="00BC52A9">
        <w:t xml:space="preserve">, satisfaisaient à l’exigence de prévisibilité. </w:t>
      </w:r>
      <w:r w:rsidR="5B8D1859">
        <w:t>La Cour</w:t>
      </w:r>
      <w:r w:rsidR="00614080">
        <w:t xml:space="preserve"> valide ensuite la défense de la sécurité nationale et la prévention d’infractions pénales </w:t>
      </w:r>
      <w:r w:rsidR="723E9BFD">
        <w:t>en tant qu</w:t>
      </w:r>
      <w:r w:rsidR="00614080">
        <w:t xml:space="preserve">e buts légitimes. </w:t>
      </w:r>
      <w:r w:rsidR="338C73B2">
        <w:t>Enfin, au sujet de</w:t>
      </w:r>
      <w:r w:rsidR="00614080">
        <w:t xml:space="preserve"> la nécessité dans une société démocratique, </w:t>
      </w:r>
      <w:r w:rsidR="00F9415B">
        <w:t xml:space="preserve">la Cour rappelle la large marge d’appréciation dont disposent les </w:t>
      </w:r>
      <w:r w:rsidR="00802304">
        <w:t>É</w:t>
      </w:r>
      <w:r w:rsidR="00F9415B">
        <w:t xml:space="preserve">tats en matière de perte et de déchéance de nationalité, surtout lorsqu’ils sont confrontés à une menace terroriste, que la Cour qualifie, en se référant à l’arrêt </w:t>
      </w:r>
      <w:proofErr w:type="spellStart"/>
      <w:r w:rsidR="00F9415B" w:rsidRPr="01BC324F">
        <w:rPr>
          <w:i/>
          <w:iCs/>
        </w:rPr>
        <w:t>Ghoumid</w:t>
      </w:r>
      <w:proofErr w:type="spellEnd"/>
      <w:r w:rsidR="00F9415B" w:rsidRPr="01BC324F">
        <w:rPr>
          <w:i/>
          <w:iCs/>
        </w:rPr>
        <w:t>,</w:t>
      </w:r>
      <w:r w:rsidR="00F9415B">
        <w:t xml:space="preserve"> de «</w:t>
      </w:r>
      <w:r w:rsidR="0042260D">
        <w:rPr>
          <w:rFonts w:ascii="Arial" w:hAnsi="Arial" w:cs="Arial"/>
        </w:rPr>
        <w:t> </w:t>
      </w:r>
      <w:r w:rsidR="00F9415B">
        <w:t>grave menace pour les droits de l’homme</w:t>
      </w:r>
      <w:r w:rsidR="0042260D">
        <w:rPr>
          <w:rFonts w:ascii="Arial" w:hAnsi="Arial" w:cs="Arial"/>
        </w:rPr>
        <w:t> </w:t>
      </w:r>
      <w:r w:rsidR="00F9415B">
        <w:t>»</w:t>
      </w:r>
      <w:r w:rsidR="00F9415B">
        <w:rPr>
          <w:rStyle w:val="Appelnotedebasdep"/>
        </w:rPr>
        <w:footnoteReference w:id="39"/>
      </w:r>
      <w:r w:rsidR="00F9415B">
        <w:t xml:space="preserve">. </w:t>
      </w:r>
      <w:r w:rsidR="00E11AAC">
        <w:t xml:space="preserve">En conclusion, la Cour déclare </w:t>
      </w:r>
      <w:r w:rsidR="002600A7">
        <w:t>l’ingérence justifiée</w:t>
      </w:r>
      <w:r w:rsidR="00E11AAC">
        <w:t>.</w:t>
      </w:r>
    </w:p>
    <w:p w14:paraId="394D1D98" w14:textId="1C5519EC" w:rsidR="008257CE" w:rsidRDefault="00CC7742" w:rsidP="31AE0488">
      <w:pPr>
        <w:jc w:val="both"/>
      </w:pPr>
      <w:r>
        <w:t xml:space="preserve">Dans les grandes lignes, l’arrêt </w:t>
      </w:r>
      <w:r w:rsidRPr="01BC324F">
        <w:rPr>
          <w:i/>
          <w:iCs/>
        </w:rPr>
        <w:t xml:space="preserve">El </w:t>
      </w:r>
      <w:proofErr w:type="spellStart"/>
      <w:r w:rsidRPr="01BC324F">
        <w:rPr>
          <w:i/>
          <w:iCs/>
        </w:rPr>
        <w:t>Aroud</w:t>
      </w:r>
      <w:proofErr w:type="spellEnd"/>
      <w:r w:rsidRPr="01BC324F">
        <w:rPr>
          <w:i/>
          <w:iCs/>
        </w:rPr>
        <w:t xml:space="preserve"> et </w:t>
      </w:r>
      <w:proofErr w:type="spellStart"/>
      <w:r w:rsidRPr="01BC324F">
        <w:rPr>
          <w:i/>
          <w:iCs/>
        </w:rPr>
        <w:t>Soughir</w:t>
      </w:r>
      <w:proofErr w:type="spellEnd"/>
      <w:r>
        <w:t xml:space="preserve"> confirme la jurisprudence </w:t>
      </w:r>
      <w:proofErr w:type="spellStart"/>
      <w:r w:rsidRPr="01BC324F">
        <w:rPr>
          <w:i/>
          <w:iCs/>
        </w:rPr>
        <w:t>Ghoumid</w:t>
      </w:r>
      <w:proofErr w:type="spellEnd"/>
      <w:r>
        <w:t xml:space="preserve"> </w:t>
      </w:r>
      <w:r w:rsidR="79A0E097">
        <w:t>sans grand étonnement</w:t>
      </w:r>
      <w:r>
        <w:t xml:space="preserve">. Toutefois, on peut relever quelques nouveautés dans le raisonnement de la Cour. Cette dernière approfondit timidement son raisonnement lors de l’analyse des conséquences de la mesure sur la capacité des intéressés à rester en Belgique et, par répercussion, sur leur vie familiale et privée. Ceci pourrait s’expliquer par le fait qu’aucune mesure d’éloignement n’avait été prise à l’égard des requérants de l’affaire </w:t>
      </w:r>
      <w:proofErr w:type="spellStart"/>
      <w:r w:rsidRPr="01BC324F">
        <w:rPr>
          <w:i/>
          <w:iCs/>
        </w:rPr>
        <w:t>Ghoumid</w:t>
      </w:r>
      <w:proofErr w:type="spellEnd"/>
      <w:r>
        <w:rPr>
          <w:rStyle w:val="Appelnotedebasdep"/>
        </w:rPr>
        <w:footnoteReference w:id="40"/>
      </w:r>
      <w:r>
        <w:t>, contrairement au cas d’espèce. En effet, dans le cas présent, la Cour avait été informée, et elle le relève d’ailleurs, que les requérants étaient bien sans titre de séjour</w:t>
      </w:r>
      <w:r>
        <w:rPr>
          <w:rStyle w:val="Appelnotedebasdep"/>
        </w:rPr>
        <w:footnoteReference w:id="41"/>
      </w:r>
      <w:r>
        <w:t xml:space="preserve"> et s’étaient vu délivrer un ordre de quitter le territoire et une interdiction d’entrée de 15</w:t>
      </w:r>
      <w:r w:rsidR="003141E1">
        <w:t> </w:t>
      </w:r>
      <w:r>
        <w:t>ans après avoir perdu leur nationalité</w:t>
      </w:r>
      <w:r>
        <w:rPr>
          <w:rStyle w:val="Appelnotedebasdep"/>
        </w:rPr>
        <w:footnoteReference w:id="42"/>
      </w:r>
      <w:r>
        <w:t>. Malheureusement, bien qu’elle s’y attarde à deux reprises, la Cour ne parvient pas à épuiser les inquiétudes que soulève le potentiel éloignement du territoire d’au moins un des requérants. À l’occasion de l’analyse, à l’aune de l’article</w:t>
      </w:r>
      <w:r w:rsidR="00266B9D">
        <w:t> </w:t>
      </w:r>
      <w:r>
        <w:t xml:space="preserve">8 de la CEDH, des conséquences de la déchéance de nationalité, elle semble </w:t>
      </w:r>
      <w:r w:rsidR="00B40B1B">
        <w:t>montrer</w:t>
      </w:r>
      <w:r w:rsidR="0B5E702F">
        <w:t xml:space="preserve"> une inquiétude</w:t>
      </w:r>
      <w:r>
        <w:t xml:space="preserve"> particulière à la présence des requérants sur le territoire («</w:t>
      </w:r>
      <w:r w:rsidR="0042260D">
        <w:rPr>
          <w:rFonts w:ascii="Arial" w:hAnsi="Arial" w:cs="Arial"/>
        </w:rPr>
        <w:t> </w:t>
      </w:r>
      <w:r>
        <w:t>la capacité des intéressés à rester en Belgique s’est retrouvée en l’espèce fragilisée par la déchéance de leur nationalité belge</w:t>
      </w:r>
      <w:r w:rsidR="0042260D">
        <w:rPr>
          <w:rFonts w:ascii="Arial" w:hAnsi="Arial" w:cs="Arial"/>
        </w:rPr>
        <w:t> </w:t>
      </w:r>
      <w:r>
        <w:t>»)</w:t>
      </w:r>
      <w:r w:rsidR="56041735">
        <w:t xml:space="preserve">, </w:t>
      </w:r>
      <w:r w:rsidR="14CBE24D">
        <w:t xml:space="preserve">inquiétude </w:t>
      </w:r>
      <w:r w:rsidR="56041735">
        <w:t xml:space="preserve">qu’elle ne concrétise pourtant </w:t>
      </w:r>
      <w:r w:rsidR="00B40B1B">
        <w:t>jamais</w:t>
      </w:r>
      <w:r>
        <w:t xml:space="preserve">. Dans la lignée de la jurisprudence </w:t>
      </w:r>
      <w:proofErr w:type="spellStart"/>
      <w:r w:rsidRPr="01BC324F">
        <w:rPr>
          <w:i/>
          <w:iCs/>
        </w:rPr>
        <w:t>Ghoumid</w:t>
      </w:r>
      <w:proofErr w:type="spellEnd"/>
      <w:r>
        <w:t>, la Cour rappelle l’</w:t>
      </w:r>
      <w:r w:rsidRPr="00314BFE">
        <w:t>absence</w:t>
      </w:r>
      <w:r>
        <w:t xml:space="preserve">, </w:t>
      </w:r>
      <w:r w:rsidRPr="007B3AA3">
        <w:t>en théorie</w:t>
      </w:r>
      <w:r>
        <w:t xml:space="preserve">, de lien de causalité entre la perte de nationalité, le droit de séjour et l’éloignement du territoire. </w:t>
      </w:r>
      <w:r w:rsidR="3BEC01C6">
        <w:t>En l</w:t>
      </w:r>
      <w:r w:rsidR="00C13EE4">
        <w:t>’</w:t>
      </w:r>
      <w:r w:rsidR="3BEC01C6">
        <w:t>espèce, a</w:t>
      </w:r>
      <w:r>
        <w:t xml:space="preserve">u vu du fait que les autorités </w:t>
      </w:r>
      <w:r w:rsidR="5C8DF707">
        <w:t xml:space="preserve">belges </w:t>
      </w:r>
      <w:r>
        <w:t>avaient effectivement délivré des ordres de quitter le territoire, le risque d’éloignement du territoire n’était pas purement théorique</w:t>
      </w:r>
      <w:r w:rsidR="00B40B1B">
        <w:rPr>
          <w:rStyle w:val="Appelnotedebasdep"/>
        </w:rPr>
        <w:footnoteReference w:id="43"/>
      </w:r>
      <w:r>
        <w:t>. D’autant qu’il est de notoriété publique qu’au moins l’un des requérants faisait l’objet de tentatives d’expulsion</w:t>
      </w:r>
      <w:r>
        <w:rPr>
          <w:rStyle w:val="Appelnotedebasdep"/>
        </w:rPr>
        <w:footnoteReference w:id="44"/>
      </w:r>
      <w:r w:rsidR="580129F5">
        <w:t xml:space="preserve"> et</w:t>
      </w:r>
      <w:r w:rsidR="7BC1AE74">
        <w:t xml:space="preserve"> que la Cour ne semble pas tout à fait ignorer</w:t>
      </w:r>
      <w:r w:rsidR="6C27C524">
        <w:t xml:space="preserve"> cet élément</w:t>
      </w:r>
      <w:r w:rsidR="7BC1AE74">
        <w:t xml:space="preserve"> puisqu‘elle </w:t>
      </w:r>
      <w:r w:rsidR="3180CBF3">
        <w:t>en fait mention</w:t>
      </w:r>
      <w:r w:rsidR="7BC1AE74">
        <w:t xml:space="preserve"> de manière incidente</w:t>
      </w:r>
      <w:r w:rsidRPr="31AE0488">
        <w:rPr>
          <w:rStyle w:val="Appelnotedebasdep"/>
        </w:rPr>
        <w:footnoteReference w:id="45"/>
      </w:r>
      <w:r w:rsidR="7BC1AE74">
        <w:t>.</w:t>
      </w:r>
      <w:r>
        <w:t xml:space="preserve"> On pouvait dès lors s’attendre à ce qu</w:t>
      </w:r>
      <w:r w:rsidR="0BC70ABA">
        <w:t>’elle</w:t>
      </w:r>
      <w:r>
        <w:t xml:space="preserve"> poursuive son analyse en se penchant sur les éléments particuliers </w:t>
      </w:r>
      <w:r w:rsidR="7D404FB7">
        <w:t>de l’affaire</w:t>
      </w:r>
      <w:r>
        <w:t xml:space="preserve"> </w:t>
      </w:r>
      <w:r w:rsidR="78ECF851">
        <w:t>mais</w:t>
      </w:r>
      <w:r>
        <w:t xml:space="preserve"> la Cour botte en touche dans une sorte d’argument du chaudron</w:t>
      </w:r>
      <w:r>
        <w:rPr>
          <w:rStyle w:val="Appelnotedebasdep"/>
        </w:rPr>
        <w:footnoteReference w:id="46"/>
      </w:r>
      <w:r>
        <w:t xml:space="preserve">. D’abord, elle se retranche derrière le manque d’information </w:t>
      </w:r>
      <w:r w:rsidR="0DFAA89C">
        <w:t>concernant</w:t>
      </w:r>
      <w:r>
        <w:t xml:space="preserve"> l’exécution de l’éloignement pour, ensuite écarter le sujet «</w:t>
      </w:r>
      <w:r w:rsidR="0042260D">
        <w:rPr>
          <w:rFonts w:ascii="Arial" w:hAnsi="Arial" w:cs="Arial"/>
        </w:rPr>
        <w:t> </w:t>
      </w:r>
      <w:r>
        <w:t>d’une éventuelle exécution de l’ordre en question, ce point ne relevant pas, en tout état de cause, de l’objet de l’affaire portée devant elle</w:t>
      </w:r>
      <w:r w:rsidR="0042260D">
        <w:rPr>
          <w:rFonts w:ascii="Arial" w:hAnsi="Arial" w:cs="Arial"/>
        </w:rPr>
        <w:t> </w:t>
      </w:r>
      <w:r>
        <w:t>»</w:t>
      </w:r>
      <w:r w:rsidRPr="31AE0488">
        <w:rPr>
          <w:rStyle w:val="Appelnotedebasdep"/>
        </w:rPr>
        <w:footnoteReference w:id="47"/>
      </w:r>
      <w:r>
        <w:t xml:space="preserve">. On sent la Cour malaisée et il y a là la sensation d’un double discours de la part de la juridiction qui semble à la fois rejeter les mesures d’éloignement </w:t>
      </w:r>
      <w:r w:rsidR="7714BBFD">
        <w:t>hors</w:t>
      </w:r>
      <w:r>
        <w:t xml:space="preserve"> du contentieux qui lui est soumis, tout en intégrant partiellement leur prise en considération dans son raisonnement. </w:t>
      </w:r>
      <w:r w:rsidR="6C5848D5">
        <w:t>Plus loin</w:t>
      </w:r>
      <w:r>
        <w:t>, la Cour revient sur la question de l’éloignement du territoire alors qu’elle examine le caractère arbitraire de la déchéance pour conclure que rien n’indique que les requérants ont manqué de garanties tout au long de la procédure et, notamment, pour contester les ordres de quitter le territoire</w:t>
      </w:r>
      <w:r>
        <w:rPr>
          <w:rStyle w:val="Appelnotedebasdep"/>
        </w:rPr>
        <w:footnoteReference w:id="48"/>
      </w:r>
      <w:r>
        <w:t xml:space="preserve">. </w:t>
      </w:r>
      <w:r w:rsidR="5DD843EA">
        <w:t xml:space="preserve">Peut-être ce raisonnement singulier s‘explique-t-il </w:t>
      </w:r>
      <w:r w:rsidR="07DBB3FC">
        <w:t xml:space="preserve">tout simplement </w:t>
      </w:r>
      <w:r w:rsidR="5DD843EA">
        <w:t xml:space="preserve">par les faits </w:t>
      </w:r>
      <w:r w:rsidR="32C9684F">
        <w:t>propres au</w:t>
      </w:r>
      <w:r w:rsidR="5DD843EA">
        <w:t xml:space="preserve"> dossier ou par la limite du contentieux porté devant elle. </w:t>
      </w:r>
      <w:r w:rsidRPr="00B7383E">
        <w:t>On peut</w:t>
      </w:r>
      <w:r w:rsidR="0AF6F158" w:rsidRPr="00B7383E">
        <w:t xml:space="preserve"> également</w:t>
      </w:r>
      <w:r w:rsidRPr="00B7383E">
        <w:t xml:space="preserve"> se demander si la Cour pose ici les bases, de manière </w:t>
      </w:r>
      <w:r>
        <w:t>incrémentale</w:t>
      </w:r>
      <w:r w:rsidRPr="00B7383E">
        <w:t xml:space="preserve">, d’une analyse plus </w:t>
      </w:r>
      <w:r w:rsidR="2886B992">
        <w:t>poussée des conséquences</w:t>
      </w:r>
      <w:r w:rsidRPr="00B7383E">
        <w:t xml:space="preserve"> de la déchéance de nationalité, incluant l’éloignement du territoire qui serait ensuite mis en œuvre par les autorités.</w:t>
      </w:r>
    </w:p>
    <w:p w14:paraId="487DC08A" w14:textId="2962EE0E" w:rsidR="0087349F" w:rsidRDefault="000E1903" w:rsidP="00BE6826">
      <w:pPr>
        <w:jc w:val="both"/>
      </w:pPr>
      <w:r w:rsidRPr="00BC6F0C">
        <w:rPr>
          <w:b/>
          <w:bCs/>
        </w:rPr>
        <w:t>Quant à l’applicabilité de l’article</w:t>
      </w:r>
      <w:r w:rsidR="00266B9D" w:rsidRPr="00BC6F0C">
        <w:rPr>
          <w:b/>
          <w:bCs/>
        </w:rPr>
        <w:t> </w:t>
      </w:r>
      <w:r w:rsidRPr="00BC6F0C">
        <w:rPr>
          <w:b/>
          <w:bCs/>
        </w:rPr>
        <w:t xml:space="preserve">2, du Protocole </w:t>
      </w:r>
      <w:r w:rsidR="5B63FFEC" w:rsidRPr="00BC6F0C">
        <w:rPr>
          <w:b/>
          <w:bCs/>
        </w:rPr>
        <w:t xml:space="preserve">additionnel </w:t>
      </w:r>
      <w:r w:rsidRPr="00BC6F0C">
        <w:rPr>
          <w:b/>
          <w:bCs/>
        </w:rPr>
        <w:t>n°</w:t>
      </w:r>
      <w:r w:rsidR="00266B9D" w:rsidRPr="00BC6F0C">
        <w:rPr>
          <w:b/>
          <w:bCs/>
        </w:rPr>
        <w:t> </w:t>
      </w:r>
      <w:r w:rsidRPr="00BC6F0C">
        <w:rPr>
          <w:b/>
          <w:bCs/>
        </w:rPr>
        <w:t>7</w:t>
      </w:r>
      <w:r w:rsidR="2DB8DC85" w:rsidRPr="00BC6F0C">
        <w:rPr>
          <w:b/>
          <w:bCs/>
        </w:rPr>
        <w:t xml:space="preserve"> à la CEDH</w:t>
      </w:r>
      <w:r w:rsidRPr="00823F45">
        <w:t>, la Cour écarte l’argument des requérant</w:t>
      </w:r>
      <w:r w:rsidR="00130069">
        <w:t>s</w:t>
      </w:r>
      <w:r w:rsidR="004A2E2E">
        <w:t>.</w:t>
      </w:r>
      <w:r w:rsidR="00130069">
        <w:t xml:space="preserve"> La Cour</w:t>
      </w:r>
      <w:r w:rsidR="00130069" w:rsidRPr="00130069">
        <w:t xml:space="preserve"> justifie sa décision en rappelant que le droit à un double degré de juridiction ne s</w:t>
      </w:r>
      <w:r w:rsidR="003141E1">
        <w:t>’</w:t>
      </w:r>
      <w:r w:rsidR="00130069" w:rsidRPr="00130069">
        <w:t>applique qu</w:t>
      </w:r>
      <w:r w:rsidR="003141E1">
        <w:t>’</w:t>
      </w:r>
      <w:r w:rsidR="00130069" w:rsidRPr="00130069">
        <w:t xml:space="preserve">aux </w:t>
      </w:r>
      <w:r w:rsidR="003141E1">
        <w:t>«</w:t>
      </w:r>
      <w:r w:rsidR="003141E1">
        <w:rPr>
          <w:rFonts w:ascii="Arial" w:hAnsi="Arial" w:cs="Arial"/>
        </w:rPr>
        <w:t> </w:t>
      </w:r>
      <w:r w:rsidR="00130069" w:rsidRPr="00130069">
        <w:t>infractions pénales</w:t>
      </w:r>
      <w:r w:rsidR="003141E1">
        <w:rPr>
          <w:rFonts w:ascii="Arial" w:hAnsi="Arial" w:cs="Arial"/>
        </w:rPr>
        <w:t> </w:t>
      </w:r>
      <w:r w:rsidR="003141E1">
        <w:t>»</w:t>
      </w:r>
      <w:r w:rsidR="00130069" w:rsidRPr="00130069">
        <w:t xml:space="preserve">, </w:t>
      </w:r>
      <w:r w:rsidR="00130069">
        <w:t xml:space="preserve">dont la définition correspond à celle </w:t>
      </w:r>
      <w:proofErr w:type="gramStart"/>
      <w:r w:rsidR="00130069">
        <w:t xml:space="preserve">d’ </w:t>
      </w:r>
      <w:r w:rsidR="057C3345">
        <w:t>“</w:t>
      </w:r>
      <w:proofErr w:type="gramEnd"/>
      <w:r w:rsidR="057C3345">
        <w:t>accusation en matière pénale”</w:t>
      </w:r>
      <w:r w:rsidR="00130069">
        <w:t xml:space="preserve"> au sens de</w:t>
      </w:r>
      <w:r w:rsidR="00130069" w:rsidRPr="00130069">
        <w:t xml:space="preserve"> l</w:t>
      </w:r>
      <w:r w:rsidR="003141E1">
        <w:t>’</w:t>
      </w:r>
      <w:r w:rsidR="00130069" w:rsidRPr="00130069">
        <w:t>article</w:t>
      </w:r>
      <w:r w:rsidR="00266B9D">
        <w:t> </w:t>
      </w:r>
      <w:r w:rsidR="00130069" w:rsidRPr="00130069">
        <w:t>6</w:t>
      </w:r>
      <w:r w:rsidR="4D70F188" w:rsidRPr="00130069">
        <w:t>.1 de la</w:t>
      </w:r>
      <w:r w:rsidR="00130069" w:rsidRPr="00130069">
        <w:t xml:space="preserve"> </w:t>
      </w:r>
      <w:r w:rsidR="00130069">
        <w:t>CEDH</w:t>
      </w:r>
      <w:r w:rsidR="00130069" w:rsidRPr="00130069">
        <w:t xml:space="preserve">. </w:t>
      </w:r>
      <w:r w:rsidR="00B17676">
        <w:t xml:space="preserve">Depuis la jurisprudence </w:t>
      </w:r>
      <w:r w:rsidR="00B17676" w:rsidRPr="01BC324F">
        <w:rPr>
          <w:i/>
          <w:iCs/>
        </w:rPr>
        <w:t>Engel</w:t>
      </w:r>
      <w:r w:rsidR="00B17676">
        <w:rPr>
          <w:rStyle w:val="Appelnotedebasdep"/>
        </w:rPr>
        <w:footnoteReference w:id="49"/>
      </w:r>
      <w:r w:rsidR="00B17676" w:rsidRPr="00B17676">
        <w:t xml:space="preserve">, la Cour a établi trois critères pour qualifier une mesure </w:t>
      </w:r>
      <w:proofErr w:type="gramStart"/>
      <w:r w:rsidR="00B17676" w:rsidRPr="00B17676">
        <w:t>d</w:t>
      </w:r>
      <w:r w:rsidR="003141E1">
        <w:t xml:space="preserve">’ </w:t>
      </w:r>
      <w:r w:rsidR="56E47D6A">
        <w:t>“</w:t>
      </w:r>
      <w:proofErr w:type="gramEnd"/>
      <w:r w:rsidR="56E47D6A">
        <w:t>accusation en matière pénale”</w:t>
      </w:r>
      <w:r w:rsidR="00B17676">
        <w:t>.</w:t>
      </w:r>
      <w:r w:rsidR="00B17676" w:rsidRPr="00B17676">
        <w:t xml:space="preserve"> </w:t>
      </w:r>
      <w:r w:rsidR="00B17676">
        <w:t>L</w:t>
      </w:r>
      <w:r w:rsidR="00B17676" w:rsidRPr="00B17676">
        <w:t>e premier</w:t>
      </w:r>
      <w:r w:rsidR="00B17676">
        <w:t xml:space="preserve"> critère</w:t>
      </w:r>
      <w:r w:rsidR="00B17676" w:rsidRPr="00B17676">
        <w:t xml:space="preserve"> est la qualification de la mesure en droit interne, le deuxième est la nature de la mesure et le troisième est la nature et le degré de sévérité de la sanction. Ces deux derniers critères sont alternatifs (sauf si </w:t>
      </w:r>
      <w:r w:rsidR="003141E1">
        <w:t>«</w:t>
      </w:r>
      <w:r w:rsidR="003141E1">
        <w:rPr>
          <w:rFonts w:ascii="Arial" w:hAnsi="Arial" w:cs="Arial"/>
        </w:rPr>
        <w:t> </w:t>
      </w:r>
      <w:r w:rsidR="00B17676" w:rsidRPr="00B17676">
        <w:t>l</w:t>
      </w:r>
      <w:r w:rsidR="003141E1">
        <w:t>’</w:t>
      </w:r>
      <w:r w:rsidR="00B17676" w:rsidRPr="00B17676">
        <w:t>analyse séparée de chaque critère ne permet pas d</w:t>
      </w:r>
      <w:r w:rsidR="003141E1">
        <w:t>’</w:t>
      </w:r>
      <w:r w:rsidR="00B17676" w:rsidRPr="00B17676">
        <w:t>aboutir à une conclusion claire quant à l</w:t>
      </w:r>
      <w:r w:rsidR="003141E1">
        <w:t>’</w:t>
      </w:r>
      <w:r w:rsidR="00B17676" w:rsidRPr="00B17676">
        <w:t>existence d</w:t>
      </w:r>
      <w:r w:rsidR="003141E1">
        <w:t>’</w:t>
      </w:r>
      <w:r w:rsidR="00B17676" w:rsidRPr="00B17676">
        <w:t xml:space="preserve">une </w:t>
      </w:r>
      <w:r w:rsidR="003141E1">
        <w:t>“</w:t>
      </w:r>
      <w:r w:rsidR="00B17676" w:rsidRPr="00B17676">
        <w:t>accusation en matière pénale</w:t>
      </w:r>
      <w:r w:rsidR="003141E1">
        <w:t>”</w:t>
      </w:r>
      <w:r w:rsidR="003141E1">
        <w:rPr>
          <w:rFonts w:ascii="Arial" w:hAnsi="Arial" w:cs="Arial"/>
        </w:rPr>
        <w:t> </w:t>
      </w:r>
      <w:r w:rsidR="003141E1">
        <w:t>»</w:t>
      </w:r>
      <w:r w:rsidR="3AE0C1D8">
        <w:t>)</w:t>
      </w:r>
      <w:r w:rsidR="00B17676" w:rsidRPr="00B17676">
        <w:t>.</w:t>
      </w:r>
      <w:r w:rsidR="003141E1">
        <w:t xml:space="preserve"> </w:t>
      </w:r>
      <w:r w:rsidR="00CC7742">
        <w:t>La</w:t>
      </w:r>
      <w:r w:rsidR="00130069" w:rsidRPr="00130069">
        <w:t xml:space="preserve"> Cour </w:t>
      </w:r>
      <w:r w:rsidR="00CC7742">
        <w:t xml:space="preserve">se borne </w:t>
      </w:r>
      <w:r w:rsidR="00787D82">
        <w:t>à se référer à</w:t>
      </w:r>
      <w:r w:rsidR="00130069" w:rsidRPr="00130069">
        <w:t xml:space="preserve"> </w:t>
      </w:r>
      <w:r w:rsidR="00787D82">
        <w:t xml:space="preserve">sa jurisprudence </w:t>
      </w:r>
      <w:r w:rsidR="00130069" w:rsidRPr="00130069">
        <w:t>antérieure</w:t>
      </w:r>
      <w:r w:rsidR="00130069">
        <w:rPr>
          <w:rStyle w:val="Appelnotedebasdep"/>
        </w:rPr>
        <w:footnoteReference w:id="50"/>
      </w:r>
      <w:r w:rsidR="00787D82">
        <w:t xml:space="preserve">, en rappelant </w:t>
      </w:r>
      <w:r w:rsidR="00130069" w:rsidRPr="00130069">
        <w:t>que la déchéance de nationalité n</w:t>
      </w:r>
      <w:r w:rsidR="003141E1">
        <w:t>’</w:t>
      </w:r>
      <w:r w:rsidR="00130069" w:rsidRPr="00130069">
        <w:t xml:space="preserve">est pas considérée comme une </w:t>
      </w:r>
      <w:r w:rsidR="00130069">
        <w:t xml:space="preserve">accusation en matière pénale </w:t>
      </w:r>
      <w:r w:rsidR="001028D9">
        <w:t xml:space="preserve">(ni, une </w:t>
      </w:r>
      <w:r w:rsidR="003141E1">
        <w:t>«</w:t>
      </w:r>
      <w:r w:rsidR="003141E1">
        <w:rPr>
          <w:rFonts w:ascii="Arial" w:hAnsi="Arial" w:cs="Arial"/>
        </w:rPr>
        <w:t> </w:t>
      </w:r>
      <w:r w:rsidR="001028D9">
        <w:t>punition pénale</w:t>
      </w:r>
      <w:r w:rsidR="003141E1">
        <w:rPr>
          <w:rFonts w:ascii="Arial" w:hAnsi="Arial" w:cs="Arial"/>
        </w:rPr>
        <w:t> </w:t>
      </w:r>
      <w:r w:rsidR="003141E1">
        <w:t>»</w:t>
      </w:r>
      <w:r w:rsidR="001028D9">
        <w:rPr>
          <w:rStyle w:val="Appelnotedebasdep"/>
        </w:rPr>
        <w:footnoteReference w:id="51"/>
      </w:r>
      <w:r w:rsidR="001028D9">
        <w:t xml:space="preserve">) </w:t>
      </w:r>
      <w:r w:rsidR="00130069">
        <w:t>et,</w:t>
      </w:r>
      <w:r w:rsidR="00130069" w:rsidRPr="00130069">
        <w:t xml:space="preserve"> </w:t>
      </w:r>
      <w:r w:rsidR="6C86435B" w:rsidRPr="00130069">
        <w:t>corrélativement</w:t>
      </w:r>
      <w:r w:rsidR="00130069" w:rsidRPr="00130069">
        <w:t xml:space="preserve">, </w:t>
      </w:r>
      <w:r w:rsidR="00130069">
        <w:t xml:space="preserve">comme une infraction pénale qui bénéficierait du double degré de juridiction. </w:t>
      </w:r>
      <w:r w:rsidR="00B12C8B">
        <w:t>C</w:t>
      </w:r>
      <w:r w:rsidR="004A2E2E">
        <w:t xml:space="preserve">e faisant la Cour </w:t>
      </w:r>
      <w:r w:rsidR="00614080">
        <w:t>entérine</w:t>
      </w:r>
      <w:r w:rsidR="00130069">
        <w:t xml:space="preserve"> l’interprétation adoptée par</w:t>
      </w:r>
      <w:r w:rsidR="004A2E2E">
        <w:t xml:space="preserve"> les hautes juridictions belges.</w:t>
      </w:r>
      <w:r w:rsidR="00787D82">
        <w:t xml:space="preserve"> </w:t>
      </w:r>
    </w:p>
    <w:p w14:paraId="78ED498D" w14:textId="6C0B7042" w:rsidR="00823F45" w:rsidRPr="00E1011B" w:rsidRDefault="0087349F" w:rsidP="00E1011B">
      <w:pPr>
        <w:jc w:val="both"/>
      </w:pPr>
      <w:r>
        <w:t xml:space="preserve">On </w:t>
      </w:r>
      <w:r w:rsidR="4B56A323">
        <w:t xml:space="preserve">peut </w:t>
      </w:r>
      <w:r>
        <w:t>regrette</w:t>
      </w:r>
      <w:r w:rsidR="2F28C144">
        <w:t>r</w:t>
      </w:r>
      <w:r w:rsidR="00787D82">
        <w:t xml:space="preserve"> qu</w:t>
      </w:r>
      <w:r w:rsidR="7E67D467">
        <w:t>’à l’instar des juridictions belges,</w:t>
      </w:r>
      <w:r w:rsidR="00787D82">
        <w:t xml:space="preserve"> la Cour </w:t>
      </w:r>
      <w:r w:rsidR="5159DB93">
        <w:t>fasse l'économie de</w:t>
      </w:r>
      <w:r w:rsidR="00787D82">
        <w:t xml:space="preserve"> l’analyse </w:t>
      </w:r>
      <w:r w:rsidR="00F62D98">
        <w:t xml:space="preserve">concrète </w:t>
      </w:r>
      <w:r w:rsidR="00787D82">
        <w:t>de l’article</w:t>
      </w:r>
      <w:r w:rsidR="00266B9D">
        <w:t> </w:t>
      </w:r>
      <w:r w:rsidR="00787D82">
        <w:t xml:space="preserve">23 du CNB alors qu’elle </w:t>
      </w:r>
      <w:r w:rsidR="00000872">
        <w:t>examinait pour la première fois la mesure belge</w:t>
      </w:r>
      <w:r w:rsidR="0011247E">
        <w:rPr>
          <w:rStyle w:val="Appelnotedebasdep"/>
        </w:rPr>
        <w:footnoteReference w:id="52"/>
      </w:r>
      <w:r w:rsidR="43C3F0BE">
        <w:t xml:space="preserve">. </w:t>
      </w:r>
      <w:r w:rsidR="00787D82">
        <w:t>En effet, on aurait souhaité qu’elle</w:t>
      </w:r>
      <w:r w:rsidR="00B072CF">
        <w:t xml:space="preserve"> opère un syllogisme en appliquant les critères développés dans sa jurisprudence</w:t>
      </w:r>
      <w:r w:rsidR="00B072CF" w:rsidRPr="01BC324F">
        <w:rPr>
          <w:i/>
          <w:iCs/>
        </w:rPr>
        <w:t xml:space="preserve"> </w:t>
      </w:r>
      <w:r w:rsidR="32A90021" w:rsidRPr="01BC324F">
        <w:rPr>
          <w:i/>
          <w:iCs/>
        </w:rPr>
        <w:t>Engel</w:t>
      </w:r>
      <w:r w:rsidR="32A90021">
        <w:t xml:space="preserve"> </w:t>
      </w:r>
      <w:r w:rsidR="00B072CF">
        <w:t>à la disposition en cause</w:t>
      </w:r>
      <w:r w:rsidR="6275F6F0">
        <w:t>. C</w:t>
      </w:r>
      <w:r w:rsidR="7DD52BF6">
        <w:t>es critères invitent</w:t>
      </w:r>
      <w:r w:rsidR="00823D7E">
        <w:t xml:space="preserve"> </w:t>
      </w:r>
      <w:r w:rsidR="03A1AFFA">
        <w:t xml:space="preserve">précisément </w:t>
      </w:r>
      <w:r w:rsidR="00823D7E">
        <w:t xml:space="preserve">à prendre en compte des éléments propres à chaque disposition comme </w:t>
      </w:r>
      <w:r w:rsidR="0E94CEC8">
        <w:t>l</w:t>
      </w:r>
      <w:r w:rsidR="00823D7E">
        <w:t>a qualification en droit interne. Se reposer</w:t>
      </w:r>
      <w:r w:rsidR="29F399C5">
        <w:t xml:space="preserve"> comme le fait la Cour</w:t>
      </w:r>
      <w:r w:rsidR="00F62D98">
        <w:t xml:space="preserve"> </w:t>
      </w:r>
      <w:r w:rsidR="15D5011E">
        <w:t>soit sur</w:t>
      </w:r>
      <w:r w:rsidR="50755A93">
        <w:t xml:space="preserve"> la jurisprudence belge, elle-même laconique sur les motifs qui la poussent à la qualifier la mesure de pénale</w:t>
      </w:r>
      <w:r w:rsidRPr="01BC324F">
        <w:rPr>
          <w:rStyle w:val="Appelnotedebasdep"/>
        </w:rPr>
        <w:footnoteReference w:id="53"/>
      </w:r>
      <w:r w:rsidR="1BE0202E">
        <w:t>,</w:t>
      </w:r>
      <w:r w:rsidR="50755A93">
        <w:t xml:space="preserve"> </w:t>
      </w:r>
      <w:r w:rsidR="52E8C77F">
        <w:t>soit sur</w:t>
      </w:r>
      <w:r w:rsidR="00823D7E">
        <w:t xml:space="preserve"> l</w:t>
      </w:r>
      <w:r w:rsidR="04282639">
        <w:t>'argumentaire</w:t>
      </w:r>
      <w:r w:rsidR="00823D7E">
        <w:t xml:space="preserve"> </w:t>
      </w:r>
      <w:r w:rsidR="6843AE3D">
        <w:t xml:space="preserve">qui est </w:t>
      </w:r>
      <w:r w:rsidR="00823D7E">
        <w:t xml:space="preserve">développé </w:t>
      </w:r>
      <w:r w:rsidR="2A7B0796">
        <w:t xml:space="preserve">par la Cour </w:t>
      </w:r>
      <w:r w:rsidR="00823D7E">
        <w:t xml:space="preserve">à l’égard de dispositions adoptées par d’autres </w:t>
      </w:r>
      <w:r w:rsidR="00802304">
        <w:t>É</w:t>
      </w:r>
      <w:r w:rsidR="00823D7E">
        <w:t>tats membres</w:t>
      </w:r>
      <w:r w:rsidR="48A66C76">
        <w:t>,</w:t>
      </w:r>
      <w:r w:rsidR="00823D7E">
        <w:t xml:space="preserve"> </w:t>
      </w:r>
      <w:r w:rsidR="00105F0D">
        <w:t xml:space="preserve">est </w:t>
      </w:r>
      <w:r w:rsidR="00F62D98">
        <w:t xml:space="preserve">donc </w:t>
      </w:r>
      <w:r w:rsidR="00105F0D">
        <w:t>peu pertinent.</w:t>
      </w:r>
      <w:r w:rsidR="6FDAA29E">
        <w:t xml:space="preserve"> </w:t>
      </w:r>
      <w:r w:rsidR="28E41643" w:rsidRPr="01BC324F">
        <w:rPr>
          <w:rFonts w:eastAsiaTheme="minorEastAsia"/>
        </w:rPr>
        <w:t>Faut-il en conclure que la Cour a définitivement rangé toutes les mesures de déchéance de nationalité, passées et à venir, parmi les mesures de nature civile</w:t>
      </w:r>
      <w:r w:rsidR="28E41643" w:rsidRPr="01BC324F">
        <w:rPr>
          <w:rFonts w:ascii="Arial" w:hAnsi="Arial" w:cs="Arial"/>
        </w:rPr>
        <w:t> </w:t>
      </w:r>
      <w:r w:rsidR="28E41643">
        <w:t xml:space="preserve">? </w:t>
      </w:r>
      <w:r w:rsidR="620F3C40" w:rsidRPr="01BC324F">
        <w:rPr>
          <w:rFonts w:ascii="Aptos" w:eastAsia="Aptos" w:hAnsi="Aptos" w:cs="Aptos"/>
        </w:rPr>
        <w:t>Si l’on procède soi-même à la qualification dans le cadre d’un exercice intellectuel, il est difficile de prédire si la Cour serait parvenue à la même conclusion. Reste qu’au-delà du résultat, plusieurs éléments</w:t>
      </w:r>
      <w:r w:rsidR="00930512">
        <w:rPr>
          <w:rFonts w:ascii="Aptos" w:eastAsia="Aptos" w:hAnsi="Aptos" w:cs="Aptos"/>
        </w:rPr>
        <w:t xml:space="preserve"> </w:t>
      </w:r>
      <w:r w:rsidR="620F3C40" w:rsidRPr="01BC324F">
        <w:rPr>
          <w:rFonts w:ascii="Aptos" w:eastAsia="Aptos" w:hAnsi="Aptos" w:cs="Aptos"/>
        </w:rPr>
        <w:t>méritaient, à notre avis, un débat, et nous aurions souhaité connaître la position de la Cour à ce sujet</w:t>
      </w:r>
      <w:r w:rsidR="7513E857">
        <w:t xml:space="preserve">. </w:t>
      </w:r>
      <w:r w:rsidR="0023133E" w:rsidRPr="003630C1">
        <w:rPr>
          <w:rFonts w:eastAsiaTheme="minorEastAsia"/>
        </w:rPr>
        <w:t>Premièrement, la question de la qualification de la mesure en droit interne, notamment en ce qui concerne la procédure belge de déchéance, mérite une attention particulière, car elle diffère de celle appliquée en droit français. En droit belge, cette procédure figure dans le CNB</w:t>
      </w:r>
      <w:r w:rsidR="003630C1" w:rsidRPr="003630C1">
        <w:rPr>
          <w:rFonts w:eastAsiaTheme="minorEastAsia"/>
        </w:rPr>
        <w:t xml:space="preserve">, ce qui est plus équivoque en matière de qualification, </w:t>
      </w:r>
      <w:r w:rsidR="0023133E" w:rsidRPr="003630C1">
        <w:rPr>
          <w:rFonts w:eastAsiaTheme="minorEastAsia"/>
        </w:rPr>
        <w:t>tandis qu'en droit français, elle relève du Code civil.</w:t>
      </w:r>
      <w:r w:rsidR="0023133E">
        <w:rPr>
          <w:rFonts w:eastAsiaTheme="minorEastAsia"/>
        </w:rPr>
        <w:t xml:space="preserve"> </w:t>
      </w:r>
      <w:r w:rsidR="00000872">
        <w:rPr>
          <w:rFonts w:eastAsiaTheme="minorEastAsia"/>
        </w:rPr>
        <w:t>Deuxièmement</w:t>
      </w:r>
      <w:r w:rsidR="1234A950" w:rsidRPr="01BC324F">
        <w:rPr>
          <w:rFonts w:eastAsiaTheme="minorEastAsia"/>
        </w:rPr>
        <w:t>,</w:t>
      </w:r>
      <w:r w:rsidR="7DF742AA" w:rsidRPr="01BC324F">
        <w:rPr>
          <w:rFonts w:eastAsiaTheme="minorEastAsia"/>
        </w:rPr>
        <w:t xml:space="preserve"> au sujet de</w:t>
      </w:r>
      <w:r w:rsidR="4E2AA8E0" w:rsidRPr="01BC324F">
        <w:rPr>
          <w:rFonts w:eastAsiaTheme="minorEastAsia"/>
        </w:rPr>
        <w:t xml:space="preserve"> la nature de la mesure</w:t>
      </w:r>
      <w:r w:rsidR="75BA2AAF" w:rsidRPr="01BC324F">
        <w:rPr>
          <w:rFonts w:eastAsiaTheme="minorEastAsia"/>
        </w:rPr>
        <w:t>,</w:t>
      </w:r>
      <w:r w:rsidR="18B5031A">
        <w:t xml:space="preserve"> le pourvoi en cassation dans le cadre de cette procédure</w:t>
      </w:r>
      <w:r w:rsidR="2698AE11">
        <w:t xml:space="preserve"> « est formé et jugé comme il est prescrit pour les pourvois en matière criminelle</w:t>
      </w:r>
      <w:r w:rsidR="2698AE11" w:rsidRPr="01BC324F">
        <w:rPr>
          <w:rFonts w:ascii="Arial" w:hAnsi="Arial" w:cs="Arial"/>
        </w:rPr>
        <w:t> </w:t>
      </w:r>
      <w:r w:rsidR="2698AE11">
        <w:t>» (article 23, §</w:t>
      </w:r>
      <w:r w:rsidR="00045483">
        <w:t xml:space="preserve"> </w:t>
      </w:r>
      <w:r w:rsidR="2698AE11">
        <w:t>6</w:t>
      </w:r>
      <w:r w:rsidR="6042B6D5">
        <w:t xml:space="preserve"> du C</w:t>
      </w:r>
      <w:r w:rsidR="2CD63236">
        <w:t xml:space="preserve">NB). </w:t>
      </w:r>
      <w:r w:rsidR="00B4481D">
        <w:t>Troisièmement</w:t>
      </w:r>
      <w:r w:rsidR="6790692D">
        <w:t>,</w:t>
      </w:r>
      <w:r w:rsidR="003630C1">
        <w:t xml:space="preserve"> quant à la nature et au degré de sévérité de la sanction,</w:t>
      </w:r>
      <w:r w:rsidR="29651509">
        <w:t xml:space="preserve"> </w:t>
      </w:r>
      <w:r w:rsidR="3704393B">
        <w:t>la Cour relève</w:t>
      </w:r>
      <w:r w:rsidR="29651509">
        <w:t xml:space="preserve"> </w:t>
      </w:r>
      <w:r w:rsidR="00000872">
        <w:t xml:space="preserve">dans l'arrêt </w:t>
      </w:r>
      <w:r w:rsidR="006358AB" w:rsidRPr="006358AB">
        <w:rPr>
          <w:i/>
          <w:iCs/>
        </w:rPr>
        <w:t xml:space="preserve">El </w:t>
      </w:r>
      <w:proofErr w:type="spellStart"/>
      <w:r w:rsidR="006358AB" w:rsidRPr="006358AB">
        <w:rPr>
          <w:i/>
          <w:iCs/>
        </w:rPr>
        <w:t>Aroud</w:t>
      </w:r>
      <w:proofErr w:type="spellEnd"/>
      <w:r w:rsidR="006358AB">
        <w:t xml:space="preserve"> </w:t>
      </w:r>
      <w:r w:rsidR="29651509">
        <w:t>que le degré de sévérité de la mesure d</w:t>
      </w:r>
      <w:r w:rsidR="16364098">
        <w:t>oi</w:t>
      </w:r>
      <w:r w:rsidR="29651509">
        <w:t xml:space="preserve">t être relativisé « </w:t>
      </w:r>
      <w:r w:rsidR="29651509" w:rsidRPr="01BC324F">
        <w:rPr>
          <w:rFonts w:eastAsiaTheme="minorEastAsia"/>
        </w:rPr>
        <w:t>eu égard au fait que la déchéance (...) répond à des comportements qui, s’agissant d’actes terroristes, sapent le fondement même de la démocratie</w:t>
      </w:r>
      <w:r w:rsidR="29651509" w:rsidRPr="01BC324F">
        <w:rPr>
          <w:rFonts w:ascii="Arial" w:hAnsi="Arial" w:cs="Arial"/>
        </w:rPr>
        <w:t> </w:t>
      </w:r>
      <w:r w:rsidR="29651509">
        <w:t>»</w:t>
      </w:r>
      <w:r w:rsidRPr="01BC324F">
        <w:rPr>
          <w:rStyle w:val="Appelnotedebasdep"/>
        </w:rPr>
        <w:footnoteReference w:id="54"/>
      </w:r>
      <w:r w:rsidR="29651509">
        <w:t xml:space="preserve">. </w:t>
      </w:r>
      <w:r w:rsidR="6256C3E1">
        <w:t xml:space="preserve">Qu’en </w:t>
      </w:r>
      <w:r w:rsidR="00000872">
        <w:t>serai</w:t>
      </w:r>
      <w:r w:rsidR="6256C3E1">
        <w:t>t-il alors des mesures d</w:t>
      </w:r>
      <w:r w:rsidR="29651509">
        <w:t>e déchéance</w:t>
      </w:r>
      <w:r w:rsidR="00000872">
        <w:t xml:space="preserve"> </w:t>
      </w:r>
      <w:r w:rsidR="29651509">
        <w:t>prononcées</w:t>
      </w:r>
      <w:r w:rsidR="00000872">
        <w:t xml:space="preserve">, dans d‘autres affaires, </w:t>
      </w:r>
      <w:r w:rsidR="3FA0B7BE">
        <w:t xml:space="preserve">à la suite </w:t>
      </w:r>
      <w:r w:rsidR="75FA37B7">
        <w:t>d’</w:t>
      </w:r>
      <w:r w:rsidR="29651509">
        <w:t>un mariage annulé</w:t>
      </w:r>
      <w:r w:rsidR="001E159E">
        <w:t xml:space="preserve"> pour fraude</w:t>
      </w:r>
      <w:r w:rsidR="29651509">
        <w:t xml:space="preserve"> (art. 23/1, §</w:t>
      </w:r>
      <w:r w:rsidR="00045483">
        <w:t xml:space="preserve"> </w:t>
      </w:r>
      <w:r w:rsidR="29651509">
        <w:t>1, 3° du CNB)</w:t>
      </w:r>
      <w:r w:rsidR="3F1113D2">
        <w:t xml:space="preserve"> </w:t>
      </w:r>
      <w:r w:rsidR="1A57B85B">
        <w:t xml:space="preserve">et </w:t>
      </w:r>
      <w:r w:rsidR="3F1113D2">
        <w:t xml:space="preserve">dont la sévérité </w:t>
      </w:r>
      <w:r w:rsidR="4A576D65">
        <w:t xml:space="preserve">n’est pas </w:t>
      </w:r>
      <w:r w:rsidR="3F1113D2">
        <w:t>tempérée par le contexte terroriste</w:t>
      </w:r>
      <w:r w:rsidR="31BEC0CB">
        <w:t xml:space="preserve"> et les atteintes à la démocratie</w:t>
      </w:r>
      <w:r w:rsidR="3F1113D2">
        <w:t xml:space="preserve"> ?</w:t>
      </w:r>
      <w:r w:rsidR="29651509">
        <w:t xml:space="preserve"> </w:t>
      </w:r>
      <w:r w:rsidR="002C375B">
        <w:t>Quatrièmement</w:t>
      </w:r>
      <w:r w:rsidR="00B4481D">
        <w:t>, la Cour précise que les requérants de l’arrêt commenté possèdent une double nationalité et que la déchéance n’a donc pas pour effet de les rendre apatrides</w:t>
      </w:r>
      <w:r w:rsidR="00C400E1">
        <w:t xml:space="preserve"> « </w:t>
      </w:r>
      <w:r w:rsidR="00C400E1" w:rsidRPr="00C400E1">
        <w:t>ce à quoi elle accorde une grande importance</w:t>
      </w:r>
      <w:r w:rsidR="00C400E1">
        <w:t> »</w:t>
      </w:r>
      <w:r w:rsidR="00C400E1">
        <w:rPr>
          <w:rStyle w:val="Appelnotedebasdep"/>
        </w:rPr>
        <w:footnoteReference w:id="55"/>
      </w:r>
      <w:r w:rsidR="00B4481D">
        <w:t>.</w:t>
      </w:r>
      <w:r w:rsidR="00C400E1">
        <w:t xml:space="preserve"> </w:t>
      </w:r>
      <w:r w:rsidR="001E159E">
        <w:t xml:space="preserve">Or, </w:t>
      </w:r>
      <w:r w:rsidR="00746A97">
        <w:t xml:space="preserve">dans certaines circonstances, </w:t>
      </w:r>
      <w:r w:rsidR="00116A25">
        <w:t>tant les articles 23, 23/1 et 23/2</w:t>
      </w:r>
      <w:r w:rsidR="003630C1">
        <w:t xml:space="preserve"> du CNB</w:t>
      </w:r>
      <w:r w:rsidR="00116A25">
        <w:t xml:space="preserve">, permettent de prononcer la déchéance même </w:t>
      </w:r>
      <w:r w:rsidR="003630C1">
        <w:t>lors</w:t>
      </w:r>
      <w:r w:rsidR="0039265D">
        <w:t>q</w:t>
      </w:r>
      <w:r w:rsidR="00116A25">
        <w:t xml:space="preserve">u’elle </w:t>
      </w:r>
      <w:r w:rsidR="00746A97">
        <w:t>placerait l’intéressé dans une</w:t>
      </w:r>
      <w:r w:rsidR="00116A25">
        <w:t xml:space="preserve"> situation d’apatridie</w:t>
      </w:r>
      <w:r w:rsidR="00746A97">
        <w:t>.</w:t>
      </w:r>
      <w:r w:rsidR="009412E8">
        <w:t xml:space="preserve"> Il semblerait</w:t>
      </w:r>
      <w:r w:rsidR="006358AB">
        <w:t xml:space="preserve"> à nouveau</w:t>
      </w:r>
      <w:r w:rsidR="009412E8">
        <w:t xml:space="preserve"> que la Cour calque à l’article 23 du CNB, le raisonnement développé dans l’arrêt </w:t>
      </w:r>
      <w:proofErr w:type="spellStart"/>
      <w:r w:rsidR="009412E8" w:rsidRPr="006358AB">
        <w:rPr>
          <w:i/>
          <w:iCs/>
        </w:rPr>
        <w:t>Ghoumid</w:t>
      </w:r>
      <w:proofErr w:type="spellEnd"/>
      <w:r w:rsidR="009412E8" w:rsidRPr="006358AB">
        <w:rPr>
          <w:i/>
          <w:iCs/>
        </w:rPr>
        <w:t xml:space="preserve"> </w:t>
      </w:r>
      <w:r w:rsidR="009412E8">
        <w:t xml:space="preserve">à l’égard de l’article 25 du Code civil français qui, lui, interdit inconditionnellement la déchéance </w:t>
      </w:r>
      <w:r w:rsidR="0039265D">
        <w:t>lorsqu’</w:t>
      </w:r>
      <w:r w:rsidR="009412E8">
        <w:t>elle provoque l’apatridie</w:t>
      </w:r>
      <w:r w:rsidR="0039265D">
        <w:rPr>
          <w:rStyle w:val="Appelnotedebasdep"/>
        </w:rPr>
        <w:footnoteReference w:id="56"/>
      </w:r>
      <w:r w:rsidR="009412E8">
        <w:t>.</w:t>
      </w:r>
    </w:p>
    <w:sectPr w:rsidR="00823F45" w:rsidRPr="00E1011B">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29DF7" w14:textId="77777777" w:rsidR="004E06BA" w:rsidRDefault="004E06BA" w:rsidP="001A3373">
      <w:pPr>
        <w:spacing w:after="0" w:line="240" w:lineRule="auto"/>
      </w:pPr>
      <w:r>
        <w:separator/>
      </w:r>
    </w:p>
  </w:endnote>
  <w:endnote w:type="continuationSeparator" w:id="0">
    <w:p w14:paraId="4A72A010" w14:textId="77777777" w:rsidR="004E06BA" w:rsidRDefault="004E06BA" w:rsidP="001A3373">
      <w:pPr>
        <w:spacing w:after="0" w:line="240" w:lineRule="auto"/>
      </w:pPr>
      <w:r>
        <w:continuationSeparator/>
      </w:r>
    </w:p>
  </w:endnote>
  <w:endnote w:type="continuationNotice" w:id="1">
    <w:p w14:paraId="29C15D78" w14:textId="77777777" w:rsidR="004E06BA" w:rsidRDefault="004E06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0000000000000000000"/>
    <w:charset w:val="00"/>
    <w:family w:val="auto"/>
    <w:pitch w:val="variable"/>
    <w:sig w:usb0="E00002EF" w:usb1="5000205B" w:usb2="0000002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A64D944" w14:paraId="576A098C" w14:textId="77777777" w:rsidTr="2A64D944">
      <w:trPr>
        <w:trHeight w:val="300"/>
      </w:trPr>
      <w:tc>
        <w:tcPr>
          <w:tcW w:w="3020" w:type="dxa"/>
        </w:tcPr>
        <w:p w14:paraId="079EDC1F" w14:textId="614A1A63" w:rsidR="2A64D944" w:rsidRDefault="2A64D944" w:rsidP="2A64D944">
          <w:pPr>
            <w:pStyle w:val="En-tte"/>
            <w:ind w:left="-115"/>
          </w:pPr>
        </w:p>
      </w:tc>
      <w:tc>
        <w:tcPr>
          <w:tcW w:w="3020" w:type="dxa"/>
        </w:tcPr>
        <w:p w14:paraId="7DA5D8A6" w14:textId="4EAF3CF9" w:rsidR="2A64D944" w:rsidRDefault="2A64D944" w:rsidP="2A64D944">
          <w:pPr>
            <w:pStyle w:val="En-tte"/>
            <w:jc w:val="center"/>
          </w:pPr>
        </w:p>
      </w:tc>
      <w:tc>
        <w:tcPr>
          <w:tcW w:w="3020" w:type="dxa"/>
        </w:tcPr>
        <w:p w14:paraId="1E5B9637" w14:textId="31234EC8" w:rsidR="2A64D944" w:rsidRDefault="2A64D944" w:rsidP="2A64D944">
          <w:pPr>
            <w:pStyle w:val="En-tte"/>
            <w:ind w:right="-115"/>
            <w:jc w:val="right"/>
          </w:pPr>
        </w:p>
      </w:tc>
    </w:tr>
  </w:tbl>
  <w:p w14:paraId="7A975FCC" w14:textId="4F681531" w:rsidR="2A64D944" w:rsidRDefault="2A64D944" w:rsidP="2A64D94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88746" w14:textId="77777777" w:rsidR="004E06BA" w:rsidRDefault="004E06BA" w:rsidP="001A3373">
      <w:pPr>
        <w:spacing w:after="0" w:line="240" w:lineRule="auto"/>
      </w:pPr>
      <w:r>
        <w:separator/>
      </w:r>
    </w:p>
  </w:footnote>
  <w:footnote w:type="continuationSeparator" w:id="0">
    <w:p w14:paraId="33FDEB25" w14:textId="77777777" w:rsidR="004E06BA" w:rsidRDefault="004E06BA" w:rsidP="001A3373">
      <w:pPr>
        <w:spacing w:after="0" w:line="240" w:lineRule="auto"/>
      </w:pPr>
      <w:r>
        <w:continuationSeparator/>
      </w:r>
    </w:p>
  </w:footnote>
  <w:footnote w:type="continuationNotice" w:id="1">
    <w:p w14:paraId="4975B1C5" w14:textId="77777777" w:rsidR="004E06BA" w:rsidRDefault="004E06BA">
      <w:pPr>
        <w:spacing w:after="0" w:line="240" w:lineRule="auto"/>
      </w:pPr>
    </w:p>
  </w:footnote>
  <w:footnote w:id="2">
    <w:p w14:paraId="2F854383" w14:textId="594A0F16" w:rsidR="00E1011B" w:rsidRDefault="00E1011B" w:rsidP="00E1011B">
      <w:pPr>
        <w:pStyle w:val="Notedebasdepage"/>
        <w:jc w:val="both"/>
      </w:pPr>
      <w:r>
        <w:rPr>
          <w:rStyle w:val="Appelnotedebasdep"/>
        </w:rPr>
        <w:footnoteRef/>
      </w:r>
      <w:r>
        <w:t xml:space="preserve"> </w:t>
      </w:r>
      <w:proofErr w:type="spellStart"/>
      <w:r>
        <w:t>Voy</w:t>
      </w:r>
      <w:proofErr w:type="spellEnd"/>
      <w:r>
        <w:t xml:space="preserve">. </w:t>
      </w:r>
      <w:proofErr w:type="gramStart"/>
      <w:r>
        <w:t>également</w:t>
      </w:r>
      <w:proofErr w:type="gramEnd"/>
      <w:r>
        <w:t xml:space="preserve"> un autre commentaire de cet arrêt: Ch. </w:t>
      </w:r>
      <w:r w:rsidRPr="01BC324F">
        <w:rPr>
          <w:smallCaps/>
        </w:rPr>
        <w:t>Macq</w:t>
      </w:r>
      <w:r>
        <w:t xml:space="preserve">, « Déchéance de la nationalité : la Cour européenne des droits de l’homme confirme sa jurisprudence permissive », </w:t>
      </w:r>
      <w:r w:rsidRPr="01BC324F">
        <w:rPr>
          <w:i/>
          <w:iCs/>
        </w:rPr>
        <w:t>Cahiers de l’EDEM</w:t>
      </w:r>
      <w:r>
        <w:t>, janvier-février 2025.</w:t>
      </w:r>
    </w:p>
  </w:footnote>
  <w:footnote w:id="3">
    <w:p w14:paraId="4C1BD4E8" w14:textId="2146E15E" w:rsidR="00E1011B" w:rsidRPr="00E1011B" w:rsidRDefault="00E1011B" w:rsidP="00E1011B">
      <w:pPr>
        <w:pStyle w:val="Notedebasdepage"/>
        <w:jc w:val="both"/>
        <w:rPr>
          <w:lang w:val="en-US"/>
        </w:rPr>
      </w:pPr>
      <w:r>
        <w:rPr>
          <w:rStyle w:val="Appelnotedebasdep"/>
        </w:rPr>
        <w:footnoteRef/>
      </w:r>
      <w:r>
        <w:t xml:space="preserve"> </w:t>
      </w:r>
      <w:r>
        <w:t xml:space="preserve">Pour aller plus loin sur le sujet de la déchéance de nationalité, cons. : </w:t>
      </w:r>
      <w:r w:rsidRPr="008D7862">
        <w:t>P. </w:t>
      </w:r>
      <w:r w:rsidRPr="008D7862">
        <w:rPr>
          <w:smallCaps/>
        </w:rPr>
        <w:t>Wautelet</w:t>
      </w:r>
      <w:r w:rsidRPr="008D7862">
        <w:t>, «</w:t>
      </w:r>
      <w:r w:rsidRPr="008D7862">
        <w:rPr>
          <w:rFonts w:ascii="Arial" w:hAnsi="Arial" w:cs="Arial"/>
        </w:rPr>
        <w:t> </w:t>
      </w:r>
      <w:r w:rsidRPr="008D7862">
        <w:t>La perte de nationalité à la croisée des chemins : entre déclin et renaissance</w:t>
      </w:r>
      <w:r w:rsidRPr="008D7862">
        <w:rPr>
          <w:rFonts w:ascii="Arial" w:hAnsi="Arial" w:cs="Arial"/>
        </w:rPr>
        <w:t> </w:t>
      </w:r>
      <w:r w:rsidRPr="008D7862">
        <w:t xml:space="preserve">», </w:t>
      </w:r>
      <w:r w:rsidRPr="00A76709">
        <w:rPr>
          <w:i/>
          <w:iCs/>
        </w:rPr>
        <w:t>in</w:t>
      </w:r>
      <w:r w:rsidRPr="008D7862">
        <w:t xml:space="preserve"> S. Corneloup et E. </w:t>
      </w:r>
      <w:proofErr w:type="spellStart"/>
      <w:r w:rsidRPr="008D7862">
        <w:t>Pataut</w:t>
      </w:r>
      <w:proofErr w:type="spellEnd"/>
      <w:r w:rsidRPr="008D7862">
        <w:t xml:space="preserve"> (</w:t>
      </w:r>
      <w:proofErr w:type="spellStart"/>
      <w:r w:rsidRPr="008D7862">
        <w:t>dirs</w:t>
      </w:r>
      <w:proofErr w:type="spellEnd"/>
      <w:r w:rsidRPr="008D7862">
        <w:t>.), Perdre sa nationalité, Paris, Dalloz, 2024, pp. 13 et s.</w:t>
      </w:r>
      <w:r>
        <w:t xml:space="preserve"> ; </w:t>
      </w:r>
      <w:r w:rsidRPr="008D7862">
        <w:t xml:space="preserve">J. </w:t>
      </w:r>
      <w:proofErr w:type="spellStart"/>
      <w:r w:rsidRPr="008D7862">
        <w:rPr>
          <w:smallCaps/>
        </w:rPr>
        <w:t>Lepoutre</w:t>
      </w:r>
      <w:proofErr w:type="spellEnd"/>
      <w:r w:rsidRPr="008D7862">
        <w:t>,</w:t>
      </w:r>
      <w:r w:rsidRPr="008D7862">
        <w:rPr>
          <w:lang w:val="fr-FR"/>
        </w:rPr>
        <w:t xml:space="preserve"> « La perte de sa nationalité face au principe de proportionnalité en droits européens »,</w:t>
      </w:r>
      <w:r w:rsidRPr="008D7862">
        <w:t xml:space="preserve"> </w:t>
      </w:r>
      <w:r w:rsidRPr="008D7862">
        <w:rPr>
          <w:i/>
          <w:iCs/>
        </w:rPr>
        <w:t>ibid.</w:t>
      </w:r>
      <w:r w:rsidRPr="008D7862">
        <w:t>, pp. 123 et s.</w:t>
      </w:r>
      <w:r>
        <w:t xml:space="preserve"> ; </w:t>
      </w:r>
      <w:r w:rsidRPr="008D7862">
        <w:t>F. </w:t>
      </w:r>
      <w:r w:rsidRPr="008D7862">
        <w:rPr>
          <w:smallCaps/>
        </w:rPr>
        <w:t>Marchadier</w:t>
      </w:r>
      <w:r w:rsidRPr="008D7862">
        <w:t>, «</w:t>
      </w:r>
      <w:r w:rsidRPr="008D7862">
        <w:rPr>
          <w:rFonts w:ascii="Arial" w:hAnsi="Arial" w:cs="Arial"/>
        </w:rPr>
        <w:t> </w:t>
      </w:r>
      <w:r w:rsidRPr="008D7862">
        <w:t>La perte de nationalité et les droits fondamentaux</w:t>
      </w:r>
      <w:r w:rsidRPr="008D7862">
        <w:rPr>
          <w:rFonts w:ascii="Arial" w:hAnsi="Arial" w:cs="Arial"/>
        </w:rPr>
        <w:t> </w:t>
      </w:r>
      <w:r w:rsidRPr="008D7862">
        <w:t xml:space="preserve">», </w:t>
      </w:r>
      <w:r w:rsidRPr="008D7862">
        <w:rPr>
          <w:i/>
          <w:iCs/>
        </w:rPr>
        <w:t>ibid.</w:t>
      </w:r>
      <w:r w:rsidRPr="008D7862">
        <w:t>, pp. 137 et s.</w:t>
      </w:r>
      <w:r>
        <w:t xml:space="preserve"> ; </w:t>
      </w:r>
      <w:r w:rsidRPr="008D7862">
        <w:t>L. </w:t>
      </w:r>
      <w:proofErr w:type="spellStart"/>
      <w:r w:rsidRPr="008D7862">
        <w:rPr>
          <w:smallCaps/>
        </w:rPr>
        <w:t>Reyntjens</w:t>
      </w:r>
      <w:proofErr w:type="spellEnd"/>
      <w:r w:rsidRPr="008D7862">
        <w:t>, «</w:t>
      </w:r>
      <w:r w:rsidRPr="008D7862">
        <w:rPr>
          <w:rFonts w:ascii="Arial" w:hAnsi="Arial" w:cs="Arial"/>
        </w:rPr>
        <w:t> </w:t>
      </w:r>
      <w:proofErr w:type="spellStart"/>
      <w:r w:rsidRPr="008D7862">
        <w:t>Citizenship</w:t>
      </w:r>
      <w:proofErr w:type="spellEnd"/>
      <w:r w:rsidRPr="008D7862">
        <w:t xml:space="preserve"> </w:t>
      </w:r>
      <w:proofErr w:type="spellStart"/>
      <w:r w:rsidRPr="008D7862">
        <w:t>Deprivation</w:t>
      </w:r>
      <w:proofErr w:type="spellEnd"/>
      <w:r w:rsidRPr="008D7862">
        <w:t xml:space="preserve"> </w:t>
      </w:r>
      <w:proofErr w:type="spellStart"/>
      <w:r w:rsidRPr="008D7862">
        <w:t>under</w:t>
      </w:r>
      <w:proofErr w:type="spellEnd"/>
      <w:r w:rsidRPr="008D7862">
        <w:t xml:space="preserve"> the </w:t>
      </w:r>
      <w:proofErr w:type="spellStart"/>
      <w:r w:rsidRPr="008D7862">
        <w:t>European</w:t>
      </w:r>
      <w:proofErr w:type="spellEnd"/>
      <w:r w:rsidRPr="008D7862">
        <w:t xml:space="preserve"> Convention-System: a Case </w:t>
      </w:r>
      <w:proofErr w:type="spellStart"/>
      <w:r w:rsidRPr="008D7862">
        <w:t>Study</w:t>
      </w:r>
      <w:proofErr w:type="spellEnd"/>
      <w:r w:rsidRPr="008D7862">
        <w:t xml:space="preserve"> in </w:t>
      </w:r>
      <w:proofErr w:type="spellStart"/>
      <w:r w:rsidRPr="008D7862">
        <w:t>Belgium</w:t>
      </w:r>
      <w:proofErr w:type="spellEnd"/>
      <w:r w:rsidRPr="008D7862">
        <w:rPr>
          <w:rFonts w:ascii="Arial" w:hAnsi="Arial" w:cs="Arial"/>
        </w:rPr>
        <w:t> </w:t>
      </w:r>
      <w:r w:rsidRPr="008D7862">
        <w:t xml:space="preserve">», </w:t>
      </w:r>
      <w:r w:rsidRPr="008D7862">
        <w:rPr>
          <w:i/>
          <w:iCs/>
        </w:rPr>
        <w:t xml:space="preserve">The </w:t>
      </w:r>
      <w:proofErr w:type="spellStart"/>
      <w:r w:rsidRPr="008D7862">
        <w:rPr>
          <w:i/>
          <w:iCs/>
        </w:rPr>
        <w:t>Statelessness</w:t>
      </w:r>
      <w:proofErr w:type="spellEnd"/>
      <w:r w:rsidRPr="008D7862">
        <w:rPr>
          <w:i/>
          <w:iCs/>
        </w:rPr>
        <w:t xml:space="preserve"> &amp; </w:t>
      </w:r>
      <w:proofErr w:type="spellStart"/>
      <w:r w:rsidRPr="008D7862">
        <w:rPr>
          <w:i/>
          <w:iCs/>
        </w:rPr>
        <w:t>Citizenship</w:t>
      </w:r>
      <w:proofErr w:type="spellEnd"/>
      <w:r w:rsidRPr="008D7862">
        <w:rPr>
          <w:i/>
          <w:iCs/>
        </w:rPr>
        <w:t xml:space="preserve"> </w:t>
      </w:r>
      <w:proofErr w:type="spellStart"/>
      <w:r w:rsidRPr="008D7862">
        <w:rPr>
          <w:i/>
          <w:iCs/>
        </w:rPr>
        <w:t>Review</w:t>
      </w:r>
      <w:proofErr w:type="spellEnd"/>
      <w:r w:rsidRPr="008D7862">
        <w:t>, 2019, n° 1(2), pp. 263 et s.</w:t>
      </w:r>
      <w:r>
        <w:t xml:space="preserve"> ; </w:t>
      </w:r>
      <w:r w:rsidRPr="008D7862">
        <w:t>P. </w:t>
      </w:r>
      <w:r w:rsidRPr="008D7862">
        <w:rPr>
          <w:smallCaps/>
        </w:rPr>
        <w:t>Wautelet</w:t>
      </w:r>
      <w:r w:rsidRPr="008D7862">
        <w:t>, «</w:t>
      </w:r>
      <w:r w:rsidRPr="008D7862">
        <w:rPr>
          <w:rFonts w:ascii="Arial" w:hAnsi="Arial" w:cs="Arial"/>
        </w:rPr>
        <w:t> </w:t>
      </w:r>
      <w:proofErr w:type="spellStart"/>
      <w:r w:rsidRPr="008D7862">
        <w:t>Deprivation</w:t>
      </w:r>
      <w:proofErr w:type="spellEnd"/>
      <w:r w:rsidRPr="008D7862">
        <w:t xml:space="preserve"> of </w:t>
      </w:r>
      <w:proofErr w:type="spellStart"/>
      <w:r w:rsidRPr="008D7862">
        <w:t>citizenship</w:t>
      </w:r>
      <w:proofErr w:type="spellEnd"/>
      <w:r w:rsidRPr="008D7862">
        <w:t xml:space="preserve"> for ‘</w:t>
      </w:r>
      <w:proofErr w:type="spellStart"/>
      <w:r w:rsidRPr="008D7862">
        <w:t>jihadists</w:t>
      </w:r>
      <w:proofErr w:type="spellEnd"/>
      <w:r w:rsidRPr="008D7862">
        <w:t xml:space="preserve">’. </w:t>
      </w:r>
      <w:r w:rsidRPr="008D7862">
        <w:rPr>
          <w:lang w:val="nl-BE"/>
        </w:rPr>
        <w:t xml:space="preserve">Analysis of </w:t>
      </w:r>
      <w:proofErr w:type="spellStart"/>
      <w:r w:rsidRPr="008D7862">
        <w:rPr>
          <w:lang w:val="nl-BE"/>
        </w:rPr>
        <w:t>Belgian</w:t>
      </w:r>
      <w:proofErr w:type="spellEnd"/>
      <w:r w:rsidRPr="008D7862">
        <w:rPr>
          <w:lang w:val="nl-BE"/>
        </w:rPr>
        <w:t xml:space="preserve"> </w:t>
      </w:r>
      <w:proofErr w:type="spellStart"/>
      <w:r w:rsidRPr="008D7862">
        <w:rPr>
          <w:lang w:val="nl-BE"/>
        </w:rPr>
        <w:t>and</w:t>
      </w:r>
      <w:proofErr w:type="spellEnd"/>
      <w:r w:rsidRPr="008D7862">
        <w:rPr>
          <w:lang w:val="nl-BE"/>
        </w:rPr>
        <w:t xml:space="preserve"> French </w:t>
      </w:r>
      <w:proofErr w:type="spellStart"/>
      <w:r w:rsidRPr="008D7862">
        <w:rPr>
          <w:lang w:val="nl-BE"/>
        </w:rPr>
        <w:t>practice</w:t>
      </w:r>
      <w:proofErr w:type="spellEnd"/>
      <w:r w:rsidRPr="008D7862">
        <w:rPr>
          <w:lang w:val="nl-BE"/>
        </w:rPr>
        <w:t xml:space="preserve"> </w:t>
      </w:r>
      <w:proofErr w:type="spellStart"/>
      <w:r w:rsidRPr="008D7862">
        <w:rPr>
          <w:lang w:val="nl-BE"/>
        </w:rPr>
        <w:t>and</w:t>
      </w:r>
      <w:proofErr w:type="spellEnd"/>
      <w:r w:rsidRPr="008D7862">
        <w:rPr>
          <w:lang w:val="nl-BE"/>
        </w:rPr>
        <w:t xml:space="preserve"> policy in light of </w:t>
      </w:r>
      <w:proofErr w:type="spellStart"/>
      <w:r w:rsidRPr="008D7862">
        <w:rPr>
          <w:lang w:val="nl-BE"/>
        </w:rPr>
        <w:t>the</w:t>
      </w:r>
      <w:proofErr w:type="spellEnd"/>
      <w:r w:rsidRPr="008D7862">
        <w:rPr>
          <w:lang w:val="nl-BE"/>
        </w:rPr>
        <w:t xml:space="preserve"> </w:t>
      </w:r>
      <w:proofErr w:type="spellStart"/>
      <w:r w:rsidRPr="008D7862">
        <w:rPr>
          <w:lang w:val="nl-BE"/>
        </w:rPr>
        <w:t>principle</w:t>
      </w:r>
      <w:proofErr w:type="spellEnd"/>
      <w:r w:rsidRPr="008D7862">
        <w:rPr>
          <w:lang w:val="nl-BE"/>
        </w:rPr>
        <w:t xml:space="preserve"> of </w:t>
      </w:r>
      <w:proofErr w:type="spellStart"/>
      <w:r w:rsidRPr="008D7862">
        <w:rPr>
          <w:lang w:val="nl-BE"/>
        </w:rPr>
        <w:t>equal</w:t>
      </w:r>
      <w:proofErr w:type="spellEnd"/>
      <w:r w:rsidRPr="008D7862">
        <w:rPr>
          <w:lang w:val="nl-BE"/>
        </w:rPr>
        <w:t xml:space="preserve"> treatment », </w:t>
      </w:r>
      <w:r w:rsidRPr="0020316D">
        <w:rPr>
          <w:i/>
          <w:iCs/>
          <w:lang w:val="nl-BE"/>
        </w:rPr>
        <w:t>in</w:t>
      </w:r>
      <w:r w:rsidRPr="008D7862">
        <w:rPr>
          <w:lang w:val="nl-BE"/>
        </w:rPr>
        <w:t xml:space="preserve"> P. </w:t>
      </w:r>
      <w:proofErr w:type="spellStart"/>
      <w:r w:rsidRPr="008D7862">
        <w:rPr>
          <w:lang w:val="nl-BE"/>
        </w:rPr>
        <w:t>Kruiniger</w:t>
      </w:r>
      <w:proofErr w:type="spellEnd"/>
      <w:r w:rsidRPr="008D7862">
        <w:rPr>
          <w:lang w:val="nl-BE"/>
        </w:rPr>
        <w:t xml:space="preserve"> (éd.), </w:t>
      </w:r>
      <w:r w:rsidRPr="008D7862">
        <w:rPr>
          <w:i/>
          <w:iCs/>
          <w:lang w:val="nl-BE"/>
        </w:rPr>
        <w:t>Recht van de Islam (deel 30) - Teksten van het op 2 juli 2015 te Leiden gehouden 33ste RIMO-symposium: Jihad, islam en recht Jihad, Islam en Recht</w:t>
      </w:r>
      <w:r w:rsidRPr="008D7862">
        <w:rPr>
          <w:lang w:val="nl-BE"/>
        </w:rPr>
        <w:t>, 2017, La Haye, Boom Juridische Uitgevers, pp. 49 et s.</w:t>
      </w:r>
    </w:p>
  </w:footnote>
  <w:footnote w:id="4">
    <w:p w14:paraId="13E395DE" w14:textId="250DA036" w:rsidR="00A8478D" w:rsidRPr="00E81B00" w:rsidRDefault="00A8478D" w:rsidP="00A8478D">
      <w:pPr>
        <w:pStyle w:val="Notedebasdepage"/>
        <w:jc w:val="both"/>
        <w:rPr>
          <w:lang w:val="fr-FR"/>
        </w:rPr>
      </w:pPr>
      <w:r>
        <w:rPr>
          <w:rStyle w:val="Appelnotedebasdep"/>
        </w:rPr>
        <w:footnoteRef/>
      </w:r>
      <w:r w:rsidRPr="00D96B39">
        <w:t xml:space="preserve"> </w:t>
      </w:r>
      <w:r w:rsidRPr="00E81B00">
        <w:t xml:space="preserve">Madame El </w:t>
      </w:r>
      <w:proofErr w:type="spellStart"/>
      <w:r w:rsidRPr="00E81B00">
        <w:t>Aroud</w:t>
      </w:r>
      <w:proofErr w:type="spellEnd"/>
      <w:r w:rsidRPr="00E81B00">
        <w:t xml:space="preserve"> était</w:t>
      </w:r>
      <w:r>
        <w:t xml:space="preserve"> particulièrement médiatisée en raison de ses faits personnels — elle a été déclarée coupable d’avoir formé et dirigé une cellule terroriste afin de recruter des candidats au djihad mené par Al-Qaïda — mais aussi de ceux de ses maris — s</w:t>
      </w:r>
      <w:r w:rsidRPr="00927B47">
        <w:t>on premier mari avait comm</w:t>
      </w:r>
      <w:r>
        <w:t xml:space="preserve">is </w:t>
      </w:r>
      <w:r w:rsidRPr="00927B47">
        <w:t>l</w:t>
      </w:r>
      <w:r>
        <w:t>’</w:t>
      </w:r>
      <w:r w:rsidRPr="00927B47">
        <w:t xml:space="preserve">attentat-suicide </w:t>
      </w:r>
      <w:r>
        <w:t>qui tua le</w:t>
      </w:r>
      <w:r w:rsidRPr="00927B47">
        <w:t xml:space="preserve"> commandant Massoud</w:t>
      </w:r>
      <w:r>
        <w:t xml:space="preserve"> en Afghanistan —.</w:t>
      </w:r>
      <w:r w:rsidRPr="00E81B00">
        <w:t xml:space="preserve"> </w:t>
      </w:r>
      <w:r w:rsidRPr="00D96B39">
        <w:t xml:space="preserve">Entre autres, </w:t>
      </w:r>
      <w:proofErr w:type="spellStart"/>
      <w:r w:rsidRPr="00D96B39">
        <w:t>voy</w:t>
      </w:r>
      <w:proofErr w:type="spellEnd"/>
      <w:r w:rsidRPr="00D96B39">
        <w:t xml:space="preserve">. </w:t>
      </w:r>
      <w:r w:rsidRPr="00E81B00">
        <w:rPr>
          <w:lang w:val="fr-FR"/>
        </w:rPr>
        <w:t>E.</w:t>
      </w:r>
      <w:r>
        <w:rPr>
          <w:lang w:val="fr-FR"/>
        </w:rPr>
        <w:t> </w:t>
      </w:r>
      <w:proofErr w:type="spellStart"/>
      <w:r w:rsidRPr="00E81B00">
        <w:rPr>
          <w:lang w:val="fr-FR"/>
        </w:rPr>
        <w:t>Sciolino</w:t>
      </w:r>
      <w:proofErr w:type="spellEnd"/>
      <w:r w:rsidRPr="00E81B00">
        <w:rPr>
          <w:lang w:val="fr-FR"/>
        </w:rPr>
        <w:t xml:space="preserve"> et S.</w:t>
      </w:r>
      <w:r>
        <w:rPr>
          <w:lang w:val="fr-FR"/>
        </w:rPr>
        <w:t> </w:t>
      </w:r>
      <w:proofErr w:type="spellStart"/>
      <w:r w:rsidRPr="00E81B00">
        <w:rPr>
          <w:lang w:val="fr-FR"/>
        </w:rPr>
        <w:t>Mekhennet</w:t>
      </w:r>
      <w:proofErr w:type="spellEnd"/>
      <w:r w:rsidRPr="007F42A2">
        <w:rPr>
          <w:lang w:val="fr-FR"/>
        </w:rPr>
        <w:t>, «</w:t>
      </w:r>
      <w:r>
        <w:rPr>
          <w:rFonts w:ascii="Arial" w:hAnsi="Arial" w:cs="Arial"/>
          <w:lang w:val="fr-FR"/>
        </w:rPr>
        <w:t> </w:t>
      </w:r>
      <w:r w:rsidRPr="00E81B00">
        <w:rPr>
          <w:lang w:val="fr-FR"/>
        </w:rPr>
        <w:t xml:space="preserve">Al Qaeda Warrior Uses Internet to </w:t>
      </w:r>
      <w:proofErr w:type="spellStart"/>
      <w:r w:rsidRPr="00E81B00">
        <w:rPr>
          <w:lang w:val="fr-FR"/>
        </w:rPr>
        <w:t>Rally</w:t>
      </w:r>
      <w:proofErr w:type="spellEnd"/>
      <w:r w:rsidRPr="00E81B00">
        <w:rPr>
          <w:lang w:val="fr-FR"/>
        </w:rPr>
        <w:t xml:space="preserve"> </w:t>
      </w:r>
      <w:proofErr w:type="spellStart"/>
      <w:r w:rsidRPr="00E81B00">
        <w:rPr>
          <w:lang w:val="fr-FR"/>
        </w:rPr>
        <w:t>Women</w:t>
      </w:r>
      <w:proofErr w:type="spellEnd"/>
      <w:r>
        <w:rPr>
          <w:rFonts w:ascii="Arial" w:hAnsi="Arial" w:cs="Arial"/>
          <w:lang w:val="fr-FR"/>
        </w:rPr>
        <w:t> </w:t>
      </w:r>
      <w:r w:rsidRPr="007F42A2">
        <w:rPr>
          <w:lang w:val="fr-FR"/>
        </w:rPr>
        <w:t xml:space="preserve">», </w:t>
      </w:r>
      <w:r w:rsidRPr="00E81B00">
        <w:rPr>
          <w:i/>
          <w:iCs/>
          <w:lang w:val="fr-FR"/>
        </w:rPr>
        <w:t>The New York Times</w:t>
      </w:r>
      <w:r w:rsidRPr="00E81B00">
        <w:rPr>
          <w:lang w:val="fr-FR"/>
        </w:rPr>
        <w:t>, 28</w:t>
      </w:r>
      <w:r>
        <w:rPr>
          <w:lang w:val="fr-FR"/>
        </w:rPr>
        <w:t> </w:t>
      </w:r>
      <w:r w:rsidRPr="00E81B00">
        <w:rPr>
          <w:lang w:val="fr-FR"/>
        </w:rPr>
        <w:t xml:space="preserve">mai 2008, disponible sur </w:t>
      </w:r>
      <w:hyperlink r:id="rId1" w:history="1">
        <w:r w:rsidRPr="00E81B00">
          <w:rPr>
            <w:rStyle w:val="Lienhypertexte"/>
            <w:lang w:val="fr-FR"/>
          </w:rPr>
          <w:t>www.nytimes.com</w:t>
        </w:r>
      </w:hyperlink>
      <w:r>
        <w:rPr>
          <w:rFonts w:ascii="Arial" w:hAnsi="Arial" w:cs="Arial"/>
          <w:lang w:val="fr-FR"/>
        </w:rPr>
        <w:t> </w:t>
      </w:r>
      <w:r w:rsidRPr="00E81B00">
        <w:rPr>
          <w:lang w:val="fr-FR"/>
        </w:rPr>
        <w:t xml:space="preserve">; </w:t>
      </w:r>
      <w:r>
        <w:rPr>
          <w:lang w:val="fr-FR"/>
        </w:rPr>
        <w:t>J.-P. </w:t>
      </w:r>
      <w:proofErr w:type="spellStart"/>
      <w:r w:rsidRPr="001754EF">
        <w:rPr>
          <w:smallCaps/>
          <w:lang w:val="fr-FR"/>
        </w:rPr>
        <w:t>Stroobants</w:t>
      </w:r>
      <w:proofErr w:type="spellEnd"/>
      <w:r>
        <w:rPr>
          <w:lang w:val="fr-FR"/>
        </w:rPr>
        <w:t>, «</w:t>
      </w:r>
      <w:r>
        <w:rPr>
          <w:rFonts w:ascii="Arial" w:hAnsi="Arial" w:cs="Arial"/>
          <w:lang w:val="fr-FR"/>
        </w:rPr>
        <w:t> </w:t>
      </w:r>
      <w:r w:rsidRPr="009C77D9">
        <w:rPr>
          <w:lang w:val="fr-FR"/>
        </w:rPr>
        <w:t>Malika El-</w:t>
      </w:r>
      <w:proofErr w:type="spellStart"/>
      <w:r w:rsidRPr="009C77D9">
        <w:rPr>
          <w:lang w:val="fr-FR"/>
        </w:rPr>
        <w:t>Aroud</w:t>
      </w:r>
      <w:proofErr w:type="spellEnd"/>
      <w:r w:rsidRPr="009C77D9">
        <w:rPr>
          <w:lang w:val="fr-FR"/>
        </w:rPr>
        <w:t xml:space="preserve">, </w:t>
      </w:r>
      <w:r>
        <w:rPr>
          <w:lang w:val="fr-FR"/>
        </w:rPr>
        <w:t>“</w:t>
      </w:r>
      <w:r w:rsidRPr="009C77D9">
        <w:rPr>
          <w:lang w:val="fr-FR"/>
        </w:rPr>
        <w:t>veuve de martyr</w:t>
      </w:r>
      <w:r>
        <w:rPr>
          <w:lang w:val="fr-FR"/>
        </w:rPr>
        <w:t>”</w:t>
      </w:r>
      <w:r w:rsidRPr="009C77D9">
        <w:rPr>
          <w:lang w:val="fr-FR"/>
        </w:rPr>
        <w:t xml:space="preserve"> et égérie djihadiste, affronte ses juges</w:t>
      </w:r>
      <w:r>
        <w:rPr>
          <w:rFonts w:ascii="Arial" w:hAnsi="Arial" w:cs="Arial"/>
          <w:lang w:val="fr-FR"/>
        </w:rPr>
        <w:t> </w:t>
      </w:r>
      <w:r>
        <w:rPr>
          <w:lang w:val="fr-FR"/>
        </w:rPr>
        <w:t xml:space="preserve">», </w:t>
      </w:r>
      <w:r w:rsidRPr="001754EF">
        <w:rPr>
          <w:i/>
          <w:iCs/>
          <w:lang w:val="fr-FR"/>
        </w:rPr>
        <w:t>Le Monde</w:t>
      </w:r>
      <w:r>
        <w:rPr>
          <w:lang w:val="fr-FR"/>
        </w:rPr>
        <w:t>, 10 mars 2010, disponible sur </w:t>
      </w:r>
      <w:hyperlink r:id="rId2" w:history="1">
        <w:r w:rsidRPr="00C37D8F">
          <w:rPr>
            <w:rStyle w:val="Lienhypertexte"/>
            <w:lang w:val="fr-FR"/>
          </w:rPr>
          <w:t>www.lemonde.fr</w:t>
        </w:r>
      </w:hyperlink>
      <w:r>
        <w:rPr>
          <w:lang w:val="fr-FR"/>
        </w:rPr>
        <w:t xml:space="preserve"> .</w:t>
      </w:r>
    </w:p>
  </w:footnote>
  <w:footnote w:id="5">
    <w:p w14:paraId="1CF91ADA" w14:textId="77777777" w:rsidR="00A8478D" w:rsidRPr="00C57273" w:rsidRDefault="00A8478D" w:rsidP="00A8478D">
      <w:pPr>
        <w:pStyle w:val="Notedebasdepage"/>
        <w:jc w:val="both"/>
      </w:pPr>
      <w:r>
        <w:rPr>
          <w:rStyle w:val="Appelnotedebasdep"/>
        </w:rPr>
        <w:footnoteRef/>
      </w:r>
      <w:r>
        <w:t xml:space="preserve"> Nous nous limitons dans les lignes qui suivent au seul contentieux lié à la déchéance de nationalité au sujet duquel la Cour européenne était saisie. Cependant, outre ces procédures et celles relatives au volet pénal, il existe également un contentieux qui porte sur le droit de séjour des requérants.</w:t>
      </w:r>
    </w:p>
  </w:footnote>
  <w:footnote w:id="6">
    <w:p w14:paraId="7D3F757D" w14:textId="70427FB5" w:rsidR="004878D8" w:rsidRPr="00557383" w:rsidRDefault="004878D8" w:rsidP="004878D8">
      <w:pPr>
        <w:pStyle w:val="Notedebasdepage"/>
        <w:jc w:val="both"/>
        <w:rPr>
          <w:lang w:val="fr-FR"/>
        </w:rPr>
      </w:pPr>
      <w:r>
        <w:rPr>
          <w:rStyle w:val="Appelnotedebasdep"/>
        </w:rPr>
        <w:footnoteRef/>
      </w:r>
      <w:r w:rsidR="01BC324F">
        <w:t xml:space="preserve"> </w:t>
      </w:r>
      <w:r w:rsidR="005617FC">
        <w:t xml:space="preserve">Monsieur </w:t>
      </w:r>
      <w:proofErr w:type="spellStart"/>
      <w:r w:rsidR="005617FC">
        <w:t>Soughir</w:t>
      </w:r>
      <w:proofErr w:type="spellEnd"/>
      <w:r w:rsidR="005617FC">
        <w:t xml:space="preserve"> a été condamné le 26 juin 2008 et Madame El </w:t>
      </w:r>
      <w:proofErr w:type="spellStart"/>
      <w:r w:rsidR="005617FC">
        <w:t>Aroud</w:t>
      </w:r>
      <w:proofErr w:type="spellEnd"/>
      <w:r w:rsidR="005617FC">
        <w:t xml:space="preserve"> le 10 mai 2010. </w:t>
      </w:r>
      <w:r w:rsidR="01BC324F" w:rsidRPr="01BC324F">
        <w:t xml:space="preserve">Par ailleurs, </w:t>
      </w:r>
      <w:r w:rsidR="01BC324F" w:rsidRPr="01BC324F">
        <w:rPr>
          <w:lang w:val="fr-FR"/>
        </w:rPr>
        <w:t xml:space="preserve">Madame El </w:t>
      </w:r>
      <w:proofErr w:type="spellStart"/>
      <w:r w:rsidR="01BC324F" w:rsidRPr="01BC324F">
        <w:rPr>
          <w:lang w:val="fr-FR"/>
        </w:rPr>
        <w:t>Aroud</w:t>
      </w:r>
      <w:proofErr w:type="spellEnd"/>
      <w:r w:rsidR="01BC324F" w:rsidRPr="01BC324F">
        <w:rPr>
          <w:lang w:val="fr-FR"/>
        </w:rPr>
        <w:t xml:space="preserve"> avait été condamnée en Suisse pour des faits de diffusion de propagande terroriste. </w:t>
      </w:r>
      <w:r w:rsidR="01BC324F">
        <w:t xml:space="preserve">Cour </w:t>
      </w:r>
      <w:proofErr w:type="spellStart"/>
      <w:r w:rsidR="00BC5BF2">
        <w:t>eur</w:t>
      </w:r>
      <w:proofErr w:type="spellEnd"/>
      <w:r w:rsidR="00BC5BF2">
        <w:t>. D.H.</w:t>
      </w:r>
      <w:r w:rsidR="01BC324F">
        <w:t xml:space="preserve">, </w:t>
      </w:r>
      <w:r w:rsidR="01BC324F" w:rsidRPr="01BC324F">
        <w:rPr>
          <w:i/>
          <w:iCs/>
        </w:rPr>
        <w:t xml:space="preserve">El </w:t>
      </w:r>
      <w:proofErr w:type="spellStart"/>
      <w:r w:rsidR="01BC324F" w:rsidRPr="01BC324F">
        <w:rPr>
          <w:i/>
          <w:iCs/>
        </w:rPr>
        <w:t>Aroud</w:t>
      </w:r>
      <w:proofErr w:type="spellEnd"/>
      <w:r w:rsidR="01BC324F" w:rsidRPr="01BC324F">
        <w:rPr>
          <w:i/>
          <w:iCs/>
        </w:rPr>
        <w:t xml:space="preserve"> et </w:t>
      </w:r>
      <w:proofErr w:type="spellStart"/>
      <w:r w:rsidR="01BC324F" w:rsidRPr="01BC324F">
        <w:rPr>
          <w:i/>
          <w:iCs/>
        </w:rPr>
        <w:t>Soughir</w:t>
      </w:r>
      <w:proofErr w:type="spellEnd"/>
      <w:r w:rsidR="01BC324F" w:rsidRPr="01BC324F">
        <w:rPr>
          <w:i/>
          <w:iCs/>
        </w:rPr>
        <w:t xml:space="preserve"> c. Belgique</w:t>
      </w:r>
      <w:r w:rsidR="01BC324F">
        <w:t>, 5 décembre 2024, §§</w:t>
      </w:r>
      <w:r w:rsidR="00BC5BF2">
        <w:t xml:space="preserve"> </w:t>
      </w:r>
      <w:r w:rsidR="01BC324F">
        <w:t>6</w:t>
      </w:r>
      <w:r w:rsidR="00FC7C35">
        <w:t>, 7,</w:t>
      </w:r>
      <w:r w:rsidR="01BC324F">
        <w:t xml:space="preserve"> 14</w:t>
      </w:r>
      <w:r w:rsidR="00FC7C35">
        <w:t xml:space="preserve"> et 21</w:t>
      </w:r>
      <w:r w:rsidR="01BC324F">
        <w:t>.</w:t>
      </w:r>
    </w:p>
  </w:footnote>
  <w:footnote w:id="7">
    <w:p w14:paraId="00953544" w14:textId="07E09B4F" w:rsidR="000D2A27" w:rsidRPr="000D2A27" w:rsidRDefault="000D2A27" w:rsidP="003375E8">
      <w:pPr>
        <w:pStyle w:val="Notedebasdepage"/>
        <w:jc w:val="both"/>
      </w:pPr>
      <w:r>
        <w:rPr>
          <w:rStyle w:val="Appelnotedebasdep"/>
        </w:rPr>
        <w:footnoteRef/>
      </w:r>
      <w:r>
        <w:t xml:space="preserve"> Le ministère public peut également agir de la sorte </w:t>
      </w:r>
      <w:r w:rsidR="003375E8">
        <w:t>lorsqu’une fraude a été commise dans l’obtention de la nationalité belge (article</w:t>
      </w:r>
      <w:r w:rsidR="00266B9D">
        <w:t> </w:t>
      </w:r>
      <w:r w:rsidR="003375E8">
        <w:t>23, §</w:t>
      </w:r>
      <w:r w:rsidR="007C6957">
        <w:t xml:space="preserve"> </w:t>
      </w:r>
      <w:r w:rsidR="003375E8">
        <w:t>1, 1° CNB).</w:t>
      </w:r>
    </w:p>
  </w:footnote>
  <w:footnote w:id="8">
    <w:p w14:paraId="73FFDE47" w14:textId="4F24996C" w:rsidR="00971825" w:rsidRDefault="00971825" w:rsidP="00971825">
      <w:pPr>
        <w:pStyle w:val="Notedebasdepage"/>
        <w:jc w:val="both"/>
      </w:pPr>
      <w:r>
        <w:rPr>
          <w:rStyle w:val="Appelnotedebasdep"/>
        </w:rPr>
        <w:footnoteRef/>
      </w:r>
      <w:r>
        <w:t xml:space="preserve"> La déchéance n’est néanmoins possible que dans les cas où la personne n’a pas acquis sa nationalité d’un auteur ou d’un adoptant belge au jour de sa naissance ni sur la base des articles</w:t>
      </w:r>
      <w:r w:rsidR="00266B9D">
        <w:t> </w:t>
      </w:r>
      <w:r>
        <w:t>11 et 11</w:t>
      </w:r>
      <w:r>
        <w:rPr>
          <w:i/>
          <w:iCs/>
        </w:rPr>
        <w:t>bis</w:t>
      </w:r>
      <w:r>
        <w:t xml:space="preserve"> du CNB</w:t>
      </w:r>
      <w:r w:rsidR="00150511">
        <w:t xml:space="preserve"> (la référence à l’article</w:t>
      </w:r>
      <w:r w:rsidR="0042260D">
        <w:t> </w:t>
      </w:r>
      <w:r w:rsidR="00150511">
        <w:t>11</w:t>
      </w:r>
      <w:r w:rsidR="00150511">
        <w:rPr>
          <w:i/>
          <w:iCs/>
        </w:rPr>
        <w:t>bis</w:t>
      </w:r>
      <w:r w:rsidR="00150511">
        <w:t xml:space="preserve"> est postérieure et date de la </w:t>
      </w:r>
      <w:r w:rsidR="004E11BA">
        <w:t>L</w:t>
      </w:r>
      <w:r w:rsidR="00150511">
        <w:t>oi du 18</w:t>
      </w:r>
      <w:r w:rsidR="006E64E9">
        <w:t> </w:t>
      </w:r>
      <w:r w:rsidR="00150511">
        <w:t>juin 2018</w:t>
      </w:r>
      <w:r w:rsidR="00BE1F2C" w:rsidRPr="00BE1F2C">
        <w:t> portant dispositions diverses en matière de droit civil et des dispositions en vue de promouvoir des formes alternatives de résolution des litiges</w:t>
      </w:r>
      <w:r w:rsidR="00150511">
        <w:t>,</w:t>
      </w:r>
      <w:r w:rsidR="00BE1F2C">
        <w:t xml:space="preserve"> </w:t>
      </w:r>
      <w:r w:rsidR="00150511">
        <w:rPr>
          <w:i/>
          <w:iCs/>
        </w:rPr>
        <w:t>M.B.</w:t>
      </w:r>
      <w:r w:rsidR="00150511">
        <w:t xml:space="preserve">, </w:t>
      </w:r>
      <w:r w:rsidR="00BE1F2C">
        <w:t>2</w:t>
      </w:r>
      <w:r w:rsidR="006E64E9">
        <w:t> </w:t>
      </w:r>
      <w:r w:rsidR="00BE1F2C">
        <w:t>juillet 2018)</w:t>
      </w:r>
      <w:r>
        <w:t>. La constitutionnalité de cette différence de traitement basée sur le mode d’acquisition de la nationalité</w:t>
      </w:r>
      <w:r w:rsidR="00C677AF">
        <w:t xml:space="preserve"> </w:t>
      </w:r>
      <w:r>
        <w:t>a été soulevée devant la Cour constitutionnelle. Cette dernière a estimé que la différence de traitement était raisonnablement justifiée. C.</w:t>
      </w:r>
      <w:r w:rsidR="000C22D0">
        <w:t>C.</w:t>
      </w:r>
      <w:r>
        <w:t>,</w:t>
      </w:r>
      <w:r w:rsidR="00804548">
        <w:t xml:space="preserve"> 14</w:t>
      </w:r>
      <w:r w:rsidR="006E64E9">
        <w:t> </w:t>
      </w:r>
      <w:r w:rsidR="00804548">
        <w:t xml:space="preserve">mai 2009, </w:t>
      </w:r>
      <w:r w:rsidR="00152C39">
        <w:t xml:space="preserve">n° 85/2009, </w:t>
      </w:r>
      <w:r w:rsidR="00804548">
        <w:t xml:space="preserve">cons. </w:t>
      </w:r>
      <w:r w:rsidR="003B2C50">
        <w:t>B.8.</w:t>
      </w:r>
      <w:r w:rsidR="00804548">
        <w:t xml:space="preserve"> </w:t>
      </w:r>
      <w:proofErr w:type="gramStart"/>
      <w:r w:rsidR="00804548">
        <w:t>et</w:t>
      </w:r>
      <w:proofErr w:type="gramEnd"/>
      <w:r w:rsidR="00804548">
        <w:t xml:space="preserve"> C</w:t>
      </w:r>
      <w:r w:rsidR="000C22D0">
        <w:t>.C.</w:t>
      </w:r>
      <w:r w:rsidR="00804548">
        <w:t>,</w:t>
      </w:r>
      <w:r>
        <w:t xml:space="preserve"> 7</w:t>
      </w:r>
      <w:r w:rsidR="006E64E9">
        <w:t> </w:t>
      </w:r>
      <w:r>
        <w:t xml:space="preserve">février 2018, </w:t>
      </w:r>
      <w:r w:rsidR="00684241">
        <w:t xml:space="preserve">n° 16/2018, </w:t>
      </w:r>
      <w:r>
        <w:t>cons. B.8.1 à B.8.3.</w:t>
      </w:r>
    </w:p>
  </w:footnote>
  <w:footnote w:id="9">
    <w:p w14:paraId="4F2B3AFD" w14:textId="6D691187" w:rsidR="008C5E4F" w:rsidRPr="0094536C" w:rsidRDefault="008C5E4F" w:rsidP="00156A44">
      <w:pPr>
        <w:pStyle w:val="Notedebasdepage"/>
        <w:jc w:val="both"/>
      </w:pPr>
      <w:r w:rsidRPr="0092166E">
        <w:rPr>
          <w:rStyle w:val="Appelnotedebasdep"/>
        </w:rPr>
        <w:footnoteRef/>
      </w:r>
      <w:r w:rsidRPr="0092166E">
        <w:t xml:space="preserve"> Loi du </w:t>
      </w:r>
      <w:r w:rsidR="000C275C" w:rsidRPr="0092166E">
        <w:t>30</w:t>
      </w:r>
      <w:r w:rsidR="006E64E9">
        <w:t> </w:t>
      </w:r>
      <w:r w:rsidRPr="0092166E">
        <w:t>juillet 193</w:t>
      </w:r>
      <w:r w:rsidR="0092166E">
        <w:t>4 c</w:t>
      </w:r>
      <w:r w:rsidR="0092166E" w:rsidRPr="0092166E">
        <w:t xml:space="preserve">oncernant la déchéance de la nationalité, </w:t>
      </w:r>
      <w:r w:rsidR="0092166E" w:rsidRPr="0092166E">
        <w:rPr>
          <w:i/>
          <w:iCs/>
        </w:rPr>
        <w:t>M.B</w:t>
      </w:r>
      <w:r w:rsidR="0092166E" w:rsidRPr="0092166E">
        <w:t>., 5</w:t>
      </w:r>
      <w:r w:rsidR="006E64E9">
        <w:t> </w:t>
      </w:r>
      <w:r w:rsidR="0092166E" w:rsidRPr="0092166E">
        <w:t>août 1934</w:t>
      </w:r>
      <w:r w:rsidRPr="0092166E">
        <w:t xml:space="preserve">. </w:t>
      </w:r>
      <w:r w:rsidR="0092166E">
        <w:t xml:space="preserve">Précédemment, </w:t>
      </w:r>
      <w:r w:rsidR="006F1ED3">
        <w:t xml:space="preserve">ce n’est qu’à titre </w:t>
      </w:r>
      <w:r w:rsidR="00213DB9">
        <w:t>temporaire</w:t>
      </w:r>
      <w:r w:rsidR="006F1ED3">
        <w:t xml:space="preserve"> que </w:t>
      </w:r>
      <w:r w:rsidR="0092166E">
        <w:t>la déchéance de la nationalité belge existait</w:t>
      </w:r>
      <w:r w:rsidR="00561805">
        <w:t> :</w:t>
      </w:r>
      <w:r w:rsidR="00213DB9">
        <w:t xml:space="preserve"> e</w:t>
      </w:r>
      <w:r w:rsidR="00156A44">
        <w:t xml:space="preserve">lle </w:t>
      </w:r>
      <w:r w:rsidR="00561805">
        <w:t>avait vocation à s’appliquer</w:t>
      </w:r>
      <w:r w:rsidR="00156A44">
        <w:t xml:space="preserve"> à</w:t>
      </w:r>
      <w:r w:rsidR="006F1ED3">
        <w:t xml:space="preserve"> certains </w:t>
      </w:r>
      <w:r w:rsidR="0063781A">
        <w:t>B</w:t>
      </w:r>
      <w:r w:rsidR="006F1ED3">
        <w:t xml:space="preserve">elges s’étant </w:t>
      </w:r>
      <w:r w:rsidR="00156A44">
        <w:t>indignement conduits</w:t>
      </w:r>
      <w:r w:rsidR="006F1ED3">
        <w:t xml:space="preserve"> durant la Première </w:t>
      </w:r>
      <w:r w:rsidR="0063781A">
        <w:t>G</w:t>
      </w:r>
      <w:r w:rsidR="006F1ED3">
        <w:t>uerre mondiale</w:t>
      </w:r>
      <w:r w:rsidR="0092166E">
        <w:t>.</w:t>
      </w:r>
      <w:r w:rsidR="006F1ED3">
        <w:t xml:space="preserve"> </w:t>
      </w:r>
      <w:r w:rsidR="001A4BDA">
        <w:t>C</w:t>
      </w:r>
      <w:r w:rsidR="00B83119">
        <w:t>h</w:t>
      </w:r>
      <w:r w:rsidR="001A4BDA">
        <w:t xml:space="preserve">.-L. </w:t>
      </w:r>
      <w:r w:rsidR="001A4BDA" w:rsidRPr="001A4BDA">
        <w:rPr>
          <w:smallCaps/>
        </w:rPr>
        <w:t>Closset</w:t>
      </w:r>
      <w:r w:rsidR="00B83119">
        <w:t xml:space="preserve"> et B.</w:t>
      </w:r>
      <w:r w:rsidR="0042260D">
        <w:t> </w:t>
      </w:r>
      <w:r w:rsidR="00B83119" w:rsidRPr="00B83119">
        <w:rPr>
          <w:smallCaps/>
        </w:rPr>
        <w:t>Renauld</w:t>
      </w:r>
      <w:r w:rsidR="00B83119">
        <w:t>,</w:t>
      </w:r>
      <w:r w:rsidR="001A4BDA" w:rsidRPr="001A4BDA">
        <w:t xml:space="preserve"> </w:t>
      </w:r>
      <w:r w:rsidR="001A4BDA" w:rsidRPr="00B83119">
        <w:rPr>
          <w:i/>
          <w:iCs/>
        </w:rPr>
        <w:t>Traité de la nationalité en droit belge</w:t>
      </w:r>
      <w:r w:rsidR="001A4BDA" w:rsidRPr="001A4BDA">
        <w:t>, 3</w:t>
      </w:r>
      <w:r w:rsidR="001A4BDA" w:rsidRPr="00B83119">
        <w:rPr>
          <w:vertAlign w:val="superscript"/>
        </w:rPr>
        <w:t>e</w:t>
      </w:r>
      <w:r w:rsidR="003141E1">
        <w:t> </w:t>
      </w:r>
      <w:r w:rsidR="001A4BDA" w:rsidRPr="001A4BDA">
        <w:t>éd</w:t>
      </w:r>
      <w:r w:rsidR="00B83119">
        <w:t>.</w:t>
      </w:r>
      <w:r w:rsidR="001A4BDA" w:rsidRPr="001A4BDA">
        <w:t xml:space="preserve">, Bruxelles, Larcier, 2015, </w:t>
      </w:r>
      <w:r w:rsidR="001A4BDA">
        <w:t>p.</w:t>
      </w:r>
      <w:r w:rsidR="00266B9D">
        <w:t> </w:t>
      </w:r>
      <w:r w:rsidR="001A4BDA">
        <w:t>344.</w:t>
      </w:r>
    </w:p>
  </w:footnote>
  <w:footnote w:id="10">
    <w:p w14:paraId="6417DDD0" w14:textId="73BDE1D2" w:rsidR="007E16AE" w:rsidRPr="00093F17" w:rsidRDefault="007E16AE" w:rsidP="00872710">
      <w:pPr>
        <w:pStyle w:val="Notedebasdepage"/>
        <w:jc w:val="both"/>
        <w:rPr>
          <w:lang w:val="fr-FR"/>
        </w:rPr>
      </w:pPr>
      <w:r>
        <w:rPr>
          <w:rStyle w:val="Appelnotedebasdep"/>
        </w:rPr>
        <w:footnoteRef/>
      </w:r>
      <w:r>
        <w:t xml:space="preserve"> </w:t>
      </w:r>
      <w:r w:rsidR="00CC3696">
        <w:t>Loi du 28</w:t>
      </w:r>
      <w:r w:rsidR="006E64E9">
        <w:t> </w:t>
      </w:r>
      <w:r w:rsidR="00CC3696">
        <w:t xml:space="preserve">juin 1984 – Code de la nationalité belge, </w:t>
      </w:r>
      <w:r w:rsidR="00CC3696">
        <w:rPr>
          <w:i/>
          <w:iCs/>
        </w:rPr>
        <w:t>M.B.</w:t>
      </w:r>
      <w:r w:rsidR="00CC3696">
        <w:t>, 12</w:t>
      </w:r>
      <w:r w:rsidR="006E64E9">
        <w:t> </w:t>
      </w:r>
      <w:r w:rsidR="00CC3696">
        <w:t xml:space="preserve">juillet 1984. </w:t>
      </w:r>
      <w:r w:rsidR="00F93779">
        <w:rPr>
          <w:lang w:val="fr-FR"/>
        </w:rPr>
        <w:t xml:space="preserve">En 2006, le législateur </w:t>
      </w:r>
      <w:r w:rsidR="00CC3696">
        <w:rPr>
          <w:lang w:val="fr-FR"/>
        </w:rPr>
        <w:t>a ajouté une nouvelle cause de déchéance de nationalité pour motif de fraude</w:t>
      </w:r>
      <w:r w:rsidR="00093F17">
        <w:rPr>
          <w:lang w:val="fr-FR"/>
        </w:rPr>
        <w:t xml:space="preserve">. </w:t>
      </w:r>
      <w:r w:rsidR="00CC3696">
        <w:rPr>
          <w:lang w:val="fr-FR"/>
        </w:rPr>
        <w:t>L</w:t>
      </w:r>
      <w:r w:rsidR="00093F17">
        <w:rPr>
          <w:lang w:val="fr-FR"/>
        </w:rPr>
        <w:t>oi du 27</w:t>
      </w:r>
      <w:r w:rsidR="006E64E9">
        <w:rPr>
          <w:lang w:val="fr-FR"/>
        </w:rPr>
        <w:t> </w:t>
      </w:r>
      <w:r w:rsidR="00093F17">
        <w:rPr>
          <w:lang w:val="fr-FR"/>
        </w:rPr>
        <w:t xml:space="preserve">décembre 2006 portant des dispositions diverses, </w:t>
      </w:r>
      <w:r w:rsidR="00093F17">
        <w:rPr>
          <w:i/>
          <w:iCs/>
          <w:lang w:val="fr-FR"/>
        </w:rPr>
        <w:t>M.B.</w:t>
      </w:r>
      <w:r w:rsidR="00093F17">
        <w:rPr>
          <w:lang w:val="fr-FR"/>
        </w:rPr>
        <w:t>, 28</w:t>
      </w:r>
      <w:r w:rsidR="006E64E9">
        <w:rPr>
          <w:lang w:val="fr-FR"/>
        </w:rPr>
        <w:t> </w:t>
      </w:r>
      <w:r w:rsidR="00093F17">
        <w:rPr>
          <w:lang w:val="fr-FR"/>
        </w:rPr>
        <w:t>décembre 2006.</w:t>
      </w:r>
      <w:r w:rsidR="00CA5F15">
        <w:rPr>
          <w:lang w:val="fr-FR"/>
        </w:rPr>
        <w:t xml:space="preserve"> B.</w:t>
      </w:r>
      <w:r w:rsidR="0042260D">
        <w:rPr>
          <w:lang w:val="fr-FR"/>
        </w:rPr>
        <w:t> </w:t>
      </w:r>
      <w:r w:rsidR="00CA5F15" w:rsidRPr="00CC3696">
        <w:rPr>
          <w:smallCaps/>
          <w:lang w:val="fr-FR"/>
        </w:rPr>
        <w:t>Renauld</w:t>
      </w:r>
      <w:r w:rsidR="00CA5F15">
        <w:rPr>
          <w:lang w:val="fr-FR"/>
        </w:rPr>
        <w:t xml:space="preserve">, </w:t>
      </w:r>
      <w:r w:rsidR="009F0A00">
        <w:rPr>
          <w:lang w:val="fr-FR"/>
        </w:rPr>
        <w:t>«</w:t>
      </w:r>
      <w:r w:rsidR="0042260D">
        <w:rPr>
          <w:rFonts w:ascii="Arial" w:hAnsi="Arial" w:cs="Arial"/>
          <w:lang w:val="fr-FR"/>
        </w:rPr>
        <w:t> </w:t>
      </w:r>
      <w:r w:rsidR="009F0A00">
        <w:rPr>
          <w:lang w:val="fr-FR"/>
        </w:rPr>
        <w:t>La législation belge relative à la nationalité</w:t>
      </w:r>
      <w:r w:rsidR="00266B9D">
        <w:rPr>
          <w:lang w:val="fr-FR"/>
        </w:rPr>
        <w:t> </w:t>
      </w:r>
      <w:r w:rsidR="009F0A00">
        <w:rPr>
          <w:lang w:val="fr-FR"/>
        </w:rPr>
        <w:t>1984 – 2013</w:t>
      </w:r>
      <w:r w:rsidR="0042260D">
        <w:rPr>
          <w:rFonts w:ascii="Arial" w:hAnsi="Arial" w:cs="Arial"/>
          <w:lang w:val="fr-FR"/>
        </w:rPr>
        <w:t> </w:t>
      </w:r>
      <w:r w:rsidR="009F0A00">
        <w:rPr>
          <w:lang w:val="fr-FR"/>
        </w:rPr>
        <w:t>»,</w:t>
      </w:r>
      <w:r w:rsidR="00E6510D">
        <w:rPr>
          <w:lang w:val="fr-FR"/>
        </w:rPr>
        <w:t xml:space="preserve"> </w:t>
      </w:r>
      <w:r w:rsidR="00E6510D" w:rsidRPr="00E204EC">
        <w:rPr>
          <w:i/>
          <w:iCs/>
          <w:lang w:val="fr-FR"/>
        </w:rPr>
        <w:t>in</w:t>
      </w:r>
      <w:r w:rsidR="009F0A00">
        <w:rPr>
          <w:lang w:val="fr-FR"/>
        </w:rPr>
        <w:t xml:space="preserve"> </w:t>
      </w:r>
      <w:r w:rsidR="009F0A00" w:rsidRPr="007E16AE">
        <w:rPr>
          <w:smallCaps/>
          <w:lang w:val="fr-FR"/>
        </w:rPr>
        <w:t>F.</w:t>
      </w:r>
      <w:r w:rsidR="0042260D">
        <w:rPr>
          <w:smallCaps/>
          <w:lang w:val="fr-FR"/>
        </w:rPr>
        <w:t> </w:t>
      </w:r>
      <w:proofErr w:type="spellStart"/>
      <w:r w:rsidR="009F0A00" w:rsidRPr="007E16AE">
        <w:rPr>
          <w:smallCaps/>
          <w:lang w:val="fr-FR"/>
        </w:rPr>
        <w:t>Caestecker</w:t>
      </w:r>
      <w:proofErr w:type="spellEnd"/>
      <w:r w:rsidR="009F0A00" w:rsidRPr="007E16AE">
        <w:rPr>
          <w:smallCaps/>
          <w:lang w:val="fr-FR"/>
        </w:rPr>
        <w:t>, B.</w:t>
      </w:r>
      <w:r w:rsidR="0042260D">
        <w:rPr>
          <w:smallCaps/>
          <w:lang w:val="fr-FR"/>
        </w:rPr>
        <w:t> </w:t>
      </w:r>
      <w:r w:rsidR="009F0A00" w:rsidRPr="007E16AE">
        <w:rPr>
          <w:smallCaps/>
          <w:lang w:val="fr-FR"/>
        </w:rPr>
        <w:t>Renauld, N.</w:t>
      </w:r>
      <w:r w:rsidR="0042260D">
        <w:rPr>
          <w:smallCaps/>
          <w:lang w:val="fr-FR"/>
        </w:rPr>
        <w:t> </w:t>
      </w:r>
      <w:r w:rsidR="009F0A00" w:rsidRPr="007E16AE">
        <w:rPr>
          <w:smallCaps/>
          <w:lang w:val="fr-FR"/>
        </w:rPr>
        <w:t xml:space="preserve">Perrin </w:t>
      </w:r>
      <w:r w:rsidR="009F0A00">
        <w:rPr>
          <w:lang w:val="fr-FR"/>
        </w:rPr>
        <w:t xml:space="preserve">et </w:t>
      </w:r>
      <w:r w:rsidR="009F0A00" w:rsidRPr="007E16AE">
        <w:rPr>
          <w:smallCaps/>
          <w:lang w:val="fr-FR"/>
        </w:rPr>
        <w:t xml:space="preserve">Th. </w:t>
      </w:r>
      <w:proofErr w:type="spellStart"/>
      <w:r w:rsidR="009F0A00" w:rsidRPr="007E16AE">
        <w:rPr>
          <w:smallCaps/>
          <w:lang w:val="fr-FR"/>
        </w:rPr>
        <w:t>Eggerickx</w:t>
      </w:r>
      <w:proofErr w:type="spellEnd"/>
      <w:r w:rsidR="009F0A00">
        <w:rPr>
          <w:lang w:val="fr-FR"/>
        </w:rPr>
        <w:t xml:space="preserve">, </w:t>
      </w:r>
      <w:r w:rsidR="009F0A00">
        <w:rPr>
          <w:i/>
          <w:iCs/>
          <w:lang w:val="fr-FR"/>
        </w:rPr>
        <w:t>Devenir belge – Histoire de l’acquisition de la nationalité belge depuis 1830</w:t>
      </w:r>
      <w:r w:rsidR="009F0A00">
        <w:rPr>
          <w:lang w:val="fr-FR"/>
        </w:rPr>
        <w:t>, Mechelen, Wolters Kluwer et Myria, 2016</w:t>
      </w:r>
      <w:r w:rsidR="00CA5F15">
        <w:rPr>
          <w:lang w:val="fr-FR"/>
        </w:rPr>
        <w:t xml:space="preserve">, </w:t>
      </w:r>
      <w:r w:rsidR="00AD0B61">
        <w:rPr>
          <w:lang w:val="fr-FR"/>
        </w:rPr>
        <w:t>p.</w:t>
      </w:r>
      <w:r w:rsidR="00266B9D">
        <w:rPr>
          <w:lang w:val="fr-FR"/>
        </w:rPr>
        <w:t> </w:t>
      </w:r>
      <w:r w:rsidR="00AD0B61">
        <w:rPr>
          <w:lang w:val="fr-FR"/>
        </w:rPr>
        <w:t>117.</w:t>
      </w:r>
    </w:p>
  </w:footnote>
  <w:footnote w:id="11">
    <w:p w14:paraId="5B1DB5C1" w14:textId="6FDAA857" w:rsidR="009F0A00" w:rsidRPr="00AD0B61" w:rsidRDefault="009F0A00" w:rsidP="00612804">
      <w:pPr>
        <w:pStyle w:val="Notedebasdepage"/>
        <w:jc w:val="both"/>
        <w:rPr>
          <w:lang w:val="fr-FR"/>
        </w:rPr>
      </w:pPr>
      <w:r>
        <w:rPr>
          <w:rStyle w:val="Appelnotedebasdep"/>
        </w:rPr>
        <w:footnoteRef/>
      </w:r>
      <w:r w:rsidRPr="00AD0B61">
        <w:rPr>
          <w:lang w:val="fr-FR"/>
        </w:rPr>
        <w:t xml:space="preserve"> </w:t>
      </w:r>
      <w:r w:rsidR="0034284C">
        <w:rPr>
          <w:lang w:val="fr-FR"/>
        </w:rPr>
        <w:t xml:space="preserve">En réponse à une question parlementaire, le </w:t>
      </w:r>
      <w:r w:rsidR="0063781A">
        <w:rPr>
          <w:lang w:val="fr-FR"/>
        </w:rPr>
        <w:t>m</w:t>
      </w:r>
      <w:r w:rsidR="0034284C">
        <w:rPr>
          <w:lang w:val="fr-FR"/>
        </w:rPr>
        <w:t xml:space="preserve">inistre de </w:t>
      </w:r>
      <w:proofErr w:type="gramStart"/>
      <w:r w:rsidR="0034284C">
        <w:rPr>
          <w:lang w:val="fr-FR"/>
        </w:rPr>
        <w:t>l’époque</w:t>
      </w:r>
      <w:proofErr w:type="gramEnd"/>
      <w:r w:rsidR="0034284C">
        <w:rPr>
          <w:lang w:val="fr-FR"/>
        </w:rPr>
        <w:t xml:space="preserve"> évoque les chiffres de </w:t>
      </w:r>
      <w:r w:rsidR="009929EE">
        <w:rPr>
          <w:lang w:val="fr-FR"/>
        </w:rPr>
        <w:t xml:space="preserve">quatre déchéances prononcées avant la Deuxième </w:t>
      </w:r>
      <w:r w:rsidR="0063781A">
        <w:rPr>
          <w:lang w:val="fr-FR"/>
        </w:rPr>
        <w:t>G</w:t>
      </w:r>
      <w:r w:rsidR="009929EE">
        <w:rPr>
          <w:lang w:val="fr-FR"/>
        </w:rPr>
        <w:t>uerre mondiale et 34</w:t>
      </w:r>
      <w:r w:rsidR="003141E1">
        <w:rPr>
          <w:lang w:val="fr-FR"/>
        </w:rPr>
        <w:t> </w:t>
      </w:r>
      <w:r w:rsidR="009929EE">
        <w:rPr>
          <w:lang w:val="fr-FR"/>
        </w:rPr>
        <w:t>déchéances dans l’immédiat après-guerre</w:t>
      </w:r>
      <w:r w:rsidR="009929EE" w:rsidRPr="004357ED">
        <w:rPr>
          <w:lang w:val="fr-FR"/>
        </w:rPr>
        <w:t>. Depuis, l</w:t>
      </w:r>
      <w:r w:rsidR="00AD0B61" w:rsidRPr="004357ED">
        <w:rPr>
          <w:lang w:val="fr-FR"/>
        </w:rPr>
        <w:t>a disposition n’avait plus été utilisée.</w:t>
      </w:r>
      <w:r w:rsidR="00AD0B61">
        <w:rPr>
          <w:lang w:val="fr-FR"/>
        </w:rPr>
        <w:t xml:space="preserve"> </w:t>
      </w:r>
      <w:r w:rsidR="00612804">
        <w:rPr>
          <w:lang w:val="fr-FR"/>
        </w:rPr>
        <w:t>R</w:t>
      </w:r>
      <w:r w:rsidR="00612804" w:rsidRPr="00612804">
        <w:rPr>
          <w:lang w:val="fr-FR"/>
        </w:rPr>
        <w:t>éponse donnée le 15</w:t>
      </w:r>
      <w:r w:rsidR="006E64E9">
        <w:rPr>
          <w:lang w:val="fr-FR"/>
        </w:rPr>
        <w:t> </w:t>
      </w:r>
      <w:r w:rsidR="00612804" w:rsidRPr="00612804">
        <w:rPr>
          <w:lang w:val="fr-FR"/>
        </w:rPr>
        <w:t>octobre 2012 à la question n°</w:t>
      </w:r>
      <w:r w:rsidR="00266B9D">
        <w:rPr>
          <w:lang w:val="fr-FR"/>
        </w:rPr>
        <w:t> </w:t>
      </w:r>
      <w:r w:rsidR="00612804">
        <w:rPr>
          <w:lang w:val="fr-FR"/>
        </w:rPr>
        <w:t>664</w:t>
      </w:r>
      <w:r w:rsidR="00612804" w:rsidRPr="00612804">
        <w:rPr>
          <w:lang w:val="fr-FR"/>
        </w:rPr>
        <w:t xml:space="preserve"> de </w:t>
      </w:r>
      <w:r w:rsidR="00612804">
        <w:rPr>
          <w:lang w:val="fr-FR"/>
        </w:rPr>
        <w:t>M</w:t>
      </w:r>
      <w:r w:rsidR="00612804" w:rsidRPr="00612804">
        <w:rPr>
          <w:lang w:val="fr-FR"/>
        </w:rPr>
        <w:t>.</w:t>
      </w:r>
      <w:r w:rsidR="00612804">
        <w:rPr>
          <w:lang w:val="fr-FR"/>
        </w:rPr>
        <w:t xml:space="preserve"> Simon</w:t>
      </w:r>
      <w:r w:rsidR="00612804" w:rsidRPr="00612804">
        <w:rPr>
          <w:lang w:val="fr-FR"/>
        </w:rPr>
        <w:t xml:space="preserve">s, </w:t>
      </w:r>
      <w:proofErr w:type="spellStart"/>
      <w:r w:rsidR="00612804">
        <w:rPr>
          <w:i/>
          <w:iCs/>
          <w:lang w:val="fr-FR"/>
        </w:rPr>
        <w:t>Rev</w:t>
      </w:r>
      <w:proofErr w:type="spellEnd"/>
      <w:r w:rsidR="00612804">
        <w:rPr>
          <w:i/>
          <w:iCs/>
          <w:lang w:val="fr-FR"/>
        </w:rPr>
        <w:t xml:space="preserve">. </w:t>
      </w:r>
      <w:proofErr w:type="spellStart"/>
      <w:r w:rsidR="00612804">
        <w:rPr>
          <w:i/>
          <w:iCs/>
          <w:lang w:val="fr-FR"/>
        </w:rPr>
        <w:t>dr</w:t>
      </w:r>
      <w:proofErr w:type="spellEnd"/>
      <w:r w:rsidR="00612804">
        <w:rPr>
          <w:i/>
          <w:iCs/>
          <w:lang w:val="fr-FR"/>
        </w:rPr>
        <w:t xml:space="preserve">. </w:t>
      </w:r>
      <w:proofErr w:type="spellStart"/>
      <w:r w:rsidR="00612804">
        <w:rPr>
          <w:i/>
          <w:iCs/>
          <w:lang w:val="fr-FR"/>
        </w:rPr>
        <w:t>étr</w:t>
      </w:r>
      <w:proofErr w:type="spellEnd"/>
      <w:r w:rsidR="00612804">
        <w:rPr>
          <w:i/>
          <w:iCs/>
          <w:lang w:val="fr-FR"/>
        </w:rPr>
        <w:t>.</w:t>
      </w:r>
      <w:r w:rsidR="00612804" w:rsidRPr="00612804">
        <w:rPr>
          <w:lang w:val="fr-FR"/>
        </w:rPr>
        <w:t xml:space="preserve">, </w:t>
      </w:r>
      <w:r w:rsidR="00612804">
        <w:rPr>
          <w:lang w:val="fr-FR"/>
        </w:rPr>
        <w:t>1991</w:t>
      </w:r>
      <w:r w:rsidR="00612804" w:rsidRPr="00612804">
        <w:rPr>
          <w:lang w:val="fr-FR"/>
        </w:rPr>
        <w:t>, n°</w:t>
      </w:r>
      <w:r w:rsidR="00266B9D">
        <w:rPr>
          <w:lang w:val="fr-FR"/>
        </w:rPr>
        <w:t> </w:t>
      </w:r>
      <w:r w:rsidR="00612804" w:rsidRPr="00612804">
        <w:rPr>
          <w:lang w:val="fr-FR"/>
        </w:rPr>
        <w:t>6</w:t>
      </w:r>
      <w:r w:rsidR="00612804">
        <w:rPr>
          <w:lang w:val="fr-FR"/>
        </w:rPr>
        <w:t>4</w:t>
      </w:r>
      <w:r w:rsidR="00612804" w:rsidRPr="00612804">
        <w:rPr>
          <w:lang w:val="fr-FR"/>
        </w:rPr>
        <w:t>, p.</w:t>
      </w:r>
      <w:r w:rsidR="00266B9D">
        <w:rPr>
          <w:lang w:val="fr-FR"/>
        </w:rPr>
        <w:t> </w:t>
      </w:r>
      <w:r w:rsidR="00612804">
        <w:rPr>
          <w:lang w:val="fr-FR"/>
        </w:rPr>
        <w:t>30</w:t>
      </w:r>
      <w:r w:rsidR="00612804" w:rsidRPr="00612804">
        <w:rPr>
          <w:lang w:val="fr-FR"/>
        </w:rPr>
        <w:t>1</w:t>
      </w:r>
      <w:r w:rsidR="00612804">
        <w:rPr>
          <w:lang w:val="fr-FR"/>
        </w:rPr>
        <w:t xml:space="preserve">, cité par </w:t>
      </w:r>
      <w:r w:rsidRPr="00AD0B61">
        <w:rPr>
          <w:lang w:val="fr-FR"/>
        </w:rPr>
        <w:t>B.</w:t>
      </w:r>
      <w:r w:rsidR="0042260D">
        <w:rPr>
          <w:lang w:val="fr-FR"/>
        </w:rPr>
        <w:t> </w:t>
      </w:r>
      <w:r w:rsidRPr="00AD0B61">
        <w:rPr>
          <w:smallCaps/>
          <w:lang w:val="fr-FR"/>
        </w:rPr>
        <w:t>Renauld</w:t>
      </w:r>
      <w:r w:rsidRPr="00AD0B61">
        <w:rPr>
          <w:lang w:val="fr-FR"/>
        </w:rPr>
        <w:t xml:space="preserve">, </w:t>
      </w:r>
      <w:r w:rsidRPr="00AD0B61">
        <w:rPr>
          <w:i/>
          <w:iCs/>
          <w:lang w:val="fr-FR"/>
        </w:rPr>
        <w:t xml:space="preserve">op. </w:t>
      </w:r>
      <w:proofErr w:type="spellStart"/>
      <w:proofErr w:type="gramStart"/>
      <w:r w:rsidRPr="00AD0B61">
        <w:rPr>
          <w:i/>
          <w:iCs/>
          <w:lang w:val="fr-FR"/>
        </w:rPr>
        <w:t>cit</w:t>
      </w:r>
      <w:proofErr w:type="spellEnd"/>
      <w:proofErr w:type="gramEnd"/>
      <w:r w:rsidRPr="00AD0B61">
        <w:rPr>
          <w:i/>
          <w:iCs/>
          <w:lang w:val="fr-FR"/>
        </w:rPr>
        <w:t>.</w:t>
      </w:r>
      <w:r w:rsidRPr="00AD0B61">
        <w:rPr>
          <w:lang w:val="fr-FR"/>
        </w:rPr>
        <w:t xml:space="preserve">, </w:t>
      </w:r>
      <w:r w:rsidR="00AD0B61">
        <w:rPr>
          <w:lang w:val="fr-FR"/>
        </w:rPr>
        <w:t>pp.</w:t>
      </w:r>
      <w:r w:rsidR="00266B9D">
        <w:rPr>
          <w:lang w:val="fr-FR"/>
        </w:rPr>
        <w:t> </w:t>
      </w:r>
      <w:r w:rsidR="00AD0B61">
        <w:rPr>
          <w:lang w:val="fr-FR"/>
        </w:rPr>
        <w:t>156 et 162.</w:t>
      </w:r>
    </w:p>
  </w:footnote>
  <w:footnote w:id="12">
    <w:p w14:paraId="61FFF4D6" w14:textId="14071AEA" w:rsidR="00FC346F" w:rsidRPr="00FC346F" w:rsidRDefault="00FC346F" w:rsidP="00B36D95">
      <w:pPr>
        <w:pStyle w:val="Notedebasdepage"/>
        <w:jc w:val="both"/>
        <w:rPr>
          <w:lang w:val="fr-FR"/>
        </w:rPr>
      </w:pPr>
      <w:r>
        <w:rPr>
          <w:rStyle w:val="Appelnotedebasdep"/>
        </w:rPr>
        <w:footnoteRef/>
      </w:r>
      <w:r>
        <w:t xml:space="preserve"> La doctrine relève une première application en 2009 (</w:t>
      </w:r>
      <w:r w:rsidR="00B36D95" w:rsidRPr="00AD0B61">
        <w:rPr>
          <w:lang w:val="fr-FR"/>
        </w:rPr>
        <w:t xml:space="preserve">B. </w:t>
      </w:r>
      <w:r w:rsidR="00B36D95" w:rsidRPr="00AD0B61">
        <w:rPr>
          <w:smallCaps/>
          <w:lang w:val="fr-FR"/>
        </w:rPr>
        <w:t>Renauld</w:t>
      </w:r>
      <w:r w:rsidR="00B36D95" w:rsidRPr="00AD0B61">
        <w:rPr>
          <w:lang w:val="fr-FR"/>
        </w:rPr>
        <w:t xml:space="preserve">, </w:t>
      </w:r>
      <w:r w:rsidR="00B36D95" w:rsidRPr="00AD0B61">
        <w:rPr>
          <w:i/>
          <w:iCs/>
          <w:lang w:val="fr-FR"/>
        </w:rPr>
        <w:t xml:space="preserve">op. </w:t>
      </w:r>
      <w:proofErr w:type="spellStart"/>
      <w:proofErr w:type="gramStart"/>
      <w:r w:rsidR="00B36D95" w:rsidRPr="00AD0B61">
        <w:rPr>
          <w:i/>
          <w:iCs/>
          <w:lang w:val="fr-FR"/>
        </w:rPr>
        <w:t>cit</w:t>
      </w:r>
      <w:proofErr w:type="spellEnd"/>
      <w:proofErr w:type="gramEnd"/>
      <w:r w:rsidR="00B36D95" w:rsidRPr="00AD0B61">
        <w:rPr>
          <w:i/>
          <w:iCs/>
          <w:lang w:val="fr-FR"/>
        </w:rPr>
        <w:t>.</w:t>
      </w:r>
      <w:r w:rsidR="00B36D95" w:rsidRPr="00AD0B61">
        <w:rPr>
          <w:lang w:val="fr-FR"/>
        </w:rPr>
        <w:t xml:space="preserve">, </w:t>
      </w:r>
      <w:r w:rsidR="00B36D95">
        <w:rPr>
          <w:lang w:val="fr-FR"/>
        </w:rPr>
        <w:t>p.</w:t>
      </w:r>
      <w:r w:rsidR="00266B9D">
        <w:rPr>
          <w:lang w:val="fr-FR"/>
        </w:rPr>
        <w:t> </w:t>
      </w:r>
      <w:r w:rsidR="00B36D95">
        <w:rPr>
          <w:lang w:val="fr-FR"/>
        </w:rPr>
        <w:t>162</w:t>
      </w:r>
      <w:r>
        <w:t>)</w:t>
      </w:r>
      <w:r w:rsidR="005066E3">
        <w:t>.</w:t>
      </w:r>
    </w:p>
  </w:footnote>
  <w:footnote w:id="13">
    <w:p w14:paraId="5483EB53" w14:textId="7359620E" w:rsidR="00636D06" w:rsidRPr="00BC4CB5" w:rsidRDefault="001845E7" w:rsidP="00BC4CB5">
      <w:pPr>
        <w:pStyle w:val="Notedebasdepage"/>
        <w:jc w:val="both"/>
      </w:pPr>
      <w:r>
        <w:rPr>
          <w:rStyle w:val="Appelnotedebasdep"/>
        </w:rPr>
        <w:footnoteRef/>
      </w:r>
      <w:r>
        <w:t xml:space="preserve"> </w:t>
      </w:r>
      <w:r w:rsidR="00636D06">
        <w:t>Proposition de loi</w:t>
      </w:r>
      <w:r w:rsidR="00636D06" w:rsidRPr="00636D06">
        <w:t xml:space="preserve"> modifiant le Code de la nationalité belge afin de rendre l’acquisition de la nationalité belge neutre du point de vue de l’immigration </w:t>
      </w:r>
      <w:r w:rsidR="00636D06" w:rsidRPr="00636D06">
        <w:rPr>
          <w:i/>
          <w:iCs/>
        </w:rPr>
        <w:t>Doc.</w:t>
      </w:r>
      <w:r w:rsidR="00636D06" w:rsidRPr="00636D06">
        <w:t>, Ch</w:t>
      </w:r>
      <w:r w:rsidR="00636D06">
        <w:t>.</w:t>
      </w:r>
      <w:r w:rsidR="00636D06" w:rsidRPr="00636D06">
        <w:t>, 2010-2011, n</w:t>
      </w:r>
      <w:r w:rsidR="00636D06">
        <w:t>°</w:t>
      </w:r>
      <w:r w:rsidR="00636D06" w:rsidRPr="00636D06">
        <w:t> 476/001</w:t>
      </w:r>
      <w:r w:rsidR="00636D06">
        <w:t>, p.</w:t>
      </w:r>
      <w:r w:rsidR="00266B9D">
        <w:t> </w:t>
      </w:r>
      <w:r w:rsidR="00636D06">
        <w:t>11.</w:t>
      </w:r>
    </w:p>
  </w:footnote>
  <w:footnote w:id="14">
    <w:p w14:paraId="36275D6D" w14:textId="77777777" w:rsidR="00B5300D" w:rsidRPr="00FF4EB8" w:rsidRDefault="00B5300D" w:rsidP="00BC4CB5">
      <w:pPr>
        <w:pStyle w:val="Notedebasdepage"/>
        <w:jc w:val="both"/>
        <w:rPr>
          <w:lang w:val="fr-FR"/>
        </w:rPr>
      </w:pPr>
      <w:r>
        <w:rPr>
          <w:rStyle w:val="Appelnotedebasdep"/>
        </w:rPr>
        <w:footnoteRef/>
      </w:r>
      <w:r>
        <w:t xml:space="preserve"> D’autres motifs comme la commission de certaines infractions pénales ou la conclusion d’un mariage de complaisance permettent également au juge de prononcer la déchéance de nationalité. </w:t>
      </w:r>
    </w:p>
  </w:footnote>
  <w:footnote w:id="15">
    <w:p w14:paraId="363F907B" w14:textId="77777777" w:rsidR="31AE0488" w:rsidRDefault="31AE0488" w:rsidP="00281461">
      <w:pPr>
        <w:pStyle w:val="Notedebasdepage"/>
        <w:jc w:val="both"/>
      </w:pPr>
      <w:r w:rsidRPr="31AE0488">
        <w:rPr>
          <w:rStyle w:val="Appelnotedebasdep"/>
        </w:rPr>
        <w:footnoteRef/>
      </w:r>
      <w:r>
        <w:t xml:space="preserve"> Loi du 4 décembre 2012 modifiant le Code de la nationalité belge afin de rendre l’acquisition de la nationalité belge neutre du point de vue de l’immigration, </w:t>
      </w:r>
      <w:r w:rsidRPr="31AE0488">
        <w:rPr>
          <w:i/>
          <w:iCs/>
        </w:rPr>
        <w:t>M.B.</w:t>
      </w:r>
      <w:r>
        <w:t>, 14 décembre 2012.</w:t>
      </w:r>
    </w:p>
  </w:footnote>
  <w:footnote w:id="16">
    <w:p w14:paraId="20CCEE01" w14:textId="77777777" w:rsidR="31AE0488" w:rsidRDefault="31AE0488" w:rsidP="31AE0488">
      <w:pPr>
        <w:pStyle w:val="Notedebasdepage"/>
        <w:rPr>
          <w:lang w:val="fr-FR"/>
        </w:rPr>
      </w:pPr>
      <w:r w:rsidRPr="31AE0488">
        <w:rPr>
          <w:rStyle w:val="Appelnotedebasdep"/>
        </w:rPr>
        <w:footnoteRef/>
      </w:r>
      <w:r>
        <w:t xml:space="preserve"> Loi du 20 juillet 2015 visant à renforcer la lutte contre le terrorisme, </w:t>
      </w:r>
      <w:r w:rsidRPr="31AE0488">
        <w:rPr>
          <w:i/>
          <w:iCs/>
        </w:rPr>
        <w:t>M.B.</w:t>
      </w:r>
      <w:r>
        <w:t>, 5 août 2015.</w:t>
      </w:r>
    </w:p>
  </w:footnote>
  <w:footnote w:id="17">
    <w:p w14:paraId="66FAE282" w14:textId="7B20ABE3" w:rsidR="00984DA7" w:rsidRPr="00A04C61" w:rsidRDefault="00984DA7" w:rsidP="00984DA7">
      <w:pPr>
        <w:pStyle w:val="Notedebasdepage"/>
        <w:jc w:val="both"/>
      </w:pPr>
      <w:r>
        <w:rPr>
          <w:rStyle w:val="Appelnotedebasdep"/>
        </w:rPr>
        <w:footnoteRef/>
      </w:r>
      <w:r w:rsidR="31AE0488">
        <w:t xml:space="preserve"> Comme le suggérait la doctrine (P. </w:t>
      </w:r>
      <w:r w:rsidR="31AE0488" w:rsidRPr="00FB6283">
        <w:rPr>
          <w:smallCaps/>
        </w:rPr>
        <w:t>Wautelet</w:t>
      </w:r>
      <w:r w:rsidR="31AE0488">
        <w:t xml:space="preserve">, « Considération finale », </w:t>
      </w:r>
      <w:r w:rsidR="31AE0488" w:rsidRPr="00E204EC">
        <w:rPr>
          <w:i/>
          <w:iCs/>
          <w:lang w:val="fr-FR"/>
        </w:rPr>
        <w:t>in</w:t>
      </w:r>
      <w:r w:rsidR="31AE0488">
        <w:rPr>
          <w:lang w:val="fr-FR"/>
        </w:rPr>
        <w:t xml:space="preserve"> </w:t>
      </w:r>
      <w:r w:rsidR="31AE0488" w:rsidRPr="007E16AE">
        <w:rPr>
          <w:smallCaps/>
          <w:lang w:val="fr-FR"/>
        </w:rPr>
        <w:t xml:space="preserve">F. </w:t>
      </w:r>
      <w:proofErr w:type="spellStart"/>
      <w:r w:rsidR="31AE0488" w:rsidRPr="007E16AE">
        <w:rPr>
          <w:smallCaps/>
          <w:lang w:val="fr-FR"/>
        </w:rPr>
        <w:t>Caestecker</w:t>
      </w:r>
      <w:proofErr w:type="spellEnd"/>
      <w:r w:rsidR="31AE0488" w:rsidRPr="007E16AE">
        <w:rPr>
          <w:smallCaps/>
          <w:lang w:val="fr-FR"/>
        </w:rPr>
        <w:t xml:space="preserve">, B. Renauld, N. Perrin </w:t>
      </w:r>
      <w:r w:rsidR="31AE0488">
        <w:rPr>
          <w:lang w:val="fr-FR"/>
        </w:rPr>
        <w:t xml:space="preserve">et </w:t>
      </w:r>
      <w:r w:rsidR="31AE0488" w:rsidRPr="007E16AE">
        <w:rPr>
          <w:smallCaps/>
          <w:lang w:val="fr-FR"/>
        </w:rPr>
        <w:t xml:space="preserve">Th. </w:t>
      </w:r>
      <w:proofErr w:type="spellStart"/>
      <w:r w:rsidR="31AE0488" w:rsidRPr="007E16AE">
        <w:rPr>
          <w:smallCaps/>
          <w:lang w:val="fr-FR"/>
        </w:rPr>
        <w:t>Eggerickx</w:t>
      </w:r>
      <w:proofErr w:type="spellEnd"/>
      <w:r w:rsidR="31AE0488">
        <w:t xml:space="preserve">, </w:t>
      </w:r>
      <w:r w:rsidR="31AE0488" w:rsidRPr="31AE0488">
        <w:rPr>
          <w:i/>
          <w:iCs/>
        </w:rPr>
        <w:t xml:space="preserve">op. </w:t>
      </w:r>
      <w:proofErr w:type="spellStart"/>
      <w:proofErr w:type="gramStart"/>
      <w:r w:rsidR="31AE0488" w:rsidRPr="31AE0488">
        <w:rPr>
          <w:i/>
          <w:iCs/>
        </w:rPr>
        <w:t>cit</w:t>
      </w:r>
      <w:proofErr w:type="spellEnd"/>
      <w:proofErr w:type="gramEnd"/>
      <w:r w:rsidR="31AE0488" w:rsidRPr="31AE0488">
        <w:rPr>
          <w:i/>
          <w:iCs/>
        </w:rPr>
        <w:t>.</w:t>
      </w:r>
      <w:r w:rsidR="31AE0488">
        <w:t xml:space="preserve">, pp. 268 et 269 et P. </w:t>
      </w:r>
      <w:r w:rsidR="31AE0488" w:rsidRPr="31AE0488">
        <w:rPr>
          <w:smallCaps/>
        </w:rPr>
        <w:t>Wautelet</w:t>
      </w:r>
      <w:r w:rsidR="31AE0488">
        <w:t xml:space="preserve">, « La nationalité en 2014 - L‘équilibre enfin trouvé? », </w:t>
      </w:r>
      <w:r w:rsidR="31AE0488" w:rsidRPr="00E204EC">
        <w:rPr>
          <w:i/>
          <w:iCs/>
          <w:lang w:val="fr-FR"/>
        </w:rPr>
        <w:t>in</w:t>
      </w:r>
      <w:r w:rsidR="31AE0488" w:rsidRPr="31AE0488">
        <w:rPr>
          <w:lang w:val="fr-FR"/>
        </w:rPr>
        <w:t xml:space="preserve"> </w:t>
      </w:r>
      <w:proofErr w:type="spellStart"/>
      <w:r w:rsidR="31AE0488" w:rsidRPr="31AE0488">
        <w:rPr>
          <w:lang w:val="fr-FR"/>
        </w:rPr>
        <w:t>Wautelet</w:t>
      </w:r>
      <w:proofErr w:type="spellEnd"/>
      <w:r w:rsidR="31AE0488" w:rsidRPr="31AE0488">
        <w:rPr>
          <w:lang w:val="fr-FR"/>
        </w:rPr>
        <w:t xml:space="preserve"> </w:t>
      </w:r>
      <w:r w:rsidR="31AE0488">
        <w:t xml:space="preserve">et F. </w:t>
      </w:r>
      <w:proofErr w:type="spellStart"/>
      <w:r w:rsidR="31AE0488">
        <w:t>Collienne</w:t>
      </w:r>
      <w:proofErr w:type="spellEnd"/>
      <w:r w:rsidR="31AE0488">
        <w:t xml:space="preserve"> (</w:t>
      </w:r>
      <w:proofErr w:type="spellStart"/>
      <w:r w:rsidR="31AE0488">
        <w:t>dirs</w:t>
      </w:r>
      <w:proofErr w:type="spellEnd"/>
      <w:r w:rsidR="31AE0488">
        <w:t xml:space="preserve">.), </w:t>
      </w:r>
      <w:r w:rsidR="31AE0488" w:rsidRPr="31AE0488">
        <w:rPr>
          <w:i/>
          <w:iCs/>
        </w:rPr>
        <w:t>Droit de l’immigration et de la nationalité : fondamentaux et actualités</w:t>
      </w:r>
      <w:r w:rsidR="31AE0488" w:rsidRPr="31AE0488">
        <w:t xml:space="preserve">, coll. CUP, vol. 151, </w:t>
      </w:r>
      <w:proofErr w:type="spellStart"/>
      <w:r w:rsidR="31AE0488" w:rsidRPr="31AE0488">
        <w:t>Limal</w:t>
      </w:r>
      <w:proofErr w:type="spellEnd"/>
      <w:r w:rsidR="31AE0488" w:rsidRPr="31AE0488">
        <w:t xml:space="preserve">, </w:t>
      </w:r>
      <w:proofErr w:type="spellStart"/>
      <w:r w:rsidR="31AE0488" w:rsidRPr="31AE0488">
        <w:t>Anthemis</w:t>
      </w:r>
      <w:proofErr w:type="spellEnd"/>
      <w:r w:rsidR="31AE0488" w:rsidRPr="31AE0488">
        <w:t>, 2014, pp. 339 à 342</w:t>
      </w:r>
      <w:r w:rsidR="31AE0488" w:rsidRPr="001D654B">
        <w:t>), le caractère discriminatoire des différences entre les deux procédures a été invoqué à plusieurs reprises devant la Cour constitutionnelle : C.</w:t>
      </w:r>
      <w:r w:rsidR="00F92419">
        <w:t>C.</w:t>
      </w:r>
      <w:r w:rsidR="31AE0488">
        <w:t>, 17 septembre 2015</w:t>
      </w:r>
      <w:r w:rsidR="00760B84">
        <w:t xml:space="preserve">, </w:t>
      </w:r>
      <w:r w:rsidR="31AE0488">
        <w:t> </w:t>
      </w:r>
      <w:r w:rsidR="00760B84">
        <w:t xml:space="preserve">n° 122/2015 </w:t>
      </w:r>
      <w:r w:rsidR="31AE0488">
        <w:t>; C.</w:t>
      </w:r>
      <w:r w:rsidR="00F92419">
        <w:t>C.</w:t>
      </w:r>
      <w:r w:rsidR="31AE0488" w:rsidRPr="005C65FA">
        <w:t xml:space="preserve">, </w:t>
      </w:r>
      <w:r w:rsidR="31AE0488">
        <w:t xml:space="preserve"> 7 février 2018, </w:t>
      </w:r>
      <w:r w:rsidR="00760B84" w:rsidRPr="005C65FA">
        <w:t>n</w:t>
      </w:r>
      <w:r w:rsidR="00760B84">
        <w:t>° 16/2018</w:t>
      </w:r>
      <w:r w:rsidR="00DD7786">
        <w:t xml:space="preserve">, </w:t>
      </w:r>
      <w:r w:rsidR="31AE0488">
        <w:t xml:space="preserve">cons. B.17.1 et </w:t>
      </w:r>
      <w:proofErr w:type="gramStart"/>
      <w:r w:rsidR="31AE0488">
        <w:t>s.;</w:t>
      </w:r>
      <w:proofErr w:type="gramEnd"/>
      <w:r w:rsidR="31AE0488" w:rsidRPr="00AD42BE">
        <w:rPr>
          <w:lang w:val="fr-FR"/>
        </w:rPr>
        <w:t xml:space="preserve"> C.</w:t>
      </w:r>
      <w:r w:rsidR="00F92419">
        <w:rPr>
          <w:lang w:val="fr-FR"/>
        </w:rPr>
        <w:t>C.</w:t>
      </w:r>
      <w:r w:rsidR="31AE0488" w:rsidRPr="00AD42BE">
        <w:rPr>
          <w:lang w:val="fr-FR"/>
        </w:rPr>
        <w:t>, n° 113/2022, 22 septembre 2022, cons. B.12; C.</w:t>
      </w:r>
      <w:r w:rsidR="00681ABA">
        <w:rPr>
          <w:lang w:val="fr-FR"/>
        </w:rPr>
        <w:t>C.</w:t>
      </w:r>
      <w:r w:rsidR="31AE0488" w:rsidRPr="31AE0488">
        <w:rPr>
          <w:lang w:val="fr-FR"/>
        </w:rPr>
        <w:t xml:space="preserve">, 23 mars 2023, </w:t>
      </w:r>
      <w:r w:rsidR="00DD7786" w:rsidRPr="31AE0488">
        <w:rPr>
          <w:lang w:val="fr-FR"/>
        </w:rPr>
        <w:t>n° 54/2023</w:t>
      </w:r>
      <w:r w:rsidR="00DD7786">
        <w:rPr>
          <w:lang w:val="fr-FR"/>
        </w:rPr>
        <w:t xml:space="preserve">, </w:t>
      </w:r>
      <w:r w:rsidR="31AE0488" w:rsidRPr="31AE0488">
        <w:rPr>
          <w:lang w:val="fr-FR"/>
        </w:rPr>
        <w:t>cons. B.12.</w:t>
      </w:r>
      <w:r w:rsidR="31AE0488">
        <w:t xml:space="preserve"> </w:t>
      </w:r>
    </w:p>
  </w:footnote>
  <w:footnote w:id="18">
    <w:p w14:paraId="2392C4FE" w14:textId="4365DC73" w:rsidR="001D654B" w:rsidRPr="001D654B" w:rsidRDefault="001D654B" w:rsidP="00A14357">
      <w:pPr>
        <w:pStyle w:val="Notedebasdepage"/>
        <w:jc w:val="both"/>
      </w:pPr>
      <w:r>
        <w:rPr>
          <w:rStyle w:val="Appelnotedebasdep"/>
        </w:rPr>
        <w:footnoteRef/>
      </w:r>
      <w:r>
        <w:t xml:space="preserve"> </w:t>
      </w:r>
      <w:r w:rsidRPr="001D654B">
        <w:t>C.</w:t>
      </w:r>
      <w:r w:rsidR="00681ABA">
        <w:t>C</w:t>
      </w:r>
      <w:r w:rsidRPr="001D654B">
        <w:t>., 17</w:t>
      </w:r>
      <w:r w:rsidR="006E64E9">
        <w:t> </w:t>
      </w:r>
      <w:r w:rsidRPr="001D654B">
        <w:t>septembre 2015</w:t>
      </w:r>
      <w:r w:rsidR="00DD7786">
        <w:t xml:space="preserve">, </w:t>
      </w:r>
      <w:r w:rsidR="00DD7786" w:rsidRPr="001D654B">
        <w:t>n° 122/2015</w:t>
      </w:r>
      <w:r w:rsidR="007B14CD">
        <w:t>.</w:t>
      </w:r>
      <w:r w:rsidR="00A14357">
        <w:t xml:space="preserve"> </w:t>
      </w:r>
      <w:proofErr w:type="spellStart"/>
      <w:r w:rsidR="00A14357">
        <w:t>Voy</w:t>
      </w:r>
      <w:proofErr w:type="spellEnd"/>
      <w:r w:rsidR="00A14357">
        <w:t xml:space="preserve">. </w:t>
      </w:r>
      <w:proofErr w:type="gramStart"/>
      <w:r w:rsidR="00A14357">
        <w:t>également</w:t>
      </w:r>
      <w:proofErr w:type="gramEnd"/>
      <w:r w:rsidR="00A14357">
        <w:t> : C.</w:t>
      </w:r>
      <w:r w:rsidR="00F92419">
        <w:t>C.</w:t>
      </w:r>
      <w:r w:rsidR="00A14357">
        <w:t>,  23</w:t>
      </w:r>
      <w:r w:rsidR="006E64E9">
        <w:t> </w:t>
      </w:r>
      <w:r w:rsidR="00A14357">
        <w:t xml:space="preserve">septembre 2021, </w:t>
      </w:r>
      <w:r w:rsidR="00E17585">
        <w:t xml:space="preserve">n° 116/2021, </w:t>
      </w:r>
      <w:r w:rsidR="00A14357">
        <w:t>cons. B.4.2., où, interrogée en des termes très similaires à l’arrêt n° 122/2015, la Cour s’est itérativement référée à sa jurisprudence antérieure.</w:t>
      </w:r>
    </w:p>
  </w:footnote>
  <w:footnote w:id="19">
    <w:p w14:paraId="3E030630" w14:textId="2421FDCE" w:rsidR="00984DA7" w:rsidRPr="00965D11" w:rsidRDefault="00984DA7" w:rsidP="31AE0488">
      <w:pPr>
        <w:pStyle w:val="Notedebasdepage"/>
        <w:jc w:val="both"/>
        <w:rPr>
          <w:lang w:val="fr-FR"/>
        </w:rPr>
      </w:pPr>
      <w:r>
        <w:rPr>
          <w:rStyle w:val="Appelnotedebasdep"/>
        </w:rPr>
        <w:footnoteRef/>
      </w:r>
      <w:r w:rsidR="31AE0488" w:rsidRPr="00965D11">
        <w:rPr>
          <w:lang w:val="fr-FR"/>
        </w:rPr>
        <w:t xml:space="preserve"> Cass., 30 juin 1949, </w:t>
      </w:r>
      <w:r w:rsidR="31AE0488" w:rsidRPr="31AE0488">
        <w:rPr>
          <w:i/>
          <w:iCs/>
          <w:lang w:val="fr-FR"/>
        </w:rPr>
        <w:t>Pas</w:t>
      </w:r>
      <w:r w:rsidR="31AE0488" w:rsidRPr="00965D11">
        <w:rPr>
          <w:lang w:val="fr-FR"/>
        </w:rPr>
        <w:t xml:space="preserve">., 1949, Cass., I, </w:t>
      </w:r>
      <w:r w:rsidR="31AE0488">
        <w:rPr>
          <w:lang w:val="fr-FR"/>
        </w:rPr>
        <w:t xml:space="preserve">p. </w:t>
      </w:r>
      <w:r w:rsidR="31AE0488" w:rsidRPr="00965D11">
        <w:rPr>
          <w:lang w:val="fr-FR"/>
        </w:rPr>
        <w:t>482</w:t>
      </w:r>
      <w:r w:rsidR="31AE0488">
        <w:rPr>
          <w:lang w:val="fr-FR"/>
        </w:rPr>
        <w:t xml:space="preserve">. La brièveté de l’attendu empêche malheureusement de comprendre les motivations de la Cour : </w:t>
      </w:r>
      <w:r w:rsidR="00E43C01">
        <w:rPr>
          <w:lang w:val="fr-FR"/>
        </w:rPr>
        <w:t>"</w:t>
      </w:r>
      <w:r w:rsidR="31AE0488">
        <w:rPr>
          <w:lang w:val="fr-FR"/>
        </w:rPr>
        <w:t xml:space="preserve">Attendu que la déchéance de la qualité de </w:t>
      </w:r>
      <w:r w:rsidR="0059124B">
        <w:rPr>
          <w:lang w:val="fr-FR"/>
        </w:rPr>
        <w:t>B</w:t>
      </w:r>
      <w:r w:rsidR="31AE0488">
        <w:rPr>
          <w:lang w:val="fr-FR"/>
        </w:rPr>
        <w:t>elge (...) n’est pas une sanction établie par la loi pénale en raison d’une infraction ; qu’elle est une mesure de nature civile, indépendante de toute poursuite répressive</w:t>
      </w:r>
      <w:r w:rsidR="00E43C01">
        <w:rPr>
          <w:lang w:val="fr-FR"/>
        </w:rPr>
        <w:t>"</w:t>
      </w:r>
      <w:r w:rsidR="31AE0488">
        <w:rPr>
          <w:lang w:val="fr-FR"/>
        </w:rPr>
        <w:t>.</w:t>
      </w:r>
    </w:p>
  </w:footnote>
  <w:footnote w:id="20">
    <w:p w14:paraId="0F10377B" w14:textId="6568F564" w:rsidR="006264F0" w:rsidRPr="006264F0" w:rsidRDefault="006264F0" w:rsidP="00FC1ECF">
      <w:pPr>
        <w:pStyle w:val="Notedebasdepage"/>
        <w:jc w:val="both"/>
        <w:rPr>
          <w:lang w:val="fr-FR"/>
        </w:rPr>
      </w:pPr>
      <w:r>
        <w:rPr>
          <w:rStyle w:val="Appelnotedebasdep"/>
        </w:rPr>
        <w:footnoteRef/>
      </w:r>
      <w:r w:rsidRPr="00971825">
        <w:rPr>
          <w:lang w:val="fr-FR"/>
        </w:rPr>
        <w:t xml:space="preserve"> </w:t>
      </w:r>
      <w:r w:rsidR="00114ED5" w:rsidRPr="00971825">
        <w:rPr>
          <w:lang w:val="fr-FR"/>
        </w:rPr>
        <w:t>C.</w:t>
      </w:r>
      <w:r w:rsidR="00937541">
        <w:rPr>
          <w:lang w:val="fr-FR"/>
        </w:rPr>
        <w:t>C.</w:t>
      </w:r>
      <w:r w:rsidR="00114ED5" w:rsidRPr="00971825">
        <w:rPr>
          <w:lang w:val="fr-FR"/>
        </w:rPr>
        <w:t xml:space="preserve">, n° 122/2015, </w:t>
      </w:r>
      <w:r w:rsidR="00114ED5" w:rsidRPr="00971825">
        <w:rPr>
          <w:i/>
          <w:iCs/>
          <w:lang w:val="fr-FR"/>
        </w:rPr>
        <w:t xml:space="preserve">op. </w:t>
      </w:r>
      <w:proofErr w:type="spellStart"/>
      <w:proofErr w:type="gramStart"/>
      <w:r w:rsidR="00114ED5" w:rsidRPr="00971825">
        <w:rPr>
          <w:i/>
          <w:iCs/>
          <w:lang w:val="fr-FR"/>
        </w:rPr>
        <w:t>cit</w:t>
      </w:r>
      <w:proofErr w:type="spellEnd"/>
      <w:proofErr w:type="gramEnd"/>
      <w:r w:rsidR="00114ED5" w:rsidRPr="00971825">
        <w:rPr>
          <w:lang w:val="fr-FR"/>
        </w:rPr>
        <w:t xml:space="preserve">., cons. </w:t>
      </w:r>
      <w:r w:rsidR="00114ED5">
        <w:t>B.7</w:t>
      </w:r>
      <w:r w:rsidR="00114ED5" w:rsidRPr="001D66A3">
        <w:t>.</w:t>
      </w:r>
    </w:p>
  </w:footnote>
  <w:footnote w:id="21">
    <w:p w14:paraId="08DB2C17" w14:textId="3E094D80" w:rsidR="00D4729B" w:rsidRPr="0039288B" w:rsidRDefault="00D4729B" w:rsidP="00F201AD">
      <w:pPr>
        <w:pStyle w:val="Notedebasdepage"/>
        <w:jc w:val="both"/>
        <w:rPr>
          <w:lang w:val="fr-FR"/>
        </w:rPr>
      </w:pPr>
      <w:r>
        <w:rPr>
          <w:rStyle w:val="Appelnotedebasdep"/>
        </w:rPr>
        <w:footnoteRef/>
      </w:r>
      <w:r w:rsidR="31AE0488">
        <w:t xml:space="preserve"> Dans ce même arrêt, la Cour devait également répondre à la crainte qu’une extradition (rendue possible par la déchéance de nationalité) impliquerait pour la vie privée et familiale des intéressés ainsi qu’aux potentielles discriminations induites par l'existence de différentes</w:t>
      </w:r>
      <w:r w:rsidR="31AE0488" w:rsidRPr="0039288B">
        <w:t xml:space="preserve"> procédures de déchéance de nationalité concurrentes (les distinctions reposaient sur les catégories de </w:t>
      </w:r>
      <w:r w:rsidR="31AE0488">
        <w:t>B</w:t>
      </w:r>
      <w:r w:rsidR="31AE0488" w:rsidRPr="0039288B">
        <w:t xml:space="preserve">elges concernés par la mesure et le délai pendant lequel la déchéance pouvait intervenir). </w:t>
      </w:r>
      <w:r w:rsidR="31AE0488" w:rsidRPr="0039288B">
        <w:rPr>
          <w:lang w:val="fr-FR"/>
        </w:rPr>
        <w:t>C.</w:t>
      </w:r>
      <w:r w:rsidR="00937541">
        <w:rPr>
          <w:lang w:val="fr-FR"/>
        </w:rPr>
        <w:t>C.</w:t>
      </w:r>
      <w:r w:rsidR="31AE0488" w:rsidRPr="0039288B">
        <w:rPr>
          <w:lang w:val="fr-FR"/>
        </w:rPr>
        <w:t>, 7</w:t>
      </w:r>
      <w:r w:rsidR="31AE0488">
        <w:rPr>
          <w:lang w:val="fr-FR"/>
        </w:rPr>
        <w:t> </w:t>
      </w:r>
      <w:r w:rsidR="31AE0488" w:rsidRPr="0039288B">
        <w:rPr>
          <w:lang w:val="fr-FR"/>
        </w:rPr>
        <w:t>février 2018</w:t>
      </w:r>
      <w:r w:rsidR="00937541">
        <w:rPr>
          <w:lang w:val="fr-FR"/>
        </w:rPr>
        <w:t xml:space="preserve">, </w:t>
      </w:r>
      <w:r w:rsidR="00937541" w:rsidRPr="0039288B">
        <w:rPr>
          <w:lang w:val="fr-FR"/>
        </w:rPr>
        <w:t>n°</w:t>
      </w:r>
      <w:r w:rsidR="00937541">
        <w:rPr>
          <w:lang w:val="fr-FR"/>
        </w:rPr>
        <w:t> </w:t>
      </w:r>
      <w:r w:rsidR="00937541" w:rsidRPr="0039288B">
        <w:rPr>
          <w:lang w:val="fr-FR"/>
        </w:rPr>
        <w:t>016/2018</w:t>
      </w:r>
      <w:r w:rsidR="31AE0488" w:rsidRPr="0039288B">
        <w:rPr>
          <w:lang w:val="fr-FR"/>
        </w:rPr>
        <w:t>.</w:t>
      </w:r>
    </w:p>
  </w:footnote>
  <w:footnote w:id="22">
    <w:p w14:paraId="503B3770" w14:textId="6409F2E6" w:rsidR="00B23265" w:rsidRPr="00B23265" w:rsidRDefault="00B23265" w:rsidP="00FC1ECF">
      <w:pPr>
        <w:pStyle w:val="Notedebasdepage"/>
        <w:jc w:val="both"/>
        <w:rPr>
          <w:lang w:val="fr-FR"/>
        </w:rPr>
      </w:pPr>
      <w:r>
        <w:rPr>
          <w:rStyle w:val="Appelnotedebasdep"/>
        </w:rPr>
        <w:footnoteRef/>
      </w:r>
      <w:r>
        <w:t xml:space="preserve"> </w:t>
      </w:r>
      <w:r w:rsidR="00072C2F">
        <w:rPr>
          <w:lang w:val="fr-FR"/>
        </w:rPr>
        <w:t>C.</w:t>
      </w:r>
      <w:r w:rsidR="003D4084">
        <w:rPr>
          <w:lang w:val="fr-FR"/>
        </w:rPr>
        <w:t>C.</w:t>
      </w:r>
      <w:r w:rsidR="00072C2F">
        <w:rPr>
          <w:lang w:val="fr-FR"/>
        </w:rPr>
        <w:t>, n°</w:t>
      </w:r>
      <w:r w:rsidR="00266B9D">
        <w:rPr>
          <w:lang w:val="fr-FR"/>
        </w:rPr>
        <w:t> </w:t>
      </w:r>
      <w:r w:rsidR="00072C2F">
        <w:rPr>
          <w:lang w:val="fr-FR"/>
        </w:rPr>
        <w:t xml:space="preserve">016/2018, </w:t>
      </w:r>
      <w:r w:rsidR="00072C2F">
        <w:rPr>
          <w:i/>
          <w:iCs/>
          <w:lang w:val="fr-FR"/>
        </w:rPr>
        <w:t xml:space="preserve">op. </w:t>
      </w:r>
      <w:proofErr w:type="spellStart"/>
      <w:proofErr w:type="gramStart"/>
      <w:r w:rsidR="00072C2F">
        <w:rPr>
          <w:i/>
          <w:iCs/>
          <w:lang w:val="fr-FR"/>
        </w:rPr>
        <w:t>cit</w:t>
      </w:r>
      <w:proofErr w:type="spellEnd"/>
      <w:proofErr w:type="gramEnd"/>
      <w:r w:rsidR="00072C2F">
        <w:rPr>
          <w:i/>
          <w:iCs/>
          <w:lang w:val="fr-FR"/>
        </w:rPr>
        <w:t>.</w:t>
      </w:r>
      <w:r w:rsidR="00072C2F">
        <w:rPr>
          <w:lang w:val="fr-FR"/>
        </w:rPr>
        <w:t>, cons. B.11.2., B11.3, B12.2</w:t>
      </w:r>
      <w:r w:rsidR="00FD1A2B">
        <w:rPr>
          <w:lang w:val="fr-FR"/>
        </w:rPr>
        <w:t>.</w:t>
      </w:r>
    </w:p>
  </w:footnote>
  <w:footnote w:id="23">
    <w:p w14:paraId="00B20F78" w14:textId="26A6D4D0" w:rsidR="31AE0488" w:rsidRDefault="31AE0488" w:rsidP="31AE0488">
      <w:pPr>
        <w:pStyle w:val="Notedebasdepage"/>
      </w:pPr>
      <w:r w:rsidRPr="31AE0488">
        <w:rPr>
          <w:rStyle w:val="Appelnotedebasdep"/>
        </w:rPr>
        <w:footnoteRef/>
      </w:r>
      <w:r>
        <w:t xml:space="preserve"> C.</w:t>
      </w:r>
      <w:r w:rsidR="003D4084">
        <w:t>C.</w:t>
      </w:r>
      <w:r>
        <w:t xml:space="preserve">, n° 122/2015, </w:t>
      </w:r>
      <w:r w:rsidRPr="31AE0488">
        <w:rPr>
          <w:i/>
          <w:iCs/>
        </w:rPr>
        <w:t xml:space="preserve">op. </w:t>
      </w:r>
      <w:proofErr w:type="spellStart"/>
      <w:proofErr w:type="gramStart"/>
      <w:r w:rsidRPr="31AE0488">
        <w:rPr>
          <w:i/>
          <w:iCs/>
        </w:rPr>
        <w:t>cit</w:t>
      </w:r>
      <w:proofErr w:type="spellEnd"/>
      <w:proofErr w:type="gramEnd"/>
      <w:r w:rsidRPr="31AE0488">
        <w:rPr>
          <w:i/>
          <w:iCs/>
        </w:rPr>
        <w:t>.</w:t>
      </w:r>
      <w:r>
        <w:t>, cons. B.6.2.</w:t>
      </w:r>
    </w:p>
  </w:footnote>
  <w:footnote w:id="24">
    <w:p w14:paraId="3AFB0433" w14:textId="693EF83E" w:rsidR="31AE0488" w:rsidRDefault="31AE0488" w:rsidP="31AE0488">
      <w:pPr>
        <w:pStyle w:val="Notedebasdepage"/>
        <w:rPr>
          <w:lang w:val="fr-FR"/>
        </w:rPr>
      </w:pPr>
      <w:r w:rsidRPr="31AE0488">
        <w:rPr>
          <w:rStyle w:val="Appelnotedebasdep"/>
        </w:rPr>
        <w:footnoteRef/>
      </w:r>
      <w:r>
        <w:t xml:space="preserve"> </w:t>
      </w:r>
      <w:r w:rsidRPr="31AE0488">
        <w:rPr>
          <w:lang w:val="fr-FR"/>
        </w:rPr>
        <w:t>C.</w:t>
      </w:r>
      <w:r w:rsidR="003D4084">
        <w:rPr>
          <w:lang w:val="fr-FR"/>
        </w:rPr>
        <w:t>C.</w:t>
      </w:r>
      <w:r w:rsidRPr="31AE0488">
        <w:rPr>
          <w:lang w:val="fr-FR"/>
        </w:rPr>
        <w:t xml:space="preserve">, n° 016/2018, </w:t>
      </w:r>
      <w:r w:rsidRPr="31AE0488">
        <w:rPr>
          <w:i/>
          <w:iCs/>
          <w:lang w:val="fr-FR"/>
        </w:rPr>
        <w:t xml:space="preserve">op. </w:t>
      </w:r>
      <w:proofErr w:type="spellStart"/>
      <w:proofErr w:type="gramStart"/>
      <w:r w:rsidRPr="31AE0488">
        <w:rPr>
          <w:i/>
          <w:iCs/>
          <w:lang w:val="fr-FR"/>
        </w:rPr>
        <w:t>cit</w:t>
      </w:r>
      <w:proofErr w:type="spellEnd"/>
      <w:proofErr w:type="gramEnd"/>
      <w:r w:rsidRPr="31AE0488">
        <w:rPr>
          <w:i/>
          <w:iCs/>
          <w:lang w:val="fr-FR"/>
        </w:rPr>
        <w:t>.</w:t>
      </w:r>
      <w:r w:rsidRPr="31AE0488">
        <w:rPr>
          <w:lang w:val="fr-FR"/>
        </w:rPr>
        <w:t>, cons. B.12.2.</w:t>
      </w:r>
    </w:p>
  </w:footnote>
  <w:footnote w:id="25">
    <w:p w14:paraId="25DEE637" w14:textId="46E1CA8F" w:rsidR="006B4AC2" w:rsidRPr="00707CAC" w:rsidRDefault="006B4AC2" w:rsidP="00F624C4">
      <w:pPr>
        <w:pStyle w:val="Notedebasdepage"/>
        <w:jc w:val="both"/>
        <w:rPr>
          <w:lang w:val="fr-FR"/>
        </w:rPr>
      </w:pPr>
      <w:r>
        <w:rPr>
          <w:rStyle w:val="Appelnotedebasdep"/>
        </w:rPr>
        <w:footnoteRef/>
      </w:r>
      <w:r>
        <w:t xml:space="preserve"> </w:t>
      </w:r>
      <w:r w:rsidR="00001FE5" w:rsidRPr="00AD42BE">
        <w:rPr>
          <w:lang w:val="fr-FR"/>
        </w:rPr>
        <w:t>Cass. (2</w:t>
      </w:r>
      <w:r w:rsidR="00001FE5" w:rsidRPr="00AD42BE">
        <w:rPr>
          <w:vertAlign w:val="superscript"/>
          <w:lang w:val="fr-FR"/>
        </w:rPr>
        <w:t>e</w:t>
      </w:r>
      <w:r w:rsidR="003141E1">
        <w:rPr>
          <w:lang w:val="fr-FR"/>
        </w:rPr>
        <w:t> </w:t>
      </w:r>
      <w:r w:rsidR="00001FE5" w:rsidRPr="00AD42BE">
        <w:rPr>
          <w:lang w:val="fr-FR"/>
        </w:rPr>
        <w:t>ch.), 18</w:t>
      </w:r>
      <w:r w:rsidR="006E64E9">
        <w:rPr>
          <w:lang w:val="fr-FR"/>
        </w:rPr>
        <w:t> </w:t>
      </w:r>
      <w:r w:rsidR="00001FE5" w:rsidRPr="00AD42BE">
        <w:rPr>
          <w:lang w:val="fr-FR"/>
        </w:rPr>
        <w:t>janvier 2023, RG n° P.21.0228.F, </w:t>
      </w:r>
      <w:r w:rsidR="00001FE5" w:rsidRPr="00AD42BE">
        <w:rPr>
          <w:i/>
          <w:iCs/>
          <w:lang w:val="fr-FR"/>
        </w:rPr>
        <w:t>J.T.</w:t>
      </w:r>
      <w:r w:rsidR="00001FE5" w:rsidRPr="00AD42BE">
        <w:rPr>
          <w:lang w:val="fr-FR"/>
        </w:rPr>
        <w:t>, 2023/10, p.</w:t>
      </w:r>
      <w:r w:rsidR="00266B9D">
        <w:rPr>
          <w:lang w:val="fr-FR"/>
        </w:rPr>
        <w:t> </w:t>
      </w:r>
      <w:r w:rsidR="00001FE5" w:rsidRPr="00AD42BE">
        <w:rPr>
          <w:lang w:val="fr-FR"/>
        </w:rPr>
        <w:t>171-174</w:t>
      </w:r>
      <w:r w:rsidR="005E3A08">
        <w:rPr>
          <w:rFonts w:ascii="Arial" w:hAnsi="Arial" w:cs="Arial"/>
          <w:lang w:val="fr-FR"/>
        </w:rPr>
        <w:t> </w:t>
      </w:r>
      <w:r w:rsidR="00001FE5" w:rsidRPr="00AD42BE">
        <w:rPr>
          <w:lang w:val="fr-FR"/>
        </w:rPr>
        <w:t>; C.</w:t>
      </w:r>
      <w:r w:rsidR="003D4084">
        <w:rPr>
          <w:lang w:val="fr-FR"/>
        </w:rPr>
        <w:t>C.</w:t>
      </w:r>
      <w:r w:rsidR="00001FE5" w:rsidRPr="00AD42BE">
        <w:rPr>
          <w:lang w:val="fr-FR"/>
        </w:rPr>
        <w:t>, 22</w:t>
      </w:r>
      <w:r w:rsidR="006E64E9">
        <w:rPr>
          <w:lang w:val="fr-FR"/>
        </w:rPr>
        <w:t> </w:t>
      </w:r>
      <w:r w:rsidR="00001FE5" w:rsidRPr="00AD42BE">
        <w:rPr>
          <w:lang w:val="fr-FR"/>
        </w:rPr>
        <w:t xml:space="preserve">septembre 2022, </w:t>
      </w:r>
      <w:r w:rsidR="003D4084" w:rsidRPr="00AD42BE">
        <w:rPr>
          <w:lang w:val="fr-FR"/>
        </w:rPr>
        <w:t>n° 113/2022</w:t>
      </w:r>
      <w:r w:rsidR="003D4084">
        <w:rPr>
          <w:lang w:val="fr-FR"/>
        </w:rPr>
        <w:t xml:space="preserve">, </w:t>
      </w:r>
      <w:r w:rsidR="00001FE5" w:rsidRPr="00AD42BE">
        <w:rPr>
          <w:lang w:val="fr-FR"/>
        </w:rPr>
        <w:t xml:space="preserve">cons. B.12. </w:t>
      </w:r>
      <w:proofErr w:type="spellStart"/>
      <w:r w:rsidR="00001FE5" w:rsidRPr="00AD42BE">
        <w:t>Voy</w:t>
      </w:r>
      <w:proofErr w:type="spellEnd"/>
      <w:r w:rsidR="00001FE5" w:rsidRPr="00AD42BE">
        <w:t xml:space="preserve">. </w:t>
      </w:r>
      <w:proofErr w:type="gramStart"/>
      <w:r w:rsidR="00001FE5" w:rsidRPr="00AD42BE">
        <w:t>également</w:t>
      </w:r>
      <w:proofErr w:type="gramEnd"/>
      <w:r w:rsidR="00001FE5" w:rsidRPr="00AD42BE">
        <w:t>, dans une procédure postérieure</w:t>
      </w:r>
      <w:r w:rsidR="005F74AE">
        <w:t xml:space="preserve"> similaire</w:t>
      </w:r>
      <w:r w:rsidR="00001FE5" w:rsidRPr="00AD42BE">
        <w:t xml:space="preserve"> : </w:t>
      </w:r>
      <w:r w:rsidR="00001FE5" w:rsidRPr="00AD42BE">
        <w:rPr>
          <w:lang w:val="fr-FR"/>
        </w:rPr>
        <w:t>Cass. (</w:t>
      </w:r>
      <w:r w:rsidR="00AD42BE" w:rsidRPr="00AD42BE">
        <w:rPr>
          <w:lang w:val="fr-FR"/>
        </w:rPr>
        <w:t>2</w:t>
      </w:r>
      <w:r w:rsidR="00AD42BE" w:rsidRPr="00AD42BE">
        <w:rPr>
          <w:vertAlign w:val="superscript"/>
          <w:lang w:val="fr-FR"/>
        </w:rPr>
        <w:t>e</w:t>
      </w:r>
      <w:r w:rsidR="003141E1">
        <w:rPr>
          <w:lang w:val="fr-FR"/>
        </w:rPr>
        <w:t> </w:t>
      </w:r>
      <w:r w:rsidR="00AD42BE" w:rsidRPr="00AD42BE">
        <w:rPr>
          <w:lang w:val="fr-FR"/>
        </w:rPr>
        <w:t>ch.</w:t>
      </w:r>
      <w:r w:rsidR="00001FE5" w:rsidRPr="00AD42BE">
        <w:rPr>
          <w:lang w:val="fr-FR"/>
        </w:rPr>
        <w:t>),</w:t>
      </w:r>
      <w:r w:rsidR="002B4979">
        <w:rPr>
          <w:lang w:val="fr-FR"/>
        </w:rPr>
        <w:t xml:space="preserve"> </w:t>
      </w:r>
      <w:r w:rsidR="00001FE5" w:rsidRPr="00AD42BE">
        <w:rPr>
          <w:lang w:val="fr-FR"/>
        </w:rPr>
        <w:t>27</w:t>
      </w:r>
      <w:r w:rsidR="006E64E9">
        <w:rPr>
          <w:lang w:val="fr-FR"/>
        </w:rPr>
        <w:t> </w:t>
      </w:r>
      <w:r w:rsidR="00001FE5" w:rsidRPr="00AD42BE">
        <w:rPr>
          <w:lang w:val="fr-FR"/>
        </w:rPr>
        <w:t xml:space="preserve">juin 2023, RG n° </w:t>
      </w:r>
      <w:r w:rsidR="00AD42BE" w:rsidRPr="00AD42BE">
        <w:t>P.22.0028.N</w:t>
      </w:r>
      <w:r w:rsidR="00001FE5" w:rsidRPr="00AD42BE">
        <w:rPr>
          <w:lang w:val="fr-FR"/>
        </w:rPr>
        <w:t xml:space="preserve">, disponible sur : </w:t>
      </w:r>
      <w:hyperlink r:id="rId3" w:history="1">
        <w:r w:rsidR="00001FE5" w:rsidRPr="00AD42BE">
          <w:rPr>
            <w:rStyle w:val="Lienhypertexte"/>
            <w:lang w:val="fr-FR"/>
          </w:rPr>
          <w:t>www.juportal.be</w:t>
        </w:r>
      </w:hyperlink>
      <w:r w:rsidR="00AD42BE">
        <w:rPr>
          <w:lang w:val="fr-FR"/>
        </w:rPr>
        <w:t xml:space="preserve"> </w:t>
      </w:r>
      <w:r w:rsidR="00001FE5" w:rsidRPr="00AD42BE">
        <w:rPr>
          <w:lang w:val="fr-FR"/>
        </w:rPr>
        <w:t xml:space="preserve">; </w:t>
      </w:r>
      <w:r w:rsidR="00E87E3C" w:rsidRPr="00AD42BE">
        <w:rPr>
          <w:lang w:val="fr-FR"/>
        </w:rPr>
        <w:t>C.</w:t>
      </w:r>
      <w:r w:rsidR="00A53E82">
        <w:rPr>
          <w:lang w:val="fr-FR"/>
        </w:rPr>
        <w:t>C.</w:t>
      </w:r>
      <w:r w:rsidR="00E87E3C" w:rsidRPr="00AD42BE">
        <w:rPr>
          <w:lang w:val="fr-FR"/>
        </w:rPr>
        <w:t>,</w:t>
      </w:r>
      <w:r w:rsidR="001A77C9" w:rsidRPr="00AD42BE">
        <w:rPr>
          <w:lang w:val="fr-FR"/>
        </w:rPr>
        <w:t xml:space="preserve"> 23 mars 2023, </w:t>
      </w:r>
      <w:r w:rsidR="008F7505" w:rsidRPr="00AD42BE">
        <w:rPr>
          <w:lang w:val="fr-FR"/>
        </w:rPr>
        <w:t xml:space="preserve">n° 54/2023, </w:t>
      </w:r>
      <w:r w:rsidR="001A77C9" w:rsidRPr="00AD42BE">
        <w:rPr>
          <w:lang w:val="fr-FR"/>
        </w:rPr>
        <w:t>cons. B.12</w:t>
      </w:r>
      <w:r w:rsidR="0036239C" w:rsidRPr="00AD42BE">
        <w:rPr>
          <w:lang w:val="fr-FR"/>
        </w:rPr>
        <w:t>.</w:t>
      </w:r>
    </w:p>
  </w:footnote>
  <w:footnote w:id="26">
    <w:p w14:paraId="25559241" w14:textId="127020EA" w:rsidR="00C768C7" w:rsidRPr="00E5080E" w:rsidRDefault="00C768C7" w:rsidP="002B4979">
      <w:pPr>
        <w:pStyle w:val="Notedebasdepage"/>
        <w:jc w:val="both"/>
        <w:rPr>
          <w:lang w:val="fr-FR"/>
        </w:rPr>
      </w:pPr>
      <w:r>
        <w:rPr>
          <w:rStyle w:val="Appelnotedebasdep"/>
        </w:rPr>
        <w:footnoteRef/>
      </w:r>
      <w:r>
        <w:t xml:space="preserve"> </w:t>
      </w:r>
      <w:r>
        <w:rPr>
          <w:lang w:val="fr-FR"/>
        </w:rPr>
        <w:t>La disposition a été abrogée</w:t>
      </w:r>
      <w:r w:rsidR="00E5080E">
        <w:rPr>
          <w:lang w:val="fr-FR"/>
        </w:rPr>
        <w:t xml:space="preserve"> depuis lors</w:t>
      </w:r>
      <w:r>
        <w:rPr>
          <w:lang w:val="fr-FR"/>
        </w:rPr>
        <w:t xml:space="preserve">. </w:t>
      </w:r>
      <w:r w:rsidR="00E5080E">
        <w:rPr>
          <w:lang w:val="fr-FR"/>
        </w:rPr>
        <w:t xml:space="preserve">Loi </w:t>
      </w:r>
      <w:r w:rsidR="00E5080E">
        <w:t>du 18</w:t>
      </w:r>
      <w:r w:rsidR="006E64E9">
        <w:t> </w:t>
      </w:r>
      <w:r w:rsidR="00E5080E">
        <w:t>janvier 2024</w:t>
      </w:r>
      <w:r w:rsidR="00E5080E" w:rsidRPr="00E5080E">
        <w:t xml:space="preserve"> visant à rendre la justice plus humaine, plus rapide et plus ferme II</w:t>
      </w:r>
      <w:r w:rsidR="00E5080E">
        <w:t xml:space="preserve">I, </w:t>
      </w:r>
      <w:r w:rsidR="00E5080E">
        <w:rPr>
          <w:i/>
          <w:iCs/>
        </w:rPr>
        <w:t>M.B.</w:t>
      </w:r>
      <w:r w:rsidR="00E5080E">
        <w:t>, 26</w:t>
      </w:r>
      <w:r w:rsidR="006E64E9">
        <w:t> </w:t>
      </w:r>
      <w:r w:rsidR="00E5080E">
        <w:t>janvier 2024.</w:t>
      </w:r>
    </w:p>
  </w:footnote>
  <w:footnote w:id="27">
    <w:p w14:paraId="2630870E" w14:textId="2029075C" w:rsidR="003F42B3" w:rsidRPr="003F42B3" w:rsidRDefault="003F42B3">
      <w:pPr>
        <w:pStyle w:val="Notedebasdepage"/>
      </w:pPr>
      <w:r>
        <w:rPr>
          <w:rStyle w:val="Appelnotedebasdep"/>
        </w:rPr>
        <w:footnoteRef/>
      </w:r>
      <w:r>
        <w:t xml:space="preserve"> </w:t>
      </w:r>
      <w:r w:rsidRPr="0039288B">
        <w:rPr>
          <w:lang w:val="fr-FR"/>
        </w:rPr>
        <w:t>C.</w:t>
      </w:r>
      <w:r w:rsidR="008F7505">
        <w:rPr>
          <w:lang w:val="fr-FR"/>
        </w:rPr>
        <w:t>C.</w:t>
      </w:r>
      <w:r w:rsidRPr="0039288B">
        <w:rPr>
          <w:lang w:val="fr-FR"/>
        </w:rPr>
        <w:t xml:space="preserve">, </w:t>
      </w:r>
      <w:r>
        <w:rPr>
          <w:lang w:val="fr-FR"/>
        </w:rPr>
        <w:t>26</w:t>
      </w:r>
      <w:r w:rsidR="006E64E9">
        <w:rPr>
          <w:lang w:val="fr-FR"/>
        </w:rPr>
        <w:t> </w:t>
      </w:r>
      <w:r>
        <w:rPr>
          <w:lang w:val="fr-FR"/>
        </w:rPr>
        <w:t>janvier 2023</w:t>
      </w:r>
      <w:r w:rsidR="008F7505">
        <w:rPr>
          <w:lang w:val="fr-FR"/>
        </w:rPr>
        <w:t xml:space="preserve">, </w:t>
      </w:r>
      <w:r w:rsidR="008F7505" w:rsidRPr="0039288B">
        <w:rPr>
          <w:lang w:val="fr-FR"/>
        </w:rPr>
        <w:t xml:space="preserve">n° </w:t>
      </w:r>
      <w:r w:rsidR="008F7505">
        <w:rPr>
          <w:lang w:val="fr-FR"/>
        </w:rPr>
        <w:t>13</w:t>
      </w:r>
      <w:r w:rsidR="008F7505" w:rsidRPr="0039288B">
        <w:rPr>
          <w:lang w:val="fr-FR"/>
        </w:rPr>
        <w:t>/20</w:t>
      </w:r>
      <w:r w:rsidR="008F7505">
        <w:rPr>
          <w:lang w:val="fr-FR"/>
        </w:rPr>
        <w:t>23</w:t>
      </w:r>
      <w:r w:rsidRPr="0039288B">
        <w:rPr>
          <w:lang w:val="fr-FR"/>
        </w:rPr>
        <w:t>.</w:t>
      </w:r>
    </w:p>
  </w:footnote>
  <w:footnote w:id="28">
    <w:p w14:paraId="68FDB0A1" w14:textId="7FD5F085" w:rsidR="00C768C7" w:rsidRPr="00C768C7" w:rsidRDefault="00C768C7">
      <w:pPr>
        <w:pStyle w:val="Notedebasdepage"/>
      </w:pPr>
      <w:r>
        <w:rPr>
          <w:rStyle w:val="Appelnotedebasdep"/>
        </w:rPr>
        <w:footnoteRef/>
      </w:r>
      <w:r>
        <w:t xml:space="preserve"> La disposition a depuis été modifiée. Loi du 19</w:t>
      </w:r>
      <w:r w:rsidR="006E64E9">
        <w:t> </w:t>
      </w:r>
      <w:r>
        <w:t xml:space="preserve">décembre 2023 portant dispositions diverses en matière civile et judiciaire, </w:t>
      </w:r>
      <w:r>
        <w:rPr>
          <w:i/>
          <w:iCs/>
        </w:rPr>
        <w:t>M.B.</w:t>
      </w:r>
      <w:r>
        <w:t>, 27</w:t>
      </w:r>
      <w:r w:rsidR="006E64E9">
        <w:t> </w:t>
      </w:r>
      <w:r>
        <w:t>décembre 2023.</w:t>
      </w:r>
    </w:p>
  </w:footnote>
  <w:footnote w:id="29">
    <w:p w14:paraId="3332D1E3" w14:textId="0717FD0D" w:rsidR="007B5C5D" w:rsidRPr="007839A3" w:rsidRDefault="007B5C5D" w:rsidP="007B5C5D">
      <w:pPr>
        <w:pStyle w:val="Notedebasdepage"/>
        <w:jc w:val="both"/>
      </w:pPr>
      <w:r>
        <w:rPr>
          <w:rStyle w:val="Appelnotedebasdep"/>
        </w:rPr>
        <w:footnoteRef/>
      </w:r>
      <w:r>
        <w:t xml:space="preserve"> Aucune procédure en cassation n’a été intentée par les requérants. Concernant Madame El </w:t>
      </w:r>
      <w:proofErr w:type="spellStart"/>
      <w:r>
        <w:t>Aroud</w:t>
      </w:r>
      <w:proofErr w:type="spellEnd"/>
      <w:r>
        <w:t>, le §</w:t>
      </w:r>
      <w:r w:rsidR="00266B9D">
        <w:t> </w:t>
      </w:r>
      <w:r>
        <w:t>6 de l’article</w:t>
      </w:r>
      <w:r w:rsidR="00266B9D">
        <w:t> </w:t>
      </w:r>
      <w:r>
        <w:t xml:space="preserve">23 n’avait pas encore été retoqué par la Cour constitutionnelle, la privant d’introduire un pourvoi en cassation. Concernant Monsieur </w:t>
      </w:r>
      <w:proofErr w:type="spellStart"/>
      <w:r>
        <w:t>Soughir</w:t>
      </w:r>
      <w:proofErr w:type="spellEnd"/>
      <w:r>
        <w:t>, il s’est vu refuser l’assistance judiciaire, l’empêchant d’introduire le pourvoi (Cass., (ord.), 12</w:t>
      </w:r>
      <w:r w:rsidR="006E64E9">
        <w:t> </w:t>
      </w:r>
      <w:r>
        <w:t xml:space="preserve">mars 2018, RG n° </w:t>
      </w:r>
      <w:r w:rsidRPr="00A0107F">
        <w:t>F</w:t>
      </w:r>
      <w:r w:rsidR="00266B9D">
        <w:t> </w:t>
      </w:r>
      <w:r w:rsidRPr="00A0107F">
        <w:t xml:space="preserve">-20180312-2 </w:t>
      </w:r>
      <w:r>
        <w:t xml:space="preserve">(G.180057.F), disponible sur : </w:t>
      </w:r>
      <w:hyperlink r:id="rId4" w:history="1">
        <w:r w:rsidRPr="00C37D8F">
          <w:rPr>
            <w:rStyle w:val="Lienhypertexte"/>
          </w:rPr>
          <w:t>www.juportal.be</w:t>
        </w:r>
      </w:hyperlink>
      <w:r>
        <w:t xml:space="preserve"> ).</w:t>
      </w:r>
    </w:p>
  </w:footnote>
  <w:footnote w:id="30">
    <w:p w14:paraId="7F3BE4F0" w14:textId="30BC4E79" w:rsidR="002664A5" w:rsidRDefault="002664A5" w:rsidP="002664A5">
      <w:pPr>
        <w:pStyle w:val="Notedebasdepage"/>
        <w:jc w:val="both"/>
        <w:rPr>
          <w:lang w:val="fr-FR"/>
        </w:rPr>
      </w:pPr>
      <w:r w:rsidRPr="31AE0488">
        <w:rPr>
          <w:rStyle w:val="Appelnotedebasdep"/>
        </w:rPr>
        <w:footnoteRef/>
      </w:r>
      <w:r>
        <w:t xml:space="preserve"> </w:t>
      </w:r>
      <w:r w:rsidRPr="31AE0488">
        <w:rPr>
          <w:lang w:val="fr-FR"/>
        </w:rPr>
        <w:t xml:space="preserve">Com. D.H., décision </w:t>
      </w:r>
      <w:r w:rsidRPr="31AE0488">
        <w:rPr>
          <w:i/>
          <w:iCs/>
          <w:lang w:val="fr-FR"/>
        </w:rPr>
        <w:t>M.E.A. c. Belgique</w:t>
      </w:r>
      <w:r w:rsidRPr="31AE0488">
        <w:rPr>
          <w:lang w:val="fr-FR"/>
        </w:rPr>
        <w:t>, 31 janvier 2024, communication n° 3319/2019, CCPR/C/139/D/3319/2019. La plainte n’ayant pas abouti, il n’est pas possible de savoir avec certitude ce qui était contesté, mais les mots clés de la décision donnent une indication : «</w:t>
      </w:r>
      <w:r w:rsidRPr="31AE0488">
        <w:rPr>
          <w:rFonts w:ascii="Arial" w:hAnsi="Arial" w:cs="Arial"/>
          <w:lang w:val="fr-FR"/>
        </w:rPr>
        <w:t> </w:t>
      </w:r>
      <w:r w:rsidRPr="31AE0488">
        <w:rPr>
          <w:lang w:val="fr-FR"/>
        </w:rPr>
        <w:t>Droit à un recours utile</w:t>
      </w:r>
      <w:r w:rsidRPr="31AE0488">
        <w:rPr>
          <w:rFonts w:ascii="Arial" w:hAnsi="Arial" w:cs="Arial"/>
          <w:lang w:val="fr-FR"/>
        </w:rPr>
        <w:t> </w:t>
      </w:r>
      <w:r w:rsidRPr="31AE0488">
        <w:rPr>
          <w:lang w:val="fr-FR"/>
        </w:rPr>
        <w:t>; procès équitable</w:t>
      </w:r>
      <w:r w:rsidRPr="31AE0488">
        <w:rPr>
          <w:rFonts w:ascii="Arial" w:hAnsi="Arial" w:cs="Arial"/>
          <w:lang w:val="fr-FR"/>
        </w:rPr>
        <w:t> </w:t>
      </w:r>
      <w:r w:rsidRPr="31AE0488">
        <w:rPr>
          <w:lang w:val="fr-FR"/>
        </w:rPr>
        <w:t>; risque de torture ou de peines ou traitements cruels, inhumains ou dégradants</w:t>
      </w:r>
      <w:r w:rsidRPr="31AE0488">
        <w:rPr>
          <w:rFonts w:ascii="Arial" w:hAnsi="Arial" w:cs="Arial"/>
          <w:lang w:val="fr-FR"/>
        </w:rPr>
        <w:t> </w:t>
      </w:r>
      <w:r w:rsidRPr="31AE0488">
        <w:rPr>
          <w:lang w:val="fr-FR"/>
        </w:rPr>
        <w:t xml:space="preserve">». Interrogée sur la recevabilité de la requête en raison de la saisie concurrente des deux instances, la Cour </w:t>
      </w:r>
      <w:proofErr w:type="spellStart"/>
      <w:r w:rsidR="002B4979">
        <w:rPr>
          <w:lang w:val="fr-FR"/>
        </w:rPr>
        <w:t>eur</w:t>
      </w:r>
      <w:proofErr w:type="spellEnd"/>
      <w:r w:rsidR="002B4979">
        <w:rPr>
          <w:lang w:val="fr-FR"/>
        </w:rPr>
        <w:t xml:space="preserve">. </w:t>
      </w:r>
      <w:r w:rsidRPr="31AE0488">
        <w:rPr>
          <w:lang w:val="fr-FR"/>
        </w:rPr>
        <w:t>D</w:t>
      </w:r>
      <w:r w:rsidR="002B4979">
        <w:rPr>
          <w:lang w:val="fr-FR"/>
        </w:rPr>
        <w:t>.</w:t>
      </w:r>
      <w:r w:rsidRPr="31AE0488">
        <w:rPr>
          <w:lang w:val="fr-FR"/>
        </w:rPr>
        <w:t>H</w:t>
      </w:r>
      <w:r w:rsidR="002B4979">
        <w:rPr>
          <w:lang w:val="fr-FR"/>
        </w:rPr>
        <w:t>.</w:t>
      </w:r>
      <w:r w:rsidRPr="31AE0488">
        <w:rPr>
          <w:lang w:val="fr-FR"/>
        </w:rPr>
        <w:t xml:space="preserve"> conclut également que les requêtes portent sur des objets distincts. </w:t>
      </w:r>
      <w:r>
        <w:t xml:space="preserve">Cour </w:t>
      </w:r>
      <w:proofErr w:type="spellStart"/>
      <w:r w:rsidR="002B4979">
        <w:t>eur</w:t>
      </w:r>
      <w:proofErr w:type="spellEnd"/>
      <w:r w:rsidR="002B4979">
        <w:t xml:space="preserve">. </w:t>
      </w:r>
      <w:r>
        <w:t>D</w:t>
      </w:r>
      <w:r w:rsidR="002B4979">
        <w:t>.</w:t>
      </w:r>
      <w:r>
        <w:t>H</w:t>
      </w:r>
      <w:r w:rsidR="002B4979">
        <w:t>.</w:t>
      </w:r>
      <w:r>
        <w:t xml:space="preserve">, </w:t>
      </w:r>
      <w:r w:rsidRPr="31AE0488">
        <w:rPr>
          <w:i/>
          <w:iCs/>
        </w:rPr>
        <w:t xml:space="preserve">El </w:t>
      </w:r>
      <w:proofErr w:type="spellStart"/>
      <w:r w:rsidRPr="31AE0488">
        <w:rPr>
          <w:i/>
          <w:iCs/>
        </w:rPr>
        <w:t>Aroud</w:t>
      </w:r>
      <w:proofErr w:type="spellEnd"/>
      <w:r w:rsidRPr="31AE0488">
        <w:rPr>
          <w:i/>
          <w:iCs/>
        </w:rPr>
        <w:t xml:space="preserve"> et </w:t>
      </w:r>
      <w:proofErr w:type="spellStart"/>
      <w:r w:rsidRPr="31AE0488">
        <w:rPr>
          <w:i/>
          <w:iCs/>
        </w:rPr>
        <w:t>Soughir</w:t>
      </w:r>
      <w:proofErr w:type="spellEnd"/>
      <w:r w:rsidRPr="31AE0488">
        <w:rPr>
          <w:i/>
          <w:iCs/>
        </w:rPr>
        <w:t xml:space="preserve"> c. Belgique</w:t>
      </w:r>
      <w:r>
        <w:t>, 5 décembre 2024, § 43.</w:t>
      </w:r>
    </w:p>
  </w:footnote>
  <w:footnote w:id="31">
    <w:p w14:paraId="37CAD282" w14:textId="77777777" w:rsidR="002664A5" w:rsidRDefault="002664A5" w:rsidP="002664A5">
      <w:pPr>
        <w:pStyle w:val="Notedebasdepage"/>
      </w:pPr>
      <w:r w:rsidRPr="31AE0488">
        <w:rPr>
          <w:rStyle w:val="Appelnotedebasdep"/>
        </w:rPr>
        <w:footnoteRef/>
      </w:r>
      <w:r>
        <w:t xml:space="preserve"> </w:t>
      </w:r>
      <w:proofErr w:type="spellStart"/>
      <w:r>
        <w:t>Voy</w:t>
      </w:r>
      <w:proofErr w:type="spellEnd"/>
      <w:r>
        <w:t xml:space="preserve">., par exemple, </w:t>
      </w:r>
      <w:r w:rsidRPr="31AE0488">
        <w:rPr>
          <w:lang w:val="fr-FR"/>
        </w:rPr>
        <w:t>J.-P. </w:t>
      </w:r>
      <w:proofErr w:type="spellStart"/>
      <w:r w:rsidRPr="31AE0488">
        <w:rPr>
          <w:smallCaps/>
          <w:lang w:val="fr-FR"/>
        </w:rPr>
        <w:t>Stroobants</w:t>
      </w:r>
      <w:proofErr w:type="spellEnd"/>
      <w:r w:rsidRPr="31AE0488">
        <w:rPr>
          <w:lang w:val="fr-FR"/>
        </w:rPr>
        <w:t>, «</w:t>
      </w:r>
      <w:r w:rsidRPr="31AE0488">
        <w:rPr>
          <w:rFonts w:ascii="Arial" w:hAnsi="Arial" w:cs="Arial"/>
          <w:lang w:val="fr-FR"/>
        </w:rPr>
        <w:t> </w:t>
      </w:r>
      <w:r w:rsidRPr="31AE0488">
        <w:rPr>
          <w:lang w:val="fr-FR"/>
        </w:rPr>
        <w:t>Mort de la “Veuve noire du djihad”, l’une des figures centrales du radicalisme musulman en Europe</w:t>
      </w:r>
      <w:r w:rsidRPr="31AE0488">
        <w:rPr>
          <w:rFonts w:ascii="Arial" w:hAnsi="Arial" w:cs="Arial"/>
          <w:lang w:val="fr-FR"/>
        </w:rPr>
        <w:t> </w:t>
      </w:r>
      <w:r w:rsidRPr="31AE0488">
        <w:rPr>
          <w:lang w:val="fr-FR"/>
        </w:rPr>
        <w:t xml:space="preserve">», </w:t>
      </w:r>
      <w:r w:rsidRPr="31AE0488">
        <w:rPr>
          <w:i/>
          <w:iCs/>
          <w:lang w:val="fr-FR"/>
        </w:rPr>
        <w:t>Le Monde</w:t>
      </w:r>
      <w:r w:rsidRPr="31AE0488">
        <w:rPr>
          <w:lang w:val="fr-FR"/>
        </w:rPr>
        <w:t>, 11 avril 2023, disponible sur </w:t>
      </w:r>
      <w:hyperlink r:id="rId5">
        <w:r w:rsidRPr="31AE0488">
          <w:rPr>
            <w:rStyle w:val="Lienhypertexte"/>
            <w:lang w:val="fr-FR"/>
          </w:rPr>
          <w:t>www.lemonde.fr</w:t>
        </w:r>
      </w:hyperlink>
      <w:r>
        <w:t xml:space="preserve"> .</w:t>
      </w:r>
    </w:p>
  </w:footnote>
  <w:footnote w:id="32">
    <w:p w14:paraId="7AFAA0DC" w14:textId="7A55F996" w:rsidR="002664A5" w:rsidRPr="00281461" w:rsidRDefault="002664A5" w:rsidP="002664A5">
      <w:pPr>
        <w:pStyle w:val="Notedebasdepage"/>
        <w:jc w:val="both"/>
        <w:rPr>
          <w:lang w:val="en-US"/>
        </w:rPr>
      </w:pPr>
      <w:r w:rsidRPr="31AE0488">
        <w:rPr>
          <w:rStyle w:val="Appelnotedebasdep"/>
        </w:rPr>
        <w:footnoteRef/>
      </w:r>
      <w:r>
        <w:t xml:space="preserve"> L'arrêt de la Cour </w:t>
      </w:r>
      <w:proofErr w:type="spellStart"/>
      <w:r w:rsidR="002B4979">
        <w:t>eur</w:t>
      </w:r>
      <w:proofErr w:type="spellEnd"/>
      <w:r w:rsidR="002B4979">
        <w:t xml:space="preserve">. </w:t>
      </w:r>
      <w:r>
        <w:t>D</w:t>
      </w:r>
      <w:r w:rsidR="002B4979">
        <w:t>.</w:t>
      </w:r>
      <w:r>
        <w:t>H</w:t>
      </w:r>
      <w:r w:rsidR="002B4979">
        <w:t>.</w:t>
      </w:r>
      <w:r>
        <w:t xml:space="preserve"> ne fait pas mention de cet élément. Hypothétiquement, l’impact de ce dernier pour la Cour n'aurait pas nécessairement mis fin à la saisine comme devant l</w:t>
      </w:r>
      <w:r w:rsidR="00E43C01">
        <w:t>e</w:t>
      </w:r>
      <w:r>
        <w:t xml:space="preserve"> Comité. Outre que l‘affaire était également portée par Monsieur </w:t>
      </w:r>
      <w:proofErr w:type="spellStart"/>
      <w:r>
        <w:t>Soughir</w:t>
      </w:r>
      <w:proofErr w:type="spellEnd"/>
      <w:r>
        <w:t>, la Cour conserve sa saisine si l‘intérêt à la poursuite du recours est démontré soit que les ayants</w:t>
      </w:r>
      <w:r w:rsidR="00E43C01">
        <w:t xml:space="preserve"> droit</w:t>
      </w:r>
      <w:r>
        <w:t xml:space="preserve"> invoquent un intérêt légitime, soit que la plainte ait un intérêt général. </w:t>
      </w:r>
      <w:r w:rsidRPr="00281461">
        <w:rPr>
          <w:lang w:val="en-US"/>
        </w:rPr>
        <w:t xml:space="preserve">P. </w:t>
      </w:r>
      <w:r w:rsidRPr="00281461">
        <w:rPr>
          <w:smallCaps/>
          <w:lang w:val="en-US"/>
        </w:rPr>
        <w:t>Leach</w:t>
      </w:r>
      <w:r w:rsidRPr="00281461">
        <w:rPr>
          <w:lang w:val="en-US"/>
        </w:rPr>
        <w:t xml:space="preserve">, </w:t>
      </w:r>
      <w:r w:rsidRPr="00281461">
        <w:rPr>
          <w:i/>
          <w:iCs/>
          <w:lang w:val="en-US"/>
        </w:rPr>
        <w:t xml:space="preserve">Taking a Case to the European Court of Human Rights, </w:t>
      </w:r>
      <w:r w:rsidRPr="00281461">
        <w:rPr>
          <w:lang w:val="en-US"/>
        </w:rPr>
        <w:t>4</w:t>
      </w:r>
      <w:r w:rsidRPr="00281461">
        <w:rPr>
          <w:vertAlign w:val="superscript"/>
          <w:lang w:val="en-US"/>
        </w:rPr>
        <w:t>e</w:t>
      </w:r>
      <w:r w:rsidRPr="00281461">
        <w:rPr>
          <w:lang w:val="en-US"/>
        </w:rPr>
        <w:t xml:space="preserve"> </w:t>
      </w:r>
      <w:proofErr w:type="spellStart"/>
      <w:r w:rsidRPr="00281461">
        <w:rPr>
          <w:lang w:val="en-US"/>
        </w:rPr>
        <w:t>éd</w:t>
      </w:r>
      <w:proofErr w:type="spellEnd"/>
      <w:r w:rsidRPr="00281461">
        <w:rPr>
          <w:lang w:val="en-US"/>
        </w:rPr>
        <w:t>., Oxford, Oxford University Press, 2017, pp. 126 et 127, p. 4.20 à 4.22.</w:t>
      </w:r>
    </w:p>
  </w:footnote>
  <w:footnote w:id="33">
    <w:p w14:paraId="3EDE75A3" w14:textId="4CC10A2D" w:rsidR="00F339E4" w:rsidRPr="008C3903" w:rsidRDefault="00F339E4">
      <w:pPr>
        <w:pStyle w:val="Notedebasdepage"/>
        <w:rPr>
          <w:lang w:val="fr-FR"/>
        </w:rPr>
      </w:pPr>
      <w:r>
        <w:rPr>
          <w:rStyle w:val="Appelnotedebasdep"/>
        </w:rPr>
        <w:footnoteRef/>
      </w:r>
      <w:r w:rsidRPr="008C3903">
        <w:rPr>
          <w:lang w:val="fr-FR"/>
        </w:rPr>
        <w:t xml:space="preserve"> </w:t>
      </w:r>
      <w:r w:rsidRPr="00E1011B">
        <w:rPr>
          <w:lang w:val="fr-FR"/>
        </w:rPr>
        <w:t>C</w:t>
      </w:r>
      <w:r w:rsidR="00E814DE" w:rsidRPr="00E1011B">
        <w:rPr>
          <w:lang w:val="fr-FR"/>
        </w:rPr>
        <w:t>ommission</w:t>
      </w:r>
      <w:r w:rsidR="00E204EC" w:rsidRPr="00E1011B">
        <w:rPr>
          <w:lang w:val="fr-FR"/>
        </w:rPr>
        <w:t xml:space="preserve"> </w:t>
      </w:r>
      <w:proofErr w:type="spellStart"/>
      <w:r w:rsidR="002416EA" w:rsidRPr="00E1011B">
        <w:rPr>
          <w:lang w:val="fr-FR"/>
        </w:rPr>
        <w:t>eur</w:t>
      </w:r>
      <w:proofErr w:type="spellEnd"/>
      <w:r w:rsidR="00E204EC" w:rsidRPr="00E1011B">
        <w:rPr>
          <w:lang w:val="fr-FR"/>
        </w:rPr>
        <w:t>.</w:t>
      </w:r>
      <w:r w:rsidR="002416EA" w:rsidRPr="00E1011B">
        <w:rPr>
          <w:lang w:val="fr-FR"/>
        </w:rPr>
        <w:t xml:space="preserve"> </w:t>
      </w:r>
      <w:r w:rsidR="00F72834" w:rsidRPr="00E1011B">
        <w:rPr>
          <w:lang w:val="fr-FR"/>
        </w:rPr>
        <w:t>D.H.</w:t>
      </w:r>
      <w:r w:rsidRPr="00E1011B">
        <w:rPr>
          <w:lang w:val="fr-FR"/>
        </w:rPr>
        <w:t>,</w:t>
      </w:r>
      <w:r w:rsidR="008C3903" w:rsidRPr="00E1011B">
        <w:rPr>
          <w:lang w:val="fr-FR"/>
        </w:rPr>
        <w:t xml:space="preserve"> </w:t>
      </w:r>
      <w:proofErr w:type="spellStart"/>
      <w:r w:rsidR="00E814DE" w:rsidRPr="00E1011B">
        <w:rPr>
          <w:i/>
          <w:iCs/>
          <w:lang w:val="fr-FR"/>
        </w:rPr>
        <w:t>Salahaddhin</w:t>
      </w:r>
      <w:proofErr w:type="spellEnd"/>
      <w:r w:rsidR="00E814DE" w:rsidRPr="00E1011B">
        <w:rPr>
          <w:i/>
          <w:iCs/>
          <w:lang w:val="fr-FR"/>
        </w:rPr>
        <w:t xml:space="preserve"> </w:t>
      </w:r>
      <w:proofErr w:type="spellStart"/>
      <w:r w:rsidR="00E814DE" w:rsidRPr="00E1011B">
        <w:rPr>
          <w:i/>
          <w:iCs/>
          <w:lang w:val="fr-FR"/>
        </w:rPr>
        <w:t>Galip</w:t>
      </w:r>
      <w:proofErr w:type="spellEnd"/>
      <w:r w:rsidR="00E814DE" w:rsidRPr="00E1011B">
        <w:rPr>
          <w:i/>
          <w:iCs/>
          <w:lang w:val="fr-FR"/>
        </w:rPr>
        <w:t xml:space="preserve"> c. Grèce</w:t>
      </w:r>
      <w:r w:rsidRPr="00E1011B">
        <w:rPr>
          <w:lang w:val="fr-FR"/>
        </w:rPr>
        <w:t xml:space="preserve">, </w:t>
      </w:r>
      <w:r w:rsidR="00E814DE" w:rsidRPr="00E1011B">
        <w:rPr>
          <w:lang w:val="fr-FR"/>
        </w:rPr>
        <w:t>30 août 1994</w:t>
      </w:r>
      <w:r w:rsidR="00922509" w:rsidRPr="00E1011B">
        <w:rPr>
          <w:lang w:val="fr-FR"/>
        </w:rPr>
        <w:t>.</w:t>
      </w:r>
    </w:p>
  </w:footnote>
  <w:footnote w:id="34">
    <w:p w14:paraId="37FC7F41" w14:textId="3471CD80" w:rsidR="00B25583" w:rsidRPr="00F339E4" w:rsidRDefault="00B25583" w:rsidP="00857DF9">
      <w:pPr>
        <w:spacing w:after="0"/>
        <w:jc w:val="both"/>
        <w:rPr>
          <w:lang w:val="fr-FR"/>
        </w:rPr>
      </w:pPr>
      <w:r>
        <w:rPr>
          <w:rStyle w:val="Appelnotedebasdep"/>
        </w:rPr>
        <w:footnoteRef/>
      </w:r>
      <w:r w:rsidRPr="00F339E4">
        <w:rPr>
          <w:lang w:val="fr-FR"/>
        </w:rPr>
        <w:t xml:space="preserve"> </w:t>
      </w:r>
      <w:r w:rsidRPr="00D22057">
        <w:rPr>
          <w:sz w:val="20"/>
          <w:szCs w:val="20"/>
          <w:lang w:val="fr-FR"/>
        </w:rPr>
        <w:t xml:space="preserve">Cour </w:t>
      </w:r>
      <w:proofErr w:type="spellStart"/>
      <w:r w:rsidR="002416EA">
        <w:rPr>
          <w:sz w:val="20"/>
          <w:szCs w:val="20"/>
          <w:lang w:val="fr-FR"/>
        </w:rPr>
        <w:t>eur</w:t>
      </w:r>
      <w:proofErr w:type="spellEnd"/>
      <w:r w:rsidR="008F6FA3">
        <w:rPr>
          <w:sz w:val="20"/>
          <w:szCs w:val="20"/>
          <w:lang w:val="fr-FR"/>
        </w:rPr>
        <w:t>.</w:t>
      </w:r>
      <w:r w:rsidR="002416EA">
        <w:rPr>
          <w:sz w:val="20"/>
          <w:szCs w:val="20"/>
          <w:lang w:val="fr-FR"/>
        </w:rPr>
        <w:t xml:space="preserve"> </w:t>
      </w:r>
      <w:r w:rsidR="008F6FA3">
        <w:rPr>
          <w:sz w:val="20"/>
          <w:szCs w:val="20"/>
          <w:lang w:val="fr-FR"/>
        </w:rPr>
        <w:t>D.H.</w:t>
      </w:r>
      <w:r w:rsidRPr="00D22057">
        <w:rPr>
          <w:sz w:val="20"/>
          <w:szCs w:val="20"/>
          <w:lang w:val="fr-FR"/>
        </w:rPr>
        <w:t xml:space="preserve">, </w:t>
      </w:r>
      <w:proofErr w:type="spellStart"/>
      <w:r w:rsidRPr="00D22057">
        <w:rPr>
          <w:i/>
          <w:iCs/>
          <w:sz w:val="20"/>
          <w:szCs w:val="20"/>
          <w:lang w:val="fr-FR"/>
        </w:rPr>
        <w:t>Usmanov</w:t>
      </w:r>
      <w:proofErr w:type="spellEnd"/>
      <w:r w:rsidRPr="00D22057">
        <w:rPr>
          <w:i/>
          <w:iCs/>
          <w:sz w:val="20"/>
          <w:szCs w:val="20"/>
          <w:lang w:val="fr-FR"/>
        </w:rPr>
        <w:t xml:space="preserve"> c. Russie</w:t>
      </w:r>
      <w:r w:rsidRPr="00D22057">
        <w:rPr>
          <w:sz w:val="20"/>
          <w:szCs w:val="20"/>
          <w:lang w:val="fr-FR"/>
        </w:rPr>
        <w:t>, 22</w:t>
      </w:r>
      <w:r w:rsidR="006E64E9" w:rsidRPr="00D22057">
        <w:rPr>
          <w:sz w:val="20"/>
          <w:szCs w:val="20"/>
          <w:lang w:val="fr-FR"/>
        </w:rPr>
        <w:t> </w:t>
      </w:r>
      <w:r w:rsidRPr="00D22057">
        <w:rPr>
          <w:sz w:val="20"/>
          <w:szCs w:val="20"/>
          <w:lang w:val="fr-FR"/>
        </w:rPr>
        <w:t>décembre 2020, §§</w:t>
      </w:r>
      <w:r w:rsidR="00F72834">
        <w:rPr>
          <w:sz w:val="20"/>
          <w:szCs w:val="20"/>
          <w:lang w:val="fr-FR"/>
        </w:rPr>
        <w:t xml:space="preserve"> </w:t>
      </w:r>
      <w:r w:rsidRPr="00D22057">
        <w:rPr>
          <w:sz w:val="20"/>
          <w:szCs w:val="20"/>
          <w:lang w:val="fr-FR"/>
        </w:rPr>
        <w:t>58 et s.</w:t>
      </w:r>
      <w:r w:rsidR="00984DA7" w:rsidRPr="00D22057">
        <w:rPr>
          <w:sz w:val="20"/>
          <w:szCs w:val="20"/>
          <w:lang w:val="fr-FR"/>
        </w:rPr>
        <w:t xml:space="preserve"> </w:t>
      </w:r>
      <w:r w:rsidR="00394C65" w:rsidRPr="00D22057">
        <w:rPr>
          <w:sz w:val="20"/>
          <w:szCs w:val="20"/>
          <w:lang w:val="fr-FR"/>
        </w:rPr>
        <w:t>Jusqu’alors le raisonnement de la Cour man</w:t>
      </w:r>
      <w:r w:rsidR="00D22057">
        <w:rPr>
          <w:sz w:val="20"/>
          <w:szCs w:val="20"/>
          <w:lang w:val="fr-FR"/>
        </w:rPr>
        <w:t xml:space="preserve">quait de cohérence et de lisibilité. </w:t>
      </w:r>
      <w:proofErr w:type="spellStart"/>
      <w:r w:rsidR="00D22057">
        <w:rPr>
          <w:sz w:val="20"/>
          <w:szCs w:val="20"/>
          <w:lang w:val="fr-FR"/>
        </w:rPr>
        <w:t>Voy</w:t>
      </w:r>
      <w:proofErr w:type="spellEnd"/>
      <w:r w:rsidR="00D22057">
        <w:rPr>
          <w:sz w:val="20"/>
          <w:szCs w:val="20"/>
          <w:lang w:val="fr-FR"/>
        </w:rPr>
        <w:t xml:space="preserve">. </w:t>
      </w:r>
      <w:r w:rsidR="00C84C71">
        <w:rPr>
          <w:sz w:val="20"/>
          <w:szCs w:val="20"/>
          <w:lang w:val="fr-FR"/>
        </w:rPr>
        <w:t xml:space="preserve">J. </w:t>
      </w:r>
      <w:proofErr w:type="spellStart"/>
      <w:r w:rsidR="00C84C71" w:rsidRPr="00C84C71">
        <w:rPr>
          <w:smallCaps/>
          <w:sz w:val="20"/>
          <w:szCs w:val="20"/>
          <w:lang w:val="fr-FR"/>
        </w:rPr>
        <w:t>Lepoutre</w:t>
      </w:r>
      <w:proofErr w:type="spellEnd"/>
      <w:r w:rsidR="00C84C71">
        <w:rPr>
          <w:sz w:val="20"/>
          <w:szCs w:val="20"/>
          <w:lang w:val="fr-FR"/>
        </w:rPr>
        <w:t xml:space="preserve">, « La perte de sa nationalité face au principe de proportionnalité en droits européens », </w:t>
      </w:r>
      <w:r w:rsidR="00857DF9" w:rsidRPr="008F6FA3">
        <w:rPr>
          <w:i/>
          <w:iCs/>
          <w:sz w:val="20"/>
          <w:szCs w:val="20"/>
        </w:rPr>
        <w:t>in</w:t>
      </w:r>
      <w:r w:rsidR="00857DF9" w:rsidRPr="00857DF9">
        <w:rPr>
          <w:sz w:val="20"/>
          <w:szCs w:val="20"/>
        </w:rPr>
        <w:t xml:space="preserve"> S. Corneloup et E. </w:t>
      </w:r>
      <w:proofErr w:type="spellStart"/>
      <w:r w:rsidR="00857DF9" w:rsidRPr="00857DF9">
        <w:rPr>
          <w:sz w:val="20"/>
          <w:szCs w:val="20"/>
        </w:rPr>
        <w:t>Pataut</w:t>
      </w:r>
      <w:proofErr w:type="spellEnd"/>
      <w:r w:rsidR="00857DF9" w:rsidRPr="00857DF9">
        <w:rPr>
          <w:sz w:val="20"/>
          <w:szCs w:val="20"/>
        </w:rPr>
        <w:t xml:space="preserve"> (</w:t>
      </w:r>
      <w:proofErr w:type="spellStart"/>
      <w:r w:rsidR="00857DF9" w:rsidRPr="00857DF9">
        <w:rPr>
          <w:sz w:val="20"/>
          <w:szCs w:val="20"/>
        </w:rPr>
        <w:t>dirs</w:t>
      </w:r>
      <w:proofErr w:type="spellEnd"/>
      <w:r w:rsidR="00857DF9" w:rsidRPr="00857DF9">
        <w:rPr>
          <w:sz w:val="20"/>
          <w:szCs w:val="20"/>
        </w:rPr>
        <w:t>.), </w:t>
      </w:r>
      <w:r w:rsidR="00857DF9" w:rsidRPr="004C7A7C">
        <w:rPr>
          <w:i/>
          <w:iCs/>
          <w:sz w:val="20"/>
          <w:szCs w:val="20"/>
        </w:rPr>
        <w:t>Perdre sa nationalité</w:t>
      </w:r>
      <w:r w:rsidR="00857DF9" w:rsidRPr="00857DF9">
        <w:rPr>
          <w:sz w:val="20"/>
          <w:szCs w:val="20"/>
        </w:rPr>
        <w:t xml:space="preserve">, Paris, Dalloz, 2024, </w:t>
      </w:r>
      <w:r w:rsidR="00C84C71">
        <w:rPr>
          <w:sz w:val="20"/>
          <w:szCs w:val="20"/>
          <w:lang w:val="fr-FR"/>
        </w:rPr>
        <w:t>pp. 127 et 128.</w:t>
      </w:r>
    </w:p>
  </w:footnote>
  <w:footnote w:id="35">
    <w:p w14:paraId="081311D0" w14:textId="15C75986" w:rsidR="00287EED" w:rsidRPr="00287EED" w:rsidRDefault="00287EED" w:rsidP="003F14E0">
      <w:pPr>
        <w:pStyle w:val="Notedebasdepage"/>
        <w:jc w:val="both"/>
      </w:pPr>
      <w:r>
        <w:rPr>
          <w:rStyle w:val="Appelnotedebasdep"/>
        </w:rPr>
        <w:footnoteRef/>
      </w:r>
      <w:r>
        <w:t xml:space="preserve"> Encore plus récemment, </w:t>
      </w:r>
      <w:proofErr w:type="spellStart"/>
      <w:r>
        <w:t>voy</w:t>
      </w:r>
      <w:proofErr w:type="spellEnd"/>
      <w:r>
        <w:t xml:space="preserve">. Cour </w:t>
      </w:r>
      <w:proofErr w:type="spellStart"/>
      <w:r w:rsidR="002416EA">
        <w:t>eur</w:t>
      </w:r>
      <w:proofErr w:type="spellEnd"/>
      <w:r w:rsidR="002416EA">
        <w:t xml:space="preserve">. </w:t>
      </w:r>
      <w:r>
        <w:t>D</w:t>
      </w:r>
      <w:r w:rsidR="002416EA">
        <w:t>.</w:t>
      </w:r>
      <w:r>
        <w:t>H</w:t>
      </w:r>
      <w:r w:rsidR="002416EA">
        <w:t>.</w:t>
      </w:r>
      <w:r>
        <w:t xml:space="preserve">, déc. </w:t>
      </w:r>
      <w:r w:rsidRPr="00287EED">
        <w:rPr>
          <w:i/>
          <w:iCs/>
        </w:rPr>
        <w:t>Johansen c. Danemark</w:t>
      </w:r>
      <w:r>
        <w:t>, 1</w:t>
      </w:r>
      <w:r w:rsidRPr="00287EED">
        <w:rPr>
          <w:vertAlign w:val="superscript"/>
        </w:rPr>
        <w:t>er</w:t>
      </w:r>
      <w:r w:rsidR="006E64E9">
        <w:t> </w:t>
      </w:r>
      <w:r>
        <w:t xml:space="preserve">février 2022, </w:t>
      </w:r>
      <w:r w:rsidR="003F14E0">
        <w:t xml:space="preserve">où la Cour </w:t>
      </w:r>
      <w:r w:rsidR="00F50165">
        <w:t>déclare la requête irrecevable</w:t>
      </w:r>
      <w:r w:rsidR="003F14E0">
        <w:t>.</w:t>
      </w:r>
      <w:r w:rsidR="00D631C8">
        <w:t xml:space="preserve"> </w:t>
      </w:r>
      <w:r w:rsidR="002A6E4C">
        <w:t xml:space="preserve">Pour un commentaire de cet arrêt, </w:t>
      </w:r>
      <w:proofErr w:type="spellStart"/>
      <w:r w:rsidR="002A6E4C">
        <w:t>voy</w:t>
      </w:r>
      <w:proofErr w:type="spellEnd"/>
      <w:r w:rsidR="002A6E4C">
        <w:t xml:space="preserve">. </w:t>
      </w:r>
      <w:r w:rsidR="00D631C8">
        <w:t xml:space="preserve">M. </w:t>
      </w:r>
      <w:r w:rsidR="00D631C8" w:rsidRPr="002A6E4C">
        <w:rPr>
          <w:smallCaps/>
        </w:rPr>
        <w:t>Lys</w:t>
      </w:r>
      <w:r w:rsidR="00D631C8">
        <w:t>, « </w:t>
      </w:r>
      <w:r w:rsidR="00D631C8" w:rsidRPr="00D631C8">
        <w:t xml:space="preserve">« Déchéance de nationalité et expulsion subséquente pour actes de terrorisme : la Cour européenne des droits de l’homme confirme la grande marge d’appréciation des États, obs. sous Cour </w:t>
      </w:r>
      <w:proofErr w:type="spellStart"/>
      <w:r w:rsidR="00D631C8" w:rsidRPr="00D631C8">
        <w:t>eur</w:t>
      </w:r>
      <w:proofErr w:type="spellEnd"/>
      <w:r w:rsidR="00D631C8" w:rsidRPr="00D631C8">
        <w:t xml:space="preserve">. </w:t>
      </w:r>
      <w:proofErr w:type="spellStart"/>
      <w:r w:rsidR="00D631C8" w:rsidRPr="00D631C8">
        <w:t>dr</w:t>
      </w:r>
      <w:proofErr w:type="spellEnd"/>
      <w:r w:rsidR="00D631C8" w:rsidRPr="00D631C8">
        <w:t>. h., décision Johansen c. Danemark », </w:t>
      </w:r>
      <w:proofErr w:type="spellStart"/>
      <w:r w:rsidR="00D631C8" w:rsidRPr="00D631C8">
        <w:rPr>
          <w:i/>
          <w:iCs/>
        </w:rPr>
        <w:t>Rev</w:t>
      </w:r>
      <w:proofErr w:type="spellEnd"/>
      <w:r w:rsidR="00D631C8" w:rsidRPr="00D631C8">
        <w:rPr>
          <w:i/>
          <w:iCs/>
        </w:rPr>
        <w:t>. trim.</w:t>
      </w:r>
      <w:r w:rsidR="002A6E4C">
        <w:rPr>
          <w:i/>
          <w:iCs/>
        </w:rPr>
        <w:t xml:space="preserve"> </w:t>
      </w:r>
      <w:proofErr w:type="spellStart"/>
      <w:r w:rsidR="00D631C8" w:rsidRPr="00D631C8">
        <w:rPr>
          <w:i/>
          <w:iCs/>
        </w:rPr>
        <w:t>dr</w:t>
      </w:r>
      <w:proofErr w:type="spellEnd"/>
      <w:r w:rsidR="00D631C8" w:rsidRPr="00D631C8">
        <w:rPr>
          <w:i/>
          <w:iCs/>
        </w:rPr>
        <w:t>. h.</w:t>
      </w:r>
      <w:r w:rsidR="00D631C8" w:rsidRPr="00D631C8">
        <w:t>, 2022, vol. 134, n</w:t>
      </w:r>
      <w:r w:rsidR="00D631C8">
        <w:t>°</w:t>
      </w:r>
      <w:r w:rsidR="00D631C8" w:rsidRPr="00D631C8">
        <w:t> 2, pp. 509-533.</w:t>
      </w:r>
    </w:p>
  </w:footnote>
  <w:footnote w:id="36">
    <w:p w14:paraId="24AC3E0D" w14:textId="5A2565CC" w:rsidR="009941A0" w:rsidRPr="009941A0" w:rsidRDefault="009941A0">
      <w:pPr>
        <w:pStyle w:val="Notedebasdepage"/>
      </w:pPr>
      <w:r>
        <w:rPr>
          <w:rStyle w:val="Appelnotedebasdep"/>
        </w:rPr>
        <w:footnoteRef/>
      </w:r>
      <w:r>
        <w:t xml:space="preserve"> Cour </w:t>
      </w:r>
      <w:proofErr w:type="spellStart"/>
      <w:r w:rsidR="009B3AB9">
        <w:t>eur</w:t>
      </w:r>
      <w:proofErr w:type="spellEnd"/>
      <w:r w:rsidR="009B3AB9">
        <w:t>. D.H.</w:t>
      </w:r>
      <w:r>
        <w:t xml:space="preserve">, </w:t>
      </w:r>
      <w:proofErr w:type="spellStart"/>
      <w:r>
        <w:rPr>
          <w:i/>
          <w:iCs/>
        </w:rPr>
        <w:t>Ghoumid</w:t>
      </w:r>
      <w:proofErr w:type="spellEnd"/>
      <w:r>
        <w:rPr>
          <w:i/>
          <w:iCs/>
        </w:rPr>
        <w:t xml:space="preserve"> </w:t>
      </w:r>
      <w:r w:rsidR="00EE29AA">
        <w:rPr>
          <w:i/>
          <w:iCs/>
        </w:rPr>
        <w:t xml:space="preserve">et autres </w:t>
      </w:r>
      <w:r>
        <w:rPr>
          <w:i/>
          <w:iCs/>
        </w:rPr>
        <w:t>c. France</w:t>
      </w:r>
      <w:r>
        <w:t xml:space="preserve">, </w:t>
      </w:r>
      <w:r w:rsidR="00AD556D">
        <w:t>25</w:t>
      </w:r>
      <w:r w:rsidR="006E64E9">
        <w:t> </w:t>
      </w:r>
      <w:r w:rsidR="00AD556D">
        <w:t>juin 2020.</w:t>
      </w:r>
    </w:p>
  </w:footnote>
  <w:footnote w:id="37">
    <w:p w14:paraId="7949946A" w14:textId="68D0A459" w:rsidR="00046A5D" w:rsidRPr="00046A5D" w:rsidRDefault="00046A5D" w:rsidP="00046A5D">
      <w:pPr>
        <w:pStyle w:val="Notedebasdepage"/>
        <w:jc w:val="both"/>
      </w:pPr>
      <w:r>
        <w:rPr>
          <w:rStyle w:val="Appelnotedebasdep"/>
        </w:rPr>
        <w:footnoteRef/>
      </w:r>
      <w:r>
        <w:t xml:space="preserve"> «</w:t>
      </w:r>
      <w:r w:rsidR="0042260D">
        <w:rPr>
          <w:rFonts w:ascii="Arial" w:hAnsi="Arial" w:cs="Arial"/>
        </w:rPr>
        <w:t> </w:t>
      </w:r>
      <w:r>
        <w:t xml:space="preserve">La pratique a néanmoins montré que cette disposition n’avait pas de fondement juridique suffisamment clair pour engager avec succès la procédure prévue de déchéance de la nationalité à l’égard </w:t>
      </w:r>
      <w:r w:rsidR="00AE0EF9">
        <w:t>des personnes ayant été condamnées pour des actes qui étaient tellement graves qu’il ne pouvait y avoir le moindre doute concernant non seulement l’absence totale de volonté d’intégration dans la communauté d’accueil dans leur chef, mais aussi le danger manifeste qu’elles représentent pour la communauté en général</w:t>
      </w:r>
      <w:r w:rsidR="0042260D">
        <w:rPr>
          <w:rFonts w:ascii="Arial" w:hAnsi="Arial" w:cs="Arial"/>
        </w:rPr>
        <w:t> </w:t>
      </w:r>
      <w:r w:rsidR="00AE0EF9">
        <w:t>»</w:t>
      </w:r>
      <w:r w:rsidR="002657BA">
        <w:t xml:space="preserve">, </w:t>
      </w:r>
      <w:r w:rsidR="00AE0EF9">
        <w:t>Proposition de loi</w:t>
      </w:r>
      <w:r w:rsidR="00AE0EF9" w:rsidRPr="00636D06">
        <w:t xml:space="preserve"> modifiant le Code de la nationalité belge afin de rendre l’acquisition de la nationalité belge neutre du point de vue de l’immigration </w:t>
      </w:r>
      <w:r w:rsidR="00AE0EF9" w:rsidRPr="00636D06">
        <w:rPr>
          <w:i/>
          <w:iCs/>
        </w:rPr>
        <w:t>Doc.</w:t>
      </w:r>
      <w:r w:rsidR="00AE0EF9" w:rsidRPr="00636D06">
        <w:t>, Ch</w:t>
      </w:r>
      <w:r w:rsidR="00AE0EF9">
        <w:t>.</w:t>
      </w:r>
      <w:r w:rsidR="00AE0EF9" w:rsidRPr="00636D06">
        <w:t>, 2010-2011, n</w:t>
      </w:r>
      <w:r w:rsidR="00AE0EF9">
        <w:t>°</w:t>
      </w:r>
      <w:r w:rsidR="00AE0EF9" w:rsidRPr="00636D06">
        <w:t> 476/001</w:t>
      </w:r>
      <w:r w:rsidR="00AE0EF9">
        <w:t>, p.</w:t>
      </w:r>
      <w:r w:rsidR="00266B9D">
        <w:t> </w:t>
      </w:r>
      <w:r w:rsidR="00AE0EF9">
        <w:t>11.</w:t>
      </w:r>
      <w:r w:rsidR="002657BA">
        <w:t xml:space="preserve"> La Cour </w:t>
      </w:r>
      <w:r w:rsidR="00467E0D">
        <w:t>voit dans l’insertion de l’article</w:t>
      </w:r>
      <w:r w:rsidR="00266B9D">
        <w:t> </w:t>
      </w:r>
      <w:r w:rsidR="00467E0D">
        <w:t>23/1, non un aveu de manque de clarté et donc de prévisibilité de l’article</w:t>
      </w:r>
      <w:r w:rsidR="00266B9D">
        <w:t> </w:t>
      </w:r>
      <w:r w:rsidR="00467E0D">
        <w:t>23, mais</w:t>
      </w:r>
      <w:r w:rsidR="002657BA">
        <w:t xml:space="preserve"> uniquement une </w:t>
      </w:r>
      <w:r w:rsidR="006B5213">
        <w:t xml:space="preserve">occasion </w:t>
      </w:r>
      <w:r w:rsidR="00467E0D">
        <w:t xml:space="preserve">d’étendre la mesure et </w:t>
      </w:r>
      <w:r w:rsidR="006B5213">
        <w:t xml:space="preserve">de viser explicitement </w:t>
      </w:r>
      <w:r w:rsidR="00F77259">
        <w:t>les</w:t>
      </w:r>
      <w:r w:rsidR="006B5213">
        <w:t xml:space="preserve"> condamnations pour certains types d’infractions (condamnation à une peine d’emprisonnement d’au moins cinq ans sans sursis pour </w:t>
      </w:r>
      <w:r w:rsidR="00F77259">
        <w:t xml:space="preserve">ces </w:t>
      </w:r>
      <w:r w:rsidR="006B5213">
        <w:t xml:space="preserve">infractions). </w:t>
      </w:r>
    </w:p>
  </w:footnote>
  <w:footnote w:id="38">
    <w:p w14:paraId="469B64F2" w14:textId="6B697FAD" w:rsidR="00BC52A9" w:rsidRPr="00404BC8" w:rsidRDefault="00BC52A9" w:rsidP="00404BC8">
      <w:pPr>
        <w:pStyle w:val="Notedebasdepage"/>
        <w:jc w:val="both"/>
      </w:pPr>
      <w:r>
        <w:rPr>
          <w:rStyle w:val="Appelnotedebasdep"/>
        </w:rPr>
        <w:footnoteRef/>
      </w:r>
      <w:r>
        <w:t xml:space="preserve"> Le gouvernement avait </w:t>
      </w:r>
      <w:r w:rsidR="00404BC8">
        <w:t xml:space="preserve">cité plusieurs cas de déchéance de nationalité prononcée après une infraction terroriste : </w:t>
      </w:r>
      <w:r w:rsidR="00404BC8" w:rsidRPr="00404BC8">
        <w:t>Bruxelles, 26</w:t>
      </w:r>
      <w:r w:rsidR="006E64E9">
        <w:t> </w:t>
      </w:r>
      <w:r w:rsidR="00404BC8" w:rsidRPr="00404BC8">
        <w:t>janvier 2009</w:t>
      </w:r>
      <w:r w:rsidR="005E3A08">
        <w:rPr>
          <w:rFonts w:ascii="Arial" w:hAnsi="Arial" w:cs="Arial"/>
        </w:rPr>
        <w:t> </w:t>
      </w:r>
      <w:r w:rsidR="00404BC8" w:rsidRPr="00404BC8">
        <w:t>; Bruxelles, 7</w:t>
      </w:r>
      <w:r w:rsidR="006E64E9">
        <w:t> </w:t>
      </w:r>
      <w:r w:rsidR="00404BC8" w:rsidRPr="00404BC8">
        <w:t>janvier 2010</w:t>
      </w:r>
      <w:r w:rsidR="005E3A08">
        <w:rPr>
          <w:rFonts w:ascii="Arial" w:hAnsi="Arial" w:cs="Arial"/>
        </w:rPr>
        <w:t> </w:t>
      </w:r>
      <w:r w:rsidR="00404BC8" w:rsidRPr="00404BC8">
        <w:t>; Anvers, 18 novembre 2010</w:t>
      </w:r>
      <w:r w:rsidR="005E3A08">
        <w:rPr>
          <w:rFonts w:ascii="Arial" w:hAnsi="Arial" w:cs="Arial"/>
        </w:rPr>
        <w:t> </w:t>
      </w:r>
      <w:r w:rsidR="00404BC8" w:rsidRPr="00404BC8">
        <w:t>; CA Bruxelles, 20</w:t>
      </w:r>
      <w:r w:rsidR="006E64E9">
        <w:t> </w:t>
      </w:r>
      <w:r w:rsidR="00404BC8" w:rsidRPr="00404BC8">
        <w:t>décembre 2010</w:t>
      </w:r>
      <w:r w:rsidR="00404BC8">
        <w:t xml:space="preserve">. Cour </w:t>
      </w:r>
      <w:proofErr w:type="spellStart"/>
      <w:r w:rsidR="00CE680A">
        <w:t>eur</w:t>
      </w:r>
      <w:proofErr w:type="spellEnd"/>
      <w:r w:rsidR="00CE680A">
        <w:t>. D.H.</w:t>
      </w:r>
      <w:r w:rsidR="00404BC8">
        <w:t xml:space="preserve"> </w:t>
      </w:r>
      <w:r w:rsidR="00404BC8">
        <w:rPr>
          <w:i/>
          <w:iCs/>
        </w:rPr>
        <w:t xml:space="preserve">El </w:t>
      </w:r>
      <w:proofErr w:type="spellStart"/>
      <w:r w:rsidR="00404BC8">
        <w:rPr>
          <w:i/>
          <w:iCs/>
        </w:rPr>
        <w:t>Aroud</w:t>
      </w:r>
      <w:proofErr w:type="spellEnd"/>
      <w:r w:rsidR="00404BC8">
        <w:rPr>
          <w:i/>
          <w:iCs/>
        </w:rPr>
        <w:t xml:space="preserve"> et </w:t>
      </w:r>
      <w:proofErr w:type="spellStart"/>
      <w:r w:rsidR="00404BC8">
        <w:rPr>
          <w:i/>
          <w:iCs/>
        </w:rPr>
        <w:t>Soughir</w:t>
      </w:r>
      <w:proofErr w:type="spellEnd"/>
      <w:r w:rsidR="00404BC8">
        <w:rPr>
          <w:i/>
          <w:iCs/>
        </w:rPr>
        <w:t xml:space="preserve"> c. </w:t>
      </w:r>
      <w:r w:rsidR="002A1DBE">
        <w:rPr>
          <w:i/>
          <w:iCs/>
        </w:rPr>
        <w:t>Belgique</w:t>
      </w:r>
      <w:r w:rsidR="00404BC8">
        <w:t>, 5</w:t>
      </w:r>
      <w:r w:rsidR="006E64E9">
        <w:t> </w:t>
      </w:r>
      <w:r w:rsidR="00404BC8">
        <w:t>décembre 2024, §</w:t>
      </w:r>
      <w:r w:rsidR="00266B9D">
        <w:t> </w:t>
      </w:r>
      <w:r w:rsidR="00404BC8">
        <w:t>30.</w:t>
      </w:r>
    </w:p>
  </w:footnote>
  <w:footnote w:id="39">
    <w:p w14:paraId="1C308199" w14:textId="7C578FBF" w:rsidR="00F9415B" w:rsidRPr="00F9415B" w:rsidRDefault="00F9415B">
      <w:pPr>
        <w:pStyle w:val="Notedebasdepage"/>
      </w:pPr>
      <w:r>
        <w:rPr>
          <w:rStyle w:val="Appelnotedebasdep"/>
        </w:rPr>
        <w:footnoteRef/>
      </w:r>
      <w:r>
        <w:t xml:space="preserve"> Cour </w:t>
      </w:r>
      <w:proofErr w:type="spellStart"/>
      <w:r w:rsidR="00CE680A">
        <w:t>eur</w:t>
      </w:r>
      <w:proofErr w:type="spellEnd"/>
      <w:r w:rsidR="00CE680A">
        <w:t>. D.H.</w:t>
      </w:r>
      <w:r>
        <w:t xml:space="preserve">, </w:t>
      </w:r>
      <w:r>
        <w:rPr>
          <w:i/>
          <w:iCs/>
        </w:rPr>
        <w:t xml:space="preserve">El </w:t>
      </w:r>
      <w:proofErr w:type="spellStart"/>
      <w:r>
        <w:rPr>
          <w:i/>
          <w:iCs/>
        </w:rPr>
        <w:t>Aroud</w:t>
      </w:r>
      <w:proofErr w:type="spellEnd"/>
      <w:r>
        <w:rPr>
          <w:i/>
          <w:iCs/>
        </w:rPr>
        <w:t xml:space="preserve"> et </w:t>
      </w:r>
      <w:proofErr w:type="spellStart"/>
      <w:r>
        <w:rPr>
          <w:i/>
          <w:iCs/>
        </w:rPr>
        <w:t>Soughir</w:t>
      </w:r>
      <w:proofErr w:type="spellEnd"/>
      <w:r>
        <w:rPr>
          <w:i/>
          <w:iCs/>
        </w:rPr>
        <w:t xml:space="preserve"> c. </w:t>
      </w:r>
      <w:r w:rsidR="002A1DBE">
        <w:rPr>
          <w:i/>
          <w:iCs/>
        </w:rPr>
        <w:t>Belgique</w:t>
      </w:r>
      <w:r>
        <w:t>, 5</w:t>
      </w:r>
      <w:r w:rsidR="006E64E9">
        <w:t> </w:t>
      </w:r>
      <w:r>
        <w:t>décembre 2024, §</w:t>
      </w:r>
      <w:r w:rsidR="00266B9D">
        <w:t> </w:t>
      </w:r>
      <w:r w:rsidR="00F86AC3">
        <w:t>70</w:t>
      </w:r>
      <w:r>
        <w:t>.</w:t>
      </w:r>
    </w:p>
  </w:footnote>
  <w:footnote w:id="40">
    <w:p w14:paraId="7021B3EF" w14:textId="1996A5FD" w:rsidR="00CC7742" w:rsidRPr="00D77F9A" w:rsidRDefault="00CC7742" w:rsidP="00CC7742">
      <w:pPr>
        <w:pStyle w:val="Notedebasdepage"/>
      </w:pPr>
      <w:r>
        <w:rPr>
          <w:rStyle w:val="Appelnotedebasdep"/>
        </w:rPr>
        <w:footnoteRef/>
      </w:r>
      <w:r>
        <w:t xml:space="preserve"> Seuls deux des cinq requérants avaient été </w:t>
      </w:r>
      <w:r w:rsidRPr="00825663">
        <w:t xml:space="preserve">entendus par la commission d’expulsion des Yvelines </w:t>
      </w:r>
      <w:r>
        <w:t xml:space="preserve">sans qu’un </w:t>
      </w:r>
      <w:r w:rsidRPr="00825663">
        <w:t>arrêté d’expulsion</w:t>
      </w:r>
      <w:r>
        <w:t xml:space="preserve"> leur soit notifié</w:t>
      </w:r>
      <w:r w:rsidRPr="00825663">
        <w:t>.</w:t>
      </w:r>
      <w:r>
        <w:t xml:space="preserve"> Cour </w:t>
      </w:r>
      <w:proofErr w:type="spellStart"/>
      <w:r w:rsidR="00CE680A">
        <w:t>eur</w:t>
      </w:r>
      <w:proofErr w:type="spellEnd"/>
      <w:r w:rsidR="00CE680A">
        <w:t>. D.H.</w:t>
      </w:r>
      <w:r>
        <w:t xml:space="preserve">, </w:t>
      </w:r>
      <w:proofErr w:type="spellStart"/>
      <w:r>
        <w:rPr>
          <w:i/>
          <w:iCs/>
        </w:rPr>
        <w:t>Ghoumid</w:t>
      </w:r>
      <w:proofErr w:type="spellEnd"/>
      <w:r>
        <w:rPr>
          <w:i/>
          <w:iCs/>
        </w:rPr>
        <w:t xml:space="preserve"> et autres c. France</w:t>
      </w:r>
      <w:r>
        <w:t>, 25</w:t>
      </w:r>
      <w:r w:rsidR="006E64E9">
        <w:t> </w:t>
      </w:r>
      <w:r>
        <w:t>juin 2020, §</w:t>
      </w:r>
      <w:r w:rsidR="00266B9D">
        <w:t> </w:t>
      </w:r>
      <w:r>
        <w:t>18.</w:t>
      </w:r>
    </w:p>
  </w:footnote>
  <w:footnote w:id="41">
    <w:p w14:paraId="5800C717" w14:textId="08C71A7A" w:rsidR="00CC7742" w:rsidRPr="00104020" w:rsidRDefault="00CC7742" w:rsidP="00CC7742">
      <w:pPr>
        <w:pStyle w:val="Notedebasdepage"/>
        <w:jc w:val="both"/>
        <w:rPr>
          <w:lang w:val="fr-FR"/>
        </w:rPr>
      </w:pPr>
      <w:r>
        <w:rPr>
          <w:rStyle w:val="Appelnotedebasdep"/>
        </w:rPr>
        <w:footnoteRef/>
      </w:r>
      <w:r w:rsidRPr="00104020">
        <w:rPr>
          <w:lang w:val="fr-FR"/>
        </w:rPr>
        <w:t xml:space="preserve"> Madame El </w:t>
      </w:r>
      <w:proofErr w:type="spellStart"/>
      <w:r w:rsidRPr="00104020">
        <w:rPr>
          <w:lang w:val="fr-FR"/>
        </w:rPr>
        <w:t>Aroud</w:t>
      </w:r>
      <w:proofErr w:type="spellEnd"/>
      <w:r w:rsidRPr="00104020">
        <w:rPr>
          <w:lang w:val="fr-FR"/>
        </w:rPr>
        <w:t xml:space="preserve"> avait d’abord de</w:t>
      </w:r>
      <w:r>
        <w:rPr>
          <w:lang w:val="fr-FR"/>
        </w:rPr>
        <w:t xml:space="preserve">mandé le statut de réfugiée en Belgique, ce qui lui avait été refusé par le Commissariat général aux réfugiés et aux apatrides (ci-après, </w:t>
      </w:r>
      <w:r w:rsidR="003141E1">
        <w:rPr>
          <w:lang w:val="fr-FR"/>
        </w:rPr>
        <w:t>«</w:t>
      </w:r>
      <w:r w:rsidR="003141E1">
        <w:rPr>
          <w:rFonts w:ascii="Arial" w:hAnsi="Arial" w:cs="Arial"/>
          <w:lang w:val="fr-FR"/>
        </w:rPr>
        <w:t> </w:t>
      </w:r>
      <w:r>
        <w:rPr>
          <w:lang w:val="fr-FR"/>
        </w:rPr>
        <w:t>CGRA</w:t>
      </w:r>
      <w:r w:rsidR="003141E1">
        <w:rPr>
          <w:rFonts w:ascii="Arial" w:hAnsi="Arial" w:cs="Arial"/>
          <w:lang w:val="fr-FR"/>
        </w:rPr>
        <w:t> </w:t>
      </w:r>
      <w:r w:rsidR="003141E1">
        <w:rPr>
          <w:lang w:val="fr-FR"/>
        </w:rPr>
        <w:t>»</w:t>
      </w:r>
      <w:r>
        <w:rPr>
          <w:lang w:val="fr-FR"/>
        </w:rPr>
        <w:t>) sur le fondement de l’article 1, section F, de la Convention de Genève. Le CGRA s’était également prononcé en faveur d’une absence de risque de violation de la CEDH en cas de renvoi au Maroc. CCE, 29</w:t>
      </w:r>
      <w:r w:rsidR="006E64E9">
        <w:rPr>
          <w:lang w:val="fr-FR"/>
        </w:rPr>
        <w:t> </w:t>
      </w:r>
      <w:r>
        <w:rPr>
          <w:lang w:val="fr-FR"/>
        </w:rPr>
        <w:t xml:space="preserve">janvier 2019, </w:t>
      </w:r>
      <w:r w:rsidR="00596943">
        <w:rPr>
          <w:lang w:val="fr-FR"/>
        </w:rPr>
        <w:t xml:space="preserve">n° 215 964, </w:t>
      </w:r>
      <w:r w:rsidR="007D064E">
        <w:rPr>
          <w:lang w:val="fr-FR"/>
        </w:rPr>
        <w:t>pt</w:t>
      </w:r>
      <w:r w:rsidR="00266B9D">
        <w:rPr>
          <w:lang w:val="fr-FR"/>
        </w:rPr>
        <w:t> </w:t>
      </w:r>
      <w:r>
        <w:rPr>
          <w:lang w:val="fr-FR"/>
        </w:rPr>
        <w:t>5.8.4. Si le Conseil du contentieux a lui aussi conclu à l’exclusion du statut de réfugié, il a refusé de se prononcer sur le risque de violation des articles</w:t>
      </w:r>
      <w:r w:rsidR="00266B9D">
        <w:rPr>
          <w:lang w:val="fr-FR"/>
        </w:rPr>
        <w:t> </w:t>
      </w:r>
      <w:r>
        <w:rPr>
          <w:lang w:val="fr-FR"/>
        </w:rPr>
        <w:t xml:space="preserve">2 et 3 de la CEDH dès lors qu’aucune mesure d’éloignement du territoire ne faisait l’objet du recours. Sur les liens entre statut de réfugié et terrorisme, </w:t>
      </w:r>
      <w:proofErr w:type="spellStart"/>
      <w:r>
        <w:rPr>
          <w:lang w:val="fr-FR"/>
        </w:rPr>
        <w:t>voy</w:t>
      </w:r>
      <w:proofErr w:type="spellEnd"/>
      <w:r>
        <w:rPr>
          <w:lang w:val="fr-FR"/>
        </w:rPr>
        <w:t>. A.</w:t>
      </w:r>
      <w:r w:rsidR="0042260D">
        <w:rPr>
          <w:lang w:val="fr-FR"/>
        </w:rPr>
        <w:t> </w:t>
      </w:r>
      <w:r>
        <w:rPr>
          <w:lang w:val="fr-FR"/>
        </w:rPr>
        <w:t>Ernoux, «</w:t>
      </w:r>
      <w:r w:rsidR="0042260D">
        <w:rPr>
          <w:rFonts w:ascii="Arial" w:hAnsi="Arial" w:cs="Arial"/>
          <w:lang w:val="fr-FR"/>
        </w:rPr>
        <w:t> </w:t>
      </w:r>
      <w:r w:rsidRPr="004467AE">
        <w:rPr>
          <w:lang w:val="fr-FR"/>
        </w:rPr>
        <w:t>Éloignement d’un réfugié terroriste</w:t>
      </w:r>
      <w:r w:rsidR="005E3A08">
        <w:rPr>
          <w:lang w:val="fr-FR"/>
        </w:rPr>
        <w:t> </w:t>
      </w:r>
      <w:r w:rsidRPr="004467AE">
        <w:rPr>
          <w:lang w:val="fr-FR"/>
        </w:rPr>
        <w:t>:</w:t>
      </w:r>
      <w:r>
        <w:rPr>
          <w:lang w:val="fr-FR"/>
        </w:rPr>
        <w:t xml:space="preserve"> </w:t>
      </w:r>
      <w:r w:rsidRPr="004467AE">
        <w:rPr>
          <w:lang w:val="fr-FR"/>
        </w:rPr>
        <w:t>le jeu des plaques tectoniques</w:t>
      </w:r>
      <w:r w:rsidR="0042260D">
        <w:rPr>
          <w:rFonts w:ascii="Arial" w:hAnsi="Arial" w:cs="Arial"/>
          <w:lang w:val="fr-FR"/>
        </w:rPr>
        <w:t> </w:t>
      </w:r>
      <w:r>
        <w:rPr>
          <w:lang w:val="fr-FR"/>
        </w:rPr>
        <w:t xml:space="preserve">», </w:t>
      </w:r>
      <w:r w:rsidRPr="004467AE">
        <w:rPr>
          <w:lang w:val="fr-FR"/>
        </w:rPr>
        <w:t xml:space="preserve">obs. sous Cour </w:t>
      </w:r>
      <w:proofErr w:type="spellStart"/>
      <w:r w:rsidRPr="004467AE">
        <w:rPr>
          <w:lang w:val="fr-FR"/>
        </w:rPr>
        <w:t>eur</w:t>
      </w:r>
      <w:proofErr w:type="spellEnd"/>
      <w:r w:rsidRPr="004467AE">
        <w:rPr>
          <w:lang w:val="fr-FR"/>
        </w:rPr>
        <w:t xml:space="preserve">. </w:t>
      </w:r>
      <w:proofErr w:type="spellStart"/>
      <w:r w:rsidRPr="004467AE">
        <w:rPr>
          <w:lang w:val="fr-FR"/>
        </w:rPr>
        <w:t>dr</w:t>
      </w:r>
      <w:proofErr w:type="spellEnd"/>
      <w:r w:rsidRPr="004467AE">
        <w:rPr>
          <w:lang w:val="fr-FR"/>
        </w:rPr>
        <w:t xml:space="preserve">. h., arrêt </w:t>
      </w:r>
      <w:r w:rsidRPr="00C45BB0">
        <w:rPr>
          <w:i/>
          <w:iCs/>
          <w:lang w:val="fr-FR"/>
        </w:rPr>
        <w:t>K.</w:t>
      </w:r>
      <w:r w:rsidR="0042260D">
        <w:rPr>
          <w:i/>
          <w:iCs/>
          <w:lang w:val="fr-FR"/>
        </w:rPr>
        <w:t> </w:t>
      </w:r>
      <w:r w:rsidRPr="00C45BB0">
        <w:rPr>
          <w:i/>
          <w:iCs/>
          <w:lang w:val="fr-FR"/>
        </w:rPr>
        <w:t>I. c. France</w:t>
      </w:r>
      <w:r w:rsidRPr="004467AE">
        <w:rPr>
          <w:lang w:val="fr-FR"/>
        </w:rPr>
        <w:t>, 15</w:t>
      </w:r>
      <w:r w:rsidR="006E64E9">
        <w:rPr>
          <w:lang w:val="fr-FR"/>
        </w:rPr>
        <w:t> </w:t>
      </w:r>
      <w:r w:rsidRPr="004467AE">
        <w:rPr>
          <w:lang w:val="fr-FR"/>
        </w:rPr>
        <w:t>avril 2021</w:t>
      </w:r>
      <w:r>
        <w:rPr>
          <w:lang w:val="fr-FR"/>
        </w:rPr>
        <w:t xml:space="preserve">, </w:t>
      </w:r>
      <w:proofErr w:type="spellStart"/>
      <w:r>
        <w:rPr>
          <w:i/>
          <w:iCs/>
          <w:lang w:val="fr-FR"/>
        </w:rPr>
        <w:t>Rev</w:t>
      </w:r>
      <w:proofErr w:type="spellEnd"/>
      <w:r>
        <w:rPr>
          <w:i/>
          <w:iCs/>
          <w:lang w:val="fr-FR"/>
        </w:rPr>
        <w:t xml:space="preserve">. trim. </w:t>
      </w:r>
      <w:proofErr w:type="spellStart"/>
      <w:r>
        <w:rPr>
          <w:i/>
          <w:iCs/>
          <w:lang w:val="fr-FR"/>
        </w:rPr>
        <w:t>dr</w:t>
      </w:r>
      <w:proofErr w:type="spellEnd"/>
      <w:r>
        <w:rPr>
          <w:i/>
          <w:iCs/>
          <w:lang w:val="fr-FR"/>
        </w:rPr>
        <w:t>. h.</w:t>
      </w:r>
      <w:r>
        <w:rPr>
          <w:lang w:val="fr-FR"/>
        </w:rPr>
        <w:t>, n°</w:t>
      </w:r>
      <w:r w:rsidR="00266B9D">
        <w:rPr>
          <w:lang w:val="fr-FR"/>
        </w:rPr>
        <w:t> </w:t>
      </w:r>
      <w:r>
        <w:rPr>
          <w:lang w:val="fr-FR"/>
        </w:rPr>
        <w:t>130, p.</w:t>
      </w:r>
      <w:r w:rsidR="00266B9D">
        <w:rPr>
          <w:lang w:val="fr-FR"/>
        </w:rPr>
        <w:t> </w:t>
      </w:r>
      <w:r>
        <w:rPr>
          <w:lang w:val="fr-FR"/>
        </w:rPr>
        <w:t>331 et s.</w:t>
      </w:r>
    </w:p>
  </w:footnote>
  <w:footnote w:id="42">
    <w:p w14:paraId="30E2B385" w14:textId="55FD8ABF" w:rsidR="00CC7742" w:rsidRPr="00177083" w:rsidRDefault="00CC7742" w:rsidP="00CC7742">
      <w:pPr>
        <w:pStyle w:val="Notedebasdepage"/>
      </w:pPr>
      <w:r>
        <w:rPr>
          <w:rStyle w:val="Appelnotedebasdep"/>
        </w:rPr>
        <w:footnoteRef/>
      </w:r>
      <w:r>
        <w:t xml:space="preserve"> Cour </w:t>
      </w:r>
      <w:proofErr w:type="spellStart"/>
      <w:r w:rsidR="00E7741A">
        <w:t>eur</w:t>
      </w:r>
      <w:proofErr w:type="spellEnd"/>
      <w:r w:rsidR="00E7741A">
        <w:t>. D.H.</w:t>
      </w:r>
      <w:r>
        <w:t xml:space="preserve">, </w:t>
      </w:r>
      <w:r>
        <w:rPr>
          <w:i/>
          <w:iCs/>
        </w:rPr>
        <w:t xml:space="preserve">El </w:t>
      </w:r>
      <w:proofErr w:type="spellStart"/>
      <w:r>
        <w:rPr>
          <w:i/>
          <w:iCs/>
        </w:rPr>
        <w:t>Aroud</w:t>
      </w:r>
      <w:proofErr w:type="spellEnd"/>
      <w:r>
        <w:rPr>
          <w:i/>
          <w:iCs/>
        </w:rPr>
        <w:t xml:space="preserve"> et </w:t>
      </w:r>
      <w:proofErr w:type="spellStart"/>
      <w:r>
        <w:rPr>
          <w:i/>
          <w:iCs/>
        </w:rPr>
        <w:t>Soughir</w:t>
      </w:r>
      <w:proofErr w:type="spellEnd"/>
      <w:r>
        <w:rPr>
          <w:i/>
          <w:iCs/>
        </w:rPr>
        <w:t xml:space="preserve"> c. Belgique</w:t>
      </w:r>
      <w:r>
        <w:t>, 5</w:t>
      </w:r>
      <w:r w:rsidR="006E64E9">
        <w:t> </w:t>
      </w:r>
      <w:r>
        <w:t>décembre 2024, §§</w:t>
      </w:r>
      <w:r w:rsidR="00266B9D">
        <w:t> </w:t>
      </w:r>
      <w:r>
        <w:t>40 et 58.</w:t>
      </w:r>
    </w:p>
  </w:footnote>
  <w:footnote w:id="43">
    <w:p w14:paraId="2397CA45" w14:textId="76DC3A3C" w:rsidR="00B40B1B" w:rsidRDefault="00B40B1B" w:rsidP="00B40B1B">
      <w:pPr>
        <w:pStyle w:val="Notedebasdepage"/>
        <w:jc w:val="both"/>
      </w:pPr>
      <w:r>
        <w:rPr>
          <w:rStyle w:val="Appelnotedebasdep"/>
        </w:rPr>
        <w:footnoteRef/>
      </w:r>
      <w:r>
        <w:t xml:space="preserve"> Au sujet des liens qui unissent déchéance de nationalité, </w:t>
      </w:r>
      <w:r w:rsidR="009B7F6D">
        <w:t xml:space="preserve">la </w:t>
      </w:r>
      <w:r>
        <w:t xml:space="preserve">perte de séjour et </w:t>
      </w:r>
      <w:r w:rsidR="009B7F6D">
        <w:t>l’</w:t>
      </w:r>
      <w:r>
        <w:t xml:space="preserve">éloignement du territoire, </w:t>
      </w:r>
      <w:proofErr w:type="spellStart"/>
      <w:r>
        <w:t>voy</w:t>
      </w:r>
      <w:proofErr w:type="spellEnd"/>
      <w:r>
        <w:t xml:space="preserve">. </w:t>
      </w:r>
      <w:r w:rsidR="0071425A" w:rsidRPr="0071425A">
        <w:t xml:space="preserve">Ch. </w:t>
      </w:r>
      <w:r w:rsidR="0071425A" w:rsidRPr="0071425A">
        <w:rPr>
          <w:smallCaps/>
        </w:rPr>
        <w:t>Macq</w:t>
      </w:r>
      <w:r w:rsidR="0071425A" w:rsidRPr="0071425A">
        <w:t xml:space="preserve">, « Contours et enjeux de la déchéance de la nationalité », </w:t>
      </w:r>
      <w:r w:rsidR="0071425A" w:rsidRPr="0071425A">
        <w:rPr>
          <w:i/>
          <w:iCs/>
        </w:rPr>
        <w:t>Courrier hebdomadaire du CRISP</w:t>
      </w:r>
      <w:r w:rsidR="0071425A" w:rsidRPr="0071425A">
        <w:t>, 2021, n</w:t>
      </w:r>
      <w:r w:rsidR="0071425A" w:rsidRPr="002416EA">
        <w:rPr>
          <w:vertAlign w:val="superscript"/>
        </w:rPr>
        <w:t>os</w:t>
      </w:r>
      <w:r w:rsidR="0071425A" w:rsidRPr="0071425A">
        <w:t xml:space="preserve"> 2515-2516</w:t>
      </w:r>
      <w:r w:rsidR="0071425A">
        <w:t>, pp. 14 à 16</w:t>
      </w:r>
      <w:r w:rsidR="0071425A" w:rsidRPr="0071425A">
        <w:t>.</w:t>
      </w:r>
    </w:p>
  </w:footnote>
  <w:footnote w:id="44">
    <w:p w14:paraId="040DB9F4" w14:textId="189263C9" w:rsidR="00CC7742" w:rsidRPr="00DB048E" w:rsidRDefault="00CC7742" w:rsidP="00CC7742">
      <w:pPr>
        <w:pStyle w:val="Notedebasdepage"/>
        <w:jc w:val="both"/>
        <w:rPr>
          <w:lang w:val="fr-FR"/>
        </w:rPr>
      </w:pPr>
      <w:r>
        <w:rPr>
          <w:rStyle w:val="Appelnotedebasdep"/>
        </w:rPr>
        <w:footnoteRef/>
      </w:r>
      <w:r>
        <w:t xml:space="preserve"> J.-P.</w:t>
      </w:r>
      <w:r w:rsidR="0042260D">
        <w:t> </w:t>
      </w:r>
      <w:proofErr w:type="spellStart"/>
      <w:r w:rsidRPr="005F23DF">
        <w:rPr>
          <w:smallCaps/>
        </w:rPr>
        <w:t>Stroobants</w:t>
      </w:r>
      <w:proofErr w:type="spellEnd"/>
      <w:r>
        <w:t>, «</w:t>
      </w:r>
      <w:r w:rsidR="0042260D">
        <w:rPr>
          <w:rFonts w:ascii="Arial" w:hAnsi="Arial" w:cs="Arial"/>
        </w:rPr>
        <w:t> </w:t>
      </w:r>
      <w:r w:rsidRPr="005F23DF">
        <w:t>La Belgique pourra expulser vers le Maroc Malika El-</w:t>
      </w:r>
      <w:proofErr w:type="spellStart"/>
      <w:r w:rsidRPr="005F23DF">
        <w:t>Aroud</w:t>
      </w:r>
      <w:proofErr w:type="spellEnd"/>
      <w:r w:rsidRPr="005F23DF">
        <w:t xml:space="preserve">, </w:t>
      </w:r>
      <w:r w:rsidR="003141E1">
        <w:t>“</w:t>
      </w:r>
      <w:r w:rsidRPr="005F23DF">
        <w:t>la veuve noire du djihad</w:t>
      </w:r>
      <w:r w:rsidR="003141E1">
        <w:t>”</w:t>
      </w:r>
      <w:r w:rsidR="0042260D">
        <w:rPr>
          <w:rFonts w:ascii="Arial" w:hAnsi="Arial" w:cs="Arial"/>
        </w:rPr>
        <w:t> </w:t>
      </w:r>
      <w:r>
        <w:t>», Le Monde, 24</w:t>
      </w:r>
      <w:r w:rsidR="006E64E9">
        <w:t> </w:t>
      </w:r>
      <w:r>
        <w:t>février 2019, disponible sur </w:t>
      </w:r>
      <w:hyperlink r:id="rId6" w:history="1">
        <w:r w:rsidRPr="00000E52">
          <w:rPr>
            <w:rStyle w:val="Lienhypertexte"/>
          </w:rPr>
          <w:t>www.lemonde.fr</w:t>
        </w:r>
      </w:hyperlink>
      <w:r>
        <w:t xml:space="preserve"> (le titre de l’article est en réalité trompeur puisque le C</w:t>
      </w:r>
      <w:r w:rsidR="000A24EB">
        <w:t>onseil du c</w:t>
      </w:r>
      <w:r>
        <w:t xml:space="preserve">ontentieux </w:t>
      </w:r>
      <w:r w:rsidR="00F07367">
        <w:t xml:space="preserve">des étrangers </w:t>
      </w:r>
      <w:r>
        <w:t xml:space="preserve">s’était uniquement prononcé sur la question du statut de réfugié, laissant intacte la question de l’expulsion en tant que telle). Et, ensuite, </w:t>
      </w:r>
      <w:r w:rsidRPr="005F23DF">
        <w:rPr>
          <w:smallCaps/>
        </w:rPr>
        <w:t>Belga</w:t>
      </w:r>
      <w:r>
        <w:t>, « </w:t>
      </w:r>
      <w:r w:rsidRPr="00DB048E">
        <w:rPr>
          <w:lang w:val="fr-FR"/>
        </w:rPr>
        <w:t xml:space="preserve">La "veuve noire" du djihadisme, Malika El </w:t>
      </w:r>
      <w:proofErr w:type="spellStart"/>
      <w:r w:rsidRPr="00DB048E">
        <w:rPr>
          <w:lang w:val="fr-FR"/>
        </w:rPr>
        <w:t>Aroud</w:t>
      </w:r>
      <w:proofErr w:type="spellEnd"/>
      <w:r w:rsidRPr="00DB048E">
        <w:rPr>
          <w:lang w:val="fr-FR"/>
        </w:rPr>
        <w:t>, ne sera pas expulsée, faute de coopération du Maroc</w:t>
      </w:r>
      <w:r>
        <w:rPr>
          <w:lang w:val="fr-FR"/>
        </w:rPr>
        <w:t xml:space="preserve"> », </w:t>
      </w:r>
      <w:r>
        <w:rPr>
          <w:i/>
          <w:iCs/>
          <w:lang w:val="fr-FR"/>
        </w:rPr>
        <w:t>R</w:t>
      </w:r>
      <w:r w:rsidR="00072464">
        <w:rPr>
          <w:i/>
          <w:iCs/>
          <w:lang w:val="fr-FR"/>
        </w:rPr>
        <w:t>TBF</w:t>
      </w:r>
      <w:r>
        <w:rPr>
          <w:i/>
          <w:iCs/>
          <w:lang w:val="fr-FR"/>
        </w:rPr>
        <w:t xml:space="preserve"> actus</w:t>
      </w:r>
      <w:r>
        <w:rPr>
          <w:lang w:val="fr-FR"/>
        </w:rPr>
        <w:t>, 1</w:t>
      </w:r>
      <w:r w:rsidRPr="0013232C">
        <w:rPr>
          <w:vertAlign w:val="superscript"/>
          <w:lang w:val="fr-FR"/>
        </w:rPr>
        <w:t>er</w:t>
      </w:r>
      <w:r>
        <w:rPr>
          <w:lang w:val="fr-FR"/>
        </w:rPr>
        <w:t xml:space="preserve"> mars 2021</w:t>
      </w:r>
      <w:r w:rsidRPr="00DB048E">
        <w:rPr>
          <w:lang w:val="fr-FR"/>
        </w:rPr>
        <w:t xml:space="preserve">, disponible sur </w:t>
      </w:r>
      <w:hyperlink r:id="rId7" w:history="1">
        <w:r w:rsidRPr="00000E52">
          <w:rPr>
            <w:rStyle w:val="Lienhypertexte"/>
            <w:lang w:val="fr-FR"/>
          </w:rPr>
          <w:t>www.rtbf.be</w:t>
        </w:r>
      </w:hyperlink>
      <w:r>
        <w:rPr>
          <w:lang w:val="fr-FR"/>
        </w:rPr>
        <w:t>.</w:t>
      </w:r>
      <w:r w:rsidR="004112C2">
        <w:rPr>
          <w:lang w:val="fr-FR"/>
        </w:rPr>
        <w:t xml:space="preserve"> </w:t>
      </w:r>
    </w:p>
  </w:footnote>
  <w:footnote w:id="45">
    <w:p w14:paraId="3C19EE08" w14:textId="597CAABD" w:rsidR="31AE0488" w:rsidRDefault="31AE0488" w:rsidP="31AE0488">
      <w:pPr>
        <w:pStyle w:val="Notedebasdepage"/>
        <w:jc w:val="both"/>
      </w:pPr>
      <w:r w:rsidRPr="31AE0488">
        <w:rPr>
          <w:rStyle w:val="Appelnotedebasdep"/>
        </w:rPr>
        <w:footnoteRef/>
      </w:r>
      <w:r>
        <w:t xml:space="preserve"> </w:t>
      </w:r>
      <w:r w:rsidRPr="31AE0488">
        <w:rPr>
          <w:lang w:val="fr-FR"/>
        </w:rPr>
        <w:t>À l’occasion des considérations sur la saisine du Comité des droits de l’homme (</w:t>
      </w:r>
      <w:proofErr w:type="spellStart"/>
      <w:r w:rsidRPr="31AE0488">
        <w:rPr>
          <w:lang w:val="fr-FR"/>
        </w:rPr>
        <w:t>voy</w:t>
      </w:r>
      <w:proofErr w:type="spellEnd"/>
      <w:r w:rsidRPr="31AE0488">
        <w:rPr>
          <w:lang w:val="fr-FR"/>
        </w:rPr>
        <w:t xml:space="preserve">. </w:t>
      </w:r>
      <w:proofErr w:type="gramStart"/>
      <w:r w:rsidRPr="31AE0488">
        <w:rPr>
          <w:i/>
          <w:iCs/>
          <w:lang w:val="fr-FR"/>
        </w:rPr>
        <w:t>infra</w:t>
      </w:r>
      <w:proofErr w:type="gramEnd"/>
      <w:r w:rsidRPr="31AE0488">
        <w:rPr>
          <w:lang w:val="fr-FR"/>
        </w:rPr>
        <w:t xml:space="preserve">), la Cour note que la requérante </w:t>
      </w:r>
      <w:r>
        <w:t>demandait une mesure provisoire</w:t>
      </w:r>
      <w:r w:rsidRPr="31AE0488">
        <w:rPr>
          <w:lang w:val="fr-FR"/>
        </w:rPr>
        <w:t xml:space="preserve"> «</w:t>
      </w:r>
      <w:r w:rsidRPr="31AE0488">
        <w:rPr>
          <w:rFonts w:ascii="Arial" w:hAnsi="Arial" w:cs="Arial"/>
        </w:rPr>
        <w:t> </w:t>
      </w:r>
      <w:r>
        <w:t>en vue d’une suspension de la mise à exécution de son expulsion vers le Maroc</w:t>
      </w:r>
      <w:r w:rsidRPr="31AE0488">
        <w:rPr>
          <w:rFonts w:ascii="Arial" w:hAnsi="Arial" w:cs="Arial"/>
          <w:lang w:val="fr-FR"/>
        </w:rPr>
        <w:t> </w:t>
      </w:r>
      <w:r w:rsidRPr="31AE0488">
        <w:rPr>
          <w:lang w:val="fr-FR"/>
        </w:rPr>
        <w:t xml:space="preserve">» devant le Comité. </w:t>
      </w:r>
      <w:r>
        <w:t xml:space="preserve">Cour </w:t>
      </w:r>
      <w:proofErr w:type="spellStart"/>
      <w:r w:rsidR="007F5A92">
        <w:t>eur</w:t>
      </w:r>
      <w:proofErr w:type="spellEnd"/>
      <w:r w:rsidR="007F5A92">
        <w:t xml:space="preserve">. </w:t>
      </w:r>
      <w:r>
        <w:t>D</w:t>
      </w:r>
      <w:r w:rsidR="007F5A92">
        <w:t>.</w:t>
      </w:r>
      <w:r>
        <w:t>H</w:t>
      </w:r>
      <w:r w:rsidR="007F5A92">
        <w:t>.</w:t>
      </w:r>
      <w:r>
        <w:t xml:space="preserve">, </w:t>
      </w:r>
      <w:r w:rsidRPr="31AE0488">
        <w:rPr>
          <w:i/>
          <w:iCs/>
        </w:rPr>
        <w:t xml:space="preserve">El </w:t>
      </w:r>
      <w:proofErr w:type="spellStart"/>
      <w:r w:rsidRPr="31AE0488">
        <w:rPr>
          <w:i/>
          <w:iCs/>
        </w:rPr>
        <w:t>Aroud</w:t>
      </w:r>
      <w:proofErr w:type="spellEnd"/>
      <w:r w:rsidRPr="31AE0488">
        <w:rPr>
          <w:i/>
          <w:iCs/>
        </w:rPr>
        <w:t xml:space="preserve"> et </w:t>
      </w:r>
      <w:proofErr w:type="spellStart"/>
      <w:r w:rsidRPr="31AE0488">
        <w:rPr>
          <w:i/>
          <w:iCs/>
        </w:rPr>
        <w:t>Soughir</w:t>
      </w:r>
      <w:proofErr w:type="spellEnd"/>
      <w:r w:rsidRPr="31AE0488">
        <w:rPr>
          <w:i/>
          <w:iCs/>
        </w:rPr>
        <w:t xml:space="preserve"> c. Belgique</w:t>
      </w:r>
      <w:r>
        <w:t>, 5 décembre 2024, § 41.</w:t>
      </w:r>
    </w:p>
  </w:footnote>
  <w:footnote w:id="46">
    <w:p w14:paraId="1DA387CE" w14:textId="320E5789" w:rsidR="00CC7742" w:rsidRPr="00564D43" w:rsidRDefault="00CC7742" w:rsidP="004A0F22">
      <w:pPr>
        <w:pStyle w:val="Notedebasdepage"/>
        <w:jc w:val="both"/>
      </w:pPr>
      <w:r>
        <w:rPr>
          <w:rStyle w:val="Appelnotedebasdep"/>
        </w:rPr>
        <w:footnoteRef/>
      </w:r>
      <w:r w:rsidR="01BC324F">
        <w:t xml:space="preserve"> L’argument du chaudron peut être défini comme un </w:t>
      </w:r>
      <w:r w:rsidR="001242D2">
        <w:t>“</w:t>
      </w:r>
      <w:r w:rsidR="01BC324F">
        <w:t>[u]sage parallèle d’arguments incompatibles entre eux”</w:t>
      </w:r>
      <w:r w:rsidR="01BC324F" w:rsidRPr="31AE0488">
        <w:t>.</w:t>
      </w:r>
      <w:r w:rsidR="01BC324F">
        <w:t xml:space="preserve"> L. </w:t>
      </w:r>
      <w:proofErr w:type="spellStart"/>
      <w:r w:rsidR="01BC324F" w:rsidRPr="004A0F22">
        <w:rPr>
          <w:smallCaps/>
        </w:rPr>
        <w:t>Bouquiaux</w:t>
      </w:r>
      <w:proofErr w:type="spellEnd"/>
      <w:r w:rsidR="01BC324F">
        <w:t xml:space="preserve"> et B. </w:t>
      </w:r>
      <w:r w:rsidR="01BC324F" w:rsidRPr="004A0F22">
        <w:rPr>
          <w:smallCaps/>
        </w:rPr>
        <w:t>Leclercq,</w:t>
      </w:r>
      <w:r w:rsidR="01BC324F">
        <w:t xml:space="preserve"> «</w:t>
      </w:r>
      <w:r w:rsidR="01BC324F">
        <w:rPr>
          <w:rFonts w:ascii="Arial" w:hAnsi="Arial" w:cs="Arial"/>
        </w:rPr>
        <w:t> </w:t>
      </w:r>
      <w:r w:rsidR="01BC324F">
        <w:t>Logique formelle et argumentation</w:t>
      </w:r>
      <w:r w:rsidR="01BC324F">
        <w:rPr>
          <w:rFonts w:ascii="Arial" w:hAnsi="Arial" w:cs="Arial"/>
        </w:rPr>
        <w:t> </w:t>
      </w:r>
      <w:r w:rsidR="01BC324F">
        <w:t>», 3</w:t>
      </w:r>
      <w:r w:rsidR="01BC324F" w:rsidRPr="01BC324F">
        <w:rPr>
          <w:vertAlign w:val="superscript"/>
        </w:rPr>
        <w:t>e</w:t>
      </w:r>
      <w:r w:rsidR="01BC324F">
        <w:t xml:space="preserve"> éd., De Boeck, Louvain-la-Neuve, 2017, p. </w:t>
      </w:r>
      <w:r w:rsidR="01BC324F" w:rsidRPr="31AE0488">
        <w:t>142</w:t>
      </w:r>
      <w:r w:rsidR="01BC324F">
        <w:t xml:space="preserve">. </w:t>
      </w:r>
    </w:p>
  </w:footnote>
  <w:footnote w:id="47">
    <w:p w14:paraId="6DA4D495" w14:textId="07D4C281" w:rsidR="31AE0488" w:rsidRDefault="31AE0488" w:rsidP="31AE0488">
      <w:pPr>
        <w:pStyle w:val="Notedebasdepage"/>
      </w:pPr>
      <w:r w:rsidRPr="31AE0488">
        <w:rPr>
          <w:rStyle w:val="Appelnotedebasdep"/>
        </w:rPr>
        <w:footnoteRef/>
      </w:r>
      <w:r>
        <w:t xml:space="preserve"> Cour </w:t>
      </w:r>
      <w:proofErr w:type="spellStart"/>
      <w:r w:rsidR="0024662B">
        <w:t>eur</w:t>
      </w:r>
      <w:proofErr w:type="spellEnd"/>
      <w:r w:rsidR="0024662B">
        <w:t>. D.H.</w:t>
      </w:r>
      <w:r>
        <w:t xml:space="preserve">, </w:t>
      </w:r>
      <w:r w:rsidRPr="31AE0488">
        <w:rPr>
          <w:i/>
          <w:iCs/>
        </w:rPr>
        <w:t xml:space="preserve">El </w:t>
      </w:r>
      <w:proofErr w:type="spellStart"/>
      <w:r w:rsidRPr="31AE0488">
        <w:rPr>
          <w:i/>
          <w:iCs/>
        </w:rPr>
        <w:t>Aroud</w:t>
      </w:r>
      <w:proofErr w:type="spellEnd"/>
      <w:r w:rsidRPr="31AE0488">
        <w:rPr>
          <w:i/>
          <w:iCs/>
        </w:rPr>
        <w:t xml:space="preserve"> et </w:t>
      </w:r>
      <w:proofErr w:type="spellStart"/>
      <w:r w:rsidRPr="31AE0488">
        <w:rPr>
          <w:i/>
          <w:iCs/>
        </w:rPr>
        <w:t>Soughir</w:t>
      </w:r>
      <w:proofErr w:type="spellEnd"/>
      <w:r w:rsidRPr="31AE0488">
        <w:rPr>
          <w:i/>
          <w:iCs/>
        </w:rPr>
        <w:t xml:space="preserve"> c. Belgique</w:t>
      </w:r>
      <w:r>
        <w:t>, 5 décembre 2024, §</w:t>
      </w:r>
      <w:r w:rsidR="0024662B">
        <w:t xml:space="preserve"> </w:t>
      </w:r>
      <w:r>
        <w:t>58.</w:t>
      </w:r>
    </w:p>
  </w:footnote>
  <w:footnote w:id="48">
    <w:p w14:paraId="259DAC39" w14:textId="2D0262FD" w:rsidR="00CC7742" w:rsidRPr="00C75256" w:rsidRDefault="00CC7742" w:rsidP="00CC7742">
      <w:pPr>
        <w:pStyle w:val="Notedebasdepage"/>
      </w:pPr>
      <w:r>
        <w:rPr>
          <w:rStyle w:val="Appelnotedebasdep"/>
        </w:rPr>
        <w:footnoteRef/>
      </w:r>
      <w:r>
        <w:t xml:space="preserve"> Cour</w:t>
      </w:r>
      <w:r w:rsidR="0024662B" w:rsidRPr="0024662B">
        <w:t xml:space="preserve"> </w:t>
      </w:r>
      <w:proofErr w:type="spellStart"/>
      <w:r w:rsidR="0024662B">
        <w:t>eur</w:t>
      </w:r>
      <w:proofErr w:type="spellEnd"/>
      <w:r w:rsidR="0024662B">
        <w:t>. D.H</w:t>
      </w:r>
      <w:r>
        <w:t xml:space="preserve">, </w:t>
      </w:r>
      <w:r>
        <w:rPr>
          <w:i/>
          <w:iCs/>
        </w:rPr>
        <w:t xml:space="preserve">El </w:t>
      </w:r>
      <w:proofErr w:type="spellStart"/>
      <w:r>
        <w:rPr>
          <w:i/>
          <w:iCs/>
        </w:rPr>
        <w:t>Aroud</w:t>
      </w:r>
      <w:proofErr w:type="spellEnd"/>
      <w:r>
        <w:rPr>
          <w:i/>
          <w:iCs/>
        </w:rPr>
        <w:t xml:space="preserve"> et </w:t>
      </w:r>
      <w:proofErr w:type="spellStart"/>
      <w:r>
        <w:rPr>
          <w:i/>
          <w:iCs/>
        </w:rPr>
        <w:t>Soughir</w:t>
      </w:r>
      <w:proofErr w:type="spellEnd"/>
      <w:r>
        <w:rPr>
          <w:i/>
          <w:iCs/>
        </w:rPr>
        <w:t xml:space="preserve"> c. Belgique</w:t>
      </w:r>
      <w:r>
        <w:t>, 5</w:t>
      </w:r>
      <w:r w:rsidR="006E64E9">
        <w:t> </w:t>
      </w:r>
      <w:r>
        <w:t>décembre 2024, §</w:t>
      </w:r>
      <w:r w:rsidR="00266B9D">
        <w:t> </w:t>
      </w:r>
      <w:r>
        <w:t>77.</w:t>
      </w:r>
    </w:p>
  </w:footnote>
  <w:footnote w:id="49">
    <w:p w14:paraId="65E5F266" w14:textId="4F9C45C6" w:rsidR="00B17676" w:rsidRPr="00B17676" w:rsidRDefault="00B17676">
      <w:pPr>
        <w:pStyle w:val="Notedebasdepage"/>
      </w:pPr>
      <w:r>
        <w:rPr>
          <w:rStyle w:val="Appelnotedebasdep"/>
        </w:rPr>
        <w:footnoteRef/>
      </w:r>
      <w:r>
        <w:t xml:space="preserve"> </w:t>
      </w:r>
      <w:proofErr w:type="spellStart"/>
      <w:r w:rsidR="00272D73" w:rsidRPr="00272D73">
        <w:rPr>
          <w:lang w:val="fr-FR"/>
        </w:rPr>
        <w:t>Comm</w:t>
      </w:r>
      <w:proofErr w:type="spellEnd"/>
      <w:r w:rsidR="00272D73" w:rsidRPr="00272D73">
        <w:rPr>
          <w:lang w:val="fr-FR"/>
        </w:rPr>
        <w:t>.</w:t>
      </w:r>
      <w:r w:rsidR="00272D73">
        <w:rPr>
          <w:lang w:val="fr-FR"/>
        </w:rPr>
        <w:t xml:space="preserve"> </w:t>
      </w:r>
      <w:proofErr w:type="spellStart"/>
      <w:r w:rsidR="0024662B">
        <w:t>eur</w:t>
      </w:r>
      <w:proofErr w:type="spellEnd"/>
      <w:r w:rsidR="0024662B">
        <w:t>. D.H</w:t>
      </w:r>
      <w:r w:rsidR="00272D73">
        <w:rPr>
          <w:lang w:val="fr-FR"/>
        </w:rPr>
        <w:t xml:space="preserve">, </w:t>
      </w:r>
      <w:r w:rsidR="00272D73">
        <w:t xml:space="preserve">déc. </w:t>
      </w:r>
      <w:r w:rsidR="00272D73" w:rsidRPr="00272D73">
        <w:rPr>
          <w:i/>
          <w:iCs/>
        </w:rPr>
        <w:t>Engel et autres c. Pays-Bas</w:t>
      </w:r>
      <w:r w:rsidR="00272D73">
        <w:t>, 8</w:t>
      </w:r>
      <w:r w:rsidR="006E64E9">
        <w:t> </w:t>
      </w:r>
      <w:r w:rsidR="00272D73">
        <w:t>juin 1976, §</w:t>
      </w:r>
      <w:r w:rsidR="00266B9D">
        <w:t> </w:t>
      </w:r>
      <w:r w:rsidR="00272D73">
        <w:t>82.</w:t>
      </w:r>
    </w:p>
  </w:footnote>
  <w:footnote w:id="50">
    <w:p w14:paraId="4C96E7C4" w14:textId="230C8B9D" w:rsidR="00130069" w:rsidRPr="00130069" w:rsidRDefault="00130069" w:rsidP="00430742">
      <w:pPr>
        <w:pStyle w:val="Notedebasdepage"/>
        <w:jc w:val="both"/>
      </w:pPr>
      <w:r>
        <w:rPr>
          <w:rStyle w:val="Appelnotedebasdep"/>
        </w:rPr>
        <w:footnoteRef/>
      </w:r>
      <w:r>
        <w:t xml:space="preserve"> </w:t>
      </w:r>
      <w:r w:rsidR="0087349F">
        <w:t xml:space="preserve">Cour </w:t>
      </w:r>
      <w:proofErr w:type="spellStart"/>
      <w:r w:rsidR="0024662B">
        <w:t>eur</w:t>
      </w:r>
      <w:proofErr w:type="spellEnd"/>
      <w:r w:rsidR="0024662B">
        <w:t>. D.H</w:t>
      </w:r>
      <w:r w:rsidR="0087349F">
        <w:t xml:space="preserve">, </w:t>
      </w:r>
      <w:r w:rsidR="0087349F">
        <w:rPr>
          <w:i/>
          <w:iCs/>
        </w:rPr>
        <w:t xml:space="preserve">El </w:t>
      </w:r>
      <w:proofErr w:type="spellStart"/>
      <w:r w:rsidR="0087349F">
        <w:rPr>
          <w:i/>
          <w:iCs/>
        </w:rPr>
        <w:t>Aroud</w:t>
      </w:r>
      <w:proofErr w:type="spellEnd"/>
      <w:r w:rsidR="0087349F">
        <w:rPr>
          <w:i/>
          <w:iCs/>
        </w:rPr>
        <w:t xml:space="preserve"> et </w:t>
      </w:r>
      <w:proofErr w:type="spellStart"/>
      <w:r w:rsidR="0087349F">
        <w:rPr>
          <w:i/>
          <w:iCs/>
        </w:rPr>
        <w:t>Soughir</w:t>
      </w:r>
      <w:proofErr w:type="spellEnd"/>
      <w:r w:rsidR="0087349F">
        <w:rPr>
          <w:i/>
          <w:iCs/>
        </w:rPr>
        <w:t xml:space="preserve"> c. Belgique</w:t>
      </w:r>
      <w:r w:rsidR="0087349F">
        <w:t>, 5</w:t>
      </w:r>
      <w:r w:rsidR="006E64E9">
        <w:t> </w:t>
      </w:r>
      <w:r w:rsidR="0087349F">
        <w:t>décembre 2024, §§</w:t>
      </w:r>
      <w:r w:rsidR="00266B9D">
        <w:t> </w:t>
      </w:r>
      <w:r w:rsidR="0087349F">
        <w:t>85 et 86.</w:t>
      </w:r>
      <w:r w:rsidR="009E1894">
        <w:t xml:space="preserve"> </w:t>
      </w:r>
    </w:p>
  </w:footnote>
  <w:footnote w:id="51">
    <w:p w14:paraId="2268D6D0" w14:textId="4D160AD9" w:rsidR="001028D9" w:rsidRPr="001028D9" w:rsidRDefault="001028D9" w:rsidP="001028D9">
      <w:pPr>
        <w:pStyle w:val="Notedebasdepage"/>
        <w:jc w:val="both"/>
      </w:pPr>
      <w:r>
        <w:rPr>
          <w:rStyle w:val="Appelnotedebasdep"/>
        </w:rPr>
        <w:footnoteRef/>
      </w:r>
      <w:r>
        <w:t xml:space="preserve"> La Cour se réfère également à l’arrêt </w:t>
      </w:r>
      <w:proofErr w:type="spellStart"/>
      <w:r w:rsidRPr="001028D9">
        <w:rPr>
          <w:i/>
          <w:iCs/>
        </w:rPr>
        <w:t>Ghoumid</w:t>
      </w:r>
      <w:proofErr w:type="spellEnd"/>
      <w:r w:rsidRPr="001028D9">
        <w:rPr>
          <w:i/>
          <w:iCs/>
        </w:rPr>
        <w:t xml:space="preserve"> </w:t>
      </w:r>
      <w:r>
        <w:t>qui concernait pourtant l’article</w:t>
      </w:r>
      <w:r w:rsidR="00266B9D">
        <w:t> </w:t>
      </w:r>
      <w:r>
        <w:t>4 du Protocole n°</w:t>
      </w:r>
      <w:r w:rsidR="00266B9D">
        <w:t> </w:t>
      </w:r>
      <w:r>
        <w:t>7, et non l’article</w:t>
      </w:r>
      <w:r w:rsidR="00266B9D">
        <w:t> </w:t>
      </w:r>
      <w:r>
        <w:t>2 du Protocole, comme en l’espèce. Cela s’explique par le fait que la Cour assimile l</w:t>
      </w:r>
      <w:r w:rsidR="00443F1D">
        <w:t>es</w:t>
      </w:r>
      <w:r>
        <w:t xml:space="preserve"> notion</w:t>
      </w:r>
      <w:r w:rsidR="00443F1D">
        <w:t>s</w:t>
      </w:r>
      <w:r>
        <w:t xml:space="preserve"> de </w:t>
      </w:r>
      <w:r w:rsidR="003141E1">
        <w:t>«</w:t>
      </w:r>
      <w:r w:rsidR="003141E1">
        <w:rPr>
          <w:rFonts w:ascii="Arial" w:hAnsi="Arial" w:cs="Arial"/>
        </w:rPr>
        <w:t> </w:t>
      </w:r>
      <w:r>
        <w:t>punition pénale</w:t>
      </w:r>
      <w:r w:rsidR="003141E1">
        <w:rPr>
          <w:rFonts w:ascii="Arial" w:hAnsi="Arial" w:cs="Arial"/>
        </w:rPr>
        <w:t> </w:t>
      </w:r>
      <w:r w:rsidR="003141E1">
        <w:t>»</w:t>
      </w:r>
      <w:r>
        <w:t xml:space="preserve"> et </w:t>
      </w:r>
      <w:proofErr w:type="gramStart"/>
      <w:r>
        <w:t xml:space="preserve">d’ </w:t>
      </w:r>
      <w:r w:rsidR="00F65746">
        <w:t>«</w:t>
      </w:r>
      <w:proofErr w:type="gramEnd"/>
      <w:r w:rsidR="00F65746">
        <w:t> </w:t>
      </w:r>
      <w:r>
        <w:t>infraction pénale</w:t>
      </w:r>
      <w:r w:rsidR="003141E1">
        <w:rPr>
          <w:rFonts w:ascii="Arial" w:hAnsi="Arial" w:cs="Arial"/>
        </w:rPr>
        <w:t> </w:t>
      </w:r>
      <w:r w:rsidR="003141E1">
        <w:t>»</w:t>
      </w:r>
      <w:r>
        <w:t xml:space="preserve">, et les définit toutes les deux à l’aune des critères établis pour les </w:t>
      </w:r>
      <w:r w:rsidR="003141E1">
        <w:t>«</w:t>
      </w:r>
      <w:r w:rsidR="003141E1">
        <w:rPr>
          <w:rFonts w:ascii="Arial" w:hAnsi="Arial" w:cs="Arial"/>
        </w:rPr>
        <w:t> </w:t>
      </w:r>
      <w:r>
        <w:t>accusations en matière pénale</w:t>
      </w:r>
      <w:r w:rsidR="003141E1">
        <w:rPr>
          <w:rFonts w:ascii="Arial" w:hAnsi="Arial" w:cs="Arial"/>
        </w:rPr>
        <w:t> </w:t>
      </w:r>
      <w:r w:rsidR="003141E1">
        <w:t>»</w:t>
      </w:r>
      <w:r>
        <w:t>.</w:t>
      </w:r>
    </w:p>
  </w:footnote>
  <w:footnote w:id="52">
    <w:p w14:paraId="632565DD" w14:textId="5947E97E" w:rsidR="0011247E" w:rsidRDefault="0011247E">
      <w:pPr>
        <w:pStyle w:val="Notedebasdepage"/>
      </w:pPr>
      <w:r>
        <w:rPr>
          <w:rStyle w:val="Appelnotedebasdep"/>
        </w:rPr>
        <w:footnoteRef/>
      </w:r>
      <w:r>
        <w:t xml:space="preserve"> Dans le même sens, </w:t>
      </w:r>
      <w:proofErr w:type="spellStart"/>
      <w:r>
        <w:t>voy</w:t>
      </w:r>
      <w:proofErr w:type="spellEnd"/>
      <w:r>
        <w:t xml:space="preserve">. : Ch. </w:t>
      </w:r>
      <w:r w:rsidRPr="0011247E">
        <w:rPr>
          <w:smallCaps/>
        </w:rPr>
        <w:t>Macq</w:t>
      </w:r>
      <w:r>
        <w:t xml:space="preserve">, « Déchéance de la nationalité : la Cour européenne des droits de l’homme confirme sa jurisprudence permissive », </w:t>
      </w:r>
      <w:r>
        <w:rPr>
          <w:i/>
          <w:iCs/>
        </w:rPr>
        <w:t xml:space="preserve">op. </w:t>
      </w:r>
      <w:proofErr w:type="spellStart"/>
      <w:proofErr w:type="gramStart"/>
      <w:r>
        <w:rPr>
          <w:i/>
          <w:iCs/>
        </w:rPr>
        <w:t>cit</w:t>
      </w:r>
      <w:proofErr w:type="spellEnd"/>
      <w:proofErr w:type="gramEnd"/>
      <w:r>
        <w:rPr>
          <w:i/>
          <w:iCs/>
        </w:rPr>
        <w:t>.</w:t>
      </w:r>
    </w:p>
  </w:footnote>
  <w:footnote w:id="53">
    <w:p w14:paraId="21EB4B4A" w14:textId="4C2FB30C" w:rsidR="01BC324F" w:rsidRPr="003E0383" w:rsidRDefault="01BC324F" w:rsidP="01BC324F">
      <w:pPr>
        <w:pStyle w:val="Notedebasdepage"/>
        <w:jc w:val="both"/>
        <w:rPr>
          <w:rFonts w:ascii="Montserrat" w:eastAsia="Montserrat" w:hAnsi="Montserrat" w:cs="Montserrat"/>
          <w:color w:val="FFFFFF" w:themeColor="background1"/>
          <w:sz w:val="24"/>
          <w:szCs w:val="24"/>
        </w:rPr>
      </w:pPr>
      <w:r w:rsidRPr="01BC324F">
        <w:rPr>
          <w:rStyle w:val="Appelnotedebasdep"/>
        </w:rPr>
        <w:footnoteRef/>
      </w:r>
      <w:r>
        <w:t xml:space="preserve"> Comme </w:t>
      </w:r>
      <w:proofErr w:type="gramStart"/>
      <w:r>
        <w:t>le relève</w:t>
      </w:r>
      <w:proofErr w:type="gramEnd"/>
      <w:r>
        <w:t xml:space="preserve"> à juste titre la doctrine (Ch. </w:t>
      </w:r>
      <w:r w:rsidRPr="0011247E">
        <w:rPr>
          <w:smallCaps/>
        </w:rPr>
        <w:t>Macq</w:t>
      </w:r>
      <w:r>
        <w:t xml:space="preserve">, « Déchéance de la nationalité : la Cour européenne des droits de l’homme confirme sa jurisprudence permissive », </w:t>
      </w:r>
      <w:r w:rsidR="0011247E">
        <w:rPr>
          <w:i/>
          <w:iCs/>
        </w:rPr>
        <w:t xml:space="preserve">op. </w:t>
      </w:r>
      <w:proofErr w:type="spellStart"/>
      <w:proofErr w:type="gramStart"/>
      <w:r w:rsidR="0011247E">
        <w:rPr>
          <w:i/>
          <w:iCs/>
        </w:rPr>
        <w:t>cit</w:t>
      </w:r>
      <w:proofErr w:type="spellEnd"/>
      <w:proofErr w:type="gramEnd"/>
      <w:r w:rsidR="0011247E">
        <w:rPr>
          <w:i/>
          <w:iCs/>
        </w:rPr>
        <w:t>.</w:t>
      </w:r>
      <w:r>
        <w:t>), cette position n’est d’ailleurs pas unanimement partagée</w:t>
      </w:r>
      <w:r w:rsidR="000016B4">
        <w:t>.</w:t>
      </w:r>
      <w:r>
        <w:t xml:space="preserve"> Monsieur l'avocat général </w:t>
      </w:r>
      <w:proofErr w:type="spellStart"/>
      <w:r w:rsidRPr="01BC324F">
        <w:rPr>
          <w:rFonts w:eastAsiaTheme="minorEastAsia"/>
        </w:rPr>
        <w:t>Vandermeersch</w:t>
      </w:r>
      <w:proofErr w:type="spellEnd"/>
      <w:r w:rsidRPr="01BC324F">
        <w:rPr>
          <w:rFonts w:eastAsiaTheme="minorEastAsia"/>
        </w:rPr>
        <w:t xml:space="preserve"> près la Cour de cassation qualifie la mesure de </w:t>
      </w:r>
      <w:r w:rsidR="00BD62B2">
        <w:t>“</w:t>
      </w:r>
      <w:r w:rsidRPr="01BC324F">
        <w:rPr>
          <w:rFonts w:eastAsiaTheme="minorEastAsia"/>
        </w:rPr>
        <w:t>quasi pénale</w:t>
      </w:r>
      <w:proofErr w:type="gramStart"/>
      <w:r w:rsidRPr="01BC324F">
        <w:rPr>
          <w:rFonts w:eastAsiaTheme="minorEastAsia"/>
        </w:rPr>
        <w:t>”:</w:t>
      </w:r>
      <w:proofErr w:type="gramEnd"/>
      <w:r w:rsidRPr="01BC324F">
        <w:rPr>
          <w:rFonts w:eastAsiaTheme="minorEastAsia"/>
        </w:rPr>
        <w:t xml:space="preserve"> </w:t>
      </w:r>
      <w:r w:rsidR="00BD62B2">
        <w:t>“</w:t>
      </w:r>
      <w:r w:rsidRPr="01BC324F">
        <w:rPr>
          <w:rFonts w:eastAsiaTheme="minorEastAsia"/>
        </w:rPr>
        <w:t>Bien que le juge constitutionnel ait considéré que la déchéance de la nationalité belge</w:t>
      </w:r>
      <w:r w:rsidR="00C939D3">
        <w:rPr>
          <w:rFonts w:eastAsiaTheme="minorEastAsia"/>
        </w:rPr>
        <w:t xml:space="preserve"> </w:t>
      </w:r>
      <w:r w:rsidRPr="01BC324F">
        <w:rPr>
          <w:rFonts w:eastAsiaTheme="minorEastAsia"/>
        </w:rPr>
        <w:t>(...) est une mesure de nature civile (...), il me semble que cette mesure doit se voir reconnaître un caractère quasi-pénal. En effet, outre sa dimension hautement symbolique d'exclusion de la communauté nationale, la déchéance de la nationalité belge constitue une peine ou une mesure de privation ou d'interdiction de droits dès lors que l'exercice ou la protection de plusieurs droits sont liés à la possession de la nationalité belge”. Cass. (1</w:t>
      </w:r>
      <w:r w:rsidR="00BD62B2" w:rsidRPr="006A1995">
        <w:rPr>
          <w:rFonts w:eastAsiaTheme="minorEastAsia"/>
          <w:vertAlign w:val="superscript"/>
        </w:rPr>
        <w:t>re</w:t>
      </w:r>
      <w:r w:rsidRPr="01BC324F">
        <w:rPr>
          <w:rFonts w:eastAsiaTheme="minorEastAsia"/>
        </w:rPr>
        <w:t xml:space="preserve"> ch.), 12 mai 2021, R</w:t>
      </w:r>
      <w:r w:rsidR="00BD62B2">
        <w:rPr>
          <w:rFonts w:eastAsiaTheme="minorEastAsia"/>
        </w:rPr>
        <w:t>.</w:t>
      </w:r>
      <w:r w:rsidRPr="01BC324F">
        <w:rPr>
          <w:rFonts w:eastAsiaTheme="minorEastAsia"/>
        </w:rPr>
        <w:t>G</w:t>
      </w:r>
      <w:r w:rsidR="00BD62B2">
        <w:rPr>
          <w:rFonts w:eastAsiaTheme="minorEastAsia"/>
        </w:rPr>
        <w:t>.</w:t>
      </w:r>
      <w:r w:rsidRPr="01BC324F">
        <w:rPr>
          <w:rFonts w:eastAsiaTheme="minorEastAsia"/>
        </w:rPr>
        <w:t xml:space="preserve"> n° P.21.0228.F, </w:t>
      </w:r>
      <w:proofErr w:type="spellStart"/>
      <w:r w:rsidRPr="01BC324F">
        <w:rPr>
          <w:rFonts w:eastAsiaTheme="minorEastAsia"/>
        </w:rPr>
        <w:t>concl</w:t>
      </w:r>
      <w:proofErr w:type="spellEnd"/>
      <w:r w:rsidRPr="01BC324F">
        <w:rPr>
          <w:rFonts w:eastAsiaTheme="minorEastAsia"/>
        </w:rPr>
        <w:t xml:space="preserve">. Av. </w:t>
      </w:r>
      <w:proofErr w:type="spellStart"/>
      <w:r w:rsidRPr="01BC324F">
        <w:rPr>
          <w:rFonts w:eastAsiaTheme="minorEastAsia"/>
        </w:rPr>
        <w:t>gén</w:t>
      </w:r>
      <w:proofErr w:type="spellEnd"/>
      <w:r w:rsidRPr="01BC324F">
        <w:rPr>
          <w:rFonts w:eastAsiaTheme="minorEastAsia"/>
        </w:rPr>
        <w:t xml:space="preserve">. D. </w:t>
      </w:r>
      <w:proofErr w:type="spellStart"/>
      <w:r w:rsidRPr="01BC324F">
        <w:rPr>
          <w:rFonts w:eastAsiaTheme="minorEastAsia"/>
        </w:rPr>
        <w:t>Vandermeersch</w:t>
      </w:r>
      <w:proofErr w:type="spellEnd"/>
      <w:r w:rsidRPr="01BC324F">
        <w:rPr>
          <w:rFonts w:eastAsiaTheme="minorEastAsia"/>
        </w:rPr>
        <w:t xml:space="preserve">, </w:t>
      </w:r>
      <w:r w:rsidRPr="01BC324F">
        <w:rPr>
          <w:rFonts w:eastAsiaTheme="minorEastAsia"/>
          <w:lang w:val="fr-FR"/>
        </w:rPr>
        <w:t xml:space="preserve">disponible sur : </w:t>
      </w:r>
      <w:hyperlink r:id="rId8">
        <w:r w:rsidRPr="01BC324F">
          <w:rPr>
            <w:rStyle w:val="Lienhypertexte"/>
            <w:rFonts w:eastAsiaTheme="minorEastAsia"/>
            <w:lang w:val="fr-FR"/>
          </w:rPr>
          <w:t>www.juportal.be</w:t>
        </w:r>
      </w:hyperlink>
      <w:r w:rsidRPr="01BC324F">
        <w:rPr>
          <w:rFonts w:eastAsiaTheme="minorEastAsia"/>
          <w:lang w:val="fr-FR"/>
        </w:rPr>
        <w:t xml:space="preserve"> .</w:t>
      </w:r>
      <w:r w:rsidR="003E0383">
        <w:rPr>
          <w:rFonts w:eastAsiaTheme="minorEastAsia"/>
          <w:lang w:val="fr-FR"/>
        </w:rPr>
        <w:t xml:space="preserve"> </w:t>
      </w:r>
      <w:r w:rsidR="003E0383">
        <w:rPr>
          <w:rFonts w:eastAsiaTheme="minorEastAsia"/>
          <w:i/>
          <w:iCs/>
          <w:lang w:val="fr-FR"/>
        </w:rPr>
        <w:t>Contra </w:t>
      </w:r>
      <w:r w:rsidR="003E0383">
        <w:rPr>
          <w:rFonts w:eastAsiaTheme="minorEastAsia"/>
          <w:lang w:val="fr-FR"/>
        </w:rPr>
        <w:t xml:space="preserve">: </w:t>
      </w:r>
      <w:r w:rsidR="006B608A">
        <w:rPr>
          <w:rFonts w:eastAsiaTheme="minorEastAsia"/>
          <w:lang w:val="fr-FR"/>
        </w:rPr>
        <w:t xml:space="preserve">la position d’H. </w:t>
      </w:r>
      <w:r w:rsidR="006B608A" w:rsidRPr="006B608A">
        <w:rPr>
          <w:rFonts w:eastAsiaTheme="minorEastAsia"/>
          <w:smallCaps/>
          <w:lang w:val="fr-FR"/>
        </w:rPr>
        <w:t>De Page</w:t>
      </w:r>
      <w:r w:rsidR="006B608A">
        <w:rPr>
          <w:rFonts w:eastAsiaTheme="minorEastAsia"/>
          <w:lang w:val="fr-FR"/>
        </w:rPr>
        <w:t xml:space="preserve"> qui considère que </w:t>
      </w:r>
      <w:r w:rsidR="00016442">
        <w:rPr>
          <w:rFonts w:eastAsiaTheme="minorEastAsia"/>
          <w:lang w:val="fr-FR"/>
        </w:rPr>
        <w:t>« </w:t>
      </w:r>
      <w:r w:rsidR="006B608A">
        <w:rPr>
          <w:rFonts w:eastAsiaTheme="minorEastAsia"/>
          <w:lang w:val="fr-FR"/>
        </w:rPr>
        <w:t>[l]</w:t>
      </w:r>
      <w:r w:rsidR="00016442">
        <w:rPr>
          <w:rFonts w:eastAsiaTheme="minorEastAsia"/>
          <w:lang w:val="fr-FR"/>
        </w:rPr>
        <w:t xml:space="preserve">a déchéance de nationalité apparait, ainsi rétablie dans son sens fondamental, comme une véritable </w:t>
      </w:r>
      <w:r w:rsidR="00016442" w:rsidRPr="00016442">
        <w:rPr>
          <w:rFonts w:eastAsiaTheme="minorEastAsia"/>
          <w:i/>
          <w:iCs/>
          <w:lang w:val="fr-FR"/>
        </w:rPr>
        <w:t>sanction civile</w:t>
      </w:r>
      <w:r w:rsidR="00016442">
        <w:rPr>
          <w:rFonts w:eastAsiaTheme="minorEastAsia"/>
          <w:lang w:val="fr-FR"/>
        </w:rPr>
        <w:t xml:space="preserve"> de l’acquisition de la nationalité belge, une application, </w:t>
      </w:r>
      <w:r w:rsidR="00016442" w:rsidRPr="00016442">
        <w:rPr>
          <w:rFonts w:eastAsiaTheme="minorEastAsia"/>
          <w:i/>
          <w:iCs/>
          <w:lang w:val="fr-FR"/>
        </w:rPr>
        <w:t>mutatis mutandis</w:t>
      </w:r>
      <w:r w:rsidR="00016442">
        <w:rPr>
          <w:rFonts w:eastAsiaTheme="minorEastAsia"/>
          <w:lang w:val="fr-FR"/>
        </w:rPr>
        <w:t>, de l’article 1184 du Code civil »</w:t>
      </w:r>
      <w:r w:rsidR="006B608A">
        <w:rPr>
          <w:rFonts w:eastAsiaTheme="minorEastAsia"/>
          <w:lang w:val="fr-FR"/>
        </w:rPr>
        <w:t>.</w:t>
      </w:r>
      <w:r w:rsidR="00016442">
        <w:rPr>
          <w:rFonts w:eastAsiaTheme="minorEastAsia"/>
          <w:lang w:val="fr-FR"/>
        </w:rPr>
        <w:t xml:space="preserve"> </w:t>
      </w:r>
      <w:r w:rsidR="00E462EB" w:rsidRPr="00016442">
        <w:rPr>
          <w:rFonts w:eastAsiaTheme="minorEastAsia"/>
          <w:lang w:val="fr-FR"/>
        </w:rPr>
        <w:t>H</w:t>
      </w:r>
      <w:r w:rsidR="00E462EB">
        <w:rPr>
          <w:rFonts w:eastAsiaTheme="minorEastAsia"/>
          <w:lang w:val="fr-FR"/>
        </w:rPr>
        <w:t xml:space="preserve">. </w:t>
      </w:r>
      <w:r w:rsidR="00E462EB" w:rsidRPr="00016442">
        <w:rPr>
          <w:rFonts w:eastAsiaTheme="minorEastAsia"/>
          <w:smallCaps/>
          <w:lang w:val="fr-FR"/>
        </w:rPr>
        <w:t>De Page</w:t>
      </w:r>
      <w:r w:rsidR="00E462EB">
        <w:rPr>
          <w:rFonts w:eastAsiaTheme="minorEastAsia"/>
          <w:lang w:val="fr-FR"/>
        </w:rPr>
        <w:t xml:space="preserve">, « Traité élémentaire de droit civil belge », </w:t>
      </w:r>
      <w:r w:rsidR="00547862">
        <w:rPr>
          <w:rFonts w:eastAsiaTheme="minorEastAsia"/>
          <w:lang w:val="fr-FR"/>
        </w:rPr>
        <w:t xml:space="preserve">I, </w:t>
      </w:r>
      <w:r w:rsidR="00E462EB">
        <w:rPr>
          <w:rFonts w:eastAsiaTheme="minorEastAsia"/>
          <w:lang w:val="fr-FR"/>
        </w:rPr>
        <w:t>3</w:t>
      </w:r>
      <w:r w:rsidR="00E462EB" w:rsidRPr="00E462EB">
        <w:rPr>
          <w:rFonts w:eastAsiaTheme="minorEastAsia"/>
          <w:vertAlign w:val="superscript"/>
          <w:lang w:val="fr-FR"/>
        </w:rPr>
        <w:t>e</w:t>
      </w:r>
      <w:r w:rsidR="00E462EB">
        <w:rPr>
          <w:rFonts w:eastAsiaTheme="minorEastAsia"/>
          <w:lang w:val="fr-FR"/>
        </w:rPr>
        <w:t xml:space="preserve"> éd., </w:t>
      </w:r>
      <w:r w:rsidR="00547862">
        <w:rPr>
          <w:rFonts w:eastAsiaTheme="minorEastAsia"/>
          <w:lang w:val="fr-FR"/>
        </w:rPr>
        <w:t xml:space="preserve">Bruxelles, Bruylant, </w:t>
      </w:r>
      <w:r w:rsidR="00E462EB">
        <w:rPr>
          <w:rFonts w:eastAsiaTheme="minorEastAsia"/>
          <w:lang w:val="fr-FR"/>
        </w:rPr>
        <w:t xml:space="preserve">1962, p. </w:t>
      </w:r>
      <w:r w:rsidR="006B608A">
        <w:rPr>
          <w:rFonts w:eastAsiaTheme="minorEastAsia"/>
          <w:lang w:val="fr-FR"/>
        </w:rPr>
        <w:t>497</w:t>
      </w:r>
      <w:r w:rsidR="00016442">
        <w:rPr>
          <w:rFonts w:eastAsiaTheme="minorEastAsia"/>
          <w:lang w:val="fr-FR"/>
        </w:rPr>
        <w:t>.</w:t>
      </w:r>
    </w:p>
  </w:footnote>
  <w:footnote w:id="54">
    <w:p w14:paraId="1A5F88CD" w14:textId="2F5EA745" w:rsidR="01BC324F" w:rsidRDefault="01BC324F" w:rsidP="01BC324F">
      <w:pPr>
        <w:pStyle w:val="Notedebasdepage"/>
      </w:pPr>
      <w:r w:rsidRPr="01BC324F">
        <w:rPr>
          <w:rStyle w:val="Appelnotedebasdep"/>
        </w:rPr>
        <w:footnoteRef/>
      </w:r>
      <w:r>
        <w:t xml:space="preserve"> Cour </w:t>
      </w:r>
      <w:proofErr w:type="spellStart"/>
      <w:r w:rsidR="00FD7BE0">
        <w:t>eur</w:t>
      </w:r>
      <w:proofErr w:type="spellEnd"/>
      <w:r w:rsidR="00FD7BE0">
        <w:t>. D.H.</w:t>
      </w:r>
      <w:r>
        <w:t xml:space="preserve">, </w:t>
      </w:r>
      <w:proofErr w:type="spellStart"/>
      <w:r w:rsidRPr="01BC324F">
        <w:rPr>
          <w:i/>
          <w:iCs/>
        </w:rPr>
        <w:t>Ghoumid</w:t>
      </w:r>
      <w:proofErr w:type="spellEnd"/>
      <w:r w:rsidRPr="01BC324F">
        <w:rPr>
          <w:i/>
          <w:iCs/>
        </w:rPr>
        <w:t xml:space="preserve"> et autres c. France</w:t>
      </w:r>
      <w:r>
        <w:t>, 25 juin 2020, § 72.</w:t>
      </w:r>
    </w:p>
  </w:footnote>
  <w:footnote w:id="55">
    <w:p w14:paraId="06720867" w14:textId="0AD778D1" w:rsidR="00C400E1" w:rsidRDefault="00C400E1">
      <w:pPr>
        <w:pStyle w:val="Notedebasdepage"/>
      </w:pPr>
      <w:r>
        <w:rPr>
          <w:rStyle w:val="Appelnotedebasdep"/>
        </w:rPr>
        <w:footnoteRef/>
      </w:r>
      <w:r>
        <w:t xml:space="preserve"> Cour </w:t>
      </w:r>
      <w:proofErr w:type="spellStart"/>
      <w:r w:rsidR="00FD7BE0">
        <w:t>eur</w:t>
      </w:r>
      <w:proofErr w:type="spellEnd"/>
      <w:r w:rsidR="00FD7BE0">
        <w:t>. D.H.</w:t>
      </w:r>
      <w:r>
        <w:t xml:space="preserve">, </w:t>
      </w:r>
      <w:r w:rsidRPr="31AE0488">
        <w:rPr>
          <w:i/>
          <w:iCs/>
        </w:rPr>
        <w:t xml:space="preserve">El </w:t>
      </w:r>
      <w:proofErr w:type="spellStart"/>
      <w:r w:rsidRPr="31AE0488">
        <w:rPr>
          <w:i/>
          <w:iCs/>
        </w:rPr>
        <w:t>Aroud</w:t>
      </w:r>
      <w:proofErr w:type="spellEnd"/>
      <w:r w:rsidRPr="31AE0488">
        <w:rPr>
          <w:i/>
          <w:iCs/>
        </w:rPr>
        <w:t xml:space="preserve"> et </w:t>
      </w:r>
      <w:proofErr w:type="spellStart"/>
      <w:r w:rsidRPr="31AE0488">
        <w:rPr>
          <w:i/>
          <w:iCs/>
        </w:rPr>
        <w:t>Soughir</w:t>
      </w:r>
      <w:proofErr w:type="spellEnd"/>
      <w:r w:rsidRPr="31AE0488">
        <w:rPr>
          <w:i/>
          <w:iCs/>
        </w:rPr>
        <w:t xml:space="preserve"> c. Belgique</w:t>
      </w:r>
      <w:r>
        <w:t>, 5 décembre 2024, § 74.</w:t>
      </w:r>
    </w:p>
  </w:footnote>
  <w:footnote w:id="56">
    <w:p w14:paraId="19DFA730" w14:textId="4FC43BB0" w:rsidR="0039265D" w:rsidRDefault="0039265D" w:rsidP="009C72B5">
      <w:pPr>
        <w:pStyle w:val="Notedebasdepage"/>
        <w:jc w:val="both"/>
      </w:pPr>
      <w:r>
        <w:rPr>
          <w:rStyle w:val="Appelnotedebasdep"/>
        </w:rPr>
        <w:footnoteRef/>
      </w:r>
      <w:r>
        <w:t xml:space="preserve"> </w:t>
      </w:r>
      <w:proofErr w:type="spellStart"/>
      <w:r>
        <w:t>Comp</w:t>
      </w:r>
      <w:proofErr w:type="spellEnd"/>
      <w:r>
        <w:t xml:space="preserve">. Cour </w:t>
      </w:r>
      <w:proofErr w:type="spellStart"/>
      <w:r w:rsidR="00317B1A">
        <w:t>eur</w:t>
      </w:r>
      <w:proofErr w:type="spellEnd"/>
      <w:r w:rsidR="00317B1A">
        <w:t>. D.H.</w:t>
      </w:r>
      <w:r>
        <w:t xml:space="preserve">, </w:t>
      </w:r>
      <w:proofErr w:type="spellStart"/>
      <w:r w:rsidRPr="01BC324F">
        <w:rPr>
          <w:i/>
          <w:iCs/>
        </w:rPr>
        <w:t>Ghoumid</w:t>
      </w:r>
      <w:proofErr w:type="spellEnd"/>
      <w:r w:rsidRPr="01BC324F">
        <w:rPr>
          <w:i/>
          <w:iCs/>
        </w:rPr>
        <w:t xml:space="preserve"> et autres c. France</w:t>
      </w:r>
      <w:r>
        <w:t xml:space="preserve">, 25 juin 2020, § 50 et Cour </w:t>
      </w:r>
      <w:proofErr w:type="spellStart"/>
      <w:r w:rsidR="00317B1A">
        <w:t>eur</w:t>
      </w:r>
      <w:proofErr w:type="spellEnd"/>
      <w:r w:rsidR="00317B1A">
        <w:t>. D.H.</w:t>
      </w:r>
      <w:r>
        <w:t xml:space="preserve">, </w:t>
      </w:r>
      <w:r w:rsidRPr="31AE0488">
        <w:rPr>
          <w:i/>
          <w:iCs/>
        </w:rPr>
        <w:t xml:space="preserve">El </w:t>
      </w:r>
      <w:proofErr w:type="spellStart"/>
      <w:r w:rsidRPr="31AE0488">
        <w:rPr>
          <w:i/>
          <w:iCs/>
        </w:rPr>
        <w:t>Aroud</w:t>
      </w:r>
      <w:proofErr w:type="spellEnd"/>
      <w:r w:rsidRPr="31AE0488">
        <w:rPr>
          <w:i/>
          <w:iCs/>
        </w:rPr>
        <w:t xml:space="preserve"> et </w:t>
      </w:r>
      <w:proofErr w:type="spellStart"/>
      <w:r w:rsidRPr="31AE0488">
        <w:rPr>
          <w:i/>
          <w:iCs/>
        </w:rPr>
        <w:t>Soughir</w:t>
      </w:r>
      <w:proofErr w:type="spellEnd"/>
      <w:r w:rsidRPr="31AE0488">
        <w:rPr>
          <w:i/>
          <w:iCs/>
        </w:rPr>
        <w:t xml:space="preserve"> c. Belgique</w:t>
      </w:r>
      <w:r>
        <w:t>, 5 décembre 2024, § 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5F39E" w14:textId="2F8E1A3C" w:rsidR="001A3373" w:rsidRDefault="001A3373">
    <w:pPr>
      <w:pStyle w:val="En-tte"/>
    </w:pPr>
    <w:r>
      <w:t>Alix Ernoux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332B0"/>
    <w:multiLevelType w:val="multilevel"/>
    <w:tmpl w:val="9384A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D8265E"/>
    <w:multiLevelType w:val="multilevel"/>
    <w:tmpl w:val="5C128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913EE4"/>
    <w:multiLevelType w:val="multilevel"/>
    <w:tmpl w:val="3796D628"/>
    <w:styleLink w:val="DIP"/>
    <w:lvl w:ilvl="0">
      <w:start w:val="1"/>
      <w:numFmt w:val="decimal"/>
      <w:lvlText w:val="Section %1 - "/>
      <w:lvlJc w:val="right"/>
      <w:pPr>
        <w:ind w:left="1418" w:hanging="2"/>
      </w:pPr>
      <w:rPr>
        <w:rFonts w:ascii="Roboto" w:hAnsi="Roboto" w:hint="default"/>
        <w:b/>
        <w:bCs w:val="0"/>
        <w:i w:val="0"/>
        <w:iCs w:val="0"/>
        <w:caps w:val="0"/>
        <w:smallCaps w:val="0"/>
        <w:strike w:val="0"/>
        <w:dstrike w:val="0"/>
        <w:outline w:val="0"/>
        <w:shadow w:val="0"/>
        <w:emboss w:val="0"/>
        <w:imprint w:val="0"/>
        <w:noProof w:val="0"/>
        <w:vanish w:val="0"/>
        <w:color w:val="44546A" w:themeColor="text2"/>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2. "/>
      <w:lvlJc w:val="left"/>
      <w:pPr>
        <w:ind w:left="1134" w:hanging="113"/>
      </w:pPr>
      <w:rPr>
        <w:rFonts w:ascii="Roboto" w:hAnsi="Roboto" w:hint="default"/>
        <w:b/>
        <w:i w:val="0"/>
        <w:color w:val="F26314"/>
      </w:rPr>
    </w:lvl>
    <w:lvl w:ilvl="2">
      <w:start w:val="1"/>
      <w:numFmt w:val="decimal"/>
      <w:lvlText w:val="%2.%3."/>
      <w:lvlJc w:val="right"/>
      <w:pPr>
        <w:ind w:left="2160" w:hanging="180"/>
      </w:pPr>
      <w:rPr>
        <w:rFonts w:ascii="Roboto" w:hAnsi="Roboto" w:hint="default"/>
        <w:b/>
        <w:i w:val="0"/>
        <w:color w:val="AEAAAA" w:themeColor="background2" w:themeShade="BF"/>
      </w:rPr>
    </w:lvl>
    <w:lvl w:ilvl="3">
      <w:start w:val="1"/>
      <w:numFmt w:val="lowerLetter"/>
      <w:lvlRestart w:val="1"/>
      <w:lvlText w:val="%4)"/>
      <w:lvlJc w:val="left"/>
      <w:pPr>
        <w:ind w:left="2880" w:hanging="360"/>
      </w:pPr>
      <w:rPr>
        <w:rFonts w:ascii="Roboto" w:hAnsi="Roboto" w:hint="default"/>
        <w:b/>
        <w:i w:val="0"/>
        <w:color w:val="E7E6E6" w:themeColor="background2"/>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E07573F"/>
    <w:multiLevelType w:val="hybridMultilevel"/>
    <w:tmpl w:val="26B667C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E9E7A5E"/>
    <w:multiLevelType w:val="hybridMultilevel"/>
    <w:tmpl w:val="53DC74DE"/>
    <w:lvl w:ilvl="0" w:tplc="701C863C">
      <w:start w:val="5"/>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AFC5865"/>
    <w:multiLevelType w:val="multilevel"/>
    <w:tmpl w:val="E1341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E87C7B"/>
    <w:multiLevelType w:val="hybridMultilevel"/>
    <w:tmpl w:val="6636A1B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D866FFB"/>
    <w:multiLevelType w:val="multilevel"/>
    <w:tmpl w:val="6C64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727B69"/>
    <w:multiLevelType w:val="multilevel"/>
    <w:tmpl w:val="8DB4C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9321396">
    <w:abstractNumId w:val="2"/>
  </w:num>
  <w:num w:numId="2" w16cid:durableId="946471137">
    <w:abstractNumId w:val="5"/>
  </w:num>
  <w:num w:numId="3" w16cid:durableId="1131559882">
    <w:abstractNumId w:val="0"/>
  </w:num>
  <w:num w:numId="4" w16cid:durableId="1522744926">
    <w:abstractNumId w:val="7"/>
  </w:num>
  <w:num w:numId="5" w16cid:durableId="1847938872">
    <w:abstractNumId w:val="8"/>
  </w:num>
  <w:num w:numId="6" w16cid:durableId="1625388446">
    <w:abstractNumId w:val="1"/>
  </w:num>
  <w:num w:numId="7" w16cid:durableId="1275594626">
    <w:abstractNumId w:val="4"/>
  </w:num>
  <w:num w:numId="8" w16cid:durableId="2116635553">
    <w:abstractNumId w:val="3"/>
  </w:num>
  <w:num w:numId="9" w16cid:durableId="11994661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373"/>
    <w:rsid w:val="00000872"/>
    <w:rsid w:val="000016B4"/>
    <w:rsid w:val="00001FE5"/>
    <w:rsid w:val="00010F2D"/>
    <w:rsid w:val="00010F56"/>
    <w:rsid w:val="00016442"/>
    <w:rsid w:val="00025DB1"/>
    <w:rsid w:val="00027008"/>
    <w:rsid w:val="00041EEE"/>
    <w:rsid w:val="00045483"/>
    <w:rsid w:val="00046A5D"/>
    <w:rsid w:val="00047374"/>
    <w:rsid w:val="00057EEF"/>
    <w:rsid w:val="00067D2A"/>
    <w:rsid w:val="00072464"/>
    <w:rsid w:val="00072C2F"/>
    <w:rsid w:val="000731CB"/>
    <w:rsid w:val="000750BA"/>
    <w:rsid w:val="0007538D"/>
    <w:rsid w:val="00093B6E"/>
    <w:rsid w:val="00093F17"/>
    <w:rsid w:val="000A24EB"/>
    <w:rsid w:val="000A32C7"/>
    <w:rsid w:val="000A3DDD"/>
    <w:rsid w:val="000C22D0"/>
    <w:rsid w:val="000C275C"/>
    <w:rsid w:val="000D2A27"/>
    <w:rsid w:val="000E1903"/>
    <w:rsid w:val="000E460B"/>
    <w:rsid w:val="000F6CC4"/>
    <w:rsid w:val="001028D9"/>
    <w:rsid w:val="00104020"/>
    <w:rsid w:val="00105F0D"/>
    <w:rsid w:val="001113DD"/>
    <w:rsid w:val="0011247E"/>
    <w:rsid w:val="00114ED5"/>
    <w:rsid w:val="00116A25"/>
    <w:rsid w:val="00120541"/>
    <w:rsid w:val="0012187C"/>
    <w:rsid w:val="00122AC6"/>
    <w:rsid w:val="001242D2"/>
    <w:rsid w:val="001248CB"/>
    <w:rsid w:val="00130069"/>
    <w:rsid w:val="0013232C"/>
    <w:rsid w:val="00132B2A"/>
    <w:rsid w:val="001414F4"/>
    <w:rsid w:val="00141F9D"/>
    <w:rsid w:val="00147B52"/>
    <w:rsid w:val="00150511"/>
    <w:rsid w:val="00152B36"/>
    <w:rsid w:val="00152C39"/>
    <w:rsid w:val="00156A44"/>
    <w:rsid w:val="00170AFF"/>
    <w:rsid w:val="0017121F"/>
    <w:rsid w:val="00174623"/>
    <w:rsid w:val="001754EF"/>
    <w:rsid w:val="00177083"/>
    <w:rsid w:val="001845E7"/>
    <w:rsid w:val="001854F0"/>
    <w:rsid w:val="001858DC"/>
    <w:rsid w:val="0019207C"/>
    <w:rsid w:val="0019250F"/>
    <w:rsid w:val="001969FA"/>
    <w:rsid w:val="00196B85"/>
    <w:rsid w:val="001A3373"/>
    <w:rsid w:val="001A4BDA"/>
    <w:rsid w:val="001A77C9"/>
    <w:rsid w:val="001B5B60"/>
    <w:rsid w:val="001D5FE4"/>
    <w:rsid w:val="001D654B"/>
    <w:rsid w:val="001D66A3"/>
    <w:rsid w:val="001D736E"/>
    <w:rsid w:val="001E0098"/>
    <w:rsid w:val="001E159E"/>
    <w:rsid w:val="001F3C3B"/>
    <w:rsid w:val="00213DB9"/>
    <w:rsid w:val="002169B1"/>
    <w:rsid w:val="00223974"/>
    <w:rsid w:val="00223FB4"/>
    <w:rsid w:val="00230632"/>
    <w:rsid w:val="0023133E"/>
    <w:rsid w:val="00232BEF"/>
    <w:rsid w:val="002342B2"/>
    <w:rsid w:val="002416EA"/>
    <w:rsid w:val="0024662B"/>
    <w:rsid w:val="00250649"/>
    <w:rsid w:val="00253156"/>
    <w:rsid w:val="00255E8A"/>
    <w:rsid w:val="002600A7"/>
    <w:rsid w:val="00260E94"/>
    <w:rsid w:val="002657BA"/>
    <w:rsid w:val="002664A5"/>
    <w:rsid w:val="00266B9D"/>
    <w:rsid w:val="00266E2D"/>
    <w:rsid w:val="00267CD7"/>
    <w:rsid w:val="00272D73"/>
    <w:rsid w:val="00272F22"/>
    <w:rsid w:val="00280F7A"/>
    <w:rsid w:val="00281461"/>
    <w:rsid w:val="00285D00"/>
    <w:rsid w:val="002872D8"/>
    <w:rsid w:val="00287EED"/>
    <w:rsid w:val="002A1DBE"/>
    <w:rsid w:val="002A3BA3"/>
    <w:rsid w:val="002A6E4C"/>
    <w:rsid w:val="002B4979"/>
    <w:rsid w:val="002B5DD3"/>
    <w:rsid w:val="002C00AB"/>
    <w:rsid w:val="002C1688"/>
    <w:rsid w:val="002C375B"/>
    <w:rsid w:val="002C3916"/>
    <w:rsid w:val="002C6959"/>
    <w:rsid w:val="002E5A65"/>
    <w:rsid w:val="002E7CDF"/>
    <w:rsid w:val="002F0943"/>
    <w:rsid w:val="002F1EE3"/>
    <w:rsid w:val="002F29C6"/>
    <w:rsid w:val="00300442"/>
    <w:rsid w:val="00306FA2"/>
    <w:rsid w:val="0031249F"/>
    <w:rsid w:val="003129BC"/>
    <w:rsid w:val="003130A7"/>
    <w:rsid w:val="003141E1"/>
    <w:rsid w:val="00314BFE"/>
    <w:rsid w:val="0031735B"/>
    <w:rsid w:val="00317447"/>
    <w:rsid w:val="00317B1A"/>
    <w:rsid w:val="00325698"/>
    <w:rsid w:val="003375E8"/>
    <w:rsid w:val="0034284C"/>
    <w:rsid w:val="00354160"/>
    <w:rsid w:val="00357878"/>
    <w:rsid w:val="0036239C"/>
    <w:rsid w:val="003627DD"/>
    <w:rsid w:val="003630C1"/>
    <w:rsid w:val="003651A8"/>
    <w:rsid w:val="00366D23"/>
    <w:rsid w:val="0036746B"/>
    <w:rsid w:val="00377D21"/>
    <w:rsid w:val="003834E1"/>
    <w:rsid w:val="0039265D"/>
    <w:rsid w:val="0039288B"/>
    <w:rsid w:val="00394C65"/>
    <w:rsid w:val="003A0211"/>
    <w:rsid w:val="003B10E2"/>
    <w:rsid w:val="003B2C50"/>
    <w:rsid w:val="003C5276"/>
    <w:rsid w:val="003D30BB"/>
    <w:rsid w:val="003D3499"/>
    <w:rsid w:val="003D4084"/>
    <w:rsid w:val="003E0383"/>
    <w:rsid w:val="003E6323"/>
    <w:rsid w:val="003E654B"/>
    <w:rsid w:val="003F14E0"/>
    <w:rsid w:val="003F42B3"/>
    <w:rsid w:val="003F60ED"/>
    <w:rsid w:val="00400325"/>
    <w:rsid w:val="0040332C"/>
    <w:rsid w:val="00404BC8"/>
    <w:rsid w:val="004112C2"/>
    <w:rsid w:val="0041381E"/>
    <w:rsid w:val="00416753"/>
    <w:rsid w:val="0042260D"/>
    <w:rsid w:val="004230E9"/>
    <w:rsid w:val="00424969"/>
    <w:rsid w:val="004267F0"/>
    <w:rsid w:val="00430742"/>
    <w:rsid w:val="00434F67"/>
    <w:rsid w:val="004357ED"/>
    <w:rsid w:val="004412D5"/>
    <w:rsid w:val="004426A1"/>
    <w:rsid w:val="00443F1D"/>
    <w:rsid w:val="004446FE"/>
    <w:rsid w:val="00446294"/>
    <w:rsid w:val="004467AE"/>
    <w:rsid w:val="00450F5B"/>
    <w:rsid w:val="004511B8"/>
    <w:rsid w:val="0045717F"/>
    <w:rsid w:val="00457BD3"/>
    <w:rsid w:val="00462B8F"/>
    <w:rsid w:val="00463233"/>
    <w:rsid w:val="00467E0D"/>
    <w:rsid w:val="0047536E"/>
    <w:rsid w:val="00475F15"/>
    <w:rsid w:val="004768E4"/>
    <w:rsid w:val="004878D8"/>
    <w:rsid w:val="0049253F"/>
    <w:rsid w:val="004963AA"/>
    <w:rsid w:val="004A0F22"/>
    <w:rsid w:val="004A2824"/>
    <w:rsid w:val="004A2E2E"/>
    <w:rsid w:val="004B3AE4"/>
    <w:rsid w:val="004C306E"/>
    <w:rsid w:val="004C7A7C"/>
    <w:rsid w:val="004C7D28"/>
    <w:rsid w:val="004D5EE0"/>
    <w:rsid w:val="004E06BA"/>
    <w:rsid w:val="004E11BA"/>
    <w:rsid w:val="004E5846"/>
    <w:rsid w:val="004E5B44"/>
    <w:rsid w:val="004F0D81"/>
    <w:rsid w:val="005023CF"/>
    <w:rsid w:val="00502DD9"/>
    <w:rsid w:val="005066E3"/>
    <w:rsid w:val="00510B80"/>
    <w:rsid w:val="00514186"/>
    <w:rsid w:val="005147F6"/>
    <w:rsid w:val="00525F53"/>
    <w:rsid w:val="0052620E"/>
    <w:rsid w:val="00547862"/>
    <w:rsid w:val="00553339"/>
    <w:rsid w:val="00557383"/>
    <w:rsid w:val="005617FC"/>
    <w:rsid w:val="00561805"/>
    <w:rsid w:val="00564D43"/>
    <w:rsid w:val="00571BE8"/>
    <w:rsid w:val="0058269E"/>
    <w:rsid w:val="00587A9F"/>
    <w:rsid w:val="0059124B"/>
    <w:rsid w:val="005920AB"/>
    <w:rsid w:val="00596943"/>
    <w:rsid w:val="00596FB6"/>
    <w:rsid w:val="005A3F38"/>
    <w:rsid w:val="005B114E"/>
    <w:rsid w:val="005C5C2D"/>
    <w:rsid w:val="005C65FA"/>
    <w:rsid w:val="005C731B"/>
    <w:rsid w:val="005D70C8"/>
    <w:rsid w:val="005E2AC1"/>
    <w:rsid w:val="005E32D5"/>
    <w:rsid w:val="005E3A08"/>
    <w:rsid w:val="005E4934"/>
    <w:rsid w:val="005F23DF"/>
    <w:rsid w:val="005F74AE"/>
    <w:rsid w:val="00606B3F"/>
    <w:rsid w:val="00612804"/>
    <w:rsid w:val="00614080"/>
    <w:rsid w:val="006205A9"/>
    <w:rsid w:val="006264F0"/>
    <w:rsid w:val="006272DF"/>
    <w:rsid w:val="006323A9"/>
    <w:rsid w:val="006358AB"/>
    <w:rsid w:val="00636D06"/>
    <w:rsid w:val="0063781A"/>
    <w:rsid w:val="00644E83"/>
    <w:rsid w:val="00655934"/>
    <w:rsid w:val="00657354"/>
    <w:rsid w:val="006752BC"/>
    <w:rsid w:val="00676E8E"/>
    <w:rsid w:val="00681ABA"/>
    <w:rsid w:val="00684241"/>
    <w:rsid w:val="00685630"/>
    <w:rsid w:val="00685875"/>
    <w:rsid w:val="006A1995"/>
    <w:rsid w:val="006A444F"/>
    <w:rsid w:val="006A71CB"/>
    <w:rsid w:val="006B4AC2"/>
    <w:rsid w:val="006B5213"/>
    <w:rsid w:val="006B608A"/>
    <w:rsid w:val="006C1570"/>
    <w:rsid w:val="006C6BFC"/>
    <w:rsid w:val="006D27FE"/>
    <w:rsid w:val="006D780B"/>
    <w:rsid w:val="006E196A"/>
    <w:rsid w:val="006E2AA8"/>
    <w:rsid w:val="006E3718"/>
    <w:rsid w:val="006E64E9"/>
    <w:rsid w:val="006E778F"/>
    <w:rsid w:val="006F1ED3"/>
    <w:rsid w:val="00705394"/>
    <w:rsid w:val="00707CAC"/>
    <w:rsid w:val="007128D1"/>
    <w:rsid w:val="0071425A"/>
    <w:rsid w:val="00716F97"/>
    <w:rsid w:val="0072026B"/>
    <w:rsid w:val="00721375"/>
    <w:rsid w:val="007410BE"/>
    <w:rsid w:val="00746A97"/>
    <w:rsid w:val="00755299"/>
    <w:rsid w:val="007555C3"/>
    <w:rsid w:val="00760B84"/>
    <w:rsid w:val="00760CF1"/>
    <w:rsid w:val="007754F2"/>
    <w:rsid w:val="007839A3"/>
    <w:rsid w:val="00786C9D"/>
    <w:rsid w:val="00787BFD"/>
    <w:rsid w:val="00787D82"/>
    <w:rsid w:val="00787DD3"/>
    <w:rsid w:val="00798F4D"/>
    <w:rsid w:val="007A0B3F"/>
    <w:rsid w:val="007A4E8C"/>
    <w:rsid w:val="007B115E"/>
    <w:rsid w:val="007B14CD"/>
    <w:rsid w:val="007B28AB"/>
    <w:rsid w:val="007B2EFD"/>
    <w:rsid w:val="007B3AA3"/>
    <w:rsid w:val="007B432B"/>
    <w:rsid w:val="007B5C5D"/>
    <w:rsid w:val="007C6957"/>
    <w:rsid w:val="007D064E"/>
    <w:rsid w:val="007D4509"/>
    <w:rsid w:val="007E16AE"/>
    <w:rsid w:val="007F42A2"/>
    <w:rsid w:val="007F4311"/>
    <w:rsid w:val="007F5A92"/>
    <w:rsid w:val="007F6A91"/>
    <w:rsid w:val="007F6FC7"/>
    <w:rsid w:val="007F7077"/>
    <w:rsid w:val="0080062A"/>
    <w:rsid w:val="00802304"/>
    <w:rsid w:val="00804548"/>
    <w:rsid w:val="0080531E"/>
    <w:rsid w:val="00813583"/>
    <w:rsid w:val="00815A11"/>
    <w:rsid w:val="00816F7B"/>
    <w:rsid w:val="00823D7E"/>
    <w:rsid w:val="00823F45"/>
    <w:rsid w:val="00825663"/>
    <w:rsid w:val="008257CE"/>
    <w:rsid w:val="00825F49"/>
    <w:rsid w:val="0084258E"/>
    <w:rsid w:val="008572DD"/>
    <w:rsid w:val="00857DF9"/>
    <w:rsid w:val="00863D9F"/>
    <w:rsid w:val="008701FE"/>
    <w:rsid w:val="00872710"/>
    <w:rsid w:val="0087349F"/>
    <w:rsid w:val="00876215"/>
    <w:rsid w:val="00882075"/>
    <w:rsid w:val="008A31FF"/>
    <w:rsid w:val="008B19F5"/>
    <w:rsid w:val="008B2DEC"/>
    <w:rsid w:val="008C3903"/>
    <w:rsid w:val="008C5E4F"/>
    <w:rsid w:val="008D1790"/>
    <w:rsid w:val="008D5388"/>
    <w:rsid w:val="008D5A64"/>
    <w:rsid w:val="008E3041"/>
    <w:rsid w:val="008E337A"/>
    <w:rsid w:val="008E36C7"/>
    <w:rsid w:val="008E3E6C"/>
    <w:rsid w:val="008E4312"/>
    <w:rsid w:val="008E4BAC"/>
    <w:rsid w:val="008E58D1"/>
    <w:rsid w:val="008E7936"/>
    <w:rsid w:val="008F06B6"/>
    <w:rsid w:val="008F1143"/>
    <w:rsid w:val="008F5B9C"/>
    <w:rsid w:val="008F6FA3"/>
    <w:rsid w:val="008F7505"/>
    <w:rsid w:val="008F751A"/>
    <w:rsid w:val="00903ADB"/>
    <w:rsid w:val="0091777E"/>
    <w:rsid w:val="0092166E"/>
    <w:rsid w:val="00922509"/>
    <w:rsid w:val="00925884"/>
    <w:rsid w:val="00927B47"/>
    <w:rsid w:val="00930512"/>
    <w:rsid w:val="0093131C"/>
    <w:rsid w:val="009344A9"/>
    <w:rsid w:val="00937541"/>
    <w:rsid w:val="009412E8"/>
    <w:rsid w:val="00944B72"/>
    <w:rsid w:val="00944D8A"/>
    <w:rsid w:val="00945196"/>
    <w:rsid w:val="0094536C"/>
    <w:rsid w:val="00945D77"/>
    <w:rsid w:val="009476F9"/>
    <w:rsid w:val="00951709"/>
    <w:rsid w:val="00965D11"/>
    <w:rsid w:val="00971825"/>
    <w:rsid w:val="00981741"/>
    <w:rsid w:val="00984DA7"/>
    <w:rsid w:val="009852F5"/>
    <w:rsid w:val="009929EE"/>
    <w:rsid w:val="00993962"/>
    <w:rsid w:val="009941A0"/>
    <w:rsid w:val="009950C1"/>
    <w:rsid w:val="009957DC"/>
    <w:rsid w:val="009987C2"/>
    <w:rsid w:val="009A361F"/>
    <w:rsid w:val="009A51D6"/>
    <w:rsid w:val="009A522D"/>
    <w:rsid w:val="009B05AD"/>
    <w:rsid w:val="009B0DCC"/>
    <w:rsid w:val="009B3AB9"/>
    <w:rsid w:val="009B3F29"/>
    <w:rsid w:val="009B7F6D"/>
    <w:rsid w:val="009C1A12"/>
    <w:rsid w:val="009C577C"/>
    <w:rsid w:val="009C5976"/>
    <w:rsid w:val="009C72B5"/>
    <w:rsid w:val="009C77D9"/>
    <w:rsid w:val="009E1894"/>
    <w:rsid w:val="009F0A00"/>
    <w:rsid w:val="009F732A"/>
    <w:rsid w:val="00A00441"/>
    <w:rsid w:val="00A0107F"/>
    <w:rsid w:val="00A04C61"/>
    <w:rsid w:val="00A10F18"/>
    <w:rsid w:val="00A1330A"/>
    <w:rsid w:val="00A14357"/>
    <w:rsid w:val="00A15030"/>
    <w:rsid w:val="00A2054E"/>
    <w:rsid w:val="00A2171B"/>
    <w:rsid w:val="00A378E8"/>
    <w:rsid w:val="00A40FB0"/>
    <w:rsid w:val="00A42F57"/>
    <w:rsid w:val="00A47AB0"/>
    <w:rsid w:val="00A518B5"/>
    <w:rsid w:val="00A51F33"/>
    <w:rsid w:val="00A52B7B"/>
    <w:rsid w:val="00A53E82"/>
    <w:rsid w:val="00A62109"/>
    <w:rsid w:val="00A8478D"/>
    <w:rsid w:val="00A926F2"/>
    <w:rsid w:val="00A96238"/>
    <w:rsid w:val="00AA1F0C"/>
    <w:rsid w:val="00AA25EA"/>
    <w:rsid w:val="00AB0328"/>
    <w:rsid w:val="00AB6F76"/>
    <w:rsid w:val="00AC51EC"/>
    <w:rsid w:val="00AD0B61"/>
    <w:rsid w:val="00AD42BE"/>
    <w:rsid w:val="00AD4EF3"/>
    <w:rsid w:val="00AD556D"/>
    <w:rsid w:val="00AE0EF9"/>
    <w:rsid w:val="00AE7128"/>
    <w:rsid w:val="00AF1D75"/>
    <w:rsid w:val="00B072CF"/>
    <w:rsid w:val="00B12C8B"/>
    <w:rsid w:val="00B17676"/>
    <w:rsid w:val="00B23265"/>
    <w:rsid w:val="00B23876"/>
    <w:rsid w:val="00B25583"/>
    <w:rsid w:val="00B25F77"/>
    <w:rsid w:val="00B32794"/>
    <w:rsid w:val="00B35A23"/>
    <w:rsid w:val="00B36D95"/>
    <w:rsid w:val="00B40B1B"/>
    <w:rsid w:val="00B442C2"/>
    <w:rsid w:val="00B4481D"/>
    <w:rsid w:val="00B472B8"/>
    <w:rsid w:val="00B5300D"/>
    <w:rsid w:val="00B5637C"/>
    <w:rsid w:val="00B65988"/>
    <w:rsid w:val="00B6914A"/>
    <w:rsid w:val="00B70574"/>
    <w:rsid w:val="00B720F3"/>
    <w:rsid w:val="00B7383E"/>
    <w:rsid w:val="00B83119"/>
    <w:rsid w:val="00B92D84"/>
    <w:rsid w:val="00B94C6A"/>
    <w:rsid w:val="00B962B0"/>
    <w:rsid w:val="00B97372"/>
    <w:rsid w:val="00BA5CC5"/>
    <w:rsid w:val="00BA6CBF"/>
    <w:rsid w:val="00BB0F36"/>
    <w:rsid w:val="00BB3999"/>
    <w:rsid w:val="00BC078D"/>
    <w:rsid w:val="00BC26E5"/>
    <w:rsid w:val="00BC2FA0"/>
    <w:rsid w:val="00BC4CB5"/>
    <w:rsid w:val="00BC52A9"/>
    <w:rsid w:val="00BC5BF2"/>
    <w:rsid w:val="00BC6E24"/>
    <w:rsid w:val="00BC6F0C"/>
    <w:rsid w:val="00BD62B2"/>
    <w:rsid w:val="00BE1F2C"/>
    <w:rsid w:val="00BE5944"/>
    <w:rsid w:val="00BE6826"/>
    <w:rsid w:val="00BE6CCB"/>
    <w:rsid w:val="00C009C9"/>
    <w:rsid w:val="00C014E6"/>
    <w:rsid w:val="00C04E73"/>
    <w:rsid w:val="00C07E74"/>
    <w:rsid w:val="00C115DC"/>
    <w:rsid w:val="00C13EE4"/>
    <w:rsid w:val="00C14842"/>
    <w:rsid w:val="00C217C9"/>
    <w:rsid w:val="00C30099"/>
    <w:rsid w:val="00C33FC8"/>
    <w:rsid w:val="00C400E1"/>
    <w:rsid w:val="00C45BB0"/>
    <w:rsid w:val="00C50107"/>
    <w:rsid w:val="00C507C0"/>
    <w:rsid w:val="00C57273"/>
    <w:rsid w:val="00C63409"/>
    <w:rsid w:val="00C660E5"/>
    <w:rsid w:val="00C67335"/>
    <w:rsid w:val="00C677AF"/>
    <w:rsid w:val="00C72330"/>
    <w:rsid w:val="00C72B11"/>
    <w:rsid w:val="00C75256"/>
    <w:rsid w:val="00C7601C"/>
    <w:rsid w:val="00C768C7"/>
    <w:rsid w:val="00C80085"/>
    <w:rsid w:val="00C84256"/>
    <w:rsid w:val="00C84C71"/>
    <w:rsid w:val="00C86494"/>
    <w:rsid w:val="00C92205"/>
    <w:rsid w:val="00C939D3"/>
    <w:rsid w:val="00CA31BB"/>
    <w:rsid w:val="00CA5F15"/>
    <w:rsid w:val="00CA644E"/>
    <w:rsid w:val="00CC3696"/>
    <w:rsid w:val="00CC50E7"/>
    <w:rsid w:val="00CC7742"/>
    <w:rsid w:val="00CD0F02"/>
    <w:rsid w:val="00CD356D"/>
    <w:rsid w:val="00CE680A"/>
    <w:rsid w:val="00CE6C20"/>
    <w:rsid w:val="00CF6A22"/>
    <w:rsid w:val="00D01E28"/>
    <w:rsid w:val="00D11089"/>
    <w:rsid w:val="00D13613"/>
    <w:rsid w:val="00D162CE"/>
    <w:rsid w:val="00D16EF9"/>
    <w:rsid w:val="00D22057"/>
    <w:rsid w:val="00D43B48"/>
    <w:rsid w:val="00D45C41"/>
    <w:rsid w:val="00D4729B"/>
    <w:rsid w:val="00D566DE"/>
    <w:rsid w:val="00D56F82"/>
    <w:rsid w:val="00D631C8"/>
    <w:rsid w:val="00D673FA"/>
    <w:rsid w:val="00D72F16"/>
    <w:rsid w:val="00D77F9A"/>
    <w:rsid w:val="00D868F0"/>
    <w:rsid w:val="00D94240"/>
    <w:rsid w:val="00D96B39"/>
    <w:rsid w:val="00D977CE"/>
    <w:rsid w:val="00DA0D4F"/>
    <w:rsid w:val="00DB048E"/>
    <w:rsid w:val="00DB277C"/>
    <w:rsid w:val="00DB2D05"/>
    <w:rsid w:val="00DD0729"/>
    <w:rsid w:val="00DD15A0"/>
    <w:rsid w:val="00DD189F"/>
    <w:rsid w:val="00DD1F3F"/>
    <w:rsid w:val="00DD31A7"/>
    <w:rsid w:val="00DD4B41"/>
    <w:rsid w:val="00DD51A7"/>
    <w:rsid w:val="00DD7786"/>
    <w:rsid w:val="00DE2E9D"/>
    <w:rsid w:val="00DF313D"/>
    <w:rsid w:val="00E0225F"/>
    <w:rsid w:val="00E1011B"/>
    <w:rsid w:val="00E11AAC"/>
    <w:rsid w:val="00E1344A"/>
    <w:rsid w:val="00E1389E"/>
    <w:rsid w:val="00E17585"/>
    <w:rsid w:val="00E17F72"/>
    <w:rsid w:val="00E204EC"/>
    <w:rsid w:val="00E34AEF"/>
    <w:rsid w:val="00E34B36"/>
    <w:rsid w:val="00E35CDA"/>
    <w:rsid w:val="00E3710A"/>
    <w:rsid w:val="00E41F1C"/>
    <w:rsid w:val="00E43C01"/>
    <w:rsid w:val="00E462EB"/>
    <w:rsid w:val="00E503AD"/>
    <w:rsid w:val="00E5080E"/>
    <w:rsid w:val="00E624A5"/>
    <w:rsid w:val="00E62F7E"/>
    <w:rsid w:val="00E6510D"/>
    <w:rsid w:val="00E7741A"/>
    <w:rsid w:val="00E814DE"/>
    <w:rsid w:val="00E81B00"/>
    <w:rsid w:val="00E824AA"/>
    <w:rsid w:val="00E87E3C"/>
    <w:rsid w:val="00E90355"/>
    <w:rsid w:val="00E905F3"/>
    <w:rsid w:val="00E93A53"/>
    <w:rsid w:val="00E94EAE"/>
    <w:rsid w:val="00E975DE"/>
    <w:rsid w:val="00EB6BC8"/>
    <w:rsid w:val="00EC17AF"/>
    <w:rsid w:val="00EC2BAD"/>
    <w:rsid w:val="00EC5442"/>
    <w:rsid w:val="00EC608C"/>
    <w:rsid w:val="00EC7238"/>
    <w:rsid w:val="00ED2179"/>
    <w:rsid w:val="00EE29AA"/>
    <w:rsid w:val="00EE6AB1"/>
    <w:rsid w:val="00EF33B9"/>
    <w:rsid w:val="00EF65EE"/>
    <w:rsid w:val="00F0040E"/>
    <w:rsid w:val="00F07367"/>
    <w:rsid w:val="00F076ED"/>
    <w:rsid w:val="00F150A2"/>
    <w:rsid w:val="00F201AD"/>
    <w:rsid w:val="00F339E4"/>
    <w:rsid w:val="00F453A6"/>
    <w:rsid w:val="00F4774F"/>
    <w:rsid w:val="00F50165"/>
    <w:rsid w:val="00F54B75"/>
    <w:rsid w:val="00F609AC"/>
    <w:rsid w:val="00F618A1"/>
    <w:rsid w:val="00F624C4"/>
    <w:rsid w:val="00F628EC"/>
    <w:rsid w:val="00F62D98"/>
    <w:rsid w:val="00F65746"/>
    <w:rsid w:val="00F67003"/>
    <w:rsid w:val="00F71E5D"/>
    <w:rsid w:val="00F72834"/>
    <w:rsid w:val="00F77259"/>
    <w:rsid w:val="00F82E14"/>
    <w:rsid w:val="00F8601D"/>
    <w:rsid w:val="00F86AC3"/>
    <w:rsid w:val="00F920E4"/>
    <w:rsid w:val="00F92419"/>
    <w:rsid w:val="00F93779"/>
    <w:rsid w:val="00F9415B"/>
    <w:rsid w:val="00F9441F"/>
    <w:rsid w:val="00FA2E78"/>
    <w:rsid w:val="00FA3E36"/>
    <w:rsid w:val="00FA5D91"/>
    <w:rsid w:val="00FB2FDF"/>
    <w:rsid w:val="00FB5F99"/>
    <w:rsid w:val="00FB6283"/>
    <w:rsid w:val="00FC1EC4"/>
    <w:rsid w:val="00FC1ECF"/>
    <w:rsid w:val="00FC346F"/>
    <w:rsid w:val="00FC55EE"/>
    <w:rsid w:val="00FC7C35"/>
    <w:rsid w:val="00FD1A2B"/>
    <w:rsid w:val="00FD215C"/>
    <w:rsid w:val="00FD62B1"/>
    <w:rsid w:val="00FD7702"/>
    <w:rsid w:val="00FD7BE0"/>
    <w:rsid w:val="00FE69A8"/>
    <w:rsid w:val="00FF2FF1"/>
    <w:rsid w:val="00FF4EB8"/>
    <w:rsid w:val="013D88AA"/>
    <w:rsid w:val="015D8121"/>
    <w:rsid w:val="01726B28"/>
    <w:rsid w:val="019329F1"/>
    <w:rsid w:val="01BC324F"/>
    <w:rsid w:val="01DB391D"/>
    <w:rsid w:val="01FA5194"/>
    <w:rsid w:val="01FDF846"/>
    <w:rsid w:val="02490AC9"/>
    <w:rsid w:val="02D47EB0"/>
    <w:rsid w:val="03102E40"/>
    <w:rsid w:val="03365702"/>
    <w:rsid w:val="03382BA6"/>
    <w:rsid w:val="0346C3CE"/>
    <w:rsid w:val="034F7AF9"/>
    <w:rsid w:val="036DFF36"/>
    <w:rsid w:val="037C358A"/>
    <w:rsid w:val="03A1AFFA"/>
    <w:rsid w:val="03F9BC89"/>
    <w:rsid w:val="03FA485D"/>
    <w:rsid w:val="04161DD4"/>
    <w:rsid w:val="04282639"/>
    <w:rsid w:val="04FFA8C9"/>
    <w:rsid w:val="057C3345"/>
    <w:rsid w:val="05B9B937"/>
    <w:rsid w:val="05DFC6FC"/>
    <w:rsid w:val="05FDB05D"/>
    <w:rsid w:val="0622745C"/>
    <w:rsid w:val="063DF91F"/>
    <w:rsid w:val="06E1DD53"/>
    <w:rsid w:val="071F1C91"/>
    <w:rsid w:val="076C39B0"/>
    <w:rsid w:val="07D2DD3B"/>
    <w:rsid w:val="07DBB3FC"/>
    <w:rsid w:val="07EAE353"/>
    <w:rsid w:val="07F8DA93"/>
    <w:rsid w:val="082A3120"/>
    <w:rsid w:val="085ED5F0"/>
    <w:rsid w:val="086149CB"/>
    <w:rsid w:val="0895B784"/>
    <w:rsid w:val="08E81651"/>
    <w:rsid w:val="094496AA"/>
    <w:rsid w:val="094D097B"/>
    <w:rsid w:val="0956FD62"/>
    <w:rsid w:val="095B29F7"/>
    <w:rsid w:val="099E95F6"/>
    <w:rsid w:val="09A70D04"/>
    <w:rsid w:val="09DBA039"/>
    <w:rsid w:val="0A5C9646"/>
    <w:rsid w:val="0ABFBCF9"/>
    <w:rsid w:val="0ADA882D"/>
    <w:rsid w:val="0AEAA88E"/>
    <w:rsid w:val="0AF6F158"/>
    <w:rsid w:val="0B2CEDFD"/>
    <w:rsid w:val="0B5E702F"/>
    <w:rsid w:val="0BC70ABA"/>
    <w:rsid w:val="0BF59316"/>
    <w:rsid w:val="0C2230CC"/>
    <w:rsid w:val="0C31C6DC"/>
    <w:rsid w:val="0C80D32D"/>
    <w:rsid w:val="0CDEF674"/>
    <w:rsid w:val="0DC114AC"/>
    <w:rsid w:val="0DFAA89C"/>
    <w:rsid w:val="0E22C1FE"/>
    <w:rsid w:val="0E81E735"/>
    <w:rsid w:val="0E94CEC8"/>
    <w:rsid w:val="0ECBFBE3"/>
    <w:rsid w:val="0EE0E0BE"/>
    <w:rsid w:val="0EEE8EE3"/>
    <w:rsid w:val="0F195F47"/>
    <w:rsid w:val="0F5D0F34"/>
    <w:rsid w:val="0FD62F15"/>
    <w:rsid w:val="0FE77A52"/>
    <w:rsid w:val="10323B7F"/>
    <w:rsid w:val="107E296C"/>
    <w:rsid w:val="10BBDED5"/>
    <w:rsid w:val="1120B6D0"/>
    <w:rsid w:val="1163CED5"/>
    <w:rsid w:val="11882F8F"/>
    <w:rsid w:val="118C800B"/>
    <w:rsid w:val="11A365F9"/>
    <w:rsid w:val="11F6B54A"/>
    <w:rsid w:val="1234A950"/>
    <w:rsid w:val="12BEC89B"/>
    <w:rsid w:val="12DDBB61"/>
    <w:rsid w:val="12EDD8E9"/>
    <w:rsid w:val="12F1A9A9"/>
    <w:rsid w:val="133077F3"/>
    <w:rsid w:val="13348E7E"/>
    <w:rsid w:val="134A82A5"/>
    <w:rsid w:val="1367D1C7"/>
    <w:rsid w:val="13D56D5D"/>
    <w:rsid w:val="1447CED7"/>
    <w:rsid w:val="145D9123"/>
    <w:rsid w:val="14AD254E"/>
    <w:rsid w:val="14CBE24D"/>
    <w:rsid w:val="14E0D3D3"/>
    <w:rsid w:val="14EC858B"/>
    <w:rsid w:val="1504C459"/>
    <w:rsid w:val="1518FCBF"/>
    <w:rsid w:val="15A4C962"/>
    <w:rsid w:val="15D5011E"/>
    <w:rsid w:val="16113517"/>
    <w:rsid w:val="16202321"/>
    <w:rsid w:val="16358E74"/>
    <w:rsid w:val="16364098"/>
    <w:rsid w:val="1674123B"/>
    <w:rsid w:val="169C422B"/>
    <w:rsid w:val="169D66C2"/>
    <w:rsid w:val="16F98ED4"/>
    <w:rsid w:val="1700033E"/>
    <w:rsid w:val="1729EF09"/>
    <w:rsid w:val="17C00AAC"/>
    <w:rsid w:val="17CE9563"/>
    <w:rsid w:val="18B2AF0C"/>
    <w:rsid w:val="18B5031A"/>
    <w:rsid w:val="1905F16F"/>
    <w:rsid w:val="193DB41E"/>
    <w:rsid w:val="19B3B1D7"/>
    <w:rsid w:val="19CE230B"/>
    <w:rsid w:val="19F0A790"/>
    <w:rsid w:val="19F23E0E"/>
    <w:rsid w:val="1A2DB6EB"/>
    <w:rsid w:val="1A4EF831"/>
    <w:rsid w:val="1A574E76"/>
    <w:rsid w:val="1A57B85B"/>
    <w:rsid w:val="1A729500"/>
    <w:rsid w:val="1A885960"/>
    <w:rsid w:val="1BE0202E"/>
    <w:rsid w:val="1BF2882F"/>
    <w:rsid w:val="1CBBCEC4"/>
    <w:rsid w:val="1D639933"/>
    <w:rsid w:val="1D9AE742"/>
    <w:rsid w:val="1D9B3EE2"/>
    <w:rsid w:val="1DF31557"/>
    <w:rsid w:val="1E1B9545"/>
    <w:rsid w:val="1E530549"/>
    <w:rsid w:val="1E5C426B"/>
    <w:rsid w:val="1E883BAE"/>
    <w:rsid w:val="1E8FCF6B"/>
    <w:rsid w:val="203DA4BE"/>
    <w:rsid w:val="206AD667"/>
    <w:rsid w:val="2086A4B1"/>
    <w:rsid w:val="20928A0D"/>
    <w:rsid w:val="20D95DFC"/>
    <w:rsid w:val="20FE277C"/>
    <w:rsid w:val="211A0176"/>
    <w:rsid w:val="21533DC2"/>
    <w:rsid w:val="2180C999"/>
    <w:rsid w:val="218FC112"/>
    <w:rsid w:val="21A477F5"/>
    <w:rsid w:val="21F24576"/>
    <w:rsid w:val="22007261"/>
    <w:rsid w:val="2230752A"/>
    <w:rsid w:val="227FEA15"/>
    <w:rsid w:val="22F3231E"/>
    <w:rsid w:val="2363CF7D"/>
    <w:rsid w:val="2382725A"/>
    <w:rsid w:val="23919472"/>
    <w:rsid w:val="2416029D"/>
    <w:rsid w:val="251168D8"/>
    <w:rsid w:val="2559291E"/>
    <w:rsid w:val="25611C42"/>
    <w:rsid w:val="25FABB97"/>
    <w:rsid w:val="2698AE11"/>
    <w:rsid w:val="26A91C1F"/>
    <w:rsid w:val="26E7A0C3"/>
    <w:rsid w:val="2730F3B5"/>
    <w:rsid w:val="273A8A87"/>
    <w:rsid w:val="273EA711"/>
    <w:rsid w:val="2757C92C"/>
    <w:rsid w:val="2768636A"/>
    <w:rsid w:val="27AA5790"/>
    <w:rsid w:val="27B1F470"/>
    <w:rsid w:val="27CDD561"/>
    <w:rsid w:val="2857240E"/>
    <w:rsid w:val="2886B992"/>
    <w:rsid w:val="288FDB83"/>
    <w:rsid w:val="28CD81E6"/>
    <w:rsid w:val="28E35BAA"/>
    <w:rsid w:val="28E41643"/>
    <w:rsid w:val="291587A3"/>
    <w:rsid w:val="292D3CE5"/>
    <w:rsid w:val="2945909C"/>
    <w:rsid w:val="29651509"/>
    <w:rsid w:val="298FE883"/>
    <w:rsid w:val="29A79073"/>
    <w:rsid w:val="29F399C5"/>
    <w:rsid w:val="2A01D985"/>
    <w:rsid w:val="2A089C90"/>
    <w:rsid w:val="2A1964FA"/>
    <w:rsid w:val="2A2A9C06"/>
    <w:rsid w:val="2A64D944"/>
    <w:rsid w:val="2A7B0796"/>
    <w:rsid w:val="2A7E656B"/>
    <w:rsid w:val="2AA762B7"/>
    <w:rsid w:val="2AF73379"/>
    <w:rsid w:val="2B1ED24F"/>
    <w:rsid w:val="2B2E261E"/>
    <w:rsid w:val="2B356267"/>
    <w:rsid w:val="2B9353E1"/>
    <w:rsid w:val="2BB775B5"/>
    <w:rsid w:val="2C47F1C9"/>
    <w:rsid w:val="2C682C83"/>
    <w:rsid w:val="2C6E2265"/>
    <w:rsid w:val="2C7099D1"/>
    <w:rsid w:val="2C88A093"/>
    <w:rsid w:val="2C911B47"/>
    <w:rsid w:val="2CD63236"/>
    <w:rsid w:val="2DB8DC85"/>
    <w:rsid w:val="2DF55F0F"/>
    <w:rsid w:val="2E802832"/>
    <w:rsid w:val="2EA66A20"/>
    <w:rsid w:val="2EB19826"/>
    <w:rsid w:val="2ED92631"/>
    <w:rsid w:val="2F076372"/>
    <w:rsid w:val="2F1D6708"/>
    <w:rsid w:val="2F28C144"/>
    <w:rsid w:val="2F31F9FE"/>
    <w:rsid w:val="2F740C00"/>
    <w:rsid w:val="2F7E0AF1"/>
    <w:rsid w:val="2F813940"/>
    <w:rsid w:val="2FD08B05"/>
    <w:rsid w:val="30036185"/>
    <w:rsid w:val="306FA8B5"/>
    <w:rsid w:val="308321C4"/>
    <w:rsid w:val="30842EDD"/>
    <w:rsid w:val="30A00EAA"/>
    <w:rsid w:val="30E816A7"/>
    <w:rsid w:val="30E98F59"/>
    <w:rsid w:val="3180CBF3"/>
    <w:rsid w:val="318554EE"/>
    <w:rsid w:val="31AE0488"/>
    <w:rsid w:val="31BEC0CB"/>
    <w:rsid w:val="31F5AB46"/>
    <w:rsid w:val="3232BBF8"/>
    <w:rsid w:val="325C90BF"/>
    <w:rsid w:val="32A90021"/>
    <w:rsid w:val="32C9684F"/>
    <w:rsid w:val="32DFE36F"/>
    <w:rsid w:val="32E05B35"/>
    <w:rsid w:val="332560D3"/>
    <w:rsid w:val="338C73B2"/>
    <w:rsid w:val="33C86D82"/>
    <w:rsid w:val="33DEF10E"/>
    <w:rsid w:val="3417AFCD"/>
    <w:rsid w:val="34B97CDC"/>
    <w:rsid w:val="34C52626"/>
    <w:rsid w:val="34CC5206"/>
    <w:rsid w:val="3507DB9E"/>
    <w:rsid w:val="354CDBDD"/>
    <w:rsid w:val="3563606A"/>
    <w:rsid w:val="35AD2A79"/>
    <w:rsid w:val="36389E57"/>
    <w:rsid w:val="3659FCDC"/>
    <w:rsid w:val="36A26362"/>
    <w:rsid w:val="36ECBEB6"/>
    <w:rsid w:val="3704393B"/>
    <w:rsid w:val="37445FB8"/>
    <w:rsid w:val="380A72F1"/>
    <w:rsid w:val="3884724D"/>
    <w:rsid w:val="38E3F152"/>
    <w:rsid w:val="390F47C2"/>
    <w:rsid w:val="3978A306"/>
    <w:rsid w:val="398ADA23"/>
    <w:rsid w:val="39B9A7D1"/>
    <w:rsid w:val="39DE673F"/>
    <w:rsid w:val="3A3B2D7B"/>
    <w:rsid w:val="3A3B8519"/>
    <w:rsid w:val="3A5DEFFF"/>
    <w:rsid w:val="3AE0C1D8"/>
    <w:rsid w:val="3B109031"/>
    <w:rsid w:val="3B24EA4C"/>
    <w:rsid w:val="3B5527D2"/>
    <w:rsid w:val="3B5C393C"/>
    <w:rsid w:val="3B93599B"/>
    <w:rsid w:val="3BAF0B86"/>
    <w:rsid w:val="3BEC01C6"/>
    <w:rsid w:val="3C240484"/>
    <w:rsid w:val="3C39EF81"/>
    <w:rsid w:val="3C8DDB0F"/>
    <w:rsid w:val="3D42B364"/>
    <w:rsid w:val="3E3A53A7"/>
    <w:rsid w:val="3E50701E"/>
    <w:rsid w:val="3E591BE0"/>
    <w:rsid w:val="3E77DEB5"/>
    <w:rsid w:val="3EA9C9C0"/>
    <w:rsid w:val="3EB0EE98"/>
    <w:rsid w:val="3EDEBFA8"/>
    <w:rsid w:val="3EF03D85"/>
    <w:rsid w:val="3F1113D2"/>
    <w:rsid w:val="3F232385"/>
    <w:rsid w:val="3F465F1D"/>
    <w:rsid w:val="3FA0B7BE"/>
    <w:rsid w:val="3FDAC5C4"/>
    <w:rsid w:val="3FEDEB99"/>
    <w:rsid w:val="3FF247A1"/>
    <w:rsid w:val="40C8CEC7"/>
    <w:rsid w:val="4110DAE8"/>
    <w:rsid w:val="41EA05B0"/>
    <w:rsid w:val="41F33074"/>
    <w:rsid w:val="42629CC9"/>
    <w:rsid w:val="4263FA17"/>
    <w:rsid w:val="42788061"/>
    <w:rsid w:val="4292D413"/>
    <w:rsid w:val="42D5A01B"/>
    <w:rsid w:val="432C432E"/>
    <w:rsid w:val="43972FBE"/>
    <w:rsid w:val="43C3F0BE"/>
    <w:rsid w:val="43DD33FE"/>
    <w:rsid w:val="43DD770E"/>
    <w:rsid w:val="4401D4DB"/>
    <w:rsid w:val="4404E31D"/>
    <w:rsid w:val="44F9E1A9"/>
    <w:rsid w:val="45352314"/>
    <w:rsid w:val="455D57E2"/>
    <w:rsid w:val="456AFE25"/>
    <w:rsid w:val="45718B05"/>
    <w:rsid w:val="45893A4D"/>
    <w:rsid w:val="45B76B1E"/>
    <w:rsid w:val="45C91E97"/>
    <w:rsid w:val="4614401E"/>
    <w:rsid w:val="466F18A2"/>
    <w:rsid w:val="467C755C"/>
    <w:rsid w:val="47E2AD42"/>
    <w:rsid w:val="4807EAA4"/>
    <w:rsid w:val="481A15F4"/>
    <w:rsid w:val="483AE2C2"/>
    <w:rsid w:val="48A66C76"/>
    <w:rsid w:val="49A5260A"/>
    <w:rsid w:val="49E45BA3"/>
    <w:rsid w:val="49FFB50A"/>
    <w:rsid w:val="4A2C8F4C"/>
    <w:rsid w:val="4A576D65"/>
    <w:rsid w:val="4A57B1DC"/>
    <w:rsid w:val="4A8412CA"/>
    <w:rsid w:val="4B56A323"/>
    <w:rsid w:val="4B627DBF"/>
    <w:rsid w:val="4C13A107"/>
    <w:rsid w:val="4C9663EA"/>
    <w:rsid w:val="4CA70634"/>
    <w:rsid w:val="4CEA1A56"/>
    <w:rsid w:val="4D04C7E1"/>
    <w:rsid w:val="4D12E97B"/>
    <w:rsid w:val="4D20B8AD"/>
    <w:rsid w:val="4D6EB4FE"/>
    <w:rsid w:val="4D70F188"/>
    <w:rsid w:val="4DC83CB9"/>
    <w:rsid w:val="4DEAFACD"/>
    <w:rsid w:val="4E1FA8F7"/>
    <w:rsid w:val="4E2AA8E0"/>
    <w:rsid w:val="4E2D256B"/>
    <w:rsid w:val="4EE7CD88"/>
    <w:rsid w:val="4F6C9579"/>
    <w:rsid w:val="4F963624"/>
    <w:rsid w:val="4FFBFB5B"/>
    <w:rsid w:val="4FFF8C49"/>
    <w:rsid w:val="506B7631"/>
    <w:rsid w:val="50755A93"/>
    <w:rsid w:val="50A533CA"/>
    <w:rsid w:val="50BABC60"/>
    <w:rsid w:val="5159DB93"/>
    <w:rsid w:val="517DE9AE"/>
    <w:rsid w:val="51E0D68D"/>
    <w:rsid w:val="51E5491B"/>
    <w:rsid w:val="52046BAC"/>
    <w:rsid w:val="5228008E"/>
    <w:rsid w:val="524FE3D7"/>
    <w:rsid w:val="525F9539"/>
    <w:rsid w:val="52CF5C8D"/>
    <w:rsid w:val="52E290B1"/>
    <w:rsid w:val="52E8C77F"/>
    <w:rsid w:val="5363B99C"/>
    <w:rsid w:val="53831C8C"/>
    <w:rsid w:val="53998245"/>
    <w:rsid w:val="542D15C3"/>
    <w:rsid w:val="54306DA7"/>
    <w:rsid w:val="54928202"/>
    <w:rsid w:val="54BECFEA"/>
    <w:rsid w:val="54D46274"/>
    <w:rsid w:val="551FA3D6"/>
    <w:rsid w:val="5536B580"/>
    <w:rsid w:val="55C1C38F"/>
    <w:rsid w:val="55CEFB8E"/>
    <w:rsid w:val="56041735"/>
    <w:rsid w:val="5628FEFD"/>
    <w:rsid w:val="56E47D6A"/>
    <w:rsid w:val="5729A21F"/>
    <w:rsid w:val="5742ADC3"/>
    <w:rsid w:val="57468F6D"/>
    <w:rsid w:val="575B4E45"/>
    <w:rsid w:val="576813FA"/>
    <w:rsid w:val="57F41836"/>
    <w:rsid w:val="580129F5"/>
    <w:rsid w:val="58670257"/>
    <w:rsid w:val="587DF37F"/>
    <w:rsid w:val="58C91A57"/>
    <w:rsid w:val="58DAF5CE"/>
    <w:rsid w:val="58F30891"/>
    <w:rsid w:val="5935DFE2"/>
    <w:rsid w:val="59542DA0"/>
    <w:rsid w:val="59CB0D59"/>
    <w:rsid w:val="59F4322C"/>
    <w:rsid w:val="5A0EF111"/>
    <w:rsid w:val="5A57A531"/>
    <w:rsid w:val="5A975812"/>
    <w:rsid w:val="5AABB209"/>
    <w:rsid w:val="5ADCD178"/>
    <w:rsid w:val="5AF3EBFC"/>
    <w:rsid w:val="5B071EEE"/>
    <w:rsid w:val="5B275A18"/>
    <w:rsid w:val="5B2E2CE0"/>
    <w:rsid w:val="5B2F8325"/>
    <w:rsid w:val="5B63FFEC"/>
    <w:rsid w:val="5B8D1859"/>
    <w:rsid w:val="5BD13DFA"/>
    <w:rsid w:val="5C1D7CB6"/>
    <w:rsid w:val="5C352EDC"/>
    <w:rsid w:val="5C495490"/>
    <w:rsid w:val="5C5FB871"/>
    <w:rsid w:val="5C6D6EDD"/>
    <w:rsid w:val="5C8DF707"/>
    <w:rsid w:val="5C964BF5"/>
    <w:rsid w:val="5CE383DD"/>
    <w:rsid w:val="5CF41E0C"/>
    <w:rsid w:val="5D1F67ED"/>
    <w:rsid w:val="5D2096C2"/>
    <w:rsid w:val="5D3EEA50"/>
    <w:rsid w:val="5DD843EA"/>
    <w:rsid w:val="5DEF5D64"/>
    <w:rsid w:val="5E1C9ED9"/>
    <w:rsid w:val="5E537BED"/>
    <w:rsid w:val="5ED0A4D8"/>
    <w:rsid w:val="5ED9D5BE"/>
    <w:rsid w:val="5F5F8D2F"/>
    <w:rsid w:val="5FCEF624"/>
    <w:rsid w:val="600591A7"/>
    <w:rsid w:val="60210F1E"/>
    <w:rsid w:val="6042B6D5"/>
    <w:rsid w:val="606E4917"/>
    <w:rsid w:val="609F2D94"/>
    <w:rsid w:val="60AB522A"/>
    <w:rsid w:val="60AC2085"/>
    <w:rsid w:val="61196696"/>
    <w:rsid w:val="61540FA6"/>
    <w:rsid w:val="61BE37FE"/>
    <w:rsid w:val="61D07FDA"/>
    <w:rsid w:val="61DBBA2A"/>
    <w:rsid w:val="61FB63AC"/>
    <w:rsid w:val="61FCE1E6"/>
    <w:rsid w:val="6200DA91"/>
    <w:rsid w:val="620F3C40"/>
    <w:rsid w:val="62198088"/>
    <w:rsid w:val="624DF933"/>
    <w:rsid w:val="6256C3E1"/>
    <w:rsid w:val="6275F6F0"/>
    <w:rsid w:val="62A97F2B"/>
    <w:rsid w:val="62C5AD8A"/>
    <w:rsid w:val="62EEE651"/>
    <w:rsid w:val="634BD293"/>
    <w:rsid w:val="6359207E"/>
    <w:rsid w:val="637B140B"/>
    <w:rsid w:val="6483BD5A"/>
    <w:rsid w:val="64D9EAB1"/>
    <w:rsid w:val="64E17CF1"/>
    <w:rsid w:val="651EEC45"/>
    <w:rsid w:val="66019B1B"/>
    <w:rsid w:val="6624E002"/>
    <w:rsid w:val="664965DF"/>
    <w:rsid w:val="66B1A9C4"/>
    <w:rsid w:val="670F320D"/>
    <w:rsid w:val="673B3774"/>
    <w:rsid w:val="6783928E"/>
    <w:rsid w:val="6790692D"/>
    <w:rsid w:val="67AB6DB3"/>
    <w:rsid w:val="67D4B490"/>
    <w:rsid w:val="67DC6B09"/>
    <w:rsid w:val="67F2BD4F"/>
    <w:rsid w:val="6843AE3D"/>
    <w:rsid w:val="685EC5D4"/>
    <w:rsid w:val="685F01BB"/>
    <w:rsid w:val="68C9AAD1"/>
    <w:rsid w:val="698FBAC8"/>
    <w:rsid w:val="69F8536E"/>
    <w:rsid w:val="6A2B683D"/>
    <w:rsid w:val="6AFB7572"/>
    <w:rsid w:val="6B79E461"/>
    <w:rsid w:val="6B7FA29C"/>
    <w:rsid w:val="6C02F225"/>
    <w:rsid w:val="6C23243B"/>
    <w:rsid w:val="6C279DC7"/>
    <w:rsid w:val="6C27C524"/>
    <w:rsid w:val="6C37C746"/>
    <w:rsid w:val="6C5848D5"/>
    <w:rsid w:val="6C7AE020"/>
    <w:rsid w:val="6C86435B"/>
    <w:rsid w:val="6CD051F4"/>
    <w:rsid w:val="6D278FA4"/>
    <w:rsid w:val="6D4E440B"/>
    <w:rsid w:val="6D5D161B"/>
    <w:rsid w:val="6D819F67"/>
    <w:rsid w:val="6DFC5E95"/>
    <w:rsid w:val="6E25000F"/>
    <w:rsid w:val="6E447346"/>
    <w:rsid w:val="6EBEF229"/>
    <w:rsid w:val="6EF3AD10"/>
    <w:rsid w:val="6F10BA5D"/>
    <w:rsid w:val="6FA135E5"/>
    <w:rsid w:val="6FDAA29E"/>
    <w:rsid w:val="7013D1D2"/>
    <w:rsid w:val="7032043D"/>
    <w:rsid w:val="70419568"/>
    <w:rsid w:val="707858F8"/>
    <w:rsid w:val="707A9E59"/>
    <w:rsid w:val="71229C40"/>
    <w:rsid w:val="71619367"/>
    <w:rsid w:val="71E5D148"/>
    <w:rsid w:val="7200D3F2"/>
    <w:rsid w:val="7233AC23"/>
    <w:rsid w:val="723E9BFD"/>
    <w:rsid w:val="726BEDCF"/>
    <w:rsid w:val="729B8BB8"/>
    <w:rsid w:val="72AFAE91"/>
    <w:rsid w:val="72B27FCF"/>
    <w:rsid w:val="72BDEDD5"/>
    <w:rsid w:val="72DB5381"/>
    <w:rsid w:val="7310D490"/>
    <w:rsid w:val="7377DA7C"/>
    <w:rsid w:val="73E67B47"/>
    <w:rsid w:val="7416BBEF"/>
    <w:rsid w:val="743D8106"/>
    <w:rsid w:val="7463F4D0"/>
    <w:rsid w:val="74A75670"/>
    <w:rsid w:val="74C83F3F"/>
    <w:rsid w:val="74C8C1F3"/>
    <w:rsid w:val="7513E857"/>
    <w:rsid w:val="751CC432"/>
    <w:rsid w:val="754BF62F"/>
    <w:rsid w:val="754C4A4E"/>
    <w:rsid w:val="755080F2"/>
    <w:rsid w:val="7560FE79"/>
    <w:rsid w:val="75A71614"/>
    <w:rsid w:val="75BA2AAF"/>
    <w:rsid w:val="75C29801"/>
    <w:rsid w:val="75FA37B7"/>
    <w:rsid w:val="761F697F"/>
    <w:rsid w:val="768D8120"/>
    <w:rsid w:val="769E6EA9"/>
    <w:rsid w:val="76F78B75"/>
    <w:rsid w:val="7714BBFD"/>
    <w:rsid w:val="7765A81C"/>
    <w:rsid w:val="779B410C"/>
    <w:rsid w:val="77C81E50"/>
    <w:rsid w:val="77FA9281"/>
    <w:rsid w:val="78ECF851"/>
    <w:rsid w:val="79154B25"/>
    <w:rsid w:val="79171279"/>
    <w:rsid w:val="79A0E097"/>
    <w:rsid w:val="7A022A7D"/>
    <w:rsid w:val="7A7252DD"/>
    <w:rsid w:val="7A778CD3"/>
    <w:rsid w:val="7AEB2BF6"/>
    <w:rsid w:val="7B006CB7"/>
    <w:rsid w:val="7B050FEB"/>
    <w:rsid w:val="7B5AA269"/>
    <w:rsid w:val="7B81B19D"/>
    <w:rsid w:val="7B9E5F62"/>
    <w:rsid w:val="7BC1AE74"/>
    <w:rsid w:val="7BC32595"/>
    <w:rsid w:val="7BDB5DEC"/>
    <w:rsid w:val="7BF6E12F"/>
    <w:rsid w:val="7C0F869A"/>
    <w:rsid w:val="7C45F852"/>
    <w:rsid w:val="7C4B20B1"/>
    <w:rsid w:val="7C4C0694"/>
    <w:rsid w:val="7C60D6B0"/>
    <w:rsid w:val="7CB6DD5B"/>
    <w:rsid w:val="7CBA55CB"/>
    <w:rsid w:val="7D404FB7"/>
    <w:rsid w:val="7D7FC6AD"/>
    <w:rsid w:val="7D85AC91"/>
    <w:rsid w:val="7D9421FC"/>
    <w:rsid w:val="7DD52BF6"/>
    <w:rsid w:val="7DF742AA"/>
    <w:rsid w:val="7E050B97"/>
    <w:rsid w:val="7E67D467"/>
    <w:rsid w:val="7F034D90"/>
    <w:rsid w:val="7F23ABB4"/>
    <w:rsid w:val="7F44E95E"/>
    <w:rsid w:val="7F89EC2C"/>
    <w:rsid w:val="7FE4948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E1F50"/>
  <w15:chartTrackingRefBased/>
  <w15:docId w15:val="{D6B55787-D665-4CE9-A831-478066795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A337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unhideWhenUsed/>
    <w:qFormat/>
    <w:rsid w:val="001A337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1A3373"/>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1A3373"/>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1A3373"/>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1A337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A337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A337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A337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DIP">
    <w:name w:val="DIP"/>
    <w:uiPriority w:val="99"/>
    <w:rsid w:val="005D70C8"/>
    <w:pPr>
      <w:numPr>
        <w:numId w:val="1"/>
      </w:numPr>
    </w:pPr>
  </w:style>
  <w:style w:type="character" w:customStyle="1" w:styleId="Titre1Car">
    <w:name w:val="Titre 1 Car"/>
    <w:basedOn w:val="Policepardfaut"/>
    <w:link w:val="Titre1"/>
    <w:uiPriority w:val="9"/>
    <w:rsid w:val="001A3373"/>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rsid w:val="001A3373"/>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1A3373"/>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1A3373"/>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1A3373"/>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1A337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A337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A337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A3373"/>
    <w:rPr>
      <w:rFonts w:eastAsiaTheme="majorEastAsia" w:cstheme="majorBidi"/>
      <w:color w:val="272727" w:themeColor="text1" w:themeTint="D8"/>
    </w:rPr>
  </w:style>
  <w:style w:type="paragraph" w:styleId="Titre">
    <w:name w:val="Title"/>
    <w:basedOn w:val="Normal"/>
    <w:next w:val="Normal"/>
    <w:link w:val="TitreCar"/>
    <w:uiPriority w:val="10"/>
    <w:qFormat/>
    <w:rsid w:val="001A33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A337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A337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A337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A3373"/>
    <w:pPr>
      <w:spacing w:before="160"/>
      <w:jc w:val="center"/>
    </w:pPr>
    <w:rPr>
      <w:i/>
      <w:iCs/>
      <w:color w:val="404040" w:themeColor="text1" w:themeTint="BF"/>
    </w:rPr>
  </w:style>
  <w:style w:type="character" w:customStyle="1" w:styleId="CitationCar">
    <w:name w:val="Citation Car"/>
    <w:basedOn w:val="Policepardfaut"/>
    <w:link w:val="Citation"/>
    <w:uiPriority w:val="29"/>
    <w:rsid w:val="001A3373"/>
    <w:rPr>
      <w:i/>
      <w:iCs/>
      <w:color w:val="404040" w:themeColor="text1" w:themeTint="BF"/>
    </w:rPr>
  </w:style>
  <w:style w:type="paragraph" w:styleId="Paragraphedeliste">
    <w:name w:val="List Paragraph"/>
    <w:basedOn w:val="Normal"/>
    <w:uiPriority w:val="34"/>
    <w:qFormat/>
    <w:rsid w:val="001A3373"/>
    <w:pPr>
      <w:ind w:left="720"/>
      <w:contextualSpacing/>
    </w:pPr>
  </w:style>
  <w:style w:type="character" w:styleId="Accentuationintense">
    <w:name w:val="Intense Emphasis"/>
    <w:basedOn w:val="Policepardfaut"/>
    <w:uiPriority w:val="21"/>
    <w:qFormat/>
    <w:rsid w:val="001A3373"/>
    <w:rPr>
      <w:i/>
      <w:iCs/>
      <w:color w:val="2E74B5" w:themeColor="accent1" w:themeShade="BF"/>
    </w:rPr>
  </w:style>
  <w:style w:type="paragraph" w:styleId="Citationintense">
    <w:name w:val="Intense Quote"/>
    <w:basedOn w:val="Normal"/>
    <w:next w:val="Normal"/>
    <w:link w:val="CitationintenseCar"/>
    <w:uiPriority w:val="30"/>
    <w:qFormat/>
    <w:rsid w:val="001A337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1A3373"/>
    <w:rPr>
      <w:i/>
      <w:iCs/>
      <w:color w:val="2E74B5" w:themeColor="accent1" w:themeShade="BF"/>
    </w:rPr>
  </w:style>
  <w:style w:type="character" w:styleId="Rfrenceintense">
    <w:name w:val="Intense Reference"/>
    <w:basedOn w:val="Policepardfaut"/>
    <w:uiPriority w:val="32"/>
    <w:qFormat/>
    <w:rsid w:val="001A3373"/>
    <w:rPr>
      <w:b/>
      <w:bCs/>
      <w:smallCaps/>
      <w:color w:val="2E74B5" w:themeColor="accent1" w:themeShade="BF"/>
      <w:spacing w:val="5"/>
    </w:rPr>
  </w:style>
  <w:style w:type="paragraph" w:styleId="En-tte">
    <w:name w:val="header"/>
    <w:basedOn w:val="Normal"/>
    <w:link w:val="En-tteCar"/>
    <w:uiPriority w:val="99"/>
    <w:unhideWhenUsed/>
    <w:rsid w:val="001A3373"/>
    <w:pPr>
      <w:tabs>
        <w:tab w:val="center" w:pos="4536"/>
        <w:tab w:val="right" w:pos="9072"/>
      </w:tabs>
      <w:spacing w:after="0" w:line="240" w:lineRule="auto"/>
    </w:pPr>
  </w:style>
  <w:style w:type="character" w:customStyle="1" w:styleId="En-tteCar">
    <w:name w:val="En-tête Car"/>
    <w:basedOn w:val="Policepardfaut"/>
    <w:link w:val="En-tte"/>
    <w:uiPriority w:val="99"/>
    <w:rsid w:val="001A3373"/>
  </w:style>
  <w:style w:type="paragraph" w:styleId="Pieddepage">
    <w:name w:val="footer"/>
    <w:basedOn w:val="Normal"/>
    <w:link w:val="PieddepageCar"/>
    <w:uiPriority w:val="99"/>
    <w:unhideWhenUsed/>
    <w:rsid w:val="001A33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A3373"/>
  </w:style>
  <w:style w:type="character" w:styleId="Lienhypertexte">
    <w:name w:val="Hyperlink"/>
    <w:basedOn w:val="Policepardfaut"/>
    <w:uiPriority w:val="99"/>
    <w:unhideWhenUsed/>
    <w:rsid w:val="001A3373"/>
    <w:rPr>
      <w:color w:val="0563C1" w:themeColor="hyperlink"/>
      <w:u w:val="single"/>
    </w:rPr>
  </w:style>
  <w:style w:type="character" w:styleId="Mentionnonrsolue">
    <w:name w:val="Unresolved Mention"/>
    <w:basedOn w:val="Policepardfaut"/>
    <w:uiPriority w:val="99"/>
    <w:semiHidden/>
    <w:unhideWhenUsed/>
    <w:rsid w:val="001A3373"/>
    <w:rPr>
      <w:color w:val="605E5C"/>
      <w:shd w:val="clear" w:color="auto" w:fill="E1DFDD"/>
    </w:rPr>
  </w:style>
  <w:style w:type="paragraph" w:styleId="Notedebasdepage">
    <w:name w:val="footnote text"/>
    <w:basedOn w:val="Normal"/>
    <w:link w:val="NotedebasdepageCar"/>
    <w:uiPriority w:val="99"/>
    <w:unhideWhenUsed/>
    <w:rsid w:val="00C507C0"/>
    <w:pPr>
      <w:spacing w:after="0" w:line="240" w:lineRule="auto"/>
    </w:pPr>
    <w:rPr>
      <w:sz w:val="20"/>
      <w:szCs w:val="20"/>
    </w:rPr>
  </w:style>
  <w:style w:type="character" w:customStyle="1" w:styleId="NotedebasdepageCar">
    <w:name w:val="Note de bas de page Car"/>
    <w:basedOn w:val="Policepardfaut"/>
    <w:link w:val="Notedebasdepage"/>
    <w:uiPriority w:val="99"/>
    <w:rsid w:val="00C507C0"/>
    <w:rPr>
      <w:sz w:val="20"/>
      <w:szCs w:val="20"/>
    </w:rPr>
  </w:style>
  <w:style w:type="character" w:styleId="Appelnotedebasdep">
    <w:name w:val="footnote reference"/>
    <w:basedOn w:val="Policepardfaut"/>
    <w:uiPriority w:val="99"/>
    <w:semiHidden/>
    <w:unhideWhenUsed/>
    <w:rsid w:val="00C507C0"/>
    <w:rPr>
      <w:vertAlign w:val="superscript"/>
    </w:rPr>
  </w:style>
  <w:style w:type="paragraph" w:customStyle="1" w:styleId="Default">
    <w:name w:val="Default"/>
    <w:rsid w:val="00E503AD"/>
    <w:pPr>
      <w:autoSpaceDE w:val="0"/>
      <w:autoSpaceDN w:val="0"/>
      <w:adjustRightInd w:val="0"/>
      <w:spacing w:after="0" w:line="240" w:lineRule="auto"/>
    </w:pPr>
    <w:rPr>
      <w:rFonts w:ascii="Times New Roman" w:hAnsi="Times New Roman" w:cs="Times New Roman"/>
      <w:color w:val="000000"/>
      <w:kern w:val="0"/>
      <w:sz w:val="24"/>
      <w:szCs w:val="24"/>
      <w:lang w:val="fr-FR"/>
    </w:rPr>
  </w:style>
  <w:style w:type="character" w:styleId="Lienhypertextesuivivisit">
    <w:name w:val="FollowedHyperlink"/>
    <w:basedOn w:val="Policepardfaut"/>
    <w:uiPriority w:val="99"/>
    <w:semiHidden/>
    <w:unhideWhenUsed/>
    <w:rsid w:val="00104020"/>
    <w:rPr>
      <w:color w:val="954F72" w:themeColor="followedHyperlink"/>
      <w:u w:val="single"/>
    </w:rPr>
  </w:style>
  <w:style w:type="paragraph" w:styleId="Rvision">
    <w:name w:val="Revision"/>
    <w:hidden/>
    <w:uiPriority w:val="99"/>
    <w:semiHidden/>
    <w:rsid w:val="003E654B"/>
    <w:pPr>
      <w:spacing w:after="0" w:line="240" w:lineRule="auto"/>
    </w:pPr>
  </w:style>
  <w:style w:type="character" w:styleId="Marquedecommentaire">
    <w:name w:val="annotation reference"/>
    <w:basedOn w:val="Policepardfaut"/>
    <w:uiPriority w:val="99"/>
    <w:semiHidden/>
    <w:unhideWhenUsed/>
    <w:rsid w:val="00FF2FF1"/>
    <w:rPr>
      <w:sz w:val="16"/>
      <w:szCs w:val="16"/>
    </w:rPr>
  </w:style>
  <w:style w:type="paragraph" w:styleId="Commentaire">
    <w:name w:val="annotation text"/>
    <w:basedOn w:val="Normal"/>
    <w:link w:val="CommentaireCar"/>
    <w:uiPriority w:val="99"/>
    <w:unhideWhenUsed/>
    <w:rsid w:val="00FF2FF1"/>
    <w:pPr>
      <w:spacing w:line="240" w:lineRule="auto"/>
    </w:pPr>
    <w:rPr>
      <w:sz w:val="20"/>
      <w:szCs w:val="20"/>
    </w:rPr>
  </w:style>
  <w:style w:type="character" w:customStyle="1" w:styleId="CommentaireCar">
    <w:name w:val="Commentaire Car"/>
    <w:basedOn w:val="Policepardfaut"/>
    <w:link w:val="Commentaire"/>
    <w:uiPriority w:val="99"/>
    <w:rsid w:val="00FF2FF1"/>
    <w:rPr>
      <w:sz w:val="20"/>
      <w:szCs w:val="20"/>
    </w:rPr>
  </w:style>
  <w:style w:type="paragraph" w:styleId="Objetducommentaire">
    <w:name w:val="annotation subject"/>
    <w:basedOn w:val="Commentaire"/>
    <w:next w:val="Commentaire"/>
    <w:link w:val="ObjetducommentaireCar"/>
    <w:uiPriority w:val="99"/>
    <w:semiHidden/>
    <w:unhideWhenUsed/>
    <w:rsid w:val="00FF2FF1"/>
    <w:rPr>
      <w:b/>
      <w:bCs/>
    </w:rPr>
  </w:style>
  <w:style w:type="character" w:customStyle="1" w:styleId="ObjetducommentaireCar">
    <w:name w:val="Objet du commentaire Car"/>
    <w:basedOn w:val="CommentaireCar"/>
    <w:link w:val="Objetducommentaire"/>
    <w:uiPriority w:val="99"/>
    <w:semiHidden/>
    <w:rsid w:val="00FF2FF1"/>
    <w:rPr>
      <w:b/>
      <w:bCs/>
      <w:sz w:val="20"/>
      <w:szCs w:val="20"/>
    </w:rPr>
  </w:style>
  <w:style w:type="table" w:styleId="Grilledutableau">
    <w:name w:val="Table Grid"/>
    <w:basedOn w:val="TableauNormal"/>
    <w:uiPriority w:val="39"/>
    <w:rsid w:val="00A847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44509">
      <w:bodyDiv w:val="1"/>
      <w:marLeft w:val="0"/>
      <w:marRight w:val="0"/>
      <w:marTop w:val="0"/>
      <w:marBottom w:val="0"/>
      <w:divBdr>
        <w:top w:val="none" w:sz="0" w:space="0" w:color="auto"/>
        <w:left w:val="none" w:sz="0" w:space="0" w:color="auto"/>
        <w:bottom w:val="none" w:sz="0" w:space="0" w:color="auto"/>
        <w:right w:val="none" w:sz="0" w:space="0" w:color="auto"/>
      </w:divBdr>
    </w:div>
    <w:div w:id="211117541">
      <w:bodyDiv w:val="1"/>
      <w:marLeft w:val="0"/>
      <w:marRight w:val="0"/>
      <w:marTop w:val="0"/>
      <w:marBottom w:val="0"/>
      <w:divBdr>
        <w:top w:val="none" w:sz="0" w:space="0" w:color="auto"/>
        <w:left w:val="none" w:sz="0" w:space="0" w:color="auto"/>
        <w:bottom w:val="none" w:sz="0" w:space="0" w:color="auto"/>
        <w:right w:val="none" w:sz="0" w:space="0" w:color="auto"/>
      </w:divBdr>
    </w:div>
    <w:div w:id="305741664">
      <w:bodyDiv w:val="1"/>
      <w:marLeft w:val="0"/>
      <w:marRight w:val="0"/>
      <w:marTop w:val="0"/>
      <w:marBottom w:val="0"/>
      <w:divBdr>
        <w:top w:val="none" w:sz="0" w:space="0" w:color="auto"/>
        <w:left w:val="none" w:sz="0" w:space="0" w:color="auto"/>
        <w:bottom w:val="none" w:sz="0" w:space="0" w:color="auto"/>
        <w:right w:val="none" w:sz="0" w:space="0" w:color="auto"/>
      </w:divBdr>
    </w:div>
    <w:div w:id="340163673">
      <w:bodyDiv w:val="1"/>
      <w:marLeft w:val="0"/>
      <w:marRight w:val="0"/>
      <w:marTop w:val="0"/>
      <w:marBottom w:val="0"/>
      <w:divBdr>
        <w:top w:val="none" w:sz="0" w:space="0" w:color="auto"/>
        <w:left w:val="none" w:sz="0" w:space="0" w:color="auto"/>
        <w:bottom w:val="none" w:sz="0" w:space="0" w:color="auto"/>
        <w:right w:val="none" w:sz="0" w:space="0" w:color="auto"/>
      </w:divBdr>
    </w:div>
    <w:div w:id="374701968">
      <w:bodyDiv w:val="1"/>
      <w:marLeft w:val="0"/>
      <w:marRight w:val="0"/>
      <w:marTop w:val="0"/>
      <w:marBottom w:val="0"/>
      <w:divBdr>
        <w:top w:val="none" w:sz="0" w:space="0" w:color="auto"/>
        <w:left w:val="none" w:sz="0" w:space="0" w:color="auto"/>
        <w:bottom w:val="none" w:sz="0" w:space="0" w:color="auto"/>
        <w:right w:val="none" w:sz="0" w:space="0" w:color="auto"/>
      </w:divBdr>
    </w:div>
    <w:div w:id="466320856">
      <w:bodyDiv w:val="1"/>
      <w:marLeft w:val="0"/>
      <w:marRight w:val="0"/>
      <w:marTop w:val="0"/>
      <w:marBottom w:val="0"/>
      <w:divBdr>
        <w:top w:val="none" w:sz="0" w:space="0" w:color="auto"/>
        <w:left w:val="none" w:sz="0" w:space="0" w:color="auto"/>
        <w:bottom w:val="none" w:sz="0" w:space="0" w:color="auto"/>
        <w:right w:val="none" w:sz="0" w:space="0" w:color="auto"/>
      </w:divBdr>
    </w:div>
    <w:div w:id="524097456">
      <w:bodyDiv w:val="1"/>
      <w:marLeft w:val="0"/>
      <w:marRight w:val="0"/>
      <w:marTop w:val="0"/>
      <w:marBottom w:val="0"/>
      <w:divBdr>
        <w:top w:val="none" w:sz="0" w:space="0" w:color="auto"/>
        <w:left w:val="none" w:sz="0" w:space="0" w:color="auto"/>
        <w:bottom w:val="none" w:sz="0" w:space="0" w:color="auto"/>
        <w:right w:val="none" w:sz="0" w:space="0" w:color="auto"/>
      </w:divBdr>
      <w:divsChild>
        <w:div w:id="75826208">
          <w:marLeft w:val="0"/>
          <w:marRight w:val="0"/>
          <w:marTop w:val="0"/>
          <w:marBottom w:val="160"/>
          <w:divBdr>
            <w:top w:val="none" w:sz="0" w:space="0" w:color="auto"/>
            <w:left w:val="none" w:sz="0" w:space="0" w:color="auto"/>
            <w:bottom w:val="none" w:sz="0" w:space="0" w:color="auto"/>
            <w:right w:val="none" w:sz="0" w:space="0" w:color="auto"/>
          </w:divBdr>
        </w:div>
        <w:div w:id="241381750">
          <w:marLeft w:val="720"/>
          <w:marRight w:val="0"/>
          <w:marTop w:val="0"/>
          <w:marBottom w:val="0"/>
          <w:divBdr>
            <w:top w:val="none" w:sz="0" w:space="0" w:color="auto"/>
            <w:left w:val="none" w:sz="0" w:space="0" w:color="auto"/>
            <w:bottom w:val="none" w:sz="0" w:space="0" w:color="auto"/>
            <w:right w:val="none" w:sz="0" w:space="0" w:color="auto"/>
          </w:divBdr>
        </w:div>
        <w:div w:id="289823349">
          <w:marLeft w:val="0"/>
          <w:marRight w:val="0"/>
          <w:marTop w:val="0"/>
          <w:marBottom w:val="160"/>
          <w:divBdr>
            <w:top w:val="none" w:sz="0" w:space="0" w:color="auto"/>
            <w:left w:val="none" w:sz="0" w:space="0" w:color="auto"/>
            <w:bottom w:val="none" w:sz="0" w:space="0" w:color="auto"/>
            <w:right w:val="none" w:sz="0" w:space="0" w:color="auto"/>
          </w:divBdr>
        </w:div>
        <w:div w:id="373236424">
          <w:marLeft w:val="0"/>
          <w:marRight w:val="0"/>
          <w:marTop w:val="0"/>
          <w:marBottom w:val="0"/>
          <w:divBdr>
            <w:top w:val="none" w:sz="0" w:space="0" w:color="auto"/>
            <w:left w:val="none" w:sz="0" w:space="0" w:color="auto"/>
            <w:bottom w:val="none" w:sz="0" w:space="0" w:color="auto"/>
            <w:right w:val="none" w:sz="0" w:space="0" w:color="auto"/>
          </w:divBdr>
        </w:div>
        <w:div w:id="552424368">
          <w:marLeft w:val="720"/>
          <w:marRight w:val="0"/>
          <w:marTop w:val="0"/>
          <w:marBottom w:val="0"/>
          <w:divBdr>
            <w:top w:val="none" w:sz="0" w:space="0" w:color="auto"/>
            <w:left w:val="none" w:sz="0" w:space="0" w:color="auto"/>
            <w:bottom w:val="none" w:sz="0" w:space="0" w:color="auto"/>
            <w:right w:val="none" w:sz="0" w:space="0" w:color="auto"/>
          </w:divBdr>
        </w:div>
        <w:div w:id="585454421">
          <w:marLeft w:val="0"/>
          <w:marRight w:val="0"/>
          <w:marTop w:val="0"/>
          <w:marBottom w:val="160"/>
          <w:divBdr>
            <w:top w:val="none" w:sz="0" w:space="0" w:color="auto"/>
            <w:left w:val="none" w:sz="0" w:space="0" w:color="auto"/>
            <w:bottom w:val="none" w:sz="0" w:space="0" w:color="auto"/>
            <w:right w:val="none" w:sz="0" w:space="0" w:color="auto"/>
          </w:divBdr>
        </w:div>
        <w:div w:id="789662193">
          <w:marLeft w:val="720"/>
          <w:marRight w:val="0"/>
          <w:marTop w:val="0"/>
          <w:marBottom w:val="0"/>
          <w:divBdr>
            <w:top w:val="none" w:sz="0" w:space="0" w:color="auto"/>
            <w:left w:val="none" w:sz="0" w:space="0" w:color="auto"/>
            <w:bottom w:val="none" w:sz="0" w:space="0" w:color="auto"/>
            <w:right w:val="none" w:sz="0" w:space="0" w:color="auto"/>
          </w:divBdr>
        </w:div>
        <w:div w:id="1390615304">
          <w:marLeft w:val="0"/>
          <w:marRight w:val="0"/>
          <w:marTop w:val="0"/>
          <w:marBottom w:val="160"/>
          <w:divBdr>
            <w:top w:val="none" w:sz="0" w:space="0" w:color="auto"/>
            <w:left w:val="none" w:sz="0" w:space="0" w:color="auto"/>
            <w:bottom w:val="none" w:sz="0" w:space="0" w:color="auto"/>
            <w:right w:val="none" w:sz="0" w:space="0" w:color="auto"/>
          </w:divBdr>
        </w:div>
        <w:div w:id="1674141983">
          <w:marLeft w:val="0"/>
          <w:marRight w:val="0"/>
          <w:marTop w:val="0"/>
          <w:marBottom w:val="160"/>
          <w:divBdr>
            <w:top w:val="none" w:sz="0" w:space="0" w:color="auto"/>
            <w:left w:val="none" w:sz="0" w:space="0" w:color="auto"/>
            <w:bottom w:val="none" w:sz="0" w:space="0" w:color="auto"/>
            <w:right w:val="none" w:sz="0" w:space="0" w:color="auto"/>
          </w:divBdr>
        </w:div>
        <w:div w:id="1727533758">
          <w:marLeft w:val="0"/>
          <w:marRight w:val="0"/>
          <w:marTop w:val="0"/>
          <w:marBottom w:val="160"/>
          <w:divBdr>
            <w:top w:val="none" w:sz="0" w:space="0" w:color="auto"/>
            <w:left w:val="none" w:sz="0" w:space="0" w:color="auto"/>
            <w:bottom w:val="none" w:sz="0" w:space="0" w:color="auto"/>
            <w:right w:val="none" w:sz="0" w:space="0" w:color="auto"/>
          </w:divBdr>
        </w:div>
        <w:div w:id="1980184274">
          <w:marLeft w:val="0"/>
          <w:marRight w:val="0"/>
          <w:marTop w:val="0"/>
          <w:marBottom w:val="0"/>
          <w:divBdr>
            <w:top w:val="none" w:sz="0" w:space="0" w:color="auto"/>
            <w:left w:val="none" w:sz="0" w:space="0" w:color="auto"/>
            <w:bottom w:val="none" w:sz="0" w:space="0" w:color="auto"/>
            <w:right w:val="none" w:sz="0" w:space="0" w:color="auto"/>
          </w:divBdr>
        </w:div>
        <w:div w:id="2008752259">
          <w:marLeft w:val="0"/>
          <w:marRight w:val="0"/>
          <w:marTop w:val="0"/>
          <w:marBottom w:val="160"/>
          <w:divBdr>
            <w:top w:val="none" w:sz="0" w:space="0" w:color="auto"/>
            <w:left w:val="none" w:sz="0" w:space="0" w:color="auto"/>
            <w:bottom w:val="none" w:sz="0" w:space="0" w:color="auto"/>
            <w:right w:val="none" w:sz="0" w:space="0" w:color="auto"/>
          </w:divBdr>
        </w:div>
      </w:divsChild>
    </w:div>
    <w:div w:id="566262704">
      <w:bodyDiv w:val="1"/>
      <w:marLeft w:val="0"/>
      <w:marRight w:val="0"/>
      <w:marTop w:val="0"/>
      <w:marBottom w:val="0"/>
      <w:divBdr>
        <w:top w:val="none" w:sz="0" w:space="0" w:color="auto"/>
        <w:left w:val="none" w:sz="0" w:space="0" w:color="auto"/>
        <w:bottom w:val="none" w:sz="0" w:space="0" w:color="auto"/>
        <w:right w:val="none" w:sz="0" w:space="0" w:color="auto"/>
      </w:divBdr>
    </w:div>
    <w:div w:id="629240106">
      <w:bodyDiv w:val="1"/>
      <w:marLeft w:val="0"/>
      <w:marRight w:val="0"/>
      <w:marTop w:val="0"/>
      <w:marBottom w:val="0"/>
      <w:divBdr>
        <w:top w:val="none" w:sz="0" w:space="0" w:color="auto"/>
        <w:left w:val="none" w:sz="0" w:space="0" w:color="auto"/>
        <w:bottom w:val="none" w:sz="0" w:space="0" w:color="auto"/>
        <w:right w:val="none" w:sz="0" w:space="0" w:color="auto"/>
      </w:divBdr>
      <w:divsChild>
        <w:div w:id="14843781">
          <w:marLeft w:val="0"/>
          <w:marRight w:val="0"/>
          <w:marTop w:val="0"/>
          <w:marBottom w:val="160"/>
          <w:divBdr>
            <w:top w:val="none" w:sz="0" w:space="0" w:color="auto"/>
            <w:left w:val="none" w:sz="0" w:space="0" w:color="auto"/>
            <w:bottom w:val="none" w:sz="0" w:space="0" w:color="auto"/>
            <w:right w:val="none" w:sz="0" w:space="0" w:color="auto"/>
          </w:divBdr>
        </w:div>
        <w:div w:id="43065893">
          <w:marLeft w:val="720"/>
          <w:marRight w:val="0"/>
          <w:marTop w:val="0"/>
          <w:marBottom w:val="0"/>
          <w:divBdr>
            <w:top w:val="none" w:sz="0" w:space="0" w:color="auto"/>
            <w:left w:val="none" w:sz="0" w:space="0" w:color="auto"/>
            <w:bottom w:val="none" w:sz="0" w:space="0" w:color="auto"/>
            <w:right w:val="none" w:sz="0" w:space="0" w:color="auto"/>
          </w:divBdr>
        </w:div>
        <w:div w:id="149371413">
          <w:marLeft w:val="0"/>
          <w:marRight w:val="0"/>
          <w:marTop w:val="0"/>
          <w:marBottom w:val="160"/>
          <w:divBdr>
            <w:top w:val="none" w:sz="0" w:space="0" w:color="auto"/>
            <w:left w:val="none" w:sz="0" w:space="0" w:color="auto"/>
            <w:bottom w:val="none" w:sz="0" w:space="0" w:color="auto"/>
            <w:right w:val="none" w:sz="0" w:space="0" w:color="auto"/>
          </w:divBdr>
        </w:div>
        <w:div w:id="890534877">
          <w:marLeft w:val="0"/>
          <w:marRight w:val="0"/>
          <w:marTop w:val="0"/>
          <w:marBottom w:val="160"/>
          <w:divBdr>
            <w:top w:val="none" w:sz="0" w:space="0" w:color="auto"/>
            <w:left w:val="none" w:sz="0" w:space="0" w:color="auto"/>
            <w:bottom w:val="none" w:sz="0" w:space="0" w:color="auto"/>
            <w:right w:val="none" w:sz="0" w:space="0" w:color="auto"/>
          </w:divBdr>
        </w:div>
        <w:div w:id="1261568563">
          <w:marLeft w:val="0"/>
          <w:marRight w:val="0"/>
          <w:marTop w:val="0"/>
          <w:marBottom w:val="0"/>
          <w:divBdr>
            <w:top w:val="none" w:sz="0" w:space="0" w:color="auto"/>
            <w:left w:val="none" w:sz="0" w:space="0" w:color="auto"/>
            <w:bottom w:val="none" w:sz="0" w:space="0" w:color="auto"/>
            <w:right w:val="none" w:sz="0" w:space="0" w:color="auto"/>
          </w:divBdr>
        </w:div>
        <w:div w:id="1377853245">
          <w:marLeft w:val="0"/>
          <w:marRight w:val="0"/>
          <w:marTop w:val="0"/>
          <w:marBottom w:val="160"/>
          <w:divBdr>
            <w:top w:val="none" w:sz="0" w:space="0" w:color="auto"/>
            <w:left w:val="none" w:sz="0" w:space="0" w:color="auto"/>
            <w:bottom w:val="none" w:sz="0" w:space="0" w:color="auto"/>
            <w:right w:val="none" w:sz="0" w:space="0" w:color="auto"/>
          </w:divBdr>
        </w:div>
        <w:div w:id="1588536983">
          <w:marLeft w:val="720"/>
          <w:marRight w:val="0"/>
          <w:marTop w:val="0"/>
          <w:marBottom w:val="0"/>
          <w:divBdr>
            <w:top w:val="none" w:sz="0" w:space="0" w:color="auto"/>
            <w:left w:val="none" w:sz="0" w:space="0" w:color="auto"/>
            <w:bottom w:val="none" w:sz="0" w:space="0" w:color="auto"/>
            <w:right w:val="none" w:sz="0" w:space="0" w:color="auto"/>
          </w:divBdr>
        </w:div>
        <w:div w:id="1595477824">
          <w:marLeft w:val="0"/>
          <w:marRight w:val="0"/>
          <w:marTop w:val="0"/>
          <w:marBottom w:val="0"/>
          <w:divBdr>
            <w:top w:val="none" w:sz="0" w:space="0" w:color="auto"/>
            <w:left w:val="none" w:sz="0" w:space="0" w:color="auto"/>
            <w:bottom w:val="none" w:sz="0" w:space="0" w:color="auto"/>
            <w:right w:val="none" w:sz="0" w:space="0" w:color="auto"/>
          </w:divBdr>
        </w:div>
        <w:div w:id="1714695616">
          <w:marLeft w:val="720"/>
          <w:marRight w:val="0"/>
          <w:marTop w:val="0"/>
          <w:marBottom w:val="0"/>
          <w:divBdr>
            <w:top w:val="none" w:sz="0" w:space="0" w:color="auto"/>
            <w:left w:val="none" w:sz="0" w:space="0" w:color="auto"/>
            <w:bottom w:val="none" w:sz="0" w:space="0" w:color="auto"/>
            <w:right w:val="none" w:sz="0" w:space="0" w:color="auto"/>
          </w:divBdr>
        </w:div>
        <w:div w:id="1798794201">
          <w:marLeft w:val="0"/>
          <w:marRight w:val="0"/>
          <w:marTop w:val="0"/>
          <w:marBottom w:val="160"/>
          <w:divBdr>
            <w:top w:val="none" w:sz="0" w:space="0" w:color="auto"/>
            <w:left w:val="none" w:sz="0" w:space="0" w:color="auto"/>
            <w:bottom w:val="none" w:sz="0" w:space="0" w:color="auto"/>
            <w:right w:val="none" w:sz="0" w:space="0" w:color="auto"/>
          </w:divBdr>
        </w:div>
        <w:div w:id="2053339391">
          <w:marLeft w:val="0"/>
          <w:marRight w:val="0"/>
          <w:marTop w:val="0"/>
          <w:marBottom w:val="160"/>
          <w:divBdr>
            <w:top w:val="none" w:sz="0" w:space="0" w:color="auto"/>
            <w:left w:val="none" w:sz="0" w:space="0" w:color="auto"/>
            <w:bottom w:val="none" w:sz="0" w:space="0" w:color="auto"/>
            <w:right w:val="none" w:sz="0" w:space="0" w:color="auto"/>
          </w:divBdr>
        </w:div>
        <w:div w:id="2130316456">
          <w:marLeft w:val="0"/>
          <w:marRight w:val="0"/>
          <w:marTop w:val="0"/>
          <w:marBottom w:val="160"/>
          <w:divBdr>
            <w:top w:val="none" w:sz="0" w:space="0" w:color="auto"/>
            <w:left w:val="none" w:sz="0" w:space="0" w:color="auto"/>
            <w:bottom w:val="none" w:sz="0" w:space="0" w:color="auto"/>
            <w:right w:val="none" w:sz="0" w:space="0" w:color="auto"/>
          </w:divBdr>
        </w:div>
      </w:divsChild>
    </w:div>
    <w:div w:id="780493274">
      <w:bodyDiv w:val="1"/>
      <w:marLeft w:val="0"/>
      <w:marRight w:val="0"/>
      <w:marTop w:val="0"/>
      <w:marBottom w:val="0"/>
      <w:divBdr>
        <w:top w:val="none" w:sz="0" w:space="0" w:color="auto"/>
        <w:left w:val="none" w:sz="0" w:space="0" w:color="auto"/>
        <w:bottom w:val="none" w:sz="0" w:space="0" w:color="auto"/>
        <w:right w:val="none" w:sz="0" w:space="0" w:color="auto"/>
      </w:divBdr>
    </w:div>
    <w:div w:id="850992353">
      <w:bodyDiv w:val="1"/>
      <w:marLeft w:val="0"/>
      <w:marRight w:val="0"/>
      <w:marTop w:val="0"/>
      <w:marBottom w:val="0"/>
      <w:divBdr>
        <w:top w:val="none" w:sz="0" w:space="0" w:color="auto"/>
        <w:left w:val="none" w:sz="0" w:space="0" w:color="auto"/>
        <w:bottom w:val="none" w:sz="0" w:space="0" w:color="auto"/>
        <w:right w:val="none" w:sz="0" w:space="0" w:color="auto"/>
      </w:divBdr>
    </w:div>
    <w:div w:id="912395621">
      <w:bodyDiv w:val="1"/>
      <w:marLeft w:val="0"/>
      <w:marRight w:val="0"/>
      <w:marTop w:val="0"/>
      <w:marBottom w:val="0"/>
      <w:divBdr>
        <w:top w:val="none" w:sz="0" w:space="0" w:color="auto"/>
        <w:left w:val="none" w:sz="0" w:space="0" w:color="auto"/>
        <w:bottom w:val="none" w:sz="0" w:space="0" w:color="auto"/>
        <w:right w:val="none" w:sz="0" w:space="0" w:color="auto"/>
      </w:divBdr>
    </w:div>
    <w:div w:id="941062438">
      <w:bodyDiv w:val="1"/>
      <w:marLeft w:val="0"/>
      <w:marRight w:val="0"/>
      <w:marTop w:val="0"/>
      <w:marBottom w:val="0"/>
      <w:divBdr>
        <w:top w:val="none" w:sz="0" w:space="0" w:color="auto"/>
        <w:left w:val="none" w:sz="0" w:space="0" w:color="auto"/>
        <w:bottom w:val="none" w:sz="0" w:space="0" w:color="auto"/>
        <w:right w:val="none" w:sz="0" w:space="0" w:color="auto"/>
      </w:divBdr>
    </w:div>
    <w:div w:id="1005790003">
      <w:bodyDiv w:val="1"/>
      <w:marLeft w:val="0"/>
      <w:marRight w:val="0"/>
      <w:marTop w:val="0"/>
      <w:marBottom w:val="0"/>
      <w:divBdr>
        <w:top w:val="none" w:sz="0" w:space="0" w:color="auto"/>
        <w:left w:val="none" w:sz="0" w:space="0" w:color="auto"/>
        <w:bottom w:val="none" w:sz="0" w:space="0" w:color="auto"/>
        <w:right w:val="none" w:sz="0" w:space="0" w:color="auto"/>
      </w:divBdr>
    </w:div>
    <w:div w:id="1691680973">
      <w:bodyDiv w:val="1"/>
      <w:marLeft w:val="0"/>
      <w:marRight w:val="0"/>
      <w:marTop w:val="0"/>
      <w:marBottom w:val="0"/>
      <w:divBdr>
        <w:top w:val="none" w:sz="0" w:space="0" w:color="auto"/>
        <w:left w:val="none" w:sz="0" w:space="0" w:color="auto"/>
        <w:bottom w:val="none" w:sz="0" w:space="0" w:color="auto"/>
        <w:right w:val="none" w:sz="0" w:space="0" w:color="auto"/>
      </w:divBdr>
    </w:div>
    <w:div w:id="209073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juportal.be" TargetMode="External"/><Relationship Id="rId3" Type="http://schemas.openxmlformats.org/officeDocument/2006/relationships/hyperlink" Target="http://www.juportal.be" TargetMode="External"/><Relationship Id="rId7" Type="http://schemas.openxmlformats.org/officeDocument/2006/relationships/hyperlink" Target="http://www.rtbf.be" TargetMode="External"/><Relationship Id="rId2" Type="http://schemas.openxmlformats.org/officeDocument/2006/relationships/hyperlink" Target="http://www.lemonde.fr" TargetMode="External"/><Relationship Id="rId1" Type="http://schemas.openxmlformats.org/officeDocument/2006/relationships/hyperlink" Target="http://www.nytimes.com" TargetMode="External"/><Relationship Id="rId6" Type="http://schemas.openxmlformats.org/officeDocument/2006/relationships/hyperlink" Target="http://www.lemonde.fr" TargetMode="External"/><Relationship Id="rId5" Type="http://schemas.openxmlformats.org/officeDocument/2006/relationships/hyperlink" Target="http://www.lemonde.fr" TargetMode="External"/><Relationship Id="rId4" Type="http://schemas.openxmlformats.org/officeDocument/2006/relationships/hyperlink" Target="http://www.juportal.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dd2295-9f76-4ebd-8696-2698c8dd1f51">
      <Terms xmlns="http://schemas.microsoft.com/office/infopath/2007/PartnerControls"/>
    </lcf76f155ced4ddcb4097134ff3c332f>
    <TaxCatchAll xmlns="37c3055b-6613-4cc9-82f6-9ee28a5ea14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25C16F2973F394C9C4E3DC3D76FA0B2" ma:contentTypeVersion="18" ma:contentTypeDescription="Crée un document." ma:contentTypeScope="" ma:versionID="f6467eda4623054b5d4813601412ec70">
  <xsd:schema xmlns:xsd="http://www.w3.org/2001/XMLSchema" xmlns:xs="http://www.w3.org/2001/XMLSchema" xmlns:p="http://schemas.microsoft.com/office/2006/metadata/properties" xmlns:ns2="a6dd2295-9f76-4ebd-8696-2698c8dd1f51" xmlns:ns3="37c3055b-6613-4cc9-82f6-9ee28a5ea142" targetNamespace="http://schemas.microsoft.com/office/2006/metadata/properties" ma:root="true" ma:fieldsID="2e865a70d379c2740021a71a1ab165e1" ns2:_="" ns3:_="">
    <xsd:import namespace="a6dd2295-9f76-4ebd-8696-2698c8dd1f51"/>
    <xsd:import namespace="37c3055b-6613-4cc9-82f6-9ee28a5ea1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d2295-9f76-4ebd-8696-2698c8dd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205bdae2-9727-45bd-8c3d-0bf57f99b3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c3055b-6613-4cc9-82f6-9ee28a5ea14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7ba6136-4cba-409c-858f-bc437908d6af}" ma:internalName="TaxCatchAll" ma:showField="CatchAllData" ma:web="37c3055b-6613-4cc9-82f6-9ee28a5ea14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E2539D-31F1-46CC-95F4-DC35CAD58BEE}">
  <ds:schemaRefs>
    <ds:schemaRef ds:uri="http://schemas.openxmlformats.org/officeDocument/2006/bibliography"/>
  </ds:schemaRefs>
</ds:datastoreItem>
</file>

<file path=customXml/itemProps2.xml><?xml version="1.0" encoding="utf-8"?>
<ds:datastoreItem xmlns:ds="http://schemas.openxmlformats.org/officeDocument/2006/customXml" ds:itemID="{BFBAB866-A2FE-4304-AC8A-7AB71584274C}">
  <ds:schemaRefs>
    <ds:schemaRef ds:uri="http://schemas.microsoft.com/sharepoint/v3/contenttype/forms"/>
  </ds:schemaRefs>
</ds:datastoreItem>
</file>

<file path=customXml/itemProps3.xml><?xml version="1.0" encoding="utf-8"?>
<ds:datastoreItem xmlns:ds="http://schemas.openxmlformats.org/officeDocument/2006/customXml" ds:itemID="{2B9AA1FA-1B4B-4997-88C3-1A2CA4D3302A}">
  <ds:schemaRefs>
    <ds:schemaRef ds:uri="http://schemas.microsoft.com/office/2006/metadata/properties"/>
    <ds:schemaRef ds:uri="http://schemas.microsoft.com/office/infopath/2007/PartnerControls"/>
    <ds:schemaRef ds:uri="a6dd2295-9f76-4ebd-8696-2698c8dd1f51"/>
    <ds:schemaRef ds:uri="37c3055b-6613-4cc9-82f6-9ee28a5ea142"/>
  </ds:schemaRefs>
</ds:datastoreItem>
</file>

<file path=customXml/itemProps4.xml><?xml version="1.0" encoding="utf-8"?>
<ds:datastoreItem xmlns:ds="http://schemas.openxmlformats.org/officeDocument/2006/customXml" ds:itemID="{32965888-883E-4467-BA94-EEE348890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dd2295-9f76-4ebd-8696-2698c8dd1f51"/>
    <ds:schemaRef ds:uri="37c3055b-6613-4cc9-82f6-9ee28a5ea1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3522</Words>
  <Characters>19377</Characters>
  <Application>Microsoft Office Word</Application>
  <DocSecurity>0</DocSecurity>
  <Lines>161</Lines>
  <Paragraphs>45</Paragraphs>
  <ScaleCrop>false</ScaleCrop>
  <HeadingPairs>
    <vt:vector size="4" baseType="variant">
      <vt:variant>
        <vt:lpstr>Titre</vt:lpstr>
      </vt:variant>
      <vt:variant>
        <vt:i4>1</vt:i4>
      </vt:variant>
      <vt:variant>
        <vt:lpstr>Titres</vt:lpstr>
      </vt:variant>
      <vt:variant>
        <vt:i4>3</vt:i4>
      </vt:variant>
    </vt:vector>
  </HeadingPairs>
  <TitlesOfParts>
    <vt:vector size="4" baseType="lpstr">
      <vt:lpstr/>
      <vt:lpstr>    Introduction</vt:lpstr>
      <vt:lpstr>    La déchéance de nationalité pour manquement grave aux devoirs de citoyen devant </vt:lpstr>
      <vt:lpstr>    La déchéance de nationalité pour manquement grave aux devoirs de citoyen devant </vt:lpstr>
    </vt:vector>
  </TitlesOfParts>
  <Company/>
  <LinksUpToDate>false</LinksUpToDate>
  <CharactersWithSpaces>22854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Ernoux Alix</dc:creator>
  <cp:keywords/>
  <dc:description/>
  <cp:lastModifiedBy>Ernoux Alix</cp:lastModifiedBy>
  <cp:revision>3</cp:revision>
  <dcterms:created xsi:type="dcterms:W3CDTF">2025-04-03T14:40:00Z</dcterms:created>
  <dcterms:modified xsi:type="dcterms:W3CDTF">2025-04-03T14:50:00Z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0x010100625C16F2973F394C9C4E3DC3D76FA0B2</vt:lpwstr>
  </property>
</Properties>
</file>