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AAB68" w14:textId="067DE13F" w:rsidR="00F946F9" w:rsidRPr="00E13EB1" w:rsidRDefault="00F946F9" w:rsidP="00E13EB1">
      <w:pPr>
        <w:pStyle w:val="Titre"/>
        <w:jc w:val="center"/>
        <w:rPr>
          <w:rFonts w:ascii="Cambria" w:hAnsi="Cambria"/>
          <w:sz w:val="48"/>
          <w:szCs w:val="48"/>
          <w:lang w:val="en-US"/>
        </w:rPr>
      </w:pPr>
      <w:r w:rsidRPr="00E13EB1">
        <w:rPr>
          <w:rFonts w:ascii="Cambria" w:hAnsi="Cambria"/>
          <w:sz w:val="48"/>
          <w:szCs w:val="48"/>
          <w:lang w:val="en-US"/>
        </w:rPr>
        <w:t xml:space="preserve">Update on the Brussels </w:t>
      </w:r>
      <w:proofErr w:type="spellStart"/>
      <w:r w:rsidRPr="00E13EB1">
        <w:rPr>
          <w:rFonts w:ascii="Cambria" w:hAnsi="Cambria"/>
          <w:sz w:val="48"/>
          <w:szCs w:val="48"/>
          <w:lang w:val="en-US"/>
        </w:rPr>
        <w:t>IIa</w:t>
      </w:r>
      <w:proofErr w:type="spellEnd"/>
      <w:r w:rsidRPr="00E13EB1">
        <w:rPr>
          <w:rFonts w:ascii="Cambria" w:hAnsi="Cambria"/>
          <w:sz w:val="48"/>
          <w:szCs w:val="48"/>
          <w:lang w:val="en-US"/>
        </w:rPr>
        <w:t xml:space="preserve"> Recast Regulation</w:t>
      </w:r>
    </w:p>
    <w:p w14:paraId="2636E8B5" w14:textId="2AB824A0" w:rsidR="00E13EB1" w:rsidRDefault="00E13EB1" w:rsidP="008D66BF">
      <w:pPr>
        <w:pStyle w:val="Sous-titre"/>
        <w:spacing w:after="0"/>
        <w:jc w:val="center"/>
        <w:rPr>
          <w:rFonts w:ascii="Cambria" w:hAnsi="Cambria"/>
          <w:sz w:val="32"/>
          <w:szCs w:val="32"/>
          <w:lang w:val="en-US"/>
        </w:rPr>
      </w:pPr>
      <w:r w:rsidRPr="00E13EB1">
        <w:rPr>
          <w:rFonts w:ascii="Cambria" w:hAnsi="Cambria"/>
          <w:sz w:val="32"/>
          <w:szCs w:val="32"/>
          <w:lang w:val="en-US"/>
        </w:rPr>
        <w:t>Alix Ernoux</w:t>
      </w:r>
      <w:r>
        <w:rPr>
          <w:rStyle w:val="Appelnotedebasdep"/>
          <w:rFonts w:ascii="Cambria" w:hAnsi="Cambria"/>
          <w:sz w:val="32"/>
          <w:szCs w:val="32"/>
          <w:lang w:val="en-US"/>
        </w:rPr>
        <w:footnoteReference w:id="1"/>
      </w:r>
    </w:p>
    <w:p w14:paraId="44D83BAC" w14:textId="47605483" w:rsidR="008D66BF" w:rsidRPr="00B45FDB" w:rsidRDefault="008D66BF" w:rsidP="008D66BF">
      <w:pPr>
        <w:jc w:val="center"/>
        <w:rPr>
          <w:rFonts w:ascii="Cambria" w:eastAsiaTheme="minorEastAsia" w:hAnsi="Cambria"/>
          <w:color w:val="5A5A5A" w:themeColor="text1" w:themeTint="A5"/>
          <w:spacing w:val="15"/>
          <w:sz w:val="24"/>
          <w:szCs w:val="24"/>
          <w:lang w:val="en-US"/>
        </w:rPr>
      </w:pPr>
    </w:p>
    <w:p w14:paraId="40D90B25" w14:textId="0DF314A8" w:rsidR="000C4D2D" w:rsidRPr="009A61E5" w:rsidRDefault="008D0DEB" w:rsidP="001A4AF9">
      <w:pPr>
        <w:pStyle w:val="Titre1"/>
        <w:rPr>
          <w:rFonts w:ascii="Cambria" w:hAnsi="Cambria"/>
          <w:lang w:val="en-US"/>
        </w:rPr>
      </w:pPr>
      <w:r w:rsidRPr="009A61E5">
        <w:rPr>
          <w:rFonts w:ascii="Cambria" w:hAnsi="Cambria"/>
          <w:lang w:val="en-US"/>
        </w:rPr>
        <w:t>Introduction</w:t>
      </w:r>
    </w:p>
    <w:p w14:paraId="789A3A57" w14:textId="77777777" w:rsidR="00F4032B" w:rsidRDefault="0093077D" w:rsidP="008D0DEB">
      <w:pPr>
        <w:jc w:val="both"/>
        <w:rPr>
          <w:rFonts w:ascii="Cambria" w:hAnsi="Cambria" w:cs="Times New Roman"/>
          <w:lang w:val="en-US"/>
        </w:rPr>
      </w:pPr>
      <w:r w:rsidRPr="009A61E5">
        <w:rPr>
          <w:rFonts w:ascii="Cambria" w:hAnsi="Cambria" w:cs="Times New Roman"/>
          <w:lang w:val="en-US"/>
        </w:rPr>
        <w:t xml:space="preserve">The </w:t>
      </w:r>
      <w:r w:rsidR="00227D40" w:rsidRPr="009A61E5">
        <w:rPr>
          <w:rFonts w:ascii="Cambria" w:hAnsi="Cambria" w:cs="Times New Roman"/>
          <w:lang w:val="en-US"/>
        </w:rPr>
        <w:t>Europe</w:t>
      </w:r>
      <w:r w:rsidR="00767926" w:rsidRPr="009A61E5">
        <w:rPr>
          <w:rFonts w:ascii="Cambria" w:hAnsi="Cambria" w:cs="Times New Roman"/>
          <w:lang w:val="en-US"/>
        </w:rPr>
        <w:t>an</w:t>
      </w:r>
      <w:r w:rsidRPr="009A61E5">
        <w:rPr>
          <w:rFonts w:ascii="Cambria" w:hAnsi="Cambria" w:cs="Times New Roman"/>
          <w:lang w:val="en-US"/>
        </w:rPr>
        <w:t xml:space="preserve"> Union</w:t>
      </w:r>
      <w:r w:rsidR="00E43BB5">
        <w:rPr>
          <w:rFonts w:ascii="Cambria" w:hAnsi="Cambria" w:cs="Times New Roman"/>
          <w:lang w:val="en-US"/>
        </w:rPr>
        <w:t xml:space="preserve"> (</w:t>
      </w:r>
      <w:r w:rsidR="00FD4A20">
        <w:rPr>
          <w:rFonts w:ascii="Cambria" w:hAnsi="Cambria" w:cs="Times New Roman"/>
          <w:lang w:val="en-US"/>
        </w:rPr>
        <w:t>‘</w:t>
      </w:r>
      <w:r w:rsidR="00E43BB5">
        <w:rPr>
          <w:rFonts w:ascii="Cambria" w:hAnsi="Cambria" w:cs="Times New Roman"/>
          <w:lang w:val="en-US"/>
        </w:rPr>
        <w:t>EU</w:t>
      </w:r>
      <w:r w:rsidR="00FD4A20">
        <w:rPr>
          <w:rFonts w:ascii="Cambria" w:hAnsi="Cambria" w:cs="Times New Roman"/>
          <w:lang w:val="en-US"/>
        </w:rPr>
        <w:t>’</w:t>
      </w:r>
      <w:r w:rsidR="00E43BB5">
        <w:rPr>
          <w:rFonts w:ascii="Cambria" w:hAnsi="Cambria" w:cs="Times New Roman"/>
          <w:lang w:val="en-US"/>
        </w:rPr>
        <w:t>)</w:t>
      </w:r>
      <w:r w:rsidR="00227D40" w:rsidRPr="009A61E5">
        <w:rPr>
          <w:rFonts w:ascii="Cambria" w:hAnsi="Cambria" w:cs="Times New Roman"/>
          <w:lang w:val="en-US"/>
        </w:rPr>
        <w:t xml:space="preserve"> is based on the principles of free movement of goods and persons. </w:t>
      </w:r>
      <w:r w:rsidRPr="009A61E5">
        <w:rPr>
          <w:rFonts w:ascii="Cambria" w:hAnsi="Cambria" w:cs="Times New Roman"/>
          <w:lang w:val="en-US"/>
        </w:rPr>
        <w:t>As a natural consequence</w:t>
      </w:r>
      <w:r w:rsidR="00227D40" w:rsidRPr="009A61E5">
        <w:rPr>
          <w:rFonts w:ascii="Cambria" w:hAnsi="Cambria" w:cs="Times New Roman"/>
          <w:lang w:val="en-US"/>
        </w:rPr>
        <w:t xml:space="preserve">, </w:t>
      </w:r>
      <w:r w:rsidR="00FA30D0">
        <w:rPr>
          <w:rFonts w:ascii="Cambria" w:hAnsi="Cambria" w:cs="Times New Roman"/>
          <w:lang w:val="en-US"/>
        </w:rPr>
        <w:t xml:space="preserve">the </w:t>
      </w:r>
      <w:r w:rsidR="00227D40" w:rsidRPr="009A61E5">
        <w:rPr>
          <w:rFonts w:ascii="Cambria" w:hAnsi="Cambria" w:cs="Times New Roman"/>
          <w:lang w:val="en-US"/>
        </w:rPr>
        <w:t xml:space="preserve">EU has been </w:t>
      </w:r>
      <w:r w:rsidRPr="009A61E5">
        <w:rPr>
          <w:rFonts w:ascii="Cambria" w:hAnsi="Cambria" w:cs="Times New Roman"/>
          <w:lang w:val="en-US"/>
        </w:rPr>
        <w:t>contemplating</w:t>
      </w:r>
      <w:r w:rsidR="00227D40" w:rsidRPr="009A61E5">
        <w:rPr>
          <w:rFonts w:ascii="Cambria" w:hAnsi="Cambria" w:cs="Times New Roman"/>
          <w:lang w:val="en-US"/>
        </w:rPr>
        <w:t xml:space="preserve"> </w:t>
      </w:r>
      <w:r w:rsidR="00150A7D">
        <w:rPr>
          <w:rFonts w:ascii="Cambria" w:hAnsi="Cambria" w:cs="Times New Roman"/>
          <w:lang w:val="en-US"/>
        </w:rPr>
        <w:t>the coordination between</w:t>
      </w:r>
      <w:r w:rsidR="00150A7D">
        <w:rPr>
          <w:rFonts w:ascii="Cambria" w:hAnsi="Cambria" w:cs="Times New Roman"/>
          <w:lang w:val="en-GB"/>
        </w:rPr>
        <w:t xml:space="preserve"> court</w:t>
      </w:r>
      <w:r w:rsidRPr="009A61E5">
        <w:rPr>
          <w:rFonts w:ascii="Cambria" w:hAnsi="Cambria" w:cs="Times New Roman"/>
          <w:lang w:val="en-US"/>
        </w:rPr>
        <w:t xml:space="preserve"> proceedings </w:t>
      </w:r>
      <w:r w:rsidR="00227D40" w:rsidRPr="009A61E5">
        <w:rPr>
          <w:rFonts w:ascii="Cambria" w:hAnsi="Cambria" w:cs="Times New Roman"/>
          <w:lang w:val="en-US"/>
        </w:rPr>
        <w:t xml:space="preserve">within the </w:t>
      </w:r>
      <w:r w:rsidR="00A55211" w:rsidRPr="009A61E5">
        <w:rPr>
          <w:rFonts w:ascii="Cambria" w:hAnsi="Cambria" w:cs="Times New Roman"/>
          <w:lang w:val="en-US"/>
        </w:rPr>
        <w:t>M</w:t>
      </w:r>
      <w:r w:rsidR="00227D40" w:rsidRPr="009A61E5">
        <w:rPr>
          <w:rFonts w:ascii="Cambria" w:hAnsi="Cambria" w:cs="Times New Roman"/>
          <w:lang w:val="en-US"/>
        </w:rPr>
        <w:t xml:space="preserve">ember </w:t>
      </w:r>
      <w:r w:rsidR="00A55211" w:rsidRPr="009A61E5">
        <w:rPr>
          <w:rFonts w:ascii="Cambria" w:hAnsi="Cambria" w:cs="Times New Roman"/>
          <w:lang w:val="en-US"/>
        </w:rPr>
        <w:t>S</w:t>
      </w:r>
      <w:r w:rsidR="00227D40" w:rsidRPr="009A61E5">
        <w:rPr>
          <w:rFonts w:ascii="Cambria" w:hAnsi="Cambria" w:cs="Times New Roman"/>
          <w:lang w:val="en-US"/>
        </w:rPr>
        <w:t xml:space="preserve">tates since 1968. </w:t>
      </w:r>
      <w:r w:rsidR="00FD7E03" w:rsidRPr="009A61E5">
        <w:rPr>
          <w:rFonts w:ascii="Cambria" w:hAnsi="Cambria" w:cs="Times New Roman"/>
          <w:lang w:val="en-US"/>
        </w:rPr>
        <w:t xml:space="preserve">This is how a first </w:t>
      </w:r>
      <w:r w:rsidR="00CF52D5" w:rsidRPr="009A61E5">
        <w:rPr>
          <w:rFonts w:ascii="Cambria" w:hAnsi="Cambria" w:cs="Times New Roman"/>
          <w:lang w:val="en-US"/>
        </w:rPr>
        <w:t xml:space="preserve">international </w:t>
      </w:r>
      <w:r w:rsidR="00FD7E03" w:rsidRPr="009A61E5">
        <w:rPr>
          <w:rFonts w:ascii="Cambria" w:hAnsi="Cambria" w:cs="Times New Roman"/>
          <w:lang w:val="en-US"/>
        </w:rPr>
        <w:t xml:space="preserve">convention </w:t>
      </w:r>
      <w:r w:rsidR="00E512F7" w:rsidRPr="009A61E5">
        <w:rPr>
          <w:rFonts w:ascii="Cambria" w:hAnsi="Cambria" w:cs="Times New Roman"/>
          <w:lang w:val="en-US"/>
        </w:rPr>
        <w:t xml:space="preserve">concluded </w:t>
      </w:r>
      <w:r w:rsidR="00FD7E03" w:rsidRPr="009A61E5">
        <w:rPr>
          <w:rFonts w:ascii="Cambria" w:hAnsi="Cambria" w:cs="Times New Roman"/>
          <w:lang w:val="en-US"/>
        </w:rPr>
        <w:t xml:space="preserve">between six States </w:t>
      </w:r>
      <w:r w:rsidR="00150A7D">
        <w:rPr>
          <w:rFonts w:ascii="Cambria" w:hAnsi="Cambria" w:cs="Times New Roman"/>
          <w:lang w:val="en-US"/>
        </w:rPr>
        <w:t>provided rules determining when a</w:t>
      </w:r>
      <w:r w:rsidR="00FD7E03" w:rsidRPr="00D758C5">
        <w:rPr>
          <w:rFonts w:ascii="Cambria" w:hAnsi="Cambria" w:cs="Times New Roman"/>
          <w:lang w:val="en-US"/>
        </w:rPr>
        <w:t xml:space="preserve"> judge </w:t>
      </w:r>
      <w:r w:rsidR="00150A7D">
        <w:rPr>
          <w:rFonts w:ascii="Cambria" w:hAnsi="Cambria" w:cs="Times New Roman"/>
          <w:lang w:val="en-US"/>
        </w:rPr>
        <w:t>may</w:t>
      </w:r>
      <w:r w:rsidR="00150A7D" w:rsidRPr="00D758C5">
        <w:rPr>
          <w:rFonts w:ascii="Cambria" w:hAnsi="Cambria" w:cs="Times New Roman"/>
          <w:lang w:val="en-US"/>
        </w:rPr>
        <w:t xml:space="preserve"> </w:t>
      </w:r>
      <w:r w:rsidR="00FD7E03" w:rsidRPr="00D758C5">
        <w:rPr>
          <w:rFonts w:ascii="Cambria" w:hAnsi="Cambria" w:cs="Times New Roman"/>
          <w:lang w:val="en-US"/>
        </w:rPr>
        <w:t xml:space="preserve">examine a dispute </w:t>
      </w:r>
      <w:r w:rsidR="003E1F12">
        <w:rPr>
          <w:rFonts w:ascii="Cambria" w:hAnsi="Cambria" w:cs="Times New Roman"/>
          <w:lang w:val="en-US"/>
        </w:rPr>
        <w:t xml:space="preserve">or must enforce a </w:t>
      </w:r>
      <w:r w:rsidR="00926967">
        <w:rPr>
          <w:rFonts w:ascii="Cambria" w:hAnsi="Cambria" w:cs="Times New Roman"/>
          <w:lang w:val="en-US"/>
        </w:rPr>
        <w:t>judgment</w:t>
      </w:r>
      <w:r w:rsidR="003E1F12">
        <w:rPr>
          <w:rFonts w:ascii="Cambria" w:hAnsi="Cambria" w:cs="Times New Roman"/>
          <w:lang w:val="en-US"/>
        </w:rPr>
        <w:t xml:space="preserve"> </w:t>
      </w:r>
      <w:r w:rsidR="00FD7E03" w:rsidRPr="00D758C5">
        <w:rPr>
          <w:rFonts w:ascii="Cambria" w:hAnsi="Cambria" w:cs="Times New Roman"/>
          <w:lang w:val="en-US"/>
        </w:rPr>
        <w:t>in</w:t>
      </w:r>
      <w:r w:rsidR="003E1F12">
        <w:rPr>
          <w:rFonts w:ascii="Cambria" w:hAnsi="Cambria" w:cs="Times New Roman"/>
          <w:lang w:val="en-US"/>
        </w:rPr>
        <w:t xml:space="preserve"> civil and commercial matters</w:t>
      </w:r>
      <w:r w:rsidR="00FD7E03" w:rsidRPr="00D758C5">
        <w:rPr>
          <w:rFonts w:ascii="Cambria" w:hAnsi="Cambria" w:cs="Times New Roman"/>
          <w:lang w:val="en-US"/>
        </w:rPr>
        <w:t xml:space="preserve"> </w:t>
      </w:r>
      <w:r w:rsidR="00150A7D">
        <w:rPr>
          <w:rFonts w:ascii="Cambria" w:hAnsi="Cambria" w:cs="Times New Roman"/>
          <w:lang w:val="en-US"/>
        </w:rPr>
        <w:t>within</w:t>
      </w:r>
      <w:r w:rsidR="00150A7D" w:rsidRPr="00D758C5">
        <w:rPr>
          <w:rFonts w:ascii="Cambria" w:hAnsi="Cambria" w:cs="Times New Roman"/>
          <w:lang w:val="en-US"/>
        </w:rPr>
        <w:t xml:space="preserve"> </w:t>
      </w:r>
      <w:r w:rsidR="00150A7D">
        <w:rPr>
          <w:rFonts w:ascii="Cambria" w:hAnsi="Cambria" w:cs="Times New Roman"/>
          <w:lang w:val="en-US"/>
        </w:rPr>
        <w:t xml:space="preserve">an </w:t>
      </w:r>
      <w:r w:rsidR="00FD7E03" w:rsidRPr="00D758C5">
        <w:rPr>
          <w:rFonts w:ascii="Cambria" w:hAnsi="Cambria" w:cs="Times New Roman"/>
          <w:lang w:val="en-US"/>
        </w:rPr>
        <w:t>international context</w:t>
      </w:r>
      <w:r w:rsidR="00A55211" w:rsidRPr="009A61E5">
        <w:rPr>
          <w:rStyle w:val="Appelnotedebasdep"/>
          <w:rFonts w:ascii="Cambria" w:hAnsi="Cambria" w:cs="Times New Roman"/>
          <w:lang w:val="fr-FR"/>
        </w:rPr>
        <w:footnoteReference w:id="2"/>
      </w:r>
      <w:r w:rsidR="00FD7E03" w:rsidRPr="009A61E5">
        <w:rPr>
          <w:rFonts w:ascii="Cambria" w:hAnsi="Cambria" w:cs="Times New Roman"/>
          <w:lang w:val="en-US"/>
        </w:rPr>
        <w:t xml:space="preserve">. </w:t>
      </w:r>
      <w:r w:rsidR="0022045D" w:rsidRPr="009A61E5">
        <w:rPr>
          <w:rFonts w:ascii="Cambria" w:hAnsi="Cambria" w:cs="Times New Roman"/>
          <w:lang w:val="en-US"/>
        </w:rPr>
        <w:t>S</w:t>
      </w:r>
      <w:r w:rsidR="009933A9" w:rsidRPr="009A61E5">
        <w:rPr>
          <w:rFonts w:ascii="Cambria" w:hAnsi="Cambria" w:cs="Times New Roman"/>
          <w:lang w:val="en-US"/>
        </w:rPr>
        <w:t>ubsequently</w:t>
      </w:r>
      <w:r w:rsidR="0022045D" w:rsidRPr="009A61E5">
        <w:rPr>
          <w:rFonts w:ascii="Cambria" w:hAnsi="Cambria" w:cs="Times New Roman"/>
          <w:lang w:val="en-US"/>
        </w:rPr>
        <w:t>, it</w:t>
      </w:r>
      <w:r w:rsidR="009933A9" w:rsidRPr="009A61E5">
        <w:rPr>
          <w:rFonts w:ascii="Cambria" w:hAnsi="Cambria" w:cs="Times New Roman"/>
          <w:lang w:val="en-US"/>
        </w:rPr>
        <w:t xml:space="preserve"> gave rise to various more specific regulations</w:t>
      </w:r>
      <w:r w:rsidR="0022045D" w:rsidRPr="009A61E5">
        <w:rPr>
          <w:rFonts w:ascii="Cambria" w:hAnsi="Cambria" w:cs="Times New Roman"/>
          <w:lang w:val="en-US"/>
        </w:rPr>
        <w:t xml:space="preserve">, </w:t>
      </w:r>
      <w:r w:rsidR="0022045D" w:rsidRPr="005E1AD6">
        <w:rPr>
          <w:rFonts w:ascii="Cambria" w:hAnsi="Cambria" w:cs="Times New Roman"/>
          <w:lang w:val="en-US"/>
        </w:rPr>
        <w:t xml:space="preserve">applying </w:t>
      </w:r>
      <w:r w:rsidR="009933A9" w:rsidRPr="005E1AD6">
        <w:rPr>
          <w:rFonts w:ascii="Cambria" w:hAnsi="Cambria" w:cs="Times New Roman"/>
          <w:lang w:val="en-US"/>
        </w:rPr>
        <w:t xml:space="preserve">to the majority of </w:t>
      </w:r>
      <w:r w:rsidR="00CF52D5" w:rsidRPr="005E1AD6">
        <w:rPr>
          <w:rFonts w:ascii="Cambria" w:hAnsi="Cambria" w:cs="Times New Roman"/>
          <w:lang w:val="en-US"/>
        </w:rPr>
        <w:t>Member States</w:t>
      </w:r>
      <w:r w:rsidR="009933A9" w:rsidRPr="005E1AD6">
        <w:rPr>
          <w:rFonts w:ascii="Cambria" w:hAnsi="Cambria" w:cs="Times New Roman"/>
          <w:lang w:val="en-US"/>
        </w:rPr>
        <w:t xml:space="preserve">. Among </w:t>
      </w:r>
      <w:r w:rsidR="0022045D" w:rsidRPr="005E1AD6">
        <w:rPr>
          <w:rFonts w:ascii="Cambria" w:hAnsi="Cambria" w:cs="Times New Roman"/>
          <w:lang w:val="en-US"/>
        </w:rPr>
        <w:t>the European legislative arsenal,</w:t>
      </w:r>
      <w:r w:rsidR="009933A9" w:rsidRPr="005E1AD6">
        <w:rPr>
          <w:rFonts w:ascii="Cambria" w:hAnsi="Cambria" w:cs="Times New Roman"/>
          <w:lang w:val="en-US"/>
        </w:rPr>
        <w:t xml:space="preserve"> regulations</w:t>
      </w:r>
      <w:r w:rsidR="0022045D" w:rsidRPr="005E1AD6">
        <w:rPr>
          <w:rFonts w:ascii="Cambria" w:hAnsi="Cambria" w:cs="Times New Roman"/>
          <w:lang w:val="en-US"/>
        </w:rPr>
        <w:t xml:space="preserve"> in</w:t>
      </w:r>
      <w:r w:rsidR="009933A9" w:rsidRPr="005E1AD6">
        <w:rPr>
          <w:rFonts w:ascii="Cambria" w:hAnsi="Cambria" w:cs="Times New Roman"/>
          <w:lang w:val="en-US"/>
        </w:rPr>
        <w:t xml:space="preserve"> family matters </w:t>
      </w:r>
      <w:r w:rsidR="00252059" w:rsidRPr="005E1AD6">
        <w:rPr>
          <w:rFonts w:ascii="Cambria" w:hAnsi="Cambria" w:cs="Times New Roman"/>
          <w:lang w:val="en-US"/>
        </w:rPr>
        <w:t xml:space="preserve">hold </w:t>
      </w:r>
      <w:r w:rsidR="009933A9" w:rsidRPr="005E1AD6">
        <w:rPr>
          <w:rFonts w:ascii="Cambria" w:hAnsi="Cambria" w:cs="Times New Roman"/>
          <w:lang w:val="en-US"/>
        </w:rPr>
        <w:t>a special place.</w:t>
      </w:r>
      <w:r w:rsidR="0022045D" w:rsidRPr="005E1AD6">
        <w:rPr>
          <w:rFonts w:ascii="Cambria" w:hAnsi="Cambria" w:cs="Times New Roman"/>
          <w:lang w:val="en-US"/>
        </w:rPr>
        <w:t xml:space="preserve"> </w:t>
      </w:r>
      <w:r w:rsidR="002875C5" w:rsidRPr="005E1AD6">
        <w:rPr>
          <w:rFonts w:ascii="Cambria" w:hAnsi="Cambria" w:cs="Times New Roman"/>
          <w:lang w:val="en-US"/>
        </w:rPr>
        <w:t xml:space="preserve">With the rise of free movement in the EU and </w:t>
      </w:r>
      <w:r w:rsidR="00252059" w:rsidRPr="005E1AD6">
        <w:rPr>
          <w:rFonts w:ascii="Cambria" w:hAnsi="Cambria" w:cs="Times New Roman"/>
          <w:lang w:val="en-US"/>
        </w:rPr>
        <w:t xml:space="preserve">the wider phenomenon of </w:t>
      </w:r>
      <w:proofErr w:type="spellStart"/>
      <w:r w:rsidR="002875C5" w:rsidRPr="005E1AD6">
        <w:rPr>
          <w:rFonts w:ascii="Cambria" w:hAnsi="Cambria" w:cs="Times New Roman"/>
          <w:lang w:val="en-US"/>
        </w:rPr>
        <w:t>globalisation</w:t>
      </w:r>
      <w:proofErr w:type="spellEnd"/>
      <w:r w:rsidR="002875C5" w:rsidRPr="005E1AD6">
        <w:rPr>
          <w:rFonts w:ascii="Cambria" w:hAnsi="Cambria" w:cs="Times New Roman"/>
          <w:lang w:val="en-US"/>
        </w:rPr>
        <w:t xml:space="preserve">, people </w:t>
      </w:r>
      <w:r w:rsidR="005E1AD6" w:rsidRPr="005E1AD6">
        <w:rPr>
          <w:rFonts w:ascii="Cambria" w:hAnsi="Cambria" w:cs="Times New Roman"/>
          <w:lang w:val="en-US"/>
        </w:rPr>
        <w:t xml:space="preserve">have </w:t>
      </w:r>
      <w:r w:rsidR="002875C5" w:rsidRPr="005E1AD6">
        <w:rPr>
          <w:rFonts w:ascii="Cambria" w:hAnsi="Cambria" w:cs="Times New Roman"/>
          <w:lang w:val="en-US"/>
        </w:rPr>
        <w:t>move</w:t>
      </w:r>
      <w:r w:rsidR="005E1AD6" w:rsidRPr="005E1AD6">
        <w:rPr>
          <w:rFonts w:ascii="Cambria" w:hAnsi="Cambria" w:cs="Times New Roman"/>
          <w:lang w:val="en-US"/>
        </w:rPr>
        <w:t>d</w:t>
      </w:r>
      <w:r w:rsidR="002875C5" w:rsidRPr="005E1AD6">
        <w:rPr>
          <w:rFonts w:ascii="Cambria" w:hAnsi="Cambria" w:cs="Times New Roman"/>
          <w:lang w:val="en-US"/>
        </w:rPr>
        <w:t xml:space="preserve"> around</w:t>
      </w:r>
      <w:r w:rsidR="00252059" w:rsidRPr="005E1AD6">
        <w:rPr>
          <w:rFonts w:ascii="Cambria" w:hAnsi="Cambria" w:cs="Times New Roman"/>
          <w:lang w:val="en-US"/>
        </w:rPr>
        <w:t xml:space="preserve"> and </w:t>
      </w:r>
      <w:r w:rsidR="002875C5" w:rsidRPr="005E1AD6">
        <w:rPr>
          <w:rFonts w:ascii="Cambria" w:hAnsi="Cambria" w:cs="Times New Roman"/>
          <w:lang w:val="en-US"/>
        </w:rPr>
        <w:t xml:space="preserve">families of different nationalities </w:t>
      </w:r>
      <w:r w:rsidR="005E1AD6" w:rsidRPr="005E1AD6">
        <w:rPr>
          <w:rFonts w:ascii="Cambria" w:hAnsi="Cambria" w:cs="Times New Roman"/>
          <w:lang w:val="en-US"/>
        </w:rPr>
        <w:t xml:space="preserve">have </w:t>
      </w:r>
      <w:r w:rsidR="00252059" w:rsidRPr="005E1AD6">
        <w:rPr>
          <w:rFonts w:ascii="Cambria" w:hAnsi="Cambria" w:cs="Times New Roman"/>
          <w:lang w:val="en-US"/>
        </w:rPr>
        <w:t>flourish</w:t>
      </w:r>
      <w:r w:rsidR="00150A7D" w:rsidRPr="005E1AD6">
        <w:rPr>
          <w:rFonts w:ascii="Cambria" w:hAnsi="Cambria" w:cs="Times New Roman"/>
          <w:lang w:val="en-US"/>
        </w:rPr>
        <w:t>ed</w:t>
      </w:r>
      <w:r w:rsidR="00BA2E4C" w:rsidRPr="005E1AD6">
        <w:rPr>
          <w:rFonts w:ascii="Cambria" w:hAnsi="Cambria" w:cs="Times New Roman"/>
          <w:lang w:val="en-US"/>
        </w:rPr>
        <w:t>. This</w:t>
      </w:r>
      <w:r w:rsidR="00BA2E4C" w:rsidRPr="009A61E5">
        <w:rPr>
          <w:rFonts w:ascii="Cambria" w:hAnsi="Cambria" w:cs="Times New Roman"/>
          <w:lang w:val="en-US"/>
        </w:rPr>
        <w:t xml:space="preserve"> implies</w:t>
      </w:r>
      <w:r w:rsidR="002875C5" w:rsidRPr="009A61E5">
        <w:rPr>
          <w:rFonts w:ascii="Cambria" w:hAnsi="Cambria" w:cs="Times New Roman"/>
          <w:lang w:val="en-US"/>
        </w:rPr>
        <w:t xml:space="preserve"> more and more situations involv</w:t>
      </w:r>
      <w:r w:rsidR="00BA2E4C" w:rsidRPr="009A61E5">
        <w:rPr>
          <w:rFonts w:ascii="Cambria" w:hAnsi="Cambria" w:cs="Times New Roman"/>
          <w:lang w:val="en-US"/>
        </w:rPr>
        <w:t>ing</w:t>
      </w:r>
      <w:r w:rsidR="002875C5" w:rsidRPr="009A61E5">
        <w:rPr>
          <w:rFonts w:ascii="Cambria" w:hAnsi="Cambria" w:cs="Times New Roman"/>
          <w:lang w:val="en-US"/>
        </w:rPr>
        <w:t xml:space="preserve"> private international law.</w:t>
      </w:r>
      <w:r w:rsidR="00145AD8" w:rsidRPr="009A61E5">
        <w:rPr>
          <w:rFonts w:ascii="Cambria" w:hAnsi="Cambria" w:cs="Times New Roman"/>
          <w:lang w:val="en-US"/>
        </w:rPr>
        <w:t xml:space="preserve"> </w:t>
      </w:r>
      <w:r w:rsidR="00253688" w:rsidRPr="009A61E5">
        <w:rPr>
          <w:rFonts w:ascii="Cambria" w:hAnsi="Cambria" w:cs="Times New Roman"/>
          <w:lang w:val="en-US"/>
        </w:rPr>
        <w:t xml:space="preserve">The </w:t>
      </w:r>
      <w:r w:rsidR="00150A7D">
        <w:rPr>
          <w:rFonts w:ascii="Cambria" w:hAnsi="Cambria" w:cs="Times New Roman"/>
          <w:lang w:val="en-US"/>
        </w:rPr>
        <w:t>case law of the Court of Justice of the European Union (‘CJEU’)</w:t>
      </w:r>
      <w:r w:rsidR="00253688" w:rsidRPr="009A61E5">
        <w:rPr>
          <w:rFonts w:ascii="Cambria" w:hAnsi="Cambria" w:cs="Times New Roman"/>
          <w:lang w:val="en-US"/>
        </w:rPr>
        <w:t xml:space="preserve"> testifies to the variety</w:t>
      </w:r>
      <w:r w:rsidR="00D827CA" w:rsidRPr="009A61E5">
        <w:rPr>
          <w:rFonts w:ascii="Cambria" w:hAnsi="Cambria" w:cs="Times New Roman"/>
          <w:lang w:val="en-US"/>
        </w:rPr>
        <w:t xml:space="preserve"> and complexity</w:t>
      </w:r>
      <w:r w:rsidR="00253688" w:rsidRPr="009A61E5">
        <w:rPr>
          <w:rFonts w:ascii="Cambria" w:hAnsi="Cambria" w:cs="Times New Roman"/>
          <w:lang w:val="en-US"/>
        </w:rPr>
        <w:t xml:space="preserve"> of </w:t>
      </w:r>
      <w:r w:rsidR="00150A7D">
        <w:rPr>
          <w:rFonts w:ascii="Cambria" w:hAnsi="Cambria" w:cs="Times New Roman"/>
          <w:lang w:val="en-US"/>
        </w:rPr>
        <w:t>matrimonial</w:t>
      </w:r>
      <w:r w:rsidR="00150A7D" w:rsidRPr="009A61E5">
        <w:rPr>
          <w:rFonts w:ascii="Cambria" w:hAnsi="Cambria" w:cs="Times New Roman"/>
          <w:lang w:val="en-US"/>
        </w:rPr>
        <w:t xml:space="preserve"> </w:t>
      </w:r>
      <w:r w:rsidR="00253688" w:rsidRPr="009A61E5">
        <w:rPr>
          <w:rFonts w:ascii="Cambria" w:hAnsi="Cambria" w:cs="Times New Roman"/>
          <w:lang w:val="en-US"/>
        </w:rPr>
        <w:t>situations</w:t>
      </w:r>
      <w:r w:rsidR="00D827CA" w:rsidRPr="009A61E5">
        <w:rPr>
          <w:rFonts w:ascii="Cambria" w:hAnsi="Cambria" w:cs="Times New Roman"/>
          <w:lang w:val="en-US"/>
        </w:rPr>
        <w:t xml:space="preserve"> in an international context</w:t>
      </w:r>
      <w:r w:rsidR="00253688" w:rsidRPr="009A61E5">
        <w:rPr>
          <w:rFonts w:ascii="Cambria" w:hAnsi="Cambria" w:cs="Times New Roman"/>
          <w:lang w:val="en-US"/>
        </w:rPr>
        <w:t>.</w:t>
      </w:r>
      <w:r w:rsidR="00D827CA" w:rsidRPr="009A61E5">
        <w:rPr>
          <w:rFonts w:ascii="Cambria" w:hAnsi="Cambria" w:cs="Times New Roman"/>
          <w:lang w:val="en-US"/>
        </w:rPr>
        <w:t xml:space="preserve"> </w:t>
      </w:r>
      <w:r w:rsidR="005E3650" w:rsidRPr="009A61E5">
        <w:rPr>
          <w:rFonts w:ascii="Cambria" w:hAnsi="Cambria" w:cs="Times New Roman"/>
          <w:lang w:val="en-US"/>
        </w:rPr>
        <w:t>W</w:t>
      </w:r>
      <w:r w:rsidR="00D827CA" w:rsidRPr="009A61E5">
        <w:rPr>
          <w:rFonts w:ascii="Cambria" w:hAnsi="Cambria" w:cs="Times New Roman"/>
          <w:lang w:val="en-US"/>
        </w:rPr>
        <w:t>hen proceedings involve children</w:t>
      </w:r>
      <w:r w:rsidR="005E3650" w:rsidRPr="009A61E5">
        <w:rPr>
          <w:rFonts w:ascii="Cambria" w:hAnsi="Cambria" w:cs="Times New Roman"/>
          <w:lang w:val="en-US"/>
        </w:rPr>
        <w:t>, complexity intensifies even more</w:t>
      </w:r>
      <w:r w:rsidR="008445E0">
        <w:rPr>
          <w:rFonts w:ascii="Cambria" w:hAnsi="Cambria" w:cs="Times New Roman"/>
          <w:lang w:val="en-US"/>
        </w:rPr>
        <w:t>: q</w:t>
      </w:r>
      <w:r w:rsidR="00B23645" w:rsidRPr="009A61E5">
        <w:rPr>
          <w:rFonts w:ascii="Cambria" w:hAnsi="Cambria" w:cs="Times New Roman"/>
          <w:lang w:val="en-US"/>
        </w:rPr>
        <w:t>uestions of parental responsibility, and in the worst case</w:t>
      </w:r>
      <w:r w:rsidR="0062619F" w:rsidRPr="009A61E5">
        <w:rPr>
          <w:rFonts w:ascii="Cambria" w:hAnsi="Cambria" w:cs="Times New Roman"/>
          <w:lang w:val="en-US"/>
        </w:rPr>
        <w:t>,</w:t>
      </w:r>
      <w:r w:rsidR="00B23645" w:rsidRPr="009A61E5">
        <w:rPr>
          <w:rFonts w:ascii="Cambria" w:hAnsi="Cambria" w:cs="Times New Roman"/>
          <w:lang w:val="en-US"/>
        </w:rPr>
        <w:t xml:space="preserve"> abduction may arise.</w:t>
      </w:r>
      <w:r w:rsidR="00606CDC" w:rsidRPr="009A61E5">
        <w:rPr>
          <w:rFonts w:ascii="Cambria" w:hAnsi="Cambria" w:cs="Times New Roman"/>
          <w:lang w:val="en-US"/>
        </w:rPr>
        <w:t xml:space="preserve"> </w:t>
      </w:r>
    </w:p>
    <w:p w14:paraId="5A4616B0" w14:textId="39FC5F5D" w:rsidR="0017795B" w:rsidRPr="009A61E5" w:rsidRDefault="00D40639" w:rsidP="008D0DEB">
      <w:pPr>
        <w:jc w:val="both"/>
        <w:rPr>
          <w:rFonts w:ascii="Cambria" w:hAnsi="Cambria" w:cs="Times New Roman"/>
          <w:lang w:val="en-US"/>
        </w:rPr>
      </w:pPr>
      <w:r w:rsidRPr="00D40639">
        <w:rPr>
          <w:rFonts w:ascii="Cambria" w:hAnsi="Cambria" w:cs="Times New Roman"/>
          <w:lang w:val="en-US"/>
        </w:rPr>
        <w:t>To help resolve these complex situations,</w:t>
      </w:r>
      <w:r>
        <w:rPr>
          <w:rFonts w:ascii="Cambria" w:hAnsi="Cambria" w:cs="Times New Roman"/>
          <w:lang w:val="en-US"/>
        </w:rPr>
        <w:t xml:space="preserve"> t</w:t>
      </w:r>
      <w:r w:rsidR="008E4F63" w:rsidRPr="008E4F63">
        <w:rPr>
          <w:rFonts w:ascii="Cambria" w:hAnsi="Cambria" w:cs="Times New Roman"/>
          <w:lang w:val="en-US"/>
        </w:rPr>
        <w:t>he European legislator has successively adopted various texts</w:t>
      </w:r>
      <w:r w:rsidR="008E4F63">
        <w:rPr>
          <w:rStyle w:val="Appelnotedebasdep"/>
          <w:rFonts w:ascii="Cambria" w:hAnsi="Cambria" w:cs="Times New Roman"/>
          <w:lang w:val="en-US"/>
        </w:rPr>
        <w:footnoteReference w:id="3"/>
      </w:r>
      <w:r>
        <w:rPr>
          <w:rFonts w:ascii="Cambria" w:hAnsi="Cambria" w:cs="Times New Roman"/>
          <w:lang w:val="en-US"/>
        </w:rPr>
        <w:t>.</w:t>
      </w:r>
      <w:r w:rsidR="008E4F63">
        <w:rPr>
          <w:rFonts w:ascii="Cambria" w:hAnsi="Cambria" w:cs="Times New Roman"/>
          <w:lang w:val="en-US"/>
        </w:rPr>
        <w:t xml:space="preserve"> </w:t>
      </w:r>
      <w:r>
        <w:rPr>
          <w:rFonts w:ascii="Cambria" w:hAnsi="Cambria" w:cs="Times New Roman"/>
          <w:lang w:val="en-US"/>
        </w:rPr>
        <w:t>T</w:t>
      </w:r>
      <w:r w:rsidR="009E7A84">
        <w:rPr>
          <w:rFonts w:ascii="Cambria" w:hAnsi="Cambria" w:cs="Times New Roman"/>
          <w:lang w:val="en-US"/>
        </w:rPr>
        <w:t>he last</w:t>
      </w:r>
      <w:r w:rsidR="00E5337F" w:rsidRPr="009A61E5">
        <w:rPr>
          <w:rFonts w:ascii="Cambria" w:hAnsi="Cambria" w:cs="Times New Roman"/>
          <w:lang w:val="en-US"/>
        </w:rPr>
        <w:t xml:space="preserve"> </w:t>
      </w:r>
      <w:r w:rsidR="00E5337F" w:rsidRPr="004F3E76">
        <w:rPr>
          <w:rFonts w:ascii="Cambria" w:hAnsi="Cambria" w:cs="Times New Roman"/>
          <w:lang w:val="en-US"/>
        </w:rPr>
        <w:t>Regulation</w:t>
      </w:r>
      <w:r>
        <w:rPr>
          <w:rFonts w:ascii="Cambria" w:hAnsi="Cambria" w:cs="Times New Roman"/>
          <w:lang w:val="en-US"/>
        </w:rPr>
        <w:t>,</w:t>
      </w:r>
      <w:r w:rsidR="00E5337F" w:rsidRPr="004F3E76">
        <w:rPr>
          <w:rFonts w:ascii="Cambria" w:hAnsi="Cambria" w:cs="Times New Roman"/>
          <w:lang w:val="en-US"/>
        </w:rPr>
        <w:t xml:space="preserve"> </w:t>
      </w:r>
      <w:r w:rsidRPr="004F3E76">
        <w:rPr>
          <w:rFonts w:ascii="Cambria" w:hAnsi="Cambria" w:cs="Times New Roman"/>
          <w:lang w:val="en-US"/>
        </w:rPr>
        <w:t xml:space="preserve">Brussels </w:t>
      </w:r>
      <w:proofErr w:type="gramStart"/>
      <w:r w:rsidRPr="004F3E76">
        <w:rPr>
          <w:rFonts w:ascii="Cambria" w:hAnsi="Cambria" w:cs="Times New Roman"/>
          <w:lang w:val="en-US"/>
        </w:rPr>
        <w:t>IIb (</w:t>
      </w:r>
      <w:r w:rsidR="00B567D1">
        <w:rPr>
          <w:rFonts w:ascii="Cambria" w:hAnsi="Cambria" w:cs="Times New Roman"/>
          <w:lang w:val="en-US"/>
        </w:rPr>
        <w:t>‘</w:t>
      </w:r>
      <w:proofErr w:type="gramEnd"/>
      <w:r w:rsidR="00B567D1">
        <w:rPr>
          <w:rFonts w:ascii="Cambria" w:hAnsi="Cambria" w:cs="Times New Roman"/>
          <w:lang w:val="en-US"/>
        </w:rPr>
        <w:t xml:space="preserve">Brussels </w:t>
      </w:r>
      <w:proofErr w:type="spellStart"/>
      <w:r w:rsidR="00B567D1" w:rsidRPr="00B567D1">
        <w:rPr>
          <w:rFonts w:ascii="Cambria" w:hAnsi="Cambria" w:cs="Times New Roman"/>
          <w:lang w:val="en-US"/>
        </w:rPr>
        <w:t>II</w:t>
      </w:r>
      <w:r w:rsidR="00B567D1" w:rsidRPr="00B567D1">
        <w:rPr>
          <w:rFonts w:ascii="Cambria" w:hAnsi="Cambria" w:cs="Times New Roman"/>
          <w:i/>
          <w:iCs/>
          <w:lang w:val="en-US"/>
        </w:rPr>
        <w:t>ter</w:t>
      </w:r>
      <w:proofErr w:type="spellEnd"/>
      <w:r w:rsidR="00B567D1">
        <w:rPr>
          <w:rFonts w:ascii="Cambria" w:hAnsi="Cambria" w:cs="Times New Roman"/>
          <w:lang w:val="en-US"/>
        </w:rPr>
        <w:t xml:space="preserve">’ </w:t>
      </w:r>
      <w:r w:rsidRPr="00B567D1">
        <w:rPr>
          <w:rFonts w:ascii="Cambria" w:hAnsi="Cambria" w:cs="Times New Roman"/>
          <w:lang w:val="en-US"/>
        </w:rPr>
        <w:t>or</w:t>
      </w:r>
      <w:r>
        <w:rPr>
          <w:rFonts w:ascii="Cambria" w:hAnsi="Cambria" w:cs="Times New Roman"/>
          <w:lang w:val="en-US"/>
        </w:rPr>
        <w:t xml:space="preserve"> ‘</w:t>
      </w:r>
      <w:r w:rsidRPr="004F3E76">
        <w:rPr>
          <w:rFonts w:ascii="Cambria" w:hAnsi="Cambria" w:cs="Times New Roman"/>
          <w:lang w:val="en-US"/>
        </w:rPr>
        <w:t xml:space="preserve">the </w:t>
      </w:r>
      <w:r w:rsidRPr="004F3E76">
        <w:rPr>
          <w:rFonts w:ascii="Cambria" w:hAnsi="Cambria" w:cs="Times New Roman"/>
          <w:bCs/>
          <w:lang w:val="en-US"/>
        </w:rPr>
        <w:t>Recast</w:t>
      </w:r>
      <w:r>
        <w:rPr>
          <w:rFonts w:ascii="Cambria" w:hAnsi="Cambria" w:cs="Times New Roman"/>
          <w:bCs/>
          <w:lang w:val="en-US"/>
        </w:rPr>
        <w:t>’</w:t>
      </w:r>
      <w:r w:rsidR="00F4032B">
        <w:rPr>
          <w:rFonts w:ascii="Cambria" w:hAnsi="Cambria" w:cs="Times New Roman"/>
          <w:bCs/>
          <w:lang w:val="en-US"/>
        </w:rPr>
        <w:t xml:space="preserve">, </w:t>
      </w:r>
      <w:r w:rsidR="00FE1EA3">
        <w:rPr>
          <w:rFonts w:ascii="Cambria" w:hAnsi="Cambria" w:cs="Times New Roman"/>
          <w:bCs/>
          <w:lang w:val="en-US"/>
        </w:rPr>
        <w:t>since</w:t>
      </w:r>
      <w:r w:rsidR="00F4032B" w:rsidRPr="00F4032B">
        <w:rPr>
          <w:rFonts w:ascii="Cambria" w:hAnsi="Cambria" w:cs="Times New Roman"/>
          <w:bCs/>
          <w:lang w:val="en-US"/>
        </w:rPr>
        <w:t xml:space="preserve"> it is a continuation of the </w:t>
      </w:r>
      <w:r w:rsidR="00F4032B">
        <w:rPr>
          <w:rFonts w:ascii="Cambria" w:hAnsi="Cambria" w:cs="Times New Roman"/>
          <w:bCs/>
          <w:lang w:val="en-US"/>
        </w:rPr>
        <w:t>R</w:t>
      </w:r>
      <w:r w:rsidR="00F4032B" w:rsidRPr="00F4032B">
        <w:rPr>
          <w:rFonts w:ascii="Cambria" w:hAnsi="Cambria" w:cs="Times New Roman"/>
          <w:bCs/>
          <w:lang w:val="en-US"/>
        </w:rPr>
        <w:t>egulation</w:t>
      </w:r>
      <w:r w:rsidR="00F4032B">
        <w:rPr>
          <w:rFonts w:ascii="Cambria" w:hAnsi="Cambria" w:cs="Times New Roman"/>
          <w:bCs/>
          <w:lang w:val="en-US"/>
        </w:rPr>
        <w:t xml:space="preserve"> Brussels </w:t>
      </w:r>
      <w:proofErr w:type="spellStart"/>
      <w:r w:rsidR="00F4032B">
        <w:rPr>
          <w:rFonts w:ascii="Cambria" w:hAnsi="Cambria" w:cs="Times New Roman"/>
          <w:bCs/>
          <w:lang w:val="en-US"/>
        </w:rPr>
        <w:t>IIa</w:t>
      </w:r>
      <w:proofErr w:type="spellEnd"/>
      <w:r w:rsidRPr="004F3E76">
        <w:rPr>
          <w:rFonts w:ascii="Cambria" w:hAnsi="Cambria" w:cs="Times New Roman"/>
          <w:lang w:val="en-US"/>
        </w:rPr>
        <w:t>)</w:t>
      </w:r>
      <w:r w:rsidRPr="009A61E5">
        <w:rPr>
          <w:rFonts w:ascii="Cambria" w:hAnsi="Cambria" w:cs="Times New Roman"/>
          <w:vertAlign w:val="superscript"/>
        </w:rPr>
        <w:footnoteReference w:id="4"/>
      </w:r>
      <w:r>
        <w:rPr>
          <w:rFonts w:ascii="Cambria" w:hAnsi="Cambria" w:cs="Times New Roman"/>
          <w:lang w:val="en-US"/>
        </w:rPr>
        <w:t xml:space="preserve">, </w:t>
      </w:r>
      <w:r w:rsidR="00E5337F" w:rsidRPr="004F3E76">
        <w:rPr>
          <w:rFonts w:ascii="Cambria" w:hAnsi="Cambria" w:cs="Times New Roman"/>
          <w:lang w:val="en-US"/>
        </w:rPr>
        <w:t>now perfects the latter</w:t>
      </w:r>
      <w:r>
        <w:rPr>
          <w:rFonts w:ascii="Cambria" w:hAnsi="Cambria" w:cs="Times New Roman"/>
          <w:lang w:val="en-US"/>
        </w:rPr>
        <w:t xml:space="preserve"> </w:t>
      </w:r>
      <w:r w:rsidR="0038679F" w:rsidRPr="00CD2005">
        <w:rPr>
          <w:rFonts w:ascii="Cambria" w:hAnsi="Cambria"/>
          <w:lang w:val="en-US"/>
        </w:rPr>
        <w:t>on jurisdiction, recognition and enforcement of decisions in matrimonial matters and the matters of parental responsibility, and on international child abduction</w:t>
      </w:r>
      <w:r w:rsidR="00FE1EA3">
        <w:rPr>
          <w:rStyle w:val="Appelnotedebasdep"/>
          <w:rFonts w:ascii="Cambria" w:hAnsi="Cambria"/>
          <w:lang w:val="en-US"/>
        </w:rPr>
        <w:footnoteReference w:id="5"/>
      </w:r>
      <w:r>
        <w:rPr>
          <w:rFonts w:ascii="Cambria" w:hAnsi="Cambria" w:cs="Times New Roman"/>
          <w:lang w:val="en-US"/>
        </w:rPr>
        <w:t>.</w:t>
      </w:r>
      <w:r w:rsidR="00E5337F" w:rsidRPr="004F3E76">
        <w:rPr>
          <w:rFonts w:ascii="Cambria" w:hAnsi="Cambria" w:cs="Times New Roman"/>
          <w:lang w:val="en-US"/>
        </w:rPr>
        <w:t xml:space="preserve"> Th</w:t>
      </w:r>
      <w:r w:rsidR="00CD2005">
        <w:rPr>
          <w:rFonts w:ascii="Cambria" w:hAnsi="Cambria" w:cs="Times New Roman"/>
          <w:lang w:val="en-US"/>
        </w:rPr>
        <w:t>is regulation</w:t>
      </w:r>
      <w:r w:rsidR="00E5337F" w:rsidRPr="004F3E76">
        <w:rPr>
          <w:rFonts w:ascii="Cambria" w:hAnsi="Cambria" w:cs="Times New Roman"/>
          <w:lang w:val="en-US"/>
        </w:rPr>
        <w:t xml:space="preserve"> </w:t>
      </w:r>
      <w:r w:rsidR="00F6018B">
        <w:rPr>
          <w:rFonts w:ascii="Cambria" w:hAnsi="Cambria" w:cs="Times New Roman"/>
          <w:lang w:val="en-US"/>
        </w:rPr>
        <w:t>go</w:t>
      </w:r>
      <w:r w:rsidR="00CD2005">
        <w:rPr>
          <w:rFonts w:ascii="Cambria" w:hAnsi="Cambria" w:cs="Times New Roman"/>
          <w:lang w:val="en-US"/>
        </w:rPr>
        <w:t>es</w:t>
      </w:r>
      <w:r w:rsidR="00F6018B">
        <w:rPr>
          <w:rFonts w:ascii="Cambria" w:hAnsi="Cambria" w:cs="Times New Roman"/>
          <w:lang w:val="en-US"/>
        </w:rPr>
        <w:t xml:space="preserve"> hand in hand with </w:t>
      </w:r>
      <w:r w:rsidR="00E5337F" w:rsidRPr="004F3E76">
        <w:rPr>
          <w:rFonts w:ascii="Cambria" w:hAnsi="Cambria" w:cs="Times New Roman"/>
          <w:lang w:val="en-US"/>
        </w:rPr>
        <w:t>the legislative arsenal of the Hague Con</w:t>
      </w:r>
      <w:r w:rsidR="00C81D8C" w:rsidRPr="004F3E76">
        <w:rPr>
          <w:rFonts w:ascii="Cambria" w:hAnsi="Cambria" w:cs="Times New Roman"/>
          <w:lang w:val="en-US"/>
        </w:rPr>
        <w:t>ference on Private International law</w:t>
      </w:r>
      <w:r w:rsidR="006C08AC" w:rsidRPr="004F3E76">
        <w:rPr>
          <w:rFonts w:ascii="Cambria" w:hAnsi="Cambria" w:cs="Times New Roman"/>
          <w:lang w:val="en-US"/>
        </w:rPr>
        <w:t xml:space="preserve">. This includes in particular the </w:t>
      </w:r>
      <w:r w:rsidR="006C08AC" w:rsidRPr="004F3E76">
        <w:rPr>
          <w:rFonts w:ascii="Cambria" w:hAnsi="Cambria" w:cs="Times New Roman"/>
          <w:lang w:val="en-US"/>
        </w:rPr>
        <w:lastRenderedPageBreak/>
        <w:t>Hague Convention</w:t>
      </w:r>
      <w:r w:rsidR="00E5337F" w:rsidRPr="004F3E76">
        <w:rPr>
          <w:rFonts w:ascii="Cambria" w:hAnsi="Cambria" w:cs="Times New Roman"/>
          <w:lang w:val="en-US"/>
        </w:rPr>
        <w:t xml:space="preserve"> of 25 October 1980 applicable in cases of international child abduction</w:t>
      </w:r>
      <w:r w:rsidR="004F3E76" w:rsidRPr="004F3E76">
        <w:rPr>
          <w:rStyle w:val="Appelnotedebasdep"/>
          <w:rFonts w:ascii="Cambria" w:hAnsi="Cambria" w:cs="Times New Roman"/>
          <w:lang w:val="en-US"/>
        </w:rPr>
        <w:footnoteReference w:id="6"/>
      </w:r>
      <w:r w:rsidR="006C08AC" w:rsidRPr="004F3E76">
        <w:rPr>
          <w:rFonts w:ascii="Cambria" w:hAnsi="Cambria" w:cs="Times New Roman"/>
          <w:lang w:val="en-US"/>
        </w:rPr>
        <w:t xml:space="preserve"> and the</w:t>
      </w:r>
      <w:r w:rsidR="006C08AC" w:rsidRPr="009A61E5">
        <w:rPr>
          <w:rFonts w:ascii="Cambria" w:hAnsi="Cambria" w:cs="Times New Roman"/>
          <w:lang w:val="en-US"/>
        </w:rPr>
        <w:t xml:space="preserve"> Hague Convention of </w:t>
      </w:r>
      <w:r w:rsidR="0045494D" w:rsidRPr="009A61E5">
        <w:rPr>
          <w:rFonts w:ascii="Cambria" w:hAnsi="Cambria" w:cs="Times New Roman"/>
          <w:lang w:val="en-US"/>
        </w:rPr>
        <w:t>19 October 1996 on Jurisdiction, Applicable Law, Recognition, Enforcement and Co-operation in Respect of Parental Responsibility and Measures for the Protection of Children</w:t>
      </w:r>
      <w:r w:rsidR="004F3E76">
        <w:rPr>
          <w:rStyle w:val="Appelnotedebasdep"/>
          <w:rFonts w:ascii="Cambria" w:hAnsi="Cambria" w:cs="Times New Roman"/>
          <w:lang w:val="en-US"/>
        </w:rPr>
        <w:footnoteReference w:id="7"/>
      </w:r>
      <w:r w:rsidR="00E5337F" w:rsidRPr="009A61E5">
        <w:rPr>
          <w:rFonts w:ascii="Cambria" w:hAnsi="Cambria" w:cs="Times New Roman"/>
          <w:lang w:val="en-US"/>
        </w:rPr>
        <w:t>.</w:t>
      </w:r>
    </w:p>
    <w:p w14:paraId="21673190" w14:textId="030B0201" w:rsidR="000D0D2C" w:rsidRPr="009A61E5" w:rsidRDefault="000D0D2C" w:rsidP="000D0D2C">
      <w:pPr>
        <w:jc w:val="both"/>
        <w:rPr>
          <w:rFonts w:ascii="Cambria" w:hAnsi="Cambria" w:cs="Times New Roman"/>
          <w:lang w:val="en-US"/>
        </w:rPr>
      </w:pPr>
      <w:r w:rsidRPr="009A61E5">
        <w:rPr>
          <w:rFonts w:ascii="Cambria" w:hAnsi="Cambria" w:cs="Times New Roman"/>
          <w:lang w:val="en-US"/>
        </w:rPr>
        <w:t xml:space="preserve">In the following sections, we will first briefly review the scope of </w:t>
      </w:r>
      <w:r w:rsidR="00151D46" w:rsidRPr="009A61E5">
        <w:rPr>
          <w:rFonts w:ascii="Cambria" w:hAnsi="Cambria" w:cs="Times New Roman"/>
          <w:lang w:val="en-US"/>
        </w:rPr>
        <w:t>the Recast</w:t>
      </w:r>
      <w:r w:rsidRPr="009A61E5">
        <w:rPr>
          <w:rFonts w:ascii="Cambria" w:hAnsi="Cambria" w:cs="Times New Roman"/>
          <w:lang w:val="en-US"/>
        </w:rPr>
        <w:t xml:space="preserve"> (I), then address the innovations introduced </w:t>
      </w:r>
      <w:r w:rsidR="00FE1EA3">
        <w:rPr>
          <w:rFonts w:ascii="Cambria" w:hAnsi="Cambria" w:cs="Times New Roman"/>
          <w:lang w:val="en-US"/>
        </w:rPr>
        <w:t xml:space="preserve">since the Regulation Brussels </w:t>
      </w:r>
      <w:proofErr w:type="spellStart"/>
      <w:r w:rsidR="00FE1EA3">
        <w:rPr>
          <w:rFonts w:ascii="Cambria" w:hAnsi="Cambria" w:cs="Times New Roman"/>
          <w:lang w:val="en-US"/>
        </w:rPr>
        <w:t>IIa</w:t>
      </w:r>
      <w:proofErr w:type="spellEnd"/>
      <w:r w:rsidR="00FE1EA3">
        <w:rPr>
          <w:rFonts w:ascii="Cambria" w:hAnsi="Cambria" w:cs="Times New Roman"/>
          <w:lang w:val="en-US"/>
        </w:rPr>
        <w:t xml:space="preserve"> </w:t>
      </w:r>
      <w:r w:rsidRPr="009A61E5">
        <w:rPr>
          <w:rFonts w:ascii="Cambria" w:hAnsi="Cambria" w:cs="Times New Roman"/>
          <w:lang w:val="en-US"/>
        </w:rPr>
        <w:t>(II) and, finally, discuss the points on which the Recast remains silent (III).</w:t>
      </w:r>
    </w:p>
    <w:p w14:paraId="5D838154" w14:textId="1C08C5A6" w:rsidR="00E04541" w:rsidRPr="009A61E5" w:rsidRDefault="00423729" w:rsidP="00E04541">
      <w:pPr>
        <w:pStyle w:val="Titre1"/>
        <w:numPr>
          <w:ilvl w:val="0"/>
          <w:numId w:val="3"/>
        </w:numPr>
        <w:rPr>
          <w:rFonts w:ascii="Cambria" w:hAnsi="Cambria"/>
          <w:lang w:val="en-US"/>
        </w:rPr>
      </w:pPr>
      <w:r w:rsidRPr="009A61E5">
        <w:rPr>
          <w:rFonts w:ascii="Cambria" w:hAnsi="Cambria"/>
          <w:lang w:val="en-US"/>
        </w:rPr>
        <w:t xml:space="preserve">Scope of </w:t>
      </w:r>
      <w:r w:rsidR="00F05B49">
        <w:rPr>
          <w:rFonts w:ascii="Cambria" w:hAnsi="Cambria"/>
          <w:lang w:val="en-US"/>
        </w:rPr>
        <w:t>A</w:t>
      </w:r>
      <w:r w:rsidRPr="009A61E5">
        <w:rPr>
          <w:rFonts w:ascii="Cambria" w:hAnsi="Cambria"/>
          <w:lang w:val="en-US"/>
        </w:rPr>
        <w:t>pplication</w:t>
      </w:r>
    </w:p>
    <w:p w14:paraId="2CFEBD9B" w14:textId="42E47900" w:rsidR="00E04541" w:rsidRPr="003A66C5" w:rsidRDefault="00A22632" w:rsidP="00E04541">
      <w:pPr>
        <w:pStyle w:val="Titre2"/>
        <w:numPr>
          <w:ilvl w:val="0"/>
          <w:numId w:val="4"/>
        </w:numPr>
        <w:rPr>
          <w:rFonts w:ascii="Cambria" w:hAnsi="Cambria"/>
          <w:lang w:val="en-GB"/>
        </w:rPr>
      </w:pPr>
      <w:r w:rsidRPr="009A61E5">
        <w:rPr>
          <w:rFonts w:ascii="Cambria" w:hAnsi="Cambria"/>
          <w:lang w:val="en-GB"/>
        </w:rPr>
        <w:t>Scope</w:t>
      </w:r>
      <w:r w:rsidR="00BD1D33" w:rsidRPr="009A61E5">
        <w:rPr>
          <w:rFonts w:ascii="Cambria" w:hAnsi="Cambria"/>
          <w:lang w:val="en-GB"/>
        </w:rPr>
        <w:t xml:space="preserve"> of </w:t>
      </w:r>
      <w:r w:rsidR="00F05B49">
        <w:rPr>
          <w:rFonts w:ascii="Cambria" w:hAnsi="Cambria"/>
          <w:lang w:val="en-GB"/>
        </w:rPr>
        <w:t>A</w:t>
      </w:r>
      <w:r w:rsidR="00BD1D33" w:rsidRPr="009A61E5">
        <w:rPr>
          <w:rFonts w:ascii="Cambria" w:hAnsi="Cambria"/>
          <w:lang w:val="en-GB"/>
        </w:rPr>
        <w:t>pplication</w:t>
      </w:r>
      <w:r w:rsidRPr="009A61E5">
        <w:rPr>
          <w:rFonts w:ascii="Cambria" w:hAnsi="Cambria"/>
          <w:lang w:val="en-GB"/>
        </w:rPr>
        <w:t xml:space="preserve"> </w:t>
      </w:r>
      <w:r w:rsidR="00AD02CF">
        <w:rPr>
          <w:rFonts w:ascii="Cambria" w:hAnsi="Cambria"/>
          <w:i/>
          <w:lang w:val="en-GB"/>
        </w:rPr>
        <w:t>R</w:t>
      </w:r>
      <w:r w:rsidRPr="003A66C5">
        <w:rPr>
          <w:rFonts w:ascii="Cambria" w:hAnsi="Cambria"/>
          <w:i/>
          <w:lang w:val="en-GB"/>
        </w:rPr>
        <w:t xml:space="preserve">atione </w:t>
      </w:r>
      <w:r w:rsidR="00F05B49">
        <w:rPr>
          <w:rFonts w:ascii="Cambria" w:hAnsi="Cambria"/>
          <w:i/>
          <w:lang w:val="en-GB"/>
        </w:rPr>
        <w:t>T</w:t>
      </w:r>
      <w:r w:rsidRPr="003A66C5">
        <w:rPr>
          <w:rFonts w:ascii="Cambria" w:hAnsi="Cambria"/>
          <w:i/>
          <w:lang w:val="en-GB"/>
        </w:rPr>
        <w:t>emporis</w:t>
      </w:r>
      <w:r w:rsidRPr="009A61E5">
        <w:rPr>
          <w:rFonts w:ascii="Cambria" w:hAnsi="Cambria"/>
          <w:lang w:val="en-GB"/>
        </w:rPr>
        <w:t xml:space="preserve"> – </w:t>
      </w:r>
      <w:r w:rsidR="009A3B21" w:rsidRPr="003A66C5">
        <w:rPr>
          <w:rFonts w:ascii="Cambria" w:hAnsi="Cambria"/>
          <w:lang w:val="en-GB"/>
        </w:rPr>
        <w:t>When</w:t>
      </w:r>
      <w:r w:rsidR="00ED7EA7" w:rsidRPr="003A66C5">
        <w:rPr>
          <w:rFonts w:ascii="Cambria" w:hAnsi="Cambria"/>
          <w:lang w:val="en-GB"/>
        </w:rPr>
        <w:t xml:space="preserve"> </w:t>
      </w:r>
      <w:r w:rsidR="00F05B49">
        <w:rPr>
          <w:rFonts w:ascii="Cambria" w:hAnsi="Cambria"/>
          <w:lang w:val="en-GB"/>
        </w:rPr>
        <w:t>D</w:t>
      </w:r>
      <w:r w:rsidR="00ED7EA7" w:rsidRPr="003A66C5">
        <w:rPr>
          <w:rFonts w:ascii="Cambria" w:hAnsi="Cambria"/>
          <w:lang w:val="en-GB"/>
        </w:rPr>
        <w:t>oes</w:t>
      </w:r>
      <w:r w:rsidR="009A3B21" w:rsidRPr="003A66C5">
        <w:rPr>
          <w:rFonts w:ascii="Cambria" w:hAnsi="Cambria"/>
          <w:lang w:val="en-GB"/>
        </w:rPr>
        <w:t xml:space="preserve"> the Recast </w:t>
      </w:r>
      <w:r w:rsidR="00F05B49">
        <w:rPr>
          <w:rFonts w:ascii="Cambria" w:hAnsi="Cambria"/>
          <w:lang w:val="en-GB"/>
        </w:rPr>
        <w:t>A</w:t>
      </w:r>
      <w:r w:rsidR="009A3B21" w:rsidRPr="003A66C5">
        <w:rPr>
          <w:rFonts w:ascii="Cambria" w:hAnsi="Cambria"/>
          <w:lang w:val="en-GB"/>
        </w:rPr>
        <w:t>pplies</w:t>
      </w:r>
      <w:r w:rsidR="00E04541" w:rsidRPr="003A66C5">
        <w:rPr>
          <w:rFonts w:ascii="Cambria" w:hAnsi="Cambria"/>
          <w:lang w:val="en-GB"/>
        </w:rPr>
        <w:t>?</w:t>
      </w:r>
    </w:p>
    <w:p w14:paraId="503A3793" w14:textId="75EBB203" w:rsidR="00942D5F" w:rsidRPr="009A61E5" w:rsidRDefault="00FB4FA7" w:rsidP="003B69BA">
      <w:pPr>
        <w:jc w:val="both"/>
        <w:rPr>
          <w:rFonts w:ascii="Cambria" w:hAnsi="Cambria"/>
          <w:szCs w:val="24"/>
          <w:lang w:val="en-US"/>
        </w:rPr>
      </w:pPr>
      <w:r w:rsidRPr="009A61E5">
        <w:rPr>
          <w:rFonts w:ascii="Cambria" w:hAnsi="Cambria"/>
          <w:szCs w:val="24"/>
          <w:lang w:val="en-US"/>
        </w:rPr>
        <w:t>Legal</w:t>
      </w:r>
      <w:r w:rsidR="00127163" w:rsidRPr="009A61E5">
        <w:rPr>
          <w:rFonts w:ascii="Cambria" w:hAnsi="Cambria"/>
          <w:szCs w:val="24"/>
          <w:lang w:val="en-US"/>
        </w:rPr>
        <w:t xml:space="preserve"> proceedings instituted since 1</w:t>
      </w:r>
      <w:r w:rsidR="00F22A18">
        <w:rPr>
          <w:rFonts w:ascii="Cambria" w:hAnsi="Cambria"/>
          <w:szCs w:val="24"/>
          <w:vertAlign w:val="superscript"/>
          <w:lang w:val="en-US"/>
        </w:rPr>
        <w:t xml:space="preserve"> </w:t>
      </w:r>
      <w:r w:rsidR="00127163" w:rsidRPr="009A61E5">
        <w:rPr>
          <w:rFonts w:ascii="Cambria" w:hAnsi="Cambria"/>
          <w:szCs w:val="24"/>
          <w:lang w:val="en-US"/>
        </w:rPr>
        <w:t xml:space="preserve">August 2022 are governed by the </w:t>
      </w:r>
      <w:r w:rsidR="009A3B21" w:rsidRPr="009A61E5">
        <w:rPr>
          <w:rFonts w:ascii="Cambria" w:hAnsi="Cambria"/>
          <w:szCs w:val="24"/>
          <w:lang w:val="en-US"/>
        </w:rPr>
        <w:t>R</w:t>
      </w:r>
      <w:r w:rsidR="00127163" w:rsidRPr="009A61E5">
        <w:rPr>
          <w:rFonts w:ascii="Cambria" w:hAnsi="Cambria"/>
          <w:szCs w:val="24"/>
          <w:lang w:val="en-US"/>
        </w:rPr>
        <w:t>ecast</w:t>
      </w:r>
      <w:r w:rsidR="00180CF5">
        <w:rPr>
          <w:rFonts w:ascii="Cambria" w:hAnsi="Cambria"/>
          <w:szCs w:val="24"/>
          <w:lang w:val="en-US"/>
        </w:rPr>
        <w:t xml:space="preserve"> (article 100.1)</w:t>
      </w:r>
      <w:r w:rsidR="00E04541" w:rsidRPr="009A61E5">
        <w:rPr>
          <w:rFonts w:ascii="Cambria" w:hAnsi="Cambria"/>
          <w:szCs w:val="24"/>
          <w:lang w:val="en-US"/>
        </w:rPr>
        <w:t>.</w:t>
      </w:r>
      <w:r w:rsidR="001B55C5" w:rsidRPr="009A61E5">
        <w:rPr>
          <w:rFonts w:ascii="Cambria" w:hAnsi="Cambria"/>
          <w:szCs w:val="24"/>
          <w:lang w:val="en-US"/>
        </w:rPr>
        <w:t xml:space="preserve"> This </w:t>
      </w:r>
      <w:r w:rsidR="00ED7EA7" w:rsidRPr="009A61E5">
        <w:rPr>
          <w:rFonts w:ascii="Cambria" w:hAnsi="Cambria"/>
          <w:szCs w:val="24"/>
          <w:lang w:val="en-US"/>
        </w:rPr>
        <w:t xml:space="preserve">may </w:t>
      </w:r>
      <w:r w:rsidR="001B55C5" w:rsidRPr="009A61E5">
        <w:rPr>
          <w:rFonts w:ascii="Cambria" w:hAnsi="Cambria"/>
          <w:szCs w:val="24"/>
          <w:lang w:val="en-US"/>
        </w:rPr>
        <w:t xml:space="preserve">seem clear but one </w:t>
      </w:r>
      <w:r w:rsidR="00F6018B">
        <w:rPr>
          <w:rFonts w:ascii="Cambria" w:hAnsi="Cambria"/>
          <w:szCs w:val="24"/>
          <w:lang w:val="en-US"/>
        </w:rPr>
        <w:t>may</w:t>
      </w:r>
      <w:r w:rsidR="00F6018B" w:rsidRPr="009A61E5">
        <w:rPr>
          <w:rFonts w:ascii="Cambria" w:hAnsi="Cambria"/>
          <w:szCs w:val="24"/>
          <w:lang w:val="en-US"/>
        </w:rPr>
        <w:t xml:space="preserve"> </w:t>
      </w:r>
      <w:r w:rsidR="001B55C5" w:rsidRPr="009A61E5">
        <w:rPr>
          <w:rFonts w:ascii="Cambria" w:hAnsi="Cambria"/>
          <w:szCs w:val="24"/>
          <w:lang w:val="en-US"/>
        </w:rPr>
        <w:t>wonder when</w:t>
      </w:r>
      <w:r w:rsidR="00EC1773" w:rsidRPr="009A61E5">
        <w:rPr>
          <w:rFonts w:ascii="Cambria" w:hAnsi="Cambria"/>
          <w:szCs w:val="24"/>
          <w:lang w:val="en-US"/>
        </w:rPr>
        <w:t xml:space="preserve"> </w:t>
      </w:r>
      <w:r w:rsidR="00F6018B">
        <w:rPr>
          <w:rFonts w:ascii="Cambria" w:hAnsi="Cambria"/>
          <w:szCs w:val="24"/>
          <w:lang w:val="en-US"/>
        </w:rPr>
        <w:t xml:space="preserve">it </w:t>
      </w:r>
      <w:r w:rsidR="00EC1773" w:rsidRPr="009A61E5">
        <w:rPr>
          <w:rFonts w:ascii="Cambria" w:hAnsi="Cambria"/>
          <w:szCs w:val="24"/>
          <w:lang w:val="en-US"/>
        </w:rPr>
        <w:t>can be considered</w:t>
      </w:r>
      <w:r w:rsidR="001B55C5" w:rsidRPr="009A61E5">
        <w:rPr>
          <w:rFonts w:ascii="Cambria" w:hAnsi="Cambria"/>
          <w:szCs w:val="24"/>
          <w:lang w:val="en-US"/>
        </w:rPr>
        <w:t xml:space="preserve"> </w:t>
      </w:r>
      <w:r w:rsidR="00EC1773" w:rsidRPr="009A61E5">
        <w:rPr>
          <w:rFonts w:ascii="Cambria" w:hAnsi="Cambria"/>
          <w:szCs w:val="24"/>
          <w:lang w:val="en-US"/>
        </w:rPr>
        <w:t xml:space="preserve">that </w:t>
      </w:r>
      <w:r w:rsidR="001B55C5" w:rsidRPr="009A61E5">
        <w:rPr>
          <w:rFonts w:ascii="Cambria" w:hAnsi="Cambria"/>
          <w:szCs w:val="24"/>
          <w:lang w:val="en-US"/>
        </w:rPr>
        <w:t xml:space="preserve">a legal proceeding is </w:t>
      </w:r>
      <w:r w:rsidR="001B55C5" w:rsidRPr="003A66C5">
        <w:rPr>
          <w:rFonts w:ascii="Cambria" w:hAnsi="Cambria"/>
          <w:i/>
          <w:szCs w:val="24"/>
          <w:lang w:val="en-US"/>
        </w:rPr>
        <w:t>instituted</w:t>
      </w:r>
      <w:r w:rsidR="00A97D3D" w:rsidRPr="009A61E5">
        <w:rPr>
          <w:rStyle w:val="Appelnotedebasdep"/>
          <w:rFonts w:ascii="Cambria" w:hAnsi="Cambria"/>
          <w:szCs w:val="24"/>
          <w:lang w:val="en-US"/>
        </w:rPr>
        <w:footnoteReference w:id="8"/>
      </w:r>
      <w:r w:rsidR="001B55C5" w:rsidRPr="009A61E5">
        <w:rPr>
          <w:rFonts w:ascii="Cambria" w:hAnsi="Cambria"/>
          <w:szCs w:val="24"/>
          <w:lang w:val="en-US"/>
        </w:rPr>
        <w:t>.</w:t>
      </w:r>
      <w:r w:rsidR="00E04541" w:rsidRPr="009A61E5">
        <w:rPr>
          <w:rFonts w:ascii="Cambria" w:hAnsi="Cambria"/>
          <w:szCs w:val="24"/>
          <w:lang w:val="en-US"/>
        </w:rPr>
        <w:t xml:space="preserve"> </w:t>
      </w:r>
      <w:r w:rsidR="0008574D" w:rsidRPr="009A61E5">
        <w:rPr>
          <w:rFonts w:ascii="Cambria" w:hAnsi="Cambria"/>
          <w:szCs w:val="24"/>
          <w:lang w:val="en-US"/>
        </w:rPr>
        <w:t xml:space="preserve">Article 17 </w:t>
      </w:r>
      <w:r w:rsidR="00EC1773" w:rsidRPr="009A61E5">
        <w:rPr>
          <w:rFonts w:ascii="Cambria" w:hAnsi="Cambria"/>
          <w:szCs w:val="24"/>
          <w:lang w:val="en-US"/>
        </w:rPr>
        <w:t xml:space="preserve">answers this question by specifying the exact </w:t>
      </w:r>
      <w:r w:rsidR="00716105" w:rsidRPr="009A61E5">
        <w:rPr>
          <w:rFonts w:ascii="Cambria" w:hAnsi="Cambria"/>
          <w:szCs w:val="24"/>
          <w:lang w:val="en-US"/>
        </w:rPr>
        <w:t xml:space="preserve">moment </w:t>
      </w:r>
      <w:r w:rsidR="0008574D" w:rsidRPr="009A61E5">
        <w:rPr>
          <w:rFonts w:ascii="Cambria" w:hAnsi="Cambria"/>
          <w:lang w:val="en-US"/>
        </w:rPr>
        <w:t xml:space="preserve">when </w:t>
      </w:r>
      <w:r w:rsidR="00EC1773" w:rsidRPr="009A61E5">
        <w:rPr>
          <w:rFonts w:ascii="Cambria" w:hAnsi="Cambria"/>
          <w:lang w:val="en-US"/>
        </w:rPr>
        <w:t xml:space="preserve">a </w:t>
      </w:r>
      <w:r w:rsidR="0008574D" w:rsidRPr="009A61E5">
        <w:rPr>
          <w:rFonts w:ascii="Cambria" w:hAnsi="Cambria"/>
          <w:lang w:val="en-US"/>
        </w:rPr>
        <w:t xml:space="preserve">court </w:t>
      </w:r>
      <w:r w:rsidR="00F6018B">
        <w:rPr>
          <w:rFonts w:ascii="Cambria" w:hAnsi="Cambria"/>
          <w:lang w:val="en-US"/>
        </w:rPr>
        <w:t>is</w:t>
      </w:r>
      <w:r w:rsidR="0008574D" w:rsidRPr="009A61E5">
        <w:rPr>
          <w:rFonts w:ascii="Cambria" w:hAnsi="Cambria"/>
          <w:lang w:val="en-US"/>
        </w:rPr>
        <w:t xml:space="preserve"> deemed to be </w:t>
      </w:r>
      <w:proofErr w:type="spellStart"/>
      <w:r w:rsidR="0008574D" w:rsidRPr="009A61E5">
        <w:rPr>
          <w:rFonts w:ascii="Cambria" w:hAnsi="Cambria"/>
          <w:lang w:val="en-US"/>
        </w:rPr>
        <w:t>seised</w:t>
      </w:r>
      <w:proofErr w:type="spellEnd"/>
      <w:r w:rsidR="0008574D" w:rsidRPr="009A61E5">
        <w:rPr>
          <w:rFonts w:ascii="Cambria" w:hAnsi="Cambria"/>
          <w:szCs w:val="24"/>
          <w:lang w:val="en-US"/>
        </w:rPr>
        <w:t>.</w:t>
      </w:r>
      <w:r w:rsidR="00985814" w:rsidRPr="009A61E5">
        <w:rPr>
          <w:rFonts w:ascii="Cambria" w:hAnsi="Cambria"/>
          <w:szCs w:val="24"/>
          <w:lang w:val="en-US"/>
        </w:rPr>
        <w:t xml:space="preserve"> </w:t>
      </w:r>
      <w:r w:rsidR="00500099" w:rsidRPr="009A61E5">
        <w:rPr>
          <w:rFonts w:ascii="Cambria" w:hAnsi="Cambria"/>
          <w:szCs w:val="24"/>
          <w:lang w:val="en-US"/>
        </w:rPr>
        <w:t>Mostl</w:t>
      </w:r>
      <w:r w:rsidR="004F1F95" w:rsidRPr="009A61E5">
        <w:rPr>
          <w:rFonts w:ascii="Cambria" w:hAnsi="Cambria"/>
          <w:szCs w:val="24"/>
          <w:lang w:val="en-US"/>
        </w:rPr>
        <w:t xml:space="preserve">y, </w:t>
      </w:r>
      <w:r w:rsidR="00C42C61" w:rsidRPr="009A61E5">
        <w:rPr>
          <w:rFonts w:ascii="Cambria" w:hAnsi="Cambria"/>
          <w:szCs w:val="24"/>
          <w:lang w:val="en-US"/>
        </w:rPr>
        <w:t xml:space="preserve">a </w:t>
      </w:r>
      <w:r w:rsidR="004F1F95" w:rsidRPr="009A61E5">
        <w:rPr>
          <w:rFonts w:ascii="Cambria" w:hAnsi="Cambria"/>
          <w:szCs w:val="24"/>
          <w:lang w:val="en-US"/>
        </w:rPr>
        <w:t>c</w:t>
      </w:r>
      <w:r w:rsidR="00187C75" w:rsidRPr="009A61E5">
        <w:rPr>
          <w:rFonts w:ascii="Cambria" w:hAnsi="Cambria"/>
          <w:szCs w:val="24"/>
          <w:lang w:val="en-US"/>
        </w:rPr>
        <w:t xml:space="preserve">ourt is </w:t>
      </w:r>
      <w:proofErr w:type="spellStart"/>
      <w:r w:rsidR="00187C75" w:rsidRPr="009A61E5">
        <w:rPr>
          <w:rFonts w:ascii="Cambria" w:hAnsi="Cambria"/>
          <w:szCs w:val="24"/>
          <w:lang w:val="en-US"/>
        </w:rPr>
        <w:t>seised</w:t>
      </w:r>
      <w:proofErr w:type="spellEnd"/>
      <w:r w:rsidR="00187C75" w:rsidRPr="009A61E5">
        <w:rPr>
          <w:rFonts w:ascii="Cambria" w:hAnsi="Cambria"/>
          <w:szCs w:val="24"/>
          <w:lang w:val="en-US"/>
        </w:rPr>
        <w:t xml:space="preserve"> </w:t>
      </w:r>
      <w:r w:rsidR="000761F2" w:rsidRPr="009A61E5">
        <w:rPr>
          <w:rFonts w:ascii="Cambria" w:hAnsi="Cambria"/>
          <w:lang w:val="en-US"/>
        </w:rPr>
        <w:t>at the time when the document instituting the proceedings or an equivalent document is lodged with the court</w:t>
      </w:r>
      <w:r w:rsidR="000761F2" w:rsidRPr="009A61E5">
        <w:rPr>
          <w:rFonts w:ascii="Cambria" w:hAnsi="Cambria"/>
          <w:szCs w:val="24"/>
          <w:lang w:val="en-US"/>
        </w:rPr>
        <w:t xml:space="preserve"> </w:t>
      </w:r>
      <w:r w:rsidR="00187C75" w:rsidRPr="009A61E5">
        <w:rPr>
          <w:rFonts w:ascii="Cambria" w:hAnsi="Cambria"/>
          <w:szCs w:val="24"/>
          <w:lang w:val="en-US"/>
        </w:rPr>
        <w:t>(</w:t>
      </w:r>
      <w:r w:rsidR="00B617D5" w:rsidRPr="009A61E5">
        <w:rPr>
          <w:rFonts w:ascii="Cambria" w:hAnsi="Cambria"/>
          <w:szCs w:val="24"/>
          <w:lang w:val="en-US"/>
        </w:rPr>
        <w:t>a</w:t>
      </w:r>
      <w:r w:rsidR="00187C75" w:rsidRPr="009A61E5">
        <w:rPr>
          <w:rFonts w:ascii="Cambria" w:hAnsi="Cambria"/>
          <w:szCs w:val="24"/>
          <w:lang w:val="en-US"/>
        </w:rPr>
        <w:t>rticle 17</w:t>
      </w:r>
      <w:r w:rsidR="00B617D5" w:rsidRPr="009A61E5">
        <w:rPr>
          <w:rFonts w:ascii="Cambria" w:hAnsi="Cambria"/>
          <w:szCs w:val="24"/>
          <w:lang w:val="en-US"/>
        </w:rPr>
        <w:t xml:space="preserve">, </w:t>
      </w:r>
      <w:r w:rsidR="00187C75" w:rsidRPr="009A61E5">
        <w:rPr>
          <w:rFonts w:ascii="Cambria" w:hAnsi="Cambria"/>
          <w:szCs w:val="24"/>
          <w:lang w:val="en-US"/>
        </w:rPr>
        <w:t>(a)).</w:t>
      </w:r>
      <w:r w:rsidR="002B276C" w:rsidRPr="009A61E5">
        <w:rPr>
          <w:rFonts w:ascii="Cambria" w:hAnsi="Cambria"/>
          <w:szCs w:val="24"/>
          <w:lang w:val="en-US"/>
        </w:rPr>
        <w:t xml:space="preserve"> </w:t>
      </w:r>
      <w:r w:rsidR="004F1F95" w:rsidRPr="009A61E5">
        <w:rPr>
          <w:rFonts w:ascii="Cambria" w:hAnsi="Cambria"/>
          <w:szCs w:val="24"/>
          <w:lang w:val="en-US"/>
        </w:rPr>
        <w:t>If</w:t>
      </w:r>
      <w:r w:rsidR="00985814" w:rsidRPr="009A61E5">
        <w:rPr>
          <w:rFonts w:ascii="Cambria" w:hAnsi="Cambria"/>
          <w:szCs w:val="24"/>
          <w:lang w:val="en-US"/>
        </w:rPr>
        <w:t xml:space="preserve"> </w:t>
      </w:r>
      <w:r w:rsidR="00927BBE" w:rsidRPr="009A61E5">
        <w:rPr>
          <w:rFonts w:ascii="Cambria" w:hAnsi="Cambria"/>
          <w:szCs w:val="24"/>
          <w:lang w:val="en-US"/>
        </w:rPr>
        <w:t xml:space="preserve">the document has to be served before being lodged with the court, </w:t>
      </w:r>
      <w:r w:rsidR="00F6018B">
        <w:rPr>
          <w:rFonts w:ascii="Cambria" w:hAnsi="Cambria"/>
          <w:szCs w:val="24"/>
          <w:lang w:val="en-US"/>
        </w:rPr>
        <w:t>the latter</w:t>
      </w:r>
      <w:r w:rsidR="00F6018B" w:rsidRPr="009A61E5">
        <w:rPr>
          <w:rFonts w:ascii="Cambria" w:hAnsi="Cambria"/>
          <w:szCs w:val="24"/>
          <w:lang w:val="en-US"/>
        </w:rPr>
        <w:t xml:space="preserve"> </w:t>
      </w:r>
      <w:r w:rsidR="00927BBE" w:rsidRPr="009A61E5">
        <w:rPr>
          <w:rFonts w:ascii="Cambria" w:hAnsi="Cambria"/>
          <w:szCs w:val="24"/>
          <w:lang w:val="en-US"/>
        </w:rPr>
        <w:t xml:space="preserve">is </w:t>
      </w:r>
      <w:proofErr w:type="spellStart"/>
      <w:r w:rsidR="00927BBE" w:rsidRPr="009A61E5">
        <w:rPr>
          <w:rFonts w:ascii="Cambria" w:hAnsi="Cambria"/>
          <w:szCs w:val="24"/>
          <w:lang w:val="en-US"/>
        </w:rPr>
        <w:t>seised</w:t>
      </w:r>
      <w:proofErr w:type="spellEnd"/>
      <w:r w:rsidR="00927BBE" w:rsidRPr="009A61E5">
        <w:rPr>
          <w:rFonts w:ascii="Cambria" w:hAnsi="Cambria"/>
          <w:szCs w:val="24"/>
          <w:lang w:val="en-US"/>
        </w:rPr>
        <w:t xml:space="preserve"> </w:t>
      </w:r>
      <w:r w:rsidR="00927BBE" w:rsidRPr="009A61E5">
        <w:rPr>
          <w:rFonts w:ascii="Cambria" w:hAnsi="Cambria"/>
          <w:lang w:val="en-US"/>
        </w:rPr>
        <w:t>at the time when it is received by the authority responsible for service</w:t>
      </w:r>
      <w:r w:rsidR="00B617D5" w:rsidRPr="009A61E5">
        <w:rPr>
          <w:rFonts w:ascii="Cambria" w:hAnsi="Cambria"/>
          <w:lang w:val="en-US"/>
        </w:rPr>
        <w:t xml:space="preserve"> (article 17, (b))</w:t>
      </w:r>
      <w:r w:rsidR="004F1F95" w:rsidRPr="009A61E5">
        <w:rPr>
          <w:rStyle w:val="Appelnotedebasdep"/>
          <w:rFonts w:ascii="Cambria" w:hAnsi="Cambria"/>
          <w:lang w:val="en-US"/>
        </w:rPr>
        <w:footnoteReference w:id="9"/>
      </w:r>
      <w:r w:rsidR="00927BBE" w:rsidRPr="009A61E5">
        <w:rPr>
          <w:rFonts w:ascii="Cambria" w:hAnsi="Cambria"/>
          <w:lang w:val="en-US"/>
        </w:rPr>
        <w:t xml:space="preserve">. </w:t>
      </w:r>
      <w:r w:rsidR="005240C3" w:rsidRPr="009A61E5">
        <w:rPr>
          <w:rFonts w:ascii="Cambria" w:hAnsi="Cambria"/>
          <w:szCs w:val="24"/>
          <w:lang w:val="en-US"/>
        </w:rPr>
        <w:t xml:space="preserve">In both scenarios, </w:t>
      </w:r>
      <w:r w:rsidR="00655D07" w:rsidRPr="009A61E5">
        <w:rPr>
          <w:rFonts w:ascii="Cambria" w:hAnsi="Cambria"/>
          <w:szCs w:val="24"/>
          <w:lang w:val="en-US"/>
        </w:rPr>
        <w:t>the applicant must not subsequently fail to take the steps he or she was required to take to have service effected on the respondent or to have the document lodged with the court</w:t>
      </w:r>
      <w:r w:rsidR="00216271" w:rsidRPr="009A61E5">
        <w:rPr>
          <w:rStyle w:val="Appelnotedebasdep"/>
          <w:rFonts w:ascii="Cambria" w:hAnsi="Cambria"/>
          <w:szCs w:val="24"/>
          <w:lang w:val="en-US"/>
        </w:rPr>
        <w:footnoteReference w:id="10"/>
      </w:r>
      <w:r w:rsidR="00655D07" w:rsidRPr="009A61E5">
        <w:rPr>
          <w:rFonts w:ascii="Cambria" w:hAnsi="Cambria"/>
          <w:szCs w:val="24"/>
          <w:lang w:val="en-US"/>
        </w:rPr>
        <w:t>.</w:t>
      </w:r>
      <w:r w:rsidR="00B617D5" w:rsidRPr="009A61E5">
        <w:rPr>
          <w:rFonts w:ascii="Cambria" w:hAnsi="Cambria"/>
          <w:szCs w:val="24"/>
          <w:lang w:val="en-US"/>
        </w:rPr>
        <w:t xml:space="preserve"> </w:t>
      </w:r>
      <w:r w:rsidR="00215EBF" w:rsidRPr="00215EBF">
        <w:rPr>
          <w:rFonts w:ascii="Cambria" w:hAnsi="Cambria"/>
          <w:szCs w:val="24"/>
          <w:lang w:val="en-US"/>
        </w:rPr>
        <w:t xml:space="preserve">The lodging of several applications during the same proceedings may also raise difficulties in the temporal application of the Regulation. The European Court ruled in a case where the application to obtain enforcement of a return order was </w:t>
      </w:r>
      <w:r w:rsidR="006E77F3" w:rsidRPr="00215EBF">
        <w:rPr>
          <w:rFonts w:ascii="Cambria" w:hAnsi="Cambria"/>
          <w:szCs w:val="24"/>
          <w:lang w:val="en-US"/>
        </w:rPr>
        <w:t>after</w:t>
      </w:r>
      <w:r w:rsidR="00215EBF" w:rsidRPr="00215EBF">
        <w:rPr>
          <w:rFonts w:ascii="Cambria" w:hAnsi="Cambria"/>
          <w:szCs w:val="24"/>
          <w:lang w:val="en-US"/>
        </w:rPr>
        <w:t xml:space="preserve"> the date of entry into force of the Recast. In accordance with the provisions of Article 100</w:t>
      </w:r>
      <w:r w:rsidR="00F22A18">
        <w:rPr>
          <w:rFonts w:ascii="Cambria" w:hAnsi="Cambria"/>
          <w:szCs w:val="24"/>
          <w:lang w:val="en-US"/>
        </w:rPr>
        <w:t>.</w:t>
      </w:r>
      <w:r w:rsidR="00215EBF" w:rsidRPr="00215EBF">
        <w:rPr>
          <w:rFonts w:ascii="Cambria" w:hAnsi="Cambria"/>
          <w:szCs w:val="24"/>
          <w:lang w:val="en-US"/>
        </w:rPr>
        <w:t xml:space="preserve">2, the Court held that </w:t>
      </w:r>
      <w:r w:rsidR="00F22A18">
        <w:rPr>
          <w:rFonts w:ascii="Cambria" w:hAnsi="Cambria"/>
          <w:szCs w:val="24"/>
          <w:lang w:val="en-US"/>
        </w:rPr>
        <w:t xml:space="preserve">the Regulation </w:t>
      </w:r>
      <w:r w:rsidR="00215EBF" w:rsidRPr="00215EBF">
        <w:rPr>
          <w:rFonts w:ascii="Cambria" w:hAnsi="Cambria"/>
          <w:szCs w:val="24"/>
          <w:lang w:val="en-US"/>
        </w:rPr>
        <w:t xml:space="preserve">Brussels </w:t>
      </w:r>
      <w:proofErr w:type="spellStart"/>
      <w:r w:rsidR="00215EBF" w:rsidRPr="00215EBF">
        <w:rPr>
          <w:rFonts w:ascii="Cambria" w:hAnsi="Cambria"/>
          <w:szCs w:val="24"/>
          <w:lang w:val="en-US"/>
        </w:rPr>
        <w:t>IIa</w:t>
      </w:r>
      <w:proofErr w:type="spellEnd"/>
      <w:r w:rsidR="00215EBF" w:rsidRPr="00215EBF">
        <w:rPr>
          <w:rFonts w:ascii="Cambria" w:hAnsi="Cambria"/>
          <w:szCs w:val="24"/>
          <w:lang w:val="en-US"/>
        </w:rPr>
        <w:t xml:space="preserve"> shall still apply since the application to obtain enforcement must be considered as a stage in the return proceedings, which was </w:t>
      </w:r>
      <w:r w:rsidR="00896D63">
        <w:rPr>
          <w:rFonts w:ascii="Cambria" w:hAnsi="Cambria"/>
          <w:szCs w:val="24"/>
          <w:lang w:val="en-US"/>
        </w:rPr>
        <w:t>initiat</w:t>
      </w:r>
      <w:r w:rsidR="00215EBF" w:rsidRPr="00215EBF">
        <w:rPr>
          <w:rFonts w:ascii="Cambria" w:hAnsi="Cambria"/>
          <w:szCs w:val="24"/>
          <w:lang w:val="en-US"/>
        </w:rPr>
        <w:t xml:space="preserve">ed </w:t>
      </w:r>
      <w:r w:rsidR="00896D63">
        <w:rPr>
          <w:rFonts w:ascii="Cambria" w:hAnsi="Cambria"/>
          <w:szCs w:val="24"/>
          <w:lang w:val="en-US"/>
        </w:rPr>
        <w:t>before the entry in force of the Recast</w:t>
      </w:r>
      <w:r w:rsidR="00896D63" w:rsidRPr="00215EBF">
        <w:rPr>
          <w:rFonts w:ascii="Cambria" w:hAnsi="Cambria"/>
          <w:szCs w:val="24"/>
          <w:lang w:val="en-US"/>
        </w:rPr>
        <w:t xml:space="preserve"> </w:t>
      </w:r>
      <w:r w:rsidR="00215EBF" w:rsidRPr="00215EBF">
        <w:rPr>
          <w:rFonts w:ascii="Cambria" w:hAnsi="Cambria"/>
          <w:szCs w:val="24"/>
          <w:lang w:val="en-US"/>
        </w:rPr>
        <w:t>by the request of a return order</w:t>
      </w:r>
      <w:r w:rsidR="00215EBF">
        <w:rPr>
          <w:rStyle w:val="Appelnotedebasdep"/>
          <w:rFonts w:ascii="Cambria" w:hAnsi="Cambria"/>
          <w:szCs w:val="24"/>
          <w:lang w:val="en-US"/>
        </w:rPr>
        <w:footnoteReference w:id="11"/>
      </w:r>
      <w:r w:rsidR="00654052" w:rsidRPr="00654052">
        <w:rPr>
          <w:rFonts w:ascii="Cambria" w:hAnsi="Cambria"/>
          <w:szCs w:val="24"/>
          <w:lang w:val="en-US"/>
        </w:rPr>
        <w:t>.</w:t>
      </w:r>
      <w:r w:rsidR="000F776F">
        <w:rPr>
          <w:rFonts w:ascii="Cambria" w:hAnsi="Cambria"/>
          <w:szCs w:val="24"/>
          <w:lang w:val="en-US"/>
        </w:rPr>
        <w:t xml:space="preserve"> </w:t>
      </w:r>
      <w:r w:rsidR="00D10085" w:rsidRPr="00A670B6">
        <w:rPr>
          <w:rFonts w:ascii="Cambria" w:hAnsi="Cambria"/>
          <w:szCs w:val="24"/>
          <w:lang w:val="en-US"/>
        </w:rPr>
        <w:t xml:space="preserve">The </w:t>
      </w:r>
      <w:r w:rsidR="009B51AB" w:rsidRPr="00A670B6">
        <w:rPr>
          <w:rFonts w:ascii="Cambria" w:hAnsi="Cambria"/>
          <w:szCs w:val="24"/>
          <w:lang w:val="en-US"/>
        </w:rPr>
        <w:t>new Regulation</w:t>
      </w:r>
      <w:r w:rsidR="00D10085" w:rsidRPr="00A670B6">
        <w:rPr>
          <w:rFonts w:ascii="Cambria" w:hAnsi="Cambria"/>
          <w:szCs w:val="24"/>
          <w:lang w:val="en-US"/>
        </w:rPr>
        <w:t xml:space="preserve"> also simplifies the circulation of decisions </w:t>
      </w:r>
      <w:r w:rsidR="005E1AD6" w:rsidRPr="00A670B6">
        <w:rPr>
          <w:rFonts w:ascii="Cambria" w:hAnsi="Cambria"/>
          <w:szCs w:val="24"/>
          <w:lang w:val="en-US"/>
        </w:rPr>
        <w:t>that are issued in</w:t>
      </w:r>
      <w:r w:rsidR="00F6018B" w:rsidRPr="00A670B6">
        <w:rPr>
          <w:rFonts w:ascii="Cambria" w:hAnsi="Cambria"/>
          <w:szCs w:val="24"/>
          <w:lang w:val="en-US"/>
        </w:rPr>
        <w:t xml:space="preserve"> the </w:t>
      </w:r>
      <w:r w:rsidR="00D10085" w:rsidRPr="00A670B6">
        <w:rPr>
          <w:rFonts w:ascii="Cambria" w:hAnsi="Cambria"/>
          <w:szCs w:val="24"/>
          <w:lang w:val="en-US"/>
        </w:rPr>
        <w:t xml:space="preserve">proceedings </w:t>
      </w:r>
      <w:r w:rsidR="005E1AD6" w:rsidRPr="00A670B6">
        <w:rPr>
          <w:rFonts w:ascii="Cambria" w:hAnsi="Cambria"/>
          <w:szCs w:val="24"/>
          <w:lang w:val="en-US"/>
        </w:rPr>
        <w:t xml:space="preserve">instituted </w:t>
      </w:r>
      <w:r w:rsidR="00C42C61" w:rsidRPr="00A670B6">
        <w:rPr>
          <w:rFonts w:ascii="Cambria" w:hAnsi="Cambria"/>
          <w:szCs w:val="24"/>
          <w:lang w:val="en-US"/>
        </w:rPr>
        <w:t xml:space="preserve">as </w:t>
      </w:r>
      <w:r w:rsidR="00D10085" w:rsidRPr="00A670B6">
        <w:rPr>
          <w:rFonts w:ascii="Cambria" w:hAnsi="Cambria"/>
          <w:szCs w:val="24"/>
          <w:lang w:val="en-US"/>
        </w:rPr>
        <w:t>from 1 August 2022.</w:t>
      </w:r>
      <w:r w:rsidR="00D10085" w:rsidRPr="009A61E5">
        <w:rPr>
          <w:rFonts w:ascii="Cambria" w:hAnsi="Cambria"/>
          <w:szCs w:val="24"/>
          <w:lang w:val="en-US"/>
        </w:rPr>
        <w:t xml:space="preserve"> </w:t>
      </w:r>
      <w:r w:rsidR="00F6018B">
        <w:rPr>
          <w:rFonts w:ascii="Cambria" w:hAnsi="Cambria"/>
          <w:szCs w:val="24"/>
          <w:lang w:val="en-US"/>
        </w:rPr>
        <w:t>The s</w:t>
      </w:r>
      <w:r w:rsidR="00F6018B" w:rsidRPr="009A61E5">
        <w:rPr>
          <w:rFonts w:ascii="Cambria" w:hAnsi="Cambria"/>
          <w:szCs w:val="24"/>
          <w:lang w:val="en-US"/>
        </w:rPr>
        <w:t xml:space="preserve">ame </w:t>
      </w:r>
      <w:r w:rsidR="00D10085" w:rsidRPr="009A61E5">
        <w:rPr>
          <w:rFonts w:ascii="Cambria" w:hAnsi="Cambria"/>
          <w:szCs w:val="24"/>
          <w:lang w:val="en-US"/>
        </w:rPr>
        <w:t>applies to authentic instruments</w:t>
      </w:r>
      <w:r w:rsidR="009B51AB" w:rsidRPr="009A61E5">
        <w:rPr>
          <w:rFonts w:ascii="Cambria" w:hAnsi="Cambria"/>
          <w:szCs w:val="24"/>
          <w:lang w:val="en-US"/>
        </w:rPr>
        <w:t xml:space="preserve"> formally</w:t>
      </w:r>
      <w:r w:rsidR="00D10085" w:rsidRPr="009A61E5">
        <w:rPr>
          <w:rFonts w:ascii="Cambria" w:hAnsi="Cambria"/>
          <w:szCs w:val="24"/>
          <w:lang w:val="en-US"/>
        </w:rPr>
        <w:t xml:space="preserve"> drawn up or registered and </w:t>
      </w:r>
      <w:r w:rsidR="009B51AB" w:rsidRPr="009A61E5">
        <w:rPr>
          <w:rFonts w:ascii="Cambria" w:hAnsi="Cambria"/>
          <w:szCs w:val="24"/>
          <w:lang w:val="en-US"/>
        </w:rPr>
        <w:t xml:space="preserve">to </w:t>
      </w:r>
      <w:r w:rsidR="00D10085" w:rsidRPr="009A61E5">
        <w:rPr>
          <w:rFonts w:ascii="Cambria" w:hAnsi="Cambria"/>
          <w:szCs w:val="24"/>
          <w:lang w:val="en-US"/>
        </w:rPr>
        <w:t xml:space="preserve">agreements </w:t>
      </w:r>
      <w:r w:rsidR="009B51AB" w:rsidRPr="009A61E5">
        <w:rPr>
          <w:rFonts w:ascii="Cambria" w:hAnsi="Cambria"/>
          <w:szCs w:val="24"/>
          <w:lang w:val="en-US"/>
        </w:rPr>
        <w:t>registered</w:t>
      </w:r>
      <w:r w:rsidRPr="009A61E5">
        <w:rPr>
          <w:rFonts w:ascii="Cambria" w:hAnsi="Cambria"/>
          <w:szCs w:val="24"/>
          <w:lang w:val="en-US"/>
        </w:rPr>
        <w:t xml:space="preserve"> on or after</w:t>
      </w:r>
      <w:r w:rsidR="00D10085" w:rsidRPr="009A61E5">
        <w:rPr>
          <w:rFonts w:ascii="Cambria" w:hAnsi="Cambria"/>
          <w:szCs w:val="24"/>
          <w:lang w:val="en-US"/>
        </w:rPr>
        <w:t xml:space="preserve"> that date</w:t>
      </w:r>
      <w:r w:rsidR="00E04541" w:rsidRPr="009A61E5">
        <w:rPr>
          <w:rStyle w:val="Appelnotedebasdep"/>
          <w:rFonts w:ascii="Cambria" w:hAnsi="Cambria"/>
          <w:szCs w:val="24"/>
        </w:rPr>
        <w:footnoteReference w:id="12"/>
      </w:r>
      <w:r w:rsidR="00E04541" w:rsidRPr="009A61E5">
        <w:rPr>
          <w:rFonts w:ascii="Cambria" w:hAnsi="Cambria"/>
          <w:szCs w:val="24"/>
          <w:lang w:val="en-US"/>
        </w:rPr>
        <w:t xml:space="preserve">. </w:t>
      </w:r>
      <w:r w:rsidR="00EA0298">
        <w:rPr>
          <w:rFonts w:ascii="Cambria" w:hAnsi="Cambria"/>
          <w:szCs w:val="24"/>
          <w:lang w:val="en-US"/>
        </w:rPr>
        <w:t xml:space="preserve">For proceedings instituted, judgments </w:t>
      </w:r>
      <w:proofErr w:type="gramStart"/>
      <w:r w:rsidR="00EA0298">
        <w:rPr>
          <w:rFonts w:ascii="Cambria" w:hAnsi="Cambria"/>
          <w:szCs w:val="24"/>
          <w:lang w:val="en-US"/>
        </w:rPr>
        <w:t>issued</w:t>
      </w:r>
      <w:proofErr w:type="gramEnd"/>
      <w:r w:rsidR="00EA0298">
        <w:rPr>
          <w:rFonts w:ascii="Cambria" w:hAnsi="Cambria"/>
          <w:szCs w:val="24"/>
          <w:lang w:val="en-US"/>
        </w:rPr>
        <w:t xml:space="preserve"> or instruments drawn up b</w:t>
      </w:r>
      <w:r w:rsidR="00D10085" w:rsidRPr="009A61E5">
        <w:rPr>
          <w:rFonts w:ascii="Cambria" w:hAnsi="Cambria"/>
          <w:szCs w:val="24"/>
          <w:lang w:val="en-US"/>
        </w:rPr>
        <w:t>efore the 1</w:t>
      </w:r>
      <w:r w:rsidR="009A3364" w:rsidRPr="009A61E5">
        <w:rPr>
          <w:rFonts w:ascii="Cambria" w:hAnsi="Cambria"/>
          <w:szCs w:val="24"/>
          <w:vertAlign w:val="superscript"/>
          <w:lang w:val="en-US"/>
        </w:rPr>
        <w:t>st</w:t>
      </w:r>
      <w:r w:rsidR="00D10085" w:rsidRPr="009A61E5">
        <w:rPr>
          <w:rFonts w:ascii="Cambria" w:hAnsi="Cambria"/>
          <w:szCs w:val="24"/>
          <w:lang w:val="en-US"/>
        </w:rPr>
        <w:t xml:space="preserve"> </w:t>
      </w:r>
      <w:r w:rsidR="00A73639">
        <w:rPr>
          <w:rFonts w:ascii="Cambria" w:hAnsi="Cambria"/>
          <w:szCs w:val="24"/>
          <w:lang w:val="en-US"/>
        </w:rPr>
        <w:t xml:space="preserve">of </w:t>
      </w:r>
      <w:r w:rsidR="00D10085" w:rsidRPr="009A61E5">
        <w:rPr>
          <w:rFonts w:ascii="Cambria" w:hAnsi="Cambria"/>
          <w:szCs w:val="24"/>
          <w:lang w:val="en-US"/>
        </w:rPr>
        <w:t xml:space="preserve">August milestone date, the former </w:t>
      </w:r>
      <w:r w:rsidR="005E0890" w:rsidRPr="009A61E5">
        <w:rPr>
          <w:rFonts w:ascii="Cambria" w:hAnsi="Cambria" w:cs="Times New Roman"/>
          <w:lang w:val="en-GB"/>
        </w:rPr>
        <w:t xml:space="preserve">Brussels </w:t>
      </w:r>
      <w:proofErr w:type="spellStart"/>
      <w:r w:rsidR="005E0890" w:rsidRPr="009A61E5">
        <w:rPr>
          <w:rFonts w:ascii="Cambria" w:hAnsi="Cambria" w:cs="Times New Roman"/>
          <w:lang w:val="en-GB"/>
        </w:rPr>
        <w:t>IIa</w:t>
      </w:r>
      <w:proofErr w:type="spellEnd"/>
      <w:r w:rsidR="005E0890" w:rsidRPr="009A61E5">
        <w:rPr>
          <w:rFonts w:ascii="Cambria" w:hAnsi="Cambria" w:cs="Times New Roman"/>
          <w:lang w:val="en-GB"/>
        </w:rPr>
        <w:t xml:space="preserve"> Regulation</w:t>
      </w:r>
      <w:r w:rsidR="00D10085" w:rsidRPr="009A61E5">
        <w:rPr>
          <w:rFonts w:ascii="Cambria" w:hAnsi="Cambria"/>
          <w:szCs w:val="24"/>
          <w:lang w:val="en-US"/>
        </w:rPr>
        <w:t xml:space="preserve"> </w:t>
      </w:r>
      <w:r w:rsidRPr="009A61E5">
        <w:rPr>
          <w:rFonts w:ascii="Cambria" w:hAnsi="Cambria"/>
          <w:szCs w:val="24"/>
          <w:lang w:val="en-US"/>
        </w:rPr>
        <w:t>continues to apply</w:t>
      </w:r>
      <w:r w:rsidR="00D10085" w:rsidRPr="009A61E5">
        <w:rPr>
          <w:rFonts w:ascii="Cambria" w:hAnsi="Cambria"/>
          <w:szCs w:val="24"/>
          <w:lang w:val="en-US"/>
        </w:rPr>
        <w:t>.</w:t>
      </w:r>
    </w:p>
    <w:p w14:paraId="35B20607" w14:textId="209CDA8F" w:rsidR="00E04541" w:rsidRPr="009A61E5" w:rsidRDefault="00A22632" w:rsidP="00996E80">
      <w:pPr>
        <w:pStyle w:val="Titre2"/>
        <w:numPr>
          <w:ilvl w:val="0"/>
          <w:numId w:val="4"/>
        </w:numPr>
        <w:rPr>
          <w:rFonts w:ascii="Cambria" w:hAnsi="Cambria"/>
          <w:lang w:val="en-US"/>
        </w:rPr>
      </w:pPr>
      <w:r w:rsidRPr="009A61E5">
        <w:rPr>
          <w:rFonts w:ascii="Cambria" w:hAnsi="Cambria"/>
          <w:lang w:val="en-GB"/>
        </w:rPr>
        <w:t>Scope</w:t>
      </w:r>
      <w:r w:rsidR="008D10D2" w:rsidRPr="009A61E5">
        <w:rPr>
          <w:rFonts w:ascii="Cambria" w:hAnsi="Cambria"/>
          <w:lang w:val="en-GB"/>
        </w:rPr>
        <w:t xml:space="preserve"> of </w:t>
      </w:r>
      <w:r w:rsidR="00F05B49">
        <w:rPr>
          <w:rFonts w:ascii="Cambria" w:hAnsi="Cambria"/>
          <w:lang w:val="en-GB"/>
        </w:rPr>
        <w:t>A</w:t>
      </w:r>
      <w:r w:rsidR="008D10D2" w:rsidRPr="009A61E5">
        <w:rPr>
          <w:rFonts w:ascii="Cambria" w:hAnsi="Cambria"/>
          <w:lang w:val="en-GB"/>
        </w:rPr>
        <w:t>pplication</w:t>
      </w:r>
      <w:r w:rsidRPr="009A61E5">
        <w:rPr>
          <w:rFonts w:ascii="Cambria" w:hAnsi="Cambria"/>
          <w:lang w:val="en-GB"/>
        </w:rPr>
        <w:t xml:space="preserve"> </w:t>
      </w:r>
      <w:r w:rsidR="00F05B49">
        <w:rPr>
          <w:rFonts w:ascii="Cambria" w:hAnsi="Cambria"/>
          <w:i/>
          <w:lang w:val="en-GB"/>
        </w:rPr>
        <w:t>R</w:t>
      </w:r>
      <w:r w:rsidRPr="009A61E5">
        <w:rPr>
          <w:rFonts w:ascii="Cambria" w:hAnsi="Cambria"/>
          <w:i/>
          <w:lang w:val="en-GB"/>
        </w:rPr>
        <w:t xml:space="preserve">atione </w:t>
      </w:r>
      <w:proofErr w:type="spellStart"/>
      <w:r w:rsidR="00F05B49">
        <w:rPr>
          <w:rFonts w:ascii="Cambria" w:hAnsi="Cambria"/>
          <w:i/>
          <w:lang w:val="en-GB"/>
        </w:rPr>
        <w:t>M</w:t>
      </w:r>
      <w:r w:rsidRPr="009A61E5">
        <w:rPr>
          <w:rFonts w:ascii="Cambria" w:hAnsi="Cambria"/>
          <w:i/>
          <w:lang w:val="en-GB"/>
        </w:rPr>
        <w:t>ateriae</w:t>
      </w:r>
      <w:proofErr w:type="spellEnd"/>
      <w:r w:rsidRPr="009A61E5">
        <w:rPr>
          <w:rFonts w:ascii="Cambria" w:hAnsi="Cambria"/>
          <w:lang w:val="en-GB"/>
        </w:rPr>
        <w:t xml:space="preserve"> – </w:t>
      </w:r>
      <w:r w:rsidR="00172756" w:rsidRPr="009A61E5">
        <w:rPr>
          <w:rFonts w:ascii="Cambria" w:hAnsi="Cambria"/>
          <w:lang w:val="en-US"/>
        </w:rPr>
        <w:t>T</w:t>
      </w:r>
      <w:r w:rsidR="00EA0298">
        <w:rPr>
          <w:rFonts w:ascii="Cambria" w:hAnsi="Cambria"/>
          <w:lang w:val="en-US"/>
        </w:rPr>
        <w:t xml:space="preserve">he </w:t>
      </w:r>
      <w:r w:rsidR="00F05B49">
        <w:rPr>
          <w:rFonts w:ascii="Cambria" w:hAnsi="Cambria"/>
          <w:lang w:val="en-US"/>
        </w:rPr>
        <w:t>A</w:t>
      </w:r>
      <w:r w:rsidR="00EA0298">
        <w:rPr>
          <w:rFonts w:ascii="Cambria" w:hAnsi="Cambria"/>
          <w:lang w:val="en-US"/>
        </w:rPr>
        <w:t xml:space="preserve">mbit of the </w:t>
      </w:r>
      <w:r w:rsidR="00172756" w:rsidRPr="009A61E5">
        <w:rPr>
          <w:rFonts w:ascii="Cambria" w:hAnsi="Cambria"/>
          <w:lang w:val="en-US"/>
        </w:rPr>
        <w:t>Recast</w:t>
      </w:r>
      <w:r w:rsidR="00E04541" w:rsidRPr="009A61E5">
        <w:rPr>
          <w:rFonts w:ascii="Cambria" w:hAnsi="Cambria"/>
          <w:lang w:val="en-US"/>
        </w:rPr>
        <w:t xml:space="preserve"> </w:t>
      </w:r>
    </w:p>
    <w:p w14:paraId="099E0C5E" w14:textId="7108EBE9" w:rsidR="00E04541" w:rsidRPr="009A61E5" w:rsidRDefault="00833741" w:rsidP="003B69BA">
      <w:pPr>
        <w:jc w:val="both"/>
        <w:rPr>
          <w:rFonts w:ascii="Cambria" w:hAnsi="Cambria" w:cs="Times New Roman"/>
          <w:lang w:val="en-US"/>
        </w:rPr>
      </w:pPr>
      <w:r w:rsidRPr="009A61E5">
        <w:rPr>
          <w:rFonts w:ascii="Cambria" w:hAnsi="Cambria" w:cs="Times New Roman"/>
          <w:lang w:val="en-US"/>
        </w:rPr>
        <w:t xml:space="preserve">The material scope of the Regulation has not changed significantly </w:t>
      </w:r>
      <w:r w:rsidR="0021019C" w:rsidRPr="009A61E5">
        <w:rPr>
          <w:rFonts w:ascii="Cambria" w:hAnsi="Cambria" w:cs="Times New Roman"/>
          <w:lang w:val="en-US"/>
        </w:rPr>
        <w:t>(e</w:t>
      </w:r>
      <w:r w:rsidRPr="009A61E5">
        <w:rPr>
          <w:rFonts w:ascii="Cambria" w:hAnsi="Cambria" w:cs="Times New Roman"/>
          <w:lang w:val="en-US"/>
        </w:rPr>
        <w:t>xcept for ‘out-of-court divorces’</w:t>
      </w:r>
      <w:r w:rsidR="0021019C" w:rsidRPr="009A61E5">
        <w:rPr>
          <w:rFonts w:ascii="Cambria" w:hAnsi="Cambria" w:cs="Times New Roman"/>
          <w:lang w:val="en-US"/>
        </w:rPr>
        <w:t xml:space="preserve">, see </w:t>
      </w:r>
      <w:r w:rsidR="00CC5800" w:rsidRPr="009A61E5">
        <w:rPr>
          <w:rFonts w:ascii="Cambria" w:hAnsi="Cambria" w:cs="Times New Roman"/>
          <w:lang w:val="en-US"/>
        </w:rPr>
        <w:t>below</w:t>
      </w:r>
      <w:r w:rsidR="00A22632" w:rsidRPr="009A61E5">
        <w:rPr>
          <w:rFonts w:ascii="Cambria" w:hAnsi="Cambria" w:cs="Times New Roman"/>
          <w:lang w:val="en-US"/>
        </w:rPr>
        <w:t xml:space="preserve"> point </w:t>
      </w:r>
      <w:proofErr w:type="spellStart"/>
      <w:r w:rsidR="00965CF7">
        <w:rPr>
          <w:rFonts w:ascii="Cambria" w:hAnsi="Cambria" w:cs="Times New Roman"/>
          <w:lang w:val="en-US"/>
        </w:rPr>
        <w:t>II.d</w:t>
      </w:r>
      <w:proofErr w:type="spellEnd"/>
      <w:r w:rsidR="00965CF7">
        <w:rPr>
          <w:rFonts w:ascii="Cambria" w:hAnsi="Cambria" w:cs="Times New Roman"/>
          <w:lang w:val="en-US"/>
        </w:rPr>
        <w:t>.</w:t>
      </w:r>
      <w:r w:rsidR="0021019C" w:rsidRPr="009A61E5">
        <w:rPr>
          <w:rFonts w:ascii="Cambria" w:hAnsi="Cambria" w:cs="Times New Roman"/>
          <w:lang w:val="en-US"/>
        </w:rPr>
        <w:t>)</w:t>
      </w:r>
      <w:r w:rsidRPr="009A61E5">
        <w:rPr>
          <w:rFonts w:ascii="Cambria" w:hAnsi="Cambria" w:cs="Times New Roman"/>
          <w:lang w:val="en-US"/>
        </w:rPr>
        <w:t xml:space="preserve">. </w:t>
      </w:r>
      <w:r w:rsidR="003A3363" w:rsidRPr="009A61E5">
        <w:rPr>
          <w:rFonts w:ascii="Cambria" w:hAnsi="Cambria" w:cs="Times New Roman"/>
          <w:lang w:val="en-US"/>
        </w:rPr>
        <w:t xml:space="preserve">Maintenance </w:t>
      </w:r>
      <w:r w:rsidR="006745BB" w:rsidRPr="009A61E5">
        <w:rPr>
          <w:rFonts w:ascii="Cambria" w:hAnsi="Cambria" w:cs="Times New Roman"/>
          <w:lang w:val="en-US"/>
        </w:rPr>
        <w:t>obligations</w:t>
      </w:r>
      <w:r w:rsidR="000644C9" w:rsidRPr="009A61E5">
        <w:rPr>
          <w:rStyle w:val="Appelnotedebasdep"/>
          <w:rFonts w:ascii="Cambria" w:hAnsi="Cambria" w:cs="Times New Roman"/>
          <w:lang w:val="en-US"/>
        </w:rPr>
        <w:footnoteReference w:id="13"/>
      </w:r>
      <w:r w:rsidR="003A3363" w:rsidRPr="009A61E5">
        <w:rPr>
          <w:rFonts w:ascii="Cambria" w:hAnsi="Cambria" w:cs="Times New Roman"/>
          <w:lang w:val="en-US"/>
        </w:rPr>
        <w:t xml:space="preserve"> or liquidation of the matrimonial regime</w:t>
      </w:r>
      <w:r w:rsidR="003A3363" w:rsidRPr="009A61E5">
        <w:rPr>
          <w:rStyle w:val="Appelnotedebasdep"/>
          <w:rFonts w:ascii="Cambria" w:hAnsi="Cambria" w:cs="Times New Roman"/>
          <w:lang w:val="en-US"/>
        </w:rPr>
        <w:footnoteReference w:id="14"/>
      </w:r>
      <w:r w:rsidR="003A3363" w:rsidRPr="009A61E5">
        <w:rPr>
          <w:rFonts w:ascii="Cambria" w:hAnsi="Cambria" w:cs="Times New Roman"/>
          <w:lang w:val="en-US"/>
        </w:rPr>
        <w:t xml:space="preserve"> are </w:t>
      </w:r>
      <w:r w:rsidR="0021019C" w:rsidRPr="009A61E5">
        <w:rPr>
          <w:rFonts w:ascii="Cambria" w:hAnsi="Cambria" w:cs="Times New Roman"/>
          <w:lang w:val="en-US"/>
        </w:rPr>
        <w:t xml:space="preserve">still </w:t>
      </w:r>
      <w:r w:rsidR="003A3363" w:rsidRPr="009A61E5">
        <w:rPr>
          <w:rFonts w:ascii="Cambria" w:hAnsi="Cambria" w:cs="Times New Roman"/>
          <w:lang w:val="en-US"/>
        </w:rPr>
        <w:t xml:space="preserve">not covered by the scope of the Recast. For the practitioner, this </w:t>
      </w:r>
      <w:r w:rsidR="0005773B" w:rsidRPr="009A61E5">
        <w:rPr>
          <w:rFonts w:ascii="Cambria" w:hAnsi="Cambria" w:cs="Times New Roman"/>
          <w:lang w:val="en-US"/>
        </w:rPr>
        <w:t xml:space="preserve">implies the need </w:t>
      </w:r>
      <w:r w:rsidR="003A3363" w:rsidRPr="009A61E5">
        <w:rPr>
          <w:rFonts w:ascii="Cambria" w:hAnsi="Cambria" w:cs="Times New Roman"/>
          <w:lang w:val="en-US"/>
        </w:rPr>
        <w:t xml:space="preserve">to </w:t>
      </w:r>
      <w:r w:rsidR="005132A9">
        <w:rPr>
          <w:rFonts w:ascii="Cambria" w:hAnsi="Cambria" w:cs="Times New Roman"/>
          <w:lang w:val="en-US"/>
        </w:rPr>
        <w:t>resort to</w:t>
      </w:r>
      <w:r w:rsidR="005132A9" w:rsidRPr="009A61E5">
        <w:rPr>
          <w:rFonts w:ascii="Cambria" w:hAnsi="Cambria" w:cs="Times New Roman"/>
          <w:lang w:val="en-US"/>
        </w:rPr>
        <w:t xml:space="preserve"> </w:t>
      </w:r>
      <w:r w:rsidR="003A3363" w:rsidRPr="009A61E5">
        <w:rPr>
          <w:rFonts w:ascii="Cambria" w:hAnsi="Cambria" w:cs="Times New Roman"/>
          <w:lang w:val="en-US"/>
        </w:rPr>
        <w:t>multiple legal instruments depending on the point of law. Moreover, the</w:t>
      </w:r>
      <w:r w:rsidR="00BD1D33" w:rsidRPr="009A61E5">
        <w:rPr>
          <w:rFonts w:ascii="Cambria" w:hAnsi="Cambria" w:cs="Times New Roman"/>
          <w:lang w:val="en-US"/>
        </w:rPr>
        <w:t xml:space="preserve"> various</w:t>
      </w:r>
      <w:r w:rsidR="003A3363" w:rsidRPr="009A61E5">
        <w:rPr>
          <w:rFonts w:ascii="Cambria" w:hAnsi="Cambria" w:cs="Times New Roman"/>
          <w:lang w:val="en-US"/>
        </w:rPr>
        <w:t xml:space="preserve"> instruments do not always cover the whole reasoning of private international law (jurisdiction, applicable law, recognition and enforcement). Within the same procedure, the practi</w:t>
      </w:r>
      <w:r w:rsidR="000D0C7B">
        <w:rPr>
          <w:rFonts w:ascii="Cambria" w:hAnsi="Cambria" w:cs="Times New Roman"/>
          <w:lang w:val="en-US"/>
        </w:rPr>
        <w:t>ti</w:t>
      </w:r>
      <w:r w:rsidR="003A3363" w:rsidRPr="009A61E5">
        <w:rPr>
          <w:rFonts w:ascii="Cambria" w:hAnsi="Cambria" w:cs="Times New Roman"/>
          <w:lang w:val="en-US"/>
        </w:rPr>
        <w:t xml:space="preserve">oner will have to juggle </w:t>
      </w:r>
      <w:r w:rsidR="005132A9">
        <w:rPr>
          <w:rFonts w:ascii="Cambria" w:hAnsi="Cambria" w:cs="Times New Roman"/>
          <w:lang w:val="en-US"/>
        </w:rPr>
        <w:t xml:space="preserve">with </w:t>
      </w:r>
      <w:r w:rsidR="003A3363" w:rsidRPr="009A61E5">
        <w:rPr>
          <w:rFonts w:ascii="Cambria" w:hAnsi="Cambria" w:cs="Times New Roman"/>
          <w:lang w:val="en-US"/>
        </w:rPr>
        <w:t xml:space="preserve">European regulations, Hague Conventions and their national rules of private international law. For example, the Brussels </w:t>
      </w:r>
      <w:r w:rsidR="005E0890" w:rsidRPr="009A61E5">
        <w:rPr>
          <w:rFonts w:ascii="Cambria" w:hAnsi="Cambria" w:cs="Times New Roman"/>
          <w:lang w:val="en-US"/>
        </w:rPr>
        <w:t>IIb Regulation</w:t>
      </w:r>
      <w:r w:rsidR="003A3363" w:rsidRPr="009A61E5">
        <w:rPr>
          <w:rFonts w:ascii="Cambria" w:hAnsi="Cambria" w:cs="Times New Roman"/>
          <w:lang w:val="en-US"/>
        </w:rPr>
        <w:t xml:space="preserve"> determines the court that has jurisdiction to hear divorce proceedings, whereas the Rome III Regulation governs the law that the designated judge must apply</w:t>
      </w:r>
      <w:r w:rsidR="003A3363" w:rsidRPr="009A61E5">
        <w:rPr>
          <w:rFonts w:ascii="Cambria" w:hAnsi="Cambria" w:cs="Times New Roman"/>
          <w:vertAlign w:val="superscript"/>
        </w:rPr>
        <w:footnoteReference w:id="15"/>
      </w:r>
      <w:r w:rsidR="003A3363" w:rsidRPr="009A61E5">
        <w:rPr>
          <w:rFonts w:ascii="Cambria" w:hAnsi="Cambria" w:cs="Times New Roman"/>
          <w:lang w:val="en-US"/>
        </w:rPr>
        <w:t>.</w:t>
      </w:r>
    </w:p>
    <w:p w14:paraId="0F4D331D" w14:textId="473A165C" w:rsidR="00E04541" w:rsidRPr="009A61E5" w:rsidRDefault="00BD1D33" w:rsidP="00996E80">
      <w:pPr>
        <w:pStyle w:val="Titre2"/>
        <w:numPr>
          <w:ilvl w:val="0"/>
          <w:numId w:val="4"/>
        </w:numPr>
        <w:rPr>
          <w:rFonts w:ascii="Cambria" w:hAnsi="Cambria"/>
          <w:i/>
          <w:iCs/>
          <w:lang w:val="en-GB"/>
        </w:rPr>
      </w:pPr>
      <w:r w:rsidRPr="009A61E5">
        <w:rPr>
          <w:rFonts w:ascii="Cambria" w:hAnsi="Cambria"/>
          <w:lang w:val="en-GB"/>
        </w:rPr>
        <w:t xml:space="preserve">Scope of </w:t>
      </w:r>
      <w:r w:rsidR="00F05B49">
        <w:rPr>
          <w:rFonts w:ascii="Cambria" w:hAnsi="Cambria"/>
          <w:lang w:val="en-GB"/>
        </w:rPr>
        <w:t>A</w:t>
      </w:r>
      <w:r w:rsidRPr="009A61E5">
        <w:rPr>
          <w:rFonts w:ascii="Cambria" w:hAnsi="Cambria"/>
          <w:lang w:val="en-GB"/>
        </w:rPr>
        <w:t xml:space="preserve">pplication </w:t>
      </w:r>
      <w:r w:rsidR="00F05B49">
        <w:rPr>
          <w:rFonts w:ascii="Cambria" w:hAnsi="Cambria"/>
          <w:i/>
          <w:lang w:val="en-GB"/>
        </w:rPr>
        <w:t>R</w:t>
      </w:r>
      <w:r w:rsidRPr="009A61E5">
        <w:rPr>
          <w:rFonts w:ascii="Cambria" w:hAnsi="Cambria"/>
          <w:i/>
          <w:lang w:val="en-GB"/>
        </w:rPr>
        <w:t xml:space="preserve">atione </w:t>
      </w:r>
      <w:r w:rsidR="00F05B49">
        <w:rPr>
          <w:rFonts w:ascii="Cambria" w:hAnsi="Cambria"/>
          <w:i/>
          <w:lang w:val="en-GB"/>
        </w:rPr>
        <w:t>L</w:t>
      </w:r>
      <w:r w:rsidRPr="009A61E5">
        <w:rPr>
          <w:rFonts w:ascii="Cambria" w:hAnsi="Cambria"/>
          <w:i/>
          <w:lang w:val="en-GB"/>
        </w:rPr>
        <w:t>oci</w:t>
      </w:r>
      <w:r w:rsidRPr="009A61E5">
        <w:rPr>
          <w:rFonts w:ascii="Cambria" w:hAnsi="Cambria"/>
          <w:lang w:val="en-GB"/>
        </w:rPr>
        <w:t xml:space="preserve"> – Where </w:t>
      </w:r>
      <w:r w:rsidR="00F05B49">
        <w:rPr>
          <w:rFonts w:ascii="Cambria" w:hAnsi="Cambria"/>
          <w:lang w:val="en-GB"/>
        </w:rPr>
        <w:t>Do</w:t>
      </w:r>
      <w:r w:rsidRPr="009A61E5">
        <w:rPr>
          <w:rFonts w:ascii="Cambria" w:hAnsi="Cambria"/>
          <w:lang w:val="en-GB"/>
        </w:rPr>
        <w:t xml:space="preserve">es the Recast </w:t>
      </w:r>
      <w:r w:rsidR="00F05B49">
        <w:rPr>
          <w:rFonts w:ascii="Cambria" w:hAnsi="Cambria"/>
          <w:lang w:val="en-GB"/>
        </w:rPr>
        <w:t>A</w:t>
      </w:r>
      <w:r w:rsidRPr="009A61E5">
        <w:rPr>
          <w:rFonts w:ascii="Cambria" w:hAnsi="Cambria"/>
          <w:lang w:val="en-GB"/>
        </w:rPr>
        <w:t>pply</w:t>
      </w:r>
      <w:r w:rsidR="00E04541" w:rsidRPr="009A61E5">
        <w:rPr>
          <w:rFonts w:ascii="Cambria" w:hAnsi="Cambria"/>
          <w:lang w:val="en-GB"/>
        </w:rPr>
        <w:t>?</w:t>
      </w:r>
    </w:p>
    <w:p w14:paraId="6321D2C7" w14:textId="5CE61ECF" w:rsidR="00F34AAC" w:rsidRPr="009A61E5" w:rsidRDefault="00F34AAC" w:rsidP="003B69BA">
      <w:pPr>
        <w:jc w:val="both"/>
        <w:rPr>
          <w:rFonts w:ascii="Cambria" w:hAnsi="Cambria"/>
          <w:szCs w:val="24"/>
          <w:lang w:val="en-US"/>
        </w:rPr>
      </w:pPr>
      <w:r w:rsidRPr="009A61E5">
        <w:rPr>
          <w:rFonts w:ascii="Cambria" w:hAnsi="Cambria"/>
          <w:szCs w:val="24"/>
          <w:lang w:val="en-US"/>
        </w:rPr>
        <w:t xml:space="preserve">The Brussels Regulation </w:t>
      </w:r>
      <w:r w:rsidR="005132A9" w:rsidRPr="009A61E5">
        <w:rPr>
          <w:rFonts w:ascii="Cambria" w:hAnsi="Cambria"/>
          <w:szCs w:val="24"/>
          <w:lang w:val="en-US"/>
        </w:rPr>
        <w:t>w</w:t>
      </w:r>
      <w:r w:rsidR="005132A9">
        <w:rPr>
          <w:rFonts w:ascii="Cambria" w:hAnsi="Cambria"/>
          <w:szCs w:val="24"/>
          <w:lang w:val="en-US"/>
        </w:rPr>
        <w:t>as</w:t>
      </w:r>
      <w:r w:rsidR="005132A9" w:rsidRPr="009A61E5">
        <w:rPr>
          <w:rFonts w:ascii="Cambria" w:hAnsi="Cambria"/>
          <w:szCs w:val="24"/>
          <w:lang w:val="en-US"/>
        </w:rPr>
        <w:t xml:space="preserve"> </w:t>
      </w:r>
      <w:r w:rsidRPr="009A61E5">
        <w:rPr>
          <w:rFonts w:ascii="Cambria" w:hAnsi="Cambria"/>
          <w:szCs w:val="24"/>
          <w:lang w:val="en-US"/>
        </w:rPr>
        <w:t>never intended to apply to Denmark</w:t>
      </w:r>
      <w:r w:rsidR="00F06C00">
        <w:rPr>
          <w:rFonts w:ascii="Cambria" w:hAnsi="Cambria"/>
          <w:szCs w:val="24"/>
          <w:lang w:val="en-US"/>
        </w:rPr>
        <w:t xml:space="preserve"> and, s</w:t>
      </w:r>
      <w:r w:rsidR="00FA30D0">
        <w:rPr>
          <w:rFonts w:ascii="Cambria" w:hAnsi="Cambria"/>
          <w:szCs w:val="24"/>
          <w:lang w:val="en-US"/>
        </w:rPr>
        <w:t>ince they left the EU,</w:t>
      </w:r>
      <w:r w:rsidRPr="009A61E5">
        <w:rPr>
          <w:rFonts w:ascii="Cambria" w:hAnsi="Cambria"/>
          <w:szCs w:val="24"/>
          <w:lang w:val="en-US"/>
        </w:rPr>
        <w:t xml:space="preserve"> </w:t>
      </w:r>
      <w:r w:rsidR="000F1381">
        <w:rPr>
          <w:rFonts w:ascii="Cambria" w:hAnsi="Cambria"/>
          <w:szCs w:val="24"/>
          <w:lang w:val="en-US"/>
        </w:rPr>
        <w:t>it</w:t>
      </w:r>
      <w:r w:rsidRPr="009A61E5">
        <w:rPr>
          <w:rFonts w:ascii="Cambria" w:hAnsi="Cambria"/>
          <w:szCs w:val="24"/>
          <w:lang w:val="en-US"/>
        </w:rPr>
        <w:t xml:space="preserve"> no longer appl</w:t>
      </w:r>
      <w:r w:rsidR="00FA231B">
        <w:rPr>
          <w:rFonts w:ascii="Cambria" w:hAnsi="Cambria"/>
          <w:szCs w:val="24"/>
          <w:lang w:val="en-US"/>
        </w:rPr>
        <w:t>ies</w:t>
      </w:r>
      <w:r w:rsidRPr="009A61E5">
        <w:rPr>
          <w:rFonts w:ascii="Cambria" w:hAnsi="Cambria"/>
          <w:szCs w:val="24"/>
          <w:lang w:val="en-US"/>
        </w:rPr>
        <w:t xml:space="preserve"> to the United Kingdom</w:t>
      </w:r>
      <w:r w:rsidR="00FA30D0">
        <w:rPr>
          <w:rFonts w:ascii="Cambria" w:hAnsi="Cambria"/>
          <w:szCs w:val="24"/>
          <w:lang w:val="en-US"/>
        </w:rPr>
        <w:t xml:space="preserve"> and Northern Ireland</w:t>
      </w:r>
      <w:r w:rsidR="00724019" w:rsidRPr="009A61E5">
        <w:rPr>
          <w:rStyle w:val="Appelnotedebasdep"/>
          <w:rFonts w:ascii="Cambria" w:hAnsi="Cambria"/>
          <w:szCs w:val="24"/>
        </w:rPr>
        <w:footnoteReference w:id="16"/>
      </w:r>
      <w:r w:rsidRPr="009A61E5">
        <w:rPr>
          <w:rFonts w:ascii="Cambria" w:hAnsi="Cambria"/>
          <w:szCs w:val="24"/>
          <w:lang w:val="en-US"/>
        </w:rPr>
        <w:t xml:space="preserve">. As of 1 </w:t>
      </w:r>
      <w:r w:rsidR="00825F64">
        <w:rPr>
          <w:rFonts w:ascii="Cambria" w:hAnsi="Cambria"/>
          <w:szCs w:val="24"/>
          <w:lang w:val="en-US"/>
        </w:rPr>
        <w:t xml:space="preserve">of </w:t>
      </w:r>
      <w:r w:rsidRPr="009A61E5">
        <w:rPr>
          <w:rFonts w:ascii="Cambria" w:hAnsi="Cambria"/>
          <w:szCs w:val="24"/>
          <w:lang w:val="en-US"/>
        </w:rPr>
        <w:t xml:space="preserve">January 2021, the United Kingdom courts no longer </w:t>
      </w:r>
      <w:r w:rsidR="005132A9" w:rsidRPr="009A61E5">
        <w:rPr>
          <w:rFonts w:ascii="Cambria" w:hAnsi="Cambria"/>
          <w:szCs w:val="24"/>
          <w:lang w:val="en-US"/>
        </w:rPr>
        <w:t>us</w:t>
      </w:r>
      <w:r w:rsidR="005132A9">
        <w:rPr>
          <w:rFonts w:ascii="Cambria" w:hAnsi="Cambria"/>
          <w:szCs w:val="24"/>
          <w:lang w:val="en-US"/>
        </w:rPr>
        <w:t>e</w:t>
      </w:r>
      <w:r w:rsidR="005132A9" w:rsidRPr="009A61E5">
        <w:rPr>
          <w:rFonts w:ascii="Cambria" w:hAnsi="Cambria"/>
          <w:szCs w:val="24"/>
          <w:lang w:val="en-US"/>
        </w:rPr>
        <w:t xml:space="preserve"> </w:t>
      </w:r>
      <w:r w:rsidRPr="009A61E5">
        <w:rPr>
          <w:rFonts w:ascii="Cambria" w:hAnsi="Cambria"/>
          <w:szCs w:val="24"/>
          <w:lang w:val="en-US"/>
        </w:rPr>
        <w:t xml:space="preserve">the Regulation as a basis for international jurisdiction. Likewise </w:t>
      </w:r>
      <w:r w:rsidR="000D0C7B">
        <w:rPr>
          <w:rFonts w:ascii="Cambria" w:hAnsi="Cambria"/>
          <w:szCs w:val="24"/>
          <w:lang w:val="en-US"/>
        </w:rPr>
        <w:t>British</w:t>
      </w:r>
      <w:r w:rsidRPr="009A61E5">
        <w:rPr>
          <w:rFonts w:ascii="Cambria" w:hAnsi="Cambria"/>
          <w:szCs w:val="24"/>
          <w:lang w:val="en-US"/>
        </w:rPr>
        <w:t xml:space="preserve"> decisions and documents </w:t>
      </w:r>
      <w:r w:rsidR="005132A9">
        <w:rPr>
          <w:rFonts w:ascii="Cambria" w:hAnsi="Cambria"/>
          <w:szCs w:val="24"/>
          <w:lang w:val="en-US"/>
        </w:rPr>
        <w:t>are</w:t>
      </w:r>
      <w:r w:rsidR="005132A9" w:rsidRPr="009A61E5">
        <w:rPr>
          <w:rFonts w:ascii="Cambria" w:hAnsi="Cambria"/>
          <w:szCs w:val="24"/>
          <w:lang w:val="en-US"/>
        </w:rPr>
        <w:t xml:space="preserve"> </w:t>
      </w:r>
      <w:r w:rsidRPr="009A61E5">
        <w:rPr>
          <w:rFonts w:ascii="Cambria" w:hAnsi="Cambria"/>
          <w:szCs w:val="24"/>
          <w:lang w:val="en-US"/>
        </w:rPr>
        <w:t xml:space="preserve">no longer circulating </w:t>
      </w:r>
      <w:proofErr w:type="gramStart"/>
      <w:r w:rsidRPr="009A61E5">
        <w:rPr>
          <w:rFonts w:ascii="Cambria" w:hAnsi="Cambria"/>
          <w:szCs w:val="24"/>
          <w:lang w:val="en-US"/>
        </w:rPr>
        <w:t>on the basis of</w:t>
      </w:r>
      <w:proofErr w:type="gramEnd"/>
      <w:r w:rsidRPr="009A61E5">
        <w:rPr>
          <w:rFonts w:ascii="Cambria" w:hAnsi="Cambria"/>
          <w:szCs w:val="24"/>
          <w:lang w:val="en-US"/>
        </w:rPr>
        <w:t xml:space="preserve"> the Regulation</w:t>
      </w:r>
      <w:r w:rsidR="00724019" w:rsidRPr="009A61E5">
        <w:rPr>
          <w:rStyle w:val="Appelnotedebasdep"/>
          <w:rFonts w:ascii="Cambria" w:hAnsi="Cambria"/>
          <w:szCs w:val="24"/>
        </w:rPr>
        <w:footnoteReference w:id="17"/>
      </w:r>
      <w:r w:rsidRPr="009A61E5">
        <w:rPr>
          <w:rFonts w:ascii="Cambria" w:hAnsi="Cambria"/>
          <w:szCs w:val="24"/>
          <w:lang w:val="en-US"/>
        </w:rPr>
        <w:t xml:space="preserve">. Although </w:t>
      </w:r>
      <w:r w:rsidR="00175B80" w:rsidRPr="009A61E5">
        <w:rPr>
          <w:rFonts w:ascii="Cambria" w:hAnsi="Cambria"/>
          <w:szCs w:val="24"/>
          <w:lang w:val="en-US"/>
        </w:rPr>
        <w:t>it</w:t>
      </w:r>
      <w:r w:rsidR="00F06C00">
        <w:rPr>
          <w:rFonts w:ascii="Cambria" w:hAnsi="Cambria"/>
          <w:szCs w:val="24"/>
          <w:lang w:val="en-US"/>
        </w:rPr>
        <w:t xml:space="preserve"> could </w:t>
      </w:r>
      <w:r w:rsidR="000F1381">
        <w:rPr>
          <w:rFonts w:ascii="Cambria" w:hAnsi="Cambria"/>
          <w:szCs w:val="24"/>
          <w:lang w:val="en-US"/>
        </w:rPr>
        <w:t>seem</w:t>
      </w:r>
      <w:r w:rsidR="00F06C00">
        <w:rPr>
          <w:rFonts w:ascii="Cambria" w:hAnsi="Cambria"/>
          <w:szCs w:val="24"/>
          <w:lang w:val="en-US"/>
        </w:rPr>
        <w:t xml:space="preserve"> obvious that the Regulation</w:t>
      </w:r>
      <w:r w:rsidR="00175B80" w:rsidRPr="009A61E5">
        <w:rPr>
          <w:rFonts w:ascii="Cambria" w:hAnsi="Cambria"/>
          <w:szCs w:val="24"/>
          <w:lang w:val="en-US"/>
        </w:rPr>
        <w:t xml:space="preserve"> </w:t>
      </w:r>
      <w:r w:rsidRPr="009A61E5">
        <w:rPr>
          <w:rFonts w:ascii="Cambria" w:hAnsi="Cambria"/>
          <w:szCs w:val="24"/>
          <w:lang w:val="en-US"/>
        </w:rPr>
        <w:t xml:space="preserve">no longer applies in the United Kingdom, it may still be relevant </w:t>
      </w:r>
      <w:r w:rsidR="000C585D">
        <w:rPr>
          <w:rFonts w:ascii="Cambria" w:hAnsi="Cambria"/>
          <w:szCs w:val="24"/>
          <w:lang w:val="en-US"/>
        </w:rPr>
        <w:t xml:space="preserve">in the remaining Member States </w:t>
      </w:r>
      <w:r w:rsidRPr="009A61E5">
        <w:rPr>
          <w:rFonts w:ascii="Cambria" w:hAnsi="Cambria"/>
          <w:szCs w:val="24"/>
          <w:lang w:val="en-US"/>
        </w:rPr>
        <w:t xml:space="preserve">to disputes involving British </w:t>
      </w:r>
      <w:proofErr w:type="gramStart"/>
      <w:r w:rsidRPr="009A61E5">
        <w:rPr>
          <w:rFonts w:ascii="Cambria" w:hAnsi="Cambria"/>
          <w:szCs w:val="24"/>
          <w:lang w:val="en-US"/>
        </w:rPr>
        <w:t>nationals</w:t>
      </w:r>
      <w:proofErr w:type="gramEnd"/>
      <w:r w:rsidRPr="009A61E5">
        <w:rPr>
          <w:rFonts w:ascii="Cambria" w:hAnsi="Cambria"/>
          <w:szCs w:val="24"/>
          <w:lang w:val="en-US"/>
        </w:rPr>
        <w:t xml:space="preserve"> resident in</w:t>
      </w:r>
      <w:r w:rsidR="005E2E5E">
        <w:rPr>
          <w:rFonts w:ascii="Cambria" w:hAnsi="Cambria"/>
          <w:szCs w:val="24"/>
          <w:lang w:val="en-US"/>
        </w:rPr>
        <w:t xml:space="preserve"> a</w:t>
      </w:r>
      <w:r w:rsidRPr="009A61E5">
        <w:rPr>
          <w:rFonts w:ascii="Cambria" w:hAnsi="Cambria"/>
          <w:szCs w:val="24"/>
          <w:lang w:val="en-US"/>
        </w:rPr>
        <w:t xml:space="preserve"> Member State. Indeed, under certain conditions, the Regulation also applies to nationals of third countries</w:t>
      </w:r>
      <w:r w:rsidR="00724019" w:rsidRPr="009A61E5">
        <w:rPr>
          <w:rStyle w:val="Appelnotedebasdep"/>
          <w:rFonts w:ascii="Cambria" w:hAnsi="Cambria"/>
          <w:szCs w:val="24"/>
        </w:rPr>
        <w:footnoteReference w:id="18"/>
      </w:r>
      <w:r w:rsidRPr="009A61E5">
        <w:rPr>
          <w:rFonts w:ascii="Cambria" w:hAnsi="Cambria"/>
          <w:szCs w:val="24"/>
          <w:lang w:val="en-US"/>
        </w:rPr>
        <w:t>.</w:t>
      </w:r>
    </w:p>
    <w:p w14:paraId="53374654" w14:textId="4B16D158" w:rsidR="00016C19" w:rsidRPr="009A61E5" w:rsidRDefault="00423729" w:rsidP="00016C19">
      <w:pPr>
        <w:pStyle w:val="Titre1"/>
        <w:numPr>
          <w:ilvl w:val="0"/>
          <w:numId w:val="3"/>
        </w:numPr>
        <w:rPr>
          <w:rFonts w:ascii="Cambria" w:hAnsi="Cambria"/>
          <w:lang w:val="en-US"/>
        </w:rPr>
      </w:pPr>
      <w:r w:rsidRPr="009A61E5">
        <w:rPr>
          <w:rFonts w:ascii="Cambria" w:hAnsi="Cambria"/>
          <w:lang w:val="en-US"/>
        </w:rPr>
        <w:t>Innovations</w:t>
      </w:r>
    </w:p>
    <w:p w14:paraId="575F0A3A" w14:textId="49CD0AA2" w:rsidR="009E452A" w:rsidRPr="009A61E5" w:rsidRDefault="00783AB2" w:rsidP="009E452A">
      <w:pPr>
        <w:pStyle w:val="Titre2"/>
        <w:numPr>
          <w:ilvl w:val="0"/>
          <w:numId w:val="6"/>
        </w:numPr>
        <w:rPr>
          <w:rFonts w:ascii="Cambria" w:hAnsi="Cambria"/>
        </w:rPr>
      </w:pPr>
      <w:r w:rsidRPr="009A61E5">
        <w:rPr>
          <w:rFonts w:ascii="Cambria" w:hAnsi="Cambria"/>
        </w:rPr>
        <w:t xml:space="preserve">Forum </w:t>
      </w:r>
      <w:proofErr w:type="spellStart"/>
      <w:r w:rsidR="00F05B49">
        <w:rPr>
          <w:rFonts w:ascii="Cambria" w:hAnsi="Cambria"/>
        </w:rPr>
        <w:t>S</w:t>
      </w:r>
      <w:r w:rsidRPr="009A61E5">
        <w:rPr>
          <w:rFonts w:ascii="Cambria" w:hAnsi="Cambria"/>
        </w:rPr>
        <w:t>election</w:t>
      </w:r>
      <w:proofErr w:type="spellEnd"/>
      <w:r w:rsidRPr="009A61E5">
        <w:rPr>
          <w:rFonts w:ascii="Cambria" w:hAnsi="Cambria"/>
        </w:rPr>
        <w:t xml:space="preserve"> </w:t>
      </w:r>
      <w:r w:rsidR="00F05B49">
        <w:rPr>
          <w:rFonts w:ascii="Cambria" w:hAnsi="Cambria"/>
        </w:rPr>
        <w:t>C</w:t>
      </w:r>
      <w:r w:rsidRPr="009A61E5">
        <w:rPr>
          <w:rFonts w:ascii="Cambria" w:hAnsi="Cambria"/>
        </w:rPr>
        <w:t>lause</w:t>
      </w:r>
    </w:p>
    <w:p w14:paraId="75D3B82C" w14:textId="1376B325" w:rsidR="00D35F3A" w:rsidRPr="009A61E5" w:rsidRDefault="001B1E13" w:rsidP="0024064B">
      <w:pPr>
        <w:jc w:val="both"/>
        <w:rPr>
          <w:rFonts w:ascii="Cambria" w:hAnsi="Cambria"/>
          <w:lang w:val="en-GB"/>
        </w:rPr>
      </w:pPr>
      <w:r w:rsidRPr="001B1E13">
        <w:rPr>
          <w:rFonts w:ascii="Cambria" w:hAnsi="Cambria"/>
          <w:lang w:val="en-US"/>
        </w:rPr>
        <w:t xml:space="preserve">One of the most important contributions of the </w:t>
      </w:r>
      <w:r w:rsidR="002F2E38">
        <w:rPr>
          <w:rFonts w:ascii="Cambria" w:hAnsi="Cambria"/>
          <w:lang w:val="en-US"/>
        </w:rPr>
        <w:t>Recast</w:t>
      </w:r>
      <w:r w:rsidRPr="001B1E13">
        <w:rPr>
          <w:rFonts w:ascii="Cambria" w:hAnsi="Cambria"/>
          <w:lang w:val="en-US"/>
        </w:rPr>
        <w:t xml:space="preserve"> is that it now allows the parties – and more precisely parents – to designate which judge has jurisdiction to deal with parental responsibility. Prior to </w:t>
      </w:r>
      <w:r w:rsidR="002F2E38">
        <w:rPr>
          <w:rFonts w:ascii="Cambria" w:hAnsi="Cambria"/>
          <w:lang w:val="en-US"/>
        </w:rPr>
        <w:t>Brussels IIb</w:t>
      </w:r>
      <w:r w:rsidRPr="001B1E13">
        <w:rPr>
          <w:rFonts w:ascii="Cambria" w:hAnsi="Cambria"/>
          <w:lang w:val="en-US"/>
        </w:rPr>
        <w:t xml:space="preserve">, the possibility </w:t>
      </w:r>
      <w:r w:rsidR="00373DED">
        <w:rPr>
          <w:rFonts w:ascii="Cambria" w:hAnsi="Cambria"/>
          <w:lang w:val="en-US"/>
        </w:rPr>
        <w:t xml:space="preserve">already existed </w:t>
      </w:r>
      <w:r w:rsidRPr="001B1E13">
        <w:rPr>
          <w:rFonts w:ascii="Cambria" w:hAnsi="Cambria"/>
          <w:lang w:val="en-US"/>
        </w:rPr>
        <w:t xml:space="preserve">to extend the jurisdiction of the judge in charge of a divorce application to parental responsibility issues </w:t>
      </w:r>
      <w:r w:rsidRPr="001B1E13">
        <w:rPr>
          <w:rFonts w:ascii="Cambria" w:hAnsi="Cambria"/>
          <w:lang w:val="en-GB"/>
        </w:rPr>
        <w:t xml:space="preserve">subject to </w:t>
      </w:r>
      <w:r w:rsidRPr="001B1E13">
        <w:rPr>
          <w:rFonts w:ascii="Cambria" w:hAnsi="Cambria"/>
          <w:lang w:val="en-US"/>
        </w:rPr>
        <w:t>certain conditions.</w:t>
      </w:r>
      <w:r w:rsidR="00731744" w:rsidRPr="009A61E5">
        <w:rPr>
          <w:rFonts w:ascii="Cambria" w:hAnsi="Cambria"/>
          <w:lang w:val="en-US"/>
        </w:rPr>
        <w:t xml:space="preserve"> This option has been replaced </w:t>
      </w:r>
      <w:r w:rsidR="002F2E38">
        <w:rPr>
          <w:rFonts w:ascii="Cambria" w:hAnsi="Cambria"/>
          <w:lang w:val="en-US"/>
        </w:rPr>
        <w:t xml:space="preserve">in the Recast </w:t>
      </w:r>
      <w:r w:rsidR="00731744" w:rsidRPr="009A61E5">
        <w:rPr>
          <w:rFonts w:ascii="Cambria" w:hAnsi="Cambria"/>
          <w:lang w:val="en-US"/>
        </w:rPr>
        <w:t xml:space="preserve">by </w:t>
      </w:r>
      <w:r w:rsidR="00373DED">
        <w:rPr>
          <w:rFonts w:ascii="Cambria" w:hAnsi="Cambria"/>
          <w:lang w:val="en-US"/>
        </w:rPr>
        <w:t>a true</w:t>
      </w:r>
      <w:r w:rsidR="00731744" w:rsidRPr="009A61E5">
        <w:rPr>
          <w:rFonts w:ascii="Cambria" w:hAnsi="Cambria"/>
          <w:lang w:val="en-US"/>
        </w:rPr>
        <w:t xml:space="preserve"> forum selection clause</w:t>
      </w:r>
      <w:r w:rsidR="00C674BB">
        <w:rPr>
          <w:rStyle w:val="Appelnotedebasdep"/>
          <w:rFonts w:ascii="Cambria" w:hAnsi="Cambria"/>
          <w:lang w:val="en-US"/>
        </w:rPr>
        <w:footnoteReference w:id="19"/>
      </w:r>
      <w:r w:rsidR="00731744" w:rsidRPr="009A61E5">
        <w:rPr>
          <w:rFonts w:ascii="Cambria" w:hAnsi="Cambria"/>
          <w:lang w:val="en-US"/>
        </w:rPr>
        <w:t>.</w:t>
      </w:r>
      <w:r w:rsidR="00731744" w:rsidRPr="009A61E5">
        <w:rPr>
          <w:rFonts w:ascii="Cambria" w:hAnsi="Cambria"/>
          <w:lang w:val="en-GB"/>
        </w:rPr>
        <w:t xml:space="preserve"> </w:t>
      </w:r>
      <w:r w:rsidRPr="009A61E5">
        <w:rPr>
          <w:rFonts w:ascii="Cambria" w:hAnsi="Cambria"/>
          <w:lang w:val="en-US"/>
        </w:rPr>
        <w:t>For this clause to be valid, three conditions must be fulfilled</w:t>
      </w:r>
      <w:r w:rsidR="00731744" w:rsidRPr="009A61E5">
        <w:rPr>
          <w:rStyle w:val="Appelnotedebasdep"/>
          <w:rFonts w:ascii="Cambria" w:hAnsi="Cambria"/>
          <w:bCs/>
        </w:rPr>
        <w:footnoteReference w:id="20"/>
      </w:r>
      <w:r w:rsidRPr="009A61E5">
        <w:rPr>
          <w:rFonts w:ascii="Cambria" w:hAnsi="Cambria"/>
          <w:lang w:val="en-US"/>
        </w:rPr>
        <w:t xml:space="preserve">. First, the child must have a substantial connection with the Member State of the elected judge. The </w:t>
      </w:r>
      <w:r w:rsidRPr="002F2E38">
        <w:rPr>
          <w:rFonts w:ascii="Cambria" w:hAnsi="Cambria"/>
          <w:lang w:val="en-US"/>
        </w:rPr>
        <w:t>Regulation</w:t>
      </w:r>
      <w:r w:rsidRPr="009A61E5">
        <w:rPr>
          <w:rFonts w:ascii="Cambria" w:hAnsi="Cambria"/>
          <w:lang w:val="en-US"/>
        </w:rPr>
        <w:t xml:space="preserve"> gives examples of situations in which a substantial can be considered to exist</w:t>
      </w:r>
      <w:r w:rsidRPr="009A61E5">
        <w:rPr>
          <w:rFonts w:ascii="Cambria" w:hAnsi="Cambria"/>
          <w:bCs/>
          <w:vertAlign w:val="superscript"/>
        </w:rPr>
        <w:footnoteReference w:id="21"/>
      </w:r>
      <w:r w:rsidRPr="009A61E5">
        <w:rPr>
          <w:rFonts w:ascii="Cambria" w:hAnsi="Cambria"/>
          <w:bCs/>
          <w:lang w:val="en-US"/>
        </w:rPr>
        <w:t>.</w:t>
      </w:r>
      <w:r w:rsidRPr="009A61E5">
        <w:rPr>
          <w:rFonts w:ascii="Cambria" w:hAnsi="Cambria"/>
          <w:lang w:val="en-US"/>
        </w:rPr>
        <w:t xml:space="preserve"> Secondly, the parents must have opted for the judge at the latest at the time the court is </w:t>
      </w:r>
      <w:proofErr w:type="spellStart"/>
      <w:r w:rsidRPr="009A61E5">
        <w:rPr>
          <w:rFonts w:ascii="Cambria" w:hAnsi="Cambria"/>
          <w:lang w:val="en-US"/>
        </w:rPr>
        <w:t>seised</w:t>
      </w:r>
      <w:proofErr w:type="spellEnd"/>
      <w:r w:rsidRPr="009A61E5">
        <w:rPr>
          <w:rFonts w:ascii="Cambria" w:hAnsi="Cambria"/>
          <w:lang w:val="en-US"/>
        </w:rPr>
        <w:t>. If the choice of court arises in the course of the proceedings, they must have expressly accepted the jurisdiction</w:t>
      </w:r>
      <w:r w:rsidRPr="009A61E5">
        <w:rPr>
          <w:rFonts w:ascii="Cambria" w:hAnsi="Cambria"/>
          <w:bCs/>
          <w:vertAlign w:val="superscript"/>
        </w:rPr>
        <w:footnoteReference w:id="22"/>
      </w:r>
      <w:r w:rsidRPr="009A61E5">
        <w:rPr>
          <w:rFonts w:ascii="Cambria" w:hAnsi="Cambria"/>
          <w:bCs/>
          <w:lang w:val="en-US"/>
        </w:rPr>
        <w:t>.</w:t>
      </w:r>
      <w:r w:rsidRPr="009A61E5">
        <w:rPr>
          <w:rFonts w:ascii="Cambria" w:hAnsi="Cambria"/>
          <w:lang w:val="en-US"/>
        </w:rPr>
        <w:t xml:space="preserve"> Finally, the choice must be in the best interests of the child.</w:t>
      </w:r>
      <w:r w:rsidR="00B115EC">
        <w:rPr>
          <w:rFonts w:ascii="Cambria" w:hAnsi="Cambria"/>
          <w:lang w:val="en-US"/>
        </w:rPr>
        <w:t xml:space="preserve"> One may wonder whether this test will have any teeth, as parties will in any case have agreed with the jurisdiction of the court </w:t>
      </w:r>
      <w:proofErr w:type="spellStart"/>
      <w:r w:rsidR="00B115EC">
        <w:rPr>
          <w:rFonts w:ascii="Cambria" w:hAnsi="Cambria"/>
          <w:lang w:val="en-US"/>
        </w:rPr>
        <w:t>sei</w:t>
      </w:r>
      <w:r w:rsidR="00FA04E8">
        <w:rPr>
          <w:rFonts w:ascii="Cambria" w:hAnsi="Cambria"/>
          <w:lang w:val="en-US"/>
        </w:rPr>
        <w:t>s</w:t>
      </w:r>
      <w:r w:rsidR="00B115EC">
        <w:rPr>
          <w:rFonts w:ascii="Cambria" w:hAnsi="Cambria"/>
          <w:lang w:val="en-US"/>
        </w:rPr>
        <w:t>ed</w:t>
      </w:r>
      <w:proofErr w:type="spellEnd"/>
      <w:r w:rsidR="00B115EC">
        <w:rPr>
          <w:rFonts w:ascii="Cambria" w:hAnsi="Cambria"/>
          <w:lang w:val="en-US"/>
        </w:rPr>
        <w:t>.</w:t>
      </w:r>
    </w:p>
    <w:p w14:paraId="16A4A393" w14:textId="71B548C5" w:rsidR="005B5654" w:rsidRPr="009A61E5" w:rsidRDefault="00BC4DB4" w:rsidP="005B5654">
      <w:pPr>
        <w:pStyle w:val="Titre2"/>
        <w:numPr>
          <w:ilvl w:val="0"/>
          <w:numId w:val="6"/>
        </w:numPr>
        <w:rPr>
          <w:rFonts w:ascii="Cambria" w:hAnsi="Cambria"/>
          <w:lang w:val="en-US"/>
        </w:rPr>
      </w:pPr>
      <w:r w:rsidRPr="009A61E5">
        <w:rPr>
          <w:rFonts w:ascii="Cambria" w:hAnsi="Cambria"/>
          <w:lang w:val="en-US"/>
        </w:rPr>
        <w:t xml:space="preserve">Strengthening </w:t>
      </w:r>
      <w:r w:rsidR="00F05B49">
        <w:rPr>
          <w:rFonts w:ascii="Cambria" w:hAnsi="Cambria"/>
          <w:lang w:val="en-US"/>
        </w:rPr>
        <w:t>C</w:t>
      </w:r>
      <w:r w:rsidRPr="009A61E5">
        <w:rPr>
          <w:rFonts w:ascii="Cambria" w:hAnsi="Cambria"/>
          <w:lang w:val="en-US"/>
        </w:rPr>
        <w:t xml:space="preserve">hildren's </w:t>
      </w:r>
      <w:r w:rsidR="00F05B49">
        <w:rPr>
          <w:rFonts w:ascii="Cambria" w:hAnsi="Cambria"/>
          <w:lang w:val="en-US"/>
        </w:rPr>
        <w:t>R</w:t>
      </w:r>
      <w:r w:rsidRPr="009A61E5">
        <w:rPr>
          <w:rFonts w:ascii="Cambria" w:hAnsi="Cambria"/>
          <w:lang w:val="en-US"/>
        </w:rPr>
        <w:t>ights</w:t>
      </w:r>
    </w:p>
    <w:p w14:paraId="012F5FD5" w14:textId="082AF544" w:rsidR="00932BD9" w:rsidRPr="009A61E5" w:rsidRDefault="00384504" w:rsidP="0024064B">
      <w:pPr>
        <w:jc w:val="both"/>
        <w:rPr>
          <w:rFonts w:ascii="Cambria" w:hAnsi="Cambria"/>
          <w:bCs/>
          <w:lang w:val="en-US"/>
        </w:rPr>
      </w:pPr>
      <w:r>
        <w:rPr>
          <w:rFonts w:ascii="Cambria" w:hAnsi="Cambria"/>
          <w:bCs/>
          <w:lang w:val="en-US"/>
        </w:rPr>
        <w:t xml:space="preserve">Like the previous regulation, </w:t>
      </w:r>
      <w:r w:rsidR="002F2E38">
        <w:rPr>
          <w:rFonts w:ascii="Cambria" w:hAnsi="Cambria"/>
          <w:bCs/>
          <w:lang w:val="en-US"/>
        </w:rPr>
        <w:t>Brussels IIb</w:t>
      </w:r>
      <w:r w:rsidR="00932BD9" w:rsidRPr="009A61E5">
        <w:rPr>
          <w:rFonts w:ascii="Cambria" w:hAnsi="Cambria"/>
          <w:bCs/>
          <w:lang w:val="en-US"/>
        </w:rPr>
        <w:t xml:space="preserve"> also </w:t>
      </w:r>
      <w:r w:rsidR="007C71B5" w:rsidRPr="009A61E5">
        <w:rPr>
          <w:rFonts w:ascii="Cambria" w:hAnsi="Cambria"/>
          <w:bCs/>
          <w:lang w:val="en-US"/>
        </w:rPr>
        <w:t>aims at</w:t>
      </w:r>
      <w:r w:rsidR="00932BD9" w:rsidRPr="009A61E5">
        <w:rPr>
          <w:rFonts w:ascii="Cambria" w:hAnsi="Cambria"/>
          <w:bCs/>
          <w:lang w:val="en-US"/>
        </w:rPr>
        <w:t xml:space="preserve"> affirm</w:t>
      </w:r>
      <w:r w:rsidR="007C71B5" w:rsidRPr="009A61E5">
        <w:rPr>
          <w:rFonts w:ascii="Cambria" w:hAnsi="Cambria"/>
          <w:bCs/>
          <w:lang w:val="en-US"/>
        </w:rPr>
        <w:t>ing</w:t>
      </w:r>
      <w:r w:rsidR="00932BD9" w:rsidRPr="009A61E5">
        <w:rPr>
          <w:rFonts w:ascii="Cambria" w:hAnsi="Cambria"/>
          <w:bCs/>
          <w:lang w:val="en-US"/>
        </w:rPr>
        <w:t xml:space="preserve"> the child</w:t>
      </w:r>
      <w:r w:rsidR="007C71B5" w:rsidRPr="009A61E5">
        <w:rPr>
          <w:rFonts w:ascii="Cambria" w:hAnsi="Cambria"/>
          <w:bCs/>
          <w:lang w:val="en-US"/>
        </w:rPr>
        <w:t>’s rights</w:t>
      </w:r>
      <w:r w:rsidR="00932BD9" w:rsidRPr="009A61E5">
        <w:rPr>
          <w:rStyle w:val="Appelnotedebasdep"/>
          <w:rFonts w:ascii="Cambria" w:hAnsi="Cambria"/>
          <w:bCs/>
        </w:rPr>
        <w:footnoteReference w:id="23"/>
      </w:r>
      <w:r w:rsidR="00932BD9" w:rsidRPr="009A61E5">
        <w:rPr>
          <w:rFonts w:ascii="Cambria" w:hAnsi="Cambria"/>
          <w:bCs/>
          <w:lang w:val="en-US"/>
        </w:rPr>
        <w:t xml:space="preserve">. </w:t>
      </w:r>
      <w:r w:rsidR="00B115EC">
        <w:rPr>
          <w:rFonts w:ascii="Cambria" w:hAnsi="Cambria"/>
          <w:bCs/>
          <w:lang w:val="en-US"/>
        </w:rPr>
        <w:t xml:space="preserve">This may be illustrated by the fact </w:t>
      </w:r>
      <w:r w:rsidR="00932BD9" w:rsidRPr="009A61E5">
        <w:rPr>
          <w:rFonts w:ascii="Cambria" w:hAnsi="Cambria"/>
          <w:bCs/>
          <w:lang w:val="en-US"/>
        </w:rPr>
        <w:t>that the choice of court clause is subject to compliance with the best interests of the child</w:t>
      </w:r>
      <w:r w:rsidR="00D1409D" w:rsidRPr="009A61E5">
        <w:rPr>
          <w:rFonts w:ascii="Cambria" w:hAnsi="Cambria"/>
          <w:bCs/>
          <w:lang w:val="en-US"/>
        </w:rPr>
        <w:t xml:space="preserve"> (as described in the previous paragraph)</w:t>
      </w:r>
      <w:r w:rsidR="00932BD9" w:rsidRPr="009A61E5">
        <w:rPr>
          <w:rFonts w:ascii="Cambria" w:hAnsi="Cambria"/>
          <w:bCs/>
          <w:lang w:val="en-US"/>
        </w:rPr>
        <w:t xml:space="preserve">. </w:t>
      </w:r>
      <w:r w:rsidR="00B115EC">
        <w:rPr>
          <w:rFonts w:ascii="Cambria" w:hAnsi="Cambria"/>
          <w:bCs/>
          <w:lang w:val="en-US"/>
        </w:rPr>
        <w:t>T</w:t>
      </w:r>
      <w:r w:rsidR="00B115EC" w:rsidRPr="009A61E5">
        <w:rPr>
          <w:rFonts w:ascii="Cambria" w:hAnsi="Cambria"/>
          <w:bCs/>
          <w:lang w:val="en-US"/>
        </w:rPr>
        <w:t xml:space="preserve">he </w:t>
      </w:r>
      <w:r w:rsidR="00932BD9" w:rsidRPr="002F2E38">
        <w:rPr>
          <w:rFonts w:ascii="Cambria" w:hAnsi="Cambria"/>
          <w:bCs/>
          <w:lang w:val="en-US"/>
        </w:rPr>
        <w:t xml:space="preserve">Regulation </w:t>
      </w:r>
      <w:r w:rsidR="00B115EC">
        <w:rPr>
          <w:rFonts w:ascii="Cambria" w:hAnsi="Cambria"/>
          <w:bCs/>
          <w:lang w:val="en-US"/>
        </w:rPr>
        <w:t xml:space="preserve">further </w:t>
      </w:r>
      <w:r w:rsidR="00932BD9" w:rsidRPr="002F2E38">
        <w:rPr>
          <w:rFonts w:ascii="Cambria" w:hAnsi="Cambria"/>
          <w:bCs/>
          <w:lang w:val="en-US"/>
        </w:rPr>
        <w:t>enshrines</w:t>
      </w:r>
      <w:r w:rsidR="00932BD9" w:rsidRPr="009A61E5">
        <w:rPr>
          <w:rFonts w:ascii="Cambria" w:hAnsi="Cambria"/>
          <w:bCs/>
          <w:lang w:val="en-US"/>
        </w:rPr>
        <w:t xml:space="preserve"> the right of the child to express his or her views in proceedings relating to parental responsibility</w:t>
      </w:r>
      <w:r w:rsidR="00932BD9" w:rsidRPr="009A61E5">
        <w:rPr>
          <w:rStyle w:val="Appelnotedebasdep"/>
          <w:rFonts w:ascii="Cambria" w:hAnsi="Cambria"/>
          <w:bCs/>
        </w:rPr>
        <w:footnoteReference w:id="24"/>
      </w:r>
      <w:r w:rsidR="00932BD9" w:rsidRPr="009A61E5">
        <w:rPr>
          <w:rFonts w:ascii="Cambria" w:hAnsi="Cambria"/>
          <w:bCs/>
          <w:lang w:val="en-US"/>
        </w:rPr>
        <w:t xml:space="preserve"> and in 'return proceedings</w:t>
      </w:r>
      <w:r w:rsidR="00E53CA9">
        <w:rPr>
          <w:rFonts w:ascii="Cambria" w:hAnsi="Cambria"/>
          <w:bCs/>
          <w:lang w:val="en-US"/>
        </w:rPr>
        <w:t>’</w:t>
      </w:r>
      <w:r w:rsidR="00230951" w:rsidRPr="009A61E5">
        <w:rPr>
          <w:rStyle w:val="Appelnotedebasdep"/>
          <w:rFonts w:ascii="Cambria" w:hAnsi="Cambria"/>
          <w:bCs/>
        </w:rPr>
        <w:footnoteReference w:id="25"/>
      </w:r>
      <w:r w:rsidR="00D82D4B" w:rsidRPr="009A61E5">
        <w:rPr>
          <w:rFonts w:ascii="Cambria" w:hAnsi="Cambria"/>
          <w:bCs/>
          <w:lang w:val="en-US"/>
        </w:rPr>
        <w:t xml:space="preserve"> (</w:t>
      </w:r>
      <w:r w:rsidR="00932BD9" w:rsidRPr="002E5322">
        <w:rPr>
          <w:rFonts w:ascii="Cambria" w:hAnsi="Cambria"/>
          <w:bCs/>
          <w:lang w:val="en-US"/>
        </w:rPr>
        <w:t>based on the 1980 Hague Convention</w:t>
      </w:r>
      <w:r w:rsidR="00D82D4B" w:rsidRPr="009A61E5">
        <w:rPr>
          <w:rFonts w:ascii="Cambria" w:hAnsi="Cambria"/>
          <w:bCs/>
          <w:lang w:val="en-US"/>
        </w:rPr>
        <w:t>)</w:t>
      </w:r>
      <w:r w:rsidR="00932BD9" w:rsidRPr="009A61E5">
        <w:rPr>
          <w:rFonts w:ascii="Cambria" w:hAnsi="Cambria"/>
          <w:bCs/>
          <w:lang w:val="en-US"/>
        </w:rPr>
        <w:t xml:space="preserve">. Moreover, if the best interests of the child have not been </w:t>
      </w:r>
      <w:r w:rsidR="00E17FEE" w:rsidRPr="009A61E5">
        <w:rPr>
          <w:rFonts w:ascii="Cambria" w:hAnsi="Cambria"/>
          <w:bCs/>
          <w:lang w:val="en-US"/>
        </w:rPr>
        <w:t>respect</w:t>
      </w:r>
      <w:r w:rsidR="00932BD9" w:rsidRPr="009A61E5">
        <w:rPr>
          <w:rFonts w:ascii="Cambria" w:hAnsi="Cambria"/>
          <w:bCs/>
          <w:lang w:val="en-US"/>
        </w:rPr>
        <w:t xml:space="preserve">ed in the State which has made a decision on parental authority, the receiving State may refuse to </w:t>
      </w:r>
      <w:proofErr w:type="spellStart"/>
      <w:r w:rsidR="00932BD9" w:rsidRPr="009A61E5">
        <w:rPr>
          <w:rFonts w:ascii="Cambria" w:hAnsi="Cambria"/>
          <w:bCs/>
          <w:lang w:val="en-US"/>
        </w:rPr>
        <w:t>recognise</w:t>
      </w:r>
      <w:proofErr w:type="spellEnd"/>
      <w:r w:rsidR="00932BD9" w:rsidRPr="009A61E5">
        <w:rPr>
          <w:rFonts w:ascii="Cambria" w:hAnsi="Cambria"/>
          <w:bCs/>
          <w:lang w:val="en-US"/>
        </w:rPr>
        <w:t xml:space="preserve"> it</w:t>
      </w:r>
      <w:r w:rsidR="003E5572" w:rsidRPr="009A61E5">
        <w:rPr>
          <w:rStyle w:val="Appelnotedebasdep"/>
          <w:rFonts w:ascii="Cambria" w:hAnsi="Cambria"/>
          <w:bCs/>
          <w:lang w:val="en-US"/>
        </w:rPr>
        <w:footnoteReference w:id="26"/>
      </w:r>
      <w:r w:rsidR="00932BD9" w:rsidRPr="009A61E5">
        <w:rPr>
          <w:rFonts w:ascii="Cambria" w:hAnsi="Cambria"/>
          <w:bCs/>
          <w:lang w:val="en-US"/>
        </w:rPr>
        <w:t>.</w:t>
      </w:r>
    </w:p>
    <w:p w14:paraId="03E8DBF6" w14:textId="666765DB" w:rsidR="003E5572" w:rsidRPr="009A61E5" w:rsidRDefault="003001B9" w:rsidP="003E5572">
      <w:pPr>
        <w:pStyle w:val="Titre2"/>
        <w:numPr>
          <w:ilvl w:val="0"/>
          <w:numId w:val="6"/>
        </w:numPr>
        <w:rPr>
          <w:rFonts w:ascii="Cambria" w:hAnsi="Cambria"/>
          <w:lang w:val="en-US"/>
        </w:rPr>
      </w:pPr>
      <w:r w:rsidRPr="009A61E5">
        <w:rPr>
          <w:rFonts w:ascii="Cambria" w:hAnsi="Cambria"/>
          <w:lang w:val="en-US"/>
        </w:rPr>
        <w:t xml:space="preserve">Procedural </w:t>
      </w:r>
      <w:r w:rsidR="00F05B49">
        <w:rPr>
          <w:rFonts w:ascii="Cambria" w:hAnsi="Cambria"/>
          <w:lang w:val="en-US"/>
        </w:rPr>
        <w:t>E</w:t>
      </w:r>
      <w:r w:rsidRPr="009A61E5">
        <w:rPr>
          <w:rFonts w:ascii="Cambria" w:hAnsi="Cambria"/>
          <w:lang w:val="en-US"/>
        </w:rPr>
        <w:t xml:space="preserve">fficiency and </w:t>
      </w:r>
      <w:r w:rsidR="00F05B49">
        <w:rPr>
          <w:rFonts w:ascii="Cambria" w:hAnsi="Cambria"/>
          <w:lang w:val="en-US"/>
        </w:rPr>
        <w:t>J</w:t>
      </w:r>
      <w:r w:rsidRPr="009A61E5">
        <w:rPr>
          <w:rFonts w:ascii="Cambria" w:hAnsi="Cambria"/>
          <w:lang w:val="en-US"/>
        </w:rPr>
        <w:t xml:space="preserve">udicial </w:t>
      </w:r>
      <w:r w:rsidR="00F05B49">
        <w:rPr>
          <w:rFonts w:ascii="Cambria" w:hAnsi="Cambria"/>
          <w:lang w:val="en-US"/>
        </w:rPr>
        <w:t>C</w:t>
      </w:r>
      <w:r w:rsidRPr="009A61E5">
        <w:rPr>
          <w:rFonts w:ascii="Cambria" w:hAnsi="Cambria"/>
          <w:lang w:val="en-US"/>
        </w:rPr>
        <w:t>ooperation</w:t>
      </w:r>
    </w:p>
    <w:p w14:paraId="4BD1E951" w14:textId="5328F325" w:rsidR="003001B9" w:rsidRPr="009A61E5" w:rsidRDefault="00F66438" w:rsidP="00F66438">
      <w:pPr>
        <w:jc w:val="both"/>
        <w:rPr>
          <w:rFonts w:ascii="Cambria" w:hAnsi="Cambria"/>
          <w:lang w:val="en-US"/>
        </w:rPr>
      </w:pPr>
      <w:r w:rsidRPr="009A61E5">
        <w:rPr>
          <w:rFonts w:ascii="Cambria" w:hAnsi="Cambria"/>
          <w:lang w:val="en-US"/>
        </w:rPr>
        <w:t xml:space="preserve">In addition to </w:t>
      </w:r>
      <w:r w:rsidR="009C6797">
        <w:rPr>
          <w:rFonts w:ascii="Cambria" w:hAnsi="Cambria"/>
          <w:lang w:val="en-US"/>
        </w:rPr>
        <w:t>strengthening</w:t>
      </w:r>
      <w:r w:rsidR="0016305E" w:rsidRPr="009A61E5">
        <w:rPr>
          <w:rFonts w:ascii="Cambria" w:hAnsi="Cambria"/>
          <w:lang w:val="en-US"/>
        </w:rPr>
        <w:t xml:space="preserve"> </w:t>
      </w:r>
      <w:r w:rsidRPr="009A61E5">
        <w:rPr>
          <w:rFonts w:ascii="Cambria" w:hAnsi="Cambria"/>
          <w:lang w:val="en-US"/>
        </w:rPr>
        <w:t xml:space="preserve">the interests of the child, the </w:t>
      </w:r>
      <w:r w:rsidR="002F2E38">
        <w:rPr>
          <w:rFonts w:ascii="Cambria" w:hAnsi="Cambria"/>
          <w:lang w:val="en-US"/>
        </w:rPr>
        <w:t xml:space="preserve">new </w:t>
      </w:r>
      <w:r w:rsidRPr="009A61E5">
        <w:rPr>
          <w:rFonts w:ascii="Cambria" w:hAnsi="Cambria"/>
          <w:lang w:val="en-US"/>
        </w:rPr>
        <w:t xml:space="preserve">Regulation also </w:t>
      </w:r>
      <w:r w:rsidR="00D82D4B" w:rsidRPr="009A61E5">
        <w:rPr>
          <w:rFonts w:ascii="Cambria" w:hAnsi="Cambria"/>
          <w:lang w:val="en-US"/>
        </w:rPr>
        <w:t>seek</w:t>
      </w:r>
      <w:r w:rsidR="009D003B">
        <w:rPr>
          <w:rFonts w:ascii="Cambria" w:hAnsi="Cambria"/>
          <w:lang w:val="en-US"/>
        </w:rPr>
        <w:t>s</w:t>
      </w:r>
      <w:r w:rsidR="00D82D4B" w:rsidRPr="009A61E5">
        <w:rPr>
          <w:rFonts w:ascii="Cambria" w:hAnsi="Cambria"/>
          <w:lang w:val="en-US"/>
        </w:rPr>
        <w:t xml:space="preserve"> </w:t>
      </w:r>
      <w:r w:rsidRPr="009A61E5">
        <w:rPr>
          <w:rFonts w:ascii="Cambria" w:hAnsi="Cambria"/>
          <w:lang w:val="en-US"/>
        </w:rPr>
        <w:t>to implement swift and efficient procedures. This applies to divorce and parental authority, but especially to international child abduction</w:t>
      </w:r>
      <w:r w:rsidR="008F16FF">
        <w:rPr>
          <w:rFonts w:ascii="Cambria" w:hAnsi="Cambria"/>
          <w:lang w:val="en-US"/>
        </w:rPr>
        <w:t>. The Recast contains provisions such as</w:t>
      </w:r>
      <w:r w:rsidR="00DF5296" w:rsidRPr="009A61E5">
        <w:rPr>
          <w:rFonts w:ascii="Cambria" w:hAnsi="Cambria"/>
          <w:lang w:val="en-US"/>
        </w:rPr>
        <w:t xml:space="preserve"> </w:t>
      </w:r>
      <w:r w:rsidR="009C4C5B">
        <w:rPr>
          <w:rFonts w:ascii="Cambria" w:hAnsi="Cambria"/>
          <w:lang w:val="en-US"/>
        </w:rPr>
        <w:t xml:space="preserve">the </w:t>
      </w:r>
      <w:r w:rsidR="00DF5296" w:rsidRPr="009A61E5">
        <w:rPr>
          <w:rFonts w:ascii="Cambria" w:hAnsi="Cambria"/>
          <w:lang w:val="en-US"/>
        </w:rPr>
        <w:t>e</w:t>
      </w:r>
      <w:r w:rsidRPr="009A61E5">
        <w:rPr>
          <w:rFonts w:ascii="Cambria" w:hAnsi="Cambria"/>
          <w:lang w:val="en-US"/>
        </w:rPr>
        <w:t>stablishment of time limits</w:t>
      </w:r>
      <w:r w:rsidRPr="009A61E5">
        <w:rPr>
          <w:rStyle w:val="Appelnotedebasdep"/>
          <w:rFonts w:ascii="Cambria" w:hAnsi="Cambria"/>
          <w:lang w:val="en-US"/>
        </w:rPr>
        <w:footnoteReference w:id="27"/>
      </w:r>
      <w:r w:rsidRPr="009A61E5">
        <w:rPr>
          <w:rFonts w:ascii="Cambria" w:hAnsi="Cambria"/>
          <w:lang w:val="en-US"/>
        </w:rPr>
        <w:t>, emphasis on alternative dispute resolution methods such as mediation</w:t>
      </w:r>
      <w:r w:rsidRPr="009A61E5">
        <w:rPr>
          <w:rStyle w:val="Appelnotedebasdep"/>
          <w:rFonts w:ascii="Cambria" w:hAnsi="Cambria"/>
          <w:lang w:val="en-US"/>
        </w:rPr>
        <w:footnoteReference w:id="28"/>
      </w:r>
      <w:r w:rsidRPr="009A61E5">
        <w:rPr>
          <w:rFonts w:ascii="Cambria" w:hAnsi="Cambria"/>
          <w:lang w:val="en-US"/>
        </w:rPr>
        <w:t>, adoption of possible provisional or protective measures</w:t>
      </w:r>
      <w:r w:rsidRPr="009A61E5">
        <w:rPr>
          <w:rStyle w:val="Appelnotedebasdep"/>
          <w:rFonts w:ascii="Cambria" w:hAnsi="Cambria"/>
          <w:lang w:val="en-US"/>
        </w:rPr>
        <w:footnoteReference w:id="29"/>
      </w:r>
      <w:r w:rsidRPr="009A61E5">
        <w:rPr>
          <w:rFonts w:ascii="Cambria" w:hAnsi="Cambria"/>
          <w:lang w:val="en-US"/>
        </w:rPr>
        <w:t xml:space="preserve">, increased role of the central authorities designated in each </w:t>
      </w:r>
      <w:r w:rsidR="006B69C2" w:rsidRPr="009A61E5">
        <w:rPr>
          <w:rFonts w:ascii="Cambria" w:hAnsi="Cambria"/>
          <w:lang w:val="en-US"/>
        </w:rPr>
        <w:t>Member State</w:t>
      </w:r>
      <w:r w:rsidR="006B69C2" w:rsidRPr="009A61E5">
        <w:rPr>
          <w:rStyle w:val="Appelnotedebasdep"/>
          <w:rFonts w:ascii="Cambria" w:hAnsi="Cambria"/>
          <w:lang w:val="en-US"/>
        </w:rPr>
        <w:footnoteReference w:id="30"/>
      </w:r>
      <w:r w:rsidRPr="009A61E5">
        <w:rPr>
          <w:rFonts w:ascii="Cambria" w:hAnsi="Cambria"/>
          <w:lang w:val="en-US"/>
        </w:rPr>
        <w:t>, emphasis on co-operation between the courts and competent authorities in the different States concerned</w:t>
      </w:r>
      <w:r w:rsidR="006B69C2" w:rsidRPr="009A61E5">
        <w:rPr>
          <w:rStyle w:val="Appelnotedebasdep"/>
          <w:rFonts w:ascii="Cambria" w:hAnsi="Cambria"/>
          <w:lang w:val="en-US"/>
        </w:rPr>
        <w:footnoteReference w:id="31"/>
      </w:r>
      <w:r w:rsidRPr="009A61E5">
        <w:rPr>
          <w:rFonts w:ascii="Cambria" w:hAnsi="Cambria"/>
          <w:lang w:val="en-US"/>
        </w:rPr>
        <w:t>, etc.</w:t>
      </w:r>
      <w:r w:rsidR="0016305E">
        <w:rPr>
          <w:rFonts w:ascii="Cambria" w:hAnsi="Cambria"/>
          <w:lang w:val="en-US"/>
        </w:rPr>
        <w:t xml:space="preserve"> which all strive to streamline proceedings and ensure that decisions are taken swiftly.</w:t>
      </w:r>
    </w:p>
    <w:p w14:paraId="58252290" w14:textId="05BAD2EE" w:rsidR="004D6486" w:rsidRPr="009A61E5" w:rsidRDefault="005F268C" w:rsidP="004D6486">
      <w:pPr>
        <w:pStyle w:val="Titre2"/>
        <w:numPr>
          <w:ilvl w:val="0"/>
          <w:numId w:val="6"/>
        </w:numPr>
        <w:rPr>
          <w:rFonts w:ascii="Cambria" w:hAnsi="Cambria"/>
          <w:lang w:val="en-US"/>
        </w:rPr>
      </w:pPr>
      <w:r w:rsidRPr="009A61E5">
        <w:rPr>
          <w:rFonts w:ascii="Cambria" w:hAnsi="Cambria"/>
          <w:lang w:val="en-US"/>
        </w:rPr>
        <w:t xml:space="preserve">Circulation of </w:t>
      </w:r>
      <w:r w:rsidR="00493449">
        <w:rPr>
          <w:rFonts w:ascii="Cambria" w:hAnsi="Cambria"/>
          <w:lang w:val="en-US"/>
        </w:rPr>
        <w:t>O</w:t>
      </w:r>
      <w:r w:rsidRPr="009A61E5">
        <w:rPr>
          <w:rFonts w:ascii="Cambria" w:hAnsi="Cambria"/>
          <w:lang w:val="en-US"/>
        </w:rPr>
        <w:t>ut-of-</w:t>
      </w:r>
      <w:r w:rsidR="00AD02CF">
        <w:rPr>
          <w:rFonts w:ascii="Cambria" w:hAnsi="Cambria"/>
          <w:lang w:val="en-US"/>
        </w:rPr>
        <w:t>C</w:t>
      </w:r>
      <w:r w:rsidRPr="009A61E5">
        <w:rPr>
          <w:rFonts w:ascii="Cambria" w:hAnsi="Cambria"/>
          <w:lang w:val="en-US"/>
        </w:rPr>
        <w:t xml:space="preserve">ourt </w:t>
      </w:r>
      <w:r w:rsidR="00F05B49">
        <w:rPr>
          <w:rFonts w:ascii="Cambria" w:hAnsi="Cambria"/>
          <w:lang w:val="en-US"/>
        </w:rPr>
        <w:t>D</w:t>
      </w:r>
      <w:r w:rsidRPr="009A61E5">
        <w:rPr>
          <w:rFonts w:ascii="Cambria" w:hAnsi="Cambria"/>
          <w:lang w:val="en-US"/>
        </w:rPr>
        <w:t>ivorces</w:t>
      </w:r>
    </w:p>
    <w:p w14:paraId="2442238D" w14:textId="114C1773" w:rsidR="00906313" w:rsidRPr="009A61E5" w:rsidRDefault="000B0F35" w:rsidP="000B0F35">
      <w:pPr>
        <w:jc w:val="both"/>
        <w:rPr>
          <w:rFonts w:ascii="Cambria" w:hAnsi="Cambria"/>
          <w:lang w:val="en-US"/>
        </w:rPr>
      </w:pPr>
      <w:r w:rsidRPr="009A61E5">
        <w:rPr>
          <w:rFonts w:ascii="Cambria" w:hAnsi="Cambria"/>
          <w:lang w:val="en-US"/>
        </w:rPr>
        <w:t>For some years, so-called 'out-of-court' or 'extrajudicial' divorces have flourished in Europe</w:t>
      </w:r>
      <w:r w:rsidR="006E0E5A" w:rsidRPr="009A61E5">
        <w:rPr>
          <w:rStyle w:val="Appelnotedebasdep"/>
          <w:rFonts w:ascii="Cambria" w:hAnsi="Cambria"/>
          <w:lang w:val="en-US"/>
        </w:rPr>
        <w:footnoteReference w:id="32"/>
      </w:r>
      <w:r w:rsidRPr="009A61E5">
        <w:rPr>
          <w:rFonts w:ascii="Cambria" w:hAnsi="Cambria"/>
          <w:lang w:val="en-US"/>
        </w:rPr>
        <w:t xml:space="preserve">. </w:t>
      </w:r>
      <w:r w:rsidR="009C6797">
        <w:rPr>
          <w:rFonts w:ascii="Cambria" w:hAnsi="Cambria"/>
          <w:lang w:val="en-US"/>
        </w:rPr>
        <w:t xml:space="preserve">States embracing such divorces </w:t>
      </w:r>
      <w:r w:rsidRPr="009A61E5">
        <w:rPr>
          <w:rFonts w:ascii="Cambria" w:hAnsi="Cambria"/>
          <w:lang w:val="en-US"/>
        </w:rPr>
        <w:t xml:space="preserve">offer their citizens the possibility to divorce without having to initiate a judicial procedure. </w:t>
      </w:r>
      <w:r w:rsidR="009C6797">
        <w:rPr>
          <w:rFonts w:ascii="Cambria" w:hAnsi="Cambria"/>
          <w:lang w:val="en-US"/>
        </w:rPr>
        <w:t xml:space="preserve">Instead of going to court, </w:t>
      </w:r>
      <w:r w:rsidR="00942872" w:rsidRPr="009A61E5">
        <w:rPr>
          <w:rFonts w:ascii="Cambria" w:hAnsi="Cambria"/>
          <w:lang w:val="en-US"/>
        </w:rPr>
        <w:t xml:space="preserve">the citizens can </w:t>
      </w:r>
      <w:r w:rsidR="009C6797">
        <w:rPr>
          <w:rFonts w:ascii="Cambria" w:hAnsi="Cambria"/>
          <w:lang w:val="en-US"/>
        </w:rPr>
        <w:t>divorce with the assistance of</w:t>
      </w:r>
      <w:r w:rsidR="00942872" w:rsidRPr="009A61E5">
        <w:rPr>
          <w:rFonts w:ascii="Cambria" w:hAnsi="Cambria"/>
          <w:lang w:val="en-US"/>
        </w:rPr>
        <w:t xml:space="preserve"> </w:t>
      </w:r>
      <w:r w:rsidRPr="009A61E5">
        <w:rPr>
          <w:rFonts w:ascii="Cambria" w:hAnsi="Cambria"/>
          <w:lang w:val="en-US"/>
        </w:rPr>
        <w:t xml:space="preserve">for example a </w:t>
      </w:r>
      <w:r w:rsidR="00942872" w:rsidRPr="009A61E5">
        <w:rPr>
          <w:rFonts w:ascii="Cambria" w:hAnsi="Cambria"/>
          <w:lang w:val="en-US"/>
        </w:rPr>
        <w:t xml:space="preserve">public </w:t>
      </w:r>
      <w:r w:rsidRPr="009A61E5">
        <w:rPr>
          <w:rFonts w:ascii="Cambria" w:hAnsi="Cambria"/>
          <w:lang w:val="en-US"/>
        </w:rPr>
        <w:t xml:space="preserve">notary or a civil registrar. </w:t>
      </w:r>
      <w:r w:rsidR="00137263">
        <w:rPr>
          <w:rFonts w:ascii="Cambria" w:hAnsi="Cambria"/>
          <w:lang w:val="en-US"/>
        </w:rPr>
        <w:t xml:space="preserve">It was uncertain whether Brussels </w:t>
      </w:r>
      <w:proofErr w:type="spellStart"/>
      <w:r w:rsidR="00137263">
        <w:rPr>
          <w:rFonts w:ascii="Cambria" w:hAnsi="Cambria"/>
          <w:lang w:val="en-US"/>
        </w:rPr>
        <w:t>IIa</w:t>
      </w:r>
      <w:proofErr w:type="spellEnd"/>
      <w:r w:rsidR="00137263">
        <w:rPr>
          <w:rFonts w:ascii="Cambria" w:hAnsi="Cambria"/>
          <w:lang w:val="en-US"/>
        </w:rPr>
        <w:t xml:space="preserve"> could be used for such divorces</w:t>
      </w:r>
      <w:r w:rsidRPr="008820AA">
        <w:rPr>
          <w:rFonts w:ascii="Cambria" w:hAnsi="Cambria"/>
          <w:lang w:val="en-US"/>
        </w:rPr>
        <w:t xml:space="preserve">. Indeed, the Court had initially seemed to exclude them with the </w:t>
      </w:r>
      <w:proofErr w:type="spellStart"/>
      <w:r w:rsidR="003B69BA" w:rsidRPr="008820AA">
        <w:rPr>
          <w:rFonts w:ascii="Cambria" w:hAnsi="Cambria"/>
          <w:i/>
          <w:lang w:val="en-US"/>
        </w:rPr>
        <w:t>Sahyouni</w:t>
      </w:r>
      <w:proofErr w:type="spellEnd"/>
      <w:r w:rsidRPr="008820AA">
        <w:rPr>
          <w:rFonts w:ascii="Cambria" w:hAnsi="Cambria"/>
          <w:lang w:val="en-US"/>
        </w:rPr>
        <w:t xml:space="preserve"> </w:t>
      </w:r>
      <w:r w:rsidR="003B69BA" w:rsidRPr="008820AA">
        <w:rPr>
          <w:rFonts w:ascii="Cambria" w:hAnsi="Cambria"/>
          <w:lang w:val="en-US"/>
        </w:rPr>
        <w:t>case</w:t>
      </w:r>
      <w:r w:rsidR="006E0E5A" w:rsidRPr="008820AA">
        <w:rPr>
          <w:rStyle w:val="Appelnotedebasdep"/>
          <w:rFonts w:ascii="Cambria" w:hAnsi="Cambria"/>
          <w:lang w:val="en-US"/>
        </w:rPr>
        <w:footnoteReference w:id="33"/>
      </w:r>
      <w:r w:rsidRPr="008820AA">
        <w:rPr>
          <w:rFonts w:ascii="Cambria" w:hAnsi="Cambria"/>
          <w:lang w:val="en-US"/>
        </w:rPr>
        <w:t xml:space="preserve">. </w:t>
      </w:r>
      <w:r w:rsidR="007561F6" w:rsidRPr="008820AA">
        <w:rPr>
          <w:rFonts w:ascii="Cambria" w:hAnsi="Cambria"/>
          <w:lang w:val="en-US"/>
        </w:rPr>
        <w:t>However</w:t>
      </w:r>
      <w:r w:rsidR="00FB3A91" w:rsidRPr="008820AA">
        <w:rPr>
          <w:rFonts w:ascii="Cambria" w:hAnsi="Cambria"/>
          <w:lang w:val="en-US"/>
        </w:rPr>
        <w:t>,</w:t>
      </w:r>
      <w:r w:rsidR="007561F6" w:rsidRPr="008820AA">
        <w:rPr>
          <w:rFonts w:ascii="Cambria" w:hAnsi="Cambria"/>
          <w:lang w:val="en-US"/>
        </w:rPr>
        <w:t xml:space="preserve"> </w:t>
      </w:r>
      <w:r w:rsidRPr="008820AA">
        <w:rPr>
          <w:rFonts w:ascii="Cambria" w:hAnsi="Cambria"/>
          <w:lang w:val="en-US"/>
        </w:rPr>
        <w:t>this case concerned the circulation of a religious divorce</w:t>
      </w:r>
      <w:r w:rsidR="00C80458" w:rsidRPr="009A61E5">
        <w:rPr>
          <w:rFonts w:ascii="Cambria" w:hAnsi="Cambria"/>
          <w:lang w:val="en-US"/>
        </w:rPr>
        <w:t xml:space="preserve"> which </w:t>
      </w:r>
      <w:r w:rsidR="00504DC7" w:rsidRPr="009A61E5">
        <w:rPr>
          <w:rFonts w:ascii="Cambria" w:hAnsi="Cambria"/>
          <w:lang w:val="en-US"/>
        </w:rPr>
        <w:t xml:space="preserve">the Court </w:t>
      </w:r>
      <w:r w:rsidR="00C80458" w:rsidRPr="009A61E5">
        <w:rPr>
          <w:rFonts w:ascii="Cambria" w:hAnsi="Cambria"/>
          <w:lang w:val="en-US"/>
        </w:rPr>
        <w:t>considered to be mere private agreements</w:t>
      </w:r>
      <w:r w:rsidRPr="009A61E5">
        <w:rPr>
          <w:rFonts w:ascii="Cambria" w:hAnsi="Cambria"/>
          <w:lang w:val="en-US"/>
        </w:rPr>
        <w:t xml:space="preserve">. The question of extra-judicial divorce </w:t>
      </w:r>
      <w:r w:rsidR="008820AA" w:rsidRPr="008820AA">
        <w:rPr>
          <w:rFonts w:ascii="Cambria" w:hAnsi="Cambria"/>
          <w:i/>
          <w:iCs/>
          <w:lang w:val="en-US"/>
        </w:rPr>
        <w:t>per se</w:t>
      </w:r>
      <w:r w:rsidR="008820AA">
        <w:rPr>
          <w:rFonts w:ascii="Cambria" w:hAnsi="Cambria"/>
          <w:lang w:val="en-US"/>
        </w:rPr>
        <w:t xml:space="preserve"> </w:t>
      </w:r>
      <w:r w:rsidRPr="009A61E5">
        <w:rPr>
          <w:rFonts w:ascii="Cambria" w:hAnsi="Cambria"/>
          <w:lang w:val="en-US"/>
        </w:rPr>
        <w:t>had never been</w:t>
      </w:r>
      <w:r w:rsidR="008820AA">
        <w:rPr>
          <w:rFonts w:ascii="Cambria" w:hAnsi="Cambria"/>
          <w:lang w:val="en-US"/>
        </w:rPr>
        <w:t xml:space="preserve"> </w:t>
      </w:r>
      <w:r w:rsidRPr="009A61E5">
        <w:rPr>
          <w:rFonts w:ascii="Cambria" w:hAnsi="Cambria"/>
          <w:lang w:val="en-US"/>
        </w:rPr>
        <w:t xml:space="preserve">submitted to it. This has been clarified by the recent </w:t>
      </w:r>
      <w:proofErr w:type="spellStart"/>
      <w:r w:rsidR="00435214" w:rsidRPr="00435214">
        <w:rPr>
          <w:rFonts w:ascii="Cambria" w:hAnsi="Cambria"/>
          <w:i/>
          <w:iCs/>
          <w:lang w:val="en-US"/>
        </w:rPr>
        <w:t>Senatsverwaltung</w:t>
      </w:r>
      <w:proofErr w:type="spellEnd"/>
      <w:r w:rsidR="00435214" w:rsidRPr="00435214">
        <w:rPr>
          <w:rFonts w:ascii="Cambria" w:hAnsi="Cambria"/>
          <w:i/>
          <w:iCs/>
          <w:lang w:val="en-US"/>
        </w:rPr>
        <w:t xml:space="preserve"> für </w:t>
      </w:r>
      <w:proofErr w:type="spellStart"/>
      <w:r w:rsidR="00435214" w:rsidRPr="00435214">
        <w:rPr>
          <w:rFonts w:ascii="Cambria" w:hAnsi="Cambria"/>
          <w:i/>
          <w:iCs/>
          <w:lang w:val="en-US"/>
        </w:rPr>
        <w:t>Inneres</w:t>
      </w:r>
      <w:proofErr w:type="spellEnd"/>
      <w:r w:rsidR="00435214" w:rsidRPr="00435214">
        <w:rPr>
          <w:rFonts w:ascii="Cambria" w:hAnsi="Cambria"/>
          <w:i/>
          <w:iCs/>
          <w:lang w:val="en-US"/>
        </w:rPr>
        <w:t xml:space="preserve"> und Sport</w:t>
      </w:r>
      <w:r w:rsidRPr="00435214">
        <w:rPr>
          <w:rFonts w:ascii="Cambria" w:hAnsi="Cambria"/>
          <w:i/>
          <w:iCs/>
          <w:lang w:val="en-US"/>
        </w:rPr>
        <w:t xml:space="preserve"> </w:t>
      </w:r>
      <w:r w:rsidRPr="009A61E5">
        <w:rPr>
          <w:rFonts w:ascii="Cambria" w:hAnsi="Cambria"/>
          <w:lang w:val="en-US"/>
        </w:rPr>
        <w:t xml:space="preserve">judgment (which still concerns the </w:t>
      </w:r>
      <w:r w:rsidRPr="00435214">
        <w:rPr>
          <w:rFonts w:ascii="Cambria" w:hAnsi="Cambria"/>
          <w:lang w:val="en-US"/>
        </w:rPr>
        <w:t xml:space="preserve">former Brussels </w:t>
      </w:r>
      <w:proofErr w:type="spellStart"/>
      <w:r w:rsidRPr="00435214">
        <w:rPr>
          <w:rFonts w:ascii="Cambria" w:hAnsi="Cambria"/>
          <w:lang w:val="en-US"/>
        </w:rPr>
        <w:t>IIa</w:t>
      </w:r>
      <w:proofErr w:type="spellEnd"/>
      <w:r w:rsidRPr="00435214">
        <w:rPr>
          <w:rFonts w:ascii="Cambria" w:hAnsi="Cambria"/>
          <w:lang w:val="en-US"/>
        </w:rPr>
        <w:t xml:space="preserve"> Regulation</w:t>
      </w:r>
      <w:r w:rsidRPr="009A61E5">
        <w:rPr>
          <w:rFonts w:ascii="Cambria" w:hAnsi="Cambria"/>
          <w:lang w:val="en-US"/>
        </w:rPr>
        <w:t>). The Court</w:t>
      </w:r>
      <w:r w:rsidR="00137263">
        <w:rPr>
          <w:rFonts w:ascii="Cambria" w:hAnsi="Cambria"/>
          <w:lang w:val="en-US"/>
        </w:rPr>
        <w:t xml:space="preserve"> held</w:t>
      </w:r>
      <w:r w:rsidR="00504DC7" w:rsidRPr="009A61E5">
        <w:rPr>
          <w:rFonts w:ascii="Cambria" w:hAnsi="Cambria"/>
          <w:lang w:val="en-US"/>
        </w:rPr>
        <w:t xml:space="preserve"> that</w:t>
      </w:r>
      <w:r w:rsidR="002D0DE7" w:rsidRPr="009A61E5">
        <w:rPr>
          <w:rFonts w:ascii="Cambria" w:hAnsi="Cambria"/>
          <w:lang w:val="en-US"/>
        </w:rPr>
        <w:t xml:space="preserve"> </w:t>
      </w:r>
      <w:r w:rsidRPr="009A61E5">
        <w:rPr>
          <w:rFonts w:ascii="Cambria" w:hAnsi="Cambria"/>
          <w:lang w:val="en-US"/>
        </w:rPr>
        <w:t>extra-judicial divorce</w:t>
      </w:r>
      <w:r w:rsidR="004C6554">
        <w:rPr>
          <w:rFonts w:ascii="Cambria" w:hAnsi="Cambria"/>
          <w:lang w:val="en-US"/>
        </w:rPr>
        <w:t>s</w:t>
      </w:r>
      <w:r w:rsidR="00504DC7" w:rsidRPr="009A61E5">
        <w:rPr>
          <w:rFonts w:ascii="Cambria" w:hAnsi="Cambria"/>
          <w:lang w:val="en-US"/>
        </w:rPr>
        <w:t xml:space="preserve"> </w:t>
      </w:r>
      <w:r w:rsidR="00137263">
        <w:rPr>
          <w:rFonts w:ascii="Cambria" w:hAnsi="Cambria"/>
          <w:lang w:val="en-US"/>
        </w:rPr>
        <w:t>fall</w:t>
      </w:r>
      <w:r w:rsidR="00504DC7" w:rsidRPr="009A61E5">
        <w:rPr>
          <w:rFonts w:ascii="Cambria" w:hAnsi="Cambria"/>
          <w:lang w:val="en-US"/>
        </w:rPr>
        <w:t xml:space="preserve"> into the </w:t>
      </w:r>
      <w:r w:rsidR="004C6554">
        <w:rPr>
          <w:rFonts w:ascii="Cambria" w:hAnsi="Cambria"/>
          <w:lang w:val="en-US"/>
        </w:rPr>
        <w:t xml:space="preserve">definition of </w:t>
      </w:r>
      <w:r w:rsidR="004C6554" w:rsidRPr="008C21FB">
        <w:rPr>
          <w:rFonts w:ascii="Cambria" w:hAnsi="Cambria"/>
          <w:lang w:val="en-US"/>
        </w:rPr>
        <w:t>“</w:t>
      </w:r>
      <w:r w:rsidR="008C21FB" w:rsidRPr="008C21FB">
        <w:rPr>
          <w:rFonts w:ascii="Cambria" w:hAnsi="Cambria"/>
          <w:lang w:val="en-US"/>
        </w:rPr>
        <w:t>decision</w:t>
      </w:r>
      <w:r w:rsidR="004C6554" w:rsidRPr="008C21FB">
        <w:rPr>
          <w:rFonts w:ascii="Cambria" w:hAnsi="Cambria"/>
          <w:lang w:val="en-US"/>
        </w:rPr>
        <w:t>”</w:t>
      </w:r>
      <w:r w:rsidR="00435214" w:rsidRPr="008C21FB">
        <w:rPr>
          <w:rStyle w:val="Appelnotedebasdep"/>
          <w:rFonts w:ascii="Cambria" w:hAnsi="Cambria"/>
          <w:lang w:val="en-US"/>
        </w:rPr>
        <w:footnoteReference w:id="34"/>
      </w:r>
      <w:r w:rsidRPr="008C21FB">
        <w:rPr>
          <w:rFonts w:ascii="Cambria" w:hAnsi="Cambria"/>
          <w:lang w:val="en-US"/>
        </w:rPr>
        <w:t>.</w:t>
      </w:r>
      <w:r w:rsidRPr="009A61E5">
        <w:rPr>
          <w:rFonts w:ascii="Cambria" w:hAnsi="Cambria"/>
          <w:lang w:val="en-US"/>
        </w:rPr>
        <w:t xml:space="preserve"> The </w:t>
      </w:r>
      <w:r w:rsidR="002D0DE7" w:rsidRPr="004C6554">
        <w:rPr>
          <w:rFonts w:ascii="Cambria" w:hAnsi="Cambria"/>
          <w:lang w:val="en-US"/>
        </w:rPr>
        <w:t>R</w:t>
      </w:r>
      <w:r w:rsidRPr="004C6554">
        <w:rPr>
          <w:rFonts w:ascii="Cambria" w:hAnsi="Cambria"/>
          <w:lang w:val="en-US"/>
        </w:rPr>
        <w:t xml:space="preserve">ecast </w:t>
      </w:r>
      <w:r w:rsidR="00137263">
        <w:rPr>
          <w:rFonts w:ascii="Cambria" w:hAnsi="Cambria"/>
          <w:lang w:val="en-US"/>
        </w:rPr>
        <w:t xml:space="preserve">merely </w:t>
      </w:r>
      <w:r w:rsidR="00FB3A91" w:rsidRPr="009A61E5">
        <w:rPr>
          <w:rFonts w:ascii="Cambria" w:hAnsi="Cambria"/>
          <w:lang w:val="en-US"/>
        </w:rPr>
        <w:t xml:space="preserve">confirms </w:t>
      </w:r>
      <w:r w:rsidR="004C6554">
        <w:rPr>
          <w:rFonts w:ascii="Cambria" w:hAnsi="Cambria"/>
          <w:lang w:val="en-US"/>
        </w:rPr>
        <w:t xml:space="preserve">explicitly </w:t>
      </w:r>
      <w:r w:rsidRPr="009A61E5">
        <w:rPr>
          <w:rFonts w:ascii="Cambria" w:hAnsi="Cambria"/>
          <w:lang w:val="en-US"/>
        </w:rPr>
        <w:t>th</w:t>
      </w:r>
      <w:r w:rsidR="00137263">
        <w:rPr>
          <w:rFonts w:ascii="Cambria" w:hAnsi="Cambria"/>
          <w:lang w:val="en-US"/>
        </w:rPr>
        <w:t>at it applies to such</w:t>
      </w:r>
      <w:r w:rsidRPr="009A61E5">
        <w:rPr>
          <w:rFonts w:ascii="Cambria" w:hAnsi="Cambria"/>
          <w:lang w:val="en-US"/>
        </w:rPr>
        <w:t xml:space="preserve"> divorces. </w:t>
      </w:r>
    </w:p>
    <w:p w14:paraId="52D5350B" w14:textId="28318711" w:rsidR="004D6486" w:rsidRPr="009A61E5" w:rsidRDefault="00906313" w:rsidP="000B0F35">
      <w:pPr>
        <w:jc w:val="both"/>
        <w:rPr>
          <w:rFonts w:ascii="Cambria" w:hAnsi="Cambria"/>
          <w:lang w:val="en-US"/>
        </w:rPr>
      </w:pPr>
      <w:r w:rsidRPr="009A61E5">
        <w:rPr>
          <w:rFonts w:ascii="Cambria" w:hAnsi="Cambria"/>
          <w:lang w:val="en-US"/>
        </w:rPr>
        <w:t xml:space="preserve">Further, </w:t>
      </w:r>
      <w:r w:rsidRPr="00DE2C4A">
        <w:rPr>
          <w:rFonts w:ascii="Cambria" w:hAnsi="Cambria"/>
          <w:lang w:val="en-US"/>
        </w:rPr>
        <w:t>t</w:t>
      </w:r>
      <w:r w:rsidR="000B0F35" w:rsidRPr="00DE2C4A">
        <w:rPr>
          <w:rFonts w:ascii="Cambria" w:hAnsi="Cambria"/>
          <w:lang w:val="en-US"/>
        </w:rPr>
        <w:t>he Brussels II</w:t>
      </w:r>
      <w:r w:rsidR="00DE2C4A" w:rsidRPr="00DE2C4A">
        <w:rPr>
          <w:rFonts w:ascii="Cambria" w:hAnsi="Cambria"/>
          <w:lang w:val="en-US"/>
        </w:rPr>
        <w:t>b</w:t>
      </w:r>
      <w:r w:rsidR="000B0F35" w:rsidRPr="00DE2C4A">
        <w:rPr>
          <w:rFonts w:ascii="Cambria" w:hAnsi="Cambria"/>
          <w:lang w:val="en-US"/>
        </w:rPr>
        <w:t xml:space="preserve"> Regulation </w:t>
      </w:r>
      <w:r w:rsidR="00972C98">
        <w:rPr>
          <w:rFonts w:ascii="Cambria" w:hAnsi="Cambria"/>
          <w:lang w:val="en-US"/>
        </w:rPr>
        <w:t>defines</w:t>
      </w:r>
      <w:r w:rsidR="000B0F35" w:rsidRPr="009A61E5">
        <w:rPr>
          <w:rFonts w:ascii="Cambria" w:hAnsi="Cambria"/>
          <w:lang w:val="en-US"/>
        </w:rPr>
        <w:t xml:space="preserve"> a third category of documents </w:t>
      </w:r>
      <w:r w:rsidR="00B639F1">
        <w:rPr>
          <w:rFonts w:ascii="Cambria" w:hAnsi="Cambria"/>
          <w:lang w:val="en-US"/>
        </w:rPr>
        <w:t>(</w:t>
      </w:r>
      <w:r w:rsidR="000B0F35" w:rsidRPr="009A61E5">
        <w:rPr>
          <w:rFonts w:ascii="Cambria" w:hAnsi="Cambria"/>
          <w:lang w:val="en-US"/>
        </w:rPr>
        <w:t>besides decisions and authentic instruments</w:t>
      </w:r>
      <w:r w:rsidR="00B639F1">
        <w:rPr>
          <w:rFonts w:ascii="Cambria" w:hAnsi="Cambria"/>
          <w:lang w:val="en-US"/>
        </w:rPr>
        <w:t>),</w:t>
      </w:r>
      <w:r w:rsidR="000B0F35" w:rsidRPr="009A61E5">
        <w:rPr>
          <w:rFonts w:ascii="Cambria" w:hAnsi="Cambria"/>
          <w:lang w:val="en-US"/>
        </w:rPr>
        <w:t xml:space="preserve"> </w:t>
      </w:r>
      <w:r w:rsidRPr="009A61E5">
        <w:rPr>
          <w:rFonts w:ascii="Cambria" w:hAnsi="Cambria"/>
          <w:lang w:val="en-US"/>
        </w:rPr>
        <w:t xml:space="preserve">namely, </w:t>
      </w:r>
      <w:r w:rsidR="000B0F35" w:rsidRPr="009A61E5">
        <w:rPr>
          <w:rFonts w:ascii="Cambria" w:hAnsi="Cambria"/>
          <w:lang w:val="en-US"/>
        </w:rPr>
        <w:t>that of</w:t>
      </w:r>
      <w:r w:rsidR="004A47B7">
        <w:rPr>
          <w:rFonts w:ascii="Cambria" w:hAnsi="Cambria"/>
          <w:lang w:val="en-US"/>
        </w:rPr>
        <w:t xml:space="preserve"> </w:t>
      </w:r>
      <w:r w:rsidR="000B0F35" w:rsidRPr="009A61E5">
        <w:rPr>
          <w:rFonts w:ascii="Cambria" w:hAnsi="Cambria"/>
          <w:lang w:val="en-US"/>
        </w:rPr>
        <w:t>"agreements"</w:t>
      </w:r>
      <w:r w:rsidR="008F43A9" w:rsidRPr="009A61E5">
        <w:rPr>
          <w:rStyle w:val="Appelnotedebasdep"/>
          <w:rFonts w:ascii="Cambria" w:hAnsi="Cambria"/>
          <w:lang w:val="en-US"/>
        </w:rPr>
        <w:footnoteReference w:id="35"/>
      </w:r>
      <w:r w:rsidR="000B0F35" w:rsidRPr="009A61E5">
        <w:rPr>
          <w:rFonts w:ascii="Cambria" w:hAnsi="Cambria"/>
          <w:lang w:val="en-US"/>
        </w:rPr>
        <w:t xml:space="preserve">. If out-of-court divorces fulfil the conditions of the definition, these agreements </w:t>
      </w:r>
      <w:r w:rsidR="002C444C">
        <w:rPr>
          <w:rFonts w:ascii="Cambria" w:hAnsi="Cambria"/>
          <w:lang w:val="en-US"/>
        </w:rPr>
        <w:t>are</w:t>
      </w:r>
      <w:r w:rsidR="000B0F35" w:rsidRPr="009A61E5">
        <w:rPr>
          <w:rFonts w:ascii="Cambria" w:hAnsi="Cambria"/>
          <w:lang w:val="en-US"/>
        </w:rPr>
        <w:t xml:space="preserve"> </w:t>
      </w:r>
      <w:proofErr w:type="spellStart"/>
      <w:r w:rsidR="000B0F35" w:rsidRPr="009A61E5">
        <w:rPr>
          <w:rFonts w:ascii="Cambria" w:hAnsi="Cambria"/>
          <w:lang w:val="en-US"/>
        </w:rPr>
        <w:t>recognised</w:t>
      </w:r>
      <w:proofErr w:type="spellEnd"/>
      <w:r w:rsidR="000B0F35" w:rsidRPr="009A61E5">
        <w:rPr>
          <w:rFonts w:ascii="Cambria" w:hAnsi="Cambria"/>
          <w:lang w:val="en-US"/>
        </w:rPr>
        <w:t xml:space="preserve"> in the Union in the same way as </w:t>
      </w:r>
      <w:r w:rsidR="000562F9" w:rsidRPr="009A61E5">
        <w:rPr>
          <w:rFonts w:ascii="Cambria" w:hAnsi="Cambria"/>
          <w:lang w:val="en-US"/>
        </w:rPr>
        <w:t>authentic instruments</w:t>
      </w:r>
      <w:r w:rsidR="00DE2C4A">
        <w:rPr>
          <w:rStyle w:val="Appelnotedebasdep"/>
          <w:rFonts w:ascii="Cambria" w:hAnsi="Cambria"/>
          <w:lang w:val="en-US"/>
        </w:rPr>
        <w:footnoteReference w:id="36"/>
      </w:r>
      <w:r w:rsidR="000B0F35" w:rsidRPr="009A61E5">
        <w:rPr>
          <w:rFonts w:ascii="Cambria" w:hAnsi="Cambria"/>
          <w:lang w:val="en-US"/>
        </w:rPr>
        <w:t>.</w:t>
      </w:r>
    </w:p>
    <w:p w14:paraId="2235BB3A" w14:textId="7802AD56" w:rsidR="00C6114E" w:rsidRPr="009A61E5" w:rsidRDefault="00DD0FA0" w:rsidP="00C6114E">
      <w:pPr>
        <w:pStyle w:val="Titre2"/>
        <w:numPr>
          <w:ilvl w:val="0"/>
          <w:numId w:val="6"/>
        </w:numPr>
        <w:rPr>
          <w:rFonts w:ascii="Cambria" w:hAnsi="Cambria"/>
          <w:lang w:val="en-US"/>
        </w:rPr>
      </w:pPr>
      <w:r w:rsidRPr="009A61E5">
        <w:rPr>
          <w:rFonts w:ascii="Cambria" w:hAnsi="Cambria"/>
          <w:lang w:val="en-US"/>
        </w:rPr>
        <w:t xml:space="preserve">Enforcement of </w:t>
      </w:r>
      <w:r w:rsidR="00493449">
        <w:rPr>
          <w:rFonts w:ascii="Cambria" w:hAnsi="Cambria"/>
          <w:lang w:val="en-US"/>
        </w:rPr>
        <w:t>D</w:t>
      </w:r>
      <w:r w:rsidRPr="009A61E5">
        <w:rPr>
          <w:rFonts w:ascii="Cambria" w:hAnsi="Cambria"/>
          <w:lang w:val="en-US"/>
        </w:rPr>
        <w:t>ecisions</w:t>
      </w:r>
      <w:r w:rsidR="00557D89" w:rsidRPr="009A61E5">
        <w:rPr>
          <w:rFonts w:ascii="Cambria" w:hAnsi="Cambria"/>
          <w:lang w:val="en-US"/>
        </w:rPr>
        <w:t xml:space="preserve">, </w:t>
      </w:r>
      <w:r w:rsidR="00493449">
        <w:rPr>
          <w:rFonts w:ascii="Cambria" w:hAnsi="Cambria"/>
          <w:lang w:val="en-US"/>
        </w:rPr>
        <w:t>A</w:t>
      </w:r>
      <w:r w:rsidR="00557D89" w:rsidRPr="009A61E5">
        <w:rPr>
          <w:rFonts w:ascii="Cambria" w:hAnsi="Cambria"/>
          <w:lang w:val="en-US"/>
        </w:rPr>
        <w:t xml:space="preserve">uthentic </w:t>
      </w:r>
      <w:r w:rsidR="00493449">
        <w:rPr>
          <w:rFonts w:ascii="Cambria" w:hAnsi="Cambria"/>
          <w:lang w:val="en-US"/>
        </w:rPr>
        <w:t>I</w:t>
      </w:r>
      <w:r w:rsidR="00557D89" w:rsidRPr="009A61E5">
        <w:rPr>
          <w:rFonts w:ascii="Cambria" w:hAnsi="Cambria"/>
          <w:lang w:val="en-US"/>
        </w:rPr>
        <w:t xml:space="preserve">nstruments and </w:t>
      </w:r>
      <w:r w:rsidR="00493449">
        <w:rPr>
          <w:rFonts w:ascii="Cambria" w:hAnsi="Cambria"/>
          <w:lang w:val="en-US"/>
        </w:rPr>
        <w:t>A</w:t>
      </w:r>
      <w:r w:rsidR="00557D89" w:rsidRPr="009A61E5">
        <w:rPr>
          <w:rFonts w:ascii="Cambria" w:hAnsi="Cambria"/>
          <w:lang w:val="en-US"/>
        </w:rPr>
        <w:t>greements</w:t>
      </w:r>
    </w:p>
    <w:p w14:paraId="6A58ABED" w14:textId="6B466137" w:rsidR="00DD0FA0" w:rsidRPr="009A61E5" w:rsidRDefault="003526DF" w:rsidP="00646B44">
      <w:pPr>
        <w:jc w:val="both"/>
        <w:rPr>
          <w:rFonts w:ascii="Cambria" w:hAnsi="Cambria"/>
          <w:lang w:val="en-US"/>
        </w:rPr>
      </w:pPr>
      <w:r>
        <w:rPr>
          <w:rFonts w:ascii="Cambria" w:hAnsi="Cambria"/>
          <w:lang w:val="en-US"/>
        </w:rPr>
        <w:t>T</w:t>
      </w:r>
      <w:r w:rsidR="00646B44" w:rsidRPr="009A61E5">
        <w:rPr>
          <w:rFonts w:ascii="Cambria" w:hAnsi="Cambria"/>
          <w:lang w:val="en-US"/>
        </w:rPr>
        <w:t xml:space="preserve">he </w:t>
      </w:r>
      <w:r w:rsidR="00646B44" w:rsidRPr="004A074B">
        <w:rPr>
          <w:rFonts w:ascii="Cambria" w:hAnsi="Cambria"/>
          <w:lang w:val="en-US"/>
        </w:rPr>
        <w:t xml:space="preserve">Brussels </w:t>
      </w:r>
      <w:proofErr w:type="spellStart"/>
      <w:r w:rsidR="00646B44" w:rsidRPr="004A074B">
        <w:rPr>
          <w:rFonts w:ascii="Cambria" w:hAnsi="Cambria"/>
          <w:lang w:val="en-US"/>
        </w:rPr>
        <w:t>IIa</w:t>
      </w:r>
      <w:proofErr w:type="spellEnd"/>
      <w:r w:rsidR="00646B44" w:rsidRPr="004A074B">
        <w:rPr>
          <w:rFonts w:ascii="Cambria" w:hAnsi="Cambria"/>
          <w:lang w:val="en-US"/>
        </w:rPr>
        <w:t xml:space="preserve"> Regulation had</w:t>
      </w:r>
      <w:r w:rsidR="00646B44" w:rsidRPr="009A61E5">
        <w:rPr>
          <w:rFonts w:ascii="Cambria" w:hAnsi="Cambria"/>
          <w:lang w:val="en-US"/>
        </w:rPr>
        <w:t xml:space="preserve"> already abolished the </w:t>
      </w:r>
      <w:r w:rsidR="00646B44" w:rsidRPr="004A074B">
        <w:rPr>
          <w:rFonts w:ascii="Cambria" w:hAnsi="Cambria"/>
          <w:i/>
          <w:iCs/>
          <w:lang w:val="en-US"/>
        </w:rPr>
        <w:t>exequatur</w:t>
      </w:r>
      <w:r w:rsidR="00646B44" w:rsidRPr="009A61E5">
        <w:rPr>
          <w:rFonts w:ascii="Cambria" w:hAnsi="Cambria"/>
          <w:lang w:val="en-US"/>
        </w:rPr>
        <w:t xml:space="preserve"> procedure for two types of judgments that enjoyed a preferential regime</w:t>
      </w:r>
      <w:r>
        <w:rPr>
          <w:rFonts w:ascii="Cambria" w:hAnsi="Cambria"/>
          <w:lang w:val="en-US"/>
        </w:rPr>
        <w:t>, i.e.</w:t>
      </w:r>
      <w:r w:rsidR="00646B44" w:rsidRPr="009A61E5">
        <w:rPr>
          <w:rFonts w:ascii="Cambria" w:hAnsi="Cambria"/>
          <w:lang w:val="en-US"/>
        </w:rPr>
        <w:t xml:space="preserve"> judgments on rights of access and </w:t>
      </w:r>
      <w:r w:rsidR="00002DD2" w:rsidRPr="009A61E5">
        <w:rPr>
          <w:rFonts w:ascii="Cambria" w:hAnsi="Cambria"/>
          <w:lang w:val="en-US"/>
        </w:rPr>
        <w:t xml:space="preserve">on </w:t>
      </w:r>
      <w:r w:rsidR="00646B44" w:rsidRPr="009A61E5">
        <w:rPr>
          <w:rFonts w:ascii="Cambria" w:hAnsi="Cambria"/>
          <w:lang w:val="en-US"/>
        </w:rPr>
        <w:t xml:space="preserve">rights of return. For these types of decisions, the parties were not required to seek the intervention of a judge to </w:t>
      </w:r>
      <w:r>
        <w:rPr>
          <w:rFonts w:ascii="Cambria" w:hAnsi="Cambria"/>
          <w:lang w:val="en-US"/>
        </w:rPr>
        <w:t>obtain a declaration of enforceability</w:t>
      </w:r>
      <w:r w:rsidR="00646B44" w:rsidRPr="009A61E5">
        <w:rPr>
          <w:rFonts w:ascii="Cambria" w:hAnsi="Cambria"/>
          <w:lang w:val="en-US"/>
        </w:rPr>
        <w:t>. Such decisions were</w:t>
      </w:r>
      <w:r w:rsidR="004A074B">
        <w:rPr>
          <w:rFonts w:ascii="Cambria" w:hAnsi="Cambria"/>
          <w:lang w:val="en-US"/>
        </w:rPr>
        <w:t>, upon certain conditions,</w:t>
      </w:r>
      <w:r w:rsidR="00646B44" w:rsidRPr="009A61E5">
        <w:rPr>
          <w:rFonts w:ascii="Cambria" w:hAnsi="Cambria"/>
          <w:lang w:val="en-US"/>
        </w:rPr>
        <w:t xml:space="preserve"> enforceable </w:t>
      </w:r>
      <w:r>
        <w:rPr>
          <w:rFonts w:ascii="Cambria" w:hAnsi="Cambria"/>
          <w:lang w:val="en-US"/>
        </w:rPr>
        <w:t xml:space="preserve">in </w:t>
      </w:r>
      <w:r w:rsidR="009E3518">
        <w:rPr>
          <w:rFonts w:ascii="Cambria" w:hAnsi="Cambria"/>
          <w:lang w:val="en-US"/>
        </w:rPr>
        <w:t xml:space="preserve">other Member States </w:t>
      </w:r>
      <w:r w:rsidR="00646B44" w:rsidRPr="009A61E5">
        <w:rPr>
          <w:rFonts w:ascii="Cambria" w:hAnsi="Cambria"/>
          <w:lang w:val="en-US"/>
        </w:rPr>
        <w:t xml:space="preserve">by operation of law. The </w:t>
      </w:r>
      <w:r w:rsidR="00646B44" w:rsidRPr="004A074B">
        <w:rPr>
          <w:rFonts w:ascii="Cambria" w:hAnsi="Cambria"/>
          <w:lang w:val="en-US"/>
        </w:rPr>
        <w:t>Recast goes</w:t>
      </w:r>
      <w:r w:rsidR="00646B44" w:rsidRPr="009A61E5">
        <w:rPr>
          <w:rFonts w:ascii="Cambria" w:hAnsi="Cambria"/>
          <w:lang w:val="en-US"/>
        </w:rPr>
        <w:t xml:space="preserve"> even further since the principle of enforceability by operation of law has been </w:t>
      </w:r>
      <w:r w:rsidR="00523C9A">
        <w:rPr>
          <w:rFonts w:ascii="Cambria" w:hAnsi="Cambria"/>
          <w:lang w:val="en-US"/>
        </w:rPr>
        <w:t>extended to all judgments</w:t>
      </w:r>
      <w:r w:rsidR="00646B44" w:rsidRPr="009A61E5">
        <w:rPr>
          <w:rFonts w:ascii="Cambria" w:hAnsi="Cambria"/>
          <w:lang w:val="en-US"/>
        </w:rPr>
        <w:t xml:space="preserve">. However, </w:t>
      </w:r>
      <w:r w:rsidR="00002DD2" w:rsidRPr="009A61E5">
        <w:rPr>
          <w:rFonts w:ascii="Cambria" w:hAnsi="Cambria"/>
          <w:lang w:val="en-US"/>
        </w:rPr>
        <w:t xml:space="preserve">two </w:t>
      </w:r>
      <w:r w:rsidR="00646B44" w:rsidRPr="009A61E5">
        <w:rPr>
          <w:rFonts w:ascii="Cambria" w:hAnsi="Cambria"/>
          <w:lang w:val="en-US"/>
        </w:rPr>
        <w:t xml:space="preserve">conditions must be met in order for the </w:t>
      </w:r>
      <w:r w:rsidR="00523C9A">
        <w:rPr>
          <w:rFonts w:ascii="Cambria" w:hAnsi="Cambria"/>
          <w:lang w:val="en-US"/>
        </w:rPr>
        <w:t xml:space="preserve">actual </w:t>
      </w:r>
      <w:r w:rsidR="00646B44" w:rsidRPr="009A61E5">
        <w:rPr>
          <w:rFonts w:ascii="Cambria" w:hAnsi="Cambria"/>
          <w:lang w:val="en-US"/>
        </w:rPr>
        <w:t>enforcement of the decision</w:t>
      </w:r>
      <w:r w:rsidR="00557D89" w:rsidRPr="009A61E5">
        <w:rPr>
          <w:rFonts w:ascii="Cambria" w:hAnsi="Cambria"/>
          <w:lang w:val="en-US"/>
        </w:rPr>
        <w:t>, the authentic instrument or</w:t>
      </w:r>
      <w:r w:rsidR="00646B44" w:rsidRPr="009A61E5">
        <w:rPr>
          <w:rFonts w:ascii="Cambria" w:hAnsi="Cambria"/>
          <w:lang w:val="en-US"/>
        </w:rPr>
        <w:t xml:space="preserve"> the agreement (since their regime is quite similar) to take place. First, the person concerned must produce several documents, including at least a certificate issued in the State that has delivered the </w:t>
      </w:r>
      <w:r w:rsidR="00002DD2" w:rsidRPr="009A61E5">
        <w:rPr>
          <w:rFonts w:ascii="Cambria" w:hAnsi="Cambria"/>
          <w:lang w:val="en-US"/>
        </w:rPr>
        <w:t xml:space="preserve">concerned </w:t>
      </w:r>
      <w:r w:rsidR="00646B44" w:rsidRPr="009A61E5">
        <w:rPr>
          <w:rFonts w:ascii="Cambria" w:hAnsi="Cambria"/>
          <w:lang w:val="en-US"/>
        </w:rPr>
        <w:t>documen</w:t>
      </w:r>
      <w:r w:rsidR="00537844" w:rsidRPr="009A61E5">
        <w:rPr>
          <w:rFonts w:ascii="Cambria" w:hAnsi="Cambria"/>
          <w:lang w:val="en-US"/>
        </w:rPr>
        <w:t>t</w:t>
      </w:r>
      <w:r w:rsidR="00537844" w:rsidRPr="009A61E5">
        <w:rPr>
          <w:rStyle w:val="Appelnotedebasdep"/>
          <w:rFonts w:ascii="Cambria" w:hAnsi="Cambria"/>
          <w:lang w:val="en-US"/>
        </w:rPr>
        <w:footnoteReference w:id="37"/>
      </w:r>
      <w:r w:rsidR="00646B44" w:rsidRPr="009A61E5">
        <w:rPr>
          <w:rFonts w:ascii="Cambria" w:hAnsi="Cambria"/>
          <w:lang w:val="en-US"/>
        </w:rPr>
        <w:t>.</w:t>
      </w:r>
      <w:r w:rsidR="00537844" w:rsidRPr="009A61E5">
        <w:rPr>
          <w:rFonts w:ascii="Cambria" w:hAnsi="Cambria"/>
          <w:lang w:val="en-US"/>
        </w:rPr>
        <w:t xml:space="preserve"> Second, the</w:t>
      </w:r>
      <w:r w:rsidR="00B1034F">
        <w:rPr>
          <w:rFonts w:ascii="Cambria" w:hAnsi="Cambria"/>
          <w:lang w:val="en-US"/>
        </w:rPr>
        <w:t xml:space="preserve"> decision </w:t>
      </w:r>
      <w:r w:rsidR="00537844" w:rsidRPr="009A61E5">
        <w:rPr>
          <w:rFonts w:ascii="Cambria" w:hAnsi="Cambria"/>
          <w:lang w:val="en-US"/>
        </w:rPr>
        <w:t>must not infringe any of the grounds of non-recognition listed in the Regulation</w:t>
      </w:r>
      <w:r w:rsidR="00537844" w:rsidRPr="009A61E5">
        <w:rPr>
          <w:rStyle w:val="Appelnotedebasdep"/>
          <w:rFonts w:ascii="Cambria" w:hAnsi="Cambria"/>
          <w:lang w:val="en-US"/>
        </w:rPr>
        <w:footnoteReference w:id="38"/>
      </w:r>
      <w:r w:rsidR="00537844" w:rsidRPr="009A61E5">
        <w:rPr>
          <w:rFonts w:ascii="Cambria" w:hAnsi="Cambria"/>
          <w:lang w:val="en-US"/>
        </w:rPr>
        <w:t xml:space="preserve">. For instance, these include respect for public policy, the requirement of compatibility between </w:t>
      </w:r>
      <w:r w:rsidR="00537844" w:rsidRPr="0014320A">
        <w:rPr>
          <w:rFonts w:ascii="Cambria" w:hAnsi="Cambria"/>
          <w:lang w:val="en-US"/>
        </w:rPr>
        <w:t xml:space="preserve">several decisions, having proposed the hearing of the child, etc. </w:t>
      </w:r>
      <w:r w:rsidR="00875812">
        <w:rPr>
          <w:rFonts w:ascii="Cambria" w:hAnsi="Cambria"/>
          <w:lang w:val="en-US"/>
        </w:rPr>
        <w:t>Decisions on</w:t>
      </w:r>
      <w:r w:rsidR="00537844" w:rsidRPr="009A61E5">
        <w:rPr>
          <w:rFonts w:ascii="Cambria" w:hAnsi="Cambria"/>
          <w:lang w:val="en-US"/>
        </w:rPr>
        <w:t xml:space="preserve"> access and return</w:t>
      </w:r>
      <w:r w:rsidR="00875812">
        <w:rPr>
          <w:rFonts w:ascii="Cambria" w:hAnsi="Cambria"/>
          <w:lang w:val="en-US"/>
        </w:rPr>
        <w:t xml:space="preserve"> enjoy a preferential regime since an application for enforcement may only be refused on two </w:t>
      </w:r>
      <w:r w:rsidR="00537844" w:rsidRPr="009A61E5">
        <w:rPr>
          <w:rFonts w:ascii="Cambria" w:hAnsi="Cambria"/>
          <w:lang w:val="en-US"/>
        </w:rPr>
        <w:t>rounds</w:t>
      </w:r>
      <w:r w:rsidR="00537844" w:rsidRPr="009A61E5">
        <w:rPr>
          <w:rStyle w:val="Appelnotedebasdep"/>
          <w:rFonts w:ascii="Cambria" w:hAnsi="Cambria"/>
          <w:lang w:val="en-US"/>
        </w:rPr>
        <w:footnoteReference w:id="39"/>
      </w:r>
      <w:r w:rsidR="00537844" w:rsidRPr="009A61E5">
        <w:rPr>
          <w:rFonts w:ascii="Cambria" w:hAnsi="Cambria"/>
          <w:lang w:val="en-US"/>
        </w:rPr>
        <w:t>.</w:t>
      </w:r>
    </w:p>
    <w:p w14:paraId="75E658B8" w14:textId="3B51B9D1" w:rsidR="00423729" w:rsidRPr="009A61E5" w:rsidRDefault="00016C19" w:rsidP="00016C19">
      <w:pPr>
        <w:pStyle w:val="Titre1"/>
        <w:numPr>
          <w:ilvl w:val="0"/>
          <w:numId w:val="3"/>
        </w:numPr>
        <w:rPr>
          <w:rFonts w:ascii="Cambria" w:hAnsi="Cambria"/>
          <w:lang w:val="en-US"/>
        </w:rPr>
      </w:pPr>
      <w:r w:rsidRPr="009A61E5">
        <w:rPr>
          <w:rFonts w:ascii="Cambria" w:hAnsi="Cambria"/>
          <w:lang w:val="en-US"/>
        </w:rPr>
        <w:t xml:space="preserve">Blind </w:t>
      </w:r>
      <w:r w:rsidR="00F05B49">
        <w:rPr>
          <w:rFonts w:ascii="Cambria" w:hAnsi="Cambria"/>
          <w:lang w:val="en-US"/>
        </w:rPr>
        <w:t>S</w:t>
      </w:r>
      <w:r w:rsidRPr="009A61E5">
        <w:rPr>
          <w:rFonts w:ascii="Cambria" w:hAnsi="Cambria"/>
          <w:lang w:val="en-US"/>
        </w:rPr>
        <w:t>pots</w:t>
      </w:r>
    </w:p>
    <w:p w14:paraId="3B83B93D" w14:textId="3B48D041" w:rsidR="00A96E79" w:rsidRPr="009A61E5" w:rsidRDefault="00A96E79" w:rsidP="00A96E79">
      <w:pPr>
        <w:pStyle w:val="Titre2"/>
        <w:numPr>
          <w:ilvl w:val="0"/>
          <w:numId w:val="8"/>
        </w:numPr>
        <w:rPr>
          <w:rFonts w:ascii="Cambria" w:hAnsi="Cambria"/>
          <w:lang w:val="en-US"/>
        </w:rPr>
      </w:pPr>
      <w:r w:rsidRPr="009A61E5">
        <w:rPr>
          <w:rFonts w:ascii="Cambria" w:hAnsi="Cambria"/>
          <w:lang w:val="en-US"/>
        </w:rPr>
        <w:t xml:space="preserve">Absence of </w:t>
      </w:r>
      <w:r w:rsidR="00F05B49">
        <w:rPr>
          <w:rFonts w:ascii="Cambria" w:hAnsi="Cambria"/>
          <w:lang w:val="en-US"/>
        </w:rPr>
        <w:t>F</w:t>
      </w:r>
      <w:r w:rsidRPr="009A61E5">
        <w:rPr>
          <w:rFonts w:ascii="Cambria" w:hAnsi="Cambria"/>
          <w:lang w:val="en-US"/>
        </w:rPr>
        <w:t xml:space="preserve">orum </w:t>
      </w:r>
      <w:r w:rsidR="00F05B49">
        <w:rPr>
          <w:rFonts w:ascii="Cambria" w:hAnsi="Cambria"/>
          <w:lang w:val="en-US"/>
        </w:rPr>
        <w:t>S</w:t>
      </w:r>
      <w:r w:rsidRPr="009A61E5">
        <w:rPr>
          <w:rFonts w:ascii="Cambria" w:hAnsi="Cambria"/>
          <w:lang w:val="en-US"/>
        </w:rPr>
        <w:t xml:space="preserve">election </w:t>
      </w:r>
      <w:r w:rsidR="00F05B49">
        <w:rPr>
          <w:rFonts w:ascii="Cambria" w:hAnsi="Cambria"/>
          <w:lang w:val="en-US"/>
        </w:rPr>
        <w:t>C</w:t>
      </w:r>
      <w:r w:rsidRPr="009A61E5">
        <w:rPr>
          <w:rFonts w:ascii="Cambria" w:hAnsi="Cambria"/>
          <w:lang w:val="en-US"/>
        </w:rPr>
        <w:t xml:space="preserve">lause in </w:t>
      </w:r>
      <w:r w:rsidR="00F05B49">
        <w:rPr>
          <w:rFonts w:ascii="Cambria" w:hAnsi="Cambria"/>
          <w:lang w:val="en-US"/>
        </w:rPr>
        <w:t>D</w:t>
      </w:r>
      <w:r w:rsidRPr="009A61E5">
        <w:rPr>
          <w:rFonts w:ascii="Cambria" w:hAnsi="Cambria"/>
          <w:lang w:val="en-US"/>
        </w:rPr>
        <w:t xml:space="preserve">ivorce </w:t>
      </w:r>
      <w:r w:rsidR="00F05B49">
        <w:rPr>
          <w:rFonts w:ascii="Cambria" w:hAnsi="Cambria"/>
          <w:lang w:val="en-US"/>
        </w:rPr>
        <w:t>P</w:t>
      </w:r>
      <w:r w:rsidRPr="009A61E5">
        <w:rPr>
          <w:rFonts w:ascii="Cambria" w:hAnsi="Cambria"/>
          <w:lang w:val="en-US"/>
        </w:rPr>
        <w:t>roceedings</w:t>
      </w:r>
    </w:p>
    <w:p w14:paraId="6F6CF77F" w14:textId="56D22241" w:rsidR="00176249" w:rsidRPr="009A61E5" w:rsidRDefault="007C5FAD" w:rsidP="00BC5127">
      <w:pPr>
        <w:jc w:val="both"/>
        <w:rPr>
          <w:rFonts w:ascii="Cambria" w:hAnsi="Cambria" w:cs="Times New Roman"/>
          <w:lang w:val="en-US"/>
        </w:rPr>
      </w:pPr>
      <w:r w:rsidRPr="009A61E5">
        <w:rPr>
          <w:rFonts w:ascii="Cambria" w:hAnsi="Cambria" w:cs="Times New Roman"/>
          <w:lang w:val="en-US"/>
        </w:rPr>
        <w:t>As explained</w:t>
      </w:r>
      <w:r w:rsidR="00BC5127" w:rsidRPr="009A61E5">
        <w:rPr>
          <w:rFonts w:ascii="Cambria" w:hAnsi="Cambria" w:cs="Times New Roman"/>
          <w:lang w:val="en-US"/>
        </w:rPr>
        <w:t xml:space="preserve"> (see point </w:t>
      </w:r>
      <w:proofErr w:type="spellStart"/>
      <w:r w:rsidR="00BC5127" w:rsidRPr="009A61E5">
        <w:rPr>
          <w:rFonts w:ascii="Cambria" w:hAnsi="Cambria" w:cs="Times New Roman"/>
          <w:lang w:val="en-US"/>
        </w:rPr>
        <w:t>II.a</w:t>
      </w:r>
      <w:proofErr w:type="spellEnd"/>
      <w:r w:rsidR="00BC5127" w:rsidRPr="009A61E5">
        <w:rPr>
          <w:rFonts w:ascii="Cambria" w:hAnsi="Cambria" w:cs="Times New Roman"/>
          <w:lang w:val="en-US"/>
        </w:rPr>
        <w:t>. above)</w:t>
      </w:r>
      <w:r w:rsidRPr="009A61E5">
        <w:rPr>
          <w:rFonts w:ascii="Cambria" w:hAnsi="Cambria" w:cs="Times New Roman"/>
          <w:lang w:val="en-US"/>
        </w:rPr>
        <w:t xml:space="preserve">, </w:t>
      </w:r>
      <w:r w:rsidR="00BC5127" w:rsidRPr="009A61E5">
        <w:rPr>
          <w:rFonts w:ascii="Cambria" w:hAnsi="Cambria" w:cs="Times New Roman"/>
          <w:lang w:val="en-US"/>
        </w:rPr>
        <w:t xml:space="preserve">one of the most significant </w:t>
      </w:r>
      <w:r w:rsidR="00107DA8" w:rsidRPr="009A61E5">
        <w:rPr>
          <w:rFonts w:ascii="Cambria" w:hAnsi="Cambria" w:cs="Times New Roman"/>
          <w:lang w:val="en-US"/>
        </w:rPr>
        <w:t>innovations</w:t>
      </w:r>
      <w:r w:rsidR="00BC5127" w:rsidRPr="009A61E5">
        <w:rPr>
          <w:rFonts w:ascii="Cambria" w:hAnsi="Cambria" w:cs="Times New Roman"/>
          <w:lang w:val="en-US"/>
        </w:rPr>
        <w:t xml:space="preserve"> brought by </w:t>
      </w:r>
      <w:r w:rsidRPr="009A61E5">
        <w:rPr>
          <w:rFonts w:ascii="Cambria" w:hAnsi="Cambria" w:cs="Times New Roman"/>
          <w:lang w:val="en-US"/>
        </w:rPr>
        <w:t xml:space="preserve">the </w:t>
      </w:r>
      <w:r w:rsidR="004A074B">
        <w:rPr>
          <w:rFonts w:ascii="Cambria" w:hAnsi="Cambria" w:cs="Times New Roman"/>
          <w:lang w:val="en-US"/>
        </w:rPr>
        <w:t xml:space="preserve">Recast </w:t>
      </w:r>
      <w:r w:rsidR="00BC5127" w:rsidRPr="009A61E5">
        <w:rPr>
          <w:rFonts w:ascii="Cambria" w:hAnsi="Cambria" w:cs="Times New Roman"/>
          <w:lang w:val="en-US"/>
        </w:rPr>
        <w:t>is that it</w:t>
      </w:r>
      <w:r w:rsidRPr="009A61E5">
        <w:rPr>
          <w:rFonts w:ascii="Cambria" w:hAnsi="Cambria" w:cs="Times New Roman"/>
          <w:lang w:val="en-US"/>
        </w:rPr>
        <w:t xml:space="preserve"> now allows </w:t>
      </w:r>
      <w:r w:rsidR="00BC5127" w:rsidRPr="009A61E5">
        <w:rPr>
          <w:rFonts w:ascii="Cambria" w:hAnsi="Cambria" w:cs="Times New Roman"/>
          <w:lang w:val="en-US"/>
        </w:rPr>
        <w:t xml:space="preserve">parties </w:t>
      </w:r>
      <w:r w:rsidRPr="009A61E5">
        <w:rPr>
          <w:rFonts w:ascii="Cambria" w:hAnsi="Cambria" w:cs="Times New Roman"/>
          <w:lang w:val="en-US"/>
        </w:rPr>
        <w:t>to elect a court in matters relating to parental responsibility.</w:t>
      </w:r>
      <w:r w:rsidR="00BC5127" w:rsidRPr="009A61E5">
        <w:rPr>
          <w:rFonts w:ascii="Cambria" w:hAnsi="Cambria" w:cs="Times New Roman"/>
          <w:lang w:val="en-US"/>
        </w:rPr>
        <w:t xml:space="preserve"> </w:t>
      </w:r>
      <w:r w:rsidR="00875812">
        <w:rPr>
          <w:rFonts w:ascii="Cambria" w:hAnsi="Cambria" w:cs="Times New Roman"/>
          <w:lang w:val="en-US"/>
        </w:rPr>
        <w:t>T</w:t>
      </w:r>
      <w:r w:rsidR="00BC5127" w:rsidRPr="009A61E5">
        <w:rPr>
          <w:rFonts w:ascii="Cambria" w:hAnsi="Cambria" w:cs="Times New Roman"/>
          <w:lang w:val="en-US"/>
        </w:rPr>
        <w:t xml:space="preserve">his </w:t>
      </w:r>
      <w:r w:rsidR="00875812">
        <w:rPr>
          <w:rFonts w:ascii="Cambria" w:hAnsi="Cambria" w:cs="Times New Roman"/>
          <w:lang w:val="en-US"/>
        </w:rPr>
        <w:t>freedom</w:t>
      </w:r>
      <w:r w:rsidR="00875812" w:rsidRPr="009A61E5">
        <w:rPr>
          <w:rFonts w:ascii="Cambria" w:hAnsi="Cambria" w:cs="Times New Roman"/>
          <w:lang w:val="en-US"/>
        </w:rPr>
        <w:t xml:space="preserve"> </w:t>
      </w:r>
      <w:r w:rsidR="006B716B" w:rsidRPr="009A61E5">
        <w:rPr>
          <w:rFonts w:ascii="Cambria" w:hAnsi="Cambria" w:cs="Times New Roman"/>
          <w:lang w:val="en-US"/>
        </w:rPr>
        <w:t>has</w:t>
      </w:r>
      <w:r w:rsidR="00875812">
        <w:rPr>
          <w:rFonts w:ascii="Cambria" w:hAnsi="Cambria" w:cs="Times New Roman"/>
          <w:lang w:val="en-US"/>
        </w:rPr>
        <w:t xml:space="preserve"> </w:t>
      </w:r>
      <w:r w:rsidR="006B716B" w:rsidRPr="009A61E5">
        <w:rPr>
          <w:rFonts w:ascii="Cambria" w:hAnsi="Cambria" w:cs="Times New Roman"/>
          <w:lang w:val="en-US"/>
        </w:rPr>
        <w:t xml:space="preserve">not been </w:t>
      </w:r>
      <w:r w:rsidR="00875812">
        <w:rPr>
          <w:rFonts w:ascii="Cambria" w:hAnsi="Cambria" w:cs="Times New Roman"/>
          <w:lang w:val="en-US"/>
        </w:rPr>
        <w:t xml:space="preserve">granted </w:t>
      </w:r>
      <w:r w:rsidRPr="009A61E5">
        <w:rPr>
          <w:rFonts w:ascii="Cambria" w:hAnsi="Cambria" w:cs="Times New Roman"/>
          <w:lang w:val="en-US"/>
        </w:rPr>
        <w:t>in divorce matters</w:t>
      </w:r>
      <w:r w:rsidR="006009C2">
        <w:rPr>
          <w:rStyle w:val="Appelnotedebasdep"/>
          <w:rFonts w:ascii="Cambria" w:hAnsi="Cambria" w:cs="Times New Roman"/>
          <w:lang w:val="en-US"/>
        </w:rPr>
        <w:footnoteReference w:id="40"/>
      </w:r>
      <w:r w:rsidRPr="009A61E5">
        <w:rPr>
          <w:rFonts w:ascii="Cambria" w:hAnsi="Cambria" w:cs="Times New Roman"/>
          <w:lang w:val="en-US"/>
        </w:rPr>
        <w:t xml:space="preserve">. This </w:t>
      </w:r>
      <w:r w:rsidR="00FE4CB0">
        <w:rPr>
          <w:rFonts w:ascii="Cambria" w:hAnsi="Cambria" w:cs="Times New Roman"/>
          <w:lang w:val="en-US"/>
        </w:rPr>
        <w:t xml:space="preserve">difference of treatment </w:t>
      </w:r>
      <w:r w:rsidRPr="009A61E5">
        <w:rPr>
          <w:rFonts w:ascii="Cambria" w:hAnsi="Cambria" w:cs="Times New Roman"/>
          <w:lang w:val="en-US"/>
        </w:rPr>
        <w:t>is surprising for two reasons</w:t>
      </w:r>
      <w:r w:rsidR="00176249" w:rsidRPr="009A61E5">
        <w:rPr>
          <w:rFonts w:ascii="Cambria" w:hAnsi="Cambria" w:cs="Times New Roman"/>
          <w:lang w:val="en-US"/>
        </w:rPr>
        <w:t xml:space="preserve">. </w:t>
      </w:r>
      <w:r w:rsidR="00035839" w:rsidRPr="009A61E5">
        <w:rPr>
          <w:rFonts w:ascii="Cambria" w:hAnsi="Cambria" w:cs="Times New Roman"/>
          <w:lang w:val="en-US"/>
        </w:rPr>
        <w:t>First</w:t>
      </w:r>
      <w:r w:rsidR="00176249" w:rsidRPr="009A61E5">
        <w:rPr>
          <w:rFonts w:ascii="Cambria" w:hAnsi="Cambria" w:cs="Times New Roman"/>
          <w:lang w:val="en-US"/>
        </w:rPr>
        <w:t>, parental responsibility matter</w:t>
      </w:r>
      <w:r w:rsidR="002138FD">
        <w:rPr>
          <w:rFonts w:ascii="Cambria" w:hAnsi="Cambria" w:cs="Times New Roman"/>
          <w:lang w:val="en-US"/>
        </w:rPr>
        <w:t xml:space="preserve">s </w:t>
      </w:r>
      <w:r w:rsidR="00176249" w:rsidRPr="009A61E5">
        <w:rPr>
          <w:rFonts w:ascii="Cambria" w:hAnsi="Cambria" w:cs="Times New Roman"/>
          <w:lang w:val="en-US"/>
        </w:rPr>
        <w:t xml:space="preserve">necessarily </w:t>
      </w:r>
      <w:r w:rsidR="002138FD" w:rsidRPr="009A61E5">
        <w:rPr>
          <w:rFonts w:ascii="Cambria" w:hAnsi="Cambria" w:cs="Times New Roman"/>
          <w:lang w:val="en-US"/>
        </w:rPr>
        <w:t>involve</w:t>
      </w:r>
      <w:r w:rsidR="002138FD">
        <w:rPr>
          <w:rFonts w:ascii="Cambria" w:hAnsi="Cambria" w:cs="Times New Roman"/>
          <w:lang w:val="en-US"/>
        </w:rPr>
        <w:t xml:space="preserve"> </w:t>
      </w:r>
      <w:r w:rsidR="00176249" w:rsidRPr="009A61E5">
        <w:rPr>
          <w:rFonts w:ascii="Cambria" w:hAnsi="Cambria" w:cs="Times New Roman"/>
          <w:lang w:val="en-US"/>
        </w:rPr>
        <w:t>a minor</w:t>
      </w:r>
      <w:r w:rsidR="002138FD">
        <w:rPr>
          <w:rFonts w:ascii="Cambria" w:hAnsi="Cambria" w:cs="Times New Roman"/>
          <w:lang w:val="en-US"/>
        </w:rPr>
        <w:t xml:space="preserve"> who deserves</w:t>
      </w:r>
      <w:r w:rsidR="00176249" w:rsidRPr="009A61E5">
        <w:rPr>
          <w:rFonts w:ascii="Cambria" w:hAnsi="Cambria" w:cs="Times New Roman"/>
          <w:lang w:val="en-US"/>
        </w:rPr>
        <w:t xml:space="preserve"> to be protected</w:t>
      </w:r>
      <w:r w:rsidR="006B716B" w:rsidRPr="009A61E5">
        <w:rPr>
          <w:rFonts w:ascii="Cambria" w:hAnsi="Cambria" w:cs="Times New Roman"/>
          <w:lang w:val="en-US"/>
        </w:rPr>
        <w:t xml:space="preserve"> while this</w:t>
      </w:r>
      <w:r w:rsidR="00176249" w:rsidRPr="009A61E5">
        <w:rPr>
          <w:rFonts w:ascii="Cambria" w:hAnsi="Cambria" w:cs="Times New Roman"/>
          <w:lang w:val="en-US"/>
        </w:rPr>
        <w:t xml:space="preserve"> is not</w:t>
      </w:r>
      <w:r w:rsidR="002138FD">
        <w:rPr>
          <w:rFonts w:ascii="Cambria" w:hAnsi="Cambria" w:cs="Times New Roman"/>
          <w:lang w:val="en-US"/>
        </w:rPr>
        <w:t xml:space="preserve"> </w:t>
      </w:r>
      <w:r w:rsidR="00176249" w:rsidRPr="009A61E5">
        <w:rPr>
          <w:rFonts w:ascii="Cambria" w:hAnsi="Cambria" w:cs="Times New Roman"/>
          <w:lang w:val="en-US"/>
        </w:rPr>
        <w:t>the case in divorce.</w:t>
      </w:r>
      <w:r w:rsidR="00B43ED4" w:rsidRPr="009A61E5">
        <w:rPr>
          <w:rFonts w:ascii="Cambria" w:hAnsi="Cambria" w:cs="Times New Roman"/>
          <w:lang w:val="en-US"/>
        </w:rPr>
        <w:t xml:space="preserve"> One </w:t>
      </w:r>
      <w:r w:rsidR="00FE4CB0">
        <w:rPr>
          <w:rFonts w:ascii="Cambria" w:hAnsi="Cambria" w:cs="Times New Roman"/>
          <w:lang w:val="en-US"/>
        </w:rPr>
        <w:t xml:space="preserve">could </w:t>
      </w:r>
      <w:r w:rsidR="00B43ED4" w:rsidRPr="009A61E5">
        <w:rPr>
          <w:rFonts w:ascii="Cambria" w:hAnsi="Cambria" w:cs="Times New Roman"/>
          <w:lang w:val="en-US"/>
        </w:rPr>
        <w:t xml:space="preserve">therefore </w:t>
      </w:r>
      <w:r w:rsidR="00FE4CB0">
        <w:rPr>
          <w:rFonts w:ascii="Cambria" w:hAnsi="Cambria" w:cs="Times New Roman"/>
          <w:lang w:val="en-US"/>
        </w:rPr>
        <w:t xml:space="preserve">expect </w:t>
      </w:r>
      <w:r w:rsidR="00B43ED4" w:rsidRPr="009A61E5">
        <w:rPr>
          <w:rFonts w:ascii="Cambria" w:hAnsi="Cambria" w:cs="Times New Roman"/>
          <w:lang w:val="en-US"/>
        </w:rPr>
        <w:t xml:space="preserve">that </w:t>
      </w:r>
      <w:r w:rsidR="00FE4F1B" w:rsidRPr="009A61E5">
        <w:rPr>
          <w:rFonts w:ascii="Cambria" w:hAnsi="Cambria" w:cs="Times New Roman"/>
          <w:lang w:val="en-US"/>
        </w:rPr>
        <w:t xml:space="preserve">parties’ </w:t>
      </w:r>
      <w:r w:rsidR="00B43ED4" w:rsidRPr="009A61E5">
        <w:rPr>
          <w:rFonts w:ascii="Cambria" w:hAnsi="Cambria" w:cs="Times New Roman"/>
          <w:lang w:val="en-US"/>
        </w:rPr>
        <w:t xml:space="preserve">autonomy would be </w:t>
      </w:r>
      <w:r w:rsidR="00F0350D">
        <w:rPr>
          <w:rFonts w:ascii="Cambria" w:hAnsi="Cambria" w:cs="Times New Roman"/>
          <w:lang w:val="en-US"/>
        </w:rPr>
        <w:t xml:space="preserve">broadened in divorce proceedings </w:t>
      </w:r>
      <w:r w:rsidR="00FE4F1B" w:rsidRPr="009A61E5">
        <w:rPr>
          <w:rFonts w:ascii="Cambria" w:hAnsi="Cambria" w:cs="Times New Roman"/>
          <w:lang w:val="en-US"/>
        </w:rPr>
        <w:t>o</w:t>
      </w:r>
      <w:r w:rsidR="00B43ED4" w:rsidRPr="009A61E5">
        <w:rPr>
          <w:rFonts w:ascii="Cambria" w:hAnsi="Cambria" w:cs="Times New Roman"/>
          <w:lang w:val="en-US"/>
        </w:rPr>
        <w:t xml:space="preserve">r at the very least </w:t>
      </w:r>
      <w:r w:rsidR="00F0350D">
        <w:rPr>
          <w:rFonts w:ascii="Cambria" w:hAnsi="Cambria" w:cs="Times New Roman"/>
          <w:lang w:val="en-US"/>
        </w:rPr>
        <w:t xml:space="preserve">become </w:t>
      </w:r>
      <w:r w:rsidR="00B43ED4" w:rsidRPr="009A61E5">
        <w:rPr>
          <w:rFonts w:ascii="Cambria" w:hAnsi="Cambria" w:cs="Times New Roman"/>
          <w:lang w:val="en-US"/>
        </w:rPr>
        <w:t xml:space="preserve">equivalent to that which prevails for parental responsibility </w:t>
      </w:r>
      <w:r w:rsidR="00FE4F1B" w:rsidRPr="009A61E5">
        <w:rPr>
          <w:rFonts w:ascii="Cambria" w:hAnsi="Cambria" w:cs="Times New Roman"/>
          <w:lang w:val="en-US"/>
        </w:rPr>
        <w:t>– e</w:t>
      </w:r>
      <w:r w:rsidR="00B43ED4" w:rsidRPr="009A61E5">
        <w:rPr>
          <w:rFonts w:ascii="Cambria" w:hAnsi="Cambria" w:cs="Times New Roman"/>
          <w:lang w:val="en-US"/>
        </w:rPr>
        <w:t>ven if this autonomy has to be subject to protective measures for the weaker party (be it the other member of the couple, or the child).</w:t>
      </w:r>
      <w:r w:rsidR="00AF6BBF" w:rsidRPr="009A61E5">
        <w:rPr>
          <w:rFonts w:ascii="Cambria" w:hAnsi="Cambria" w:cs="Times New Roman"/>
          <w:lang w:val="en-US"/>
        </w:rPr>
        <w:t xml:space="preserve"> </w:t>
      </w:r>
      <w:r w:rsidR="00035839" w:rsidRPr="009A61E5">
        <w:rPr>
          <w:rFonts w:ascii="Cambria" w:hAnsi="Cambria" w:cs="Times New Roman"/>
          <w:lang w:val="en-US"/>
        </w:rPr>
        <w:t>Secondly</w:t>
      </w:r>
      <w:r w:rsidR="00AF6BBF" w:rsidRPr="009A61E5">
        <w:rPr>
          <w:rFonts w:ascii="Cambria" w:hAnsi="Cambria" w:cs="Times New Roman"/>
          <w:lang w:val="en-US"/>
        </w:rPr>
        <w:t xml:space="preserve">, the Rome III Regulation (which </w:t>
      </w:r>
      <w:r w:rsidR="009E790A" w:rsidRPr="009A61E5">
        <w:rPr>
          <w:rFonts w:ascii="Cambria" w:hAnsi="Cambria" w:cs="Times New Roman"/>
          <w:lang w:val="en-US"/>
        </w:rPr>
        <w:t xml:space="preserve">determines </w:t>
      </w:r>
      <w:r w:rsidR="00AF6BBF" w:rsidRPr="009A61E5">
        <w:rPr>
          <w:rFonts w:ascii="Cambria" w:hAnsi="Cambria" w:cs="Times New Roman"/>
          <w:lang w:val="en-US"/>
        </w:rPr>
        <w:t>the law applicable to divorce) allows for a choice of law in this matter</w:t>
      </w:r>
      <w:r w:rsidR="00702718" w:rsidRPr="009A61E5">
        <w:rPr>
          <w:rStyle w:val="Appelnotedebasdep"/>
          <w:rFonts w:ascii="Cambria" w:hAnsi="Cambria" w:cs="Times New Roman"/>
          <w:lang w:val="en-US"/>
        </w:rPr>
        <w:footnoteReference w:id="41"/>
      </w:r>
      <w:r w:rsidR="00AF6BBF" w:rsidRPr="009A61E5">
        <w:rPr>
          <w:rFonts w:ascii="Cambria" w:hAnsi="Cambria" w:cs="Times New Roman"/>
          <w:lang w:val="en-US"/>
        </w:rPr>
        <w:t xml:space="preserve">. </w:t>
      </w:r>
      <w:r w:rsidR="00F0350D">
        <w:rPr>
          <w:rFonts w:ascii="Cambria" w:hAnsi="Cambria" w:cs="Times New Roman"/>
          <w:lang w:val="en-US"/>
        </w:rPr>
        <w:t>It was therefore not unreasonable to expect that t</w:t>
      </w:r>
      <w:r w:rsidR="00F0350D" w:rsidRPr="009A61E5">
        <w:rPr>
          <w:rFonts w:ascii="Cambria" w:hAnsi="Cambria" w:cs="Times New Roman"/>
          <w:lang w:val="en-US"/>
        </w:rPr>
        <w:t xml:space="preserve">he </w:t>
      </w:r>
      <w:r w:rsidR="00AF6BBF" w:rsidRPr="009A61E5">
        <w:rPr>
          <w:rFonts w:ascii="Cambria" w:hAnsi="Cambria" w:cs="Times New Roman"/>
          <w:lang w:val="en-US"/>
        </w:rPr>
        <w:t xml:space="preserve">European legislator </w:t>
      </w:r>
      <w:r w:rsidR="00F0350D">
        <w:rPr>
          <w:rFonts w:ascii="Cambria" w:hAnsi="Cambria" w:cs="Times New Roman"/>
          <w:lang w:val="en-US"/>
        </w:rPr>
        <w:t>would</w:t>
      </w:r>
      <w:r w:rsidR="00AF6BBF" w:rsidRPr="009A61E5">
        <w:rPr>
          <w:rFonts w:ascii="Cambria" w:hAnsi="Cambria" w:cs="Times New Roman"/>
          <w:lang w:val="en-US"/>
        </w:rPr>
        <w:t xml:space="preserve"> </w:t>
      </w:r>
      <w:r w:rsidR="00585715" w:rsidRPr="009A61E5">
        <w:rPr>
          <w:rFonts w:ascii="Cambria" w:hAnsi="Cambria" w:cs="Times New Roman"/>
          <w:lang w:val="en-US"/>
        </w:rPr>
        <w:t xml:space="preserve">allow for </w:t>
      </w:r>
      <w:r w:rsidR="00AF6BBF" w:rsidRPr="009A61E5">
        <w:rPr>
          <w:rFonts w:ascii="Cambria" w:hAnsi="Cambria" w:cs="Times New Roman"/>
          <w:lang w:val="en-US"/>
        </w:rPr>
        <w:t>greater freedom in divorce matter</w:t>
      </w:r>
      <w:r w:rsidR="00585715" w:rsidRPr="009A61E5">
        <w:rPr>
          <w:rFonts w:ascii="Cambria" w:hAnsi="Cambria" w:cs="Times New Roman"/>
          <w:lang w:val="en-US"/>
        </w:rPr>
        <w:t>s</w:t>
      </w:r>
      <w:r w:rsidR="00AF6BBF" w:rsidRPr="009A61E5">
        <w:rPr>
          <w:rFonts w:ascii="Cambria" w:hAnsi="Cambria" w:cs="Times New Roman"/>
          <w:lang w:val="en-US"/>
        </w:rPr>
        <w:t>. Perhaps</w:t>
      </w:r>
      <w:r w:rsidR="005117B3">
        <w:rPr>
          <w:rFonts w:ascii="Cambria" w:hAnsi="Cambria" w:cs="Times New Roman"/>
          <w:lang w:val="en-US"/>
        </w:rPr>
        <w:t xml:space="preserve"> the extension was refused for fear of encouraging </w:t>
      </w:r>
      <w:r w:rsidR="00AF6BBF" w:rsidRPr="009A61E5">
        <w:rPr>
          <w:rFonts w:ascii="Cambria" w:hAnsi="Cambria" w:cs="Times New Roman"/>
          <w:lang w:val="en-US"/>
        </w:rPr>
        <w:t xml:space="preserve">forum shopping in </w:t>
      </w:r>
      <w:proofErr w:type="spellStart"/>
      <w:r w:rsidR="005117B3">
        <w:rPr>
          <w:rFonts w:ascii="Cambria" w:hAnsi="Cambria" w:cs="Times New Roman"/>
          <w:lang w:val="en-US"/>
        </w:rPr>
        <w:t>favo</w:t>
      </w:r>
      <w:r w:rsidR="003D69A7">
        <w:rPr>
          <w:rFonts w:ascii="Cambria" w:hAnsi="Cambria" w:cs="Times New Roman"/>
          <w:lang w:val="en-US"/>
        </w:rPr>
        <w:t>u</w:t>
      </w:r>
      <w:r w:rsidR="005117B3">
        <w:rPr>
          <w:rFonts w:ascii="Cambria" w:hAnsi="Cambria" w:cs="Times New Roman"/>
          <w:lang w:val="en-US"/>
        </w:rPr>
        <w:t>r</w:t>
      </w:r>
      <w:proofErr w:type="spellEnd"/>
      <w:r w:rsidR="005117B3">
        <w:rPr>
          <w:rFonts w:ascii="Cambria" w:hAnsi="Cambria" w:cs="Times New Roman"/>
          <w:lang w:val="en-US"/>
        </w:rPr>
        <w:t xml:space="preserve"> of </w:t>
      </w:r>
      <w:r w:rsidR="00AF6BBF" w:rsidRPr="009A61E5">
        <w:rPr>
          <w:rFonts w:ascii="Cambria" w:hAnsi="Cambria" w:cs="Times New Roman"/>
          <w:lang w:val="en-US"/>
        </w:rPr>
        <w:t>Member States where the divorce proceeding is facilitated</w:t>
      </w:r>
      <w:r w:rsidR="00702718" w:rsidRPr="009A61E5">
        <w:rPr>
          <w:rStyle w:val="Appelnotedebasdep"/>
          <w:rFonts w:ascii="Cambria" w:hAnsi="Cambria" w:cs="Times New Roman"/>
          <w:lang w:val="en-US"/>
        </w:rPr>
        <w:footnoteReference w:id="42"/>
      </w:r>
      <w:r w:rsidR="00D41876" w:rsidRPr="009A61E5">
        <w:rPr>
          <w:rFonts w:ascii="Cambria" w:hAnsi="Cambria" w:cs="Times New Roman"/>
          <w:lang w:val="en-US"/>
        </w:rPr>
        <w:t xml:space="preserve">. </w:t>
      </w:r>
      <w:r w:rsidR="005117B3">
        <w:rPr>
          <w:rFonts w:ascii="Cambria" w:hAnsi="Cambria" w:cs="Times New Roman"/>
          <w:lang w:val="en-US"/>
        </w:rPr>
        <w:t>Member States</w:t>
      </w:r>
      <w:r w:rsidR="005117B3" w:rsidRPr="009A61E5">
        <w:rPr>
          <w:rFonts w:ascii="Cambria" w:hAnsi="Cambria" w:cs="Times New Roman"/>
          <w:lang w:val="en-US"/>
        </w:rPr>
        <w:t xml:space="preserve"> </w:t>
      </w:r>
      <w:r w:rsidR="00C61B92" w:rsidRPr="009A61E5">
        <w:rPr>
          <w:rFonts w:ascii="Cambria" w:hAnsi="Cambria" w:cs="Times New Roman"/>
          <w:lang w:val="en-US"/>
        </w:rPr>
        <w:t xml:space="preserve">may also have considered that the broad grounds of jurisdiction </w:t>
      </w:r>
      <w:r w:rsidR="00C61B92" w:rsidRPr="00780992">
        <w:rPr>
          <w:rFonts w:ascii="Cambria" w:hAnsi="Cambria" w:cs="Times New Roman"/>
          <w:lang w:val="en-US"/>
        </w:rPr>
        <w:t>in Article 3</w:t>
      </w:r>
      <w:r w:rsidR="004B2C4F" w:rsidRPr="00780992">
        <w:rPr>
          <w:rFonts w:ascii="Cambria" w:hAnsi="Cambria" w:cs="Times New Roman"/>
          <w:lang w:val="en-US"/>
        </w:rPr>
        <w:t xml:space="preserve"> of the Regulation</w:t>
      </w:r>
      <w:r w:rsidR="00C61B92" w:rsidRPr="009A61E5">
        <w:rPr>
          <w:rFonts w:ascii="Cambria" w:hAnsi="Cambria" w:cs="Times New Roman"/>
          <w:lang w:val="en-US"/>
        </w:rPr>
        <w:t>, linked to the fact that they are alternative and not hierarchical, were sufficient to allow the spouses to go to the court of their choice.</w:t>
      </w:r>
    </w:p>
    <w:p w14:paraId="76189DFF" w14:textId="738D8790" w:rsidR="00A96E79" w:rsidRPr="009A61E5" w:rsidRDefault="00E500B6" w:rsidP="00A96E79">
      <w:pPr>
        <w:pStyle w:val="Titre2"/>
        <w:numPr>
          <w:ilvl w:val="0"/>
          <w:numId w:val="8"/>
        </w:numPr>
        <w:rPr>
          <w:rStyle w:val="Accentuationlgre"/>
          <w:rFonts w:ascii="Cambria" w:hAnsi="Cambria"/>
          <w:i w:val="0"/>
          <w:iCs w:val="0"/>
          <w:color w:val="7B230B" w:themeColor="accent1" w:themeShade="BF"/>
        </w:rPr>
      </w:pPr>
      <w:proofErr w:type="spellStart"/>
      <w:r w:rsidRPr="009A61E5">
        <w:rPr>
          <w:rStyle w:val="Accentuationlgre"/>
          <w:rFonts w:ascii="Cambria" w:hAnsi="Cambria"/>
          <w:i w:val="0"/>
          <w:iCs w:val="0"/>
          <w:color w:val="7B230B" w:themeColor="accent1" w:themeShade="BF"/>
        </w:rPr>
        <w:t>Same-</w:t>
      </w:r>
      <w:r w:rsidR="00AD02CF">
        <w:rPr>
          <w:rStyle w:val="Accentuationlgre"/>
          <w:rFonts w:ascii="Cambria" w:hAnsi="Cambria"/>
          <w:i w:val="0"/>
          <w:iCs w:val="0"/>
          <w:color w:val="7B230B" w:themeColor="accent1" w:themeShade="BF"/>
        </w:rPr>
        <w:t>S</w:t>
      </w:r>
      <w:r w:rsidRPr="009A61E5">
        <w:rPr>
          <w:rStyle w:val="Accentuationlgre"/>
          <w:rFonts w:ascii="Cambria" w:hAnsi="Cambria"/>
          <w:i w:val="0"/>
          <w:iCs w:val="0"/>
          <w:color w:val="7B230B" w:themeColor="accent1" w:themeShade="BF"/>
        </w:rPr>
        <w:t>ex</w:t>
      </w:r>
      <w:proofErr w:type="spellEnd"/>
      <w:r w:rsidRPr="009A61E5">
        <w:rPr>
          <w:rStyle w:val="Accentuationlgre"/>
          <w:rFonts w:ascii="Cambria" w:hAnsi="Cambria"/>
          <w:i w:val="0"/>
          <w:iCs w:val="0"/>
          <w:color w:val="7B230B" w:themeColor="accent1" w:themeShade="BF"/>
        </w:rPr>
        <w:t xml:space="preserve"> </w:t>
      </w:r>
      <w:proofErr w:type="spellStart"/>
      <w:r w:rsidR="00F05B49">
        <w:rPr>
          <w:rStyle w:val="Accentuationlgre"/>
          <w:rFonts w:ascii="Cambria" w:hAnsi="Cambria"/>
          <w:i w:val="0"/>
          <w:iCs w:val="0"/>
          <w:color w:val="7B230B" w:themeColor="accent1" w:themeShade="BF"/>
        </w:rPr>
        <w:t>M</w:t>
      </w:r>
      <w:r w:rsidRPr="009A61E5">
        <w:rPr>
          <w:rStyle w:val="Accentuationlgre"/>
          <w:rFonts w:ascii="Cambria" w:hAnsi="Cambria"/>
          <w:i w:val="0"/>
          <w:iCs w:val="0"/>
          <w:color w:val="7B230B" w:themeColor="accent1" w:themeShade="BF"/>
        </w:rPr>
        <w:t>arriage</w:t>
      </w:r>
      <w:proofErr w:type="spellEnd"/>
    </w:p>
    <w:p w14:paraId="260EB78F" w14:textId="4B17F70D" w:rsidR="00592F3F" w:rsidRPr="009A61E5" w:rsidRDefault="00562A46" w:rsidP="00CC5800">
      <w:pPr>
        <w:jc w:val="both"/>
        <w:rPr>
          <w:rFonts w:ascii="Cambria" w:hAnsi="Cambria"/>
          <w:lang w:val="en-US"/>
        </w:rPr>
      </w:pPr>
      <w:r w:rsidRPr="000863BA">
        <w:rPr>
          <w:rFonts w:ascii="Cambria" w:hAnsi="Cambria"/>
          <w:lang w:val="en-US"/>
        </w:rPr>
        <w:t xml:space="preserve">The Brussels </w:t>
      </w:r>
      <w:proofErr w:type="spellStart"/>
      <w:r w:rsidRPr="000863BA">
        <w:rPr>
          <w:rFonts w:ascii="Cambria" w:hAnsi="Cambria"/>
          <w:lang w:val="en-US"/>
        </w:rPr>
        <w:t>II</w:t>
      </w:r>
      <w:r w:rsidR="000863BA" w:rsidRPr="000863BA">
        <w:rPr>
          <w:rFonts w:ascii="Cambria" w:hAnsi="Cambria"/>
          <w:lang w:val="en-US"/>
        </w:rPr>
        <w:t>a</w:t>
      </w:r>
      <w:proofErr w:type="spellEnd"/>
      <w:r w:rsidRPr="000863BA">
        <w:rPr>
          <w:rFonts w:ascii="Cambria" w:hAnsi="Cambria"/>
          <w:lang w:val="en-US"/>
        </w:rPr>
        <w:t xml:space="preserve"> Regulation did not specify whether it also </w:t>
      </w:r>
      <w:r w:rsidR="005117B3" w:rsidRPr="000863BA">
        <w:rPr>
          <w:rFonts w:ascii="Cambria" w:hAnsi="Cambria"/>
          <w:lang w:val="en-US"/>
        </w:rPr>
        <w:t>applie</w:t>
      </w:r>
      <w:r w:rsidR="005117B3">
        <w:rPr>
          <w:rFonts w:ascii="Cambria" w:hAnsi="Cambria"/>
          <w:lang w:val="en-US"/>
        </w:rPr>
        <w:t>d</w:t>
      </w:r>
      <w:r w:rsidR="005117B3" w:rsidRPr="000863BA">
        <w:rPr>
          <w:rFonts w:ascii="Cambria" w:hAnsi="Cambria"/>
          <w:lang w:val="en-US"/>
        </w:rPr>
        <w:t xml:space="preserve"> </w:t>
      </w:r>
      <w:r w:rsidRPr="000863BA">
        <w:rPr>
          <w:rFonts w:ascii="Cambria" w:hAnsi="Cambria"/>
          <w:lang w:val="en-US"/>
        </w:rPr>
        <w:t xml:space="preserve">to the dissolution of same-sex couples. </w:t>
      </w:r>
      <w:r w:rsidR="005117B3">
        <w:rPr>
          <w:rFonts w:ascii="Cambria" w:hAnsi="Cambria"/>
          <w:lang w:val="en-US"/>
        </w:rPr>
        <w:t xml:space="preserve">This has given rise to some hesitation among national courts on whether or not to apply the Regulation to </w:t>
      </w:r>
      <w:r w:rsidRPr="009A61E5">
        <w:rPr>
          <w:rFonts w:ascii="Cambria" w:hAnsi="Cambria"/>
          <w:lang w:val="en-US"/>
        </w:rPr>
        <w:t xml:space="preserve">same-sex </w:t>
      </w:r>
      <w:r w:rsidR="005117B3">
        <w:rPr>
          <w:rFonts w:ascii="Cambria" w:hAnsi="Cambria"/>
          <w:lang w:val="en-US"/>
        </w:rPr>
        <w:t>couples</w:t>
      </w:r>
      <w:r w:rsidR="00A511F5" w:rsidRPr="009A61E5">
        <w:rPr>
          <w:rStyle w:val="Appelnotedebasdep"/>
          <w:rFonts w:ascii="Cambria" w:hAnsi="Cambria"/>
          <w:lang w:val="en-US"/>
        </w:rPr>
        <w:footnoteReference w:id="43"/>
      </w:r>
      <w:r w:rsidRPr="009A61E5">
        <w:rPr>
          <w:rFonts w:ascii="Cambria" w:hAnsi="Cambria"/>
          <w:lang w:val="en-US"/>
        </w:rPr>
        <w:t xml:space="preserve">. </w:t>
      </w:r>
      <w:r w:rsidR="00C95863" w:rsidRPr="009A61E5">
        <w:rPr>
          <w:rFonts w:ascii="Cambria" w:hAnsi="Cambria"/>
          <w:lang w:val="en-US"/>
        </w:rPr>
        <w:t xml:space="preserve">The problem </w:t>
      </w:r>
      <w:r w:rsidR="005117B3">
        <w:rPr>
          <w:rFonts w:ascii="Cambria" w:hAnsi="Cambria"/>
          <w:lang w:val="en-US"/>
        </w:rPr>
        <w:t>could arise both when a court must decide whether it has jurisdiction to hear a case as when it considers whether to extend effects to a decision issued in another Member State</w:t>
      </w:r>
      <w:r w:rsidR="00C95863" w:rsidRPr="009A61E5">
        <w:rPr>
          <w:rFonts w:ascii="Cambria" w:hAnsi="Cambria"/>
          <w:lang w:val="en-US"/>
        </w:rPr>
        <w:t xml:space="preserve">. </w:t>
      </w:r>
      <w:r w:rsidRPr="009A61E5">
        <w:rPr>
          <w:rFonts w:ascii="Cambria" w:hAnsi="Cambria"/>
          <w:lang w:val="en-US"/>
        </w:rPr>
        <w:t xml:space="preserve">Since the adoption of Brussels </w:t>
      </w:r>
      <w:proofErr w:type="spellStart"/>
      <w:r w:rsidRPr="009A61E5">
        <w:rPr>
          <w:rFonts w:ascii="Cambria" w:hAnsi="Cambria"/>
          <w:lang w:val="en-US"/>
        </w:rPr>
        <w:t>IIa</w:t>
      </w:r>
      <w:proofErr w:type="spellEnd"/>
      <w:r w:rsidRPr="009A61E5">
        <w:rPr>
          <w:rFonts w:ascii="Cambria" w:hAnsi="Cambria"/>
          <w:lang w:val="en-US"/>
        </w:rPr>
        <w:t>, other regulations relating to couples have been adopted and the same questions about their scope of application have arisen. These regulations have addressed the issue, at least on a theoretical level, by referring to national laws</w:t>
      </w:r>
      <w:r w:rsidR="004F3E76">
        <w:rPr>
          <w:rStyle w:val="Appelnotedebasdep"/>
          <w:rFonts w:ascii="Cambria" w:hAnsi="Cambria"/>
          <w:lang w:val="en-US"/>
        </w:rPr>
        <w:footnoteReference w:id="44"/>
      </w:r>
      <w:r w:rsidRPr="009A61E5">
        <w:rPr>
          <w:rFonts w:ascii="Cambria" w:hAnsi="Cambria"/>
          <w:lang w:val="en-US"/>
        </w:rPr>
        <w:t xml:space="preserve">. In </w:t>
      </w:r>
      <w:r w:rsidRPr="000863BA">
        <w:rPr>
          <w:rFonts w:ascii="Cambria" w:hAnsi="Cambria"/>
          <w:lang w:val="en-US"/>
        </w:rPr>
        <w:t>other words, if same-sex marriage is valid under national law, then it falls within the scope of the Regulation. Commentators</w:t>
      </w:r>
      <w:r w:rsidRPr="009A61E5">
        <w:rPr>
          <w:rFonts w:ascii="Cambria" w:hAnsi="Cambria"/>
          <w:lang w:val="en-US"/>
        </w:rPr>
        <w:t xml:space="preserve"> </w:t>
      </w:r>
      <w:r w:rsidR="005117B3">
        <w:rPr>
          <w:rFonts w:ascii="Cambria" w:hAnsi="Cambria"/>
          <w:lang w:val="en-US"/>
        </w:rPr>
        <w:t>expected</w:t>
      </w:r>
      <w:r w:rsidRPr="000863BA">
        <w:rPr>
          <w:rFonts w:ascii="Cambria" w:hAnsi="Cambria"/>
          <w:lang w:val="en-US"/>
        </w:rPr>
        <w:t xml:space="preserve"> that the Brussels II</w:t>
      </w:r>
      <w:r w:rsidR="00DC7909" w:rsidRPr="000863BA">
        <w:rPr>
          <w:rFonts w:ascii="Cambria" w:hAnsi="Cambria"/>
          <w:lang w:val="en-US"/>
        </w:rPr>
        <w:t>b</w:t>
      </w:r>
      <w:r w:rsidRPr="000863BA">
        <w:rPr>
          <w:rFonts w:ascii="Cambria" w:hAnsi="Cambria"/>
          <w:lang w:val="en-US"/>
        </w:rPr>
        <w:t xml:space="preserve"> Regulation would adopt similar provisions. However, the Recast remains silent</w:t>
      </w:r>
      <w:r w:rsidRPr="009A61E5">
        <w:rPr>
          <w:rFonts w:ascii="Cambria" w:hAnsi="Cambria"/>
          <w:lang w:val="en-US"/>
        </w:rPr>
        <w:t xml:space="preserve"> on this point. This is certainly </w:t>
      </w:r>
      <w:r w:rsidR="005117B3">
        <w:rPr>
          <w:rFonts w:ascii="Cambria" w:hAnsi="Cambria"/>
          <w:lang w:val="en-US"/>
        </w:rPr>
        <w:t xml:space="preserve">linked to the fact </w:t>
      </w:r>
      <w:r w:rsidRPr="009A61E5">
        <w:rPr>
          <w:rFonts w:ascii="Cambria" w:hAnsi="Cambria"/>
          <w:lang w:val="en-US"/>
        </w:rPr>
        <w:t xml:space="preserve">it </w:t>
      </w:r>
      <w:r w:rsidR="004F1D08" w:rsidRPr="009A61E5">
        <w:rPr>
          <w:rFonts w:ascii="Cambria" w:hAnsi="Cambria"/>
          <w:lang w:val="en-US"/>
        </w:rPr>
        <w:t>is</w:t>
      </w:r>
      <w:r w:rsidRPr="009A61E5">
        <w:rPr>
          <w:rFonts w:ascii="Cambria" w:hAnsi="Cambria"/>
          <w:lang w:val="en-US"/>
        </w:rPr>
        <w:t xml:space="preserve"> complex to move explicitly on this subject as not all EU countries </w:t>
      </w:r>
      <w:r w:rsidR="00A53A60">
        <w:rPr>
          <w:rFonts w:ascii="Cambria" w:hAnsi="Cambria"/>
          <w:lang w:val="en-US"/>
        </w:rPr>
        <w:t xml:space="preserve">allow or </w:t>
      </w:r>
      <w:proofErr w:type="spellStart"/>
      <w:r w:rsidR="00A53A60">
        <w:rPr>
          <w:rFonts w:ascii="Cambria" w:hAnsi="Cambria"/>
          <w:lang w:val="en-US"/>
        </w:rPr>
        <w:t>recognise</w:t>
      </w:r>
      <w:proofErr w:type="spellEnd"/>
      <w:r w:rsidRPr="009A61E5">
        <w:rPr>
          <w:rFonts w:ascii="Cambria" w:hAnsi="Cambria"/>
          <w:lang w:val="en-US"/>
        </w:rPr>
        <w:t xml:space="preserve"> same-sex </w:t>
      </w:r>
      <w:r w:rsidRPr="000863BA">
        <w:rPr>
          <w:rFonts w:ascii="Cambria" w:hAnsi="Cambria"/>
          <w:lang w:val="en-US"/>
        </w:rPr>
        <w:t xml:space="preserve">marriage. One could deduce from the silence of the text that it is a mean </w:t>
      </w:r>
      <w:r w:rsidR="005F6111" w:rsidRPr="000863BA">
        <w:rPr>
          <w:rFonts w:ascii="Cambria" w:hAnsi="Cambria"/>
          <w:lang w:val="en-US"/>
        </w:rPr>
        <w:t xml:space="preserve">to </w:t>
      </w:r>
      <w:r w:rsidRPr="000863BA">
        <w:rPr>
          <w:rFonts w:ascii="Cambria" w:hAnsi="Cambria"/>
          <w:lang w:val="en-US"/>
        </w:rPr>
        <w:t>f</w:t>
      </w:r>
      <w:r w:rsidR="005F6111" w:rsidRPr="000863BA">
        <w:rPr>
          <w:rFonts w:ascii="Cambria" w:hAnsi="Cambria"/>
          <w:lang w:val="en-US"/>
        </w:rPr>
        <w:t>oster</w:t>
      </w:r>
      <w:r w:rsidRPr="000863BA">
        <w:rPr>
          <w:rFonts w:ascii="Cambria" w:hAnsi="Cambria"/>
          <w:lang w:val="en-US"/>
        </w:rPr>
        <w:t xml:space="preserve"> national interpretation. But since other regulations adopted recently have come out </w:t>
      </w:r>
      <w:r w:rsidR="00A53A60" w:rsidRPr="000863BA">
        <w:rPr>
          <w:rFonts w:ascii="Cambria" w:hAnsi="Cambria"/>
          <w:lang w:val="en-US"/>
        </w:rPr>
        <w:t xml:space="preserve">explicitly </w:t>
      </w:r>
      <w:r w:rsidRPr="000863BA">
        <w:rPr>
          <w:rFonts w:ascii="Cambria" w:hAnsi="Cambria"/>
          <w:lang w:val="en-US"/>
        </w:rPr>
        <w:t xml:space="preserve">in </w:t>
      </w:r>
      <w:proofErr w:type="spellStart"/>
      <w:r w:rsidRPr="000863BA">
        <w:rPr>
          <w:rFonts w:ascii="Cambria" w:hAnsi="Cambria"/>
          <w:lang w:val="en-US"/>
        </w:rPr>
        <w:t>favour</w:t>
      </w:r>
      <w:proofErr w:type="spellEnd"/>
      <w:r w:rsidRPr="000863BA">
        <w:rPr>
          <w:rFonts w:ascii="Cambria" w:hAnsi="Cambria"/>
          <w:lang w:val="en-US"/>
        </w:rPr>
        <w:t xml:space="preserve"> of national interpretation, one</w:t>
      </w:r>
      <w:r w:rsidRPr="009A61E5">
        <w:rPr>
          <w:rFonts w:ascii="Cambria" w:hAnsi="Cambria"/>
          <w:lang w:val="en-US"/>
        </w:rPr>
        <w:t xml:space="preserve"> could</w:t>
      </w:r>
      <w:r w:rsidR="006C0118">
        <w:rPr>
          <w:rFonts w:ascii="Cambria" w:hAnsi="Cambria"/>
          <w:lang w:val="en-US"/>
        </w:rPr>
        <w:t xml:space="preserve">, </w:t>
      </w:r>
      <w:r w:rsidR="006C0118">
        <w:rPr>
          <w:rFonts w:ascii="Cambria" w:hAnsi="Cambria"/>
          <w:i/>
          <w:iCs/>
          <w:lang w:val="en-US"/>
        </w:rPr>
        <w:t xml:space="preserve">a </w:t>
      </w:r>
      <w:proofErr w:type="spellStart"/>
      <w:r w:rsidR="006C0118" w:rsidRPr="006C0118">
        <w:rPr>
          <w:rFonts w:ascii="Cambria" w:hAnsi="Cambria"/>
          <w:i/>
          <w:iCs/>
          <w:lang w:val="en-US"/>
        </w:rPr>
        <w:t>contrario</w:t>
      </w:r>
      <w:proofErr w:type="spellEnd"/>
      <w:r w:rsidR="006C0118">
        <w:rPr>
          <w:rFonts w:ascii="Cambria" w:hAnsi="Cambria"/>
          <w:lang w:val="en-US"/>
        </w:rPr>
        <w:t xml:space="preserve">, </w:t>
      </w:r>
      <w:r w:rsidRPr="006C0118">
        <w:rPr>
          <w:rFonts w:ascii="Cambria" w:hAnsi="Cambria"/>
          <w:lang w:val="en-US"/>
        </w:rPr>
        <w:t>interpret</w:t>
      </w:r>
      <w:r w:rsidRPr="009A61E5">
        <w:rPr>
          <w:rFonts w:ascii="Cambria" w:hAnsi="Cambria"/>
          <w:lang w:val="en-US"/>
        </w:rPr>
        <w:t xml:space="preserve"> this silence as a </w:t>
      </w:r>
      <w:r w:rsidR="005117B3">
        <w:rPr>
          <w:rFonts w:ascii="Cambria" w:hAnsi="Cambria"/>
          <w:lang w:val="en-US"/>
        </w:rPr>
        <w:t>rejection of such an interpretation</w:t>
      </w:r>
      <w:r w:rsidRPr="009A61E5">
        <w:rPr>
          <w:rFonts w:ascii="Cambria" w:hAnsi="Cambria"/>
          <w:lang w:val="en-US"/>
        </w:rPr>
        <w:t>.</w:t>
      </w:r>
      <w:r w:rsidR="00A53A60">
        <w:rPr>
          <w:rFonts w:ascii="Cambria" w:hAnsi="Cambria"/>
          <w:lang w:val="en-US"/>
        </w:rPr>
        <w:t xml:space="preserve"> </w:t>
      </w:r>
      <w:r w:rsidRPr="009A61E5">
        <w:rPr>
          <w:rFonts w:ascii="Cambria" w:hAnsi="Cambria"/>
          <w:lang w:val="en-US"/>
        </w:rPr>
        <w:t xml:space="preserve">It is therefore difficult to draw a conclusion and it is still unclear </w:t>
      </w:r>
      <w:r w:rsidRPr="000863BA">
        <w:rPr>
          <w:rFonts w:ascii="Cambria" w:hAnsi="Cambria"/>
          <w:lang w:val="en-US"/>
        </w:rPr>
        <w:t>whether Brussels II</w:t>
      </w:r>
      <w:r w:rsidR="000863BA" w:rsidRPr="000863BA">
        <w:rPr>
          <w:rFonts w:ascii="Cambria" w:hAnsi="Cambria"/>
          <w:lang w:val="en-US"/>
        </w:rPr>
        <w:t>b</w:t>
      </w:r>
      <w:r w:rsidRPr="000863BA">
        <w:rPr>
          <w:rFonts w:ascii="Cambria" w:hAnsi="Cambria"/>
          <w:lang w:val="en-US"/>
        </w:rPr>
        <w:t xml:space="preserve"> should</w:t>
      </w:r>
      <w:r w:rsidRPr="009A61E5">
        <w:rPr>
          <w:rFonts w:ascii="Cambria" w:hAnsi="Cambria"/>
          <w:lang w:val="en-US"/>
        </w:rPr>
        <w:t xml:space="preserve"> appl</w:t>
      </w:r>
      <w:r w:rsidR="00B42E33" w:rsidRPr="009A61E5">
        <w:rPr>
          <w:rFonts w:ascii="Cambria" w:hAnsi="Cambria"/>
          <w:lang w:val="en-US"/>
        </w:rPr>
        <w:t>y</w:t>
      </w:r>
      <w:r w:rsidRPr="009A61E5">
        <w:rPr>
          <w:rFonts w:ascii="Cambria" w:hAnsi="Cambria"/>
          <w:lang w:val="en-US"/>
        </w:rPr>
        <w:t xml:space="preserve"> to same-sex marriages. </w:t>
      </w:r>
      <w:r w:rsidR="007365EC">
        <w:rPr>
          <w:rFonts w:ascii="Cambria" w:hAnsi="Cambria"/>
          <w:lang w:val="en-US"/>
        </w:rPr>
        <w:t>T</w:t>
      </w:r>
      <w:r w:rsidRPr="009A61E5">
        <w:rPr>
          <w:rFonts w:ascii="Cambria" w:hAnsi="Cambria"/>
          <w:lang w:val="en-US"/>
        </w:rPr>
        <w:t xml:space="preserve">his </w:t>
      </w:r>
      <w:r w:rsidR="007365EC">
        <w:rPr>
          <w:rFonts w:ascii="Cambria" w:hAnsi="Cambria"/>
          <w:lang w:val="en-US"/>
        </w:rPr>
        <w:t xml:space="preserve">situation </w:t>
      </w:r>
      <w:r w:rsidRPr="009A61E5">
        <w:rPr>
          <w:rFonts w:ascii="Cambria" w:hAnsi="Cambria"/>
          <w:lang w:val="en-US"/>
        </w:rPr>
        <w:t>places those couples in a situation of legal uncertainty.</w:t>
      </w:r>
    </w:p>
    <w:p w14:paraId="1666874D" w14:textId="582ACCBF" w:rsidR="006E4C5A" w:rsidRPr="009A61E5" w:rsidRDefault="00B9274B" w:rsidP="005F6111">
      <w:pPr>
        <w:pStyle w:val="Titre2"/>
        <w:numPr>
          <w:ilvl w:val="0"/>
          <w:numId w:val="8"/>
        </w:numPr>
        <w:rPr>
          <w:rFonts w:ascii="Cambria" w:hAnsi="Cambria"/>
          <w:lang w:val="en-US"/>
        </w:rPr>
      </w:pPr>
      <w:r w:rsidRPr="009A61E5">
        <w:rPr>
          <w:rFonts w:ascii="Cambria" w:hAnsi="Cambria"/>
          <w:lang w:val="en-US"/>
        </w:rPr>
        <w:t xml:space="preserve">Absence of a </w:t>
      </w:r>
      <w:r w:rsidR="009D003B">
        <w:rPr>
          <w:rFonts w:ascii="Cambria" w:hAnsi="Cambria"/>
          <w:lang w:val="en-US"/>
        </w:rPr>
        <w:t>F</w:t>
      </w:r>
      <w:r w:rsidRPr="009A61E5">
        <w:rPr>
          <w:rFonts w:ascii="Cambria" w:hAnsi="Cambria"/>
          <w:lang w:val="en-US"/>
        </w:rPr>
        <w:t xml:space="preserve">orum </w:t>
      </w:r>
      <w:r w:rsidR="0074614C" w:rsidRPr="009A61E5">
        <w:rPr>
          <w:rFonts w:ascii="Cambria" w:hAnsi="Cambria"/>
          <w:lang w:val="en-US"/>
        </w:rPr>
        <w:t xml:space="preserve">of </w:t>
      </w:r>
      <w:r w:rsidR="009D003B">
        <w:rPr>
          <w:rFonts w:ascii="Cambria" w:hAnsi="Cambria"/>
          <w:lang w:val="en-US"/>
        </w:rPr>
        <w:t>N</w:t>
      </w:r>
      <w:r w:rsidRPr="009A61E5">
        <w:rPr>
          <w:rFonts w:ascii="Cambria" w:hAnsi="Cambria"/>
          <w:lang w:val="en-US"/>
        </w:rPr>
        <w:t>ecessity</w:t>
      </w:r>
    </w:p>
    <w:p w14:paraId="489EC7E8" w14:textId="1F735ADA" w:rsidR="00AA0042" w:rsidRPr="009A61E5" w:rsidRDefault="0074614C" w:rsidP="007B6824">
      <w:pPr>
        <w:jc w:val="both"/>
        <w:rPr>
          <w:rFonts w:ascii="Cambria" w:hAnsi="Cambria"/>
          <w:lang w:val="en-US"/>
        </w:rPr>
      </w:pPr>
      <w:r w:rsidRPr="009A61E5">
        <w:rPr>
          <w:rFonts w:ascii="Cambria" w:hAnsi="Cambria"/>
          <w:lang w:val="en-US"/>
        </w:rPr>
        <w:t xml:space="preserve">The </w:t>
      </w:r>
      <w:r w:rsidR="008E28CA">
        <w:rPr>
          <w:rFonts w:ascii="Cambria" w:hAnsi="Cambria"/>
          <w:lang w:val="en-US"/>
        </w:rPr>
        <w:t xml:space="preserve">doctrine of </w:t>
      </w:r>
      <w:r w:rsidRPr="009A61E5">
        <w:rPr>
          <w:rFonts w:ascii="Cambria" w:hAnsi="Cambria"/>
          <w:lang w:val="en-US"/>
        </w:rPr>
        <w:t xml:space="preserve">forum of necessity allows </w:t>
      </w:r>
      <w:r w:rsidR="008E28CA">
        <w:rPr>
          <w:rFonts w:ascii="Cambria" w:hAnsi="Cambria"/>
          <w:lang w:val="en-US"/>
        </w:rPr>
        <w:t xml:space="preserve">a </w:t>
      </w:r>
      <w:r w:rsidR="00B74829">
        <w:rPr>
          <w:rFonts w:ascii="Cambria" w:hAnsi="Cambria"/>
          <w:lang w:val="en-US"/>
        </w:rPr>
        <w:t>s</w:t>
      </w:r>
      <w:r w:rsidR="008E28CA">
        <w:rPr>
          <w:rFonts w:ascii="Cambria" w:hAnsi="Cambria"/>
          <w:lang w:val="en-US"/>
        </w:rPr>
        <w:t xml:space="preserve">tate to claim </w:t>
      </w:r>
      <w:r w:rsidR="00346F12" w:rsidRPr="009A61E5">
        <w:rPr>
          <w:rFonts w:ascii="Cambria" w:hAnsi="Cambria"/>
          <w:lang w:val="en-US"/>
        </w:rPr>
        <w:t>jurisdiction in exceptional situations</w:t>
      </w:r>
      <w:r w:rsidRPr="009A61E5">
        <w:rPr>
          <w:rFonts w:ascii="Cambria" w:hAnsi="Cambria"/>
          <w:lang w:val="en-US"/>
        </w:rPr>
        <w:t xml:space="preserve"> </w:t>
      </w:r>
      <w:r w:rsidR="008E28CA">
        <w:rPr>
          <w:rFonts w:ascii="Cambria" w:hAnsi="Cambria"/>
          <w:lang w:val="en-US"/>
        </w:rPr>
        <w:t>even though it is</w:t>
      </w:r>
      <w:r w:rsidRPr="009A61E5">
        <w:rPr>
          <w:rFonts w:ascii="Cambria" w:hAnsi="Cambria"/>
          <w:lang w:val="en-US"/>
        </w:rPr>
        <w:t xml:space="preserve"> not normally competent according to the</w:t>
      </w:r>
      <w:r w:rsidR="00E10E75" w:rsidRPr="009A61E5">
        <w:rPr>
          <w:rFonts w:ascii="Cambria" w:hAnsi="Cambria"/>
          <w:lang w:val="en-US"/>
        </w:rPr>
        <w:t xml:space="preserve"> ordinary</w:t>
      </w:r>
      <w:r w:rsidRPr="009A61E5">
        <w:rPr>
          <w:rFonts w:ascii="Cambria" w:hAnsi="Cambria"/>
          <w:lang w:val="en-US"/>
        </w:rPr>
        <w:t xml:space="preserve"> applicable jurisdictional criteria. This requires generally that proceedings abroad are impossible</w:t>
      </w:r>
      <w:r w:rsidR="00397ECA">
        <w:rPr>
          <w:rFonts w:ascii="Cambria" w:hAnsi="Cambria"/>
          <w:lang w:val="en-US"/>
        </w:rPr>
        <w:t>, for example</w:t>
      </w:r>
      <w:r w:rsidR="006C0118">
        <w:rPr>
          <w:rFonts w:ascii="Cambria" w:hAnsi="Cambria"/>
          <w:lang w:val="en-US"/>
        </w:rPr>
        <w:t xml:space="preserve"> because no </w:t>
      </w:r>
      <w:r w:rsidR="00B74829">
        <w:rPr>
          <w:rFonts w:ascii="Cambria" w:hAnsi="Cambria"/>
          <w:lang w:val="en-US"/>
        </w:rPr>
        <w:t>s</w:t>
      </w:r>
      <w:r w:rsidR="006C0118">
        <w:rPr>
          <w:rFonts w:ascii="Cambria" w:hAnsi="Cambria"/>
          <w:lang w:val="en-US"/>
        </w:rPr>
        <w:t xml:space="preserve">tate would </w:t>
      </w:r>
      <w:r w:rsidR="008E28CA">
        <w:rPr>
          <w:rFonts w:ascii="Cambria" w:hAnsi="Cambria"/>
          <w:lang w:val="en-US"/>
        </w:rPr>
        <w:t xml:space="preserve">have jurisdiction </w:t>
      </w:r>
      <w:r w:rsidR="006C0118">
        <w:rPr>
          <w:rFonts w:ascii="Cambria" w:hAnsi="Cambria"/>
          <w:lang w:val="en-US"/>
        </w:rPr>
        <w:t xml:space="preserve">or would accept to </w:t>
      </w:r>
      <w:r w:rsidR="00F04604">
        <w:rPr>
          <w:rFonts w:ascii="Cambria" w:hAnsi="Cambria"/>
          <w:lang w:val="en-US"/>
        </w:rPr>
        <w:t>take over the</w:t>
      </w:r>
      <w:r w:rsidR="006C0118">
        <w:rPr>
          <w:rFonts w:ascii="Cambria" w:hAnsi="Cambria"/>
          <w:lang w:val="en-US"/>
        </w:rPr>
        <w:t xml:space="preserve"> </w:t>
      </w:r>
      <w:r w:rsidR="00F04604">
        <w:rPr>
          <w:rFonts w:ascii="Cambria" w:hAnsi="Cambria"/>
          <w:lang w:val="en-US"/>
        </w:rPr>
        <w:t>request</w:t>
      </w:r>
      <w:r w:rsidRPr="009A61E5">
        <w:rPr>
          <w:rFonts w:ascii="Cambria" w:hAnsi="Cambria"/>
          <w:lang w:val="en-US"/>
        </w:rPr>
        <w:t xml:space="preserve">. There </w:t>
      </w:r>
      <w:r w:rsidR="00E1649E" w:rsidRPr="009A61E5">
        <w:rPr>
          <w:rFonts w:ascii="Cambria" w:hAnsi="Cambria"/>
          <w:lang w:val="en-US"/>
        </w:rPr>
        <w:t xml:space="preserve">exists </w:t>
      </w:r>
      <w:r w:rsidRPr="009A61E5">
        <w:rPr>
          <w:rFonts w:ascii="Cambria" w:hAnsi="Cambria"/>
          <w:lang w:val="en-US"/>
        </w:rPr>
        <w:t xml:space="preserve">no such </w:t>
      </w:r>
      <w:r w:rsidR="00C21244" w:rsidRPr="009A61E5">
        <w:rPr>
          <w:rFonts w:ascii="Cambria" w:hAnsi="Cambria"/>
          <w:lang w:val="en-US"/>
        </w:rPr>
        <w:t xml:space="preserve">rule </w:t>
      </w:r>
      <w:r w:rsidRPr="009A61E5">
        <w:rPr>
          <w:rFonts w:ascii="Cambria" w:hAnsi="Cambria"/>
          <w:lang w:val="en-US"/>
        </w:rPr>
        <w:t xml:space="preserve">in </w:t>
      </w:r>
      <w:r w:rsidR="00813AD8">
        <w:rPr>
          <w:rFonts w:ascii="Cambria" w:hAnsi="Cambria"/>
          <w:lang w:val="en-US"/>
        </w:rPr>
        <w:t>the Recast</w:t>
      </w:r>
      <w:r w:rsidR="0040623A">
        <w:rPr>
          <w:rFonts w:ascii="Cambria" w:hAnsi="Cambria"/>
          <w:lang w:val="en-US"/>
        </w:rPr>
        <w:t xml:space="preserve"> </w:t>
      </w:r>
      <w:r w:rsidR="0040623A" w:rsidRPr="0040623A">
        <w:rPr>
          <w:rFonts w:ascii="Cambria" w:hAnsi="Cambria"/>
          <w:lang w:val="en-US"/>
        </w:rPr>
        <w:t>for conferring jurisdiction on another judge</w:t>
      </w:r>
      <w:r w:rsidR="00813AD8">
        <w:rPr>
          <w:rStyle w:val="Appelnotedebasdep"/>
          <w:rFonts w:ascii="Cambria" w:hAnsi="Cambria"/>
          <w:lang w:val="en-US"/>
        </w:rPr>
        <w:footnoteReference w:id="45"/>
      </w:r>
      <w:r w:rsidR="0040623A" w:rsidRPr="0040623A">
        <w:rPr>
          <w:rFonts w:ascii="Cambria" w:hAnsi="Cambria"/>
          <w:lang w:val="en-US"/>
        </w:rPr>
        <w:t>.</w:t>
      </w:r>
      <w:r w:rsidRPr="009A61E5">
        <w:rPr>
          <w:rFonts w:ascii="Cambria" w:hAnsi="Cambria"/>
          <w:lang w:val="en-US"/>
        </w:rPr>
        <w:t xml:space="preserve"> However, in certain intractable but fortunately rare situations it may be that no Member State has jurisdiction</w:t>
      </w:r>
      <w:r w:rsidR="00E1649E" w:rsidRPr="009A61E5">
        <w:rPr>
          <w:rFonts w:ascii="Cambria" w:hAnsi="Cambria"/>
          <w:lang w:val="en-US"/>
        </w:rPr>
        <w:t xml:space="preserve"> or</w:t>
      </w:r>
      <w:r w:rsidRPr="009A61E5">
        <w:rPr>
          <w:rFonts w:ascii="Cambria" w:hAnsi="Cambria"/>
          <w:lang w:val="en-US"/>
        </w:rPr>
        <w:t xml:space="preserve"> that the designated State does not allow</w:t>
      </w:r>
      <w:r w:rsidR="004478D1">
        <w:rPr>
          <w:rFonts w:ascii="Cambria" w:hAnsi="Cambria"/>
          <w:lang w:val="en-US"/>
        </w:rPr>
        <w:t xml:space="preserve"> the application</w:t>
      </w:r>
      <w:r w:rsidRPr="009A61E5">
        <w:rPr>
          <w:rFonts w:ascii="Cambria" w:hAnsi="Cambria"/>
          <w:lang w:val="en-US"/>
        </w:rPr>
        <w:t xml:space="preserve"> to be granted</w:t>
      </w:r>
      <w:r w:rsidR="00A23957" w:rsidRPr="009A61E5">
        <w:rPr>
          <w:rFonts w:ascii="Cambria" w:hAnsi="Cambria"/>
          <w:lang w:val="en-US"/>
        </w:rPr>
        <w:t xml:space="preserve">. </w:t>
      </w:r>
      <w:r w:rsidR="00426F28" w:rsidRPr="00426F28">
        <w:rPr>
          <w:rFonts w:ascii="Cambria" w:hAnsi="Cambria"/>
          <w:lang w:val="en-US"/>
        </w:rPr>
        <w:t>This may be the case, for example, if a judge considers that same-sex marriages are outside the scope of the Regulation</w:t>
      </w:r>
      <w:r w:rsidR="0091550E">
        <w:rPr>
          <w:rFonts w:ascii="Cambria" w:hAnsi="Cambria"/>
          <w:lang w:val="en-US"/>
        </w:rPr>
        <w:t xml:space="preserve"> (</w:t>
      </w:r>
      <w:r w:rsidR="0091550E" w:rsidRPr="00965CF7">
        <w:rPr>
          <w:rFonts w:ascii="Cambria" w:hAnsi="Cambria"/>
          <w:lang w:val="en-US"/>
        </w:rPr>
        <w:t xml:space="preserve">see </w:t>
      </w:r>
      <w:r w:rsidR="00965CF7" w:rsidRPr="00965CF7">
        <w:rPr>
          <w:rFonts w:ascii="Cambria" w:hAnsi="Cambria"/>
          <w:lang w:val="en-US"/>
        </w:rPr>
        <w:t xml:space="preserve">point </w:t>
      </w:r>
      <w:proofErr w:type="spellStart"/>
      <w:r w:rsidR="00965CF7" w:rsidRPr="00965CF7">
        <w:rPr>
          <w:rFonts w:ascii="Cambria" w:hAnsi="Cambria"/>
          <w:lang w:val="en-US"/>
        </w:rPr>
        <w:t>III.b</w:t>
      </w:r>
      <w:proofErr w:type="spellEnd"/>
      <w:r w:rsidR="00965CF7" w:rsidRPr="00965CF7">
        <w:rPr>
          <w:rFonts w:ascii="Cambria" w:hAnsi="Cambria"/>
          <w:lang w:val="en-US"/>
        </w:rPr>
        <w:t xml:space="preserve">. </w:t>
      </w:r>
      <w:r w:rsidR="0091550E" w:rsidRPr="00965CF7">
        <w:rPr>
          <w:rFonts w:ascii="Cambria" w:hAnsi="Cambria"/>
          <w:lang w:val="en-US"/>
        </w:rPr>
        <w:t>above</w:t>
      </w:r>
      <w:r w:rsidR="0091550E">
        <w:rPr>
          <w:rFonts w:ascii="Cambria" w:hAnsi="Cambria"/>
          <w:lang w:val="en-US"/>
        </w:rPr>
        <w:t>)</w:t>
      </w:r>
      <w:r w:rsidR="00426F28">
        <w:rPr>
          <w:rFonts w:ascii="Cambria" w:hAnsi="Cambria"/>
          <w:lang w:val="en-US"/>
        </w:rPr>
        <w:t>: t</w:t>
      </w:r>
      <w:r w:rsidR="00426F28" w:rsidRPr="00426F28">
        <w:rPr>
          <w:rFonts w:ascii="Cambria" w:hAnsi="Cambria"/>
          <w:lang w:val="en-US"/>
        </w:rPr>
        <w:t xml:space="preserve">here is a risk that the court will </w:t>
      </w:r>
      <w:r w:rsidR="00426F28">
        <w:rPr>
          <w:rFonts w:ascii="Cambria" w:hAnsi="Cambria"/>
          <w:lang w:val="en-US"/>
        </w:rPr>
        <w:t>decline</w:t>
      </w:r>
      <w:r w:rsidR="00426F28" w:rsidRPr="00426F28">
        <w:rPr>
          <w:rFonts w:ascii="Cambria" w:hAnsi="Cambria"/>
          <w:lang w:val="en-US"/>
        </w:rPr>
        <w:t xml:space="preserve"> </w:t>
      </w:r>
      <w:r w:rsidR="0072491F">
        <w:rPr>
          <w:rFonts w:ascii="Cambria" w:hAnsi="Cambria"/>
          <w:lang w:val="en-US"/>
        </w:rPr>
        <w:t>jurisdiction</w:t>
      </w:r>
      <w:r w:rsidR="006769E2">
        <w:rPr>
          <w:rStyle w:val="Appelnotedebasdep"/>
          <w:rFonts w:ascii="Cambria" w:hAnsi="Cambria"/>
          <w:lang w:val="en-US"/>
        </w:rPr>
        <w:footnoteReference w:id="46"/>
      </w:r>
      <w:r w:rsidR="00426F28" w:rsidRPr="00426F28">
        <w:rPr>
          <w:rFonts w:ascii="Cambria" w:hAnsi="Cambria"/>
          <w:lang w:val="en-US"/>
        </w:rPr>
        <w:t xml:space="preserve">. </w:t>
      </w:r>
      <w:r w:rsidR="00912CA4" w:rsidRPr="009A61E5">
        <w:rPr>
          <w:rFonts w:ascii="Cambria" w:hAnsi="Cambria"/>
          <w:lang w:val="en-US"/>
        </w:rPr>
        <w:t>In th</w:t>
      </w:r>
      <w:r w:rsidR="00B74829">
        <w:rPr>
          <w:rFonts w:ascii="Cambria" w:hAnsi="Cambria"/>
          <w:lang w:val="en-US"/>
        </w:rPr>
        <w:t>ese</w:t>
      </w:r>
      <w:r w:rsidR="00912CA4" w:rsidRPr="009A61E5">
        <w:rPr>
          <w:rFonts w:ascii="Cambria" w:hAnsi="Cambria"/>
          <w:lang w:val="en-US"/>
        </w:rPr>
        <w:t xml:space="preserve"> kind</w:t>
      </w:r>
      <w:r w:rsidR="00B74829">
        <w:rPr>
          <w:rFonts w:ascii="Cambria" w:hAnsi="Cambria"/>
          <w:lang w:val="en-US"/>
        </w:rPr>
        <w:t>s</w:t>
      </w:r>
      <w:r w:rsidR="00912CA4" w:rsidRPr="009A61E5">
        <w:rPr>
          <w:rFonts w:ascii="Cambria" w:hAnsi="Cambria"/>
          <w:lang w:val="en-US"/>
        </w:rPr>
        <w:t xml:space="preserve"> of situations, o</w:t>
      </w:r>
      <w:r w:rsidR="008B3C76" w:rsidRPr="009A61E5">
        <w:rPr>
          <w:rFonts w:ascii="Cambria" w:hAnsi="Cambria"/>
          <w:lang w:val="en-US"/>
        </w:rPr>
        <w:t>ne might think of applying national private international laws to help th</w:t>
      </w:r>
      <w:r w:rsidR="00DF5249">
        <w:rPr>
          <w:rFonts w:ascii="Cambria" w:hAnsi="Cambria"/>
          <w:lang w:val="en-US"/>
        </w:rPr>
        <w:t xml:space="preserve">e spouses and find </w:t>
      </w:r>
      <w:proofErr w:type="gramStart"/>
      <w:r w:rsidR="00DF5249">
        <w:rPr>
          <w:rFonts w:ascii="Cambria" w:hAnsi="Cambria"/>
          <w:lang w:val="en-US"/>
        </w:rPr>
        <w:t>a ground</w:t>
      </w:r>
      <w:proofErr w:type="gramEnd"/>
      <w:r w:rsidR="00DF5249">
        <w:rPr>
          <w:rFonts w:ascii="Cambria" w:hAnsi="Cambria"/>
          <w:lang w:val="en-US"/>
        </w:rPr>
        <w:t xml:space="preserve"> of jurisdiction</w:t>
      </w:r>
      <w:r w:rsidR="008B3C76" w:rsidRPr="009A61E5">
        <w:rPr>
          <w:rFonts w:ascii="Cambria" w:hAnsi="Cambria"/>
          <w:lang w:val="en-US"/>
        </w:rPr>
        <w:t xml:space="preserve">. </w:t>
      </w:r>
      <w:r w:rsidR="00E953FD" w:rsidRPr="009A61E5">
        <w:rPr>
          <w:rFonts w:ascii="Cambria" w:hAnsi="Cambria"/>
          <w:lang w:val="en-US"/>
        </w:rPr>
        <w:t xml:space="preserve">However, this is not </w:t>
      </w:r>
      <w:r w:rsidR="0082492B">
        <w:rPr>
          <w:rFonts w:ascii="Cambria" w:hAnsi="Cambria"/>
          <w:lang w:val="en-US"/>
        </w:rPr>
        <w:t xml:space="preserve">always </w:t>
      </w:r>
      <w:r w:rsidR="00E953FD" w:rsidRPr="009A61E5">
        <w:rPr>
          <w:rFonts w:ascii="Cambria" w:hAnsi="Cambria"/>
          <w:lang w:val="en-US"/>
        </w:rPr>
        <w:t xml:space="preserve">possible </w:t>
      </w:r>
      <w:r w:rsidR="00E953FD" w:rsidRPr="00AB27BB">
        <w:rPr>
          <w:rFonts w:ascii="Cambria" w:hAnsi="Cambria"/>
          <w:lang w:val="en-US"/>
        </w:rPr>
        <w:t>under the Brussels II</w:t>
      </w:r>
      <w:r w:rsidR="00AB27BB" w:rsidRPr="00AB27BB">
        <w:rPr>
          <w:rFonts w:ascii="Cambria" w:hAnsi="Cambria"/>
          <w:lang w:val="en-US"/>
        </w:rPr>
        <w:t>b</w:t>
      </w:r>
      <w:r w:rsidR="00E953FD" w:rsidRPr="009A61E5">
        <w:rPr>
          <w:rFonts w:ascii="Cambria" w:hAnsi="Cambria"/>
          <w:lang w:val="en-US"/>
        </w:rPr>
        <w:t xml:space="preserve"> </w:t>
      </w:r>
      <w:r w:rsidR="000D4D40" w:rsidRPr="009A61E5">
        <w:rPr>
          <w:rFonts w:ascii="Cambria" w:hAnsi="Cambria"/>
          <w:lang w:val="en-US"/>
        </w:rPr>
        <w:t>which</w:t>
      </w:r>
      <w:r w:rsidR="00AB27BB">
        <w:rPr>
          <w:rFonts w:ascii="Cambria" w:hAnsi="Cambria"/>
          <w:lang w:val="en-US"/>
        </w:rPr>
        <w:t xml:space="preserve"> sometimes</w:t>
      </w:r>
      <w:r w:rsidR="0082492B" w:rsidRPr="0082492B">
        <w:rPr>
          <w:rFonts w:ascii="Cambria" w:hAnsi="Cambria"/>
          <w:lang w:val="en-US"/>
        </w:rPr>
        <w:t xml:space="preserve"> exclude the application of national law</w:t>
      </w:r>
      <w:r w:rsidR="0082492B">
        <w:rPr>
          <w:rStyle w:val="Appelnotedebasdep"/>
          <w:rFonts w:ascii="Cambria" w:hAnsi="Cambria"/>
          <w:lang w:val="en-US"/>
        </w:rPr>
        <w:footnoteReference w:id="47"/>
      </w:r>
      <w:r w:rsidR="00E953FD" w:rsidRPr="009A61E5">
        <w:rPr>
          <w:rFonts w:ascii="Cambria" w:hAnsi="Cambria"/>
          <w:lang w:val="en-US"/>
        </w:rPr>
        <w:t xml:space="preserve">. </w:t>
      </w:r>
      <w:r w:rsidR="00ED6A93">
        <w:rPr>
          <w:rFonts w:ascii="Cambria" w:hAnsi="Cambria"/>
          <w:lang w:val="en-US"/>
        </w:rPr>
        <w:t xml:space="preserve">The difficulty is compounded by the </w:t>
      </w:r>
      <w:r w:rsidR="00C57F00">
        <w:rPr>
          <w:rFonts w:ascii="Cambria" w:hAnsi="Cambria"/>
          <w:lang w:val="en-US"/>
        </w:rPr>
        <w:t xml:space="preserve">absence of any possibility for the spouses </w:t>
      </w:r>
      <w:r w:rsidR="00E702EA">
        <w:rPr>
          <w:rFonts w:ascii="Cambria" w:hAnsi="Cambria"/>
          <w:lang w:val="en-US"/>
        </w:rPr>
        <w:t>to make a</w:t>
      </w:r>
      <w:r w:rsidR="00F83B62" w:rsidRPr="00F83B62">
        <w:rPr>
          <w:rFonts w:ascii="Cambria" w:hAnsi="Cambria"/>
          <w:lang w:val="en-US"/>
        </w:rPr>
        <w:t xml:space="preserve"> </w:t>
      </w:r>
      <w:r w:rsidR="00E702EA">
        <w:rPr>
          <w:rFonts w:ascii="Cambria" w:hAnsi="Cambria"/>
          <w:lang w:val="en-US"/>
        </w:rPr>
        <w:t>forum selection</w:t>
      </w:r>
      <w:r w:rsidR="00F83B62" w:rsidRPr="00F83B62">
        <w:rPr>
          <w:rFonts w:ascii="Cambria" w:hAnsi="Cambria"/>
          <w:lang w:val="en-US"/>
        </w:rPr>
        <w:t xml:space="preserve"> clause </w:t>
      </w:r>
      <w:r w:rsidR="00965CF7">
        <w:rPr>
          <w:rFonts w:ascii="Cambria" w:hAnsi="Cambria"/>
          <w:lang w:val="en-US"/>
        </w:rPr>
        <w:t xml:space="preserve">(see point </w:t>
      </w:r>
      <w:proofErr w:type="spellStart"/>
      <w:r w:rsidR="00965CF7">
        <w:rPr>
          <w:rFonts w:ascii="Cambria" w:hAnsi="Cambria"/>
          <w:lang w:val="en-US"/>
        </w:rPr>
        <w:t>II.a</w:t>
      </w:r>
      <w:proofErr w:type="spellEnd"/>
      <w:r w:rsidR="00965CF7">
        <w:rPr>
          <w:rFonts w:ascii="Cambria" w:hAnsi="Cambria"/>
          <w:lang w:val="en-US"/>
        </w:rPr>
        <w:t>. above)</w:t>
      </w:r>
      <w:r w:rsidR="00F83B62" w:rsidRPr="00F83B62">
        <w:rPr>
          <w:rFonts w:ascii="Cambria" w:hAnsi="Cambria"/>
          <w:lang w:val="en-US"/>
        </w:rPr>
        <w:t>.</w:t>
      </w:r>
      <w:r w:rsidR="00F83B62">
        <w:rPr>
          <w:rFonts w:ascii="Cambria" w:hAnsi="Cambria"/>
          <w:lang w:val="en-US"/>
        </w:rPr>
        <w:t xml:space="preserve"> </w:t>
      </w:r>
      <w:r w:rsidR="00625AC4">
        <w:rPr>
          <w:rFonts w:ascii="Cambria" w:hAnsi="Cambria"/>
          <w:lang w:val="en-US"/>
        </w:rPr>
        <w:t xml:space="preserve">In some cases, </w:t>
      </w:r>
      <w:r w:rsidR="00E702EA">
        <w:rPr>
          <w:rFonts w:ascii="Cambria" w:hAnsi="Cambria"/>
          <w:lang w:val="en-US"/>
        </w:rPr>
        <w:t>this cocktail implies a lack of</w:t>
      </w:r>
      <w:r w:rsidR="00E953FD" w:rsidRPr="009A61E5">
        <w:rPr>
          <w:rFonts w:ascii="Cambria" w:hAnsi="Cambria"/>
          <w:lang w:val="en-US"/>
        </w:rPr>
        <w:t xml:space="preserve"> possibility</w:t>
      </w:r>
      <w:r w:rsidR="00625AC4">
        <w:rPr>
          <w:rFonts w:ascii="Cambria" w:hAnsi="Cambria"/>
          <w:lang w:val="en-US"/>
        </w:rPr>
        <w:t xml:space="preserve"> </w:t>
      </w:r>
      <w:r w:rsidR="00625AC4" w:rsidRPr="00625AC4">
        <w:rPr>
          <w:rFonts w:ascii="Cambria" w:hAnsi="Cambria"/>
          <w:lang w:val="en-US"/>
        </w:rPr>
        <w:t>to refer the case to another judge</w:t>
      </w:r>
      <w:r w:rsidR="00E953FD" w:rsidRPr="009A61E5">
        <w:rPr>
          <w:rFonts w:ascii="Cambria" w:hAnsi="Cambria"/>
          <w:lang w:val="en-US"/>
        </w:rPr>
        <w:t>.</w:t>
      </w:r>
    </w:p>
    <w:p w14:paraId="60380A17" w14:textId="146FE7AF" w:rsidR="00CF77E3" w:rsidRPr="009A61E5" w:rsidRDefault="00CF77E3" w:rsidP="00CF77E3">
      <w:pPr>
        <w:pStyle w:val="Titre1"/>
        <w:rPr>
          <w:rFonts w:ascii="Cambria" w:hAnsi="Cambria"/>
          <w:lang w:val="en-US"/>
        </w:rPr>
      </w:pPr>
      <w:r w:rsidRPr="009A61E5">
        <w:rPr>
          <w:rFonts w:ascii="Cambria" w:hAnsi="Cambria"/>
          <w:lang w:val="en-US"/>
        </w:rPr>
        <w:t>Conclusion</w:t>
      </w:r>
    </w:p>
    <w:p w14:paraId="2857F7F1" w14:textId="2343CB92" w:rsidR="00667B44" w:rsidRPr="009A61E5" w:rsidRDefault="00FC4EE2" w:rsidP="00C06031">
      <w:pPr>
        <w:jc w:val="both"/>
        <w:rPr>
          <w:rFonts w:ascii="Cambria" w:hAnsi="Cambria"/>
          <w:lang w:val="en-US"/>
        </w:rPr>
      </w:pPr>
      <w:r>
        <w:rPr>
          <w:rFonts w:ascii="Cambria" w:hAnsi="Cambria"/>
          <w:lang w:val="en-US"/>
        </w:rPr>
        <w:t>Brussels IIb</w:t>
      </w:r>
      <w:r w:rsidR="00667B44" w:rsidRPr="009A61E5">
        <w:rPr>
          <w:rFonts w:ascii="Cambria" w:hAnsi="Cambria"/>
          <w:lang w:val="en-US"/>
        </w:rPr>
        <w:t xml:space="preserve"> carries with it a number of innovations and advances. </w:t>
      </w:r>
      <w:r w:rsidR="00003E7A" w:rsidRPr="009A61E5">
        <w:rPr>
          <w:rFonts w:ascii="Cambria" w:hAnsi="Cambria"/>
          <w:lang w:val="en-US"/>
        </w:rPr>
        <w:t xml:space="preserve">It </w:t>
      </w:r>
      <w:r w:rsidR="00C57F00">
        <w:rPr>
          <w:rFonts w:ascii="Cambria" w:hAnsi="Cambria"/>
          <w:lang w:val="en-US"/>
        </w:rPr>
        <w:t xml:space="preserve">largely </w:t>
      </w:r>
      <w:r w:rsidR="00667B44" w:rsidRPr="009A61E5">
        <w:rPr>
          <w:rFonts w:ascii="Cambria" w:hAnsi="Cambria"/>
          <w:lang w:val="en-US"/>
        </w:rPr>
        <w:t>continue</w:t>
      </w:r>
      <w:r w:rsidR="00003E7A" w:rsidRPr="009A61E5">
        <w:rPr>
          <w:rFonts w:ascii="Cambria" w:hAnsi="Cambria"/>
          <w:lang w:val="en-US"/>
        </w:rPr>
        <w:t>s</w:t>
      </w:r>
      <w:r w:rsidR="00667B44" w:rsidRPr="009A61E5">
        <w:rPr>
          <w:rFonts w:ascii="Cambria" w:hAnsi="Cambria"/>
          <w:lang w:val="en-US"/>
        </w:rPr>
        <w:t xml:space="preserve"> the path taken by the Brussels Convention </w:t>
      </w:r>
      <w:r w:rsidR="00667B44" w:rsidRPr="008467E9">
        <w:rPr>
          <w:rFonts w:ascii="Cambria" w:hAnsi="Cambria"/>
          <w:lang w:val="en-US"/>
        </w:rPr>
        <w:t xml:space="preserve">and the Brussels </w:t>
      </w:r>
      <w:r w:rsidR="008467E9" w:rsidRPr="008467E9">
        <w:rPr>
          <w:rFonts w:ascii="Cambria" w:hAnsi="Cambria"/>
          <w:lang w:val="en-US"/>
        </w:rPr>
        <w:t xml:space="preserve">II and </w:t>
      </w:r>
      <w:proofErr w:type="spellStart"/>
      <w:r w:rsidR="00667B44" w:rsidRPr="008467E9">
        <w:rPr>
          <w:rFonts w:ascii="Cambria" w:hAnsi="Cambria"/>
          <w:lang w:val="en-US"/>
        </w:rPr>
        <w:t>II</w:t>
      </w:r>
      <w:r w:rsidR="008467E9" w:rsidRPr="008467E9">
        <w:rPr>
          <w:rFonts w:ascii="Cambria" w:hAnsi="Cambria"/>
          <w:lang w:val="en-US"/>
        </w:rPr>
        <w:t>a</w:t>
      </w:r>
      <w:proofErr w:type="spellEnd"/>
      <w:r w:rsidR="00667B44" w:rsidRPr="008467E9">
        <w:rPr>
          <w:rFonts w:ascii="Cambria" w:hAnsi="Cambria"/>
          <w:lang w:val="en-US"/>
        </w:rPr>
        <w:t xml:space="preserve"> Regulation</w:t>
      </w:r>
      <w:r w:rsidR="008467E9" w:rsidRPr="008467E9">
        <w:rPr>
          <w:rFonts w:ascii="Cambria" w:hAnsi="Cambria"/>
          <w:lang w:val="en-US"/>
        </w:rPr>
        <w:t>s</w:t>
      </w:r>
      <w:r w:rsidR="00667B44" w:rsidRPr="008467E9">
        <w:rPr>
          <w:rFonts w:ascii="Cambria" w:hAnsi="Cambria"/>
          <w:lang w:val="en-US"/>
        </w:rPr>
        <w:t>.</w:t>
      </w:r>
      <w:r w:rsidR="00667B44" w:rsidRPr="009A61E5">
        <w:rPr>
          <w:rFonts w:ascii="Cambria" w:hAnsi="Cambria"/>
          <w:lang w:val="en-US"/>
        </w:rPr>
        <w:t xml:space="preserve"> The latter had already gone a long way in laying the foundations for judicial cooperation and mutual trust</w:t>
      </w:r>
      <w:r w:rsidR="00003E7A" w:rsidRPr="009A61E5">
        <w:rPr>
          <w:rFonts w:ascii="Cambria" w:hAnsi="Cambria"/>
          <w:lang w:val="en-US"/>
        </w:rPr>
        <w:t xml:space="preserve"> and i</w:t>
      </w:r>
      <w:r w:rsidR="00667B44" w:rsidRPr="009A61E5">
        <w:rPr>
          <w:rFonts w:ascii="Cambria" w:hAnsi="Cambria"/>
          <w:lang w:val="en-US"/>
        </w:rPr>
        <w:t xml:space="preserve">t was </w:t>
      </w:r>
      <w:r w:rsidR="00003E7A" w:rsidRPr="009A61E5">
        <w:rPr>
          <w:rFonts w:ascii="Cambria" w:hAnsi="Cambria"/>
          <w:lang w:val="en-US"/>
        </w:rPr>
        <w:t>thus</w:t>
      </w:r>
      <w:r w:rsidR="00667B44" w:rsidRPr="009A61E5">
        <w:rPr>
          <w:rFonts w:ascii="Cambria" w:hAnsi="Cambria"/>
          <w:lang w:val="en-US"/>
        </w:rPr>
        <w:t xml:space="preserve"> difficult with </w:t>
      </w:r>
      <w:r w:rsidR="00667B44" w:rsidRPr="00FC4EE2">
        <w:rPr>
          <w:rFonts w:ascii="Cambria" w:hAnsi="Cambria"/>
          <w:lang w:val="en-US"/>
        </w:rPr>
        <w:t>this Recast</w:t>
      </w:r>
      <w:r w:rsidR="00667B44" w:rsidRPr="009A61E5">
        <w:rPr>
          <w:rFonts w:ascii="Cambria" w:hAnsi="Cambria"/>
          <w:lang w:val="en-US"/>
        </w:rPr>
        <w:t xml:space="preserve"> to go significantly further on all points.</w:t>
      </w:r>
      <w:r w:rsidR="0035757C" w:rsidRPr="009A61E5">
        <w:rPr>
          <w:rFonts w:ascii="Cambria" w:hAnsi="Cambria"/>
          <w:lang w:val="en-US"/>
        </w:rPr>
        <w:t xml:space="preserve"> Nevertheless, commentators and practitioners</w:t>
      </w:r>
      <w:r>
        <w:rPr>
          <w:rFonts w:ascii="Cambria" w:hAnsi="Cambria"/>
          <w:lang w:val="en-US"/>
        </w:rPr>
        <w:t xml:space="preserve"> </w:t>
      </w:r>
      <w:r w:rsidR="0035757C" w:rsidRPr="009A61E5">
        <w:rPr>
          <w:rFonts w:ascii="Cambria" w:hAnsi="Cambria"/>
          <w:lang w:val="en-US"/>
        </w:rPr>
        <w:t>had identified a number of problematic or deficient provisions and proposed possible solutions</w:t>
      </w:r>
      <w:r w:rsidR="00C06031" w:rsidRPr="009A61E5">
        <w:rPr>
          <w:rStyle w:val="Appelnotedebasdep"/>
          <w:rFonts w:ascii="Cambria" w:hAnsi="Cambria"/>
          <w:lang w:val="en-US"/>
        </w:rPr>
        <w:footnoteReference w:id="48"/>
      </w:r>
      <w:r w:rsidR="0035757C" w:rsidRPr="009A61E5">
        <w:rPr>
          <w:rFonts w:ascii="Cambria" w:hAnsi="Cambria"/>
          <w:lang w:val="en-US"/>
        </w:rPr>
        <w:t>. Unfortunately, not all of them have been heard</w:t>
      </w:r>
      <w:r w:rsidR="00D44B43" w:rsidRPr="009A61E5">
        <w:rPr>
          <w:rFonts w:ascii="Cambria" w:hAnsi="Cambria"/>
          <w:lang w:val="en-US"/>
        </w:rPr>
        <w:t xml:space="preserve"> by the European legislator</w:t>
      </w:r>
      <w:r w:rsidR="0035757C" w:rsidRPr="009A61E5">
        <w:rPr>
          <w:rFonts w:ascii="Cambria" w:hAnsi="Cambria"/>
          <w:lang w:val="en-US"/>
        </w:rPr>
        <w:t xml:space="preserve">. The most critical points, in our opinion, </w:t>
      </w:r>
      <w:r w:rsidR="00AA1F61" w:rsidRPr="009A61E5">
        <w:rPr>
          <w:rFonts w:ascii="Cambria" w:hAnsi="Cambria"/>
          <w:lang w:val="en-US"/>
        </w:rPr>
        <w:t>concern</w:t>
      </w:r>
      <w:r w:rsidR="0035757C" w:rsidRPr="009A61E5">
        <w:rPr>
          <w:rFonts w:ascii="Cambria" w:hAnsi="Cambria"/>
          <w:lang w:val="en-US"/>
        </w:rPr>
        <w:t xml:space="preserve"> the questions </w:t>
      </w:r>
      <w:r w:rsidR="004B3AEF">
        <w:rPr>
          <w:rFonts w:ascii="Cambria" w:hAnsi="Cambria"/>
          <w:lang w:val="en-US"/>
        </w:rPr>
        <w:t>about</w:t>
      </w:r>
      <w:r w:rsidR="0035757C" w:rsidRPr="009A61E5">
        <w:rPr>
          <w:rFonts w:ascii="Cambria" w:hAnsi="Cambria"/>
          <w:lang w:val="en-US"/>
        </w:rPr>
        <w:t xml:space="preserve"> the scope of application of the </w:t>
      </w:r>
      <w:r w:rsidR="0035757C" w:rsidRPr="004B3AEF">
        <w:rPr>
          <w:rFonts w:ascii="Cambria" w:hAnsi="Cambria"/>
          <w:lang w:val="en-US"/>
        </w:rPr>
        <w:t>Regulation. Firstly</w:t>
      </w:r>
      <w:r w:rsidR="0035757C" w:rsidRPr="009A61E5">
        <w:rPr>
          <w:rFonts w:ascii="Cambria" w:hAnsi="Cambria"/>
          <w:lang w:val="en-US"/>
        </w:rPr>
        <w:t xml:space="preserve">, </w:t>
      </w:r>
      <w:r w:rsidR="005978DE">
        <w:rPr>
          <w:rFonts w:ascii="Cambria" w:hAnsi="Cambria"/>
          <w:lang w:val="en-US"/>
        </w:rPr>
        <w:t>although the Regulation must be applied daily (and</w:t>
      </w:r>
      <w:r w:rsidR="005978DE" w:rsidRPr="00F10437">
        <w:rPr>
          <w:rFonts w:ascii="Cambria" w:hAnsi="Cambria"/>
          <w:lang w:val="en-US"/>
        </w:rPr>
        <w:t xml:space="preserve"> has been for more than twenty years</w:t>
      </w:r>
      <w:r w:rsidR="005978DE">
        <w:rPr>
          <w:rFonts w:ascii="Cambria" w:hAnsi="Cambria"/>
          <w:lang w:val="en-US"/>
        </w:rPr>
        <w:t>)</w:t>
      </w:r>
      <w:r w:rsidR="005978DE" w:rsidRPr="00F10437">
        <w:rPr>
          <w:rFonts w:ascii="Cambria" w:hAnsi="Cambria"/>
          <w:lang w:val="en-US"/>
        </w:rPr>
        <w:t xml:space="preserve"> </w:t>
      </w:r>
      <w:r w:rsidR="005978DE">
        <w:rPr>
          <w:rFonts w:ascii="Cambria" w:hAnsi="Cambria"/>
          <w:lang w:val="en-US"/>
        </w:rPr>
        <w:t>by</w:t>
      </w:r>
      <w:r w:rsidR="005978DE" w:rsidRPr="00F10437">
        <w:rPr>
          <w:rFonts w:ascii="Cambria" w:hAnsi="Cambria"/>
          <w:lang w:val="en-US"/>
        </w:rPr>
        <w:t xml:space="preserve"> the </w:t>
      </w:r>
      <w:r w:rsidR="005978DE">
        <w:rPr>
          <w:rFonts w:ascii="Cambria" w:hAnsi="Cambria"/>
          <w:lang w:val="en-US"/>
        </w:rPr>
        <w:t xml:space="preserve">courts of the </w:t>
      </w:r>
      <w:r w:rsidR="005978DE" w:rsidRPr="00F10437">
        <w:rPr>
          <w:rFonts w:ascii="Cambria" w:hAnsi="Cambria"/>
          <w:lang w:val="en-US"/>
        </w:rPr>
        <w:t>Member States</w:t>
      </w:r>
      <w:r w:rsidR="005978DE">
        <w:rPr>
          <w:rFonts w:ascii="Cambria" w:hAnsi="Cambria"/>
          <w:lang w:val="en-US"/>
        </w:rPr>
        <w:t>,</w:t>
      </w:r>
      <w:r w:rsidR="005978DE" w:rsidRPr="009A61E5">
        <w:rPr>
          <w:rFonts w:ascii="Cambria" w:hAnsi="Cambria"/>
          <w:lang w:val="en-US"/>
        </w:rPr>
        <w:t xml:space="preserve"> </w:t>
      </w:r>
      <w:r w:rsidR="0035757C" w:rsidRPr="009A61E5">
        <w:rPr>
          <w:rFonts w:ascii="Cambria" w:hAnsi="Cambria"/>
          <w:lang w:val="en-US"/>
        </w:rPr>
        <w:t xml:space="preserve">there are still uncertainties regarding </w:t>
      </w:r>
      <w:r w:rsidR="005978DE">
        <w:rPr>
          <w:rFonts w:ascii="Cambria" w:hAnsi="Cambria"/>
          <w:lang w:val="en-US"/>
        </w:rPr>
        <w:t>its</w:t>
      </w:r>
      <w:r w:rsidR="005978DE" w:rsidRPr="009A61E5">
        <w:rPr>
          <w:rFonts w:ascii="Cambria" w:hAnsi="Cambria"/>
          <w:lang w:val="en-US"/>
        </w:rPr>
        <w:t xml:space="preserve"> </w:t>
      </w:r>
      <w:r w:rsidR="0035757C" w:rsidRPr="009A61E5">
        <w:rPr>
          <w:rFonts w:ascii="Cambria" w:hAnsi="Cambria"/>
          <w:lang w:val="en-US"/>
        </w:rPr>
        <w:t xml:space="preserve">scope </w:t>
      </w:r>
      <w:r w:rsidR="004B3AEF" w:rsidRPr="004B3AEF">
        <w:rPr>
          <w:rFonts w:ascii="Cambria" w:hAnsi="Cambria"/>
          <w:i/>
          <w:iCs/>
          <w:lang w:val="en-US"/>
        </w:rPr>
        <w:t xml:space="preserve">ratione </w:t>
      </w:r>
      <w:proofErr w:type="spellStart"/>
      <w:r w:rsidR="004B3AEF" w:rsidRPr="004B3AEF">
        <w:rPr>
          <w:rFonts w:ascii="Cambria" w:hAnsi="Cambria"/>
          <w:i/>
          <w:iCs/>
          <w:lang w:val="en-US"/>
        </w:rPr>
        <w:t>materiae</w:t>
      </w:r>
      <w:proofErr w:type="spellEnd"/>
      <w:r w:rsidR="0035757C" w:rsidRPr="009A61E5">
        <w:rPr>
          <w:rFonts w:ascii="Cambria" w:hAnsi="Cambria"/>
          <w:lang w:val="en-US"/>
        </w:rPr>
        <w:t>. Secondly, there is a lack of uniformity between the scopes of the different European regulations governing divorce, its accessories, parental responsibility and international abductions. This makes it difficult to articulate these different regulations, which are nevertheless destined to interact in the same procedure.</w:t>
      </w:r>
    </w:p>
    <w:p w14:paraId="19738691" w14:textId="2EBF4307" w:rsidR="00CF77E3" w:rsidRPr="009A61E5" w:rsidRDefault="00C06031" w:rsidP="00C06031">
      <w:pPr>
        <w:jc w:val="both"/>
        <w:rPr>
          <w:rFonts w:ascii="Cambria" w:hAnsi="Cambria"/>
          <w:lang w:val="en-US"/>
        </w:rPr>
      </w:pPr>
      <w:r w:rsidRPr="009A61E5">
        <w:rPr>
          <w:rFonts w:ascii="Cambria" w:hAnsi="Cambria"/>
          <w:lang w:val="en-US"/>
        </w:rPr>
        <w:t xml:space="preserve">Lastly, a new aspect of European construction could also be considered: the circulation between Member States of decisions, authentic instruments or agreements from Third </w:t>
      </w:r>
      <w:r w:rsidR="005978DE">
        <w:rPr>
          <w:rFonts w:ascii="Cambria" w:hAnsi="Cambria"/>
          <w:lang w:val="en-US"/>
        </w:rPr>
        <w:t>s</w:t>
      </w:r>
      <w:r w:rsidR="005978DE" w:rsidRPr="009A61E5">
        <w:rPr>
          <w:rFonts w:ascii="Cambria" w:hAnsi="Cambria"/>
          <w:lang w:val="en-US"/>
        </w:rPr>
        <w:t>tates</w:t>
      </w:r>
      <w:r w:rsidRPr="009A61E5">
        <w:rPr>
          <w:rFonts w:ascii="Cambria" w:hAnsi="Cambria"/>
          <w:lang w:val="en-US"/>
        </w:rPr>
        <w:t xml:space="preserve">. Currently, the recognition of these documents is left to the private international law policies of each Member State. As a result, a European citizen (who therefore enjoys freedom of movement within the Union) who </w:t>
      </w:r>
      <w:r w:rsidR="00F31F0A">
        <w:rPr>
          <w:rFonts w:ascii="Cambria" w:hAnsi="Cambria"/>
          <w:lang w:val="en-US"/>
        </w:rPr>
        <w:t>was</w:t>
      </w:r>
      <w:r w:rsidR="00F31F0A" w:rsidRPr="009A61E5">
        <w:rPr>
          <w:rFonts w:ascii="Cambria" w:hAnsi="Cambria"/>
          <w:lang w:val="en-US"/>
        </w:rPr>
        <w:t xml:space="preserve"> </w:t>
      </w:r>
      <w:r w:rsidR="00291A82" w:rsidRPr="009A61E5">
        <w:rPr>
          <w:rFonts w:ascii="Cambria" w:hAnsi="Cambria"/>
          <w:lang w:val="en-US"/>
        </w:rPr>
        <w:t>declared</w:t>
      </w:r>
      <w:r w:rsidRPr="009A61E5">
        <w:rPr>
          <w:rFonts w:ascii="Cambria" w:hAnsi="Cambria"/>
          <w:lang w:val="en-US"/>
        </w:rPr>
        <w:t xml:space="preserve"> divorced in a Third </w:t>
      </w:r>
      <w:r w:rsidR="00B17415" w:rsidRPr="009A61E5">
        <w:rPr>
          <w:rFonts w:ascii="Cambria" w:hAnsi="Cambria"/>
          <w:lang w:val="en-US"/>
        </w:rPr>
        <w:t>State</w:t>
      </w:r>
      <w:r w:rsidRPr="009A61E5">
        <w:rPr>
          <w:rFonts w:ascii="Cambria" w:hAnsi="Cambria"/>
          <w:lang w:val="en-US"/>
        </w:rPr>
        <w:t xml:space="preserve"> will not receive a uniform response in the various Member States.</w:t>
      </w:r>
    </w:p>
    <w:sectPr w:rsidR="00CF77E3" w:rsidRPr="009A61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FCA5" w14:textId="77777777" w:rsidR="00577BF4" w:rsidRDefault="00577BF4" w:rsidP="003C26A7">
      <w:pPr>
        <w:spacing w:after="0" w:line="240" w:lineRule="auto"/>
      </w:pPr>
      <w:r>
        <w:separator/>
      </w:r>
    </w:p>
  </w:endnote>
  <w:endnote w:type="continuationSeparator" w:id="0">
    <w:p w14:paraId="3CB8A69F" w14:textId="77777777" w:rsidR="00577BF4" w:rsidRDefault="00577BF4" w:rsidP="003C2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Std-Lt">
    <w:altName w:val="Arial"/>
    <w:panose1 w:val="00000000000000000000"/>
    <w:charset w:val="00"/>
    <w:family w:val="swiss"/>
    <w:notTrueType/>
    <w:pitch w:val="default"/>
    <w:sig w:usb0="00000003" w:usb1="00000000" w:usb2="00000000" w:usb3="00000000" w:csb0="00000001" w:csb1="00000000"/>
  </w:font>
  <w:font w:name="HelveticaNeueLTStd-LtI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11087" w14:textId="77777777" w:rsidR="00577BF4" w:rsidRDefault="00577BF4" w:rsidP="003C26A7">
      <w:pPr>
        <w:spacing w:after="0" w:line="240" w:lineRule="auto"/>
      </w:pPr>
      <w:r>
        <w:separator/>
      </w:r>
    </w:p>
  </w:footnote>
  <w:footnote w:type="continuationSeparator" w:id="0">
    <w:p w14:paraId="6F905A29" w14:textId="77777777" w:rsidR="00577BF4" w:rsidRDefault="00577BF4" w:rsidP="003C26A7">
      <w:pPr>
        <w:spacing w:after="0" w:line="240" w:lineRule="auto"/>
      </w:pPr>
      <w:r>
        <w:continuationSeparator/>
      </w:r>
    </w:p>
  </w:footnote>
  <w:footnote w:id="1">
    <w:p w14:paraId="6D0BB9B5" w14:textId="1D1323EC" w:rsidR="00E13EB1" w:rsidRPr="00CD2005" w:rsidRDefault="00E13EB1" w:rsidP="00C52226">
      <w:pPr>
        <w:pStyle w:val="Notedebasdepage"/>
        <w:jc w:val="both"/>
        <w:rPr>
          <w:rFonts w:ascii="Cambria" w:hAnsi="Cambria"/>
          <w:lang w:val="en-US"/>
        </w:rPr>
      </w:pPr>
      <w:r w:rsidRPr="00CD2005">
        <w:rPr>
          <w:rStyle w:val="Appelnotedebasdep"/>
          <w:rFonts w:ascii="Cambria" w:hAnsi="Cambria"/>
        </w:rPr>
        <w:footnoteRef/>
      </w:r>
      <w:r w:rsidRPr="00CD2005">
        <w:rPr>
          <w:rFonts w:ascii="Cambria" w:hAnsi="Cambria"/>
          <w:lang w:val="en-US"/>
        </w:rPr>
        <w:t xml:space="preserve"> </w:t>
      </w:r>
      <w:r w:rsidR="0034072E" w:rsidRPr="00CD2005">
        <w:rPr>
          <w:rFonts w:ascii="Cambria" w:hAnsi="Cambria"/>
          <w:lang w:val="en-US"/>
        </w:rPr>
        <w:t>Research Assistant, University of Li</w:t>
      </w:r>
      <w:r w:rsidR="009E7A84">
        <w:rPr>
          <w:rFonts w:ascii="Cambria" w:hAnsi="Cambria"/>
          <w:lang w:val="en-US"/>
        </w:rPr>
        <w:t>è</w:t>
      </w:r>
      <w:r w:rsidR="0034072E" w:rsidRPr="00CD2005">
        <w:rPr>
          <w:rFonts w:ascii="Cambria" w:hAnsi="Cambria"/>
          <w:lang w:val="en-US"/>
        </w:rPr>
        <w:t xml:space="preserve">ge. </w:t>
      </w:r>
      <w:r w:rsidR="00BE7834" w:rsidRPr="00CD2005">
        <w:rPr>
          <w:rFonts w:ascii="Cambria" w:hAnsi="Cambria"/>
          <w:lang w:val="en-US"/>
        </w:rPr>
        <w:t>The author is grateful to Prof</w:t>
      </w:r>
      <w:r w:rsidR="002E5322" w:rsidRPr="00CD2005">
        <w:rPr>
          <w:rFonts w:ascii="Cambria" w:hAnsi="Cambria"/>
          <w:lang w:val="en-US"/>
        </w:rPr>
        <w:t>.</w:t>
      </w:r>
      <w:r w:rsidR="00BE7834" w:rsidRPr="00CD2005">
        <w:rPr>
          <w:rFonts w:ascii="Cambria" w:hAnsi="Cambria"/>
          <w:lang w:val="en-US"/>
        </w:rPr>
        <w:t xml:space="preserve"> Wautelet and M</w:t>
      </w:r>
      <w:r w:rsidR="00C52226" w:rsidRPr="00CD2005">
        <w:rPr>
          <w:rFonts w:ascii="Cambria" w:hAnsi="Cambria"/>
          <w:lang w:val="en-US"/>
        </w:rPr>
        <w:t>r.</w:t>
      </w:r>
      <w:r w:rsidR="00BE7834" w:rsidRPr="00CD2005">
        <w:rPr>
          <w:rFonts w:ascii="Cambria" w:hAnsi="Cambria"/>
          <w:lang w:val="en-US"/>
        </w:rPr>
        <w:t xml:space="preserve"> Noirot for their careful review.</w:t>
      </w:r>
      <w:r w:rsidR="00C52226" w:rsidRPr="00CD2005">
        <w:rPr>
          <w:rFonts w:ascii="Cambria" w:hAnsi="Cambria"/>
          <w:lang w:val="en-US"/>
        </w:rPr>
        <w:t xml:space="preserve"> Any remaining errors are</w:t>
      </w:r>
      <w:r w:rsidR="00AD02CF">
        <w:rPr>
          <w:rFonts w:ascii="Cambria" w:hAnsi="Cambria"/>
          <w:lang w:val="en-US"/>
        </w:rPr>
        <w:t>, of course,</w:t>
      </w:r>
      <w:r w:rsidR="00C52226" w:rsidRPr="00CD2005">
        <w:rPr>
          <w:rFonts w:ascii="Cambria" w:hAnsi="Cambria"/>
          <w:lang w:val="en-US"/>
        </w:rPr>
        <w:t xml:space="preserve"> the sole responsibility of the author.</w:t>
      </w:r>
    </w:p>
  </w:footnote>
  <w:footnote w:id="2">
    <w:p w14:paraId="331BB661" w14:textId="54140B25" w:rsidR="00E10E75" w:rsidRPr="00CD2005" w:rsidRDefault="00E10E75" w:rsidP="00901DAE">
      <w:pPr>
        <w:pStyle w:val="Notedebasdepage"/>
        <w:jc w:val="both"/>
        <w:rPr>
          <w:rFonts w:ascii="Cambria" w:hAnsi="Cambria"/>
          <w:lang w:val="en-US"/>
        </w:rPr>
      </w:pPr>
      <w:r w:rsidRPr="00CD2005">
        <w:rPr>
          <w:rStyle w:val="Appelnotedebasdep"/>
          <w:rFonts w:ascii="Cambria" w:hAnsi="Cambria"/>
        </w:rPr>
        <w:footnoteRef/>
      </w:r>
      <w:r w:rsidR="00F946F9" w:rsidRPr="00CD2005">
        <w:rPr>
          <w:rFonts w:ascii="Cambria" w:hAnsi="Cambria"/>
          <w:lang w:val="en-US"/>
        </w:rPr>
        <w:t xml:space="preserve"> </w:t>
      </w:r>
      <w:r w:rsidR="00A329C3" w:rsidRPr="00CD2005">
        <w:rPr>
          <w:rFonts w:ascii="Cambria" w:hAnsi="Cambria"/>
          <w:lang w:val="en-US"/>
        </w:rPr>
        <w:t xml:space="preserve">1968 Brussels Convention on jurisdiction and the enforcement of judgments in civil and commercial matters, </w:t>
      </w:r>
      <w:r w:rsidR="00901DAE" w:rsidRPr="00CD2005">
        <w:rPr>
          <w:rFonts w:ascii="Cambria" w:hAnsi="Cambria"/>
          <w:lang w:val="en-US"/>
        </w:rPr>
        <w:t>[1972], OJ L299/32</w:t>
      </w:r>
    </w:p>
  </w:footnote>
  <w:footnote w:id="3">
    <w:p w14:paraId="2D5EE134" w14:textId="7999AEA8" w:rsidR="008E4F63" w:rsidRPr="008E4F63" w:rsidRDefault="008E4F63" w:rsidP="008E4F63">
      <w:pPr>
        <w:pStyle w:val="Notedebasdepage"/>
        <w:jc w:val="both"/>
        <w:rPr>
          <w:lang w:val="en-US"/>
        </w:rPr>
      </w:pPr>
      <w:r>
        <w:rPr>
          <w:rStyle w:val="Appelnotedebasdep"/>
        </w:rPr>
        <w:footnoteRef/>
      </w:r>
      <w:r w:rsidRPr="008E4F63">
        <w:rPr>
          <w:lang w:val="en-GB"/>
        </w:rPr>
        <w:t xml:space="preserve"> </w:t>
      </w:r>
      <w:r w:rsidRPr="008E4F63">
        <w:rPr>
          <w:rFonts w:ascii="Cambria" w:hAnsi="Cambria"/>
          <w:lang w:val="en-US"/>
        </w:rPr>
        <w:t>Successively</w:t>
      </w:r>
      <w:r w:rsidR="00E73F43">
        <w:rPr>
          <w:rFonts w:ascii="Cambria" w:hAnsi="Cambria"/>
          <w:lang w:val="en-US"/>
        </w:rPr>
        <w:t xml:space="preserve"> </w:t>
      </w:r>
      <w:r w:rsidRPr="008E4F63">
        <w:rPr>
          <w:rFonts w:ascii="Cambria" w:hAnsi="Cambria"/>
          <w:lang w:val="en-US"/>
        </w:rPr>
        <w:t>:</w:t>
      </w:r>
      <w:r>
        <w:rPr>
          <w:lang w:val="en-GB"/>
        </w:rPr>
        <w:t xml:space="preserve"> </w:t>
      </w:r>
      <w:r w:rsidRPr="00C64765">
        <w:rPr>
          <w:rFonts w:ascii="Cambria" w:hAnsi="Cambria"/>
          <w:lang w:val="en-US"/>
        </w:rPr>
        <w:t>Convention drawn up on the basis of Article K.3 of the Treaty on European Union, on Jurisdiction and the Recognition and Enforcement of Judgments in Matrimonial Matters</w:t>
      </w:r>
      <w:r>
        <w:rPr>
          <w:rFonts w:ascii="Cambria" w:hAnsi="Cambria"/>
          <w:lang w:val="en-US"/>
        </w:rPr>
        <w:t xml:space="preserve"> </w:t>
      </w:r>
      <w:r w:rsidRPr="004C5A0F">
        <w:rPr>
          <w:rFonts w:ascii="Cambria" w:hAnsi="Cambria"/>
          <w:lang w:val="en-US"/>
        </w:rPr>
        <w:t>[</w:t>
      </w:r>
      <w:r>
        <w:rPr>
          <w:rFonts w:ascii="Cambria" w:hAnsi="Cambria"/>
          <w:lang w:val="en-US"/>
        </w:rPr>
        <w:t>1998</w:t>
      </w:r>
      <w:r w:rsidRPr="004C5A0F">
        <w:rPr>
          <w:rFonts w:ascii="Cambria" w:hAnsi="Cambria"/>
          <w:lang w:val="en-US"/>
        </w:rPr>
        <w:t>]</w:t>
      </w:r>
      <w:r>
        <w:rPr>
          <w:rFonts w:ascii="Cambria" w:hAnsi="Cambria"/>
          <w:lang w:val="en-US"/>
        </w:rPr>
        <w:t>, OJ C221/2</w:t>
      </w:r>
      <w:r w:rsidR="00E73F43">
        <w:rPr>
          <w:rFonts w:ascii="Cambria" w:hAnsi="Cambria"/>
          <w:lang w:val="en-US"/>
        </w:rPr>
        <w:t xml:space="preserve"> </w:t>
      </w:r>
      <w:r>
        <w:rPr>
          <w:rFonts w:ascii="Cambria" w:hAnsi="Cambria"/>
          <w:lang w:val="en-US"/>
        </w:rPr>
        <w:t>; Council R</w:t>
      </w:r>
      <w:r w:rsidRPr="004C5A0F">
        <w:rPr>
          <w:rFonts w:ascii="Cambria" w:hAnsi="Cambria"/>
          <w:lang w:val="en-US"/>
        </w:rPr>
        <w:t xml:space="preserve">egulation (EC) </w:t>
      </w:r>
      <w:r>
        <w:rPr>
          <w:rFonts w:ascii="Cambria" w:hAnsi="Cambria"/>
          <w:lang w:val="en-US"/>
        </w:rPr>
        <w:t>1347</w:t>
      </w:r>
      <w:r w:rsidRPr="004C5A0F">
        <w:rPr>
          <w:rFonts w:ascii="Cambria" w:hAnsi="Cambria"/>
          <w:lang w:val="en-US"/>
        </w:rPr>
        <w:t>/200</w:t>
      </w:r>
      <w:r>
        <w:rPr>
          <w:rFonts w:ascii="Cambria" w:hAnsi="Cambria"/>
          <w:lang w:val="en-US"/>
        </w:rPr>
        <w:t>0</w:t>
      </w:r>
      <w:r w:rsidRPr="004C5A0F">
        <w:rPr>
          <w:rFonts w:ascii="Cambria" w:hAnsi="Cambria"/>
          <w:lang w:val="en-US"/>
        </w:rPr>
        <w:t xml:space="preserve"> of </w:t>
      </w:r>
      <w:r>
        <w:rPr>
          <w:rFonts w:ascii="Cambria" w:hAnsi="Cambria"/>
          <w:lang w:val="en-US"/>
        </w:rPr>
        <w:t>29</w:t>
      </w:r>
      <w:r w:rsidRPr="004C5A0F">
        <w:rPr>
          <w:rFonts w:ascii="Cambria" w:hAnsi="Cambria"/>
          <w:lang w:val="en-US"/>
        </w:rPr>
        <w:t xml:space="preserve"> </w:t>
      </w:r>
      <w:r>
        <w:rPr>
          <w:rFonts w:ascii="Cambria" w:hAnsi="Cambria"/>
          <w:lang w:val="en-US"/>
        </w:rPr>
        <w:t>May 2000</w:t>
      </w:r>
      <w:r w:rsidRPr="004C5A0F">
        <w:rPr>
          <w:rFonts w:ascii="Cambria" w:hAnsi="Cambria"/>
          <w:lang w:val="en-US"/>
        </w:rPr>
        <w:t xml:space="preserve"> </w:t>
      </w:r>
      <w:r w:rsidRPr="00623958">
        <w:rPr>
          <w:rFonts w:ascii="Cambria" w:hAnsi="Cambria"/>
          <w:lang w:val="en-US"/>
        </w:rPr>
        <w:t xml:space="preserve">on jurisdiction and the recognition and enforcement of judgments in matrimonial matters and in matters of parental responsibility for children of both spouses </w:t>
      </w:r>
      <w:r w:rsidRPr="004C5A0F">
        <w:rPr>
          <w:rFonts w:ascii="Cambria" w:hAnsi="Cambria"/>
          <w:lang w:val="en-US"/>
        </w:rPr>
        <w:t>[20</w:t>
      </w:r>
      <w:r>
        <w:rPr>
          <w:rFonts w:ascii="Cambria" w:hAnsi="Cambria"/>
          <w:lang w:val="en-US"/>
        </w:rPr>
        <w:t>00</w:t>
      </w:r>
      <w:r w:rsidRPr="004C5A0F">
        <w:rPr>
          <w:rFonts w:ascii="Cambria" w:hAnsi="Cambria"/>
          <w:lang w:val="en-US"/>
        </w:rPr>
        <w:t>], OJ L</w:t>
      </w:r>
      <w:r>
        <w:rPr>
          <w:rFonts w:ascii="Cambria" w:hAnsi="Cambria"/>
          <w:lang w:val="en-US"/>
        </w:rPr>
        <w:t>160</w:t>
      </w:r>
      <w:r w:rsidRPr="004C5A0F">
        <w:rPr>
          <w:rFonts w:ascii="Cambria" w:hAnsi="Cambria"/>
          <w:lang w:val="en-US"/>
        </w:rPr>
        <w:t>/</w:t>
      </w:r>
      <w:r>
        <w:rPr>
          <w:rFonts w:ascii="Cambria" w:hAnsi="Cambria"/>
          <w:lang w:val="en-US"/>
        </w:rPr>
        <w:t>19</w:t>
      </w:r>
      <w:r w:rsidR="00E73F43">
        <w:rPr>
          <w:rFonts w:ascii="Cambria" w:hAnsi="Cambria"/>
          <w:lang w:val="en-US"/>
        </w:rPr>
        <w:t xml:space="preserve"> </w:t>
      </w:r>
      <w:r>
        <w:rPr>
          <w:lang w:val="en-US"/>
        </w:rPr>
        <w:t xml:space="preserve">; </w:t>
      </w:r>
      <w:r>
        <w:rPr>
          <w:rFonts w:ascii="Cambria" w:hAnsi="Cambria"/>
          <w:lang w:val="en-US"/>
        </w:rPr>
        <w:t xml:space="preserve">Council </w:t>
      </w:r>
      <w:r w:rsidRPr="004C5A0F">
        <w:rPr>
          <w:rFonts w:ascii="Cambria" w:hAnsi="Cambria"/>
          <w:lang w:val="en-US"/>
        </w:rPr>
        <w:t>Regulation (EC) 2201/2003 of 27 November 2003 concerning jurisdiction and the recognition and enforcement of judgments in matrimonial matters and the matters of parental responsibility [20</w:t>
      </w:r>
      <w:r>
        <w:rPr>
          <w:rFonts w:ascii="Cambria" w:hAnsi="Cambria"/>
          <w:lang w:val="en-US"/>
        </w:rPr>
        <w:t>03</w:t>
      </w:r>
      <w:r w:rsidRPr="004C5A0F">
        <w:rPr>
          <w:rFonts w:ascii="Cambria" w:hAnsi="Cambria"/>
          <w:lang w:val="en-US"/>
        </w:rPr>
        <w:t>], OJ L3</w:t>
      </w:r>
      <w:r>
        <w:rPr>
          <w:rFonts w:ascii="Cambria" w:hAnsi="Cambria"/>
          <w:lang w:val="en-US"/>
        </w:rPr>
        <w:t>38</w:t>
      </w:r>
      <w:r w:rsidRPr="004C5A0F">
        <w:rPr>
          <w:rFonts w:ascii="Cambria" w:hAnsi="Cambria"/>
          <w:lang w:val="en-US"/>
        </w:rPr>
        <w:t>/</w:t>
      </w:r>
      <w:r>
        <w:rPr>
          <w:rFonts w:ascii="Cambria" w:hAnsi="Cambria"/>
          <w:lang w:val="en-US"/>
        </w:rPr>
        <w:t>1</w:t>
      </w:r>
    </w:p>
  </w:footnote>
  <w:footnote w:id="4">
    <w:p w14:paraId="66528D73" w14:textId="77777777" w:rsidR="00D40639" w:rsidRPr="00CD2005" w:rsidRDefault="00D40639" w:rsidP="00D40639">
      <w:pPr>
        <w:pStyle w:val="Notedebasdepage"/>
        <w:jc w:val="both"/>
        <w:rPr>
          <w:rFonts w:ascii="Cambria" w:hAnsi="Cambria"/>
          <w:lang w:val="en-US"/>
        </w:rPr>
      </w:pPr>
      <w:r w:rsidRPr="00CD2005">
        <w:rPr>
          <w:rStyle w:val="Appelnotedebasdep"/>
          <w:rFonts w:ascii="Cambria" w:hAnsi="Cambria"/>
        </w:rPr>
        <w:footnoteRef/>
      </w:r>
      <w:r w:rsidRPr="00CD2005">
        <w:rPr>
          <w:rFonts w:ascii="Cambria" w:hAnsi="Cambria"/>
          <w:lang w:val="en-US"/>
        </w:rPr>
        <w:t xml:space="preserve"> Council Regulation (EU) 2019/1111 of 25 June 2019 on jurisdiction, the recognition and enforcement of decisions in matrimonial matters and the matters of parental responsibility, and on international child abduction (recast) [2019], OJ L178/1</w:t>
      </w:r>
    </w:p>
  </w:footnote>
  <w:footnote w:id="5">
    <w:p w14:paraId="7C1E575C" w14:textId="619A7930" w:rsidR="002B5FBA" w:rsidRPr="002B5FBA" w:rsidRDefault="00FE1EA3" w:rsidP="008A3C48">
      <w:pPr>
        <w:pStyle w:val="Notedebasdepage"/>
        <w:jc w:val="both"/>
        <w:rPr>
          <w:lang w:val="en-US"/>
        </w:rPr>
      </w:pPr>
      <w:r>
        <w:rPr>
          <w:rStyle w:val="Appelnotedebasdep"/>
        </w:rPr>
        <w:footnoteRef/>
      </w:r>
      <w:r w:rsidRPr="002B3C03">
        <w:rPr>
          <w:lang w:val="en-US"/>
        </w:rPr>
        <w:t xml:space="preserve"> </w:t>
      </w:r>
      <w:r w:rsidR="005A595F" w:rsidRPr="005A595F">
        <w:rPr>
          <w:lang w:val="en-US"/>
        </w:rPr>
        <w:t>F</w:t>
      </w:r>
      <w:r w:rsidR="005A595F" w:rsidRPr="005A595F">
        <w:rPr>
          <w:rFonts w:ascii="Cambria" w:hAnsi="Cambria"/>
          <w:lang w:val="en-US"/>
        </w:rPr>
        <w:t>or further comments on the Recast</w:t>
      </w:r>
      <w:r w:rsidR="0007451E">
        <w:rPr>
          <w:rFonts w:ascii="Cambria" w:hAnsi="Cambria"/>
          <w:lang w:val="en-US"/>
        </w:rPr>
        <w:t xml:space="preserve"> </w:t>
      </w:r>
      <w:r w:rsidR="005A595F" w:rsidRPr="005A595F">
        <w:rPr>
          <w:rFonts w:ascii="Cambria" w:hAnsi="Cambria"/>
          <w:lang w:val="en-US"/>
        </w:rPr>
        <w:t xml:space="preserve">: </w:t>
      </w:r>
      <w:r w:rsidR="002B5FBA" w:rsidRPr="002B3C03">
        <w:rPr>
          <w:rFonts w:ascii="Cambria" w:hAnsi="Cambria"/>
          <w:lang w:val="en-US"/>
        </w:rPr>
        <w:t>Sabine</w:t>
      </w:r>
      <w:r w:rsidR="00EC2FE9" w:rsidRPr="002B3C03">
        <w:rPr>
          <w:rFonts w:ascii="Cambria" w:hAnsi="Cambria"/>
          <w:lang w:val="en-US"/>
        </w:rPr>
        <w:t xml:space="preserve"> </w:t>
      </w:r>
      <w:proofErr w:type="spellStart"/>
      <w:r w:rsidR="00D462C7" w:rsidRPr="002B3C03">
        <w:rPr>
          <w:rFonts w:ascii="Cambria" w:hAnsi="Cambria"/>
          <w:lang w:val="en-US"/>
        </w:rPr>
        <w:t>Corneloup</w:t>
      </w:r>
      <w:proofErr w:type="spellEnd"/>
      <w:r w:rsidR="00FB7CC3" w:rsidRPr="002B3C03">
        <w:rPr>
          <w:rFonts w:ascii="Cambria" w:eastAsia="Times New Roman" w:hAnsi="Cambria" w:cs="Arial"/>
          <w:lang w:val="en-US" w:eastAsia="nl-BE"/>
        </w:rPr>
        <w:t xml:space="preserve">, Estelle Gallant and Vincent </w:t>
      </w:r>
      <w:proofErr w:type="spellStart"/>
      <w:r w:rsidR="00FB7CC3" w:rsidRPr="002B3C03">
        <w:rPr>
          <w:rFonts w:ascii="Cambria" w:eastAsia="Times New Roman" w:hAnsi="Cambria" w:cs="Arial"/>
          <w:lang w:val="en-US" w:eastAsia="nl-BE"/>
        </w:rPr>
        <w:t>Égéa</w:t>
      </w:r>
      <w:proofErr w:type="spellEnd"/>
      <w:r w:rsidR="00FB7CC3" w:rsidRPr="002B3C03">
        <w:rPr>
          <w:rFonts w:ascii="Cambria" w:eastAsia="Times New Roman" w:hAnsi="Cambria" w:cs="Arial"/>
          <w:lang w:val="en-US" w:eastAsia="nl-BE"/>
        </w:rPr>
        <w:t xml:space="preserve">, </w:t>
      </w:r>
      <w:r w:rsidR="00484C2E" w:rsidRPr="002B3C03">
        <w:rPr>
          <w:rFonts w:ascii="Cambria" w:eastAsia="Times New Roman" w:hAnsi="Cambria" w:cs="Arial"/>
          <w:i/>
          <w:iCs/>
          <w:lang w:val="en-US" w:eastAsia="nl-BE"/>
        </w:rPr>
        <w:t xml:space="preserve">Divorce, </w:t>
      </w:r>
      <w:proofErr w:type="spellStart"/>
      <w:r w:rsidR="00484C2E" w:rsidRPr="002B3C03">
        <w:rPr>
          <w:rFonts w:ascii="Cambria" w:eastAsia="Times New Roman" w:hAnsi="Cambria" w:cs="Arial"/>
          <w:i/>
          <w:iCs/>
          <w:lang w:val="en-US" w:eastAsia="nl-BE"/>
        </w:rPr>
        <w:t>responsabilité</w:t>
      </w:r>
      <w:proofErr w:type="spellEnd"/>
      <w:r w:rsidR="00484C2E" w:rsidRPr="002B3C03">
        <w:rPr>
          <w:rFonts w:ascii="Cambria" w:eastAsia="Times New Roman" w:hAnsi="Cambria" w:cs="Arial"/>
          <w:i/>
          <w:iCs/>
          <w:lang w:val="en-US" w:eastAsia="nl-BE"/>
        </w:rPr>
        <w:t xml:space="preserve"> </w:t>
      </w:r>
      <w:proofErr w:type="spellStart"/>
      <w:r w:rsidR="00484C2E" w:rsidRPr="002B3C03">
        <w:rPr>
          <w:rFonts w:ascii="Cambria" w:eastAsia="Times New Roman" w:hAnsi="Cambria" w:cs="Arial"/>
          <w:i/>
          <w:iCs/>
          <w:lang w:val="en-US" w:eastAsia="nl-BE"/>
        </w:rPr>
        <w:t>parentale</w:t>
      </w:r>
      <w:proofErr w:type="spellEnd"/>
      <w:r w:rsidR="00484C2E" w:rsidRPr="002B3C03">
        <w:rPr>
          <w:rFonts w:ascii="Cambria" w:eastAsia="Times New Roman" w:hAnsi="Cambria" w:cs="Arial"/>
          <w:i/>
          <w:iCs/>
          <w:lang w:val="en-US" w:eastAsia="nl-BE"/>
        </w:rPr>
        <w:t xml:space="preserve">, </w:t>
      </w:r>
      <w:proofErr w:type="spellStart"/>
      <w:r w:rsidR="00484C2E" w:rsidRPr="002B3C03">
        <w:rPr>
          <w:rFonts w:ascii="Cambria" w:eastAsia="Times New Roman" w:hAnsi="Cambria" w:cs="Arial"/>
          <w:i/>
          <w:iCs/>
          <w:lang w:val="en-US" w:eastAsia="nl-BE"/>
        </w:rPr>
        <w:t>enlèvement</w:t>
      </w:r>
      <w:proofErr w:type="spellEnd"/>
      <w:r w:rsidR="00484C2E" w:rsidRPr="002B3C03">
        <w:rPr>
          <w:rFonts w:ascii="Cambria" w:eastAsia="Times New Roman" w:hAnsi="Cambria" w:cs="Arial"/>
          <w:i/>
          <w:iCs/>
          <w:lang w:val="en-US" w:eastAsia="nl-BE"/>
        </w:rPr>
        <w:t xml:space="preserve"> </w:t>
      </w:r>
      <w:r w:rsidR="00484C2E" w:rsidRPr="00F47E4A">
        <w:rPr>
          <w:rFonts w:ascii="Cambria" w:eastAsia="Times New Roman" w:hAnsi="Cambria" w:cs="Arial"/>
          <w:i/>
          <w:iCs/>
          <w:lang w:val="en-US" w:eastAsia="nl-BE"/>
        </w:rPr>
        <w:t>international</w:t>
      </w:r>
      <w:r w:rsidR="00D07E09" w:rsidRPr="00F47E4A">
        <w:rPr>
          <w:rFonts w:ascii="Cambria" w:eastAsia="Times New Roman" w:hAnsi="Cambria" w:cs="Arial"/>
          <w:lang w:val="en-US" w:eastAsia="nl-BE"/>
        </w:rPr>
        <w:t xml:space="preserve"> (</w:t>
      </w:r>
      <w:proofErr w:type="spellStart"/>
      <w:r w:rsidR="00484C2E" w:rsidRPr="00F47E4A">
        <w:rPr>
          <w:rFonts w:ascii="Cambria" w:eastAsia="Times New Roman" w:hAnsi="Cambria" w:cs="Arial"/>
          <w:lang w:val="en-US" w:eastAsia="nl-BE"/>
        </w:rPr>
        <w:t>Bruylant</w:t>
      </w:r>
      <w:proofErr w:type="spellEnd"/>
      <w:r w:rsidR="00484C2E" w:rsidRPr="00F47E4A">
        <w:rPr>
          <w:rFonts w:ascii="Cambria" w:eastAsia="Times New Roman" w:hAnsi="Cambria" w:cs="Arial"/>
          <w:lang w:val="en-US" w:eastAsia="nl-BE"/>
        </w:rPr>
        <w:t>, 2023</w:t>
      </w:r>
      <w:r w:rsidR="00D07E09" w:rsidRPr="00F47E4A">
        <w:rPr>
          <w:rFonts w:ascii="Cambria" w:eastAsia="Times New Roman" w:hAnsi="Cambria" w:cs="Arial"/>
          <w:lang w:val="en-US" w:eastAsia="nl-BE"/>
        </w:rPr>
        <w:t>)</w:t>
      </w:r>
      <w:r w:rsidR="00EC2FE9" w:rsidRPr="00F47E4A">
        <w:rPr>
          <w:rFonts w:ascii="Cambria" w:eastAsia="Times New Roman" w:hAnsi="Cambria" w:cs="Arial"/>
          <w:lang w:val="en-US" w:eastAsia="nl-BE"/>
        </w:rPr>
        <w:t xml:space="preserve"> </w:t>
      </w:r>
      <w:r w:rsidR="00484C2E" w:rsidRPr="00F47E4A">
        <w:rPr>
          <w:rFonts w:ascii="Cambria" w:eastAsia="Times New Roman" w:hAnsi="Cambria" w:cs="Arial"/>
          <w:lang w:val="en-US" w:eastAsia="nl-BE"/>
        </w:rPr>
        <w:t>;</w:t>
      </w:r>
      <w:r w:rsidR="002B5FBA" w:rsidRPr="00F47E4A">
        <w:rPr>
          <w:rFonts w:ascii="Cambria" w:eastAsia="Times New Roman" w:hAnsi="Cambria" w:cs="Arial"/>
          <w:lang w:val="en-US" w:eastAsia="nl-BE"/>
        </w:rPr>
        <w:t xml:space="preserve"> </w:t>
      </w:r>
      <w:r w:rsidR="00C512C1" w:rsidRPr="00F47E4A">
        <w:rPr>
          <w:rFonts w:ascii="Cambria" w:hAnsi="Cambria"/>
          <w:lang w:val="en-US"/>
        </w:rPr>
        <w:t>Cristina González Beilfuss, ‘What’s New in Regulation (EU) No 2019/1111?’</w:t>
      </w:r>
      <w:r w:rsidR="0007451E">
        <w:rPr>
          <w:rFonts w:ascii="Cambria" w:hAnsi="Cambria"/>
          <w:lang w:val="en-US"/>
        </w:rPr>
        <w:t>,</w:t>
      </w:r>
      <w:r w:rsidR="00C512C1" w:rsidRPr="00F47E4A">
        <w:rPr>
          <w:rFonts w:ascii="Cambria" w:hAnsi="Cambria"/>
          <w:lang w:val="en-US"/>
        </w:rPr>
        <w:t xml:space="preserve"> Máire Ní </w:t>
      </w:r>
      <w:proofErr w:type="spellStart"/>
      <w:r w:rsidR="00C512C1" w:rsidRPr="00F47E4A">
        <w:rPr>
          <w:rFonts w:ascii="Cambria" w:hAnsi="Cambria"/>
          <w:lang w:val="en-US"/>
        </w:rPr>
        <w:t>Shúilleabhaáin</w:t>
      </w:r>
      <w:proofErr w:type="spellEnd"/>
      <w:r w:rsidR="00C512C1" w:rsidRPr="00F47E4A">
        <w:rPr>
          <w:rFonts w:ascii="Cambria" w:hAnsi="Cambria"/>
          <w:lang w:val="en-US"/>
        </w:rPr>
        <w:t xml:space="preserve">, ‘An Overview of the Principal Reforms in Regulation (EU) 2019/1111 117, Giacomo Biagioni and Laura </w:t>
      </w:r>
      <w:proofErr w:type="spellStart"/>
      <w:r w:rsidR="00C512C1" w:rsidRPr="00F47E4A">
        <w:rPr>
          <w:rFonts w:ascii="Cambria" w:hAnsi="Cambria"/>
          <w:lang w:val="en-US"/>
        </w:rPr>
        <w:t>Carpaneto</w:t>
      </w:r>
      <w:proofErr w:type="spellEnd"/>
      <w:r w:rsidR="00C512C1" w:rsidRPr="00F47E4A">
        <w:rPr>
          <w:rFonts w:ascii="Cambria" w:hAnsi="Cambria"/>
          <w:lang w:val="en-US"/>
        </w:rPr>
        <w:t xml:space="preserve">, ‘Children under Brussels II </w:t>
      </w:r>
      <w:proofErr w:type="spellStart"/>
      <w:r w:rsidR="00C512C1" w:rsidRPr="00F47E4A">
        <w:rPr>
          <w:rFonts w:ascii="Cambria" w:hAnsi="Cambria"/>
          <w:i/>
          <w:iCs/>
          <w:lang w:val="en-US"/>
        </w:rPr>
        <w:t>ter</w:t>
      </w:r>
      <w:proofErr w:type="spellEnd"/>
      <w:r w:rsidR="00C512C1" w:rsidRPr="00F47E4A">
        <w:rPr>
          <w:rFonts w:ascii="Cambria" w:hAnsi="Cambria"/>
          <w:lang w:val="en-US"/>
        </w:rPr>
        <w:t xml:space="preserve"> Regulation’, Vesna Lazić and Ilaria </w:t>
      </w:r>
      <w:proofErr w:type="spellStart"/>
      <w:r w:rsidR="00C512C1" w:rsidRPr="00F47E4A">
        <w:rPr>
          <w:rFonts w:ascii="Cambria" w:hAnsi="Cambria"/>
          <w:lang w:val="en-US"/>
        </w:rPr>
        <w:t>Pretelli</w:t>
      </w:r>
      <w:proofErr w:type="spellEnd"/>
      <w:r w:rsidR="00C512C1" w:rsidRPr="00F47E4A">
        <w:rPr>
          <w:rFonts w:ascii="Cambria" w:hAnsi="Cambria"/>
          <w:lang w:val="en-US"/>
        </w:rPr>
        <w:t xml:space="preserve">, ‘Revised Recognition and Enforcement Procedures in Regulation Brussels II </w:t>
      </w:r>
      <w:proofErr w:type="spellStart"/>
      <w:r w:rsidR="00C512C1" w:rsidRPr="00F47E4A">
        <w:rPr>
          <w:rFonts w:ascii="Cambria" w:hAnsi="Cambria"/>
          <w:i/>
          <w:iCs/>
          <w:lang w:val="en-US"/>
        </w:rPr>
        <w:t>ter</w:t>
      </w:r>
      <w:proofErr w:type="spellEnd"/>
      <w:r w:rsidR="00C512C1" w:rsidRPr="00F47E4A">
        <w:rPr>
          <w:rFonts w:ascii="Cambria" w:hAnsi="Cambria"/>
          <w:lang w:val="en-US"/>
        </w:rPr>
        <w:t xml:space="preserve">’, Mirela Župan, Christian Hoehn and Ulrike Kluth, ‘Central Authority Cooperation under the Brussels II </w:t>
      </w:r>
      <w:proofErr w:type="spellStart"/>
      <w:r w:rsidR="00C512C1" w:rsidRPr="00F47E4A">
        <w:rPr>
          <w:rFonts w:ascii="Cambria" w:hAnsi="Cambria"/>
          <w:i/>
          <w:iCs/>
          <w:lang w:val="en-US"/>
        </w:rPr>
        <w:t>ter</w:t>
      </w:r>
      <w:proofErr w:type="spellEnd"/>
      <w:r w:rsidR="00C512C1" w:rsidRPr="00F47E4A">
        <w:rPr>
          <w:rFonts w:ascii="Cambria" w:hAnsi="Cambria"/>
          <w:lang w:val="en-US"/>
        </w:rPr>
        <w:t xml:space="preserve"> Regulation’</w:t>
      </w:r>
      <w:r w:rsidR="00F47E4A">
        <w:rPr>
          <w:rFonts w:ascii="Cambria" w:hAnsi="Cambria"/>
          <w:lang w:val="en-US"/>
        </w:rPr>
        <w:t>, all in</w:t>
      </w:r>
      <w:r w:rsidR="00C512C1" w:rsidRPr="00F47E4A">
        <w:rPr>
          <w:rFonts w:ascii="Cambria" w:hAnsi="Cambria"/>
          <w:lang w:val="en-US"/>
        </w:rPr>
        <w:t xml:space="preserve"> (2020/2021) Vol. XXII Yearbook of Private International Law </w:t>
      </w:r>
      <w:r w:rsidR="00C512C1">
        <w:rPr>
          <w:rFonts w:ascii="Cambria" w:hAnsi="Cambria"/>
          <w:lang w:val="en-US"/>
        </w:rPr>
        <w:t xml:space="preserve">95 </w:t>
      </w:r>
      <w:r w:rsidR="00C512C1">
        <w:rPr>
          <w:lang w:val="en-US"/>
        </w:rPr>
        <w:t xml:space="preserve">; </w:t>
      </w:r>
      <w:r w:rsidR="002B3C03">
        <w:rPr>
          <w:rFonts w:ascii="Cambria" w:eastAsia="Times New Roman" w:hAnsi="Cambria" w:cs="Arial"/>
          <w:lang w:val="en-US" w:eastAsia="nl-BE"/>
        </w:rPr>
        <w:t xml:space="preserve">Nigel </w:t>
      </w:r>
      <w:r w:rsidR="00174AA9" w:rsidRPr="002B3C03">
        <w:rPr>
          <w:rFonts w:ascii="Cambria" w:eastAsia="Times New Roman" w:hAnsi="Cambria" w:cs="Arial"/>
          <w:lang w:val="en-US" w:eastAsia="nl-BE"/>
        </w:rPr>
        <w:t>Lowe</w:t>
      </w:r>
      <w:r w:rsidR="002B3C03">
        <w:rPr>
          <w:rFonts w:ascii="Cambria" w:eastAsia="Times New Roman" w:hAnsi="Cambria" w:cs="Arial"/>
          <w:lang w:val="en-US" w:eastAsia="nl-BE"/>
        </w:rPr>
        <w:t>,</w:t>
      </w:r>
      <w:r w:rsidR="002B5FBA" w:rsidRPr="002B3C03">
        <w:rPr>
          <w:rFonts w:ascii="Cambria" w:eastAsia="Times New Roman" w:hAnsi="Cambria" w:cs="Arial"/>
          <w:lang w:val="en-US" w:eastAsia="nl-BE"/>
        </w:rPr>
        <w:t xml:space="preserve"> </w:t>
      </w:r>
      <w:r w:rsidR="002B5FBA" w:rsidRPr="00EC2FE9">
        <w:rPr>
          <w:rFonts w:ascii="Cambria" w:eastAsia="Times New Roman" w:hAnsi="Cambria" w:cs="Arial"/>
          <w:lang w:val="en-US" w:eastAsia="nl-BE"/>
        </w:rPr>
        <w:t>C</w:t>
      </w:r>
      <w:r w:rsidR="002B3C03">
        <w:rPr>
          <w:rFonts w:ascii="Cambria" w:eastAsia="Times New Roman" w:hAnsi="Cambria" w:cs="Arial"/>
          <w:lang w:val="en-US" w:eastAsia="nl-BE"/>
        </w:rPr>
        <w:t>ostanza</w:t>
      </w:r>
      <w:r w:rsidR="002B5FBA" w:rsidRPr="00EC2FE9">
        <w:rPr>
          <w:rFonts w:ascii="Cambria" w:eastAsia="Times New Roman" w:hAnsi="Cambria" w:cs="Arial"/>
          <w:lang w:val="en-US" w:eastAsia="nl-BE"/>
        </w:rPr>
        <w:t xml:space="preserve"> </w:t>
      </w:r>
      <w:proofErr w:type="spellStart"/>
      <w:r w:rsidR="002B5FBA" w:rsidRPr="00EC2FE9">
        <w:rPr>
          <w:rFonts w:ascii="Cambria" w:eastAsia="Times New Roman" w:hAnsi="Cambria" w:cs="Arial"/>
          <w:lang w:val="en-US" w:eastAsia="nl-BE"/>
        </w:rPr>
        <w:t>Honorati</w:t>
      </w:r>
      <w:proofErr w:type="spellEnd"/>
      <w:r w:rsidR="00D07E09" w:rsidRPr="00EC2FE9">
        <w:rPr>
          <w:rFonts w:ascii="Cambria" w:eastAsia="Times New Roman" w:hAnsi="Cambria" w:cs="Arial"/>
          <w:lang w:val="en-US" w:eastAsia="nl-BE"/>
        </w:rPr>
        <w:t xml:space="preserve"> and</w:t>
      </w:r>
      <w:r w:rsidR="002B5FBA" w:rsidRPr="00EC2FE9">
        <w:rPr>
          <w:rFonts w:ascii="Cambria" w:eastAsia="Times New Roman" w:hAnsi="Cambria" w:cs="Arial"/>
          <w:lang w:val="en-US" w:eastAsia="nl-BE"/>
        </w:rPr>
        <w:t xml:space="preserve"> M</w:t>
      </w:r>
      <w:r w:rsidR="002B3C03">
        <w:rPr>
          <w:rFonts w:ascii="Cambria" w:eastAsia="Times New Roman" w:hAnsi="Cambria" w:cs="Arial"/>
          <w:lang w:val="en-US" w:eastAsia="nl-BE"/>
        </w:rPr>
        <w:t>ichael</w:t>
      </w:r>
      <w:r w:rsidR="002B5FBA" w:rsidRPr="00EC2FE9">
        <w:rPr>
          <w:rFonts w:ascii="Cambria" w:eastAsia="Times New Roman" w:hAnsi="Cambria" w:cs="Arial"/>
          <w:lang w:val="en-US" w:eastAsia="nl-BE"/>
        </w:rPr>
        <w:t xml:space="preserve"> Hellner</w:t>
      </w:r>
      <w:r w:rsidR="00EC2FE9" w:rsidRPr="00EC2FE9">
        <w:rPr>
          <w:rFonts w:ascii="Cambria" w:eastAsia="Times New Roman" w:hAnsi="Cambria" w:cs="Arial"/>
          <w:lang w:val="en-US" w:eastAsia="nl-BE"/>
        </w:rPr>
        <w:t>,</w:t>
      </w:r>
      <w:r w:rsidR="00484C2E" w:rsidRPr="00EC2FE9">
        <w:rPr>
          <w:rFonts w:ascii="Cambria" w:eastAsia="Times New Roman" w:hAnsi="Cambria" w:cs="Arial"/>
          <w:lang w:val="en-US" w:eastAsia="nl-BE"/>
        </w:rPr>
        <w:t xml:space="preserve"> </w:t>
      </w:r>
      <w:r w:rsidR="00B54A78" w:rsidRPr="00EC2FE9">
        <w:rPr>
          <w:rFonts w:ascii="Cambria" w:eastAsia="Times New Roman" w:hAnsi="Cambria" w:cs="Arial"/>
          <w:i/>
          <w:iCs/>
          <w:lang w:val="en-US" w:eastAsia="nl-BE"/>
        </w:rPr>
        <w:t>Brussels II-</w:t>
      </w:r>
      <w:proofErr w:type="spellStart"/>
      <w:r w:rsidR="00B54A78" w:rsidRPr="00EC2FE9">
        <w:rPr>
          <w:rFonts w:ascii="Cambria" w:eastAsia="Times New Roman" w:hAnsi="Cambria" w:cs="Arial"/>
          <w:i/>
          <w:iCs/>
          <w:lang w:val="en-US" w:eastAsia="nl-BE"/>
        </w:rPr>
        <w:t>ter</w:t>
      </w:r>
      <w:proofErr w:type="spellEnd"/>
      <w:r w:rsidR="00B54A78" w:rsidRPr="00EC2FE9">
        <w:rPr>
          <w:rFonts w:ascii="Cambria" w:eastAsia="Times New Roman" w:hAnsi="Cambria" w:cs="Arial"/>
          <w:i/>
          <w:iCs/>
          <w:lang w:val="en-US" w:eastAsia="nl-BE"/>
        </w:rPr>
        <w:t xml:space="preserve"> – Cross-border Marriage Dissolution, Parental Responsibility Disputes and Child Abduction in the EU</w:t>
      </w:r>
      <w:r w:rsidR="00D07E09" w:rsidRPr="00EC2FE9">
        <w:rPr>
          <w:rFonts w:ascii="Cambria" w:eastAsia="Times New Roman" w:hAnsi="Cambria" w:cs="Arial"/>
          <w:i/>
          <w:iCs/>
          <w:lang w:val="en-US" w:eastAsia="nl-BE"/>
        </w:rPr>
        <w:t xml:space="preserve"> </w:t>
      </w:r>
      <w:r w:rsidR="00D07E09" w:rsidRPr="00EC2FE9">
        <w:rPr>
          <w:rFonts w:ascii="Cambria" w:eastAsia="Times New Roman" w:hAnsi="Cambria" w:cs="Arial"/>
          <w:lang w:val="en-US" w:eastAsia="nl-BE"/>
        </w:rPr>
        <w:t>(</w:t>
      </w:r>
      <w:proofErr w:type="spellStart"/>
      <w:r w:rsidR="00D07E09" w:rsidRPr="00EC2FE9">
        <w:rPr>
          <w:rFonts w:ascii="Cambria" w:eastAsia="Times New Roman" w:hAnsi="Cambria" w:cs="Arial"/>
          <w:lang w:val="en-US" w:eastAsia="nl-BE"/>
        </w:rPr>
        <w:t>Intersentia</w:t>
      </w:r>
      <w:proofErr w:type="spellEnd"/>
      <w:r w:rsidR="00D07E09" w:rsidRPr="00EC2FE9">
        <w:rPr>
          <w:rFonts w:ascii="Cambria" w:eastAsia="Times New Roman" w:hAnsi="Cambria" w:cs="Arial"/>
          <w:lang w:val="en-US" w:eastAsia="nl-BE"/>
        </w:rPr>
        <w:t xml:space="preserve"> 2024)</w:t>
      </w:r>
      <w:r w:rsidR="00EC2FE9" w:rsidRPr="00EC2FE9">
        <w:rPr>
          <w:rFonts w:ascii="Cambria" w:eastAsia="Times New Roman" w:hAnsi="Cambria" w:cs="Arial"/>
          <w:lang w:val="en-US" w:eastAsia="nl-BE"/>
        </w:rPr>
        <w:t xml:space="preserve"> ;</w:t>
      </w:r>
      <w:r w:rsidR="00B54A78" w:rsidRPr="00EC2FE9">
        <w:rPr>
          <w:rFonts w:ascii="Cambria" w:eastAsia="Times New Roman" w:hAnsi="Cambria" w:cs="Arial"/>
          <w:lang w:val="en-US" w:eastAsia="nl-BE"/>
        </w:rPr>
        <w:t xml:space="preserve"> </w:t>
      </w:r>
      <w:r w:rsidR="00EC2FE9" w:rsidRPr="00EC2FE9">
        <w:rPr>
          <w:rFonts w:ascii="Cambria" w:eastAsia="Times New Roman" w:hAnsi="Cambria" w:cs="Arial"/>
          <w:lang w:val="en-US" w:eastAsia="nl-BE"/>
        </w:rPr>
        <w:t>Ulrich Magnus and Peter Mankowski</w:t>
      </w:r>
      <w:r w:rsidR="00484C2E" w:rsidRPr="00EC2FE9">
        <w:rPr>
          <w:rFonts w:ascii="Cambria" w:eastAsia="Times New Roman" w:hAnsi="Cambria" w:cs="Arial"/>
          <w:lang w:val="en-US" w:eastAsia="nl-BE"/>
        </w:rPr>
        <w:t xml:space="preserve">, </w:t>
      </w:r>
      <w:r w:rsidR="00484C2E" w:rsidRPr="00EC2FE9">
        <w:rPr>
          <w:rFonts w:ascii="Cambria" w:eastAsia="Times New Roman" w:hAnsi="Cambria" w:cs="Arial"/>
          <w:i/>
          <w:iCs/>
          <w:lang w:val="en-US" w:eastAsia="nl-BE"/>
        </w:rPr>
        <w:t xml:space="preserve">Brussels </w:t>
      </w:r>
      <w:proofErr w:type="spellStart"/>
      <w:r w:rsidR="00484C2E" w:rsidRPr="00EC2FE9">
        <w:rPr>
          <w:rFonts w:ascii="Cambria" w:eastAsia="Times New Roman" w:hAnsi="Cambria" w:cs="Arial"/>
          <w:i/>
          <w:iCs/>
          <w:lang w:val="en-US" w:eastAsia="nl-BE"/>
        </w:rPr>
        <w:t>II</w:t>
      </w:r>
      <w:r w:rsidR="00484C2E" w:rsidRPr="00EC2FE9">
        <w:rPr>
          <w:rFonts w:ascii="Cambria" w:eastAsia="Times New Roman" w:hAnsi="Cambria" w:cs="Arial"/>
          <w:lang w:val="en-US" w:eastAsia="nl-BE"/>
        </w:rPr>
        <w:t>ter</w:t>
      </w:r>
      <w:proofErr w:type="spellEnd"/>
      <w:r w:rsidR="00484C2E" w:rsidRPr="00EC2FE9">
        <w:rPr>
          <w:rFonts w:ascii="Cambria" w:eastAsia="Times New Roman" w:hAnsi="Cambria" w:cs="Arial"/>
          <w:i/>
          <w:iCs/>
          <w:lang w:val="en-US" w:eastAsia="nl-BE"/>
        </w:rPr>
        <w:t xml:space="preserve"> Regulation</w:t>
      </w:r>
      <w:r w:rsidR="00EC2FE9" w:rsidRPr="00EC2FE9">
        <w:rPr>
          <w:rFonts w:ascii="Cambria" w:eastAsia="Times New Roman" w:hAnsi="Cambria" w:cs="Arial"/>
          <w:lang w:val="en-US" w:eastAsia="nl-BE"/>
        </w:rPr>
        <w:t xml:space="preserve"> (</w:t>
      </w:r>
      <w:r w:rsidR="00484C2E" w:rsidRPr="00EC2FE9">
        <w:rPr>
          <w:rFonts w:ascii="Cambria" w:eastAsia="Times New Roman" w:hAnsi="Cambria" w:cs="Arial"/>
          <w:lang w:val="en-US" w:eastAsia="nl-BE"/>
        </w:rPr>
        <w:t>Otto Schmidt</w:t>
      </w:r>
      <w:r w:rsidR="00EC2FE9" w:rsidRPr="00EC2FE9">
        <w:rPr>
          <w:rFonts w:ascii="Cambria" w:eastAsia="Times New Roman" w:hAnsi="Cambria" w:cs="Arial"/>
          <w:lang w:val="en-US" w:eastAsia="nl-BE"/>
        </w:rPr>
        <w:t xml:space="preserve"> </w:t>
      </w:r>
      <w:r w:rsidR="00484C2E" w:rsidRPr="00EC2FE9">
        <w:rPr>
          <w:rFonts w:ascii="Cambria" w:eastAsia="Times New Roman" w:hAnsi="Cambria" w:cs="Arial"/>
          <w:lang w:val="en-US" w:eastAsia="nl-BE"/>
        </w:rPr>
        <w:t>2023</w:t>
      </w:r>
      <w:r w:rsidR="00EC2FE9" w:rsidRPr="00EC2FE9">
        <w:rPr>
          <w:rFonts w:ascii="Cambria" w:eastAsia="Times New Roman" w:hAnsi="Cambria" w:cs="Arial"/>
          <w:lang w:val="en-US" w:eastAsia="nl-BE"/>
        </w:rPr>
        <w:t>)</w:t>
      </w:r>
    </w:p>
  </w:footnote>
  <w:footnote w:id="6">
    <w:p w14:paraId="0904F93C" w14:textId="2E875113" w:rsidR="004F3E76" w:rsidRPr="00CD2005" w:rsidRDefault="004F3E76" w:rsidP="00CD2005">
      <w:pPr>
        <w:pStyle w:val="Notedebasdepage"/>
        <w:jc w:val="both"/>
        <w:rPr>
          <w:rFonts w:ascii="Cambria" w:hAnsi="Cambria"/>
          <w:lang w:val="en-US"/>
        </w:rPr>
      </w:pPr>
      <w:r w:rsidRPr="00CD2005">
        <w:rPr>
          <w:rStyle w:val="Appelnotedebasdep"/>
          <w:rFonts w:ascii="Cambria" w:hAnsi="Cambria"/>
        </w:rPr>
        <w:footnoteRef/>
      </w:r>
      <w:r w:rsidRPr="00CD2005">
        <w:rPr>
          <w:rFonts w:ascii="Cambria" w:hAnsi="Cambria"/>
          <w:lang w:val="en-US"/>
        </w:rPr>
        <w:t xml:space="preserve"> </w:t>
      </w:r>
      <w:r w:rsidR="00F86484" w:rsidRPr="00CD2005">
        <w:rPr>
          <w:rFonts w:ascii="Cambria" w:hAnsi="Cambria"/>
          <w:lang w:val="en-US"/>
        </w:rPr>
        <w:t xml:space="preserve">Convention </w:t>
      </w:r>
      <w:r w:rsidR="005B5EEC" w:rsidRPr="00CD2005">
        <w:rPr>
          <w:rFonts w:ascii="Cambria" w:hAnsi="Cambria"/>
          <w:lang w:val="en-US"/>
        </w:rPr>
        <w:t xml:space="preserve">of 25 October 1980 </w:t>
      </w:r>
      <w:r w:rsidR="00F86484" w:rsidRPr="00CD2005">
        <w:rPr>
          <w:rFonts w:ascii="Cambria" w:hAnsi="Cambria"/>
          <w:lang w:val="en-US"/>
        </w:rPr>
        <w:t>on the civil aspects of international child abduction</w:t>
      </w:r>
      <w:r w:rsidR="005B5EEC" w:rsidRPr="00CD2005">
        <w:rPr>
          <w:rFonts w:ascii="Cambria" w:hAnsi="Cambria"/>
          <w:lang w:val="en-US"/>
        </w:rPr>
        <w:t xml:space="preserve"> (HCCH 1980 Child Abduction Convention)</w:t>
      </w:r>
    </w:p>
  </w:footnote>
  <w:footnote w:id="7">
    <w:p w14:paraId="152549B7" w14:textId="6B8E479B" w:rsidR="004F3E76" w:rsidRPr="005B5EEC" w:rsidRDefault="004F3E76" w:rsidP="00CD2005">
      <w:pPr>
        <w:pStyle w:val="Notedebasdepage"/>
        <w:jc w:val="both"/>
        <w:rPr>
          <w:lang w:val="en-US"/>
        </w:rPr>
      </w:pPr>
      <w:r w:rsidRPr="00CD2005">
        <w:rPr>
          <w:rStyle w:val="Appelnotedebasdep"/>
          <w:rFonts w:ascii="Cambria" w:hAnsi="Cambria"/>
        </w:rPr>
        <w:footnoteRef/>
      </w:r>
      <w:r w:rsidR="005B5EEC" w:rsidRPr="00CD2005">
        <w:rPr>
          <w:rFonts w:ascii="Cambria" w:hAnsi="Cambria"/>
          <w:lang w:val="en-US"/>
        </w:rPr>
        <w:t xml:space="preserve"> Convention of 19 October 1996 on Jurisdiction, Applicable Law, Recognition, Enforcement and Co-operation in respect of Parental Responsibility and Measures for the Protection of Children (HCCH 1996 Child Protection Convention)</w:t>
      </w:r>
    </w:p>
  </w:footnote>
  <w:footnote w:id="8">
    <w:p w14:paraId="633F0778" w14:textId="37332ECA" w:rsidR="00E10E75" w:rsidRPr="00A329C3" w:rsidRDefault="00E10E75" w:rsidP="00A329C3">
      <w:pPr>
        <w:pStyle w:val="Notedebasdepage"/>
        <w:jc w:val="both"/>
        <w:rPr>
          <w:rFonts w:ascii="Cambria" w:hAnsi="Cambria"/>
          <w:lang w:val="en-US"/>
        </w:rPr>
      </w:pPr>
      <w:r w:rsidRPr="00A329C3">
        <w:rPr>
          <w:rStyle w:val="Appelnotedebasdep"/>
          <w:rFonts w:ascii="Cambria" w:hAnsi="Cambria"/>
        </w:rPr>
        <w:footnoteRef/>
      </w:r>
      <w:r w:rsidRPr="00A329C3">
        <w:rPr>
          <w:rFonts w:ascii="Cambria" w:hAnsi="Cambria"/>
          <w:lang w:val="en-US"/>
        </w:rPr>
        <w:t xml:space="preserve"> This question also arises in </w:t>
      </w:r>
      <w:proofErr w:type="spellStart"/>
      <w:r w:rsidRPr="00A329C3">
        <w:rPr>
          <w:rFonts w:ascii="Cambria" w:hAnsi="Cambria"/>
          <w:i/>
          <w:iCs/>
          <w:lang w:val="en-US"/>
        </w:rPr>
        <w:t>lis</w:t>
      </w:r>
      <w:proofErr w:type="spellEnd"/>
      <w:r w:rsidRPr="00A329C3">
        <w:rPr>
          <w:rFonts w:ascii="Cambria" w:hAnsi="Cambria"/>
          <w:i/>
          <w:iCs/>
          <w:lang w:val="en-US"/>
        </w:rPr>
        <w:t xml:space="preserve"> pendens</w:t>
      </w:r>
      <w:r w:rsidR="00841148">
        <w:rPr>
          <w:rFonts w:ascii="Cambria" w:hAnsi="Cambria"/>
          <w:i/>
          <w:iCs/>
          <w:lang w:val="en-US"/>
        </w:rPr>
        <w:t xml:space="preserve"> </w:t>
      </w:r>
      <w:r w:rsidRPr="00A329C3">
        <w:rPr>
          <w:rFonts w:ascii="Cambria" w:hAnsi="Cambria"/>
          <w:lang w:val="en-US"/>
        </w:rPr>
        <w:t xml:space="preserve">where it is crucial to establish the court first </w:t>
      </w:r>
      <w:proofErr w:type="spellStart"/>
      <w:r w:rsidRPr="00A329C3">
        <w:rPr>
          <w:rFonts w:ascii="Cambria" w:hAnsi="Cambria"/>
          <w:lang w:val="en-US"/>
        </w:rPr>
        <w:t>seised</w:t>
      </w:r>
      <w:proofErr w:type="spellEnd"/>
      <w:r w:rsidR="00F946F9" w:rsidRPr="00F946F9">
        <w:rPr>
          <w:rFonts w:ascii="Cambria" w:hAnsi="Cambria"/>
          <w:lang w:val="en-US"/>
        </w:rPr>
        <w:t xml:space="preserve"> </w:t>
      </w:r>
      <w:r w:rsidR="00F946F9">
        <w:rPr>
          <w:rFonts w:ascii="Cambria" w:hAnsi="Cambria"/>
          <w:lang w:val="en-US"/>
        </w:rPr>
        <w:t>(article 20 of the Recast).</w:t>
      </w:r>
    </w:p>
  </w:footnote>
  <w:footnote w:id="9">
    <w:p w14:paraId="1A8D98F6" w14:textId="239F7150" w:rsidR="00E10E75" w:rsidRPr="00A329C3" w:rsidRDefault="00E10E75" w:rsidP="00A329C3">
      <w:pPr>
        <w:pStyle w:val="Notedebasdepage"/>
        <w:jc w:val="both"/>
        <w:rPr>
          <w:rFonts w:ascii="Cambria" w:hAnsi="Cambria"/>
          <w:lang w:val="en-US"/>
        </w:rPr>
      </w:pPr>
      <w:r w:rsidRPr="00A329C3">
        <w:rPr>
          <w:rStyle w:val="Appelnotedebasdep"/>
          <w:rFonts w:ascii="Cambria" w:hAnsi="Cambria"/>
        </w:rPr>
        <w:footnoteRef/>
      </w:r>
      <w:r w:rsidRPr="00A329C3">
        <w:rPr>
          <w:rFonts w:ascii="Cambria" w:hAnsi="Cambria"/>
          <w:lang w:val="en-US"/>
        </w:rPr>
        <w:t xml:space="preserve"> The article envisages a third situation where the proceedings are instituted of the court’s own motion (article 17, (c)</w:t>
      </w:r>
      <w:r w:rsidR="00CE5D61">
        <w:rPr>
          <w:rFonts w:ascii="Cambria" w:hAnsi="Cambria"/>
          <w:lang w:val="en-US"/>
        </w:rPr>
        <w:t>, of the Recast</w:t>
      </w:r>
      <w:r w:rsidRPr="00A329C3">
        <w:rPr>
          <w:rFonts w:ascii="Cambria" w:hAnsi="Cambria"/>
          <w:lang w:val="en-US"/>
        </w:rPr>
        <w:t>).</w:t>
      </w:r>
    </w:p>
  </w:footnote>
  <w:footnote w:id="10">
    <w:p w14:paraId="3F08BAAA" w14:textId="3088F71A" w:rsidR="00E10E75" w:rsidRPr="00E53CA9" w:rsidRDefault="00E10E75" w:rsidP="00A329C3">
      <w:pPr>
        <w:pStyle w:val="Notedebasdepage"/>
        <w:jc w:val="both"/>
        <w:rPr>
          <w:rFonts w:ascii="Cambria" w:hAnsi="Cambria"/>
          <w:lang w:val="en-US"/>
        </w:rPr>
      </w:pPr>
      <w:r w:rsidRPr="00A329C3">
        <w:rPr>
          <w:rStyle w:val="Appelnotedebasdep"/>
          <w:rFonts w:ascii="Cambria" w:hAnsi="Cambria"/>
        </w:rPr>
        <w:footnoteRef/>
      </w:r>
      <w:r w:rsidRPr="00A329C3">
        <w:rPr>
          <w:rFonts w:ascii="Cambria" w:hAnsi="Cambria"/>
          <w:lang w:val="en-US"/>
        </w:rPr>
        <w:t xml:space="preserve"> The actual fulfilment of the second condition is only taken into account for the purpose of validating the seizure, but not for determining the da</w:t>
      </w:r>
      <w:r w:rsidRPr="00C2061B">
        <w:rPr>
          <w:rFonts w:ascii="Cambria" w:hAnsi="Cambria"/>
          <w:lang w:val="en-US"/>
        </w:rPr>
        <w:t xml:space="preserve">te of it. </w:t>
      </w:r>
      <w:r w:rsidR="00531D41" w:rsidRPr="00C2061B">
        <w:rPr>
          <w:rFonts w:ascii="Cambria" w:hAnsi="Cambria"/>
          <w:lang w:val="en-US"/>
        </w:rPr>
        <w:t>See Case C-173/16</w:t>
      </w:r>
      <w:r w:rsidRPr="00C2061B">
        <w:rPr>
          <w:rFonts w:ascii="Cambria" w:hAnsi="Cambria"/>
          <w:lang w:val="en-US"/>
        </w:rPr>
        <w:t xml:space="preserve"> </w:t>
      </w:r>
      <w:r w:rsidRPr="00C2061B">
        <w:rPr>
          <w:rFonts w:ascii="Cambria" w:hAnsi="Cambria"/>
          <w:i/>
          <w:iCs/>
          <w:lang w:val="en-US"/>
        </w:rPr>
        <w:t>M.H.</w:t>
      </w:r>
      <w:r w:rsidRPr="00C2061B">
        <w:rPr>
          <w:rFonts w:ascii="Cambria" w:hAnsi="Cambria"/>
          <w:lang w:val="en-US"/>
        </w:rPr>
        <w:t xml:space="preserve"> </w:t>
      </w:r>
      <w:r w:rsidR="00531D41" w:rsidRPr="00C2061B">
        <w:rPr>
          <w:rFonts w:ascii="Cambria" w:hAnsi="Cambria"/>
          <w:lang w:val="en-US"/>
        </w:rPr>
        <w:t xml:space="preserve">[2018] </w:t>
      </w:r>
      <w:r w:rsidR="00C2061B" w:rsidRPr="00C2061B">
        <w:rPr>
          <w:rFonts w:ascii="Cambria" w:hAnsi="Cambria"/>
          <w:lang w:val="en-US"/>
        </w:rPr>
        <w:t>ECLI:EU:C:2016:542</w:t>
      </w:r>
      <w:r w:rsidR="00C2061B">
        <w:rPr>
          <w:rFonts w:ascii="Cambria" w:hAnsi="Cambria"/>
          <w:lang w:val="en-US"/>
        </w:rPr>
        <w:t>, para 28</w:t>
      </w:r>
      <w:r w:rsidRPr="00C2061B">
        <w:rPr>
          <w:rFonts w:ascii="Cambria" w:hAnsi="Cambria"/>
          <w:lang w:val="en-US"/>
        </w:rPr>
        <w:t>.</w:t>
      </w:r>
    </w:p>
  </w:footnote>
  <w:footnote w:id="11">
    <w:p w14:paraId="77544B3A" w14:textId="22EFCF2F" w:rsidR="00215EBF" w:rsidRPr="000F776F" w:rsidRDefault="00215EBF" w:rsidP="000F776F">
      <w:pPr>
        <w:pStyle w:val="Notedebasdepage"/>
        <w:rPr>
          <w:rFonts w:ascii="Cambria" w:hAnsi="Cambria"/>
          <w:lang w:val="en-US"/>
        </w:rPr>
      </w:pPr>
      <w:r w:rsidRPr="000F776F">
        <w:rPr>
          <w:rStyle w:val="Appelnotedebasdep"/>
          <w:rFonts w:ascii="Cambria" w:hAnsi="Cambria"/>
        </w:rPr>
        <w:footnoteRef/>
      </w:r>
      <w:r w:rsidRPr="000F776F">
        <w:rPr>
          <w:rFonts w:ascii="Cambria" w:hAnsi="Cambria"/>
          <w:lang w:val="en-US"/>
        </w:rPr>
        <w:t xml:space="preserve"> Case C-638/22</w:t>
      </w:r>
      <w:r w:rsidR="000F776F" w:rsidRPr="000F776F">
        <w:rPr>
          <w:rFonts w:ascii="Cambria" w:hAnsi="Cambria"/>
          <w:lang w:val="en-US"/>
        </w:rPr>
        <w:t xml:space="preserve"> </w:t>
      </w:r>
      <w:r w:rsidR="000F776F" w:rsidRPr="000F776F">
        <w:rPr>
          <w:rFonts w:ascii="Cambria" w:hAnsi="Cambria"/>
          <w:i/>
          <w:iCs/>
          <w:lang w:val="en-US"/>
        </w:rPr>
        <w:t>T.C.,</w:t>
      </w:r>
      <w:r w:rsidR="000F776F" w:rsidRPr="000F776F">
        <w:rPr>
          <w:rFonts w:ascii="Cambria" w:hAnsi="Cambria"/>
          <w:lang w:val="en-US"/>
        </w:rPr>
        <w:t xml:space="preserve"> </w:t>
      </w:r>
      <w:proofErr w:type="spellStart"/>
      <w:r w:rsidR="000F776F" w:rsidRPr="000F776F">
        <w:rPr>
          <w:rFonts w:ascii="Cambria" w:hAnsi="Cambria"/>
          <w:i/>
          <w:iCs/>
          <w:lang w:val="en-US"/>
        </w:rPr>
        <w:t>Rzecznik</w:t>
      </w:r>
      <w:proofErr w:type="spellEnd"/>
      <w:r w:rsidR="000F776F" w:rsidRPr="000F776F">
        <w:rPr>
          <w:rFonts w:ascii="Cambria" w:hAnsi="Cambria"/>
          <w:i/>
          <w:iCs/>
          <w:lang w:val="en-US"/>
        </w:rPr>
        <w:t xml:space="preserve"> </w:t>
      </w:r>
      <w:proofErr w:type="spellStart"/>
      <w:r w:rsidR="000F776F" w:rsidRPr="000F776F">
        <w:rPr>
          <w:rFonts w:ascii="Cambria" w:hAnsi="Cambria"/>
          <w:i/>
          <w:iCs/>
          <w:lang w:val="en-US"/>
        </w:rPr>
        <w:t>Praw</w:t>
      </w:r>
      <w:proofErr w:type="spellEnd"/>
      <w:r w:rsidR="000F776F" w:rsidRPr="000F776F">
        <w:rPr>
          <w:rFonts w:ascii="Cambria" w:hAnsi="Cambria"/>
          <w:i/>
          <w:iCs/>
          <w:lang w:val="en-US"/>
        </w:rPr>
        <w:t xml:space="preserve"> </w:t>
      </w:r>
      <w:proofErr w:type="spellStart"/>
      <w:r w:rsidR="000F776F" w:rsidRPr="000F776F">
        <w:rPr>
          <w:rFonts w:ascii="Cambria" w:hAnsi="Cambria"/>
          <w:i/>
          <w:iCs/>
          <w:lang w:val="en-US"/>
        </w:rPr>
        <w:t>Dziecka</w:t>
      </w:r>
      <w:proofErr w:type="spellEnd"/>
      <w:r w:rsidR="000F776F" w:rsidRPr="000F776F">
        <w:rPr>
          <w:rFonts w:ascii="Cambria" w:hAnsi="Cambria"/>
          <w:i/>
          <w:iCs/>
          <w:lang w:val="en-US"/>
        </w:rPr>
        <w:t xml:space="preserve"> and </w:t>
      </w:r>
      <w:proofErr w:type="spellStart"/>
      <w:r w:rsidR="000F776F" w:rsidRPr="000F776F">
        <w:rPr>
          <w:rFonts w:ascii="Cambria" w:hAnsi="Cambria"/>
          <w:i/>
          <w:iCs/>
          <w:lang w:val="en-US"/>
        </w:rPr>
        <w:t>Prokurator</w:t>
      </w:r>
      <w:proofErr w:type="spellEnd"/>
      <w:r w:rsidR="000F776F" w:rsidRPr="000F776F">
        <w:rPr>
          <w:rFonts w:ascii="Cambria" w:hAnsi="Cambria"/>
          <w:i/>
          <w:iCs/>
          <w:lang w:val="en-US"/>
        </w:rPr>
        <w:t xml:space="preserve"> </w:t>
      </w:r>
      <w:proofErr w:type="spellStart"/>
      <w:r w:rsidR="000F776F" w:rsidRPr="000F776F">
        <w:rPr>
          <w:rFonts w:ascii="Cambria" w:hAnsi="Cambria"/>
          <w:i/>
          <w:iCs/>
          <w:lang w:val="en-US"/>
        </w:rPr>
        <w:t>Generalny</w:t>
      </w:r>
      <w:proofErr w:type="spellEnd"/>
      <w:r w:rsidRPr="000F776F">
        <w:rPr>
          <w:rFonts w:ascii="Cambria" w:hAnsi="Cambria"/>
          <w:i/>
          <w:iCs/>
          <w:lang w:val="en-US"/>
        </w:rPr>
        <w:t xml:space="preserve"> </w:t>
      </w:r>
      <w:r w:rsidRPr="000F776F">
        <w:rPr>
          <w:rFonts w:ascii="Cambria" w:hAnsi="Cambria"/>
          <w:lang w:val="en-US"/>
        </w:rPr>
        <w:t>[2023] ECLI:EU:C:2023:103</w:t>
      </w:r>
      <w:r w:rsidR="000F776F" w:rsidRPr="000F776F">
        <w:rPr>
          <w:rFonts w:ascii="Cambria" w:hAnsi="Cambria"/>
          <w:lang w:val="en-US"/>
        </w:rPr>
        <w:t>, paras 55 and 56</w:t>
      </w:r>
    </w:p>
  </w:footnote>
  <w:footnote w:id="12">
    <w:p w14:paraId="0A10ABD2" w14:textId="200A42B6" w:rsidR="00E10E75" w:rsidRPr="002E5322" w:rsidRDefault="00E10E75" w:rsidP="00A329C3">
      <w:pPr>
        <w:pStyle w:val="Notedebasdepage"/>
        <w:jc w:val="both"/>
        <w:rPr>
          <w:rFonts w:ascii="Cambria" w:hAnsi="Cambria"/>
          <w:lang w:val="en-US"/>
        </w:rPr>
      </w:pPr>
      <w:r w:rsidRPr="000F776F">
        <w:rPr>
          <w:rStyle w:val="Appelnotedebasdep"/>
          <w:rFonts w:ascii="Cambria" w:hAnsi="Cambria"/>
        </w:rPr>
        <w:footnoteRef/>
      </w:r>
      <w:r w:rsidRPr="000F776F">
        <w:rPr>
          <w:rFonts w:ascii="Cambria" w:hAnsi="Cambria"/>
          <w:lang w:val="en-US"/>
        </w:rPr>
        <w:t xml:space="preserve"> Article 100 </w:t>
      </w:r>
      <w:r w:rsidR="00CE5D61" w:rsidRPr="000F776F">
        <w:rPr>
          <w:rFonts w:ascii="Cambria" w:hAnsi="Cambria"/>
          <w:lang w:val="en-US"/>
        </w:rPr>
        <w:t>of the Recast</w:t>
      </w:r>
      <w:r w:rsidRPr="002E5322">
        <w:rPr>
          <w:rFonts w:ascii="Cambria" w:hAnsi="Cambria"/>
          <w:lang w:val="en-US"/>
        </w:rPr>
        <w:t xml:space="preserve">. </w:t>
      </w:r>
    </w:p>
  </w:footnote>
  <w:footnote w:id="13">
    <w:p w14:paraId="1DAE1797" w14:textId="270BF3F7" w:rsidR="00E10E75" w:rsidRPr="002E5322" w:rsidRDefault="00E10E75" w:rsidP="00A329C3">
      <w:pPr>
        <w:pStyle w:val="Notedebasdepage"/>
        <w:jc w:val="both"/>
        <w:rPr>
          <w:rFonts w:ascii="Cambria" w:hAnsi="Cambria"/>
          <w:lang w:val="en-US"/>
        </w:rPr>
      </w:pPr>
      <w:r w:rsidRPr="00CE5D61">
        <w:rPr>
          <w:rStyle w:val="Appelnotedebasdep"/>
          <w:rFonts w:ascii="Cambria" w:hAnsi="Cambria"/>
        </w:rPr>
        <w:footnoteRef/>
      </w:r>
      <w:r w:rsidRPr="00CE5D61">
        <w:rPr>
          <w:rFonts w:ascii="Cambria" w:hAnsi="Cambria"/>
          <w:lang w:val="en-US"/>
        </w:rPr>
        <w:t xml:space="preserve"> </w:t>
      </w:r>
      <w:r w:rsidR="00043CBE" w:rsidRPr="00CE5D61">
        <w:rPr>
          <w:rFonts w:ascii="Cambria" w:hAnsi="Cambria"/>
          <w:lang w:val="en-US"/>
        </w:rPr>
        <w:t>Article 1</w:t>
      </w:r>
      <w:r w:rsidR="00CE5D61" w:rsidRPr="00CE5D61">
        <w:rPr>
          <w:rFonts w:ascii="Cambria" w:hAnsi="Cambria"/>
          <w:lang w:val="en-US"/>
        </w:rPr>
        <w:t>.</w:t>
      </w:r>
      <w:r w:rsidR="00043CBE" w:rsidRPr="00CE5D61">
        <w:rPr>
          <w:rFonts w:ascii="Cambria" w:hAnsi="Cambria"/>
          <w:lang w:val="en-US"/>
        </w:rPr>
        <w:t>4,</w:t>
      </w:r>
      <w:r w:rsidR="00CE5D61" w:rsidRPr="00CE5D61">
        <w:rPr>
          <w:rFonts w:ascii="Cambria" w:hAnsi="Cambria"/>
          <w:lang w:val="en-US"/>
        </w:rPr>
        <w:t xml:space="preserve"> </w:t>
      </w:r>
      <w:r w:rsidR="00043CBE" w:rsidRPr="00CE5D61">
        <w:rPr>
          <w:rFonts w:ascii="Cambria" w:hAnsi="Cambria"/>
          <w:lang w:val="en-US"/>
        </w:rPr>
        <w:t>(e)</w:t>
      </w:r>
      <w:r w:rsidR="00CE5D61">
        <w:rPr>
          <w:rFonts w:ascii="Cambria" w:hAnsi="Cambria"/>
          <w:lang w:val="en-US"/>
        </w:rPr>
        <w:t>,</w:t>
      </w:r>
      <w:r w:rsidR="00043CBE" w:rsidRPr="00CE5D61">
        <w:rPr>
          <w:rFonts w:ascii="Cambria" w:hAnsi="Cambria"/>
          <w:lang w:val="en-US"/>
        </w:rPr>
        <w:t xml:space="preserve"> </w:t>
      </w:r>
      <w:r w:rsidR="00CE5D61" w:rsidRPr="00CE5D61">
        <w:rPr>
          <w:rFonts w:ascii="Cambria" w:hAnsi="Cambria"/>
          <w:lang w:val="en-US"/>
        </w:rPr>
        <w:t>of the</w:t>
      </w:r>
      <w:r w:rsidR="00043CBE" w:rsidRPr="00CE5D61">
        <w:rPr>
          <w:rFonts w:ascii="Cambria" w:hAnsi="Cambria"/>
          <w:lang w:val="en-US"/>
        </w:rPr>
        <w:t xml:space="preserve"> Recast.</w:t>
      </w:r>
      <w:r w:rsidR="002E5322">
        <w:rPr>
          <w:rFonts w:ascii="Cambria" w:hAnsi="Cambria"/>
          <w:lang w:val="en-US"/>
        </w:rPr>
        <w:t xml:space="preserve"> </w:t>
      </w:r>
      <w:r w:rsidR="002E5322" w:rsidRPr="002E5322">
        <w:rPr>
          <w:rFonts w:ascii="Cambria" w:hAnsi="Cambria"/>
          <w:lang w:val="en-US"/>
        </w:rPr>
        <w:t>Council Regulation (EC) 4/2009 of 18 December 2008 on jurisdiction, applicable law, recognition and enforcement of decisions and cooperation in matters relating to maintenance obligations</w:t>
      </w:r>
      <w:r w:rsidR="002E5322">
        <w:rPr>
          <w:rFonts w:ascii="Cambria" w:hAnsi="Cambria"/>
          <w:lang w:val="en-US"/>
        </w:rPr>
        <w:t xml:space="preserve"> </w:t>
      </w:r>
      <w:r w:rsidR="002E5322" w:rsidRPr="00010B82">
        <w:rPr>
          <w:rFonts w:ascii="Cambria" w:hAnsi="Cambria"/>
          <w:lang w:val="en-US"/>
        </w:rPr>
        <w:t>[20</w:t>
      </w:r>
      <w:r w:rsidR="002E5322">
        <w:rPr>
          <w:rFonts w:ascii="Cambria" w:hAnsi="Cambria"/>
          <w:lang w:val="en-US"/>
        </w:rPr>
        <w:t>09</w:t>
      </w:r>
      <w:r w:rsidR="002E5322" w:rsidRPr="00010B82">
        <w:rPr>
          <w:rFonts w:ascii="Cambria" w:hAnsi="Cambria"/>
          <w:lang w:val="en-US"/>
        </w:rPr>
        <w:t>], OJ L</w:t>
      </w:r>
      <w:r w:rsidR="002E5322">
        <w:rPr>
          <w:rFonts w:ascii="Cambria" w:hAnsi="Cambria"/>
          <w:lang w:val="en-US"/>
        </w:rPr>
        <w:t>7</w:t>
      </w:r>
      <w:r w:rsidR="002E5322" w:rsidRPr="00010B82">
        <w:rPr>
          <w:rFonts w:ascii="Cambria" w:hAnsi="Cambria"/>
          <w:lang w:val="en-US"/>
        </w:rPr>
        <w:t>/</w:t>
      </w:r>
      <w:r w:rsidR="002E5322">
        <w:rPr>
          <w:rFonts w:ascii="Cambria" w:hAnsi="Cambria"/>
          <w:lang w:val="en-US"/>
        </w:rPr>
        <w:t>1</w:t>
      </w:r>
    </w:p>
  </w:footnote>
  <w:footnote w:id="14">
    <w:p w14:paraId="64CD95FB" w14:textId="39F15005" w:rsidR="00E10E75" w:rsidRPr="006F478F" w:rsidRDefault="00E10E75" w:rsidP="00A329C3">
      <w:pPr>
        <w:pStyle w:val="Notedebasdepage"/>
        <w:jc w:val="both"/>
        <w:rPr>
          <w:rFonts w:ascii="Cambria" w:hAnsi="Cambria"/>
          <w:lang w:val="en-US"/>
        </w:rPr>
      </w:pPr>
      <w:r w:rsidRPr="00A329C3">
        <w:rPr>
          <w:rStyle w:val="Appelnotedebasdep"/>
          <w:rFonts w:ascii="Cambria" w:hAnsi="Cambria"/>
        </w:rPr>
        <w:footnoteRef/>
      </w:r>
      <w:r w:rsidRPr="00C22A5B">
        <w:rPr>
          <w:rFonts w:ascii="Cambria" w:hAnsi="Cambria"/>
          <w:lang w:val="en-US"/>
        </w:rPr>
        <w:t xml:space="preserve"> </w:t>
      </w:r>
      <w:r w:rsidR="00C22A5B" w:rsidRPr="00C22A5B">
        <w:rPr>
          <w:rFonts w:ascii="Cambria" w:hAnsi="Cambria"/>
          <w:lang w:val="en-US"/>
        </w:rPr>
        <w:t>Council Regulation (EU) 2016/1103 of 24 June 2016 implementing enhanced cooperation in the area of jurisdiction, applicable law and the recognition and enforcement of decisions in matters of matrimonial property regimes</w:t>
      </w:r>
      <w:r w:rsidR="00C22A5B">
        <w:rPr>
          <w:rFonts w:ascii="Cambria" w:hAnsi="Cambria"/>
          <w:lang w:val="en-US"/>
        </w:rPr>
        <w:t xml:space="preserve"> </w:t>
      </w:r>
      <w:r w:rsidR="00C22A5B" w:rsidRPr="00010B82">
        <w:rPr>
          <w:rFonts w:ascii="Cambria" w:hAnsi="Cambria"/>
          <w:lang w:val="en-US"/>
        </w:rPr>
        <w:t>[20</w:t>
      </w:r>
      <w:r w:rsidR="00C22A5B">
        <w:rPr>
          <w:rFonts w:ascii="Cambria" w:hAnsi="Cambria"/>
          <w:lang w:val="en-US"/>
        </w:rPr>
        <w:t>16</w:t>
      </w:r>
      <w:r w:rsidR="00C22A5B" w:rsidRPr="00010B82">
        <w:rPr>
          <w:rFonts w:ascii="Cambria" w:hAnsi="Cambria"/>
          <w:lang w:val="en-US"/>
        </w:rPr>
        <w:t>], OJ L</w:t>
      </w:r>
      <w:r w:rsidR="00C22A5B">
        <w:rPr>
          <w:rFonts w:ascii="Cambria" w:hAnsi="Cambria"/>
          <w:lang w:val="en-US"/>
        </w:rPr>
        <w:t>183</w:t>
      </w:r>
      <w:r w:rsidR="00C22A5B" w:rsidRPr="00010B82">
        <w:rPr>
          <w:rFonts w:ascii="Cambria" w:hAnsi="Cambria"/>
          <w:lang w:val="en-US"/>
        </w:rPr>
        <w:t>/1</w:t>
      </w:r>
      <w:r w:rsidR="006F478F">
        <w:rPr>
          <w:rFonts w:ascii="Cambria" w:hAnsi="Cambria"/>
          <w:lang w:val="en-US"/>
        </w:rPr>
        <w:t>;</w:t>
      </w:r>
      <w:r w:rsidRPr="006F478F">
        <w:rPr>
          <w:rFonts w:ascii="Cambria" w:hAnsi="Cambria"/>
          <w:lang w:val="en-US"/>
        </w:rPr>
        <w:t xml:space="preserve"> </w:t>
      </w:r>
      <w:r w:rsidR="006F478F" w:rsidRPr="00C22A5B">
        <w:rPr>
          <w:rFonts w:ascii="Cambria" w:hAnsi="Cambria"/>
          <w:lang w:val="en-US"/>
        </w:rPr>
        <w:t>Council Regulation (EU) 2016/110</w:t>
      </w:r>
      <w:r w:rsidR="006F478F">
        <w:rPr>
          <w:rFonts w:ascii="Cambria" w:hAnsi="Cambria"/>
          <w:lang w:val="en-US"/>
        </w:rPr>
        <w:t>4</w:t>
      </w:r>
      <w:r w:rsidR="006F478F" w:rsidRPr="00C22A5B">
        <w:rPr>
          <w:rFonts w:ascii="Cambria" w:hAnsi="Cambria"/>
          <w:lang w:val="en-US"/>
        </w:rPr>
        <w:t xml:space="preserve"> </w:t>
      </w:r>
      <w:r w:rsidR="006F478F" w:rsidRPr="006F478F">
        <w:rPr>
          <w:rFonts w:ascii="Cambria" w:hAnsi="Cambria"/>
          <w:lang w:val="en-US"/>
        </w:rPr>
        <w:t xml:space="preserve">of 24 June 2016 implementing enhanced cooperation in the area of jurisdiction, applicable law and the recognition and enforcement of decisions in matters of the property consequences of registered partnerships </w:t>
      </w:r>
      <w:r w:rsidR="006F478F" w:rsidRPr="00010B82">
        <w:rPr>
          <w:rFonts w:ascii="Cambria" w:hAnsi="Cambria"/>
          <w:lang w:val="en-US"/>
        </w:rPr>
        <w:t>[20</w:t>
      </w:r>
      <w:r w:rsidR="006F478F">
        <w:rPr>
          <w:rFonts w:ascii="Cambria" w:hAnsi="Cambria"/>
          <w:lang w:val="en-US"/>
        </w:rPr>
        <w:t>16</w:t>
      </w:r>
      <w:r w:rsidR="006F478F" w:rsidRPr="00010B82">
        <w:rPr>
          <w:rFonts w:ascii="Cambria" w:hAnsi="Cambria"/>
          <w:lang w:val="en-US"/>
        </w:rPr>
        <w:t>], OJ L</w:t>
      </w:r>
      <w:r w:rsidR="006F478F">
        <w:rPr>
          <w:rFonts w:ascii="Cambria" w:hAnsi="Cambria"/>
          <w:lang w:val="en-US"/>
        </w:rPr>
        <w:t>183</w:t>
      </w:r>
      <w:r w:rsidR="006F478F" w:rsidRPr="00010B82">
        <w:rPr>
          <w:rFonts w:ascii="Cambria" w:hAnsi="Cambria"/>
          <w:lang w:val="en-US"/>
        </w:rPr>
        <w:t>/</w:t>
      </w:r>
      <w:r w:rsidR="006F478F">
        <w:rPr>
          <w:rFonts w:ascii="Cambria" w:hAnsi="Cambria"/>
          <w:lang w:val="en-US"/>
        </w:rPr>
        <w:t>30</w:t>
      </w:r>
    </w:p>
  </w:footnote>
  <w:footnote w:id="15">
    <w:p w14:paraId="732ABE52" w14:textId="41B8A6E8" w:rsidR="00E10E75" w:rsidRPr="00910397" w:rsidRDefault="00E10E75" w:rsidP="00A329C3">
      <w:pPr>
        <w:pStyle w:val="Notedebasdepage"/>
        <w:jc w:val="both"/>
        <w:rPr>
          <w:rFonts w:ascii="Cambria" w:hAnsi="Cambria"/>
          <w:lang w:val="en-US"/>
        </w:rPr>
      </w:pPr>
      <w:r w:rsidRPr="00A329C3">
        <w:rPr>
          <w:rStyle w:val="Appelnotedebasdep"/>
          <w:rFonts w:ascii="Cambria" w:hAnsi="Cambria"/>
        </w:rPr>
        <w:footnoteRef/>
      </w:r>
      <w:r w:rsidRPr="00910397">
        <w:rPr>
          <w:rFonts w:ascii="Cambria" w:hAnsi="Cambria"/>
          <w:lang w:val="en-US"/>
        </w:rPr>
        <w:t xml:space="preserve"> </w:t>
      </w:r>
      <w:r w:rsidR="00910397">
        <w:rPr>
          <w:rFonts w:ascii="Cambria" w:hAnsi="Cambria"/>
          <w:lang w:val="en-US"/>
        </w:rPr>
        <w:t xml:space="preserve">Council </w:t>
      </w:r>
      <w:r w:rsidR="00910397" w:rsidRPr="00010B82">
        <w:rPr>
          <w:rFonts w:ascii="Cambria" w:hAnsi="Cambria"/>
          <w:lang w:val="en-US"/>
        </w:rPr>
        <w:t xml:space="preserve">Regulation (EU) </w:t>
      </w:r>
      <w:r w:rsidR="00910397" w:rsidRPr="00910397">
        <w:rPr>
          <w:rFonts w:ascii="Cambria" w:hAnsi="Cambria"/>
          <w:lang w:val="en-US"/>
        </w:rPr>
        <w:t xml:space="preserve">1259/2010 of 20 December 2010 implementing enhanced cooperation in the area of the law applicable to divorce and legal separation </w:t>
      </w:r>
      <w:r w:rsidR="00910397" w:rsidRPr="00010B82">
        <w:rPr>
          <w:rFonts w:ascii="Cambria" w:hAnsi="Cambria"/>
          <w:lang w:val="en-US"/>
        </w:rPr>
        <w:t>[201</w:t>
      </w:r>
      <w:r w:rsidR="00910397">
        <w:rPr>
          <w:rFonts w:ascii="Cambria" w:hAnsi="Cambria"/>
          <w:lang w:val="en-US"/>
        </w:rPr>
        <w:t>0</w:t>
      </w:r>
      <w:r w:rsidR="00910397" w:rsidRPr="00010B82">
        <w:rPr>
          <w:rFonts w:ascii="Cambria" w:hAnsi="Cambria"/>
          <w:lang w:val="en-US"/>
        </w:rPr>
        <w:t>], OJ L</w:t>
      </w:r>
      <w:r w:rsidR="00910397">
        <w:rPr>
          <w:rFonts w:ascii="Cambria" w:hAnsi="Cambria"/>
          <w:lang w:val="en-US"/>
        </w:rPr>
        <w:t>343</w:t>
      </w:r>
      <w:r w:rsidR="00910397" w:rsidRPr="00010B82">
        <w:rPr>
          <w:rFonts w:ascii="Cambria" w:hAnsi="Cambria"/>
          <w:lang w:val="en-US"/>
        </w:rPr>
        <w:t>/1</w:t>
      </w:r>
      <w:r w:rsidR="00910397">
        <w:rPr>
          <w:rFonts w:ascii="Cambria" w:hAnsi="Cambria"/>
          <w:lang w:val="en-US"/>
        </w:rPr>
        <w:t>0</w:t>
      </w:r>
    </w:p>
  </w:footnote>
  <w:footnote w:id="16">
    <w:p w14:paraId="610E45D2" w14:textId="4685D9AA" w:rsidR="00E10E75" w:rsidRPr="00421A7A" w:rsidRDefault="00E10E75" w:rsidP="00472493">
      <w:pPr>
        <w:pStyle w:val="Notedebasdepage"/>
        <w:jc w:val="both"/>
        <w:rPr>
          <w:rFonts w:ascii="Cambria" w:hAnsi="Cambria"/>
          <w:lang w:val="en-US"/>
        </w:rPr>
      </w:pPr>
      <w:r w:rsidRPr="00A329C3">
        <w:rPr>
          <w:rStyle w:val="Appelnotedebasdep"/>
          <w:rFonts w:ascii="Cambria" w:hAnsi="Cambria"/>
        </w:rPr>
        <w:footnoteRef/>
      </w:r>
      <w:r w:rsidRPr="00421A7A">
        <w:rPr>
          <w:rFonts w:ascii="Cambria" w:hAnsi="Cambria"/>
          <w:lang w:val="en-US"/>
        </w:rPr>
        <w:t xml:space="preserve"> Article 67 </w:t>
      </w:r>
      <w:r w:rsidR="00472493">
        <w:rPr>
          <w:rFonts w:ascii="Cambria" w:hAnsi="Cambria"/>
          <w:lang w:val="en-US"/>
        </w:rPr>
        <w:t>of the</w:t>
      </w:r>
      <w:r w:rsidRPr="00421A7A">
        <w:rPr>
          <w:rFonts w:ascii="Cambria" w:hAnsi="Cambria"/>
          <w:lang w:val="en-US"/>
        </w:rPr>
        <w:t xml:space="preserve"> </w:t>
      </w:r>
      <w:r w:rsidR="00421A7A" w:rsidRPr="00421A7A">
        <w:rPr>
          <w:rFonts w:ascii="Cambria" w:hAnsi="Cambria"/>
          <w:lang w:val="en-US"/>
        </w:rPr>
        <w:t xml:space="preserve">Agreement on the withdrawal of the United Kingdom of Great Britain and Northern Ireland from the European Union and the European Atomic Energy Community </w:t>
      </w:r>
      <w:r w:rsidR="00472493" w:rsidRPr="00010B82">
        <w:rPr>
          <w:rFonts w:ascii="Cambria" w:hAnsi="Cambria"/>
          <w:lang w:val="en-US"/>
        </w:rPr>
        <w:t>[201</w:t>
      </w:r>
      <w:r w:rsidR="00472493">
        <w:rPr>
          <w:rFonts w:ascii="Cambria" w:hAnsi="Cambria"/>
          <w:lang w:val="en-US"/>
        </w:rPr>
        <w:t>9</w:t>
      </w:r>
      <w:r w:rsidR="00472493" w:rsidRPr="00010B82">
        <w:rPr>
          <w:rFonts w:ascii="Cambria" w:hAnsi="Cambria"/>
          <w:lang w:val="en-US"/>
        </w:rPr>
        <w:t>]</w:t>
      </w:r>
      <w:r w:rsidR="00472493">
        <w:rPr>
          <w:rFonts w:ascii="Cambria" w:hAnsi="Cambria"/>
          <w:lang w:val="en-US"/>
        </w:rPr>
        <w:t xml:space="preserve">, </w:t>
      </w:r>
      <w:r w:rsidR="00C36550" w:rsidRPr="00421A7A">
        <w:rPr>
          <w:rFonts w:ascii="Cambria" w:hAnsi="Cambria"/>
          <w:lang w:val="en-US"/>
        </w:rPr>
        <w:t xml:space="preserve">OJ </w:t>
      </w:r>
      <w:r w:rsidR="00472493">
        <w:rPr>
          <w:rFonts w:ascii="Cambria" w:hAnsi="Cambria"/>
          <w:lang w:val="en-US"/>
        </w:rPr>
        <w:t>C</w:t>
      </w:r>
      <w:r w:rsidRPr="00421A7A">
        <w:rPr>
          <w:rFonts w:ascii="Cambria" w:hAnsi="Cambria"/>
          <w:lang w:val="en-US"/>
        </w:rPr>
        <w:t>384/1</w:t>
      </w:r>
    </w:p>
  </w:footnote>
  <w:footnote w:id="17">
    <w:p w14:paraId="1A06476E" w14:textId="4CB4819D" w:rsidR="00E10E75" w:rsidRPr="00D2781D" w:rsidRDefault="00E10E75" w:rsidP="00C36550">
      <w:pPr>
        <w:pStyle w:val="Notedebasdepage"/>
        <w:jc w:val="both"/>
        <w:rPr>
          <w:rFonts w:ascii="Cambria" w:hAnsi="Cambria"/>
          <w:highlight w:val="yellow"/>
          <w:lang w:val="en-US"/>
        </w:rPr>
      </w:pPr>
      <w:r w:rsidRPr="00A329C3">
        <w:rPr>
          <w:rStyle w:val="Appelnotedebasdep"/>
          <w:rFonts w:ascii="Cambria" w:hAnsi="Cambria"/>
        </w:rPr>
        <w:footnoteRef/>
      </w:r>
      <w:r w:rsidRPr="00A56142">
        <w:rPr>
          <w:rFonts w:ascii="Cambria" w:hAnsi="Cambria"/>
          <w:lang w:val="en-US"/>
        </w:rPr>
        <w:t xml:space="preserve"> </w:t>
      </w:r>
      <w:r w:rsidR="008C21FB" w:rsidRPr="00A56142">
        <w:rPr>
          <w:rFonts w:ascii="Cambria" w:hAnsi="Cambria"/>
          <w:lang w:val="en-US"/>
        </w:rPr>
        <w:t xml:space="preserve">For further information see </w:t>
      </w:r>
      <w:bookmarkStart w:id="0" w:name="_Hlk129935067"/>
      <w:r w:rsidRPr="00A56142">
        <w:rPr>
          <w:rFonts w:ascii="Cambria" w:hAnsi="Cambria"/>
          <w:lang w:val="en-US"/>
        </w:rPr>
        <w:t>S</w:t>
      </w:r>
      <w:r w:rsidR="00FB19BC" w:rsidRPr="00A56142">
        <w:rPr>
          <w:rFonts w:ascii="Cambria" w:hAnsi="Cambria"/>
          <w:lang w:val="en-US"/>
        </w:rPr>
        <w:t>ilvia</w:t>
      </w:r>
      <w:r w:rsidRPr="00A56142">
        <w:rPr>
          <w:rFonts w:ascii="Cambria" w:hAnsi="Cambria"/>
          <w:lang w:val="en-US"/>
        </w:rPr>
        <w:t xml:space="preserve"> Pfeiff, </w:t>
      </w:r>
      <w:r w:rsidR="00FB19BC" w:rsidRPr="00A56142">
        <w:rPr>
          <w:rFonts w:ascii="Cambria" w:hAnsi="Cambria"/>
          <w:lang w:val="en-US"/>
        </w:rPr>
        <w:t>‘</w:t>
      </w:r>
      <w:r w:rsidRPr="00A56142">
        <w:rPr>
          <w:rFonts w:ascii="Cambria" w:hAnsi="Cambria"/>
          <w:lang w:val="en-US"/>
        </w:rPr>
        <w:t>« The show must go on</w:t>
      </w:r>
      <w:r w:rsidR="00FB19BC" w:rsidRPr="00A56142">
        <w:rPr>
          <w:rFonts w:ascii="Cambria" w:hAnsi="Cambria"/>
          <w:lang w:val="en-US"/>
        </w:rPr>
        <w:t xml:space="preserve"> </w:t>
      </w:r>
      <w:r w:rsidRPr="00A56142">
        <w:rPr>
          <w:rFonts w:ascii="Cambria" w:hAnsi="Cambria"/>
          <w:lang w:val="en-US"/>
        </w:rPr>
        <w:t xml:space="preserve">»: </w:t>
      </w:r>
      <w:proofErr w:type="spellStart"/>
      <w:r w:rsidRPr="00A56142">
        <w:rPr>
          <w:rFonts w:ascii="Cambria" w:hAnsi="Cambria"/>
          <w:lang w:val="en-US"/>
        </w:rPr>
        <w:t>quelles</w:t>
      </w:r>
      <w:proofErr w:type="spellEnd"/>
      <w:r w:rsidRPr="00A56142">
        <w:rPr>
          <w:rFonts w:ascii="Cambria" w:hAnsi="Cambria"/>
          <w:lang w:val="en-US"/>
        </w:rPr>
        <w:t xml:space="preserve"> relations </w:t>
      </w:r>
      <w:proofErr w:type="spellStart"/>
      <w:r w:rsidRPr="00A56142">
        <w:rPr>
          <w:rFonts w:ascii="Cambria" w:hAnsi="Cambria"/>
          <w:lang w:val="en-US"/>
        </w:rPr>
        <w:t>familiales</w:t>
      </w:r>
      <w:proofErr w:type="spellEnd"/>
      <w:r w:rsidRPr="00A56142">
        <w:rPr>
          <w:rFonts w:ascii="Cambria" w:hAnsi="Cambria"/>
          <w:lang w:val="en-US"/>
        </w:rPr>
        <w:t xml:space="preserve"> </w:t>
      </w:r>
      <w:proofErr w:type="spellStart"/>
      <w:r w:rsidRPr="00A56142">
        <w:rPr>
          <w:rFonts w:ascii="Cambria" w:hAnsi="Cambria"/>
          <w:lang w:val="en-US"/>
        </w:rPr>
        <w:t>internationales</w:t>
      </w:r>
      <w:proofErr w:type="spellEnd"/>
      <w:r w:rsidRPr="00A56142">
        <w:rPr>
          <w:rFonts w:ascii="Cambria" w:hAnsi="Cambria"/>
          <w:lang w:val="en-US"/>
        </w:rPr>
        <w:t xml:space="preserve"> post-Brexit ?</w:t>
      </w:r>
      <w:r w:rsidR="00FB19BC" w:rsidRPr="00A56142">
        <w:rPr>
          <w:rFonts w:ascii="Cambria" w:hAnsi="Cambria"/>
          <w:lang w:val="en-US"/>
        </w:rPr>
        <w:t>’</w:t>
      </w:r>
      <w:r w:rsidR="00A56142" w:rsidRPr="00A56142">
        <w:rPr>
          <w:rFonts w:ascii="Cambria" w:hAnsi="Cambria"/>
          <w:lang w:val="en-US"/>
        </w:rPr>
        <w:t xml:space="preserve"> (2021) 2 </w:t>
      </w:r>
      <w:proofErr w:type="spellStart"/>
      <w:r w:rsidR="00A56142" w:rsidRPr="00A56142">
        <w:rPr>
          <w:rFonts w:ascii="Cambria" w:hAnsi="Cambria"/>
          <w:iCs/>
          <w:lang w:val="en-US"/>
        </w:rPr>
        <w:t>Actualités</w:t>
      </w:r>
      <w:proofErr w:type="spellEnd"/>
      <w:r w:rsidR="00A56142" w:rsidRPr="00A56142">
        <w:rPr>
          <w:rFonts w:ascii="Cambria" w:hAnsi="Cambria"/>
          <w:iCs/>
          <w:lang w:val="en-US"/>
        </w:rPr>
        <w:t xml:space="preserve"> du droit de la </w:t>
      </w:r>
      <w:proofErr w:type="spellStart"/>
      <w:r w:rsidR="00A56142" w:rsidRPr="00A56142">
        <w:rPr>
          <w:rFonts w:ascii="Cambria" w:hAnsi="Cambria"/>
          <w:iCs/>
          <w:lang w:val="en-US"/>
        </w:rPr>
        <w:t>famille</w:t>
      </w:r>
      <w:proofErr w:type="spellEnd"/>
      <w:r w:rsidRPr="00A56142">
        <w:rPr>
          <w:rFonts w:ascii="Cambria" w:hAnsi="Cambria"/>
          <w:lang w:val="en-US"/>
        </w:rPr>
        <w:t xml:space="preserve"> 52</w:t>
      </w:r>
      <w:bookmarkEnd w:id="0"/>
    </w:p>
  </w:footnote>
  <w:footnote w:id="18">
    <w:p w14:paraId="0DCF2D1E" w14:textId="1AA3F937" w:rsidR="00E10E75" w:rsidRPr="00C36550" w:rsidRDefault="00E10E75" w:rsidP="00C36550">
      <w:pPr>
        <w:pStyle w:val="Notedebasdepage"/>
        <w:jc w:val="both"/>
        <w:rPr>
          <w:rFonts w:ascii="Cambria" w:hAnsi="Cambria"/>
          <w:lang w:val="en-US"/>
        </w:rPr>
      </w:pPr>
      <w:r w:rsidRPr="00A329C3">
        <w:rPr>
          <w:rStyle w:val="Appelnotedebasdep"/>
          <w:rFonts w:ascii="Cambria" w:hAnsi="Cambria"/>
        </w:rPr>
        <w:footnoteRef/>
      </w:r>
      <w:r w:rsidRPr="00C36550">
        <w:rPr>
          <w:rFonts w:ascii="Cambria" w:hAnsi="Cambria"/>
          <w:lang w:val="en-US"/>
        </w:rPr>
        <w:t xml:space="preserve"> </w:t>
      </w:r>
      <w:r w:rsidR="00692C4F">
        <w:rPr>
          <w:rFonts w:ascii="Cambria" w:hAnsi="Cambria"/>
          <w:lang w:val="en-US"/>
        </w:rPr>
        <w:t>e</w:t>
      </w:r>
      <w:r w:rsidR="00A61A71">
        <w:rPr>
          <w:rFonts w:ascii="Cambria" w:hAnsi="Cambria"/>
          <w:lang w:val="en-US"/>
        </w:rPr>
        <w:t>.g.</w:t>
      </w:r>
      <w:r w:rsidR="00C36550" w:rsidRPr="00C36550">
        <w:rPr>
          <w:rFonts w:ascii="Cambria" w:hAnsi="Cambria"/>
          <w:lang w:val="en-US"/>
        </w:rPr>
        <w:t xml:space="preserve"> in divorce cases, the Regulation applies to non-EU defendants if they are habitually resident in a Member State.</w:t>
      </w:r>
    </w:p>
  </w:footnote>
  <w:footnote w:id="19">
    <w:p w14:paraId="05A29287" w14:textId="52E24777" w:rsidR="00C674BB" w:rsidRPr="00C674BB" w:rsidRDefault="00C674BB" w:rsidP="00C36550">
      <w:pPr>
        <w:pStyle w:val="Notedebasdepage"/>
        <w:jc w:val="both"/>
        <w:rPr>
          <w:lang w:val="en-US"/>
        </w:rPr>
      </w:pPr>
      <w:r>
        <w:rPr>
          <w:rStyle w:val="Appelnotedebasdep"/>
        </w:rPr>
        <w:footnoteRef/>
      </w:r>
      <w:r w:rsidRPr="00C674BB">
        <w:rPr>
          <w:lang w:val="en-US"/>
        </w:rPr>
        <w:t xml:space="preserve"> </w:t>
      </w:r>
      <w:r w:rsidRPr="00C674BB">
        <w:rPr>
          <w:rFonts w:ascii="Cambria" w:hAnsi="Cambria"/>
          <w:lang w:val="en-US"/>
        </w:rPr>
        <w:t>If the parents opt for this choice of</w:t>
      </w:r>
      <w:r w:rsidR="00AD02CF">
        <w:rPr>
          <w:rFonts w:ascii="Cambria" w:hAnsi="Cambria"/>
          <w:lang w:val="en-US"/>
        </w:rPr>
        <w:t xml:space="preserve"> the</w:t>
      </w:r>
      <w:r w:rsidRPr="00C674BB">
        <w:rPr>
          <w:rFonts w:ascii="Cambria" w:hAnsi="Cambria"/>
          <w:lang w:val="en-US"/>
        </w:rPr>
        <w:t xml:space="preserve"> judge, it is no longer possible for the case to be transferred to a court better placed to decide on the best interests of the child </w:t>
      </w:r>
      <w:proofErr w:type="gramStart"/>
      <w:r>
        <w:rPr>
          <w:rFonts w:ascii="Cambria" w:hAnsi="Cambria"/>
          <w:lang w:val="en-US"/>
        </w:rPr>
        <w:t xml:space="preserve">on </w:t>
      </w:r>
      <w:r w:rsidR="00AD02CF">
        <w:rPr>
          <w:rFonts w:ascii="Cambria" w:hAnsi="Cambria"/>
          <w:lang w:val="en-US"/>
        </w:rPr>
        <w:t xml:space="preserve">the </w:t>
      </w:r>
      <w:r>
        <w:rPr>
          <w:rFonts w:ascii="Cambria" w:hAnsi="Cambria"/>
          <w:lang w:val="en-US"/>
        </w:rPr>
        <w:t>basis of</w:t>
      </w:r>
      <w:proofErr w:type="gramEnd"/>
      <w:r>
        <w:rPr>
          <w:rFonts w:ascii="Cambria" w:hAnsi="Cambria"/>
          <w:lang w:val="en-US"/>
        </w:rPr>
        <w:t xml:space="preserve"> a</w:t>
      </w:r>
      <w:r w:rsidRPr="00C674BB">
        <w:rPr>
          <w:rFonts w:ascii="Cambria" w:hAnsi="Cambria"/>
          <w:lang w:val="en-US"/>
        </w:rPr>
        <w:t>rticle 12 of the Re</w:t>
      </w:r>
      <w:r>
        <w:rPr>
          <w:rFonts w:ascii="Cambria" w:hAnsi="Cambria"/>
          <w:lang w:val="en-US"/>
        </w:rPr>
        <w:t>cast</w:t>
      </w:r>
      <w:r w:rsidRPr="00C674BB">
        <w:rPr>
          <w:rFonts w:ascii="Cambria" w:hAnsi="Cambria"/>
          <w:lang w:val="en-US"/>
        </w:rPr>
        <w:t>.</w:t>
      </w:r>
    </w:p>
  </w:footnote>
  <w:footnote w:id="20">
    <w:p w14:paraId="564A134E" w14:textId="5EE60F85" w:rsidR="00731744" w:rsidRPr="00531D41" w:rsidRDefault="00731744" w:rsidP="00C36550">
      <w:pPr>
        <w:pStyle w:val="Notedebasdepage"/>
        <w:jc w:val="both"/>
        <w:rPr>
          <w:rFonts w:ascii="Cambria" w:hAnsi="Cambria"/>
          <w:lang w:val="en-US"/>
        </w:rPr>
      </w:pPr>
      <w:r w:rsidRPr="00A329C3">
        <w:rPr>
          <w:rStyle w:val="Appelnotedebasdep"/>
          <w:rFonts w:ascii="Cambria" w:hAnsi="Cambria"/>
        </w:rPr>
        <w:footnoteRef/>
      </w:r>
      <w:r w:rsidRPr="00531D41">
        <w:rPr>
          <w:rFonts w:ascii="Cambria" w:hAnsi="Cambria"/>
          <w:lang w:val="en-US"/>
        </w:rPr>
        <w:t xml:space="preserve"> Article 10 </w:t>
      </w:r>
      <w:r w:rsidR="00C674BB" w:rsidRPr="00531D41">
        <w:rPr>
          <w:rFonts w:ascii="Cambria" w:hAnsi="Cambria"/>
          <w:lang w:val="en-US"/>
        </w:rPr>
        <w:t>of the Recast</w:t>
      </w:r>
      <w:r w:rsidRPr="00531D41">
        <w:rPr>
          <w:rFonts w:ascii="Cambria" w:hAnsi="Cambria"/>
          <w:lang w:val="en-US"/>
        </w:rPr>
        <w:t>.</w:t>
      </w:r>
    </w:p>
  </w:footnote>
  <w:footnote w:id="21">
    <w:p w14:paraId="56D818F0" w14:textId="19E73166" w:rsidR="001B1E13" w:rsidRPr="00A329C3" w:rsidRDefault="001B1E13" w:rsidP="00C36550">
      <w:pPr>
        <w:pStyle w:val="Notedebasdepage"/>
        <w:jc w:val="both"/>
        <w:rPr>
          <w:rFonts w:ascii="Cambria" w:hAnsi="Cambria"/>
          <w:lang w:val="en-US"/>
        </w:rPr>
      </w:pPr>
      <w:r w:rsidRPr="00A329C3">
        <w:rPr>
          <w:rStyle w:val="Appelnotedebasdep"/>
          <w:rFonts w:ascii="Cambria" w:hAnsi="Cambria"/>
        </w:rPr>
        <w:footnoteRef/>
      </w:r>
      <w:r w:rsidRPr="00A329C3">
        <w:rPr>
          <w:rFonts w:ascii="Cambria" w:hAnsi="Cambria"/>
          <w:lang w:val="en-US"/>
        </w:rPr>
        <w:t xml:space="preserve"> One of the holders of parental responsibility is habitually resident in that Mem</w:t>
      </w:r>
      <w:r w:rsidRPr="00FE27D1">
        <w:rPr>
          <w:rFonts w:ascii="Cambria" w:hAnsi="Cambria"/>
          <w:lang w:val="en-US"/>
        </w:rPr>
        <w:t>ber State; that Member State is the former habitual residence of the child; or the child is a national of that Member State (article 10</w:t>
      </w:r>
      <w:r w:rsidR="00FE27D1" w:rsidRPr="00FE27D1">
        <w:rPr>
          <w:rFonts w:ascii="Cambria" w:hAnsi="Cambria"/>
          <w:lang w:val="en-US"/>
        </w:rPr>
        <w:t>.</w:t>
      </w:r>
      <w:r w:rsidRPr="00FE27D1">
        <w:rPr>
          <w:rFonts w:ascii="Cambria" w:hAnsi="Cambria"/>
          <w:lang w:val="en-US"/>
        </w:rPr>
        <w:t>1</w:t>
      </w:r>
      <w:r w:rsidR="00FE27D1" w:rsidRPr="00FE27D1">
        <w:rPr>
          <w:rFonts w:ascii="Cambria" w:hAnsi="Cambria"/>
          <w:lang w:val="en-US"/>
        </w:rPr>
        <w:t>, (</w:t>
      </w:r>
      <w:r w:rsidRPr="00FE27D1">
        <w:rPr>
          <w:rFonts w:ascii="Cambria" w:hAnsi="Cambria"/>
          <w:lang w:val="en-US"/>
        </w:rPr>
        <w:t>a)</w:t>
      </w:r>
      <w:r w:rsidR="005A3F3F">
        <w:rPr>
          <w:rFonts w:ascii="Cambria" w:hAnsi="Cambria"/>
          <w:lang w:val="en-US"/>
        </w:rPr>
        <w:t>,</w:t>
      </w:r>
      <w:r w:rsidRPr="00FE27D1">
        <w:rPr>
          <w:rFonts w:ascii="Cambria" w:hAnsi="Cambria"/>
          <w:lang w:val="en-US"/>
        </w:rPr>
        <w:t xml:space="preserve"> </w:t>
      </w:r>
      <w:r w:rsidR="00FE27D1" w:rsidRPr="00FE27D1">
        <w:rPr>
          <w:rFonts w:ascii="Cambria" w:hAnsi="Cambria"/>
          <w:lang w:val="en-US"/>
        </w:rPr>
        <w:t>of the Recast</w:t>
      </w:r>
      <w:r w:rsidRPr="00FE27D1">
        <w:rPr>
          <w:rFonts w:ascii="Cambria" w:hAnsi="Cambria"/>
          <w:lang w:val="en-US"/>
        </w:rPr>
        <w:t>).</w:t>
      </w:r>
    </w:p>
  </w:footnote>
  <w:footnote w:id="22">
    <w:p w14:paraId="3B418F8C" w14:textId="7B6F90A3" w:rsidR="001B1E13" w:rsidRPr="00FE27D1" w:rsidRDefault="001B1E13" w:rsidP="00C36550">
      <w:pPr>
        <w:pStyle w:val="Notedebasdepage"/>
        <w:jc w:val="both"/>
        <w:rPr>
          <w:rFonts w:ascii="Cambria" w:hAnsi="Cambria"/>
          <w:lang w:val="en-US"/>
        </w:rPr>
      </w:pPr>
      <w:r w:rsidRPr="00A329C3">
        <w:rPr>
          <w:rStyle w:val="Appelnotedebasdep"/>
          <w:rFonts w:ascii="Cambria" w:hAnsi="Cambria"/>
        </w:rPr>
        <w:footnoteRef/>
      </w:r>
      <w:r w:rsidRPr="00FE27D1">
        <w:rPr>
          <w:rFonts w:ascii="Cambria" w:hAnsi="Cambria"/>
          <w:lang w:val="en-US"/>
        </w:rPr>
        <w:t xml:space="preserve"> </w:t>
      </w:r>
      <w:r w:rsidR="00FE27D1">
        <w:rPr>
          <w:rFonts w:ascii="Cambria" w:hAnsi="Cambria"/>
          <w:lang w:val="en-US"/>
        </w:rPr>
        <w:t>A</w:t>
      </w:r>
      <w:r w:rsidR="00FE27D1" w:rsidRPr="00FE27D1">
        <w:rPr>
          <w:rFonts w:ascii="Cambria" w:hAnsi="Cambria"/>
          <w:lang w:val="en-US"/>
        </w:rPr>
        <w:t>rticle 10.1, (</w:t>
      </w:r>
      <w:r w:rsidR="005A3F3F">
        <w:rPr>
          <w:rFonts w:ascii="Cambria" w:hAnsi="Cambria"/>
          <w:lang w:val="en-US"/>
        </w:rPr>
        <w:t>b</w:t>
      </w:r>
      <w:r w:rsidR="00FE27D1" w:rsidRPr="00FE27D1">
        <w:rPr>
          <w:rFonts w:ascii="Cambria" w:hAnsi="Cambria"/>
          <w:lang w:val="en-US"/>
        </w:rPr>
        <w:t>), of the Recast</w:t>
      </w:r>
      <w:r w:rsidR="005A3F3F">
        <w:rPr>
          <w:rFonts w:ascii="Cambria" w:hAnsi="Cambria"/>
          <w:lang w:val="en-US"/>
        </w:rPr>
        <w:t>.</w:t>
      </w:r>
    </w:p>
  </w:footnote>
  <w:footnote w:id="23">
    <w:p w14:paraId="48C43B1B" w14:textId="272BB97F" w:rsidR="00E10E75" w:rsidRPr="008F5D6D" w:rsidRDefault="00E10E75" w:rsidP="00C36550">
      <w:pPr>
        <w:pStyle w:val="Notedebasdepage"/>
        <w:jc w:val="both"/>
        <w:rPr>
          <w:rFonts w:ascii="Cambria" w:hAnsi="Cambria"/>
          <w:lang w:val="en-US"/>
        </w:rPr>
      </w:pPr>
      <w:r w:rsidRPr="00A329C3">
        <w:rPr>
          <w:rStyle w:val="Appelnotedebasdep"/>
          <w:rFonts w:ascii="Cambria" w:hAnsi="Cambria"/>
        </w:rPr>
        <w:footnoteRef/>
      </w:r>
      <w:r w:rsidRPr="008F5D6D">
        <w:rPr>
          <w:rFonts w:ascii="Cambria" w:hAnsi="Cambria"/>
          <w:lang w:val="en-US"/>
        </w:rPr>
        <w:t xml:space="preserve"> </w:t>
      </w:r>
      <w:r w:rsidR="008F5D6D" w:rsidRPr="008F5D6D">
        <w:rPr>
          <w:rFonts w:ascii="Cambria" w:hAnsi="Cambria"/>
          <w:lang w:val="en-US"/>
        </w:rPr>
        <w:t>See the former</w:t>
      </w:r>
      <w:r w:rsidRPr="008F5D6D">
        <w:rPr>
          <w:rFonts w:ascii="Cambria" w:hAnsi="Cambria"/>
          <w:lang w:val="en-US"/>
        </w:rPr>
        <w:t xml:space="preserve"> article 11.2 </w:t>
      </w:r>
      <w:r w:rsidR="008F5D6D" w:rsidRPr="008F5D6D">
        <w:rPr>
          <w:rFonts w:ascii="Cambria" w:hAnsi="Cambria"/>
          <w:lang w:val="en-US"/>
        </w:rPr>
        <w:t xml:space="preserve">of Brussels </w:t>
      </w:r>
      <w:proofErr w:type="spellStart"/>
      <w:r w:rsidR="008F5D6D" w:rsidRPr="008F5D6D">
        <w:rPr>
          <w:rFonts w:ascii="Cambria" w:hAnsi="Cambria"/>
          <w:lang w:val="en-US"/>
        </w:rPr>
        <w:t>IIa</w:t>
      </w:r>
      <w:proofErr w:type="spellEnd"/>
      <w:r w:rsidR="008F5D6D" w:rsidRPr="008F5D6D">
        <w:rPr>
          <w:rFonts w:ascii="Cambria" w:hAnsi="Cambria"/>
          <w:lang w:val="en-US"/>
        </w:rPr>
        <w:t xml:space="preserve"> Regulation</w:t>
      </w:r>
      <w:r w:rsidRPr="008F5D6D">
        <w:rPr>
          <w:rFonts w:ascii="Cambria" w:hAnsi="Cambria"/>
          <w:lang w:val="en-US"/>
        </w:rPr>
        <w:t xml:space="preserve"> </w:t>
      </w:r>
      <w:r w:rsidR="008F5D6D" w:rsidRPr="008F5D6D">
        <w:rPr>
          <w:rFonts w:ascii="Cambria" w:hAnsi="Cambria"/>
          <w:lang w:val="en-US"/>
        </w:rPr>
        <w:t>about</w:t>
      </w:r>
      <w:r w:rsidR="008F5D6D">
        <w:rPr>
          <w:rFonts w:ascii="Cambria" w:hAnsi="Cambria"/>
          <w:lang w:val="en-US"/>
        </w:rPr>
        <w:t xml:space="preserve"> the hearing of the child</w:t>
      </w:r>
      <w:r w:rsidRPr="008F5D6D">
        <w:rPr>
          <w:rFonts w:ascii="Cambria" w:hAnsi="Cambria"/>
          <w:lang w:val="en-US"/>
        </w:rPr>
        <w:t>.</w:t>
      </w:r>
    </w:p>
  </w:footnote>
  <w:footnote w:id="24">
    <w:p w14:paraId="1E3D991D" w14:textId="12C1A437" w:rsidR="00E10E75" w:rsidRPr="00230951" w:rsidRDefault="00E10E75" w:rsidP="00C36550">
      <w:pPr>
        <w:pStyle w:val="Notedebasdepage"/>
        <w:jc w:val="both"/>
        <w:rPr>
          <w:rFonts w:ascii="Cambria" w:hAnsi="Cambria"/>
          <w:lang w:val="en-US"/>
        </w:rPr>
      </w:pPr>
      <w:r w:rsidRPr="00A329C3">
        <w:rPr>
          <w:rStyle w:val="Appelnotedebasdep"/>
          <w:rFonts w:ascii="Cambria" w:hAnsi="Cambria"/>
        </w:rPr>
        <w:footnoteRef/>
      </w:r>
      <w:r w:rsidRPr="00230951">
        <w:rPr>
          <w:rFonts w:ascii="Cambria" w:hAnsi="Cambria"/>
          <w:lang w:val="en-US"/>
        </w:rPr>
        <w:t xml:space="preserve"> Article 21 </w:t>
      </w:r>
      <w:r w:rsidR="001D2BA9" w:rsidRPr="00230951">
        <w:rPr>
          <w:rFonts w:ascii="Cambria" w:hAnsi="Cambria"/>
          <w:lang w:val="en-US"/>
        </w:rPr>
        <w:t>of the Recast</w:t>
      </w:r>
      <w:r w:rsidRPr="00230951">
        <w:rPr>
          <w:rFonts w:ascii="Cambria" w:hAnsi="Cambria"/>
          <w:lang w:val="en-US"/>
        </w:rPr>
        <w:t>.</w:t>
      </w:r>
    </w:p>
  </w:footnote>
  <w:footnote w:id="25">
    <w:p w14:paraId="0E60980F" w14:textId="77777777" w:rsidR="00230951" w:rsidRPr="00230951" w:rsidRDefault="00230951" w:rsidP="00C36550">
      <w:pPr>
        <w:pStyle w:val="Notedebasdepage"/>
        <w:jc w:val="both"/>
        <w:rPr>
          <w:lang w:val="en-US"/>
        </w:rPr>
      </w:pPr>
      <w:r w:rsidRPr="00A329C3">
        <w:rPr>
          <w:rStyle w:val="Appelnotedebasdep"/>
          <w:rFonts w:ascii="Cambria" w:hAnsi="Cambria"/>
        </w:rPr>
        <w:footnoteRef/>
      </w:r>
      <w:r w:rsidRPr="00230951">
        <w:rPr>
          <w:rFonts w:ascii="Cambria" w:hAnsi="Cambria"/>
          <w:lang w:val="en-US"/>
        </w:rPr>
        <w:t xml:space="preserve"> Article 26 of the Recast.</w:t>
      </w:r>
    </w:p>
  </w:footnote>
  <w:footnote w:id="26">
    <w:p w14:paraId="3DC066AB" w14:textId="0F1763E8" w:rsidR="00F357EC" w:rsidRPr="00230951" w:rsidRDefault="00E10E75" w:rsidP="00C36550">
      <w:pPr>
        <w:pStyle w:val="Notedebasdepage"/>
        <w:jc w:val="both"/>
        <w:rPr>
          <w:rFonts w:ascii="Cambria" w:hAnsi="Cambria"/>
          <w:lang w:val="en-US"/>
        </w:rPr>
      </w:pPr>
      <w:r w:rsidRPr="007C7DD1">
        <w:rPr>
          <w:rStyle w:val="Appelnotedebasdep"/>
          <w:rFonts w:ascii="Cambria" w:hAnsi="Cambria"/>
        </w:rPr>
        <w:footnoteRef/>
      </w:r>
      <w:r w:rsidRPr="00230951">
        <w:rPr>
          <w:rFonts w:ascii="Cambria" w:hAnsi="Cambria"/>
          <w:lang w:val="en-US"/>
        </w:rPr>
        <w:t xml:space="preserve"> </w:t>
      </w:r>
      <w:r w:rsidR="006A3152">
        <w:rPr>
          <w:rFonts w:ascii="Cambria" w:hAnsi="Cambria"/>
          <w:lang w:val="en-US"/>
        </w:rPr>
        <w:t>Article 39.1, (a), of the Recast.</w:t>
      </w:r>
    </w:p>
  </w:footnote>
  <w:footnote w:id="27">
    <w:p w14:paraId="5403C499" w14:textId="5192EF7B" w:rsidR="00E10E75" w:rsidRPr="008F16FF" w:rsidRDefault="00E10E75" w:rsidP="007C7DD1">
      <w:pPr>
        <w:pStyle w:val="Notedebasdepage"/>
        <w:jc w:val="both"/>
        <w:rPr>
          <w:rFonts w:ascii="Cambria" w:hAnsi="Cambria"/>
          <w:lang w:val="en-US"/>
        </w:rPr>
      </w:pPr>
      <w:r w:rsidRPr="007C7DD1">
        <w:rPr>
          <w:rStyle w:val="Appelnotedebasdep"/>
          <w:rFonts w:ascii="Cambria" w:hAnsi="Cambria"/>
        </w:rPr>
        <w:footnoteRef/>
      </w:r>
      <w:r w:rsidRPr="008F16FF">
        <w:rPr>
          <w:rFonts w:ascii="Cambria" w:hAnsi="Cambria"/>
          <w:lang w:val="en-US"/>
        </w:rPr>
        <w:t xml:space="preserve"> </w:t>
      </w:r>
      <w:r w:rsidRPr="008F16FF">
        <w:rPr>
          <w:rFonts w:ascii="Cambria" w:hAnsi="Cambria" w:cs="HelveticaNeueLTStd-Lt"/>
          <w:lang w:val="en-US"/>
        </w:rPr>
        <w:t xml:space="preserve">Articles 23, 24 </w:t>
      </w:r>
      <w:r w:rsidR="00EC02FE" w:rsidRPr="008F16FF">
        <w:rPr>
          <w:rFonts w:ascii="Cambria" w:hAnsi="Cambria" w:cs="HelveticaNeueLTStd-Lt"/>
          <w:lang w:val="en-US"/>
        </w:rPr>
        <w:t>and</w:t>
      </w:r>
      <w:r w:rsidRPr="008F16FF">
        <w:rPr>
          <w:rFonts w:ascii="Cambria" w:hAnsi="Cambria" w:cs="HelveticaNeueLTStd-Lt"/>
          <w:lang w:val="en-US"/>
        </w:rPr>
        <w:t xml:space="preserve"> 28 </w:t>
      </w:r>
      <w:r w:rsidR="008F16FF">
        <w:rPr>
          <w:rFonts w:ascii="Cambria" w:hAnsi="Cambria" w:cs="HelveticaNeueLTStd-Lt"/>
          <w:lang w:val="en-US"/>
        </w:rPr>
        <w:t>of the Recast</w:t>
      </w:r>
      <w:r w:rsidRPr="008F16FF">
        <w:rPr>
          <w:rFonts w:ascii="Cambria" w:hAnsi="Cambria" w:cs="HelveticaNeueLTStd-Lt"/>
          <w:lang w:val="en-US"/>
        </w:rPr>
        <w:t>.</w:t>
      </w:r>
    </w:p>
  </w:footnote>
  <w:footnote w:id="28">
    <w:p w14:paraId="48D60F05" w14:textId="05C0F8C2" w:rsidR="00E10E75" w:rsidRPr="008F16FF" w:rsidRDefault="00E10E75" w:rsidP="007C7DD1">
      <w:pPr>
        <w:pStyle w:val="Notedebasdepage"/>
        <w:jc w:val="both"/>
        <w:rPr>
          <w:rFonts w:ascii="Cambria" w:hAnsi="Cambria"/>
          <w:lang w:val="en-US"/>
        </w:rPr>
      </w:pPr>
      <w:r w:rsidRPr="007C7DD1">
        <w:rPr>
          <w:rStyle w:val="Appelnotedebasdep"/>
          <w:rFonts w:ascii="Cambria" w:hAnsi="Cambria"/>
        </w:rPr>
        <w:footnoteRef/>
      </w:r>
      <w:r w:rsidRPr="008F16FF">
        <w:rPr>
          <w:rFonts w:ascii="Cambria" w:hAnsi="Cambria"/>
          <w:lang w:val="en-US"/>
        </w:rPr>
        <w:t xml:space="preserve"> </w:t>
      </w:r>
      <w:r w:rsidRPr="008F16FF">
        <w:rPr>
          <w:rFonts w:ascii="Cambria" w:hAnsi="Cambria" w:cs="HelveticaNeueLTStd-Lt"/>
          <w:lang w:val="en-US"/>
        </w:rPr>
        <w:t xml:space="preserve">Article 25 </w:t>
      </w:r>
      <w:r w:rsidR="008F16FF" w:rsidRPr="008F16FF">
        <w:rPr>
          <w:rFonts w:ascii="Cambria" w:hAnsi="Cambria" w:cs="HelveticaNeueLTStd-Lt"/>
          <w:lang w:val="en-US"/>
        </w:rPr>
        <w:t>of the Recast</w:t>
      </w:r>
      <w:r w:rsidRPr="008F16FF">
        <w:rPr>
          <w:rFonts w:ascii="Cambria" w:hAnsi="Cambria" w:cs="HelveticaNeueLTStd-Lt"/>
          <w:lang w:val="en-US"/>
        </w:rPr>
        <w:t>.</w:t>
      </w:r>
    </w:p>
  </w:footnote>
  <w:footnote w:id="29">
    <w:p w14:paraId="0FC48042" w14:textId="40466529" w:rsidR="00E10E75" w:rsidRPr="00531D41" w:rsidRDefault="00E10E75" w:rsidP="007C7DD1">
      <w:pPr>
        <w:pStyle w:val="Notedebasdepage"/>
        <w:jc w:val="both"/>
        <w:rPr>
          <w:rFonts w:ascii="Cambria" w:hAnsi="Cambria"/>
          <w:lang w:val="en-US"/>
        </w:rPr>
      </w:pPr>
      <w:r w:rsidRPr="007C7DD1">
        <w:rPr>
          <w:rStyle w:val="Appelnotedebasdep"/>
          <w:rFonts w:ascii="Cambria" w:hAnsi="Cambria"/>
        </w:rPr>
        <w:footnoteRef/>
      </w:r>
      <w:r w:rsidRPr="00531D41">
        <w:rPr>
          <w:rFonts w:ascii="Cambria" w:hAnsi="Cambria"/>
          <w:lang w:val="en-US"/>
        </w:rPr>
        <w:t xml:space="preserve"> </w:t>
      </w:r>
      <w:r w:rsidRPr="00531D41">
        <w:rPr>
          <w:rFonts w:ascii="Cambria" w:hAnsi="Cambria" w:cs="HelveticaNeueLTStd-Lt"/>
          <w:lang w:val="en-US"/>
        </w:rPr>
        <w:t xml:space="preserve">Article 27.5 </w:t>
      </w:r>
      <w:r w:rsidR="008F16FF" w:rsidRPr="00531D41">
        <w:rPr>
          <w:rFonts w:ascii="Cambria" w:hAnsi="Cambria" w:cs="HelveticaNeueLTStd-Lt"/>
          <w:lang w:val="en-US"/>
        </w:rPr>
        <w:t>of the Recast</w:t>
      </w:r>
      <w:r w:rsidRPr="00531D41">
        <w:rPr>
          <w:rFonts w:ascii="Cambria" w:hAnsi="Cambria" w:cs="HelveticaNeueLTStd-Lt"/>
          <w:lang w:val="en-US"/>
        </w:rPr>
        <w:t>.</w:t>
      </w:r>
    </w:p>
  </w:footnote>
  <w:footnote w:id="30">
    <w:p w14:paraId="7AB68562" w14:textId="20317044" w:rsidR="00E10E75" w:rsidRPr="008F16FF" w:rsidRDefault="00E10E75" w:rsidP="007C7DD1">
      <w:pPr>
        <w:pStyle w:val="Notedebasdepage"/>
        <w:jc w:val="both"/>
        <w:rPr>
          <w:rFonts w:ascii="Cambria" w:hAnsi="Cambria"/>
          <w:lang w:val="en-US"/>
        </w:rPr>
      </w:pPr>
      <w:r w:rsidRPr="007C7DD1">
        <w:rPr>
          <w:rStyle w:val="Appelnotedebasdep"/>
          <w:rFonts w:ascii="Cambria" w:hAnsi="Cambria"/>
        </w:rPr>
        <w:footnoteRef/>
      </w:r>
      <w:r w:rsidRPr="008F16FF">
        <w:rPr>
          <w:rFonts w:ascii="Cambria" w:hAnsi="Cambria"/>
          <w:lang w:val="en-US"/>
        </w:rPr>
        <w:t xml:space="preserve"> </w:t>
      </w:r>
      <w:r w:rsidRPr="008F16FF">
        <w:rPr>
          <w:rFonts w:ascii="Cambria" w:hAnsi="Cambria" w:cs="HelveticaNeueLTStd-Lt"/>
          <w:lang w:val="en-US"/>
        </w:rPr>
        <w:t>Articles 56</w:t>
      </w:r>
      <w:r w:rsidRPr="008F16FF">
        <w:rPr>
          <w:rFonts w:ascii="Cambria" w:hAnsi="Cambria" w:cs="HelveticaNeueLTStd-LtIt"/>
          <w:i/>
          <w:iCs/>
          <w:lang w:val="en-US"/>
        </w:rPr>
        <w:t>bis</w:t>
      </w:r>
      <w:r w:rsidRPr="008F16FF">
        <w:rPr>
          <w:rFonts w:ascii="Cambria" w:hAnsi="Cambria" w:cs="HelveticaNeueLTStd-Lt"/>
          <w:lang w:val="en-US"/>
        </w:rPr>
        <w:t xml:space="preserve">, 79, 80, 81 </w:t>
      </w:r>
      <w:r w:rsidR="008F16FF" w:rsidRPr="008F16FF">
        <w:rPr>
          <w:rFonts w:ascii="Cambria" w:hAnsi="Cambria" w:cs="HelveticaNeueLTStd-Lt"/>
          <w:lang w:val="en-US"/>
        </w:rPr>
        <w:t>and</w:t>
      </w:r>
      <w:r w:rsidRPr="008F16FF">
        <w:rPr>
          <w:rFonts w:ascii="Cambria" w:hAnsi="Cambria" w:cs="HelveticaNeueLTStd-Lt"/>
          <w:lang w:val="en-US"/>
        </w:rPr>
        <w:t xml:space="preserve"> 82 </w:t>
      </w:r>
      <w:r w:rsidR="008F16FF" w:rsidRPr="008F16FF">
        <w:rPr>
          <w:rFonts w:ascii="Cambria" w:hAnsi="Cambria" w:cs="HelveticaNeueLTStd-Lt"/>
          <w:lang w:val="en-US"/>
        </w:rPr>
        <w:t>of the Recast</w:t>
      </w:r>
      <w:r w:rsidRPr="008F16FF">
        <w:rPr>
          <w:rFonts w:ascii="Cambria" w:hAnsi="Cambria" w:cs="HelveticaNeueLTStd-Lt"/>
          <w:lang w:val="en-US"/>
        </w:rPr>
        <w:t>.</w:t>
      </w:r>
    </w:p>
  </w:footnote>
  <w:footnote w:id="31">
    <w:p w14:paraId="59E74990" w14:textId="724BF195" w:rsidR="00E10E75" w:rsidRPr="00D2781D" w:rsidRDefault="00E10E75" w:rsidP="007C7DD1">
      <w:pPr>
        <w:pStyle w:val="Notedebasdepage"/>
        <w:jc w:val="both"/>
        <w:rPr>
          <w:rFonts w:ascii="Cambria" w:hAnsi="Cambria"/>
          <w:lang w:val="en-US"/>
        </w:rPr>
      </w:pPr>
      <w:r w:rsidRPr="007C7DD1">
        <w:rPr>
          <w:rStyle w:val="Appelnotedebasdep"/>
          <w:rFonts w:ascii="Cambria" w:hAnsi="Cambria"/>
        </w:rPr>
        <w:footnoteRef/>
      </w:r>
      <w:r w:rsidRPr="00D2781D">
        <w:rPr>
          <w:rFonts w:ascii="Cambria" w:hAnsi="Cambria"/>
          <w:lang w:val="en-US"/>
        </w:rPr>
        <w:t xml:space="preserve"> </w:t>
      </w:r>
      <w:r w:rsidRPr="00D2781D">
        <w:rPr>
          <w:rFonts w:ascii="Cambria" w:hAnsi="Cambria" w:cs="HelveticaNeueLTStd-Lt"/>
          <w:lang w:val="en-US"/>
        </w:rPr>
        <w:t xml:space="preserve">Article 27.4 </w:t>
      </w:r>
      <w:r w:rsidR="008F16FF" w:rsidRPr="00D2781D">
        <w:rPr>
          <w:rFonts w:ascii="Cambria" w:hAnsi="Cambria" w:cs="HelveticaNeueLTStd-Lt"/>
          <w:lang w:val="en-US"/>
        </w:rPr>
        <w:t>of the Recast</w:t>
      </w:r>
      <w:r w:rsidRPr="00D2781D">
        <w:rPr>
          <w:rFonts w:ascii="Cambria" w:hAnsi="Cambria" w:cs="HelveticaNeueLTStd-Lt"/>
          <w:lang w:val="en-US"/>
        </w:rPr>
        <w:t>.</w:t>
      </w:r>
    </w:p>
  </w:footnote>
  <w:footnote w:id="32">
    <w:p w14:paraId="13BFAED0" w14:textId="4E4A05B8" w:rsidR="00E10E75" w:rsidRPr="00620C80" w:rsidRDefault="00E10E75" w:rsidP="007C7DD1">
      <w:pPr>
        <w:autoSpaceDE w:val="0"/>
        <w:autoSpaceDN w:val="0"/>
        <w:adjustRightInd w:val="0"/>
        <w:spacing w:after="0" w:line="240" w:lineRule="auto"/>
        <w:jc w:val="both"/>
        <w:rPr>
          <w:rFonts w:ascii="Cambria" w:hAnsi="Cambria" w:cs="HelveticaNeueLTStd-Lt"/>
          <w:sz w:val="20"/>
          <w:szCs w:val="20"/>
          <w:lang w:val="en-US"/>
        </w:rPr>
      </w:pPr>
      <w:r w:rsidRPr="00F518C2">
        <w:rPr>
          <w:rStyle w:val="Appelnotedebasdep"/>
          <w:rFonts w:ascii="Cambria" w:hAnsi="Cambria"/>
          <w:sz w:val="20"/>
          <w:szCs w:val="20"/>
        </w:rPr>
        <w:footnoteRef/>
      </w:r>
      <w:r w:rsidRPr="00620C80">
        <w:rPr>
          <w:rFonts w:ascii="Cambria" w:hAnsi="Cambria"/>
          <w:sz w:val="20"/>
          <w:szCs w:val="20"/>
          <w:lang w:val="en-US"/>
        </w:rPr>
        <w:t xml:space="preserve"> </w:t>
      </w:r>
      <w:r w:rsidR="00692C4F">
        <w:rPr>
          <w:rFonts w:ascii="Cambria" w:hAnsi="Cambria"/>
          <w:sz w:val="20"/>
          <w:szCs w:val="20"/>
          <w:lang w:val="en-US"/>
        </w:rPr>
        <w:t>e</w:t>
      </w:r>
      <w:r w:rsidR="00D540F0">
        <w:rPr>
          <w:rFonts w:ascii="Cambria" w:hAnsi="Cambria"/>
          <w:sz w:val="20"/>
          <w:szCs w:val="20"/>
          <w:lang w:val="en-US"/>
        </w:rPr>
        <w:t>.g.</w:t>
      </w:r>
      <w:r w:rsidR="00620C80" w:rsidRPr="00620C80">
        <w:rPr>
          <w:rFonts w:ascii="Cambria" w:hAnsi="Cambria"/>
          <w:sz w:val="20"/>
          <w:szCs w:val="20"/>
          <w:lang w:val="en-US"/>
        </w:rPr>
        <w:t xml:space="preserve"> Portugal, Italy, Spain and France.</w:t>
      </w:r>
    </w:p>
  </w:footnote>
  <w:footnote w:id="33">
    <w:p w14:paraId="5BB77C52" w14:textId="101A1AF7" w:rsidR="00E10E75" w:rsidRPr="00DC3C66" w:rsidRDefault="00E10E75" w:rsidP="007C7DD1">
      <w:pPr>
        <w:pStyle w:val="Notedebasdepage"/>
        <w:jc w:val="both"/>
        <w:rPr>
          <w:rFonts w:ascii="Cambria" w:hAnsi="Cambria"/>
          <w:i/>
          <w:iCs/>
          <w:highlight w:val="yellow"/>
          <w:lang w:val="es-ES"/>
        </w:rPr>
      </w:pPr>
      <w:r w:rsidRPr="009D7D97">
        <w:rPr>
          <w:rStyle w:val="Appelnotedebasdep"/>
          <w:rFonts w:ascii="Cambria" w:hAnsi="Cambria"/>
        </w:rPr>
        <w:footnoteRef/>
      </w:r>
      <w:r w:rsidRPr="00DC3C66">
        <w:rPr>
          <w:rFonts w:ascii="Cambria" w:hAnsi="Cambria"/>
          <w:lang w:val="es-ES"/>
        </w:rPr>
        <w:t xml:space="preserve"> C</w:t>
      </w:r>
      <w:r w:rsidR="00423148" w:rsidRPr="00DC3C66">
        <w:rPr>
          <w:rFonts w:ascii="Cambria" w:hAnsi="Cambria"/>
          <w:lang w:val="es-ES"/>
        </w:rPr>
        <w:t xml:space="preserve">ase C-372/16 </w:t>
      </w:r>
      <w:proofErr w:type="spellStart"/>
      <w:r w:rsidRPr="00DC3C66">
        <w:rPr>
          <w:rFonts w:ascii="Cambria" w:hAnsi="Cambria"/>
          <w:i/>
          <w:iCs/>
          <w:lang w:val="es-ES"/>
        </w:rPr>
        <w:t>Soha</w:t>
      </w:r>
      <w:proofErr w:type="spellEnd"/>
      <w:r w:rsidRPr="00DC3C66">
        <w:rPr>
          <w:rFonts w:ascii="Cambria" w:hAnsi="Cambria"/>
          <w:i/>
          <w:iCs/>
          <w:lang w:val="es-ES"/>
        </w:rPr>
        <w:t xml:space="preserve"> </w:t>
      </w:r>
      <w:proofErr w:type="spellStart"/>
      <w:r w:rsidRPr="00DC3C66">
        <w:rPr>
          <w:rFonts w:ascii="Cambria" w:hAnsi="Cambria"/>
          <w:i/>
          <w:iCs/>
          <w:lang w:val="es-ES"/>
        </w:rPr>
        <w:t>Sahyouni</w:t>
      </w:r>
      <w:proofErr w:type="spellEnd"/>
      <w:r w:rsidRPr="00DC3C66">
        <w:rPr>
          <w:rFonts w:ascii="Cambria" w:hAnsi="Cambria"/>
          <w:lang w:val="es-ES"/>
        </w:rPr>
        <w:t xml:space="preserve"> </w:t>
      </w:r>
      <w:r w:rsidR="00423148" w:rsidRPr="00DC3C66">
        <w:rPr>
          <w:rFonts w:ascii="Cambria" w:hAnsi="Cambria"/>
          <w:lang w:val="es-ES"/>
        </w:rPr>
        <w:t xml:space="preserve">[2010] </w:t>
      </w:r>
      <w:r w:rsidRPr="00DC3C66">
        <w:rPr>
          <w:rFonts w:ascii="Cambria" w:hAnsi="Cambria"/>
          <w:lang w:val="es-ES"/>
        </w:rPr>
        <w:t>ECLI:EU:</w:t>
      </w:r>
      <w:proofErr w:type="gramStart"/>
      <w:r w:rsidRPr="00DC3C66">
        <w:rPr>
          <w:rFonts w:ascii="Cambria" w:hAnsi="Cambria"/>
          <w:lang w:val="es-ES"/>
        </w:rPr>
        <w:t>C:2017:988</w:t>
      </w:r>
      <w:proofErr w:type="gramEnd"/>
      <w:r w:rsidRPr="00DC3C66">
        <w:rPr>
          <w:rFonts w:ascii="Cambria" w:hAnsi="Cambria"/>
          <w:lang w:val="es-ES"/>
        </w:rPr>
        <w:t xml:space="preserve">, </w:t>
      </w:r>
      <w:r w:rsidR="00423148" w:rsidRPr="00DC3C66">
        <w:rPr>
          <w:rFonts w:ascii="Cambria" w:hAnsi="Cambria"/>
          <w:lang w:val="es-ES"/>
        </w:rPr>
        <w:t>para</w:t>
      </w:r>
      <w:r w:rsidRPr="00DC3C66">
        <w:rPr>
          <w:rFonts w:ascii="Cambria" w:hAnsi="Cambria"/>
          <w:lang w:val="es-ES"/>
        </w:rPr>
        <w:t xml:space="preserve"> 39</w:t>
      </w:r>
    </w:p>
  </w:footnote>
  <w:footnote w:id="34">
    <w:p w14:paraId="4B2816A7" w14:textId="51A09F13" w:rsidR="00435214" w:rsidRPr="00F518C2" w:rsidRDefault="00435214">
      <w:pPr>
        <w:pStyle w:val="Notedebasdepage"/>
        <w:rPr>
          <w:rFonts w:ascii="Cambria" w:hAnsi="Cambria"/>
          <w:lang w:val="de-DE"/>
        </w:rPr>
      </w:pPr>
      <w:r w:rsidRPr="00F518C2">
        <w:rPr>
          <w:rStyle w:val="Appelnotedebasdep"/>
          <w:rFonts w:ascii="Cambria" w:hAnsi="Cambria"/>
        </w:rPr>
        <w:footnoteRef/>
      </w:r>
      <w:r w:rsidRPr="00F518C2">
        <w:rPr>
          <w:rFonts w:ascii="Cambria" w:hAnsi="Cambria"/>
          <w:lang w:val="de-DE"/>
        </w:rPr>
        <w:t xml:space="preserve"> C</w:t>
      </w:r>
      <w:r w:rsidR="009D7D97" w:rsidRPr="00F518C2">
        <w:rPr>
          <w:rFonts w:ascii="Cambria" w:hAnsi="Cambria"/>
          <w:lang w:val="de-DE"/>
        </w:rPr>
        <w:t xml:space="preserve">ase C-646/20 </w:t>
      </w:r>
      <w:r w:rsidR="009D7D97" w:rsidRPr="00D540F0">
        <w:rPr>
          <w:rFonts w:ascii="Cambria" w:hAnsi="Cambria"/>
          <w:i/>
          <w:iCs/>
          <w:lang w:val="de-DE"/>
        </w:rPr>
        <w:t>Senatsverwaltung für Inneres und Sport</w:t>
      </w:r>
      <w:r w:rsidR="00F518C2">
        <w:rPr>
          <w:rFonts w:ascii="Cambria" w:hAnsi="Cambria"/>
          <w:lang w:val="de-DE"/>
        </w:rPr>
        <w:t xml:space="preserve"> </w:t>
      </w:r>
      <w:r w:rsidR="00F518C2" w:rsidRPr="00F518C2">
        <w:rPr>
          <w:rFonts w:ascii="Cambria" w:hAnsi="Cambria"/>
          <w:lang w:val="de-DE"/>
        </w:rPr>
        <w:t>[20</w:t>
      </w:r>
      <w:r w:rsidR="00F518C2">
        <w:rPr>
          <w:rFonts w:ascii="Cambria" w:hAnsi="Cambria"/>
          <w:lang w:val="de-DE"/>
        </w:rPr>
        <w:t>22</w:t>
      </w:r>
      <w:r w:rsidR="00F518C2" w:rsidRPr="00F518C2">
        <w:rPr>
          <w:rFonts w:ascii="Cambria" w:hAnsi="Cambria"/>
          <w:lang w:val="de-DE"/>
        </w:rPr>
        <w:t>]</w:t>
      </w:r>
      <w:r w:rsidR="00F518C2">
        <w:rPr>
          <w:rFonts w:ascii="Cambria" w:hAnsi="Cambria"/>
          <w:lang w:val="de-DE"/>
        </w:rPr>
        <w:t xml:space="preserve"> </w:t>
      </w:r>
      <w:r w:rsidR="00F518C2" w:rsidRPr="00F518C2">
        <w:rPr>
          <w:rFonts w:ascii="Cambria" w:hAnsi="Cambria"/>
          <w:lang w:val="de-DE"/>
        </w:rPr>
        <w:t>ECLI:EU:</w:t>
      </w:r>
      <w:proofErr w:type="gramStart"/>
      <w:r w:rsidR="00F518C2" w:rsidRPr="00F518C2">
        <w:rPr>
          <w:rFonts w:ascii="Cambria" w:hAnsi="Cambria"/>
          <w:lang w:val="de-DE"/>
        </w:rPr>
        <w:t>C:2022:879</w:t>
      </w:r>
      <w:proofErr w:type="gramEnd"/>
      <w:r w:rsidR="00F518C2">
        <w:rPr>
          <w:rFonts w:ascii="Cambria" w:hAnsi="Cambria"/>
          <w:lang w:val="de-DE"/>
        </w:rPr>
        <w:t xml:space="preserve">, </w:t>
      </w:r>
      <w:proofErr w:type="spellStart"/>
      <w:r w:rsidR="00F518C2">
        <w:rPr>
          <w:rFonts w:ascii="Cambria" w:hAnsi="Cambria"/>
          <w:lang w:val="de-DE"/>
        </w:rPr>
        <w:t>para</w:t>
      </w:r>
      <w:proofErr w:type="spellEnd"/>
      <w:r w:rsidR="00F518C2">
        <w:rPr>
          <w:rFonts w:ascii="Cambria" w:hAnsi="Cambria"/>
          <w:lang w:val="de-DE"/>
        </w:rPr>
        <w:t xml:space="preserve"> </w:t>
      </w:r>
      <w:r w:rsidR="008C21FB">
        <w:rPr>
          <w:rFonts w:ascii="Cambria" w:hAnsi="Cambria"/>
          <w:lang w:val="de-DE"/>
        </w:rPr>
        <w:t>67</w:t>
      </w:r>
    </w:p>
  </w:footnote>
  <w:footnote w:id="35">
    <w:p w14:paraId="40546794" w14:textId="32FB3B85" w:rsidR="00E10E75" w:rsidRPr="00DC2516" w:rsidRDefault="00E10E75" w:rsidP="00DC2516">
      <w:pPr>
        <w:pStyle w:val="Notedebasdepage"/>
        <w:jc w:val="both"/>
        <w:rPr>
          <w:lang w:val="en-US"/>
        </w:rPr>
      </w:pPr>
      <w:r w:rsidRPr="007C7DD1">
        <w:rPr>
          <w:rStyle w:val="Appelnotedebasdep"/>
          <w:rFonts w:ascii="Cambria" w:hAnsi="Cambria"/>
        </w:rPr>
        <w:footnoteRef/>
      </w:r>
      <w:r w:rsidRPr="00DC2516">
        <w:rPr>
          <w:rFonts w:ascii="Cambria" w:hAnsi="Cambria"/>
          <w:lang w:val="en-US"/>
        </w:rPr>
        <w:t xml:space="preserve"> Article 2</w:t>
      </w:r>
      <w:r w:rsidR="00A83A29" w:rsidRPr="00DC2516">
        <w:rPr>
          <w:rFonts w:ascii="Cambria" w:hAnsi="Cambria"/>
          <w:lang w:val="en-US"/>
        </w:rPr>
        <w:t>.</w:t>
      </w:r>
      <w:r w:rsidRPr="00DC2516">
        <w:rPr>
          <w:rFonts w:ascii="Cambria" w:hAnsi="Cambria"/>
          <w:lang w:val="en-US"/>
        </w:rPr>
        <w:t>2</w:t>
      </w:r>
      <w:r w:rsidR="00A83A29" w:rsidRPr="00DC2516">
        <w:rPr>
          <w:rFonts w:ascii="Cambria" w:hAnsi="Cambria"/>
          <w:lang w:val="en-US"/>
        </w:rPr>
        <w:t>.(</w:t>
      </w:r>
      <w:r w:rsidRPr="00DC2516">
        <w:rPr>
          <w:rFonts w:ascii="Cambria" w:hAnsi="Cambria"/>
          <w:lang w:val="en-US"/>
        </w:rPr>
        <w:t xml:space="preserve">3), </w:t>
      </w:r>
      <w:r w:rsidR="00A83A29" w:rsidRPr="00DC2516">
        <w:rPr>
          <w:rFonts w:ascii="Cambria" w:hAnsi="Cambria"/>
          <w:lang w:val="en-US"/>
        </w:rPr>
        <w:t>of the Recast</w:t>
      </w:r>
      <w:r w:rsidRPr="00DC2516">
        <w:rPr>
          <w:rFonts w:ascii="Cambria" w:hAnsi="Cambria"/>
          <w:lang w:val="en-US"/>
        </w:rPr>
        <w:t xml:space="preserve"> : « </w:t>
      </w:r>
      <w:r w:rsidR="00DC2516" w:rsidRPr="00DC2516">
        <w:rPr>
          <w:rFonts w:ascii="Cambria" w:hAnsi="Cambria"/>
          <w:lang w:val="en-US"/>
        </w:rPr>
        <w:t xml:space="preserve">a document which is not an authentic instrument, has been concluded by the parties in the matters falling within the scope of this Regulation and has been registered by a public authority as communicated to the Commission by a Member State in accordance with Article 103 for that purpose </w:t>
      </w:r>
      <w:r w:rsidRPr="00DC2516">
        <w:rPr>
          <w:rFonts w:ascii="Cambria" w:hAnsi="Cambria"/>
          <w:lang w:val="en-US"/>
        </w:rPr>
        <w:t>».</w:t>
      </w:r>
    </w:p>
  </w:footnote>
  <w:footnote w:id="36">
    <w:p w14:paraId="7A9264DC" w14:textId="426EAE5D" w:rsidR="00DE2C4A" w:rsidRPr="00DE2C4A" w:rsidRDefault="00DE2C4A" w:rsidP="00DE2C4A">
      <w:pPr>
        <w:pStyle w:val="Notedebasdepage"/>
        <w:jc w:val="both"/>
        <w:rPr>
          <w:lang w:val="en-US"/>
        </w:rPr>
      </w:pPr>
      <w:r>
        <w:rPr>
          <w:rStyle w:val="Appelnotedebasdep"/>
        </w:rPr>
        <w:footnoteRef/>
      </w:r>
      <w:r w:rsidRPr="00DE2C4A">
        <w:rPr>
          <w:lang w:val="en-US"/>
        </w:rPr>
        <w:t xml:space="preserve"> </w:t>
      </w:r>
      <w:r w:rsidRPr="009A61E5">
        <w:rPr>
          <w:rFonts w:ascii="Cambria" w:hAnsi="Cambria"/>
          <w:lang w:val="en-US"/>
        </w:rPr>
        <w:t>However, this free movement is limited to the recognition of the divorce itself. Measures ancillary to the divorce which would be included in the agreement do not benefit from this prerogative (e.g. the liquidation of the matrimonial property regime or maintenance obligations).</w:t>
      </w:r>
    </w:p>
  </w:footnote>
  <w:footnote w:id="37">
    <w:p w14:paraId="750669EC" w14:textId="6D6F04F4" w:rsidR="00E10E75" w:rsidRPr="00DE2C4A" w:rsidRDefault="00E10E75" w:rsidP="007C7DD1">
      <w:pPr>
        <w:pStyle w:val="Notedebasdepage"/>
        <w:jc w:val="both"/>
        <w:rPr>
          <w:rFonts w:ascii="Cambria" w:hAnsi="Cambria"/>
          <w:lang w:val="en-US"/>
        </w:rPr>
      </w:pPr>
      <w:r w:rsidRPr="007C7DD1">
        <w:rPr>
          <w:rStyle w:val="Appelnotedebasdep"/>
          <w:rFonts w:ascii="Cambria" w:hAnsi="Cambria"/>
        </w:rPr>
        <w:footnoteRef/>
      </w:r>
      <w:r w:rsidRPr="00DE2C4A">
        <w:rPr>
          <w:rFonts w:ascii="Cambria" w:hAnsi="Cambria"/>
          <w:lang w:val="en-US"/>
        </w:rPr>
        <w:t xml:space="preserve"> </w:t>
      </w:r>
      <w:r w:rsidRPr="00DE2C4A">
        <w:rPr>
          <w:rFonts w:ascii="Cambria" w:hAnsi="Cambria" w:cs="HelveticaNeueLTStd-Lt"/>
          <w:lang w:val="en-US"/>
        </w:rPr>
        <w:t xml:space="preserve">Articles 36 </w:t>
      </w:r>
      <w:r w:rsidR="000C06B9">
        <w:rPr>
          <w:rFonts w:ascii="Cambria" w:hAnsi="Cambria" w:cs="HelveticaNeueLTStd-Lt"/>
          <w:lang w:val="en-US"/>
        </w:rPr>
        <w:t>and</w:t>
      </w:r>
      <w:r w:rsidRPr="00DE2C4A">
        <w:rPr>
          <w:rFonts w:ascii="Cambria" w:hAnsi="Cambria" w:cs="HelveticaNeueLTStd-Lt"/>
          <w:lang w:val="en-US"/>
        </w:rPr>
        <w:t xml:space="preserve"> 66 </w:t>
      </w:r>
      <w:r w:rsidR="000C06B9">
        <w:rPr>
          <w:rFonts w:ascii="Cambria" w:hAnsi="Cambria" w:cs="HelveticaNeueLTStd-Lt"/>
          <w:lang w:val="en-US"/>
        </w:rPr>
        <w:t>of the Recast</w:t>
      </w:r>
      <w:r w:rsidRPr="00DE2C4A">
        <w:rPr>
          <w:rFonts w:ascii="Cambria" w:hAnsi="Cambria" w:cs="HelveticaNeueLTStd-Lt"/>
          <w:lang w:val="en-US"/>
        </w:rPr>
        <w:t>.</w:t>
      </w:r>
    </w:p>
  </w:footnote>
  <w:footnote w:id="38">
    <w:p w14:paraId="726018D1" w14:textId="58B1B6AB" w:rsidR="00E10E75" w:rsidRPr="000C06B9" w:rsidRDefault="00E10E75" w:rsidP="007C7DD1">
      <w:pPr>
        <w:pStyle w:val="Notedebasdepage"/>
        <w:jc w:val="both"/>
        <w:rPr>
          <w:rFonts w:ascii="Cambria" w:hAnsi="Cambria"/>
          <w:lang w:val="en-US"/>
        </w:rPr>
      </w:pPr>
      <w:r w:rsidRPr="007C7DD1">
        <w:rPr>
          <w:rStyle w:val="Appelnotedebasdep"/>
          <w:rFonts w:ascii="Cambria" w:hAnsi="Cambria"/>
        </w:rPr>
        <w:footnoteRef/>
      </w:r>
      <w:r w:rsidRPr="000C06B9">
        <w:rPr>
          <w:rFonts w:ascii="Cambria" w:hAnsi="Cambria"/>
          <w:lang w:val="en-US"/>
        </w:rPr>
        <w:t xml:space="preserve"> </w:t>
      </w:r>
      <w:r w:rsidRPr="000C06B9">
        <w:rPr>
          <w:rFonts w:ascii="Cambria" w:hAnsi="Cambria" w:cs="Segoe UI"/>
          <w:color w:val="000000"/>
          <w:lang w:val="en-US"/>
        </w:rPr>
        <w:t xml:space="preserve">Articles 38, 39, 41 </w:t>
      </w:r>
      <w:r w:rsidR="000C06B9" w:rsidRPr="000C06B9">
        <w:rPr>
          <w:rFonts w:ascii="Cambria" w:hAnsi="Cambria" w:cs="Segoe UI"/>
          <w:color w:val="000000"/>
          <w:lang w:val="en-US"/>
        </w:rPr>
        <w:t>and</w:t>
      </w:r>
      <w:r w:rsidRPr="000C06B9">
        <w:rPr>
          <w:rFonts w:ascii="Cambria" w:hAnsi="Cambria" w:cs="Segoe UI"/>
          <w:color w:val="000000"/>
          <w:lang w:val="en-US"/>
        </w:rPr>
        <w:t xml:space="preserve"> 68 </w:t>
      </w:r>
      <w:r w:rsidR="000C06B9" w:rsidRPr="000C06B9">
        <w:rPr>
          <w:rFonts w:ascii="Cambria" w:hAnsi="Cambria" w:cs="Segoe UI"/>
          <w:color w:val="000000"/>
          <w:lang w:val="en-US"/>
        </w:rPr>
        <w:t>of the Recast</w:t>
      </w:r>
      <w:r w:rsidRPr="000C06B9">
        <w:rPr>
          <w:rFonts w:ascii="Cambria" w:hAnsi="Cambria" w:cs="Segoe UI"/>
          <w:color w:val="000000"/>
          <w:lang w:val="en-US"/>
        </w:rPr>
        <w:t>.</w:t>
      </w:r>
    </w:p>
  </w:footnote>
  <w:footnote w:id="39">
    <w:p w14:paraId="53A99F84" w14:textId="71881B79" w:rsidR="00E10E75" w:rsidRPr="00AD4085" w:rsidRDefault="00E10E75" w:rsidP="007C7DD1">
      <w:pPr>
        <w:pStyle w:val="Notedebasdepage"/>
        <w:jc w:val="both"/>
        <w:rPr>
          <w:rFonts w:ascii="Cambria" w:hAnsi="Cambria"/>
          <w:lang w:val="en-US"/>
        </w:rPr>
      </w:pPr>
      <w:r w:rsidRPr="00AD4085">
        <w:rPr>
          <w:rStyle w:val="Appelnotedebasdep"/>
          <w:rFonts w:ascii="Cambria" w:hAnsi="Cambria"/>
        </w:rPr>
        <w:footnoteRef/>
      </w:r>
      <w:r w:rsidRPr="00AD4085">
        <w:rPr>
          <w:rFonts w:ascii="Cambria" w:hAnsi="Cambria"/>
          <w:lang w:val="en-US"/>
        </w:rPr>
        <w:t xml:space="preserve"> </w:t>
      </w:r>
      <w:r w:rsidR="00AD4085" w:rsidRPr="00AD4085">
        <w:rPr>
          <w:rFonts w:ascii="Cambria" w:hAnsi="Cambria"/>
          <w:lang w:val="en-US"/>
        </w:rPr>
        <w:t>Only material a material error or omission or an irreconcilable decision may prevent recognition of these</w:t>
      </w:r>
      <w:r w:rsidRPr="00AD4085">
        <w:rPr>
          <w:rFonts w:ascii="Cambria" w:hAnsi="Cambria"/>
          <w:lang w:val="en-US"/>
        </w:rPr>
        <w:t xml:space="preserve">. Articles 48 </w:t>
      </w:r>
      <w:r w:rsidR="00BD4CB9" w:rsidRPr="00AD4085">
        <w:rPr>
          <w:rFonts w:ascii="Cambria" w:hAnsi="Cambria"/>
          <w:lang w:val="en-US"/>
        </w:rPr>
        <w:t>and</w:t>
      </w:r>
      <w:r w:rsidRPr="00AD4085">
        <w:rPr>
          <w:rFonts w:ascii="Cambria" w:hAnsi="Cambria"/>
          <w:lang w:val="en-US"/>
        </w:rPr>
        <w:t xml:space="preserve"> 50 </w:t>
      </w:r>
      <w:r w:rsidR="00BD4CB9" w:rsidRPr="00AD4085">
        <w:rPr>
          <w:rFonts w:ascii="Cambria" w:hAnsi="Cambria"/>
          <w:lang w:val="en-US"/>
        </w:rPr>
        <w:t>of the Recast</w:t>
      </w:r>
      <w:r w:rsidRPr="00AD4085">
        <w:rPr>
          <w:rFonts w:ascii="Cambria" w:hAnsi="Cambria"/>
          <w:lang w:val="en-US"/>
        </w:rPr>
        <w:t>.</w:t>
      </w:r>
    </w:p>
    <w:p w14:paraId="2AA7E295" w14:textId="6F47B32E" w:rsidR="00BD4CB9" w:rsidRPr="00BD4CB9" w:rsidRDefault="00BD4CB9" w:rsidP="007C7DD1">
      <w:pPr>
        <w:pStyle w:val="Notedebasdepage"/>
        <w:jc w:val="both"/>
        <w:rPr>
          <w:rFonts w:ascii="Cambria" w:hAnsi="Cambria"/>
          <w:lang w:val="en-US"/>
        </w:rPr>
      </w:pPr>
      <w:r w:rsidRPr="00AD4085">
        <w:rPr>
          <w:rFonts w:ascii="Cambria" w:hAnsi="Cambria"/>
          <w:lang w:val="en-US"/>
        </w:rPr>
        <w:t>a material error or omission or an</w:t>
      </w:r>
      <w:r>
        <w:rPr>
          <w:rFonts w:ascii="Cambria" w:hAnsi="Cambria"/>
          <w:lang w:val="en-US"/>
        </w:rPr>
        <w:t xml:space="preserve"> i</w:t>
      </w:r>
      <w:r w:rsidRPr="00BD4CB9">
        <w:rPr>
          <w:rFonts w:ascii="Cambria" w:hAnsi="Cambria"/>
          <w:lang w:val="en-US"/>
        </w:rPr>
        <w:t>rreconcilable</w:t>
      </w:r>
      <w:r>
        <w:rPr>
          <w:rFonts w:ascii="Cambria" w:hAnsi="Cambria"/>
          <w:lang w:val="en-US"/>
        </w:rPr>
        <w:t xml:space="preserve"> decision</w:t>
      </w:r>
    </w:p>
  </w:footnote>
  <w:footnote w:id="40">
    <w:p w14:paraId="6F897C0A" w14:textId="39B44A55" w:rsidR="006009C2" w:rsidRPr="00B33A07" w:rsidRDefault="006009C2" w:rsidP="00D3110D">
      <w:pPr>
        <w:pStyle w:val="Notedebasdepage"/>
        <w:jc w:val="both"/>
        <w:rPr>
          <w:rFonts w:ascii="Cambria" w:hAnsi="Cambria"/>
          <w:lang w:val="en-GB"/>
        </w:rPr>
      </w:pPr>
      <w:r w:rsidRPr="000A4286">
        <w:rPr>
          <w:rFonts w:ascii="Cambria" w:hAnsi="Cambria"/>
          <w:vertAlign w:val="superscript"/>
          <w:lang w:val="en-US"/>
        </w:rPr>
        <w:footnoteRef/>
      </w:r>
      <w:r w:rsidR="000A4286" w:rsidRPr="000A4286">
        <w:rPr>
          <w:rFonts w:ascii="Cambria" w:hAnsi="Cambria"/>
          <w:lang w:val="en-US"/>
        </w:rPr>
        <w:t xml:space="preserve"> For more information on this topic, see</w:t>
      </w:r>
      <w:r w:rsidR="00AB5B31">
        <w:rPr>
          <w:rFonts w:ascii="Cambria" w:hAnsi="Cambria"/>
          <w:lang w:val="en-US"/>
        </w:rPr>
        <w:t xml:space="preserve"> : </w:t>
      </w:r>
      <w:r w:rsidR="00AB5B31" w:rsidRPr="00B33A07">
        <w:rPr>
          <w:rFonts w:ascii="Cambria" w:hAnsi="Cambria"/>
          <w:lang w:val="en-GB"/>
        </w:rPr>
        <w:t xml:space="preserve">Agne </w:t>
      </w:r>
      <w:proofErr w:type="spellStart"/>
      <w:r w:rsidR="00AB5B31" w:rsidRPr="00B33A07">
        <w:rPr>
          <w:rFonts w:ascii="Cambria" w:hAnsi="Cambria"/>
          <w:lang w:val="en-GB"/>
        </w:rPr>
        <w:t>Limante</w:t>
      </w:r>
      <w:proofErr w:type="spellEnd"/>
      <w:r w:rsidR="00AB5B31">
        <w:rPr>
          <w:rFonts w:ascii="Cambria" w:hAnsi="Cambria"/>
          <w:lang w:val="en-GB"/>
        </w:rPr>
        <w:t>,</w:t>
      </w:r>
      <w:r w:rsidR="00AB5B31" w:rsidRPr="00B33A07">
        <w:rPr>
          <w:rFonts w:ascii="Cambria" w:hAnsi="Cambria"/>
          <w:lang w:val="en-GB"/>
        </w:rPr>
        <w:t xml:space="preserve"> </w:t>
      </w:r>
      <w:r w:rsidR="00AB5B31">
        <w:rPr>
          <w:rFonts w:ascii="Cambria" w:hAnsi="Cambria"/>
          <w:lang w:val="en-GB"/>
        </w:rPr>
        <w:t>‘</w:t>
      </w:r>
      <w:r w:rsidR="00AB5B31" w:rsidRPr="00B33A07">
        <w:rPr>
          <w:rFonts w:ascii="Cambria" w:hAnsi="Cambria"/>
          <w:lang w:val="en-GB"/>
        </w:rPr>
        <w:t>Prorogation of jurisdiction and choice of law in EU family</w:t>
      </w:r>
      <w:r w:rsidR="00AB5B31">
        <w:rPr>
          <w:rFonts w:ascii="Cambria" w:hAnsi="Cambria"/>
          <w:lang w:val="en-GB"/>
        </w:rPr>
        <w:t xml:space="preserve"> </w:t>
      </w:r>
      <w:r w:rsidR="00AB5B31" w:rsidRPr="00B33A07">
        <w:rPr>
          <w:rFonts w:ascii="Cambria" w:hAnsi="Cambria"/>
          <w:lang w:val="en-GB"/>
        </w:rPr>
        <w:t>law: navigating through the labyrinth of rules</w:t>
      </w:r>
      <w:r w:rsidR="00AB5B31">
        <w:rPr>
          <w:rFonts w:ascii="Cambria" w:hAnsi="Cambria"/>
          <w:lang w:val="en-GB"/>
        </w:rPr>
        <w:t xml:space="preserve">’ (2021) 17/2 </w:t>
      </w:r>
      <w:r w:rsidR="00AB5B31" w:rsidRPr="00B33A07">
        <w:rPr>
          <w:rFonts w:ascii="Cambria" w:hAnsi="Cambria"/>
          <w:lang w:val="en-GB"/>
        </w:rPr>
        <w:t>Journal of Private International Law</w:t>
      </w:r>
      <w:r w:rsidR="00AB5B31">
        <w:rPr>
          <w:rFonts w:ascii="Cambria" w:hAnsi="Cambria"/>
          <w:lang w:val="en-GB"/>
        </w:rPr>
        <w:t xml:space="preserve"> </w:t>
      </w:r>
      <w:r w:rsidR="00AB5B31" w:rsidRPr="00B33A07">
        <w:rPr>
          <w:rFonts w:ascii="Cambria" w:hAnsi="Cambria"/>
          <w:lang w:val="en-GB"/>
        </w:rPr>
        <w:t>334</w:t>
      </w:r>
      <w:r w:rsidR="00AB5B31">
        <w:rPr>
          <w:rFonts w:ascii="Cambria" w:hAnsi="Cambria"/>
          <w:lang w:val="en-GB"/>
        </w:rPr>
        <w:t xml:space="preserve"> ;</w:t>
      </w:r>
      <w:r w:rsidRPr="006009C2">
        <w:rPr>
          <w:lang w:val="en-GB"/>
        </w:rPr>
        <w:t xml:space="preserve"> </w:t>
      </w:r>
      <w:r w:rsidRPr="000A4286">
        <w:rPr>
          <w:rFonts w:ascii="Cambria" w:hAnsi="Cambria"/>
          <w:lang w:val="en-US"/>
        </w:rPr>
        <w:t>Lara Walker, ‘Party autonomy, inconsistency and the specific characteristics of family law in the EU’ (2018) 14/2 Journal of Private International Law</w:t>
      </w:r>
      <w:r w:rsidR="000A4286" w:rsidRPr="000A4286">
        <w:rPr>
          <w:rFonts w:ascii="Cambria" w:hAnsi="Cambria"/>
          <w:lang w:val="en-US"/>
        </w:rPr>
        <w:t xml:space="preserve"> 225</w:t>
      </w:r>
    </w:p>
  </w:footnote>
  <w:footnote w:id="41">
    <w:p w14:paraId="0B9FD5DF" w14:textId="4E2442BE" w:rsidR="00E10E75" w:rsidRPr="00BD4CB9" w:rsidRDefault="00E10E75" w:rsidP="007C7DD1">
      <w:pPr>
        <w:pStyle w:val="Notedebasdepage"/>
        <w:jc w:val="both"/>
        <w:rPr>
          <w:rFonts w:ascii="Cambria" w:hAnsi="Cambria"/>
          <w:lang w:val="en-US"/>
        </w:rPr>
      </w:pPr>
      <w:r w:rsidRPr="007C7DD1">
        <w:rPr>
          <w:rStyle w:val="Appelnotedebasdep"/>
          <w:rFonts w:ascii="Cambria" w:hAnsi="Cambria"/>
        </w:rPr>
        <w:footnoteRef/>
      </w:r>
      <w:r w:rsidRPr="00BD4CB9">
        <w:rPr>
          <w:rFonts w:ascii="Cambria" w:hAnsi="Cambria"/>
          <w:lang w:val="en-US"/>
        </w:rPr>
        <w:t xml:space="preserve"> </w:t>
      </w:r>
      <w:r w:rsidRPr="00BD4CB9">
        <w:rPr>
          <w:rFonts w:ascii="Cambria" w:hAnsi="Cambria" w:cs="HelveticaNeueLTStd-Lt"/>
          <w:lang w:val="en-US"/>
        </w:rPr>
        <w:t xml:space="preserve">Article 5 </w:t>
      </w:r>
      <w:r w:rsidR="000C06B9" w:rsidRPr="00BD4CB9">
        <w:rPr>
          <w:rFonts w:ascii="Cambria" w:hAnsi="Cambria" w:cs="HelveticaNeueLTStd-Lt"/>
          <w:lang w:val="en-US"/>
        </w:rPr>
        <w:t>of</w:t>
      </w:r>
      <w:r w:rsidRPr="00BD4CB9">
        <w:rPr>
          <w:rFonts w:ascii="Cambria" w:hAnsi="Cambria" w:cs="HelveticaNeueLTStd-Lt"/>
          <w:lang w:val="en-US"/>
        </w:rPr>
        <w:t xml:space="preserve"> Rome III</w:t>
      </w:r>
      <w:r w:rsidR="000C06B9" w:rsidRPr="00BD4CB9">
        <w:rPr>
          <w:rFonts w:ascii="Cambria" w:hAnsi="Cambria" w:cs="HelveticaNeueLTStd-Lt"/>
          <w:lang w:val="en-US"/>
        </w:rPr>
        <w:t xml:space="preserve"> Regulation</w:t>
      </w:r>
      <w:r w:rsidRPr="00BD4CB9">
        <w:rPr>
          <w:rFonts w:ascii="Cambria" w:hAnsi="Cambria" w:cs="HelveticaNeueLTStd-Lt"/>
          <w:lang w:val="en-US"/>
        </w:rPr>
        <w:t>.</w:t>
      </w:r>
    </w:p>
  </w:footnote>
  <w:footnote w:id="42">
    <w:p w14:paraId="3C2A7BB7" w14:textId="2C481021" w:rsidR="00E10E75" w:rsidRPr="00935AF6" w:rsidRDefault="00E10E75" w:rsidP="007C7DD1">
      <w:pPr>
        <w:pStyle w:val="Notedebasdepage"/>
        <w:jc w:val="both"/>
        <w:rPr>
          <w:rFonts w:ascii="Cambria" w:hAnsi="Cambria"/>
          <w:highlight w:val="yellow"/>
          <w:lang w:val="en-US"/>
        </w:rPr>
      </w:pPr>
      <w:r w:rsidRPr="00D6596D">
        <w:rPr>
          <w:rStyle w:val="Appelnotedebasdep"/>
          <w:rFonts w:ascii="Cambria" w:hAnsi="Cambria"/>
        </w:rPr>
        <w:footnoteRef/>
      </w:r>
      <w:r w:rsidRPr="00D6596D">
        <w:rPr>
          <w:rFonts w:ascii="Cambria" w:hAnsi="Cambria"/>
          <w:lang w:val="en-US"/>
        </w:rPr>
        <w:t xml:space="preserve"> </w:t>
      </w:r>
      <w:r w:rsidR="00935AF6" w:rsidRPr="00D6596D">
        <w:rPr>
          <w:rFonts w:ascii="Cambria" w:hAnsi="Cambria"/>
          <w:lang w:val="en-US"/>
        </w:rPr>
        <w:t>However</w:t>
      </w:r>
      <w:r w:rsidR="00935AF6" w:rsidRPr="00935AF6">
        <w:rPr>
          <w:rFonts w:ascii="Cambria" w:hAnsi="Cambria"/>
          <w:lang w:val="en-US"/>
        </w:rPr>
        <w:t xml:space="preserve">, it should be noted that making a forum selection clause for a </w:t>
      </w:r>
      <w:r w:rsidR="00B74829">
        <w:rPr>
          <w:rFonts w:ascii="Cambria" w:hAnsi="Cambria"/>
          <w:lang w:val="en-US"/>
        </w:rPr>
        <w:t>s</w:t>
      </w:r>
      <w:r w:rsidR="00935AF6" w:rsidRPr="00935AF6">
        <w:rPr>
          <w:rFonts w:ascii="Cambria" w:hAnsi="Cambria"/>
          <w:lang w:val="en-US"/>
        </w:rPr>
        <w:t xml:space="preserve">tate does not imply that the law of the forum (i.e. the law of the </w:t>
      </w:r>
      <w:r w:rsidR="00D6596D">
        <w:rPr>
          <w:rFonts w:ascii="Cambria" w:hAnsi="Cambria"/>
          <w:lang w:val="en-US"/>
        </w:rPr>
        <w:t>court</w:t>
      </w:r>
      <w:r w:rsidR="00935AF6" w:rsidRPr="00935AF6">
        <w:rPr>
          <w:rFonts w:ascii="Cambria" w:hAnsi="Cambria"/>
          <w:lang w:val="en-US"/>
        </w:rPr>
        <w:t xml:space="preserve"> </w:t>
      </w:r>
      <w:proofErr w:type="spellStart"/>
      <w:r w:rsidR="00935AF6" w:rsidRPr="00935AF6">
        <w:rPr>
          <w:rFonts w:ascii="Cambria" w:hAnsi="Cambria"/>
          <w:lang w:val="en-US"/>
        </w:rPr>
        <w:t>seised</w:t>
      </w:r>
      <w:proofErr w:type="spellEnd"/>
      <w:r w:rsidR="00935AF6" w:rsidRPr="00935AF6">
        <w:rPr>
          <w:rFonts w:ascii="Cambria" w:hAnsi="Cambria"/>
          <w:lang w:val="en-US"/>
        </w:rPr>
        <w:t>), will be applied. Apart from formal procedural questions, there is nothing to say that this strategy would be worthwhile in order to avoid the material requirements of a national law.</w:t>
      </w:r>
    </w:p>
  </w:footnote>
  <w:footnote w:id="43">
    <w:p w14:paraId="72769409" w14:textId="44C73852" w:rsidR="00E10E75" w:rsidRPr="008D14D0" w:rsidRDefault="00E10E75" w:rsidP="007C7DD1">
      <w:pPr>
        <w:pStyle w:val="Notedebasdepage"/>
        <w:jc w:val="both"/>
        <w:rPr>
          <w:lang w:val="en-GB"/>
        </w:rPr>
      </w:pPr>
      <w:r w:rsidRPr="00D6596D">
        <w:rPr>
          <w:rStyle w:val="Appelnotedebasdep"/>
          <w:rFonts w:ascii="Cambria" w:hAnsi="Cambria"/>
        </w:rPr>
        <w:footnoteRef/>
      </w:r>
      <w:r w:rsidRPr="00D6596D">
        <w:rPr>
          <w:rFonts w:ascii="Cambria" w:hAnsi="Cambria"/>
          <w:lang w:val="en-US"/>
        </w:rPr>
        <w:t xml:space="preserve"> </w:t>
      </w:r>
      <w:r w:rsidR="00D6596D" w:rsidRPr="00D6596D">
        <w:rPr>
          <w:rFonts w:ascii="Cambria" w:hAnsi="Cambria"/>
          <w:lang w:val="en-US"/>
        </w:rPr>
        <w:t>In Belgium, for example, this divis</w:t>
      </w:r>
      <w:r w:rsidR="00D6596D" w:rsidRPr="008D14D0">
        <w:rPr>
          <w:rFonts w:ascii="Cambria" w:hAnsi="Cambria"/>
          <w:lang w:val="en-US"/>
        </w:rPr>
        <w:t xml:space="preserve">ion can be found in the case law. </w:t>
      </w:r>
      <w:r w:rsidR="00A5526F" w:rsidRPr="008D14D0">
        <w:rPr>
          <w:rFonts w:ascii="Cambria" w:hAnsi="Cambria"/>
          <w:lang w:val="en-GB"/>
        </w:rPr>
        <w:t xml:space="preserve">One the one hand: </w:t>
      </w:r>
      <w:r w:rsidRPr="008D14D0">
        <w:rPr>
          <w:rFonts w:ascii="Cambria" w:hAnsi="Cambria"/>
          <w:lang w:val="en-GB"/>
        </w:rPr>
        <w:t>C</w:t>
      </w:r>
      <w:r w:rsidR="008F2A5D" w:rsidRPr="008D14D0">
        <w:rPr>
          <w:rFonts w:ascii="Cambria" w:hAnsi="Cambria"/>
          <w:lang w:val="en-GB"/>
        </w:rPr>
        <w:t>ourt of first instance</w:t>
      </w:r>
      <w:r w:rsidRPr="008D14D0">
        <w:rPr>
          <w:rFonts w:ascii="Cambria" w:hAnsi="Cambria"/>
          <w:lang w:val="en-GB"/>
        </w:rPr>
        <w:t xml:space="preserve"> </w:t>
      </w:r>
      <w:proofErr w:type="spellStart"/>
      <w:r w:rsidRPr="008D14D0">
        <w:rPr>
          <w:rFonts w:ascii="Cambria" w:hAnsi="Cambria"/>
          <w:lang w:val="en-GB"/>
        </w:rPr>
        <w:t>Bruxelles</w:t>
      </w:r>
      <w:proofErr w:type="spellEnd"/>
      <w:r w:rsidRPr="008D14D0">
        <w:rPr>
          <w:rFonts w:ascii="Cambria" w:hAnsi="Cambria"/>
          <w:lang w:val="en-GB"/>
        </w:rPr>
        <w:t xml:space="preserve"> 19 </w:t>
      </w:r>
      <w:r w:rsidR="008F2A5D" w:rsidRPr="008D14D0">
        <w:rPr>
          <w:rFonts w:ascii="Cambria" w:hAnsi="Cambria"/>
          <w:lang w:val="en-GB"/>
        </w:rPr>
        <w:t>June</w:t>
      </w:r>
      <w:r w:rsidRPr="008D14D0">
        <w:rPr>
          <w:rFonts w:ascii="Cambria" w:hAnsi="Cambria"/>
          <w:lang w:val="en-GB"/>
        </w:rPr>
        <w:t xml:space="preserve"> 2013</w:t>
      </w:r>
      <w:r w:rsidR="008F2A5D" w:rsidRPr="008D14D0">
        <w:rPr>
          <w:rFonts w:ascii="Cambria" w:hAnsi="Cambria"/>
          <w:lang w:val="en-GB"/>
        </w:rPr>
        <w:t xml:space="preserve"> (2013) 4 </w:t>
      </w:r>
      <w:r w:rsidR="008D14D0" w:rsidRPr="008D14D0">
        <w:rPr>
          <w:rFonts w:ascii="Cambria" w:hAnsi="Cambria"/>
          <w:lang w:val="en-GB"/>
        </w:rPr>
        <w:t xml:space="preserve">Revue@dipr.be </w:t>
      </w:r>
      <w:r w:rsidRPr="008D14D0">
        <w:rPr>
          <w:rFonts w:ascii="Cambria" w:hAnsi="Cambria"/>
          <w:lang w:val="en-GB"/>
        </w:rPr>
        <w:t xml:space="preserve">70, </w:t>
      </w:r>
      <w:r w:rsidR="00D5087A" w:rsidRPr="008D14D0">
        <w:rPr>
          <w:rFonts w:ascii="Cambria" w:hAnsi="Cambria"/>
          <w:lang w:val="en-GB"/>
        </w:rPr>
        <w:t>comment</w:t>
      </w:r>
      <w:r w:rsidRPr="008D14D0">
        <w:rPr>
          <w:rFonts w:ascii="Cambria" w:hAnsi="Cambria"/>
          <w:lang w:val="en-GB"/>
        </w:rPr>
        <w:t xml:space="preserve"> P</w:t>
      </w:r>
      <w:r w:rsidR="00D5087A" w:rsidRPr="008D14D0">
        <w:rPr>
          <w:rFonts w:ascii="Cambria" w:hAnsi="Cambria"/>
          <w:lang w:val="en-GB"/>
        </w:rPr>
        <w:t xml:space="preserve">atrick </w:t>
      </w:r>
      <w:proofErr w:type="spellStart"/>
      <w:r w:rsidR="00D5087A" w:rsidRPr="008D14D0">
        <w:rPr>
          <w:rFonts w:ascii="Cambria" w:hAnsi="Cambria"/>
          <w:lang w:val="en-GB"/>
        </w:rPr>
        <w:t>Wautelet</w:t>
      </w:r>
      <w:proofErr w:type="spellEnd"/>
      <w:r w:rsidRPr="008D14D0">
        <w:rPr>
          <w:rFonts w:ascii="Cambria" w:hAnsi="Cambria"/>
          <w:lang w:val="en-GB"/>
        </w:rPr>
        <w:t xml:space="preserve">. </w:t>
      </w:r>
      <w:r w:rsidR="00A5526F" w:rsidRPr="008D14D0">
        <w:rPr>
          <w:rFonts w:ascii="Cambria" w:hAnsi="Cambria"/>
          <w:lang w:val="en-GB"/>
        </w:rPr>
        <w:t xml:space="preserve">On the other </w:t>
      </w:r>
      <w:proofErr w:type="gramStart"/>
      <w:r w:rsidR="00A5526F" w:rsidRPr="008D14D0">
        <w:rPr>
          <w:rFonts w:ascii="Cambria" w:hAnsi="Cambria"/>
          <w:lang w:val="en-GB"/>
        </w:rPr>
        <w:t>hand</w:t>
      </w:r>
      <w:r w:rsidRPr="008D14D0">
        <w:rPr>
          <w:rFonts w:ascii="Cambria" w:hAnsi="Cambria"/>
          <w:i/>
          <w:iCs/>
          <w:lang w:val="en-GB"/>
        </w:rPr>
        <w:t> </w:t>
      </w:r>
      <w:r w:rsidRPr="008D14D0">
        <w:rPr>
          <w:rFonts w:ascii="Cambria" w:hAnsi="Cambria"/>
          <w:lang w:val="en-GB"/>
        </w:rPr>
        <w:t>:</w:t>
      </w:r>
      <w:proofErr w:type="gramEnd"/>
      <w:r w:rsidRPr="008D14D0">
        <w:rPr>
          <w:rFonts w:ascii="Cambria" w:hAnsi="Cambria"/>
          <w:lang w:val="en-GB"/>
        </w:rPr>
        <w:t xml:space="preserve"> </w:t>
      </w:r>
      <w:r w:rsidR="00D5087A" w:rsidRPr="008D14D0">
        <w:rPr>
          <w:rFonts w:ascii="Cambria" w:hAnsi="Cambria" w:cs="HelveticaNeueLTStd-Lt"/>
          <w:lang w:val="en-GB"/>
        </w:rPr>
        <w:t>Court of first instance</w:t>
      </w:r>
      <w:r w:rsidRPr="008D14D0">
        <w:rPr>
          <w:rFonts w:ascii="Cambria" w:hAnsi="Cambria" w:cs="HelveticaNeueLTStd-Lt"/>
          <w:lang w:val="en-GB"/>
        </w:rPr>
        <w:t xml:space="preserve"> </w:t>
      </w:r>
      <w:proofErr w:type="spellStart"/>
      <w:r w:rsidRPr="008D14D0">
        <w:rPr>
          <w:rFonts w:ascii="Cambria" w:hAnsi="Cambria" w:cs="HelveticaNeueLTStd-Lt"/>
          <w:lang w:val="en-GB"/>
        </w:rPr>
        <w:t>Bruxelles</w:t>
      </w:r>
      <w:proofErr w:type="spellEnd"/>
      <w:r w:rsidRPr="008D14D0">
        <w:rPr>
          <w:rFonts w:ascii="Cambria" w:hAnsi="Cambria" w:cs="HelveticaNeueLTStd-Lt"/>
          <w:lang w:val="en-GB"/>
        </w:rPr>
        <w:t xml:space="preserve"> 6 </w:t>
      </w:r>
      <w:r w:rsidR="00D5087A" w:rsidRPr="008D14D0">
        <w:rPr>
          <w:rFonts w:ascii="Cambria" w:hAnsi="Cambria" w:cs="HelveticaNeueLTStd-Lt"/>
          <w:lang w:val="en-GB"/>
        </w:rPr>
        <w:t>March</w:t>
      </w:r>
      <w:r w:rsidRPr="008D14D0">
        <w:rPr>
          <w:rFonts w:ascii="Cambria" w:hAnsi="Cambria" w:cs="HelveticaNeueLTStd-Lt"/>
          <w:lang w:val="en-GB"/>
        </w:rPr>
        <w:t xml:space="preserve"> 2019</w:t>
      </w:r>
      <w:r w:rsidR="00C56C69" w:rsidRPr="008D14D0">
        <w:rPr>
          <w:rFonts w:ascii="Cambria" w:hAnsi="Cambria" w:cs="HelveticaNeueLTStd-Lt"/>
          <w:lang w:val="en-GB"/>
        </w:rPr>
        <w:t xml:space="preserve"> </w:t>
      </w:r>
      <w:r w:rsidR="00F51024" w:rsidRPr="008D14D0">
        <w:rPr>
          <w:rFonts w:ascii="Cambria" w:hAnsi="Cambria" w:cs="HelveticaNeueLTStd-Lt"/>
          <w:lang w:val="en-GB"/>
        </w:rPr>
        <w:t>(</w:t>
      </w:r>
      <w:r w:rsidR="00F51024" w:rsidRPr="003C170B">
        <w:rPr>
          <w:rFonts w:ascii="Cambria" w:hAnsi="Cambria" w:cs="HelveticaNeueLTStd-Lt"/>
          <w:lang w:val="en-GB"/>
        </w:rPr>
        <w:t xml:space="preserve">2019) 3 </w:t>
      </w:r>
      <w:r w:rsidR="008D14D0" w:rsidRPr="003C170B">
        <w:rPr>
          <w:rFonts w:ascii="Cambria" w:hAnsi="Cambria"/>
          <w:lang w:val="en-GB"/>
        </w:rPr>
        <w:t>Revue@dipr.be</w:t>
      </w:r>
      <w:r w:rsidR="00F51024" w:rsidRPr="003C170B">
        <w:rPr>
          <w:rFonts w:ascii="Cambria" w:hAnsi="Cambria" w:cs="HelveticaNeueLTStd-Lt"/>
          <w:lang w:val="en-GB"/>
        </w:rPr>
        <w:t xml:space="preserve"> </w:t>
      </w:r>
      <w:r w:rsidRPr="003C170B">
        <w:rPr>
          <w:rFonts w:ascii="Cambria" w:hAnsi="Cambria" w:cs="HelveticaNeueLTStd-Lt"/>
          <w:lang w:val="en-GB"/>
        </w:rPr>
        <w:t>146</w:t>
      </w:r>
    </w:p>
  </w:footnote>
  <w:footnote w:id="44">
    <w:p w14:paraId="7B6CB956" w14:textId="0E6D1E08" w:rsidR="004F3E76" w:rsidRPr="000C06B9" w:rsidRDefault="004F3E76" w:rsidP="00DC7909">
      <w:pPr>
        <w:pStyle w:val="Notedebasdepage"/>
        <w:jc w:val="both"/>
        <w:rPr>
          <w:rFonts w:ascii="Cambria" w:hAnsi="Cambria"/>
          <w:lang w:val="en-US"/>
        </w:rPr>
      </w:pPr>
      <w:r w:rsidRPr="00DC7909">
        <w:rPr>
          <w:rStyle w:val="Appelnotedebasdep"/>
          <w:rFonts w:ascii="Cambria" w:hAnsi="Cambria"/>
        </w:rPr>
        <w:footnoteRef/>
      </w:r>
      <w:r w:rsidRPr="000C06B9">
        <w:rPr>
          <w:rFonts w:ascii="Cambria" w:hAnsi="Cambria"/>
          <w:lang w:val="en-US"/>
        </w:rPr>
        <w:t xml:space="preserve"> </w:t>
      </w:r>
      <w:r w:rsidR="003E78C3" w:rsidRPr="000C06B9">
        <w:rPr>
          <w:rFonts w:ascii="Cambria" w:hAnsi="Cambria"/>
          <w:lang w:val="en-US"/>
        </w:rPr>
        <w:t>Recital</w:t>
      </w:r>
      <w:r w:rsidR="00286268" w:rsidRPr="000C06B9">
        <w:rPr>
          <w:rFonts w:ascii="Cambria" w:hAnsi="Cambria"/>
          <w:lang w:val="en-US"/>
        </w:rPr>
        <w:t xml:space="preserve"> 10 </w:t>
      </w:r>
      <w:r w:rsidR="003E78C3" w:rsidRPr="000C06B9">
        <w:rPr>
          <w:rFonts w:ascii="Cambria" w:hAnsi="Cambria"/>
          <w:lang w:val="en-US"/>
        </w:rPr>
        <w:t>and</w:t>
      </w:r>
      <w:r w:rsidR="00286268" w:rsidRPr="000C06B9">
        <w:rPr>
          <w:rFonts w:ascii="Cambria" w:hAnsi="Cambria"/>
          <w:lang w:val="en-US"/>
        </w:rPr>
        <w:t xml:space="preserve"> article 13 </w:t>
      </w:r>
      <w:r w:rsidR="000C06B9" w:rsidRPr="000C06B9">
        <w:rPr>
          <w:rFonts w:ascii="Cambria" w:hAnsi="Cambria"/>
          <w:lang w:val="en-US"/>
        </w:rPr>
        <w:t>of</w:t>
      </w:r>
      <w:r w:rsidR="00286268" w:rsidRPr="000C06B9">
        <w:rPr>
          <w:rFonts w:ascii="Cambria" w:hAnsi="Cambria"/>
          <w:lang w:val="en-US"/>
        </w:rPr>
        <w:t xml:space="preserve"> Rome III</w:t>
      </w:r>
      <w:r w:rsidR="000C06B9" w:rsidRPr="000C06B9">
        <w:rPr>
          <w:rFonts w:ascii="Cambria" w:hAnsi="Cambria"/>
          <w:lang w:val="en-US"/>
        </w:rPr>
        <w:t xml:space="preserve"> Regulation ;</w:t>
      </w:r>
      <w:r w:rsidR="00286268" w:rsidRPr="000C06B9">
        <w:rPr>
          <w:rFonts w:ascii="Cambria" w:hAnsi="Cambria"/>
          <w:lang w:val="en-US"/>
        </w:rPr>
        <w:t xml:space="preserve"> </w:t>
      </w:r>
      <w:r w:rsidR="000C06B9" w:rsidRPr="000C06B9">
        <w:rPr>
          <w:rFonts w:ascii="Cambria" w:hAnsi="Cambria"/>
          <w:lang w:val="en-US"/>
        </w:rPr>
        <w:t>recital</w:t>
      </w:r>
      <w:r w:rsidR="00286268" w:rsidRPr="000C06B9">
        <w:rPr>
          <w:rFonts w:ascii="Cambria" w:hAnsi="Cambria"/>
          <w:lang w:val="en-US"/>
        </w:rPr>
        <w:t xml:space="preserve"> 17 </w:t>
      </w:r>
      <w:r w:rsidR="000C06B9">
        <w:rPr>
          <w:rFonts w:ascii="Cambria" w:hAnsi="Cambria"/>
          <w:lang w:val="en-US"/>
        </w:rPr>
        <w:t>of</w:t>
      </w:r>
      <w:r w:rsidR="00DC7909" w:rsidRPr="000C06B9">
        <w:rPr>
          <w:rFonts w:ascii="Cambria" w:hAnsi="Cambria"/>
          <w:lang w:val="en-US"/>
        </w:rPr>
        <w:t xml:space="preserve"> R</w:t>
      </w:r>
      <w:r w:rsidR="000C06B9">
        <w:rPr>
          <w:rFonts w:ascii="Cambria" w:hAnsi="Cambria"/>
          <w:lang w:val="en-US"/>
        </w:rPr>
        <w:t>egulation</w:t>
      </w:r>
      <w:r w:rsidR="00DC7909" w:rsidRPr="000C06B9">
        <w:rPr>
          <w:rFonts w:ascii="Cambria" w:hAnsi="Cambria"/>
          <w:lang w:val="en-US"/>
        </w:rPr>
        <w:t xml:space="preserve"> 2016/1103</w:t>
      </w:r>
      <w:r w:rsidR="00A52457">
        <w:rPr>
          <w:rFonts w:ascii="Cambria" w:hAnsi="Cambria"/>
          <w:lang w:val="en-US"/>
        </w:rPr>
        <w:t xml:space="preserve"> (relating to </w:t>
      </w:r>
      <w:r w:rsidR="00A52457" w:rsidRPr="00A52457">
        <w:rPr>
          <w:rFonts w:ascii="Cambria" w:hAnsi="Cambria"/>
          <w:lang w:val="en-US"/>
        </w:rPr>
        <w:t>matrimonial property regimes)</w:t>
      </w:r>
      <w:r w:rsidR="00DC7909" w:rsidRPr="000C06B9">
        <w:rPr>
          <w:rFonts w:ascii="Cambria" w:hAnsi="Cambria"/>
          <w:lang w:val="en-US"/>
        </w:rPr>
        <w:t>.</w:t>
      </w:r>
    </w:p>
  </w:footnote>
  <w:footnote w:id="45">
    <w:p w14:paraId="61920C4B" w14:textId="48917AD8" w:rsidR="00813AD8" w:rsidRPr="00813AD8" w:rsidRDefault="00813AD8" w:rsidP="00A52457">
      <w:pPr>
        <w:pStyle w:val="Notedebasdepage"/>
        <w:jc w:val="both"/>
        <w:rPr>
          <w:lang w:val="en-US"/>
        </w:rPr>
      </w:pPr>
      <w:r>
        <w:rPr>
          <w:rStyle w:val="Appelnotedebasdep"/>
        </w:rPr>
        <w:footnoteRef/>
      </w:r>
      <w:r w:rsidRPr="00813AD8">
        <w:rPr>
          <w:lang w:val="en-US"/>
        </w:rPr>
        <w:t xml:space="preserve"> </w:t>
      </w:r>
      <w:r w:rsidRPr="00A52457">
        <w:rPr>
          <w:rFonts w:ascii="Cambria" w:hAnsi="Cambria"/>
          <w:lang w:val="en-US"/>
        </w:rPr>
        <w:t>Compare</w:t>
      </w:r>
      <w:r w:rsidR="00692C4F">
        <w:rPr>
          <w:rFonts w:ascii="Cambria" w:hAnsi="Cambria"/>
          <w:lang w:val="en-US"/>
        </w:rPr>
        <w:t>d</w:t>
      </w:r>
      <w:r w:rsidRPr="00A52457">
        <w:rPr>
          <w:rFonts w:ascii="Cambria" w:hAnsi="Cambria"/>
          <w:lang w:val="en-US"/>
        </w:rPr>
        <w:t xml:space="preserve"> </w:t>
      </w:r>
      <w:r w:rsidR="00297230">
        <w:rPr>
          <w:rFonts w:ascii="Cambria" w:hAnsi="Cambria"/>
          <w:lang w:val="en-US"/>
        </w:rPr>
        <w:t>to</w:t>
      </w:r>
      <w:r w:rsidR="00DC2D6B" w:rsidRPr="00A52457">
        <w:rPr>
          <w:rFonts w:ascii="Cambria" w:hAnsi="Cambria"/>
          <w:lang w:val="en-US"/>
        </w:rPr>
        <w:t xml:space="preserve"> article 7 of </w:t>
      </w:r>
      <w:r>
        <w:rPr>
          <w:rFonts w:ascii="Cambria" w:hAnsi="Cambria"/>
          <w:lang w:val="en-US"/>
        </w:rPr>
        <w:t>Regulation</w:t>
      </w:r>
      <w:r w:rsidRPr="002E5322">
        <w:rPr>
          <w:rFonts w:ascii="Cambria" w:hAnsi="Cambria"/>
          <w:lang w:val="en-US"/>
        </w:rPr>
        <w:t xml:space="preserve"> 4/2009</w:t>
      </w:r>
      <w:r>
        <w:rPr>
          <w:rFonts w:ascii="Cambria" w:hAnsi="Cambria"/>
          <w:lang w:val="en-US"/>
        </w:rPr>
        <w:t xml:space="preserve"> </w:t>
      </w:r>
      <w:r w:rsidR="00DC2D6B">
        <w:rPr>
          <w:rFonts w:ascii="Cambria" w:hAnsi="Cambria"/>
          <w:lang w:val="en-US"/>
        </w:rPr>
        <w:t>(</w:t>
      </w:r>
      <w:r w:rsidRPr="00A52457">
        <w:rPr>
          <w:rFonts w:ascii="Cambria" w:hAnsi="Cambria"/>
          <w:lang w:val="en-US"/>
        </w:rPr>
        <w:t>relating to maintenance obligations</w:t>
      </w:r>
      <w:r w:rsidR="00DC2D6B" w:rsidRPr="00A52457">
        <w:rPr>
          <w:rFonts w:ascii="Cambria" w:hAnsi="Cambria"/>
          <w:lang w:val="en-US"/>
        </w:rPr>
        <w:t>) and article 11 of Regulation 2016/1103</w:t>
      </w:r>
      <w:r w:rsidR="00A52457">
        <w:rPr>
          <w:rFonts w:ascii="Cambria" w:hAnsi="Cambria"/>
          <w:lang w:val="en-US"/>
        </w:rPr>
        <w:t xml:space="preserve"> (relating to matrimonial property regime)</w:t>
      </w:r>
      <w:r w:rsidR="000072C9">
        <w:rPr>
          <w:rFonts w:ascii="Cambria" w:hAnsi="Cambria"/>
          <w:lang w:val="en-US"/>
        </w:rPr>
        <w:t>.</w:t>
      </w:r>
    </w:p>
  </w:footnote>
  <w:footnote w:id="46">
    <w:p w14:paraId="24760293" w14:textId="1A543107" w:rsidR="006769E2" w:rsidRPr="0050693B" w:rsidRDefault="006769E2" w:rsidP="0050693B">
      <w:pPr>
        <w:pStyle w:val="Notedebasdepage"/>
        <w:jc w:val="both"/>
        <w:rPr>
          <w:lang w:val="en-GB"/>
        </w:rPr>
      </w:pPr>
      <w:r>
        <w:rPr>
          <w:rStyle w:val="Appelnotedebasdep"/>
        </w:rPr>
        <w:footnoteRef/>
      </w:r>
      <w:r w:rsidRPr="008D14D0">
        <w:rPr>
          <w:lang w:val="en-GB"/>
        </w:rPr>
        <w:t xml:space="preserve"> </w:t>
      </w:r>
      <w:r w:rsidR="00297230">
        <w:rPr>
          <w:rFonts w:ascii="Cambria" w:hAnsi="Cambria"/>
          <w:lang w:val="en-GB"/>
        </w:rPr>
        <w:t>e</w:t>
      </w:r>
      <w:r w:rsidRPr="008D14D0">
        <w:rPr>
          <w:rFonts w:ascii="Cambria" w:hAnsi="Cambria"/>
          <w:lang w:val="en-GB"/>
        </w:rPr>
        <w:t xml:space="preserve">.g.: Court of first instance </w:t>
      </w:r>
      <w:proofErr w:type="spellStart"/>
      <w:r w:rsidRPr="008D14D0">
        <w:rPr>
          <w:rFonts w:ascii="Cambria" w:hAnsi="Cambria"/>
          <w:lang w:val="en-GB"/>
        </w:rPr>
        <w:t>Bruxelles</w:t>
      </w:r>
      <w:proofErr w:type="spellEnd"/>
      <w:r w:rsidRPr="008D14D0">
        <w:rPr>
          <w:rFonts w:ascii="Cambria" w:hAnsi="Cambria"/>
          <w:lang w:val="en-GB"/>
        </w:rPr>
        <w:t xml:space="preserve"> 19 June 2013 (2013) 4 </w:t>
      </w:r>
      <w:r w:rsidR="008D14D0">
        <w:fldChar w:fldCharType="begin"/>
      </w:r>
      <w:r w:rsidR="008D14D0" w:rsidRPr="008450FD">
        <w:rPr>
          <w:lang w:val="en-US"/>
        </w:rPr>
        <w:instrText>HYPERLINK "mailto:Revue@dipr.be"</w:instrText>
      </w:r>
      <w:r w:rsidR="008D14D0">
        <w:fldChar w:fldCharType="separate"/>
      </w:r>
      <w:r w:rsidR="008D14D0" w:rsidRPr="008D14D0">
        <w:rPr>
          <w:rFonts w:ascii="Cambria" w:hAnsi="Cambria"/>
          <w:lang w:val="en-GB"/>
        </w:rPr>
        <w:t>Revue@dipr.be</w:t>
      </w:r>
      <w:r w:rsidR="008D14D0">
        <w:rPr>
          <w:rFonts w:ascii="Cambria" w:hAnsi="Cambria"/>
          <w:lang w:val="en-GB"/>
        </w:rPr>
        <w:fldChar w:fldCharType="end"/>
      </w:r>
      <w:r w:rsidR="008D14D0" w:rsidRPr="008D14D0">
        <w:rPr>
          <w:rFonts w:ascii="Cambria" w:hAnsi="Cambria"/>
          <w:lang w:val="en-GB"/>
        </w:rPr>
        <w:t xml:space="preserve"> </w:t>
      </w:r>
      <w:r w:rsidRPr="008D14D0">
        <w:rPr>
          <w:rFonts w:ascii="Cambria" w:hAnsi="Cambria"/>
          <w:lang w:val="en-GB"/>
        </w:rPr>
        <w:t xml:space="preserve">70, comment Patrick </w:t>
      </w:r>
      <w:proofErr w:type="spellStart"/>
      <w:r w:rsidRPr="008D14D0">
        <w:rPr>
          <w:rFonts w:ascii="Cambria" w:hAnsi="Cambria"/>
          <w:lang w:val="en-GB"/>
        </w:rPr>
        <w:t>Wautelet</w:t>
      </w:r>
      <w:proofErr w:type="spellEnd"/>
      <w:r w:rsidR="0050693B" w:rsidRPr="008D14D0">
        <w:rPr>
          <w:rFonts w:ascii="Cambria" w:hAnsi="Cambria"/>
          <w:lang w:val="en-GB"/>
        </w:rPr>
        <w:t>.</w:t>
      </w:r>
      <w:r w:rsidR="00ED7C08" w:rsidRPr="008D14D0">
        <w:rPr>
          <w:rFonts w:ascii="Cambria" w:hAnsi="Cambria"/>
          <w:lang w:val="en-GB"/>
        </w:rPr>
        <w:t xml:space="preserve"> </w:t>
      </w:r>
      <w:r w:rsidR="0050693B" w:rsidRPr="008D14D0">
        <w:rPr>
          <w:rFonts w:ascii="Cambria" w:hAnsi="Cambria"/>
          <w:lang w:val="en-GB"/>
        </w:rPr>
        <w:t>In this case, the court still applied the national rules of jurisdiction (precisely</w:t>
      </w:r>
      <w:r w:rsidR="0050693B">
        <w:rPr>
          <w:rFonts w:ascii="Cambria" w:hAnsi="Cambria"/>
          <w:lang w:val="en-GB"/>
        </w:rPr>
        <w:t>, in order to invoke</w:t>
      </w:r>
      <w:r w:rsidR="0050693B" w:rsidRPr="0050693B">
        <w:rPr>
          <w:rFonts w:ascii="Cambria" w:hAnsi="Cambria"/>
          <w:lang w:val="en-GB"/>
        </w:rPr>
        <w:t xml:space="preserve"> the forum of necessity that exists in Belgian law).</w:t>
      </w:r>
    </w:p>
  </w:footnote>
  <w:footnote w:id="47">
    <w:p w14:paraId="4006E90D" w14:textId="1C08D4F5" w:rsidR="0082492B" w:rsidRPr="0007451E" w:rsidRDefault="0082492B" w:rsidP="007C7DD1">
      <w:pPr>
        <w:pStyle w:val="Notedebasdepage"/>
        <w:jc w:val="both"/>
        <w:rPr>
          <w:rFonts w:ascii="Cambria" w:hAnsi="Cambria"/>
        </w:rPr>
      </w:pPr>
      <w:r w:rsidRPr="009F61ED">
        <w:rPr>
          <w:rStyle w:val="Appelnotedebasdep"/>
          <w:rFonts w:ascii="Cambria" w:hAnsi="Cambria"/>
        </w:rPr>
        <w:footnoteRef/>
      </w:r>
      <w:r w:rsidRPr="009F61ED">
        <w:rPr>
          <w:rFonts w:ascii="Cambria" w:hAnsi="Cambria"/>
          <w:lang w:val="en-US"/>
        </w:rPr>
        <w:t xml:space="preserve"> </w:t>
      </w:r>
      <w:r w:rsidR="009F61ED" w:rsidRPr="009F61ED">
        <w:rPr>
          <w:rFonts w:ascii="Cambria" w:hAnsi="Cambria"/>
          <w:lang w:val="en-US"/>
        </w:rPr>
        <w:t>In divorce matters, t</w:t>
      </w:r>
      <w:r w:rsidRPr="009F61ED">
        <w:rPr>
          <w:rFonts w:ascii="Cambria" w:hAnsi="Cambria"/>
          <w:lang w:val="en-US"/>
        </w:rPr>
        <w:t xml:space="preserve">he </w:t>
      </w:r>
      <w:r w:rsidR="009F61ED" w:rsidRPr="009F61ED">
        <w:rPr>
          <w:rFonts w:ascii="Cambria" w:hAnsi="Cambria"/>
          <w:lang w:val="en-US"/>
        </w:rPr>
        <w:t>R</w:t>
      </w:r>
      <w:r w:rsidRPr="009F61ED">
        <w:rPr>
          <w:rFonts w:ascii="Cambria" w:hAnsi="Cambria"/>
          <w:lang w:val="en-US"/>
        </w:rPr>
        <w:t>ecast specif</w:t>
      </w:r>
      <w:r w:rsidR="00297230">
        <w:rPr>
          <w:rFonts w:ascii="Cambria" w:hAnsi="Cambria"/>
          <w:lang w:val="en-US"/>
        </w:rPr>
        <w:t>ies</w:t>
      </w:r>
      <w:r w:rsidRPr="009F61ED">
        <w:rPr>
          <w:rFonts w:ascii="Cambria" w:hAnsi="Cambria"/>
          <w:lang w:val="en-US"/>
        </w:rPr>
        <w:t xml:space="preserve"> (as did, albeit less clearly, its predecessor Brussels </w:t>
      </w:r>
      <w:proofErr w:type="spellStart"/>
      <w:r w:rsidRPr="009F61ED">
        <w:rPr>
          <w:rFonts w:ascii="Cambria" w:hAnsi="Cambria"/>
          <w:lang w:val="en-US"/>
        </w:rPr>
        <w:t>IIa</w:t>
      </w:r>
      <w:proofErr w:type="spellEnd"/>
      <w:r w:rsidR="006A71EE" w:rsidRPr="009F61ED">
        <w:rPr>
          <w:rFonts w:ascii="Cambria" w:hAnsi="Cambria"/>
          <w:lang w:val="en-US"/>
        </w:rPr>
        <w:t xml:space="preserve">, see Case C-501/20 </w:t>
      </w:r>
      <w:r w:rsidR="006A71EE" w:rsidRPr="009F61ED">
        <w:rPr>
          <w:rFonts w:ascii="Cambria" w:hAnsi="Cambria"/>
          <w:i/>
          <w:iCs/>
          <w:lang w:val="en-US"/>
        </w:rPr>
        <w:t>MPA</w:t>
      </w:r>
      <w:r w:rsidR="006A71EE" w:rsidRPr="009F61ED">
        <w:rPr>
          <w:rFonts w:ascii="Cambria" w:hAnsi="Cambria"/>
          <w:lang w:val="en-US"/>
        </w:rPr>
        <w:t xml:space="preserve"> [2022] ECLI:EU:C:2022:619, para 84</w:t>
      </w:r>
      <w:r w:rsidRPr="009F61ED">
        <w:rPr>
          <w:rFonts w:ascii="Cambria" w:hAnsi="Cambria"/>
          <w:lang w:val="en-US"/>
        </w:rPr>
        <w:t>) that if the defendant is a national of a Member State or habitually resident there, only the jurisdictional rules of the Regulation can be invoked against him or her, to the exclusion of national rules.</w:t>
      </w:r>
      <w:r w:rsidR="00AB27BB" w:rsidRPr="009F61ED">
        <w:rPr>
          <w:rFonts w:ascii="Cambria" w:hAnsi="Cambria"/>
          <w:lang w:val="en-US"/>
        </w:rPr>
        <w:t xml:space="preserve"> </w:t>
      </w:r>
      <w:proofErr w:type="spellStart"/>
      <w:r w:rsidR="009F61ED" w:rsidRPr="0007451E">
        <w:rPr>
          <w:rFonts w:ascii="Cambria" w:hAnsi="Cambria"/>
        </w:rPr>
        <w:t>Compare</w:t>
      </w:r>
      <w:r w:rsidR="00692C4F" w:rsidRPr="0007451E">
        <w:rPr>
          <w:rFonts w:ascii="Cambria" w:hAnsi="Cambria"/>
        </w:rPr>
        <w:t>d</w:t>
      </w:r>
      <w:proofErr w:type="spellEnd"/>
      <w:r w:rsidR="00390C71" w:rsidRPr="0007451E">
        <w:rPr>
          <w:rFonts w:ascii="Cambria" w:hAnsi="Cambria"/>
        </w:rPr>
        <w:t xml:space="preserve"> to</w:t>
      </w:r>
      <w:r w:rsidR="009F61ED" w:rsidRPr="0007451E">
        <w:rPr>
          <w:rFonts w:ascii="Cambria" w:hAnsi="Cambria"/>
        </w:rPr>
        <w:t xml:space="preserve"> article 14 in parental </w:t>
      </w:r>
      <w:proofErr w:type="spellStart"/>
      <w:r w:rsidR="009F61ED" w:rsidRPr="0007451E">
        <w:rPr>
          <w:rFonts w:ascii="Cambria" w:hAnsi="Cambria"/>
        </w:rPr>
        <w:t>responsibility</w:t>
      </w:r>
      <w:proofErr w:type="spellEnd"/>
      <w:r w:rsidR="009F61ED" w:rsidRPr="0007451E">
        <w:rPr>
          <w:rFonts w:ascii="Cambria" w:hAnsi="Cambria"/>
        </w:rPr>
        <w:t xml:space="preserve"> </w:t>
      </w:r>
      <w:proofErr w:type="spellStart"/>
      <w:r w:rsidR="009F61ED" w:rsidRPr="0007451E">
        <w:rPr>
          <w:rFonts w:ascii="Cambria" w:hAnsi="Cambria"/>
        </w:rPr>
        <w:t>matters</w:t>
      </w:r>
      <w:proofErr w:type="spellEnd"/>
      <w:r w:rsidR="000072C9" w:rsidRPr="0007451E">
        <w:rPr>
          <w:rFonts w:ascii="Cambria" w:hAnsi="Cambria"/>
        </w:rPr>
        <w:t>.</w:t>
      </w:r>
    </w:p>
  </w:footnote>
  <w:footnote w:id="48">
    <w:p w14:paraId="37EDE213" w14:textId="75C8A497" w:rsidR="00E10E75" w:rsidRPr="00C1736F" w:rsidRDefault="00E10E75" w:rsidP="00CE7B74">
      <w:pPr>
        <w:pStyle w:val="Notedebasdepage"/>
        <w:jc w:val="both"/>
        <w:rPr>
          <w:rFonts w:ascii="Cambria" w:hAnsi="Cambria"/>
          <w:highlight w:val="yellow"/>
          <w:lang w:val="fr-FR"/>
        </w:rPr>
      </w:pPr>
      <w:r w:rsidRPr="007C7DD1">
        <w:rPr>
          <w:rStyle w:val="Appelnotedebasdep"/>
          <w:rFonts w:ascii="Cambria" w:hAnsi="Cambria"/>
        </w:rPr>
        <w:footnoteRef/>
      </w:r>
      <w:r w:rsidRPr="00C719DD">
        <w:rPr>
          <w:rFonts w:ascii="Cambria" w:hAnsi="Cambria"/>
          <w:lang w:val="fr-FR"/>
        </w:rPr>
        <w:t xml:space="preserve"> </w:t>
      </w:r>
      <w:r w:rsidRPr="00EF47ED">
        <w:rPr>
          <w:rFonts w:ascii="Cambria" w:hAnsi="Cambria"/>
          <w:lang w:val="fr-FR"/>
        </w:rPr>
        <w:t>A</w:t>
      </w:r>
      <w:r w:rsidR="00E92BF8" w:rsidRPr="00EF47ED">
        <w:rPr>
          <w:rFonts w:ascii="Cambria" w:hAnsi="Cambria"/>
          <w:lang w:val="fr-FR"/>
        </w:rPr>
        <w:t xml:space="preserve">ndrea </w:t>
      </w:r>
      <w:proofErr w:type="spellStart"/>
      <w:r w:rsidR="00E92BF8" w:rsidRPr="00EF47ED">
        <w:rPr>
          <w:rFonts w:ascii="Cambria" w:hAnsi="Cambria"/>
          <w:lang w:val="fr-FR"/>
        </w:rPr>
        <w:t>Bonomi</w:t>
      </w:r>
      <w:proofErr w:type="spellEnd"/>
      <w:r w:rsidRPr="00EF47ED">
        <w:rPr>
          <w:rFonts w:ascii="Cambria" w:hAnsi="Cambria"/>
          <w:lang w:val="fr-FR"/>
        </w:rPr>
        <w:t xml:space="preserve">, </w:t>
      </w:r>
      <w:r w:rsidR="00E92BF8" w:rsidRPr="00EF47ED">
        <w:rPr>
          <w:rFonts w:ascii="Cambria" w:hAnsi="Cambria"/>
          <w:lang w:val="fr-FR"/>
        </w:rPr>
        <w:t>‘</w:t>
      </w:r>
      <w:r w:rsidRPr="00EF47ED">
        <w:rPr>
          <w:rFonts w:ascii="Cambria" w:hAnsi="Cambria"/>
          <w:lang w:val="fr-FR"/>
        </w:rPr>
        <w:t xml:space="preserve">La compétence internationale en matière de divorce – Quelques suggestions pour une (improbable) révision du règlement </w:t>
      </w:r>
      <w:r w:rsidRPr="002C5342">
        <w:rPr>
          <w:rFonts w:ascii="Cambria" w:hAnsi="Cambria"/>
          <w:lang w:val="fr-FR"/>
        </w:rPr>
        <w:t xml:space="preserve">Bruxelles </w:t>
      </w:r>
      <w:proofErr w:type="spellStart"/>
      <w:r w:rsidRPr="002C5342">
        <w:rPr>
          <w:rFonts w:ascii="Cambria" w:hAnsi="Cambria"/>
          <w:lang w:val="fr-FR"/>
        </w:rPr>
        <w:t>II</w:t>
      </w:r>
      <w:r w:rsidRPr="002C5342">
        <w:rPr>
          <w:rFonts w:ascii="Cambria" w:hAnsi="Cambria"/>
          <w:i/>
          <w:iCs/>
          <w:lang w:val="fr-FR"/>
        </w:rPr>
        <w:t>bis</w:t>
      </w:r>
      <w:proofErr w:type="spellEnd"/>
      <w:r w:rsidR="00E92BF8" w:rsidRPr="002C5342">
        <w:rPr>
          <w:rFonts w:ascii="Cambria" w:hAnsi="Cambria"/>
          <w:lang w:val="fr-FR"/>
        </w:rPr>
        <w:t>’ (2017) 4</w:t>
      </w:r>
      <w:r w:rsidRPr="002C5342">
        <w:rPr>
          <w:rFonts w:ascii="Cambria" w:hAnsi="Cambria"/>
          <w:lang w:val="fr-FR"/>
        </w:rPr>
        <w:t xml:space="preserve"> Rev</w:t>
      </w:r>
      <w:r w:rsidR="00660EBF">
        <w:rPr>
          <w:rFonts w:ascii="Cambria" w:hAnsi="Cambria"/>
          <w:lang w:val="fr-FR"/>
        </w:rPr>
        <w:t>ue</w:t>
      </w:r>
      <w:r w:rsidRPr="002C5342">
        <w:rPr>
          <w:rFonts w:ascii="Cambria" w:hAnsi="Cambria"/>
          <w:lang w:val="fr-FR"/>
        </w:rPr>
        <w:t xml:space="preserve"> crit</w:t>
      </w:r>
      <w:r w:rsidR="00660EBF">
        <w:rPr>
          <w:rFonts w:ascii="Cambria" w:hAnsi="Cambria"/>
          <w:lang w:val="fr-FR"/>
        </w:rPr>
        <w:t>ique de</w:t>
      </w:r>
      <w:r w:rsidRPr="002C5342">
        <w:rPr>
          <w:rFonts w:ascii="Cambria" w:hAnsi="Cambria"/>
          <w:lang w:val="fr-FR"/>
        </w:rPr>
        <w:t xml:space="preserve"> dr</w:t>
      </w:r>
      <w:r w:rsidR="00660EBF">
        <w:rPr>
          <w:rFonts w:ascii="Cambria" w:hAnsi="Cambria"/>
          <w:lang w:val="fr-FR"/>
        </w:rPr>
        <w:t>oit</w:t>
      </w:r>
      <w:r w:rsidRPr="002C5342">
        <w:rPr>
          <w:rFonts w:ascii="Cambria" w:hAnsi="Cambria"/>
          <w:lang w:val="fr-FR"/>
        </w:rPr>
        <w:t xml:space="preserve"> intern</w:t>
      </w:r>
      <w:r w:rsidR="00660EBF">
        <w:rPr>
          <w:rFonts w:ascii="Cambria" w:hAnsi="Cambria"/>
          <w:lang w:val="fr-FR"/>
        </w:rPr>
        <w:t>ational</w:t>
      </w:r>
      <w:r w:rsidRPr="002C5342">
        <w:rPr>
          <w:rFonts w:ascii="Cambria" w:hAnsi="Cambria"/>
          <w:lang w:val="fr-FR"/>
        </w:rPr>
        <w:t xml:space="preserve"> </w:t>
      </w:r>
      <w:r w:rsidR="00E92BF8" w:rsidRPr="002C5342">
        <w:rPr>
          <w:rFonts w:ascii="Cambria" w:hAnsi="Cambria"/>
          <w:lang w:val="fr-FR"/>
        </w:rPr>
        <w:t>p</w:t>
      </w:r>
      <w:r w:rsidRPr="002C5342">
        <w:rPr>
          <w:rFonts w:ascii="Cambria" w:hAnsi="Cambria"/>
          <w:lang w:val="fr-FR"/>
        </w:rPr>
        <w:t>rivé 511</w:t>
      </w:r>
      <w:r w:rsidR="00E92BF8" w:rsidRPr="002C5342">
        <w:rPr>
          <w:rFonts w:ascii="Cambria" w:hAnsi="Cambria"/>
          <w:lang w:val="fr-FR"/>
        </w:rPr>
        <w:t xml:space="preserve"> </w:t>
      </w:r>
      <w:r w:rsidRPr="002C5342">
        <w:rPr>
          <w:rFonts w:ascii="Cambria" w:hAnsi="Cambria"/>
          <w:lang w:val="fr-FR"/>
        </w:rPr>
        <w:t xml:space="preserve">; </w:t>
      </w:r>
      <w:r w:rsidR="00902642">
        <w:rPr>
          <w:rFonts w:ascii="Cambria" w:hAnsi="Cambria"/>
          <w:lang w:val="fr-FR"/>
        </w:rPr>
        <w:t xml:space="preserve">Laura </w:t>
      </w:r>
      <w:proofErr w:type="spellStart"/>
      <w:r w:rsidR="00902642">
        <w:rPr>
          <w:rFonts w:ascii="Cambria" w:hAnsi="Cambria"/>
          <w:lang w:val="fr-FR"/>
        </w:rPr>
        <w:t>Carpaneto</w:t>
      </w:r>
      <w:proofErr w:type="spellEnd"/>
      <w:r w:rsidR="00902642">
        <w:rPr>
          <w:rFonts w:ascii="Cambria" w:hAnsi="Cambria"/>
          <w:lang w:val="fr-FR"/>
        </w:rPr>
        <w:t xml:space="preserve">, ‘La </w:t>
      </w:r>
      <w:proofErr w:type="spellStart"/>
      <w:r w:rsidR="00902642">
        <w:rPr>
          <w:rFonts w:ascii="Cambria" w:hAnsi="Cambria"/>
          <w:lang w:val="fr-FR"/>
        </w:rPr>
        <w:t>ricerca</w:t>
      </w:r>
      <w:proofErr w:type="spellEnd"/>
      <w:r w:rsidR="00902642">
        <w:rPr>
          <w:rFonts w:ascii="Cambria" w:hAnsi="Cambria"/>
          <w:lang w:val="fr-FR"/>
        </w:rPr>
        <w:t xml:space="preserve"> di </w:t>
      </w:r>
      <w:proofErr w:type="spellStart"/>
      <w:r w:rsidR="00902642">
        <w:rPr>
          <w:rFonts w:ascii="Cambria" w:hAnsi="Cambria"/>
          <w:lang w:val="fr-FR"/>
        </w:rPr>
        <w:t>una</w:t>
      </w:r>
      <w:proofErr w:type="spellEnd"/>
      <w:r w:rsidR="00902642">
        <w:rPr>
          <w:rFonts w:ascii="Cambria" w:hAnsi="Cambria"/>
          <w:lang w:val="fr-FR"/>
        </w:rPr>
        <w:t xml:space="preserve"> (</w:t>
      </w:r>
      <w:proofErr w:type="spellStart"/>
      <w:r w:rsidR="00902642">
        <w:rPr>
          <w:rFonts w:ascii="Cambria" w:hAnsi="Cambria"/>
          <w:lang w:val="fr-FR"/>
        </w:rPr>
        <w:t>nuova</w:t>
      </w:r>
      <w:proofErr w:type="spellEnd"/>
      <w:r w:rsidR="00902642">
        <w:rPr>
          <w:rFonts w:ascii="Cambria" w:hAnsi="Cambria"/>
          <w:lang w:val="fr-FR"/>
        </w:rPr>
        <w:t xml:space="preserve">) </w:t>
      </w:r>
      <w:proofErr w:type="spellStart"/>
      <w:r w:rsidR="00902642">
        <w:rPr>
          <w:rFonts w:ascii="Cambria" w:hAnsi="Cambria"/>
          <w:lang w:val="fr-FR"/>
        </w:rPr>
        <w:t>sintesi</w:t>
      </w:r>
      <w:proofErr w:type="spellEnd"/>
      <w:r w:rsidR="00902642">
        <w:rPr>
          <w:rFonts w:ascii="Cambria" w:hAnsi="Cambria"/>
          <w:lang w:val="fr-FR"/>
        </w:rPr>
        <w:t xml:space="preserve"> tra </w:t>
      </w:r>
      <w:proofErr w:type="spellStart"/>
      <w:r w:rsidR="00902642">
        <w:rPr>
          <w:rFonts w:ascii="Cambria" w:hAnsi="Cambria"/>
          <w:lang w:val="fr-FR"/>
        </w:rPr>
        <w:t>interesse</w:t>
      </w:r>
      <w:proofErr w:type="spellEnd"/>
      <w:r w:rsidR="00902642">
        <w:rPr>
          <w:rFonts w:ascii="Cambria" w:hAnsi="Cambria"/>
          <w:lang w:val="fr-FR"/>
        </w:rPr>
        <w:t xml:space="preserve"> superiore </w:t>
      </w:r>
      <w:proofErr w:type="spellStart"/>
      <w:r w:rsidR="00902642">
        <w:rPr>
          <w:rFonts w:ascii="Cambria" w:hAnsi="Cambria"/>
          <w:lang w:val="fr-FR"/>
        </w:rPr>
        <w:t>del</w:t>
      </w:r>
      <w:proofErr w:type="spellEnd"/>
      <w:r w:rsidR="00902642">
        <w:rPr>
          <w:rFonts w:ascii="Cambria" w:hAnsi="Cambria"/>
          <w:lang w:val="fr-FR"/>
        </w:rPr>
        <w:t xml:space="preserve"> minore « in </w:t>
      </w:r>
      <w:proofErr w:type="spellStart"/>
      <w:r w:rsidR="00902642">
        <w:rPr>
          <w:rFonts w:ascii="Cambria" w:hAnsi="Cambria"/>
          <w:lang w:val="fr-FR"/>
        </w:rPr>
        <w:t>astratto</w:t>
      </w:r>
      <w:proofErr w:type="spellEnd"/>
      <w:r w:rsidR="00902642">
        <w:rPr>
          <w:rFonts w:ascii="Cambria" w:hAnsi="Cambria"/>
          <w:lang w:val="fr-FR"/>
        </w:rPr>
        <w:t xml:space="preserve"> » e « in </w:t>
      </w:r>
      <w:proofErr w:type="spellStart"/>
      <w:r w:rsidR="00902642">
        <w:rPr>
          <w:rFonts w:ascii="Cambria" w:hAnsi="Cambria"/>
          <w:lang w:val="fr-FR"/>
        </w:rPr>
        <w:t>concreto</w:t>
      </w:r>
      <w:proofErr w:type="spellEnd"/>
      <w:r w:rsidR="00902642">
        <w:rPr>
          <w:rFonts w:ascii="Cambria" w:hAnsi="Cambria"/>
          <w:lang w:val="fr-FR"/>
        </w:rPr>
        <w:t xml:space="preserve"> » </w:t>
      </w:r>
      <w:proofErr w:type="spellStart"/>
      <w:r w:rsidR="00902642">
        <w:rPr>
          <w:rFonts w:ascii="Cambria" w:hAnsi="Cambria"/>
          <w:lang w:val="fr-FR"/>
        </w:rPr>
        <w:t>nella</w:t>
      </w:r>
      <w:proofErr w:type="spellEnd"/>
      <w:r w:rsidR="00902642">
        <w:rPr>
          <w:rFonts w:ascii="Cambria" w:hAnsi="Cambria"/>
          <w:lang w:val="fr-FR"/>
        </w:rPr>
        <w:t xml:space="preserve"> </w:t>
      </w:r>
      <w:proofErr w:type="spellStart"/>
      <w:r w:rsidR="00902642">
        <w:rPr>
          <w:rFonts w:ascii="Cambria" w:hAnsi="Cambria"/>
          <w:lang w:val="fr-FR"/>
        </w:rPr>
        <w:t>riforma</w:t>
      </w:r>
      <w:proofErr w:type="spellEnd"/>
      <w:r w:rsidR="00902642">
        <w:rPr>
          <w:rFonts w:ascii="Cambria" w:hAnsi="Cambria"/>
          <w:lang w:val="fr-FR"/>
        </w:rPr>
        <w:t xml:space="preserve"> </w:t>
      </w:r>
      <w:proofErr w:type="spellStart"/>
      <w:r w:rsidR="00902642">
        <w:rPr>
          <w:rFonts w:ascii="Cambria" w:hAnsi="Cambria"/>
          <w:lang w:val="fr-FR"/>
        </w:rPr>
        <w:t>del</w:t>
      </w:r>
      <w:proofErr w:type="spellEnd"/>
      <w:r w:rsidR="00902642">
        <w:rPr>
          <w:rFonts w:ascii="Cambria" w:hAnsi="Cambria"/>
          <w:lang w:val="fr-FR"/>
        </w:rPr>
        <w:t xml:space="preserve"> </w:t>
      </w:r>
      <w:proofErr w:type="spellStart"/>
      <w:r w:rsidR="00902642">
        <w:rPr>
          <w:rFonts w:ascii="Cambria" w:hAnsi="Cambria"/>
          <w:lang w:val="fr-FR"/>
        </w:rPr>
        <w:t>regolamento</w:t>
      </w:r>
      <w:proofErr w:type="spellEnd"/>
      <w:r w:rsidR="00902642">
        <w:rPr>
          <w:rFonts w:ascii="Cambria" w:hAnsi="Cambria"/>
          <w:lang w:val="fr-FR"/>
        </w:rPr>
        <w:t xml:space="preserve"> Bruxelles II-</w:t>
      </w:r>
      <w:r w:rsidR="00A66300">
        <w:rPr>
          <w:rFonts w:ascii="Cambria" w:hAnsi="Cambria"/>
          <w:lang w:val="fr-FR"/>
        </w:rPr>
        <w:t>bis</w:t>
      </w:r>
      <w:r w:rsidR="00BB5FB5">
        <w:rPr>
          <w:rFonts w:ascii="Cambria" w:hAnsi="Cambria"/>
          <w:lang w:val="fr-FR"/>
        </w:rPr>
        <w:t>’ (</w:t>
      </w:r>
      <w:r w:rsidR="00C719DD">
        <w:rPr>
          <w:rFonts w:ascii="Cambria" w:hAnsi="Cambria"/>
          <w:lang w:val="fr-FR"/>
        </w:rPr>
        <w:t xml:space="preserve">2018) 4 </w:t>
      </w:r>
      <w:proofErr w:type="spellStart"/>
      <w:r w:rsidR="00C719DD">
        <w:rPr>
          <w:rFonts w:ascii="Cambria" w:hAnsi="Cambria"/>
          <w:lang w:val="fr-FR"/>
        </w:rPr>
        <w:t>Rivista</w:t>
      </w:r>
      <w:proofErr w:type="spellEnd"/>
      <w:r w:rsidR="00C719DD">
        <w:rPr>
          <w:rFonts w:ascii="Cambria" w:hAnsi="Cambria"/>
          <w:lang w:val="fr-FR"/>
        </w:rPr>
        <w:t xml:space="preserve"> di </w:t>
      </w:r>
      <w:proofErr w:type="spellStart"/>
      <w:r w:rsidR="00C719DD">
        <w:rPr>
          <w:rFonts w:ascii="Cambria" w:hAnsi="Cambria"/>
          <w:lang w:val="fr-FR"/>
        </w:rPr>
        <w:t>diritto</w:t>
      </w:r>
      <w:proofErr w:type="spellEnd"/>
      <w:r w:rsidR="00C719DD">
        <w:rPr>
          <w:rFonts w:ascii="Cambria" w:hAnsi="Cambria"/>
          <w:lang w:val="fr-FR"/>
        </w:rPr>
        <w:t xml:space="preserve"> </w:t>
      </w:r>
      <w:proofErr w:type="spellStart"/>
      <w:r w:rsidR="00C719DD">
        <w:rPr>
          <w:rFonts w:ascii="Cambria" w:hAnsi="Cambria"/>
          <w:lang w:val="fr-FR"/>
        </w:rPr>
        <w:t>internazionale</w:t>
      </w:r>
      <w:proofErr w:type="spellEnd"/>
      <w:r w:rsidR="00C719DD">
        <w:rPr>
          <w:rFonts w:ascii="Cambria" w:hAnsi="Cambria"/>
          <w:lang w:val="fr-FR"/>
        </w:rPr>
        <w:t xml:space="preserve"> </w:t>
      </w:r>
      <w:proofErr w:type="spellStart"/>
      <w:r w:rsidR="00C719DD">
        <w:rPr>
          <w:rFonts w:ascii="Cambria" w:hAnsi="Cambria"/>
          <w:lang w:val="fr-FR"/>
        </w:rPr>
        <w:t>privato</w:t>
      </w:r>
      <w:proofErr w:type="spellEnd"/>
      <w:r w:rsidR="00C719DD">
        <w:rPr>
          <w:rFonts w:ascii="Cambria" w:hAnsi="Cambria"/>
          <w:lang w:val="fr-FR"/>
        </w:rPr>
        <w:t xml:space="preserve"> e </w:t>
      </w:r>
      <w:proofErr w:type="spellStart"/>
      <w:r w:rsidR="00C719DD">
        <w:rPr>
          <w:rFonts w:ascii="Cambria" w:hAnsi="Cambria"/>
          <w:lang w:val="fr-FR"/>
        </w:rPr>
        <w:t>processuale</w:t>
      </w:r>
      <w:proofErr w:type="spellEnd"/>
      <w:r w:rsidR="00C719DD">
        <w:rPr>
          <w:rFonts w:ascii="Cambria" w:hAnsi="Cambria"/>
          <w:lang w:val="fr-FR"/>
        </w:rPr>
        <w:t xml:space="preserve"> 944 ; </w:t>
      </w:r>
      <w:r w:rsidR="003E68D7">
        <w:rPr>
          <w:rFonts w:ascii="Cambria" w:hAnsi="Cambria"/>
          <w:lang w:val="fr-FR"/>
        </w:rPr>
        <w:t xml:space="preserve">Sabine Corneloup </w:t>
      </w:r>
      <w:r w:rsidR="003709B3">
        <w:rPr>
          <w:rFonts w:ascii="Cambria" w:hAnsi="Cambria"/>
          <w:lang w:val="fr-FR"/>
        </w:rPr>
        <w:t>and Thalia Kruger, ‘Le règlement 2019/1111, Bruxelles II : la protection des enfants gagne du ter(</w:t>
      </w:r>
      <w:proofErr w:type="spellStart"/>
      <w:r w:rsidR="003709B3">
        <w:rPr>
          <w:rFonts w:ascii="Cambria" w:hAnsi="Cambria"/>
          <w:lang w:val="fr-FR"/>
        </w:rPr>
        <w:t>rain</w:t>
      </w:r>
      <w:proofErr w:type="spellEnd"/>
      <w:r w:rsidR="003709B3">
        <w:rPr>
          <w:rFonts w:ascii="Cambria" w:hAnsi="Cambria"/>
          <w:lang w:val="fr-FR"/>
        </w:rPr>
        <w:t>)’ (2020) 2 Revue critique de droit international privé 215 ;</w:t>
      </w:r>
      <w:r w:rsidR="003E68D7">
        <w:rPr>
          <w:rFonts w:ascii="Cambria" w:hAnsi="Cambria"/>
          <w:lang w:val="fr-FR"/>
        </w:rPr>
        <w:t xml:space="preserve"> </w:t>
      </w:r>
      <w:r w:rsidR="001466DA" w:rsidRPr="00660EBF">
        <w:rPr>
          <w:rFonts w:ascii="Cambria" w:hAnsi="Cambria"/>
          <w:lang w:val="fr-FR"/>
        </w:rPr>
        <w:t xml:space="preserve">Michel Farge, ‘Règlement Bruxelles </w:t>
      </w:r>
      <w:proofErr w:type="spellStart"/>
      <w:r w:rsidR="001466DA" w:rsidRPr="00660EBF">
        <w:rPr>
          <w:rFonts w:ascii="Cambria" w:hAnsi="Cambria"/>
          <w:lang w:val="fr-FR"/>
        </w:rPr>
        <w:t>II</w:t>
      </w:r>
      <w:r w:rsidR="001466DA" w:rsidRPr="00660EBF">
        <w:rPr>
          <w:rFonts w:ascii="Cambria" w:hAnsi="Cambria"/>
          <w:i/>
          <w:iCs/>
          <w:lang w:val="fr-FR"/>
        </w:rPr>
        <w:t>ter</w:t>
      </w:r>
      <w:proofErr w:type="spellEnd"/>
      <w:r w:rsidR="001466DA" w:rsidRPr="00660EBF">
        <w:rPr>
          <w:rFonts w:ascii="Cambria" w:hAnsi="Cambria"/>
          <w:i/>
          <w:iCs/>
          <w:lang w:val="fr-FR"/>
        </w:rPr>
        <w:t xml:space="preserve"> </w:t>
      </w:r>
      <w:r w:rsidR="001466DA" w:rsidRPr="00660EBF">
        <w:rPr>
          <w:rFonts w:ascii="Cambria" w:hAnsi="Cambria"/>
          <w:lang w:val="fr-FR"/>
        </w:rPr>
        <w:t>et principe de la désunion’ (2022) 7-8 Revue Droit de la famille</w:t>
      </w:r>
      <w:r w:rsidR="001466DA">
        <w:rPr>
          <w:rFonts w:ascii="Cambria" w:hAnsi="Cambria"/>
          <w:lang w:val="fr-FR"/>
        </w:rPr>
        <w:t xml:space="preserve"> 1 ;</w:t>
      </w:r>
      <w:r w:rsidR="00A42503">
        <w:rPr>
          <w:rFonts w:ascii="Cambria" w:hAnsi="Cambria"/>
          <w:lang w:val="fr-FR"/>
        </w:rPr>
        <w:t xml:space="preserve"> Jan </w:t>
      </w:r>
      <w:proofErr w:type="spellStart"/>
      <w:r w:rsidR="00A42503">
        <w:rPr>
          <w:rFonts w:ascii="Cambria" w:hAnsi="Cambria"/>
          <w:lang w:val="fr-FR"/>
        </w:rPr>
        <w:t>Ole</w:t>
      </w:r>
      <w:proofErr w:type="spellEnd"/>
      <w:r w:rsidR="00A42503">
        <w:rPr>
          <w:rFonts w:ascii="Cambria" w:hAnsi="Cambria"/>
          <w:lang w:val="fr-FR"/>
        </w:rPr>
        <w:t xml:space="preserve"> </w:t>
      </w:r>
      <w:proofErr w:type="spellStart"/>
      <w:r w:rsidR="00A42503">
        <w:rPr>
          <w:rFonts w:ascii="Cambria" w:hAnsi="Cambria"/>
          <w:lang w:val="fr-FR"/>
        </w:rPr>
        <w:t>Flindt</w:t>
      </w:r>
      <w:proofErr w:type="spellEnd"/>
      <w:r w:rsidR="00CE7B74">
        <w:rPr>
          <w:rFonts w:ascii="Cambria" w:hAnsi="Cambria"/>
          <w:lang w:val="fr-FR"/>
        </w:rPr>
        <w:t>,</w:t>
      </w:r>
      <w:r w:rsidR="00A42503">
        <w:rPr>
          <w:rFonts w:ascii="Cambria" w:hAnsi="Cambria"/>
          <w:lang w:val="fr-FR"/>
        </w:rPr>
        <w:t xml:space="preserve"> ‘Die </w:t>
      </w:r>
      <w:proofErr w:type="spellStart"/>
      <w:r w:rsidR="00A42503">
        <w:rPr>
          <w:rFonts w:ascii="Cambria" w:hAnsi="Cambria"/>
          <w:lang w:val="fr-FR"/>
        </w:rPr>
        <w:t>neue</w:t>
      </w:r>
      <w:proofErr w:type="spellEnd"/>
      <w:r w:rsidR="00A42503">
        <w:rPr>
          <w:rFonts w:ascii="Cambria" w:hAnsi="Cambria"/>
          <w:lang w:val="fr-FR"/>
        </w:rPr>
        <w:t xml:space="preserve"> </w:t>
      </w:r>
      <w:proofErr w:type="spellStart"/>
      <w:r w:rsidR="00A42503" w:rsidRPr="00A42503">
        <w:rPr>
          <w:rFonts w:ascii="Cambria" w:hAnsi="Cambria"/>
          <w:lang w:val="fr-FR"/>
        </w:rPr>
        <w:t>Brüssel</w:t>
      </w:r>
      <w:proofErr w:type="spellEnd"/>
      <w:r w:rsidR="00A42503" w:rsidRPr="00A42503">
        <w:rPr>
          <w:rFonts w:ascii="Cambria" w:hAnsi="Cambria"/>
          <w:lang w:val="fr-FR"/>
        </w:rPr>
        <w:t xml:space="preserve"> </w:t>
      </w:r>
      <w:proofErr w:type="spellStart"/>
      <w:r w:rsidR="00A42503" w:rsidRPr="00A42503">
        <w:rPr>
          <w:rFonts w:ascii="Cambria" w:hAnsi="Cambria"/>
          <w:lang w:val="fr-FR"/>
        </w:rPr>
        <w:t>I</w:t>
      </w:r>
      <w:r w:rsidR="00A42503">
        <w:rPr>
          <w:rFonts w:ascii="Cambria" w:hAnsi="Cambria"/>
          <w:lang w:val="fr-FR"/>
        </w:rPr>
        <w:t>I</w:t>
      </w:r>
      <w:r w:rsidR="00A42503" w:rsidRPr="00A42503">
        <w:rPr>
          <w:rFonts w:ascii="Cambria" w:hAnsi="Cambria"/>
          <w:lang w:val="fr-FR"/>
        </w:rPr>
        <w:t>b</w:t>
      </w:r>
      <w:proofErr w:type="spellEnd"/>
      <w:r w:rsidR="00A42503" w:rsidRPr="00A42503">
        <w:rPr>
          <w:rFonts w:ascii="Cambria" w:hAnsi="Cambria"/>
          <w:lang w:val="fr-FR"/>
        </w:rPr>
        <w:t>-Vo</w:t>
      </w:r>
      <w:r w:rsidR="00A42503">
        <w:rPr>
          <w:rFonts w:ascii="Cambria" w:hAnsi="Cambria"/>
          <w:lang w:val="fr-FR"/>
        </w:rPr>
        <w:t xml:space="preserve">’ (2022) </w:t>
      </w:r>
      <w:r w:rsidR="00A42503" w:rsidRPr="00A42503">
        <w:rPr>
          <w:rFonts w:ascii="Cambria" w:hAnsi="Cambria"/>
          <w:lang w:val="fr-FR"/>
        </w:rPr>
        <w:t xml:space="preserve">Neue </w:t>
      </w:r>
      <w:proofErr w:type="spellStart"/>
      <w:r w:rsidR="00A42503" w:rsidRPr="00A42503">
        <w:rPr>
          <w:rFonts w:ascii="Cambria" w:hAnsi="Cambria"/>
          <w:lang w:val="fr-FR"/>
        </w:rPr>
        <w:t>Zeitschrift</w:t>
      </w:r>
      <w:proofErr w:type="spellEnd"/>
      <w:r w:rsidR="00A42503" w:rsidRPr="00A42503">
        <w:rPr>
          <w:rFonts w:ascii="Cambria" w:hAnsi="Cambria"/>
          <w:lang w:val="fr-FR"/>
        </w:rPr>
        <w:t xml:space="preserve"> </w:t>
      </w:r>
      <w:proofErr w:type="spellStart"/>
      <w:r w:rsidR="00A42503" w:rsidRPr="00A42503">
        <w:rPr>
          <w:rFonts w:ascii="Cambria" w:hAnsi="Cambria"/>
          <w:lang w:val="fr-FR"/>
        </w:rPr>
        <w:t>für</w:t>
      </w:r>
      <w:proofErr w:type="spellEnd"/>
      <w:r w:rsidR="00A42503" w:rsidRPr="00A42503">
        <w:rPr>
          <w:rFonts w:ascii="Cambria" w:hAnsi="Cambria"/>
          <w:lang w:val="fr-FR"/>
        </w:rPr>
        <w:t xml:space="preserve"> </w:t>
      </w:r>
      <w:proofErr w:type="spellStart"/>
      <w:r w:rsidR="00A42503" w:rsidRPr="00A42503">
        <w:rPr>
          <w:rFonts w:ascii="Cambria" w:hAnsi="Cambria"/>
          <w:lang w:val="fr-FR"/>
        </w:rPr>
        <w:t>Familienrecht</w:t>
      </w:r>
      <w:proofErr w:type="spellEnd"/>
      <w:r w:rsidR="00A42503">
        <w:rPr>
          <w:rFonts w:ascii="Cambria" w:hAnsi="Cambria"/>
          <w:lang w:val="fr-FR"/>
        </w:rPr>
        <w:t xml:space="preserve"> 669;</w:t>
      </w:r>
      <w:r w:rsidR="001466DA" w:rsidRPr="00660EBF">
        <w:rPr>
          <w:rFonts w:ascii="Cambria" w:hAnsi="Cambria"/>
          <w:lang w:val="fr-FR"/>
        </w:rPr>
        <w:t xml:space="preserve"> </w:t>
      </w:r>
      <w:r w:rsidR="001466DA" w:rsidRPr="002C5342">
        <w:rPr>
          <w:rFonts w:ascii="Cambria" w:hAnsi="Cambria"/>
          <w:lang w:val="fr-FR"/>
        </w:rPr>
        <w:t>S</w:t>
      </w:r>
      <w:r w:rsidR="001466DA">
        <w:rPr>
          <w:rFonts w:ascii="Cambria" w:hAnsi="Cambria"/>
          <w:lang w:val="fr-FR"/>
        </w:rPr>
        <w:t>téphanie</w:t>
      </w:r>
      <w:r w:rsidR="001466DA" w:rsidRPr="002C5342">
        <w:rPr>
          <w:rFonts w:ascii="Cambria" w:hAnsi="Cambria"/>
          <w:lang w:val="fr-FR"/>
        </w:rPr>
        <w:t xml:space="preserve"> </w:t>
      </w:r>
      <w:proofErr w:type="spellStart"/>
      <w:r w:rsidR="001466DA" w:rsidRPr="002C5342">
        <w:rPr>
          <w:rFonts w:ascii="Cambria" w:hAnsi="Cambria"/>
          <w:lang w:val="fr-FR"/>
        </w:rPr>
        <w:t>Francq</w:t>
      </w:r>
      <w:proofErr w:type="spellEnd"/>
      <w:r w:rsidR="001466DA" w:rsidRPr="002C5342">
        <w:rPr>
          <w:rFonts w:ascii="Cambria" w:hAnsi="Cambria"/>
          <w:lang w:val="fr-FR"/>
        </w:rPr>
        <w:t xml:space="preserve">, ‘Réforme avortée et réforme surprise : compétence et reconnaissance en matière de dissolution du mariage après la refonte du règlement Bruxelles </w:t>
      </w:r>
      <w:proofErr w:type="spellStart"/>
      <w:r w:rsidR="001466DA" w:rsidRPr="002C5342">
        <w:rPr>
          <w:rFonts w:ascii="Cambria" w:hAnsi="Cambria"/>
          <w:lang w:val="fr-FR"/>
        </w:rPr>
        <w:t>II</w:t>
      </w:r>
      <w:r w:rsidR="001466DA" w:rsidRPr="002C5342">
        <w:rPr>
          <w:rFonts w:ascii="Cambria" w:hAnsi="Cambria"/>
          <w:i/>
          <w:iCs/>
          <w:lang w:val="fr-FR"/>
        </w:rPr>
        <w:t>bis</w:t>
      </w:r>
      <w:proofErr w:type="spellEnd"/>
      <w:r w:rsidR="001466DA" w:rsidRPr="002C5342">
        <w:rPr>
          <w:rFonts w:ascii="Cambria" w:hAnsi="Cambria"/>
          <w:lang w:val="fr-FR"/>
        </w:rPr>
        <w:t>, en particulier à propos des divorces non judiciaires’ in</w:t>
      </w:r>
      <w:r w:rsidR="001466DA" w:rsidRPr="002C5342">
        <w:rPr>
          <w:rFonts w:ascii="Cambria" w:hAnsi="Cambria"/>
          <w:i/>
          <w:iCs/>
          <w:lang w:val="fr-FR"/>
        </w:rPr>
        <w:t xml:space="preserve"> </w:t>
      </w:r>
      <w:r w:rsidR="001466DA" w:rsidRPr="002C5342">
        <w:rPr>
          <w:rFonts w:ascii="Cambria" w:hAnsi="Cambria"/>
          <w:lang w:val="fr-FR"/>
        </w:rPr>
        <w:t xml:space="preserve">Stéphanie </w:t>
      </w:r>
      <w:proofErr w:type="spellStart"/>
      <w:r w:rsidR="001466DA" w:rsidRPr="002C5342">
        <w:rPr>
          <w:rFonts w:ascii="Cambria" w:hAnsi="Cambria"/>
          <w:lang w:val="fr-FR"/>
        </w:rPr>
        <w:t>Francq</w:t>
      </w:r>
      <w:proofErr w:type="spellEnd"/>
      <w:r w:rsidR="001466DA" w:rsidRPr="002C5342">
        <w:rPr>
          <w:rFonts w:ascii="Cambria" w:hAnsi="Cambria"/>
          <w:lang w:val="fr-FR"/>
        </w:rPr>
        <w:t xml:space="preserve"> </w:t>
      </w:r>
      <w:r w:rsidR="003E68D7">
        <w:rPr>
          <w:rFonts w:ascii="Cambria" w:hAnsi="Cambria"/>
          <w:lang w:val="fr-FR"/>
        </w:rPr>
        <w:t>and</w:t>
      </w:r>
      <w:r w:rsidR="001466DA" w:rsidRPr="002C5342">
        <w:rPr>
          <w:rFonts w:ascii="Cambria" w:hAnsi="Cambria"/>
          <w:lang w:val="fr-FR"/>
        </w:rPr>
        <w:t xml:space="preserve"> Sylvie </w:t>
      </w:r>
      <w:proofErr w:type="spellStart"/>
      <w:r w:rsidR="001466DA" w:rsidRPr="002C5342">
        <w:rPr>
          <w:rFonts w:ascii="Cambria" w:hAnsi="Cambria"/>
          <w:lang w:val="fr-FR"/>
        </w:rPr>
        <w:t>Sarolea</w:t>
      </w:r>
      <w:proofErr w:type="spellEnd"/>
      <w:r w:rsidR="001466DA" w:rsidRPr="002C5342">
        <w:rPr>
          <w:rFonts w:ascii="Cambria" w:hAnsi="Cambria"/>
          <w:lang w:val="fr-FR"/>
        </w:rPr>
        <w:t xml:space="preserve"> (</w:t>
      </w:r>
      <w:proofErr w:type="spellStart"/>
      <w:r w:rsidR="001466DA" w:rsidRPr="002C5342">
        <w:rPr>
          <w:rFonts w:ascii="Cambria" w:hAnsi="Cambria"/>
          <w:lang w:val="fr-FR"/>
        </w:rPr>
        <w:t>ed</w:t>
      </w:r>
      <w:proofErr w:type="spellEnd"/>
      <w:r w:rsidR="001466DA" w:rsidRPr="002C5342">
        <w:rPr>
          <w:rFonts w:ascii="Cambria" w:hAnsi="Cambria"/>
          <w:lang w:val="fr-FR"/>
        </w:rPr>
        <w:t xml:space="preserve">), </w:t>
      </w:r>
      <w:r w:rsidR="001466DA" w:rsidRPr="002C5342">
        <w:rPr>
          <w:rFonts w:ascii="Cambria" w:hAnsi="Cambria"/>
          <w:i/>
          <w:iCs/>
          <w:lang w:val="fr-FR"/>
        </w:rPr>
        <w:t>Actualités européennes en droit international privé familial</w:t>
      </w:r>
      <w:r w:rsidR="001466DA" w:rsidRPr="002C5342">
        <w:rPr>
          <w:rFonts w:ascii="Cambria" w:hAnsi="Cambria"/>
          <w:lang w:val="fr-FR"/>
        </w:rPr>
        <w:t xml:space="preserve"> (</w:t>
      </w:r>
      <w:proofErr w:type="spellStart"/>
      <w:r w:rsidR="001466DA" w:rsidRPr="002C5342">
        <w:rPr>
          <w:rFonts w:ascii="Cambria" w:hAnsi="Cambria"/>
          <w:lang w:val="fr-FR"/>
        </w:rPr>
        <w:t>Anthemis</w:t>
      </w:r>
      <w:proofErr w:type="spellEnd"/>
      <w:r w:rsidR="001466DA" w:rsidRPr="002C5342">
        <w:rPr>
          <w:rFonts w:ascii="Cambria" w:hAnsi="Cambria"/>
          <w:lang w:val="fr-FR"/>
        </w:rPr>
        <w:t xml:space="preserve"> </w:t>
      </w:r>
      <w:r w:rsidR="001466DA" w:rsidRPr="00660EBF">
        <w:rPr>
          <w:rFonts w:ascii="Cambria" w:hAnsi="Cambria"/>
          <w:lang w:val="fr-FR"/>
        </w:rPr>
        <w:t>2019) ;</w:t>
      </w:r>
      <w:r w:rsidR="001466DA">
        <w:rPr>
          <w:rFonts w:ascii="Cambria" w:hAnsi="Cambria"/>
          <w:lang w:val="fr-FR"/>
        </w:rPr>
        <w:t xml:space="preserve"> </w:t>
      </w:r>
      <w:r w:rsidRPr="002C5342">
        <w:rPr>
          <w:rFonts w:ascii="Cambria" w:hAnsi="Cambria"/>
          <w:lang w:val="fr-FR"/>
        </w:rPr>
        <w:t>Th</w:t>
      </w:r>
      <w:r w:rsidR="00E92BF8" w:rsidRPr="002C5342">
        <w:rPr>
          <w:rFonts w:ascii="Cambria" w:hAnsi="Cambria"/>
          <w:lang w:val="fr-FR"/>
        </w:rPr>
        <w:t>alia</w:t>
      </w:r>
      <w:r w:rsidRPr="002C5342">
        <w:rPr>
          <w:rFonts w:ascii="Cambria" w:hAnsi="Cambria"/>
          <w:lang w:val="fr-FR"/>
        </w:rPr>
        <w:t xml:space="preserve"> K</w:t>
      </w:r>
      <w:r w:rsidR="00E92BF8" w:rsidRPr="002C5342">
        <w:rPr>
          <w:rFonts w:ascii="Cambria" w:hAnsi="Cambria"/>
          <w:lang w:val="fr-FR"/>
        </w:rPr>
        <w:t>ruger</w:t>
      </w:r>
      <w:r w:rsidRPr="002C5342">
        <w:rPr>
          <w:rFonts w:ascii="Cambria" w:hAnsi="Cambria"/>
          <w:lang w:val="fr-FR"/>
        </w:rPr>
        <w:t xml:space="preserve"> </w:t>
      </w:r>
      <w:r w:rsidR="003E68D7">
        <w:rPr>
          <w:rFonts w:ascii="Cambria" w:hAnsi="Cambria"/>
          <w:lang w:val="fr-FR"/>
        </w:rPr>
        <w:t>and</w:t>
      </w:r>
      <w:r w:rsidRPr="002C5342">
        <w:rPr>
          <w:rFonts w:ascii="Cambria" w:hAnsi="Cambria"/>
          <w:lang w:val="fr-FR"/>
        </w:rPr>
        <w:t xml:space="preserve"> </w:t>
      </w:r>
      <w:proofErr w:type="spellStart"/>
      <w:r w:rsidRPr="002C5342">
        <w:rPr>
          <w:rFonts w:ascii="Cambria" w:hAnsi="Cambria"/>
          <w:lang w:val="fr-FR"/>
        </w:rPr>
        <w:t>L</w:t>
      </w:r>
      <w:r w:rsidR="00EF47ED" w:rsidRPr="002C5342">
        <w:rPr>
          <w:rFonts w:ascii="Cambria" w:hAnsi="Cambria"/>
          <w:lang w:val="fr-FR"/>
        </w:rPr>
        <w:t>iselot</w:t>
      </w:r>
      <w:proofErr w:type="spellEnd"/>
      <w:r w:rsidRPr="002C5342">
        <w:rPr>
          <w:rFonts w:ascii="Cambria" w:hAnsi="Cambria"/>
          <w:lang w:val="fr-FR"/>
        </w:rPr>
        <w:t xml:space="preserve"> </w:t>
      </w:r>
      <w:proofErr w:type="spellStart"/>
      <w:r w:rsidRPr="002C5342">
        <w:rPr>
          <w:rFonts w:ascii="Cambria" w:hAnsi="Cambria"/>
          <w:lang w:val="fr-FR"/>
        </w:rPr>
        <w:t>S</w:t>
      </w:r>
      <w:r w:rsidR="00EF47ED" w:rsidRPr="002C5342">
        <w:rPr>
          <w:rFonts w:ascii="Cambria" w:hAnsi="Cambria"/>
          <w:lang w:val="fr-FR"/>
        </w:rPr>
        <w:t>amyn</w:t>
      </w:r>
      <w:proofErr w:type="spellEnd"/>
      <w:r w:rsidRPr="002C5342">
        <w:rPr>
          <w:rFonts w:ascii="Cambria" w:hAnsi="Cambria"/>
          <w:lang w:val="fr-FR"/>
        </w:rPr>
        <w:t xml:space="preserve">, </w:t>
      </w:r>
      <w:r w:rsidR="00EF47ED" w:rsidRPr="002C5342">
        <w:rPr>
          <w:rFonts w:ascii="Cambria" w:hAnsi="Cambria"/>
          <w:lang w:val="fr-FR"/>
        </w:rPr>
        <w:t>‘</w:t>
      </w:r>
      <w:r w:rsidRPr="002C5342">
        <w:rPr>
          <w:rFonts w:ascii="Cambria" w:hAnsi="Cambria"/>
          <w:lang w:val="fr-FR"/>
        </w:rPr>
        <w:t xml:space="preserve">Brussels </w:t>
      </w:r>
      <w:proofErr w:type="spellStart"/>
      <w:r w:rsidRPr="002C5342">
        <w:rPr>
          <w:rFonts w:ascii="Cambria" w:hAnsi="Cambria"/>
          <w:lang w:val="fr-FR"/>
        </w:rPr>
        <w:t>II</w:t>
      </w:r>
      <w:r w:rsidRPr="002C5342">
        <w:rPr>
          <w:rFonts w:ascii="Cambria" w:hAnsi="Cambria"/>
          <w:i/>
          <w:iCs/>
          <w:lang w:val="fr-FR"/>
        </w:rPr>
        <w:t>bis</w:t>
      </w:r>
      <w:proofErr w:type="spellEnd"/>
      <w:r w:rsidRPr="002C5342">
        <w:rPr>
          <w:rFonts w:ascii="Cambria" w:hAnsi="Cambria"/>
          <w:i/>
          <w:iCs/>
          <w:lang w:val="fr-FR"/>
        </w:rPr>
        <w:t xml:space="preserve"> </w:t>
      </w:r>
      <w:r w:rsidRPr="002C5342">
        <w:rPr>
          <w:rFonts w:ascii="Cambria" w:hAnsi="Cambria"/>
          <w:lang w:val="fr-FR"/>
        </w:rPr>
        <w:t xml:space="preserve">: </w:t>
      </w:r>
      <w:proofErr w:type="spellStart"/>
      <w:r w:rsidRPr="002C5342">
        <w:rPr>
          <w:rFonts w:ascii="Cambria" w:hAnsi="Cambria"/>
          <w:lang w:val="fr-FR"/>
        </w:rPr>
        <w:t>successes</w:t>
      </w:r>
      <w:proofErr w:type="spellEnd"/>
      <w:r w:rsidRPr="002C5342">
        <w:rPr>
          <w:rFonts w:ascii="Cambria" w:hAnsi="Cambria"/>
          <w:lang w:val="fr-FR"/>
        </w:rPr>
        <w:t xml:space="preserve"> and </w:t>
      </w:r>
      <w:proofErr w:type="spellStart"/>
      <w:r w:rsidRPr="002C5342">
        <w:rPr>
          <w:rFonts w:ascii="Cambria" w:hAnsi="Cambria"/>
          <w:lang w:val="fr-FR"/>
        </w:rPr>
        <w:t>suggested</w:t>
      </w:r>
      <w:proofErr w:type="spellEnd"/>
      <w:r w:rsidRPr="002C5342">
        <w:rPr>
          <w:rFonts w:ascii="Cambria" w:hAnsi="Cambria"/>
          <w:lang w:val="fr-FR"/>
        </w:rPr>
        <w:t xml:space="preserve"> </w:t>
      </w:r>
      <w:proofErr w:type="spellStart"/>
      <w:r w:rsidRPr="002C5342">
        <w:rPr>
          <w:rFonts w:ascii="Cambria" w:hAnsi="Cambria"/>
          <w:lang w:val="fr-FR"/>
        </w:rPr>
        <w:t>improvements</w:t>
      </w:r>
      <w:proofErr w:type="spellEnd"/>
      <w:r w:rsidR="00EF47ED" w:rsidRPr="002C5342">
        <w:rPr>
          <w:rFonts w:ascii="Cambria" w:hAnsi="Cambria"/>
          <w:lang w:val="fr-FR"/>
        </w:rPr>
        <w:t>’ (2016) 12/1</w:t>
      </w:r>
      <w:r w:rsidRPr="002C5342">
        <w:rPr>
          <w:rFonts w:ascii="Cambria" w:hAnsi="Cambria"/>
          <w:lang w:val="fr-FR"/>
        </w:rPr>
        <w:t xml:space="preserve"> J</w:t>
      </w:r>
      <w:r w:rsidR="00660EBF">
        <w:rPr>
          <w:rFonts w:ascii="Cambria" w:hAnsi="Cambria"/>
          <w:lang w:val="fr-FR"/>
        </w:rPr>
        <w:t>ournal of</w:t>
      </w:r>
      <w:r w:rsidRPr="002C5342">
        <w:rPr>
          <w:rFonts w:ascii="Cambria" w:hAnsi="Cambria"/>
          <w:lang w:val="fr-FR"/>
        </w:rPr>
        <w:t xml:space="preserve"> </w:t>
      </w:r>
      <w:proofErr w:type="spellStart"/>
      <w:r w:rsidR="00660EBF">
        <w:rPr>
          <w:rFonts w:ascii="Cambria" w:hAnsi="Cambria"/>
          <w:lang w:val="fr-FR"/>
        </w:rPr>
        <w:t>private</w:t>
      </w:r>
      <w:proofErr w:type="spellEnd"/>
      <w:r w:rsidRPr="002C5342">
        <w:rPr>
          <w:rFonts w:ascii="Cambria" w:hAnsi="Cambria"/>
          <w:lang w:val="fr-FR"/>
        </w:rPr>
        <w:t xml:space="preserve"> </w:t>
      </w:r>
      <w:r w:rsidR="00660EBF">
        <w:rPr>
          <w:rFonts w:ascii="Cambria" w:hAnsi="Cambria"/>
          <w:lang w:val="fr-FR"/>
        </w:rPr>
        <w:t xml:space="preserve">international </w:t>
      </w:r>
      <w:proofErr w:type="spellStart"/>
      <w:r w:rsidR="00660EBF">
        <w:rPr>
          <w:rFonts w:ascii="Cambria" w:hAnsi="Cambria"/>
          <w:lang w:val="fr-FR"/>
        </w:rPr>
        <w:t>l</w:t>
      </w:r>
      <w:r w:rsidRPr="002C5342">
        <w:rPr>
          <w:rFonts w:ascii="Cambria" w:hAnsi="Cambria"/>
          <w:lang w:val="fr-FR"/>
        </w:rPr>
        <w:t>aw</w:t>
      </w:r>
      <w:proofErr w:type="spellEnd"/>
      <w:r w:rsidRPr="002C5342">
        <w:rPr>
          <w:rFonts w:ascii="Cambria" w:hAnsi="Cambria"/>
          <w:lang w:val="fr-FR"/>
        </w:rPr>
        <w:t xml:space="preserve"> 13</w:t>
      </w:r>
      <w:r w:rsidR="00943C14" w:rsidRPr="002C5342">
        <w:rPr>
          <w:rFonts w:ascii="Cambria" w:hAnsi="Cambria"/>
          <w:lang w:val="fr-FR"/>
        </w:rPr>
        <w:t>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A2E"/>
    <w:multiLevelType w:val="hybridMultilevel"/>
    <w:tmpl w:val="F932A3C8"/>
    <w:lvl w:ilvl="0" w:tplc="D6B474CC">
      <w:start w:val="1"/>
      <w:numFmt w:val="lowerLetter"/>
      <w:lvlText w:val="%1)"/>
      <w:lvlJc w:val="left"/>
      <w:pPr>
        <w:ind w:left="720" w:hanging="360"/>
      </w:pPr>
      <w:rPr>
        <w:i w:val="0"/>
        <w:iCs w:val="0"/>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4F1E98"/>
    <w:multiLevelType w:val="hybridMultilevel"/>
    <w:tmpl w:val="B2AAC42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4E3F2D"/>
    <w:multiLevelType w:val="hybridMultilevel"/>
    <w:tmpl w:val="CC906A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7243E1"/>
    <w:multiLevelType w:val="hybridMultilevel"/>
    <w:tmpl w:val="C35ACBC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913EE4"/>
    <w:multiLevelType w:val="multilevel"/>
    <w:tmpl w:val="3796D628"/>
    <w:styleLink w:val="DIP"/>
    <w:lvl w:ilvl="0">
      <w:start w:val="1"/>
      <w:numFmt w:val="decimal"/>
      <w:lvlText w:val="Section %1 - "/>
      <w:lvlJc w:val="right"/>
      <w:pPr>
        <w:ind w:left="1418" w:hanging="2"/>
      </w:pPr>
      <w:rPr>
        <w:rFonts w:ascii="Roboto" w:hAnsi="Roboto" w:hint="default"/>
        <w:b/>
        <w:bCs w:val="0"/>
        <w:i w:val="0"/>
        <w:iCs w:val="0"/>
        <w:caps w:val="0"/>
        <w:smallCaps w:val="0"/>
        <w:strike w:val="0"/>
        <w:dstrike w:val="0"/>
        <w:outline w:val="0"/>
        <w:shadow w:val="0"/>
        <w:emboss w:val="0"/>
        <w:imprint w:val="0"/>
        <w:noProof w:val="0"/>
        <w:vanish w:val="0"/>
        <w:color w:val="323232" w:themeColor="text2"/>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 "/>
      <w:lvlJc w:val="left"/>
      <w:pPr>
        <w:ind w:left="1134" w:hanging="113"/>
      </w:pPr>
      <w:rPr>
        <w:rFonts w:ascii="Roboto" w:hAnsi="Roboto" w:hint="default"/>
        <w:b/>
        <w:i w:val="0"/>
        <w:color w:val="F26314"/>
      </w:rPr>
    </w:lvl>
    <w:lvl w:ilvl="2">
      <w:start w:val="1"/>
      <w:numFmt w:val="decimal"/>
      <w:lvlText w:val="%2.%3."/>
      <w:lvlJc w:val="right"/>
      <w:pPr>
        <w:ind w:left="2160" w:hanging="180"/>
      </w:pPr>
      <w:rPr>
        <w:rFonts w:ascii="Roboto" w:hAnsi="Roboto" w:hint="default"/>
        <w:b/>
        <w:i w:val="0"/>
        <w:color w:val="C29D1B" w:themeColor="background2" w:themeShade="BF"/>
      </w:rPr>
    </w:lvl>
    <w:lvl w:ilvl="3">
      <w:start w:val="1"/>
      <w:numFmt w:val="lowerLetter"/>
      <w:lvlRestart w:val="1"/>
      <w:lvlText w:val="%4)"/>
      <w:lvlJc w:val="left"/>
      <w:pPr>
        <w:ind w:left="2880" w:hanging="360"/>
      </w:pPr>
      <w:rPr>
        <w:rFonts w:ascii="Roboto" w:hAnsi="Roboto" w:hint="default"/>
        <w:b/>
        <w:i w:val="0"/>
        <w:color w:val="E5C243" w:themeColor="background2"/>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2354FCC"/>
    <w:multiLevelType w:val="hybridMultilevel"/>
    <w:tmpl w:val="AB6832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B344F02"/>
    <w:multiLevelType w:val="hybridMultilevel"/>
    <w:tmpl w:val="A0183F1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F095C14"/>
    <w:multiLevelType w:val="hybridMultilevel"/>
    <w:tmpl w:val="8174CF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8214584">
    <w:abstractNumId w:val="4"/>
  </w:num>
  <w:num w:numId="2" w16cid:durableId="552157220">
    <w:abstractNumId w:val="1"/>
  </w:num>
  <w:num w:numId="3" w16cid:durableId="168906363">
    <w:abstractNumId w:val="3"/>
  </w:num>
  <w:num w:numId="4" w16cid:durableId="2038892013">
    <w:abstractNumId w:val="0"/>
  </w:num>
  <w:num w:numId="5" w16cid:durableId="1842508364">
    <w:abstractNumId w:val="6"/>
  </w:num>
  <w:num w:numId="6" w16cid:durableId="1355763133">
    <w:abstractNumId w:val="5"/>
  </w:num>
  <w:num w:numId="7" w16cid:durableId="1008369162">
    <w:abstractNumId w:val="2"/>
  </w:num>
  <w:num w:numId="8" w16cid:durableId="8896154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AA9"/>
    <w:rsid w:val="00002DD2"/>
    <w:rsid w:val="00003E7A"/>
    <w:rsid w:val="000072C9"/>
    <w:rsid w:val="00010A1C"/>
    <w:rsid w:val="00010B82"/>
    <w:rsid w:val="00011A1F"/>
    <w:rsid w:val="00016C19"/>
    <w:rsid w:val="000246D1"/>
    <w:rsid w:val="000266F8"/>
    <w:rsid w:val="00032EA4"/>
    <w:rsid w:val="00033EBB"/>
    <w:rsid w:val="00035839"/>
    <w:rsid w:val="00043CBE"/>
    <w:rsid w:val="000562F9"/>
    <w:rsid w:val="0005636C"/>
    <w:rsid w:val="0005773B"/>
    <w:rsid w:val="00062BFA"/>
    <w:rsid w:val="000644C9"/>
    <w:rsid w:val="0007451E"/>
    <w:rsid w:val="000761F2"/>
    <w:rsid w:val="000850E2"/>
    <w:rsid w:val="0008574D"/>
    <w:rsid w:val="000863BA"/>
    <w:rsid w:val="00087F6B"/>
    <w:rsid w:val="000A4286"/>
    <w:rsid w:val="000B0F35"/>
    <w:rsid w:val="000B1D40"/>
    <w:rsid w:val="000C06B9"/>
    <w:rsid w:val="000C4C76"/>
    <w:rsid w:val="000C4D2D"/>
    <w:rsid w:val="000C585D"/>
    <w:rsid w:val="000D0C7B"/>
    <w:rsid w:val="000D0D2C"/>
    <w:rsid w:val="000D4D40"/>
    <w:rsid w:val="000E3D3D"/>
    <w:rsid w:val="000F09AC"/>
    <w:rsid w:val="000F1381"/>
    <w:rsid w:val="000F776F"/>
    <w:rsid w:val="00107DA8"/>
    <w:rsid w:val="00127163"/>
    <w:rsid w:val="00137263"/>
    <w:rsid w:val="0014320A"/>
    <w:rsid w:val="001444E0"/>
    <w:rsid w:val="00145AD8"/>
    <w:rsid w:val="00145BB7"/>
    <w:rsid w:val="001466DA"/>
    <w:rsid w:val="00150A7D"/>
    <w:rsid w:val="00151D46"/>
    <w:rsid w:val="0016305E"/>
    <w:rsid w:val="00172756"/>
    <w:rsid w:val="00174AA9"/>
    <w:rsid w:val="00175A80"/>
    <w:rsid w:val="00175B80"/>
    <w:rsid w:val="00176249"/>
    <w:rsid w:val="0017795B"/>
    <w:rsid w:val="00180CF5"/>
    <w:rsid w:val="001835F3"/>
    <w:rsid w:val="00187C75"/>
    <w:rsid w:val="00195BD2"/>
    <w:rsid w:val="001A1155"/>
    <w:rsid w:val="001A2EF8"/>
    <w:rsid w:val="001A4AF9"/>
    <w:rsid w:val="001A5494"/>
    <w:rsid w:val="001B1E13"/>
    <w:rsid w:val="001B1EA4"/>
    <w:rsid w:val="001B3910"/>
    <w:rsid w:val="001B55C5"/>
    <w:rsid w:val="001D2BA9"/>
    <w:rsid w:val="001F1E6D"/>
    <w:rsid w:val="001F616E"/>
    <w:rsid w:val="002042A5"/>
    <w:rsid w:val="0021019C"/>
    <w:rsid w:val="002138FD"/>
    <w:rsid w:val="002156F1"/>
    <w:rsid w:val="00215EBF"/>
    <w:rsid w:val="00216271"/>
    <w:rsid w:val="002163E1"/>
    <w:rsid w:val="0022045D"/>
    <w:rsid w:val="00223BAE"/>
    <w:rsid w:val="00224685"/>
    <w:rsid w:val="00227D40"/>
    <w:rsid w:val="00230951"/>
    <w:rsid w:val="0024064B"/>
    <w:rsid w:val="0024390E"/>
    <w:rsid w:val="00252059"/>
    <w:rsid w:val="00253688"/>
    <w:rsid w:val="0026169E"/>
    <w:rsid w:val="00267134"/>
    <w:rsid w:val="00274574"/>
    <w:rsid w:val="002805D8"/>
    <w:rsid w:val="0028412E"/>
    <w:rsid w:val="00286268"/>
    <w:rsid w:val="002875C5"/>
    <w:rsid w:val="00291A82"/>
    <w:rsid w:val="00297230"/>
    <w:rsid w:val="002B1132"/>
    <w:rsid w:val="002B276C"/>
    <w:rsid w:val="002B3C03"/>
    <w:rsid w:val="002B5FBA"/>
    <w:rsid w:val="002C444C"/>
    <w:rsid w:val="002C5342"/>
    <w:rsid w:val="002D0DE7"/>
    <w:rsid w:val="002E3135"/>
    <w:rsid w:val="002E5322"/>
    <w:rsid w:val="002F2E38"/>
    <w:rsid w:val="002F77EE"/>
    <w:rsid w:val="003001B9"/>
    <w:rsid w:val="00303C23"/>
    <w:rsid w:val="00322A74"/>
    <w:rsid w:val="003269F9"/>
    <w:rsid w:val="003372E0"/>
    <w:rsid w:val="0034072E"/>
    <w:rsid w:val="00340D80"/>
    <w:rsid w:val="00341D00"/>
    <w:rsid w:val="00343BEE"/>
    <w:rsid w:val="00343EC4"/>
    <w:rsid w:val="00346F12"/>
    <w:rsid w:val="003526DF"/>
    <w:rsid w:val="0035757C"/>
    <w:rsid w:val="0036520A"/>
    <w:rsid w:val="003709B3"/>
    <w:rsid w:val="00373DED"/>
    <w:rsid w:val="00380EDE"/>
    <w:rsid w:val="00380FFA"/>
    <w:rsid w:val="00384504"/>
    <w:rsid w:val="0038679F"/>
    <w:rsid w:val="00390C71"/>
    <w:rsid w:val="00397ECA"/>
    <w:rsid w:val="003A3363"/>
    <w:rsid w:val="003A66C5"/>
    <w:rsid w:val="003B69BA"/>
    <w:rsid w:val="003C0B2F"/>
    <w:rsid w:val="003C170B"/>
    <w:rsid w:val="003C26A7"/>
    <w:rsid w:val="003C4C63"/>
    <w:rsid w:val="003D69A7"/>
    <w:rsid w:val="003E1F12"/>
    <w:rsid w:val="003E5572"/>
    <w:rsid w:val="003E68D7"/>
    <w:rsid w:val="003E6BD7"/>
    <w:rsid w:val="003E78C3"/>
    <w:rsid w:val="00400DAB"/>
    <w:rsid w:val="0040445E"/>
    <w:rsid w:val="0040623A"/>
    <w:rsid w:val="00421A7A"/>
    <w:rsid w:val="00423148"/>
    <w:rsid w:val="00423729"/>
    <w:rsid w:val="00426F28"/>
    <w:rsid w:val="00435214"/>
    <w:rsid w:val="004478D1"/>
    <w:rsid w:val="00451727"/>
    <w:rsid w:val="0045494D"/>
    <w:rsid w:val="00454C51"/>
    <w:rsid w:val="004603BD"/>
    <w:rsid w:val="00472493"/>
    <w:rsid w:val="00473A8D"/>
    <w:rsid w:val="00482060"/>
    <w:rsid w:val="00484C2E"/>
    <w:rsid w:val="00493449"/>
    <w:rsid w:val="00494DDB"/>
    <w:rsid w:val="004A074B"/>
    <w:rsid w:val="004A47B7"/>
    <w:rsid w:val="004A59A7"/>
    <w:rsid w:val="004A5CEE"/>
    <w:rsid w:val="004B2C4F"/>
    <w:rsid w:val="004B3AEF"/>
    <w:rsid w:val="004C5A0F"/>
    <w:rsid w:val="004C64A9"/>
    <w:rsid w:val="004C6554"/>
    <w:rsid w:val="004D3A56"/>
    <w:rsid w:val="004D6486"/>
    <w:rsid w:val="004E66DD"/>
    <w:rsid w:val="004F1D08"/>
    <w:rsid w:val="004F1F95"/>
    <w:rsid w:val="004F3E76"/>
    <w:rsid w:val="004F71CF"/>
    <w:rsid w:val="00500099"/>
    <w:rsid w:val="00504DC7"/>
    <w:rsid w:val="0050693B"/>
    <w:rsid w:val="005117B3"/>
    <w:rsid w:val="005132A9"/>
    <w:rsid w:val="00516D1C"/>
    <w:rsid w:val="00523C9A"/>
    <w:rsid w:val="005240C3"/>
    <w:rsid w:val="00531D41"/>
    <w:rsid w:val="00535427"/>
    <w:rsid w:val="00537844"/>
    <w:rsid w:val="005416ED"/>
    <w:rsid w:val="00555891"/>
    <w:rsid w:val="00557D89"/>
    <w:rsid w:val="00562A46"/>
    <w:rsid w:val="00570DBB"/>
    <w:rsid w:val="00576A43"/>
    <w:rsid w:val="00577BF4"/>
    <w:rsid w:val="00585715"/>
    <w:rsid w:val="00586825"/>
    <w:rsid w:val="00592F3F"/>
    <w:rsid w:val="005937DB"/>
    <w:rsid w:val="005978DE"/>
    <w:rsid w:val="005A3F3F"/>
    <w:rsid w:val="005A595F"/>
    <w:rsid w:val="005B361B"/>
    <w:rsid w:val="005B5654"/>
    <w:rsid w:val="005B5EEC"/>
    <w:rsid w:val="005C0A3C"/>
    <w:rsid w:val="005C484F"/>
    <w:rsid w:val="005C6B0D"/>
    <w:rsid w:val="005D0CA3"/>
    <w:rsid w:val="005D70C8"/>
    <w:rsid w:val="005E0890"/>
    <w:rsid w:val="005E1AD6"/>
    <w:rsid w:val="005E2E5E"/>
    <w:rsid w:val="005E3650"/>
    <w:rsid w:val="005F07D0"/>
    <w:rsid w:val="005F268C"/>
    <w:rsid w:val="005F2BCC"/>
    <w:rsid w:val="005F6111"/>
    <w:rsid w:val="006009C2"/>
    <w:rsid w:val="00606815"/>
    <w:rsid w:val="00606CDC"/>
    <w:rsid w:val="00620C80"/>
    <w:rsid w:val="00623958"/>
    <w:rsid w:val="00624C29"/>
    <w:rsid w:val="00625AC4"/>
    <w:rsid w:val="0062619F"/>
    <w:rsid w:val="00632665"/>
    <w:rsid w:val="00635FDE"/>
    <w:rsid w:val="00646B44"/>
    <w:rsid w:val="00654052"/>
    <w:rsid w:val="00655D07"/>
    <w:rsid w:val="00660EBF"/>
    <w:rsid w:val="00667B44"/>
    <w:rsid w:val="006745BB"/>
    <w:rsid w:val="006769E2"/>
    <w:rsid w:val="00692C4F"/>
    <w:rsid w:val="00695096"/>
    <w:rsid w:val="006A07BA"/>
    <w:rsid w:val="006A3152"/>
    <w:rsid w:val="006A71EE"/>
    <w:rsid w:val="006B5D23"/>
    <w:rsid w:val="006B69C2"/>
    <w:rsid w:val="006B716B"/>
    <w:rsid w:val="006C0118"/>
    <w:rsid w:val="006C08AC"/>
    <w:rsid w:val="006C1CF8"/>
    <w:rsid w:val="006E0AE6"/>
    <w:rsid w:val="006E0E5A"/>
    <w:rsid w:val="006E4C5A"/>
    <w:rsid w:val="006E77F3"/>
    <w:rsid w:val="006F2C8D"/>
    <w:rsid w:val="006F478F"/>
    <w:rsid w:val="006F69D8"/>
    <w:rsid w:val="00702718"/>
    <w:rsid w:val="007141AB"/>
    <w:rsid w:val="00716105"/>
    <w:rsid w:val="007169A3"/>
    <w:rsid w:val="00716FE7"/>
    <w:rsid w:val="00722722"/>
    <w:rsid w:val="00724019"/>
    <w:rsid w:val="0072491F"/>
    <w:rsid w:val="007277F2"/>
    <w:rsid w:val="00731744"/>
    <w:rsid w:val="00731E41"/>
    <w:rsid w:val="00733B42"/>
    <w:rsid w:val="007359D6"/>
    <w:rsid w:val="00736402"/>
    <w:rsid w:val="007365EC"/>
    <w:rsid w:val="0074614C"/>
    <w:rsid w:val="00747203"/>
    <w:rsid w:val="00750B84"/>
    <w:rsid w:val="007528C6"/>
    <w:rsid w:val="007557EC"/>
    <w:rsid w:val="007561F6"/>
    <w:rsid w:val="00767926"/>
    <w:rsid w:val="00767A83"/>
    <w:rsid w:val="0077143B"/>
    <w:rsid w:val="00772ACE"/>
    <w:rsid w:val="00780365"/>
    <w:rsid w:val="00780992"/>
    <w:rsid w:val="00783AB2"/>
    <w:rsid w:val="007871D6"/>
    <w:rsid w:val="007A1EDC"/>
    <w:rsid w:val="007A31FC"/>
    <w:rsid w:val="007A6FD7"/>
    <w:rsid w:val="007B6824"/>
    <w:rsid w:val="007C2B4F"/>
    <w:rsid w:val="007C5FAD"/>
    <w:rsid w:val="007C638D"/>
    <w:rsid w:val="007C71B5"/>
    <w:rsid w:val="007C7DD1"/>
    <w:rsid w:val="007D49A6"/>
    <w:rsid w:val="007F0F4D"/>
    <w:rsid w:val="007F1ABC"/>
    <w:rsid w:val="007F7880"/>
    <w:rsid w:val="00813AD8"/>
    <w:rsid w:val="0082492B"/>
    <w:rsid w:val="00825F64"/>
    <w:rsid w:val="008325AA"/>
    <w:rsid w:val="00833741"/>
    <w:rsid w:val="00834ECD"/>
    <w:rsid w:val="00841148"/>
    <w:rsid w:val="008445E0"/>
    <w:rsid w:val="008450FD"/>
    <w:rsid w:val="00845323"/>
    <w:rsid w:val="008467E9"/>
    <w:rsid w:val="0087344F"/>
    <w:rsid w:val="00875812"/>
    <w:rsid w:val="00880B4A"/>
    <w:rsid w:val="008820AA"/>
    <w:rsid w:val="00893B52"/>
    <w:rsid w:val="00896D63"/>
    <w:rsid w:val="008A3152"/>
    <w:rsid w:val="008A3C48"/>
    <w:rsid w:val="008B3C76"/>
    <w:rsid w:val="008C21FB"/>
    <w:rsid w:val="008C3BBC"/>
    <w:rsid w:val="008D0DEB"/>
    <w:rsid w:val="008D10D2"/>
    <w:rsid w:val="008D14D0"/>
    <w:rsid w:val="008D66BF"/>
    <w:rsid w:val="008E28CA"/>
    <w:rsid w:val="008E4F63"/>
    <w:rsid w:val="008E7A33"/>
    <w:rsid w:val="008F16FF"/>
    <w:rsid w:val="008F2A5D"/>
    <w:rsid w:val="008F43A9"/>
    <w:rsid w:val="008F5D6D"/>
    <w:rsid w:val="009009AC"/>
    <w:rsid w:val="00901DAE"/>
    <w:rsid w:val="00902642"/>
    <w:rsid w:val="0090458C"/>
    <w:rsid w:val="00906169"/>
    <w:rsid w:val="00906313"/>
    <w:rsid w:val="00910397"/>
    <w:rsid w:val="00912C1C"/>
    <w:rsid w:val="00912CA4"/>
    <w:rsid w:val="0091550E"/>
    <w:rsid w:val="009207E4"/>
    <w:rsid w:val="009223A0"/>
    <w:rsid w:val="00924A03"/>
    <w:rsid w:val="00926967"/>
    <w:rsid w:val="00927BBE"/>
    <w:rsid w:val="0093077D"/>
    <w:rsid w:val="00932BD9"/>
    <w:rsid w:val="00935AF6"/>
    <w:rsid w:val="00942872"/>
    <w:rsid w:val="00942D5F"/>
    <w:rsid w:val="00943C14"/>
    <w:rsid w:val="00944C31"/>
    <w:rsid w:val="00945A7E"/>
    <w:rsid w:val="00956364"/>
    <w:rsid w:val="00957587"/>
    <w:rsid w:val="00964057"/>
    <w:rsid w:val="00965CF7"/>
    <w:rsid w:val="00967086"/>
    <w:rsid w:val="00972C98"/>
    <w:rsid w:val="009768B3"/>
    <w:rsid w:val="00984832"/>
    <w:rsid w:val="00985814"/>
    <w:rsid w:val="00985B03"/>
    <w:rsid w:val="00990972"/>
    <w:rsid w:val="00991F76"/>
    <w:rsid w:val="009933A9"/>
    <w:rsid w:val="00996E80"/>
    <w:rsid w:val="009A3364"/>
    <w:rsid w:val="009A3B21"/>
    <w:rsid w:val="009A61E5"/>
    <w:rsid w:val="009A7B6E"/>
    <w:rsid w:val="009B51AB"/>
    <w:rsid w:val="009C4C5B"/>
    <w:rsid w:val="009C6797"/>
    <w:rsid w:val="009D003B"/>
    <w:rsid w:val="009D0850"/>
    <w:rsid w:val="009D5EB5"/>
    <w:rsid w:val="009D7D97"/>
    <w:rsid w:val="009E3518"/>
    <w:rsid w:val="009E40D9"/>
    <w:rsid w:val="009E452A"/>
    <w:rsid w:val="009E790A"/>
    <w:rsid w:val="009E7A84"/>
    <w:rsid w:val="009F2ED2"/>
    <w:rsid w:val="009F61ED"/>
    <w:rsid w:val="00A02515"/>
    <w:rsid w:val="00A22632"/>
    <w:rsid w:val="00A23957"/>
    <w:rsid w:val="00A258B3"/>
    <w:rsid w:val="00A326F9"/>
    <w:rsid w:val="00A329C3"/>
    <w:rsid w:val="00A3683B"/>
    <w:rsid w:val="00A41045"/>
    <w:rsid w:val="00A42503"/>
    <w:rsid w:val="00A4647E"/>
    <w:rsid w:val="00A511F5"/>
    <w:rsid w:val="00A52457"/>
    <w:rsid w:val="00A52B7B"/>
    <w:rsid w:val="00A53A60"/>
    <w:rsid w:val="00A55211"/>
    <w:rsid w:val="00A5526F"/>
    <w:rsid w:val="00A56142"/>
    <w:rsid w:val="00A61A71"/>
    <w:rsid w:val="00A66300"/>
    <w:rsid w:val="00A67064"/>
    <w:rsid w:val="00A670B6"/>
    <w:rsid w:val="00A73639"/>
    <w:rsid w:val="00A80838"/>
    <w:rsid w:val="00A83A29"/>
    <w:rsid w:val="00A96E79"/>
    <w:rsid w:val="00A97D3D"/>
    <w:rsid w:val="00AA0042"/>
    <w:rsid w:val="00AA1F61"/>
    <w:rsid w:val="00AB27BB"/>
    <w:rsid w:val="00AB5B31"/>
    <w:rsid w:val="00AC2228"/>
    <w:rsid w:val="00AD02CF"/>
    <w:rsid w:val="00AD2463"/>
    <w:rsid w:val="00AD4085"/>
    <w:rsid w:val="00AD4DDC"/>
    <w:rsid w:val="00AD6BBA"/>
    <w:rsid w:val="00AE00A1"/>
    <w:rsid w:val="00AE56FB"/>
    <w:rsid w:val="00AF2256"/>
    <w:rsid w:val="00AF2AD3"/>
    <w:rsid w:val="00AF6BBF"/>
    <w:rsid w:val="00B1034F"/>
    <w:rsid w:val="00B115EC"/>
    <w:rsid w:val="00B17415"/>
    <w:rsid w:val="00B23645"/>
    <w:rsid w:val="00B276D9"/>
    <w:rsid w:val="00B33A07"/>
    <w:rsid w:val="00B42E33"/>
    <w:rsid w:val="00B43ED4"/>
    <w:rsid w:val="00B45FDB"/>
    <w:rsid w:val="00B46AF7"/>
    <w:rsid w:val="00B47F17"/>
    <w:rsid w:val="00B54A78"/>
    <w:rsid w:val="00B567D1"/>
    <w:rsid w:val="00B617D5"/>
    <w:rsid w:val="00B639F1"/>
    <w:rsid w:val="00B74829"/>
    <w:rsid w:val="00B9274B"/>
    <w:rsid w:val="00BA2E4C"/>
    <w:rsid w:val="00BB2714"/>
    <w:rsid w:val="00BB53AC"/>
    <w:rsid w:val="00BB5FB5"/>
    <w:rsid w:val="00BB7052"/>
    <w:rsid w:val="00BC24F7"/>
    <w:rsid w:val="00BC4DB4"/>
    <w:rsid w:val="00BC5127"/>
    <w:rsid w:val="00BC5354"/>
    <w:rsid w:val="00BC5728"/>
    <w:rsid w:val="00BC58D2"/>
    <w:rsid w:val="00BC6AA9"/>
    <w:rsid w:val="00BD1D33"/>
    <w:rsid w:val="00BD4CB9"/>
    <w:rsid w:val="00BE3A90"/>
    <w:rsid w:val="00BE403C"/>
    <w:rsid w:val="00BE7834"/>
    <w:rsid w:val="00C01B8F"/>
    <w:rsid w:val="00C06031"/>
    <w:rsid w:val="00C1736F"/>
    <w:rsid w:val="00C2061B"/>
    <w:rsid w:val="00C21244"/>
    <w:rsid w:val="00C22A5B"/>
    <w:rsid w:val="00C36550"/>
    <w:rsid w:val="00C42C61"/>
    <w:rsid w:val="00C50E76"/>
    <w:rsid w:val="00C512C1"/>
    <w:rsid w:val="00C52226"/>
    <w:rsid w:val="00C56C69"/>
    <w:rsid w:val="00C57F00"/>
    <w:rsid w:val="00C60120"/>
    <w:rsid w:val="00C6114E"/>
    <w:rsid w:val="00C61B92"/>
    <w:rsid w:val="00C64765"/>
    <w:rsid w:val="00C674BB"/>
    <w:rsid w:val="00C7008B"/>
    <w:rsid w:val="00C719DD"/>
    <w:rsid w:val="00C7627E"/>
    <w:rsid w:val="00C77C5B"/>
    <w:rsid w:val="00C80458"/>
    <w:rsid w:val="00C81D8C"/>
    <w:rsid w:val="00C9106B"/>
    <w:rsid w:val="00C95863"/>
    <w:rsid w:val="00CC03CB"/>
    <w:rsid w:val="00CC0C5E"/>
    <w:rsid w:val="00CC5800"/>
    <w:rsid w:val="00CD2005"/>
    <w:rsid w:val="00CE5D61"/>
    <w:rsid w:val="00CE684A"/>
    <w:rsid w:val="00CE7B74"/>
    <w:rsid w:val="00CF52D5"/>
    <w:rsid w:val="00CF77E3"/>
    <w:rsid w:val="00D07E09"/>
    <w:rsid w:val="00D10085"/>
    <w:rsid w:val="00D1409D"/>
    <w:rsid w:val="00D2781D"/>
    <w:rsid w:val="00D3110D"/>
    <w:rsid w:val="00D35F3A"/>
    <w:rsid w:val="00D40639"/>
    <w:rsid w:val="00D41876"/>
    <w:rsid w:val="00D44B43"/>
    <w:rsid w:val="00D462C7"/>
    <w:rsid w:val="00D46BE5"/>
    <w:rsid w:val="00D5087A"/>
    <w:rsid w:val="00D540F0"/>
    <w:rsid w:val="00D6596D"/>
    <w:rsid w:val="00D758C5"/>
    <w:rsid w:val="00D827CA"/>
    <w:rsid w:val="00D82D4B"/>
    <w:rsid w:val="00DC2516"/>
    <w:rsid w:val="00DC2D6B"/>
    <w:rsid w:val="00DC3C66"/>
    <w:rsid w:val="00DC7909"/>
    <w:rsid w:val="00DD0FA0"/>
    <w:rsid w:val="00DD6439"/>
    <w:rsid w:val="00DE2C4A"/>
    <w:rsid w:val="00DF3735"/>
    <w:rsid w:val="00DF5249"/>
    <w:rsid w:val="00DF5296"/>
    <w:rsid w:val="00E03D85"/>
    <w:rsid w:val="00E04541"/>
    <w:rsid w:val="00E10E75"/>
    <w:rsid w:val="00E13EB1"/>
    <w:rsid w:val="00E1649E"/>
    <w:rsid w:val="00E17FEE"/>
    <w:rsid w:val="00E20BF3"/>
    <w:rsid w:val="00E307E9"/>
    <w:rsid w:val="00E4065E"/>
    <w:rsid w:val="00E43BB5"/>
    <w:rsid w:val="00E500B6"/>
    <w:rsid w:val="00E512F7"/>
    <w:rsid w:val="00E5337F"/>
    <w:rsid w:val="00E53CA9"/>
    <w:rsid w:val="00E55A42"/>
    <w:rsid w:val="00E702EA"/>
    <w:rsid w:val="00E73A41"/>
    <w:rsid w:val="00E73F43"/>
    <w:rsid w:val="00E770DC"/>
    <w:rsid w:val="00E92BF8"/>
    <w:rsid w:val="00E953FD"/>
    <w:rsid w:val="00EA0298"/>
    <w:rsid w:val="00EA5C3F"/>
    <w:rsid w:val="00EB031B"/>
    <w:rsid w:val="00EB7C8F"/>
    <w:rsid w:val="00EC02FE"/>
    <w:rsid w:val="00EC0F39"/>
    <w:rsid w:val="00EC1773"/>
    <w:rsid w:val="00EC2FE9"/>
    <w:rsid w:val="00ED55DB"/>
    <w:rsid w:val="00ED6A93"/>
    <w:rsid w:val="00ED7C08"/>
    <w:rsid w:val="00ED7EA7"/>
    <w:rsid w:val="00EE10EA"/>
    <w:rsid w:val="00EF3864"/>
    <w:rsid w:val="00EF47ED"/>
    <w:rsid w:val="00F0350D"/>
    <w:rsid w:val="00F04604"/>
    <w:rsid w:val="00F05B49"/>
    <w:rsid w:val="00F06C00"/>
    <w:rsid w:val="00F07636"/>
    <w:rsid w:val="00F10437"/>
    <w:rsid w:val="00F1572D"/>
    <w:rsid w:val="00F22A18"/>
    <w:rsid w:val="00F31F0A"/>
    <w:rsid w:val="00F34AAC"/>
    <w:rsid w:val="00F357EC"/>
    <w:rsid w:val="00F4032B"/>
    <w:rsid w:val="00F47E4A"/>
    <w:rsid w:val="00F51024"/>
    <w:rsid w:val="00F518C2"/>
    <w:rsid w:val="00F6018B"/>
    <w:rsid w:val="00F66438"/>
    <w:rsid w:val="00F72191"/>
    <w:rsid w:val="00F75917"/>
    <w:rsid w:val="00F8193C"/>
    <w:rsid w:val="00F81DC7"/>
    <w:rsid w:val="00F820D4"/>
    <w:rsid w:val="00F83B62"/>
    <w:rsid w:val="00F86484"/>
    <w:rsid w:val="00F866D6"/>
    <w:rsid w:val="00F946F9"/>
    <w:rsid w:val="00F94A7F"/>
    <w:rsid w:val="00FA04E8"/>
    <w:rsid w:val="00FA231B"/>
    <w:rsid w:val="00FA30D0"/>
    <w:rsid w:val="00FB021F"/>
    <w:rsid w:val="00FB19BC"/>
    <w:rsid w:val="00FB3A91"/>
    <w:rsid w:val="00FB4FA7"/>
    <w:rsid w:val="00FB7CC3"/>
    <w:rsid w:val="00FC287C"/>
    <w:rsid w:val="00FC4EE2"/>
    <w:rsid w:val="00FC69F4"/>
    <w:rsid w:val="00FD4A20"/>
    <w:rsid w:val="00FD5AB7"/>
    <w:rsid w:val="00FD7E03"/>
    <w:rsid w:val="00FE1EA3"/>
    <w:rsid w:val="00FE27D1"/>
    <w:rsid w:val="00FE4CB0"/>
    <w:rsid w:val="00FE4F1B"/>
    <w:rsid w:val="00FF4966"/>
    <w:rsid w:val="00FF65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623D"/>
  <w15:chartTrackingRefBased/>
  <w15:docId w15:val="{39E3CD55-95D2-4288-B120-5EC5D794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A4AF9"/>
    <w:pPr>
      <w:keepNext/>
      <w:keepLines/>
      <w:spacing w:before="240" w:after="0"/>
      <w:outlineLvl w:val="0"/>
    </w:pPr>
    <w:rPr>
      <w:rFonts w:asciiTheme="majorHAnsi" w:eastAsiaTheme="majorEastAsia" w:hAnsiTheme="majorHAnsi" w:cstheme="majorBidi"/>
      <w:color w:val="7B230B" w:themeColor="accent1" w:themeShade="BF"/>
      <w:sz w:val="32"/>
      <w:szCs w:val="32"/>
    </w:rPr>
  </w:style>
  <w:style w:type="paragraph" w:styleId="Titre2">
    <w:name w:val="heading 2"/>
    <w:basedOn w:val="Normal"/>
    <w:next w:val="Normal"/>
    <w:link w:val="Titre2Car"/>
    <w:uiPriority w:val="9"/>
    <w:unhideWhenUsed/>
    <w:qFormat/>
    <w:rsid w:val="00E04541"/>
    <w:pPr>
      <w:keepNext/>
      <w:keepLines/>
      <w:spacing w:before="40" w:after="0"/>
      <w:outlineLvl w:val="1"/>
    </w:pPr>
    <w:rPr>
      <w:rFonts w:asciiTheme="majorHAnsi" w:eastAsiaTheme="majorEastAsia" w:hAnsiTheme="majorHAnsi" w:cstheme="majorBidi"/>
      <w:color w:val="7B230B"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DIP">
    <w:name w:val="DIP"/>
    <w:uiPriority w:val="99"/>
    <w:rsid w:val="005D70C8"/>
    <w:pPr>
      <w:numPr>
        <w:numId w:val="1"/>
      </w:numPr>
    </w:pPr>
  </w:style>
  <w:style w:type="paragraph" w:styleId="En-tte">
    <w:name w:val="header"/>
    <w:basedOn w:val="Normal"/>
    <w:link w:val="En-tteCar"/>
    <w:uiPriority w:val="99"/>
    <w:unhideWhenUsed/>
    <w:rsid w:val="003C26A7"/>
    <w:pPr>
      <w:tabs>
        <w:tab w:val="center" w:pos="4536"/>
        <w:tab w:val="right" w:pos="9072"/>
      </w:tabs>
      <w:spacing w:after="0" w:line="240" w:lineRule="auto"/>
    </w:pPr>
  </w:style>
  <w:style w:type="character" w:customStyle="1" w:styleId="En-tteCar">
    <w:name w:val="En-tête Car"/>
    <w:basedOn w:val="Policepardfaut"/>
    <w:link w:val="En-tte"/>
    <w:uiPriority w:val="99"/>
    <w:rsid w:val="003C26A7"/>
  </w:style>
  <w:style w:type="paragraph" w:styleId="Pieddepage">
    <w:name w:val="footer"/>
    <w:basedOn w:val="Normal"/>
    <w:link w:val="PieddepageCar"/>
    <w:uiPriority w:val="99"/>
    <w:unhideWhenUsed/>
    <w:rsid w:val="003C26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26A7"/>
  </w:style>
  <w:style w:type="character" w:styleId="Marquedecommentaire">
    <w:name w:val="annotation reference"/>
    <w:basedOn w:val="Policepardfaut"/>
    <w:uiPriority w:val="99"/>
    <w:semiHidden/>
    <w:unhideWhenUsed/>
    <w:rsid w:val="00AE56FB"/>
    <w:rPr>
      <w:sz w:val="16"/>
      <w:szCs w:val="16"/>
    </w:rPr>
  </w:style>
  <w:style w:type="paragraph" w:styleId="Commentaire">
    <w:name w:val="annotation text"/>
    <w:basedOn w:val="Normal"/>
    <w:link w:val="CommentaireCar"/>
    <w:uiPriority w:val="99"/>
    <w:unhideWhenUsed/>
    <w:rsid w:val="00AE56FB"/>
    <w:pPr>
      <w:spacing w:line="240" w:lineRule="auto"/>
    </w:pPr>
    <w:rPr>
      <w:sz w:val="20"/>
      <w:szCs w:val="20"/>
    </w:rPr>
  </w:style>
  <w:style w:type="character" w:customStyle="1" w:styleId="CommentaireCar">
    <w:name w:val="Commentaire Car"/>
    <w:basedOn w:val="Policepardfaut"/>
    <w:link w:val="Commentaire"/>
    <w:uiPriority w:val="99"/>
    <w:rsid w:val="00AE56FB"/>
    <w:rPr>
      <w:sz w:val="20"/>
      <w:szCs w:val="20"/>
    </w:rPr>
  </w:style>
  <w:style w:type="paragraph" w:styleId="Objetducommentaire">
    <w:name w:val="annotation subject"/>
    <w:basedOn w:val="Commentaire"/>
    <w:next w:val="Commentaire"/>
    <w:link w:val="ObjetducommentaireCar"/>
    <w:uiPriority w:val="99"/>
    <w:semiHidden/>
    <w:unhideWhenUsed/>
    <w:rsid w:val="00AE56FB"/>
    <w:rPr>
      <w:b/>
      <w:bCs/>
    </w:rPr>
  </w:style>
  <w:style w:type="character" w:customStyle="1" w:styleId="ObjetducommentaireCar">
    <w:name w:val="Objet du commentaire Car"/>
    <w:basedOn w:val="CommentaireCar"/>
    <w:link w:val="Objetducommentaire"/>
    <w:uiPriority w:val="99"/>
    <w:semiHidden/>
    <w:rsid w:val="00AE56FB"/>
    <w:rPr>
      <w:b/>
      <w:bCs/>
      <w:sz w:val="20"/>
      <w:szCs w:val="20"/>
    </w:rPr>
  </w:style>
  <w:style w:type="paragraph" w:styleId="Textedebulles">
    <w:name w:val="Balloon Text"/>
    <w:basedOn w:val="Normal"/>
    <w:link w:val="TextedebullesCar"/>
    <w:uiPriority w:val="99"/>
    <w:semiHidden/>
    <w:unhideWhenUsed/>
    <w:rsid w:val="00AE56F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56FB"/>
    <w:rPr>
      <w:rFonts w:ascii="Segoe UI" w:hAnsi="Segoe UI" w:cs="Segoe UI"/>
      <w:sz w:val="18"/>
      <w:szCs w:val="18"/>
    </w:rPr>
  </w:style>
  <w:style w:type="character" w:customStyle="1" w:styleId="Titre1Car">
    <w:name w:val="Titre 1 Car"/>
    <w:basedOn w:val="Policepardfaut"/>
    <w:link w:val="Titre1"/>
    <w:uiPriority w:val="9"/>
    <w:rsid w:val="001A4AF9"/>
    <w:rPr>
      <w:rFonts w:asciiTheme="majorHAnsi" w:eastAsiaTheme="majorEastAsia" w:hAnsiTheme="majorHAnsi" w:cstheme="majorBidi"/>
      <w:color w:val="7B230B" w:themeColor="accent1" w:themeShade="BF"/>
      <w:sz w:val="32"/>
      <w:szCs w:val="32"/>
    </w:rPr>
  </w:style>
  <w:style w:type="paragraph" w:styleId="Notedebasdepage">
    <w:name w:val="footnote text"/>
    <w:basedOn w:val="Normal"/>
    <w:link w:val="NotedebasdepageCar"/>
    <w:uiPriority w:val="99"/>
    <w:unhideWhenUsed/>
    <w:rsid w:val="0017795B"/>
    <w:pPr>
      <w:spacing w:after="0" w:line="240" w:lineRule="auto"/>
    </w:pPr>
    <w:rPr>
      <w:rFonts w:eastAsiaTheme="minorEastAsia"/>
      <w:sz w:val="20"/>
      <w:szCs w:val="20"/>
    </w:rPr>
  </w:style>
  <w:style w:type="character" w:customStyle="1" w:styleId="NotedebasdepageCar">
    <w:name w:val="Note de bas de page Car"/>
    <w:basedOn w:val="Policepardfaut"/>
    <w:link w:val="Notedebasdepage"/>
    <w:uiPriority w:val="99"/>
    <w:rsid w:val="0017795B"/>
    <w:rPr>
      <w:rFonts w:eastAsiaTheme="minorEastAsia"/>
      <w:sz w:val="20"/>
      <w:szCs w:val="20"/>
    </w:rPr>
  </w:style>
  <w:style w:type="character" w:styleId="Appelnotedebasdep">
    <w:name w:val="footnote reference"/>
    <w:basedOn w:val="Policepardfaut"/>
    <w:uiPriority w:val="99"/>
    <w:semiHidden/>
    <w:unhideWhenUsed/>
    <w:rsid w:val="0017795B"/>
    <w:rPr>
      <w:vertAlign w:val="superscript"/>
    </w:rPr>
  </w:style>
  <w:style w:type="paragraph" w:styleId="Paragraphedeliste">
    <w:name w:val="List Paragraph"/>
    <w:basedOn w:val="Normal"/>
    <w:uiPriority w:val="34"/>
    <w:qFormat/>
    <w:rsid w:val="00423729"/>
    <w:pPr>
      <w:ind w:left="720"/>
      <w:contextualSpacing/>
    </w:pPr>
  </w:style>
  <w:style w:type="character" w:customStyle="1" w:styleId="Titre2Car">
    <w:name w:val="Titre 2 Car"/>
    <w:basedOn w:val="Policepardfaut"/>
    <w:link w:val="Titre2"/>
    <w:uiPriority w:val="9"/>
    <w:rsid w:val="00E04541"/>
    <w:rPr>
      <w:rFonts w:asciiTheme="majorHAnsi" w:eastAsiaTheme="majorEastAsia" w:hAnsiTheme="majorHAnsi" w:cstheme="majorBidi"/>
      <w:color w:val="7B230B" w:themeColor="accent1" w:themeShade="BF"/>
      <w:sz w:val="26"/>
      <w:szCs w:val="26"/>
    </w:rPr>
  </w:style>
  <w:style w:type="character" w:styleId="Accentuationlgre">
    <w:name w:val="Subtle Emphasis"/>
    <w:basedOn w:val="Policepardfaut"/>
    <w:uiPriority w:val="19"/>
    <w:qFormat/>
    <w:rsid w:val="00A96E79"/>
    <w:rPr>
      <w:i/>
      <w:iCs/>
      <w:color w:val="404040" w:themeColor="text1" w:themeTint="BF"/>
    </w:rPr>
  </w:style>
  <w:style w:type="paragraph" w:styleId="Rvision">
    <w:name w:val="Revision"/>
    <w:hidden/>
    <w:uiPriority w:val="99"/>
    <w:semiHidden/>
    <w:rsid w:val="00767926"/>
    <w:pPr>
      <w:spacing w:after="0" w:line="240" w:lineRule="auto"/>
    </w:pPr>
  </w:style>
  <w:style w:type="paragraph" w:styleId="Titre">
    <w:name w:val="Title"/>
    <w:basedOn w:val="Normal"/>
    <w:next w:val="Normal"/>
    <w:link w:val="TitreCar"/>
    <w:uiPriority w:val="10"/>
    <w:qFormat/>
    <w:rsid w:val="00E13E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3EB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3EB1"/>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E13EB1"/>
    <w:rPr>
      <w:rFonts w:eastAsiaTheme="minorEastAsia"/>
      <w:color w:val="5A5A5A" w:themeColor="text1" w:themeTint="A5"/>
      <w:spacing w:val="15"/>
    </w:rPr>
  </w:style>
  <w:style w:type="character" w:styleId="Lienhypertexte">
    <w:name w:val="Hyperlink"/>
    <w:basedOn w:val="Policepardfaut"/>
    <w:uiPriority w:val="99"/>
    <w:unhideWhenUsed/>
    <w:rsid w:val="008D14D0"/>
    <w:rPr>
      <w:color w:val="6B9F25" w:themeColor="hyperlink"/>
      <w:u w:val="single"/>
    </w:rPr>
  </w:style>
  <w:style w:type="character" w:styleId="Mentionnonrsolue">
    <w:name w:val="Unresolved Mention"/>
    <w:basedOn w:val="Policepardfaut"/>
    <w:uiPriority w:val="99"/>
    <w:semiHidden/>
    <w:unhideWhenUsed/>
    <w:rsid w:val="008D1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421359">
      <w:bodyDiv w:val="1"/>
      <w:marLeft w:val="0"/>
      <w:marRight w:val="0"/>
      <w:marTop w:val="0"/>
      <w:marBottom w:val="0"/>
      <w:divBdr>
        <w:top w:val="none" w:sz="0" w:space="0" w:color="auto"/>
        <w:left w:val="none" w:sz="0" w:space="0" w:color="auto"/>
        <w:bottom w:val="none" w:sz="0" w:space="0" w:color="auto"/>
        <w:right w:val="none" w:sz="0" w:space="0" w:color="auto"/>
      </w:divBdr>
    </w:div>
    <w:div w:id="1244218754">
      <w:bodyDiv w:val="1"/>
      <w:marLeft w:val="0"/>
      <w:marRight w:val="0"/>
      <w:marTop w:val="0"/>
      <w:marBottom w:val="0"/>
      <w:divBdr>
        <w:top w:val="none" w:sz="0" w:space="0" w:color="auto"/>
        <w:left w:val="none" w:sz="0" w:space="0" w:color="auto"/>
        <w:bottom w:val="none" w:sz="0" w:space="0" w:color="auto"/>
        <w:right w:val="none" w:sz="0" w:space="0" w:color="auto"/>
      </w:divBdr>
    </w:div>
    <w:div w:id="1319770720">
      <w:bodyDiv w:val="1"/>
      <w:marLeft w:val="0"/>
      <w:marRight w:val="0"/>
      <w:marTop w:val="0"/>
      <w:marBottom w:val="0"/>
      <w:divBdr>
        <w:top w:val="none" w:sz="0" w:space="0" w:color="auto"/>
        <w:left w:val="none" w:sz="0" w:space="0" w:color="auto"/>
        <w:bottom w:val="none" w:sz="0" w:space="0" w:color="auto"/>
        <w:right w:val="none" w:sz="0" w:space="0" w:color="auto"/>
      </w:divBdr>
    </w:div>
    <w:div w:id="1449474755">
      <w:bodyDiv w:val="1"/>
      <w:marLeft w:val="0"/>
      <w:marRight w:val="0"/>
      <w:marTop w:val="0"/>
      <w:marBottom w:val="0"/>
      <w:divBdr>
        <w:top w:val="none" w:sz="0" w:space="0" w:color="auto"/>
        <w:left w:val="none" w:sz="0" w:space="0" w:color="auto"/>
        <w:bottom w:val="none" w:sz="0" w:space="0" w:color="auto"/>
        <w:right w:val="none" w:sz="0" w:space="0" w:color="auto"/>
      </w:divBdr>
    </w:div>
    <w:div w:id="1462727487">
      <w:bodyDiv w:val="1"/>
      <w:marLeft w:val="0"/>
      <w:marRight w:val="0"/>
      <w:marTop w:val="0"/>
      <w:marBottom w:val="0"/>
      <w:divBdr>
        <w:top w:val="none" w:sz="0" w:space="0" w:color="auto"/>
        <w:left w:val="none" w:sz="0" w:space="0" w:color="auto"/>
        <w:bottom w:val="none" w:sz="0" w:space="0" w:color="auto"/>
        <w:right w:val="none" w:sz="0" w:space="0" w:color="auto"/>
      </w:divBdr>
    </w:div>
    <w:div w:id="1910847208">
      <w:bodyDiv w:val="1"/>
      <w:marLeft w:val="0"/>
      <w:marRight w:val="0"/>
      <w:marTop w:val="0"/>
      <w:marBottom w:val="0"/>
      <w:divBdr>
        <w:top w:val="none" w:sz="0" w:space="0" w:color="auto"/>
        <w:left w:val="none" w:sz="0" w:space="0" w:color="auto"/>
        <w:bottom w:val="none" w:sz="0" w:space="0" w:color="auto"/>
        <w:right w:val="none" w:sz="0" w:space="0" w:color="auto"/>
      </w:divBdr>
    </w:div>
    <w:div w:id="208432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9562F-7E83-4336-B9E5-1902DF25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2703</Words>
  <Characters>14870</Characters>
  <Application>Microsoft Office Word</Application>
  <DocSecurity>0</DocSecurity>
  <Lines>123</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Ernoux Alix</dc:creator>
  <cp:keywords/>
  <dc:description/>
  <cp:lastModifiedBy>Ernoux Alix</cp:lastModifiedBy>
  <cp:revision>4</cp:revision>
  <cp:lastPrinted>2023-03-13T09:03:00Z</cp:lastPrinted>
  <dcterms:created xsi:type="dcterms:W3CDTF">2024-12-20T13:11:00Z</dcterms:created>
  <dcterms:modified xsi:type="dcterms:W3CDTF">2024-12-20T13:47:00Z</dcterms:modified>
</cp:coreProperties>
</file>