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D4127" w14:textId="02CB0F94" w:rsidR="00D105B9" w:rsidRPr="00E4332A" w:rsidRDefault="406577B6" w:rsidP="406577B6">
      <w:pPr>
        <w:pBdr>
          <w:bottom w:val="double" w:sz="6" w:space="1" w:color="auto"/>
        </w:pBdr>
        <w:jc w:val="both"/>
        <w:rPr>
          <w:b/>
          <w:bCs/>
          <w:i/>
          <w:iCs/>
        </w:rPr>
      </w:pPr>
      <w:bookmarkStart w:id="0" w:name="_GoBack"/>
      <w:r w:rsidRPr="406577B6">
        <w:rPr>
          <w:b/>
          <w:bCs/>
        </w:rPr>
        <w:t xml:space="preserve">Table 1. Recommendations for neuroimaging use in diagnosis of DoC patients. </w:t>
      </w:r>
    </w:p>
    <w:tbl>
      <w:tblPr>
        <w:tblStyle w:val="TableGrid"/>
        <w:tblW w:w="13608" w:type="dxa"/>
        <w:tblLayout w:type="fixed"/>
        <w:tblLook w:val="04A0" w:firstRow="1" w:lastRow="0" w:firstColumn="1" w:lastColumn="0" w:noHBand="0" w:noVBand="1"/>
      </w:tblPr>
      <w:tblGrid>
        <w:gridCol w:w="849"/>
        <w:gridCol w:w="1417"/>
        <w:gridCol w:w="1276"/>
        <w:gridCol w:w="2837"/>
        <w:gridCol w:w="1276"/>
        <w:gridCol w:w="4252"/>
        <w:gridCol w:w="568"/>
        <w:gridCol w:w="567"/>
        <w:gridCol w:w="566"/>
      </w:tblGrid>
      <w:tr w:rsidR="00FD7C1C" w14:paraId="39A16CE5" w14:textId="77777777" w:rsidTr="000C1944">
        <w:trPr>
          <w:trHeight w:val="901"/>
        </w:trPr>
        <w:tc>
          <w:tcPr>
            <w:tcW w:w="11907" w:type="dxa"/>
            <w:gridSpan w:val="6"/>
            <w:tcBorders>
              <w:top w:val="nil"/>
              <w:left w:val="nil"/>
            </w:tcBorders>
          </w:tcPr>
          <w:p w14:paraId="26796C15" w14:textId="7F5FDA4B" w:rsidR="00FD7C1C" w:rsidRPr="00D105B9" w:rsidRDefault="00FD7C1C">
            <w:pPr>
              <w:rPr>
                <w:b/>
              </w:rPr>
            </w:pPr>
            <w:bookmarkStart w:id="1" w:name="_Hlk133289798"/>
          </w:p>
        </w:tc>
        <w:tc>
          <w:tcPr>
            <w:tcW w:w="1701" w:type="dxa"/>
            <w:gridSpan w:val="3"/>
            <w:vAlign w:val="center"/>
          </w:tcPr>
          <w:p w14:paraId="1B341F4C" w14:textId="5DD95F9C" w:rsidR="00FD7C1C" w:rsidRPr="00D105B9" w:rsidRDefault="00FD7C1C" w:rsidP="003273B9">
            <w:pPr>
              <w:jc w:val="center"/>
              <w:rPr>
                <w:b/>
              </w:rPr>
            </w:pPr>
            <w:r>
              <w:rPr>
                <w:b/>
              </w:rPr>
              <w:t xml:space="preserve">Recommended by </w:t>
            </w:r>
            <w:r w:rsidR="004968EA">
              <w:rPr>
                <w:b/>
              </w:rPr>
              <w:t xml:space="preserve">clinical </w:t>
            </w:r>
            <w:r>
              <w:rPr>
                <w:b/>
              </w:rPr>
              <w:t>guidelines:</w:t>
            </w:r>
          </w:p>
        </w:tc>
      </w:tr>
      <w:tr w:rsidR="00FD7C1C" w14:paraId="32A4B1B6" w14:textId="77777777" w:rsidTr="000C1944">
        <w:trPr>
          <w:cantSplit/>
          <w:trHeight w:val="1134"/>
        </w:trPr>
        <w:tc>
          <w:tcPr>
            <w:tcW w:w="2266" w:type="dxa"/>
            <w:gridSpan w:val="2"/>
            <w:vAlign w:val="center"/>
          </w:tcPr>
          <w:p w14:paraId="4AE46046" w14:textId="2C0FE259" w:rsidR="00FD7C1C" w:rsidRPr="00D105B9" w:rsidRDefault="00FD7C1C" w:rsidP="003273B9">
            <w:pPr>
              <w:jc w:val="center"/>
              <w:rPr>
                <w:b/>
              </w:rPr>
            </w:pPr>
            <w:r w:rsidRPr="00D105B9">
              <w:rPr>
                <w:b/>
              </w:rPr>
              <w:t>Tool</w:t>
            </w:r>
            <w:r w:rsidR="0062377A">
              <w:rPr>
                <w:b/>
              </w:rPr>
              <w:t>s</w:t>
            </w:r>
          </w:p>
        </w:tc>
        <w:tc>
          <w:tcPr>
            <w:tcW w:w="1276" w:type="dxa"/>
            <w:vAlign w:val="center"/>
          </w:tcPr>
          <w:p w14:paraId="5FCFF107" w14:textId="786B42AD" w:rsidR="00FD7C1C" w:rsidRPr="00D105B9" w:rsidRDefault="00FD7C1C" w:rsidP="00FD7C1C">
            <w:pPr>
              <w:rPr>
                <w:b/>
              </w:rPr>
            </w:pPr>
            <w:r>
              <w:rPr>
                <w:b/>
              </w:rPr>
              <w:t>Protocol</w:t>
            </w:r>
            <w:r w:rsidR="0062377A">
              <w:rPr>
                <w:b/>
              </w:rPr>
              <w:t>s</w:t>
            </w:r>
          </w:p>
        </w:tc>
        <w:tc>
          <w:tcPr>
            <w:tcW w:w="2837" w:type="dxa"/>
            <w:vAlign w:val="center"/>
          </w:tcPr>
          <w:p w14:paraId="787A58B3" w14:textId="45E9D897" w:rsidR="00FD7C1C" w:rsidRPr="00D105B9" w:rsidRDefault="00FD7C1C" w:rsidP="003273B9">
            <w:pPr>
              <w:jc w:val="center"/>
              <w:rPr>
                <w:b/>
              </w:rPr>
            </w:pPr>
            <w:r w:rsidRPr="00D105B9">
              <w:rPr>
                <w:b/>
              </w:rPr>
              <w:t>Measure</w:t>
            </w:r>
            <w:r w:rsidR="0062377A">
              <w:rPr>
                <w:b/>
              </w:rPr>
              <w:t>s</w:t>
            </w:r>
          </w:p>
        </w:tc>
        <w:tc>
          <w:tcPr>
            <w:tcW w:w="1276" w:type="dxa"/>
            <w:vAlign w:val="center"/>
          </w:tcPr>
          <w:p w14:paraId="08A9D0EE" w14:textId="77777777" w:rsidR="00FD7C1C" w:rsidRPr="00D105B9" w:rsidRDefault="00FD7C1C" w:rsidP="003273B9">
            <w:pPr>
              <w:jc w:val="center"/>
              <w:rPr>
                <w:b/>
              </w:rPr>
            </w:pPr>
            <w:r w:rsidRPr="00D105B9">
              <w:rPr>
                <w:b/>
              </w:rPr>
              <w:t>Accuracy</w:t>
            </w:r>
          </w:p>
        </w:tc>
        <w:tc>
          <w:tcPr>
            <w:tcW w:w="4252" w:type="dxa"/>
            <w:vAlign w:val="center"/>
          </w:tcPr>
          <w:p w14:paraId="75C0E9E3" w14:textId="3726E881" w:rsidR="00FD7C1C" w:rsidRPr="00D105B9" w:rsidRDefault="001A7025" w:rsidP="003273B9">
            <w:pPr>
              <w:jc w:val="center"/>
              <w:rPr>
                <w:b/>
              </w:rPr>
            </w:pPr>
            <w:r>
              <w:rPr>
                <w:b/>
              </w:rPr>
              <w:t>Main finding</w:t>
            </w:r>
            <w:r w:rsidR="0062377A">
              <w:rPr>
                <w:b/>
              </w:rPr>
              <w:t>s</w:t>
            </w:r>
          </w:p>
        </w:tc>
        <w:tc>
          <w:tcPr>
            <w:tcW w:w="568" w:type="dxa"/>
            <w:vAlign w:val="center"/>
          </w:tcPr>
          <w:p w14:paraId="04D9A8D9" w14:textId="77777777" w:rsidR="00FD7C1C" w:rsidRPr="00D105B9" w:rsidRDefault="00FD7C1C" w:rsidP="003273B9">
            <w:pPr>
              <w:jc w:val="center"/>
              <w:rPr>
                <w:b/>
              </w:rPr>
            </w:pPr>
            <w:r>
              <w:rPr>
                <w:b/>
              </w:rPr>
              <w:t>US</w:t>
            </w:r>
          </w:p>
        </w:tc>
        <w:tc>
          <w:tcPr>
            <w:tcW w:w="567" w:type="dxa"/>
            <w:vAlign w:val="center"/>
          </w:tcPr>
          <w:p w14:paraId="2D2F3838" w14:textId="77777777" w:rsidR="00FD7C1C" w:rsidRPr="00D105B9" w:rsidRDefault="00FD7C1C" w:rsidP="003273B9">
            <w:pPr>
              <w:jc w:val="center"/>
              <w:rPr>
                <w:b/>
              </w:rPr>
            </w:pPr>
            <w:r>
              <w:rPr>
                <w:b/>
              </w:rPr>
              <w:t>UK</w:t>
            </w:r>
          </w:p>
        </w:tc>
        <w:tc>
          <w:tcPr>
            <w:tcW w:w="566" w:type="dxa"/>
            <w:vAlign w:val="center"/>
          </w:tcPr>
          <w:p w14:paraId="078C7658" w14:textId="77777777" w:rsidR="00FD7C1C" w:rsidRPr="00D105B9" w:rsidRDefault="00FD7C1C" w:rsidP="003273B9">
            <w:pPr>
              <w:jc w:val="center"/>
              <w:rPr>
                <w:b/>
              </w:rPr>
            </w:pPr>
            <w:r>
              <w:rPr>
                <w:b/>
              </w:rPr>
              <w:t>EU</w:t>
            </w:r>
          </w:p>
        </w:tc>
      </w:tr>
      <w:tr w:rsidR="00FD7C1C" w14:paraId="25B45E7C" w14:textId="77777777" w:rsidTr="000C1944">
        <w:trPr>
          <w:cantSplit/>
          <w:trHeight w:val="831"/>
        </w:trPr>
        <w:tc>
          <w:tcPr>
            <w:tcW w:w="849" w:type="dxa"/>
            <w:vAlign w:val="center"/>
          </w:tcPr>
          <w:p w14:paraId="73425F3E" w14:textId="77777777" w:rsidR="00FD7C1C" w:rsidRPr="003273B9" w:rsidRDefault="00FD7C1C" w:rsidP="001B7EC2">
            <w:pPr>
              <w:rPr>
                <w:b/>
                <w:sz w:val="22"/>
                <w:szCs w:val="22"/>
              </w:rPr>
            </w:pPr>
            <w:r w:rsidRPr="003273B9">
              <w:rPr>
                <w:b/>
                <w:sz w:val="22"/>
                <w:szCs w:val="22"/>
              </w:rPr>
              <w:t>CT</w:t>
            </w:r>
          </w:p>
        </w:tc>
        <w:tc>
          <w:tcPr>
            <w:tcW w:w="1417" w:type="dxa"/>
            <w:vAlign w:val="center"/>
          </w:tcPr>
          <w:p w14:paraId="4443FF65" w14:textId="77777777" w:rsidR="001078FC" w:rsidRDefault="001078FC" w:rsidP="00FD7C1C">
            <w:pPr>
              <w:rPr>
                <w:b/>
                <w:sz w:val="22"/>
                <w:szCs w:val="22"/>
              </w:rPr>
            </w:pPr>
            <w:r>
              <w:rPr>
                <w:b/>
                <w:sz w:val="22"/>
                <w:szCs w:val="22"/>
              </w:rPr>
              <w:t xml:space="preserve">Visual Inspection </w:t>
            </w:r>
          </w:p>
          <w:p w14:paraId="6F919BEB" w14:textId="56FD25F4" w:rsidR="00FD7C1C" w:rsidRPr="00FD7C1C" w:rsidRDefault="00FD7C1C" w:rsidP="00FD7C1C">
            <w:pPr>
              <w:rPr>
                <w:b/>
                <w:sz w:val="22"/>
                <w:szCs w:val="22"/>
              </w:rPr>
            </w:pPr>
          </w:p>
        </w:tc>
        <w:tc>
          <w:tcPr>
            <w:tcW w:w="1276" w:type="dxa"/>
            <w:vAlign w:val="center"/>
          </w:tcPr>
          <w:p w14:paraId="0E074212" w14:textId="1F7B6D25" w:rsidR="00FD7C1C" w:rsidRDefault="00054ADF" w:rsidP="00FD7C1C">
            <w:pPr>
              <w:rPr>
                <w:sz w:val="22"/>
                <w:szCs w:val="22"/>
              </w:rPr>
            </w:pPr>
            <w:r>
              <w:rPr>
                <w:sz w:val="22"/>
                <w:szCs w:val="22"/>
              </w:rPr>
              <w:t>(</w:t>
            </w:r>
            <w:r w:rsidR="00FD7C1C">
              <w:rPr>
                <w:sz w:val="22"/>
                <w:szCs w:val="22"/>
              </w:rPr>
              <w:t>Rest</w:t>
            </w:r>
            <w:r>
              <w:rPr>
                <w:sz w:val="22"/>
                <w:szCs w:val="22"/>
              </w:rPr>
              <w:t>)</w:t>
            </w:r>
          </w:p>
        </w:tc>
        <w:tc>
          <w:tcPr>
            <w:tcW w:w="2837" w:type="dxa"/>
            <w:vAlign w:val="center"/>
          </w:tcPr>
          <w:p w14:paraId="544CBC57" w14:textId="475E76FA" w:rsidR="00FD7C1C" w:rsidRPr="003273B9" w:rsidRDefault="00FD7C1C" w:rsidP="001B7EC2">
            <w:pPr>
              <w:rPr>
                <w:sz w:val="22"/>
                <w:szCs w:val="22"/>
              </w:rPr>
            </w:pPr>
            <w:r>
              <w:rPr>
                <w:sz w:val="22"/>
                <w:szCs w:val="22"/>
              </w:rPr>
              <w:t>Standard v</w:t>
            </w:r>
            <w:r w:rsidRPr="003273B9">
              <w:rPr>
                <w:sz w:val="22"/>
                <w:szCs w:val="22"/>
              </w:rPr>
              <w:t xml:space="preserve">isual </w:t>
            </w:r>
            <w:r>
              <w:rPr>
                <w:sz w:val="22"/>
                <w:szCs w:val="22"/>
              </w:rPr>
              <w:t>e</w:t>
            </w:r>
            <w:r w:rsidRPr="003273B9">
              <w:rPr>
                <w:sz w:val="22"/>
                <w:szCs w:val="22"/>
              </w:rPr>
              <w:t>valuation</w:t>
            </w:r>
          </w:p>
        </w:tc>
        <w:tc>
          <w:tcPr>
            <w:tcW w:w="1276" w:type="dxa"/>
            <w:vAlign w:val="center"/>
          </w:tcPr>
          <w:p w14:paraId="1EE24853" w14:textId="1D5AA998" w:rsidR="00FD7C1C" w:rsidRPr="003273B9" w:rsidRDefault="0093297F" w:rsidP="001B7EC2">
            <w:pPr>
              <w:rPr>
                <w:sz w:val="22"/>
                <w:szCs w:val="22"/>
              </w:rPr>
            </w:pPr>
            <w:r>
              <w:rPr>
                <w:sz w:val="22"/>
                <w:szCs w:val="22"/>
              </w:rPr>
              <w:t>NA</w:t>
            </w:r>
          </w:p>
        </w:tc>
        <w:tc>
          <w:tcPr>
            <w:tcW w:w="4252" w:type="dxa"/>
            <w:vAlign w:val="center"/>
          </w:tcPr>
          <w:p w14:paraId="69FD4F26" w14:textId="7F4248B6" w:rsidR="00FD7C1C" w:rsidRPr="003273B9" w:rsidRDefault="00FD7C1C" w:rsidP="001B7EC2">
            <w:pPr>
              <w:rPr>
                <w:sz w:val="22"/>
                <w:szCs w:val="22"/>
              </w:rPr>
            </w:pPr>
            <w:r w:rsidRPr="003273B9">
              <w:rPr>
                <w:sz w:val="22"/>
                <w:szCs w:val="22"/>
              </w:rPr>
              <w:t>Identification of underlying causes of DoC in emergency and acute settings</w:t>
            </w:r>
          </w:p>
        </w:tc>
        <w:tc>
          <w:tcPr>
            <w:tcW w:w="568" w:type="dxa"/>
            <w:shd w:val="clear" w:color="auto" w:fill="auto"/>
            <w:vAlign w:val="center"/>
          </w:tcPr>
          <w:p w14:paraId="35D24B15" w14:textId="7A183F7E" w:rsidR="00FD7C1C" w:rsidRPr="003273B9" w:rsidRDefault="00E26435" w:rsidP="001B7EC2">
            <w:pPr>
              <w:rPr>
                <w:sz w:val="22"/>
                <w:szCs w:val="22"/>
              </w:rPr>
            </w:pPr>
            <w:r>
              <w:rPr>
                <w:sz w:val="22"/>
                <w:szCs w:val="22"/>
              </w:rPr>
              <w:t>NA</w:t>
            </w:r>
          </w:p>
        </w:tc>
        <w:tc>
          <w:tcPr>
            <w:tcW w:w="567" w:type="dxa"/>
            <w:shd w:val="clear" w:color="auto" w:fill="70AD47" w:themeFill="accent6"/>
            <w:vAlign w:val="center"/>
          </w:tcPr>
          <w:p w14:paraId="5F973C25" w14:textId="77777777" w:rsidR="00FD7C1C" w:rsidRPr="003273B9" w:rsidRDefault="00FD7C1C" w:rsidP="001B7EC2">
            <w:pPr>
              <w:rPr>
                <w:sz w:val="22"/>
                <w:szCs w:val="22"/>
              </w:rPr>
            </w:pPr>
          </w:p>
        </w:tc>
        <w:tc>
          <w:tcPr>
            <w:tcW w:w="566" w:type="dxa"/>
            <w:shd w:val="clear" w:color="auto" w:fill="auto"/>
            <w:vAlign w:val="center"/>
          </w:tcPr>
          <w:p w14:paraId="47EB3746" w14:textId="0F48C6DA" w:rsidR="00FD7C1C" w:rsidRPr="003273B9" w:rsidRDefault="00E26435" w:rsidP="001B7EC2">
            <w:pPr>
              <w:rPr>
                <w:sz w:val="22"/>
                <w:szCs w:val="22"/>
              </w:rPr>
            </w:pPr>
            <w:r>
              <w:rPr>
                <w:sz w:val="22"/>
                <w:szCs w:val="22"/>
              </w:rPr>
              <w:t>NA</w:t>
            </w:r>
          </w:p>
        </w:tc>
      </w:tr>
      <w:tr w:rsidR="00EF7E42" w14:paraId="591E5DD7" w14:textId="77777777" w:rsidTr="000C1944">
        <w:trPr>
          <w:trHeight w:val="1130"/>
        </w:trPr>
        <w:tc>
          <w:tcPr>
            <w:tcW w:w="849" w:type="dxa"/>
            <w:vMerge w:val="restart"/>
            <w:vAlign w:val="center"/>
          </w:tcPr>
          <w:p w14:paraId="0995AFE3" w14:textId="5038EE8C" w:rsidR="00EF7E42" w:rsidRPr="001F1493" w:rsidRDefault="00EF7E42" w:rsidP="003273B9">
            <w:pPr>
              <w:rPr>
                <w:b/>
                <w:sz w:val="22"/>
                <w:szCs w:val="22"/>
              </w:rPr>
            </w:pPr>
            <w:r w:rsidRPr="001F1493">
              <w:rPr>
                <w:b/>
                <w:sz w:val="22"/>
                <w:szCs w:val="22"/>
              </w:rPr>
              <w:t>PET</w:t>
            </w:r>
          </w:p>
        </w:tc>
        <w:tc>
          <w:tcPr>
            <w:tcW w:w="1417" w:type="dxa"/>
            <w:vMerge w:val="restart"/>
            <w:vAlign w:val="center"/>
          </w:tcPr>
          <w:p w14:paraId="241BC02A" w14:textId="7EFA5812" w:rsidR="00EF7E42" w:rsidRPr="001F1493" w:rsidRDefault="00EF7E42" w:rsidP="00FD7C1C">
            <w:pPr>
              <w:rPr>
                <w:b/>
                <w:sz w:val="22"/>
                <w:szCs w:val="22"/>
              </w:rPr>
            </w:pPr>
            <w:r w:rsidRPr="001F1493">
              <w:rPr>
                <w:b/>
                <w:sz w:val="22"/>
                <w:szCs w:val="22"/>
              </w:rPr>
              <w:t>FDG</w:t>
            </w:r>
          </w:p>
        </w:tc>
        <w:tc>
          <w:tcPr>
            <w:tcW w:w="1276" w:type="dxa"/>
            <w:vMerge w:val="restart"/>
            <w:vAlign w:val="center"/>
          </w:tcPr>
          <w:p w14:paraId="2E514A3E" w14:textId="7B5B7648" w:rsidR="00EF7E42" w:rsidRPr="003273B9" w:rsidRDefault="00EF7E42" w:rsidP="00FD7C1C">
            <w:pPr>
              <w:rPr>
                <w:sz w:val="22"/>
                <w:szCs w:val="22"/>
              </w:rPr>
            </w:pPr>
            <w:r>
              <w:rPr>
                <w:sz w:val="22"/>
                <w:szCs w:val="22"/>
              </w:rPr>
              <w:t>Rest</w:t>
            </w:r>
          </w:p>
        </w:tc>
        <w:tc>
          <w:tcPr>
            <w:tcW w:w="2837" w:type="dxa"/>
            <w:vMerge w:val="restart"/>
            <w:vAlign w:val="center"/>
          </w:tcPr>
          <w:p w14:paraId="4D01D48F" w14:textId="77777777" w:rsidR="00EF7E42" w:rsidRDefault="00EF7E42" w:rsidP="00C803EC">
            <w:pPr>
              <w:rPr>
                <w:sz w:val="22"/>
                <w:szCs w:val="22"/>
              </w:rPr>
            </w:pPr>
          </w:p>
          <w:p w14:paraId="5C8E6E01" w14:textId="1495AC5B" w:rsidR="00EF7E42" w:rsidRDefault="00EF7E42" w:rsidP="00C803EC">
            <w:pPr>
              <w:rPr>
                <w:sz w:val="22"/>
                <w:szCs w:val="22"/>
              </w:rPr>
            </w:pPr>
            <w:r w:rsidRPr="003273B9">
              <w:rPr>
                <w:sz w:val="22"/>
                <w:szCs w:val="22"/>
              </w:rPr>
              <w:t xml:space="preserve">Average glucose metabolism (SUV) in the </w:t>
            </w:r>
            <w:r>
              <w:rPr>
                <w:sz w:val="22"/>
                <w:szCs w:val="22"/>
              </w:rPr>
              <w:t>default mode network</w:t>
            </w:r>
          </w:p>
          <w:p w14:paraId="036A9A80" w14:textId="26CD69A7" w:rsidR="00EF7E42" w:rsidRDefault="00EF7E42" w:rsidP="00C803EC">
            <w:pPr>
              <w:rPr>
                <w:sz w:val="22"/>
                <w:szCs w:val="22"/>
              </w:rPr>
            </w:pPr>
            <w:r>
              <w:rPr>
                <w:sz w:val="22"/>
                <w:szCs w:val="22"/>
              </w:rPr>
              <w:t>--------------------------------------</w:t>
            </w:r>
          </w:p>
          <w:p w14:paraId="706A4A72" w14:textId="429B12B4" w:rsidR="00EF7E42" w:rsidRDefault="00EF7E42" w:rsidP="00C803EC">
            <w:pPr>
              <w:rPr>
                <w:sz w:val="22"/>
                <w:szCs w:val="22"/>
              </w:rPr>
            </w:pPr>
            <w:r w:rsidRPr="003273B9">
              <w:rPr>
                <w:sz w:val="22"/>
                <w:szCs w:val="22"/>
              </w:rPr>
              <w:t>Global brain glucose metabolism (metabolic index)</w:t>
            </w:r>
            <w:r>
              <w:rPr>
                <w:sz w:val="22"/>
                <w:szCs w:val="22"/>
              </w:rPr>
              <w:t>/</w:t>
            </w:r>
            <w:r w:rsidRPr="003273B9">
              <w:rPr>
                <w:sz w:val="22"/>
                <w:szCs w:val="22"/>
              </w:rPr>
              <w:t xml:space="preserve">Visual evaluation of statistical maps of decreased glucose metabolism in </w:t>
            </w:r>
            <w:r>
              <w:rPr>
                <w:sz w:val="22"/>
                <w:szCs w:val="22"/>
              </w:rPr>
              <w:t>default mode and executive control networks</w:t>
            </w:r>
          </w:p>
          <w:p w14:paraId="360216F0" w14:textId="5E8A0839" w:rsidR="00EF7E42" w:rsidRPr="003273B9" w:rsidRDefault="00EF7E42" w:rsidP="00C803EC">
            <w:pPr>
              <w:rPr>
                <w:sz w:val="22"/>
                <w:szCs w:val="22"/>
              </w:rPr>
            </w:pPr>
          </w:p>
        </w:tc>
        <w:tc>
          <w:tcPr>
            <w:tcW w:w="1276" w:type="dxa"/>
            <w:vMerge w:val="restart"/>
            <w:vAlign w:val="center"/>
          </w:tcPr>
          <w:p w14:paraId="1A178D55" w14:textId="77777777" w:rsidR="00EF7E42" w:rsidRPr="00315FFF" w:rsidRDefault="00EF7E42" w:rsidP="00C803EC">
            <w:pPr>
              <w:rPr>
                <w:sz w:val="22"/>
                <w:szCs w:val="22"/>
              </w:rPr>
            </w:pPr>
          </w:p>
          <w:p w14:paraId="57FAD4D8" w14:textId="6E4CF9C9" w:rsidR="00EF7E42" w:rsidRDefault="00EF7E42" w:rsidP="00C803EC">
            <w:pPr>
              <w:rPr>
                <w:sz w:val="22"/>
                <w:szCs w:val="22"/>
                <w:lang w:val="fr-BE"/>
              </w:rPr>
            </w:pPr>
            <w:r w:rsidRPr="00E13653">
              <w:rPr>
                <w:sz w:val="22"/>
                <w:szCs w:val="22"/>
                <w:lang w:val="fr-BE"/>
              </w:rPr>
              <w:t>AUC = 0.75</w:t>
            </w:r>
          </w:p>
          <w:p w14:paraId="7819606E" w14:textId="643A3C96" w:rsidR="00EF7E42" w:rsidRPr="00512B11" w:rsidRDefault="00EF7E42" w:rsidP="00C803EC">
            <w:pPr>
              <w:rPr>
                <w:sz w:val="22"/>
                <w:szCs w:val="22"/>
              </w:rPr>
            </w:pPr>
            <w:r>
              <w:rPr>
                <w:sz w:val="22"/>
                <w:szCs w:val="22"/>
              </w:rPr>
              <w:t>--------------</w:t>
            </w:r>
          </w:p>
          <w:p w14:paraId="0936C810" w14:textId="0FBB4346" w:rsidR="00EF7E42" w:rsidRPr="00512B11" w:rsidRDefault="00EF7E42" w:rsidP="00C803EC">
            <w:pPr>
              <w:rPr>
                <w:sz w:val="22"/>
                <w:szCs w:val="22"/>
              </w:rPr>
            </w:pPr>
            <w:r w:rsidRPr="00512B11">
              <w:rPr>
                <w:sz w:val="22"/>
                <w:szCs w:val="22"/>
              </w:rPr>
              <w:t>Sens = 95%</w:t>
            </w:r>
          </w:p>
          <w:p w14:paraId="52412D8E" w14:textId="77777777" w:rsidR="00EF7E42" w:rsidRPr="00512B11" w:rsidRDefault="00EF7E42" w:rsidP="00C803EC">
            <w:pPr>
              <w:rPr>
                <w:sz w:val="22"/>
                <w:szCs w:val="22"/>
              </w:rPr>
            </w:pPr>
            <w:r w:rsidRPr="00512B11">
              <w:rPr>
                <w:sz w:val="22"/>
                <w:szCs w:val="22"/>
              </w:rPr>
              <w:t>Spec = 70%</w:t>
            </w:r>
          </w:p>
          <w:p w14:paraId="7E1A7FD8" w14:textId="77777777" w:rsidR="00EF7E42" w:rsidRPr="00512B11" w:rsidRDefault="00EF7E42" w:rsidP="00C803EC">
            <w:pPr>
              <w:rPr>
                <w:sz w:val="22"/>
                <w:szCs w:val="22"/>
              </w:rPr>
            </w:pPr>
            <w:r w:rsidRPr="00512B11">
              <w:rPr>
                <w:sz w:val="22"/>
                <w:szCs w:val="22"/>
              </w:rPr>
              <w:t>Acc = 86%</w:t>
            </w:r>
          </w:p>
          <w:p w14:paraId="234658F0" w14:textId="77777777" w:rsidR="00EF7E42" w:rsidRDefault="00EF7E42" w:rsidP="000103EB">
            <w:pPr>
              <w:rPr>
                <w:sz w:val="22"/>
                <w:szCs w:val="22"/>
              </w:rPr>
            </w:pPr>
          </w:p>
          <w:p w14:paraId="027ED4AE" w14:textId="77777777" w:rsidR="000103EB" w:rsidRDefault="000103EB" w:rsidP="000103EB">
            <w:pPr>
              <w:rPr>
                <w:sz w:val="22"/>
                <w:szCs w:val="22"/>
              </w:rPr>
            </w:pPr>
          </w:p>
          <w:p w14:paraId="15A5D43F" w14:textId="5CCEBEE9" w:rsidR="000103EB" w:rsidRPr="00512B11" w:rsidRDefault="000103EB" w:rsidP="000103EB">
            <w:pPr>
              <w:rPr>
                <w:sz w:val="22"/>
                <w:szCs w:val="22"/>
              </w:rPr>
            </w:pPr>
          </w:p>
        </w:tc>
        <w:tc>
          <w:tcPr>
            <w:tcW w:w="4252" w:type="dxa"/>
            <w:vMerge w:val="restart"/>
            <w:vAlign w:val="center"/>
          </w:tcPr>
          <w:p w14:paraId="3CCEAF00" w14:textId="52295ECD" w:rsidR="000103EB" w:rsidRDefault="00EF7E42" w:rsidP="003273B9">
            <w:pPr>
              <w:rPr>
                <w:sz w:val="22"/>
                <w:szCs w:val="22"/>
              </w:rPr>
            </w:pPr>
            <w:r w:rsidRPr="003273B9">
              <w:rPr>
                <w:sz w:val="22"/>
                <w:szCs w:val="22"/>
              </w:rPr>
              <w:t xml:space="preserve">More limited decrease of glucose metabolism in the DMN distinguishes MCS from UWS/VS patients </w:t>
            </w:r>
            <w:r w:rsidR="000103EB">
              <w:rPr>
                <w:sz w:val="22"/>
                <w:szCs w:val="22"/>
              </w:rPr>
              <w:fldChar w:fldCharType="begin" w:fldLock="1"/>
            </w:r>
            <w:r w:rsidR="000103EB">
              <w:rPr>
                <w:sz w:val="22"/>
                <w:szCs w:val="22"/>
              </w:rPr>
              <w:instrText>ADDIN CSL_CITATION {"citationItems":[{"id":"ITEM-1","itemData":{"DOI":"10.1002/ana.24634","ISSN":"15318249","abstract":"Objective Understanding residual brain function in disorders of consciousness poses extraordinary challenges, and imaging examinations are needed to complement clinical assessment. The default-mode network (DMN) is known to be dysfunctional, although correlation with level of consciousness remains controversial. We investigated DMN activity with resting-state functional magnetic resonance imaging (rs-fMRI), alongside its structural and metabolic integrity, aiming to elucidate the corresponding associations with clinical assessment. Methods We enrolled 119 consecutive patients: 72 in a vegetative state/unresponsive wakefulness state (VS/UWS), 36 in a minimally conscious state (MCS), and 11 with severe disability. All underwent structural MRI and rs-fMRI, and a subset also underwent 18F-fluorodeoxyglucose positron emission tomography (FDG-PET). Data were analyzed with manual and automatic approaches, in relation to diagnosis and clinical score. Results Excluding the quartile with largest head movement, DMN activity was decreased in VS/UWS compared to MCS, and correlated with clinical score. Independent-component and seed-based analyses provided similar results, although the latter and their combination were most informative. Structural MRI and FDG-PET were less sensitive to head movement and had better diagnostic accuracy than rs-fMRI only when all cases were included. rs-fMRI indicated relatively preserved DMN activity in a small subset of VS/UWS patients, 2 of whom evolved to MCS. The integrity of the left hemisphere appears to be predictive of a better clinical status. Interpretation rs-fMRI of the DMN is sensitive to clinical severity. The effect is consistent across data analysis approaches, but heavily dependent on head movement. rs-fMRI could be informative in detecting residual DMN activity for those patients who remain relatively still during scanning and whose diagnosis is uncertain. Ann Neurol 2016;79:841-853","author":[{"dropping-particle":"","family":"Rosazza","given":"Cristina","non-dropping-particle":"","parse-names":false,"suffix":""},{"dropping-particle":"","family":"Andronache","given":"Adrian","non-dropping-particle":"","parse-names":false,"suffix":""},{"dropping-particle":"","family":"Sattin","given":"Davide","non-dropping-particle":"","parse-names":false,"suffix":""},{"dropping-particle":"","family":"Bruzzone","given":"Maria Grazia","non-dropping-particle":"","parse-names":false,"suffix":""},{"dropping-particle":"","family":"Marotta","given":"Giorgio","non-dropping-particle":"","parse-names":false,"suffix":""},{"dropping-particle":"","family":"Nigri","given":"Anna","non-dropping-particle":"","parse-names":false,"suffix":""},{"dropping-particle":"","family":"Ferraro","given":"Stefania","non-dropping-particle":"","parse-names":false,"suffix":""},{"dropping-particle":"","family":"Rossi Sebastiano","given":"Davide","non-dropping-particle":"","parse-names":false,"suffix":""},{"dropping-particle":"","family":"Porcu","given":"Luca","non-dropping-particle":"","parse-names":false,"suffix":""},{"dropping-particle":"","family":"Bersano","given":"Anna","non-dropping-particle":"","parse-names":false,"suffix":""},{"dropping-particle":"","family":"Benti","given":"Riccardo","non-dropping-particle":"","parse-names":false,"suffix":""},{"dropping-particle":"","family":"Leonardi","given":"Matilde","non-dropping-particle":"","parse-names":false,"suffix":""},{"dropping-particle":"","family":"D'Incerti","given":"Ludovico","non-dropping-particle":"","parse-names":false,"suffix":""},{"dropping-particle":"","family":"Minati","given":"Ludovico","non-dropping-particle":"","parse-names":false,"suffix":""}],"container-title":"Annals of Neurology","id":"ITEM-1","issue":"5","issued":{"date-parts":[["2016"]]},"page":"841-853","title":"Multimodal study of default-mode network integrity in disorders of consciousness","type":"article-journal","volume":"79"},"uris":["http://www.mendeley.com/documents/?uuid=5a7c0b4c-cd0d-44b3-8324-15fffcdf5cc1"]}],"mendeley":{"formattedCitation":"(Rosazza et al., 2016)","plainTextFormattedCitation":"(Rosazza et al., 2016)","previouslyFormattedCitation":"(Rosazza et al., 2016)"},"properties":{"noteIndex":0},"schema":"https://github.com/citation-style-language/schema/raw/master/csl-citation.json"}</w:instrText>
            </w:r>
            <w:r w:rsidR="000103EB">
              <w:rPr>
                <w:sz w:val="22"/>
                <w:szCs w:val="22"/>
              </w:rPr>
              <w:fldChar w:fldCharType="separate"/>
            </w:r>
            <w:r w:rsidR="000103EB" w:rsidRPr="00A15E34">
              <w:rPr>
                <w:noProof/>
                <w:sz w:val="22"/>
                <w:szCs w:val="22"/>
              </w:rPr>
              <w:t>(Rosazza et al., 2016)</w:t>
            </w:r>
            <w:r w:rsidR="000103EB">
              <w:rPr>
                <w:sz w:val="22"/>
                <w:szCs w:val="22"/>
              </w:rPr>
              <w:fldChar w:fldCharType="end"/>
            </w:r>
          </w:p>
          <w:p w14:paraId="727FB178" w14:textId="3B4F5A6E" w:rsidR="00EF7E42" w:rsidRDefault="00EF7E42" w:rsidP="003273B9">
            <w:pPr>
              <w:rPr>
                <w:sz w:val="22"/>
                <w:szCs w:val="22"/>
              </w:rPr>
            </w:pPr>
            <w:r>
              <w:rPr>
                <w:sz w:val="22"/>
                <w:szCs w:val="22"/>
              </w:rPr>
              <w:t>--------------------------------------------------</w:t>
            </w:r>
          </w:p>
          <w:p w14:paraId="41308A61" w14:textId="23EEFEE7" w:rsidR="000103EB" w:rsidRDefault="000103EB" w:rsidP="000103EB">
            <w:pPr>
              <w:rPr>
                <w:sz w:val="22"/>
                <w:szCs w:val="22"/>
              </w:rPr>
            </w:pPr>
            <w:r>
              <w:rPr>
                <w:sz w:val="22"/>
                <w:szCs w:val="22"/>
              </w:rPr>
              <w:t>H</w:t>
            </w:r>
            <w:r w:rsidRPr="000103EB">
              <w:rPr>
                <w:sz w:val="22"/>
                <w:szCs w:val="22"/>
              </w:rPr>
              <w:t>igh sensitivity and specificity for the differentiation between VS/UWS and MCS</w:t>
            </w:r>
            <w:r w:rsidRPr="406577B6">
              <w:rPr>
                <w:sz w:val="22"/>
                <w:szCs w:val="22"/>
              </w:rPr>
              <w:t xml:space="preserve"> </w:t>
            </w:r>
            <w:r w:rsidR="00EF7E42" w:rsidRPr="406577B6">
              <w:rPr>
                <w:sz w:val="22"/>
                <w:szCs w:val="22"/>
              </w:rPr>
              <w:t xml:space="preserve">(global </w:t>
            </w:r>
            <w:r>
              <w:rPr>
                <w:sz w:val="22"/>
                <w:szCs w:val="22"/>
              </w:rPr>
              <w:t xml:space="preserve">glucose metabolism </w:t>
            </w:r>
            <w:r w:rsidR="00EF7E42" w:rsidRPr="406577B6">
              <w:rPr>
                <w:sz w:val="22"/>
                <w:szCs w:val="22"/>
              </w:rPr>
              <w:t>or in default mode and executive control networks)</w:t>
            </w:r>
            <w:r w:rsidRPr="00512B11">
              <w:rPr>
                <w:sz w:val="22"/>
                <w:szCs w:val="22"/>
              </w:rPr>
              <w:t xml:space="preserve"> (pooled data</w:t>
            </w:r>
            <w:r>
              <w:rPr>
                <w:sz w:val="22"/>
                <w:szCs w:val="22"/>
              </w:rPr>
              <w:t xml:space="preserve"> of 5 studies</w:t>
            </w:r>
            <w:r w:rsidRPr="00512B11">
              <w:rPr>
                <w:sz w:val="22"/>
                <w:szCs w:val="22"/>
              </w:rPr>
              <w:t>, as in</w:t>
            </w:r>
            <w:r>
              <w:rPr>
                <w:sz w:val="22"/>
                <w:szCs w:val="22"/>
              </w:rPr>
              <w:t xml:space="preserve"> </w:t>
            </w:r>
            <w:r>
              <w:rPr>
                <w:sz w:val="22"/>
                <w:szCs w:val="22"/>
              </w:rPr>
              <w:fldChar w:fldCharType="begin" w:fldLock="1"/>
            </w:r>
            <w:r>
              <w:rPr>
                <w:sz w:val="22"/>
                <w:szCs w:val="22"/>
              </w:rPr>
              <w:instrText>ADDIN CSL_CITATION {"citationItems":[{"id":"ITEM-1","itemData":{"DOI":"10.1111/ene.14151","ISSN":"14681331","PMID":"32090418","abstract":"Background and purpose: Patients with acquired brain injury and acute or prolonged disorders of consciousness (DoC) are challenging. Evidence to support diagnostic decisions on coma and other DoC is limited but accumulating. This guideline provides the state-of-the-art evidence regarding the diagnosis of DoC, summarizing data from bedside examination techniques, functional neuroimaging and electroencephalography (EEG). Methods: Sixteen members of the European Academy of Neurology (EAN) Scientific Panel on Coma and Chronic Disorders of Consciousness, representing 10 European countries, reviewed the scientific evidence for the evaluation of coma and other DoC using standard bibliographic measures. Recommendations followed the Grading of Recommendations Assessment, Development and Evaluation (GRADE) system. The guideline was endorsed by the EAN. Results: Besides a comprehensive neurological examination, the following suggestions are made: probe for voluntary eye movements using a mirror; repeat clinical assessments in the subacute and chronic setting, using the Coma Recovery Scale – Revised; use the Full Outline of Unresponsiveness score instead of the Glasgow Coma Scale in the acute setting; obtain clinical standard EEG; search for sleep patterns on EEG, particularly rapid eye movement sleep and slow-wave sleep; and, whenever feasible, consider positron emission tomography, resting state functional magnetic resonance imaging (fMRI), active fMRI or EEG paradigms and quantitative analysis of high-density EEG to complement behavioral assessment in patients without command following at the bedside. Conclusions: Standardized clinical evaluation, EEG-based techniques and functional neuroimaging should be integrated for multimodal evaluation of patients with DoC. The state of consciousness should be classified according to the highest level revealed by any of these three approaches.","author":[{"dropping-particle":"","family":"Kondziella","given":"D.","non-dropping-particle":"","parse-names":false,"suffix":""},{"dropping-particle":"","family":"Bender","given":"A.","non-dropping-particle":"","parse-names":false,"suffix":""},{"dropping-particle":"","family":"Diserens","given":"K.","non-dropping-particle":"","parse-names":false,"suffix":""},{"dropping-particle":"","family":"Erp","given":"W.","non-dropping-particle":"van","parse-names":false,"suffix":""},{"dropping-particle":"","family":"Estraneo","given":"A.","non-dropping-particle":"","parse-names":false,"suffix":""},{"dropping-particle":"","family":"Formisano","given":"R.","non-dropping-particle":"","parse-names":false,"suffix":""},{"dropping-particle":"","family":"Laureys","given":"S.","non-dropping-particle":"","parse-names":false,"suffix":""},{"dropping-particle":"","family":"Naccache","given":"L.","non-dropping-particle":"","parse-names":false,"suffix":""},{"dropping-particle":"","family":"Ozturk","given":"S.","non-dropping-particle":"","parse-names":false,"suffix":""},{"dropping-particle":"","family":"Rohaut","given":"B.","non-dropping-particle":"","parse-names":false,"suffix":""},{"dropping-particle":"","family":"Sitt","given":"J. D.","non-dropping-particle":"","parse-names":false,"suffix":""},{"dropping-particle":"","family":"Stender","given":"J.","non-dropping-particle":"","parse-names":false,"suffix":""},{"dropping-particle":"","family":"Tiainen","given":"M.","non-dropping-particle":"","parse-names":false,"suffix":""},{"dropping-particle":"","family":"Rossetti","given":"A. O.","non-dropping-particle":"","parse-names":false,"suffix":""},{"dropping-particle":"","family":"Gosseries","given":"O.","non-dropping-particle":"","parse-names":false,"suffix":""},{"dropping-particle":"","family":"Chatelle","given":"C.","non-dropping-particle":"","parse-names":false,"suffix":""}],"container-title":"European Journal of Neurology","id":"ITEM-1","issue":"5","issued":{"date-parts":[["2020"]]},"page":"741-756","title":"European Academy of Neurology guideline on the diagnosis of coma and other disorders of consciousness","type":"article-journal","volume":"27"},"uris":["http://www.mendeley.com/documents/?uuid=3c27bb78-2fe9-4281-b31a-c5eafba16419"]}],"mendeley":{"formattedCitation":"(Kondziella et al., 2020)","plainTextFormattedCitation":"(Kondziella et al., 2020)","previouslyFormattedCitation":"(Kondziella et al., 2020)"},"properties":{"noteIndex":0},"schema":"https://github.com/citation-style-language/schema/raw/master/csl-citation.json"}</w:instrText>
            </w:r>
            <w:r>
              <w:rPr>
                <w:sz w:val="22"/>
                <w:szCs w:val="22"/>
              </w:rPr>
              <w:fldChar w:fldCharType="separate"/>
            </w:r>
            <w:r w:rsidRPr="009C6DBC">
              <w:rPr>
                <w:noProof/>
                <w:sz w:val="22"/>
                <w:szCs w:val="22"/>
              </w:rPr>
              <w:t>Kondziella et al., 2020)</w:t>
            </w:r>
            <w:r>
              <w:rPr>
                <w:sz w:val="22"/>
                <w:szCs w:val="22"/>
              </w:rPr>
              <w:fldChar w:fldCharType="end"/>
            </w:r>
          </w:p>
          <w:p w14:paraId="15CC44D7" w14:textId="413F6130" w:rsidR="00EF7E42" w:rsidRPr="003273B9" w:rsidRDefault="00EF7E42" w:rsidP="003273B9">
            <w:pPr>
              <w:rPr>
                <w:sz w:val="22"/>
                <w:szCs w:val="22"/>
              </w:rPr>
            </w:pPr>
          </w:p>
        </w:tc>
        <w:tc>
          <w:tcPr>
            <w:tcW w:w="568" w:type="dxa"/>
            <w:shd w:val="clear" w:color="auto" w:fill="FFFF00"/>
            <w:vAlign w:val="center"/>
          </w:tcPr>
          <w:p w14:paraId="19985A06" w14:textId="77777777" w:rsidR="00EF7E42" w:rsidRDefault="00EF7E42" w:rsidP="003273B9">
            <w:pPr>
              <w:rPr>
                <w:sz w:val="22"/>
                <w:szCs w:val="22"/>
              </w:rPr>
            </w:pPr>
          </w:p>
          <w:p w14:paraId="2E2D8E93" w14:textId="77777777" w:rsidR="00EF7E42" w:rsidRDefault="00EF7E42" w:rsidP="003273B9">
            <w:pPr>
              <w:rPr>
                <w:sz w:val="22"/>
                <w:szCs w:val="22"/>
              </w:rPr>
            </w:pPr>
          </w:p>
          <w:p w14:paraId="58799850" w14:textId="04C2546D" w:rsidR="00EF7E42" w:rsidRPr="003273B9" w:rsidRDefault="00EF7E42" w:rsidP="003273B9">
            <w:pPr>
              <w:rPr>
                <w:sz w:val="22"/>
                <w:szCs w:val="22"/>
              </w:rPr>
            </w:pPr>
          </w:p>
        </w:tc>
        <w:tc>
          <w:tcPr>
            <w:tcW w:w="567" w:type="dxa"/>
            <w:vMerge w:val="restart"/>
            <w:shd w:val="clear" w:color="auto" w:fill="ED7D31" w:themeFill="accent2"/>
            <w:vAlign w:val="center"/>
          </w:tcPr>
          <w:p w14:paraId="4BD51558" w14:textId="1E3B2D19" w:rsidR="00EF7E42" w:rsidRPr="003273B9" w:rsidRDefault="00EF7E42" w:rsidP="003273B9">
            <w:pPr>
              <w:rPr>
                <w:sz w:val="22"/>
                <w:szCs w:val="22"/>
              </w:rPr>
            </w:pPr>
            <w:r>
              <w:rPr>
                <w:sz w:val="22"/>
                <w:szCs w:val="22"/>
              </w:rPr>
              <w:t xml:space="preserve">  </w:t>
            </w:r>
          </w:p>
        </w:tc>
        <w:tc>
          <w:tcPr>
            <w:tcW w:w="566" w:type="dxa"/>
            <w:shd w:val="clear" w:color="auto" w:fill="auto"/>
            <w:vAlign w:val="center"/>
          </w:tcPr>
          <w:p w14:paraId="48A0BA78" w14:textId="77777777" w:rsidR="00EF7E42" w:rsidRPr="003273B9" w:rsidRDefault="00EF7E42" w:rsidP="001B7EC2">
            <w:pPr>
              <w:rPr>
                <w:sz w:val="22"/>
                <w:szCs w:val="22"/>
              </w:rPr>
            </w:pPr>
          </w:p>
        </w:tc>
      </w:tr>
      <w:tr w:rsidR="00EF7E42" w14:paraId="583917B1" w14:textId="77777777" w:rsidTr="000C1944">
        <w:trPr>
          <w:trHeight w:val="2344"/>
        </w:trPr>
        <w:tc>
          <w:tcPr>
            <w:tcW w:w="849" w:type="dxa"/>
            <w:vMerge/>
            <w:vAlign w:val="center"/>
          </w:tcPr>
          <w:p w14:paraId="75D274F4" w14:textId="77777777" w:rsidR="00EF7E42" w:rsidRPr="001F1493" w:rsidRDefault="00EF7E42" w:rsidP="003273B9">
            <w:pPr>
              <w:rPr>
                <w:b/>
                <w:sz w:val="22"/>
                <w:szCs w:val="22"/>
              </w:rPr>
            </w:pPr>
          </w:p>
        </w:tc>
        <w:tc>
          <w:tcPr>
            <w:tcW w:w="1417" w:type="dxa"/>
            <w:vMerge/>
            <w:vAlign w:val="center"/>
          </w:tcPr>
          <w:p w14:paraId="25DDA1D0" w14:textId="77777777" w:rsidR="00EF7E42" w:rsidRPr="001F1493" w:rsidRDefault="00EF7E42" w:rsidP="00FD7C1C">
            <w:pPr>
              <w:rPr>
                <w:b/>
                <w:sz w:val="22"/>
                <w:szCs w:val="22"/>
              </w:rPr>
            </w:pPr>
          </w:p>
        </w:tc>
        <w:tc>
          <w:tcPr>
            <w:tcW w:w="1276" w:type="dxa"/>
            <w:vMerge/>
            <w:vAlign w:val="center"/>
          </w:tcPr>
          <w:p w14:paraId="42957511" w14:textId="77777777" w:rsidR="00EF7E42" w:rsidRDefault="00EF7E42" w:rsidP="00FD7C1C">
            <w:pPr>
              <w:rPr>
                <w:sz w:val="22"/>
                <w:szCs w:val="22"/>
              </w:rPr>
            </w:pPr>
          </w:p>
        </w:tc>
        <w:tc>
          <w:tcPr>
            <w:tcW w:w="2837" w:type="dxa"/>
            <w:vMerge/>
            <w:vAlign w:val="center"/>
          </w:tcPr>
          <w:p w14:paraId="7AB8D21B" w14:textId="77777777" w:rsidR="00EF7E42" w:rsidRDefault="00EF7E42" w:rsidP="00C803EC">
            <w:pPr>
              <w:rPr>
                <w:sz w:val="22"/>
                <w:szCs w:val="22"/>
              </w:rPr>
            </w:pPr>
          </w:p>
        </w:tc>
        <w:tc>
          <w:tcPr>
            <w:tcW w:w="1276" w:type="dxa"/>
            <w:vMerge/>
            <w:vAlign w:val="center"/>
          </w:tcPr>
          <w:p w14:paraId="1F615A36" w14:textId="77777777" w:rsidR="00EF7E42" w:rsidRPr="000103EB" w:rsidRDefault="00EF7E42" w:rsidP="00C803EC">
            <w:pPr>
              <w:rPr>
                <w:sz w:val="22"/>
                <w:szCs w:val="22"/>
              </w:rPr>
            </w:pPr>
          </w:p>
        </w:tc>
        <w:tc>
          <w:tcPr>
            <w:tcW w:w="4252" w:type="dxa"/>
            <w:vMerge/>
            <w:vAlign w:val="center"/>
          </w:tcPr>
          <w:p w14:paraId="74CE7B97" w14:textId="77777777" w:rsidR="00EF7E42" w:rsidRPr="003273B9" w:rsidRDefault="00EF7E42" w:rsidP="003273B9">
            <w:pPr>
              <w:rPr>
                <w:sz w:val="22"/>
                <w:szCs w:val="22"/>
              </w:rPr>
            </w:pPr>
          </w:p>
        </w:tc>
        <w:tc>
          <w:tcPr>
            <w:tcW w:w="568" w:type="dxa"/>
            <w:shd w:val="clear" w:color="auto" w:fill="auto"/>
            <w:vAlign w:val="center"/>
          </w:tcPr>
          <w:p w14:paraId="306855FA" w14:textId="77777777" w:rsidR="00EF7E42" w:rsidRDefault="00EF7E42" w:rsidP="003273B9">
            <w:pPr>
              <w:rPr>
                <w:sz w:val="22"/>
                <w:szCs w:val="22"/>
              </w:rPr>
            </w:pPr>
          </w:p>
        </w:tc>
        <w:tc>
          <w:tcPr>
            <w:tcW w:w="567" w:type="dxa"/>
            <w:vMerge/>
            <w:shd w:val="clear" w:color="auto" w:fill="ED7D31" w:themeFill="accent2"/>
            <w:vAlign w:val="center"/>
          </w:tcPr>
          <w:p w14:paraId="2DB7370E" w14:textId="77777777" w:rsidR="00EF7E42" w:rsidRDefault="00EF7E42" w:rsidP="003273B9">
            <w:pPr>
              <w:rPr>
                <w:sz w:val="22"/>
                <w:szCs w:val="22"/>
              </w:rPr>
            </w:pPr>
          </w:p>
        </w:tc>
        <w:tc>
          <w:tcPr>
            <w:tcW w:w="566" w:type="dxa"/>
            <w:shd w:val="clear" w:color="auto" w:fill="70AD47" w:themeFill="accent6"/>
            <w:vAlign w:val="center"/>
          </w:tcPr>
          <w:p w14:paraId="68C7E8C1" w14:textId="77777777" w:rsidR="00EF7E42" w:rsidRPr="003273B9" w:rsidRDefault="00EF7E42" w:rsidP="001B7EC2">
            <w:pPr>
              <w:rPr>
                <w:sz w:val="22"/>
                <w:szCs w:val="22"/>
              </w:rPr>
            </w:pPr>
          </w:p>
        </w:tc>
      </w:tr>
      <w:tr w:rsidR="00FD7C1C" w14:paraId="289AAD63" w14:textId="77777777" w:rsidTr="000C1944">
        <w:trPr>
          <w:trHeight w:val="300"/>
        </w:trPr>
        <w:tc>
          <w:tcPr>
            <w:tcW w:w="849" w:type="dxa"/>
            <w:vMerge/>
            <w:vAlign w:val="center"/>
          </w:tcPr>
          <w:p w14:paraId="7D02EF8C" w14:textId="29E8A93D" w:rsidR="00FD7C1C" w:rsidRPr="001F1493" w:rsidRDefault="00FD7C1C" w:rsidP="003273B9">
            <w:pPr>
              <w:rPr>
                <w:b/>
                <w:sz w:val="22"/>
                <w:szCs w:val="22"/>
              </w:rPr>
            </w:pPr>
          </w:p>
        </w:tc>
        <w:tc>
          <w:tcPr>
            <w:tcW w:w="1417" w:type="dxa"/>
            <w:vMerge/>
            <w:vAlign w:val="center"/>
          </w:tcPr>
          <w:p w14:paraId="59B75F2F" w14:textId="77777777" w:rsidR="00FD7C1C" w:rsidRPr="001F1493" w:rsidRDefault="00FD7C1C" w:rsidP="00FD7C1C">
            <w:pPr>
              <w:rPr>
                <w:b/>
                <w:sz w:val="22"/>
                <w:szCs w:val="22"/>
              </w:rPr>
            </w:pPr>
          </w:p>
        </w:tc>
        <w:tc>
          <w:tcPr>
            <w:tcW w:w="1276" w:type="dxa"/>
            <w:vAlign w:val="center"/>
          </w:tcPr>
          <w:p w14:paraId="50410E7F" w14:textId="7ED5B29F" w:rsidR="00FD7C1C" w:rsidRPr="003273B9" w:rsidRDefault="00FD7C1C" w:rsidP="00FD7C1C">
            <w:pPr>
              <w:rPr>
                <w:sz w:val="22"/>
                <w:szCs w:val="22"/>
              </w:rPr>
            </w:pPr>
            <w:r>
              <w:rPr>
                <w:sz w:val="22"/>
                <w:szCs w:val="22"/>
              </w:rPr>
              <w:t>Rest</w:t>
            </w:r>
          </w:p>
        </w:tc>
        <w:tc>
          <w:tcPr>
            <w:tcW w:w="2837" w:type="dxa"/>
            <w:vAlign w:val="center"/>
          </w:tcPr>
          <w:p w14:paraId="74ACC405" w14:textId="7F99F460" w:rsidR="00FD7C1C" w:rsidRPr="003273B9" w:rsidRDefault="00FD7C1C" w:rsidP="003273B9">
            <w:pPr>
              <w:rPr>
                <w:sz w:val="22"/>
                <w:szCs w:val="22"/>
              </w:rPr>
            </w:pPr>
            <w:r w:rsidRPr="003273B9">
              <w:rPr>
                <w:sz w:val="22"/>
                <w:szCs w:val="22"/>
              </w:rPr>
              <w:t>Visual evaluation of internal and external awareness networks on glucose metabolism images (SUV)</w:t>
            </w:r>
          </w:p>
        </w:tc>
        <w:tc>
          <w:tcPr>
            <w:tcW w:w="1276" w:type="dxa"/>
            <w:vAlign w:val="center"/>
          </w:tcPr>
          <w:p w14:paraId="22E8DEE4" w14:textId="7ACB555D" w:rsidR="00FD7C1C" w:rsidRPr="003273B9" w:rsidRDefault="00EA5CED" w:rsidP="003273B9">
            <w:pPr>
              <w:rPr>
                <w:sz w:val="22"/>
                <w:szCs w:val="22"/>
              </w:rPr>
            </w:pPr>
            <w:r>
              <w:rPr>
                <w:sz w:val="22"/>
                <w:szCs w:val="22"/>
              </w:rPr>
              <w:t>MCS* detected in 67% UWS/VS</w:t>
            </w:r>
            <w:r w:rsidR="009C6DBC">
              <w:rPr>
                <w:sz w:val="22"/>
                <w:szCs w:val="22"/>
              </w:rPr>
              <w:t xml:space="preserve"> </w:t>
            </w:r>
          </w:p>
        </w:tc>
        <w:tc>
          <w:tcPr>
            <w:tcW w:w="4252" w:type="dxa"/>
            <w:vAlign w:val="center"/>
          </w:tcPr>
          <w:p w14:paraId="5ABB9A08" w14:textId="63B4647C" w:rsidR="00FD7C1C" w:rsidRPr="003273B9" w:rsidRDefault="00FD7C1C" w:rsidP="003273B9">
            <w:pPr>
              <w:rPr>
                <w:sz w:val="22"/>
                <w:szCs w:val="22"/>
              </w:rPr>
            </w:pPr>
            <w:r w:rsidRPr="003273B9">
              <w:rPr>
                <w:sz w:val="22"/>
                <w:szCs w:val="22"/>
              </w:rPr>
              <w:t>More limited decrease of glucose metabolism in UWS/VS patients identifies MCS* patients</w:t>
            </w:r>
            <w:r w:rsidR="000103EB">
              <w:rPr>
                <w:sz w:val="22"/>
                <w:szCs w:val="22"/>
              </w:rPr>
              <w:t xml:space="preserve"> </w:t>
            </w:r>
            <w:r w:rsidR="000103EB">
              <w:rPr>
                <w:sz w:val="22"/>
                <w:szCs w:val="22"/>
              </w:rPr>
              <w:fldChar w:fldCharType="begin" w:fldLock="1"/>
            </w:r>
            <w:r w:rsidR="000103EB">
              <w:rPr>
                <w:sz w:val="22"/>
                <w:szCs w:val="22"/>
              </w:rPr>
              <w:instrText>ADDIN CSL_CITATION {"citationItems":[{"id":"ITEM-1","itemData":{"ISSN":"0364-5134","author":[{"dropping-particle":"","family":"Thibaut","given":"Aurore","non-dropping-particle":"","parse-names":false,"suffix":""},{"dropping-particle":"","family":"Panda","given":"Rajanikant","non-dropping-particle":"","parse-names":false,"suffix":""},{"dropping-particle":"","family":"Annen","given":"Jitka","non-dropping-particle":"","parse-names":false,"suffix":""},{"dropping-particle":"","family":"Sanz","given":"Leandro R D","non-dropping-particle":"","parse-names":false,"suffix":""},{"dropping-particle":"","family":"Naccache","given":"Lionel","non-dropping-particle":"","parse-names":false,"suffix":""},{"dropping-particle":"","family":"Martial","given":"Charlotte","non-dropping-particle":"","parse-names":false,"suffix":""},{"dropping-particle":"","family":"Chatelle","given":"Camille","non-dropping-particle":"","parse-names":false,"suffix":""},{"dropping-particle":"","family":"Aubinet","given":"Charlène","non-dropping-particle":"","parse-names":false,"suffix":""},{"dropping-particle":"","family":"Bonin","given":"Estelle A C","non-dropping-particle":"","parse-names":false,"suffix":""},{"dropping-particle":"","family":"Barra","given":"Alice","non-dropping-particle":"","parse-names":false,"suffix":""}],"container-title":"Annals of neurology","id":"ITEM-1","issue":"1","issued":{"date-parts":[["2021"]]},"page":"89-100","publisher":"Wiley Online Library","title":"Preservation of brain activity in unresponsive patients identifies MCS star","type":"article-journal","volume":"90"},"uris":["http://www.mendeley.com/documents/?uuid=bfa0be28-b361-4c67-ba69-f7f3b8be3e70"]}],"mendeley":{"formattedCitation":"(Thibaut et al., 2021)","plainTextFormattedCitation":"(Thibaut et al., 2021)","previouslyFormattedCitation":"(Thibaut et al., 2021)"},"properties":{"noteIndex":0},"schema":"https://github.com/citation-style-language/schema/raw/master/csl-citation.json"}</w:instrText>
            </w:r>
            <w:r w:rsidR="000103EB">
              <w:rPr>
                <w:sz w:val="22"/>
                <w:szCs w:val="22"/>
              </w:rPr>
              <w:fldChar w:fldCharType="separate"/>
            </w:r>
            <w:r w:rsidR="000103EB" w:rsidRPr="009C6DBC">
              <w:rPr>
                <w:noProof/>
                <w:sz w:val="22"/>
                <w:szCs w:val="22"/>
              </w:rPr>
              <w:t>(Thibaut et al., 2021)</w:t>
            </w:r>
            <w:r w:rsidR="000103EB">
              <w:rPr>
                <w:sz w:val="22"/>
                <w:szCs w:val="22"/>
              </w:rPr>
              <w:fldChar w:fldCharType="end"/>
            </w:r>
          </w:p>
        </w:tc>
        <w:tc>
          <w:tcPr>
            <w:tcW w:w="568" w:type="dxa"/>
            <w:shd w:val="clear" w:color="auto" w:fill="auto"/>
            <w:vAlign w:val="center"/>
          </w:tcPr>
          <w:p w14:paraId="6A111080" w14:textId="71E302EE" w:rsidR="00FD7C1C" w:rsidRPr="003273B9" w:rsidRDefault="00E26435" w:rsidP="003273B9">
            <w:pPr>
              <w:rPr>
                <w:sz w:val="22"/>
                <w:szCs w:val="22"/>
              </w:rPr>
            </w:pPr>
            <w:r>
              <w:rPr>
                <w:sz w:val="22"/>
                <w:szCs w:val="22"/>
              </w:rPr>
              <w:t>NA</w:t>
            </w:r>
          </w:p>
        </w:tc>
        <w:tc>
          <w:tcPr>
            <w:tcW w:w="567" w:type="dxa"/>
            <w:shd w:val="clear" w:color="auto" w:fill="auto"/>
            <w:vAlign w:val="center"/>
          </w:tcPr>
          <w:p w14:paraId="2BB2F869" w14:textId="4466C210" w:rsidR="00FD7C1C" w:rsidRPr="003273B9" w:rsidRDefault="00E26435" w:rsidP="003273B9">
            <w:pPr>
              <w:rPr>
                <w:sz w:val="22"/>
                <w:szCs w:val="22"/>
              </w:rPr>
            </w:pPr>
            <w:r>
              <w:rPr>
                <w:sz w:val="22"/>
                <w:szCs w:val="22"/>
              </w:rPr>
              <w:t>NA</w:t>
            </w:r>
          </w:p>
        </w:tc>
        <w:tc>
          <w:tcPr>
            <w:tcW w:w="566" w:type="dxa"/>
            <w:shd w:val="clear" w:color="auto" w:fill="auto"/>
            <w:vAlign w:val="center"/>
          </w:tcPr>
          <w:p w14:paraId="0BF09BEE" w14:textId="352FC3FE" w:rsidR="00FD7C1C" w:rsidRPr="003273B9" w:rsidRDefault="00E26435" w:rsidP="001B7EC2">
            <w:pPr>
              <w:rPr>
                <w:sz w:val="22"/>
                <w:szCs w:val="22"/>
              </w:rPr>
            </w:pPr>
            <w:r>
              <w:rPr>
                <w:sz w:val="22"/>
                <w:szCs w:val="22"/>
              </w:rPr>
              <w:t>NA</w:t>
            </w:r>
          </w:p>
        </w:tc>
      </w:tr>
      <w:tr w:rsidR="00FD7C1C" w14:paraId="3AD96A26" w14:textId="77777777" w:rsidTr="000C1944">
        <w:trPr>
          <w:cantSplit/>
          <w:trHeight w:val="1134"/>
        </w:trPr>
        <w:tc>
          <w:tcPr>
            <w:tcW w:w="849" w:type="dxa"/>
            <w:vMerge/>
            <w:vAlign w:val="center"/>
          </w:tcPr>
          <w:p w14:paraId="50FA8415" w14:textId="58713B5B" w:rsidR="00FD7C1C" w:rsidRPr="001F1493" w:rsidRDefault="00FD7C1C" w:rsidP="003273B9">
            <w:pPr>
              <w:rPr>
                <w:b/>
                <w:strike/>
                <w:sz w:val="22"/>
                <w:szCs w:val="22"/>
              </w:rPr>
            </w:pPr>
          </w:p>
        </w:tc>
        <w:tc>
          <w:tcPr>
            <w:tcW w:w="1417" w:type="dxa"/>
            <w:vAlign w:val="center"/>
          </w:tcPr>
          <w:p w14:paraId="18726CC7" w14:textId="61DA5B6B" w:rsidR="00FD7C1C" w:rsidRPr="004968EA" w:rsidRDefault="00FD7C1C" w:rsidP="00FD7C1C">
            <w:pPr>
              <w:rPr>
                <w:b/>
                <w:sz w:val="22"/>
                <w:szCs w:val="22"/>
              </w:rPr>
            </w:pPr>
            <w:r w:rsidRPr="004968EA">
              <w:rPr>
                <w:b/>
                <w:sz w:val="22"/>
                <w:szCs w:val="22"/>
              </w:rPr>
              <w:t>H2O</w:t>
            </w:r>
          </w:p>
        </w:tc>
        <w:tc>
          <w:tcPr>
            <w:tcW w:w="1276" w:type="dxa"/>
            <w:vAlign w:val="center"/>
          </w:tcPr>
          <w:p w14:paraId="2C49927F" w14:textId="22B5BA03" w:rsidR="00FD7C1C" w:rsidRPr="004968EA" w:rsidRDefault="00FD7C1C" w:rsidP="00FD7C1C">
            <w:pPr>
              <w:rPr>
                <w:sz w:val="22"/>
                <w:szCs w:val="22"/>
              </w:rPr>
            </w:pPr>
            <w:r w:rsidRPr="004968EA">
              <w:rPr>
                <w:sz w:val="22"/>
                <w:szCs w:val="22"/>
              </w:rPr>
              <w:t>Passive</w:t>
            </w:r>
            <w:r w:rsidR="00C36A05">
              <w:rPr>
                <w:sz w:val="22"/>
                <w:szCs w:val="22"/>
              </w:rPr>
              <w:t>-</w:t>
            </w:r>
            <w:r w:rsidRPr="004968EA">
              <w:rPr>
                <w:sz w:val="22"/>
                <w:szCs w:val="22"/>
              </w:rPr>
              <w:t>stimulation</w:t>
            </w:r>
          </w:p>
        </w:tc>
        <w:tc>
          <w:tcPr>
            <w:tcW w:w="2837" w:type="dxa"/>
            <w:vAlign w:val="center"/>
          </w:tcPr>
          <w:p w14:paraId="35AA00A8" w14:textId="6AD5EF48" w:rsidR="00FD7C1C" w:rsidRPr="004968EA" w:rsidRDefault="00FD7C1C" w:rsidP="003273B9">
            <w:pPr>
              <w:rPr>
                <w:sz w:val="22"/>
                <w:szCs w:val="22"/>
              </w:rPr>
            </w:pPr>
            <w:r w:rsidRPr="004968EA">
              <w:rPr>
                <w:sz w:val="22"/>
                <w:szCs w:val="22"/>
              </w:rPr>
              <w:t>Increases in blood perfusion and in functional connectivity in response to auditory stimulation</w:t>
            </w:r>
          </w:p>
        </w:tc>
        <w:tc>
          <w:tcPr>
            <w:tcW w:w="1276" w:type="dxa"/>
            <w:vAlign w:val="center"/>
          </w:tcPr>
          <w:p w14:paraId="55E7FD81" w14:textId="7A069462" w:rsidR="00FD7C1C" w:rsidRPr="004968EA" w:rsidRDefault="004968EA" w:rsidP="003273B9">
            <w:pPr>
              <w:rPr>
                <w:sz w:val="22"/>
                <w:szCs w:val="22"/>
              </w:rPr>
            </w:pPr>
            <w:r w:rsidRPr="004968EA">
              <w:rPr>
                <w:sz w:val="22"/>
                <w:szCs w:val="22"/>
              </w:rPr>
              <w:t>NA</w:t>
            </w:r>
          </w:p>
        </w:tc>
        <w:tc>
          <w:tcPr>
            <w:tcW w:w="4252" w:type="dxa"/>
            <w:vAlign w:val="center"/>
          </w:tcPr>
          <w:p w14:paraId="3FF51ADA" w14:textId="3CC99978" w:rsidR="00FD7C1C" w:rsidRPr="004968EA" w:rsidRDefault="00FD7C1C" w:rsidP="003273B9">
            <w:pPr>
              <w:rPr>
                <w:sz w:val="22"/>
                <w:szCs w:val="22"/>
              </w:rPr>
            </w:pPr>
            <w:r w:rsidRPr="004968EA">
              <w:rPr>
                <w:sz w:val="22"/>
                <w:szCs w:val="22"/>
              </w:rPr>
              <w:t>Passive stimulation paradigms might help distinguish UWS/VS from MCS patients</w:t>
            </w:r>
            <w:r w:rsidR="0093297F">
              <w:rPr>
                <w:sz w:val="22"/>
                <w:szCs w:val="22"/>
              </w:rPr>
              <w:t xml:space="preserve"> </w:t>
            </w:r>
            <w:r w:rsidR="0093297F" w:rsidRPr="0093297F">
              <w:rPr>
                <w:sz w:val="22"/>
                <w:szCs w:val="22"/>
              </w:rPr>
              <w:fldChar w:fldCharType="begin" w:fldLock="1"/>
            </w:r>
            <w:r w:rsidR="00D85C12">
              <w:rPr>
                <w:sz w:val="22"/>
                <w:szCs w:val="22"/>
              </w:rPr>
              <w:instrText>ADDIN CSL_CITATION {"citationItems":[{"id":"ITEM-1","itemData":{"author":[{"dropping-particle":"","family":"Laureys","given":"Steven","non-dropping-particle":"","parse-names":false,"suffix":""},{"dropping-particle":"","family":"Faymonville","given":"Marie","non-dropping-particle":"","parse-names":false,"suffix":""},{"dropping-particle":"","family":"Fiore","given":"G","non-dropping-particle":"Del","parse-names":false,"suffix":""},{"dropping-particle":"","family":"Janssens","given":"Nathalie","non-dropping-particle":"","parse-names":false,"suffix":""},{"dropping-particle":"","family":"Degueldre","given":"Christian","non-dropping-particle":"","parse-names":false,"suffix":""},{"dropping-particle":"","family":"Aerts","given":"Joël","non-dropping-particle":"","parse-names":false,"suffix":""},{"dropping-particle":"","family":"Lamy","given":"Maurice","non-dropping-particle":"","parse-names":false,"suffix":""},{"dropping-particle":"","family":"Luxen","given":"André","non-dropping-particle":"","parse-names":false,"suffix":""},{"dropping-particle":"","family":"Moonen","given":"Gustave","non-dropping-particle":"","parse-names":false,"suffix":""},{"dropping-particle":"","family":"Maquet","given":"Pierre","non-dropping-particle":"","parse-names":false,"suffix":""}],"id":"ITEM-1","issued":{"date-parts":[["2000"]]},"title":"Brain activation during somatosensory and auditory stimulation in acute vegetative state of anoxic origin","type":"article-journal"},"uris":["http://www.mendeley.com/documents/?uuid=8518f193-130f-493d-a63a-a1b3f8dbdc8a"]},{"id":"ITEM-2","itemData":{"ISSN":"1053-8119","author":[{"dropping-particle":"","family":"Laureys","given":"Steven","non-dropping-particle":"","parse-names":false,"suffix":""},{"dropping-particle":"","family":"Faymonville","given":"Marie-Elisabeth","non-dropping-particle":"","parse-names":false,"suffix":""},{"dropping-particle":"","family":"Peigneux","given":"Philippe","non-dropping-particle":"","parse-names":false,"suffix":""},{"dropping-particle":"","family":"Damas","given":"Pierre","non-dropping-particle":"","parse-names":false,"suffix":""},{"dropping-particle":"","family":"Lambermont","given":"Bernard","non-dropping-particle":"","parse-names":false,"suffix":""},{"dropping-particle":"","family":"Fiore","given":"Guy","non-dropping-particle":"Del","parse-names":false,"suffix":""},{"dropping-particle":"","family":"Degueldre","given":"Christian","non-dropping-particle":"","parse-names":false,"suffix":""},{"dropping-particle":"","family":"Aerts","given":"Joel","non-dropping-particle":"","parse-names":false,"suffix":""},{"dropping-particle":"","family":"Luxen","given":"André","non-dropping-particle":"","parse-names":false,"suffix":""},{"dropping-particle":"","family":"Franck","given":"Georges","non-dropping-particle":"","parse-names":false,"suffix":""}],"container-title":"Neuroimage","id":"ITEM-2","issue":"2","issued":{"date-parts":[["2002"]]},"page":"732-741","publisher":"Elsevier","title":"Cortical processing of noxious somatosensory stimuli in the persistent vegetative state","type":"article-journal","volume":"17"},"uris":["http://www.mendeley.com/documents/?uuid=6c7a6a17-e619-492b-8cf8-55cf484d7785"]},{"id":"ITEM-3","itemData":{"author":[{"dropping-particle":"","family":"Boly","given":"Mélanie","non-dropping-particle":"","parse-names":false,"suffix":""},{"dropping-particle":"","family":"Faymonville","given":"Marie Elisabeth","non-dropping-particle":"","parse-names":false,"suffix":""},{"dropping-particle":"","family":"Peigneux","given":"Philippe","non-dropping-particle":"","parse-names":false,"suffix":""},{"dropping-particle":"","family":"Lambermont","given":"Bernard","non-dropping-particle":"","parse-names":false,"suffix":""},{"dropping-particle":"","family":"Damas","given":"Pierre","non-dropping-particle":"","parse-names":false,"suffix":""},{"dropping-particle":"","family":"Fiore","given":"Guy","non-dropping-particle":"Del","parse-names":false,"suffix":""},{"dropping-particle":"","family":"Degueldre","given":"Christian","non-dropping-particle":"","parse-names":false,"suffix":""},{"dropping-particle":"","family":"Franck","given":"Georges","non-dropping-particle":"","parse-names":false,"suffix":""},{"dropping-particle":"","family":"Luxen","given":"André","non-dropping-particle":"","parse-names":false,"suffix":""},{"dropping-particle":"","family":"Lamy","given":"Maurice","non-dropping-particle":"","parse-names":false,"suffix":""},{"dropping-particle":"","family":"Moonen","given":"Gustave","non-dropping-particle":"","parse-names":false,"suffix":""},{"dropping-particle":"","family":"Maquet","given":"Pierre","non-dropping-particle":"","parse-names":false,"suffix":""},{"dropping-particle":"","family":"Laureys","given":"Steven","non-dropping-particle":"","parse-names":false,"suffix":""}],"container-title":"Arch Neu","id":"ITEM-3","issued":{"date-parts":[["2004"]]},"page":"233-238","title":"Auditory Processing in Severely Brain Injured Patients: Differences Between the Minimally Conscious State and the Persistent Vegetative State Me´lanie","type":"article-journal","volume":"61"},"uris":["http://www.mendeley.com/documents/?uuid=9542fe77-ae44-4a8d-94d9-e5077e2670ca"]},{"id":"ITEM-4","itemData":{"DOI":"10.1016/S1474-4422(08)70219-9","ISSN":"14744422","PMID":"18835749","abstract":"Background: Patients in a minimally conscious state (MCS) show restricted self or environment awareness but are unable to communicate consistently and reliably. Therefore, better understanding of cerebral noxious processing in these patients is of clinical, therapeutic, and ethical relevance. Methods: We studied brain activation induced by bilateral electrical stimulation of the median nerve in five patients in MCS (aged 18-74 years) compared with 15 controls (19-64 years) and 15 patients (19-75 years) in a persistent vegetative state (PVS) with 15O-radiolabelled water PET. By way of psychophysiological interaction analysis, we also investigated the functional connectivity of the primary somatosensory cortex (S1) in patients and controls. Patients in MCS were scanned 57 (SD 33) days after admission, and patients in PVS 36 (9) days after admission. Stimulation intensities were 8·6 (SD 6·7) mA in patients in MCS, 7·4 (5·9) mA in controls, and 14·2 (8·7) mA in patients in PVS. Significant results were thresholded at p values of less than 0·05 and corrected for multiple comparisons. Findings: In patients in MCS and in controls, noxious stimulation activated the thalamus, S1, and the secondary somatosensory or insular, frontoparietal, and anterior cingulate cortices (known as the pain matrix). No area was less activated in the patients in MCS than in the controls. All areas of the cortical pain matrix showed greater activation in patients in MCS than in those in PVS. Finally, in contrast with patients in PVS, those in MCS had preserved functional connectivity between S1 and a widespread cortical network that includes the frontoparietal associative cortices. Interpretation: Cerebral correlates of pain processing are found in a similar network in controls and patients in MCS but are much more widespread than in patients in PVS. These findings might be objective evidence of a potential pain perception capacity in patients in MCS, which supports the idea that these patients need analgesic treatment. Funding: FNRS; Reine Elisabeth Medical Foundation; University of Liège; European Commission; James S McDonnell Foundation; Mind Science Foundation; Concerted Research Action; Fondation Léon Frédéricq. © 2008 Elsevier Ltd. All rights reserved.","author":[{"dropping-particle":"","family":"Boly","given":"Mélanie","non-dropping-particle":"","parse-names":false,"suffix":""},{"dropping-particle":"","family":"Faymonville","given":"Marie Elisabeth","non-dropping-particle":"","parse-names":false,"suffix":""},{"dropping-particle":"","family":"Schnakers","given":"Caroline","non-dropping-particle":"","parse-names":false,"suffix":""},{"dropping-particle":"","family":"Peigneux","given":"Philippe","non-dropping-particle":"","parse-names":false,"suffix":""},{"dropping-particle":"","family":"Lambermont","given":"Bernard","non-dropping-particle":"","parse-names":false,"suffix":""},{"dropping-particle":"","family":"Phillips","given":"Christophe","non-dropping-particle":"","parse-names":false,"suffix":""},{"dropping-particle":"","family":"Lancellotti","given":"Patrizio","non-dropping-particle":"","parse-names":false,"suffix":""},{"dropping-particle":"","family":"Luxen","given":"Andre","non-dropping-particle":"","parse-names":false,"suffix":""},{"dropping-particle":"","family":"Lamy","given":"Maurice","non-dropping-particle":"","parse-names":false,"suffix":""},{"dropping-particle":"","family":"Moonen","given":"Gustave","non-dropping-particle":"","parse-names":false,"suffix":""},{"dropping-particle":"","family":"Maquet","given":"Pierre","non-dropping-particle":"","parse-names":false,"suffix":""},{"dropping-particle":"","family":"Laureys","given":"Steven","non-dropping-particle":"","parse-names":false,"suffix":""}],"container-title":"The Lancet Neurology","id":"ITEM-4","issue":"11","issued":{"date-parts":[["2008"]]},"page":"1013-1020","publisher":"Elsevier Ltd","title":"Perception of pain in the minimally conscious state with PET activation: an observational study","type":"article-journal","volume":"7"},"uris":["http://www.mendeley.com/documents/?uuid=b6ed2020-3109-4b2a-9904-f0510418aeab"]}],"mendeley":{"formattedCitation":"(Boly et al., 2008, 2004; Laureys et al., 2002, 2000)","plainTextFormattedCitation":"(Boly et al., 2008, 2004; Laureys et al., 2002, 2000)","previouslyFormattedCitation":"(Boly et al., 2008, 2004; Laureys et al., 2002, 2000)"},"properties":{"noteIndex":0},"schema":"https://github.com/citation-style-language/schema/raw/master/csl-citation.json"}</w:instrText>
            </w:r>
            <w:r w:rsidR="0093297F" w:rsidRPr="0093297F">
              <w:rPr>
                <w:sz w:val="22"/>
                <w:szCs w:val="22"/>
              </w:rPr>
              <w:fldChar w:fldCharType="separate"/>
            </w:r>
            <w:r w:rsidR="00D85C12" w:rsidRPr="00D85C12">
              <w:rPr>
                <w:noProof/>
                <w:sz w:val="22"/>
                <w:szCs w:val="22"/>
              </w:rPr>
              <w:t>(Boly et al., 2008, 2004; Laureys et al., 2002, 2000)</w:t>
            </w:r>
            <w:r w:rsidR="0093297F" w:rsidRPr="0093297F">
              <w:rPr>
                <w:sz w:val="22"/>
                <w:szCs w:val="22"/>
              </w:rPr>
              <w:fldChar w:fldCharType="end"/>
            </w:r>
          </w:p>
        </w:tc>
        <w:tc>
          <w:tcPr>
            <w:tcW w:w="568" w:type="dxa"/>
            <w:shd w:val="clear" w:color="auto" w:fill="auto"/>
            <w:vAlign w:val="center"/>
          </w:tcPr>
          <w:p w14:paraId="3913E0A2" w14:textId="047EBB7F" w:rsidR="00FD7C1C" w:rsidRPr="003273B9" w:rsidRDefault="00E26435" w:rsidP="003273B9">
            <w:pPr>
              <w:rPr>
                <w:strike/>
                <w:sz w:val="22"/>
                <w:szCs w:val="22"/>
              </w:rPr>
            </w:pPr>
            <w:r>
              <w:rPr>
                <w:sz w:val="22"/>
                <w:szCs w:val="22"/>
              </w:rPr>
              <w:t>NA</w:t>
            </w:r>
          </w:p>
        </w:tc>
        <w:tc>
          <w:tcPr>
            <w:tcW w:w="567" w:type="dxa"/>
            <w:shd w:val="clear" w:color="auto" w:fill="auto"/>
            <w:vAlign w:val="center"/>
          </w:tcPr>
          <w:p w14:paraId="4A9D6C9C" w14:textId="0CEBB0E9" w:rsidR="00FD7C1C" w:rsidRPr="003273B9" w:rsidRDefault="00E26435" w:rsidP="003273B9">
            <w:pPr>
              <w:rPr>
                <w:strike/>
                <w:sz w:val="22"/>
                <w:szCs w:val="22"/>
              </w:rPr>
            </w:pPr>
            <w:r>
              <w:rPr>
                <w:sz w:val="22"/>
                <w:szCs w:val="22"/>
              </w:rPr>
              <w:t>NA</w:t>
            </w:r>
          </w:p>
        </w:tc>
        <w:tc>
          <w:tcPr>
            <w:tcW w:w="566" w:type="dxa"/>
            <w:shd w:val="clear" w:color="auto" w:fill="auto"/>
            <w:vAlign w:val="center"/>
          </w:tcPr>
          <w:p w14:paraId="145C7AA3" w14:textId="48EE8FD8" w:rsidR="00FD7C1C" w:rsidRPr="003273B9" w:rsidRDefault="00E26435" w:rsidP="001B7EC2">
            <w:pPr>
              <w:rPr>
                <w:strike/>
                <w:sz w:val="22"/>
                <w:szCs w:val="22"/>
              </w:rPr>
            </w:pPr>
            <w:r>
              <w:rPr>
                <w:sz w:val="22"/>
                <w:szCs w:val="22"/>
              </w:rPr>
              <w:t>NA</w:t>
            </w:r>
          </w:p>
        </w:tc>
      </w:tr>
      <w:tr w:rsidR="00FD7C1C" w14:paraId="488A6B4F" w14:textId="77777777" w:rsidTr="000C1944">
        <w:trPr>
          <w:cantSplit/>
          <w:trHeight w:val="995"/>
        </w:trPr>
        <w:tc>
          <w:tcPr>
            <w:tcW w:w="849" w:type="dxa"/>
            <w:vAlign w:val="center"/>
          </w:tcPr>
          <w:p w14:paraId="41CA10B7" w14:textId="3567F2C5" w:rsidR="00FD7C1C" w:rsidRPr="003273B9" w:rsidRDefault="00FD7C1C" w:rsidP="003273B9">
            <w:pPr>
              <w:rPr>
                <w:b/>
                <w:sz w:val="22"/>
                <w:szCs w:val="22"/>
              </w:rPr>
            </w:pPr>
            <w:r w:rsidRPr="003273B9">
              <w:rPr>
                <w:b/>
                <w:sz w:val="22"/>
                <w:szCs w:val="22"/>
              </w:rPr>
              <w:lastRenderedPageBreak/>
              <w:t>SPECT</w:t>
            </w:r>
          </w:p>
        </w:tc>
        <w:tc>
          <w:tcPr>
            <w:tcW w:w="1417" w:type="dxa"/>
            <w:vAlign w:val="center"/>
          </w:tcPr>
          <w:p w14:paraId="0A4C2477" w14:textId="2394477B" w:rsidR="00FD7C1C" w:rsidRPr="003273B9" w:rsidRDefault="00D50148" w:rsidP="00FD7C1C">
            <w:pPr>
              <w:rPr>
                <w:sz w:val="22"/>
                <w:szCs w:val="22"/>
              </w:rPr>
            </w:pPr>
            <w:r w:rsidRPr="00D50148">
              <w:rPr>
                <w:b/>
                <w:sz w:val="22"/>
                <w:szCs w:val="22"/>
              </w:rPr>
              <w:t>99mTc</w:t>
            </w:r>
            <w:r>
              <w:rPr>
                <w:b/>
                <w:sz w:val="22"/>
                <w:szCs w:val="22"/>
              </w:rPr>
              <w:t>-</w:t>
            </w:r>
            <w:r w:rsidRPr="00D50148">
              <w:rPr>
                <w:b/>
                <w:sz w:val="22"/>
                <w:szCs w:val="22"/>
              </w:rPr>
              <w:t>HMPAO</w:t>
            </w:r>
            <w:r>
              <w:rPr>
                <w:b/>
                <w:sz w:val="22"/>
                <w:szCs w:val="22"/>
              </w:rPr>
              <w:t xml:space="preserve">, </w:t>
            </w:r>
            <w:r w:rsidR="006470B5" w:rsidRPr="000C1944">
              <w:rPr>
                <w:vertAlign w:val="superscript"/>
              </w:rPr>
              <w:t>123</w:t>
            </w:r>
            <w:r w:rsidR="006470B5" w:rsidRPr="000C1944">
              <w:t>I</w:t>
            </w:r>
            <w:r w:rsidR="006470B5" w:rsidRPr="006470B5">
              <w:rPr>
                <w:b/>
                <w:sz w:val="22"/>
                <w:szCs w:val="22"/>
              </w:rPr>
              <w:t>-</w:t>
            </w:r>
            <w:r w:rsidR="006470B5">
              <w:rPr>
                <w:b/>
                <w:sz w:val="22"/>
                <w:szCs w:val="22"/>
              </w:rPr>
              <w:t xml:space="preserve"> </w:t>
            </w:r>
            <w:r>
              <w:rPr>
                <w:b/>
                <w:sz w:val="22"/>
                <w:szCs w:val="22"/>
              </w:rPr>
              <w:t>IMP</w:t>
            </w:r>
          </w:p>
        </w:tc>
        <w:tc>
          <w:tcPr>
            <w:tcW w:w="1276" w:type="dxa"/>
            <w:vAlign w:val="center"/>
          </w:tcPr>
          <w:p w14:paraId="3295CBB4" w14:textId="7A4EC8FC" w:rsidR="00FD7C1C" w:rsidRPr="003273B9" w:rsidRDefault="004968EA" w:rsidP="00FD7C1C">
            <w:pPr>
              <w:rPr>
                <w:sz w:val="22"/>
                <w:szCs w:val="22"/>
              </w:rPr>
            </w:pPr>
            <w:r>
              <w:rPr>
                <w:sz w:val="22"/>
                <w:szCs w:val="22"/>
              </w:rPr>
              <w:t>Rest</w:t>
            </w:r>
          </w:p>
        </w:tc>
        <w:tc>
          <w:tcPr>
            <w:tcW w:w="2837" w:type="dxa"/>
            <w:vAlign w:val="center"/>
          </w:tcPr>
          <w:p w14:paraId="0D97A2FB" w14:textId="1FB7E66F" w:rsidR="00FD7C1C" w:rsidRDefault="00FD7C1C" w:rsidP="003273B9">
            <w:pPr>
              <w:rPr>
                <w:sz w:val="22"/>
                <w:szCs w:val="22"/>
              </w:rPr>
            </w:pPr>
          </w:p>
          <w:p w14:paraId="1AA52D59" w14:textId="52DE1280" w:rsidR="001F1493" w:rsidRDefault="0066260A" w:rsidP="003273B9">
            <w:pPr>
              <w:rPr>
                <w:sz w:val="22"/>
                <w:szCs w:val="22"/>
              </w:rPr>
            </w:pPr>
            <w:r>
              <w:rPr>
                <w:sz w:val="22"/>
                <w:szCs w:val="22"/>
              </w:rPr>
              <w:t>Quantitative assessment of defects</w:t>
            </w:r>
            <w:r w:rsidR="004968EA">
              <w:rPr>
                <w:sz w:val="22"/>
                <w:szCs w:val="22"/>
              </w:rPr>
              <w:t xml:space="preserve"> in </w:t>
            </w:r>
            <w:r>
              <w:rPr>
                <w:sz w:val="22"/>
                <w:szCs w:val="22"/>
              </w:rPr>
              <w:t xml:space="preserve">brain blood flow </w:t>
            </w:r>
            <w:r w:rsidR="004968EA">
              <w:rPr>
                <w:sz w:val="22"/>
                <w:szCs w:val="22"/>
              </w:rPr>
              <w:t>in frontal regions</w:t>
            </w:r>
            <w:r>
              <w:rPr>
                <w:sz w:val="22"/>
                <w:szCs w:val="22"/>
              </w:rPr>
              <w:t xml:space="preserve"> of interest</w:t>
            </w:r>
            <w:r w:rsidR="004968EA">
              <w:rPr>
                <w:sz w:val="22"/>
                <w:szCs w:val="22"/>
              </w:rPr>
              <w:t xml:space="preserve">  </w:t>
            </w:r>
          </w:p>
          <w:p w14:paraId="7FF01F4F" w14:textId="37DC5492" w:rsidR="001F1493" w:rsidRPr="003273B9" w:rsidRDefault="001F1493" w:rsidP="003273B9">
            <w:pPr>
              <w:rPr>
                <w:sz w:val="22"/>
                <w:szCs w:val="22"/>
              </w:rPr>
            </w:pPr>
          </w:p>
        </w:tc>
        <w:tc>
          <w:tcPr>
            <w:tcW w:w="1276" w:type="dxa"/>
            <w:vAlign w:val="center"/>
          </w:tcPr>
          <w:p w14:paraId="39EE09F1" w14:textId="4F704176" w:rsidR="00FD7C1C" w:rsidRPr="003273B9" w:rsidRDefault="004968EA" w:rsidP="003273B9">
            <w:pPr>
              <w:rPr>
                <w:sz w:val="22"/>
                <w:szCs w:val="22"/>
              </w:rPr>
            </w:pPr>
            <w:r>
              <w:rPr>
                <w:sz w:val="22"/>
                <w:szCs w:val="22"/>
              </w:rPr>
              <w:t>NA</w:t>
            </w:r>
          </w:p>
        </w:tc>
        <w:tc>
          <w:tcPr>
            <w:tcW w:w="4252" w:type="dxa"/>
            <w:vAlign w:val="center"/>
          </w:tcPr>
          <w:p w14:paraId="7C004048" w14:textId="79A2CD42" w:rsidR="00FD7C1C" w:rsidRPr="003273B9" w:rsidRDefault="004968EA" w:rsidP="003273B9">
            <w:pPr>
              <w:rPr>
                <w:sz w:val="22"/>
                <w:szCs w:val="22"/>
              </w:rPr>
            </w:pPr>
            <w:r>
              <w:rPr>
                <w:sz w:val="22"/>
                <w:szCs w:val="22"/>
              </w:rPr>
              <w:t xml:space="preserve">No </w:t>
            </w:r>
            <w:r w:rsidR="00E26435">
              <w:rPr>
                <w:sz w:val="22"/>
                <w:szCs w:val="22"/>
              </w:rPr>
              <w:t>proof of possible</w:t>
            </w:r>
            <w:r w:rsidR="00914654">
              <w:rPr>
                <w:sz w:val="22"/>
                <w:szCs w:val="22"/>
              </w:rPr>
              <w:t xml:space="preserve"> clinical</w:t>
            </w:r>
            <w:r>
              <w:rPr>
                <w:sz w:val="22"/>
                <w:szCs w:val="22"/>
              </w:rPr>
              <w:t xml:space="preserve"> value</w:t>
            </w:r>
            <w:r w:rsidR="00914654">
              <w:rPr>
                <w:sz w:val="22"/>
                <w:szCs w:val="22"/>
              </w:rPr>
              <w:t xml:space="preserve"> for differential diagnosis</w:t>
            </w:r>
          </w:p>
        </w:tc>
        <w:tc>
          <w:tcPr>
            <w:tcW w:w="568" w:type="dxa"/>
            <w:vAlign w:val="center"/>
          </w:tcPr>
          <w:p w14:paraId="30AF1347" w14:textId="031129F7" w:rsidR="00FD7C1C" w:rsidRPr="003273B9" w:rsidRDefault="00E26435" w:rsidP="003273B9">
            <w:pPr>
              <w:rPr>
                <w:sz w:val="22"/>
                <w:szCs w:val="22"/>
              </w:rPr>
            </w:pPr>
            <w:r>
              <w:rPr>
                <w:sz w:val="22"/>
                <w:szCs w:val="22"/>
              </w:rPr>
              <w:t>NA</w:t>
            </w:r>
          </w:p>
        </w:tc>
        <w:tc>
          <w:tcPr>
            <w:tcW w:w="567" w:type="dxa"/>
            <w:shd w:val="clear" w:color="auto" w:fill="auto"/>
            <w:vAlign w:val="center"/>
          </w:tcPr>
          <w:p w14:paraId="47834DDB" w14:textId="448389B3" w:rsidR="00FD7C1C" w:rsidRPr="003273B9" w:rsidRDefault="00E26435" w:rsidP="003273B9">
            <w:pPr>
              <w:rPr>
                <w:sz w:val="22"/>
                <w:szCs w:val="22"/>
              </w:rPr>
            </w:pPr>
            <w:r>
              <w:rPr>
                <w:sz w:val="22"/>
                <w:szCs w:val="22"/>
              </w:rPr>
              <w:t>NA</w:t>
            </w:r>
          </w:p>
        </w:tc>
        <w:tc>
          <w:tcPr>
            <w:tcW w:w="566" w:type="dxa"/>
            <w:vAlign w:val="center"/>
          </w:tcPr>
          <w:p w14:paraId="134E93D7" w14:textId="05466EE0" w:rsidR="00FD7C1C" w:rsidRPr="003273B9" w:rsidRDefault="00E26435" w:rsidP="00E26435">
            <w:pPr>
              <w:jc w:val="center"/>
              <w:rPr>
                <w:sz w:val="22"/>
                <w:szCs w:val="22"/>
              </w:rPr>
            </w:pPr>
            <w:r>
              <w:rPr>
                <w:sz w:val="22"/>
                <w:szCs w:val="22"/>
              </w:rPr>
              <w:t>NA</w:t>
            </w:r>
          </w:p>
        </w:tc>
      </w:tr>
      <w:tr w:rsidR="00FD7C1C" w14:paraId="64B6387D" w14:textId="77777777" w:rsidTr="000C1944">
        <w:trPr>
          <w:trHeight w:val="300"/>
        </w:trPr>
        <w:tc>
          <w:tcPr>
            <w:tcW w:w="849" w:type="dxa"/>
            <w:vMerge w:val="restart"/>
            <w:vAlign w:val="center"/>
          </w:tcPr>
          <w:p w14:paraId="1AC1C65B" w14:textId="6AC42C75" w:rsidR="001F1493" w:rsidRDefault="001F1493" w:rsidP="001F1493">
            <w:pPr>
              <w:rPr>
                <w:b/>
                <w:sz w:val="22"/>
                <w:szCs w:val="22"/>
              </w:rPr>
            </w:pPr>
          </w:p>
          <w:p w14:paraId="02EA860F" w14:textId="7A25A32B" w:rsidR="001F1493" w:rsidRDefault="001F1493" w:rsidP="001F1493">
            <w:pPr>
              <w:rPr>
                <w:b/>
                <w:sz w:val="22"/>
                <w:szCs w:val="22"/>
              </w:rPr>
            </w:pPr>
          </w:p>
          <w:p w14:paraId="10F1B1E5" w14:textId="23425FC1" w:rsidR="001F1493" w:rsidRDefault="001F1493" w:rsidP="001F1493">
            <w:pPr>
              <w:rPr>
                <w:b/>
                <w:sz w:val="22"/>
                <w:szCs w:val="22"/>
              </w:rPr>
            </w:pPr>
          </w:p>
          <w:p w14:paraId="4E0E46B9" w14:textId="77777777" w:rsidR="001F1493" w:rsidRDefault="001F1493" w:rsidP="001F1493">
            <w:pPr>
              <w:rPr>
                <w:b/>
                <w:sz w:val="22"/>
                <w:szCs w:val="22"/>
              </w:rPr>
            </w:pPr>
          </w:p>
          <w:p w14:paraId="2952DBBA" w14:textId="77777777" w:rsidR="001F1493" w:rsidRDefault="001F1493" w:rsidP="001F1493">
            <w:pPr>
              <w:rPr>
                <w:b/>
                <w:sz w:val="22"/>
                <w:szCs w:val="22"/>
              </w:rPr>
            </w:pPr>
          </w:p>
          <w:p w14:paraId="01438521" w14:textId="16E34ECD" w:rsidR="00FD7C1C" w:rsidRPr="003273B9" w:rsidRDefault="00FD7C1C" w:rsidP="001F1493">
            <w:pPr>
              <w:rPr>
                <w:b/>
                <w:sz w:val="22"/>
                <w:szCs w:val="22"/>
              </w:rPr>
            </w:pPr>
            <w:proofErr w:type="spellStart"/>
            <w:r w:rsidRPr="003273B9">
              <w:rPr>
                <w:b/>
                <w:sz w:val="22"/>
                <w:szCs w:val="22"/>
              </w:rPr>
              <w:t>sMRI</w:t>
            </w:r>
            <w:proofErr w:type="spellEnd"/>
          </w:p>
        </w:tc>
        <w:tc>
          <w:tcPr>
            <w:tcW w:w="1417" w:type="dxa"/>
            <w:vMerge w:val="restart"/>
            <w:vAlign w:val="center"/>
          </w:tcPr>
          <w:p w14:paraId="251F2530" w14:textId="37DC1EAC" w:rsidR="00FD7C1C" w:rsidRPr="00FD7C1C" w:rsidRDefault="001078FC" w:rsidP="001F1493">
            <w:pPr>
              <w:rPr>
                <w:b/>
                <w:sz w:val="22"/>
                <w:szCs w:val="22"/>
              </w:rPr>
            </w:pPr>
            <w:r>
              <w:rPr>
                <w:b/>
                <w:sz w:val="22"/>
                <w:szCs w:val="22"/>
              </w:rPr>
              <w:t xml:space="preserve">Visual Inspection </w:t>
            </w:r>
          </w:p>
        </w:tc>
        <w:tc>
          <w:tcPr>
            <w:tcW w:w="1276" w:type="dxa"/>
            <w:vAlign w:val="center"/>
          </w:tcPr>
          <w:p w14:paraId="25BC6EB6" w14:textId="51D8F35C" w:rsidR="00FD7C1C" w:rsidRDefault="00054ADF" w:rsidP="001F1493">
            <w:pPr>
              <w:rPr>
                <w:sz w:val="22"/>
                <w:szCs w:val="22"/>
              </w:rPr>
            </w:pPr>
            <w:r>
              <w:rPr>
                <w:sz w:val="22"/>
                <w:szCs w:val="22"/>
              </w:rPr>
              <w:t>(</w:t>
            </w:r>
            <w:r w:rsidR="406577B6" w:rsidRPr="406577B6">
              <w:rPr>
                <w:sz w:val="22"/>
                <w:szCs w:val="22"/>
              </w:rPr>
              <w:t>Rest</w:t>
            </w:r>
            <w:r>
              <w:rPr>
                <w:sz w:val="22"/>
                <w:szCs w:val="22"/>
              </w:rPr>
              <w:t>)</w:t>
            </w:r>
          </w:p>
        </w:tc>
        <w:tc>
          <w:tcPr>
            <w:tcW w:w="2837" w:type="dxa"/>
            <w:vAlign w:val="center"/>
          </w:tcPr>
          <w:p w14:paraId="1656E4C9" w14:textId="37B494C7" w:rsidR="00FD7C1C" w:rsidRPr="003273B9" w:rsidRDefault="00FD7C1C" w:rsidP="001F1493">
            <w:pPr>
              <w:rPr>
                <w:sz w:val="22"/>
                <w:szCs w:val="22"/>
              </w:rPr>
            </w:pPr>
            <w:r>
              <w:rPr>
                <w:sz w:val="22"/>
                <w:szCs w:val="22"/>
              </w:rPr>
              <w:t>Standard visual evaluation</w:t>
            </w:r>
          </w:p>
        </w:tc>
        <w:tc>
          <w:tcPr>
            <w:tcW w:w="1276" w:type="dxa"/>
            <w:vAlign w:val="center"/>
          </w:tcPr>
          <w:p w14:paraId="1E93A36D" w14:textId="55C1FD33" w:rsidR="00FD7C1C" w:rsidRPr="003273B9" w:rsidRDefault="0093297F" w:rsidP="001F1493">
            <w:pPr>
              <w:rPr>
                <w:sz w:val="22"/>
                <w:szCs w:val="22"/>
              </w:rPr>
            </w:pPr>
            <w:r>
              <w:rPr>
                <w:sz w:val="22"/>
                <w:szCs w:val="22"/>
              </w:rPr>
              <w:t>NA</w:t>
            </w:r>
          </w:p>
        </w:tc>
        <w:tc>
          <w:tcPr>
            <w:tcW w:w="4252" w:type="dxa"/>
            <w:vAlign w:val="center"/>
          </w:tcPr>
          <w:p w14:paraId="20F1589D" w14:textId="59FA0AA0" w:rsidR="00FD7C1C" w:rsidRPr="003273B9" w:rsidRDefault="00FD7C1C" w:rsidP="001F1493">
            <w:pPr>
              <w:rPr>
                <w:sz w:val="22"/>
                <w:szCs w:val="22"/>
              </w:rPr>
            </w:pPr>
            <w:r w:rsidRPr="003273B9">
              <w:rPr>
                <w:sz w:val="22"/>
                <w:szCs w:val="22"/>
              </w:rPr>
              <w:t>Identification of underlying causes of DoC in acute settings</w:t>
            </w:r>
          </w:p>
        </w:tc>
        <w:tc>
          <w:tcPr>
            <w:tcW w:w="568" w:type="dxa"/>
            <w:shd w:val="clear" w:color="auto" w:fill="auto"/>
            <w:vAlign w:val="center"/>
          </w:tcPr>
          <w:p w14:paraId="65E15038" w14:textId="76015942" w:rsidR="00FD7C1C" w:rsidRPr="003273B9" w:rsidRDefault="00E26435" w:rsidP="001F1493">
            <w:pPr>
              <w:rPr>
                <w:sz w:val="22"/>
                <w:szCs w:val="22"/>
              </w:rPr>
            </w:pPr>
            <w:r>
              <w:rPr>
                <w:sz w:val="22"/>
                <w:szCs w:val="22"/>
              </w:rPr>
              <w:t>NA</w:t>
            </w:r>
          </w:p>
        </w:tc>
        <w:tc>
          <w:tcPr>
            <w:tcW w:w="567" w:type="dxa"/>
            <w:shd w:val="clear" w:color="auto" w:fill="70AD47" w:themeFill="accent6"/>
            <w:vAlign w:val="center"/>
          </w:tcPr>
          <w:p w14:paraId="0FCF59FD" w14:textId="77777777" w:rsidR="00FD7C1C" w:rsidRPr="003273B9" w:rsidRDefault="00FD7C1C" w:rsidP="001F1493">
            <w:pPr>
              <w:rPr>
                <w:sz w:val="22"/>
                <w:szCs w:val="22"/>
              </w:rPr>
            </w:pPr>
          </w:p>
        </w:tc>
        <w:tc>
          <w:tcPr>
            <w:tcW w:w="566" w:type="dxa"/>
            <w:vAlign w:val="center"/>
          </w:tcPr>
          <w:p w14:paraId="20BBEE6B" w14:textId="2CCA1E6E" w:rsidR="00FD7C1C" w:rsidRPr="003273B9" w:rsidRDefault="00E26435" w:rsidP="001F1493">
            <w:pPr>
              <w:rPr>
                <w:sz w:val="22"/>
                <w:szCs w:val="22"/>
              </w:rPr>
            </w:pPr>
            <w:r>
              <w:rPr>
                <w:sz w:val="22"/>
                <w:szCs w:val="22"/>
              </w:rPr>
              <w:t>NA</w:t>
            </w:r>
          </w:p>
        </w:tc>
      </w:tr>
      <w:tr w:rsidR="00DC2EBF" w14:paraId="389ADB40" w14:textId="77777777" w:rsidTr="000C1944">
        <w:trPr>
          <w:trHeight w:val="300"/>
        </w:trPr>
        <w:tc>
          <w:tcPr>
            <w:tcW w:w="849" w:type="dxa"/>
            <w:vMerge/>
            <w:vAlign w:val="center"/>
          </w:tcPr>
          <w:p w14:paraId="3F4E8CBA" w14:textId="77777777" w:rsidR="00DC2EBF" w:rsidRPr="003273B9" w:rsidRDefault="00DC2EBF" w:rsidP="00DC2EBF">
            <w:pPr>
              <w:rPr>
                <w:b/>
                <w:sz w:val="22"/>
                <w:szCs w:val="22"/>
              </w:rPr>
            </w:pPr>
          </w:p>
        </w:tc>
        <w:tc>
          <w:tcPr>
            <w:tcW w:w="1417" w:type="dxa"/>
            <w:vMerge/>
            <w:vAlign w:val="center"/>
          </w:tcPr>
          <w:p w14:paraId="2684E6F9" w14:textId="77777777" w:rsidR="00DC2EBF" w:rsidRPr="00FD7C1C" w:rsidRDefault="00DC2EBF" w:rsidP="00DC2EBF">
            <w:pPr>
              <w:rPr>
                <w:b/>
                <w:sz w:val="22"/>
                <w:szCs w:val="22"/>
              </w:rPr>
            </w:pPr>
          </w:p>
        </w:tc>
        <w:tc>
          <w:tcPr>
            <w:tcW w:w="1276" w:type="dxa"/>
            <w:vAlign w:val="center"/>
          </w:tcPr>
          <w:p w14:paraId="39B5D5A6" w14:textId="775CC0C2" w:rsidR="00DC2EBF" w:rsidRDefault="00DC2EBF" w:rsidP="00DC2EBF">
            <w:pPr>
              <w:rPr>
                <w:sz w:val="22"/>
                <w:szCs w:val="22"/>
              </w:rPr>
            </w:pPr>
            <w:r>
              <w:rPr>
                <w:sz w:val="22"/>
                <w:szCs w:val="22"/>
              </w:rPr>
              <w:t>(</w:t>
            </w:r>
            <w:r w:rsidRPr="406577B6">
              <w:rPr>
                <w:sz w:val="22"/>
                <w:szCs w:val="22"/>
              </w:rPr>
              <w:t>Rest</w:t>
            </w:r>
            <w:r>
              <w:rPr>
                <w:sz w:val="22"/>
                <w:szCs w:val="22"/>
              </w:rPr>
              <w:t>)</w:t>
            </w:r>
          </w:p>
        </w:tc>
        <w:tc>
          <w:tcPr>
            <w:tcW w:w="2837" w:type="dxa"/>
            <w:vAlign w:val="center"/>
          </w:tcPr>
          <w:p w14:paraId="43798D65" w14:textId="48EFFC7B" w:rsidR="00DC2EBF" w:rsidRPr="003273B9" w:rsidRDefault="00DC2EBF" w:rsidP="00DC2EBF">
            <w:pPr>
              <w:rPr>
                <w:sz w:val="22"/>
                <w:szCs w:val="22"/>
              </w:rPr>
            </w:pPr>
            <w:r>
              <w:rPr>
                <w:sz w:val="22"/>
                <w:szCs w:val="22"/>
              </w:rPr>
              <w:t xml:space="preserve">Visual rating of gross anatomical and signal abnormality in the internal awareness network </w:t>
            </w:r>
          </w:p>
        </w:tc>
        <w:tc>
          <w:tcPr>
            <w:tcW w:w="1276" w:type="dxa"/>
            <w:vAlign w:val="center"/>
          </w:tcPr>
          <w:p w14:paraId="293233A9" w14:textId="1F55819B" w:rsidR="00DC2EBF" w:rsidRPr="003273B9" w:rsidRDefault="00DC2EBF" w:rsidP="00DC2EBF">
            <w:pPr>
              <w:rPr>
                <w:sz w:val="22"/>
                <w:szCs w:val="22"/>
              </w:rPr>
            </w:pPr>
            <w:r w:rsidRPr="003273B9">
              <w:rPr>
                <w:sz w:val="22"/>
                <w:szCs w:val="22"/>
              </w:rPr>
              <w:t>AUC = 0.73</w:t>
            </w:r>
            <w:r w:rsidR="009C6DBC">
              <w:rPr>
                <w:sz w:val="22"/>
                <w:szCs w:val="22"/>
              </w:rPr>
              <w:t xml:space="preserve"> </w:t>
            </w:r>
          </w:p>
        </w:tc>
        <w:tc>
          <w:tcPr>
            <w:tcW w:w="4252" w:type="dxa"/>
            <w:vAlign w:val="center"/>
          </w:tcPr>
          <w:p w14:paraId="05F49751" w14:textId="7DA4E8AE" w:rsidR="00DC2EBF" w:rsidRPr="003273B9" w:rsidRDefault="00DC2EBF" w:rsidP="00DC2EBF">
            <w:pPr>
              <w:rPr>
                <w:sz w:val="22"/>
                <w:szCs w:val="22"/>
              </w:rPr>
            </w:pPr>
            <w:r>
              <w:rPr>
                <w:sz w:val="22"/>
                <w:szCs w:val="22"/>
              </w:rPr>
              <w:t>Less severe gross</w:t>
            </w:r>
            <w:r w:rsidRPr="003273B9">
              <w:rPr>
                <w:sz w:val="22"/>
                <w:szCs w:val="22"/>
              </w:rPr>
              <w:t xml:space="preserve"> anatomical abnormalities in the internal awareness network distinguishes MCS from UWS/VS patients</w:t>
            </w:r>
            <w:r w:rsidR="000103EB">
              <w:rPr>
                <w:sz w:val="22"/>
                <w:szCs w:val="22"/>
              </w:rPr>
              <w:t xml:space="preserve"> </w:t>
            </w:r>
            <w:r w:rsidR="000103EB">
              <w:rPr>
                <w:sz w:val="22"/>
                <w:szCs w:val="22"/>
              </w:rPr>
              <w:fldChar w:fldCharType="begin" w:fldLock="1"/>
            </w:r>
            <w:r w:rsidR="00D85C12">
              <w:rPr>
                <w:sz w:val="22"/>
                <w:szCs w:val="22"/>
              </w:rPr>
              <w:instrText>ADDIN CSL_CITATION {"citationItems":[{"id":"ITEM-1","itemData":{"DOI":"10.1002/ana.24634","ISSN":"15318249","abstract":"Objective Understanding residual brain function in disorders of consciousness poses extraordinary challenges, and imaging examinations are needed to complement clinical assessment. The default-mode network (DMN) is known to be dysfunctional, although correlation with level of consciousness remains controversial. We investigated DMN activity with resting-state functional magnetic resonance imaging (rs-fMRI), alongside its structural and metabolic integrity, aiming to elucidate the corresponding associations with clinical assessment. Methods We enrolled 119 consecutive patients: 72 in a vegetative state/unresponsive wakefulness state (VS/UWS), 36 in a minimally conscious state (MCS), and 11 with severe disability. All underwent structural MRI and rs-fMRI, and a subset also underwent 18F-fluorodeoxyglucose positron emission tomography (FDG-PET). Data were analyzed with manual and automatic approaches, in relation to diagnosis and clinical score. Results Excluding the quartile with largest head movement, DMN activity was decreased in VS/UWS compared to MCS, and correlated with clinical score. Independent-component and seed-based analyses provided similar results, although the latter and their combination were most informative. Structural MRI and FDG-PET were less sensitive to head movement and had better diagnostic accuracy than rs-fMRI only when all cases were included. rs-fMRI indicated relatively preserved DMN activity in a small subset of VS/UWS patients, 2 of whom evolved to MCS. The integrity of the left hemisphere appears to be predictive of a better clinical status. Interpretation rs-fMRI of the DMN is sensitive to clinical severity. The effect is consistent across data analysis approaches, but heavily dependent on head movement. rs-fMRI could be informative in detecting residual DMN activity for those patients who remain relatively still during scanning and whose diagnosis is uncertain. Ann Neurol 2016;79:841-853","author":[{"dropping-particle":"","family":"Rosazza","given":"Cristina","non-dropping-particle":"","parse-names":false,"suffix":""},{"dropping-particle":"","family":"Andronache","given":"Adrian","non-dropping-particle":"","parse-names":false,"suffix":""},{"dropping-particle":"","family":"Sattin","given":"Davide","non-dropping-particle":"","parse-names":false,"suffix":""},{"dropping-particle":"","family":"Bruzzone","given":"Maria Grazia","non-dropping-particle":"","parse-names":false,"suffix":""},{"dropping-particle":"","family":"Marotta","given":"Giorgio","non-dropping-particle":"","parse-names":false,"suffix":""},{"dropping-particle":"","family":"Nigri","given":"Anna","non-dropping-particle":"","parse-names":false,"suffix":""},{"dropping-particle":"","family":"Ferraro","given":"Stefania","non-dropping-particle":"","parse-names":false,"suffix":""},{"dropping-particle":"","family":"Rossi Sebastiano","given":"Davide","non-dropping-particle":"","parse-names":false,"suffix":""},{"dropping-particle":"","family":"Porcu","given":"Luca","non-dropping-particle":"","parse-names":false,"suffix":""},{"dropping-particle":"","family":"Bersano","given":"Anna","non-dropping-particle":"","parse-names":false,"suffix":""},{"dropping-particle":"","family":"Benti","given":"Riccardo","non-dropping-particle":"","parse-names":false,"suffix":""},{"dropping-particle":"","family":"Leonardi","given":"Matilde","non-dropping-particle":"","parse-names":false,"suffix":""},{"dropping-particle":"","family":"D'Incerti","given":"Ludovico","non-dropping-particle":"","parse-names":false,"suffix":""},{"dropping-particle":"","family":"Minati","given":"Ludovico","non-dropping-particle":"","parse-names":false,"suffix":""}],"container-title":"Annals of Neurology","id":"ITEM-1","issue":"5","issued":{"date-parts":[["2016"]]},"page":"841-853","title":"Multimodal study of default-mode network integrity in disorders of consciousness","type":"article-journal","volume":"79"},"uris":["http://www.mendeley.com/documents/?uuid=5a7c0b4c-cd0d-44b3-8324-15fffcdf5cc1"]}],"mendeley":{"formattedCitation":"(Rosazza et al., 2016)","plainTextFormattedCitation":"(Rosazza et al., 2016)","previouslyFormattedCitation":"(Rosazza et al., 2016)"},"properties":{"noteIndex":0},"schema":"https://github.com/citation-style-language/schema/raw/master/csl-citation.json"}</w:instrText>
            </w:r>
            <w:r w:rsidR="000103EB">
              <w:rPr>
                <w:sz w:val="22"/>
                <w:szCs w:val="22"/>
              </w:rPr>
              <w:fldChar w:fldCharType="separate"/>
            </w:r>
            <w:r w:rsidR="000103EB" w:rsidRPr="009C6DBC">
              <w:rPr>
                <w:noProof/>
                <w:sz w:val="22"/>
                <w:szCs w:val="22"/>
              </w:rPr>
              <w:t>(Rosazza et al., 2016)</w:t>
            </w:r>
            <w:r w:rsidR="000103EB">
              <w:rPr>
                <w:sz w:val="22"/>
                <w:szCs w:val="22"/>
              </w:rPr>
              <w:fldChar w:fldCharType="end"/>
            </w:r>
          </w:p>
        </w:tc>
        <w:tc>
          <w:tcPr>
            <w:tcW w:w="568" w:type="dxa"/>
            <w:shd w:val="clear" w:color="auto" w:fill="FFFF00"/>
            <w:vAlign w:val="center"/>
          </w:tcPr>
          <w:p w14:paraId="135DA564" w14:textId="77777777" w:rsidR="00DC2EBF" w:rsidRPr="003273B9" w:rsidRDefault="00DC2EBF" w:rsidP="00DC2EBF">
            <w:pPr>
              <w:rPr>
                <w:sz w:val="22"/>
                <w:szCs w:val="22"/>
              </w:rPr>
            </w:pPr>
          </w:p>
        </w:tc>
        <w:tc>
          <w:tcPr>
            <w:tcW w:w="567" w:type="dxa"/>
            <w:shd w:val="clear" w:color="auto" w:fill="auto"/>
            <w:vAlign w:val="center"/>
          </w:tcPr>
          <w:p w14:paraId="0A9EB231" w14:textId="60FE39B3" w:rsidR="00DC2EBF" w:rsidRPr="003273B9" w:rsidRDefault="00DC2EBF" w:rsidP="00DC2EBF">
            <w:pPr>
              <w:rPr>
                <w:sz w:val="22"/>
                <w:szCs w:val="22"/>
              </w:rPr>
            </w:pPr>
            <w:r>
              <w:rPr>
                <w:sz w:val="22"/>
                <w:szCs w:val="22"/>
              </w:rPr>
              <w:t>NA</w:t>
            </w:r>
          </w:p>
        </w:tc>
        <w:tc>
          <w:tcPr>
            <w:tcW w:w="566" w:type="dxa"/>
            <w:vAlign w:val="center"/>
          </w:tcPr>
          <w:p w14:paraId="0526B282" w14:textId="13F87CC5" w:rsidR="00DC2EBF" w:rsidRPr="003273B9" w:rsidRDefault="00DC2EBF" w:rsidP="00DC2EBF">
            <w:pPr>
              <w:rPr>
                <w:sz w:val="22"/>
                <w:szCs w:val="22"/>
              </w:rPr>
            </w:pPr>
            <w:r>
              <w:rPr>
                <w:sz w:val="22"/>
                <w:szCs w:val="22"/>
              </w:rPr>
              <w:t>NA</w:t>
            </w:r>
          </w:p>
        </w:tc>
      </w:tr>
      <w:tr w:rsidR="00DC2EBF" w14:paraId="5006757A" w14:textId="77777777" w:rsidTr="000C1944">
        <w:trPr>
          <w:trHeight w:val="300"/>
        </w:trPr>
        <w:tc>
          <w:tcPr>
            <w:tcW w:w="849" w:type="dxa"/>
            <w:vMerge/>
            <w:vAlign w:val="center"/>
          </w:tcPr>
          <w:p w14:paraId="1A71217F" w14:textId="77777777" w:rsidR="00DC2EBF" w:rsidRPr="003273B9" w:rsidRDefault="00DC2EBF" w:rsidP="00DC2EBF">
            <w:pPr>
              <w:rPr>
                <w:b/>
                <w:sz w:val="22"/>
                <w:szCs w:val="22"/>
              </w:rPr>
            </w:pPr>
          </w:p>
        </w:tc>
        <w:tc>
          <w:tcPr>
            <w:tcW w:w="1417" w:type="dxa"/>
            <w:vMerge w:val="restart"/>
            <w:vAlign w:val="center"/>
          </w:tcPr>
          <w:p w14:paraId="5FC3462F" w14:textId="00338153" w:rsidR="00DC2EBF" w:rsidRPr="00FD7C1C" w:rsidRDefault="00DC2EBF" w:rsidP="00DC2EBF">
            <w:pPr>
              <w:rPr>
                <w:b/>
                <w:sz w:val="22"/>
                <w:szCs w:val="22"/>
              </w:rPr>
            </w:pPr>
            <w:r w:rsidRPr="00FD7C1C">
              <w:rPr>
                <w:b/>
                <w:sz w:val="22"/>
                <w:szCs w:val="22"/>
              </w:rPr>
              <w:t>T1</w:t>
            </w:r>
          </w:p>
        </w:tc>
        <w:tc>
          <w:tcPr>
            <w:tcW w:w="1276" w:type="dxa"/>
            <w:vAlign w:val="center"/>
          </w:tcPr>
          <w:p w14:paraId="07998C73" w14:textId="24747559" w:rsidR="00DC2EBF" w:rsidRDefault="00DC2EBF" w:rsidP="00DC2EBF">
            <w:pPr>
              <w:rPr>
                <w:sz w:val="22"/>
                <w:szCs w:val="22"/>
              </w:rPr>
            </w:pPr>
            <w:r>
              <w:rPr>
                <w:sz w:val="22"/>
                <w:szCs w:val="22"/>
              </w:rPr>
              <w:t>(Rest)</w:t>
            </w:r>
          </w:p>
        </w:tc>
        <w:tc>
          <w:tcPr>
            <w:tcW w:w="2837" w:type="dxa"/>
            <w:vAlign w:val="center"/>
          </w:tcPr>
          <w:p w14:paraId="011EB29F" w14:textId="0FD2086A" w:rsidR="00DC2EBF" w:rsidRPr="003273B9" w:rsidRDefault="00DC2EBF" w:rsidP="00DC2EBF">
            <w:pPr>
              <w:rPr>
                <w:sz w:val="22"/>
                <w:szCs w:val="22"/>
              </w:rPr>
            </w:pPr>
            <w:r>
              <w:rPr>
                <w:sz w:val="22"/>
                <w:szCs w:val="22"/>
              </w:rPr>
              <w:t xml:space="preserve">Automatic classification based on regional gray matter volume </w:t>
            </w:r>
          </w:p>
        </w:tc>
        <w:tc>
          <w:tcPr>
            <w:tcW w:w="1276" w:type="dxa"/>
            <w:vAlign w:val="center"/>
          </w:tcPr>
          <w:p w14:paraId="453EF95F" w14:textId="3919FCD4" w:rsidR="00DC2EBF" w:rsidRPr="00315FFF" w:rsidRDefault="00DC2EBF" w:rsidP="00DC2EBF">
            <w:pPr>
              <w:rPr>
                <w:sz w:val="22"/>
                <w:szCs w:val="22"/>
              </w:rPr>
            </w:pPr>
            <w:r w:rsidRPr="00315FFF">
              <w:rPr>
                <w:sz w:val="22"/>
                <w:szCs w:val="22"/>
              </w:rPr>
              <w:t>AUC =</w:t>
            </w:r>
          </w:p>
          <w:p w14:paraId="11B73B0E" w14:textId="15FB22BC" w:rsidR="00DC2EBF" w:rsidRPr="00315FFF" w:rsidRDefault="00DC2EBF" w:rsidP="00DC2EBF">
            <w:pPr>
              <w:rPr>
                <w:sz w:val="22"/>
                <w:szCs w:val="22"/>
              </w:rPr>
            </w:pPr>
            <w:r w:rsidRPr="00315FFF">
              <w:rPr>
                <w:sz w:val="22"/>
                <w:szCs w:val="22"/>
              </w:rPr>
              <w:t>0.79-0.96</w:t>
            </w:r>
            <w:r w:rsidR="009569DB" w:rsidRPr="00315FFF">
              <w:rPr>
                <w:sz w:val="22"/>
                <w:szCs w:val="22"/>
              </w:rPr>
              <w:t xml:space="preserve"> </w:t>
            </w:r>
          </w:p>
        </w:tc>
        <w:tc>
          <w:tcPr>
            <w:tcW w:w="4252" w:type="dxa"/>
            <w:vAlign w:val="center"/>
          </w:tcPr>
          <w:p w14:paraId="3D6151E4" w14:textId="48852B15" w:rsidR="00DC2EBF" w:rsidRPr="003273B9" w:rsidRDefault="00DC2EBF" w:rsidP="00DC2EBF">
            <w:pPr>
              <w:rPr>
                <w:sz w:val="22"/>
                <w:szCs w:val="22"/>
              </w:rPr>
            </w:pPr>
            <w:r>
              <w:rPr>
                <w:sz w:val="22"/>
                <w:szCs w:val="22"/>
              </w:rPr>
              <w:t xml:space="preserve">Less severe decreases of gray matter volume, especially in subcortical and medial cortical regions </w:t>
            </w:r>
            <w:r w:rsidRPr="003273B9">
              <w:rPr>
                <w:sz w:val="22"/>
                <w:szCs w:val="22"/>
              </w:rPr>
              <w:t>distinguishes MCS from UWS/VS patients</w:t>
            </w:r>
            <w:r w:rsidR="000103EB">
              <w:rPr>
                <w:sz w:val="22"/>
                <w:szCs w:val="22"/>
              </w:rPr>
              <w:t xml:space="preserve"> </w:t>
            </w:r>
            <w:r w:rsidR="000103EB" w:rsidRPr="000103EB">
              <w:rPr>
                <w:sz w:val="22"/>
                <w:szCs w:val="22"/>
              </w:rPr>
              <w:fldChar w:fldCharType="begin" w:fldLock="1"/>
            </w:r>
            <w:r w:rsidR="00D85C12">
              <w:rPr>
                <w:sz w:val="22"/>
                <w:szCs w:val="22"/>
              </w:rPr>
              <w:instrText>ADDIN CSL_CITATION {"citationItems":[{"id":"ITEM-1","itemData":{"ISSN":"0364-5134","author":[{"dropping-particle":"","family":"Annen","given":"Jitka","non-dropping-particle":"","parse-names":false,"suffix":""},{"dropping-particle":"","family":"Frasso","given":"Gianluca","non-dropping-particle":"","parse-names":false,"suffix":""},{"dropping-particle":"","family":"Crone","given":"Julia Sophia","non-dropping-particle":"","parse-names":false,"suffix":""},{"dropping-particle":"","family":"Heine","given":"Lizette","non-dropping-particle":"","parse-names":false,"suffix":""},{"dropping-particle":"","family":"Perri","given":"Carol","non-dropping-particle":"Di","parse-names":false,"suffix":""},{"dropping-particle":"","family":"Martial","given":"Charlotte","non-dropping-particle":"","parse-names":false,"suffix":""},{"dropping-particle":"","family":"Cassol","given":"Helena","non-dropping-particle":"","parse-names":false,"suffix":""},{"dropping-particle":"","family":"Demertzi","given":"Athena","non-dropping-particle":"","parse-names":false,"suffix":""},{"dropping-particle":"","family":"Naccache","given":"Lionel","non-dropping-particle":"","parse-names":false,"suffix":""},{"dropping-particle":"","family":"Laureys","given":"Steven","non-dropping-particle":"","parse-names":false,"suffix":""}],"container-title":"Annals of neurology","id":"ITEM-1","issue":"4","issued":{"date-parts":[["2018"]]},"page":"842-853","publisher":"Wiley Online Library","title":"Regional brain volumetry and brain function in severely brain‐injured patients","type":"article-journal","volume":"83"},"uris":["http://www.mendeley.com/documents/?uuid=f57c47ef-b2d5-4121-9ec8-3a0beda6c7cf"]}],"mendeley":{"formattedCitation":"(Annen et al., 2018)","plainTextFormattedCitation":"(Annen et al., 2018)","previouslyFormattedCitation":"(Annen et al., 2018)"},"properties":{"noteIndex":0},"schema":"https://github.com/citation-style-language/schema/raw/master/csl-citation.json"}</w:instrText>
            </w:r>
            <w:r w:rsidR="000103EB" w:rsidRPr="000103EB">
              <w:rPr>
                <w:sz w:val="22"/>
                <w:szCs w:val="22"/>
              </w:rPr>
              <w:fldChar w:fldCharType="separate"/>
            </w:r>
            <w:r w:rsidR="00D85C12" w:rsidRPr="00D85C12">
              <w:rPr>
                <w:noProof/>
                <w:sz w:val="22"/>
                <w:szCs w:val="22"/>
              </w:rPr>
              <w:t>(Annen et al., 2018)</w:t>
            </w:r>
            <w:r w:rsidR="000103EB" w:rsidRPr="000103EB">
              <w:rPr>
                <w:sz w:val="22"/>
                <w:szCs w:val="22"/>
              </w:rPr>
              <w:fldChar w:fldCharType="end"/>
            </w:r>
          </w:p>
        </w:tc>
        <w:tc>
          <w:tcPr>
            <w:tcW w:w="568" w:type="dxa"/>
            <w:shd w:val="clear" w:color="auto" w:fill="auto"/>
            <w:vAlign w:val="center"/>
          </w:tcPr>
          <w:p w14:paraId="598F79F2" w14:textId="3ED744E5" w:rsidR="00DC2EBF" w:rsidRPr="003273B9" w:rsidRDefault="00DC2EBF" w:rsidP="00DC2EBF">
            <w:pPr>
              <w:rPr>
                <w:sz w:val="22"/>
                <w:szCs w:val="22"/>
              </w:rPr>
            </w:pPr>
            <w:r>
              <w:rPr>
                <w:sz w:val="22"/>
                <w:szCs w:val="22"/>
              </w:rPr>
              <w:t>NA</w:t>
            </w:r>
          </w:p>
        </w:tc>
        <w:tc>
          <w:tcPr>
            <w:tcW w:w="567" w:type="dxa"/>
            <w:shd w:val="clear" w:color="auto" w:fill="auto"/>
            <w:vAlign w:val="center"/>
          </w:tcPr>
          <w:p w14:paraId="70462076" w14:textId="637AC8ED" w:rsidR="00DC2EBF" w:rsidRPr="003273B9" w:rsidRDefault="00DC2EBF" w:rsidP="00DC2EBF">
            <w:pPr>
              <w:rPr>
                <w:sz w:val="22"/>
                <w:szCs w:val="22"/>
              </w:rPr>
            </w:pPr>
            <w:r>
              <w:rPr>
                <w:sz w:val="22"/>
                <w:szCs w:val="22"/>
              </w:rPr>
              <w:t>NA</w:t>
            </w:r>
          </w:p>
        </w:tc>
        <w:tc>
          <w:tcPr>
            <w:tcW w:w="566" w:type="dxa"/>
            <w:vAlign w:val="center"/>
          </w:tcPr>
          <w:p w14:paraId="4D58501E" w14:textId="787B0DBA" w:rsidR="00DC2EBF" w:rsidRPr="003273B9" w:rsidRDefault="00DC2EBF" w:rsidP="00DC2EBF">
            <w:pPr>
              <w:rPr>
                <w:sz w:val="22"/>
                <w:szCs w:val="22"/>
              </w:rPr>
            </w:pPr>
            <w:r>
              <w:rPr>
                <w:sz w:val="22"/>
                <w:szCs w:val="22"/>
              </w:rPr>
              <w:t>NA</w:t>
            </w:r>
          </w:p>
        </w:tc>
      </w:tr>
      <w:tr w:rsidR="00DC2EBF" w14:paraId="7E7F0650" w14:textId="77777777" w:rsidTr="000C1944">
        <w:trPr>
          <w:trHeight w:val="789"/>
        </w:trPr>
        <w:tc>
          <w:tcPr>
            <w:tcW w:w="849" w:type="dxa"/>
            <w:vMerge/>
            <w:vAlign w:val="center"/>
          </w:tcPr>
          <w:p w14:paraId="321963A8" w14:textId="77777777" w:rsidR="00DC2EBF" w:rsidRPr="003273B9" w:rsidRDefault="00DC2EBF" w:rsidP="00DC2EBF">
            <w:pPr>
              <w:rPr>
                <w:b/>
                <w:sz w:val="22"/>
                <w:szCs w:val="22"/>
              </w:rPr>
            </w:pPr>
          </w:p>
        </w:tc>
        <w:tc>
          <w:tcPr>
            <w:tcW w:w="1417" w:type="dxa"/>
            <w:vMerge/>
            <w:vAlign w:val="center"/>
          </w:tcPr>
          <w:p w14:paraId="7BB75BDD" w14:textId="6143C8F0" w:rsidR="00DC2EBF" w:rsidRPr="00FD7C1C" w:rsidRDefault="00DC2EBF" w:rsidP="00DC2EBF">
            <w:pPr>
              <w:rPr>
                <w:b/>
                <w:sz w:val="22"/>
                <w:szCs w:val="22"/>
              </w:rPr>
            </w:pPr>
          </w:p>
        </w:tc>
        <w:tc>
          <w:tcPr>
            <w:tcW w:w="1276" w:type="dxa"/>
            <w:vAlign w:val="center"/>
          </w:tcPr>
          <w:p w14:paraId="2D7558A2" w14:textId="3A54247F" w:rsidR="00DC2EBF" w:rsidRDefault="00DC2EBF" w:rsidP="00DC2EBF">
            <w:pPr>
              <w:rPr>
                <w:sz w:val="22"/>
                <w:szCs w:val="22"/>
              </w:rPr>
            </w:pPr>
            <w:r>
              <w:rPr>
                <w:sz w:val="22"/>
                <w:szCs w:val="22"/>
              </w:rPr>
              <w:t>(Rest)</w:t>
            </w:r>
          </w:p>
        </w:tc>
        <w:tc>
          <w:tcPr>
            <w:tcW w:w="2837" w:type="dxa"/>
            <w:vAlign w:val="center"/>
          </w:tcPr>
          <w:p w14:paraId="1310FF99" w14:textId="28ADC543" w:rsidR="00DC2EBF" w:rsidRPr="003273B9" w:rsidRDefault="00DC2EBF" w:rsidP="00DC2EBF">
            <w:pPr>
              <w:rPr>
                <w:sz w:val="22"/>
                <w:szCs w:val="22"/>
              </w:rPr>
            </w:pPr>
            <w:r>
              <w:rPr>
                <w:sz w:val="22"/>
                <w:szCs w:val="22"/>
              </w:rPr>
              <w:t>Automatic classification based on regional white matter volume</w:t>
            </w:r>
          </w:p>
        </w:tc>
        <w:tc>
          <w:tcPr>
            <w:tcW w:w="1276" w:type="dxa"/>
            <w:vAlign w:val="center"/>
          </w:tcPr>
          <w:p w14:paraId="627EE4BC" w14:textId="77777777" w:rsidR="00DC2EBF" w:rsidRPr="009569DB" w:rsidRDefault="00DC2EBF" w:rsidP="00DC2EBF">
            <w:pPr>
              <w:rPr>
                <w:sz w:val="22"/>
                <w:szCs w:val="22"/>
                <w:lang w:val="fr-BE"/>
              </w:rPr>
            </w:pPr>
            <w:r w:rsidRPr="009569DB">
              <w:rPr>
                <w:sz w:val="22"/>
                <w:szCs w:val="22"/>
                <w:lang w:val="fr-BE"/>
              </w:rPr>
              <w:t xml:space="preserve">AUC = </w:t>
            </w:r>
          </w:p>
          <w:p w14:paraId="0E2A42B6" w14:textId="5E1B745C" w:rsidR="00DC2EBF" w:rsidRPr="009569DB" w:rsidRDefault="00DC2EBF" w:rsidP="00DC2EBF">
            <w:pPr>
              <w:rPr>
                <w:sz w:val="22"/>
                <w:szCs w:val="22"/>
                <w:lang w:val="fr-BE"/>
              </w:rPr>
            </w:pPr>
            <w:r w:rsidRPr="009569DB">
              <w:rPr>
                <w:sz w:val="22"/>
                <w:szCs w:val="22"/>
                <w:lang w:val="fr-BE"/>
              </w:rPr>
              <w:t>0.70-0.98</w:t>
            </w:r>
            <w:r w:rsidR="009569DB" w:rsidRPr="009569DB">
              <w:rPr>
                <w:sz w:val="22"/>
                <w:szCs w:val="22"/>
                <w:lang w:val="fr-BE"/>
              </w:rPr>
              <w:t xml:space="preserve"> </w:t>
            </w:r>
          </w:p>
        </w:tc>
        <w:tc>
          <w:tcPr>
            <w:tcW w:w="4252" w:type="dxa"/>
            <w:vAlign w:val="center"/>
          </w:tcPr>
          <w:p w14:paraId="064E0774" w14:textId="350973A8" w:rsidR="00DC2EBF" w:rsidRPr="003273B9" w:rsidRDefault="00DC2EBF" w:rsidP="00DC2EBF">
            <w:pPr>
              <w:rPr>
                <w:sz w:val="22"/>
                <w:szCs w:val="22"/>
              </w:rPr>
            </w:pPr>
            <w:r>
              <w:rPr>
                <w:sz w:val="22"/>
                <w:szCs w:val="22"/>
              </w:rPr>
              <w:t xml:space="preserve">Less severe decreases of white matter volume (cortical and brainstem) </w:t>
            </w:r>
            <w:r w:rsidRPr="003273B9">
              <w:rPr>
                <w:sz w:val="22"/>
                <w:szCs w:val="22"/>
              </w:rPr>
              <w:t>distinguishes MCS from UWS/VS patients</w:t>
            </w:r>
            <w:r w:rsidR="000103EB">
              <w:rPr>
                <w:sz w:val="22"/>
                <w:szCs w:val="22"/>
              </w:rPr>
              <w:t xml:space="preserve"> </w:t>
            </w:r>
            <w:r w:rsidR="000103EB" w:rsidRPr="000103EB">
              <w:rPr>
                <w:sz w:val="22"/>
                <w:szCs w:val="22"/>
              </w:rPr>
              <w:fldChar w:fldCharType="begin" w:fldLock="1"/>
            </w:r>
            <w:r w:rsidR="00D85C12">
              <w:rPr>
                <w:sz w:val="22"/>
                <w:szCs w:val="22"/>
              </w:rPr>
              <w:instrText>ADDIN CSL_CITATION {"citationItems":[{"id":"ITEM-1","itemData":{"ISSN":"0364-5134","author":[{"dropping-particle":"","family":"Annen","given":"Jitka","non-dropping-particle":"","parse-names":false,"suffix":""},{"dropping-particle":"","family":"Frasso","given":"Gianluca","non-dropping-particle":"","parse-names":false,"suffix":""},{"dropping-particle":"","family":"Crone","given":"Julia Sophia","non-dropping-particle":"","parse-names":false,"suffix":""},{"dropping-particle":"","family":"Heine","given":"Lizette","non-dropping-particle":"","parse-names":false,"suffix":""},{"dropping-particle":"","family":"Perri","given":"Carol","non-dropping-particle":"Di","parse-names":false,"suffix":""},{"dropping-particle":"","family":"Martial","given":"Charlotte","non-dropping-particle":"","parse-names":false,"suffix":""},{"dropping-particle":"","family":"Cassol","given":"Helena","non-dropping-particle":"","parse-names":false,"suffix":""},{"dropping-particle":"","family":"Demertzi","given":"Athena","non-dropping-particle":"","parse-names":false,"suffix":""},{"dropping-particle":"","family":"Naccache","given":"Lionel","non-dropping-particle":"","parse-names":false,"suffix":""},{"dropping-particle":"","family":"Laureys","given":"Steven","non-dropping-particle":"","parse-names":false,"suffix":""}],"container-title":"Annals of neurology","id":"ITEM-1","issue":"4","issued":{"date-parts":[["2018"]]},"page":"842-853","publisher":"Wiley Online Library","title":"Regional brain volumetry and brain function in severely brain‐injured patients","type":"article-journal","volume":"83"},"uris":["http://www.mendeley.com/documents/?uuid=f57c47ef-b2d5-4121-9ec8-3a0beda6c7cf"]}],"mendeley":{"formattedCitation":"(Annen et al., 2018)","plainTextFormattedCitation":"(Annen et al., 2018)","previouslyFormattedCitation":"(Annen et al., 2018)"},"properties":{"noteIndex":0},"schema":"https://github.com/citation-style-language/schema/raw/master/csl-citation.json"}</w:instrText>
            </w:r>
            <w:r w:rsidR="000103EB" w:rsidRPr="000103EB">
              <w:rPr>
                <w:sz w:val="22"/>
                <w:szCs w:val="22"/>
              </w:rPr>
              <w:fldChar w:fldCharType="separate"/>
            </w:r>
            <w:r w:rsidR="00D85C12" w:rsidRPr="00D85C12">
              <w:rPr>
                <w:noProof/>
                <w:sz w:val="22"/>
                <w:szCs w:val="22"/>
              </w:rPr>
              <w:t>(Annen et al., 2018)</w:t>
            </w:r>
            <w:r w:rsidR="000103EB" w:rsidRPr="000103EB">
              <w:rPr>
                <w:sz w:val="22"/>
                <w:szCs w:val="22"/>
              </w:rPr>
              <w:fldChar w:fldCharType="end"/>
            </w:r>
          </w:p>
        </w:tc>
        <w:tc>
          <w:tcPr>
            <w:tcW w:w="568" w:type="dxa"/>
            <w:shd w:val="clear" w:color="auto" w:fill="auto"/>
            <w:vAlign w:val="center"/>
          </w:tcPr>
          <w:p w14:paraId="7A809D9E" w14:textId="23CA8C69" w:rsidR="00DC2EBF" w:rsidRPr="003273B9" w:rsidRDefault="00DC2EBF" w:rsidP="00DC2EBF">
            <w:pPr>
              <w:rPr>
                <w:sz w:val="22"/>
                <w:szCs w:val="22"/>
              </w:rPr>
            </w:pPr>
            <w:r>
              <w:rPr>
                <w:sz w:val="22"/>
                <w:szCs w:val="22"/>
              </w:rPr>
              <w:t>NA</w:t>
            </w:r>
          </w:p>
        </w:tc>
        <w:tc>
          <w:tcPr>
            <w:tcW w:w="567" w:type="dxa"/>
            <w:shd w:val="clear" w:color="auto" w:fill="auto"/>
            <w:vAlign w:val="center"/>
          </w:tcPr>
          <w:p w14:paraId="332BA43F" w14:textId="2C796B17" w:rsidR="00DC2EBF" w:rsidRPr="003273B9" w:rsidRDefault="00DC2EBF" w:rsidP="00DC2EBF">
            <w:pPr>
              <w:rPr>
                <w:sz w:val="22"/>
                <w:szCs w:val="22"/>
              </w:rPr>
            </w:pPr>
            <w:r>
              <w:rPr>
                <w:sz w:val="22"/>
                <w:szCs w:val="22"/>
              </w:rPr>
              <w:t>NA</w:t>
            </w:r>
          </w:p>
        </w:tc>
        <w:tc>
          <w:tcPr>
            <w:tcW w:w="566" w:type="dxa"/>
            <w:vAlign w:val="center"/>
          </w:tcPr>
          <w:p w14:paraId="2C48C374" w14:textId="490E2E1E" w:rsidR="00DC2EBF" w:rsidRPr="003273B9" w:rsidRDefault="00DC2EBF" w:rsidP="00DC2EBF">
            <w:pPr>
              <w:rPr>
                <w:sz w:val="22"/>
                <w:szCs w:val="22"/>
              </w:rPr>
            </w:pPr>
            <w:r>
              <w:rPr>
                <w:sz w:val="22"/>
                <w:szCs w:val="22"/>
              </w:rPr>
              <w:t>NA</w:t>
            </w:r>
          </w:p>
        </w:tc>
      </w:tr>
      <w:tr w:rsidR="00DC2EBF" w14:paraId="67B240AA" w14:textId="77777777" w:rsidTr="000C1944">
        <w:trPr>
          <w:cantSplit/>
          <w:trHeight w:val="431"/>
        </w:trPr>
        <w:tc>
          <w:tcPr>
            <w:tcW w:w="849" w:type="dxa"/>
            <w:vMerge/>
            <w:vAlign w:val="center"/>
          </w:tcPr>
          <w:p w14:paraId="748A5C88" w14:textId="77777777" w:rsidR="00DC2EBF" w:rsidRPr="003273B9" w:rsidRDefault="00DC2EBF" w:rsidP="00DC2EBF">
            <w:pPr>
              <w:rPr>
                <w:b/>
                <w:sz w:val="22"/>
                <w:szCs w:val="22"/>
              </w:rPr>
            </w:pPr>
          </w:p>
        </w:tc>
        <w:tc>
          <w:tcPr>
            <w:tcW w:w="1417" w:type="dxa"/>
            <w:vAlign w:val="center"/>
          </w:tcPr>
          <w:p w14:paraId="399C649B" w14:textId="77B2FEE3" w:rsidR="00DC2EBF" w:rsidRPr="00FD7C1C" w:rsidRDefault="00DC2EBF" w:rsidP="00DC2EBF">
            <w:pPr>
              <w:rPr>
                <w:b/>
                <w:sz w:val="22"/>
                <w:szCs w:val="22"/>
              </w:rPr>
            </w:pPr>
            <w:r w:rsidRPr="00FD7C1C">
              <w:rPr>
                <w:b/>
                <w:sz w:val="22"/>
                <w:szCs w:val="22"/>
              </w:rPr>
              <w:t>DWI</w:t>
            </w:r>
          </w:p>
        </w:tc>
        <w:tc>
          <w:tcPr>
            <w:tcW w:w="1276" w:type="dxa"/>
            <w:vAlign w:val="center"/>
          </w:tcPr>
          <w:p w14:paraId="7316EBA5" w14:textId="74D78BC3" w:rsidR="00DC2EBF" w:rsidRDefault="00DC2EBF" w:rsidP="00DC2EBF">
            <w:pPr>
              <w:rPr>
                <w:sz w:val="22"/>
                <w:szCs w:val="22"/>
              </w:rPr>
            </w:pPr>
            <w:r>
              <w:rPr>
                <w:sz w:val="22"/>
                <w:szCs w:val="22"/>
              </w:rPr>
              <w:t>(Rest)</w:t>
            </w:r>
          </w:p>
        </w:tc>
        <w:tc>
          <w:tcPr>
            <w:tcW w:w="2837" w:type="dxa"/>
            <w:vAlign w:val="center"/>
          </w:tcPr>
          <w:p w14:paraId="7B0CB1F5" w14:textId="30ADD39E" w:rsidR="00DC2EBF" w:rsidRPr="003273B9" w:rsidRDefault="00DC2EBF" w:rsidP="00DC2EBF">
            <w:pPr>
              <w:rPr>
                <w:sz w:val="22"/>
                <w:szCs w:val="22"/>
              </w:rPr>
            </w:pPr>
            <w:r>
              <w:rPr>
                <w:sz w:val="22"/>
                <w:szCs w:val="22"/>
              </w:rPr>
              <w:t>Automatic classification based on white matter integrity (highest values of mean diffusivity)</w:t>
            </w:r>
          </w:p>
        </w:tc>
        <w:tc>
          <w:tcPr>
            <w:tcW w:w="1276" w:type="dxa"/>
            <w:vAlign w:val="center"/>
          </w:tcPr>
          <w:p w14:paraId="3113FB37" w14:textId="45ACDE31" w:rsidR="00DC2EBF" w:rsidRPr="009569DB" w:rsidRDefault="00DC2EBF" w:rsidP="00DC2EBF">
            <w:pPr>
              <w:rPr>
                <w:sz w:val="22"/>
                <w:szCs w:val="22"/>
                <w:lang w:val="fr-BE"/>
              </w:rPr>
            </w:pPr>
            <w:r w:rsidRPr="009569DB">
              <w:rPr>
                <w:sz w:val="22"/>
                <w:szCs w:val="22"/>
                <w:lang w:val="fr-BE"/>
              </w:rPr>
              <w:t>Acc = 95%</w:t>
            </w:r>
            <w:r w:rsidR="009569DB" w:rsidRPr="009569DB">
              <w:rPr>
                <w:sz w:val="22"/>
                <w:szCs w:val="22"/>
                <w:lang w:val="fr-BE"/>
              </w:rPr>
              <w:t xml:space="preserve"> </w:t>
            </w:r>
          </w:p>
        </w:tc>
        <w:tc>
          <w:tcPr>
            <w:tcW w:w="4252" w:type="dxa"/>
            <w:vAlign w:val="center"/>
          </w:tcPr>
          <w:p w14:paraId="66994685" w14:textId="67F419A7" w:rsidR="00DC2EBF" w:rsidRPr="003273B9" w:rsidRDefault="00DC2EBF" w:rsidP="00DC2EBF">
            <w:pPr>
              <w:rPr>
                <w:sz w:val="22"/>
                <w:szCs w:val="22"/>
              </w:rPr>
            </w:pPr>
            <w:r>
              <w:rPr>
                <w:sz w:val="22"/>
                <w:szCs w:val="22"/>
              </w:rPr>
              <w:t xml:space="preserve">Higher integrity of subcortical and thalamic white matter </w:t>
            </w:r>
            <w:r w:rsidRPr="003273B9">
              <w:rPr>
                <w:sz w:val="22"/>
                <w:szCs w:val="22"/>
              </w:rPr>
              <w:t>distinguishes MCS from UWS/VS patients</w:t>
            </w:r>
            <w:r w:rsidR="000103EB">
              <w:rPr>
                <w:sz w:val="22"/>
                <w:szCs w:val="22"/>
              </w:rPr>
              <w:t xml:space="preserve"> </w:t>
            </w:r>
            <w:r w:rsidR="000103EB" w:rsidRPr="000103EB">
              <w:rPr>
                <w:sz w:val="22"/>
                <w:szCs w:val="22"/>
              </w:rPr>
              <w:fldChar w:fldCharType="begin" w:fldLock="1"/>
            </w:r>
            <w:r w:rsidR="000103EB" w:rsidRPr="000103EB">
              <w:rPr>
                <w:sz w:val="22"/>
                <w:szCs w:val="22"/>
              </w:rPr>
              <w:instrText>ADDIN CSL_CITATION {"citationItems":[{"id":"ITEM-1","itemData":{"ISSN":"1053-8119","author":[{"dropping-particle":"","family":"Fernández-Espejo","given":"Davinia","non-dropping-particle":"","parse-names":false,"suffix":""},{"dropping-particle":"","family":"Bekinschtein","given":"Tristan","non-dropping-particle":"","parse-names":false,"suffix":""},{"dropping-particle":"","family":"Monti","given":"Martin M","non-dropping-particle":"","parse-names":false,"suffix":""},{"dropping-particle":"","family":"Pickard","given":"John D","non-dropping-particle":"","parse-names":false,"suffix":""},{"dropping-particle":"","family":"Junque","given":"Carme","non-dropping-particle":"","parse-names":false,"suffix":""},{"dropping-particle":"","family":"Coleman","given":"Martin R","non-dropping-particle":"","parse-names":false,"suffix":""},{"dropping-particle":"","family":"Owen","given":"Adrian M","non-dropping-particle":"","parse-names":false,"suffix":""}],"container-title":"Neuroimage","id":"ITEM-1","issue":"1","issued":{"date-parts":[["2011"]]},"page":"103-112","publisher":"Elsevier","title":"Diffusion weighted imaging distinguishes the vegetative state from the minimally conscious state","type":"article-journal","volume":"54"},"uris":["http://www.mendeley.com/documents/?uuid=2fda4ae9-0e2f-49d8-acc9-53b3941858c9"]}],"mendeley":{"formattedCitation":"(Fernández-Espejo et al., 2011)","plainTextFormattedCitation":"(Fernández-Espejo et al., 2011)","previouslyFormattedCitation":"(Fernández-Espejo et al., 2011)"},"properties":{"noteIndex":0},"schema":"https://github.com/citation-style-language/schema/raw/master/csl-citation.json"}</w:instrText>
            </w:r>
            <w:r w:rsidR="000103EB" w:rsidRPr="000103EB">
              <w:rPr>
                <w:sz w:val="22"/>
                <w:szCs w:val="22"/>
              </w:rPr>
              <w:fldChar w:fldCharType="separate"/>
            </w:r>
            <w:r w:rsidR="000103EB" w:rsidRPr="000103EB">
              <w:rPr>
                <w:noProof/>
                <w:sz w:val="22"/>
                <w:szCs w:val="22"/>
              </w:rPr>
              <w:t>(Fernández-Espejo et al., 2011)</w:t>
            </w:r>
            <w:r w:rsidR="000103EB" w:rsidRPr="000103EB">
              <w:rPr>
                <w:sz w:val="22"/>
                <w:szCs w:val="22"/>
              </w:rPr>
              <w:fldChar w:fldCharType="end"/>
            </w:r>
          </w:p>
        </w:tc>
        <w:tc>
          <w:tcPr>
            <w:tcW w:w="568" w:type="dxa"/>
            <w:shd w:val="clear" w:color="auto" w:fill="auto"/>
            <w:vAlign w:val="center"/>
          </w:tcPr>
          <w:p w14:paraId="2133387B" w14:textId="400C09CB" w:rsidR="00DC2EBF" w:rsidRPr="003273B9" w:rsidRDefault="00DC2EBF" w:rsidP="00DC2EBF">
            <w:pPr>
              <w:rPr>
                <w:sz w:val="22"/>
                <w:szCs w:val="22"/>
              </w:rPr>
            </w:pPr>
            <w:r>
              <w:rPr>
                <w:sz w:val="22"/>
                <w:szCs w:val="22"/>
              </w:rPr>
              <w:t>NA</w:t>
            </w:r>
          </w:p>
        </w:tc>
        <w:tc>
          <w:tcPr>
            <w:tcW w:w="567" w:type="dxa"/>
            <w:shd w:val="clear" w:color="auto" w:fill="ED7D31" w:themeFill="accent2"/>
            <w:vAlign w:val="center"/>
          </w:tcPr>
          <w:p w14:paraId="450A8A32" w14:textId="299DA227" w:rsidR="00DC2EBF" w:rsidRPr="003273B9" w:rsidRDefault="00DC2EBF" w:rsidP="00DC2EBF">
            <w:pPr>
              <w:rPr>
                <w:sz w:val="22"/>
                <w:szCs w:val="22"/>
              </w:rPr>
            </w:pPr>
            <w:r>
              <w:rPr>
                <w:sz w:val="22"/>
                <w:szCs w:val="22"/>
              </w:rPr>
              <w:t xml:space="preserve">  </w:t>
            </w:r>
          </w:p>
        </w:tc>
        <w:tc>
          <w:tcPr>
            <w:tcW w:w="566" w:type="dxa"/>
            <w:vAlign w:val="center"/>
          </w:tcPr>
          <w:p w14:paraId="40646CE4" w14:textId="4D3AECE6" w:rsidR="00DC2EBF" w:rsidRPr="003273B9" w:rsidRDefault="00DC2EBF" w:rsidP="00DC2EBF">
            <w:pPr>
              <w:rPr>
                <w:sz w:val="22"/>
                <w:szCs w:val="22"/>
              </w:rPr>
            </w:pPr>
            <w:r>
              <w:rPr>
                <w:sz w:val="22"/>
                <w:szCs w:val="22"/>
              </w:rPr>
              <w:t>NA</w:t>
            </w:r>
          </w:p>
        </w:tc>
      </w:tr>
      <w:tr w:rsidR="00E37BF1" w14:paraId="0E5FA861" w14:textId="77777777" w:rsidTr="000C1944">
        <w:trPr>
          <w:cantSplit/>
          <w:trHeight w:val="954"/>
        </w:trPr>
        <w:tc>
          <w:tcPr>
            <w:tcW w:w="849" w:type="dxa"/>
            <w:vMerge w:val="restart"/>
            <w:vAlign w:val="center"/>
          </w:tcPr>
          <w:p w14:paraId="2DBB7236" w14:textId="60D7D4E2" w:rsidR="00E37BF1" w:rsidRPr="003273B9" w:rsidRDefault="00E37BF1" w:rsidP="00DC2EBF">
            <w:pPr>
              <w:rPr>
                <w:b/>
                <w:sz w:val="22"/>
                <w:szCs w:val="22"/>
              </w:rPr>
            </w:pPr>
            <w:r>
              <w:rPr>
                <w:b/>
                <w:sz w:val="22"/>
                <w:szCs w:val="22"/>
              </w:rPr>
              <w:t>fMRI</w:t>
            </w:r>
          </w:p>
        </w:tc>
        <w:tc>
          <w:tcPr>
            <w:tcW w:w="1417" w:type="dxa"/>
            <w:vMerge w:val="restart"/>
            <w:vAlign w:val="center"/>
          </w:tcPr>
          <w:p w14:paraId="1F14F35E" w14:textId="67F41F74" w:rsidR="00E37BF1" w:rsidRPr="00FD7C1C" w:rsidRDefault="00E37BF1" w:rsidP="00DC2EBF">
            <w:pPr>
              <w:rPr>
                <w:b/>
                <w:sz w:val="22"/>
                <w:szCs w:val="22"/>
              </w:rPr>
            </w:pPr>
            <w:r w:rsidRPr="00FD7C1C">
              <w:rPr>
                <w:b/>
                <w:sz w:val="22"/>
                <w:szCs w:val="22"/>
              </w:rPr>
              <w:t>BOLD</w:t>
            </w:r>
          </w:p>
        </w:tc>
        <w:tc>
          <w:tcPr>
            <w:tcW w:w="1276" w:type="dxa"/>
            <w:vMerge w:val="restart"/>
            <w:vAlign w:val="center"/>
          </w:tcPr>
          <w:p w14:paraId="2EBDF3BE" w14:textId="3C1253C5" w:rsidR="00E37BF1" w:rsidRPr="003273B9" w:rsidRDefault="00E37BF1" w:rsidP="00DC2EBF">
            <w:pPr>
              <w:rPr>
                <w:sz w:val="22"/>
                <w:szCs w:val="22"/>
              </w:rPr>
            </w:pPr>
            <w:r>
              <w:rPr>
                <w:sz w:val="22"/>
                <w:szCs w:val="22"/>
              </w:rPr>
              <w:t>Rest</w:t>
            </w:r>
          </w:p>
        </w:tc>
        <w:tc>
          <w:tcPr>
            <w:tcW w:w="2837" w:type="dxa"/>
            <w:vMerge w:val="restart"/>
            <w:vAlign w:val="center"/>
          </w:tcPr>
          <w:p w14:paraId="439E894B" w14:textId="4130E5BC" w:rsidR="00E37BF1" w:rsidRDefault="00E37BF1" w:rsidP="00DC2EBF">
            <w:pPr>
              <w:rPr>
                <w:sz w:val="22"/>
                <w:szCs w:val="22"/>
              </w:rPr>
            </w:pPr>
            <w:r>
              <w:rPr>
                <w:sz w:val="22"/>
                <w:szCs w:val="22"/>
              </w:rPr>
              <w:t>Visual rating of default mode network</w:t>
            </w:r>
          </w:p>
          <w:p w14:paraId="6146193D" w14:textId="311D345C" w:rsidR="00E37BF1" w:rsidRDefault="00E37BF1" w:rsidP="00DC2EBF">
            <w:pPr>
              <w:rPr>
                <w:sz w:val="22"/>
                <w:szCs w:val="22"/>
              </w:rPr>
            </w:pPr>
            <w:r>
              <w:rPr>
                <w:sz w:val="22"/>
                <w:szCs w:val="22"/>
              </w:rPr>
              <w:t>-----------------------------------</w:t>
            </w:r>
          </w:p>
          <w:p w14:paraId="75A804A4" w14:textId="59432043" w:rsidR="00E37BF1" w:rsidRPr="003273B9" w:rsidRDefault="00E37BF1" w:rsidP="00DC2EBF">
            <w:pPr>
              <w:rPr>
                <w:sz w:val="22"/>
                <w:szCs w:val="22"/>
              </w:rPr>
            </w:pPr>
            <w:r>
              <w:rPr>
                <w:sz w:val="22"/>
                <w:szCs w:val="22"/>
              </w:rPr>
              <w:t>Visual rating or automated classification of identifiability / number of connections / connectivity strength of the default mode, auditory, salience, executive networks</w:t>
            </w:r>
          </w:p>
        </w:tc>
        <w:tc>
          <w:tcPr>
            <w:tcW w:w="1276" w:type="dxa"/>
            <w:vMerge w:val="restart"/>
            <w:vAlign w:val="center"/>
          </w:tcPr>
          <w:p w14:paraId="11D6E639" w14:textId="777969B3" w:rsidR="00E37BF1" w:rsidRDefault="00E37BF1" w:rsidP="00DC2EBF">
            <w:pPr>
              <w:rPr>
                <w:sz w:val="22"/>
                <w:szCs w:val="22"/>
                <w:lang w:val="fr-BE"/>
              </w:rPr>
            </w:pPr>
            <w:r>
              <w:rPr>
                <w:sz w:val="22"/>
                <w:szCs w:val="22"/>
                <w:lang w:val="fr-BE"/>
              </w:rPr>
              <w:t>AUC</w:t>
            </w:r>
            <w:r w:rsidR="0093297F">
              <w:rPr>
                <w:sz w:val="22"/>
                <w:szCs w:val="22"/>
                <w:lang w:val="fr-BE"/>
              </w:rPr>
              <w:t xml:space="preserve"> </w:t>
            </w:r>
            <w:r>
              <w:rPr>
                <w:sz w:val="22"/>
                <w:szCs w:val="22"/>
                <w:lang w:val="fr-BE"/>
              </w:rPr>
              <w:t>=</w:t>
            </w:r>
            <w:r w:rsidR="0093297F">
              <w:rPr>
                <w:sz w:val="22"/>
                <w:szCs w:val="22"/>
                <w:lang w:val="fr-BE"/>
              </w:rPr>
              <w:t xml:space="preserve"> </w:t>
            </w:r>
            <w:r>
              <w:rPr>
                <w:sz w:val="22"/>
                <w:szCs w:val="22"/>
                <w:lang w:val="fr-BE"/>
              </w:rPr>
              <w:t xml:space="preserve">0.57 </w:t>
            </w:r>
          </w:p>
          <w:p w14:paraId="7B16ECC1" w14:textId="0AB21FA1" w:rsidR="00E37BF1" w:rsidRDefault="00E37BF1" w:rsidP="00DC2EBF">
            <w:pPr>
              <w:rPr>
                <w:sz w:val="22"/>
                <w:szCs w:val="22"/>
                <w:lang w:val="fr-BE"/>
              </w:rPr>
            </w:pPr>
            <w:r>
              <w:rPr>
                <w:sz w:val="22"/>
                <w:szCs w:val="22"/>
                <w:lang w:val="fr-BE"/>
              </w:rPr>
              <w:t>---------------</w:t>
            </w:r>
          </w:p>
          <w:p w14:paraId="5AF3851B" w14:textId="3E7AD163" w:rsidR="00E37BF1" w:rsidRPr="009569DB" w:rsidRDefault="00E37BF1" w:rsidP="00DC2EBF">
            <w:pPr>
              <w:rPr>
                <w:sz w:val="22"/>
                <w:szCs w:val="22"/>
                <w:lang w:val="fr-BE"/>
              </w:rPr>
            </w:pPr>
            <w:r w:rsidRPr="009569DB">
              <w:rPr>
                <w:sz w:val="22"/>
                <w:szCs w:val="22"/>
                <w:lang w:val="fr-BE"/>
              </w:rPr>
              <w:t>Sens = 72%</w:t>
            </w:r>
          </w:p>
          <w:p w14:paraId="1E99B58F" w14:textId="77777777" w:rsidR="00E37BF1" w:rsidRPr="009569DB" w:rsidRDefault="00E37BF1" w:rsidP="00DC2EBF">
            <w:pPr>
              <w:rPr>
                <w:sz w:val="22"/>
                <w:szCs w:val="22"/>
                <w:lang w:val="fr-BE"/>
              </w:rPr>
            </w:pPr>
            <w:proofErr w:type="spellStart"/>
            <w:r w:rsidRPr="009569DB">
              <w:rPr>
                <w:sz w:val="22"/>
                <w:szCs w:val="22"/>
                <w:lang w:val="fr-BE"/>
              </w:rPr>
              <w:t>Spec</w:t>
            </w:r>
            <w:proofErr w:type="spellEnd"/>
            <w:r w:rsidRPr="009569DB">
              <w:rPr>
                <w:sz w:val="22"/>
                <w:szCs w:val="22"/>
                <w:lang w:val="fr-BE"/>
              </w:rPr>
              <w:t xml:space="preserve"> = 71 %</w:t>
            </w:r>
          </w:p>
          <w:p w14:paraId="29560594" w14:textId="77777777" w:rsidR="00E37BF1" w:rsidRDefault="00E37BF1" w:rsidP="00DC2EBF">
            <w:pPr>
              <w:rPr>
                <w:sz w:val="22"/>
                <w:szCs w:val="22"/>
              </w:rPr>
            </w:pPr>
            <w:r w:rsidRPr="000703BB">
              <w:rPr>
                <w:sz w:val="22"/>
                <w:szCs w:val="22"/>
              </w:rPr>
              <w:t xml:space="preserve">Acc = 71% </w:t>
            </w:r>
          </w:p>
          <w:p w14:paraId="5A1CEFBF" w14:textId="77777777" w:rsidR="0093297F" w:rsidRDefault="0093297F" w:rsidP="00DC2EBF">
            <w:pPr>
              <w:rPr>
                <w:sz w:val="22"/>
                <w:szCs w:val="22"/>
              </w:rPr>
            </w:pPr>
          </w:p>
          <w:p w14:paraId="49C70934" w14:textId="6420D1C9" w:rsidR="0093297F" w:rsidRPr="000703BB" w:rsidRDefault="0093297F" w:rsidP="00DC2EBF">
            <w:pPr>
              <w:rPr>
                <w:sz w:val="22"/>
                <w:szCs w:val="22"/>
              </w:rPr>
            </w:pPr>
          </w:p>
        </w:tc>
        <w:tc>
          <w:tcPr>
            <w:tcW w:w="4252" w:type="dxa"/>
            <w:vMerge w:val="restart"/>
            <w:vAlign w:val="center"/>
          </w:tcPr>
          <w:p w14:paraId="47A1E591" w14:textId="6FF74960" w:rsidR="00E37BF1" w:rsidRDefault="00E37BF1" w:rsidP="00DC2EBF">
            <w:pPr>
              <w:rPr>
                <w:sz w:val="22"/>
                <w:szCs w:val="22"/>
              </w:rPr>
            </w:pPr>
            <w:r>
              <w:rPr>
                <w:sz w:val="22"/>
                <w:szCs w:val="22"/>
              </w:rPr>
              <w:t>B</w:t>
            </w:r>
            <w:r w:rsidRPr="000703BB">
              <w:rPr>
                <w:sz w:val="22"/>
                <w:szCs w:val="22"/>
              </w:rPr>
              <w:t>e</w:t>
            </w:r>
            <w:r>
              <w:rPr>
                <w:sz w:val="22"/>
                <w:szCs w:val="22"/>
              </w:rPr>
              <w:t>tter identifiably of the default mode network in MCS vs. UWS/VS patients</w:t>
            </w:r>
            <w:r w:rsidR="000103EB">
              <w:rPr>
                <w:sz w:val="22"/>
                <w:szCs w:val="22"/>
              </w:rPr>
              <w:t xml:space="preserve"> </w:t>
            </w:r>
            <w:r w:rsidR="000103EB">
              <w:rPr>
                <w:sz w:val="22"/>
                <w:szCs w:val="22"/>
              </w:rPr>
              <w:fldChar w:fldCharType="begin" w:fldLock="1"/>
            </w:r>
            <w:r w:rsidR="00D85C12">
              <w:rPr>
                <w:sz w:val="22"/>
                <w:szCs w:val="22"/>
              </w:rPr>
              <w:instrText>ADDIN CSL_CITATION {"citationItems":[{"id":"ITEM-1","itemData":{"DOI":"10.1002/ana.24634","ISSN":"15318249","abstract":"Objective Understanding residual brain function in disorders of consciousness poses extraordinary challenges, and imaging examinations are needed to complement clinical assessment. The default-mode network (DMN) is known to be dysfunctional, although correlation with level of consciousness remains controversial. We investigated DMN activity with resting-state functional magnetic resonance imaging (rs-fMRI), alongside its structural and metabolic integrity, aiming to elucidate the corresponding associations with clinical assessment. Methods We enrolled 119 consecutive patients: 72 in a vegetative state/unresponsive wakefulness state (VS/UWS), 36 in a minimally conscious state (MCS), and 11 with severe disability. All underwent structural MRI and rs-fMRI, and a subset also underwent 18F-fluorodeoxyglucose positron emission tomography (FDG-PET). Data were analyzed with manual and automatic approaches, in relation to diagnosis and clinical score. Results Excluding the quartile with largest head movement, DMN activity was decreased in VS/UWS compared to MCS, and correlated with clinical score. Independent-component and seed-based analyses provided similar results, although the latter and their combination were most informative. Structural MRI and FDG-PET were less sensitive to head movement and had better diagnostic accuracy than rs-fMRI only when all cases were included. rs-fMRI indicated relatively preserved DMN activity in a small subset of VS/UWS patients, 2 of whom evolved to MCS. The integrity of the left hemisphere appears to be predictive of a better clinical status. Interpretation rs-fMRI of the DMN is sensitive to clinical severity. The effect is consistent across data analysis approaches, but heavily dependent on head movement. rs-fMRI could be informative in detecting residual DMN activity for those patients who remain relatively still during scanning and whose diagnosis is uncertain. Ann Neurol 2016;79:841-853","author":[{"dropping-particle":"","family":"Rosazza","given":"Cristina","non-dropping-particle":"","parse-names":false,"suffix":""},{"dropping-particle":"","family":"Andronache","given":"Adrian","non-dropping-particle":"","parse-names":false,"suffix":""},{"dropping-particle":"","family":"Sattin","given":"Davide","non-dropping-particle":"","parse-names":false,"suffix":""},{"dropping-particle":"","family":"Bruzzone","given":"Maria Grazia","non-dropping-particle":"","parse-names":false,"suffix":""},{"dropping-particle":"","family":"Marotta","given":"Giorgio","non-dropping-particle":"","parse-names":false,"suffix":""},{"dropping-particle":"","family":"Nigri","given":"Anna","non-dropping-particle":"","parse-names":false,"suffix":""},{"dropping-particle":"","family":"Ferraro","given":"Stefania","non-dropping-particle":"","parse-names":false,"suffix":""},{"dropping-particle":"","family":"Rossi Sebastiano","given":"Davide","non-dropping-particle":"","parse-names":false,"suffix":""},{"dropping-particle":"","family":"Porcu","given":"Luca","non-dropping-particle":"","parse-names":false,"suffix":""},{"dropping-particle":"","family":"Bersano","given":"Anna","non-dropping-particle":"","parse-names":false,"suffix":""},{"dropping-particle":"","family":"Benti","given":"Riccardo","non-dropping-particle":"","parse-names":false,"suffix":""},{"dropping-particle":"","family":"Leonardi","given":"Matilde","non-dropping-particle":"","parse-names":false,"suffix":""},{"dropping-particle":"","family":"D'Incerti","given":"Ludovico","non-dropping-particle":"","parse-names":false,"suffix":""},{"dropping-particle":"","family":"Minati","given":"Ludovico","non-dropping-particle":"","parse-names":false,"suffix":""}],"container-title":"Annals of Neurology","id":"ITEM-1","issue":"5","issued":{"date-parts":[["2016"]]},"page":"841-853","title":"Multimodal study of default-mode network integrity in disorders of consciousness","type":"article-journal","volume":"79"},"uris":["http://www.mendeley.com/documents/?uuid=5a7c0b4c-cd0d-44b3-8324-15fffcdf5cc1"]}],"mendeley":{"formattedCitation":"(Rosazza et al., 2016)","plainTextFormattedCitation":"(Rosazza et al., 2016)","previouslyFormattedCitation":"(Rosazza et al., 2016)"},"properties":{"noteIndex":0},"schema":"https://github.com/citation-style-language/schema/raw/master/csl-citation.json"}</w:instrText>
            </w:r>
            <w:r w:rsidR="000103EB">
              <w:rPr>
                <w:sz w:val="22"/>
                <w:szCs w:val="22"/>
              </w:rPr>
              <w:fldChar w:fldCharType="separate"/>
            </w:r>
            <w:r w:rsidR="000103EB" w:rsidRPr="000103EB">
              <w:rPr>
                <w:noProof/>
                <w:sz w:val="22"/>
                <w:szCs w:val="22"/>
              </w:rPr>
              <w:t>(Rosazza et al., 2016)</w:t>
            </w:r>
            <w:r w:rsidR="000103EB">
              <w:rPr>
                <w:sz w:val="22"/>
                <w:szCs w:val="22"/>
              </w:rPr>
              <w:fldChar w:fldCharType="end"/>
            </w:r>
          </w:p>
          <w:p w14:paraId="4FE1DAA7" w14:textId="59F15A94" w:rsidR="00E37BF1" w:rsidRPr="000703BB" w:rsidRDefault="00E37BF1" w:rsidP="00DC2EBF">
            <w:pPr>
              <w:rPr>
                <w:sz w:val="22"/>
                <w:szCs w:val="22"/>
              </w:rPr>
            </w:pPr>
            <w:r>
              <w:rPr>
                <w:sz w:val="22"/>
                <w:szCs w:val="22"/>
              </w:rPr>
              <w:t>---------------------------------------------------</w:t>
            </w:r>
          </w:p>
          <w:p w14:paraId="37BF2BA9" w14:textId="7641A0A1" w:rsidR="00E37BF1" w:rsidRDefault="00E37BF1" w:rsidP="00DC2EBF">
            <w:pPr>
              <w:rPr>
                <w:sz w:val="22"/>
                <w:szCs w:val="22"/>
              </w:rPr>
            </w:pPr>
            <w:r>
              <w:rPr>
                <w:sz w:val="22"/>
                <w:szCs w:val="22"/>
              </w:rPr>
              <w:t xml:space="preserve">More preserved functional connectivity/identifiability of resting-state networks distinguishes MCS from UWS/VS patients </w:t>
            </w:r>
            <w:r w:rsidR="000103EB" w:rsidRPr="00512B11">
              <w:rPr>
                <w:sz w:val="22"/>
                <w:szCs w:val="22"/>
              </w:rPr>
              <w:t>(pooled data</w:t>
            </w:r>
            <w:r w:rsidR="000103EB">
              <w:rPr>
                <w:sz w:val="22"/>
                <w:szCs w:val="22"/>
              </w:rPr>
              <w:t xml:space="preserve"> of 6 studies</w:t>
            </w:r>
            <w:r w:rsidR="000103EB" w:rsidRPr="00512B11">
              <w:rPr>
                <w:sz w:val="22"/>
                <w:szCs w:val="22"/>
              </w:rPr>
              <w:t>, as in</w:t>
            </w:r>
            <w:r w:rsidR="000103EB">
              <w:rPr>
                <w:sz w:val="22"/>
                <w:szCs w:val="22"/>
              </w:rPr>
              <w:t xml:space="preserve"> </w:t>
            </w:r>
            <w:r w:rsidR="000103EB">
              <w:rPr>
                <w:sz w:val="22"/>
                <w:szCs w:val="22"/>
              </w:rPr>
              <w:fldChar w:fldCharType="begin" w:fldLock="1"/>
            </w:r>
            <w:r w:rsidR="000103EB">
              <w:rPr>
                <w:sz w:val="22"/>
                <w:szCs w:val="22"/>
              </w:rPr>
              <w:instrText>ADDIN CSL_CITATION {"citationItems":[{"id":"ITEM-1","itemData":{"DOI":"10.1111/ene.14151","ISSN":"14681331","PMID":"32090418","abstract":"Background and purpose: Patients with acquired brain injury and acute or prolonged disorders of consciousness (DoC) are challenging. Evidence to support diagnostic decisions on coma and other DoC is limited but accumulating. This guideline provides the state-of-the-art evidence regarding the diagnosis of DoC, summarizing data from bedside examination techniques, functional neuroimaging and electroencephalography (EEG). Methods: Sixteen members of the European Academy of Neurology (EAN) Scientific Panel on Coma and Chronic Disorders of Consciousness, representing 10 European countries, reviewed the scientific evidence for the evaluation of coma and other DoC using standard bibliographic measures. Recommendations followed the Grading of Recommendations Assessment, Development and Evaluation (GRADE) system. The guideline was endorsed by the EAN. Results: Besides a comprehensive neurological examination, the following suggestions are made: probe for voluntary eye movements using a mirror; repeat clinical assessments in the subacute and chronic setting, using the Coma Recovery Scale – Revised; use the Full Outline of Unresponsiveness score instead of the Glasgow Coma Scale in the acute setting; obtain clinical standard EEG; search for sleep patterns on EEG, particularly rapid eye movement sleep and slow-wave sleep; and, whenever feasible, consider positron emission tomography, resting state functional magnetic resonance imaging (fMRI), active fMRI or EEG paradigms and quantitative analysis of high-density EEG to complement behavioral assessment in patients without command following at the bedside. Conclusions: Standardized clinical evaluation, EEG-based techniques and functional neuroimaging should be integrated for multimodal evaluation of patients with DoC. The state of consciousness should be classified according to the highest level revealed by any of these three approaches.","author":[{"dropping-particle":"","family":"Kondziella","given":"D.","non-dropping-particle":"","parse-names":false,"suffix":""},{"dropping-particle":"","family":"Bender","given":"A.","non-dropping-particle":"","parse-names":false,"suffix":""},{"dropping-particle":"","family":"Diserens","given":"K.","non-dropping-particle":"","parse-names":false,"suffix":""},{"dropping-particle":"","family":"Erp","given":"W.","non-dropping-particle":"van","parse-names":false,"suffix":""},{"dropping-particle":"","family":"Estraneo","given":"A.","non-dropping-particle":"","parse-names":false,"suffix":""},{"dropping-particle":"","family":"Formisano","given":"R.","non-dropping-particle":"","parse-names":false,"suffix":""},{"dropping-particle":"","family":"Laureys","given":"S.","non-dropping-particle":"","parse-names":false,"suffix":""},{"dropping-particle":"","family":"Naccache","given":"L.","non-dropping-particle":"","parse-names":false,"suffix":""},{"dropping-particle":"","family":"Ozturk","given":"S.","non-dropping-particle":"","parse-names":false,"suffix":""},{"dropping-particle":"","family":"Rohaut","given":"B.","non-dropping-particle":"","parse-names":false,"suffix":""},{"dropping-particle":"","family":"Sitt","given":"J. D.","non-dropping-particle":"","parse-names":false,"suffix":""},{"dropping-particle":"","family":"Stender","given":"J.","non-dropping-particle":"","parse-names":false,"suffix":""},{"dropping-particle":"","family":"Tiainen","given":"M.","non-dropping-particle":"","parse-names":false,"suffix":""},{"dropping-particle":"","family":"Rossetti","given":"A. O.","non-dropping-particle":"","parse-names":false,"suffix":""},{"dropping-particle":"","family":"Gosseries","given":"O.","non-dropping-particle":"","parse-names":false,"suffix":""},{"dropping-particle":"","family":"Chatelle","given":"C.","non-dropping-particle":"","parse-names":false,"suffix":""}],"container-title":"European Journal of Neurology","id":"ITEM-1","issue":"5","issued":{"date-parts":[["2020"]]},"page":"741-756","title":"European Academy of Neurology guideline on the diagnosis of coma and other disorders of consciousness","type":"article-journal","volume":"27"},"uris":["http://www.mendeley.com/documents/?uuid=3c27bb78-2fe9-4281-b31a-c5eafba16419"]}],"mendeley":{"formattedCitation":"(Kondziella et al., 2020)","plainTextFormattedCitation":"(Kondziella et al., 2020)","previouslyFormattedCitation":"(Kondziella et al., 2020)"},"properties":{"noteIndex":0},"schema":"https://github.com/citation-style-language/schema/raw/master/csl-citation.json"}</w:instrText>
            </w:r>
            <w:r w:rsidR="000103EB">
              <w:rPr>
                <w:sz w:val="22"/>
                <w:szCs w:val="22"/>
              </w:rPr>
              <w:fldChar w:fldCharType="separate"/>
            </w:r>
            <w:r w:rsidR="000103EB" w:rsidRPr="009C6DBC">
              <w:rPr>
                <w:noProof/>
                <w:sz w:val="22"/>
                <w:szCs w:val="22"/>
              </w:rPr>
              <w:t>(Kondziella et al., 2020)</w:t>
            </w:r>
            <w:r w:rsidR="000103EB">
              <w:rPr>
                <w:sz w:val="22"/>
                <w:szCs w:val="22"/>
              </w:rPr>
              <w:fldChar w:fldCharType="end"/>
            </w:r>
            <w:r w:rsidR="000103EB" w:rsidRPr="00512B11">
              <w:rPr>
                <w:sz w:val="22"/>
                <w:szCs w:val="22"/>
              </w:rPr>
              <w:t>)</w:t>
            </w:r>
          </w:p>
          <w:p w14:paraId="1246B24A" w14:textId="77777777" w:rsidR="00E37BF1" w:rsidRDefault="00E37BF1" w:rsidP="00DC2EBF">
            <w:pPr>
              <w:rPr>
                <w:sz w:val="22"/>
                <w:szCs w:val="22"/>
              </w:rPr>
            </w:pPr>
          </w:p>
          <w:p w14:paraId="75F9D087" w14:textId="28F0C4EB" w:rsidR="00E37BF1" w:rsidRPr="003273B9" w:rsidRDefault="00E37BF1" w:rsidP="00DC2EBF">
            <w:pPr>
              <w:rPr>
                <w:sz w:val="22"/>
                <w:szCs w:val="22"/>
              </w:rPr>
            </w:pPr>
          </w:p>
        </w:tc>
        <w:tc>
          <w:tcPr>
            <w:tcW w:w="568" w:type="dxa"/>
            <w:tcBorders>
              <w:bottom w:val="single" w:sz="4" w:space="0" w:color="000000"/>
            </w:tcBorders>
            <w:shd w:val="clear" w:color="auto" w:fill="FFFF00"/>
            <w:vAlign w:val="center"/>
          </w:tcPr>
          <w:p w14:paraId="0BC1D224" w14:textId="77777777" w:rsidR="00E37BF1" w:rsidRPr="003273B9" w:rsidRDefault="00E37BF1" w:rsidP="00DC2EBF">
            <w:pPr>
              <w:rPr>
                <w:sz w:val="22"/>
                <w:szCs w:val="22"/>
              </w:rPr>
            </w:pPr>
          </w:p>
        </w:tc>
        <w:tc>
          <w:tcPr>
            <w:tcW w:w="567" w:type="dxa"/>
            <w:vMerge w:val="restart"/>
            <w:shd w:val="clear" w:color="auto" w:fill="ED7D31" w:themeFill="accent2"/>
            <w:vAlign w:val="center"/>
          </w:tcPr>
          <w:p w14:paraId="25A775BD" w14:textId="691BD161" w:rsidR="00E37BF1" w:rsidRPr="003273B9" w:rsidRDefault="00E37BF1" w:rsidP="00DC2EBF">
            <w:pPr>
              <w:rPr>
                <w:sz w:val="22"/>
                <w:szCs w:val="22"/>
              </w:rPr>
            </w:pPr>
          </w:p>
        </w:tc>
        <w:tc>
          <w:tcPr>
            <w:tcW w:w="566" w:type="dxa"/>
            <w:tcBorders>
              <w:bottom w:val="single" w:sz="4" w:space="0" w:color="000000"/>
            </w:tcBorders>
            <w:shd w:val="clear" w:color="auto" w:fill="auto"/>
            <w:vAlign w:val="center"/>
          </w:tcPr>
          <w:p w14:paraId="245C9227" w14:textId="77777777" w:rsidR="00E37BF1" w:rsidRPr="003273B9" w:rsidRDefault="00E37BF1" w:rsidP="00DC2EBF">
            <w:pPr>
              <w:rPr>
                <w:sz w:val="22"/>
                <w:szCs w:val="22"/>
              </w:rPr>
            </w:pPr>
          </w:p>
        </w:tc>
      </w:tr>
      <w:tr w:rsidR="00E37BF1" w14:paraId="0649E31F" w14:textId="77777777" w:rsidTr="000C1944">
        <w:trPr>
          <w:cantSplit/>
          <w:trHeight w:val="2000"/>
        </w:trPr>
        <w:tc>
          <w:tcPr>
            <w:tcW w:w="849" w:type="dxa"/>
            <w:vMerge/>
            <w:vAlign w:val="center"/>
          </w:tcPr>
          <w:p w14:paraId="6DFF3E95" w14:textId="77777777" w:rsidR="00E37BF1" w:rsidRDefault="00E37BF1" w:rsidP="00DC2EBF">
            <w:pPr>
              <w:rPr>
                <w:b/>
                <w:sz w:val="22"/>
                <w:szCs w:val="22"/>
              </w:rPr>
            </w:pPr>
          </w:p>
        </w:tc>
        <w:tc>
          <w:tcPr>
            <w:tcW w:w="1417" w:type="dxa"/>
            <w:vMerge/>
            <w:vAlign w:val="center"/>
          </w:tcPr>
          <w:p w14:paraId="7410C460" w14:textId="77777777" w:rsidR="00E37BF1" w:rsidRPr="00FD7C1C" w:rsidRDefault="00E37BF1" w:rsidP="00DC2EBF">
            <w:pPr>
              <w:rPr>
                <w:b/>
                <w:sz w:val="22"/>
                <w:szCs w:val="22"/>
              </w:rPr>
            </w:pPr>
          </w:p>
        </w:tc>
        <w:tc>
          <w:tcPr>
            <w:tcW w:w="1276" w:type="dxa"/>
            <w:vMerge/>
            <w:vAlign w:val="center"/>
          </w:tcPr>
          <w:p w14:paraId="424A8698" w14:textId="77777777" w:rsidR="00E37BF1" w:rsidRDefault="00E37BF1" w:rsidP="00DC2EBF">
            <w:pPr>
              <w:rPr>
                <w:sz w:val="22"/>
                <w:szCs w:val="22"/>
              </w:rPr>
            </w:pPr>
          </w:p>
        </w:tc>
        <w:tc>
          <w:tcPr>
            <w:tcW w:w="2837" w:type="dxa"/>
            <w:vMerge/>
            <w:vAlign w:val="center"/>
          </w:tcPr>
          <w:p w14:paraId="401A4877" w14:textId="77777777" w:rsidR="00E37BF1" w:rsidRDefault="00E37BF1" w:rsidP="00DC2EBF">
            <w:pPr>
              <w:rPr>
                <w:sz w:val="22"/>
                <w:szCs w:val="22"/>
              </w:rPr>
            </w:pPr>
          </w:p>
        </w:tc>
        <w:tc>
          <w:tcPr>
            <w:tcW w:w="1276" w:type="dxa"/>
            <w:vMerge/>
            <w:vAlign w:val="center"/>
          </w:tcPr>
          <w:p w14:paraId="4B5ACF80" w14:textId="77777777" w:rsidR="00E37BF1" w:rsidRPr="000103EB" w:rsidRDefault="00E37BF1" w:rsidP="00DC2EBF">
            <w:pPr>
              <w:rPr>
                <w:sz w:val="22"/>
                <w:szCs w:val="22"/>
              </w:rPr>
            </w:pPr>
          </w:p>
        </w:tc>
        <w:tc>
          <w:tcPr>
            <w:tcW w:w="4252" w:type="dxa"/>
            <w:vMerge/>
            <w:vAlign w:val="center"/>
          </w:tcPr>
          <w:p w14:paraId="75D74C45" w14:textId="77777777" w:rsidR="00E37BF1" w:rsidRDefault="00E37BF1" w:rsidP="00DC2EBF">
            <w:pPr>
              <w:rPr>
                <w:sz w:val="22"/>
                <w:szCs w:val="22"/>
              </w:rPr>
            </w:pPr>
          </w:p>
        </w:tc>
        <w:tc>
          <w:tcPr>
            <w:tcW w:w="568" w:type="dxa"/>
            <w:tcBorders>
              <w:top w:val="single" w:sz="4" w:space="0" w:color="000000"/>
            </w:tcBorders>
            <w:shd w:val="clear" w:color="auto" w:fill="auto"/>
            <w:vAlign w:val="center"/>
          </w:tcPr>
          <w:p w14:paraId="5F95ED0C" w14:textId="77777777" w:rsidR="00E37BF1" w:rsidRPr="003273B9" w:rsidRDefault="00E37BF1" w:rsidP="00DC2EBF">
            <w:pPr>
              <w:rPr>
                <w:sz w:val="22"/>
                <w:szCs w:val="22"/>
              </w:rPr>
            </w:pPr>
          </w:p>
        </w:tc>
        <w:tc>
          <w:tcPr>
            <w:tcW w:w="567" w:type="dxa"/>
            <w:vMerge/>
            <w:shd w:val="clear" w:color="auto" w:fill="ED7D31" w:themeFill="accent2"/>
            <w:vAlign w:val="center"/>
          </w:tcPr>
          <w:p w14:paraId="15B3DA7A" w14:textId="77777777" w:rsidR="00E37BF1" w:rsidRPr="003273B9" w:rsidRDefault="00E37BF1" w:rsidP="00DC2EBF">
            <w:pPr>
              <w:rPr>
                <w:sz w:val="22"/>
                <w:szCs w:val="22"/>
              </w:rPr>
            </w:pPr>
          </w:p>
        </w:tc>
        <w:tc>
          <w:tcPr>
            <w:tcW w:w="566" w:type="dxa"/>
            <w:tcBorders>
              <w:top w:val="single" w:sz="4" w:space="0" w:color="000000"/>
            </w:tcBorders>
            <w:shd w:val="clear" w:color="auto" w:fill="70AD47" w:themeFill="accent6"/>
            <w:vAlign w:val="center"/>
          </w:tcPr>
          <w:p w14:paraId="2FD12A20" w14:textId="77777777" w:rsidR="00E37BF1" w:rsidRPr="003273B9" w:rsidRDefault="00E37BF1" w:rsidP="00DC2EBF">
            <w:pPr>
              <w:rPr>
                <w:sz w:val="22"/>
                <w:szCs w:val="22"/>
              </w:rPr>
            </w:pPr>
          </w:p>
        </w:tc>
      </w:tr>
      <w:tr w:rsidR="00E37BF1" w:rsidRPr="00E26435" w14:paraId="5DC9E5BF" w14:textId="77777777" w:rsidTr="000C1944">
        <w:trPr>
          <w:cantSplit/>
          <w:trHeight w:val="1278"/>
        </w:trPr>
        <w:tc>
          <w:tcPr>
            <w:tcW w:w="849" w:type="dxa"/>
            <w:vMerge/>
            <w:vAlign w:val="center"/>
          </w:tcPr>
          <w:p w14:paraId="5A672A52" w14:textId="77777777" w:rsidR="00E37BF1" w:rsidRPr="003273B9" w:rsidRDefault="00E37BF1" w:rsidP="00DC2EBF">
            <w:pPr>
              <w:rPr>
                <w:b/>
                <w:sz w:val="22"/>
                <w:szCs w:val="22"/>
              </w:rPr>
            </w:pPr>
          </w:p>
        </w:tc>
        <w:tc>
          <w:tcPr>
            <w:tcW w:w="1417" w:type="dxa"/>
            <w:vMerge/>
            <w:vAlign w:val="center"/>
          </w:tcPr>
          <w:p w14:paraId="2E8D3AA6" w14:textId="77777777" w:rsidR="00E37BF1" w:rsidRPr="003273B9" w:rsidRDefault="00E37BF1" w:rsidP="00DC2EBF">
            <w:pPr>
              <w:rPr>
                <w:sz w:val="22"/>
                <w:szCs w:val="22"/>
              </w:rPr>
            </w:pPr>
          </w:p>
        </w:tc>
        <w:tc>
          <w:tcPr>
            <w:tcW w:w="1276" w:type="dxa"/>
            <w:vMerge w:val="restart"/>
            <w:vAlign w:val="center"/>
          </w:tcPr>
          <w:p w14:paraId="19044D85" w14:textId="179C15AA" w:rsidR="00E37BF1" w:rsidRPr="003273B9" w:rsidRDefault="00E37BF1" w:rsidP="00DC2EBF">
            <w:pPr>
              <w:rPr>
                <w:sz w:val="22"/>
                <w:szCs w:val="22"/>
              </w:rPr>
            </w:pPr>
            <w:r>
              <w:rPr>
                <w:sz w:val="22"/>
                <w:szCs w:val="22"/>
              </w:rPr>
              <w:t>Passive</w:t>
            </w:r>
            <w:r w:rsidR="00C36A05">
              <w:rPr>
                <w:sz w:val="22"/>
                <w:szCs w:val="22"/>
              </w:rPr>
              <w:t>-</w:t>
            </w:r>
            <w:r>
              <w:rPr>
                <w:sz w:val="22"/>
                <w:szCs w:val="22"/>
              </w:rPr>
              <w:t>Stimulation</w:t>
            </w:r>
          </w:p>
        </w:tc>
        <w:tc>
          <w:tcPr>
            <w:tcW w:w="2837" w:type="dxa"/>
            <w:vMerge w:val="restart"/>
            <w:vAlign w:val="center"/>
          </w:tcPr>
          <w:p w14:paraId="0964C959" w14:textId="15437F30" w:rsidR="00E37BF1" w:rsidRDefault="00E37BF1" w:rsidP="00DC2EBF">
            <w:pPr>
              <w:rPr>
                <w:sz w:val="22"/>
                <w:szCs w:val="22"/>
              </w:rPr>
            </w:pPr>
            <w:r>
              <w:rPr>
                <w:sz w:val="22"/>
                <w:szCs w:val="22"/>
              </w:rPr>
              <w:t>Automated classification of significant activations during passive listening of correct vs incorrect sentences</w:t>
            </w:r>
          </w:p>
          <w:p w14:paraId="74750775" w14:textId="40C95AF6" w:rsidR="00E37BF1" w:rsidRDefault="00E37BF1" w:rsidP="00DC2EBF">
            <w:pPr>
              <w:rPr>
                <w:sz w:val="22"/>
                <w:szCs w:val="22"/>
              </w:rPr>
            </w:pPr>
            <w:r>
              <w:rPr>
                <w:sz w:val="22"/>
                <w:szCs w:val="22"/>
              </w:rPr>
              <w:t>-------------------------------------</w:t>
            </w:r>
          </w:p>
          <w:p w14:paraId="63B4418C" w14:textId="77777777" w:rsidR="00E37BF1" w:rsidRDefault="00E37BF1" w:rsidP="00DC2EBF">
            <w:pPr>
              <w:rPr>
                <w:sz w:val="22"/>
                <w:szCs w:val="22"/>
              </w:rPr>
            </w:pPr>
            <w:r>
              <w:rPr>
                <w:sz w:val="22"/>
                <w:szCs w:val="22"/>
              </w:rPr>
              <w:t xml:space="preserve">Visual rating or automated classification of </w:t>
            </w:r>
            <w:r w:rsidR="00D31DD3">
              <w:rPr>
                <w:sz w:val="22"/>
                <w:szCs w:val="22"/>
              </w:rPr>
              <w:t>significant</w:t>
            </w:r>
            <w:r>
              <w:rPr>
                <w:sz w:val="22"/>
                <w:szCs w:val="22"/>
              </w:rPr>
              <w:t xml:space="preserve"> BOLD brain activation during different passive stimulation paradigms</w:t>
            </w:r>
          </w:p>
          <w:p w14:paraId="42CF6135" w14:textId="142B7F03" w:rsidR="0093297F" w:rsidRPr="003273B9" w:rsidRDefault="0093297F" w:rsidP="00DC2EBF">
            <w:pPr>
              <w:rPr>
                <w:sz w:val="22"/>
                <w:szCs w:val="22"/>
              </w:rPr>
            </w:pPr>
          </w:p>
        </w:tc>
        <w:tc>
          <w:tcPr>
            <w:tcW w:w="1276" w:type="dxa"/>
            <w:vMerge w:val="restart"/>
            <w:vAlign w:val="center"/>
          </w:tcPr>
          <w:p w14:paraId="19A712C9" w14:textId="496A79F7" w:rsidR="00E37BF1" w:rsidRPr="000103EB" w:rsidRDefault="00E37BF1" w:rsidP="00DC2EBF">
            <w:pPr>
              <w:rPr>
                <w:sz w:val="22"/>
                <w:szCs w:val="22"/>
              </w:rPr>
            </w:pPr>
            <w:r w:rsidRPr="000103EB">
              <w:rPr>
                <w:sz w:val="22"/>
                <w:szCs w:val="22"/>
              </w:rPr>
              <w:t>S</w:t>
            </w:r>
            <w:r w:rsidR="000103EB">
              <w:rPr>
                <w:sz w:val="22"/>
                <w:szCs w:val="22"/>
              </w:rPr>
              <w:t>e</w:t>
            </w:r>
            <w:r w:rsidRPr="000103EB">
              <w:rPr>
                <w:sz w:val="22"/>
                <w:szCs w:val="22"/>
              </w:rPr>
              <w:t xml:space="preserve">ns = </w:t>
            </w:r>
            <w:r w:rsidR="005D521D" w:rsidRPr="000103EB">
              <w:rPr>
                <w:sz w:val="22"/>
                <w:szCs w:val="22"/>
              </w:rPr>
              <w:t>19</w:t>
            </w:r>
            <w:r w:rsidRPr="000103EB">
              <w:rPr>
                <w:sz w:val="22"/>
                <w:szCs w:val="22"/>
              </w:rPr>
              <w:t>%</w:t>
            </w:r>
          </w:p>
          <w:p w14:paraId="2468DDB4" w14:textId="7B880B20" w:rsidR="00E37BF1" w:rsidRPr="000103EB" w:rsidRDefault="00E37BF1" w:rsidP="00DC2EBF">
            <w:pPr>
              <w:rPr>
                <w:sz w:val="22"/>
                <w:szCs w:val="22"/>
              </w:rPr>
            </w:pPr>
            <w:r w:rsidRPr="000103EB">
              <w:rPr>
                <w:sz w:val="22"/>
                <w:szCs w:val="22"/>
              </w:rPr>
              <w:t xml:space="preserve">Spec = </w:t>
            </w:r>
            <w:r w:rsidR="005D521D" w:rsidRPr="000103EB">
              <w:rPr>
                <w:sz w:val="22"/>
                <w:szCs w:val="22"/>
              </w:rPr>
              <w:t>62</w:t>
            </w:r>
            <w:r w:rsidRPr="000103EB">
              <w:rPr>
                <w:sz w:val="22"/>
                <w:szCs w:val="22"/>
              </w:rPr>
              <w:t>%</w:t>
            </w:r>
          </w:p>
          <w:p w14:paraId="0C18C1A3" w14:textId="2CC92F61" w:rsidR="000103EB" w:rsidRPr="000103EB" w:rsidRDefault="00E37BF1" w:rsidP="00DC2EBF">
            <w:pPr>
              <w:rPr>
                <w:sz w:val="22"/>
                <w:szCs w:val="22"/>
              </w:rPr>
            </w:pPr>
            <w:r w:rsidRPr="000103EB">
              <w:rPr>
                <w:sz w:val="22"/>
                <w:szCs w:val="22"/>
              </w:rPr>
              <w:t>Acc = 42%</w:t>
            </w:r>
          </w:p>
          <w:p w14:paraId="37B58975" w14:textId="47ACCC43" w:rsidR="00E37BF1" w:rsidRPr="00315FFF" w:rsidRDefault="00E37BF1" w:rsidP="00DC2EBF">
            <w:pPr>
              <w:rPr>
                <w:sz w:val="22"/>
                <w:szCs w:val="22"/>
              </w:rPr>
            </w:pPr>
            <w:r w:rsidRPr="00315FFF">
              <w:rPr>
                <w:sz w:val="22"/>
                <w:szCs w:val="22"/>
              </w:rPr>
              <w:t>---------------</w:t>
            </w:r>
          </w:p>
          <w:p w14:paraId="1E7F4E60" w14:textId="4CC1891A" w:rsidR="00E37BF1" w:rsidRPr="00315FFF" w:rsidRDefault="00E37BF1" w:rsidP="00DC2EBF">
            <w:pPr>
              <w:rPr>
                <w:sz w:val="22"/>
                <w:szCs w:val="22"/>
              </w:rPr>
            </w:pPr>
            <w:r w:rsidRPr="00315FFF">
              <w:rPr>
                <w:sz w:val="22"/>
                <w:szCs w:val="22"/>
              </w:rPr>
              <w:t>Sens = 71%</w:t>
            </w:r>
          </w:p>
          <w:p w14:paraId="6CE388A9" w14:textId="77777777" w:rsidR="00E37BF1" w:rsidRPr="00315FFF" w:rsidRDefault="00E37BF1" w:rsidP="00DC2EBF">
            <w:pPr>
              <w:rPr>
                <w:sz w:val="22"/>
                <w:szCs w:val="22"/>
              </w:rPr>
            </w:pPr>
            <w:r w:rsidRPr="00315FFF">
              <w:rPr>
                <w:sz w:val="22"/>
                <w:szCs w:val="22"/>
              </w:rPr>
              <w:t>Spec = 58 %</w:t>
            </w:r>
          </w:p>
          <w:p w14:paraId="25F801EB" w14:textId="77777777" w:rsidR="00E37BF1" w:rsidRDefault="00E37BF1" w:rsidP="00DC2EBF">
            <w:pPr>
              <w:rPr>
                <w:sz w:val="22"/>
                <w:szCs w:val="22"/>
              </w:rPr>
            </w:pPr>
            <w:r w:rsidRPr="00321355">
              <w:rPr>
                <w:sz w:val="22"/>
                <w:szCs w:val="22"/>
              </w:rPr>
              <w:t>Acc = 62%</w:t>
            </w:r>
          </w:p>
          <w:p w14:paraId="41091305" w14:textId="77777777" w:rsidR="0093297F" w:rsidRDefault="0093297F" w:rsidP="00DC2EBF">
            <w:pPr>
              <w:rPr>
                <w:sz w:val="22"/>
                <w:szCs w:val="22"/>
              </w:rPr>
            </w:pPr>
          </w:p>
          <w:p w14:paraId="28D10ACB" w14:textId="366E503D" w:rsidR="0093297F" w:rsidRPr="003273B9" w:rsidRDefault="0093297F" w:rsidP="00DC2EBF">
            <w:pPr>
              <w:rPr>
                <w:sz w:val="22"/>
                <w:szCs w:val="22"/>
              </w:rPr>
            </w:pPr>
          </w:p>
        </w:tc>
        <w:tc>
          <w:tcPr>
            <w:tcW w:w="4252" w:type="dxa"/>
            <w:vMerge w:val="restart"/>
            <w:vAlign w:val="center"/>
          </w:tcPr>
          <w:p w14:paraId="03313E48" w14:textId="59F7D640" w:rsidR="000103EB" w:rsidRDefault="00E37BF1" w:rsidP="00DC2EBF">
            <w:pPr>
              <w:rPr>
                <w:sz w:val="22"/>
                <w:szCs w:val="22"/>
              </w:rPr>
            </w:pPr>
            <w:r>
              <w:rPr>
                <w:sz w:val="22"/>
                <w:szCs w:val="22"/>
              </w:rPr>
              <w:t>No differences in BOLD brain activation during passive listening to correct vs. incorrect stimuli between MCS and UWS/VS patients</w:t>
            </w:r>
            <w:r w:rsidR="000103EB">
              <w:rPr>
                <w:sz w:val="22"/>
                <w:szCs w:val="22"/>
              </w:rPr>
              <w:t xml:space="preserve"> </w:t>
            </w:r>
            <w:r w:rsidR="000103EB" w:rsidRPr="00932887">
              <w:rPr>
                <w:sz w:val="22"/>
                <w:szCs w:val="22"/>
              </w:rPr>
              <w:fldChar w:fldCharType="begin" w:fldLock="1"/>
            </w:r>
            <w:r w:rsidR="00D85C12">
              <w:rPr>
                <w:sz w:val="22"/>
                <w:szCs w:val="22"/>
              </w:rPr>
              <w:instrText>ADDIN CSL_CITATION {"citationItems":[{"id":"ITEM-1","itemData":{"ISSN":"1381-6128","author":[{"dropping-particle":"","family":"Kotchoubey","given":"Boris","non-dropping-particle":"","parse-names":false,"suffix":""},{"dropping-particle":"","family":"Yu","given":"Tao","non-dropping-particle":"","parse-names":false,"suffix":""},{"dropping-particle":"","family":"Mueller","given":"Friedemann","non-dropping-particle":"","parse-names":false,"suffix":""},{"dropping-particle":"","family":"Vogel","given":"Dominik","non-dropping-particle":"","parse-names":false,"suffix":""},{"dropping-particle":"","family":"Veser","given":"Sandra","non-dropping-particle":"","parse-names":false,"suffix":""},{"dropping-particle":"","family":"Lang","given":"Simone","non-dropping-particle":"","parse-names":false,"suffix":""}],"container-title":"Current Pharmaceutical Design","id":"ITEM-1","issue":"26","issued":{"date-parts":[["2014"]]},"page":"4239-4247","publisher":"Bentham Science Publishers","title":"True or false? Activations of language-related areas in patients with disorders of consciousness","type":"article-journal","volume":"20"},"uris":["http://www.mendeley.com/documents/?uuid=13b9f0d0-d5ef-4c5f-b06e-676446e8fd4a"]}],"mendeley":{"formattedCitation":"(Kotchoubey et al., 2014)","plainTextFormattedCitation":"(Kotchoubey et al., 2014)","previouslyFormattedCitation":"(Kotchoubey et al., 2014)"},"properties":{"noteIndex":0},"schema":"https://github.com/citation-style-language/schema/raw/master/csl-citation.json"}</w:instrText>
            </w:r>
            <w:r w:rsidR="000103EB" w:rsidRPr="00932887">
              <w:rPr>
                <w:sz w:val="22"/>
                <w:szCs w:val="22"/>
              </w:rPr>
              <w:fldChar w:fldCharType="separate"/>
            </w:r>
            <w:r w:rsidR="000103EB" w:rsidRPr="000103EB">
              <w:rPr>
                <w:noProof/>
                <w:sz w:val="22"/>
                <w:szCs w:val="22"/>
              </w:rPr>
              <w:t>(Kotchoubey et al., 2014)</w:t>
            </w:r>
            <w:r w:rsidR="000103EB" w:rsidRPr="00932887">
              <w:rPr>
                <w:sz w:val="22"/>
                <w:szCs w:val="22"/>
              </w:rPr>
              <w:fldChar w:fldCharType="end"/>
            </w:r>
          </w:p>
          <w:p w14:paraId="27A3DF7A" w14:textId="5D1133B9" w:rsidR="00E37BF1" w:rsidRDefault="00E37BF1" w:rsidP="00DC2EBF">
            <w:pPr>
              <w:rPr>
                <w:sz w:val="22"/>
                <w:szCs w:val="22"/>
              </w:rPr>
            </w:pPr>
            <w:r>
              <w:rPr>
                <w:sz w:val="22"/>
                <w:szCs w:val="22"/>
              </w:rPr>
              <w:t>-----------------------------------------------------</w:t>
            </w:r>
          </w:p>
          <w:p w14:paraId="7697CDBB" w14:textId="0EDA084A" w:rsidR="00E37BF1" w:rsidRPr="003273B9" w:rsidRDefault="00321355" w:rsidP="00DC2EBF">
            <w:pPr>
              <w:rPr>
                <w:sz w:val="22"/>
                <w:szCs w:val="22"/>
              </w:rPr>
            </w:pPr>
            <w:r>
              <w:rPr>
                <w:sz w:val="22"/>
                <w:szCs w:val="22"/>
              </w:rPr>
              <w:t>Significant</w:t>
            </w:r>
            <w:r w:rsidR="00E37BF1">
              <w:rPr>
                <w:sz w:val="22"/>
                <w:szCs w:val="22"/>
              </w:rPr>
              <w:t xml:space="preserve"> BOLD brain activation during passive stimulation paradigms using salient stimuli and/or familiar activities might distinguish MCS from UWS/VS patients</w:t>
            </w:r>
            <w:r w:rsidR="000103EB">
              <w:rPr>
                <w:sz w:val="22"/>
                <w:szCs w:val="22"/>
              </w:rPr>
              <w:t xml:space="preserve"> </w:t>
            </w:r>
            <w:r w:rsidR="000103EB" w:rsidRPr="00512B11">
              <w:rPr>
                <w:sz w:val="22"/>
                <w:szCs w:val="22"/>
              </w:rPr>
              <w:t>(pooled data</w:t>
            </w:r>
            <w:r w:rsidR="000103EB">
              <w:rPr>
                <w:sz w:val="22"/>
                <w:szCs w:val="22"/>
              </w:rPr>
              <w:t xml:space="preserve"> of 17 studies</w:t>
            </w:r>
            <w:r w:rsidR="000103EB" w:rsidRPr="00512B11">
              <w:rPr>
                <w:sz w:val="22"/>
                <w:szCs w:val="22"/>
              </w:rPr>
              <w:t>, as in</w:t>
            </w:r>
            <w:r w:rsidR="000103EB">
              <w:rPr>
                <w:sz w:val="22"/>
                <w:szCs w:val="22"/>
              </w:rPr>
              <w:t xml:space="preserve"> </w:t>
            </w:r>
            <w:r w:rsidR="000103EB">
              <w:rPr>
                <w:sz w:val="22"/>
                <w:szCs w:val="22"/>
              </w:rPr>
              <w:fldChar w:fldCharType="begin" w:fldLock="1"/>
            </w:r>
            <w:r w:rsidR="000103EB">
              <w:rPr>
                <w:sz w:val="22"/>
                <w:szCs w:val="22"/>
              </w:rPr>
              <w:instrText>ADDIN CSL_CITATION {"citationItems":[{"id":"ITEM-1","itemData":{"DOI":"10.1111/ene.14151","ISSN":"14681331","PMID":"32090418","abstract":"Background and purpose: Patients with acquired brain injury and acute or prolonged disorders of consciousness (DoC) are challenging. Evidence to support diagnostic decisions on coma and other DoC is limited but accumulating. This guideline provides the state-of-the-art evidence regarding the diagnosis of DoC, summarizing data from bedside examination techniques, functional neuroimaging and electroencephalography (EEG). Methods: Sixteen members of the European Academy of Neurology (EAN) Scientific Panel on Coma and Chronic Disorders of Consciousness, representing 10 European countries, reviewed the scientific evidence for the evaluation of coma and other DoC using standard bibliographic measures. Recommendations followed the Grading of Recommendations Assessment, Development and Evaluation (GRADE) system. The guideline was endorsed by the EAN. Results: Besides a comprehensive neurological examination, the following suggestions are made: probe for voluntary eye movements using a mirror; repeat clinical assessments in the subacute and chronic setting, using the Coma Recovery Scale – Revised; use the Full Outline of Unresponsiveness score instead of the Glasgow Coma Scale in the acute setting; obtain clinical standard EEG; search for sleep patterns on EEG, particularly rapid eye movement sleep and slow-wave sleep; and, whenever feasible, consider positron emission tomography, resting state functional magnetic resonance imaging (fMRI), active fMRI or EEG paradigms and quantitative analysis of high-density EEG to complement behavioral assessment in patients without command following at the bedside. Conclusions: Standardized clinical evaluation, EEG-based techniques and functional neuroimaging should be integrated for multimodal evaluation of patients with DoC. The state of consciousness should be classified according to the highest level revealed by any of these three approaches.","author":[{"dropping-particle":"","family":"Kondziella","given":"D.","non-dropping-particle":"","parse-names":false,"suffix":""},{"dropping-particle":"","family":"Bender","given":"A.","non-dropping-particle":"","parse-names":false,"suffix":""},{"dropping-particle":"","family":"Diserens","given":"K.","non-dropping-particle":"","parse-names":false,"suffix":""},{"dropping-particle":"","family":"Erp","given":"W.","non-dropping-particle":"van","parse-names":false,"suffix":""},{"dropping-particle":"","family":"Estraneo","given":"A.","non-dropping-particle":"","parse-names":false,"suffix":""},{"dropping-particle":"","family":"Formisano","given":"R.","non-dropping-particle":"","parse-names":false,"suffix":""},{"dropping-particle":"","family":"Laureys","given":"S.","non-dropping-particle":"","parse-names":false,"suffix":""},{"dropping-particle":"","family":"Naccache","given":"L.","non-dropping-particle":"","parse-names":false,"suffix":""},{"dropping-particle":"","family":"Ozturk","given":"S.","non-dropping-particle":"","parse-names":false,"suffix":""},{"dropping-particle":"","family":"Rohaut","given":"B.","non-dropping-particle":"","parse-names":false,"suffix":""},{"dropping-particle":"","family":"Sitt","given":"J. D.","non-dropping-particle":"","parse-names":false,"suffix":""},{"dropping-particle":"","family":"Stender","given":"J.","non-dropping-particle":"","parse-names":false,"suffix":""},{"dropping-particle":"","family":"Tiainen","given":"M.","non-dropping-particle":"","parse-names":false,"suffix":""},{"dropping-particle":"","family":"Rossetti","given":"A. O.","non-dropping-particle":"","parse-names":false,"suffix":""},{"dropping-particle":"","family":"Gosseries","given":"O.","non-dropping-particle":"","parse-names":false,"suffix":""},{"dropping-particle":"","family":"Chatelle","given":"C.","non-dropping-particle":"","parse-names":false,"suffix":""}],"container-title":"European Journal of Neurology","id":"ITEM-1","issue":"5","issued":{"date-parts":[["2020"]]},"page":"741-756","title":"European Academy of Neurology guideline on the diagnosis of coma and other disorders of consciousness","type":"article-journal","volume":"27"},"uris":["http://www.mendeley.com/documents/?uuid=3c27bb78-2fe9-4281-b31a-c5eafba16419"]}],"mendeley":{"formattedCitation":"(Kondziella et al., 2020)","plainTextFormattedCitation":"(Kondziella et al., 2020)","previouslyFormattedCitation":"(Kondziella et al., 2020)"},"properties":{"noteIndex":0},"schema":"https://github.com/citation-style-language/schema/raw/master/csl-citation.json"}</w:instrText>
            </w:r>
            <w:r w:rsidR="000103EB">
              <w:rPr>
                <w:sz w:val="22"/>
                <w:szCs w:val="22"/>
              </w:rPr>
              <w:fldChar w:fldCharType="separate"/>
            </w:r>
            <w:r w:rsidR="000103EB" w:rsidRPr="009C6DBC">
              <w:rPr>
                <w:noProof/>
                <w:sz w:val="22"/>
                <w:szCs w:val="22"/>
              </w:rPr>
              <w:t>Kondziella et</w:t>
            </w:r>
            <w:r w:rsidR="000103EB">
              <w:rPr>
                <w:noProof/>
                <w:sz w:val="22"/>
                <w:szCs w:val="22"/>
              </w:rPr>
              <w:t xml:space="preserve"> </w:t>
            </w:r>
            <w:r w:rsidR="000103EB" w:rsidRPr="009C6DBC">
              <w:rPr>
                <w:noProof/>
                <w:sz w:val="22"/>
                <w:szCs w:val="22"/>
              </w:rPr>
              <w:t>al., 2020</w:t>
            </w:r>
            <w:r w:rsidR="000103EB">
              <w:rPr>
                <w:sz w:val="22"/>
                <w:szCs w:val="22"/>
              </w:rPr>
              <w:fldChar w:fldCharType="end"/>
            </w:r>
            <w:r w:rsidR="000103EB" w:rsidRPr="00512B11">
              <w:rPr>
                <w:sz w:val="22"/>
                <w:szCs w:val="22"/>
              </w:rPr>
              <w:t>)</w:t>
            </w:r>
          </w:p>
        </w:tc>
        <w:tc>
          <w:tcPr>
            <w:tcW w:w="568" w:type="dxa"/>
            <w:shd w:val="clear" w:color="auto" w:fill="FFFF00"/>
            <w:vAlign w:val="center"/>
          </w:tcPr>
          <w:p w14:paraId="4E7EA06B" w14:textId="77777777" w:rsidR="00E37BF1" w:rsidRDefault="00E37BF1" w:rsidP="00DC2EBF">
            <w:pPr>
              <w:rPr>
                <w:sz w:val="22"/>
                <w:szCs w:val="22"/>
              </w:rPr>
            </w:pPr>
          </w:p>
          <w:p w14:paraId="3BC67167" w14:textId="77777777" w:rsidR="00E37BF1" w:rsidRDefault="00E37BF1" w:rsidP="00DC2EBF">
            <w:pPr>
              <w:rPr>
                <w:sz w:val="22"/>
                <w:szCs w:val="22"/>
              </w:rPr>
            </w:pPr>
          </w:p>
          <w:p w14:paraId="7C7CDA02" w14:textId="77777777" w:rsidR="00E37BF1" w:rsidRDefault="00E37BF1" w:rsidP="00DC2EBF">
            <w:pPr>
              <w:rPr>
                <w:sz w:val="22"/>
                <w:szCs w:val="22"/>
              </w:rPr>
            </w:pPr>
          </w:p>
          <w:p w14:paraId="38BC83C8" w14:textId="160943DB" w:rsidR="00E37BF1" w:rsidRPr="003273B9" w:rsidRDefault="00E37BF1" w:rsidP="00DC2EBF">
            <w:pPr>
              <w:rPr>
                <w:sz w:val="22"/>
                <w:szCs w:val="22"/>
              </w:rPr>
            </w:pPr>
          </w:p>
        </w:tc>
        <w:tc>
          <w:tcPr>
            <w:tcW w:w="567" w:type="dxa"/>
            <w:vMerge w:val="restart"/>
            <w:shd w:val="clear" w:color="auto" w:fill="ED7D31" w:themeFill="accent2"/>
            <w:vAlign w:val="center"/>
          </w:tcPr>
          <w:p w14:paraId="33186B72" w14:textId="23A9C8DA" w:rsidR="00E37BF1" w:rsidRPr="003273B9" w:rsidRDefault="00E37BF1" w:rsidP="00DC2EBF">
            <w:pPr>
              <w:rPr>
                <w:sz w:val="22"/>
                <w:szCs w:val="22"/>
              </w:rPr>
            </w:pPr>
          </w:p>
        </w:tc>
        <w:tc>
          <w:tcPr>
            <w:tcW w:w="566" w:type="dxa"/>
            <w:tcBorders>
              <w:bottom w:val="single" w:sz="4" w:space="0" w:color="000000"/>
            </w:tcBorders>
            <w:shd w:val="clear" w:color="auto" w:fill="auto"/>
            <w:textDirection w:val="btLr"/>
            <w:vAlign w:val="center"/>
          </w:tcPr>
          <w:p w14:paraId="4ADEBB72" w14:textId="7FCE48A7" w:rsidR="00E37BF1" w:rsidRPr="00E26435" w:rsidRDefault="00E37BF1" w:rsidP="00DC2EBF">
            <w:pPr>
              <w:spacing w:line="180" w:lineRule="exact"/>
              <w:jc w:val="center"/>
              <w:rPr>
                <w:sz w:val="18"/>
                <w:szCs w:val="22"/>
              </w:rPr>
            </w:pPr>
          </w:p>
        </w:tc>
      </w:tr>
      <w:tr w:rsidR="00E37BF1" w:rsidRPr="00E26435" w14:paraId="144EA4B0" w14:textId="77777777" w:rsidTr="000C1944">
        <w:trPr>
          <w:cantSplit/>
          <w:trHeight w:val="1485"/>
        </w:trPr>
        <w:tc>
          <w:tcPr>
            <w:tcW w:w="849" w:type="dxa"/>
            <w:vMerge/>
            <w:vAlign w:val="center"/>
          </w:tcPr>
          <w:p w14:paraId="04DD7D37" w14:textId="77777777" w:rsidR="00E37BF1" w:rsidRPr="003273B9" w:rsidRDefault="00E37BF1" w:rsidP="00322F39">
            <w:pPr>
              <w:rPr>
                <w:b/>
                <w:sz w:val="22"/>
                <w:szCs w:val="22"/>
              </w:rPr>
            </w:pPr>
          </w:p>
        </w:tc>
        <w:tc>
          <w:tcPr>
            <w:tcW w:w="1417" w:type="dxa"/>
            <w:vMerge/>
            <w:vAlign w:val="center"/>
          </w:tcPr>
          <w:p w14:paraId="40195EA7" w14:textId="77777777" w:rsidR="00E37BF1" w:rsidRPr="003273B9" w:rsidRDefault="00E37BF1" w:rsidP="00322F39">
            <w:pPr>
              <w:rPr>
                <w:sz w:val="22"/>
                <w:szCs w:val="22"/>
              </w:rPr>
            </w:pPr>
          </w:p>
        </w:tc>
        <w:tc>
          <w:tcPr>
            <w:tcW w:w="1276" w:type="dxa"/>
            <w:vMerge/>
            <w:vAlign w:val="center"/>
          </w:tcPr>
          <w:p w14:paraId="285104EF" w14:textId="77777777" w:rsidR="00E37BF1" w:rsidRDefault="00E37BF1" w:rsidP="00322F39">
            <w:pPr>
              <w:rPr>
                <w:sz w:val="22"/>
                <w:szCs w:val="22"/>
              </w:rPr>
            </w:pPr>
          </w:p>
        </w:tc>
        <w:tc>
          <w:tcPr>
            <w:tcW w:w="2837" w:type="dxa"/>
            <w:vMerge/>
            <w:vAlign w:val="center"/>
          </w:tcPr>
          <w:p w14:paraId="47371D9D" w14:textId="77777777" w:rsidR="00E37BF1" w:rsidRDefault="00E37BF1" w:rsidP="00322F39">
            <w:pPr>
              <w:rPr>
                <w:sz w:val="22"/>
                <w:szCs w:val="22"/>
              </w:rPr>
            </w:pPr>
          </w:p>
        </w:tc>
        <w:tc>
          <w:tcPr>
            <w:tcW w:w="1276" w:type="dxa"/>
            <w:vMerge/>
            <w:vAlign w:val="center"/>
          </w:tcPr>
          <w:p w14:paraId="2877F33E" w14:textId="77777777" w:rsidR="00E37BF1" w:rsidRDefault="00E37BF1" w:rsidP="00322F39">
            <w:pPr>
              <w:rPr>
                <w:sz w:val="22"/>
                <w:szCs w:val="22"/>
              </w:rPr>
            </w:pPr>
          </w:p>
        </w:tc>
        <w:tc>
          <w:tcPr>
            <w:tcW w:w="4252" w:type="dxa"/>
            <w:vMerge/>
            <w:vAlign w:val="center"/>
          </w:tcPr>
          <w:p w14:paraId="1CBB57E2" w14:textId="77777777" w:rsidR="00E37BF1" w:rsidRDefault="00E37BF1" w:rsidP="00322F39">
            <w:pPr>
              <w:rPr>
                <w:sz w:val="22"/>
                <w:szCs w:val="22"/>
              </w:rPr>
            </w:pPr>
          </w:p>
        </w:tc>
        <w:tc>
          <w:tcPr>
            <w:tcW w:w="568" w:type="dxa"/>
            <w:shd w:val="clear" w:color="auto" w:fill="auto"/>
            <w:vAlign w:val="center"/>
          </w:tcPr>
          <w:p w14:paraId="5A274215" w14:textId="77777777" w:rsidR="00E37BF1" w:rsidRPr="003273B9" w:rsidRDefault="00E37BF1" w:rsidP="00322F39">
            <w:pPr>
              <w:rPr>
                <w:sz w:val="22"/>
                <w:szCs w:val="22"/>
              </w:rPr>
            </w:pPr>
          </w:p>
        </w:tc>
        <w:tc>
          <w:tcPr>
            <w:tcW w:w="567" w:type="dxa"/>
            <w:vMerge/>
            <w:shd w:val="clear" w:color="auto" w:fill="ED7D31" w:themeFill="accent2"/>
            <w:vAlign w:val="center"/>
          </w:tcPr>
          <w:p w14:paraId="2F1EF653" w14:textId="77777777" w:rsidR="00E37BF1" w:rsidRDefault="00E37BF1" w:rsidP="00322F39">
            <w:pPr>
              <w:rPr>
                <w:sz w:val="22"/>
                <w:szCs w:val="22"/>
              </w:rPr>
            </w:pPr>
          </w:p>
        </w:tc>
        <w:tc>
          <w:tcPr>
            <w:tcW w:w="566" w:type="dxa"/>
            <w:tcBorders>
              <w:top w:val="single" w:sz="4" w:space="0" w:color="000000"/>
              <w:bottom w:val="single" w:sz="4" w:space="0" w:color="auto"/>
            </w:tcBorders>
            <w:shd w:val="clear" w:color="auto" w:fill="A8D08D" w:themeFill="accent6" w:themeFillTint="99"/>
            <w:textDirection w:val="btLr"/>
            <w:vAlign w:val="center"/>
          </w:tcPr>
          <w:p w14:paraId="51DC87B2" w14:textId="4CC2CC62" w:rsidR="00E37BF1" w:rsidRPr="00E26435" w:rsidRDefault="00E37BF1" w:rsidP="00322F39">
            <w:pPr>
              <w:spacing w:after="160" w:line="259" w:lineRule="auto"/>
              <w:jc w:val="center"/>
              <w:rPr>
                <w:sz w:val="18"/>
                <w:szCs w:val="22"/>
              </w:rPr>
            </w:pPr>
            <w:r w:rsidRPr="00E26435">
              <w:rPr>
                <w:sz w:val="18"/>
                <w:szCs w:val="22"/>
              </w:rPr>
              <w:t>Research protocols  only</w:t>
            </w:r>
          </w:p>
        </w:tc>
      </w:tr>
      <w:tr w:rsidR="00E37BF1" w14:paraId="0514D34D" w14:textId="77777777" w:rsidTr="000C1944">
        <w:trPr>
          <w:cantSplit/>
          <w:trHeight w:val="1292"/>
        </w:trPr>
        <w:tc>
          <w:tcPr>
            <w:tcW w:w="849" w:type="dxa"/>
            <w:vMerge/>
            <w:vAlign w:val="center"/>
          </w:tcPr>
          <w:p w14:paraId="68DB9F61" w14:textId="77777777" w:rsidR="00E37BF1" w:rsidRPr="003273B9" w:rsidRDefault="00E37BF1" w:rsidP="00322F39">
            <w:pPr>
              <w:rPr>
                <w:b/>
                <w:sz w:val="22"/>
                <w:szCs w:val="22"/>
              </w:rPr>
            </w:pPr>
          </w:p>
        </w:tc>
        <w:tc>
          <w:tcPr>
            <w:tcW w:w="1417" w:type="dxa"/>
            <w:vMerge/>
            <w:vAlign w:val="center"/>
          </w:tcPr>
          <w:p w14:paraId="26684C84" w14:textId="77777777" w:rsidR="00E37BF1" w:rsidRPr="003273B9" w:rsidRDefault="00E37BF1" w:rsidP="00322F39">
            <w:pPr>
              <w:rPr>
                <w:sz w:val="22"/>
                <w:szCs w:val="22"/>
              </w:rPr>
            </w:pPr>
          </w:p>
        </w:tc>
        <w:tc>
          <w:tcPr>
            <w:tcW w:w="1276" w:type="dxa"/>
            <w:vMerge w:val="restart"/>
            <w:vAlign w:val="center"/>
          </w:tcPr>
          <w:p w14:paraId="15EDE3D7" w14:textId="5D7CA877" w:rsidR="00E37BF1" w:rsidRPr="003273B9" w:rsidRDefault="00E37BF1" w:rsidP="00322F39">
            <w:pPr>
              <w:rPr>
                <w:sz w:val="22"/>
                <w:szCs w:val="22"/>
              </w:rPr>
            </w:pPr>
            <w:r>
              <w:rPr>
                <w:sz w:val="22"/>
                <w:szCs w:val="22"/>
              </w:rPr>
              <w:t>Active</w:t>
            </w:r>
            <w:r w:rsidR="00C36A05">
              <w:rPr>
                <w:sz w:val="22"/>
                <w:szCs w:val="22"/>
              </w:rPr>
              <w:t>-</w:t>
            </w:r>
            <w:r>
              <w:rPr>
                <w:sz w:val="22"/>
                <w:szCs w:val="22"/>
              </w:rPr>
              <w:t>Task</w:t>
            </w:r>
          </w:p>
        </w:tc>
        <w:tc>
          <w:tcPr>
            <w:tcW w:w="2837" w:type="dxa"/>
            <w:vMerge w:val="restart"/>
            <w:vAlign w:val="center"/>
          </w:tcPr>
          <w:p w14:paraId="5C93167F" w14:textId="196CF98E" w:rsidR="00321355" w:rsidRDefault="00D31DD3" w:rsidP="00322F39">
            <w:pPr>
              <w:rPr>
                <w:sz w:val="22"/>
                <w:szCs w:val="22"/>
              </w:rPr>
            </w:pPr>
            <w:r>
              <w:rPr>
                <w:sz w:val="22"/>
                <w:szCs w:val="22"/>
              </w:rPr>
              <w:t xml:space="preserve">Automated classification of significant BOLD brain activation during </w:t>
            </w:r>
            <w:r w:rsidR="00CF29A7">
              <w:rPr>
                <w:sz w:val="22"/>
                <w:szCs w:val="22"/>
              </w:rPr>
              <w:t xml:space="preserve">a </w:t>
            </w:r>
            <w:r>
              <w:rPr>
                <w:sz w:val="22"/>
                <w:szCs w:val="22"/>
              </w:rPr>
              <w:t>word counting task</w:t>
            </w:r>
          </w:p>
          <w:p w14:paraId="6C2378C6" w14:textId="2972495E" w:rsidR="00D31DD3" w:rsidRDefault="00D31DD3" w:rsidP="00322F39">
            <w:pPr>
              <w:rPr>
                <w:sz w:val="22"/>
                <w:szCs w:val="22"/>
              </w:rPr>
            </w:pPr>
            <w:r>
              <w:rPr>
                <w:sz w:val="22"/>
                <w:szCs w:val="22"/>
              </w:rPr>
              <w:t>--------------------------------------</w:t>
            </w:r>
          </w:p>
          <w:p w14:paraId="63209D65" w14:textId="175E5844" w:rsidR="00321355" w:rsidRDefault="00CF29A7" w:rsidP="00322F39">
            <w:pPr>
              <w:rPr>
                <w:sz w:val="22"/>
                <w:szCs w:val="22"/>
              </w:rPr>
            </w:pPr>
            <w:r>
              <w:rPr>
                <w:sz w:val="22"/>
                <w:szCs w:val="22"/>
              </w:rPr>
              <w:t>Automated classification of significant BOLD brain activation during a command-following task</w:t>
            </w:r>
          </w:p>
          <w:p w14:paraId="7979EA65" w14:textId="53582E85" w:rsidR="00D31DD3" w:rsidRDefault="00D31DD3" w:rsidP="00322F39">
            <w:pPr>
              <w:rPr>
                <w:sz w:val="22"/>
                <w:szCs w:val="22"/>
              </w:rPr>
            </w:pPr>
            <w:r>
              <w:rPr>
                <w:sz w:val="22"/>
                <w:szCs w:val="22"/>
              </w:rPr>
              <w:t>-----------------------------------</w:t>
            </w:r>
          </w:p>
          <w:p w14:paraId="28D31196" w14:textId="17256D64" w:rsidR="00E37BF1" w:rsidRDefault="00E37BF1" w:rsidP="00322F39">
            <w:pPr>
              <w:rPr>
                <w:sz w:val="22"/>
                <w:szCs w:val="22"/>
              </w:rPr>
            </w:pPr>
            <w:r>
              <w:rPr>
                <w:sz w:val="22"/>
                <w:szCs w:val="22"/>
              </w:rPr>
              <w:t xml:space="preserve">Visual rating or automated classification of </w:t>
            </w:r>
            <w:r w:rsidR="00D31DD3">
              <w:rPr>
                <w:sz w:val="22"/>
                <w:szCs w:val="22"/>
              </w:rPr>
              <w:t>significant</w:t>
            </w:r>
            <w:r>
              <w:rPr>
                <w:sz w:val="22"/>
                <w:szCs w:val="22"/>
              </w:rPr>
              <w:t xml:space="preserve"> BOLD brain activation during active cognitive/motor tasks</w:t>
            </w:r>
          </w:p>
          <w:p w14:paraId="11E24390" w14:textId="3046A190" w:rsidR="0093297F" w:rsidRDefault="0093297F" w:rsidP="00322F39">
            <w:pPr>
              <w:rPr>
                <w:sz w:val="22"/>
                <w:szCs w:val="22"/>
              </w:rPr>
            </w:pPr>
          </w:p>
          <w:p w14:paraId="20B0D846" w14:textId="3B65A96E" w:rsidR="0093297F" w:rsidRDefault="0093297F" w:rsidP="00322F39">
            <w:pPr>
              <w:rPr>
                <w:sz w:val="22"/>
                <w:szCs w:val="22"/>
              </w:rPr>
            </w:pPr>
          </w:p>
          <w:p w14:paraId="4621BD0C" w14:textId="77777777" w:rsidR="0093297F" w:rsidRDefault="0093297F" w:rsidP="00322F39">
            <w:pPr>
              <w:rPr>
                <w:sz w:val="22"/>
                <w:szCs w:val="22"/>
              </w:rPr>
            </w:pPr>
          </w:p>
          <w:p w14:paraId="4C7E4E63" w14:textId="2A644263" w:rsidR="00321355" w:rsidRPr="003273B9" w:rsidRDefault="00321355" w:rsidP="00322F39">
            <w:pPr>
              <w:rPr>
                <w:sz w:val="22"/>
                <w:szCs w:val="22"/>
              </w:rPr>
            </w:pPr>
          </w:p>
        </w:tc>
        <w:tc>
          <w:tcPr>
            <w:tcW w:w="1276" w:type="dxa"/>
            <w:vMerge w:val="restart"/>
            <w:vAlign w:val="center"/>
          </w:tcPr>
          <w:p w14:paraId="25B809AB" w14:textId="3C086D1F" w:rsidR="00D31DD3" w:rsidRDefault="00D31DD3" w:rsidP="00322F39">
            <w:pPr>
              <w:rPr>
                <w:sz w:val="22"/>
                <w:szCs w:val="22"/>
              </w:rPr>
            </w:pPr>
            <w:r>
              <w:rPr>
                <w:sz w:val="22"/>
                <w:szCs w:val="22"/>
              </w:rPr>
              <w:t>Sens = 50%</w:t>
            </w:r>
          </w:p>
          <w:p w14:paraId="2A4F110F" w14:textId="178BD220" w:rsidR="00D31DD3" w:rsidRDefault="00D31DD3" w:rsidP="00322F39">
            <w:pPr>
              <w:rPr>
                <w:sz w:val="22"/>
                <w:szCs w:val="22"/>
              </w:rPr>
            </w:pPr>
            <w:r>
              <w:rPr>
                <w:sz w:val="22"/>
                <w:szCs w:val="22"/>
              </w:rPr>
              <w:t>Spec = 40 %</w:t>
            </w:r>
          </w:p>
          <w:p w14:paraId="2EAEFDA9" w14:textId="0A4613D7" w:rsidR="005D521D" w:rsidRDefault="00D31DD3" w:rsidP="00322F39">
            <w:pPr>
              <w:rPr>
                <w:sz w:val="22"/>
                <w:szCs w:val="22"/>
              </w:rPr>
            </w:pPr>
            <w:r>
              <w:rPr>
                <w:sz w:val="22"/>
                <w:szCs w:val="22"/>
              </w:rPr>
              <w:t>Acc =</w:t>
            </w:r>
            <w:r w:rsidR="005D521D">
              <w:rPr>
                <w:sz w:val="22"/>
                <w:szCs w:val="22"/>
              </w:rPr>
              <w:t xml:space="preserve"> 47%</w:t>
            </w:r>
          </w:p>
          <w:p w14:paraId="500579E8" w14:textId="6348B23E" w:rsidR="00D31DD3" w:rsidRPr="00315FFF" w:rsidRDefault="00D31DD3" w:rsidP="00322F39">
            <w:pPr>
              <w:rPr>
                <w:color w:val="000000" w:themeColor="text1"/>
              </w:rPr>
            </w:pPr>
            <w:r w:rsidRPr="00315FFF">
              <w:rPr>
                <w:color w:val="000000" w:themeColor="text1"/>
              </w:rPr>
              <w:t>--------------</w:t>
            </w:r>
          </w:p>
          <w:p w14:paraId="24923D8C" w14:textId="4601CF6A" w:rsidR="005D521D" w:rsidRPr="00315FFF" w:rsidRDefault="005D521D" w:rsidP="005D521D">
            <w:pPr>
              <w:rPr>
                <w:sz w:val="22"/>
                <w:szCs w:val="22"/>
              </w:rPr>
            </w:pPr>
            <w:r w:rsidRPr="00315FFF">
              <w:rPr>
                <w:sz w:val="22"/>
                <w:szCs w:val="22"/>
              </w:rPr>
              <w:t>Sens = 21%</w:t>
            </w:r>
          </w:p>
          <w:p w14:paraId="194FEF2A" w14:textId="79B19682" w:rsidR="005D521D" w:rsidRPr="00315FFF" w:rsidRDefault="005D521D" w:rsidP="005D521D">
            <w:pPr>
              <w:rPr>
                <w:sz w:val="22"/>
                <w:szCs w:val="22"/>
              </w:rPr>
            </w:pPr>
            <w:r w:rsidRPr="00315FFF">
              <w:rPr>
                <w:sz w:val="22"/>
                <w:szCs w:val="22"/>
              </w:rPr>
              <w:t>Spec = 100%</w:t>
            </w:r>
          </w:p>
          <w:p w14:paraId="2A96E6CA" w14:textId="09E936CF" w:rsidR="005D521D" w:rsidRPr="00315FFF" w:rsidRDefault="005D521D" w:rsidP="005D521D">
            <w:pPr>
              <w:rPr>
                <w:sz w:val="22"/>
                <w:szCs w:val="22"/>
              </w:rPr>
            </w:pPr>
            <w:r w:rsidRPr="00315FFF">
              <w:rPr>
                <w:sz w:val="22"/>
                <w:szCs w:val="22"/>
              </w:rPr>
              <w:t>Acc = 45%</w:t>
            </w:r>
          </w:p>
          <w:p w14:paraId="5CD927FE" w14:textId="4D4821E2" w:rsidR="00D31DD3" w:rsidRDefault="00D31DD3" w:rsidP="00322F39">
            <w:pPr>
              <w:rPr>
                <w:sz w:val="22"/>
                <w:szCs w:val="22"/>
              </w:rPr>
            </w:pPr>
            <w:r>
              <w:rPr>
                <w:sz w:val="22"/>
                <w:szCs w:val="22"/>
              </w:rPr>
              <w:t>---------------</w:t>
            </w:r>
          </w:p>
          <w:p w14:paraId="3A8205C6" w14:textId="1FA1124F" w:rsidR="00321355" w:rsidRDefault="00321355" w:rsidP="00322F39">
            <w:pPr>
              <w:rPr>
                <w:sz w:val="22"/>
                <w:szCs w:val="22"/>
              </w:rPr>
            </w:pPr>
            <w:r>
              <w:rPr>
                <w:sz w:val="22"/>
                <w:szCs w:val="22"/>
              </w:rPr>
              <w:t>Sens = 43%</w:t>
            </w:r>
          </w:p>
          <w:p w14:paraId="50D2102D" w14:textId="54A07DB0" w:rsidR="00321355" w:rsidRDefault="00321355" w:rsidP="00322F39">
            <w:pPr>
              <w:rPr>
                <w:sz w:val="22"/>
                <w:szCs w:val="22"/>
              </w:rPr>
            </w:pPr>
            <w:r>
              <w:rPr>
                <w:sz w:val="22"/>
                <w:szCs w:val="22"/>
              </w:rPr>
              <w:t>Spec = 73 %</w:t>
            </w:r>
          </w:p>
          <w:p w14:paraId="2C02B343" w14:textId="2F81950A" w:rsidR="00321355" w:rsidRDefault="00321355" w:rsidP="00322F39">
            <w:pPr>
              <w:rPr>
                <w:sz w:val="22"/>
                <w:szCs w:val="22"/>
              </w:rPr>
            </w:pPr>
            <w:r>
              <w:rPr>
                <w:sz w:val="22"/>
                <w:szCs w:val="22"/>
              </w:rPr>
              <w:t>Acc = 48 %</w:t>
            </w:r>
          </w:p>
          <w:p w14:paraId="193F7561" w14:textId="04AE6FB1" w:rsidR="0093297F" w:rsidRDefault="0093297F" w:rsidP="00322F39">
            <w:pPr>
              <w:rPr>
                <w:sz w:val="22"/>
                <w:szCs w:val="22"/>
              </w:rPr>
            </w:pPr>
          </w:p>
          <w:p w14:paraId="32FF8822" w14:textId="101647FC" w:rsidR="0093297F" w:rsidRDefault="0093297F" w:rsidP="00322F39">
            <w:pPr>
              <w:rPr>
                <w:sz w:val="22"/>
                <w:szCs w:val="22"/>
              </w:rPr>
            </w:pPr>
          </w:p>
          <w:p w14:paraId="41D45AE6" w14:textId="77777777" w:rsidR="0093297F" w:rsidRDefault="0093297F" w:rsidP="00322F39">
            <w:pPr>
              <w:rPr>
                <w:sz w:val="22"/>
                <w:szCs w:val="22"/>
              </w:rPr>
            </w:pPr>
          </w:p>
          <w:p w14:paraId="2492195D" w14:textId="6E4D5D28" w:rsidR="00E37BF1" w:rsidRPr="003273B9" w:rsidRDefault="00E37BF1" w:rsidP="00322F39">
            <w:pPr>
              <w:rPr>
                <w:sz w:val="22"/>
                <w:szCs w:val="22"/>
              </w:rPr>
            </w:pPr>
          </w:p>
        </w:tc>
        <w:tc>
          <w:tcPr>
            <w:tcW w:w="4252" w:type="dxa"/>
            <w:vMerge w:val="restart"/>
            <w:vAlign w:val="center"/>
          </w:tcPr>
          <w:p w14:paraId="4227A95B" w14:textId="76EAD7E0" w:rsidR="00321355" w:rsidRPr="0093297F" w:rsidRDefault="00D31DD3" w:rsidP="00322F39">
            <w:pPr>
              <w:rPr>
                <w:sz w:val="22"/>
                <w:szCs w:val="22"/>
              </w:rPr>
            </w:pPr>
            <w:r>
              <w:rPr>
                <w:sz w:val="22"/>
                <w:szCs w:val="22"/>
              </w:rPr>
              <w:t>No differences in BOLD brain activation during active word counting tasks between MCS and UWS/VS patients</w:t>
            </w:r>
            <w:r w:rsidR="0093297F">
              <w:rPr>
                <w:sz w:val="22"/>
                <w:szCs w:val="22"/>
              </w:rPr>
              <w:t xml:space="preserve"> </w:t>
            </w:r>
            <w:r w:rsidR="0093297F" w:rsidRPr="0093297F">
              <w:rPr>
                <w:sz w:val="22"/>
                <w:szCs w:val="22"/>
              </w:rPr>
              <w:fldChar w:fldCharType="begin" w:fldLock="1"/>
            </w:r>
            <w:r w:rsidR="0093297F" w:rsidRPr="0093297F">
              <w:rPr>
                <w:sz w:val="22"/>
                <w:szCs w:val="22"/>
              </w:rPr>
              <w:instrText>ADDIN CSL_CITATION {"citationItems":[{"id":"ITEM-1","itemData":{"ISSN":"0028-3878","author":[{"dropping-particle":"","family":"Monti","given":"Martin M","non-dropping-particle":"","parse-names":false,"suffix":""},{"dropping-particle":"","family":"Rosenberg","given":"Matthew","non-dropping-particle":"","parse-names":false,"suffix":""},{"dropping-particle":"","family":"Finoia","given":"Paola","non-dropping-particle":"","parse-names":false,"suffix":""},{"dropping-particle":"","family":"Kamau","given":"Evelyn","non-dropping-particle":"","parse-names":false,"suffix":""},{"dropping-particle":"","family":"Pickard","given":"John D","non-dropping-particle":"","parse-names":false,"suffix":""},{"dropping-particle":"","family":"Owen","given":"Adrian M","non-dropping-particle":"","parse-names":false,"suffix":""}],"container-title":"Neurology","id":"ITEM-1","issue":"2","issued":{"date-parts":[["2015"]]},"page":"167-173","publisher":"AAN Enterprises","title":"Thalamo-frontal connectivity mediates top-down cognitive functions in disorders of consciousness","type":"article-journal","volume":"84"},"uris":["http://www.mendeley.com/documents/?uuid=cc3dc22b-75a4-4e78-bd92-b7da413b2d0d"]}],"mendeley":{"formattedCitation":"(Monti et al., 2015)","plainTextFormattedCitation":"(Monti et al., 2015)","previouslyFormattedCitation":"(Monti et al., 2015)"},"properties":{"noteIndex":0},"schema":"https://github.com/citation-style-language/schema/raw/master/csl-citation.json"}</w:instrText>
            </w:r>
            <w:r w:rsidR="0093297F" w:rsidRPr="0093297F">
              <w:rPr>
                <w:sz w:val="22"/>
                <w:szCs w:val="22"/>
              </w:rPr>
              <w:fldChar w:fldCharType="separate"/>
            </w:r>
            <w:r w:rsidR="0093297F" w:rsidRPr="0093297F">
              <w:rPr>
                <w:noProof/>
                <w:sz w:val="22"/>
                <w:szCs w:val="22"/>
              </w:rPr>
              <w:t>(Monti et al., 2015)</w:t>
            </w:r>
            <w:r w:rsidR="0093297F" w:rsidRPr="0093297F">
              <w:rPr>
                <w:sz w:val="22"/>
                <w:szCs w:val="22"/>
              </w:rPr>
              <w:fldChar w:fldCharType="end"/>
            </w:r>
          </w:p>
          <w:p w14:paraId="4555478C" w14:textId="5D8EB537" w:rsidR="00D31DD3" w:rsidRDefault="00D31DD3" w:rsidP="00322F39">
            <w:pPr>
              <w:rPr>
                <w:sz w:val="22"/>
                <w:szCs w:val="22"/>
              </w:rPr>
            </w:pPr>
            <w:r>
              <w:rPr>
                <w:sz w:val="22"/>
                <w:szCs w:val="22"/>
              </w:rPr>
              <w:t>------------------------------------------------</w:t>
            </w:r>
          </w:p>
          <w:p w14:paraId="476B30DA" w14:textId="7EA14B89" w:rsidR="00321355" w:rsidRDefault="00321355" w:rsidP="00322F39">
            <w:pPr>
              <w:rPr>
                <w:sz w:val="22"/>
                <w:szCs w:val="22"/>
              </w:rPr>
            </w:pPr>
            <w:r>
              <w:rPr>
                <w:sz w:val="22"/>
                <w:szCs w:val="22"/>
              </w:rPr>
              <w:t>Significant BOLD brain activation during command-following task  more common in MCS than UWS/VS patients</w:t>
            </w:r>
            <w:r w:rsidR="0093297F">
              <w:rPr>
                <w:sz w:val="22"/>
                <w:szCs w:val="22"/>
              </w:rPr>
              <w:t xml:space="preserve"> </w:t>
            </w:r>
            <w:r w:rsidR="0093297F" w:rsidRPr="0093297F">
              <w:rPr>
                <w:sz w:val="22"/>
                <w:szCs w:val="22"/>
              </w:rPr>
              <w:fldChar w:fldCharType="begin" w:fldLock="1"/>
            </w:r>
            <w:r w:rsidR="00D85C12">
              <w:rPr>
                <w:sz w:val="22"/>
                <w:szCs w:val="22"/>
              </w:rPr>
              <w:instrText>ADDIN CSL_CITATION {"citationItems":[{"id":"ITEM-1","itemData":{"ISSN":"0364-5134","author":[{"dropping-particle":"","family":"Forgacs","given":"Peter B","non-dropping-particle":"","parse-names":false,"suffix":""},{"dropping-particle":"","family":"Conte","given":"Mary M","non-dropping-particle":"","parse-names":false,"suffix":""},{"dropping-particle":"","family":"Fridman","given":"Esteban A","non-dropping-particle":"","parse-names":false,"suffix":""},{"dropping-particle":"","family":"Voss","given":"Henning U","non-dropping-particle":"","parse-names":false,"suffix":""},{"dropping-particle":"","family":"Victor","given":"Jonathan D","non-dropping-particle":"","parse-names":false,"suffix":""},{"dropping-particle":"","family":"Schiff","given":"Nicholas D","non-dropping-particle":"","parse-names":false,"suffix":""}],"container-title":"Annals of neurology","id":"ITEM-1","issue":"6","issued":{"date-parts":[["2014"]]},"page":"869-879","publisher":"Wiley Online Library","title":"Preservation of electroencephalographic organization in patients with impaired consciousness and imaging‐based evidence of command‐following","type":"article-journal","volume":"76"},"uris":["http://www.mendeley.com/documents/?uuid=0383247c-2fc2-4f50-8037-41e27084e606"]}],"mendeley":{"formattedCitation":"(Forgacs et al., 2014)","plainTextFormattedCitation":"(Forgacs et al., 2014)","previouslyFormattedCitation":"(Forgacs et al., 2014)"},"properties":{"noteIndex":0},"schema":"https://github.com/citation-style-language/schema/raw/master/csl-citation.json"}</w:instrText>
            </w:r>
            <w:r w:rsidR="0093297F" w:rsidRPr="0093297F">
              <w:rPr>
                <w:sz w:val="22"/>
                <w:szCs w:val="22"/>
              </w:rPr>
              <w:fldChar w:fldCharType="separate"/>
            </w:r>
            <w:r w:rsidR="00D85C12" w:rsidRPr="00D85C12">
              <w:rPr>
                <w:noProof/>
                <w:sz w:val="22"/>
                <w:szCs w:val="22"/>
              </w:rPr>
              <w:t>(Forgacs et al., 2014)</w:t>
            </w:r>
            <w:r w:rsidR="0093297F" w:rsidRPr="0093297F">
              <w:rPr>
                <w:sz w:val="22"/>
                <w:szCs w:val="22"/>
              </w:rPr>
              <w:fldChar w:fldCharType="end"/>
            </w:r>
          </w:p>
          <w:p w14:paraId="544E633C" w14:textId="2418D87A" w:rsidR="00D31DD3" w:rsidRDefault="00D31DD3" w:rsidP="00322F39">
            <w:pPr>
              <w:rPr>
                <w:sz w:val="22"/>
                <w:szCs w:val="22"/>
              </w:rPr>
            </w:pPr>
            <w:r>
              <w:rPr>
                <w:sz w:val="22"/>
                <w:szCs w:val="22"/>
              </w:rPr>
              <w:t>--------------------------------------------------</w:t>
            </w:r>
          </w:p>
          <w:p w14:paraId="1E7A3AAE" w14:textId="4EBFE98A" w:rsidR="00E37BF1" w:rsidRDefault="00CF29A7" w:rsidP="00322F39">
            <w:pPr>
              <w:rPr>
                <w:sz w:val="22"/>
                <w:szCs w:val="22"/>
              </w:rPr>
            </w:pPr>
            <w:r>
              <w:rPr>
                <w:sz w:val="22"/>
                <w:szCs w:val="22"/>
              </w:rPr>
              <w:t>Significant</w:t>
            </w:r>
            <w:r w:rsidR="00E37BF1">
              <w:rPr>
                <w:sz w:val="22"/>
                <w:szCs w:val="22"/>
              </w:rPr>
              <w:t xml:space="preserve"> BOLD brain activation during active cognitive/motor tasks in UWS/VS patients identifies </w:t>
            </w:r>
            <w:r w:rsidR="00321355">
              <w:rPr>
                <w:sz w:val="22"/>
                <w:szCs w:val="22"/>
              </w:rPr>
              <w:t>patients with covert awareness</w:t>
            </w:r>
            <w:r w:rsidR="00E37BF1">
              <w:rPr>
                <w:sz w:val="22"/>
                <w:szCs w:val="22"/>
              </w:rPr>
              <w:t xml:space="preserve"> </w:t>
            </w:r>
            <w:r w:rsidR="0093297F" w:rsidRPr="00512B11">
              <w:rPr>
                <w:sz w:val="22"/>
                <w:szCs w:val="22"/>
              </w:rPr>
              <w:t>(pooled data</w:t>
            </w:r>
            <w:r w:rsidR="0093297F">
              <w:rPr>
                <w:sz w:val="22"/>
                <w:szCs w:val="22"/>
              </w:rPr>
              <w:t xml:space="preserve"> of 20 studies</w:t>
            </w:r>
            <w:r w:rsidR="0093297F" w:rsidRPr="00512B11">
              <w:rPr>
                <w:sz w:val="22"/>
                <w:szCs w:val="22"/>
              </w:rPr>
              <w:t>, as in</w:t>
            </w:r>
            <w:r w:rsidR="0093297F">
              <w:rPr>
                <w:sz w:val="22"/>
                <w:szCs w:val="22"/>
              </w:rPr>
              <w:t xml:space="preserve"> </w:t>
            </w:r>
            <w:r w:rsidR="0093297F">
              <w:rPr>
                <w:sz w:val="22"/>
                <w:szCs w:val="22"/>
              </w:rPr>
              <w:fldChar w:fldCharType="begin" w:fldLock="1"/>
            </w:r>
            <w:r w:rsidR="0093297F">
              <w:rPr>
                <w:sz w:val="22"/>
                <w:szCs w:val="22"/>
              </w:rPr>
              <w:instrText>ADDIN CSL_CITATION {"citationItems":[{"id":"ITEM-1","itemData":{"DOI":"10.1111/ene.14151","ISSN":"14681331","PMID":"32090418","abstract":"Background and purpose: Patients with acquired brain injury and acute or prolonged disorders of consciousness (DoC) are challenging. Evidence to support diagnostic decisions on coma and other DoC is limited but accumulating. This guideline provides the state-of-the-art evidence regarding the diagnosis of DoC, summarizing data from bedside examination techniques, functional neuroimaging and electroencephalography (EEG). Methods: Sixteen members of the European Academy of Neurology (EAN) Scientific Panel on Coma and Chronic Disorders of Consciousness, representing 10 European countries, reviewed the scientific evidence for the evaluation of coma and other DoC using standard bibliographic measures. Recommendations followed the Grading of Recommendations Assessment, Development and Evaluation (GRADE) system. The guideline was endorsed by the EAN. Results: Besides a comprehensive neurological examination, the following suggestions are made: probe for voluntary eye movements using a mirror; repeat clinical assessments in the subacute and chronic setting, using the Coma Recovery Scale – Revised; use the Full Outline of Unresponsiveness score instead of the Glasgow Coma Scale in the acute setting; obtain clinical standard EEG; search for sleep patterns on EEG, particularly rapid eye movement sleep and slow-wave sleep; and, whenever feasible, consider positron emission tomography, resting state functional magnetic resonance imaging (fMRI), active fMRI or EEG paradigms and quantitative analysis of high-density EEG to complement behavioral assessment in patients without command following at the bedside. Conclusions: Standardized clinical evaluation, EEG-based techniques and functional neuroimaging should be integrated for multimodal evaluation of patients with DoC. The state of consciousness should be classified according to the highest level revealed by any of these three approaches.","author":[{"dropping-particle":"","family":"Kondziella","given":"D.","non-dropping-particle":"","parse-names":false,"suffix":""},{"dropping-particle":"","family":"Bender","given":"A.","non-dropping-particle":"","parse-names":false,"suffix":""},{"dropping-particle":"","family":"Diserens","given":"K.","non-dropping-particle":"","parse-names":false,"suffix":""},{"dropping-particle":"","family":"Erp","given":"W.","non-dropping-particle":"van","parse-names":false,"suffix":""},{"dropping-particle":"","family":"Estraneo","given":"A.","non-dropping-particle":"","parse-names":false,"suffix":""},{"dropping-particle":"","family":"Formisano","given":"R.","non-dropping-particle":"","parse-names":false,"suffix":""},{"dropping-particle":"","family":"Laureys","given":"S.","non-dropping-particle":"","parse-names":false,"suffix":""},{"dropping-particle":"","family":"Naccache","given":"L.","non-dropping-particle":"","parse-names":false,"suffix":""},{"dropping-particle":"","family":"Ozturk","given":"S.","non-dropping-particle":"","parse-names":false,"suffix":""},{"dropping-particle":"","family":"Rohaut","given":"B.","non-dropping-particle":"","parse-names":false,"suffix":""},{"dropping-particle":"","family":"Sitt","given":"J. D.","non-dropping-particle":"","parse-names":false,"suffix":""},{"dropping-particle":"","family":"Stender","given":"J.","non-dropping-particle":"","parse-names":false,"suffix":""},{"dropping-particle":"","family":"Tiainen","given":"M.","non-dropping-particle":"","parse-names":false,"suffix":""},{"dropping-particle":"","family":"Rossetti","given":"A. O.","non-dropping-particle":"","parse-names":false,"suffix":""},{"dropping-particle":"","family":"Gosseries","given":"O.","non-dropping-particle":"","parse-names":false,"suffix":""},{"dropping-particle":"","family":"Chatelle","given":"C.","non-dropping-particle":"","parse-names":false,"suffix":""}],"container-title":"European Journal of Neurology","id":"ITEM-1","issue":"5","issued":{"date-parts":[["2020"]]},"page":"741-756","title":"European Academy of Neurology guideline on the diagnosis of coma and other disorders of consciousness","type":"article-journal","volume":"27"},"uris":["http://www.mendeley.com/documents/?uuid=3c27bb78-2fe9-4281-b31a-c5eafba16419"]}],"mendeley":{"formattedCitation":"(Kondziella et al., 2020)","plainTextFormattedCitation":"(Kondziella et al., 2020)","previouslyFormattedCitation":"(Kondziella et al., 2020)"},"properties":{"noteIndex":0},"schema":"https://github.com/citation-style-language/schema/raw/master/csl-citation.json"}</w:instrText>
            </w:r>
            <w:r w:rsidR="0093297F">
              <w:rPr>
                <w:sz w:val="22"/>
                <w:szCs w:val="22"/>
              </w:rPr>
              <w:fldChar w:fldCharType="separate"/>
            </w:r>
            <w:r w:rsidR="0093297F" w:rsidRPr="009C6DBC">
              <w:rPr>
                <w:noProof/>
                <w:sz w:val="22"/>
                <w:szCs w:val="22"/>
              </w:rPr>
              <w:t>Kondziella et al., 2020)</w:t>
            </w:r>
            <w:r w:rsidR="0093297F">
              <w:rPr>
                <w:sz w:val="22"/>
                <w:szCs w:val="22"/>
              </w:rPr>
              <w:fldChar w:fldCharType="end"/>
            </w:r>
          </w:p>
          <w:p w14:paraId="2A734939" w14:textId="77777777" w:rsidR="00E37BF1" w:rsidRDefault="00E37BF1" w:rsidP="00322F39"/>
          <w:p w14:paraId="13E3BFC2" w14:textId="00541E6A" w:rsidR="0093297F" w:rsidRPr="007757E0" w:rsidRDefault="00E37BF1" w:rsidP="00322F39">
            <w:pPr>
              <w:rPr>
                <w:i/>
                <w:sz w:val="22"/>
                <w:szCs w:val="22"/>
              </w:rPr>
            </w:pPr>
            <w:r w:rsidRPr="007757E0">
              <w:rPr>
                <w:i/>
                <w:sz w:val="22"/>
                <w:szCs w:val="22"/>
              </w:rPr>
              <w:t>Lack of activation does not rule out consciousness.</w:t>
            </w:r>
          </w:p>
        </w:tc>
        <w:tc>
          <w:tcPr>
            <w:tcW w:w="568" w:type="dxa"/>
            <w:shd w:val="clear" w:color="auto" w:fill="FF0000"/>
            <w:vAlign w:val="center"/>
          </w:tcPr>
          <w:p w14:paraId="23402715" w14:textId="77777777" w:rsidR="00E37BF1" w:rsidRPr="003273B9" w:rsidRDefault="00E37BF1" w:rsidP="00322F39">
            <w:pPr>
              <w:rPr>
                <w:sz w:val="22"/>
                <w:szCs w:val="22"/>
              </w:rPr>
            </w:pPr>
          </w:p>
        </w:tc>
        <w:tc>
          <w:tcPr>
            <w:tcW w:w="567" w:type="dxa"/>
            <w:vMerge w:val="restart"/>
            <w:shd w:val="clear" w:color="auto" w:fill="ED7D31" w:themeFill="accent2"/>
            <w:vAlign w:val="center"/>
          </w:tcPr>
          <w:p w14:paraId="6F280D8B" w14:textId="128DE877" w:rsidR="00E37BF1" w:rsidRPr="003273B9" w:rsidRDefault="00E37BF1" w:rsidP="00322F39">
            <w:pPr>
              <w:rPr>
                <w:sz w:val="22"/>
                <w:szCs w:val="22"/>
              </w:rPr>
            </w:pPr>
            <w:r>
              <w:rPr>
                <w:sz w:val="22"/>
                <w:szCs w:val="22"/>
              </w:rPr>
              <w:t xml:space="preserve"> </w:t>
            </w:r>
          </w:p>
        </w:tc>
        <w:tc>
          <w:tcPr>
            <w:tcW w:w="566" w:type="dxa"/>
            <w:tcBorders>
              <w:bottom w:val="nil"/>
            </w:tcBorders>
            <w:shd w:val="clear" w:color="auto" w:fill="auto"/>
          </w:tcPr>
          <w:p w14:paraId="6E9C812F" w14:textId="77777777" w:rsidR="00E37BF1" w:rsidRPr="003273B9" w:rsidRDefault="00E37BF1" w:rsidP="00322F39">
            <w:pPr>
              <w:rPr>
                <w:sz w:val="22"/>
                <w:szCs w:val="22"/>
              </w:rPr>
            </w:pPr>
          </w:p>
        </w:tc>
      </w:tr>
      <w:tr w:rsidR="00E37BF1" w14:paraId="2EE60113" w14:textId="77777777" w:rsidTr="000C1944">
        <w:trPr>
          <w:cantSplit/>
          <w:trHeight w:val="1268"/>
        </w:trPr>
        <w:tc>
          <w:tcPr>
            <w:tcW w:w="849" w:type="dxa"/>
            <w:vMerge/>
            <w:vAlign w:val="center"/>
          </w:tcPr>
          <w:p w14:paraId="61970C46" w14:textId="77777777" w:rsidR="00E37BF1" w:rsidRPr="003273B9" w:rsidRDefault="00E37BF1" w:rsidP="00322F39">
            <w:pPr>
              <w:rPr>
                <w:b/>
                <w:sz w:val="22"/>
                <w:szCs w:val="22"/>
              </w:rPr>
            </w:pPr>
          </w:p>
        </w:tc>
        <w:tc>
          <w:tcPr>
            <w:tcW w:w="1417" w:type="dxa"/>
            <w:vMerge/>
            <w:vAlign w:val="center"/>
          </w:tcPr>
          <w:p w14:paraId="7ABED25C" w14:textId="77777777" w:rsidR="00E37BF1" w:rsidRPr="003273B9" w:rsidRDefault="00E37BF1" w:rsidP="00322F39">
            <w:pPr>
              <w:rPr>
                <w:sz w:val="22"/>
                <w:szCs w:val="22"/>
              </w:rPr>
            </w:pPr>
          </w:p>
        </w:tc>
        <w:tc>
          <w:tcPr>
            <w:tcW w:w="1276" w:type="dxa"/>
            <w:vMerge/>
            <w:vAlign w:val="center"/>
          </w:tcPr>
          <w:p w14:paraId="05991A12" w14:textId="77777777" w:rsidR="00E37BF1" w:rsidRDefault="00E37BF1" w:rsidP="00322F39">
            <w:pPr>
              <w:rPr>
                <w:sz w:val="22"/>
                <w:szCs w:val="22"/>
              </w:rPr>
            </w:pPr>
          </w:p>
        </w:tc>
        <w:tc>
          <w:tcPr>
            <w:tcW w:w="2837" w:type="dxa"/>
            <w:vMerge/>
            <w:vAlign w:val="center"/>
          </w:tcPr>
          <w:p w14:paraId="5D89E7C0" w14:textId="77777777" w:rsidR="00E37BF1" w:rsidRDefault="00E37BF1" w:rsidP="00322F39">
            <w:pPr>
              <w:rPr>
                <w:sz w:val="22"/>
                <w:szCs w:val="22"/>
              </w:rPr>
            </w:pPr>
          </w:p>
        </w:tc>
        <w:tc>
          <w:tcPr>
            <w:tcW w:w="1276" w:type="dxa"/>
            <w:vMerge/>
            <w:vAlign w:val="center"/>
          </w:tcPr>
          <w:p w14:paraId="0E8C87F8" w14:textId="77777777" w:rsidR="00E37BF1" w:rsidRDefault="00E37BF1" w:rsidP="00322F39">
            <w:pPr>
              <w:rPr>
                <w:sz w:val="22"/>
                <w:szCs w:val="22"/>
              </w:rPr>
            </w:pPr>
          </w:p>
        </w:tc>
        <w:tc>
          <w:tcPr>
            <w:tcW w:w="4252" w:type="dxa"/>
            <w:vMerge/>
            <w:vAlign w:val="center"/>
          </w:tcPr>
          <w:p w14:paraId="4048F90E" w14:textId="77777777" w:rsidR="00E37BF1" w:rsidRDefault="00E37BF1" w:rsidP="00322F39">
            <w:pPr>
              <w:rPr>
                <w:sz w:val="22"/>
                <w:szCs w:val="22"/>
              </w:rPr>
            </w:pPr>
          </w:p>
        </w:tc>
        <w:tc>
          <w:tcPr>
            <w:tcW w:w="568" w:type="dxa"/>
            <w:shd w:val="clear" w:color="auto" w:fill="FFFF00"/>
            <w:vAlign w:val="center"/>
          </w:tcPr>
          <w:p w14:paraId="4A875E42" w14:textId="77777777" w:rsidR="00E37BF1" w:rsidRPr="003273B9" w:rsidRDefault="00E37BF1" w:rsidP="00322F39">
            <w:pPr>
              <w:rPr>
                <w:sz w:val="22"/>
                <w:szCs w:val="22"/>
              </w:rPr>
            </w:pPr>
          </w:p>
        </w:tc>
        <w:tc>
          <w:tcPr>
            <w:tcW w:w="567" w:type="dxa"/>
            <w:vMerge/>
            <w:shd w:val="clear" w:color="auto" w:fill="ED7D31" w:themeFill="accent2"/>
            <w:vAlign w:val="center"/>
          </w:tcPr>
          <w:p w14:paraId="4637F174" w14:textId="77777777" w:rsidR="00E37BF1" w:rsidRDefault="00E37BF1" w:rsidP="00322F39">
            <w:pPr>
              <w:rPr>
                <w:sz w:val="22"/>
                <w:szCs w:val="22"/>
              </w:rPr>
            </w:pPr>
          </w:p>
        </w:tc>
        <w:tc>
          <w:tcPr>
            <w:tcW w:w="566" w:type="dxa"/>
            <w:tcBorders>
              <w:top w:val="nil"/>
              <w:bottom w:val="nil"/>
            </w:tcBorders>
            <w:shd w:val="clear" w:color="auto" w:fill="auto"/>
          </w:tcPr>
          <w:p w14:paraId="6B36C30F" w14:textId="00ED6C65" w:rsidR="00E15B0B" w:rsidRDefault="00E15B0B" w:rsidP="00322F39">
            <w:pPr>
              <w:rPr>
                <w:sz w:val="22"/>
                <w:szCs w:val="22"/>
              </w:rPr>
            </w:pPr>
          </w:p>
          <w:p w14:paraId="2F6400B6" w14:textId="77777777" w:rsidR="00E37BF1" w:rsidRPr="00E15B0B" w:rsidRDefault="00E37BF1" w:rsidP="00E15B0B">
            <w:pPr>
              <w:rPr>
                <w:sz w:val="22"/>
                <w:szCs w:val="22"/>
              </w:rPr>
            </w:pPr>
          </w:p>
        </w:tc>
      </w:tr>
      <w:tr w:rsidR="00E37BF1" w14:paraId="5EC2C50A" w14:textId="77777777" w:rsidTr="000C1944">
        <w:trPr>
          <w:cantSplit/>
          <w:trHeight w:val="635"/>
        </w:trPr>
        <w:tc>
          <w:tcPr>
            <w:tcW w:w="849" w:type="dxa"/>
            <w:vMerge/>
            <w:vAlign w:val="center"/>
          </w:tcPr>
          <w:p w14:paraId="48C3FBA9" w14:textId="77777777" w:rsidR="00E37BF1" w:rsidRPr="003273B9" w:rsidRDefault="00E37BF1" w:rsidP="00322F39">
            <w:pPr>
              <w:rPr>
                <w:b/>
                <w:sz w:val="22"/>
                <w:szCs w:val="22"/>
              </w:rPr>
            </w:pPr>
          </w:p>
        </w:tc>
        <w:tc>
          <w:tcPr>
            <w:tcW w:w="1417" w:type="dxa"/>
            <w:vMerge/>
            <w:vAlign w:val="center"/>
          </w:tcPr>
          <w:p w14:paraId="219A605B" w14:textId="77777777" w:rsidR="00E37BF1" w:rsidRPr="003273B9" w:rsidRDefault="00E37BF1" w:rsidP="00322F39">
            <w:pPr>
              <w:rPr>
                <w:sz w:val="22"/>
                <w:szCs w:val="22"/>
              </w:rPr>
            </w:pPr>
          </w:p>
        </w:tc>
        <w:tc>
          <w:tcPr>
            <w:tcW w:w="1276" w:type="dxa"/>
            <w:vMerge/>
            <w:vAlign w:val="center"/>
          </w:tcPr>
          <w:p w14:paraId="3A6F545B" w14:textId="77777777" w:rsidR="00E37BF1" w:rsidRDefault="00E37BF1" w:rsidP="00322F39">
            <w:pPr>
              <w:rPr>
                <w:sz w:val="22"/>
                <w:szCs w:val="22"/>
              </w:rPr>
            </w:pPr>
          </w:p>
        </w:tc>
        <w:tc>
          <w:tcPr>
            <w:tcW w:w="2837" w:type="dxa"/>
            <w:vMerge/>
            <w:vAlign w:val="center"/>
          </w:tcPr>
          <w:p w14:paraId="5C0403F8" w14:textId="77777777" w:rsidR="00E37BF1" w:rsidRDefault="00E37BF1" w:rsidP="00322F39">
            <w:pPr>
              <w:rPr>
                <w:sz w:val="22"/>
                <w:szCs w:val="22"/>
              </w:rPr>
            </w:pPr>
          </w:p>
        </w:tc>
        <w:tc>
          <w:tcPr>
            <w:tcW w:w="1276" w:type="dxa"/>
            <w:vMerge/>
            <w:vAlign w:val="center"/>
          </w:tcPr>
          <w:p w14:paraId="211923ED" w14:textId="77777777" w:rsidR="00E37BF1" w:rsidRDefault="00E37BF1" w:rsidP="00322F39">
            <w:pPr>
              <w:rPr>
                <w:sz w:val="22"/>
                <w:szCs w:val="22"/>
              </w:rPr>
            </w:pPr>
          </w:p>
        </w:tc>
        <w:tc>
          <w:tcPr>
            <w:tcW w:w="4252" w:type="dxa"/>
            <w:vMerge/>
            <w:vAlign w:val="center"/>
          </w:tcPr>
          <w:p w14:paraId="5C8404FA" w14:textId="77777777" w:rsidR="00E37BF1" w:rsidRDefault="00E37BF1" w:rsidP="00322F39">
            <w:pPr>
              <w:rPr>
                <w:sz w:val="22"/>
                <w:szCs w:val="22"/>
              </w:rPr>
            </w:pPr>
          </w:p>
        </w:tc>
        <w:tc>
          <w:tcPr>
            <w:tcW w:w="568" w:type="dxa"/>
            <w:shd w:val="clear" w:color="auto" w:fill="auto"/>
            <w:vAlign w:val="center"/>
          </w:tcPr>
          <w:p w14:paraId="4FBFC868" w14:textId="77777777" w:rsidR="00E37BF1" w:rsidRPr="003273B9" w:rsidRDefault="00E37BF1" w:rsidP="00322F39">
            <w:pPr>
              <w:rPr>
                <w:sz w:val="22"/>
                <w:szCs w:val="22"/>
              </w:rPr>
            </w:pPr>
          </w:p>
        </w:tc>
        <w:tc>
          <w:tcPr>
            <w:tcW w:w="567" w:type="dxa"/>
            <w:vMerge/>
            <w:shd w:val="clear" w:color="auto" w:fill="ED7D31" w:themeFill="accent2"/>
            <w:vAlign w:val="center"/>
          </w:tcPr>
          <w:p w14:paraId="0B78129B" w14:textId="77777777" w:rsidR="00E37BF1" w:rsidRDefault="00E37BF1" w:rsidP="00322F39">
            <w:pPr>
              <w:rPr>
                <w:sz w:val="22"/>
                <w:szCs w:val="22"/>
              </w:rPr>
            </w:pPr>
          </w:p>
        </w:tc>
        <w:tc>
          <w:tcPr>
            <w:tcW w:w="566" w:type="dxa"/>
            <w:tcBorders>
              <w:top w:val="nil"/>
            </w:tcBorders>
            <w:shd w:val="clear" w:color="auto" w:fill="70AD47" w:themeFill="accent6"/>
          </w:tcPr>
          <w:p w14:paraId="186E691A" w14:textId="77777777" w:rsidR="00E37BF1" w:rsidRPr="003273B9" w:rsidRDefault="00E37BF1" w:rsidP="00322F39">
            <w:pPr>
              <w:rPr>
                <w:sz w:val="22"/>
                <w:szCs w:val="22"/>
              </w:rPr>
            </w:pPr>
          </w:p>
        </w:tc>
      </w:tr>
      <w:tr w:rsidR="00E37BF1" w14:paraId="3C48291A" w14:textId="77777777" w:rsidTr="000C1944">
        <w:trPr>
          <w:cantSplit/>
          <w:trHeight w:val="1134"/>
        </w:trPr>
        <w:tc>
          <w:tcPr>
            <w:tcW w:w="849" w:type="dxa"/>
            <w:vMerge/>
          </w:tcPr>
          <w:p w14:paraId="3F17CC3B" w14:textId="77777777" w:rsidR="00E37BF1" w:rsidRPr="003273B9" w:rsidRDefault="00E37BF1" w:rsidP="00322F39">
            <w:pPr>
              <w:rPr>
                <w:b/>
                <w:sz w:val="22"/>
                <w:szCs w:val="22"/>
              </w:rPr>
            </w:pPr>
          </w:p>
        </w:tc>
        <w:tc>
          <w:tcPr>
            <w:tcW w:w="1417" w:type="dxa"/>
            <w:vAlign w:val="center"/>
          </w:tcPr>
          <w:p w14:paraId="1F21EB4B" w14:textId="05661DEF" w:rsidR="00E37BF1" w:rsidRPr="004968EA" w:rsidRDefault="00E37BF1" w:rsidP="00322F39">
            <w:pPr>
              <w:rPr>
                <w:b/>
                <w:sz w:val="22"/>
                <w:szCs w:val="22"/>
              </w:rPr>
            </w:pPr>
            <w:r w:rsidRPr="004968EA">
              <w:rPr>
                <w:b/>
                <w:sz w:val="22"/>
                <w:szCs w:val="22"/>
              </w:rPr>
              <w:t>ASL</w:t>
            </w:r>
          </w:p>
        </w:tc>
        <w:tc>
          <w:tcPr>
            <w:tcW w:w="1276" w:type="dxa"/>
            <w:vAlign w:val="center"/>
          </w:tcPr>
          <w:p w14:paraId="33F66A69" w14:textId="46966DFC" w:rsidR="00E37BF1" w:rsidRPr="004968EA" w:rsidRDefault="00E37BF1" w:rsidP="00322F39">
            <w:pPr>
              <w:rPr>
                <w:sz w:val="22"/>
                <w:szCs w:val="22"/>
              </w:rPr>
            </w:pPr>
            <w:r w:rsidRPr="004968EA">
              <w:rPr>
                <w:sz w:val="22"/>
                <w:szCs w:val="22"/>
              </w:rPr>
              <w:t>Rest</w:t>
            </w:r>
          </w:p>
        </w:tc>
        <w:tc>
          <w:tcPr>
            <w:tcW w:w="2837" w:type="dxa"/>
            <w:vAlign w:val="center"/>
          </w:tcPr>
          <w:p w14:paraId="0F02C017" w14:textId="200F6651" w:rsidR="00E37BF1" w:rsidRPr="004968EA" w:rsidRDefault="00E37BF1" w:rsidP="00322F39">
            <w:pPr>
              <w:rPr>
                <w:sz w:val="22"/>
                <w:szCs w:val="22"/>
              </w:rPr>
            </w:pPr>
            <w:r>
              <w:rPr>
                <w:sz w:val="22"/>
                <w:szCs w:val="22"/>
              </w:rPr>
              <w:t>Quantitative assessment of defects</w:t>
            </w:r>
            <w:r w:rsidRPr="004968EA">
              <w:rPr>
                <w:sz w:val="22"/>
                <w:szCs w:val="22"/>
              </w:rPr>
              <w:t xml:space="preserve"> in brain </w:t>
            </w:r>
            <w:r>
              <w:rPr>
                <w:sz w:val="22"/>
                <w:szCs w:val="22"/>
              </w:rPr>
              <w:t>blood flow</w:t>
            </w:r>
            <w:r w:rsidRPr="004968EA">
              <w:rPr>
                <w:sz w:val="22"/>
                <w:szCs w:val="22"/>
              </w:rPr>
              <w:t xml:space="preserve"> </w:t>
            </w:r>
          </w:p>
        </w:tc>
        <w:tc>
          <w:tcPr>
            <w:tcW w:w="1276" w:type="dxa"/>
            <w:vAlign w:val="center"/>
          </w:tcPr>
          <w:p w14:paraId="778FDEDC" w14:textId="10F2C996" w:rsidR="00E37BF1" w:rsidRPr="004968EA" w:rsidRDefault="00E37BF1" w:rsidP="00322F39">
            <w:pPr>
              <w:rPr>
                <w:sz w:val="22"/>
                <w:szCs w:val="22"/>
              </w:rPr>
            </w:pPr>
            <w:r w:rsidRPr="004968EA">
              <w:rPr>
                <w:sz w:val="22"/>
                <w:szCs w:val="22"/>
              </w:rPr>
              <w:t>NA</w:t>
            </w:r>
          </w:p>
        </w:tc>
        <w:tc>
          <w:tcPr>
            <w:tcW w:w="4252" w:type="dxa"/>
            <w:vAlign w:val="center"/>
          </w:tcPr>
          <w:p w14:paraId="65659A13" w14:textId="40ED6C58" w:rsidR="00E37BF1" w:rsidRPr="004968EA" w:rsidRDefault="00E37BF1" w:rsidP="00322F39">
            <w:pPr>
              <w:rPr>
                <w:sz w:val="22"/>
                <w:szCs w:val="22"/>
              </w:rPr>
            </w:pPr>
            <w:r w:rsidRPr="004968EA">
              <w:rPr>
                <w:sz w:val="22"/>
                <w:szCs w:val="22"/>
              </w:rPr>
              <w:t xml:space="preserve">Less severe decreases in </w:t>
            </w:r>
            <w:r>
              <w:rPr>
                <w:sz w:val="22"/>
                <w:szCs w:val="22"/>
              </w:rPr>
              <w:t>blood flow</w:t>
            </w:r>
            <w:r w:rsidRPr="004968EA">
              <w:rPr>
                <w:sz w:val="22"/>
                <w:szCs w:val="22"/>
              </w:rPr>
              <w:t xml:space="preserve">, in particular in subcortical and medial regions, </w:t>
            </w:r>
            <w:r w:rsidR="0093297F">
              <w:rPr>
                <w:sz w:val="22"/>
                <w:szCs w:val="22"/>
              </w:rPr>
              <w:t>found in</w:t>
            </w:r>
            <w:r w:rsidRPr="004968EA">
              <w:rPr>
                <w:sz w:val="22"/>
                <w:szCs w:val="22"/>
              </w:rPr>
              <w:t xml:space="preserve"> MCS </w:t>
            </w:r>
            <w:r w:rsidR="0093297F">
              <w:rPr>
                <w:sz w:val="22"/>
                <w:szCs w:val="22"/>
              </w:rPr>
              <w:t>vs.</w:t>
            </w:r>
            <w:r w:rsidRPr="004968EA">
              <w:rPr>
                <w:sz w:val="22"/>
                <w:szCs w:val="22"/>
              </w:rPr>
              <w:t xml:space="preserve"> UWS/VS patients</w:t>
            </w:r>
            <w:r w:rsidR="0093297F">
              <w:rPr>
                <w:sz w:val="22"/>
                <w:szCs w:val="22"/>
              </w:rPr>
              <w:t xml:space="preserve"> </w:t>
            </w:r>
            <w:r w:rsidR="0093297F" w:rsidRPr="0093297F">
              <w:rPr>
                <w:sz w:val="22"/>
                <w:szCs w:val="22"/>
              </w:rPr>
              <w:fldChar w:fldCharType="begin" w:fldLock="1"/>
            </w:r>
            <w:r w:rsidR="006130F3">
              <w:rPr>
                <w:sz w:val="22"/>
                <w:szCs w:val="22"/>
              </w:rPr>
              <w:instrText>ADDIN CSL_CITATION {"citationItems":[{"id":"ITEM-1","itemData":{"ISSN":"1664-2295","author":[{"dropping-particle":"","family":"Wu","given":"Bing","non-dropping-particle":"","parse-names":false,"suffix":""},{"dropping-particle":"","family":"Yang","given":"Yi","non-dropping-particle":"","parse-names":false,"suffix":""},{"dropping-particle":"","family":"Zhou","given":"Shuai","non-dropping-particle":"","parse-names":false,"suffix":""},{"dropping-particle":"","family":"Wang","given":"Wei","non-dropping-particle":"","parse-names":false,"suffix":""},{"dropping-particle":"","family":"Wang","given":"Zizhen","non-dropping-particle":"","parse-names":false,"suffix":""},{"dropping-particle":"","family":"Hu","given":"Gang","non-dropping-particle":"","parse-names":false,"suffix":""},{"dropping-particle":"","family":"He","given":"Jianghong","non-dropping-particle":"","parse-names":false,"suffix":""},{"dropping-particle":"","family":"Wu","given":"Xinhuai","non-dropping-particle":"","parse-names":false,"suffix":""}],"container-title":"Frontiers in Neurology","id":"ITEM-1","issued":{"date-parts":[["2018"]]},"page":"110","publisher":"Frontiers Media SA","title":"Could arterial spin labeling distinguish patients in minimally conscious state from patients in vegetative state?","type":"article-journal","volume":"9"},"uris":["http://www.mendeley.com/documents/?uuid=a740e5ed-3593-4ec5-af15-6b9be9131256"]}],"mendeley":{"formattedCitation":"(Wu et al., 2018)","plainTextFormattedCitation":"(Wu et al., 2018)","previouslyFormattedCitation":"(Wu et al., 2018)"},"properties":{"noteIndex":0},"schema":"https://github.com/citation-style-language/schema/raw/master/csl-citation.json"}</w:instrText>
            </w:r>
            <w:r w:rsidR="0093297F" w:rsidRPr="0093297F">
              <w:rPr>
                <w:sz w:val="22"/>
                <w:szCs w:val="22"/>
              </w:rPr>
              <w:fldChar w:fldCharType="separate"/>
            </w:r>
            <w:r w:rsidR="00D85C12" w:rsidRPr="00D85C12">
              <w:rPr>
                <w:noProof/>
                <w:sz w:val="22"/>
                <w:szCs w:val="22"/>
              </w:rPr>
              <w:t>(Wu et al., 2018)</w:t>
            </w:r>
            <w:r w:rsidR="0093297F" w:rsidRPr="0093297F">
              <w:rPr>
                <w:sz w:val="22"/>
                <w:szCs w:val="22"/>
              </w:rPr>
              <w:fldChar w:fldCharType="end"/>
            </w:r>
          </w:p>
        </w:tc>
        <w:tc>
          <w:tcPr>
            <w:tcW w:w="568" w:type="dxa"/>
            <w:shd w:val="clear" w:color="auto" w:fill="auto"/>
            <w:vAlign w:val="center"/>
          </w:tcPr>
          <w:p w14:paraId="05D4CA5C" w14:textId="2A077FE9" w:rsidR="00E37BF1" w:rsidRPr="004968EA" w:rsidRDefault="00E37BF1" w:rsidP="00322F39">
            <w:pPr>
              <w:rPr>
                <w:strike/>
                <w:sz w:val="22"/>
                <w:szCs w:val="22"/>
              </w:rPr>
            </w:pPr>
            <w:r>
              <w:rPr>
                <w:sz w:val="22"/>
                <w:szCs w:val="22"/>
              </w:rPr>
              <w:t>NA</w:t>
            </w:r>
          </w:p>
        </w:tc>
        <w:tc>
          <w:tcPr>
            <w:tcW w:w="567" w:type="dxa"/>
            <w:shd w:val="clear" w:color="auto" w:fill="auto"/>
            <w:vAlign w:val="center"/>
          </w:tcPr>
          <w:p w14:paraId="4F63DDC6" w14:textId="7CC2DBA4" w:rsidR="00E37BF1" w:rsidRPr="004968EA" w:rsidRDefault="00E37BF1" w:rsidP="00322F39">
            <w:pPr>
              <w:rPr>
                <w:strike/>
                <w:sz w:val="22"/>
                <w:szCs w:val="22"/>
              </w:rPr>
            </w:pPr>
            <w:r>
              <w:rPr>
                <w:sz w:val="22"/>
                <w:szCs w:val="22"/>
              </w:rPr>
              <w:t>NA</w:t>
            </w:r>
          </w:p>
        </w:tc>
        <w:tc>
          <w:tcPr>
            <w:tcW w:w="566" w:type="dxa"/>
            <w:shd w:val="clear" w:color="auto" w:fill="auto"/>
            <w:vAlign w:val="center"/>
          </w:tcPr>
          <w:p w14:paraId="453FD12B" w14:textId="5A712627" w:rsidR="00E37BF1" w:rsidRPr="003273B9" w:rsidRDefault="00E37BF1" w:rsidP="00322F39">
            <w:pPr>
              <w:rPr>
                <w:sz w:val="22"/>
                <w:szCs w:val="22"/>
              </w:rPr>
            </w:pPr>
            <w:r>
              <w:rPr>
                <w:sz w:val="22"/>
                <w:szCs w:val="22"/>
              </w:rPr>
              <w:t>NA</w:t>
            </w:r>
          </w:p>
        </w:tc>
      </w:tr>
    </w:tbl>
    <w:p w14:paraId="02DF398D" w14:textId="3DB26E75" w:rsidR="00C36A05" w:rsidRDefault="00C36A05" w:rsidP="00C36A05">
      <w:pPr>
        <w:pBdr>
          <w:bottom w:val="double" w:sz="6" w:space="1" w:color="auto"/>
        </w:pBdr>
        <w:jc w:val="both"/>
        <w:rPr>
          <w:i/>
        </w:rPr>
      </w:pPr>
      <w:bookmarkStart w:id="2" w:name="_Hlk133287777"/>
      <w:bookmarkEnd w:id="1"/>
      <w:r>
        <w:rPr>
          <w:i/>
        </w:rPr>
        <w:t xml:space="preserve">Table reports a summary of the main evidence available per neuroimaging marker. Whenever evidence relative to a given neuroimaging marker is provided by consensus guidelines, we report such evidence. Whenever the neuroimaging maker is not </w:t>
      </w:r>
      <w:r w:rsidR="00D5241D">
        <w:rPr>
          <w:i/>
        </w:rPr>
        <w:t xml:space="preserve">or only partially </w:t>
      </w:r>
      <w:r>
        <w:rPr>
          <w:i/>
        </w:rPr>
        <w:lastRenderedPageBreak/>
        <w:t xml:space="preserve">considered by consensus guidelines, we report main findings and statistics obtained from </w:t>
      </w:r>
      <w:r w:rsidR="00D5241D">
        <w:rPr>
          <w:i/>
        </w:rPr>
        <w:t>other</w:t>
      </w:r>
      <w:r>
        <w:rPr>
          <w:i/>
        </w:rPr>
        <w:t xml:space="preserve"> systematic review and meta-analysis </w:t>
      </w:r>
      <w:r w:rsidR="00D5241D">
        <w:rPr>
          <w:i/>
        </w:rPr>
        <w:t>and/</w:t>
      </w:r>
      <w:r>
        <w:rPr>
          <w:i/>
        </w:rPr>
        <w:t xml:space="preserve">or </w:t>
      </w:r>
      <w:r w:rsidR="00D5241D">
        <w:rPr>
          <w:i/>
        </w:rPr>
        <w:t>selected</w:t>
      </w:r>
      <w:r>
        <w:rPr>
          <w:i/>
        </w:rPr>
        <w:t xml:space="preserve"> studies of interest.</w:t>
      </w:r>
    </w:p>
    <w:p w14:paraId="4E6940C5" w14:textId="77777777" w:rsidR="00C36A05" w:rsidRDefault="00C36A05" w:rsidP="00C36A05">
      <w:pPr>
        <w:pBdr>
          <w:bottom w:val="double" w:sz="6" w:space="1" w:color="auto"/>
        </w:pBdr>
        <w:jc w:val="both"/>
        <w:rPr>
          <w:i/>
        </w:rPr>
      </w:pPr>
    </w:p>
    <w:p w14:paraId="14449E84" w14:textId="1AF32A28" w:rsidR="000103EB" w:rsidRDefault="00E4332A" w:rsidP="00D105B9">
      <w:pPr>
        <w:pBdr>
          <w:bottom w:val="double" w:sz="6" w:space="1" w:color="auto"/>
        </w:pBdr>
        <w:jc w:val="both"/>
        <w:rPr>
          <w:i/>
        </w:rPr>
      </w:pPr>
      <w:r>
        <w:rPr>
          <w:i/>
        </w:rPr>
        <w:t>Recommendation by the clinical guidelines is symbolized by color green; red color indicates that clinical guidelines do not recommend the tool</w:t>
      </w:r>
      <w:r w:rsidR="006D147F">
        <w:rPr>
          <w:i/>
        </w:rPr>
        <w:t>, based on evidence against its utility</w:t>
      </w:r>
      <w:r>
        <w:rPr>
          <w:i/>
        </w:rPr>
        <w:t xml:space="preserve">; </w:t>
      </w:r>
      <w:r w:rsidR="00E13653" w:rsidRPr="00036AEC">
        <w:rPr>
          <w:i/>
        </w:rPr>
        <w:t>orange color indicates that clinical guidelines do not recommend the tool</w:t>
      </w:r>
      <w:r w:rsidR="006D147F" w:rsidRPr="00036AEC">
        <w:rPr>
          <w:i/>
        </w:rPr>
        <w:t xml:space="preserve">, </w:t>
      </w:r>
      <w:bookmarkStart w:id="3" w:name="_Hlk121826652"/>
      <w:r w:rsidR="006D147F" w:rsidRPr="00036AEC">
        <w:rPr>
          <w:i/>
        </w:rPr>
        <w:t>due to unclear utility over and above clinical assessment</w:t>
      </w:r>
      <w:bookmarkEnd w:id="3"/>
      <w:r w:rsidR="007123ED">
        <w:rPr>
          <w:i/>
        </w:rPr>
        <w:t xml:space="preserve"> and non-widespread availability in general clinical settings</w:t>
      </w:r>
      <w:r w:rsidR="00E13653" w:rsidRPr="007123ED">
        <w:rPr>
          <w:i/>
        </w:rPr>
        <w:t>;</w:t>
      </w:r>
      <w:r w:rsidR="00E13653">
        <w:rPr>
          <w:i/>
        </w:rPr>
        <w:t xml:space="preserve"> </w:t>
      </w:r>
      <w:r>
        <w:rPr>
          <w:i/>
        </w:rPr>
        <w:t>yellow color indicates the tool is not recommended nor refuted by the guidelines, due to insufficient available evidence</w:t>
      </w:r>
      <w:r w:rsidR="006D147F">
        <w:rPr>
          <w:i/>
        </w:rPr>
        <w:t xml:space="preserve"> in favor or against its utility</w:t>
      </w:r>
      <w:r>
        <w:rPr>
          <w:i/>
        </w:rPr>
        <w:t>; ‘NA’ indicate a tool not discussed by the clinical guidelines</w:t>
      </w:r>
      <w:r w:rsidR="00922F77">
        <w:rPr>
          <w:i/>
        </w:rPr>
        <w:t xml:space="preserve">. </w:t>
      </w:r>
    </w:p>
    <w:p w14:paraId="1C6E4B97" w14:textId="77777777" w:rsidR="00922F77" w:rsidRDefault="00922F77" w:rsidP="00D105B9">
      <w:pPr>
        <w:pBdr>
          <w:bottom w:val="double" w:sz="6" w:space="1" w:color="auto"/>
        </w:pBdr>
        <w:jc w:val="both"/>
        <w:rPr>
          <w:i/>
        </w:rPr>
      </w:pPr>
    </w:p>
    <w:p w14:paraId="699E5E37" w14:textId="060A12F9" w:rsidR="00922F77" w:rsidRPr="00922F77" w:rsidRDefault="00922F77" w:rsidP="00922F77">
      <w:r w:rsidRPr="00922F77">
        <w:rPr>
          <w:i/>
        </w:rPr>
        <w:t xml:space="preserve">Abbreviations: ASL, arterial spin labelling; Acc, accuracy; AUC, area under the curve; BOLD, blood oxygenated-level dependent; CT, computed tomography; </w:t>
      </w:r>
      <w:r w:rsidR="006470B5">
        <w:rPr>
          <w:i/>
        </w:rPr>
        <w:t xml:space="preserve">DMN, default mode network; </w:t>
      </w:r>
      <w:r w:rsidRPr="00922F77">
        <w:rPr>
          <w:i/>
        </w:rPr>
        <w:t xml:space="preserve">DWI, diffusion weighted imaging; FDG, fluorodeoxyglucose; fMRI, functional magnetic resonance imaging; H2O, water; </w:t>
      </w:r>
      <w:r w:rsidR="006470B5" w:rsidRPr="00922F77">
        <w:rPr>
          <w:i/>
        </w:rPr>
        <w:t>99mTc</w:t>
      </w:r>
      <w:r w:rsidR="006470B5">
        <w:rPr>
          <w:i/>
        </w:rPr>
        <w:t xml:space="preserve">- </w:t>
      </w:r>
      <w:r w:rsidRPr="00922F77">
        <w:rPr>
          <w:i/>
        </w:rPr>
        <w:t xml:space="preserve">HMPAO, </w:t>
      </w:r>
      <w:r w:rsidR="006470B5" w:rsidRPr="00922F77">
        <w:rPr>
          <w:i/>
        </w:rPr>
        <w:t>99mTc</w:t>
      </w:r>
      <w:r w:rsidR="006470B5">
        <w:rPr>
          <w:i/>
        </w:rPr>
        <w:t xml:space="preserve">- </w:t>
      </w:r>
      <w:r w:rsidRPr="00922F77">
        <w:rPr>
          <w:i/>
        </w:rPr>
        <w:t xml:space="preserve">hexamethylpropyleneamine oxime; </w:t>
      </w:r>
      <w:r w:rsidR="006470B5" w:rsidRPr="00922F77">
        <w:rPr>
          <w:i/>
          <w:vertAlign w:val="superscript"/>
        </w:rPr>
        <w:t>123</w:t>
      </w:r>
      <w:r w:rsidR="006470B5" w:rsidRPr="00922F77">
        <w:rPr>
          <w:i/>
        </w:rPr>
        <w:t>I</w:t>
      </w:r>
      <w:r w:rsidR="006470B5">
        <w:rPr>
          <w:i/>
        </w:rPr>
        <w:t xml:space="preserve">- </w:t>
      </w:r>
      <w:r w:rsidRPr="00922F77">
        <w:rPr>
          <w:i/>
        </w:rPr>
        <w:t xml:space="preserve">IMP, </w:t>
      </w:r>
      <w:r w:rsidRPr="00922F77">
        <w:rPr>
          <w:i/>
          <w:vertAlign w:val="superscript"/>
        </w:rPr>
        <w:t>123</w:t>
      </w:r>
      <w:r w:rsidRPr="00922F77">
        <w:rPr>
          <w:i/>
        </w:rPr>
        <w:t xml:space="preserve">I-N-isopropyl-p-iodo-amphetamine; NA, not available; PET, positron emission tomography; Sens, sensitivity; Spec, specificity; SPECT, single-positron emission computed tomography; </w:t>
      </w:r>
      <w:proofErr w:type="spellStart"/>
      <w:r w:rsidRPr="00922F77">
        <w:rPr>
          <w:i/>
        </w:rPr>
        <w:t>sMRI</w:t>
      </w:r>
      <w:proofErr w:type="spellEnd"/>
      <w:r w:rsidRPr="00922F77">
        <w:rPr>
          <w:i/>
        </w:rPr>
        <w:t>, structural MRI;</w:t>
      </w:r>
    </w:p>
    <w:bookmarkEnd w:id="2"/>
    <w:p w14:paraId="7288F534" w14:textId="076DB0CB" w:rsidR="001A7025" w:rsidRDefault="001A7025">
      <w:pPr>
        <w:spacing w:after="160" w:line="259" w:lineRule="auto"/>
        <w:rPr>
          <w:b/>
        </w:rPr>
      </w:pPr>
    </w:p>
    <w:p w14:paraId="1624076F" w14:textId="7F3DDCD3" w:rsidR="00036AEC" w:rsidRDefault="00036AEC">
      <w:pPr>
        <w:spacing w:after="160" w:line="259" w:lineRule="auto"/>
        <w:rPr>
          <w:b/>
        </w:rPr>
      </w:pPr>
    </w:p>
    <w:p w14:paraId="034D9101" w14:textId="51C07AB3" w:rsidR="00036AEC" w:rsidRDefault="00036AEC">
      <w:pPr>
        <w:spacing w:after="160" w:line="259" w:lineRule="auto"/>
        <w:rPr>
          <w:b/>
        </w:rPr>
      </w:pPr>
    </w:p>
    <w:p w14:paraId="60300CBB" w14:textId="2E653B66" w:rsidR="00036AEC" w:rsidRDefault="00036AEC">
      <w:pPr>
        <w:spacing w:after="160" w:line="259" w:lineRule="auto"/>
        <w:rPr>
          <w:b/>
        </w:rPr>
      </w:pPr>
    </w:p>
    <w:p w14:paraId="7CA48D3F" w14:textId="4FCB97E1" w:rsidR="00036AEC" w:rsidRDefault="00036AEC">
      <w:pPr>
        <w:spacing w:after="160" w:line="259" w:lineRule="auto"/>
        <w:rPr>
          <w:b/>
        </w:rPr>
      </w:pPr>
    </w:p>
    <w:p w14:paraId="508E8574" w14:textId="77777777" w:rsidR="00036AEC" w:rsidRDefault="00036AEC">
      <w:pPr>
        <w:spacing w:after="160" w:line="259" w:lineRule="auto"/>
        <w:rPr>
          <w:b/>
        </w:rPr>
      </w:pPr>
    </w:p>
    <w:p w14:paraId="3169DB45" w14:textId="77777777" w:rsidR="00036AEC" w:rsidRDefault="00036AEC">
      <w:pPr>
        <w:spacing w:after="160" w:line="259" w:lineRule="auto"/>
        <w:rPr>
          <w:b/>
        </w:rPr>
      </w:pPr>
      <w:r>
        <w:rPr>
          <w:b/>
        </w:rPr>
        <w:br w:type="page"/>
      </w:r>
    </w:p>
    <w:p w14:paraId="69415BBA" w14:textId="3C054661" w:rsidR="00D105B9" w:rsidRDefault="00D105B9" w:rsidP="00D105B9">
      <w:pPr>
        <w:pBdr>
          <w:bottom w:val="double" w:sz="6" w:space="1" w:color="auto"/>
        </w:pBdr>
        <w:jc w:val="both"/>
        <w:rPr>
          <w:b/>
        </w:rPr>
      </w:pPr>
      <w:bookmarkStart w:id="4" w:name="_Hlk133287815"/>
      <w:r w:rsidRPr="00D105B9">
        <w:rPr>
          <w:b/>
        </w:rPr>
        <w:lastRenderedPageBreak/>
        <w:t xml:space="preserve">Table </w:t>
      </w:r>
      <w:r w:rsidR="00256F6F">
        <w:rPr>
          <w:b/>
        </w:rPr>
        <w:t>2</w:t>
      </w:r>
      <w:r w:rsidRPr="00D105B9">
        <w:rPr>
          <w:b/>
        </w:rPr>
        <w:t xml:space="preserve">. </w:t>
      </w:r>
      <w:r w:rsidR="00B759A8">
        <w:rPr>
          <w:b/>
        </w:rPr>
        <w:t>Recommendations for neuroimaging use in</w:t>
      </w:r>
      <w:r>
        <w:rPr>
          <w:b/>
        </w:rPr>
        <w:t xml:space="preserve"> prognosis</w:t>
      </w:r>
      <w:r w:rsidRPr="00D105B9">
        <w:rPr>
          <w:b/>
        </w:rPr>
        <w:t xml:space="preserve"> of DoC patients</w:t>
      </w:r>
      <w:r>
        <w:rPr>
          <w:b/>
        </w:rPr>
        <w:t xml:space="preserve">. </w:t>
      </w:r>
    </w:p>
    <w:bookmarkEnd w:id="4"/>
    <w:tbl>
      <w:tblPr>
        <w:tblStyle w:val="TableGrid"/>
        <w:tblW w:w="13467" w:type="dxa"/>
        <w:tblLayout w:type="fixed"/>
        <w:tblLook w:val="04A0" w:firstRow="1" w:lastRow="0" w:firstColumn="1" w:lastColumn="0" w:noHBand="0" w:noVBand="1"/>
      </w:tblPr>
      <w:tblGrid>
        <w:gridCol w:w="849"/>
        <w:gridCol w:w="1417"/>
        <w:gridCol w:w="1276"/>
        <w:gridCol w:w="2128"/>
        <w:gridCol w:w="2835"/>
        <w:gridCol w:w="3402"/>
        <w:gridCol w:w="709"/>
        <w:gridCol w:w="851"/>
      </w:tblGrid>
      <w:tr w:rsidR="004968EA" w14:paraId="409A0093" w14:textId="77777777" w:rsidTr="406577B6">
        <w:trPr>
          <w:trHeight w:val="901"/>
        </w:trPr>
        <w:tc>
          <w:tcPr>
            <w:tcW w:w="11907" w:type="dxa"/>
            <w:gridSpan w:val="6"/>
            <w:tcBorders>
              <w:top w:val="nil"/>
              <w:left w:val="nil"/>
            </w:tcBorders>
          </w:tcPr>
          <w:p w14:paraId="16464451" w14:textId="77777777" w:rsidR="004968EA" w:rsidRPr="00D105B9" w:rsidRDefault="004968EA" w:rsidP="00B2600B">
            <w:pPr>
              <w:rPr>
                <w:b/>
              </w:rPr>
            </w:pPr>
          </w:p>
        </w:tc>
        <w:tc>
          <w:tcPr>
            <w:tcW w:w="1560" w:type="dxa"/>
            <w:gridSpan w:val="2"/>
            <w:vAlign w:val="center"/>
          </w:tcPr>
          <w:p w14:paraId="4D537AD4" w14:textId="2344ECB0" w:rsidR="004968EA" w:rsidRPr="00D105B9" w:rsidRDefault="004968EA" w:rsidP="00B2600B">
            <w:pPr>
              <w:jc w:val="center"/>
              <w:rPr>
                <w:b/>
              </w:rPr>
            </w:pPr>
            <w:r>
              <w:rPr>
                <w:b/>
              </w:rPr>
              <w:t>Recommended by clinical guidelines:</w:t>
            </w:r>
          </w:p>
        </w:tc>
      </w:tr>
      <w:tr w:rsidR="004968EA" w14:paraId="2C47BCCE" w14:textId="77777777" w:rsidTr="007224D0">
        <w:trPr>
          <w:cantSplit/>
          <w:trHeight w:val="1134"/>
        </w:trPr>
        <w:tc>
          <w:tcPr>
            <w:tcW w:w="2266" w:type="dxa"/>
            <w:gridSpan w:val="2"/>
            <w:vAlign w:val="center"/>
          </w:tcPr>
          <w:p w14:paraId="6F14EBCE" w14:textId="77777777" w:rsidR="004968EA" w:rsidRPr="00D105B9" w:rsidRDefault="004968EA" w:rsidP="00B2600B">
            <w:pPr>
              <w:jc w:val="center"/>
              <w:rPr>
                <w:b/>
              </w:rPr>
            </w:pPr>
            <w:r w:rsidRPr="00D105B9">
              <w:rPr>
                <w:b/>
              </w:rPr>
              <w:t>Tool</w:t>
            </w:r>
          </w:p>
        </w:tc>
        <w:tc>
          <w:tcPr>
            <w:tcW w:w="1276" w:type="dxa"/>
            <w:vAlign w:val="center"/>
          </w:tcPr>
          <w:p w14:paraId="10A726F7" w14:textId="77777777" w:rsidR="004968EA" w:rsidRPr="00D105B9" w:rsidRDefault="004968EA" w:rsidP="00B2600B">
            <w:pPr>
              <w:rPr>
                <w:b/>
              </w:rPr>
            </w:pPr>
            <w:r>
              <w:rPr>
                <w:b/>
              </w:rPr>
              <w:t>Protocol</w:t>
            </w:r>
          </w:p>
        </w:tc>
        <w:tc>
          <w:tcPr>
            <w:tcW w:w="2128" w:type="dxa"/>
            <w:vAlign w:val="center"/>
          </w:tcPr>
          <w:p w14:paraId="778E7F35" w14:textId="77777777" w:rsidR="004968EA" w:rsidRPr="00D105B9" w:rsidRDefault="004968EA" w:rsidP="00B2600B">
            <w:pPr>
              <w:jc w:val="center"/>
              <w:rPr>
                <w:b/>
              </w:rPr>
            </w:pPr>
            <w:r w:rsidRPr="00D105B9">
              <w:rPr>
                <w:b/>
              </w:rPr>
              <w:t>Measure</w:t>
            </w:r>
          </w:p>
        </w:tc>
        <w:tc>
          <w:tcPr>
            <w:tcW w:w="2835" w:type="dxa"/>
            <w:vAlign w:val="center"/>
          </w:tcPr>
          <w:p w14:paraId="30B31E46" w14:textId="77777777" w:rsidR="004968EA" w:rsidRPr="00D105B9" w:rsidRDefault="004968EA" w:rsidP="00B2600B">
            <w:pPr>
              <w:jc w:val="center"/>
              <w:rPr>
                <w:b/>
              </w:rPr>
            </w:pPr>
            <w:r w:rsidRPr="00D105B9">
              <w:rPr>
                <w:b/>
              </w:rPr>
              <w:t>Accuracy</w:t>
            </w:r>
          </w:p>
        </w:tc>
        <w:tc>
          <w:tcPr>
            <w:tcW w:w="3402" w:type="dxa"/>
            <w:vAlign w:val="center"/>
          </w:tcPr>
          <w:p w14:paraId="629D2D62" w14:textId="680711BE" w:rsidR="004968EA" w:rsidRPr="00D105B9" w:rsidRDefault="00C0698A" w:rsidP="00B2600B">
            <w:pPr>
              <w:jc w:val="center"/>
              <w:rPr>
                <w:b/>
              </w:rPr>
            </w:pPr>
            <w:r>
              <w:rPr>
                <w:b/>
              </w:rPr>
              <w:t>Main finding</w:t>
            </w:r>
          </w:p>
        </w:tc>
        <w:tc>
          <w:tcPr>
            <w:tcW w:w="709" w:type="dxa"/>
            <w:vAlign w:val="center"/>
          </w:tcPr>
          <w:p w14:paraId="42E2ED28" w14:textId="77777777" w:rsidR="004968EA" w:rsidRPr="00D105B9" w:rsidRDefault="004968EA" w:rsidP="00B2600B">
            <w:pPr>
              <w:jc w:val="center"/>
              <w:rPr>
                <w:b/>
              </w:rPr>
            </w:pPr>
            <w:r>
              <w:rPr>
                <w:b/>
              </w:rPr>
              <w:t>US</w:t>
            </w:r>
          </w:p>
        </w:tc>
        <w:tc>
          <w:tcPr>
            <w:tcW w:w="851" w:type="dxa"/>
            <w:vAlign w:val="center"/>
          </w:tcPr>
          <w:p w14:paraId="16B0E83B" w14:textId="77777777" w:rsidR="004968EA" w:rsidRPr="00D105B9" w:rsidRDefault="406577B6" w:rsidP="406577B6">
            <w:pPr>
              <w:jc w:val="center"/>
              <w:rPr>
                <w:b/>
                <w:bCs/>
              </w:rPr>
            </w:pPr>
            <w:r w:rsidRPr="406577B6">
              <w:rPr>
                <w:b/>
                <w:bCs/>
              </w:rPr>
              <w:t>UK</w:t>
            </w:r>
          </w:p>
        </w:tc>
      </w:tr>
      <w:tr w:rsidR="004968EA" w14:paraId="1DF3242F" w14:textId="77777777" w:rsidTr="00036AEC">
        <w:trPr>
          <w:cantSplit/>
          <w:trHeight w:val="1134"/>
        </w:trPr>
        <w:tc>
          <w:tcPr>
            <w:tcW w:w="849" w:type="dxa"/>
            <w:vAlign w:val="center"/>
          </w:tcPr>
          <w:p w14:paraId="5722F1B8" w14:textId="77777777" w:rsidR="004968EA" w:rsidRPr="003273B9" w:rsidRDefault="004968EA" w:rsidP="00B2600B">
            <w:pPr>
              <w:rPr>
                <w:b/>
                <w:sz w:val="22"/>
                <w:szCs w:val="22"/>
              </w:rPr>
            </w:pPr>
            <w:r w:rsidRPr="003273B9">
              <w:rPr>
                <w:b/>
                <w:sz w:val="22"/>
                <w:szCs w:val="22"/>
              </w:rPr>
              <w:t>CT</w:t>
            </w:r>
          </w:p>
        </w:tc>
        <w:tc>
          <w:tcPr>
            <w:tcW w:w="1417" w:type="dxa"/>
            <w:vAlign w:val="center"/>
          </w:tcPr>
          <w:p w14:paraId="729FF33C" w14:textId="1DA961BA" w:rsidR="004968EA" w:rsidRPr="00FD7C1C" w:rsidRDefault="00054ADF" w:rsidP="00B2600B">
            <w:pPr>
              <w:rPr>
                <w:b/>
                <w:sz w:val="22"/>
                <w:szCs w:val="22"/>
              </w:rPr>
            </w:pPr>
            <w:r>
              <w:rPr>
                <w:b/>
                <w:sz w:val="22"/>
                <w:szCs w:val="22"/>
              </w:rPr>
              <w:t xml:space="preserve">Visual Inspection </w:t>
            </w:r>
          </w:p>
        </w:tc>
        <w:tc>
          <w:tcPr>
            <w:tcW w:w="1276" w:type="dxa"/>
            <w:vAlign w:val="center"/>
          </w:tcPr>
          <w:p w14:paraId="7D434B5D" w14:textId="1AC0F74F" w:rsidR="004968EA" w:rsidRDefault="00054ADF" w:rsidP="00B2600B">
            <w:pPr>
              <w:rPr>
                <w:sz w:val="22"/>
                <w:szCs w:val="22"/>
              </w:rPr>
            </w:pPr>
            <w:r>
              <w:rPr>
                <w:sz w:val="22"/>
                <w:szCs w:val="22"/>
              </w:rPr>
              <w:t>(</w:t>
            </w:r>
            <w:r w:rsidR="004968EA">
              <w:rPr>
                <w:sz w:val="22"/>
                <w:szCs w:val="22"/>
              </w:rPr>
              <w:t>Rest</w:t>
            </w:r>
            <w:r>
              <w:rPr>
                <w:sz w:val="22"/>
                <w:szCs w:val="22"/>
              </w:rPr>
              <w:t>)</w:t>
            </w:r>
          </w:p>
        </w:tc>
        <w:tc>
          <w:tcPr>
            <w:tcW w:w="2128" w:type="dxa"/>
            <w:vAlign w:val="center"/>
          </w:tcPr>
          <w:p w14:paraId="19AF37AF" w14:textId="77777777" w:rsidR="004968EA" w:rsidRPr="003273B9" w:rsidRDefault="004968EA" w:rsidP="00B2600B">
            <w:pPr>
              <w:rPr>
                <w:sz w:val="22"/>
                <w:szCs w:val="22"/>
              </w:rPr>
            </w:pPr>
            <w:r>
              <w:rPr>
                <w:sz w:val="22"/>
                <w:szCs w:val="22"/>
              </w:rPr>
              <w:t>Standard v</w:t>
            </w:r>
            <w:r w:rsidRPr="003273B9">
              <w:rPr>
                <w:sz w:val="22"/>
                <w:szCs w:val="22"/>
              </w:rPr>
              <w:t xml:space="preserve">isual </w:t>
            </w:r>
            <w:r>
              <w:rPr>
                <w:sz w:val="22"/>
                <w:szCs w:val="22"/>
              </w:rPr>
              <w:t>e</w:t>
            </w:r>
            <w:r w:rsidRPr="003273B9">
              <w:rPr>
                <w:sz w:val="22"/>
                <w:szCs w:val="22"/>
              </w:rPr>
              <w:t>valuation</w:t>
            </w:r>
          </w:p>
        </w:tc>
        <w:tc>
          <w:tcPr>
            <w:tcW w:w="2835" w:type="dxa"/>
            <w:vAlign w:val="center"/>
          </w:tcPr>
          <w:p w14:paraId="71F7E2A7" w14:textId="3D83366F" w:rsidR="004968EA" w:rsidRPr="003273B9" w:rsidRDefault="00B665C1" w:rsidP="00B2600B">
            <w:pPr>
              <w:rPr>
                <w:sz w:val="22"/>
                <w:szCs w:val="22"/>
              </w:rPr>
            </w:pPr>
            <w:r w:rsidRPr="00131F74">
              <w:rPr>
                <w:sz w:val="22"/>
                <w:szCs w:val="22"/>
              </w:rPr>
              <w:t>OR</w:t>
            </w:r>
            <w:r w:rsidR="008A5758">
              <w:rPr>
                <w:sz w:val="22"/>
                <w:szCs w:val="22"/>
              </w:rPr>
              <w:t xml:space="preserve"> =</w:t>
            </w:r>
            <w:r w:rsidRPr="00131F74">
              <w:rPr>
                <w:sz w:val="22"/>
                <w:szCs w:val="22"/>
              </w:rPr>
              <w:t xml:space="preserve"> 16.32 </w:t>
            </w:r>
          </w:p>
        </w:tc>
        <w:tc>
          <w:tcPr>
            <w:tcW w:w="3402" w:type="dxa"/>
            <w:vAlign w:val="center"/>
          </w:tcPr>
          <w:p w14:paraId="4DBF15B5" w14:textId="4250C0C5" w:rsidR="004968EA" w:rsidRPr="003273B9" w:rsidRDefault="003644B6" w:rsidP="00B2600B">
            <w:pPr>
              <w:rPr>
                <w:sz w:val="22"/>
                <w:szCs w:val="22"/>
              </w:rPr>
            </w:pPr>
            <w:r>
              <w:rPr>
                <w:sz w:val="22"/>
                <w:szCs w:val="22"/>
              </w:rPr>
              <w:t xml:space="preserve">In traumatic </w:t>
            </w:r>
            <w:r w:rsidR="00775B0E">
              <w:rPr>
                <w:sz w:val="22"/>
                <w:szCs w:val="22"/>
              </w:rPr>
              <w:t xml:space="preserve">prolonged </w:t>
            </w:r>
            <w:r>
              <w:rPr>
                <w:sz w:val="22"/>
                <w:szCs w:val="22"/>
              </w:rPr>
              <w:t>UWS/VS, w</w:t>
            </w:r>
            <w:r w:rsidR="00B665C1">
              <w:rPr>
                <w:sz w:val="22"/>
                <w:szCs w:val="22"/>
              </w:rPr>
              <w:t>orse prognosis</w:t>
            </w:r>
            <w:r w:rsidR="00C0698A">
              <w:rPr>
                <w:sz w:val="22"/>
                <w:szCs w:val="22"/>
              </w:rPr>
              <w:t xml:space="preserve"> (</w:t>
            </w:r>
            <w:r w:rsidR="00D36ACA">
              <w:rPr>
                <w:sz w:val="22"/>
                <w:szCs w:val="22"/>
              </w:rPr>
              <w:t xml:space="preserve">failure to recover </w:t>
            </w:r>
            <w:r w:rsidR="00224B3E">
              <w:rPr>
                <w:sz w:val="22"/>
                <w:szCs w:val="22"/>
              </w:rPr>
              <w:t>consciousness</w:t>
            </w:r>
            <w:r w:rsidR="00C0698A">
              <w:rPr>
                <w:sz w:val="22"/>
                <w:szCs w:val="22"/>
              </w:rPr>
              <w:t>)</w:t>
            </w:r>
            <w:r w:rsidR="00B665C1">
              <w:rPr>
                <w:sz w:val="22"/>
                <w:szCs w:val="22"/>
              </w:rPr>
              <w:t xml:space="preserve"> </w:t>
            </w:r>
            <w:r w:rsidR="00A12E4F" w:rsidRPr="00131F74">
              <w:rPr>
                <w:sz w:val="22"/>
                <w:szCs w:val="22"/>
              </w:rPr>
              <w:t>at 12 months</w:t>
            </w:r>
            <w:r w:rsidR="00A12E4F">
              <w:rPr>
                <w:sz w:val="22"/>
                <w:szCs w:val="22"/>
              </w:rPr>
              <w:t xml:space="preserve"> </w:t>
            </w:r>
            <w:r w:rsidR="00B665C1">
              <w:rPr>
                <w:sz w:val="22"/>
                <w:szCs w:val="22"/>
              </w:rPr>
              <w:t>associated with hydrocephalus</w:t>
            </w:r>
            <w:r w:rsidR="005F258F">
              <w:rPr>
                <w:sz w:val="22"/>
                <w:szCs w:val="22"/>
              </w:rPr>
              <w:t xml:space="preserve"> </w:t>
            </w:r>
            <w:r w:rsidR="005F258F" w:rsidRPr="005F258F">
              <w:rPr>
                <w:sz w:val="22"/>
                <w:szCs w:val="22"/>
              </w:rPr>
              <w:fldChar w:fldCharType="begin" w:fldLock="1"/>
            </w:r>
            <w:r w:rsidR="005F258F" w:rsidRPr="005F258F">
              <w:rPr>
                <w:sz w:val="22"/>
                <w:szCs w:val="22"/>
              </w:rPr>
              <w:instrText>ADDIN CSL_CITATION {"citationItems":[{"id":"ITEM-1","itemData":{"DOI":"10.3171/jns.1990.72.1.0075","ISSN":"00223085","PMID":"2294188","abstract":"A retrospective study of 134 patients in a condition of prolonged unawareness state (that is, in coma for over 1 month) following brain trauma was conducted in order to identify prognostic factors. Eight easily evaluated parameters were found to be significant for predicting nonrecovery of consciousness. The following six features were present during the early posttraumatic phase (that is, during the 1st week after trauma): fever of central origin; diffuse body sweating; disturbances in antidiuretic hormone secretion; abnormal motor reactivity; respiratory disturbances; and diffuse nonneurological injuries. The first three features were manifestations of hypothalamic damage. Two factors, evident at a late phase following injury (after the 1st week posttrauma), namely late epilepsy and communicating hydrocephalus, were also significant in predicting nonrecovery.","author":[{"dropping-particle":"","family":"Sazbon","given":"L.","non-dropping-particle":"","parse-names":false,"suffix":""},{"dropping-particle":"","family":"Groswasser","given":"Z.","non-dropping-particle":"","parse-names":false,"suffix":""}],"container-title":"Journal of Neurosurgery","id":"ITEM-1","issue":"1","issued":{"date-parts":[["1990"]]},"page":"75-80","title":"Outcome in 134 patients with prolonged posttraumatic unawareness. Part 1: Parameters determining late recovery of consciousness","type":"article-journal","volume":"72"},"uris":["http://www.mendeley.com/documents/?uuid=a0cd8105-146e-4306-ba7f-63346160e860"]}],"mendeley":{"formattedCitation":"(Sazbon and Groswasser, 1990)","plainTextFormattedCitation":"(Sazbon and Groswasser, 1990)","previouslyFormattedCitation":"(Sazbon and Groswasser, 1990)"},"properties":{"noteIndex":0},"schema":"https://github.com/citation-style-language/schema/raw/master/csl-citation.json"}</w:instrText>
            </w:r>
            <w:r w:rsidR="005F258F" w:rsidRPr="005F258F">
              <w:rPr>
                <w:sz w:val="22"/>
                <w:szCs w:val="22"/>
              </w:rPr>
              <w:fldChar w:fldCharType="separate"/>
            </w:r>
            <w:r w:rsidR="005F258F" w:rsidRPr="005F258F">
              <w:rPr>
                <w:noProof/>
                <w:sz w:val="22"/>
                <w:szCs w:val="22"/>
              </w:rPr>
              <w:t>(Sazbon and Groswasser, 1990)</w:t>
            </w:r>
            <w:r w:rsidR="005F258F" w:rsidRPr="005F258F">
              <w:rPr>
                <w:sz w:val="22"/>
                <w:szCs w:val="22"/>
              </w:rPr>
              <w:fldChar w:fldCharType="end"/>
            </w:r>
          </w:p>
        </w:tc>
        <w:tc>
          <w:tcPr>
            <w:tcW w:w="709" w:type="dxa"/>
            <w:shd w:val="clear" w:color="auto" w:fill="70AD47" w:themeFill="accent6"/>
            <w:vAlign w:val="center"/>
          </w:tcPr>
          <w:p w14:paraId="36B0901B" w14:textId="77777777" w:rsidR="004968EA" w:rsidRPr="003273B9" w:rsidRDefault="004968EA" w:rsidP="00B2600B">
            <w:pPr>
              <w:rPr>
                <w:sz w:val="22"/>
                <w:szCs w:val="22"/>
              </w:rPr>
            </w:pPr>
          </w:p>
        </w:tc>
        <w:tc>
          <w:tcPr>
            <w:tcW w:w="851" w:type="dxa"/>
            <w:shd w:val="clear" w:color="auto" w:fill="92D050"/>
            <w:textDirection w:val="btLr"/>
            <w:vAlign w:val="center"/>
          </w:tcPr>
          <w:p w14:paraId="2E951CFF" w14:textId="6F4B887D" w:rsidR="004968EA" w:rsidRPr="003273B9" w:rsidRDefault="00B426A0" w:rsidP="00036AEC">
            <w:pPr>
              <w:spacing w:line="180" w:lineRule="exact"/>
              <w:ind w:left="113" w:right="113"/>
              <w:jc w:val="center"/>
              <w:rPr>
                <w:sz w:val="22"/>
                <w:szCs w:val="22"/>
              </w:rPr>
            </w:pPr>
            <w:proofErr w:type="spellStart"/>
            <w:r w:rsidRPr="00036AEC">
              <w:rPr>
                <w:sz w:val="18"/>
                <w:szCs w:val="22"/>
              </w:rPr>
              <w:t>sMRI</w:t>
            </w:r>
            <w:proofErr w:type="spellEnd"/>
            <w:r w:rsidRPr="00036AEC">
              <w:rPr>
                <w:sz w:val="18"/>
                <w:szCs w:val="22"/>
              </w:rPr>
              <w:t xml:space="preserve"> </w:t>
            </w:r>
            <w:r w:rsidRPr="00B426A0">
              <w:rPr>
                <w:sz w:val="18"/>
                <w:szCs w:val="22"/>
              </w:rPr>
              <w:t>preferable</w:t>
            </w:r>
          </w:p>
        </w:tc>
      </w:tr>
      <w:tr w:rsidR="00D36ACA" w14:paraId="43A1B4A8" w14:textId="77777777" w:rsidTr="007224D0">
        <w:trPr>
          <w:trHeight w:val="300"/>
        </w:trPr>
        <w:tc>
          <w:tcPr>
            <w:tcW w:w="849" w:type="dxa"/>
            <w:vMerge w:val="restart"/>
            <w:vAlign w:val="center"/>
          </w:tcPr>
          <w:p w14:paraId="13BFE523" w14:textId="77777777" w:rsidR="00D36ACA" w:rsidRPr="001F1493" w:rsidRDefault="00D36ACA" w:rsidP="00B2600B">
            <w:pPr>
              <w:rPr>
                <w:b/>
                <w:sz w:val="22"/>
                <w:szCs w:val="22"/>
              </w:rPr>
            </w:pPr>
            <w:r w:rsidRPr="001F1493">
              <w:rPr>
                <w:b/>
                <w:sz w:val="22"/>
                <w:szCs w:val="22"/>
              </w:rPr>
              <w:t>PET</w:t>
            </w:r>
          </w:p>
        </w:tc>
        <w:tc>
          <w:tcPr>
            <w:tcW w:w="1417" w:type="dxa"/>
            <w:vMerge w:val="restart"/>
            <w:vAlign w:val="center"/>
          </w:tcPr>
          <w:p w14:paraId="43C61CD2" w14:textId="77777777" w:rsidR="00D36ACA" w:rsidRPr="001F1493" w:rsidRDefault="00D36ACA" w:rsidP="00B2600B">
            <w:pPr>
              <w:rPr>
                <w:b/>
                <w:sz w:val="22"/>
                <w:szCs w:val="22"/>
              </w:rPr>
            </w:pPr>
            <w:r w:rsidRPr="001F1493">
              <w:rPr>
                <w:b/>
                <w:sz w:val="22"/>
                <w:szCs w:val="22"/>
              </w:rPr>
              <w:t>FDG</w:t>
            </w:r>
          </w:p>
        </w:tc>
        <w:tc>
          <w:tcPr>
            <w:tcW w:w="1276" w:type="dxa"/>
            <w:vMerge w:val="restart"/>
            <w:vAlign w:val="center"/>
          </w:tcPr>
          <w:p w14:paraId="224C8B78" w14:textId="39B8E5A3" w:rsidR="00D36ACA" w:rsidRPr="003273B9" w:rsidRDefault="00D36ACA" w:rsidP="00B2600B">
            <w:pPr>
              <w:rPr>
                <w:sz w:val="22"/>
                <w:szCs w:val="22"/>
              </w:rPr>
            </w:pPr>
            <w:r>
              <w:rPr>
                <w:sz w:val="22"/>
                <w:szCs w:val="22"/>
              </w:rPr>
              <w:t>Rest</w:t>
            </w:r>
          </w:p>
        </w:tc>
        <w:tc>
          <w:tcPr>
            <w:tcW w:w="2128" w:type="dxa"/>
            <w:tcBorders>
              <w:bottom w:val="dashed" w:sz="4" w:space="0" w:color="auto"/>
            </w:tcBorders>
            <w:vAlign w:val="center"/>
          </w:tcPr>
          <w:p w14:paraId="5A2EBFC0" w14:textId="77777777" w:rsidR="00D36ACA" w:rsidRDefault="00D36ACA" w:rsidP="00B2600B">
            <w:pPr>
              <w:rPr>
                <w:sz w:val="22"/>
                <w:szCs w:val="22"/>
              </w:rPr>
            </w:pPr>
            <w:r w:rsidRPr="003273B9">
              <w:rPr>
                <w:sz w:val="22"/>
                <w:szCs w:val="22"/>
              </w:rPr>
              <w:t>Global brain glucose metabolism (metabolic index)</w:t>
            </w:r>
            <w:r>
              <w:rPr>
                <w:sz w:val="22"/>
                <w:szCs w:val="22"/>
              </w:rPr>
              <w:t xml:space="preserve"> </w:t>
            </w:r>
          </w:p>
          <w:p w14:paraId="7C001097" w14:textId="77777777" w:rsidR="00D36ACA" w:rsidRDefault="00D36ACA" w:rsidP="00B2600B">
            <w:pPr>
              <w:rPr>
                <w:sz w:val="22"/>
                <w:szCs w:val="22"/>
              </w:rPr>
            </w:pPr>
          </w:p>
          <w:p w14:paraId="6FFF2E30" w14:textId="30549037" w:rsidR="00D36ACA" w:rsidRPr="003273B9" w:rsidRDefault="00D36ACA" w:rsidP="00B2600B">
            <w:pPr>
              <w:rPr>
                <w:sz w:val="22"/>
                <w:szCs w:val="22"/>
              </w:rPr>
            </w:pPr>
            <w:r w:rsidRPr="003273B9">
              <w:rPr>
                <w:sz w:val="22"/>
                <w:szCs w:val="22"/>
              </w:rPr>
              <w:t xml:space="preserve">Visual evaluation of statistical maps of decreased glucose metabolism in </w:t>
            </w:r>
            <w:r>
              <w:rPr>
                <w:sz w:val="22"/>
                <w:szCs w:val="22"/>
              </w:rPr>
              <w:t>default mode and executive control networks</w:t>
            </w:r>
          </w:p>
        </w:tc>
        <w:tc>
          <w:tcPr>
            <w:tcW w:w="2835" w:type="dxa"/>
            <w:tcBorders>
              <w:bottom w:val="dashed" w:sz="4" w:space="0" w:color="auto"/>
            </w:tcBorders>
            <w:vAlign w:val="center"/>
          </w:tcPr>
          <w:p w14:paraId="2B9BE4CB" w14:textId="49BA526A" w:rsidR="00D36ACA" w:rsidRDefault="00D36ACA" w:rsidP="00B2600B">
            <w:pPr>
              <w:rPr>
                <w:sz w:val="22"/>
                <w:szCs w:val="22"/>
              </w:rPr>
            </w:pPr>
            <w:r w:rsidRPr="406577B6">
              <w:rPr>
                <w:sz w:val="22"/>
                <w:szCs w:val="22"/>
              </w:rPr>
              <w:t xml:space="preserve">Acc = 88%  </w:t>
            </w:r>
          </w:p>
          <w:p w14:paraId="318C2BA2" w14:textId="58CB100E" w:rsidR="00D36ACA" w:rsidRDefault="00D36ACA" w:rsidP="00B2600B">
            <w:pPr>
              <w:rPr>
                <w:sz w:val="22"/>
                <w:szCs w:val="22"/>
              </w:rPr>
            </w:pPr>
          </w:p>
          <w:p w14:paraId="0133C4BA" w14:textId="77777777" w:rsidR="00D36ACA" w:rsidRDefault="00D36ACA" w:rsidP="00B2600B">
            <w:pPr>
              <w:rPr>
                <w:sz w:val="22"/>
                <w:szCs w:val="22"/>
              </w:rPr>
            </w:pPr>
          </w:p>
          <w:p w14:paraId="2EAF704A" w14:textId="0BF889CC" w:rsidR="00D36ACA" w:rsidRDefault="00D36ACA" w:rsidP="00B2600B">
            <w:pPr>
              <w:rPr>
                <w:sz w:val="22"/>
                <w:szCs w:val="22"/>
              </w:rPr>
            </w:pPr>
            <w:r w:rsidRPr="003273B9">
              <w:rPr>
                <w:sz w:val="22"/>
                <w:szCs w:val="22"/>
              </w:rPr>
              <w:t xml:space="preserve">Acc = </w:t>
            </w:r>
            <w:r>
              <w:rPr>
                <w:sz w:val="22"/>
                <w:szCs w:val="22"/>
              </w:rPr>
              <w:t>74</w:t>
            </w:r>
            <w:r w:rsidRPr="003273B9">
              <w:rPr>
                <w:sz w:val="22"/>
                <w:szCs w:val="22"/>
              </w:rPr>
              <w:t>%</w:t>
            </w:r>
            <w:r>
              <w:rPr>
                <w:sz w:val="22"/>
                <w:szCs w:val="22"/>
              </w:rPr>
              <w:t xml:space="preserve"> </w:t>
            </w:r>
          </w:p>
          <w:p w14:paraId="7B127AAB" w14:textId="77777777" w:rsidR="00D36ACA" w:rsidRDefault="00D36ACA" w:rsidP="00B2600B">
            <w:pPr>
              <w:rPr>
                <w:sz w:val="22"/>
                <w:szCs w:val="22"/>
              </w:rPr>
            </w:pPr>
          </w:p>
          <w:p w14:paraId="22BBBFC6" w14:textId="6C40553A" w:rsidR="00D36ACA" w:rsidRPr="003273B9" w:rsidRDefault="00D36ACA" w:rsidP="00B2600B">
            <w:pPr>
              <w:rPr>
                <w:sz w:val="22"/>
                <w:szCs w:val="22"/>
              </w:rPr>
            </w:pPr>
          </w:p>
        </w:tc>
        <w:tc>
          <w:tcPr>
            <w:tcW w:w="3402" w:type="dxa"/>
            <w:tcBorders>
              <w:bottom w:val="dashed" w:sz="4" w:space="0" w:color="auto"/>
            </w:tcBorders>
            <w:vAlign w:val="center"/>
          </w:tcPr>
          <w:p w14:paraId="25C7A44D" w14:textId="26B9C345" w:rsidR="00D36ACA" w:rsidRDefault="00D36ACA" w:rsidP="00B2600B">
            <w:pPr>
              <w:rPr>
                <w:sz w:val="22"/>
                <w:szCs w:val="22"/>
              </w:rPr>
            </w:pPr>
            <w:r>
              <w:rPr>
                <w:sz w:val="22"/>
                <w:szCs w:val="22"/>
              </w:rPr>
              <w:t xml:space="preserve">In DoC, preservation of at least 41% of global glucose metabolism levels associated with better prognosis (any diagnostic change) </w:t>
            </w:r>
            <w:r w:rsidRPr="00C0698A">
              <w:rPr>
                <w:sz w:val="22"/>
                <w:szCs w:val="22"/>
              </w:rPr>
              <w:fldChar w:fldCharType="begin" w:fldLock="1"/>
            </w:r>
            <w:r w:rsidRPr="00C0698A">
              <w:rPr>
                <w:sz w:val="22"/>
                <w:szCs w:val="22"/>
              </w:rPr>
              <w:instrText>ADDIN CSL_CITATION {"citationItems":[{"id":"ITEM-1","itemData":{"DOI":"10.1016/j.cub.2016.04.024","ISSN":"09609822","abstract":"Differentiation of the minimally conscious state (MCS) and the unresponsive wakefulness syndrome (UWS) is a persistent clinical challenge [1]. Based on positron emission tomography (PET) studies with [18F]-fluorodeoxyglucose (FDG) during sleep and anesthesia, the global cerebral metabolic rate of glucose has been proposed as an indicator of consciousness [2, 3]. Likewise, FDG-PET may contribute to the clinical diagnosis of disorders of consciousness (DOCs) [4, 5]. However, current methods are non-quantitative and have important drawbacks deriving from visually guided assessment of relative changes in brain metabolism [4]. We here used FDG-PET to measure resting state brain glucose metabolism in 131 DOC patients to identify objective quantitative metabolic indicators and predictors of awareness. Quantitation of images was performed by normalizing to extracerebral tissue. We show that 42% of normal cortical activity represents the minimal energetic requirement for the presence of conscious awareness. Overall, the cerebral metabolic rate accounted for the current level, or imminent return, of awareness in 94% of the patient population, suggesting a global energetic threshold effect, associated with the reemergence of consciousness after brain injury. Our data further revealed that regional variations relative to the global resting metabolic level reflect preservation of specific cognitive or sensory modules, such as vision and language comprehension. These findings provide a simple and objective metabolic marker of consciousness, which can readily be implemented clinically. The direct correlation between brain metabolism and behavior further suggests that DOCs can fundamentally be understood as pathological neuroenergetic conditions and provide a unifying physiological basis for these syndromes.","author":[{"dropping-particle":"","family":"Stender","given":"Johan","non-dropping-particle":"","parse-names":false,"suffix":""},{"dropping-particle":"","family":"Mortensen","given":"Kristian Nygaard N.","non-dropping-particle":"","parse-names":false,"suffix":""},{"dropping-particle":"","family":"Thibaut","given":"Aurore","non-dropping-particle":"","parse-names":false,"suffix":""},{"dropping-particle":"","family":"Darkner","given":"Sune","non-dropping-particle":"","parse-names":false,"suffix":""},{"dropping-particle":"","family":"Laureys","given":"Steven","non-dropping-particle":"","parse-names":false,"suffix":""},{"dropping-particle":"","family":"Gjedde","given":"Albert","non-dropping-particle":"","parse-names":false,"suffix":""},{"dropping-particle":"","family":"Kupers","given":"Ron","non-dropping-particle":"","parse-names":false,"suffix":""}],"container-title":"Current Biology","id":"ITEM-1","issue":"11","issued":{"date-parts":[["2016"]]},"page":"1494-1499","publisher":"Elsevier Ltd.","title":"The Minimal Energetic Requirement of Sustained Awareness after Brain Injury","type":"article-journal","volume":"26"},"uris":["http://www.mendeley.com/documents/?uuid=70565765-e3ce-4530-9267-deabdf4f0b01"]}],"mendeley":{"formattedCitation":"(Stender et al., 2016)","plainTextFormattedCitation":"(Stender et al., 2016)","previouslyFormattedCitation":"(Stender et al., 2016)"},"properties":{"noteIndex":0},"schema":"https://github.com/citation-style-language/schema/raw/master/csl-citation.json"}</w:instrText>
            </w:r>
            <w:r w:rsidRPr="00C0698A">
              <w:rPr>
                <w:sz w:val="22"/>
                <w:szCs w:val="22"/>
              </w:rPr>
              <w:fldChar w:fldCharType="separate"/>
            </w:r>
            <w:r w:rsidRPr="00C0698A">
              <w:rPr>
                <w:noProof/>
                <w:sz w:val="22"/>
                <w:szCs w:val="22"/>
              </w:rPr>
              <w:t>(Stender et al., 2016)</w:t>
            </w:r>
            <w:r w:rsidRPr="00C0698A">
              <w:rPr>
                <w:sz w:val="22"/>
                <w:szCs w:val="22"/>
              </w:rPr>
              <w:fldChar w:fldCharType="end"/>
            </w:r>
          </w:p>
          <w:p w14:paraId="735EDDD2" w14:textId="77777777" w:rsidR="00D36ACA" w:rsidRDefault="00D36ACA" w:rsidP="00B2600B">
            <w:pPr>
              <w:rPr>
                <w:sz w:val="22"/>
                <w:szCs w:val="22"/>
              </w:rPr>
            </w:pPr>
          </w:p>
          <w:p w14:paraId="14E4C1D7" w14:textId="2F00119F" w:rsidR="00D36ACA" w:rsidRDefault="00D36ACA" w:rsidP="00D36ACA">
            <w:pPr>
              <w:rPr>
                <w:sz w:val="22"/>
                <w:szCs w:val="22"/>
              </w:rPr>
            </w:pPr>
            <w:r>
              <w:rPr>
                <w:sz w:val="22"/>
                <w:szCs w:val="22"/>
              </w:rPr>
              <w:t xml:space="preserve">In DoC, less widespread glucose metabolism decreases in the default mode and executive control networks associated with better prognosis (any diagnostic change) at 12 months </w:t>
            </w:r>
            <w:r w:rsidRPr="00C0698A">
              <w:rPr>
                <w:sz w:val="22"/>
                <w:szCs w:val="22"/>
              </w:rPr>
              <w:fldChar w:fldCharType="begin" w:fldLock="1"/>
            </w:r>
            <w:r w:rsidRPr="00C0698A">
              <w:rPr>
                <w:sz w:val="22"/>
                <w:szCs w:val="22"/>
              </w:rPr>
              <w:instrText>ADDIN CSL_CITATION {"citationItems":[{"id":"ITEM-1","itemData":{"DOI":"10.1016/S0140-6736(14)60042-8","ISSN":"1474547X","abstract":"Summary Background Bedside clinical examinations can have high rates of misdiagnosis of unresponsive wakefulness syndrome (vegetative state) or minimally conscious state. The diagnostic and prognostic usefulness of neuroimaging-based approaches has not been established in a clinical setting. We did a validation study of two neuroimaging-based diagnostic methods: PET imaging and functional MRI (fMRI). Methods For this clinical validation study, we included patients referred to the University Hospital of Liège, Belgium, between January, 2008, and June, 2012, who were diagnosed by our unit with unresponsive wakefulness syndrome, locked-in syndrome, or minimally conscious state with traumatic or non-traumatic causes. We did repeated standardised clinical assessments with the Coma Recovery Scale-Revised (CRS-R), cerebral 18F-fluorodeoxyglucose (FDG) PET, and fMRI during mental activation tasks. We calculated the diagnostic accuracy of both imaging methods with CRS-R diagnosis as reference. We assessed outcome after 12 months with the Glasgow Outcome Scale-Extended. Findings We included 41 patients with unresponsive wakefulness syndrome, four with locked-in syndrome, and 81 in a minimally conscious state (48=traumatic, 78=non-traumatic; 110=chronic, 16=subacute). 18F-FDG PET had high sensitivity for identification of patients in a minimally conscious state (93%, 95% CI 85-98) and high congruence (85%, 77-90) with behavioural CRS-R scores. The active fMRI method was less sensitive at diagnosis of a minimally conscious state (45%, 30-61) and had lower overall congruence with behavioural scores (63%, 51-73) than PET imaging. 18F-FDG PET correctly predicted outcome in 75 of 102 patients (74%, 64-81), and fMRI in 36 of 65 patients (56%, 43-67). 13 of 41 (32%) of the behaviourally unresponsive patients (ie, diagnosed as unresponsive with CRS-R) showed brain activity compatible with (minimal) consciousness (ie, activity associated with consciousness, but diminished compared with fully conscious individuals) on at least one neuroimaging test; 69% of these (9 of 13) patients subsequently recovered consciousness. Interpretation Cerebral 18F-FDG PET could be used to complement bedside examinations and predict long-term recovery of patients with unresponsive wakefulness syndrome. Active fMRI might also be useful for differential diagnosis, but seems to be less accurate. Funding The Belgian National Funds for Scientific Research (FNRS), Fonds Léon Fredericq, the European …","author":[{"dropping-particle":"","family":"Stender","given":"Johan","non-dropping-particle":"","parse-names":false,"suffix":""},{"dropping-particle":"","family":"Gosseries","given":"Olivia","non-dropping-particle":"","parse-names":false,"suffix":""},{"dropping-particle":"","family":"Bruno","given":"Marie Aurélie","non-dropping-particle":"","parse-names":false,"suffix":""},{"dropping-particle":"","family":"Charland-Verville","given":"Vanessa","non-dropping-particle":"","parse-names":false,"suffix":""},{"dropping-particle":"","family":"Vanhaudenhuyse","given":"Audrey","non-dropping-particle":"","parse-names":false,"suffix":""},{"dropping-particle":"","family":"Demertzi","given":"Athena","non-dropping-particle":"","parse-names":false,"suffix":""},{"dropping-particle":"","family":"Chatelle","given":"Camille","non-dropping-particle":"","parse-names":false,"suffix":""},{"dropping-particle":"","family":"Thonnard","given":"Marie","non-dropping-particle":"","parse-names":false,"suffix":""},{"dropping-particle":"","family":"Thibaut","given":"Aurore","non-dropping-particle":"","parse-names":false,"suffix":""},{"dropping-particle":"","family":"Heine","given":"Lizette","non-dropping-particle":"","parse-names":false,"suffix":""},{"dropping-particle":"","family":"Soddu","given":"Andrea","non-dropping-particle":"","parse-names":false,"suffix":""},{"dropping-particle":"","family":"Boly","given":"Mélanie","non-dropping-particle":"","parse-names":false,"suffix":""},{"dropping-particle":"","family":"Schnakers","given":"Caroline","non-dropping-particle":"","parse-names":false,"suffix":""},{"dropping-particle":"","family":"Gjedde","given":"Albert","non-dropping-particle":"","parse-names":false,"suffix":""},{"dropping-particle":"","family":"Laureys","given":"Steven","non-dropping-particle":"","parse-names":false,"suffix":""}],"container-title":"The Lancet","id":"ITEM-1","issue":"9942","issued":{"date-parts":[["2014"]]},"page":"514-22","title":"Diagnostic precision of PET imaging and functional MRI in disorders of consciousness: A clinical validation study","type":"article-journal","volume":"384"},"uris":["http://www.mendeley.com/documents/?uuid=b81239ef-45bc-495a-b55d-b74ce8fcdce5"]}],"mendeley":{"formattedCitation":"(Stender et al., 2014)","plainTextFormattedCitation":"(Stender et al., 2014)","previouslyFormattedCitation":"(Stender et al., 2014)"},"properties":{"noteIndex":0},"schema":"https://github.com/citation-style-language/schema/raw/master/csl-citation.json"}</w:instrText>
            </w:r>
            <w:r w:rsidRPr="00C0698A">
              <w:rPr>
                <w:sz w:val="22"/>
                <w:szCs w:val="22"/>
              </w:rPr>
              <w:fldChar w:fldCharType="separate"/>
            </w:r>
            <w:r w:rsidRPr="00C0698A">
              <w:rPr>
                <w:noProof/>
                <w:sz w:val="22"/>
                <w:szCs w:val="22"/>
              </w:rPr>
              <w:t>(Stender et al., 2014)</w:t>
            </w:r>
            <w:r w:rsidRPr="00C0698A">
              <w:rPr>
                <w:sz w:val="22"/>
                <w:szCs w:val="22"/>
              </w:rPr>
              <w:fldChar w:fldCharType="end"/>
            </w:r>
          </w:p>
          <w:p w14:paraId="76F6DEEF" w14:textId="248E78B6" w:rsidR="00D36ACA" w:rsidRPr="003273B9" w:rsidRDefault="00D36ACA" w:rsidP="00B2600B">
            <w:pPr>
              <w:rPr>
                <w:sz w:val="22"/>
                <w:szCs w:val="22"/>
              </w:rPr>
            </w:pPr>
          </w:p>
        </w:tc>
        <w:tc>
          <w:tcPr>
            <w:tcW w:w="709" w:type="dxa"/>
            <w:tcBorders>
              <w:bottom w:val="dashed" w:sz="4" w:space="0" w:color="auto"/>
            </w:tcBorders>
            <w:shd w:val="clear" w:color="auto" w:fill="FFFF00"/>
            <w:vAlign w:val="center"/>
          </w:tcPr>
          <w:p w14:paraId="77D3632B" w14:textId="77777777" w:rsidR="00D36ACA" w:rsidRPr="003273B9" w:rsidRDefault="00D36ACA" w:rsidP="00B2600B">
            <w:pPr>
              <w:rPr>
                <w:sz w:val="22"/>
                <w:szCs w:val="22"/>
              </w:rPr>
            </w:pPr>
          </w:p>
        </w:tc>
        <w:tc>
          <w:tcPr>
            <w:tcW w:w="851" w:type="dxa"/>
            <w:tcBorders>
              <w:bottom w:val="dashed" w:sz="4" w:space="0" w:color="auto"/>
            </w:tcBorders>
            <w:shd w:val="clear" w:color="auto" w:fill="ED7D31" w:themeFill="accent2"/>
            <w:vAlign w:val="center"/>
          </w:tcPr>
          <w:p w14:paraId="03905BA4" w14:textId="1F626EA3" w:rsidR="00D36ACA" w:rsidRPr="003273B9" w:rsidRDefault="00D36ACA" w:rsidP="00B2600B">
            <w:pPr>
              <w:rPr>
                <w:sz w:val="22"/>
                <w:szCs w:val="22"/>
              </w:rPr>
            </w:pPr>
            <w:r>
              <w:rPr>
                <w:sz w:val="22"/>
                <w:szCs w:val="22"/>
              </w:rPr>
              <w:t xml:space="preserve">    </w:t>
            </w:r>
          </w:p>
        </w:tc>
      </w:tr>
      <w:tr w:rsidR="00D36ACA" w14:paraId="7A1D342F" w14:textId="77777777" w:rsidTr="007224D0">
        <w:trPr>
          <w:trHeight w:val="300"/>
        </w:trPr>
        <w:tc>
          <w:tcPr>
            <w:tcW w:w="849" w:type="dxa"/>
            <w:vMerge/>
            <w:vAlign w:val="center"/>
          </w:tcPr>
          <w:p w14:paraId="2D9C65ED" w14:textId="77777777" w:rsidR="00D36ACA" w:rsidRPr="001F1493" w:rsidRDefault="00D36ACA" w:rsidP="00B2600B">
            <w:pPr>
              <w:rPr>
                <w:b/>
                <w:sz w:val="22"/>
                <w:szCs w:val="22"/>
              </w:rPr>
            </w:pPr>
          </w:p>
        </w:tc>
        <w:tc>
          <w:tcPr>
            <w:tcW w:w="1417" w:type="dxa"/>
            <w:vMerge/>
            <w:vAlign w:val="center"/>
          </w:tcPr>
          <w:p w14:paraId="63FF0738" w14:textId="77777777" w:rsidR="00D36ACA" w:rsidRPr="001F1493" w:rsidRDefault="00D36ACA" w:rsidP="00B2600B">
            <w:pPr>
              <w:rPr>
                <w:b/>
                <w:sz w:val="22"/>
                <w:szCs w:val="22"/>
              </w:rPr>
            </w:pPr>
          </w:p>
        </w:tc>
        <w:tc>
          <w:tcPr>
            <w:tcW w:w="1276" w:type="dxa"/>
            <w:vMerge/>
            <w:vAlign w:val="center"/>
          </w:tcPr>
          <w:p w14:paraId="49C4CC2E" w14:textId="2756AA08" w:rsidR="00D36ACA" w:rsidRPr="003273B9" w:rsidRDefault="00D36ACA" w:rsidP="00B2600B">
            <w:pPr>
              <w:rPr>
                <w:sz w:val="22"/>
                <w:szCs w:val="22"/>
              </w:rPr>
            </w:pPr>
          </w:p>
        </w:tc>
        <w:tc>
          <w:tcPr>
            <w:tcW w:w="2128" w:type="dxa"/>
            <w:tcBorders>
              <w:top w:val="dashed" w:sz="4" w:space="0" w:color="auto"/>
            </w:tcBorders>
            <w:vAlign w:val="center"/>
          </w:tcPr>
          <w:p w14:paraId="1DD9DC93" w14:textId="77777777" w:rsidR="00D36ACA" w:rsidRPr="003273B9" w:rsidRDefault="00D36ACA" w:rsidP="00B2600B">
            <w:pPr>
              <w:rPr>
                <w:sz w:val="22"/>
                <w:szCs w:val="22"/>
              </w:rPr>
            </w:pPr>
            <w:r w:rsidRPr="003273B9">
              <w:rPr>
                <w:sz w:val="22"/>
                <w:szCs w:val="22"/>
              </w:rPr>
              <w:t>Visual evaluation of internal and external awareness networks on glucose metabolism images (SUV)</w:t>
            </w:r>
          </w:p>
        </w:tc>
        <w:tc>
          <w:tcPr>
            <w:tcW w:w="2835" w:type="dxa"/>
            <w:tcBorders>
              <w:top w:val="dashed" w:sz="4" w:space="0" w:color="auto"/>
            </w:tcBorders>
            <w:vAlign w:val="center"/>
          </w:tcPr>
          <w:p w14:paraId="49EFC167" w14:textId="7547DE35" w:rsidR="00D36ACA" w:rsidRPr="003273B9" w:rsidRDefault="00D36ACA" w:rsidP="007224D0">
            <w:pPr>
              <w:rPr>
                <w:sz w:val="22"/>
                <w:szCs w:val="22"/>
              </w:rPr>
            </w:pPr>
            <w:r>
              <w:rPr>
                <w:sz w:val="22"/>
                <w:szCs w:val="22"/>
              </w:rPr>
              <w:t>Sens = 30%</w:t>
            </w:r>
            <w:r w:rsidR="007224D0">
              <w:rPr>
                <w:sz w:val="22"/>
                <w:szCs w:val="22"/>
              </w:rPr>
              <w:t xml:space="preserve">;  </w:t>
            </w:r>
            <w:r>
              <w:rPr>
                <w:sz w:val="22"/>
                <w:szCs w:val="22"/>
              </w:rPr>
              <w:t>Spec = 100%</w:t>
            </w:r>
            <w:r w:rsidR="007224D0">
              <w:rPr>
                <w:sz w:val="22"/>
                <w:szCs w:val="22"/>
              </w:rPr>
              <w:t xml:space="preserve">;  </w:t>
            </w:r>
            <w:r>
              <w:rPr>
                <w:sz w:val="22"/>
                <w:szCs w:val="22"/>
              </w:rPr>
              <w:t>Acc = 54%</w:t>
            </w:r>
          </w:p>
        </w:tc>
        <w:tc>
          <w:tcPr>
            <w:tcW w:w="3402" w:type="dxa"/>
            <w:tcBorders>
              <w:top w:val="dashed" w:sz="4" w:space="0" w:color="auto"/>
            </w:tcBorders>
            <w:vAlign w:val="center"/>
          </w:tcPr>
          <w:p w14:paraId="0DDB69A2" w14:textId="32E70FEC" w:rsidR="00D36ACA" w:rsidRPr="003273B9" w:rsidRDefault="00D36ACA" w:rsidP="00B2600B">
            <w:pPr>
              <w:rPr>
                <w:sz w:val="22"/>
                <w:szCs w:val="22"/>
              </w:rPr>
            </w:pPr>
            <w:r>
              <w:rPr>
                <w:sz w:val="22"/>
                <w:szCs w:val="22"/>
              </w:rPr>
              <w:t>In prolonged UWS/VS, m</w:t>
            </w:r>
            <w:r w:rsidRPr="003273B9">
              <w:rPr>
                <w:sz w:val="22"/>
                <w:szCs w:val="22"/>
              </w:rPr>
              <w:t>ore limited decrease of glucose metabolism in UWS/VS patients</w:t>
            </w:r>
            <w:r>
              <w:rPr>
                <w:sz w:val="22"/>
                <w:szCs w:val="22"/>
              </w:rPr>
              <w:t xml:space="preserve">, indicative of MCS*, associated with  increased chances of partial or full consciousness recovery at 12 months </w:t>
            </w:r>
            <w:r w:rsidRPr="00C0698A">
              <w:rPr>
                <w:sz w:val="22"/>
                <w:szCs w:val="22"/>
              </w:rPr>
              <w:fldChar w:fldCharType="begin" w:fldLock="1"/>
            </w:r>
            <w:r w:rsidRPr="00C0698A">
              <w:rPr>
                <w:sz w:val="22"/>
                <w:szCs w:val="22"/>
              </w:rPr>
              <w:instrText>ADDIN CSL_CITATION {"citationItems":[{"id":"ITEM-1","itemData":{"ISSN":"0364-5134","author":[{"dropping-particle":"","family":"Thibaut","given":"Aurore","non-dropping-particle":"","parse-names":false,"suffix":""},{"dropping-particle":"","family":"Panda","given":"Rajanikant","non-dropping-particle":"","parse-names":false,"suffix":""},{"dropping-particle":"","family":"Annen","given":"Jitka","non-dropping-particle":"","parse-names":false,"suffix":""},{"dropping-particle":"","family":"Sanz","given":"Leandro R D","non-dropping-particle":"","parse-names":false,"suffix":""},{"dropping-particle":"","family":"Naccache","given":"Lionel","non-dropping-particle":"","parse-names":false,"suffix":""},{"dropping-particle":"","family":"Martial","given":"Charlotte","non-dropping-particle":"","parse-names":false,"suffix":""},{"dropping-particle":"","family":"Chatelle","given":"Camille","non-dropping-particle":"","parse-names":false,"suffix":""},{"dropping-particle":"","family":"Aubinet","given":"Charlène","non-dropping-particle":"","parse-names":false,"suffix":""},{"dropping-particle":"","family":"Bonin","given":"Estelle A C","non-dropping-particle":"","parse-names":false,"suffix":""},{"dropping-particle":"","family":"Barra","given":"Alice","non-dropping-particle":"","parse-names":false,"suffix":""}],"container-title":"Annals of neurology","id":"ITEM-1","issue":"1","issued":{"date-parts":[["2021"]]},"page":"89-100","publisher":"Wiley Online Library","title":"Preservation of brain activity in unresponsive patients identifies MCS star","type":"article-journal","volume":"90"},"uris":["http://www.mendeley.com/documents/?uuid=bfa0be28-b361-4c67-ba69-f7f3b8be3e70"]}],"mendeley":{"formattedCitation":"(Thibaut et al., 2021)","plainTextFormattedCitation":"(Thibaut et al., 2021)","previouslyFormattedCitation":"(Thibaut et al., 2021)"},"properties":{"noteIndex":0},"schema":"https://github.com/citation-style-language/schema/raw/master/csl-citation.json"}</w:instrText>
            </w:r>
            <w:r w:rsidRPr="00C0698A">
              <w:rPr>
                <w:sz w:val="22"/>
                <w:szCs w:val="22"/>
              </w:rPr>
              <w:fldChar w:fldCharType="separate"/>
            </w:r>
            <w:r w:rsidRPr="00C0698A">
              <w:rPr>
                <w:noProof/>
                <w:sz w:val="22"/>
                <w:szCs w:val="22"/>
              </w:rPr>
              <w:t>(Thibaut et al., 2021)</w:t>
            </w:r>
            <w:r w:rsidRPr="00C0698A">
              <w:rPr>
                <w:sz w:val="22"/>
                <w:szCs w:val="22"/>
              </w:rPr>
              <w:fldChar w:fldCharType="end"/>
            </w:r>
          </w:p>
        </w:tc>
        <w:tc>
          <w:tcPr>
            <w:tcW w:w="709" w:type="dxa"/>
            <w:tcBorders>
              <w:top w:val="dashed" w:sz="4" w:space="0" w:color="auto"/>
            </w:tcBorders>
            <w:shd w:val="clear" w:color="auto" w:fill="auto"/>
            <w:vAlign w:val="center"/>
          </w:tcPr>
          <w:p w14:paraId="35701DD4" w14:textId="2FC36C1F" w:rsidR="00D36ACA" w:rsidRPr="003273B9" w:rsidRDefault="00D36ACA" w:rsidP="00B2600B">
            <w:pPr>
              <w:rPr>
                <w:sz w:val="22"/>
                <w:szCs w:val="22"/>
              </w:rPr>
            </w:pPr>
            <w:r>
              <w:rPr>
                <w:sz w:val="22"/>
                <w:szCs w:val="22"/>
              </w:rPr>
              <w:t>NA</w:t>
            </w:r>
          </w:p>
        </w:tc>
        <w:tc>
          <w:tcPr>
            <w:tcW w:w="851" w:type="dxa"/>
            <w:tcBorders>
              <w:top w:val="dashed" w:sz="4" w:space="0" w:color="auto"/>
            </w:tcBorders>
            <w:shd w:val="clear" w:color="auto" w:fill="auto"/>
            <w:vAlign w:val="center"/>
          </w:tcPr>
          <w:p w14:paraId="29352DC7" w14:textId="79FFF7BF" w:rsidR="00D36ACA" w:rsidRPr="003273B9" w:rsidRDefault="00D36ACA" w:rsidP="00B2600B">
            <w:pPr>
              <w:rPr>
                <w:sz w:val="22"/>
                <w:szCs w:val="22"/>
              </w:rPr>
            </w:pPr>
            <w:r>
              <w:rPr>
                <w:sz w:val="22"/>
                <w:szCs w:val="22"/>
              </w:rPr>
              <w:t>NA</w:t>
            </w:r>
          </w:p>
        </w:tc>
      </w:tr>
      <w:tr w:rsidR="004968EA" w14:paraId="3B10F6D5" w14:textId="77777777" w:rsidTr="007224D0">
        <w:trPr>
          <w:cantSplit/>
          <w:trHeight w:val="1134"/>
        </w:trPr>
        <w:tc>
          <w:tcPr>
            <w:tcW w:w="849" w:type="dxa"/>
            <w:vMerge/>
            <w:vAlign w:val="center"/>
          </w:tcPr>
          <w:p w14:paraId="4D67DAE5" w14:textId="77777777" w:rsidR="004968EA" w:rsidRPr="001F1493" w:rsidRDefault="004968EA" w:rsidP="00B2600B">
            <w:pPr>
              <w:rPr>
                <w:b/>
                <w:strike/>
                <w:sz w:val="22"/>
                <w:szCs w:val="22"/>
              </w:rPr>
            </w:pPr>
          </w:p>
        </w:tc>
        <w:tc>
          <w:tcPr>
            <w:tcW w:w="1417" w:type="dxa"/>
            <w:vAlign w:val="center"/>
          </w:tcPr>
          <w:p w14:paraId="24456BB8" w14:textId="77777777" w:rsidR="004968EA" w:rsidRPr="00733A9E" w:rsidRDefault="004968EA" w:rsidP="00B2600B">
            <w:pPr>
              <w:rPr>
                <w:b/>
                <w:sz w:val="22"/>
                <w:szCs w:val="22"/>
              </w:rPr>
            </w:pPr>
            <w:r w:rsidRPr="00733A9E">
              <w:rPr>
                <w:b/>
                <w:sz w:val="22"/>
                <w:szCs w:val="22"/>
              </w:rPr>
              <w:t>H2O</w:t>
            </w:r>
          </w:p>
        </w:tc>
        <w:tc>
          <w:tcPr>
            <w:tcW w:w="1276" w:type="dxa"/>
            <w:vAlign w:val="center"/>
          </w:tcPr>
          <w:p w14:paraId="1642343C" w14:textId="30B0C240" w:rsidR="004968EA" w:rsidRPr="00733A9E" w:rsidRDefault="004968EA" w:rsidP="00B2600B">
            <w:pPr>
              <w:rPr>
                <w:sz w:val="22"/>
                <w:szCs w:val="22"/>
              </w:rPr>
            </w:pPr>
            <w:r w:rsidRPr="00733A9E">
              <w:rPr>
                <w:sz w:val="22"/>
                <w:szCs w:val="22"/>
              </w:rPr>
              <w:t>Passive</w:t>
            </w:r>
            <w:r w:rsidR="00C36A05">
              <w:rPr>
                <w:sz w:val="22"/>
                <w:szCs w:val="22"/>
              </w:rPr>
              <w:t>-</w:t>
            </w:r>
            <w:r w:rsidRPr="00733A9E">
              <w:rPr>
                <w:sz w:val="22"/>
                <w:szCs w:val="22"/>
              </w:rPr>
              <w:t>stimulation</w:t>
            </w:r>
          </w:p>
        </w:tc>
        <w:tc>
          <w:tcPr>
            <w:tcW w:w="2128" w:type="dxa"/>
            <w:vAlign w:val="center"/>
          </w:tcPr>
          <w:p w14:paraId="04DA92BB" w14:textId="1F75AC64" w:rsidR="004968EA" w:rsidRPr="00D36ACA" w:rsidRDefault="00D36ACA" w:rsidP="00B2600B">
            <w:pPr>
              <w:rPr>
                <w:sz w:val="22"/>
                <w:szCs w:val="22"/>
              </w:rPr>
            </w:pPr>
            <w:r>
              <w:rPr>
                <w:sz w:val="22"/>
                <w:szCs w:val="22"/>
              </w:rPr>
              <w:t>Visual and automated classification of volume of BOLD brain activation using stimulation with familiar/salient stimuli</w:t>
            </w:r>
          </w:p>
        </w:tc>
        <w:tc>
          <w:tcPr>
            <w:tcW w:w="2835" w:type="dxa"/>
            <w:vAlign w:val="center"/>
          </w:tcPr>
          <w:p w14:paraId="6BAC8886" w14:textId="33DE42B4" w:rsidR="00D36ACA" w:rsidRDefault="00D36ACA" w:rsidP="00D36ACA">
            <w:pPr>
              <w:rPr>
                <w:sz w:val="22"/>
                <w:szCs w:val="22"/>
              </w:rPr>
            </w:pPr>
            <w:r>
              <w:rPr>
                <w:sz w:val="22"/>
                <w:szCs w:val="22"/>
              </w:rPr>
              <w:t>Sens = 67%</w:t>
            </w:r>
            <w:r w:rsidR="007224D0">
              <w:rPr>
                <w:sz w:val="22"/>
                <w:szCs w:val="22"/>
              </w:rPr>
              <w:t xml:space="preserve">; </w:t>
            </w:r>
            <w:r>
              <w:rPr>
                <w:sz w:val="22"/>
                <w:szCs w:val="22"/>
              </w:rPr>
              <w:t>Spec = 76%</w:t>
            </w:r>
            <w:r w:rsidR="007224D0">
              <w:rPr>
                <w:sz w:val="22"/>
                <w:szCs w:val="22"/>
              </w:rPr>
              <w:t>;</w:t>
            </w:r>
          </w:p>
          <w:p w14:paraId="54FE7E3B" w14:textId="5F7ED6EF" w:rsidR="00D36ACA" w:rsidRDefault="00D36ACA" w:rsidP="00D36ACA">
            <w:pPr>
              <w:rPr>
                <w:sz w:val="22"/>
                <w:szCs w:val="22"/>
              </w:rPr>
            </w:pPr>
            <w:r>
              <w:rPr>
                <w:sz w:val="22"/>
                <w:szCs w:val="22"/>
              </w:rPr>
              <w:t xml:space="preserve">Acc = </w:t>
            </w:r>
            <w:r w:rsidR="00733A9E">
              <w:rPr>
                <w:sz w:val="22"/>
                <w:szCs w:val="22"/>
              </w:rPr>
              <w:t>75</w:t>
            </w:r>
            <w:r>
              <w:rPr>
                <w:sz w:val="22"/>
                <w:szCs w:val="22"/>
              </w:rPr>
              <w:t>%</w:t>
            </w:r>
          </w:p>
          <w:p w14:paraId="503BB47F" w14:textId="4B6BC639" w:rsidR="004968EA" w:rsidRPr="00D36ACA" w:rsidRDefault="00D36ACA" w:rsidP="00B2600B">
            <w:pPr>
              <w:rPr>
                <w:sz w:val="22"/>
                <w:szCs w:val="22"/>
              </w:rPr>
            </w:pPr>
            <w:r>
              <w:rPr>
                <w:sz w:val="22"/>
                <w:szCs w:val="22"/>
              </w:rPr>
              <w:t>(acute or prolonged UWS)</w:t>
            </w:r>
          </w:p>
        </w:tc>
        <w:tc>
          <w:tcPr>
            <w:tcW w:w="3402" w:type="dxa"/>
            <w:vAlign w:val="center"/>
          </w:tcPr>
          <w:p w14:paraId="1D885E8E" w14:textId="3D957353" w:rsidR="004968EA" w:rsidRPr="00D36ACA" w:rsidRDefault="00D36ACA" w:rsidP="00B2600B">
            <w:pPr>
              <w:rPr>
                <w:sz w:val="22"/>
                <w:szCs w:val="22"/>
              </w:rPr>
            </w:pPr>
            <w:r>
              <w:rPr>
                <w:sz w:val="22"/>
                <w:szCs w:val="22"/>
              </w:rPr>
              <w:t xml:space="preserve">In acute/prolonged UWS/VS, evidence of activation in associative cortices during passive-stimulation protocols predicts more </w:t>
            </w:r>
            <w:proofErr w:type="spellStart"/>
            <w:r>
              <w:rPr>
                <w:sz w:val="22"/>
                <w:szCs w:val="22"/>
              </w:rPr>
              <w:t>favourable</w:t>
            </w:r>
            <w:proofErr w:type="spellEnd"/>
            <w:r>
              <w:rPr>
                <w:sz w:val="22"/>
                <w:szCs w:val="22"/>
              </w:rPr>
              <w:t xml:space="preserve"> outcomes (pooled results of 8 studies as in </w:t>
            </w:r>
            <w:r w:rsidRPr="000C7242">
              <w:rPr>
                <w:sz w:val="22"/>
                <w:szCs w:val="22"/>
              </w:rPr>
              <w:fldChar w:fldCharType="begin" w:fldLock="1"/>
            </w:r>
            <w:r w:rsidRPr="000C7242">
              <w:rPr>
                <w:sz w:val="22"/>
                <w:szCs w:val="22"/>
              </w:rPr>
              <w:instrText>ADDIN CSL_CITATION {"citationItems":[{"id":"ITEM-1","itemData":{"DOI":"10.7861/clinmedicine.8-5-502","ISSN":"14702118","PMID":"18975482","abstract":"The vegetative state (VS) is a devastating clinical condition characterised by wakefulness without awareness. Functional neuroimaging permits to objectively measure brain responsiveness to external stimuli in VS. The literature on functional magnetic resonance imaging and positron emission tomography studies in these patients has been reviewed. Results from 15 studies were classified in: absent cortical activation or 'typical' activation of 'low level' primary sensory cortices and 'atypical' activation spreading to 'higher level' associative cortices. This descriptive review on 48 published cases suggests that 'atypical' activation patterns seem to herald recovery from VS with a 93% specificity and 69% sensitivity. Passive stimulation paradigms, however, do not permit to make strong claims about the absence or presence of consciousness. Recently proposed mental imagery paradigms permit to identify signs of consciousness in non-communicative brain damaged patients. The clinical application of these functional neuroimaging techniques awaits validation from ongoing multi-centric cohort studies in these challenging patients with chronic disorders of consciousness. © Royal College of Physicians, 2008. All rights reserved.","author":[{"dropping-particle":"","family":"Di","given":"Haibo","non-dropping-particle":"","parse-names":false,"suffix":""},{"dropping-particle":"","family":"Boly","given":"Melanie","non-dropping-particle":"","parse-names":false,"suffix":""},{"dropping-particle":"","family":"Weng","given":"Xuchu","non-dropping-particle":"","parse-names":false,"suffix":""},{"dropping-particle":"","family":"Ledoux","given":"Didier","non-dropping-particle":"","parse-names":false,"suffix":""},{"dropping-particle":"","family":"Laureys","given":"Steven","non-dropping-particle":"","parse-names":false,"suffix":""}],"container-title":"Clinical Medicine, Journal of the Royal College of Physicians of London","id":"ITEM-1","issue":"5","issued":{"date-parts":[["2008"]]},"page":"502-507","title":"Neuroimaging activation studies in the vegetative state: Predictors of recovery?","type":"article-journal","volume":"8"},"uris":["http://www.mendeley.com/documents/?uuid=c1d6563e-d180-4b2a-bb34-c995ea8191ab"]}],"mendeley":{"formattedCitation":"(Di et al., 2008)","plainTextFormattedCitation":"(Di et al., 2008)","previouslyFormattedCitation":"(Di et al., 2008)"},"properties":{"noteIndex":0},"schema":"https://github.com/citation-style-language/schema/raw/master/csl-citation.json"}</w:instrText>
            </w:r>
            <w:r w:rsidRPr="000C7242">
              <w:rPr>
                <w:sz w:val="22"/>
                <w:szCs w:val="22"/>
              </w:rPr>
              <w:fldChar w:fldCharType="separate"/>
            </w:r>
            <w:r w:rsidRPr="000C7242">
              <w:rPr>
                <w:noProof/>
                <w:sz w:val="22"/>
                <w:szCs w:val="22"/>
              </w:rPr>
              <w:t>Di et al., 2008)</w:t>
            </w:r>
            <w:r w:rsidRPr="000C7242">
              <w:rPr>
                <w:sz w:val="22"/>
                <w:szCs w:val="22"/>
              </w:rPr>
              <w:fldChar w:fldCharType="end"/>
            </w:r>
          </w:p>
        </w:tc>
        <w:tc>
          <w:tcPr>
            <w:tcW w:w="709" w:type="dxa"/>
            <w:shd w:val="clear" w:color="auto" w:fill="auto"/>
            <w:vAlign w:val="center"/>
          </w:tcPr>
          <w:p w14:paraId="13A02F14" w14:textId="651E1E5B" w:rsidR="004968EA" w:rsidRPr="00131F74" w:rsidRDefault="00131F74" w:rsidP="00B2600B">
            <w:pPr>
              <w:rPr>
                <w:sz w:val="22"/>
                <w:szCs w:val="22"/>
              </w:rPr>
            </w:pPr>
            <w:r w:rsidRPr="00131F74">
              <w:rPr>
                <w:sz w:val="22"/>
                <w:szCs w:val="22"/>
              </w:rPr>
              <w:t>NA</w:t>
            </w:r>
          </w:p>
        </w:tc>
        <w:tc>
          <w:tcPr>
            <w:tcW w:w="851" w:type="dxa"/>
            <w:shd w:val="clear" w:color="auto" w:fill="auto"/>
            <w:vAlign w:val="center"/>
          </w:tcPr>
          <w:p w14:paraId="033ABC4E" w14:textId="6826BF03" w:rsidR="004968EA" w:rsidRPr="00131F74" w:rsidRDefault="00131F74" w:rsidP="00B2600B">
            <w:pPr>
              <w:rPr>
                <w:sz w:val="22"/>
                <w:szCs w:val="22"/>
              </w:rPr>
            </w:pPr>
            <w:r w:rsidRPr="00131F74">
              <w:rPr>
                <w:sz w:val="22"/>
                <w:szCs w:val="22"/>
              </w:rPr>
              <w:t>NA</w:t>
            </w:r>
          </w:p>
        </w:tc>
      </w:tr>
      <w:tr w:rsidR="004968EA" w14:paraId="08D1B81C" w14:textId="77777777" w:rsidTr="007224D0">
        <w:trPr>
          <w:cantSplit/>
          <w:trHeight w:val="1134"/>
        </w:trPr>
        <w:tc>
          <w:tcPr>
            <w:tcW w:w="849" w:type="dxa"/>
            <w:vAlign w:val="center"/>
          </w:tcPr>
          <w:p w14:paraId="14DA25C5" w14:textId="77777777" w:rsidR="004968EA" w:rsidRPr="003273B9" w:rsidRDefault="004968EA" w:rsidP="00B2600B">
            <w:pPr>
              <w:rPr>
                <w:b/>
                <w:sz w:val="22"/>
                <w:szCs w:val="22"/>
              </w:rPr>
            </w:pPr>
            <w:r w:rsidRPr="003273B9">
              <w:rPr>
                <w:b/>
                <w:sz w:val="22"/>
                <w:szCs w:val="22"/>
              </w:rPr>
              <w:t>SPECT</w:t>
            </w:r>
          </w:p>
        </w:tc>
        <w:tc>
          <w:tcPr>
            <w:tcW w:w="1417" w:type="dxa"/>
            <w:vAlign w:val="center"/>
          </w:tcPr>
          <w:p w14:paraId="0FE7A89F" w14:textId="4AE2D3FB" w:rsidR="004968EA" w:rsidRPr="003273B9" w:rsidRDefault="00C36A05" w:rsidP="00B2600B">
            <w:pPr>
              <w:rPr>
                <w:sz w:val="22"/>
                <w:szCs w:val="22"/>
              </w:rPr>
            </w:pPr>
            <w:r>
              <w:rPr>
                <w:b/>
                <w:sz w:val="22"/>
                <w:szCs w:val="22"/>
              </w:rPr>
              <w:t>99m</w:t>
            </w:r>
            <w:r w:rsidR="0066260A" w:rsidRPr="0066260A">
              <w:rPr>
                <w:b/>
                <w:sz w:val="22"/>
                <w:szCs w:val="22"/>
              </w:rPr>
              <w:t>Tc-ECD</w:t>
            </w:r>
          </w:p>
        </w:tc>
        <w:tc>
          <w:tcPr>
            <w:tcW w:w="1276" w:type="dxa"/>
            <w:vAlign w:val="center"/>
          </w:tcPr>
          <w:p w14:paraId="453C9C20" w14:textId="70C6F4BE" w:rsidR="004968EA" w:rsidRPr="003273B9" w:rsidRDefault="0066260A" w:rsidP="00B2600B">
            <w:pPr>
              <w:rPr>
                <w:sz w:val="22"/>
                <w:szCs w:val="22"/>
              </w:rPr>
            </w:pPr>
            <w:r>
              <w:rPr>
                <w:sz w:val="22"/>
                <w:szCs w:val="22"/>
              </w:rPr>
              <w:t>Rest</w:t>
            </w:r>
          </w:p>
        </w:tc>
        <w:tc>
          <w:tcPr>
            <w:tcW w:w="2128" w:type="dxa"/>
            <w:vAlign w:val="center"/>
          </w:tcPr>
          <w:p w14:paraId="6CC85062" w14:textId="1BE9FD54" w:rsidR="004968EA" w:rsidRPr="003273B9" w:rsidRDefault="0066260A" w:rsidP="0066260A">
            <w:pPr>
              <w:rPr>
                <w:sz w:val="22"/>
                <w:szCs w:val="22"/>
              </w:rPr>
            </w:pPr>
            <w:r>
              <w:rPr>
                <w:sz w:val="22"/>
                <w:szCs w:val="22"/>
              </w:rPr>
              <w:t xml:space="preserve">Standard visual evaluation of brain </w:t>
            </w:r>
            <w:r w:rsidR="00131F74">
              <w:rPr>
                <w:sz w:val="22"/>
                <w:szCs w:val="22"/>
              </w:rPr>
              <w:t>blood flow</w:t>
            </w:r>
          </w:p>
        </w:tc>
        <w:tc>
          <w:tcPr>
            <w:tcW w:w="2835" w:type="dxa"/>
            <w:vAlign w:val="center"/>
          </w:tcPr>
          <w:p w14:paraId="5BC0AFC5" w14:textId="757BE2B8" w:rsidR="004968EA" w:rsidRPr="003273B9" w:rsidRDefault="0066260A" w:rsidP="00B2600B">
            <w:pPr>
              <w:rPr>
                <w:sz w:val="22"/>
                <w:szCs w:val="22"/>
              </w:rPr>
            </w:pPr>
            <w:r w:rsidRPr="008A5758">
              <w:rPr>
                <w:sz w:val="22"/>
                <w:szCs w:val="22"/>
              </w:rPr>
              <w:t>OR</w:t>
            </w:r>
            <w:r w:rsidR="008A5758" w:rsidRPr="008A5758">
              <w:rPr>
                <w:sz w:val="22"/>
                <w:szCs w:val="22"/>
              </w:rPr>
              <w:t xml:space="preserve"> = 58.3 </w:t>
            </w:r>
          </w:p>
        </w:tc>
        <w:tc>
          <w:tcPr>
            <w:tcW w:w="3402" w:type="dxa"/>
            <w:vAlign w:val="center"/>
          </w:tcPr>
          <w:p w14:paraId="0A23EF43" w14:textId="47FB8875" w:rsidR="004968EA" w:rsidRPr="003273B9" w:rsidRDefault="406577B6" w:rsidP="00B2600B">
            <w:pPr>
              <w:rPr>
                <w:sz w:val="22"/>
                <w:szCs w:val="22"/>
              </w:rPr>
            </w:pPr>
            <w:r w:rsidRPr="406577B6">
              <w:rPr>
                <w:sz w:val="22"/>
                <w:szCs w:val="22"/>
              </w:rPr>
              <w:t>In traumatic prolonged UWS/VS, normal brain blood flow associated with more favorable outcomes at 12 months (</w:t>
            </w:r>
            <w:r w:rsidR="001A7025">
              <w:rPr>
                <w:sz w:val="22"/>
                <w:szCs w:val="22"/>
              </w:rPr>
              <w:t>consciousness recovery, with or without disability</w:t>
            </w:r>
            <w:r w:rsidRPr="406577B6">
              <w:rPr>
                <w:sz w:val="22"/>
                <w:szCs w:val="22"/>
              </w:rPr>
              <w:t>)</w:t>
            </w:r>
            <w:r w:rsidR="00D40C3F" w:rsidRPr="00D40C3F">
              <w:rPr>
                <w:sz w:val="22"/>
                <w:szCs w:val="22"/>
              </w:rPr>
              <w:t xml:space="preserve"> </w:t>
            </w:r>
            <w:r w:rsidR="00D40C3F" w:rsidRPr="00D40C3F">
              <w:rPr>
                <w:sz w:val="22"/>
                <w:szCs w:val="22"/>
              </w:rPr>
              <w:fldChar w:fldCharType="begin" w:fldLock="1"/>
            </w:r>
            <w:r w:rsidR="00D40C3F" w:rsidRPr="00D40C3F">
              <w:rPr>
                <w:sz w:val="22"/>
                <w:szCs w:val="22"/>
              </w:rPr>
              <w:instrText>ADDIN CSL_CITATION {"citationItems":[{"id":"ITEM-1","itemData":{"DOI":"10.4103/0976-3147.80079","ISSN":"09763147","abstract":"Background: Neurotrauma is one of the most important causes of death and disability. Some of the severely head injured patients, failed to show significant improvement despite aggressive neurosurgical management and ended up in a vegetative state. Aims: To assess the outcome at six months and one year using Glasgow outcome scale (GOS), in this prospective study on patients with severe head injury, who remained vegetative at one month. Materials and Methods: This prospective study was carried out in the department of Neurosurgery, All India Institute of Medical Sciences (AIIMS), New Delhi, over a period of a year and a half (March 2002 through July 2003). Materials and Methods: In patients with severe head injury (GCS &lt; 8), post resuscitation, neurological assessment was done with Glasgow coma scale (GCS), pupillary light reflex, doll's eye movement and cold caloric test in all cases. Fifty patients, who remained vegetative post injury according to the criteria of Jennett and Plum, at one month, were considered for the study. Brain SPECT (Single Photon Emission Computed T omography) Scanning was carried out in selected cases. Statistical analysis: Data analysis was done by Pearson's chi-square test on computer software SPSS, Version 10 (California, USA). Results: Patients with preserved brainstem reflex and with no perfusion defect on SPECT scan had statistically significant favorable outcome. More than 40% of vegetative patients regained consciousness by the end of one year, of whom 24% had favorable outcome in the form of moderate disability and good recovery. Conclusion: SPECT is better than computed tomography/magnetic resonance imaging (CT/MRI) as it assesses the cerebral perfusion and functional injury rather than detecting the lesions only. Further study with a control group is necessary to establish the role of SPECT in head injury.","author":[{"dropping-particle":"","family":"Nayak","given":"Pralaya","non-dropping-particle":"","parse-names":false,"suffix":""},{"dropping-particle":"","family":"Mahapatra","given":"Ashok","non-dropping-particle":"","parse-names":false,"suffix":""}],"container-title":"Journal of Neurosciences in Rural Practice","id":"ITEM-1","issue":"1","issued":{"date-parts":[["2011"]]},"page":"12-16","title":"Single photon emission computed tomography scanning: A predictor of outcome in vegetative state of head injury","type":"article-journal","volume":"2"},"uris":["http://www.mendeley.com/documents/?uuid=e34b63c4-437c-413c-b63f-cd3209987489"]}],"mendeley":{"formattedCitation":"(Nayak and Mahapatra, 2011)","plainTextFormattedCitation":"(Nayak and Mahapatra, 2011)","previouslyFormattedCitation":"(Nayak and Mahapatra, 2011)"},"properties":{"noteIndex":0},"schema":"https://github.com/citation-style-language/schema/raw/master/csl-citation.json"}</w:instrText>
            </w:r>
            <w:r w:rsidR="00D40C3F" w:rsidRPr="00D40C3F">
              <w:rPr>
                <w:sz w:val="22"/>
                <w:szCs w:val="22"/>
              </w:rPr>
              <w:fldChar w:fldCharType="separate"/>
            </w:r>
            <w:r w:rsidR="00D40C3F" w:rsidRPr="00D40C3F">
              <w:rPr>
                <w:noProof/>
                <w:sz w:val="22"/>
                <w:szCs w:val="22"/>
              </w:rPr>
              <w:t>(Nayak and Mahapatra, 2011)</w:t>
            </w:r>
            <w:r w:rsidR="00D40C3F" w:rsidRPr="00D40C3F">
              <w:rPr>
                <w:sz w:val="22"/>
                <w:szCs w:val="22"/>
              </w:rPr>
              <w:fldChar w:fldCharType="end"/>
            </w:r>
          </w:p>
        </w:tc>
        <w:tc>
          <w:tcPr>
            <w:tcW w:w="709" w:type="dxa"/>
            <w:shd w:val="clear" w:color="auto" w:fill="70AD47" w:themeFill="accent6"/>
            <w:vAlign w:val="center"/>
          </w:tcPr>
          <w:p w14:paraId="1F9E96E3" w14:textId="77777777" w:rsidR="004968EA" w:rsidRPr="003273B9" w:rsidRDefault="004968EA" w:rsidP="00B2600B">
            <w:pPr>
              <w:rPr>
                <w:sz w:val="22"/>
                <w:szCs w:val="22"/>
              </w:rPr>
            </w:pPr>
          </w:p>
        </w:tc>
        <w:tc>
          <w:tcPr>
            <w:tcW w:w="851" w:type="dxa"/>
            <w:shd w:val="clear" w:color="auto" w:fill="auto"/>
            <w:vAlign w:val="center"/>
          </w:tcPr>
          <w:p w14:paraId="220F4920" w14:textId="6FBF144E" w:rsidR="004968EA" w:rsidRPr="003273B9" w:rsidRDefault="00D75264" w:rsidP="00B2600B">
            <w:pPr>
              <w:rPr>
                <w:sz w:val="22"/>
                <w:szCs w:val="22"/>
              </w:rPr>
            </w:pPr>
            <w:r>
              <w:rPr>
                <w:sz w:val="22"/>
                <w:szCs w:val="22"/>
              </w:rPr>
              <w:t>NA</w:t>
            </w:r>
          </w:p>
        </w:tc>
      </w:tr>
      <w:tr w:rsidR="00131F74" w:rsidRPr="00775B0E" w14:paraId="421FEF31" w14:textId="77777777" w:rsidTr="007224D0">
        <w:trPr>
          <w:trHeight w:val="300"/>
        </w:trPr>
        <w:tc>
          <w:tcPr>
            <w:tcW w:w="849" w:type="dxa"/>
            <w:vMerge w:val="restart"/>
            <w:vAlign w:val="center"/>
          </w:tcPr>
          <w:p w14:paraId="7090C536" w14:textId="77777777" w:rsidR="00131F74" w:rsidRDefault="00131F74" w:rsidP="00131F74">
            <w:pPr>
              <w:rPr>
                <w:b/>
                <w:sz w:val="22"/>
                <w:szCs w:val="22"/>
              </w:rPr>
            </w:pPr>
          </w:p>
          <w:p w14:paraId="7CEAADE9" w14:textId="77777777" w:rsidR="00131F74" w:rsidRDefault="00131F74" w:rsidP="00131F74">
            <w:pPr>
              <w:rPr>
                <w:b/>
                <w:sz w:val="22"/>
                <w:szCs w:val="22"/>
              </w:rPr>
            </w:pPr>
          </w:p>
          <w:p w14:paraId="521EC93E" w14:textId="77777777" w:rsidR="00131F74" w:rsidRDefault="00131F74" w:rsidP="00131F74">
            <w:pPr>
              <w:rPr>
                <w:b/>
                <w:sz w:val="22"/>
                <w:szCs w:val="22"/>
              </w:rPr>
            </w:pPr>
          </w:p>
          <w:p w14:paraId="021B2445" w14:textId="77777777" w:rsidR="00131F74" w:rsidRDefault="00131F74" w:rsidP="00131F74">
            <w:pPr>
              <w:rPr>
                <w:b/>
                <w:sz w:val="22"/>
                <w:szCs w:val="22"/>
              </w:rPr>
            </w:pPr>
          </w:p>
          <w:p w14:paraId="664B2F40" w14:textId="77777777" w:rsidR="00131F74" w:rsidRDefault="00131F74" w:rsidP="00131F74">
            <w:pPr>
              <w:rPr>
                <w:b/>
                <w:sz w:val="22"/>
                <w:szCs w:val="22"/>
              </w:rPr>
            </w:pPr>
          </w:p>
          <w:p w14:paraId="6D608F54" w14:textId="77777777" w:rsidR="00131F74" w:rsidRPr="003273B9" w:rsidRDefault="00131F74" w:rsidP="00131F74">
            <w:pPr>
              <w:rPr>
                <w:b/>
                <w:sz w:val="22"/>
                <w:szCs w:val="22"/>
              </w:rPr>
            </w:pPr>
            <w:proofErr w:type="spellStart"/>
            <w:r w:rsidRPr="003273B9">
              <w:rPr>
                <w:b/>
                <w:sz w:val="22"/>
                <w:szCs w:val="22"/>
              </w:rPr>
              <w:t>sMRI</w:t>
            </w:r>
            <w:proofErr w:type="spellEnd"/>
          </w:p>
        </w:tc>
        <w:tc>
          <w:tcPr>
            <w:tcW w:w="1417" w:type="dxa"/>
            <w:vAlign w:val="center"/>
          </w:tcPr>
          <w:p w14:paraId="2C677BA2" w14:textId="0616E029" w:rsidR="00131F74" w:rsidRPr="00FD7C1C" w:rsidRDefault="00054ADF" w:rsidP="00131F74">
            <w:pPr>
              <w:rPr>
                <w:b/>
                <w:sz w:val="22"/>
                <w:szCs w:val="22"/>
              </w:rPr>
            </w:pPr>
            <w:r>
              <w:rPr>
                <w:b/>
                <w:sz w:val="22"/>
                <w:szCs w:val="22"/>
              </w:rPr>
              <w:t>Visual Inspection</w:t>
            </w:r>
          </w:p>
        </w:tc>
        <w:tc>
          <w:tcPr>
            <w:tcW w:w="1276" w:type="dxa"/>
            <w:vAlign w:val="center"/>
          </w:tcPr>
          <w:p w14:paraId="18FEC1E8" w14:textId="2B4FBA0A" w:rsidR="00131F74" w:rsidRDefault="00054ADF" w:rsidP="00131F74">
            <w:pPr>
              <w:rPr>
                <w:sz w:val="22"/>
                <w:szCs w:val="22"/>
              </w:rPr>
            </w:pPr>
            <w:r>
              <w:rPr>
                <w:sz w:val="22"/>
                <w:szCs w:val="22"/>
              </w:rPr>
              <w:t>(</w:t>
            </w:r>
            <w:r w:rsidR="00131F74">
              <w:rPr>
                <w:sz w:val="22"/>
                <w:szCs w:val="22"/>
              </w:rPr>
              <w:t>Rest</w:t>
            </w:r>
            <w:r>
              <w:rPr>
                <w:sz w:val="22"/>
                <w:szCs w:val="22"/>
              </w:rPr>
              <w:t>)</w:t>
            </w:r>
          </w:p>
        </w:tc>
        <w:tc>
          <w:tcPr>
            <w:tcW w:w="2128" w:type="dxa"/>
            <w:vAlign w:val="center"/>
          </w:tcPr>
          <w:p w14:paraId="0061A2C6" w14:textId="77777777" w:rsidR="00131F74" w:rsidRPr="003273B9" w:rsidRDefault="00131F74" w:rsidP="00131F74">
            <w:pPr>
              <w:rPr>
                <w:sz w:val="22"/>
                <w:szCs w:val="22"/>
              </w:rPr>
            </w:pPr>
            <w:r>
              <w:rPr>
                <w:sz w:val="22"/>
                <w:szCs w:val="22"/>
              </w:rPr>
              <w:t>Standard visual evaluation</w:t>
            </w:r>
          </w:p>
        </w:tc>
        <w:tc>
          <w:tcPr>
            <w:tcW w:w="2835" w:type="dxa"/>
            <w:vAlign w:val="center"/>
          </w:tcPr>
          <w:p w14:paraId="6AC5AEBF" w14:textId="2975FEB6" w:rsidR="00131F74" w:rsidRPr="008A5758" w:rsidRDefault="00131F74" w:rsidP="00131F74">
            <w:pPr>
              <w:rPr>
                <w:sz w:val="22"/>
                <w:szCs w:val="22"/>
              </w:rPr>
            </w:pPr>
            <w:r w:rsidRPr="008A5758">
              <w:rPr>
                <w:sz w:val="22"/>
                <w:szCs w:val="22"/>
              </w:rPr>
              <w:t>OR</w:t>
            </w:r>
            <w:r w:rsidR="008A5758" w:rsidRPr="008A5758">
              <w:rPr>
                <w:sz w:val="22"/>
                <w:szCs w:val="22"/>
              </w:rPr>
              <w:t xml:space="preserve"> = 132.1 (</w:t>
            </w:r>
            <w:r w:rsidR="00224B3E" w:rsidRPr="008A5758">
              <w:rPr>
                <w:sz w:val="22"/>
                <w:szCs w:val="22"/>
              </w:rPr>
              <w:t>corpus</w:t>
            </w:r>
            <w:r w:rsidR="008A5758" w:rsidRPr="008A5758">
              <w:rPr>
                <w:sz w:val="22"/>
                <w:szCs w:val="22"/>
              </w:rPr>
              <w:t xml:space="preserve"> callosum injuries)</w:t>
            </w:r>
          </w:p>
          <w:p w14:paraId="08648045" w14:textId="6973ACC9" w:rsidR="008A5758" w:rsidRDefault="008A5758" w:rsidP="00131F74">
            <w:pPr>
              <w:rPr>
                <w:sz w:val="22"/>
                <w:szCs w:val="22"/>
              </w:rPr>
            </w:pPr>
            <w:r>
              <w:rPr>
                <w:sz w:val="22"/>
                <w:szCs w:val="22"/>
              </w:rPr>
              <w:t xml:space="preserve">OR = 7.9 (dorsolateral upper brainstem </w:t>
            </w:r>
            <w:r w:rsidRPr="008A5758">
              <w:rPr>
                <w:sz w:val="22"/>
                <w:szCs w:val="22"/>
              </w:rPr>
              <w:t>injuries</w:t>
            </w:r>
            <w:r>
              <w:rPr>
                <w:sz w:val="22"/>
                <w:szCs w:val="22"/>
              </w:rPr>
              <w:t>)</w:t>
            </w:r>
          </w:p>
          <w:p w14:paraId="3CAE2FF7" w14:textId="03E14E0C" w:rsidR="008A5758" w:rsidRPr="003273B9" w:rsidRDefault="008A5758" w:rsidP="00131F74">
            <w:pPr>
              <w:rPr>
                <w:sz w:val="22"/>
                <w:szCs w:val="22"/>
              </w:rPr>
            </w:pPr>
            <w:r>
              <w:rPr>
                <w:sz w:val="22"/>
                <w:szCs w:val="22"/>
              </w:rPr>
              <w:t>OR = 3.7 (corona radiata</w:t>
            </w:r>
            <w:r w:rsidRPr="008A5758">
              <w:rPr>
                <w:sz w:val="22"/>
                <w:szCs w:val="22"/>
              </w:rPr>
              <w:t xml:space="preserve"> injuries</w:t>
            </w:r>
            <w:r>
              <w:rPr>
                <w:sz w:val="22"/>
                <w:szCs w:val="22"/>
              </w:rPr>
              <w:t>)</w:t>
            </w:r>
          </w:p>
        </w:tc>
        <w:tc>
          <w:tcPr>
            <w:tcW w:w="3402" w:type="dxa"/>
            <w:vAlign w:val="center"/>
          </w:tcPr>
          <w:p w14:paraId="0172ECC1" w14:textId="48D8C632" w:rsidR="00131F74" w:rsidRPr="00775B0E" w:rsidRDefault="00131F74" w:rsidP="00131F74">
            <w:pPr>
              <w:rPr>
                <w:sz w:val="22"/>
                <w:szCs w:val="22"/>
              </w:rPr>
            </w:pPr>
            <w:r w:rsidRPr="00775B0E">
              <w:rPr>
                <w:sz w:val="22"/>
                <w:szCs w:val="22"/>
              </w:rPr>
              <w:t xml:space="preserve">In </w:t>
            </w:r>
            <w:r w:rsidR="003644B6" w:rsidRPr="00775B0E">
              <w:rPr>
                <w:sz w:val="22"/>
                <w:szCs w:val="22"/>
              </w:rPr>
              <w:t xml:space="preserve">traumatic </w:t>
            </w:r>
            <w:r w:rsidR="00775B0E">
              <w:rPr>
                <w:sz w:val="22"/>
                <w:szCs w:val="22"/>
              </w:rPr>
              <w:t xml:space="preserve">prolonged </w:t>
            </w:r>
            <w:r w:rsidR="003644B6" w:rsidRPr="00775B0E">
              <w:rPr>
                <w:sz w:val="22"/>
                <w:szCs w:val="22"/>
              </w:rPr>
              <w:t xml:space="preserve">UWS/VS, </w:t>
            </w:r>
            <w:r w:rsidR="00775B0E" w:rsidRPr="00775B0E">
              <w:rPr>
                <w:sz w:val="22"/>
                <w:szCs w:val="22"/>
              </w:rPr>
              <w:t>lesions of</w:t>
            </w:r>
            <w:r w:rsidR="00775B0E">
              <w:rPr>
                <w:sz w:val="22"/>
                <w:szCs w:val="22"/>
              </w:rPr>
              <w:t xml:space="preserve"> the corpus callus, dorsolateral upper brainstem or corona radiata are predictive of worse prognosis</w:t>
            </w:r>
            <w:r w:rsidR="008A5758">
              <w:rPr>
                <w:sz w:val="22"/>
                <w:szCs w:val="22"/>
              </w:rPr>
              <w:t xml:space="preserve"> (remaining in VS)</w:t>
            </w:r>
            <w:r w:rsidR="00A12E4F">
              <w:rPr>
                <w:sz w:val="22"/>
                <w:szCs w:val="22"/>
              </w:rPr>
              <w:t xml:space="preserve"> at 12 months</w:t>
            </w:r>
            <w:r w:rsidR="008A5758">
              <w:rPr>
                <w:sz w:val="22"/>
                <w:szCs w:val="22"/>
              </w:rPr>
              <w:t xml:space="preserve"> </w:t>
            </w:r>
            <w:r w:rsidR="008A5758" w:rsidRPr="008A5758">
              <w:rPr>
                <w:sz w:val="22"/>
                <w:szCs w:val="22"/>
              </w:rPr>
              <w:fldChar w:fldCharType="begin" w:fldLock="1"/>
            </w:r>
            <w:r w:rsidR="008A5758" w:rsidRPr="008A5758">
              <w:rPr>
                <w:sz w:val="22"/>
                <w:szCs w:val="22"/>
              </w:rPr>
              <w:instrText>ADDIN CSL_CITATION {"citationItems":[{"id":"ITEM-1","itemData":{"ISSN":"0743-6661","author":[{"dropping-particle":"","family":"Goodwin","given":"L","non-dropping-particle":"","parse-names":false,"suffix":""}],"container-title":"Journal of Insurance Medicine (New York, NY)","id":"ITEM-1","issue":"2","issued":{"date-parts":[["1998"]]},"page":"113-114","title":"Use of MRI in prediction of recovery from persistent vegetative state.","type":"article-journal","volume":"30"},"uris":["http://www.mendeley.com/documents/?uuid=825d8e48-88d7-4212-8497-b34de3cd3061"]}],"mendeley":{"formattedCitation":"(Goodwin, 1998)","plainTextFormattedCitation":"(Goodwin, 1998)","previouslyFormattedCitation":"(Goodwin, 1998)"},"properties":{"noteIndex":0},"schema":"https://github.com/citation-style-language/schema/raw/master/csl-citation.json"}</w:instrText>
            </w:r>
            <w:r w:rsidR="008A5758" w:rsidRPr="008A5758">
              <w:rPr>
                <w:sz w:val="22"/>
                <w:szCs w:val="22"/>
              </w:rPr>
              <w:fldChar w:fldCharType="separate"/>
            </w:r>
            <w:r w:rsidR="008A5758" w:rsidRPr="008A5758">
              <w:rPr>
                <w:noProof/>
                <w:sz w:val="22"/>
                <w:szCs w:val="22"/>
              </w:rPr>
              <w:t>(Goodwin, 1998)</w:t>
            </w:r>
            <w:r w:rsidR="008A5758" w:rsidRPr="008A5758">
              <w:rPr>
                <w:sz w:val="22"/>
                <w:szCs w:val="22"/>
              </w:rPr>
              <w:fldChar w:fldCharType="end"/>
            </w:r>
          </w:p>
        </w:tc>
        <w:tc>
          <w:tcPr>
            <w:tcW w:w="709" w:type="dxa"/>
            <w:shd w:val="clear" w:color="auto" w:fill="70AD47" w:themeFill="accent6"/>
            <w:vAlign w:val="center"/>
          </w:tcPr>
          <w:p w14:paraId="30F157B2" w14:textId="77777777" w:rsidR="00131F74" w:rsidRPr="00775B0E" w:rsidRDefault="00131F74" w:rsidP="00131F74">
            <w:pPr>
              <w:rPr>
                <w:sz w:val="22"/>
                <w:szCs w:val="22"/>
              </w:rPr>
            </w:pPr>
          </w:p>
        </w:tc>
        <w:tc>
          <w:tcPr>
            <w:tcW w:w="851" w:type="dxa"/>
            <w:shd w:val="clear" w:color="auto" w:fill="70AD47" w:themeFill="accent6"/>
            <w:vAlign w:val="center"/>
          </w:tcPr>
          <w:p w14:paraId="35BE0841" w14:textId="77777777" w:rsidR="00131F74" w:rsidRPr="00775B0E" w:rsidRDefault="00131F74" w:rsidP="00131F74">
            <w:pPr>
              <w:rPr>
                <w:sz w:val="22"/>
                <w:szCs w:val="22"/>
              </w:rPr>
            </w:pPr>
          </w:p>
        </w:tc>
      </w:tr>
      <w:tr w:rsidR="00131F74" w14:paraId="4CB84E9C" w14:textId="77777777" w:rsidTr="007224D0">
        <w:trPr>
          <w:trHeight w:val="300"/>
        </w:trPr>
        <w:tc>
          <w:tcPr>
            <w:tcW w:w="849" w:type="dxa"/>
            <w:vMerge/>
            <w:vAlign w:val="center"/>
          </w:tcPr>
          <w:p w14:paraId="0E63D0F5" w14:textId="77777777" w:rsidR="00131F74" w:rsidRPr="003273B9" w:rsidRDefault="00131F74" w:rsidP="00131F74">
            <w:pPr>
              <w:rPr>
                <w:b/>
                <w:sz w:val="22"/>
                <w:szCs w:val="22"/>
              </w:rPr>
            </w:pPr>
          </w:p>
        </w:tc>
        <w:tc>
          <w:tcPr>
            <w:tcW w:w="1417" w:type="dxa"/>
            <w:vAlign w:val="center"/>
          </w:tcPr>
          <w:p w14:paraId="2653EFEB" w14:textId="77777777" w:rsidR="00131F74" w:rsidRPr="00FD7C1C" w:rsidRDefault="00131F74" w:rsidP="00131F74">
            <w:pPr>
              <w:rPr>
                <w:b/>
                <w:sz w:val="22"/>
                <w:szCs w:val="22"/>
              </w:rPr>
            </w:pPr>
            <w:r w:rsidRPr="00FD7C1C">
              <w:rPr>
                <w:b/>
                <w:sz w:val="22"/>
                <w:szCs w:val="22"/>
              </w:rPr>
              <w:t>T1</w:t>
            </w:r>
          </w:p>
        </w:tc>
        <w:tc>
          <w:tcPr>
            <w:tcW w:w="1276" w:type="dxa"/>
            <w:vAlign w:val="center"/>
          </w:tcPr>
          <w:p w14:paraId="7D27C496" w14:textId="5EDBD818" w:rsidR="00131F74" w:rsidRDefault="00054ADF" w:rsidP="00131F74">
            <w:pPr>
              <w:rPr>
                <w:sz w:val="22"/>
                <w:szCs w:val="22"/>
              </w:rPr>
            </w:pPr>
            <w:r>
              <w:rPr>
                <w:sz w:val="22"/>
                <w:szCs w:val="22"/>
              </w:rPr>
              <w:t>(</w:t>
            </w:r>
            <w:r w:rsidR="00131F74">
              <w:rPr>
                <w:sz w:val="22"/>
                <w:szCs w:val="22"/>
              </w:rPr>
              <w:t>Rest</w:t>
            </w:r>
            <w:r>
              <w:rPr>
                <w:sz w:val="22"/>
                <w:szCs w:val="22"/>
              </w:rPr>
              <w:t>)</w:t>
            </w:r>
          </w:p>
        </w:tc>
        <w:tc>
          <w:tcPr>
            <w:tcW w:w="2128" w:type="dxa"/>
            <w:vAlign w:val="center"/>
          </w:tcPr>
          <w:p w14:paraId="79ADB3DD" w14:textId="443B896F" w:rsidR="00131F74" w:rsidRPr="003273B9" w:rsidRDefault="00922F77" w:rsidP="00131F74">
            <w:pPr>
              <w:rPr>
                <w:sz w:val="22"/>
                <w:szCs w:val="22"/>
              </w:rPr>
            </w:pPr>
            <w:r>
              <w:rPr>
                <w:sz w:val="22"/>
                <w:szCs w:val="22"/>
              </w:rPr>
              <w:t>NA</w:t>
            </w:r>
          </w:p>
        </w:tc>
        <w:tc>
          <w:tcPr>
            <w:tcW w:w="2835" w:type="dxa"/>
            <w:vAlign w:val="center"/>
          </w:tcPr>
          <w:p w14:paraId="22F4AB2A" w14:textId="03D8927D" w:rsidR="00131F74" w:rsidRPr="003273B9" w:rsidRDefault="00922F77" w:rsidP="00131F74">
            <w:pPr>
              <w:rPr>
                <w:sz w:val="22"/>
                <w:szCs w:val="22"/>
              </w:rPr>
            </w:pPr>
            <w:r>
              <w:rPr>
                <w:sz w:val="22"/>
                <w:szCs w:val="22"/>
              </w:rPr>
              <w:t>NA</w:t>
            </w:r>
          </w:p>
        </w:tc>
        <w:tc>
          <w:tcPr>
            <w:tcW w:w="3402" w:type="dxa"/>
            <w:vAlign w:val="center"/>
          </w:tcPr>
          <w:p w14:paraId="1F5732F1" w14:textId="7263C144" w:rsidR="00131F74" w:rsidRPr="003273B9" w:rsidRDefault="00922F77" w:rsidP="00131F74">
            <w:pPr>
              <w:rPr>
                <w:sz w:val="22"/>
                <w:szCs w:val="22"/>
              </w:rPr>
            </w:pPr>
            <w:r>
              <w:rPr>
                <w:sz w:val="22"/>
                <w:szCs w:val="22"/>
              </w:rPr>
              <w:t>NA</w:t>
            </w:r>
          </w:p>
        </w:tc>
        <w:tc>
          <w:tcPr>
            <w:tcW w:w="709" w:type="dxa"/>
            <w:shd w:val="clear" w:color="auto" w:fill="auto"/>
            <w:vAlign w:val="center"/>
          </w:tcPr>
          <w:p w14:paraId="6F4A025E" w14:textId="5820E296" w:rsidR="00131F74" w:rsidRPr="003273B9" w:rsidRDefault="00D75264" w:rsidP="00131F74">
            <w:pPr>
              <w:rPr>
                <w:sz w:val="22"/>
                <w:szCs w:val="22"/>
              </w:rPr>
            </w:pPr>
            <w:r>
              <w:rPr>
                <w:sz w:val="22"/>
                <w:szCs w:val="22"/>
              </w:rPr>
              <w:t>NA</w:t>
            </w:r>
          </w:p>
        </w:tc>
        <w:tc>
          <w:tcPr>
            <w:tcW w:w="851" w:type="dxa"/>
            <w:shd w:val="clear" w:color="auto" w:fill="auto"/>
            <w:vAlign w:val="center"/>
          </w:tcPr>
          <w:p w14:paraId="0549C08B" w14:textId="00A17202" w:rsidR="00131F74" w:rsidRPr="003273B9" w:rsidRDefault="00D75264" w:rsidP="00131F74">
            <w:pPr>
              <w:rPr>
                <w:sz w:val="22"/>
                <w:szCs w:val="22"/>
              </w:rPr>
            </w:pPr>
            <w:r>
              <w:rPr>
                <w:sz w:val="22"/>
                <w:szCs w:val="22"/>
              </w:rPr>
              <w:t>NA</w:t>
            </w:r>
          </w:p>
        </w:tc>
      </w:tr>
      <w:tr w:rsidR="00131F74" w14:paraId="4A0693F3" w14:textId="77777777" w:rsidTr="007224D0">
        <w:trPr>
          <w:cantSplit/>
          <w:trHeight w:val="431"/>
        </w:trPr>
        <w:tc>
          <w:tcPr>
            <w:tcW w:w="849" w:type="dxa"/>
            <w:vMerge/>
            <w:vAlign w:val="center"/>
          </w:tcPr>
          <w:p w14:paraId="43394256" w14:textId="77777777" w:rsidR="00131F74" w:rsidRPr="003273B9" w:rsidRDefault="00131F74" w:rsidP="00131F74">
            <w:pPr>
              <w:rPr>
                <w:b/>
                <w:sz w:val="22"/>
                <w:szCs w:val="22"/>
              </w:rPr>
            </w:pPr>
          </w:p>
        </w:tc>
        <w:tc>
          <w:tcPr>
            <w:tcW w:w="1417" w:type="dxa"/>
            <w:vAlign w:val="center"/>
          </w:tcPr>
          <w:p w14:paraId="06B2BCB4" w14:textId="77777777" w:rsidR="00131F74" w:rsidRPr="00FD7C1C" w:rsidRDefault="00131F74" w:rsidP="00131F74">
            <w:pPr>
              <w:rPr>
                <w:b/>
                <w:sz w:val="22"/>
                <w:szCs w:val="22"/>
              </w:rPr>
            </w:pPr>
            <w:r w:rsidRPr="00FD7C1C">
              <w:rPr>
                <w:b/>
                <w:sz w:val="22"/>
                <w:szCs w:val="22"/>
              </w:rPr>
              <w:t>DWI</w:t>
            </w:r>
          </w:p>
        </w:tc>
        <w:tc>
          <w:tcPr>
            <w:tcW w:w="1276" w:type="dxa"/>
            <w:vAlign w:val="center"/>
          </w:tcPr>
          <w:p w14:paraId="11FE089B" w14:textId="63B2D680" w:rsidR="00131F74" w:rsidRDefault="00054ADF" w:rsidP="00131F74">
            <w:pPr>
              <w:rPr>
                <w:sz w:val="22"/>
                <w:szCs w:val="22"/>
              </w:rPr>
            </w:pPr>
            <w:r>
              <w:rPr>
                <w:sz w:val="22"/>
                <w:szCs w:val="22"/>
              </w:rPr>
              <w:t>(</w:t>
            </w:r>
            <w:r w:rsidR="00131F74">
              <w:rPr>
                <w:sz w:val="22"/>
                <w:szCs w:val="22"/>
              </w:rPr>
              <w:t>Rest</w:t>
            </w:r>
            <w:r>
              <w:rPr>
                <w:sz w:val="22"/>
                <w:szCs w:val="22"/>
              </w:rPr>
              <w:t>)</w:t>
            </w:r>
          </w:p>
        </w:tc>
        <w:tc>
          <w:tcPr>
            <w:tcW w:w="2128" w:type="dxa"/>
            <w:vAlign w:val="center"/>
          </w:tcPr>
          <w:p w14:paraId="599CD329" w14:textId="4073A196" w:rsidR="00131F74" w:rsidRPr="003273B9" w:rsidRDefault="00131F74" w:rsidP="00131F74">
            <w:pPr>
              <w:rPr>
                <w:sz w:val="22"/>
                <w:szCs w:val="22"/>
              </w:rPr>
            </w:pPr>
            <w:r>
              <w:rPr>
                <w:sz w:val="22"/>
                <w:szCs w:val="22"/>
              </w:rPr>
              <w:t xml:space="preserve">Automatic </w:t>
            </w:r>
            <w:r w:rsidR="00A12E4F">
              <w:rPr>
                <w:sz w:val="22"/>
                <w:szCs w:val="22"/>
              </w:rPr>
              <w:t>scoring</w:t>
            </w:r>
            <w:r>
              <w:rPr>
                <w:sz w:val="22"/>
                <w:szCs w:val="22"/>
              </w:rPr>
              <w:t xml:space="preserve"> based on white matter integrity (</w:t>
            </w:r>
            <w:r w:rsidR="00775B0E">
              <w:rPr>
                <w:sz w:val="22"/>
                <w:szCs w:val="22"/>
              </w:rPr>
              <w:t>fractional anisotropy</w:t>
            </w:r>
            <w:r w:rsidR="00A12E4F">
              <w:rPr>
                <w:sz w:val="22"/>
                <w:szCs w:val="22"/>
              </w:rPr>
              <w:t>, mean diffusivity, axial diffusivity, radial diffusivity</w:t>
            </w:r>
            <w:r>
              <w:rPr>
                <w:sz w:val="22"/>
                <w:szCs w:val="22"/>
              </w:rPr>
              <w:t>)</w:t>
            </w:r>
          </w:p>
        </w:tc>
        <w:tc>
          <w:tcPr>
            <w:tcW w:w="2835" w:type="dxa"/>
            <w:vAlign w:val="center"/>
          </w:tcPr>
          <w:p w14:paraId="0A671431" w14:textId="6EB0369F" w:rsidR="00131F74" w:rsidRPr="00D40C3F" w:rsidRDefault="00775B0E" w:rsidP="00131F74">
            <w:pPr>
              <w:rPr>
                <w:sz w:val="22"/>
                <w:szCs w:val="22"/>
              </w:rPr>
            </w:pPr>
            <w:r w:rsidRPr="00D40C3F">
              <w:rPr>
                <w:sz w:val="22"/>
                <w:szCs w:val="22"/>
              </w:rPr>
              <w:t>AUC = 0.80-0.84 (traumatic UWS/VS)</w:t>
            </w:r>
          </w:p>
          <w:p w14:paraId="7C76A7DE" w14:textId="6F12EF40" w:rsidR="00775B0E" w:rsidRPr="00D40C3F" w:rsidRDefault="00775B0E" w:rsidP="00131F74">
            <w:pPr>
              <w:rPr>
                <w:sz w:val="22"/>
                <w:szCs w:val="22"/>
              </w:rPr>
            </w:pPr>
          </w:p>
          <w:p w14:paraId="7720DFDF" w14:textId="77777777" w:rsidR="00775B0E" w:rsidRPr="00D40C3F" w:rsidRDefault="00775B0E" w:rsidP="00131F74">
            <w:pPr>
              <w:rPr>
                <w:sz w:val="22"/>
                <w:szCs w:val="22"/>
              </w:rPr>
            </w:pPr>
            <w:r w:rsidRPr="00D40C3F">
              <w:rPr>
                <w:sz w:val="22"/>
                <w:szCs w:val="22"/>
              </w:rPr>
              <w:t xml:space="preserve">AUC = 0.91-0.96 </w:t>
            </w:r>
          </w:p>
          <w:p w14:paraId="705DB637" w14:textId="42BE64CF" w:rsidR="00775B0E" w:rsidRPr="00D40C3F" w:rsidRDefault="00775B0E" w:rsidP="00131F74">
            <w:pPr>
              <w:rPr>
                <w:sz w:val="22"/>
                <w:szCs w:val="22"/>
              </w:rPr>
            </w:pPr>
            <w:r w:rsidRPr="00D40C3F">
              <w:rPr>
                <w:sz w:val="22"/>
                <w:szCs w:val="22"/>
              </w:rPr>
              <w:t>(non-traumatic UWS/VS)</w:t>
            </w:r>
            <w:r w:rsidR="008A5758">
              <w:t xml:space="preserve"> </w:t>
            </w:r>
          </w:p>
        </w:tc>
        <w:tc>
          <w:tcPr>
            <w:tcW w:w="3402" w:type="dxa"/>
            <w:vAlign w:val="center"/>
          </w:tcPr>
          <w:p w14:paraId="56245284" w14:textId="294BBC4F" w:rsidR="00131F74" w:rsidRPr="003273B9" w:rsidRDefault="00A12E4F" w:rsidP="00131F74">
            <w:pPr>
              <w:rPr>
                <w:sz w:val="22"/>
                <w:szCs w:val="22"/>
              </w:rPr>
            </w:pPr>
            <w:r>
              <w:rPr>
                <w:sz w:val="22"/>
                <w:szCs w:val="22"/>
              </w:rPr>
              <w:t xml:space="preserve">In subacute and </w:t>
            </w:r>
            <w:r w:rsidR="00326612">
              <w:rPr>
                <w:sz w:val="22"/>
                <w:szCs w:val="22"/>
              </w:rPr>
              <w:t>prolonged</w:t>
            </w:r>
            <w:r>
              <w:rPr>
                <w:sz w:val="22"/>
                <w:szCs w:val="22"/>
              </w:rPr>
              <w:t xml:space="preserve"> UWS</w:t>
            </w:r>
            <w:r w:rsidR="00326612">
              <w:rPr>
                <w:sz w:val="22"/>
                <w:szCs w:val="22"/>
              </w:rPr>
              <w:t>/VS</w:t>
            </w:r>
            <w:r>
              <w:rPr>
                <w:sz w:val="22"/>
                <w:szCs w:val="22"/>
              </w:rPr>
              <w:t>, h</w:t>
            </w:r>
            <w:r w:rsidR="00131F74">
              <w:rPr>
                <w:sz w:val="22"/>
                <w:szCs w:val="22"/>
              </w:rPr>
              <w:t xml:space="preserve">igher integrity </w:t>
            </w:r>
            <w:r>
              <w:rPr>
                <w:sz w:val="22"/>
                <w:szCs w:val="22"/>
              </w:rPr>
              <w:t>of w</w:t>
            </w:r>
            <w:r w:rsidR="00131F74">
              <w:rPr>
                <w:sz w:val="22"/>
                <w:szCs w:val="22"/>
              </w:rPr>
              <w:t xml:space="preserve">hite matter </w:t>
            </w:r>
            <w:r>
              <w:rPr>
                <w:sz w:val="22"/>
                <w:szCs w:val="22"/>
              </w:rPr>
              <w:t xml:space="preserve">predicts better prognosis at 6- to 12 months (in terms of </w:t>
            </w:r>
            <w:r w:rsidR="001A7025">
              <w:rPr>
                <w:sz w:val="22"/>
                <w:szCs w:val="22"/>
              </w:rPr>
              <w:t>both Glasgow Coma Scale score and consciousness recovery, with or without disability</w:t>
            </w:r>
            <w:r>
              <w:rPr>
                <w:sz w:val="22"/>
                <w:szCs w:val="22"/>
              </w:rPr>
              <w:t>)</w:t>
            </w:r>
            <w:r w:rsidR="006130F3" w:rsidRPr="000C7242">
              <w:rPr>
                <w:i/>
                <w:sz w:val="22"/>
              </w:rPr>
              <w:t xml:space="preserve"> </w:t>
            </w:r>
            <w:r w:rsidR="006130F3" w:rsidRPr="000C7242">
              <w:rPr>
                <w:i/>
                <w:sz w:val="22"/>
              </w:rPr>
              <w:fldChar w:fldCharType="begin" w:fldLock="1"/>
            </w:r>
            <w:r w:rsidR="006130F3" w:rsidRPr="000C7242">
              <w:rPr>
                <w:i/>
                <w:sz w:val="22"/>
              </w:rPr>
              <w:instrText>ADDIN CSL_CITATION {"citationItems":[{"id":"ITEM-1","itemData":{"ISSN":"1474-4422","author":[{"dropping-particle":"","family":"Velly","given":"Lionel","non-dropping-particle":"","parse-names":false,"suffix":""},{"dropping-particle":"","family":"Perlbarg","given":"Vincent","non-dropping-particle":"","parse-names":false,"suffix":""},{"dropping-particle":"","family":"Boulier","given":"Thomas","non-dropping-particle":"","parse-names":false,"suffix":""},{"dropping-particle":"","family":"Adam","given":"Nicolas","non-dropping-particle":"","parse-names":false,"suffix":""},{"dropping-particle":"","family":"Delphine","given":"Sebastien","non-dropping-particle":"","parse-names":false,"suffix":""},{"dropping-particle":"","family":"Luyt","given":"Charles-Edouard","non-dropping-particle":"","parse-names":false,"suffix":""},{"dropping-particle":"","family":"Battisti","given":"Valentine","non-dropping-particle":"","parse-names":false,"suffix":""},{"dropping-particle":"","family":"Torkomian","given":"Gregory","non-dropping-particle":"","parse-names":false,"suffix":""},{"dropping-particle":"","family":"Arbelot","given":"Charlotte","non-dropping-particle":"","parse-names":false,"suffix":""},{"dropping-particle":"","family":"Chabanne","given":"Russell","non-dropping-particle":"","parse-names":false,"suffix":""}],"container-title":"The Lancet Neurology","id":"ITEM-1","issue":"4","issued":{"date-parts":[["2018"]]},"page":"317-326","publisher":"Elsevier","title":"Use of brain diffusion tensor imaging for the prediction of long-term neurological outcomes in patients after cardiac arrest: a multicentre, international, prospective, observational, cohort study","type":"article-journal","volume":"17"},"uris":["http://www.mendeley.com/documents/?uuid=40e10610-049f-4d1c-97bd-ab978ea13882"]},{"id":"ITEM-2","itemData":{"ISSN":"0003-3022","author":[{"dropping-particle":"","family":"Galanaud","given":"Damien","non-dropping-particle":"","parse-names":false,"suffix":""},{"dropping-particle":"","family":"Perlbarg","given":"Vincent","non-dropping-particle":"","parse-names":false,"suffix":""},{"dropping-particle":"","family":"Gupta","given":"Rajiv","non-dropping-particle":"","parse-names":false,"suffix":""},{"dropping-particle":"","family":"Stevens","given":"Robert D","non-dropping-particle":"","parse-names":false,"suffix":""},{"dropping-particle":"","family":"Sanchez","given":"Paola","non-dropping-particle":"","parse-names":false,"suffix":""},{"dropping-particle":"","family":"Tollard","given":"Eléonore","non-dropping-particle":"","parse-names":false,"suffix":""},{"dropping-particle":"","family":"Champfleur","given":"Nicolas Menjot","non-dropping-particle":"De","parse-names":false,"suffix":""},{"dropping-particle":"","family":"Dinkel","given":"Julien","non-dropping-particle":"","parse-names":false,"suffix":""},{"dropping-particle":"","family":"Faivre","given":"Sébastien","non-dropping-particle":"","parse-names":false,"suffix":""},{"dropping-particle":"","family":"Soto-Ares","given":"Gustavo","non-dropping-particle":"","parse-names":false,"suffix":""}],"container-title":"The Journal of the American Society of Anesthesiologists","id":"ITEM-2","issue":"6","issued":{"date-parts":[["2012"]]},"page":"1300-1310","publisher":"The American Society of Anesthesiologists","title":"Assessment of white matter injury and outcome in severe brain trauma: a prospective multicenter cohort","type":"article-journal","volume":"117"},"uris":["http://www.mendeley.com/documents/?uuid=06635b7d-da16-48a5-a14b-3e7f8a827218"]},{"id":"ITEM-3","itemData":{"ISSN":"0003-3022","author":[{"dropping-particle":"","family":"Luyt","given":"Charles-Edouard","non-dropping-particle":"","parse-names":false,"suffix":""},{"dropping-particle":"","family":"Galanaud","given":"Damien","non-dropping-particle":"","parse-names":false,"suffix":""},{"dropping-particle":"","family":"Perlbarg","given":"Vincent","non-dropping-particle":"","parse-names":false,"suffix":""},{"dropping-particle":"","family":"Vanhaudenhuyse","given":"Audrey","non-dropping-particle":"","parse-names":false,"suffix":""},{"dropping-particle":"","family":"Stevens","given":"Robert D","non-dropping-particle":"","parse-names":false,"suffix":""},{"dropping-particle":"","family":"Gupta","given":"Rajiv","non-dropping-particle":"","parse-names":false,"suffix":""},{"dropping-particle":"","family":"Besancenot","given":"Hortense","non-dropping-particle":"","parse-names":false,"suffix":""},{"dropping-particle":"","family":"Krainik","given":"Alexandre","non-dropping-particle":"","parse-names":false,"suffix":""},{"dropping-particle":"","family":"Audibert","given":"Gérard","non-dropping-particle":"","parse-names":false,"suffix":""},{"dropping-particle":"","family":"Combes","given":"Alain","non-dropping-particle":"","parse-names":false,"suffix":""}],"container-title":"The Journal of the American Society of Anesthesiologists","id":"ITEM-3","issue":"6","issued":{"date-parts":[["2012"]]},"page":"1311-1321","publisher":"The American Society of Anesthesiologists","title":"Diffusion tensor imaging to predict long-term outcome after cardiac arrest: a bicentric pilot study","type":"article-journal","volume":"117"},"uris":["http://www.mendeley.com/documents/?uuid=b9f1f492-0bba-4714-9078-edb37fdd830a"]}],"mendeley":{"formattedCitation":"(Galanaud et al., 2012; Luyt et al., 2012; Velly et al., 2018)","plainTextFormattedCitation":"(Galanaud et al., 2012; Luyt et al., 2012; Velly et al., 2018)","previouslyFormattedCitation":"(Galanaud et al., 2012; Luyt et al., 2012; Velly et al., 2018)"},"properties":{"noteIndex":0},"schema":"https://github.com/citation-style-language/schema/raw/master/csl-citation.json"}</w:instrText>
            </w:r>
            <w:r w:rsidR="006130F3" w:rsidRPr="000C7242">
              <w:rPr>
                <w:i/>
                <w:sz w:val="22"/>
              </w:rPr>
              <w:fldChar w:fldCharType="separate"/>
            </w:r>
            <w:r w:rsidR="006130F3" w:rsidRPr="000C7242">
              <w:rPr>
                <w:noProof/>
                <w:sz w:val="22"/>
              </w:rPr>
              <w:t>(Galanaud et al., 2012; Luyt et al., 2012; Velly et al., 2018)</w:t>
            </w:r>
            <w:r w:rsidR="006130F3" w:rsidRPr="000C7242">
              <w:rPr>
                <w:i/>
                <w:sz w:val="22"/>
              </w:rPr>
              <w:fldChar w:fldCharType="end"/>
            </w:r>
          </w:p>
        </w:tc>
        <w:tc>
          <w:tcPr>
            <w:tcW w:w="709" w:type="dxa"/>
            <w:shd w:val="clear" w:color="auto" w:fill="auto"/>
            <w:vAlign w:val="center"/>
          </w:tcPr>
          <w:p w14:paraId="4A7E7994" w14:textId="4C9F5E37" w:rsidR="00131F74" w:rsidRPr="003273B9" w:rsidRDefault="00D75264" w:rsidP="00131F74">
            <w:pPr>
              <w:rPr>
                <w:sz w:val="22"/>
                <w:szCs w:val="22"/>
              </w:rPr>
            </w:pPr>
            <w:r>
              <w:rPr>
                <w:sz w:val="22"/>
                <w:szCs w:val="22"/>
              </w:rPr>
              <w:t>NA</w:t>
            </w:r>
          </w:p>
        </w:tc>
        <w:tc>
          <w:tcPr>
            <w:tcW w:w="851" w:type="dxa"/>
            <w:shd w:val="clear" w:color="auto" w:fill="ED7D31" w:themeFill="accent2"/>
            <w:vAlign w:val="center"/>
          </w:tcPr>
          <w:p w14:paraId="710B049F" w14:textId="176E3C06" w:rsidR="00131F74" w:rsidRPr="003273B9" w:rsidRDefault="00131F74" w:rsidP="00131F74">
            <w:pPr>
              <w:rPr>
                <w:sz w:val="22"/>
                <w:szCs w:val="22"/>
              </w:rPr>
            </w:pPr>
          </w:p>
        </w:tc>
      </w:tr>
      <w:tr w:rsidR="009C6B87" w14:paraId="31B23F2A" w14:textId="77777777" w:rsidTr="00372052">
        <w:trPr>
          <w:cantSplit/>
          <w:trHeight w:val="711"/>
        </w:trPr>
        <w:tc>
          <w:tcPr>
            <w:tcW w:w="849" w:type="dxa"/>
            <w:vMerge w:val="restart"/>
            <w:vAlign w:val="center"/>
          </w:tcPr>
          <w:p w14:paraId="7966A831" w14:textId="77777777" w:rsidR="009C6B87" w:rsidRPr="003273B9" w:rsidRDefault="009C6B87" w:rsidP="00131F74">
            <w:pPr>
              <w:rPr>
                <w:b/>
                <w:sz w:val="22"/>
                <w:szCs w:val="22"/>
              </w:rPr>
            </w:pPr>
            <w:r>
              <w:rPr>
                <w:b/>
                <w:sz w:val="22"/>
                <w:szCs w:val="22"/>
              </w:rPr>
              <w:lastRenderedPageBreak/>
              <w:t>fMRI</w:t>
            </w:r>
          </w:p>
        </w:tc>
        <w:tc>
          <w:tcPr>
            <w:tcW w:w="1417" w:type="dxa"/>
            <w:vMerge w:val="restart"/>
            <w:vAlign w:val="center"/>
          </w:tcPr>
          <w:p w14:paraId="724F549C" w14:textId="77777777" w:rsidR="009C6B87" w:rsidRPr="00FD7C1C" w:rsidRDefault="009C6B87" w:rsidP="00131F74">
            <w:pPr>
              <w:rPr>
                <w:b/>
                <w:sz w:val="22"/>
                <w:szCs w:val="22"/>
              </w:rPr>
            </w:pPr>
            <w:r w:rsidRPr="00FD7C1C">
              <w:rPr>
                <w:b/>
                <w:sz w:val="22"/>
                <w:szCs w:val="22"/>
              </w:rPr>
              <w:t>BOLD</w:t>
            </w:r>
          </w:p>
        </w:tc>
        <w:tc>
          <w:tcPr>
            <w:tcW w:w="1276" w:type="dxa"/>
            <w:vAlign w:val="center"/>
          </w:tcPr>
          <w:p w14:paraId="686DEBC4" w14:textId="77777777" w:rsidR="009C6B87" w:rsidRPr="003273B9" w:rsidRDefault="009C6B87" w:rsidP="00131F74">
            <w:pPr>
              <w:rPr>
                <w:sz w:val="22"/>
                <w:szCs w:val="22"/>
              </w:rPr>
            </w:pPr>
            <w:r>
              <w:rPr>
                <w:sz w:val="22"/>
                <w:szCs w:val="22"/>
              </w:rPr>
              <w:t>Rest</w:t>
            </w:r>
          </w:p>
        </w:tc>
        <w:tc>
          <w:tcPr>
            <w:tcW w:w="2128" w:type="dxa"/>
            <w:vAlign w:val="center"/>
          </w:tcPr>
          <w:p w14:paraId="5BFAAB39" w14:textId="2C4298A2" w:rsidR="009C6B87" w:rsidRPr="003273B9" w:rsidRDefault="009C6B87" w:rsidP="00131F74">
            <w:pPr>
              <w:rPr>
                <w:sz w:val="22"/>
                <w:szCs w:val="22"/>
              </w:rPr>
            </w:pPr>
            <w:r>
              <w:rPr>
                <w:sz w:val="22"/>
                <w:szCs w:val="22"/>
              </w:rPr>
              <w:t>Automatic classification based on functional connectivity strength in/between regions of the default mode, executive and/or sensory networks</w:t>
            </w:r>
          </w:p>
        </w:tc>
        <w:tc>
          <w:tcPr>
            <w:tcW w:w="2835" w:type="dxa"/>
            <w:vAlign w:val="center"/>
          </w:tcPr>
          <w:p w14:paraId="50E5251F" w14:textId="77777777" w:rsidR="009C6B87" w:rsidRDefault="009C6B87" w:rsidP="00131F74">
            <w:pPr>
              <w:rPr>
                <w:sz w:val="22"/>
                <w:szCs w:val="22"/>
              </w:rPr>
            </w:pPr>
            <w:r>
              <w:rPr>
                <w:sz w:val="22"/>
                <w:szCs w:val="22"/>
              </w:rPr>
              <w:t xml:space="preserve">Acc = 74%-81% </w:t>
            </w:r>
          </w:p>
          <w:p w14:paraId="55331F19" w14:textId="6F252D84" w:rsidR="009C6B87" w:rsidRDefault="009C6B87" w:rsidP="00131F74">
            <w:pPr>
              <w:rPr>
                <w:sz w:val="22"/>
                <w:szCs w:val="22"/>
              </w:rPr>
            </w:pPr>
            <w:r>
              <w:rPr>
                <w:sz w:val="22"/>
                <w:szCs w:val="22"/>
              </w:rPr>
              <w:t>(3-month follow-up; UWS/VS patients)</w:t>
            </w:r>
          </w:p>
          <w:p w14:paraId="2CB0BFAF" w14:textId="77777777" w:rsidR="009C6B87" w:rsidRDefault="009C6B87" w:rsidP="00131F74">
            <w:pPr>
              <w:rPr>
                <w:sz w:val="22"/>
                <w:szCs w:val="22"/>
              </w:rPr>
            </w:pPr>
          </w:p>
          <w:p w14:paraId="0A3BFFBA" w14:textId="09244C34" w:rsidR="009C6B87" w:rsidRPr="003273B9" w:rsidRDefault="009C6B87" w:rsidP="00131F74">
            <w:pPr>
              <w:rPr>
                <w:sz w:val="22"/>
                <w:szCs w:val="22"/>
              </w:rPr>
            </w:pPr>
            <w:r>
              <w:rPr>
                <w:sz w:val="22"/>
                <w:szCs w:val="22"/>
              </w:rPr>
              <w:t>Acc = 88% (12-months follow-up, UWS/VS and MCS patients)</w:t>
            </w:r>
          </w:p>
        </w:tc>
        <w:tc>
          <w:tcPr>
            <w:tcW w:w="3402" w:type="dxa"/>
            <w:vAlign w:val="center"/>
          </w:tcPr>
          <w:p w14:paraId="1296F7A0" w14:textId="7D74DC76" w:rsidR="009C6B87" w:rsidRPr="003273B9" w:rsidRDefault="009C6B87" w:rsidP="00131F74">
            <w:pPr>
              <w:rPr>
                <w:sz w:val="22"/>
                <w:szCs w:val="22"/>
              </w:rPr>
            </w:pPr>
            <w:r w:rsidRPr="006130F3">
              <w:rPr>
                <w:sz w:val="22"/>
                <w:szCs w:val="22"/>
              </w:rPr>
              <w:t>In acute/prolonged UWS</w:t>
            </w:r>
            <w:r>
              <w:rPr>
                <w:sz w:val="22"/>
                <w:szCs w:val="22"/>
              </w:rPr>
              <w:t xml:space="preserve">/VS and  prolonged MCS, more preserved functional connectivity in resting-state networks predicts better prognosis at 3- to 12-months follow-up (consciousness recovery or </w:t>
            </w:r>
            <w:r w:rsidRPr="000C7242">
              <w:rPr>
                <w:sz w:val="22"/>
                <w:szCs w:val="22"/>
              </w:rPr>
              <w:t xml:space="preserve">better score at GOS or CRS-R) accuracy </w:t>
            </w:r>
            <w:r w:rsidRPr="000C7242">
              <w:rPr>
                <w:sz w:val="22"/>
                <w:szCs w:val="22"/>
              </w:rPr>
              <w:fldChar w:fldCharType="begin" w:fldLock="1"/>
            </w:r>
            <w:r w:rsidR="00733A9E" w:rsidRPr="000C7242">
              <w:rPr>
                <w:sz w:val="22"/>
                <w:szCs w:val="22"/>
              </w:rPr>
              <w:instrText>ADDIN CSL_CITATION {"citationItems":[{"id":"ITEM-1","itemData":{"DOI":"10.1523/JNEUROSCI.0415-15.2015","ISSN":"15292401","PMID":"26377477","abstract":"For accurate diagnosis and prognostic prediction of acquired brain injury (ABI), it is crucial to understand the neurobiological mechanisms underlying loss of consciousness. However, there is no consensus on which regions and networks act as biomarkers for consciousness level and recovery outcome in ABI. Using resting-state fMRI, we assessed intrinsic functional connectivity strength (FCS) of whole-brain networks in a large sample of 99 ABI patients with varying degrees of consciousness loss (including fully preserved consciousness state, minimally conscious state, unresponsive wakefulness syndrome/vegetative state, and coma) and 34 healthy control subjects. Consciousness level was evaluated using the Glasgow Coma Scale and Coma Recovery Scale-Revised on the day of fMRI scanning; recovery outcome was assessed using the Glasgow Outcome Scale 3 months after the fMRI scanning. One-way ANOVA of FCS, Spearman correlation analyses between FCS and the consciousness level and recovery outcome, and FCS-based multivariate pattern analysis were performed. We found decreased FCS with loss of consciousness primarily distributed in the posterior cingulate cortex/precuneus (PCC/PCU), medial prefrontal cortex, and lateral parietal cortex. The FCS values of these regions were significantly correlated with consciousness level and recovery outcome. Multivariate support vector machine discrimination analysis revealed that the FCS patterns predicted whether patients with unresponsive wakefulness syndrome/vegetative state and coma would regain consciousness with an accuracy of 81.25%, and the most discriminative region was the PCC/PCU. These findings suggest that intrinsic functional connectivity patterns of the human posteromedial cortex could serve as a potential indicator for consciousness level and recovery outcome in individuals with ABI.","author":[{"dropping-particle":"","family":"Wu","given":"Xuehai","non-dropping-particle":"","parse-names":false,"suffix":""},{"dropping-particle":"","family":"Zou","given":"Qihong","non-dropping-particle":"","parse-names":false,"suffix":""},{"dropping-particle":"","family":"Hu","given":"Jin","non-dropping-particle":"","parse-names":false,"suffix":""},{"dropping-particle":"","family":"Tang","given":"Weijun","non-dropping-particle":"","parse-names":false,"suffix":""},{"dropping-particle":"","family":"Mao","given":"Ying","non-dropping-particle":"","parse-names":false,"suffix":""},{"dropping-particle":"","family":"Gao","given":"Liang","non-dropping-particle":"","parse-names":false,"suffix":""},{"dropping-particle":"","family":"Zhu","given":"Jianhong","non-dropping-particle":"","parse-names":false,"suffix":""},{"dropping-particle":"","family":"Jin","given":"Yi","non-dropping-particle":"","parse-names":false,"suffix":""},{"dropping-particle":"","family":"Wu","given":"Xin","non-dropping-particle":"","parse-names":false,"suffix":""},{"dropping-particle":"","family":"Lu","given":"Lu","non-dropping-particle":"","parse-names":false,"suffix":""},{"dropping-particle":"","family":"Zhang","given":"Yaojun","non-dropping-particle":"","parse-names":false,"suffix":""},{"dropping-particle":"","family":"Zhang","given":"Yao","non-dropping-particle":"","parse-names":false,"suffix":""},{"dropping-particle":"","family":"Dai","given":"Zhengjia","non-dropping-particle":"","parse-names":false,"suffix":""},{"dropping-particle":"","family":"Gao","given":"Jia Hong","non-dropping-particle":"","parse-names":false,"suffix":""},{"dropping-particle":"","family":"Weng","given":"Xuchu","non-dropping-particle":"","parse-names":false,"suffix":""},{"dropping-particle":"","family":"Zhou","given":"Liangfu","non-dropping-particle":"","parse-names":false,"suffix":""},{"dropping-particle":"","family":"Northoff","given":"Georg","non-dropping-particle":"","parse-names":false,"suffix":""},{"dropping-particle":"","family":"Giacino","given":"Joseph T.","non-dropping-particle":"","parse-names":false,"suffix":""},{"dropping-particle":"","family":"He","given":"Yong","non-dropping-particle":"","parse-names":false,"suffix":""},{"dropping-particle":"","family":"Yang","given":"Yihong","non-dropping-particle":"","parse-names":false,"suffix":""}],"container-title":"Journal of Neuroscience","id":"ITEM-1","issue":"37","issued":{"date-parts":[["2015"]]},"page":"12932-12946","title":"Intrinsic functional connectivity patterns predict consciousness level and recovery outcome in acquired brain injury","type":"article-journal","volume":"35"},"uris":["http://www.mendeley.com/documents/?uuid=f929ab43-ad7c-40ad-a17d-6138f823f649"]},{"id":"ITEM-2","itemData":{"DOI":"10.1002/ana.24479","ISSN":"15318249","PMID":"26290126","abstract":"Objective We aimed to investigate the roles of different resting-state networks in predicting both the actual level of consciousness and its recovery in brain injury patients. Methods We investigated resting-state functional connectivity within different networks in patients with varying levels of consciousness: unresponsive wakefulness syndrome (UWS; n = 56), minimally conscious state (MCS; n = 29), and patients with brain lesions but full consciousness (BL; n = 48). Considering the actual level of consciousness, we compared the strength of network connectivity among the patient groups. We then checked the presence of connections between specific regions in individual patients and calculated the frequency of this in the different patient groups. Considering the recovery of consciousness, we split the UWS group into 2 subgroups according to recovery: those who emerged from UWS (UWS-E) and those who remained in UWS (UWS-R). The above analyses were repeated on these 2 subgroups. Results Functional connectivity strength in salience network (SN), especially connectivity between the supragenual anterior cingulate cortex (SACC) and left anterior insula (LAI), was reduced in the unconscious state (UWS) compared to the conscious state (MCS and BL). Moreover, at the individual level, SACC-LAI connectivity was more present in MCS than in UWS. Default-mode network (DMN) connectivity strength, especially between the posterior cingulate cortex (PCC) and left lateral parietal cortex (LLPC), was reduced in UWS-R compared with UWS-E. Furthermore, PCC-LLPC connectivity was more present in UWS-E than in UWS-R. Interpretation Our findings show that SN (SACC-LAI) connectivity correlates with behavioral signs of consciousness, whereas DMN (PCC-LLPC) connectivity instead predicts recovery of consciousness.","author":[{"dropping-particle":"","family":"Qin","given":"Pengmin","non-dropping-particle":"","parse-names":false,"suffix":""},{"dropping-particle":"","family":"Wu","given":"Xuehai Xing","non-dropping-particle":"","parse-names":false,"suffix":""},{"dropping-particle":"","family":"Huang","given":"Zirui","non-dropping-particle":"","parse-names":false,"suffix":""},{"dropping-particle":"","family":"Duncan","given":"Niall W.","non-dropping-particle":"","parse-names":false,"suffix":""},{"dropping-particle":"","family":"Tang","given":"Weijun","non-dropping-particle":"","parse-names":false,"suffix":""},{"dropping-particle":"","family":"Wolff","given":"Annemarie","non-dropping-particle":"","parse-names":false,"suffix":""},{"dropping-particle":"","family":"Hu","given":"Jin","non-dropping-particle":"","parse-names":false,"suffix":""},{"dropping-particle":"","family":"Gao","given":"Liang","non-dropping-particle":"","parse-names":false,"suffix":""},{"dropping-particle":"","family":"Jin","given":"Yi","non-dropping-particle":"","parse-names":false,"suffix":""},{"dropping-particle":"","family":"Wu","given":"Xuehai Xing","non-dropping-particle":"","parse-names":false,"suffix":""},{"dropping-particle":"","family":"Zhang","given":"Jianfeng Jun","non-dropping-particle":"","parse-names":false,"suffix":""},{"dropping-particle":"","family":"Lu","given":"Lu","non-dropping-particle":"","parse-names":false,"suffix":""},{"dropping-particle":"","family":"Wu","given":"Chunping","non-dropping-particle":"","parse-names":false,"suffix":""},{"dropping-particle":"","family":"Qu","given":"Xiaoying","non-dropping-particle":"","parse-names":false,"suffix":""},{"dropping-particle":"","family":"Mao","given":"Ying","non-dropping-particle":"","parse-names":false,"suffix":""},{"dropping-particle":"","family":"Weng","given":"Xuchu","non-dropping-particle":"","parse-names":false,"suffix":""},{"dropping-particle":"","family":"Zhang","given":"Jianfeng Jun","non-dropping-particle":"","parse-names":false,"suffix":""},{"dropping-particle":"","family":"Northoff","given":"Georg","non-dropping-particle":"","parse-names":false,"suffix":""}],"container-title":"Annals of Neurology","id":"ITEM-2","issue":"4","issued":{"date-parts":[["2015"]]},"page":"594-605","publisher":"Wiley Online Library","title":"How are different neural networks related to consciousness?","type":"article-journal","volume":"78"},"uris":["http://www.mendeley.com/documents/?uuid=56ae2719-d2a3-4bab-887c-2e49f5993e86"]},{"id":"ITEM-3","itemData":{"DOI":"10.7554/eLife.36173","ISSN":"2050084X","PMID":"30106378","abstract":"Disorders of consciousness are a heterogeneous mixture of different diseases or injuries. Although some indicators and models have been proposed for prognostication, any single method when used alone carries a high risk of false prediction. This study aimed to develop a multidomain prognostic model that combines resting state functional MRI with three clinical characteristics to predict one year-outcomes at the single-subject level. The model discriminated between patients who would later recover consciousness and those who would not with an accuracy of around 88% on three datasets from two medical centers. It was also able to identify the prognostic importance of different predictors, including brain functions and clinical characteristics. To our knowledge, this is the first reported implementation of a multidomain prognostic model that is based on resting state functional MRI and clinical characteristics in chronic disorders of consciousness, which we suggest is accurate, robust, and interpretable.","author":[{"dropping-particle":"","family":"Song","given":"Ming","non-dropping-particle":"","parse-names":false,"suffix":""},{"dropping-particle":"","family":"Yang","given":"Yi","non-dropping-particle":"","parse-names":false,"suffix":""},{"dropping-particle":"","family":"He","given":"Jianghong","non-dropping-particle":"","parse-names":false,"suffix":""},{"dropping-particle":"","family":"Yang","given":"Zhengyi","non-dropping-particle":"","parse-names":false,"suffix":""},{"dropping-particle":"","family":"Yu","given":"Shan","non-dropping-particle":"","parse-names":false,"suffix":""},{"dropping-particle":"","family":"Xie","given":"Qiuyou","non-dropping-particle":"","parse-names":false,"suffix":""},{"dropping-particle":"","family":"Xia","given":"Xiaoyu","non-dropping-particle":"","parse-names":false,"suffix":""},{"dropping-particle":"","family":"Dang","given":"Yuanyuan","non-dropping-particle":"","parse-names":false,"suffix":""},{"dropping-particle":"","family":"Zhang","given":"Qiang","non-dropping-particle":"","parse-names":false,"suffix":""},{"dropping-particle":"","family":"Wu","given":"Xinhuai","non-dropping-particle":"","parse-names":false,"suffix":""},{"dropping-particle":"","family":"Cui","given":"Yue","non-dropping-particle":"","parse-names":false,"suffix":""},{"dropping-particle":"","family":"Hou","given":"Bing","non-dropping-particle":"","parse-names":false,"suffix":""},{"dropping-particle":"","family":"Yu","given":"Ronghao","non-dropping-particle":"","parse-names":false,"suffix":""},{"dropping-particle":"","family":"Xu","given":"Ruxiang","non-dropping-particle":"","parse-names":false,"suffix":""},{"dropping-particle":"","family":"Jiang","given":"Tianzi","non-dropping-particle":"","parse-names":false,"suffix":""}],"container-title":"eLife","id":"ITEM-3","issued":{"date-parts":[["2018"]]},"title":"Prognostication of chronic disorders of consciousness using brain functional networks and clinical characteristics","type":"article-journal","volume":"7"},"uris":["http://www.mendeley.com/documents/?uuid=6e68a05e-0edb-4d66-b1ca-bff19d28b4e9"]}],"mendeley":{"formattedCitation":"(Qin et al., 2015; Song et al., 2018; Wu et al., 2015)","plainTextFormattedCitation":"(Qin et al., 2015; Song et al., 2018; Wu et al., 2015)","previouslyFormattedCitation":"(Qin et al., 2015; Song et al., 2018; Wu et al., 2015)"},"properties":{"noteIndex":0},"schema":"https://github.com/citation-style-language/schema/raw/master/csl-citation.json"}</w:instrText>
            </w:r>
            <w:r w:rsidRPr="000C7242">
              <w:rPr>
                <w:sz w:val="22"/>
                <w:szCs w:val="22"/>
              </w:rPr>
              <w:fldChar w:fldCharType="separate"/>
            </w:r>
            <w:r w:rsidRPr="000C7242">
              <w:rPr>
                <w:noProof/>
                <w:sz w:val="22"/>
                <w:szCs w:val="22"/>
              </w:rPr>
              <w:t>(Qin et al., 2015; Song et al., 2018; Wu et al., 2015)</w:t>
            </w:r>
            <w:r w:rsidRPr="000C7242">
              <w:rPr>
                <w:sz w:val="22"/>
                <w:szCs w:val="22"/>
              </w:rPr>
              <w:fldChar w:fldCharType="end"/>
            </w:r>
          </w:p>
        </w:tc>
        <w:tc>
          <w:tcPr>
            <w:tcW w:w="709" w:type="dxa"/>
            <w:shd w:val="clear" w:color="auto" w:fill="auto"/>
            <w:vAlign w:val="center"/>
          </w:tcPr>
          <w:p w14:paraId="44A67796" w14:textId="053130AA" w:rsidR="009C6B87" w:rsidRPr="003273B9" w:rsidRDefault="009C6B87" w:rsidP="00131F74">
            <w:pPr>
              <w:rPr>
                <w:sz w:val="22"/>
                <w:szCs w:val="22"/>
              </w:rPr>
            </w:pPr>
            <w:r>
              <w:rPr>
                <w:sz w:val="22"/>
                <w:szCs w:val="22"/>
              </w:rPr>
              <w:t>NA</w:t>
            </w:r>
          </w:p>
        </w:tc>
        <w:tc>
          <w:tcPr>
            <w:tcW w:w="851" w:type="dxa"/>
            <w:shd w:val="clear" w:color="auto" w:fill="ED7D31" w:themeFill="accent2"/>
            <w:vAlign w:val="center"/>
          </w:tcPr>
          <w:p w14:paraId="414693C1" w14:textId="786C8472" w:rsidR="009C6B87" w:rsidRPr="003273B9" w:rsidRDefault="009C6B87" w:rsidP="00131F74">
            <w:pPr>
              <w:jc w:val="center"/>
              <w:rPr>
                <w:sz w:val="22"/>
                <w:szCs w:val="22"/>
              </w:rPr>
            </w:pPr>
          </w:p>
        </w:tc>
      </w:tr>
      <w:tr w:rsidR="009C6B87" w14:paraId="0494BB66" w14:textId="77777777" w:rsidTr="00372052">
        <w:trPr>
          <w:cantSplit/>
          <w:trHeight w:val="2051"/>
        </w:trPr>
        <w:tc>
          <w:tcPr>
            <w:tcW w:w="849" w:type="dxa"/>
            <w:vMerge/>
            <w:vAlign w:val="center"/>
          </w:tcPr>
          <w:p w14:paraId="1E2DEC3A" w14:textId="77777777" w:rsidR="009C6B87" w:rsidRPr="003273B9" w:rsidRDefault="009C6B87" w:rsidP="00131F74">
            <w:pPr>
              <w:rPr>
                <w:b/>
                <w:sz w:val="22"/>
                <w:szCs w:val="22"/>
              </w:rPr>
            </w:pPr>
          </w:p>
        </w:tc>
        <w:tc>
          <w:tcPr>
            <w:tcW w:w="1417" w:type="dxa"/>
            <w:vMerge/>
            <w:vAlign w:val="center"/>
          </w:tcPr>
          <w:p w14:paraId="62CC28DC" w14:textId="77777777" w:rsidR="009C6B87" w:rsidRPr="003273B9" w:rsidRDefault="009C6B87" w:rsidP="00131F74">
            <w:pPr>
              <w:rPr>
                <w:sz w:val="22"/>
                <w:szCs w:val="22"/>
              </w:rPr>
            </w:pPr>
          </w:p>
        </w:tc>
        <w:tc>
          <w:tcPr>
            <w:tcW w:w="1276" w:type="dxa"/>
            <w:vMerge w:val="restart"/>
            <w:vAlign w:val="center"/>
          </w:tcPr>
          <w:p w14:paraId="4D487E2D" w14:textId="2EB95181" w:rsidR="009C6B87" w:rsidRPr="003273B9" w:rsidRDefault="009C6B87" w:rsidP="00131F74">
            <w:pPr>
              <w:rPr>
                <w:sz w:val="22"/>
                <w:szCs w:val="22"/>
              </w:rPr>
            </w:pPr>
            <w:r>
              <w:rPr>
                <w:sz w:val="22"/>
                <w:szCs w:val="22"/>
              </w:rPr>
              <w:t>Passive</w:t>
            </w:r>
            <w:r w:rsidR="00C36A05">
              <w:rPr>
                <w:sz w:val="22"/>
                <w:szCs w:val="22"/>
              </w:rPr>
              <w:t>-</w:t>
            </w:r>
            <w:r>
              <w:rPr>
                <w:sz w:val="22"/>
                <w:szCs w:val="22"/>
              </w:rPr>
              <w:t>Stimulation</w:t>
            </w:r>
          </w:p>
        </w:tc>
        <w:tc>
          <w:tcPr>
            <w:tcW w:w="2128" w:type="dxa"/>
            <w:vMerge w:val="restart"/>
            <w:vAlign w:val="center"/>
          </w:tcPr>
          <w:p w14:paraId="57561ABB" w14:textId="208A0616" w:rsidR="009C6B87" w:rsidRDefault="009C6B87" w:rsidP="00131F74">
            <w:pPr>
              <w:rPr>
                <w:sz w:val="22"/>
                <w:szCs w:val="22"/>
              </w:rPr>
            </w:pPr>
            <w:r>
              <w:rPr>
                <w:sz w:val="22"/>
                <w:szCs w:val="22"/>
              </w:rPr>
              <w:t>Visual and automated classification of volume of BOLD brain activation using stimulation with familiar/salient stimuli</w:t>
            </w:r>
          </w:p>
          <w:p w14:paraId="15CFB4C0" w14:textId="480EB2C8" w:rsidR="009C6B87" w:rsidRDefault="009C6B87" w:rsidP="00131F74">
            <w:pPr>
              <w:rPr>
                <w:sz w:val="22"/>
                <w:szCs w:val="22"/>
              </w:rPr>
            </w:pPr>
            <w:r>
              <w:rPr>
                <w:sz w:val="22"/>
                <w:szCs w:val="22"/>
              </w:rPr>
              <w:t>----------------------------</w:t>
            </w:r>
          </w:p>
          <w:p w14:paraId="711D60A8" w14:textId="1D4C5E70" w:rsidR="009C6B87" w:rsidRPr="003273B9" w:rsidRDefault="009C6B87" w:rsidP="00131F74">
            <w:pPr>
              <w:rPr>
                <w:sz w:val="22"/>
                <w:szCs w:val="22"/>
              </w:rPr>
            </w:pPr>
            <w:r>
              <w:rPr>
                <w:sz w:val="22"/>
                <w:szCs w:val="22"/>
              </w:rPr>
              <w:t>Visual and automated classification of volume of BOLD brain activation using stimulation with familiar/salient stimuli</w:t>
            </w:r>
          </w:p>
        </w:tc>
        <w:tc>
          <w:tcPr>
            <w:tcW w:w="2835" w:type="dxa"/>
            <w:vMerge w:val="restart"/>
            <w:vAlign w:val="center"/>
          </w:tcPr>
          <w:p w14:paraId="093C881B" w14:textId="1874E302" w:rsidR="009C6B87" w:rsidRDefault="009C6B87" w:rsidP="00131F74">
            <w:pPr>
              <w:rPr>
                <w:sz w:val="22"/>
                <w:szCs w:val="22"/>
              </w:rPr>
            </w:pPr>
            <w:r>
              <w:rPr>
                <w:sz w:val="22"/>
                <w:szCs w:val="22"/>
              </w:rPr>
              <w:t>Sens</w:t>
            </w:r>
            <w:r w:rsidR="00D36ACA">
              <w:rPr>
                <w:sz w:val="22"/>
                <w:szCs w:val="22"/>
              </w:rPr>
              <w:t xml:space="preserve"> = 88%</w:t>
            </w:r>
            <w:r w:rsidR="007224D0">
              <w:rPr>
                <w:sz w:val="22"/>
                <w:szCs w:val="22"/>
              </w:rPr>
              <w:t xml:space="preserve">;  </w:t>
            </w:r>
            <w:r w:rsidR="00D36ACA">
              <w:rPr>
                <w:sz w:val="22"/>
                <w:szCs w:val="22"/>
              </w:rPr>
              <w:t>Spec = 100%</w:t>
            </w:r>
            <w:r w:rsidR="007224D0">
              <w:rPr>
                <w:sz w:val="22"/>
                <w:szCs w:val="22"/>
              </w:rPr>
              <w:t xml:space="preserve">; </w:t>
            </w:r>
            <w:r w:rsidR="00D36ACA">
              <w:rPr>
                <w:sz w:val="22"/>
                <w:szCs w:val="22"/>
              </w:rPr>
              <w:t>Acc = 94%</w:t>
            </w:r>
          </w:p>
          <w:p w14:paraId="3FF37F78" w14:textId="76ED7EE4" w:rsidR="00D36ACA" w:rsidRDefault="00D36ACA" w:rsidP="00131F74">
            <w:pPr>
              <w:rPr>
                <w:sz w:val="22"/>
                <w:szCs w:val="22"/>
              </w:rPr>
            </w:pPr>
            <w:r>
              <w:rPr>
                <w:sz w:val="22"/>
                <w:szCs w:val="22"/>
              </w:rPr>
              <w:t>(acute or prolonged UWS)</w:t>
            </w:r>
          </w:p>
          <w:p w14:paraId="1029E1AC" w14:textId="77777777" w:rsidR="007224D0" w:rsidRDefault="007224D0" w:rsidP="00131F74">
            <w:pPr>
              <w:rPr>
                <w:sz w:val="22"/>
                <w:szCs w:val="22"/>
              </w:rPr>
            </w:pPr>
          </w:p>
          <w:p w14:paraId="58614B91" w14:textId="40FAB30D" w:rsidR="009C6B87" w:rsidRDefault="009C6B87" w:rsidP="00131F74">
            <w:pPr>
              <w:rPr>
                <w:sz w:val="22"/>
                <w:szCs w:val="22"/>
              </w:rPr>
            </w:pPr>
            <w:r>
              <w:rPr>
                <w:sz w:val="22"/>
                <w:szCs w:val="22"/>
              </w:rPr>
              <w:t>-------------------------------</w:t>
            </w:r>
          </w:p>
          <w:p w14:paraId="46B7330C" w14:textId="2D1ACE52" w:rsidR="009C6B87" w:rsidRPr="00ED6F68" w:rsidRDefault="009C6B87" w:rsidP="00131F74">
            <w:pPr>
              <w:rPr>
                <w:sz w:val="22"/>
                <w:szCs w:val="22"/>
              </w:rPr>
            </w:pPr>
            <w:r w:rsidRPr="00ED6F68">
              <w:rPr>
                <w:sz w:val="22"/>
                <w:szCs w:val="22"/>
              </w:rPr>
              <w:t>OR = 18.0</w:t>
            </w:r>
          </w:p>
          <w:p w14:paraId="6273651E" w14:textId="77777777" w:rsidR="009C6B87" w:rsidRDefault="009C6B87" w:rsidP="00131F74">
            <w:pPr>
              <w:rPr>
                <w:sz w:val="22"/>
                <w:szCs w:val="22"/>
              </w:rPr>
            </w:pPr>
            <w:r>
              <w:rPr>
                <w:sz w:val="22"/>
                <w:szCs w:val="22"/>
              </w:rPr>
              <w:t>(</w:t>
            </w:r>
            <w:r w:rsidRPr="00ED6F68">
              <w:rPr>
                <w:sz w:val="22"/>
                <w:szCs w:val="22"/>
              </w:rPr>
              <w:t>traumatic, prolonged UWS</w:t>
            </w:r>
            <w:r>
              <w:rPr>
                <w:sz w:val="22"/>
                <w:szCs w:val="22"/>
              </w:rPr>
              <w:t>)</w:t>
            </w:r>
          </w:p>
          <w:p w14:paraId="6137D536" w14:textId="77777777" w:rsidR="00D36ACA" w:rsidRDefault="00D36ACA" w:rsidP="00131F74">
            <w:pPr>
              <w:rPr>
                <w:sz w:val="22"/>
                <w:szCs w:val="22"/>
                <w:highlight w:val="yellow"/>
              </w:rPr>
            </w:pPr>
          </w:p>
          <w:p w14:paraId="4BBEC919" w14:textId="7FFB27EE" w:rsidR="00D36ACA" w:rsidRPr="00D75264" w:rsidRDefault="00D36ACA" w:rsidP="00131F74">
            <w:pPr>
              <w:rPr>
                <w:sz w:val="22"/>
                <w:szCs w:val="22"/>
                <w:highlight w:val="yellow"/>
              </w:rPr>
            </w:pPr>
          </w:p>
        </w:tc>
        <w:tc>
          <w:tcPr>
            <w:tcW w:w="3402" w:type="dxa"/>
            <w:vMerge w:val="restart"/>
            <w:vAlign w:val="center"/>
          </w:tcPr>
          <w:p w14:paraId="542D0218" w14:textId="275F8F17" w:rsidR="009C6B87" w:rsidRPr="000C7242" w:rsidRDefault="009C6B87" w:rsidP="00131F74">
            <w:pPr>
              <w:rPr>
                <w:sz w:val="22"/>
                <w:szCs w:val="22"/>
              </w:rPr>
            </w:pPr>
            <w:r>
              <w:rPr>
                <w:sz w:val="22"/>
                <w:szCs w:val="22"/>
              </w:rPr>
              <w:t xml:space="preserve">In acute/prolonged UWS/VS, evidence of activation in associative cortices during passive-stimulation protocols predicts </w:t>
            </w:r>
            <w:r w:rsidR="00D36ACA">
              <w:rPr>
                <w:sz w:val="22"/>
                <w:szCs w:val="22"/>
              </w:rPr>
              <w:t xml:space="preserve">more </w:t>
            </w:r>
            <w:proofErr w:type="spellStart"/>
            <w:r w:rsidR="00D36ACA" w:rsidRPr="000C7242">
              <w:rPr>
                <w:sz w:val="22"/>
                <w:szCs w:val="22"/>
              </w:rPr>
              <w:t>favourable</w:t>
            </w:r>
            <w:proofErr w:type="spellEnd"/>
            <w:r w:rsidR="00D36ACA" w:rsidRPr="000C7242">
              <w:rPr>
                <w:sz w:val="22"/>
                <w:szCs w:val="22"/>
              </w:rPr>
              <w:t xml:space="preserve"> outcomes </w:t>
            </w:r>
            <w:r w:rsidRPr="000C7242">
              <w:rPr>
                <w:sz w:val="22"/>
                <w:szCs w:val="22"/>
              </w:rPr>
              <w:t>(pooled results of 6</w:t>
            </w:r>
            <w:r w:rsidR="00036AEC" w:rsidRPr="000C7242">
              <w:rPr>
                <w:sz w:val="22"/>
                <w:szCs w:val="22"/>
              </w:rPr>
              <w:t xml:space="preserve"> </w:t>
            </w:r>
            <w:r w:rsidRPr="000C7242">
              <w:rPr>
                <w:sz w:val="22"/>
                <w:szCs w:val="22"/>
              </w:rPr>
              <w:t xml:space="preserve">studies as in </w:t>
            </w:r>
            <w:r w:rsidRPr="000C7242">
              <w:rPr>
                <w:sz w:val="22"/>
                <w:szCs w:val="22"/>
              </w:rPr>
              <w:fldChar w:fldCharType="begin" w:fldLock="1"/>
            </w:r>
            <w:r w:rsidRPr="000C7242">
              <w:rPr>
                <w:sz w:val="22"/>
                <w:szCs w:val="22"/>
              </w:rPr>
              <w:instrText>ADDIN CSL_CITATION {"citationItems":[{"id":"ITEM-1","itemData":{"DOI":"10.7861/clinmedicine.8-5-502","ISSN":"14702118","PMID":"18975482","abstract":"The vegetative state (VS) is a devastating clinical condition characterised by wakefulness without awareness. Functional neuroimaging permits to objectively measure brain responsiveness to external stimuli in VS. The literature on functional magnetic resonance imaging and positron emission tomography studies in these patients has been reviewed. Results from 15 studies were classified in: absent cortical activation or 'typical' activation of 'low level' primary sensory cortices and 'atypical' activation spreading to 'higher level' associative cortices. This descriptive review on 48 published cases suggests that 'atypical' activation patterns seem to herald recovery from VS with a 93% specificity and 69% sensitivity. Passive stimulation paradigms, however, do not permit to make strong claims about the absence or presence of consciousness. Recently proposed mental imagery paradigms permit to identify signs of consciousness in non-communicative brain damaged patients. The clinical application of these functional neuroimaging techniques awaits validation from ongoing multi-centric cohort studies in these challenging patients with chronic disorders of consciousness. © Royal College of Physicians, 2008. All rights reserved.","author":[{"dropping-particle":"","family":"Di","given":"Haibo","non-dropping-particle":"","parse-names":false,"suffix":""},{"dropping-particle":"","family":"Boly","given":"Melanie","non-dropping-particle":"","parse-names":false,"suffix":""},{"dropping-particle":"","family":"Weng","given":"Xuchu","non-dropping-particle":"","parse-names":false,"suffix":""},{"dropping-particle":"","family":"Ledoux","given":"Didier","non-dropping-particle":"","parse-names":false,"suffix":""},{"dropping-particle":"","family":"Laureys","given":"Steven","non-dropping-particle":"","parse-names":false,"suffix":""}],"container-title":"Clinical Medicine, Journal of the Royal College of Physicians of London","id":"ITEM-1","issue":"5","issued":{"date-parts":[["2008"]]},"page":"502-507","title":"Neuroimaging activation studies in the vegetative state: Predictors of recovery?","type":"article-journal","volume":"8"},"uris":["http://www.mendeley.com/documents/?uuid=c1d6563e-d180-4b2a-bb34-c995ea8191ab"]}],"mendeley":{"formattedCitation":"(Di et al., 2008)","plainTextFormattedCitation":"(Di et al., 2008)","previouslyFormattedCitation":"(Di et al., 2008)"},"properties":{"noteIndex":0},"schema":"https://github.com/citation-style-language/schema/raw/master/csl-citation.json"}</w:instrText>
            </w:r>
            <w:r w:rsidRPr="000C7242">
              <w:rPr>
                <w:sz w:val="22"/>
                <w:szCs w:val="22"/>
              </w:rPr>
              <w:fldChar w:fldCharType="separate"/>
            </w:r>
            <w:r w:rsidRPr="000C7242">
              <w:rPr>
                <w:noProof/>
                <w:sz w:val="22"/>
                <w:szCs w:val="22"/>
              </w:rPr>
              <w:t>Di et al., 2008)</w:t>
            </w:r>
            <w:r w:rsidRPr="000C7242">
              <w:rPr>
                <w:sz w:val="22"/>
                <w:szCs w:val="22"/>
              </w:rPr>
              <w:fldChar w:fldCharType="end"/>
            </w:r>
          </w:p>
          <w:p w14:paraId="6047D252" w14:textId="6F873678" w:rsidR="00D36ACA" w:rsidRPr="000C7242" w:rsidRDefault="00D36ACA" w:rsidP="00131F74">
            <w:pPr>
              <w:rPr>
                <w:sz w:val="22"/>
                <w:szCs w:val="22"/>
              </w:rPr>
            </w:pPr>
            <w:r w:rsidRPr="000C7242">
              <w:rPr>
                <w:sz w:val="22"/>
                <w:szCs w:val="22"/>
              </w:rPr>
              <w:t>-----------------------------------------</w:t>
            </w:r>
          </w:p>
          <w:p w14:paraId="59162062" w14:textId="77777777" w:rsidR="009C6B87" w:rsidRPr="000C7242" w:rsidRDefault="009C6B87" w:rsidP="00131F74">
            <w:pPr>
              <w:rPr>
                <w:sz w:val="22"/>
                <w:szCs w:val="22"/>
              </w:rPr>
            </w:pPr>
            <w:r w:rsidRPr="000C7242">
              <w:rPr>
                <w:sz w:val="22"/>
                <w:szCs w:val="22"/>
              </w:rPr>
              <w:t xml:space="preserve">In traumatic prolonged UWS/VS, evidence of activation in auditory cortices during stimulation predicts better prognosis at 12-months follow-up (progression to MCS or EMCS) </w:t>
            </w:r>
            <w:r w:rsidRPr="000C7242">
              <w:rPr>
                <w:sz w:val="22"/>
                <w:szCs w:val="22"/>
              </w:rPr>
              <w:fldChar w:fldCharType="begin" w:fldLock="1"/>
            </w:r>
            <w:r w:rsidRPr="000C7242">
              <w:rPr>
                <w:sz w:val="22"/>
                <w:szCs w:val="22"/>
              </w:rPr>
              <w:instrText>ADDIN CSL_CITATION {"citationItems":[{"id":"ITEM-1","itemData":{"ISSN":"1741-7015","author":[{"dropping-particle":"","family":"Wang","given":"Fuyan","non-dropping-particle":"","parse-names":false,"suffix":""},{"dropping-particle":"","family":"Di","given":"Haibo","non-dropping-particle":"","parse-names":false,"suffix":""},{"dropping-particle":"","family":"Hu","given":"Xiaohua","non-dropping-particle":"","parse-names":false,"suffix":""},{"dropping-particle":"","family":"Jing","given":"Shan","non-dropping-particle":"","parse-names":false,"suffix":""},{"dropping-particle":"","family":"Thibaut","given":"Aurore","non-dropping-particle":"","parse-names":false,"suffix":""},{"dropping-particle":"","family":"Perri","given":"Carol","non-dropping-particle":"Di","parse-names":false,"suffix":""},{"dropping-particle":"","family":"Huang","given":"Wangshan","non-dropping-particle":"","parse-names":false,"suffix":""},{"dropping-particle":"","family":"Nie","given":"Yunzhi","non-dropping-particle":"","parse-names":false,"suffix":""},{"dropping-particle":"","family":"Schnakers","given":"Caroline","non-dropping-particle":"","parse-names":false,"suffix":""},{"dropping-particle":"","family":"Laureys","given":"Steven","non-dropping-particle":"","parse-names":false,"suffix":""}],"container-title":"BMC medicine","id":"ITEM-1","issue":"1","issued":{"date-parts":[["2015"]]},"page":"1-13","publisher":"BioMed Central","title":"Cerebral response to subject’s own name showed high prognostic value in traumatic vegetative state","type":"article-journal","volume":"13"},"uris":["http://www.mendeley.com/documents/?uuid=63c68a62-7945-41c4-935b-6d3cfd6f039e"]}],"mendeley":{"formattedCitation":"(Wang et al., 2015)","plainTextFormattedCitation":"(Wang et al., 2015)","previouslyFormattedCitation":"(Wang et al., 2015)"},"properties":{"noteIndex":0},"schema":"https://github.com/citation-style-language/schema/raw/master/csl-citation.json"}</w:instrText>
            </w:r>
            <w:r w:rsidRPr="000C7242">
              <w:rPr>
                <w:sz w:val="22"/>
                <w:szCs w:val="22"/>
              </w:rPr>
              <w:fldChar w:fldCharType="separate"/>
            </w:r>
            <w:r w:rsidRPr="000C7242">
              <w:rPr>
                <w:noProof/>
                <w:sz w:val="22"/>
                <w:szCs w:val="22"/>
              </w:rPr>
              <w:t>(Wang et al., 2015)</w:t>
            </w:r>
            <w:r w:rsidRPr="000C7242">
              <w:rPr>
                <w:sz w:val="22"/>
                <w:szCs w:val="22"/>
              </w:rPr>
              <w:fldChar w:fldCharType="end"/>
            </w:r>
          </w:p>
          <w:p w14:paraId="2775D767" w14:textId="1D7CD578" w:rsidR="00D36ACA" w:rsidRPr="003273B9" w:rsidRDefault="00D36ACA" w:rsidP="00131F74">
            <w:pPr>
              <w:rPr>
                <w:sz w:val="22"/>
                <w:szCs w:val="22"/>
              </w:rPr>
            </w:pPr>
          </w:p>
        </w:tc>
        <w:tc>
          <w:tcPr>
            <w:tcW w:w="709" w:type="dxa"/>
            <w:shd w:val="clear" w:color="auto" w:fill="auto"/>
            <w:vAlign w:val="center"/>
          </w:tcPr>
          <w:p w14:paraId="6ED544B6" w14:textId="469749CE" w:rsidR="009C6B87" w:rsidRPr="003273B9" w:rsidRDefault="009C6B87" w:rsidP="00131F74">
            <w:pPr>
              <w:rPr>
                <w:sz w:val="22"/>
                <w:szCs w:val="22"/>
              </w:rPr>
            </w:pPr>
            <w:r>
              <w:rPr>
                <w:sz w:val="22"/>
                <w:szCs w:val="22"/>
              </w:rPr>
              <w:t>NA</w:t>
            </w:r>
          </w:p>
        </w:tc>
        <w:tc>
          <w:tcPr>
            <w:tcW w:w="851" w:type="dxa"/>
            <w:vMerge w:val="restart"/>
            <w:shd w:val="clear" w:color="auto" w:fill="ED7D31" w:themeFill="accent2"/>
            <w:vAlign w:val="center"/>
          </w:tcPr>
          <w:p w14:paraId="06B9E019" w14:textId="64DA25D0" w:rsidR="009C6B87" w:rsidRPr="003273B9" w:rsidRDefault="009C6B87" w:rsidP="00131F74">
            <w:pPr>
              <w:rPr>
                <w:sz w:val="22"/>
                <w:szCs w:val="22"/>
              </w:rPr>
            </w:pPr>
          </w:p>
        </w:tc>
      </w:tr>
      <w:tr w:rsidR="009C6B87" w14:paraId="516F605A" w14:textId="77777777" w:rsidTr="00372052">
        <w:trPr>
          <w:cantSplit/>
          <w:trHeight w:val="1414"/>
        </w:trPr>
        <w:tc>
          <w:tcPr>
            <w:tcW w:w="849" w:type="dxa"/>
            <w:vMerge/>
            <w:vAlign w:val="center"/>
          </w:tcPr>
          <w:p w14:paraId="6871AFFC" w14:textId="77777777" w:rsidR="009C6B87" w:rsidRPr="003273B9" w:rsidRDefault="009C6B87" w:rsidP="00131F74">
            <w:pPr>
              <w:rPr>
                <w:b/>
                <w:sz w:val="22"/>
                <w:szCs w:val="22"/>
              </w:rPr>
            </w:pPr>
          </w:p>
        </w:tc>
        <w:tc>
          <w:tcPr>
            <w:tcW w:w="1417" w:type="dxa"/>
            <w:vMerge/>
            <w:vAlign w:val="center"/>
          </w:tcPr>
          <w:p w14:paraId="6C793780" w14:textId="77777777" w:rsidR="009C6B87" w:rsidRPr="003273B9" w:rsidRDefault="009C6B87" w:rsidP="00131F74">
            <w:pPr>
              <w:rPr>
                <w:sz w:val="22"/>
                <w:szCs w:val="22"/>
              </w:rPr>
            </w:pPr>
          </w:p>
        </w:tc>
        <w:tc>
          <w:tcPr>
            <w:tcW w:w="1276" w:type="dxa"/>
            <w:vMerge/>
            <w:vAlign w:val="center"/>
          </w:tcPr>
          <w:p w14:paraId="01532B5B" w14:textId="77777777" w:rsidR="009C6B87" w:rsidRDefault="009C6B87" w:rsidP="00131F74">
            <w:pPr>
              <w:rPr>
                <w:sz w:val="22"/>
                <w:szCs w:val="22"/>
              </w:rPr>
            </w:pPr>
          </w:p>
        </w:tc>
        <w:tc>
          <w:tcPr>
            <w:tcW w:w="2128" w:type="dxa"/>
            <w:vMerge/>
            <w:vAlign w:val="center"/>
          </w:tcPr>
          <w:p w14:paraId="6EB2ED4A" w14:textId="77777777" w:rsidR="009C6B87" w:rsidRDefault="009C6B87" w:rsidP="00131F74">
            <w:pPr>
              <w:rPr>
                <w:sz w:val="22"/>
                <w:szCs w:val="22"/>
              </w:rPr>
            </w:pPr>
          </w:p>
        </w:tc>
        <w:tc>
          <w:tcPr>
            <w:tcW w:w="2835" w:type="dxa"/>
            <w:vMerge/>
            <w:vAlign w:val="center"/>
          </w:tcPr>
          <w:p w14:paraId="614628AB" w14:textId="77777777" w:rsidR="009C6B87" w:rsidRDefault="009C6B87" w:rsidP="00131F74">
            <w:pPr>
              <w:rPr>
                <w:sz w:val="22"/>
                <w:szCs w:val="22"/>
              </w:rPr>
            </w:pPr>
          </w:p>
        </w:tc>
        <w:tc>
          <w:tcPr>
            <w:tcW w:w="3402" w:type="dxa"/>
            <w:vMerge/>
            <w:vAlign w:val="center"/>
          </w:tcPr>
          <w:p w14:paraId="5B930601" w14:textId="77777777" w:rsidR="009C6B87" w:rsidRDefault="009C6B87" w:rsidP="00131F74">
            <w:pPr>
              <w:rPr>
                <w:sz w:val="22"/>
                <w:szCs w:val="22"/>
              </w:rPr>
            </w:pPr>
          </w:p>
        </w:tc>
        <w:tc>
          <w:tcPr>
            <w:tcW w:w="709" w:type="dxa"/>
            <w:shd w:val="clear" w:color="auto" w:fill="70AD47" w:themeFill="accent6"/>
            <w:vAlign w:val="center"/>
          </w:tcPr>
          <w:p w14:paraId="325A450E" w14:textId="77777777" w:rsidR="009C6B87" w:rsidRPr="003273B9" w:rsidRDefault="009C6B87" w:rsidP="00131F74">
            <w:pPr>
              <w:rPr>
                <w:sz w:val="22"/>
                <w:szCs w:val="22"/>
              </w:rPr>
            </w:pPr>
          </w:p>
        </w:tc>
        <w:tc>
          <w:tcPr>
            <w:tcW w:w="851" w:type="dxa"/>
            <w:vMerge/>
            <w:shd w:val="clear" w:color="auto" w:fill="ED7D31" w:themeFill="accent2"/>
            <w:vAlign w:val="center"/>
          </w:tcPr>
          <w:p w14:paraId="4C180B1E" w14:textId="77777777" w:rsidR="009C6B87" w:rsidRDefault="009C6B87" w:rsidP="00131F74">
            <w:pPr>
              <w:rPr>
                <w:sz w:val="22"/>
                <w:szCs w:val="22"/>
              </w:rPr>
            </w:pPr>
          </w:p>
        </w:tc>
      </w:tr>
      <w:tr w:rsidR="009C6B87" w:rsidRPr="00733A9E" w14:paraId="6A483980" w14:textId="77777777" w:rsidTr="00372052">
        <w:trPr>
          <w:cantSplit/>
          <w:trHeight w:val="1134"/>
        </w:trPr>
        <w:tc>
          <w:tcPr>
            <w:tcW w:w="849" w:type="dxa"/>
            <w:vMerge/>
            <w:vAlign w:val="center"/>
          </w:tcPr>
          <w:p w14:paraId="58E5F21F" w14:textId="77777777" w:rsidR="009C6B87" w:rsidRPr="003273B9" w:rsidRDefault="009C6B87" w:rsidP="00131F74">
            <w:pPr>
              <w:rPr>
                <w:b/>
                <w:sz w:val="22"/>
                <w:szCs w:val="22"/>
              </w:rPr>
            </w:pPr>
          </w:p>
        </w:tc>
        <w:tc>
          <w:tcPr>
            <w:tcW w:w="1417" w:type="dxa"/>
            <w:vMerge/>
            <w:vAlign w:val="center"/>
          </w:tcPr>
          <w:p w14:paraId="088686B3" w14:textId="77777777" w:rsidR="009C6B87" w:rsidRPr="003273B9" w:rsidRDefault="009C6B87" w:rsidP="00131F74">
            <w:pPr>
              <w:rPr>
                <w:sz w:val="22"/>
                <w:szCs w:val="22"/>
              </w:rPr>
            </w:pPr>
          </w:p>
        </w:tc>
        <w:tc>
          <w:tcPr>
            <w:tcW w:w="1276" w:type="dxa"/>
            <w:vAlign w:val="center"/>
          </w:tcPr>
          <w:p w14:paraId="2BEA4909" w14:textId="18011A08" w:rsidR="009C6B87" w:rsidRPr="003273B9" w:rsidRDefault="009C6B87" w:rsidP="00131F74">
            <w:pPr>
              <w:rPr>
                <w:sz w:val="22"/>
                <w:szCs w:val="22"/>
              </w:rPr>
            </w:pPr>
            <w:r>
              <w:rPr>
                <w:sz w:val="22"/>
                <w:szCs w:val="22"/>
              </w:rPr>
              <w:t>Active</w:t>
            </w:r>
            <w:r w:rsidR="00C36A05">
              <w:rPr>
                <w:sz w:val="22"/>
                <w:szCs w:val="22"/>
              </w:rPr>
              <w:t>-</w:t>
            </w:r>
            <w:r>
              <w:rPr>
                <w:sz w:val="22"/>
                <w:szCs w:val="22"/>
              </w:rPr>
              <w:t>Task</w:t>
            </w:r>
          </w:p>
        </w:tc>
        <w:tc>
          <w:tcPr>
            <w:tcW w:w="2128" w:type="dxa"/>
            <w:vAlign w:val="center"/>
          </w:tcPr>
          <w:p w14:paraId="5600A719" w14:textId="2AA3DB5F" w:rsidR="009C6B87" w:rsidRPr="003273B9" w:rsidRDefault="009C6B87" w:rsidP="00131F74">
            <w:pPr>
              <w:rPr>
                <w:sz w:val="22"/>
                <w:szCs w:val="22"/>
              </w:rPr>
            </w:pPr>
            <w:r>
              <w:rPr>
                <w:sz w:val="22"/>
                <w:szCs w:val="22"/>
              </w:rPr>
              <w:t>Visual of strength/extent of BOLD brain activation during active cognitive/motor tasks</w:t>
            </w:r>
          </w:p>
        </w:tc>
        <w:tc>
          <w:tcPr>
            <w:tcW w:w="2835" w:type="dxa"/>
            <w:vAlign w:val="center"/>
          </w:tcPr>
          <w:p w14:paraId="7EAB9B1B" w14:textId="482D28AF" w:rsidR="00733A9E" w:rsidRPr="00733A9E" w:rsidRDefault="009C6B87" w:rsidP="00131F74">
            <w:pPr>
              <w:rPr>
                <w:sz w:val="22"/>
                <w:szCs w:val="22"/>
              </w:rPr>
            </w:pPr>
            <w:r w:rsidRPr="00733A9E">
              <w:rPr>
                <w:sz w:val="22"/>
                <w:szCs w:val="22"/>
              </w:rPr>
              <w:t>OR</w:t>
            </w:r>
            <w:r w:rsidR="00733A9E" w:rsidRPr="00733A9E">
              <w:rPr>
                <w:sz w:val="22"/>
                <w:szCs w:val="22"/>
              </w:rPr>
              <w:t xml:space="preserve"> = 100.0 (UWS/VS</w:t>
            </w:r>
            <w:r w:rsidR="007224D0">
              <w:rPr>
                <w:sz w:val="22"/>
                <w:szCs w:val="22"/>
              </w:rPr>
              <w:t>)</w:t>
            </w:r>
          </w:p>
          <w:p w14:paraId="2A3417EB" w14:textId="77777777" w:rsidR="007224D0" w:rsidRDefault="00733A9E" w:rsidP="00131F74">
            <w:pPr>
              <w:rPr>
                <w:sz w:val="22"/>
                <w:szCs w:val="22"/>
              </w:rPr>
            </w:pPr>
            <w:r w:rsidRPr="00733A9E">
              <w:rPr>
                <w:sz w:val="22"/>
                <w:szCs w:val="22"/>
              </w:rPr>
              <w:t>OR = 4.0 (MCS</w:t>
            </w:r>
            <w:r w:rsidR="007224D0">
              <w:rPr>
                <w:sz w:val="22"/>
                <w:szCs w:val="22"/>
              </w:rPr>
              <w:t>)</w:t>
            </w:r>
          </w:p>
          <w:p w14:paraId="604F5435" w14:textId="5A23DCA4" w:rsidR="00733A9E" w:rsidRDefault="007224D0" w:rsidP="00131F74">
            <w:pPr>
              <w:rPr>
                <w:sz w:val="22"/>
                <w:szCs w:val="22"/>
              </w:rPr>
            </w:pPr>
            <w:r>
              <w:rPr>
                <w:sz w:val="22"/>
                <w:szCs w:val="22"/>
              </w:rPr>
              <w:t>(</w:t>
            </w:r>
            <w:r w:rsidR="00733A9E">
              <w:rPr>
                <w:sz w:val="22"/>
                <w:szCs w:val="22"/>
              </w:rPr>
              <w:t>2- months to 10 years follow-up)</w:t>
            </w:r>
            <w:r>
              <w:rPr>
                <w:sz w:val="22"/>
                <w:szCs w:val="22"/>
              </w:rPr>
              <w:t xml:space="preserve"> (Vogel et al. 2013)</w:t>
            </w:r>
          </w:p>
          <w:p w14:paraId="2DEA1644" w14:textId="0864FCDB" w:rsidR="007224D0" w:rsidRDefault="007224D0" w:rsidP="00131F74">
            <w:pPr>
              <w:rPr>
                <w:sz w:val="22"/>
                <w:szCs w:val="22"/>
              </w:rPr>
            </w:pPr>
          </w:p>
          <w:p w14:paraId="2DBB9608" w14:textId="0DF24D22" w:rsidR="007224D0" w:rsidRDefault="007224D0" w:rsidP="00131F74">
            <w:pPr>
              <w:rPr>
                <w:sz w:val="22"/>
                <w:szCs w:val="22"/>
              </w:rPr>
            </w:pPr>
            <w:r>
              <w:rPr>
                <w:sz w:val="22"/>
                <w:szCs w:val="22"/>
              </w:rPr>
              <w:t>Sens = 63%;  Spec  = 52%</w:t>
            </w:r>
          </w:p>
          <w:p w14:paraId="694371DE" w14:textId="77777777" w:rsidR="007224D0" w:rsidRDefault="007224D0" w:rsidP="00131F74">
            <w:pPr>
              <w:rPr>
                <w:sz w:val="22"/>
                <w:szCs w:val="22"/>
              </w:rPr>
            </w:pPr>
            <w:r>
              <w:rPr>
                <w:sz w:val="22"/>
                <w:szCs w:val="22"/>
              </w:rPr>
              <w:t xml:space="preserve">Acc = 56% </w:t>
            </w:r>
          </w:p>
          <w:p w14:paraId="7A626273" w14:textId="61248506" w:rsidR="007224D0" w:rsidRDefault="007224D0" w:rsidP="00131F74">
            <w:pPr>
              <w:rPr>
                <w:sz w:val="22"/>
                <w:szCs w:val="22"/>
              </w:rPr>
            </w:pPr>
            <w:r>
              <w:rPr>
                <w:sz w:val="22"/>
                <w:szCs w:val="22"/>
              </w:rPr>
              <w:t>(12-months follow-up)(</w:t>
            </w:r>
            <w:proofErr w:type="spellStart"/>
            <w:r>
              <w:rPr>
                <w:sz w:val="22"/>
                <w:szCs w:val="22"/>
              </w:rPr>
              <w:t>Stender</w:t>
            </w:r>
            <w:proofErr w:type="spellEnd"/>
            <w:r>
              <w:rPr>
                <w:sz w:val="22"/>
                <w:szCs w:val="22"/>
              </w:rPr>
              <w:t xml:space="preserve"> et al., 2014)</w:t>
            </w:r>
          </w:p>
          <w:p w14:paraId="51101510" w14:textId="7104F781" w:rsidR="007224D0" w:rsidRDefault="007224D0" w:rsidP="00131F74">
            <w:pPr>
              <w:rPr>
                <w:sz w:val="22"/>
                <w:szCs w:val="22"/>
              </w:rPr>
            </w:pPr>
          </w:p>
          <w:p w14:paraId="195447CB" w14:textId="52C5F623" w:rsidR="007224D0" w:rsidRPr="00036AEC" w:rsidRDefault="007224D0" w:rsidP="00131F74">
            <w:pPr>
              <w:rPr>
                <w:sz w:val="22"/>
                <w:szCs w:val="22"/>
              </w:rPr>
            </w:pPr>
            <w:r w:rsidRPr="00036AEC">
              <w:rPr>
                <w:sz w:val="22"/>
                <w:szCs w:val="22"/>
              </w:rPr>
              <w:t xml:space="preserve">Sens = 75% ; Spec = 64% </w:t>
            </w:r>
          </w:p>
          <w:p w14:paraId="1046C8A9" w14:textId="734B3FE3" w:rsidR="007224D0" w:rsidRPr="00036AEC" w:rsidRDefault="007224D0" w:rsidP="00131F74">
            <w:pPr>
              <w:rPr>
                <w:sz w:val="22"/>
                <w:szCs w:val="22"/>
              </w:rPr>
            </w:pPr>
            <w:r w:rsidRPr="00036AEC">
              <w:rPr>
                <w:sz w:val="22"/>
                <w:szCs w:val="22"/>
              </w:rPr>
              <w:t>Acc = 65%</w:t>
            </w:r>
          </w:p>
          <w:p w14:paraId="0257AC58" w14:textId="4D979F27" w:rsidR="00733A9E" w:rsidRPr="007224D0" w:rsidRDefault="007224D0" w:rsidP="00131F74">
            <w:pPr>
              <w:rPr>
                <w:sz w:val="22"/>
                <w:szCs w:val="22"/>
                <w:highlight w:val="yellow"/>
              </w:rPr>
            </w:pPr>
            <w:r w:rsidRPr="007224D0">
              <w:rPr>
                <w:sz w:val="22"/>
                <w:szCs w:val="22"/>
              </w:rPr>
              <w:t>(3-to-12-months follow-up)(W</w:t>
            </w:r>
            <w:r>
              <w:rPr>
                <w:sz w:val="22"/>
                <w:szCs w:val="22"/>
              </w:rPr>
              <w:t>ang et al., 2019)</w:t>
            </w:r>
          </w:p>
          <w:p w14:paraId="72175933" w14:textId="3C541FE0" w:rsidR="00733A9E" w:rsidRPr="007224D0" w:rsidRDefault="00733A9E" w:rsidP="00131F74">
            <w:pPr>
              <w:rPr>
                <w:sz w:val="22"/>
                <w:szCs w:val="22"/>
                <w:highlight w:val="yellow"/>
              </w:rPr>
            </w:pPr>
          </w:p>
        </w:tc>
        <w:tc>
          <w:tcPr>
            <w:tcW w:w="3402" w:type="dxa"/>
            <w:vAlign w:val="center"/>
          </w:tcPr>
          <w:p w14:paraId="35BF5346" w14:textId="6A68ED7A" w:rsidR="009C6B87" w:rsidRPr="000C7242" w:rsidRDefault="009C6B87" w:rsidP="007757E0">
            <w:pPr>
              <w:rPr>
                <w:sz w:val="22"/>
                <w:szCs w:val="22"/>
              </w:rPr>
            </w:pPr>
            <w:r w:rsidRPr="000C7242">
              <w:rPr>
                <w:sz w:val="22"/>
                <w:szCs w:val="22"/>
              </w:rPr>
              <w:t xml:space="preserve">In subacute and chronic UWS/VS and possibly MCS patients, evidence of brain activation during mental imagery and motor tasks </w:t>
            </w:r>
            <w:r w:rsidRPr="000C7242">
              <w:rPr>
                <w:i/>
                <w:sz w:val="22"/>
                <w:szCs w:val="22"/>
              </w:rPr>
              <w:t>might</w:t>
            </w:r>
            <w:r w:rsidRPr="000C7242">
              <w:rPr>
                <w:sz w:val="22"/>
                <w:szCs w:val="22"/>
              </w:rPr>
              <w:t xml:space="preserve"> predict better prognosis  (clinical progression)</w:t>
            </w:r>
            <w:r w:rsidR="00733A9E" w:rsidRPr="000C7242">
              <w:rPr>
                <w:sz w:val="22"/>
                <w:szCs w:val="22"/>
              </w:rPr>
              <w:t xml:space="preserve"> (</w:t>
            </w:r>
            <w:r w:rsidR="007224D0" w:rsidRPr="000C7242">
              <w:rPr>
                <w:sz w:val="22"/>
                <w:szCs w:val="22"/>
              </w:rPr>
              <w:t xml:space="preserve">observation time: </w:t>
            </w:r>
            <w:r w:rsidR="00733A9E" w:rsidRPr="000C7242">
              <w:rPr>
                <w:sz w:val="22"/>
                <w:szCs w:val="22"/>
              </w:rPr>
              <w:t>2 months to 10 years)</w:t>
            </w:r>
            <w:r w:rsidR="007224D0" w:rsidRPr="000C7242">
              <w:rPr>
                <w:sz w:val="22"/>
                <w:szCs w:val="22"/>
              </w:rPr>
              <w:t xml:space="preserve"> </w:t>
            </w:r>
            <w:r w:rsidR="00733A9E" w:rsidRPr="000C7242">
              <w:rPr>
                <w:sz w:val="22"/>
                <w:szCs w:val="22"/>
              </w:rPr>
              <w:fldChar w:fldCharType="begin" w:fldLock="1"/>
            </w:r>
            <w:r w:rsidR="00733A9E" w:rsidRPr="000C7242">
              <w:rPr>
                <w:sz w:val="22"/>
                <w:szCs w:val="22"/>
              </w:rPr>
              <w:instrText>ADDIN CSL_CITATION {"citationItems":[{"id":"ITEM-1","itemData":{"ISSN":"0003-9993","author":[{"dropping-particle":"","family":"Vogel","given":"Dominik","non-dropping-particle":"","parse-names":false,"suffix":""},{"dropping-particle":"","family":"Markl","given":"Alexandra","non-dropping-particle":"","parse-names":false,"suffix":""},{"dropping-particle":"","family":"Yu","given":"Tao","non-dropping-particle":"","parse-names":false,"suffix":""},{"dropping-particle":"","family":"Kotchoubey","given":"Boris","non-dropping-particle":"","parse-names":false,"suffix":""},{"dropping-particle":"","family":"Lang","given":"Simone","non-dropping-particle":"","parse-names":false,"suffix":""},{"dropping-particle":"","family":"Müller","given":"Friedemann","non-dropping-particle":"","parse-names":false,"suffix":""}],"container-title":"Archives of physical medicine and rehabilitation","id":"ITEM-1","issue":"10","issued":{"date-parts":[["2013"]]},"page":"1891-1898","publisher":"Elsevier","title":"Can mental imagery functional magnetic resonance imaging predict recovery in patients with disorders of consciousness?","type":"article-journal","volume":"94"},"uris":["http://www.mendeley.com/documents/?uuid=a84d4c35-329a-4147-892d-a477ea0fa62e"]},{"id":"ITEM-2","itemData":{"DOI":"10.1016/S0140-6736(14)60042-8","ISSN":"1474547X","abstract":"Summary Background Bedside clinical examinations can have high rates of misdiagnosis of unresponsive wakefulness syndrome (vegetative state) or minimally conscious state. The diagnostic and prognostic usefulness of neuroimaging-based approaches has not been established in a clinical setting. We did a validation study of two neuroimaging-based diagnostic methods: PET imaging and functional MRI (fMRI). Methods For this clinical validation study, we included patients referred to the University Hospital of Liège, Belgium, between January, 2008, and June, 2012, who were diagnosed by our unit with unresponsive wakefulness syndrome, locked-in syndrome, or minimally conscious state with traumatic or non-traumatic causes. We did repeated standardised clinical assessments with the Coma Recovery Scale-Revised (CRS-R), cerebral 18F-fluorodeoxyglucose (FDG) PET, and fMRI during mental activation tasks. We calculated the diagnostic accuracy of both imaging methods with CRS-R diagnosis as reference. We assessed outcome after 12 months with the Glasgow Outcome Scale-Extended. Findings We included 41 patients with unresponsive wakefulness syndrome, four with locked-in syndrome, and 81 in a minimally conscious state (48=traumatic, 78=non-traumatic; 110=chronic, 16=subacute). 18F-FDG PET had high sensitivity for identification of patients in a minimally conscious state (93%, 95% CI 85-98) and high congruence (85%, 77-90) with behavioural CRS-R scores. The active fMRI method was less sensitive at diagnosis of a minimally conscious state (45%, 30-61) and had lower overall congruence with behavioural scores (63%, 51-73) than PET imaging. 18F-FDG PET correctly predicted outcome in 75 of 102 patients (74%, 64-81), and fMRI in 36 of 65 patients (56%, 43-67). 13 of 41 (32%) of the behaviourally unresponsive patients (ie, diagnosed as unresponsive with CRS-R) showed brain activity compatible with (minimal) consciousness (ie, activity associated with consciousness, but diminished compared with fully conscious individuals) on at least one neuroimaging test; 69% of these (9 of 13) patients subsequently recovered consciousness. Interpretation Cerebral 18F-FDG PET could be used to complement bedside examinations and predict long-term recovery of patients with unresponsive wakefulness syndrome. Active fMRI might also be useful for differential diagnosis, but seems to be less accurate. Funding The Belgian National Funds for Scientific Research (FNRS), Fonds Léon Fredericq, the European …","author":[{"dropping-particle":"","family":"Stender","given":"Johan","non-dropping-particle":"","parse-names":false,"suffix":""},{"dropping-particle":"","family":"Gosseries","given":"Olivia","non-dropping-particle":"","parse-names":false,"suffix":""},{"dropping-particle":"","family":"Bruno","given":"Marie Aurélie","non-dropping-particle":"","parse-names":false,"suffix":""},{"dropping-particle":"","family":"Charland-Verville","given":"Vanessa","non-dropping-particle":"","parse-names":false,"suffix":""},{"dropping-particle":"","family":"Vanhaudenhuyse","given":"Audrey","non-dropping-particle":"","parse-names":false,"suffix":""},{"dropping-particle":"","family":"Demertzi","given":"Athena","non-dropping-particle":"","parse-names":false,"suffix":""},{"dropping-particle":"","family":"Chatelle","given":"Camille","non-dropping-particle":"","parse-names":false,"suffix":""},{"dropping-particle":"","family":"Thonnard","given":"Marie","non-dropping-particle":"","parse-names":false,"suffix":""},{"dropping-particle":"","family":"Thibaut","given":"Aurore","non-dropping-particle":"","parse-names":false,"suffix":""},{"dropping-particle":"","family":"Heine","given":"Lizette","non-dropping-particle":"","parse-names":false,"suffix":""},{"dropping-particle":"","family":"Soddu","given":"Andrea","non-dropping-particle":"","parse-names":false,"suffix":""},{"dropping-particle":"","family":"Boly","given":"Mélanie","non-dropping-particle":"","parse-names":false,"suffix":""},{"dropping-particle":"","family":"Schnakers","given":"Caroline","non-dropping-particle":"","parse-names":false,"suffix":""},{"dropping-particle":"","family":"Gjedde","given":"Albert","non-dropping-particle":"","parse-names":false,"suffix":""},{"dropping-particle":"","family":"Laureys","given":"Steven","non-dropping-particle":"","parse-names":false,"suffix":""}],"container-title":"The Lancet","id":"ITEM-2","issue":"9942","issued":{"date-parts":[["2014"]]},"page":"514-22","title":"Diagnostic precision of PET imaging and functional MRI in disorders of consciousness: A clinical validation study","type":"article-journal","volume":"384"},"uris":["http://www.mendeley.com/documents/?uuid=b81239ef-45bc-495a-b55d-b74ce8fcdce5"]},{"id":"ITEM-3","itemData":{"ISSN":"1662-453X","author":[{"dropping-particle":"","family":"Wang","given":"Fuyan","non-dropping-particle":"","parse-names":false,"suffix":""},{"dropping-particle":"","family":"Hu","given":"Nantu","non-dropping-particle":"","parse-names":false,"suffix":""},{"dropping-particle":"","family":"Hu","given":"Xiaohua","non-dropping-particle":"","parse-names":false,"suffix":""},{"dropping-particle":"","family":"Jing","given":"Shan","non-dropping-particle":"","parse-names":false,"suffix":""},{"dropping-particle":"","family":"Heine","given":"Lizette","non-dropping-particle":"","parse-names":false,"suffix":""},{"dropping-particle":"","family":"Thibaut","given":"Aurore","non-dropping-particle":"","parse-names":false,"suffix":""},{"dropping-particle":"","family":"Huang","given":"Wangshan","non-dropping-particle":"","parse-names":false,"suffix":""},{"dropping-particle":"","family":"Yan","given":"Yifan","non-dropping-particle":"","parse-names":false,"suffix":""},{"dropping-particle":"","family":"Wang","given":"Jing","non-dropping-particle":"","parse-names":false,"suffix":""},{"dropping-particle":"","family":"Schnakers","given":"Caroline","non-dropping-particle":"","parse-names":false,"suffix":""}],"container-title":"Frontiers in Neuroscience","id":"ITEM-3","issued":{"date-parts":[["2019"]]},"page":"976","publisher":"Frontiers Media SA","title":"Detecting brain activity following a verbal command in patients with disorders of consciousness","type":"article-journal","volume":"13"},"uris":["http://www.mendeley.com/documents/?uuid=587380ab-1c00-4068-b8e6-5a110a48bec8"]}],"mendeley":{"formattedCitation":"(Stender et al., 2014; Vogel et al., 2013; Wang et al., 2019)","plainTextFormattedCitation":"(Stender et al., 2014; Vogel et al., 2013; Wang et al., 2019)"},"properties":{"noteIndex":0},"schema":"https://github.com/citation-style-language/schema/raw/master/csl-citation.json"}</w:instrText>
            </w:r>
            <w:r w:rsidR="00733A9E" w:rsidRPr="000C7242">
              <w:rPr>
                <w:sz w:val="22"/>
                <w:szCs w:val="22"/>
              </w:rPr>
              <w:fldChar w:fldCharType="separate"/>
            </w:r>
            <w:r w:rsidR="00733A9E" w:rsidRPr="000C7242">
              <w:rPr>
                <w:noProof/>
                <w:sz w:val="22"/>
                <w:szCs w:val="22"/>
              </w:rPr>
              <w:t>(Stender et al., 2014; Vogel et al., 2013; Wang et al., 2019)</w:t>
            </w:r>
            <w:r w:rsidR="00733A9E" w:rsidRPr="000C7242">
              <w:rPr>
                <w:sz w:val="22"/>
                <w:szCs w:val="22"/>
              </w:rPr>
              <w:fldChar w:fldCharType="end"/>
            </w:r>
          </w:p>
          <w:p w14:paraId="23003688" w14:textId="77777777" w:rsidR="009C6B87" w:rsidRPr="000C7242" w:rsidRDefault="009C6B87" w:rsidP="007757E0">
            <w:pPr>
              <w:rPr>
                <w:sz w:val="22"/>
                <w:szCs w:val="22"/>
              </w:rPr>
            </w:pPr>
          </w:p>
          <w:p w14:paraId="71E4A889" w14:textId="184E84B8" w:rsidR="009C6B87" w:rsidRPr="000C7242" w:rsidRDefault="009C6B87" w:rsidP="007757E0">
            <w:pPr>
              <w:rPr>
                <w:i/>
                <w:sz w:val="22"/>
                <w:szCs w:val="22"/>
              </w:rPr>
            </w:pPr>
            <w:r w:rsidRPr="000C7242">
              <w:rPr>
                <w:i/>
                <w:sz w:val="22"/>
                <w:szCs w:val="22"/>
              </w:rPr>
              <w:t>No activation during active tasks paradigm does not rule out a favorable prognosis</w:t>
            </w:r>
          </w:p>
        </w:tc>
        <w:tc>
          <w:tcPr>
            <w:tcW w:w="709" w:type="dxa"/>
            <w:shd w:val="clear" w:color="auto" w:fill="FFFF00"/>
            <w:vAlign w:val="center"/>
          </w:tcPr>
          <w:p w14:paraId="6C2276F2" w14:textId="77777777" w:rsidR="009C6B87" w:rsidRPr="00733A9E" w:rsidRDefault="009C6B87" w:rsidP="00131F74">
            <w:pPr>
              <w:rPr>
                <w:sz w:val="22"/>
                <w:szCs w:val="22"/>
              </w:rPr>
            </w:pPr>
          </w:p>
        </w:tc>
        <w:tc>
          <w:tcPr>
            <w:tcW w:w="851" w:type="dxa"/>
            <w:shd w:val="clear" w:color="auto" w:fill="ED7D31" w:themeFill="accent2"/>
            <w:vAlign w:val="center"/>
          </w:tcPr>
          <w:p w14:paraId="013A0067" w14:textId="3325B34B" w:rsidR="009C6B87" w:rsidRPr="00733A9E" w:rsidRDefault="009C6B87" w:rsidP="00131F74">
            <w:pPr>
              <w:rPr>
                <w:sz w:val="22"/>
                <w:szCs w:val="22"/>
              </w:rPr>
            </w:pPr>
          </w:p>
        </w:tc>
      </w:tr>
      <w:tr w:rsidR="009C6B87" w14:paraId="4FE2376B" w14:textId="77777777" w:rsidTr="007224D0">
        <w:trPr>
          <w:cantSplit/>
          <w:trHeight w:val="1134"/>
        </w:trPr>
        <w:tc>
          <w:tcPr>
            <w:tcW w:w="849" w:type="dxa"/>
            <w:vMerge/>
          </w:tcPr>
          <w:p w14:paraId="6FD2D055" w14:textId="77777777" w:rsidR="009C6B87" w:rsidRPr="00733A9E" w:rsidRDefault="009C6B87" w:rsidP="00131F74">
            <w:pPr>
              <w:rPr>
                <w:b/>
                <w:sz w:val="22"/>
                <w:szCs w:val="22"/>
              </w:rPr>
            </w:pPr>
          </w:p>
        </w:tc>
        <w:tc>
          <w:tcPr>
            <w:tcW w:w="1417" w:type="dxa"/>
            <w:vAlign w:val="center"/>
          </w:tcPr>
          <w:p w14:paraId="058F3389" w14:textId="77777777" w:rsidR="009C6B87" w:rsidRPr="002A582E" w:rsidRDefault="009C6B87" w:rsidP="00131F74">
            <w:pPr>
              <w:rPr>
                <w:b/>
                <w:sz w:val="22"/>
                <w:szCs w:val="22"/>
              </w:rPr>
            </w:pPr>
            <w:r w:rsidRPr="002A582E">
              <w:rPr>
                <w:b/>
                <w:sz w:val="22"/>
                <w:szCs w:val="22"/>
              </w:rPr>
              <w:t>ASL</w:t>
            </w:r>
          </w:p>
        </w:tc>
        <w:tc>
          <w:tcPr>
            <w:tcW w:w="1276" w:type="dxa"/>
            <w:vAlign w:val="center"/>
          </w:tcPr>
          <w:p w14:paraId="61B8BC8D" w14:textId="20966412" w:rsidR="009C6B87" w:rsidRPr="00922F77" w:rsidRDefault="00922F77" w:rsidP="00131F74">
            <w:pPr>
              <w:rPr>
                <w:sz w:val="22"/>
                <w:szCs w:val="22"/>
              </w:rPr>
            </w:pPr>
            <w:r w:rsidRPr="00922F77">
              <w:rPr>
                <w:sz w:val="22"/>
                <w:szCs w:val="22"/>
              </w:rPr>
              <w:t>R</w:t>
            </w:r>
            <w:r>
              <w:rPr>
                <w:sz w:val="22"/>
                <w:szCs w:val="22"/>
              </w:rPr>
              <w:t>e</w:t>
            </w:r>
            <w:r w:rsidRPr="00922F77">
              <w:rPr>
                <w:sz w:val="22"/>
                <w:szCs w:val="22"/>
              </w:rPr>
              <w:t>st</w:t>
            </w:r>
          </w:p>
        </w:tc>
        <w:tc>
          <w:tcPr>
            <w:tcW w:w="2128" w:type="dxa"/>
            <w:vAlign w:val="center"/>
          </w:tcPr>
          <w:p w14:paraId="07264664" w14:textId="3CC21C96" w:rsidR="009C6B87" w:rsidRPr="00922F77" w:rsidRDefault="00922F77" w:rsidP="00131F74">
            <w:pPr>
              <w:rPr>
                <w:sz w:val="22"/>
                <w:szCs w:val="22"/>
              </w:rPr>
            </w:pPr>
            <w:r w:rsidRPr="00922F77">
              <w:rPr>
                <w:sz w:val="22"/>
                <w:szCs w:val="22"/>
              </w:rPr>
              <w:t>NA</w:t>
            </w:r>
          </w:p>
        </w:tc>
        <w:tc>
          <w:tcPr>
            <w:tcW w:w="2835" w:type="dxa"/>
            <w:vAlign w:val="center"/>
          </w:tcPr>
          <w:p w14:paraId="626723A6" w14:textId="43EEFA9B" w:rsidR="009C6B87" w:rsidRPr="00922F77" w:rsidRDefault="00922F77" w:rsidP="00131F74">
            <w:pPr>
              <w:rPr>
                <w:sz w:val="22"/>
                <w:szCs w:val="22"/>
              </w:rPr>
            </w:pPr>
            <w:r w:rsidRPr="00922F77">
              <w:rPr>
                <w:sz w:val="22"/>
                <w:szCs w:val="22"/>
              </w:rPr>
              <w:t>NA</w:t>
            </w:r>
          </w:p>
        </w:tc>
        <w:tc>
          <w:tcPr>
            <w:tcW w:w="3402" w:type="dxa"/>
            <w:vAlign w:val="center"/>
          </w:tcPr>
          <w:p w14:paraId="29CF6F6C" w14:textId="373C0319" w:rsidR="009C6B87" w:rsidRPr="00922F77" w:rsidRDefault="00922F77" w:rsidP="00131F74">
            <w:pPr>
              <w:rPr>
                <w:sz w:val="22"/>
                <w:szCs w:val="22"/>
              </w:rPr>
            </w:pPr>
            <w:r w:rsidRPr="00922F77">
              <w:rPr>
                <w:sz w:val="22"/>
                <w:szCs w:val="22"/>
              </w:rPr>
              <w:t>NA</w:t>
            </w:r>
          </w:p>
        </w:tc>
        <w:tc>
          <w:tcPr>
            <w:tcW w:w="709" w:type="dxa"/>
            <w:shd w:val="clear" w:color="auto" w:fill="auto"/>
            <w:vAlign w:val="center"/>
          </w:tcPr>
          <w:p w14:paraId="15F24D17" w14:textId="53DB4611" w:rsidR="009C6B87" w:rsidRPr="004968EA" w:rsidRDefault="009C6B87" w:rsidP="00131F74">
            <w:pPr>
              <w:rPr>
                <w:strike/>
                <w:sz w:val="22"/>
                <w:szCs w:val="22"/>
              </w:rPr>
            </w:pPr>
            <w:r>
              <w:rPr>
                <w:sz w:val="22"/>
                <w:szCs w:val="22"/>
              </w:rPr>
              <w:t>NA</w:t>
            </w:r>
          </w:p>
        </w:tc>
        <w:tc>
          <w:tcPr>
            <w:tcW w:w="851" w:type="dxa"/>
            <w:shd w:val="clear" w:color="auto" w:fill="auto"/>
            <w:vAlign w:val="center"/>
          </w:tcPr>
          <w:p w14:paraId="0B843071" w14:textId="1E1BD8D0" w:rsidR="009C6B87" w:rsidRPr="004968EA" w:rsidRDefault="009C6B87" w:rsidP="00131F74">
            <w:pPr>
              <w:rPr>
                <w:strike/>
                <w:sz w:val="22"/>
                <w:szCs w:val="22"/>
              </w:rPr>
            </w:pPr>
            <w:r>
              <w:rPr>
                <w:sz w:val="22"/>
                <w:szCs w:val="22"/>
              </w:rPr>
              <w:t>NA</w:t>
            </w:r>
          </w:p>
        </w:tc>
      </w:tr>
    </w:tbl>
    <w:p w14:paraId="342C4E98" w14:textId="77777777" w:rsidR="00D5241D" w:rsidRDefault="00D5241D" w:rsidP="00D5241D">
      <w:pPr>
        <w:pBdr>
          <w:bottom w:val="double" w:sz="6" w:space="1" w:color="auto"/>
        </w:pBdr>
        <w:jc w:val="both"/>
        <w:rPr>
          <w:i/>
        </w:rPr>
      </w:pPr>
      <w:bookmarkStart w:id="5" w:name="_Hlk133287824"/>
      <w:r>
        <w:rPr>
          <w:i/>
        </w:rPr>
        <w:t>Table reports a summary of the main evidence available per neuroimaging marker. Whenever evidence relative to a given neuroimaging marker is provided by consensus guidelines, we report such evidence. Whenever the neuroimaging maker is not or only partially considered by consensus guidelines, we report main findings and statistics obtained from other systematic review and meta-analysis and/or selected studies of interest.</w:t>
      </w:r>
    </w:p>
    <w:p w14:paraId="1BC4FFFA" w14:textId="77777777" w:rsidR="00D5241D" w:rsidRDefault="00D5241D" w:rsidP="00F06FDD">
      <w:pPr>
        <w:pBdr>
          <w:bottom w:val="double" w:sz="6" w:space="1" w:color="auto"/>
        </w:pBdr>
        <w:jc w:val="both"/>
        <w:rPr>
          <w:i/>
        </w:rPr>
      </w:pPr>
    </w:p>
    <w:p w14:paraId="183E8581" w14:textId="22CFDFAF" w:rsidR="00F06FDD" w:rsidRDefault="00F06FDD" w:rsidP="00F06FDD">
      <w:pPr>
        <w:pBdr>
          <w:bottom w:val="double" w:sz="6" w:space="1" w:color="auto"/>
        </w:pBdr>
        <w:jc w:val="both"/>
        <w:rPr>
          <w:i/>
        </w:rPr>
      </w:pPr>
      <w:r>
        <w:rPr>
          <w:i/>
        </w:rPr>
        <w:t>Recommendation by the clinical guidelines is symbolized by color green; red color indicates that clinical guidelines do not recommend the tool;</w:t>
      </w:r>
      <w:r w:rsidR="007D5AF2">
        <w:rPr>
          <w:i/>
        </w:rPr>
        <w:t xml:space="preserve"> </w:t>
      </w:r>
      <w:r w:rsidR="006D147F" w:rsidRPr="006D147F">
        <w:rPr>
          <w:i/>
        </w:rPr>
        <w:t>orange color indicates that clinical guidelines do not recommend the tool, due to unclear utility over and above clinical assessment</w:t>
      </w:r>
      <w:r w:rsidR="007123ED">
        <w:rPr>
          <w:i/>
        </w:rPr>
        <w:t xml:space="preserve"> and non-widespread availability in general clinical settings</w:t>
      </w:r>
      <w:r w:rsidR="006D147F" w:rsidRPr="006D147F">
        <w:rPr>
          <w:i/>
        </w:rPr>
        <w:t>;</w:t>
      </w:r>
      <w:r w:rsidR="006D147F">
        <w:rPr>
          <w:i/>
        </w:rPr>
        <w:t xml:space="preserve"> </w:t>
      </w:r>
      <w:r>
        <w:rPr>
          <w:i/>
        </w:rPr>
        <w:t>yellow color indicates the tool is not recommended nor refuted by the guidelines, due to insufficient available evidence; ‘NA’ indicate a tool not discussed by the clinical guidelines.</w:t>
      </w:r>
    </w:p>
    <w:p w14:paraId="0FF09BAF" w14:textId="1C915527" w:rsidR="00F06FDD" w:rsidRDefault="00F06FDD" w:rsidP="00F06FDD">
      <w:pPr>
        <w:pBdr>
          <w:bottom w:val="double" w:sz="6" w:space="1" w:color="auto"/>
        </w:pBdr>
        <w:jc w:val="both"/>
        <w:rPr>
          <w:i/>
        </w:rPr>
      </w:pPr>
    </w:p>
    <w:p w14:paraId="0E7C8513" w14:textId="6175E730" w:rsidR="00F06FDD" w:rsidRDefault="00F06FDD" w:rsidP="00F06FDD">
      <w:pPr>
        <w:pBdr>
          <w:bottom w:val="double" w:sz="6" w:space="1" w:color="auto"/>
        </w:pBdr>
        <w:jc w:val="both"/>
        <w:rPr>
          <w:i/>
        </w:rPr>
      </w:pPr>
      <w:r>
        <w:rPr>
          <w:i/>
        </w:rPr>
        <w:t xml:space="preserve">European guidelines are not included in the table, as </w:t>
      </w:r>
      <w:r w:rsidR="00036AEC">
        <w:rPr>
          <w:i/>
        </w:rPr>
        <w:t>they do not provide</w:t>
      </w:r>
      <w:r>
        <w:rPr>
          <w:i/>
        </w:rPr>
        <w:t xml:space="preserve"> guidelines on prognostication of DoC.</w:t>
      </w:r>
    </w:p>
    <w:p w14:paraId="033306B1" w14:textId="57945724" w:rsidR="00C36A05" w:rsidRDefault="00C36A05" w:rsidP="00F06FDD">
      <w:pPr>
        <w:pBdr>
          <w:bottom w:val="double" w:sz="6" w:space="1" w:color="auto"/>
        </w:pBdr>
        <w:jc w:val="both"/>
        <w:rPr>
          <w:i/>
        </w:rPr>
      </w:pPr>
    </w:p>
    <w:p w14:paraId="0450693C" w14:textId="7D5072FA" w:rsidR="00C36A05" w:rsidRPr="00C36A05" w:rsidRDefault="00C36A05" w:rsidP="00C36A05">
      <w:pPr>
        <w:rPr>
          <w:i/>
        </w:rPr>
      </w:pPr>
      <w:r>
        <w:rPr>
          <w:i/>
        </w:rPr>
        <w:t xml:space="preserve">Abbreviations: </w:t>
      </w:r>
      <w:r w:rsidRPr="00C36A05">
        <w:rPr>
          <w:i/>
        </w:rPr>
        <w:t xml:space="preserve">ASL, arterial spin labelling; Acc, accuracy; AUC, area under the curve; BOLD, blood oxygenated-level dependent; CT, computed tomography; DWI, diffusion weighted imaging; FDG, fluorodeoxyglucose; fMRI, functional magnetic resonance imaging; H2O, water; NA, not available; OR, odds ratio; PET, positron emission tomography; Sens, sensitivity; Spec, specificity; SPECT, single-positron emission computed tomography; </w:t>
      </w:r>
      <w:proofErr w:type="spellStart"/>
      <w:r w:rsidRPr="00C36A05">
        <w:rPr>
          <w:i/>
        </w:rPr>
        <w:t>sMRI</w:t>
      </w:r>
      <w:proofErr w:type="spellEnd"/>
      <w:r w:rsidRPr="00C36A05">
        <w:rPr>
          <w:i/>
        </w:rPr>
        <w:t>, structural MRI; 99mTc-ECD,  99m</w:t>
      </w:r>
      <w:r w:rsidR="006470B5">
        <w:rPr>
          <w:i/>
        </w:rPr>
        <w:t>Tc-</w:t>
      </w:r>
      <w:r w:rsidRPr="00C36A05">
        <w:rPr>
          <w:i/>
        </w:rPr>
        <w:t xml:space="preserve"> ethyl cysteinate dimer </w:t>
      </w:r>
    </w:p>
    <w:bookmarkEnd w:id="5"/>
    <w:p w14:paraId="70DFEBAD" w14:textId="5240357A" w:rsidR="00C36A05" w:rsidRDefault="00C36A05" w:rsidP="00F06FDD">
      <w:pPr>
        <w:pBdr>
          <w:bottom w:val="double" w:sz="6" w:space="1" w:color="auto"/>
        </w:pBdr>
        <w:jc w:val="both"/>
        <w:rPr>
          <w:i/>
        </w:rPr>
      </w:pPr>
    </w:p>
    <w:p w14:paraId="2661ABAE" w14:textId="77777777" w:rsidR="00F06FDD" w:rsidRDefault="00F06FDD" w:rsidP="00881E10">
      <w:pPr>
        <w:rPr>
          <w:i/>
        </w:rPr>
      </w:pPr>
    </w:p>
    <w:bookmarkEnd w:id="0"/>
    <w:p w14:paraId="61412651" w14:textId="71769A47" w:rsidR="00264F71" w:rsidRPr="00881E10" w:rsidRDefault="00264F71" w:rsidP="00881E10">
      <w:pPr>
        <w:rPr>
          <w:i/>
        </w:rPr>
      </w:pPr>
    </w:p>
    <w:sectPr w:rsidR="00264F71" w:rsidRPr="00881E10" w:rsidSect="003273B9">
      <w:pgSz w:w="15840" w:h="12240" w:orient="landscape"/>
      <w:pgMar w:top="1134" w:right="1418" w:bottom="1134" w:left="1418" w:header="720" w:footer="72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13333" w16cex:dateUtc="2023-03-31T16:23:00Z"/>
  <w16cex:commentExtensible w16cex:durableId="27D1333D" w16cex:dateUtc="2023-03-31T16:23:00Z"/>
  <w16cex:commentExtensible w16cex:durableId="27D13381" w16cex:dateUtc="2023-03-31T16:25: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653EEF"/>
    <w:multiLevelType w:val="hybridMultilevel"/>
    <w:tmpl w:val="D144CC1A"/>
    <w:lvl w:ilvl="0" w:tplc="ECD8AD88">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99315B"/>
    <w:multiLevelType w:val="hybridMultilevel"/>
    <w:tmpl w:val="442E2910"/>
    <w:lvl w:ilvl="0" w:tplc="943061B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B9"/>
    <w:rsid w:val="000103EB"/>
    <w:rsid w:val="00036AEC"/>
    <w:rsid w:val="00054ADF"/>
    <w:rsid w:val="000703BB"/>
    <w:rsid w:val="000C1944"/>
    <w:rsid w:val="000C7242"/>
    <w:rsid w:val="000D36FA"/>
    <w:rsid w:val="001078FC"/>
    <w:rsid w:val="00131F74"/>
    <w:rsid w:val="0014769E"/>
    <w:rsid w:val="001A7025"/>
    <w:rsid w:val="001B7EC2"/>
    <w:rsid w:val="001E2953"/>
    <w:rsid w:val="001F1493"/>
    <w:rsid w:val="001F404D"/>
    <w:rsid w:val="001F4955"/>
    <w:rsid w:val="00224B3E"/>
    <w:rsid w:val="00225B11"/>
    <w:rsid w:val="00256F6F"/>
    <w:rsid w:val="00264F71"/>
    <w:rsid w:val="002A0C2A"/>
    <w:rsid w:val="002A582E"/>
    <w:rsid w:val="002B6FD1"/>
    <w:rsid w:val="002F7F44"/>
    <w:rsid w:val="00315FFF"/>
    <w:rsid w:val="00321355"/>
    <w:rsid w:val="00322F39"/>
    <w:rsid w:val="00326612"/>
    <w:rsid w:val="003273B9"/>
    <w:rsid w:val="003644B6"/>
    <w:rsid w:val="00372052"/>
    <w:rsid w:val="0037290C"/>
    <w:rsid w:val="003A5E3F"/>
    <w:rsid w:val="003E5069"/>
    <w:rsid w:val="00460648"/>
    <w:rsid w:val="004968EA"/>
    <w:rsid w:val="00511761"/>
    <w:rsid w:val="00512B11"/>
    <w:rsid w:val="00512FBF"/>
    <w:rsid w:val="005D521D"/>
    <w:rsid w:val="005F258F"/>
    <w:rsid w:val="006130F3"/>
    <w:rsid w:val="0062377A"/>
    <w:rsid w:val="006470B5"/>
    <w:rsid w:val="0066260A"/>
    <w:rsid w:val="006945AD"/>
    <w:rsid w:val="006D147F"/>
    <w:rsid w:val="006F744D"/>
    <w:rsid w:val="007123ED"/>
    <w:rsid w:val="007224D0"/>
    <w:rsid w:val="00733A9E"/>
    <w:rsid w:val="007757E0"/>
    <w:rsid w:val="00775B0E"/>
    <w:rsid w:val="007B649E"/>
    <w:rsid w:val="007D5AF2"/>
    <w:rsid w:val="00862353"/>
    <w:rsid w:val="00864E9D"/>
    <w:rsid w:val="00881E10"/>
    <w:rsid w:val="00897F45"/>
    <w:rsid w:val="008A5758"/>
    <w:rsid w:val="008C0442"/>
    <w:rsid w:val="008C48C7"/>
    <w:rsid w:val="008C5E36"/>
    <w:rsid w:val="00914654"/>
    <w:rsid w:val="00922F77"/>
    <w:rsid w:val="00932887"/>
    <w:rsid w:val="0093297F"/>
    <w:rsid w:val="009569DB"/>
    <w:rsid w:val="00970522"/>
    <w:rsid w:val="00971A46"/>
    <w:rsid w:val="00972DD9"/>
    <w:rsid w:val="00987E14"/>
    <w:rsid w:val="009C6B87"/>
    <w:rsid w:val="009C6DBC"/>
    <w:rsid w:val="00A12E4F"/>
    <w:rsid w:val="00A15E34"/>
    <w:rsid w:val="00A23D8D"/>
    <w:rsid w:val="00A55E7B"/>
    <w:rsid w:val="00A703C7"/>
    <w:rsid w:val="00A90305"/>
    <w:rsid w:val="00B02500"/>
    <w:rsid w:val="00B2600B"/>
    <w:rsid w:val="00B4220A"/>
    <w:rsid w:val="00B426A0"/>
    <w:rsid w:val="00B55D69"/>
    <w:rsid w:val="00B665C1"/>
    <w:rsid w:val="00B759A8"/>
    <w:rsid w:val="00BA41E3"/>
    <w:rsid w:val="00BD00CC"/>
    <w:rsid w:val="00BD0F76"/>
    <w:rsid w:val="00BF28CC"/>
    <w:rsid w:val="00BF5D2E"/>
    <w:rsid w:val="00C028A5"/>
    <w:rsid w:val="00C0698A"/>
    <w:rsid w:val="00C36A05"/>
    <w:rsid w:val="00C63206"/>
    <w:rsid w:val="00C803EC"/>
    <w:rsid w:val="00CF29A7"/>
    <w:rsid w:val="00D105B9"/>
    <w:rsid w:val="00D30A3C"/>
    <w:rsid w:val="00D31DD3"/>
    <w:rsid w:val="00D36ACA"/>
    <w:rsid w:val="00D40C3F"/>
    <w:rsid w:val="00D50148"/>
    <w:rsid w:val="00D5241D"/>
    <w:rsid w:val="00D63A18"/>
    <w:rsid w:val="00D75264"/>
    <w:rsid w:val="00D85C12"/>
    <w:rsid w:val="00DA0DCA"/>
    <w:rsid w:val="00DC2EBF"/>
    <w:rsid w:val="00E13653"/>
    <w:rsid w:val="00E15B0B"/>
    <w:rsid w:val="00E26435"/>
    <w:rsid w:val="00E37BF1"/>
    <w:rsid w:val="00E4332A"/>
    <w:rsid w:val="00EA00D3"/>
    <w:rsid w:val="00EA4680"/>
    <w:rsid w:val="00EA5CED"/>
    <w:rsid w:val="00ED3450"/>
    <w:rsid w:val="00ED3927"/>
    <w:rsid w:val="00ED6F68"/>
    <w:rsid w:val="00EF634A"/>
    <w:rsid w:val="00EF7E42"/>
    <w:rsid w:val="00F06FDD"/>
    <w:rsid w:val="00F112D4"/>
    <w:rsid w:val="00F46562"/>
    <w:rsid w:val="00FD7C1C"/>
    <w:rsid w:val="406577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60CE"/>
  <w15:chartTrackingRefBased/>
  <w15:docId w15:val="{6FE0C68B-5133-415D-BCCF-FFB1E6A66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5B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0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05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5B9"/>
    <w:rPr>
      <w:rFonts w:ascii="Segoe UI" w:hAnsi="Segoe UI" w:cs="Segoe UI"/>
      <w:sz w:val="18"/>
      <w:szCs w:val="18"/>
    </w:rPr>
  </w:style>
  <w:style w:type="character" w:styleId="CommentReference">
    <w:name w:val="annotation reference"/>
    <w:basedOn w:val="DefaultParagraphFont"/>
    <w:uiPriority w:val="99"/>
    <w:semiHidden/>
    <w:unhideWhenUsed/>
    <w:rsid w:val="002B6FD1"/>
    <w:rPr>
      <w:sz w:val="16"/>
      <w:szCs w:val="16"/>
    </w:rPr>
  </w:style>
  <w:style w:type="paragraph" w:styleId="CommentText">
    <w:name w:val="annotation text"/>
    <w:basedOn w:val="Normal"/>
    <w:link w:val="CommentTextChar"/>
    <w:uiPriority w:val="99"/>
    <w:semiHidden/>
    <w:unhideWhenUsed/>
    <w:rsid w:val="002B6FD1"/>
    <w:rPr>
      <w:sz w:val="20"/>
      <w:szCs w:val="20"/>
    </w:rPr>
  </w:style>
  <w:style w:type="character" w:customStyle="1" w:styleId="CommentTextChar">
    <w:name w:val="Comment Text Char"/>
    <w:basedOn w:val="DefaultParagraphFont"/>
    <w:link w:val="CommentText"/>
    <w:uiPriority w:val="99"/>
    <w:semiHidden/>
    <w:rsid w:val="002B6FD1"/>
    <w:rPr>
      <w:sz w:val="20"/>
      <w:szCs w:val="20"/>
    </w:rPr>
  </w:style>
  <w:style w:type="paragraph" w:styleId="CommentSubject">
    <w:name w:val="annotation subject"/>
    <w:basedOn w:val="CommentText"/>
    <w:next w:val="CommentText"/>
    <w:link w:val="CommentSubjectChar"/>
    <w:uiPriority w:val="99"/>
    <w:semiHidden/>
    <w:unhideWhenUsed/>
    <w:rsid w:val="002B6FD1"/>
    <w:rPr>
      <w:b/>
      <w:bCs/>
    </w:rPr>
  </w:style>
  <w:style w:type="character" w:customStyle="1" w:styleId="CommentSubjectChar">
    <w:name w:val="Comment Subject Char"/>
    <w:basedOn w:val="CommentTextChar"/>
    <w:link w:val="CommentSubject"/>
    <w:uiPriority w:val="99"/>
    <w:semiHidden/>
    <w:rsid w:val="002B6FD1"/>
    <w:rPr>
      <w:b/>
      <w:bCs/>
      <w:sz w:val="20"/>
      <w:szCs w:val="20"/>
    </w:rPr>
  </w:style>
  <w:style w:type="paragraph" w:styleId="ListParagraph">
    <w:name w:val="List Paragraph"/>
    <w:basedOn w:val="Normal"/>
    <w:uiPriority w:val="34"/>
    <w:qFormat/>
    <w:rsid w:val="00881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7C562-4F58-474F-8A3A-784BA6F29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9</Pages>
  <Words>17762</Words>
  <Characters>101244</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UDIMED</Company>
  <LinksUpToDate>false</LinksUpToDate>
  <CharactersWithSpaces>118769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Sala</dc:creator>
  <cp:keywords/>
  <dc:description/>
  <cp:lastModifiedBy>Arianna Sala</cp:lastModifiedBy>
  <cp:revision>45</cp:revision>
  <dcterms:created xsi:type="dcterms:W3CDTF">2022-10-23T19:26:00Z</dcterms:created>
  <dcterms:modified xsi:type="dcterms:W3CDTF">2025-06-13T17:32:00Z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 6th edition</vt:lpwstr>
  </property>
  <property fmtid="{D5CDD505-2E9C-101B-9397-08002B2CF9AE}" pid="4" name="Mendeley Recent Style Id 1_1">
    <vt:lpwstr>http://www.zotero.org/styles/brain-stimulation</vt:lpwstr>
  </property>
  <property fmtid="{D5CDD505-2E9C-101B-9397-08002B2CF9AE}" pid="5" name="Mendeley Recent Style Name 1_1">
    <vt:lpwstr>Brain Stimulation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http://www.zotero.org/styles/european-journal-of-nuclear-medicine-and-molecular-imaging</vt:lpwstr>
  </property>
  <property fmtid="{D5CDD505-2E9C-101B-9397-08002B2CF9AE}" pid="13" name="Mendeley Recent Style Name 5_1">
    <vt:lpwstr>European Journal of Nuclear Medicine and Molecular Imaging</vt:lpwstr>
  </property>
  <property fmtid="{D5CDD505-2E9C-101B-9397-08002B2CF9AE}" pid="14" name="Mendeley Recent Style Id 6_1">
    <vt:lpwstr>http://www.zotero.org/styles/handbook-of-clinical-neurology</vt:lpwstr>
  </property>
  <property fmtid="{D5CDD505-2E9C-101B-9397-08002B2CF9AE}" pid="15" name="Mendeley Recent Style Name 6_1">
    <vt:lpwstr>Handbook of Clinical Neurology</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http://www.zotero.org/styles/nature-neuroscience</vt:lpwstr>
  </property>
  <property fmtid="{D5CDD505-2E9C-101B-9397-08002B2CF9AE}" pid="21" name="Mendeley Recent Style Name 9_1">
    <vt:lpwstr>Nature Neuroscience</vt:lpwstr>
  </property>
  <property fmtid="{D5CDD505-2E9C-101B-9397-08002B2CF9AE}" pid="22" name="Mendeley Citation Style_1">
    <vt:lpwstr>http://www.zotero.org/styles/elsevier-harvard</vt:lpwstr>
  </property>
  <property fmtid="{D5CDD505-2E9C-101B-9397-08002B2CF9AE}" pid="23" name="Mendeley Document_1">
    <vt:lpwstr>True</vt:lpwstr>
  </property>
  <property fmtid="{D5CDD505-2E9C-101B-9397-08002B2CF9AE}" pid="24" name="Mendeley Unique User Id_1">
    <vt:lpwstr>fd0c53dd-84dc-3867-9275-da1ce2964037</vt:lpwstr>
  </property>
</Properties>
</file>