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63B2" w14:textId="28E8606B" w:rsidR="00A9577B" w:rsidRPr="00A9577B" w:rsidRDefault="00A9577B" w:rsidP="00A9577B">
      <w:pPr>
        <w:jc w:val="both"/>
        <w:rPr>
          <w:b/>
          <w:bCs/>
          <w:i/>
          <w:iCs/>
        </w:rPr>
      </w:pPr>
      <w:r w:rsidRPr="00A9577B">
        <w:rPr>
          <w:b/>
          <w:bCs/>
        </w:rPr>
        <w:t xml:space="preserve">Andrea Valentini, </w:t>
      </w:r>
      <w:r w:rsidRPr="00A9577B">
        <w:rPr>
          <w:b/>
          <w:bCs/>
          <w:i/>
          <w:iCs/>
        </w:rPr>
        <w:t>La ‘Cité des dames’ de Christine de Pizan entre philologie auctoriale</w:t>
      </w:r>
      <w:r>
        <w:rPr>
          <w:b/>
          <w:bCs/>
          <w:i/>
          <w:iCs/>
        </w:rPr>
        <w:t xml:space="preserve"> </w:t>
      </w:r>
      <w:r w:rsidRPr="00A9577B">
        <w:rPr>
          <w:b/>
          <w:bCs/>
          <w:i/>
          <w:iCs/>
        </w:rPr>
        <w:t>et génétique textuelle</w:t>
      </w:r>
      <w:r w:rsidRPr="00A9577B">
        <w:rPr>
          <w:b/>
          <w:bCs/>
        </w:rPr>
        <w:t>, Genève, Droz, 2023, pp. 341 («Publications romanes</w:t>
      </w:r>
      <w:r>
        <w:rPr>
          <w:b/>
          <w:bCs/>
          <w:i/>
          <w:iCs/>
        </w:rPr>
        <w:t xml:space="preserve"> </w:t>
      </w:r>
      <w:r w:rsidRPr="00A9577B">
        <w:rPr>
          <w:b/>
          <w:bCs/>
        </w:rPr>
        <w:t>et françaises», 276).</w:t>
      </w:r>
    </w:p>
    <w:p w14:paraId="3841ABE2" w14:textId="77777777" w:rsidR="00A9577B" w:rsidRDefault="00A9577B" w:rsidP="00A9577B">
      <w:pPr>
        <w:jc w:val="both"/>
      </w:pPr>
    </w:p>
    <w:p w14:paraId="7CCA889A" w14:textId="61C79A94" w:rsidR="00A9577B" w:rsidRPr="00A9577B" w:rsidRDefault="00A9577B" w:rsidP="00A9577B">
      <w:pPr>
        <w:ind w:firstLine="708"/>
        <w:jc w:val="both"/>
      </w:pPr>
      <w:r w:rsidRPr="00A9577B">
        <w:t xml:space="preserve">La </w:t>
      </w:r>
      <w:r w:rsidRPr="00A9577B">
        <w:rPr>
          <w:i/>
          <w:iCs/>
        </w:rPr>
        <w:t xml:space="preserve">Cité des dames </w:t>
      </w:r>
      <w:r w:rsidRPr="00A9577B">
        <w:t xml:space="preserve">de Christine de Pizan, </w:t>
      </w:r>
      <w:r>
        <w:t>œ</w:t>
      </w:r>
      <w:r w:rsidRPr="00A9577B">
        <w:t>uvre majeure du XV</w:t>
      </w:r>
      <w:r w:rsidRPr="00A9577B">
        <w:rPr>
          <w:vertAlign w:val="superscript"/>
        </w:rPr>
        <w:t>e</w:t>
      </w:r>
      <w:r w:rsidRPr="00A9577B">
        <w:t xml:space="preserve"> siècle, nous est transmise</w:t>
      </w:r>
      <w:r>
        <w:t xml:space="preserve"> </w:t>
      </w:r>
      <w:r w:rsidRPr="00A9577B">
        <w:t>par vingt-sept manuscrits plus ou moins complets, auxquels s’ajoutent un fragment</w:t>
      </w:r>
      <w:r>
        <w:t xml:space="preserve"> </w:t>
      </w:r>
      <w:r w:rsidRPr="00A9577B">
        <w:t>d’un feuillet et deux traductions de 1475 (flamande) et 1521 (anglaise). Huit de ces témoins,</w:t>
      </w:r>
      <w:r>
        <w:t xml:space="preserve"> </w:t>
      </w:r>
      <w:r w:rsidRPr="00A9577B">
        <w:t>en ce compris le fragment, sont des manuscrits originaux, à savoir des copies produites</w:t>
      </w:r>
      <w:r>
        <w:t xml:space="preserve"> </w:t>
      </w:r>
      <w:r w:rsidRPr="00A9577B">
        <w:t>sous le contrôle de Christine de Pizan.</w:t>
      </w:r>
    </w:p>
    <w:p w14:paraId="351BF648" w14:textId="304A6AB0" w:rsidR="00A9577B" w:rsidRPr="00A9577B" w:rsidRDefault="00A9577B" w:rsidP="00A9577B">
      <w:pPr>
        <w:ind w:firstLine="708"/>
        <w:jc w:val="both"/>
      </w:pPr>
      <w:r w:rsidRPr="00A9577B">
        <w:t xml:space="preserve">Il revient à Monika Lange d’avoir identifié deux versions d’autrice de la </w:t>
      </w:r>
      <w:r w:rsidRPr="00A9577B">
        <w:rPr>
          <w:i/>
          <w:iCs/>
        </w:rPr>
        <w:t>Cité des dames</w:t>
      </w:r>
      <w:r>
        <w:rPr>
          <w:i/>
          <w:iCs/>
        </w:rPr>
        <w:t xml:space="preserve"> </w:t>
      </w:r>
      <w:r w:rsidRPr="00A9577B">
        <w:t>(</w:t>
      </w:r>
      <w:r w:rsidRPr="00A9577B">
        <w:rPr>
          <w:i/>
          <w:iCs/>
        </w:rPr>
        <w:t>Christine de Pizan: ‘Livre de la cité des dames’. Kritische Textedition auf Grund der sieben</w:t>
      </w:r>
      <w:r w:rsidRPr="00A9577B">
        <w:rPr>
          <w:i/>
          <w:iCs/>
        </w:rPr>
        <w:t xml:space="preserve"> </w:t>
      </w:r>
      <w:r w:rsidRPr="00A9577B">
        <w:rPr>
          <w:i/>
          <w:iCs/>
        </w:rPr>
        <w:t xml:space="preserve">überlieferten «manuscrits originaux» des Textes </w:t>
      </w:r>
      <w:r w:rsidRPr="00A9577B">
        <w:t>[thèse non publiée], Université de Hambourg,</w:t>
      </w:r>
      <w:r>
        <w:t xml:space="preserve"> </w:t>
      </w:r>
      <w:r w:rsidRPr="00A9577B">
        <w:t xml:space="preserve">1974). La première, </w:t>
      </w:r>
      <w:r w:rsidRPr="00A9577B">
        <w:rPr>
          <w:i/>
          <w:iCs/>
        </w:rPr>
        <w:t>V1</w:t>
      </w:r>
      <w:r w:rsidRPr="00A9577B">
        <w:t>, rassemble les mss originaux A P1, les mss tardifs Lo Pa4</w:t>
      </w:r>
      <w:r>
        <w:t xml:space="preserve"> </w:t>
      </w:r>
      <w:r w:rsidRPr="00A9577B">
        <w:t xml:space="preserve">et, pour la tradition indirecte, la traduction anglaise Engl; la deuxième version, </w:t>
      </w:r>
      <w:r w:rsidRPr="00A9577B">
        <w:rPr>
          <w:i/>
          <w:iCs/>
        </w:rPr>
        <w:t>V2</w:t>
      </w:r>
      <w:r w:rsidRPr="00A9577B">
        <w:t>, les mss</w:t>
      </w:r>
      <w:r>
        <w:t xml:space="preserve"> </w:t>
      </w:r>
      <w:r w:rsidRPr="00A9577B">
        <w:t>originaux B D L P2 P3 R et les mss tardifs Br CV1 NH Pa5 Pa6 et Pa7. Ce sont ces deux</w:t>
      </w:r>
      <w:r>
        <w:t xml:space="preserve"> </w:t>
      </w:r>
      <w:r w:rsidRPr="00A9577B">
        <w:t>versions d’autrice (sur la distinction entre variantes et versions, cfr. p. 31) qui sont au c</w:t>
      </w:r>
      <w:r>
        <w:t>œ</w:t>
      </w:r>
      <w:r w:rsidRPr="00A9577B">
        <w:t>ur</w:t>
      </w:r>
      <w:r>
        <w:t xml:space="preserve"> </w:t>
      </w:r>
      <w:r w:rsidRPr="00A9577B">
        <w:t>de l’étude d’Andrea Valentini, qui entend faire dialoguer «philologie auctoriale» (cfr. pp.</w:t>
      </w:r>
      <w:r>
        <w:t xml:space="preserve"> </w:t>
      </w:r>
      <w:r w:rsidRPr="00A9577B">
        <w:t>26-27, n. 53) et critique génétique, en reprenant «à nouveau frais les bases critiques de</w:t>
      </w:r>
      <w:r>
        <w:t xml:space="preserve"> </w:t>
      </w:r>
      <w:r w:rsidRPr="00A9577B">
        <w:t>cette approche complémentaire» (p. 28). Concrètement, il s’agit pour V. d’étudier l’évolution</w:t>
      </w:r>
      <w:r>
        <w:t xml:space="preserve"> </w:t>
      </w:r>
      <w:r w:rsidRPr="00A9577B">
        <w:t xml:space="preserve">auctoriale du texte, de la </w:t>
      </w:r>
      <w:r w:rsidRPr="00A9577B">
        <w:rPr>
          <w:i/>
          <w:iCs/>
        </w:rPr>
        <w:t xml:space="preserve">V1 </w:t>
      </w:r>
      <w:r w:rsidRPr="00A9577B">
        <w:t xml:space="preserve">à la </w:t>
      </w:r>
      <w:r w:rsidRPr="00A9577B">
        <w:rPr>
          <w:i/>
          <w:iCs/>
        </w:rPr>
        <w:t>V2</w:t>
      </w:r>
      <w:r w:rsidRPr="00A9577B">
        <w:t>, surtout, mais aussi au sein de chaque version</w:t>
      </w:r>
      <w:r>
        <w:t xml:space="preserve"> </w:t>
      </w:r>
      <w:r w:rsidRPr="00A9577B">
        <w:t>(la question de l’autographie des manuscrits originaux n’est pas débattue dans l’ouvrage,</w:t>
      </w:r>
      <w:r>
        <w:t xml:space="preserve"> </w:t>
      </w:r>
      <w:r w:rsidRPr="00A9577B">
        <w:t>car «anecdotique pour le propos», mais il est probable que Christine de Pizan ait directement</w:t>
      </w:r>
      <w:r>
        <w:t xml:space="preserve"> </w:t>
      </w:r>
      <w:r w:rsidRPr="00A9577B">
        <w:t>relu ou corrigé ces manuscrits de sa main, pp. 28-29).</w:t>
      </w:r>
    </w:p>
    <w:p w14:paraId="5410CD0B" w14:textId="77777777" w:rsidR="00A9577B" w:rsidRDefault="00A9577B" w:rsidP="00A9577B">
      <w:pPr>
        <w:ind w:firstLine="708"/>
        <w:jc w:val="both"/>
      </w:pPr>
      <w:r w:rsidRPr="00A9577B">
        <w:t>L’introduction (pp. 11-39), qui passe de l’</w:t>
      </w:r>
      <w:r>
        <w:t>œ</w:t>
      </w:r>
      <w:r w:rsidRPr="00A9577B">
        <w:t>uvre (structure, contenu et datation) à ses</w:t>
      </w:r>
      <w:r>
        <w:t xml:space="preserve"> </w:t>
      </w:r>
      <w:r w:rsidRPr="00A9577B">
        <w:t>versions (étude et éditions), expose avec concision et limpidité les fondements critiques et</w:t>
      </w:r>
      <w:r>
        <w:t xml:space="preserve"> </w:t>
      </w:r>
      <w:r w:rsidRPr="00A9577B">
        <w:t>méthodologiques de l’ouvrage. La première partie, de nature philologique, est consacrée</w:t>
      </w:r>
      <w:r>
        <w:t xml:space="preserve"> </w:t>
      </w:r>
      <w:r w:rsidRPr="00A9577B">
        <w:t>à la genèse et à l’évolution du texte et envisage successivement la tradition manuscrite et</w:t>
      </w:r>
      <w:r>
        <w:t xml:space="preserve"> </w:t>
      </w:r>
      <w:r w:rsidRPr="00A9577B">
        <w:t xml:space="preserve">le classement des témoins (pp. 43-46), l’analyse des </w:t>
      </w:r>
      <w:r w:rsidRPr="00A9577B">
        <w:rPr>
          <w:i/>
          <w:iCs/>
        </w:rPr>
        <w:t xml:space="preserve">loci selecti </w:t>
      </w:r>
      <w:r w:rsidRPr="00A9577B">
        <w:t>(pp. 47-94), l’iconographie</w:t>
      </w:r>
      <w:r>
        <w:t xml:space="preserve"> </w:t>
      </w:r>
      <w:r w:rsidRPr="00A9577B">
        <w:t>des manuscrits originaux (pp. 94-101) et leur chronologie (pp. 101-20). La deuxième</w:t>
      </w:r>
      <w:r>
        <w:t xml:space="preserve"> </w:t>
      </w:r>
      <w:r w:rsidRPr="00A9577B">
        <w:t>partie, de nature linguistique (pp. 127-89), s’intéresse quant à elle aux «procédés à l’</w:t>
      </w:r>
      <w:r>
        <w:t>œ</w:t>
      </w:r>
      <w:r w:rsidRPr="00A9577B">
        <w:t>uvre</w:t>
      </w:r>
      <w:r>
        <w:t xml:space="preserve"> </w:t>
      </w:r>
      <w:r w:rsidRPr="00A9577B">
        <w:t xml:space="preserve">dans le processus de réécriture qui a conduit de la </w:t>
      </w:r>
      <w:r w:rsidRPr="00A9577B">
        <w:rPr>
          <w:i/>
          <w:iCs/>
        </w:rPr>
        <w:t xml:space="preserve">V1 </w:t>
      </w:r>
      <w:r w:rsidRPr="00A9577B">
        <w:t xml:space="preserve">à la </w:t>
      </w:r>
      <w:r w:rsidRPr="00A9577B">
        <w:rPr>
          <w:i/>
          <w:iCs/>
        </w:rPr>
        <w:t>V2</w:t>
      </w:r>
      <w:r w:rsidRPr="00A9577B">
        <w:t>» (p. 124). Ces deux versants</w:t>
      </w:r>
      <w:r>
        <w:t xml:space="preserve"> </w:t>
      </w:r>
      <w:r w:rsidRPr="00A9577B">
        <w:t>de l’étude reposent sur un corpus de travail constitué de onze lieux critiques, dont la sélection</w:t>
      </w:r>
      <w:r>
        <w:t xml:space="preserve"> </w:t>
      </w:r>
      <w:r w:rsidRPr="00A9577B">
        <w:t>(pp. 45-46) s’appuie sur les travaux de Monika Lange (pour cinq d’entre eux) et de</w:t>
      </w:r>
      <w:r>
        <w:t xml:space="preserve"> </w:t>
      </w:r>
      <w:r w:rsidRPr="00A9577B">
        <w:t>Christine Reno (pour deux) et a été complétée par V. lui-même (pour quatre). L’ouvrage</w:t>
      </w:r>
      <w:r>
        <w:t xml:space="preserve"> </w:t>
      </w:r>
      <w:r w:rsidRPr="00A9577B">
        <w:t>se clôture par les annexes (catalogue codicologique, pp. 201-16; divers tableaux, pp. 297-301), les illustrations en couleurs (pp. 305-12), la bibliographie (pp. 313-24), et les différents</w:t>
      </w:r>
      <w:r>
        <w:t xml:space="preserve"> </w:t>
      </w:r>
      <w:r w:rsidRPr="00A9577B">
        <w:t>index (noms propres, pp. 325-29; noms géographiques et de population, pp. 331-32;</w:t>
      </w:r>
      <w:r>
        <w:t xml:space="preserve"> œ</w:t>
      </w:r>
      <w:r w:rsidRPr="00A9577B">
        <w:t>uvres anciennes et médiévales, pp. 333-35; manuscrits, p. 337).</w:t>
      </w:r>
      <w:r>
        <w:t xml:space="preserve"> </w:t>
      </w:r>
    </w:p>
    <w:p w14:paraId="60A8A85C" w14:textId="77777777" w:rsidR="00A9577B" w:rsidRDefault="00A9577B" w:rsidP="00A9577B">
      <w:pPr>
        <w:ind w:firstLine="708"/>
        <w:jc w:val="both"/>
      </w:pPr>
      <w:r w:rsidRPr="00A9577B">
        <w:t>Malgré leur autonomie, les études philologique et linguistique apparaissent comme</w:t>
      </w:r>
      <w:r>
        <w:t xml:space="preserve"> </w:t>
      </w:r>
      <w:r w:rsidRPr="00A9577B">
        <w:t>interdépendantes et complémentaires: «l’étude philologique se fonde sur la constatation</w:t>
      </w:r>
      <w:r>
        <w:t xml:space="preserve"> </w:t>
      </w:r>
      <w:r w:rsidRPr="00A9577B">
        <w:t xml:space="preserve">de l’existence de deux versions du texte de la </w:t>
      </w:r>
      <w:r w:rsidRPr="00A9577B">
        <w:rPr>
          <w:i/>
          <w:iCs/>
        </w:rPr>
        <w:t>Cité des dames</w:t>
      </w:r>
      <w:r w:rsidRPr="00A9577B">
        <w:t>, chacune avec ses variantes</w:t>
      </w:r>
      <w:r>
        <w:t xml:space="preserve"> </w:t>
      </w:r>
      <w:r w:rsidRPr="00A9577B">
        <w:t>d’autrice plus ou moins étendues. Que deux versions aient existé, toutefois, peut être</w:t>
      </w:r>
      <w:r>
        <w:t xml:space="preserve"> </w:t>
      </w:r>
      <w:r w:rsidRPr="00A9577B">
        <w:t xml:space="preserve">prouvé uniquement </w:t>
      </w:r>
      <w:r w:rsidRPr="00A9577B">
        <w:rPr>
          <w:i/>
          <w:iCs/>
        </w:rPr>
        <w:t xml:space="preserve">via </w:t>
      </w:r>
      <w:r w:rsidRPr="00A9577B">
        <w:t>une étude linguistique» (p. 124). Il ne faudrait pas déduire de cette</w:t>
      </w:r>
      <w:r>
        <w:t xml:space="preserve"> </w:t>
      </w:r>
      <w:r w:rsidRPr="00A9577B">
        <w:t xml:space="preserve">formulation que le raisonnement est circulaire: il ne s’agit pas tant, à notre sens, de </w:t>
      </w:r>
      <w:r w:rsidRPr="00A9577B">
        <w:rPr>
          <w:i/>
          <w:iCs/>
        </w:rPr>
        <w:t>prouver</w:t>
      </w:r>
      <w:r>
        <w:rPr>
          <w:i/>
          <w:iCs/>
        </w:rPr>
        <w:t xml:space="preserve"> </w:t>
      </w:r>
      <w:r w:rsidRPr="00A9577B">
        <w:t xml:space="preserve">l’existence de deux </w:t>
      </w:r>
      <w:r w:rsidRPr="00A9577B">
        <w:lastRenderedPageBreak/>
        <w:t>versions grâce à l’étude linguistique que de définir, dans cette deuxième</w:t>
      </w:r>
      <w:r>
        <w:t xml:space="preserve"> </w:t>
      </w:r>
      <w:r w:rsidRPr="00A9577B">
        <w:t>partie, les lignes directrices des remaniements – linguistiques, stylistiques, relatifs</w:t>
      </w:r>
      <w:r>
        <w:t xml:space="preserve"> </w:t>
      </w:r>
      <w:r w:rsidRPr="00A9577B">
        <w:t>au contenu ou à la structure du texte – qu’a effectués l’autrice de la V1 à la V2, comme</w:t>
      </w:r>
      <w:r>
        <w:t xml:space="preserve"> </w:t>
      </w:r>
      <w:r w:rsidRPr="00A9577B">
        <w:t>cela apparaît par ailleurs clairement dans l’analyse et ses conclusions. L’apport de l’étude</w:t>
      </w:r>
      <w:r>
        <w:t xml:space="preserve"> </w:t>
      </w:r>
      <w:r w:rsidRPr="00A9577B">
        <w:t>philologique est autre, puisqu’il s’agit, à partir de l’examen des lieux critiques, de formuler</w:t>
      </w:r>
      <w:r>
        <w:t xml:space="preserve"> </w:t>
      </w:r>
      <w:r w:rsidRPr="00A9577B">
        <w:t>des hypothèses sur le classement des témoins (le stemma codicum – provisoire puisqu’il se</w:t>
      </w:r>
      <w:r>
        <w:t xml:space="preserve"> </w:t>
      </w:r>
      <w:r w:rsidRPr="00A9577B">
        <w:t>fonde bien entendu sur un examen partiel du texte – est présenté en annexe, p. 298).</w:t>
      </w:r>
      <w:r>
        <w:t xml:space="preserve"> </w:t>
      </w:r>
      <w:r w:rsidRPr="00A9577B">
        <w:t>S’agissant de manuscrits originaux, deux spécificités nous semblent devoir être soulignées.</w:t>
      </w:r>
      <w:r>
        <w:t xml:space="preserve"> </w:t>
      </w:r>
      <w:r w:rsidRPr="00A9577B">
        <w:t>D’une part, et bien que certaines fautes soient mises en évidence (par ex. pp. 57-60), les résultats de la collation sont essentiellement constitués de variantes, qui permettent</w:t>
      </w:r>
      <w:r>
        <w:t xml:space="preserve"> </w:t>
      </w:r>
      <w:r w:rsidRPr="00A9577B">
        <w:t>de raisonner sur le processus d’élaboration du texte dont rend compte le stemma codicum.</w:t>
      </w:r>
      <w:r>
        <w:t xml:space="preserve"> </w:t>
      </w:r>
      <w:r w:rsidRPr="00A9577B">
        <w:t>D’autre part, le stemma correspond davantage à une reconstitution de la chaîne de transmission</w:t>
      </w:r>
      <w:r>
        <w:t xml:space="preserve"> </w:t>
      </w:r>
      <w:r w:rsidRPr="00A9577B">
        <w:t>effective, où les manuscrits postulés se multiplient parfois sur une même ligne,</w:t>
      </w:r>
      <w:r>
        <w:t xml:space="preserve"> </w:t>
      </w:r>
      <w:r w:rsidRPr="00A9577B">
        <w:t>qu’à un stemma codicum “classique”: ainsi de l’insertion de l’intermédiaire c entre b et A</w:t>
      </w:r>
      <w:r>
        <w:t xml:space="preserve"> </w:t>
      </w:r>
      <w:r w:rsidRPr="00A9577B">
        <w:t xml:space="preserve">(cfr. pp. 64-70, part. p. 69; sur la distinction entre arbre réel et stemma codicum, cfr. </w:t>
      </w:r>
      <w:r w:rsidRPr="00A9577B">
        <w:t>A</w:t>
      </w:r>
      <w:r w:rsidRPr="00A9577B">
        <w:t>u</w:t>
      </w:r>
      <w:r>
        <w:t xml:space="preserve"> </w:t>
      </w:r>
      <w:r w:rsidRPr="00A9577B">
        <w:t xml:space="preserve">moins P. Trovato, </w:t>
      </w:r>
      <w:r w:rsidRPr="00A9577B">
        <w:rPr>
          <w:i/>
          <w:iCs/>
        </w:rPr>
        <w:t>Dagli alberi reali agli stemmi</w:t>
      </w:r>
      <w:r w:rsidRPr="00A9577B">
        <w:t xml:space="preserve">, in V. Guidi-P. </w:t>
      </w:r>
      <w:r w:rsidRPr="00A9577B">
        <w:rPr>
          <w:lang w:val="it-IT"/>
        </w:rPr>
        <w:t xml:space="preserve">Trovato, </w:t>
      </w:r>
      <w:r w:rsidRPr="00A9577B">
        <w:rPr>
          <w:i/>
          <w:iCs/>
          <w:lang w:val="it-IT"/>
        </w:rPr>
        <w:t>Sugli stemmi bipartiti.</w:t>
      </w:r>
      <w:r w:rsidRPr="00A9577B">
        <w:rPr>
          <w:i/>
          <w:iCs/>
          <w:lang w:val="it-IT"/>
        </w:rPr>
        <w:t xml:space="preserve"> </w:t>
      </w:r>
      <w:r w:rsidRPr="00A9577B">
        <w:rPr>
          <w:i/>
          <w:iCs/>
          <w:lang w:val="it-IT"/>
        </w:rPr>
        <w:t>Decimazione, asimmetria e calcolo delle probabilità</w:t>
      </w:r>
      <w:r w:rsidRPr="00A9577B">
        <w:rPr>
          <w:lang w:val="it-IT"/>
        </w:rPr>
        <w:t>, in «Filologia italiana», 1 (2004),</w:t>
      </w:r>
      <w:r>
        <w:rPr>
          <w:lang w:val="it-IT"/>
        </w:rPr>
        <w:t xml:space="preserve"> </w:t>
      </w:r>
      <w:r w:rsidRPr="00A9577B">
        <w:rPr>
          <w:lang w:val="it-IT"/>
        </w:rPr>
        <w:t xml:space="preserve">pp. 9-48, aux pp. 11-12). </w:t>
      </w:r>
      <w:r w:rsidRPr="00A9577B">
        <w:t>On ne cachera pas que l’hypothèse, qui rend compte tant du</w:t>
      </w:r>
      <w:r w:rsidRPr="00A9577B">
        <w:t xml:space="preserve"> </w:t>
      </w:r>
      <w:r w:rsidRPr="00A9577B">
        <w:t>texte lui-même que des tables de matières, est particulièrement complexe, notamment en</w:t>
      </w:r>
      <w:r>
        <w:t xml:space="preserve"> </w:t>
      </w:r>
      <w:r w:rsidRPr="00A9577B">
        <w:t>raison d’une contamination apparemment assez diffuse et de la valeur auctoriale accordée</w:t>
      </w:r>
      <w:r>
        <w:t xml:space="preserve"> </w:t>
      </w:r>
      <w:r w:rsidRPr="00A9577B">
        <w:t>ou non à certaines variantes (par ex. l’insertion de l’intermédiaire f entre les manuscrits</w:t>
      </w:r>
      <w:r>
        <w:t xml:space="preserve"> </w:t>
      </w:r>
      <w:r w:rsidRPr="00A9577B">
        <w:t>perdus e et g, cfr. pp. 89-94, part. pp. 92-93).</w:t>
      </w:r>
    </w:p>
    <w:p w14:paraId="69C9A38C" w14:textId="77777777" w:rsidR="00A9577B" w:rsidRDefault="00A9577B" w:rsidP="00A9577B">
      <w:pPr>
        <w:ind w:firstLine="708"/>
        <w:jc w:val="both"/>
      </w:pPr>
      <w:r w:rsidRPr="00A9577B">
        <w:t xml:space="preserve">À travers une analyse très documentée et fine du processus d’élaboration de la </w:t>
      </w:r>
      <w:r w:rsidRPr="00A9577B">
        <w:rPr>
          <w:i/>
          <w:iCs/>
        </w:rPr>
        <w:t>Cité des</w:t>
      </w:r>
      <w:r w:rsidRPr="00A9577B">
        <w:rPr>
          <w:i/>
          <w:iCs/>
        </w:rPr>
        <w:t xml:space="preserve"> </w:t>
      </w:r>
      <w:r w:rsidRPr="00A9577B">
        <w:rPr>
          <w:i/>
          <w:iCs/>
        </w:rPr>
        <w:t>dames</w:t>
      </w:r>
      <w:r w:rsidRPr="00A9577B">
        <w:t>, V. rencontre assurément son premier objectif, à savoir fournir «la première étude</w:t>
      </w:r>
      <w:r>
        <w:t xml:space="preserve"> </w:t>
      </w:r>
      <w:r w:rsidRPr="00A9577B">
        <w:t>portant sur un texte médiéval français à être entièrement fondée sur les principes de la</w:t>
      </w:r>
      <w:r>
        <w:t xml:space="preserve"> </w:t>
      </w:r>
      <w:r w:rsidRPr="00A9577B">
        <w:t>philologie auctoriale» (p. 28). Le deuxième apport de l’ouvrage n’en est pas moindre:</w:t>
      </w:r>
      <w:r>
        <w:t xml:space="preserve"> </w:t>
      </w:r>
      <w:r w:rsidRPr="00A9577B">
        <w:t xml:space="preserve">l’édition génétique partielle des deux versions d’autrice de la </w:t>
      </w:r>
      <w:r w:rsidRPr="00A9577B">
        <w:rPr>
          <w:i/>
          <w:iCs/>
        </w:rPr>
        <w:t>Cité des dames</w:t>
      </w:r>
      <w:r w:rsidRPr="00A9577B">
        <w:t>. Si V. entend</w:t>
      </w:r>
      <w:r>
        <w:t xml:space="preserve"> </w:t>
      </w:r>
      <w:r w:rsidRPr="00A9577B">
        <w:t>«poser les bases d’une future édition véritablement critique» du texte (p. 39; cfr. aussi les</w:t>
      </w:r>
      <w:r>
        <w:t xml:space="preserve"> </w:t>
      </w:r>
      <w:r w:rsidRPr="00A9577B">
        <w:t>conclusions relatives aux perspectives éditoriales pp. 196-98), c’est que pour lui aucune</w:t>
      </w:r>
      <w:r>
        <w:t xml:space="preserve"> </w:t>
      </w:r>
      <w:r w:rsidRPr="00A9577B">
        <w:t>des éditions précédentes «ne satisfait les critères d’exhaustivité philologique» (p. 39):</w:t>
      </w:r>
      <w:r>
        <w:t xml:space="preserve"> </w:t>
      </w:r>
      <w:r w:rsidRPr="00A9577B">
        <w:t>toutes se fondent sur un manuscrit de base, et la question génétique, cruciale, n’apparaît au</w:t>
      </w:r>
      <w:r>
        <w:t xml:space="preserve"> </w:t>
      </w:r>
      <w:r w:rsidRPr="00A9577B">
        <w:t>mieux qu’en apparat (cfr. p. 37). Dans une annexe de près de quatre-vingt pages (pp. 217-95), V. présente ainsi huit extraits d’édition génétique, qui constituent le fondement des</w:t>
      </w:r>
      <w:r>
        <w:t xml:space="preserve"> </w:t>
      </w:r>
      <w:r w:rsidRPr="00A9577B">
        <w:t>développements philologiques et linguistiques de son ouvrage. Ces extraits correspondent</w:t>
      </w:r>
      <w:r>
        <w:t xml:space="preserve"> </w:t>
      </w:r>
      <w:r w:rsidRPr="00A9577B">
        <w:t>aux chapitres, édités dans leur totalité, où prennent place les lieux critiques discutés aux</w:t>
      </w:r>
      <w:r>
        <w:t xml:space="preserve"> </w:t>
      </w:r>
      <w:r w:rsidRPr="00A9577B">
        <w:t>pp. 47-94, auxquels sont adjoints les chap. 1.1-4 (V1 et V2), 1.21-22 (V1 = 1.22-23 V2) et</w:t>
      </w:r>
      <w:r>
        <w:t xml:space="preserve"> </w:t>
      </w:r>
      <w:r w:rsidRPr="00A9577B">
        <w:t>1.24 (V1 = 1.25 V2). Les versions V1 et V2 sont éditées en regard l’une de l’autre sur la</w:t>
      </w:r>
      <w:r>
        <w:t xml:space="preserve"> </w:t>
      </w:r>
      <w:r w:rsidRPr="00A9577B">
        <w:t>double page; le surligné gris – dont l’insertion est scrupuleusement justifiée p. 219 – met en</w:t>
      </w:r>
      <w:r>
        <w:t xml:space="preserve"> </w:t>
      </w:r>
      <w:r w:rsidRPr="00A9577B">
        <w:t>évidence les différences entre les versions, dans le texte ou en apparat. Chaque version est</w:t>
      </w:r>
      <w:r>
        <w:t xml:space="preserve"> </w:t>
      </w:r>
      <w:r w:rsidRPr="00A9577B">
        <w:t>éditée en suivant un manuscrit de base (A = Paris, BnF, Arsenal 2686, qui a «le plus de</w:t>
      </w:r>
      <w:r>
        <w:t xml:space="preserve"> </w:t>
      </w:r>
      <w:r w:rsidRPr="00A9577B">
        <w:t>chances d’être le plus ancien» témoin de la V1 [p. 124], mss de contrôle P1 = Paris, BnF, fr.</w:t>
      </w:r>
      <w:r>
        <w:t xml:space="preserve"> </w:t>
      </w:r>
      <w:r w:rsidRPr="00A9577B">
        <w:t>24293 et Lo = London, BL, Royal 19 A XIX; P2 = Paris, BnF, fr. 1179, le plus ancien témoin</w:t>
      </w:r>
      <w:r>
        <w:t xml:space="preserve"> </w:t>
      </w:r>
      <w:r w:rsidRPr="00A9577B">
        <w:t>de la V2, mss de contrôle B = Bruxelles, KBR, 9393, D = Paris, BnF, fr. 607, R = London,</w:t>
      </w:r>
      <w:r>
        <w:t xml:space="preserve"> </w:t>
      </w:r>
      <w:r w:rsidRPr="00A9577B">
        <w:t>BL, Harley 4431, P3 = Paris, BnF, fr. 1178) et accompagnée d’un apparat en deux strates:</w:t>
      </w:r>
      <w:r w:rsidRPr="00A9577B">
        <w:rPr>
          <w:rFonts w:ascii="SimonciniGaramond" w:hAnsi="SimonciniGaramond" w:cs="SimonciniGaramond"/>
          <w:sz w:val="18"/>
          <w:szCs w:val="18"/>
          <w14:ligatures w14:val="standardContextual"/>
        </w:rPr>
        <w:t xml:space="preserve"> </w:t>
      </w:r>
      <w:r w:rsidRPr="00A9577B">
        <w:t>1) les leçons rejetées, essentiellement des lapsus calami; 2) un aperçu de la varia lectio des</w:t>
      </w:r>
      <w:r>
        <w:t xml:space="preserve"> </w:t>
      </w:r>
      <w:r w:rsidRPr="00A9577B">
        <w:t>manuscrits de contrôle, à l’exception des leçons singulières. Le livre ouvert permet ainsi de</w:t>
      </w:r>
      <w:r>
        <w:t xml:space="preserve"> </w:t>
      </w:r>
      <w:r w:rsidRPr="00A9577B">
        <w:t>rendre compte à la fois du processus de réécriture entre les versions – dans une lecture</w:t>
      </w:r>
      <w:r>
        <w:t xml:space="preserve"> </w:t>
      </w:r>
      <w:r w:rsidRPr="00A9577B">
        <w:lastRenderedPageBreak/>
        <w:t>horizontale, d’une page à l’autre – et du processus d’élaboration relativement limité de</w:t>
      </w:r>
      <w:r>
        <w:t xml:space="preserve"> </w:t>
      </w:r>
      <w:r w:rsidRPr="00A9577B">
        <w:t>chaque version – dans une lecture verticale, entre texte édité et apparat des variantes.</w:t>
      </w:r>
    </w:p>
    <w:p w14:paraId="40515CE8" w14:textId="77777777" w:rsidR="00A9577B" w:rsidRDefault="00A9577B" w:rsidP="00A9577B">
      <w:pPr>
        <w:ind w:firstLine="708"/>
        <w:jc w:val="both"/>
      </w:pPr>
      <w:r w:rsidRPr="00A9577B">
        <w:t>On clôturera ce trop rapide panorama de l’ouvrage de V. en soulignant le caractère rigoureux</w:t>
      </w:r>
      <w:r>
        <w:t xml:space="preserve"> </w:t>
      </w:r>
      <w:r w:rsidRPr="00A9577B">
        <w:t>de l’exposition du contenu, qu’il s’agisse de l’énoncé des bases méthodologiques,</w:t>
      </w:r>
      <w:r>
        <w:t xml:space="preserve"> </w:t>
      </w:r>
      <w:r w:rsidRPr="00A9577B">
        <w:t>des critères d’édition ou encore des hypothèses résultant de l’analyse des lieux critiques.</w:t>
      </w:r>
      <w:r>
        <w:t xml:space="preserve"> </w:t>
      </w:r>
      <w:r w:rsidRPr="00A9577B">
        <w:t>L’enquête ouvre des pistes de recherche passionnantes, non seulement en ce qui concerne</w:t>
      </w:r>
      <w:r>
        <w:t xml:space="preserve"> </w:t>
      </w:r>
      <w:r w:rsidRPr="00A9577B">
        <w:t>Christine de Pizan et son oeuvre, mais aussi – que l’on pense aux versions V1’ et Vx transmises</w:t>
      </w:r>
      <w:r>
        <w:t xml:space="preserve"> </w:t>
      </w:r>
      <w:r w:rsidRPr="00A9577B">
        <w:t>par les manuscrits tardifs – sur les processus de transmission d’un texte médiéval en</w:t>
      </w:r>
      <w:r>
        <w:t xml:space="preserve"> </w:t>
      </w:r>
      <w:r w:rsidRPr="00A9577B">
        <w:t>langue française dont ont circulé tant de manuscrits originaux.</w:t>
      </w:r>
    </w:p>
    <w:p w14:paraId="646DF4C4" w14:textId="1C854915" w:rsidR="00554664" w:rsidRPr="00A9577B" w:rsidRDefault="00A9577B" w:rsidP="00A9577B">
      <w:pPr>
        <w:ind w:firstLine="708"/>
        <w:jc w:val="both"/>
      </w:pPr>
      <w:r w:rsidRPr="00A9577B">
        <w:t>Sophie Lecomte</w:t>
      </w:r>
      <w:r w:rsidRPr="00A9577B">
        <w:t xml:space="preserve"> </w:t>
      </w:r>
    </w:p>
    <w:sectPr w:rsidR="00554664" w:rsidRPr="00A9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oncini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7B"/>
    <w:rsid w:val="001A7468"/>
    <w:rsid w:val="002860F0"/>
    <w:rsid w:val="003116FD"/>
    <w:rsid w:val="004D3CB4"/>
    <w:rsid w:val="00554664"/>
    <w:rsid w:val="005C6E39"/>
    <w:rsid w:val="0064290D"/>
    <w:rsid w:val="00A57333"/>
    <w:rsid w:val="00A9577B"/>
    <w:rsid w:val="00B2636B"/>
    <w:rsid w:val="00C5003D"/>
    <w:rsid w:val="00D62F3E"/>
    <w:rsid w:val="00D72567"/>
    <w:rsid w:val="00DE39F4"/>
    <w:rsid w:val="00ED2188"/>
    <w:rsid w:val="00F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0547"/>
  <w15:chartTrackingRefBased/>
  <w15:docId w15:val="{094E0D55-B4B4-4E43-B214-0833ECE0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FD"/>
    <w:rPr>
      <w:rFonts w:ascii="Times New Roman" w:hAnsi="Times New Roman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9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7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7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7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7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7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7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7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vcitationnel">
    <w:name w:val="Pavé citationnel"/>
    <w:basedOn w:val="Normal"/>
    <w:link w:val="PavcitationnelCar"/>
    <w:qFormat/>
    <w:rsid w:val="00ED2188"/>
    <w:pPr>
      <w:ind w:left="708" w:firstLine="360"/>
      <w:jc w:val="both"/>
    </w:pPr>
    <w:rPr>
      <w:sz w:val="18"/>
    </w:rPr>
  </w:style>
  <w:style w:type="character" w:customStyle="1" w:styleId="PavcitationnelCar">
    <w:name w:val="Pavé citationnel Car"/>
    <w:basedOn w:val="Policepardfaut"/>
    <w:link w:val="Pavcitationnel"/>
    <w:rsid w:val="00ED2188"/>
    <w:rPr>
      <w:sz w:val="18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3116FD"/>
    <w:pPr>
      <w:jc w:val="both"/>
    </w:pPr>
    <w:rPr>
      <w:rFonts w:cs="Times New Roman"/>
      <w:kern w:val="2"/>
      <w:sz w:val="20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116FD"/>
    <w:rPr>
      <w:rFonts w:ascii="Times New Roman" w:hAnsi="Times New Roman" w:cs="Times New Roman"/>
      <w:sz w:val="20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A9577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A9577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A9577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A9577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A9577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A9577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9577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A9577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A9577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9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77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7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77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Paragraphedeliste">
    <w:name w:val="List Paragraph"/>
    <w:basedOn w:val="Normal"/>
    <w:uiPriority w:val="34"/>
    <w:qFormat/>
    <w:rsid w:val="00A957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7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77B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A95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Réviseur</dc:creator>
  <cp:keywords/>
  <dc:description/>
  <cp:lastModifiedBy>Réviseur</cp:lastModifiedBy>
  <cp:revision>1</cp:revision>
  <dcterms:created xsi:type="dcterms:W3CDTF">2025-11-19T09:14:00Z</dcterms:created>
  <dcterms:modified xsi:type="dcterms:W3CDTF">2025-11-19T09:20:00Z</dcterms:modified>
</cp:coreProperties>
</file>